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02B" w:rsidRPr="003A5AF4" w:rsidRDefault="002D2AD5" w:rsidP="002D2AD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9818BB-997E-483D-A617-3FC73D5242CE" style="width:455.25pt;height:342.75pt">
            <v:imagedata r:id="rId8" o:title=""/>
          </v:shape>
        </w:pict>
      </w:r>
    </w:p>
    <w:p w:rsidR="00F5502B" w:rsidRPr="003A5AF4" w:rsidRDefault="00F5502B" w:rsidP="00F5502B">
      <w:pPr>
        <w:rPr>
          <w:noProof/>
        </w:rPr>
        <w:sectPr w:rsidR="00F5502B" w:rsidRPr="003A5AF4" w:rsidSect="002D2AD5">
          <w:footerReference w:type="even" r:id="rId9"/>
          <w:footerReference w:type="default" r:id="rId10"/>
          <w:pgSz w:w="11907" w:h="16839"/>
          <w:pgMar w:top="1134" w:right="1417" w:bottom="1134" w:left="1417" w:header="709" w:footer="709" w:gutter="0"/>
          <w:pgNumType w:start="0"/>
          <w:cols w:space="720"/>
          <w:docGrid w:linePitch="360"/>
        </w:sectPr>
      </w:pPr>
    </w:p>
    <w:p w:rsidR="00F5502B" w:rsidRPr="004047BA" w:rsidRDefault="00F5502B" w:rsidP="004047BA">
      <w:pPr>
        <w:pStyle w:val="Exposdesmotifstitre"/>
        <w:rPr>
          <w:noProof/>
        </w:rPr>
      </w:pPr>
      <w:bookmarkStart w:id="0" w:name="_GoBack"/>
      <w:bookmarkEnd w:id="0"/>
      <w:r w:rsidRPr="004047BA">
        <w:rPr>
          <w:noProof/>
        </w:rPr>
        <w:lastRenderedPageBreak/>
        <w:t>EXPLANATORY MEMORANDUM</w:t>
      </w:r>
    </w:p>
    <w:p w:rsidR="00B2090B" w:rsidRPr="00626A0C" w:rsidRDefault="00E644E8" w:rsidP="00626A0C">
      <w:pPr>
        <w:shd w:val="clear" w:color="auto" w:fill="FFFFFF"/>
        <w:spacing w:before="0" w:after="0"/>
        <w:rPr>
          <w:rFonts w:eastAsia="Times New Roman"/>
          <w:noProof/>
          <w:color w:val="333333"/>
          <w:szCs w:val="24"/>
          <w:lang w:val="en-IE" w:eastAsia="en-IE"/>
        </w:rPr>
      </w:pPr>
      <w:r w:rsidRPr="00626A0C">
        <w:rPr>
          <w:rFonts w:eastAsia="Times New Roman"/>
          <w:noProof/>
          <w:color w:val="333333"/>
          <w:szCs w:val="24"/>
          <w:lang w:val="en-IE" w:eastAsia="en-IE"/>
        </w:rPr>
        <w:t>With this proposal, the Commission is requesting authorisation from the Council for the conclusion</w:t>
      </w:r>
      <w:r w:rsidR="001C31BE">
        <w:rPr>
          <w:rFonts w:eastAsia="Times New Roman"/>
          <w:noProof/>
          <w:color w:val="333333"/>
          <w:szCs w:val="24"/>
          <w:lang w:val="en-IE" w:eastAsia="en-IE"/>
        </w:rPr>
        <w:t xml:space="preserve"> </w:t>
      </w:r>
      <w:r w:rsidRPr="00626A0C">
        <w:rPr>
          <w:rFonts w:eastAsia="Times New Roman"/>
          <w:noProof/>
          <w:color w:val="333333"/>
          <w:szCs w:val="24"/>
          <w:lang w:val="en-IE" w:eastAsia="en-IE"/>
        </w:rPr>
        <w:t>of the Convention Establishing an International Claims Commission for Ukraine</w:t>
      </w:r>
      <w:r w:rsidR="002A76FD">
        <w:rPr>
          <w:rFonts w:eastAsia="Times New Roman"/>
          <w:noProof/>
          <w:color w:val="333333"/>
          <w:szCs w:val="24"/>
          <w:lang w:val="en-IE" w:eastAsia="en-IE"/>
        </w:rPr>
        <w:t xml:space="preserve">. </w:t>
      </w:r>
    </w:p>
    <w:p w:rsidR="00F5502B" w:rsidRPr="00626A0C" w:rsidRDefault="00F5502B" w:rsidP="00626A0C">
      <w:pPr>
        <w:pStyle w:val="ManualHeading1"/>
        <w:rPr>
          <w:noProof/>
        </w:rPr>
      </w:pPr>
      <w:r w:rsidRPr="00626A0C">
        <w:rPr>
          <w:noProof/>
        </w:rPr>
        <w:t>1.</w:t>
      </w:r>
      <w:r w:rsidRPr="00626A0C">
        <w:rPr>
          <w:noProof/>
        </w:rPr>
        <w:tab/>
        <w:t>CONTEXT OF THE PROPOSAL</w:t>
      </w:r>
    </w:p>
    <w:p w:rsidR="00F5502B" w:rsidRPr="003A5AF4" w:rsidRDefault="00F5502B" w:rsidP="00044058">
      <w:pPr>
        <w:pStyle w:val="ManualHeading2"/>
        <w:rPr>
          <w:rFonts w:eastAsia="Arial Unicode MS"/>
          <w:noProof/>
        </w:rPr>
      </w:pPr>
      <w:r w:rsidRPr="003A5AF4">
        <w:rPr>
          <w:rFonts w:eastAsia="Arial Unicode MS"/>
          <w:noProof/>
          <w:color w:val="000000"/>
          <w:u w:color="000000"/>
          <w:bdr w:val="nil"/>
          <w:lang w:eastAsia="en-GB"/>
        </w:rPr>
        <w:t>•</w:t>
      </w:r>
      <w:r w:rsidRPr="003A5AF4">
        <w:rPr>
          <w:rFonts w:eastAsia="Arial Unicode MS"/>
          <w:noProof/>
          <w:color w:val="000000"/>
          <w:u w:color="000000"/>
          <w:bdr w:val="nil"/>
          <w:lang w:eastAsia="en-GB"/>
        </w:rPr>
        <w:tab/>
      </w:r>
      <w:r w:rsidRPr="003A5AF4">
        <w:rPr>
          <w:rFonts w:eastAsia="Arial Unicode MS"/>
          <w:noProof/>
        </w:rPr>
        <w:t>Reasons for and objectives of the proposal</w:t>
      </w:r>
    </w:p>
    <w:p w:rsidR="006B75EE" w:rsidRPr="003A5AF4" w:rsidRDefault="006B75EE" w:rsidP="006B75EE">
      <w:pPr>
        <w:shd w:val="clear" w:color="auto" w:fill="FFFFFF"/>
        <w:spacing w:before="0" w:after="0"/>
        <w:rPr>
          <w:rFonts w:eastAsia="Times New Roman"/>
          <w:noProof/>
          <w:color w:val="333333"/>
          <w:szCs w:val="24"/>
          <w:lang w:eastAsia="en-IE"/>
        </w:rPr>
      </w:pPr>
      <w:r w:rsidRPr="003A5AF4">
        <w:rPr>
          <w:rFonts w:eastAsia="Times New Roman"/>
          <w:noProof/>
          <w:color w:val="333333"/>
          <w:szCs w:val="24"/>
          <w:lang w:eastAsia="en-IE"/>
        </w:rPr>
        <w:t xml:space="preserve">On 14 November 2022, the United Nations General Assembly adopted Resolution A/RES/ES-11/5 </w:t>
      </w:r>
      <w:r w:rsidRPr="003A5AF4">
        <w:rPr>
          <w:rStyle w:val="FootnoteReference"/>
          <w:rFonts w:eastAsia="Times New Roman"/>
          <w:noProof/>
          <w:color w:val="333333"/>
          <w:szCs w:val="24"/>
          <w:lang w:eastAsia="en-IE"/>
        </w:rPr>
        <w:footnoteReference w:id="1"/>
      </w:r>
      <w:r w:rsidRPr="003A5AF4">
        <w:rPr>
          <w:rFonts w:eastAsia="Times New Roman"/>
          <w:noProof/>
          <w:color w:val="333333"/>
          <w:szCs w:val="24"/>
          <w:lang w:eastAsia="en-IE"/>
        </w:rPr>
        <w:t xml:space="preserve">, </w:t>
      </w:r>
      <w:r w:rsidR="00B2090B" w:rsidRPr="00B2090B">
        <w:rPr>
          <w:rFonts w:eastAsia="Times New Roman"/>
          <w:noProof/>
          <w:color w:val="333333"/>
          <w:szCs w:val="24"/>
          <w:lang w:eastAsia="en-IE"/>
        </w:rPr>
        <w:t>titled “Furtherance of remedy and reparation for aggression against Ukraine”. In this resolution, the General Assembly affirmed that the Russian Federation must be held accountable for any violations of international law committed in or against Ukraine, including its aggression in violation of the Charter of the United Nations, as well as any violations of international humanitarian law and international human rights law, and that it must bear the legal consequences of all of its internationally wrongful acts, including making reparation for the injury, including any damage, caused by such acts.</w:t>
      </w:r>
    </w:p>
    <w:p w:rsidR="006B75EE" w:rsidRPr="003A5AF4" w:rsidRDefault="006B75EE" w:rsidP="006B75EE">
      <w:pPr>
        <w:shd w:val="clear" w:color="auto" w:fill="FFFFFF"/>
        <w:spacing w:before="0" w:after="0"/>
        <w:rPr>
          <w:rFonts w:eastAsia="Times New Roman"/>
          <w:noProof/>
          <w:color w:val="333333"/>
          <w:szCs w:val="24"/>
          <w:lang w:eastAsia="en-IE"/>
        </w:rPr>
      </w:pPr>
    </w:p>
    <w:p w:rsidR="00B2090B" w:rsidRPr="00B2090B" w:rsidRDefault="00B2090B" w:rsidP="00B2090B">
      <w:pPr>
        <w:shd w:val="clear" w:color="auto" w:fill="FFFFFF"/>
        <w:spacing w:before="0" w:after="0"/>
        <w:rPr>
          <w:rFonts w:eastAsia="Times New Roman"/>
          <w:noProof/>
          <w:color w:val="333333"/>
          <w:szCs w:val="24"/>
          <w:lang w:val="en-IE" w:eastAsia="en-IE"/>
        </w:rPr>
      </w:pPr>
      <w:r w:rsidRPr="00B2090B">
        <w:rPr>
          <w:rFonts w:eastAsia="Times New Roman"/>
          <w:noProof/>
          <w:color w:val="333333"/>
          <w:szCs w:val="24"/>
          <w:lang w:val="en-IE" w:eastAsia="en-IE"/>
        </w:rPr>
        <w:t>The Resolution further recognised the need to establish, in cooperation with Ukraine, an international mechanism for reparation for damage, loss, or injury arising from the internationally wrongful acts of the Russian Federation in or against Ukraine. It also recommended that Member States, in cooperation with Ukraine, create an international register of damage. This register would serve as a documentary record of evidence and claims information regarding damage, loss, or injury suffered by all natural and legal persons concerned, as well as the State of Ukraine, caused by the internationally wrongful acts of the Russian Federation in or against Ukraine. Additionally, the register would promote and coordinate evidence-gathering.</w:t>
      </w:r>
      <w:r>
        <w:rPr>
          <w:rFonts w:eastAsia="Times New Roman"/>
          <w:noProof/>
          <w:color w:val="333333"/>
          <w:szCs w:val="24"/>
          <w:lang w:val="en-IE" w:eastAsia="en-IE"/>
        </w:rPr>
        <w:t xml:space="preserve"> </w:t>
      </w:r>
      <w:r w:rsidRPr="00B2090B">
        <w:rPr>
          <w:rFonts w:eastAsia="Times New Roman"/>
          <w:noProof/>
          <w:color w:val="333333"/>
          <w:szCs w:val="24"/>
          <w:lang w:val="en-IE" w:eastAsia="en-IE"/>
        </w:rPr>
        <w:t>In line with the UN General Assembly Resolution, States adopted a stepwise approach, choosing to establish the register first, followed by the other elements of the compensation mechanism: a claims commission and a compensation fund.</w:t>
      </w:r>
    </w:p>
    <w:p w:rsidR="006B75EE" w:rsidRPr="003A5AF4" w:rsidRDefault="006B75EE" w:rsidP="006B75EE">
      <w:pPr>
        <w:shd w:val="clear" w:color="auto" w:fill="FFFFFF"/>
        <w:spacing w:before="0" w:after="0"/>
        <w:rPr>
          <w:rFonts w:eastAsia="Times New Roman"/>
          <w:noProof/>
          <w:color w:val="333333"/>
          <w:szCs w:val="24"/>
          <w:lang w:eastAsia="en-IE"/>
        </w:rPr>
      </w:pPr>
    </w:p>
    <w:p w:rsidR="006B75EE" w:rsidRPr="003A5AF4" w:rsidRDefault="006B75EE" w:rsidP="006B75EE">
      <w:pPr>
        <w:shd w:val="clear" w:color="auto" w:fill="FFFFFF"/>
        <w:spacing w:before="0" w:after="0"/>
        <w:rPr>
          <w:rFonts w:eastAsia="Times New Roman"/>
          <w:noProof/>
          <w:color w:val="333333"/>
          <w:szCs w:val="24"/>
          <w:lang w:eastAsia="en-IE"/>
        </w:rPr>
      </w:pPr>
      <w:r w:rsidRPr="003A5AF4">
        <w:rPr>
          <w:rFonts w:eastAsia="Times New Roman"/>
          <w:noProof/>
          <w:color w:val="333333"/>
          <w:szCs w:val="24"/>
          <w:lang w:eastAsia="en-IE"/>
        </w:rPr>
        <w:t>On 12 May 2023, the Committee of Ministers of the Council of Europe adopted Resolution CM/Res(2023)3</w:t>
      </w:r>
      <w:r w:rsidRPr="003A5AF4">
        <w:rPr>
          <w:rStyle w:val="FootnoteReference"/>
          <w:rFonts w:eastAsia="Times New Roman"/>
          <w:noProof/>
          <w:color w:val="333333"/>
          <w:szCs w:val="24"/>
          <w:lang w:eastAsia="en-IE"/>
        </w:rPr>
        <w:footnoteReference w:id="2"/>
      </w:r>
      <w:r w:rsidRPr="003A5AF4">
        <w:rPr>
          <w:rFonts w:eastAsia="Times New Roman"/>
          <w:noProof/>
          <w:color w:val="333333"/>
          <w:szCs w:val="24"/>
          <w:lang w:eastAsia="en-IE"/>
        </w:rPr>
        <w:t xml:space="preserve"> establishing the Enlarged Partial Agreement on the Register of Damage Caused by the Aggression of the Russian Federation against Ukraine (</w:t>
      </w:r>
      <w:r w:rsidR="00FF57C9">
        <w:rPr>
          <w:rFonts w:eastAsia="Times New Roman"/>
          <w:noProof/>
          <w:color w:val="333333"/>
          <w:szCs w:val="24"/>
          <w:lang w:eastAsia="en-IE"/>
        </w:rPr>
        <w:t>hereinafter</w:t>
      </w:r>
      <w:r w:rsidRPr="003A5AF4">
        <w:rPr>
          <w:rFonts w:eastAsia="Times New Roman"/>
          <w:noProof/>
          <w:color w:val="333333"/>
          <w:szCs w:val="24"/>
          <w:lang w:eastAsia="en-IE"/>
        </w:rPr>
        <w:t xml:space="preserve"> ‘Register’). The Union joined the Enlarged Partial Agreement on the Register as a founding Associate Member in May 2023</w:t>
      </w:r>
      <w:r w:rsidRPr="003A5AF4">
        <w:rPr>
          <w:rStyle w:val="FootnoteReference"/>
          <w:rFonts w:eastAsia="Times New Roman"/>
          <w:noProof/>
          <w:color w:val="333333"/>
          <w:szCs w:val="24"/>
          <w:lang w:eastAsia="en-IE"/>
        </w:rPr>
        <w:footnoteReference w:id="3"/>
      </w:r>
      <w:r w:rsidRPr="003A5AF4">
        <w:rPr>
          <w:rFonts w:eastAsia="Times New Roman"/>
          <w:noProof/>
          <w:color w:val="333333"/>
          <w:szCs w:val="24"/>
          <w:lang w:eastAsia="en-IE"/>
        </w:rPr>
        <w:t> and changed its status from Associate Member to Participant in July 2024</w:t>
      </w:r>
      <w:r w:rsidRPr="003A5AF4">
        <w:rPr>
          <w:rStyle w:val="FootnoteReference"/>
          <w:rFonts w:eastAsia="Times New Roman"/>
          <w:noProof/>
          <w:color w:val="333333"/>
          <w:szCs w:val="24"/>
          <w:lang w:eastAsia="en-IE"/>
        </w:rPr>
        <w:footnoteReference w:id="4"/>
      </w:r>
      <w:r w:rsidR="00B2090B">
        <w:rPr>
          <w:rFonts w:eastAsia="Times New Roman"/>
          <w:noProof/>
          <w:color w:val="333333"/>
          <w:szCs w:val="24"/>
          <w:lang w:eastAsia="en-IE"/>
        </w:rPr>
        <w:t>.</w:t>
      </w:r>
      <w:r w:rsidRPr="003A5AF4">
        <w:rPr>
          <w:rFonts w:eastAsia="Times New Roman"/>
          <w:noProof/>
          <w:color w:val="333333"/>
          <w:szCs w:val="24"/>
          <w:lang w:eastAsia="en-IE"/>
        </w:rPr>
        <w:t xml:space="preserve"> </w:t>
      </w:r>
      <w:r w:rsidR="00B2090B" w:rsidRPr="00B2090B">
        <w:rPr>
          <w:rFonts w:eastAsia="Times New Roman"/>
          <w:noProof/>
          <w:color w:val="333333"/>
          <w:szCs w:val="24"/>
          <w:lang w:eastAsia="en-IE"/>
        </w:rPr>
        <w:t>This change underscored the Union’s firm commitment to the Register’s activities, including through the payment of its annual compulsory contribution.</w:t>
      </w:r>
    </w:p>
    <w:p w:rsidR="006B75EE" w:rsidRPr="003A5AF4" w:rsidRDefault="006B75EE" w:rsidP="006B75EE">
      <w:pPr>
        <w:shd w:val="clear" w:color="auto" w:fill="FFFFFF"/>
        <w:spacing w:before="0" w:after="0"/>
        <w:rPr>
          <w:rFonts w:eastAsia="Times New Roman"/>
          <w:noProof/>
          <w:color w:val="333333"/>
          <w:szCs w:val="24"/>
          <w:lang w:eastAsia="en-IE"/>
        </w:rPr>
      </w:pPr>
    </w:p>
    <w:p w:rsidR="006B75EE" w:rsidRPr="003A5AF4" w:rsidRDefault="00B2090B" w:rsidP="006B75EE">
      <w:pPr>
        <w:shd w:val="clear" w:color="auto" w:fill="FFFFFF"/>
        <w:spacing w:before="0" w:after="0"/>
        <w:rPr>
          <w:rFonts w:eastAsia="Times New Roman"/>
          <w:noProof/>
          <w:color w:val="333333"/>
          <w:szCs w:val="24"/>
          <w:lang w:eastAsia="en-IE"/>
        </w:rPr>
      </w:pPr>
      <w:r>
        <w:rPr>
          <w:rFonts w:eastAsia="Times New Roman"/>
          <w:noProof/>
          <w:color w:val="333333"/>
          <w:szCs w:val="24"/>
          <w:lang w:eastAsia="en-IE"/>
        </w:rPr>
        <w:t>O</w:t>
      </w:r>
      <w:r w:rsidRPr="00B2090B">
        <w:rPr>
          <w:rFonts w:eastAsia="Times New Roman"/>
          <w:noProof/>
          <w:color w:val="333333"/>
          <w:szCs w:val="24"/>
          <w:lang w:eastAsia="en-IE"/>
        </w:rPr>
        <w:t>n 2 April 2024</w:t>
      </w:r>
      <w:r>
        <w:rPr>
          <w:rFonts w:eastAsia="Times New Roman"/>
          <w:noProof/>
          <w:color w:val="333333"/>
          <w:szCs w:val="24"/>
          <w:lang w:eastAsia="en-IE"/>
        </w:rPr>
        <w:t>, t</w:t>
      </w:r>
      <w:r w:rsidRPr="00B2090B">
        <w:rPr>
          <w:rFonts w:eastAsia="Times New Roman"/>
          <w:noProof/>
          <w:color w:val="333333"/>
          <w:szCs w:val="24"/>
          <w:lang w:eastAsia="en-IE"/>
        </w:rPr>
        <w:t xml:space="preserve">he Register officially launched its activities on </w:t>
      </w:r>
      <w:r w:rsidR="00FF57C9">
        <w:rPr>
          <w:rFonts w:eastAsia="Times New Roman"/>
          <w:noProof/>
          <w:color w:val="333333"/>
          <w:szCs w:val="24"/>
          <w:lang w:eastAsia="en-IE"/>
        </w:rPr>
        <w:t xml:space="preserve">occasion </w:t>
      </w:r>
      <w:r w:rsidRPr="00B2090B">
        <w:rPr>
          <w:rFonts w:eastAsia="Times New Roman"/>
          <w:noProof/>
          <w:color w:val="333333"/>
          <w:szCs w:val="24"/>
          <w:lang w:eastAsia="en-IE"/>
        </w:rPr>
        <w:t xml:space="preserve">of the ‘Restoring Justice for Ukraine’ Ministerial Conference. On this occasion, interested States agreed to initiate discussions on a draft instrument to establish a claims commission. This administrative body would review, assess, and decide on eligible claims, as well as determine </w:t>
      </w:r>
      <w:r w:rsidRPr="00B2090B">
        <w:rPr>
          <w:rFonts w:eastAsia="Times New Roman"/>
          <w:noProof/>
          <w:color w:val="333333"/>
          <w:szCs w:val="24"/>
          <w:lang w:eastAsia="en-IE"/>
        </w:rPr>
        <w:lastRenderedPageBreak/>
        <w:t>the amount of compensation due in each case, building on the work of the Register.</w:t>
      </w:r>
      <w:r>
        <w:rPr>
          <w:rFonts w:eastAsia="Times New Roman"/>
          <w:noProof/>
          <w:color w:val="333333"/>
          <w:szCs w:val="24"/>
          <w:lang w:eastAsia="en-IE"/>
        </w:rPr>
        <w:t xml:space="preserve"> </w:t>
      </w:r>
      <w:r w:rsidRPr="00B2090B">
        <w:rPr>
          <w:rFonts w:eastAsia="Times New Roman"/>
          <w:noProof/>
          <w:color w:val="333333"/>
          <w:szCs w:val="24"/>
          <w:lang w:eastAsia="en-IE"/>
        </w:rPr>
        <w:t>The Secretariat of the Register prepared a ‘zero draft’ of the instrument establishing the future Claims Commission (‘draft instrument’). Together with Ukraine and the Netherlands, it organised four preparatory meetings between July 2024 and January 2025 to exchange preliminary views on the draft instrument and its subsequent revisions. All 94 States that had voted in favour of the aforementioned UN General Assembly Resolution were invited to participate in these meetings.</w:t>
      </w:r>
    </w:p>
    <w:p w:rsidR="006B75EE" w:rsidRPr="003A5AF4" w:rsidRDefault="006B75EE" w:rsidP="006B75EE">
      <w:pPr>
        <w:shd w:val="clear" w:color="auto" w:fill="FFFFFF"/>
        <w:spacing w:before="0" w:after="0"/>
        <w:rPr>
          <w:rFonts w:eastAsia="Times New Roman"/>
          <w:noProof/>
          <w:color w:val="333333"/>
          <w:szCs w:val="24"/>
          <w:lang w:eastAsia="en-IE"/>
        </w:rPr>
      </w:pPr>
    </w:p>
    <w:p w:rsidR="006B75EE" w:rsidRPr="003A5AF4" w:rsidRDefault="006B75EE" w:rsidP="006B75EE">
      <w:pPr>
        <w:shd w:val="clear" w:color="auto" w:fill="FFFFFF"/>
        <w:spacing w:before="0" w:after="0"/>
        <w:rPr>
          <w:rFonts w:eastAsia="Times New Roman"/>
          <w:noProof/>
          <w:color w:val="333333"/>
          <w:szCs w:val="24"/>
          <w:lang w:eastAsia="en-IE"/>
        </w:rPr>
      </w:pPr>
      <w:r w:rsidRPr="003A5AF4">
        <w:rPr>
          <w:rFonts w:eastAsia="Times New Roman"/>
          <w:noProof/>
          <w:color w:val="333333"/>
          <w:szCs w:val="24"/>
          <w:lang w:eastAsia="en-IE"/>
        </w:rPr>
        <w:t>On 17 March 2025, the Council adopted a Decision</w:t>
      </w:r>
      <w:r w:rsidR="00B2090B">
        <w:rPr>
          <w:rFonts w:eastAsia="Times New Roman"/>
          <w:noProof/>
          <w:color w:val="333333"/>
          <w:szCs w:val="24"/>
          <w:lang w:eastAsia="en-IE"/>
        </w:rPr>
        <w:t xml:space="preserve"> </w:t>
      </w:r>
      <w:r w:rsidRPr="003A5AF4">
        <w:rPr>
          <w:rFonts w:eastAsia="Times New Roman"/>
          <w:noProof/>
          <w:color w:val="333333"/>
          <w:szCs w:val="24"/>
          <w:lang w:eastAsia="en-IE"/>
        </w:rPr>
        <w:t xml:space="preserve">authorising the Commission to participate, on behalf of the Union, in the negotiations </w:t>
      </w:r>
      <w:r w:rsidR="00B2090B">
        <w:rPr>
          <w:rFonts w:eastAsia="Times New Roman"/>
          <w:noProof/>
          <w:color w:val="333333"/>
          <w:szCs w:val="24"/>
          <w:lang w:eastAsia="en-IE"/>
        </w:rPr>
        <w:t>on</w:t>
      </w:r>
      <w:r w:rsidRPr="003A5AF4">
        <w:rPr>
          <w:rFonts w:eastAsia="Times New Roman"/>
          <w:noProof/>
          <w:color w:val="333333"/>
          <w:szCs w:val="24"/>
          <w:lang w:eastAsia="en-IE"/>
        </w:rPr>
        <w:t xml:space="preserve"> the draft instrument setting up </w:t>
      </w:r>
      <w:r w:rsidR="00B2090B">
        <w:rPr>
          <w:rFonts w:eastAsia="Times New Roman"/>
          <w:noProof/>
          <w:color w:val="333333"/>
          <w:szCs w:val="24"/>
          <w:lang w:eastAsia="en-IE"/>
        </w:rPr>
        <w:t xml:space="preserve">an </w:t>
      </w:r>
      <w:r w:rsidRPr="003A5AF4">
        <w:rPr>
          <w:rFonts w:eastAsia="Times New Roman"/>
          <w:noProof/>
          <w:color w:val="333333"/>
          <w:szCs w:val="24"/>
          <w:lang w:eastAsia="en-IE"/>
        </w:rPr>
        <w:t>International Claims Commission for Ukraine</w:t>
      </w:r>
      <w:r w:rsidR="00FF57C9" w:rsidRPr="003A5AF4">
        <w:rPr>
          <w:rStyle w:val="FootnoteReference"/>
          <w:rFonts w:eastAsia="Times New Roman"/>
          <w:noProof/>
          <w:color w:val="333333"/>
          <w:szCs w:val="24"/>
          <w:lang w:eastAsia="en-IE"/>
        </w:rPr>
        <w:footnoteReference w:id="5"/>
      </w:r>
      <w:r w:rsidRPr="003A5AF4">
        <w:rPr>
          <w:rFonts w:eastAsia="Times New Roman"/>
          <w:noProof/>
          <w:color w:val="333333"/>
          <w:szCs w:val="24"/>
          <w:lang w:eastAsia="en-IE"/>
        </w:rPr>
        <w:t>.</w:t>
      </w:r>
    </w:p>
    <w:p w:rsidR="006B75EE" w:rsidRPr="003A5AF4" w:rsidRDefault="006B75EE" w:rsidP="006B75EE">
      <w:pPr>
        <w:shd w:val="clear" w:color="auto" w:fill="FFFFFF"/>
        <w:spacing w:before="0" w:after="0"/>
        <w:rPr>
          <w:rFonts w:eastAsia="Times New Roman"/>
          <w:noProof/>
          <w:color w:val="333333"/>
          <w:szCs w:val="24"/>
          <w:lang w:eastAsia="en-IE"/>
        </w:rPr>
      </w:pPr>
    </w:p>
    <w:p w:rsidR="00F609C1" w:rsidRDefault="00B2090B" w:rsidP="00341BC2">
      <w:pPr>
        <w:shd w:val="clear" w:color="auto" w:fill="FFFFFF"/>
        <w:spacing w:before="0" w:after="0"/>
        <w:rPr>
          <w:rFonts w:eastAsia="Times New Roman"/>
          <w:noProof/>
          <w:color w:val="333333"/>
          <w:szCs w:val="24"/>
          <w:lang w:eastAsia="en-IE"/>
        </w:rPr>
      </w:pPr>
      <w:r w:rsidRPr="00B2090B">
        <w:rPr>
          <w:rFonts w:eastAsia="Times New Roman"/>
          <w:noProof/>
          <w:color w:val="333333"/>
          <w:szCs w:val="24"/>
          <w:lang w:val="en-IE" w:eastAsia="en-IE"/>
        </w:rPr>
        <w:t xml:space="preserve">Around 55 delegations, including the European Union and all its Member States, participated in the four negotiation meetings held in The Hague between March and September 2025. The first three meetings were convened </w:t>
      </w:r>
      <w:r w:rsidR="00601C46">
        <w:rPr>
          <w:rFonts w:eastAsia="Times New Roman"/>
          <w:noProof/>
          <w:color w:val="333333"/>
          <w:szCs w:val="24"/>
          <w:lang w:val="en-IE" w:eastAsia="en-IE"/>
        </w:rPr>
        <w:t>in the format of an</w:t>
      </w:r>
      <w:r w:rsidRPr="00B2090B">
        <w:rPr>
          <w:rFonts w:eastAsia="Times New Roman"/>
          <w:noProof/>
          <w:color w:val="333333"/>
          <w:szCs w:val="24"/>
          <w:lang w:val="en-IE" w:eastAsia="en-IE"/>
        </w:rPr>
        <w:t xml:space="preserve"> Intergovernmental Negotiation Committee on an International Treaty to establish a Claims Commission for Ukraine (INC). </w:t>
      </w:r>
      <w:r w:rsidR="00F609C1" w:rsidRPr="003A5AF4">
        <w:rPr>
          <w:rFonts w:eastAsia="Times New Roman"/>
          <w:noProof/>
          <w:color w:val="333333"/>
          <w:szCs w:val="24"/>
          <w:lang w:eastAsia="en-IE"/>
        </w:rPr>
        <w:t xml:space="preserve">The </w:t>
      </w:r>
      <w:r w:rsidR="00FF57C9">
        <w:rPr>
          <w:rFonts w:eastAsia="Times New Roman"/>
          <w:noProof/>
          <w:color w:val="333333"/>
          <w:szCs w:val="24"/>
          <w:lang w:eastAsia="en-IE"/>
        </w:rPr>
        <w:t xml:space="preserve">European </w:t>
      </w:r>
      <w:r w:rsidR="00F609C1" w:rsidRPr="003A5AF4">
        <w:rPr>
          <w:rFonts w:eastAsia="Times New Roman"/>
          <w:noProof/>
          <w:color w:val="333333"/>
          <w:szCs w:val="24"/>
          <w:lang w:eastAsia="en-IE"/>
        </w:rPr>
        <w:t>Commission, in close coordination with the European External Action Service (EEAS), actively contributed to the negotiations on the basis of the objectives set out in the Council’s negotiating directives and regularly reported to the Council Working Party on the Organisation for Security and Cooperation in Europe and the Council of Europe (COSCE) pursuant to the abovementioned Decision.</w:t>
      </w:r>
      <w:r w:rsidR="00F609C1">
        <w:rPr>
          <w:rFonts w:eastAsia="Times New Roman"/>
          <w:noProof/>
          <w:color w:val="333333"/>
          <w:szCs w:val="24"/>
          <w:lang w:eastAsia="en-IE"/>
        </w:rPr>
        <w:t xml:space="preserve"> </w:t>
      </w:r>
    </w:p>
    <w:p w:rsidR="00F609C1" w:rsidRDefault="00F609C1" w:rsidP="00341BC2">
      <w:pPr>
        <w:shd w:val="clear" w:color="auto" w:fill="FFFFFF"/>
        <w:spacing w:before="0" w:after="0"/>
        <w:rPr>
          <w:rFonts w:eastAsia="Times New Roman"/>
          <w:noProof/>
          <w:color w:val="333333"/>
          <w:szCs w:val="24"/>
          <w:lang w:eastAsia="en-IE"/>
        </w:rPr>
      </w:pPr>
    </w:p>
    <w:p w:rsidR="00F609C1" w:rsidRDefault="00B2090B" w:rsidP="00341BC2">
      <w:pPr>
        <w:shd w:val="clear" w:color="auto" w:fill="FFFFFF"/>
        <w:spacing w:before="0" w:after="0"/>
        <w:rPr>
          <w:rFonts w:eastAsia="Times New Roman"/>
          <w:noProof/>
          <w:color w:val="333333"/>
          <w:szCs w:val="24"/>
          <w:lang w:val="en-IE" w:eastAsia="en-IE"/>
        </w:rPr>
      </w:pPr>
      <w:r w:rsidRPr="00B2090B">
        <w:rPr>
          <w:rFonts w:eastAsia="Times New Roman"/>
          <w:noProof/>
          <w:color w:val="333333"/>
          <w:szCs w:val="24"/>
          <w:lang w:val="en-IE" w:eastAsia="en-IE"/>
        </w:rPr>
        <w:t>During its third meeting, the INC decided to develop the International Treaty as an open Council of Europe convention (</w:t>
      </w:r>
      <w:r w:rsidR="00FF57C9">
        <w:rPr>
          <w:rFonts w:eastAsia="Times New Roman"/>
          <w:noProof/>
          <w:color w:val="333333"/>
          <w:szCs w:val="24"/>
          <w:lang w:val="en-IE" w:eastAsia="en-IE"/>
        </w:rPr>
        <w:t xml:space="preserve">hereinafter </w:t>
      </w:r>
      <w:r w:rsidRPr="00B2090B">
        <w:rPr>
          <w:rFonts w:eastAsia="Times New Roman"/>
          <w:noProof/>
          <w:color w:val="333333"/>
          <w:szCs w:val="24"/>
          <w:lang w:val="en-IE" w:eastAsia="en-IE"/>
        </w:rPr>
        <w:t>‘Convention’).</w:t>
      </w:r>
      <w:r>
        <w:rPr>
          <w:rFonts w:eastAsia="Times New Roman"/>
          <w:noProof/>
          <w:color w:val="333333"/>
          <w:szCs w:val="24"/>
          <w:lang w:val="en-IE" w:eastAsia="en-IE"/>
        </w:rPr>
        <w:t xml:space="preserve"> </w:t>
      </w:r>
      <w:r w:rsidRPr="00B2090B">
        <w:rPr>
          <w:rFonts w:eastAsia="Times New Roman"/>
          <w:noProof/>
          <w:color w:val="333333"/>
          <w:szCs w:val="24"/>
          <w:lang w:val="en-IE" w:eastAsia="en-IE"/>
        </w:rPr>
        <w:t>Accordingly, the fourth round of negotiations, held in September 2025, took place as the first meeting of the Ad-hoc Committee on the Establishment of an International Claims Commission for Ukraine (CAHEC). At this meeting, the CAHEC discussed and provisionally approved the Convention, the Rules of Procedure, the Resolution, and the Final Act.</w:t>
      </w:r>
      <w:r w:rsidR="00527211">
        <w:rPr>
          <w:rFonts w:eastAsia="Times New Roman"/>
          <w:noProof/>
          <w:color w:val="333333"/>
          <w:szCs w:val="24"/>
          <w:lang w:val="en-IE" w:eastAsia="en-IE"/>
        </w:rPr>
        <w:t xml:space="preserve"> </w:t>
      </w:r>
      <w:r w:rsidR="00341BC2" w:rsidRPr="00341BC2">
        <w:rPr>
          <w:rFonts w:eastAsia="Times New Roman"/>
          <w:noProof/>
          <w:color w:val="333333"/>
          <w:szCs w:val="24"/>
          <w:lang w:val="en-IE" w:eastAsia="en-IE"/>
        </w:rPr>
        <w:t>On 22 October 2025, the Committee of Ministers of the Council of Europe provisionally adopted the Convention</w:t>
      </w:r>
      <w:r w:rsidR="00527211">
        <w:rPr>
          <w:rStyle w:val="FootnoteReference"/>
          <w:rFonts w:eastAsia="Times New Roman"/>
          <w:noProof/>
          <w:color w:val="333333"/>
          <w:szCs w:val="24"/>
          <w:lang w:val="en-IE" w:eastAsia="en-IE"/>
        </w:rPr>
        <w:footnoteReference w:id="6"/>
      </w:r>
      <w:r w:rsidR="00341BC2" w:rsidRPr="00341BC2">
        <w:rPr>
          <w:rFonts w:eastAsia="Times New Roman"/>
          <w:noProof/>
          <w:color w:val="333333"/>
          <w:szCs w:val="24"/>
          <w:lang w:val="en-IE" w:eastAsia="en-IE"/>
        </w:rPr>
        <w:t>.</w:t>
      </w:r>
      <w:r w:rsidR="00F609C1">
        <w:rPr>
          <w:rFonts w:eastAsia="Times New Roman"/>
          <w:noProof/>
          <w:color w:val="333333"/>
          <w:szCs w:val="24"/>
          <w:lang w:val="en-IE" w:eastAsia="en-IE"/>
        </w:rPr>
        <w:t xml:space="preserve"> </w:t>
      </w:r>
    </w:p>
    <w:p w:rsidR="00F609C1" w:rsidRDefault="00F609C1" w:rsidP="00341BC2">
      <w:pPr>
        <w:shd w:val="clear" w:color="auto" w:fill="FFFFFF"/>
        <w:spacing w:before="0" w:after="0"/>
        <w:rPr>
          <w:rFonts w:eastAsia="Times New Roman"/>
          <w:noProof/>
          <w:color w:val="333333"/>
          <w:szCs w:val="24"/>
          <w:lang w:val="en-IE" w:eastAsia="en-IE"/>
        </w:rPr>
      </w:pPr>
    </w:p>
    <w:p w:rsidR="00341BC2" w:rsidRDefault="00341BC2" w:rsidP="00341BC2">
      <w:pPr>
        <w:shd w:val="clear" w:color="auto" w:fill="FFFFFF"/>
        <w:spacing w:before="0" w:after="0"/>
        <w:rPr>
          <w:rFonts w:eastAsia="Times New Roman"/>
          <w:noProof/>
          <w:color w:val="333333"/>
          <w:szCs w:val="24"/>
          <w:lang w:val="en-IE" w:eastAsia="en-IE"/>
        </w:rPr>
      </w:pPr>
      <w:r w:rsidRPr="00341BC2">
        <w:rPr>
          <w:rFonts w:eastAsia="Times New Roman"/>
          <w:noProof/>
          <w:color w:val="333333"/>
          <w:szCs w:val="24"/>
          <w:lang w:val="en-IE" w:eastAsia="en-IE"/>
        </w:rPr>
        <w:t>On 16 December 2025, the Council adopted Decision</w:t>
      </w:r>
      <w:r w:rsidR="00FF57C9">
        <w:rPr>
          <w:rFonts w:eastAsia="Times New Roman"/>
          <w:noProof/>
          <w:color w:val="333333"/>
          <w:szCs w:val="24"/>
          <w:lang w:val="en-IE" w:eastAsia="en-IE"/>
        </w:rPr>
        <w:t xml:space="preserve"> (EU)</w:t>
      </w:r>
      <w:r w:rsidR="00B10389">
        <w:rPr>
          <w:rFonts w:eastAsia="Times New Roman"/>
          <w:noProof/>
          <w:color w:val="333333"/>
          <w:szCs w:val="24"/>
          <w:lang w:val="en-IE" w:eastAsia="en-IE"/>
        </w:rPr>
        <w:t xml:space="preserve"> </w:t>
      </w:r>
      <w:r w:rsidR="00B10389" w:rsidRPr="00B10389">
        <w:rPr>
          <w:noProof/>
        </w:rPr>
        <w:t>2025/2655</w:t>
      </w:r>
      <w:r w:rsidR="00B10389" w:rsidRPr="003A60FA">
        <w:rPr>
          <w:rStyle w:val="FootnoteReference"/>
          <w:rFonts w:eastAsia="Times New Roman"/>
          <w:noProof/>
          <w:szCs w:val="24"/>
          <w:lang w:val="en-IE" w:eastAsia="en-IE"/>
        </w:rPr>
        <w:footnoteReference w:id="7"/>
      </w:r>
      <w:r w:rsidRPr="00341BC2">
        <w:rPr>
          <w:rFonts w:eastAsia="Times New Roman"/>
          <w:noProof/>
          <w:color w:val="333333"/>
          <w:szCs w:val="24"/>
          <w:lang w:val="en-IE" w:eastAsia="en-IE"/>
        </w:rPr>
        <w:t xml:space="preserve"> authorising the Commission to sign, on behalf of the European Union, the Convention subject to its conclusion at a later stage. The Decision also authorised the signing of the Final Act of the Diplomatic Conference and approved the adoption of the Resolution, which sets out the necessary arrangements for the commencement of the Claims Commission’s functions and the fulfilment of its mandate.</w:t>
      </w:r>
    </w:p>
    <w:p w:rsidR="00341BC2" w:rsidRPr="00341BC2" w:rsidRDefault="00341BC2" w:rsidP="00341BC2">
      <w:pPr>
        <w:shd w:val="clear" w:color="auto" w:fill="FFFFFF"/>
        <w:spacing w:before="0" w:after="0"/>
        <w:rPr>
          <w:rFonts w:eastAsia="Times New Roman"/>
          <w:noProof/>
          <w:color w:val="333333"/>
          <w:szCs w:val="24"/>
          <w:lang w:val="en-IE" w:eastAsia="en-IE"/>
        </w:rPr>
      </w:pPr>
    </w:p>
    <w:p w:rsidR="00341BC2" w:rsidRPr="00341BC2" w:rsidRDefault="00341BC2" w:rsidP="00341BC2">
      <w:pPr>
        <w:shd w:val="clear" w:color="auto" w:fill="FFFFFF"/>
        <w:spacing w:before="0" w:after="0"/>
        <w:rPr>
          <w:rFonts w:eastAsia="Times New Roman"/>
          <w:noProof/>
          <w:color w:val="333333"/>
          <w:szCs w:val="24"/>
          <w:lang w:val="en-IE" w:eastAsia="en-IE"/>
        </w:rPr>
      </w:pPr>
      <w:r w:rsidRPr="00A64A70">
        <w:rPr>
          <w:rFonts w:eastAsia="Times New Roman"/>
          <w:noProof/>
          <w:color w:val="333333"/>
          <w:szCs w:val="24"/>
          <w:lang w:val="en-IE" w:eastAsia="en-IE"/>
        </w:rPr>
        <w:t>Following the Diplomatic Conference’s agreement</w:t>
      </w:r>
      <w:r w:rsidRPr="00341BC2">
        <w:rPr>
          <w:rFonts w:eastAsia="Times New Roman"/>
          <w:noProof/>
          <w:color w:val="333333"/>
          <w:szCs w:val="24"/>
          <w:lang w:val="en-IE" w:eastAsia="en-IE"/>
        </w:rPr>
        <w:t xml:space="preserve"> on minor technical amendments to the draft </w:t>
      </w:r>
      <w:r w:rsidR="00587273">
        <w:rPr>
          <w:rFonts w:eastAsia="Times New Roman"/>
          <w:noProof/>
          <w:color w:val="333333"/>
          <w:szCs w:val="24"/>
          <w:lang w:val="en-IE" w:eastAsia="en-IE"/>
        </w:rPr>
        <w:t>Convention</w:t>
      </w:r>
      <w:r w:rsidR="00587273" w:rsidRPr="00341BC2">
        <w:rPr>
          <w:rFonts w:eastAsia="Times New Roman"/>
          <w:noProof/>
          <w:color w:val="333333"/>
          <w:szCs w:val="24"/>
          <w:lang w:val="en-IE" w:eastAsia="en-IE"/>
        </w:rPr>
        <w:t xml:space="preserve"> </w:t>
      </w:r>
      <w:r w:rsidRPr="00341BC2">
        <w:rPr>
          <w:rFonts w:eastAsia="Times New Roman"/>
          <w:noProof/>
          <w:color w:val="333333"/>
          <w:szCs w:val="24"/>
          <w:lang w:val="en-IE" w:eastAsia="en-IE"/>
        </w:rPr>
        <w:t>on 15 December 2025 in The Hague</w:t>
      </w:r>
      <w:r w:rsidR="00B10389">
        <w:rPr>
          <w:rFonts w:eastAsia="Times New Roman"/>
          <w:noProof/>
          <w:color w:val="333333"/>
          <w:szCs w:val="24"/>
          <w:lang w:val="en-IE" w:eastAsia="en-IE"/>
        </w:rPr>
        <w:t xml:space="preserve">, </w:t>
      </w:r>
      <w:r w:rsidRPr="00341BC2">
        <w:rPr>
          <w:rFonts w:eastAsia="Times New Roman"/>
          <w:noProof/>
          <w:color w:val="333333"/>
          <w:szCs w:val="24"/>
          <w:lang w:val="en-IE" w:eastAsia="en-IE"/>
        </w:rPr>
        <w:t xml:space="preserve">the Convention, the Resolution, and the Final Act were formally adopted on 16 December 2025. </w:t>
      </w:r>
      <w:r w:rsidR="00FF57C9">
        <w:rPr>
          <w:rFonts w:eastAsia="Times New Roman"/>
          <w:noProof/>
          <w:color w:val="333333"/>
          <w:szCs w:val="24"/>
          <w:lang w:val="en-IE" w:eastAsia="en-IE"/>
        </w:rPr>
        <w:t>34 S</w:t>
      </w:r>
      <w:r w:rsidRPr="00341BC2">
        <w:rPr>
          <w:rFonts w:eastAsia="Times New Roman"/>
          <w:noProof/>
          <w:color w:val="333333"/>
          <w:szCs w:val="24"/>
          <w:lang w:val="en-IE" w:eastAsia="en-IE"/>
        </w:rPr>
        <w:t>tates and the European Union signed the Convention on 16 December</w:t>
      </w:r>
      <w:r w:rsidR="00601C46">
        <w:rPr>
          <w:rFonts w:eastAsia="Times New Roman"/>
          <w:noProof/>
          <w:color w:val="333333"/>
          <w:szCs w:val="24"/>
          <w:lang w:val="en-IE" w:eastAsia="en-IE"/>
        </w:rPr>
        <w:t>. W</w:t>
      </w:r>
      <w:r w:rsidR="001948D1">
        <w:rPr>
          <w:rFonts w:eastAsia="Times New Roman"/>
          <w:noProof/>
          <w:color w:val="333333"/>
          <w:szCs w:val="24"/>
          <w:lang w:val="en-IE" w:eastAsia="en-IE"/>
        </w:rPr>
        <w:t xml:space="preserve">ith another state </w:t>
      </w:r>
      <w:r w:rsidR="00601C46">
        <w:rPr>
          <w:rFonts w:eastAsia="Times New Roman"/>
          <w:noProof/>
          <w:color w:val="333333"/>
          <w:szCs w:val="24"/>
          <w:lang w:val="en-IE" w:eastAsia="en-IE"/>
        </w:rPr>
        <w:t>signing</w:t>
      </w:r>
      <w:r w:rsidR="001948D1">
        <w:rPr>
          <w:rFonts w:eastAsia="Times New Roman"/>
          <w:noProof/>
          <w:color w:val="333333"/>
          <w:szCs w:val="24"/>
          <w:lang w:val="en-IE" w:eastAsia="en-IE"/>
        </w:rPr>
        <w:t xml:space="preserve"> on 19 December, </w:t>
      </w:r>
      <w:r w:rsidRPr="00341BC2">
        <w:rPr>
          <w:rFonts w:eastAsia="Times New Roman"/>
          <w:noProof/>
          <w:color w:val="333333"/>
          <w:szCs w:val="24"/>
          <w:lang w:val="en-IE" w:eastAsia="en-IE"/>
        </w:rPr>
        <w:t xml:space="preserve">the total number of signatories </w:t>
      </w:r>
      <w:r w:rsidR="001948D1">
        <w:rPr>
          <w:rFonts w:eastAsia="Times New Roman"/>
          <w:noProof/>
          <w:color w:val="333333"/>
          <w:szCs w:val="24"/>
          <w:lang w:val="en-IE" w:eastAsia="en-IE"/>
        </w:rPr>
        <w:t>is</w:t>
      </w:r>
      <w:r w:rsidRPr="00341BC2">
        <w:rPr>
          <w:rFonts w:eastAsia="Times New Roman"/>
          <w:noProof/>
          <w:color w:val="333333"/>
          <w:szCs w:val="24"/>
          <w:lang w:val="en-IE" w:eastAsia="en-IE"/>
        </w:rPr>
        <w:t xml:space="preserve"> </w:t>
      </w:r>
      <w:r w:rsidR="001948D1">
        <w:rPr>
          <w:rFonts w:eastAsia="Times New Roman"/>
          <w:noProof/>
          <w:color w:val="333333"/>
          <w:szCs w:val="24"/>
          <w:lang w:val="en-IE" w:eastAsia="en-IE"/>
        </w:rPr>
        <w:t xml:space="preserve">currently </w:t>
      </w:r>
      <w:r w:rsidR="00FF57C9">
        <w:rPr>
          <w:rFonts w:eastAsia="Times New Roman"/>
          <w:noProof/>
          <w:color w:val="333333"/>
          <w:szCs w:val="24"/>
          <w:lang w:val="en-IE" w:eastAsia="en-IE"/>
        </w:rPr>
        <w:t>36</w:t>
      </w:r>
      <w:r w:rsidRPr="00341BC2">
        <w:rPr>
          <w:rFonts w:eastAsia="Times New Roman"/>
          <w:noProof/>
          <w:color w:val="333333"/>
          <w:szCs w:val="24"/>
          <w:lang w:val="en-IE" w:eastAsia="en-IE"/>
        </w:rPr>
        <w:t>.</w:t>
      </w:r>
    </w:p>
    <w:p w:rsidR="006B75EE" w:rsidRPr="003A5AF4" w:rsidRDefault="006B75EE" w:rsidP="006B75EE">
      <w:pPr>
        <w:shd w:val="clear" w:color="auto" w:fill="FFFFFF"/>
        <w:spacing w:before="0" w:after="0"/>
        <w:rPr>
          <w:rFonts w:eastAsia="Times New Roman"/>
          <w:noProof/>
          <w:color w:val="333333"/>
          <w:szCs w:val="24"/>
          <w:lang w:eastAsia="en-IE"/>
        </w:rPr>
      </w:pPr>
    </w:p>
    <w:p w:rsidR="00341BC2" w:rsidRDefault="00341BC2" w:rsidP="00341BC2">
      <w:pPr>
        <w:shd w:val="clear" w:color="auto" w:fill="FFFFFF"/>
        <w:spacing w:before="0" w:after="0"/>
        <w:rPr>
          <w:noProof/>
          <w:szCs w:val="24"/>
          <w:lang w:val="en-IE"/>
        </w:rPr>
      </w:pPr>
      <w:r w:rsidRPr="00341BC2">
        <w:rPr>
          <w:noProof/>
          <w:szCs w:val="24"/>
          <w:lang w:val="en-IE"/>
        </w:rPr>
        <w:t>The Diplomatic Conference reaffirmed that the Russian Federation must bear the legal consequences of all its internationally wrongful acts, including the obligation to make reparation for any injury or damage caused by such acts. It also encouraged all participants to continue exploring</w:t>
      </w:r>
      <w:r>
        <w:rPr>
          <w:noProof/>
          <w:szCs w:val="24"/>
          <w:lang w:val="en-IE"/>
        </w:rPr>
        <w:t xml:space="preserve">, </w:t>
      </w:r>
      <w:r w:rsidRPr="00341BC2">
        <w:rPr>
          <w:noProof/>
          <w:szCs w:val="24"/>
          <w:lang w:val="en-IE"/>
        </w:rPr>
        <w:t>both at the international level and in accordance with international law</w:t>
      </w:r>
      <w:r w:rsidR="00FF57C9">
        <w:rPr>
          <w:noProof/>
          <w:szCs w:val="24"/>
          <w:lang w:val="en-IE"/>
        </w:rPr>
        <w:t>,</w:t>
      </w:r>
      <w:r>
        <w:rPr>
          <w:noProof/>
          <w:szCs w:val="24"/>
          <w:lang w:val="en-IE"/>
        </w:rPr>
        <w:t xml:space="preserve"> </w:t>
      </w:r>
      <w:r w:rsidRPr="00341BC2">
        <w:rPr>
          <w:noProof/>
          <w:szCs w:val="24"/>
          <w:lang w:val="en-IE"/>
        </w:rPr>
        <w:t>possible sources to secure funding for the compensation determined and awarded by the International Claims Commission for Ukraine under the Convention.</w:t>
      </w:r>
    </w:p>
    <w:p w:rsidR="00341BC2" w:rsidRPr="00341BC2" w:rsidRDefault="00341BC2" w:rsidP="00341BC2">
      <w:pPr>
        <w:shd w:val="clear" w:color="auto" w:fill="FFFFFF"/>
        <w:spacing w:before="0" w:after="0"/>
        <w:rPr>
          <w:noProof/>
          <w:szCs w:val="24"/>
          <w:lang w:val="en-IE"/>
        </w:rPr>
      </w:pPr>
    </w:p>
    <w:p w:rsidR="00341BC2" w:rsidRDefault="00341BC2" w:rsidP="00341BC2">
      <w:pPr>
        <w:shd w:val="clear" w:color="auto" w:fill="FFFFFF"/>
        <w:spacing w:before="0" w:after="0"/>
        <w:rPr>
          <w:noProof/>
          <w:szCs w:val="24"/>
          <w:lang w:val="en-IE"/>
        </w:rPr>
      </w:pPr>
      <w:r w:rsidRPr="00341BC2">
        <w:rPr>
          <w:noProof/>
          <w:szCs w:val="24"/>
          <w:lang w:val="en-IE"/>
        </w:rPr>
        <w:t>As stipulated by the Resolution of the Diplomatic Conference, the Council of Europe, in cooperation with the Register of Damage, is to establish an advance team to prepare for the operational launch of the Claims Commission. In this context, the European Union announced</w:t>
      </w:r>
      <w:r w:rsidR="00FF57C9">
        <w:rPr>
          <w:noProof/>
          <w:szCs w:val="24"/>
          <w:lang w:val="en-IE"/>
        </w:rPr>
        <w:t>,</w:t>
      </w:r>
      <w:r w:rsidRPr="00341BC2">
        <w:rPr>
          <w:noProof/>
          <w:szCs w:val="24"/>
          <w:lang w:val="en-IE"/>
        </w:rPr>
        <w:t xml:space="preserve"> on 16 December 2025</w:t>
      </w:r>
      <w:r w:rsidR="00FF57C9">
        <w:rPr>
          <w:noProof/>
          <w:szCs w:val="24"/>
          <w:lang w:val="en-IE"/>
        </w:rPr>
        <w:t>,</w:t>
      </w:r>
      <w:r w:rsidRPr="00341BC2">
        <w:rPr>
          <w:noProof/>
          <w:szCs w:val="24"/>
          <w:lang w:val="en-IE"/>
        </w:rPr>
        <w:t xml:space="preserve"> a voluntary contribution of up to EUR 1 million to support these preparatory activities.</w:t>
      </w:r>
    </w:p>
    <w:p w:rsidR="00341BC2" w:rsidRPr="00341BC2" w:rsidRDefault="00341BC2" w:rsidP="00341BC2">
      <w:pPr>
        <w:shd w:val="clear" w:color="auto" w:fill="FFFFFF"/>
        <w:spacing w:before="0" w:after="0"/>
        <w:rPr>
          <w:noProof/>
          <w:szCs w:val="24"/>
          <w:lang w:val="en-IE"/>
        </w:rPr>
      </w:pPr>
    </w:p>
    <w:p w:rsidR="00341BC2" w:rsidRDefault="00341BC2" w:rsidP="00341BC2">
      <w:pPr>
        <w:shd w:val="clear" w:color="auto" w:fill="FFFFFF"/>
        <w:spacing w:before="0" w:after="0"/>
        <w:rPr>
          <w:noProof/>
          <w:szCs w:val="24"/>
          <w:lang w:val="en-IE"/>
        </w:rPr>
      </w:pPr>
      <w:r w:rsidRPr="00341BC2">
        <w:rPr>
          <w:noProof/>
          <w:szCs w:val="24"/>
          <w:lang w:val="en-IE"/>
        </w:rPr>
        <w:t xml:space="preserve">Following the Diplomatic Conference of 16 December 2025, interested </w:t>
      </w:r>
      <w:r w:rsidR="00FF57C9">
        <w:rPr>
          <w:noProof/>
          <w:szCs w:val="24"/>
          <w:lang w:val="en-IE"/>
        </w:rPr>
        <w:t>S</w:t>
      </w:r>
      <w:r w:rsidRPr="00341BC2">
        <w:rPr>
          <w:noProof/>
          <w:szCs w:val="24"/>
          <w:lang w:val="en-IE"/>
        </w:rPr>
        <w:t xml:space="preserve">tates and the European Union are invited to conclude the Convention. The purpose of this proposal is therefore to </w:t>
      </w:r>
      <w:r w:rsidR="00601C46">
        <w:rPr>
          <w:noProof/>
          <w:szCs w:val="24"/>
          <w:lang w:val="en-IE"/>
        </w:rPr>
        <w:t xml:space="preserve">seek </w:t>
      </w:r>
      <w:r w:rsidRPr="00341BC2">
        <w:rPr>
          <w:noProof/>
          <w:szCs w:val="24"/>
          <w:lang w:val="en-IE"/>
        </w:rPr>
        <w:t>authoris</w:t>
      </w:r>
      <w:r w:rsidR="00601C46">
        <w:rPr>
          <w:noProof/>
          <w:szCs w:val="24"/>
          <w:lang w:val="en-IE"/>
        </w:rPr>
        <w:t xml:space="preserve">ation from the Council </w:t>
      </w:r>
      <w:r w:rsidRPr="00341BC2">
        <w:rPr>
          <w:noProof/>
          <w:szCs w:val="24"/>
          <w:lang w:val="en-IE"/>
        </w:rPr>
        <w:t xml:space="preserve">to conclude the Convention, enabling the Union to become a Member of the Claims Commission as provided for </w:t>
      </w:r>
      <w:r w:rsidR="00984B9C">
        <w:rPr>
          <w:noProof/>
          <w:szCs w:val="24"/>
          <w:lang w:val="en-IE"/>
        </w:rPr>
        <w:t>under</w:t>
      </w:r>
      <w:r w:rsidRPr="00341BC2">
        <w:rPr>
          <w:noProof/>
          <w:szCs w:val="24"/>
          <w:lang w:val="en-IE"/>
        </w:rPr>
        <w:t xml:space="preserve"> Article 27(1) of the Convention.</w:t>
      </w:r>
    </w:p>
    <w:p w:rsidR="00341BC2" w:rsidRPr="00341BC2" w:rsidRDefault="00341BC2" w:rsidP="00341BC2">
      <w:pPr>
        <w:shd w:val="clear" w:color="auto" w:fill="FFFFFF"/>
        <w:spacing w:before="0" w:after="0"/>
        <w:rPr>
          <w:noProof/>
          <w:szCs w:val="24"/>
          <w:lang w:val="en-IE"/>
        </w:rPr>
      </w:pPr>
    </w:p>
    <w:p w:rsidR="00577FE7" w:rsidRPr="003A5AF4" w:rsidRDefault="006931C1" w:rsidP="006B75EE">
      <w:pPr>
        <w:shd w:val="clear" w:color="auto" w:fill="FFFFFF"/>
        <w:spacing w:before="0" w:after="0"/>
        <w:rPr>
          <w:rFonts w:eastAsia="Times New Roman"/>
          <w:noProof/>
          <w:color w:val="333333"/>
          <w:szCs w:val="24"/>
          <w:lang w:eastAsia="en-IE"/>
        </w:rPr>
      </w:pPr>
      <w:r w:rsidRPr="006931C1">
        <w:rPr>
          <w:noProof/>
          <w:szCs w:val="24"/>
          <w:lang w:val="en-IE"/>
        </w:rPr>
        <w:t xml:space="preserve">In accordance with Article 10(1)(a) of the Convention, the Council of the Claims Commission </w:t>
      </w:r>
      <w:r w:rsidR="00FF57C9">
        <w:rPr>
          <w:noProof/>
          <w:szCs w:val="24"/>
          <w:lang w:val="en-IE"/>
        </w:rPr>
        <w:t>should</w:t>
      </w:r>
      <w:r w:rsidR="00FF57C9" w:rsidRPr="006931C1">
        <w:rPr>
          <w:noProof/>
          <w:szCs w:val="24"/>
          <w:lang w:val="en-IE"/>
        </w:rPr>
        <w:t xml:space="preserve"> </w:t>
      </w:r>
      <w:r w:rsidRPr="006931C1">
        <w:rPr>
          <w:noProof/>
          <w:szCs w:val="24"/>
          <w:lang w:val="en-IE"/>
        </w:rPr>
        <w:t xml:space="preserve">be composed of a minimum of nine and a maximum of </w:t>
      </w:r>
      <w:r w:rsidR="00FF57C9">
        <w:rPr>
          <w:noProof/>
          <w:szCs w:val="24"/>
          <w:lang w:val="en-IE"/>
        </w:rPr>
        <w:t xml:space="preserve">15 </w:t>
      </w:r>
      <w:r w:rsidRPr="006931C1">
        <w:rPr>
          <w:noProof/>
          <w:szCs w:val="24"/>
          <w:lang w:val="en-IE"/>
        </w:rPr>
        <w:t xml:space="preserve">members, who shall serve for a term of three years on a rotational basis. Pursuant to Article 30(3) of the Convention, once the conditions for its entry into force are fulfilled, the Assembly </w:t>
      </w:r>
      <w:r w:rsidR="00FF57C9">
        <w:rPr>
          <w:noProof/>
          <w:szCs w:val="24"/>
          <w:lang w:val="en-IE"/>
        </w:rPr>
        <w:t xml:space="preserve">should </w:t>
      </w:r>
      <w:r w:rsidRPr="006931C1">
        <w:rPr>
          <w:noProof/>
          <w:szCs w:val="24"/>
          <w:lang w:val="en-IE"/>
        </w:rPr>
        <w:t xml:space="preserve">designate the initial nine members constituting the Council. The Assembly </w:t>
      </w:r>
      <w:r w:rsidR="00FF57C9">
        <w:rPr>
          <w:noProof/>
          <w:szCs w:val="24"/>
          <w:lang w:val="en-IE"/>
        </w:rPr>
        <w:t xml:space="preserve">should </w:t>
      </w:r>
      <w:r w:rsidRPr="006931C1">
        <w:rPr>
          <w:noProof/>
          <w:szCs w:val="24"/>
          <w:lang w:val="en-IE"/>
        </w:rPr>
        <w:t>subsequently designate additional members in line with the progressive increase in the number of deposits of instruments of ratification or acceptance of the Convention, as provided for in Article 10(1)(c) thereof. It is therefore in the Union’s interest to be among the first nine Parties to consent to be bound by the Convention, in order to be included among the initial nine members of the Council.</w:t>
      </w:r>
    </w:p>
    <w:p w:rsidR="006B75EE" w:rsidRPr="003A5AF4" w:rsidRDefault="006B75EE" w:rsidP="006B75EE">
      <w:pPr>
        <w:shd w:val="clear" w:color="auto" w:fill="FFFFFF"/>
        <w:spacing w:before="0" w:after="0"/>
        <w:rPr>
          <w:rFonts w:eastAsia="Times New Roman"/>
          <w:noProof/>
          <w:color w:val="333333"/>
          <w:szCs w:val="24"/>
          <w:lang w:eastAsia="en-IE"/>
        </w:rPr>
      </w:pPr>
    </w:p>
    <w:p w:rsidR="006B75EE" w:rsidRPr="00AF4947" w:rsidRDefault="006B75EE" w:rsidP="006B75EE">
      <w:pPr>
        <w:shd w:val="clear" w:color="auto" w:fill="FFFFFF"/>
        <w:spacing w:before="0" w:after="0"/>
        <w:rPr>
          <w:rFonts w:eastAsia="Times New Roman"/>
          <w:noProof/>
          <w:color w:val="333333"/>
          <w:szCs w:val="24"/>
          <w:u w:val="single"/>
          <w:lang w:eastAsia="en-IE"/>
        </w:rPr>
      </w:pPr>
      <w:r w:rsidRPr="00AF4947">
        <w:rPr>
          <w:rFonts w:eastAsia="Times New Roman"/>
          <w:noProof/>
          <w:color w:val="333333"/>
          <w:szCs w:val="24"/>
          <w:u w:val="single"/>
          <w:lang w:eastAsia="en-IE"/>
        </w:rPr>
        <w:t xml:space="preserve">Content of the Convention </w:t>
      </w:r>
    </w:p>
    <w:p w:rsidR="006B75EE" w:rsidRPr="003A5AF4" w:rsidRDefault="006B75EE" w:rsidP="006B75EE">
      <w:pPr>
        <w:shd w:val="clear" w:color="auto" w:fill="FFFFFF"/>
        <w:spacing w:before="0" w:after="0"/>
        <w:rPr>
          <w:rFonts w:eastAsia="Times New Roman"/>
          <w:noProof/>
          <w:color w:val="333333"/>
          <w:szCs w:val="24"/>
          <w:lang w:eastAsia="en-IE"/>
        </w:rPr>
      </w:pPr>
    </w:p>
    <w:p w:rsidR="001A5FDE" w:rsidRDefault="00341BC2" w:rsidP="001A5FDE">
      <w:pPr>
        <w:shd w:val="clear" w:color="auto" w:fill="FFFFFF"/>
        <w:spacing w:before="0" w:after="0"/>
        <w:rPr>
          <w:rFonts w:eastAsia="Times New Roman"/>
          <w:noProof/>
          <w:color w:val="333333"/>
          <w:szCs w:val="24"/>
          <w:lang w:eastAsia="en-IE"/>
        </w:rPr>
      </w:pPr>
      <w:r w:rsidRPr="00341BC2">
        <w:rPr>
          <w:rFonts w:eastAsia="Times New Roman"/>
          <w:noProof/>
          <w:color w:val="333333"/>
          <w:szCs w:val="24"/>
          <w:lang w:eastAsia="en-IE"/>
        </w:rPr>
        <w:t>The text of the Convention, annexed to the present proposal, provides for the following:</w:t>
      </w:r>
    </w:p>
    <w:p w:rsidR="00341BC2" w:rsidRPr="003A5AF4" w:rsidRDefault="00341BC2" w:rsidP="001A5FDE">
      <w:pPr>
        <w:shd w:val="clear" w:color="auto" w:fill="FFFFFF"/>
        <w:spacing w:before="0" w:after="0"/>
        <w:rPr>
          <w:rFonts w:eastAsia="Times New Roman"/>
          <w:noProof/>
          <w:color w:val="333333"/>
          <w:szCs w:val="24"/>
          <w:lang w:eastAsia="en-IE"/>
        </w:rPr>
      </w:pPr>
    </w:p>
    <w:p w:rsidR="00341BC2" w:rsidRPr="00341BC2" w:rsidRDefault="00341BC2" w:rsidP="00C668A7">
      <w:pPr>
        <w:pStyle w:val="Point0"/>
        <w:rPr>
          <w:noProof/>
          <w:lang w:val="en-IE" w:eastAsia="en-IE"/>
        </w:rPr>
      </w:pPr>
      <w:r>
        <w:rPr>
          <w:noProof/>
        </w:rPr>
        <w:t>(1)</w:t>
      </w:r>
      <w:r>
        <w:rPr>
          <w:noProof/>
        </w:rPr>
        <w:tab/>
      </w:r>
      <w:r w:rsidRPr="00341BC2">
        <w:rPr>
          <w:noProof/>
          <w:lang w:val="en-IE" w:eastAsia="en-IE"/>
        </w:rPr>
        <w:t xml:space="preserve">The Claims Commission is established as an independent body with international legal personality within the institutional framework of the Council of Europe. It constitutes the second component of the international compensation mechanism, following the Register of Damage. The functions of the Register </w:t>
      </w:r>
      <w:r w:rsidR="00FF57C9">
        <w:rPr>
          <w:noProof/>
          <w:lang w:val="en-IE" w:eastAsia="en-IE"/>
        </w:rPr>
        <w:t>should</w:t>
      </w:r>
      <w:r w:rsidR="00FF57C9" w:rsidRPr="00341BC2">
        <w:rPr>
          <w:noProof/>
          <w:lang w:val="en-IE" w:eastAsia="en-IE"/>
        </w:rPr>
        <w:t xml:space="preserve"> </w:t>
      </w:r>
      <w:r w:rsidRPr="00341BC2">
        <w:rPr>
          <w:noProof/>
          <w:lang w:val="en-IE" w:eastAsia="en-IE"/>
        </w:rPr>
        <w:t>continue as part of the Claims Commission, which becomes the Register’s legal successor and receives its digital platform, data, and archives.</w:t>
      </w:r>
    </w:p>
    <w:p w:rsidR="00341BC2" w:rsidRDefault="00341BC2" w:rsidP="003A60FA">
      <w:pPr>
        <w:pStyle w:val="Point0"/>
        <w:rPr>
          <w:noProof/>
          <w:lang w:val="en-IE" w:eastAsia="en-IE"/>
        </w:rPr>
      </w:pPr>
      <w:r>
        <w:rPr>
          <w:noProof/>
        </w:rPr>
        <w:t>(2)</w:t>
      </w:r>
      <w:r>
        <w:rPr>
          <w:noProof/>
        </w:rPr>
        <w:tab/>
      </w:r>
      <w:r w:rsidRPr="00341BC2">
        <w:rPr>
          <w:noProof/>
          <w:lang w:val="en-IE" w:eastAsia="en-IE"/>
        </w:rPr>
        <w:t xml:space="preserve">The Convention clarifies that, while it addresses internationally wrongful acts committed by the Russian Federation in or against Ukraine on or after 24 February 2022, this does not absolve the Russian Federation of responsibility for internationally wrongful acts committed in or against Ukraine on or after 20 February 2014 </w:t>
      </w:r>
      <w:r w:rsidR="00FF57C9">
        <w:rPr>
          <w:noProof/>
          <w:lang w:val="en-IE" w:eastAsia="en-IE"/>
        </w:rPr>
        <w:t>n</w:t>
      </w:r>
      <w:r w:rsidRPr="00341BC2">
        <w:rPr>
          <w:noProof/>
          <w:lang w:val="en-IE" w:eastAsia="en-IE"/>
        </w:rPr>
        <w:t>or does it preclude the possibility of a future amendment to the Convention extending its temporal scope to 20 February 2014.</w:t>
      </w:r>
    </w:p>
    <w:p w:rsidR="00341BC2" w:rsidRDefault="00601C46" w:rsidP="003A60FA">
      <w:pPr>
        <w:pStyle w:val="Point0"/>
        <w:rPr>
          <w:noProof/>
          <w:lang w:val="en-IE" w:eastAsia="en-IE"/>
        </w:rPr>
      </w:pPr>
      <w:r>
        <w:rPr>
          <w:noProof/>
        </w:rPr>
        <w:t>(3)</w:t>
      </w:r>
      <w:r>
        <w:rPr>
          <w:noProof/>
        </w:rPr>
        <w:tab/>
      </w:r>
      <w:r w:rsidRPr="00601C46">
        <w:rPr>
          <w:noProof/>
          <w:lang w:val="en-IE" w:eastAsia="en-IE"/>
        </w:rPr>
        <w:t xml:space="preserve">Any member State of the Council of Europe, any other State, and the European Union that participated in the Diplomatic Conference, as well as any other States that </w:t>
      </w:r>
      <w:r w:rsidRPr="00601C46">
        <w:rPr>
          <w:noProof/>
          <w:lang w:val="en-IE" w:eastAsia="en-IE"/>
        </w:rPr>
        <w:lastRenderedPageBreak/>
        <w:t>voted in favour of United Nations General Assembly resolution ES-11/5 of 14 November 2022</w:t>
      </w:r>
      <w:r>
        <w:rPr>
          <w:noProof/>
          <w:lang w:val="en-IE" w:eastAsia="en-IE"/>
        </w:rPr>
        <w:t xml:space="preserve"> </w:t>
      </w:r>
      <w:r w:rsidR="00341BC2" w:rsidRPr="00341BC2">
        <w:rPr>
          <w:noProof/>
          <w:lang w:val="en-IE" w:eastAsia="en-IE"/>
        </w:rPr>
        <w:t xml:space="preserve">may become a Member of the Claims Commission. </w:t>
      </w:r>
      <w:r w:rsidRPr="00601C46">
        <w:rPr>
          <w:noProof/>
          <w:lang w:val="en-IE" w:eastAsia="en-IE"/>
        </w:rPr>
        <w:t xml:space="preserve">After the entry into force of the Convention, the Parties to the Convention may invite any State or Regional Integration to accede to the Convention. </w:t>
      </w:r>
      <w:r w:rsidR="00341BC2" w:rsidRPr="00341BC2">
        <w:rPr>
          <w:noProof/>
          <w:lang w:val="en-IE" w:eastAsia="en-IE"/>
        </w:rPr>
        <w:t>Members are required to pay annual contributions to fund the Claims Commission until such time as the Russian Federation bears the costs. Observers generally participate without voting rights; however, those making substantial voluntary contributions are granted voting rights with respect to specific financial reports and the budget.</w:t>
      </w:r>
    </w:p>
    <w:p w:rsidR="00341BC2" w:rsidRDefault="00341BC2" w:rsidP="003A60FA">
      <w:pPr>
        <w:pStyle w:val="Point0"/>
        <w:rPr>
          <w:noProof/>
          <w:lang w:val="en-IE" w:eastAsia="en-IE"/>
        </w:rPr>
      </w:pPr>
      <w:r>
        <w:rPr>
          <w:noProof/>
        </w:rPr>
        <w:t>(4)</w:t>
      </w:r>
      <w:r>
        <w:rPr>
          <w:noProof/>
        </w:rPr>
        <w:tab/>
      </w:r>
      <w:r w:rsidRPr="00341BC2">
        <w:rPr>
          <w:noProof/>
          <w:lang w:val="en-IE" w:eastAsia="en-IE"/>
        </w:rPr>
        <w:t>Should the Russian Federation seek membership, it must make a declaration accepting responsibility for all damage, undertaking to fund compensation and agreeing to reimburse the costs incurred by all Members and Observers from the date of the Convention’s entry into force.</w:t>
      </w:r>
    </w:p>
    <w:p w:rsidR="00341BC2" w:rsidRDefault="00341BC2" w:rsidP="003A60FA">
      <w:pPr>
        <w:pStyle w:val="Point0"/>
        <w:rPr>
          <w:noProof/>
          <w:lang w:val="en-IE" w:eastAsia="en-IE"/>
        </w:rPr>
      </w:pPr>
      <w:r>
        <w:rPr>
          <w:noProof/>
        </w:rPr>
        <w:t>(5)</w:t>
      </w:r>
      <w:r>
        <w:rPr>
          <w:noProof/>
        </w:rPr>
        <w:tab/>
      </w:r>
      <w:r w:rsidRPr="00341BC2">
        <w:rPr>
          <w:noProof/>
          <w:lang w:val="en-IE" w:eastAsia="en-IE"/>
        </w:rPr>
        <w:t xml:space="preserve">The Convention provides that the Claims Commission </w:t>
      </w:r>
      <w:r w:rsidR="00601C46">
        <w:rPr>
          <w:noProof/>
          <w:lang w:val="en-IE" w:eastAsia="en-IE"/>
        </w:rPr>
        <w:t>will</w:t>
      </w:r>
      <w:r w:rsidRPr="00341BC2">
        <w:rPr>
          <w:noProof/>
          <w:lang w:val="en-IE" w:eastAsia="en-IE"/>
        </w:rPr>
        <w:t xml:space="preserve"> have an Assembly, composed of all Members, which serve</w:t>
      </w:r>
      <w:r w:rsidR="00FF57C9">
        <w:rPr>
          <w:noProof/>
          <w:lang w:val="en-IE" w:eastAsia="en-IE"/>
        </w:rPr>
        <w:t>s</w:t>
      </w:r>
      <w:r w:rsidRPr="00341BC2">
        <w:rPr>
          <w:noProof/>
          <w:lang w:val="en-IE" w:eastAsia="en-IE"/>
        </w:rPr>
        <w:t xml:space="preserve"> as its governing body. The Assembly is responsible for overseeing the fulfilment of the Claims Commission’s mandate, appointing and authorising its key organs and officials, and adopting rules and budget. The Assembly </w:t>
      </w:r>
      <w:r w:rsidR="00D839F0">
        <w:rPr>
          <w:noProof/>
          <w:lang w:val="en-IE" w:eastAsia="en-IE"/>
        </w:rPr>
        <w:t xml:space="preserve">should </w:t>
      </w:r>
      <w:r w:rsidRPr="00341BC2">
        <w:rPr>
          <w:noProof/>
          <w:lang w:val="en-IE" w:eastAsia="en-IE"/>
        </w:rPr>
        <w:t xml:space="preserve">meet at the seat of the </w:t>
      </w:r>
      <w:r w:rsidR="00D839F0">
        <w:rPr>
          <w:noProof/>
          <w:lang w:val="en-IE" w:eastAsia="en-IE"/>
        </w:rPr>
        <w:t xml:space="preserve">Claims </w:t>
      </w:r>
      <w:r w:rsidRPr="00341BC2">
        <w:rPr>
          <w:noProof/>
          <w:lang w:val="en-IE" w:eastAsia="en-IE"/>
        </w:rPr>
        <w:t xml:space="preserve">Commission unless it decides otherwise. Its first meeting </w:t>
      </w:r>
      <w:r w:rsidR="00601C46">
        <w:rPr>
          <w:noProof/>
          <w:lang w:val="en-IE" w:eastAsia="en-IE"/>
        </w:rPr>
        <w:t>is to b</w:t>
      </w:r>
      <w:r w:rsidRPr="00341BC2">
        <w:rPr>
          <w:noProof/>
          <w:lang w:val="en-IE" w:eastAsia="en-IE"/>
        </w:rPr>
        <w:t>e convened within one year of the Convention’s entry into force.</w:t>
      </w:r>
    </w:p>
    <w:p w:rsidR="00341BC2" w:rsidRPr="00341BC2" w:rsidRDefault="00341BC2" w:rsidP="003A60FA">
      <w:pPr>
        <w:pStyle w:val="Point0"/>
        <w:rPr>
          <w:noProof/>
          <w:lang w:val="en-IE" w:eastAsia="en-IE"/>
        </w:rPr>
      </w:pPr>
      <w:r>
        <w:rPr>
          <w:noProof/>
        </w:rPr>
        <w:t>(6)</w:t>
      </w:r>
      <w:r>
        <w:rPr>
          <w:noProof/>
        </w:rPr>
        <w:tab/>
      </w:r>
      <w:r w:rsidRPr="00341BC2">
        <w:rPr>
          <w:noProof/>
          <w:lang w:val="en-IE" w:eastAsia="en-IE"/>
        </w:rPr>
        <w:t xml:space="preserve">The Convention further provides for a Council composed of a minimum of nine and a maximum of </w:t>
      </w:r>
      <w:r w:rsidR="00D839F0">
        <w:rPr>
          <w:noProof/>
          <w:lang w:val="en-IE" w:eastAsia="en-IE"/>
        </w:rPr>
        <w:t xml:space="preserve">15 </w:t>
      </w:r>
      <w:r w:rsidRPr="00341BC2">
        <w:rPr>
          <w:noProof/>
          <w:lang w:val="en-IE" w:eastAsia="en-IE"/>
        </w:rPr>
        <w:t xml:space="preserve">Members, serving for a term of three years on a rotational basis. The initial nine Members of the Council </w:t>
      </w:r>
      <w:r w:rsidR="00D839F0">
        <w:rPr>
          <w:noProof/>
          <w:lang w:val="en-IE" w:eastAsia="en-IE"/>
        </w:rPr>
        <w:t xml:space="preserve">should </w:t>
      </w:r>
      <w:r w:rsidRPr="00341BC2">
        <w:rPr>
          <w:noProof/>
          <w:lang w:val="en-IE" w:eastAsia="en-IE"/>
        </w:rPr>
        <w:t xml:space="preserve">be designated by the Assembly at its first meeting or as soon as possible thereafter. The Council </w:t>
      </w:r>
      <w:r w:rsidR="00D839F0">
        <w:rPr>
          <w:noProof/>
          <w:lang w:val="en-IE" w:eastAsia="en-IE"/>
        </w:rPr>
        <w:t xml:space="preserve">of the Claims Commission </w:t>
      </w:r>
      <w:r w:rsidRPr="00341BC2">
        <w:rPr>
          <w:noProof/>
          <w:lang w:val="en-IE" w:eastAsia="en-IE"/>
        </w:rPr>
        <w:t>is responsible for exercising the Claims Commission’s mandate by appointing Commissioners and Panels, adopting substantive and procedural rules on claims and compensation, and adopting or remitting compensation decisions based on the Panels’ recommendations, subject to oversight by the Assembly.</w:t>
      </w:r>
    </w:p>
    <w:p w:rsidR="00A34130" w:rsidRPr="003A5AF4" w:rsidRDefault="00A34130" w:rsidP="006B75EE">
      <w:pPr>
        <w:shd w:val="clear" w:color="auto" w:fill="FFFFFF"/>
        <w:spacing w:before="0" w:after="0"/>
        <w:rPr>
          <w:rFonts w:eastAsia="Times New Roman"/>
          <w:noProof/>
          <w:color w:val="333333"/>
          <w:szCs w:val="24"/>
          <w:lang w:eastAsia="en-IE"/>
        </w:rPr>
      </w:pPr>
    </w:p>
    <w:p w:rsidR="00F5502B" w:rsidRPr="003A5AF4" w:rsidRDefault="00F5502B" w:rsidP="00044058">
      <w:pPr>
        <w:pStyle w:val="ManualHeading2"/>
        <w:rPr>
          <w:rFonts w:eastAsia="Arial Unicode MS"/>
          <w:noProof/>
          <w:color w:val="000000"/>
          <w:u w:color="000000"/>
          <w:bdr w:val="nil"/>
          <w:lang w:eastAsia="en-GB"/>
        </w:rPr>
      </w:pPr>
      <w:r w:rsidRPr="003A5AF4">
        <w:rPr>
          <w:rFonts w:eastAsia="Arial Unicode MS"/>
          <w:noProof/>
          <w:color w:val="000000"/>
          <w:u w:color="000000"/>
          <w:bdr w:val="nil"/>
          <w:lang w:eastAsia="en-GB"/>
        </w:rPr>
        <w:t>•</w:t>
      </w:r>
      <w:r w:rsidRPr="003A5AF4">
        <w:rPr>
          <w:rFonts w:eastAsia="Arial Unicode MS"/>
          <w:noProof/>
          <w:color w:val="000000"/>
          <w:u w:color="000000"/>
          <w:bdr w:val="nil"/>
          <w:lang w:eastAsia="en-GB"/>
        </w:rPr>
        <w:tab/>
      </w:r>
      <w:r w:rsidRPr="003A5AF4">
        <w:rPr>
          <w:rFonts w:eastAsia="Arial Unicode MS"/>
          <w:noProof/>
        </w:rPr>
        <w:t>Consistency with existing policy provisions in the policy area</w:t>
      </w:r>
    </w:p>
    <w:p w:rsidR="00536AB1" w:rsidRDefault="00536AB1" w:rsidP="00536AB1">
      <w:pPr>
        <w:shd w:val="clear" w:color="auto" w:fill="FFFFFF"/>
        <w:spacing w:before="0" w:after="0"/>
        <w:rPr>
          <w:rFonts w:eastAsia="Times New Roman"/>
          <w:noProof/>
          <w:color w:val="333333"/>
          <w:szCs w:val="24"/>
          <w:lang w:val="en-IE" w:eastAsia="en-IE"/>
        </w:rPr>
      </w:pPr>
      <w:r w:rsidRPr="00536AB1">
        <w:rPr>
          <w:rFonts w:eastAsia="Times New Roman"/>
          <w:noProof/>
          <w:color w:val="333333"/>
          <w:szCs w:val="24"/>
          <w:lang w:val="en-IE" w:eastAsia="en-IE"/>
        </w:rPr>
        <w:t>The present proposal is consistent with the actions undertaken by the Union in response to the Russian Federation’s war of aggression against Ukraine, launched in February 2022. It consolidates the Union’s commitment to upholding international law, ensuring accountability for the commission of international crimes in and against Ukraine, and supporting Ukraine’s right to justice and to full reparation.</w:t>
      </w:r>
    </w:p>
    <w:p w:rsidR="00536AB1" w:rsidRPr="00536AB1" w:rsidRDefault="00536AB1" w:rsidP="00536AB1">
      <w:pPr>
        <w:shd w:val="clear" w:color="auto" w:fill="FFFFFF"/>
        <w:spacing w:before="0" w:after="0"/>
        <w:rPr>
          <w:rFonts w:eastAsia="Times New Roman"/>
          <w:noProof/>
          <w:color w:val="333333"/>
          <w:szCs w:val="24"/>
          <w:lang w:val="en-IE" w:eastAsia="en-IE"/>
        </w:rPr>
      </w:pPr>
    </w:p>
    <w:p w:rsidR="00536AB1" w:rsidRPr="00536AB1" w:rsidRDefault="00536AB1" w:rsidP="00536AB1">
      <w:pPr>
        <w:shd w:val="clear" w:color="auto" w:fill="FFFFFF"/>
        <w:spacing w:before="0" w:after="0"/>
        <w:rPr>
          <w:rFonts w:eastAsia="Times New Roman"/>
          <w:noProof/>
          <w:color w:val="333333"/>
          <w:szCs w:val="24"/>
          <w:lang w:val="en-IE" w:eastAsia="en-IE"/>
        </w:rPr>
      </w:pPr>
      <w:r w:rsidRPr="00536AB1">
        <w:rPr>
          <w:rFonts w:eastAsia="Times New Roman"/>
          <w:noProof/>
          <w:color w:val="333333"/>
          <w:szCs w:val="24"/>
          <w:lang w:val="en-IE" w:eastAsia="en-IE"/>
        </w:rPr>
        <w:t>In particular, the proposal builds directly on the Union’s commitment to the establishment of an international compensation mechanism for Ukraine, including its participation in the Register of Damage. The Register was announced at the Fourth Summit of Heads of State and Government of the Council of Europe, held in Reykjavik on 16</w:t>
      </w:r>
      <w:r w:rsidR="00AF4947">
        <w:rPr>
          <w:rFonts w:eastAsia="Times New Roman"/>
          <w:noProof/>
          <w:color w:val="333333"/>
          <w:szCs w:val="24"/>
          <w:lang w:val="en-IE" w:eastAsia="en-IE"/>
        </w:rPr>
        <w:t>-</w:t>
      </w:r>
      <w:r w:rsidRPr="00536AB1">
        <w:rPr>
          <w:rFonts w:eastAsia="Times New Roman"/>
          <w:noProof/>
          <w:color w:val="333333"/>
          <w:szCs w:val="24"/>
          <w:lang w:val="en-IE" w:eastAsia="en-IE"/>
        </w:rPr>
        <w:t>17 May 2023, and serves as a documentary record of evidence and claims information relating to damage, loss, or injury caused to all concerned natural and legal persons, as well as to the State of Ukraine, on or after 24 February 2022, in the territory of Ukraine, as a result of the Russian Federation’s internationally wrongful acts in or against Ukraine. As noted above, the Union joined the Enlarged Partial Agreement on the Register from the outset as a founding Associate Member and further strengthened its commitment in July 2024 by becoming a full Participant.</w:t>
      </w:r>
    </w:p>
    <w:p w:rsidR="006B75EE" w:rsidRPr="003A5AF4" w:rsidRDefault="006B75EE" w:rsidP="006B75EE">
      <w:pPr>
        <w:shd w:val="clear" w:color="auto" w:fill="FFFFFF"/>
        <w:spacing w:before="0" w:after="0"/>
        <w:rPr>
          <w:rFonts w:eastAsia="Times New Roman"/>
          <w:noProof/>
          <w:color w:val="333333"/>
          <w:szCs w:val="24"/>
          <w:lang w:eastAsia="en-IE"/>
        </w:rPr>
      </w:pPr>
    </w:p>
    <w:p w:rsidR="006B75EE" w:rsidRPr="003A5AF4" w:rsidRDefault="006B75EE" w:rsidP="006B75EE">
      <w:pPr>
        <w:shd w:val="clear" w:color="auto" w:fill="FFFFFF"/>
        <w:spacing w:before="0" w:after="0"/>
        <w:rPr>
          <w:rFonts w:eastAsia="Times New Roman"/>
          <w:noProof/>
          <w:color w:val="333333"/>
          <w:szCs w:val="24"/>
          <w:lang w:eastAsia="en-IE"/>
        </w:rPr>
      </w:pPr>
      <w:r w:rsidRPr="003A5AF4">
        <w:rPr>
          <w:rFonts w:eastAsia="Times New Roman"/>
          <w:noProof/>
          <w:color w:val="333333"/>
          <w:szCs w:val="24"/>
          <w:lang w:eastAsia="en-IE"/>
        </w:rPr>
        <w:lastRenderedPageBreak/>
        <w:t>On 9 July 2025, the Committee of Ministers approved the extension of the Register beyond May 2026 by adopting Resolution CM/Res(2025)3</w:t>
      </w:r>
      <w:r w:rsidRPr="003A5AF4">
        <w:rPr>
          <w:rStyle w:val="FootnoteReference"/>
          <w:rFonts w:eastAsia="Times New Roman"/>
          <w:noProof/>
          <w:color w:val="333333"/>
          <w:szCs w:val="24"/>
          <w:lang w:eastAsia="en-IE"/>
        </w:rPr>
        <w:footnoteReference w:id="8"/>
      </w:r>
      <w:r w:rsidRPr="003A5AF4">
        <w:rPr>
          <w:rFonts w:eastAsia="Times New Roman"/>
          <w:noProof/>
          <w:color w:val="333333"/>
          <w:szCs w:val="24"/>
          <w:lang w:eastAsia="en-IE"/>
        </w:rPr>
        <w:t> confirming the establishment of the Enlarged Partial Agreement on the Register of Damage Caused by the Aggression of the Russian Federation against Ukraine.</w:t>
      </w:r>
    </w:p>
    <w:p w:rsidR="006B75EE" w:rsidRPr="003A5AF4" w:rsidRDefault="006B75EE" w:rsidP="006B75EE">
      <w:pPr>
        <w:shd w:val="clear" w:color="auto" w:fill="FFFFFF"/>
        <w:spacing w:before="0" w:after="0"/>
        <w:rPr>
          <w:rFonts w:eastAsia="Times New Roman"/>
          <w:noProof/>
          <w:color w:val="333333"/>
          <w:szCs w:val="24"/>
          <w:lang w:eastAsia="en-IE"/>
        </w:rPr>
      </w:pPr>
    </w:p>
    <w:p w:rsidR="006B75EE" w:rsidRDefault="00536AB1" w:rsidP="006B75EE">
      <w:pPr>
        <w:shd w:val="clear" w:color="auto" w:fill="FFFFFF"/>
        <w:spacing w:before="0" w:after="0"/>
        <w:rPr>
          <w:rFonts w:eastAsia="Times New Roman"/>
          <w:noProof/>
          <w:color w:val="333333"/>
          <w:szCs w:val="24"/>
          <w:lang w:eastAsia="en-IE"/>
        </w:rPr>
      </w:pPr>
      <w:r w:rsidRPr="00536AB1">
        <w:rPr>
          <w:rFonts w:eastAsia="Times New Roman"/>
          <w:noProof/>
          <w:color w:val="333333"/>
          <w:szCs w:val="24"/>
          <w:lang w:eastAsia="en-IE"/>
        </w:rPr>
        <w:t>As provided for by the Convention, as well as by Resolution CM/Res(2023)3 establishing the Enlarged Partial Agreement on the Register of Damage, the transfer of the work of the Register to the Claims Commission shall include the Register’s digital platform, including all information on claims and evidence contained therein, as well as all other documentation, archives, and movable and immovable property. This transfer sh</w:t>
      </w:r>
      <w:r w:rsidR="00CD1281">
        <w:rPr>
          <w:rFonts w:eastAsia="Times New Roman"/>
          <w:noProof/>
          <w:color w:val="333333"/>
          <w:szCs w:val="24"/>
          <w:lang w:eastAsia="en-IE"/>
        </w:rPr>
        <w:t>ould</w:t>
      </w:r>
      <w:r w:rsidRPr="00536AB1">
        <w:rPr>
          <w:rFonts w:eastAsia="Times New Roman"/>
          <w:noProof/>
          <w:color w:val="333333"/>
          <w:szCs w:val="24"/>
          <w:lang w:eastAsia="en-IE"/>
        </w:rPr>
        <w:t xml:space="preserve"> encompass, inter alia, bank accounts, IT equipment, software and any related licences, contracts, and arrangements of the Register, together with any associated data, in such a manner that the Claims Commission becomes the legal successor of the Register.</w:t>
      </w:r>
    </w:p>
    <w:p w:rsidR="00536AB1" w:rsidRPr="003A5AF4" w:rsidRDefault="00536AB1" w:rsidP="006B75EE">
      <w:pPr>
        <w:shd w:val="clear" w:color="auto" w:fill="FFFFFF"/>
        <w:spacing w:before="0" w:after="0"/>
        <w:rPr>
          <w:rFonts w:eastAsia="Times New Roman"/>
          <w:noProof/>
          <w:color w:val="333333"/>
          <w:szCs w:val="24"/>
          <w:lang w:eastAsia="en-IE"/>
        </w:rPr>
      </w:pPr>
    </w:p>
    <w:p w:rsidR="006B75EE" w:rsidRPr="003A5AF4" w:rsidRDefault="00940774" w:rsidP="006B75EE">
      <w:pPr>
        <w:shd w:val="clear" w:color="auto" w:fill="FFFFFF"/>
        <w:spacing w:before="0" w:after="0"/>
        <w:rPr>
          <w:rFonts w:eastAsia="Times New Roman"/>
          <w:noProof/>
          <w:color w:val="333333"/>
          <w:szCs w:val="24"/>
          <w:lang w:eastAsia="en-IE"/>
        </w:rPr>
      </w:pPr>
      <w:r>
        <w:rPr>
          <w:rFonts w:eastAsia="Times New Roman"/>
          <w:noProof/>
          <w:color w:val="333333"/>
          <w:szCs w:val="24"/>
          <w:lang w:eastAsia="en-IE"/>
        </w:rPr>
        <w:t>The Union’s financial support to t</w:t>
      </w:r>
      <w:r w:rsidR="00536AB1" w:rsidRPr="00536AB1">
        <w:rPr>
          <w:rFonts w:eastAsia="Times New Roman"/>
          <w:noProof/>
          <w:color w:val="333333"/>
          <w:szCs w:val="24"/>
          <w:lang w:eastAsia="en-IE"/>
        </w:rPr>
        <w:t>he establishment of the international compensation mechanism for Ukraine</w:t>
      </w:r>
      <w:r>
        <w:rPr>
          <w:rFonts w:eastAsia="Times New Roman"/>
          <w:noProof/>
          <w:color w:val="333333"/>
          <w:szCs w:val="24"/>
          <w:lang w:eastAsia="en-IE"/>
        </w:rPr>
        <w:t xml:space="preserve"> </w:t>
      </w:r>
      <w:r w:rsidR="00536AB1" w:rsidRPr="00536AB1">
        <w:rPr>
          <w:rFonts w:eastAsia="Times New Roman"/>
          <w:noProof/>
          <w:color w:val="333333"/>
          <w:szCs w:val="24"/>
          <w:lang w:eastAsia="en-IE"/>
        </w:rPr>
        <w:t xml:space="preserve">has been </w:t>
      </w:r>
      <w:r>
        <w:rPr>
          <w:rFonts w:eastAsia="Times New Roman"/>
          <w:noProof/>
          <w:color w:val="333333"/>
          <w:szCs w:val="24"/>
          <w:lang w:eastAsia="en-IE"/>
        </w:rPr>
        <w:t>enabled</w:t>
      </w:r>
      <w:r w:rsidR="00536AB1" w:rsidRPr="00536AB1">
        <w:rPr>
          <w:rFonts w:eastAsia="Times New Roman"/>
          <w:noProof/>
          <w:color w:val="333333"/>
          <w:szCs w:val="24"/>
          <w:lang w:eastAsia="en-IE"/>
        </w:rPr>
        <w:t xml:space="preserve"> primarily through</w:t>
      </w:r>
      <w:r w:rsidR="00CD1281">
        <w:rPr>
          <w:rFonts w:eastAsia="Times New Roman"/>
          <w:noProof/>
          <w:color w:val="333333"/>
          <w:szCs w:val="24"/>
          <w:lang w:eastAsia="en-IE"/>
        </w:rPr>
        <w:t xml:space="preserve"> </w:t>
      </w:r>
      <w:r w:rsidR="00CD1281" w:rsidRPr="003A5AF4">
        <w:rPr>
          <w:noProof/>
        </w:rPr>
        <w:t>Regulation (EU) 2024/792</w:t>
      </w:r>
      <w:r w:rsidR="00536AB1" w:rsidRPr="00536AB1">
        <w:rPr>
          <w:rFonts w:eastAsia="Times New Roman"/>
          <w:noProof/>
          <w:color w:val="333333"/>
          <w:szCs w:val="24"/>
          <w:lang w:eastAsia="en-IE"/>
        </w:rPr>
        <w:t xml:space="preserve"> </w:t>
      </w:r>
      <w:r w:rsidR="00CD1281">
        <w:rPr>
          <w:rFonts w:eastAsia="Times New Roman"/>
          <w:noProof/>
          <w:color w:val="333333"/>
          <w:szCs w:val="24"/>
          <w:lang w:eastAsia="en-IE"/>
        </w:rPr>
        <w:t>(hereinafter ‘</w:t>
      </w:r>
      <w:r w:rsidR="006B75EE" w:rsidRPr="003A5AF4">
        <w:rPr>
          <w:rFonts w:eastAsia="Times New Roman"/>
          <w:noProof/>
          <w:color w:val="333333"/>
          <w:szCs w:val="24"/>
          <w:lang w:eastAsia="en-IE"/>
        </w:rPr>
        <w:t>Ukraine Facility Regulation</w:t>
      </w:r>
      <w:r w:rsidR="00CD1281">
        <w:rPr>
          <w:rFonts w:eastAsia="Times New Roman"/>
          <w:noProof/>
          <w:color w:val="333333"/>
          <w:szCs w:val="24"/>
          <w:lang w:eastAsia="en-IE"/>
        </w:rPr>
        <w:t>’)</w:t>
      </w:r>
      <w:r w:rsidR="006B75EE" w:rsidRPr="003A5AF4">
        <w:rPr>
          <w:rStyle w:val="FootnoteReference"/>
          <w:rFonts w:eastAsia="Times New Roman"/>
          <w:noProof/>
          <w:color w:val="333333"/>
          <w:szCs w:val="24"/>
          <w:lang w:eastAsia="en-IE"/>
        </w:rPr>
        <w:footnoteReference w:id="9"/>
      </w:r>
      <w:r w:rsidR="006B75EE" w:rsidRPr="003A5AF4">
        <w:rPr>
          <w:rFonts w:eastAsia="Times New Roman"/>
          <w:noProof/>
          <w:color w:val="333333"/>
          <w:szCs w:val="24"/>
          <w:lang w:eastAsia="en-IE"/>
        </w:rPr>
        <w:t xml:space="preserve">, </w:t>
      </w:r>
      <w:r w:rsidR="00536AB1" w:rsidRPr="00536AB1">
        <w:rPr>
          <w:rFonts w:eastAsia="Times New Roman"/>
          <w:noProof/>
          <w:color w:val="333333"/>
          <w:szCs w:val="24"/>
          <w:lang w:eastAsia="en-IE"/>
        </w:rPr>
        <w:t xml:space="preserve">adopted on the basis of Article 212 </w:t>
      </w:r>
      <w:r w:rsidR="00CD1281">
        <w:rPr>
          <w:rFonts w:eastAsia="Times New Roman"/>
          <w:noProof/>
          <w:color w:val="333333"/>
          <w:szCs w:val="24"/>
          <w:lang w:eastAsia="en-IE"/>
        </w:rPr>
        <w:t>of the Treaty on the Functioning of the European Union (</w:t>
      </w:r>
      <w:r w:rsidR="00536AB1" w:rsidRPr="00536AB1">
        <w:rPr>
          <w:rFonts w:eastAsia="Times New Roman"/>
          <w:noProof/>
          <w:color w:val="333333"/>
          <w:szCs w:val="24"/>
          <w:lang w:eastAsia="en-IE"/>
        </w:rPr>
        <w:t>TFEU</w:t>
      </w:r>
      <w:r w:rsidR="00CD1281">
        <w:rPr>
          <w:rFonts w:eastAsia="Times New Roman"/>
          <w:noProof/>
          <w:color w:val="333333"/>
          <w:szCs w:val="24"/>
          <w:lang w:eastAsia="en-IE"/>
        </w:rPr>
        <w:t>)</w:t>
      </w:r>
      <w:r w:rsidR="00536AB1" w:rsidRPr="00536AB1">
        <w:rPr>
          <w:rFonts w:eastAsia="Times New Roman"/>
          <w:noProof/>
          <w:color w:val="333333"/>
          <w:szCs w:val="24"/>
          <w:lang w:eastAsia="en-IE"/>
        </w:rPr>
        <w:t>. Among its objectives, the Facility aims to “support initiatives, bodies and organisations involved in promoting and enforcing democracy, international justice and anti-corruption efforts in Ukraine” (Article 3(2)(i)) and to “strengthen compliance with international law” (Article 3(2)(h)).</w:t>
      </w:r>
      <w:r w:rsidR="00536AB1">
        <w:rPr>
          <w:rFonts w:eastAsia="Times New Roman"/>
          <w:noProof/>
          <w:color w:val="333333"/>
          <w:szCs w:val="24"/>
          <w:lang w:eastAsia="en-IE"/>
        </w:rPr>
        <w:t xml:space="preserve"> </w:t>
      </w:r>
      <w:r w:rsidR="00536AB1" w:rsidRPr="00536AB1">
        <w:rPr>
          <w:rFonts w:eastAsia="Times New Roman"/>
          <w:noProof/>
          <w:color w:val="333333"/>
          <w:szCs w:val="24"/>
          <w:lang w:eastAsia="en-IE"/>
        </w:rPr>
        <w:t>In accordance with Article 34(3) of the Ukraine Facility Regulation, the Union has been providing financial support to “processes that promote justice, truth-seeking, comprehensive post-conflict rehabilitation for an inclusive and peaceful society, as well as the collection of evidence of crimes committed during the</w:t>
      </w:r>
      <w:r w:rsidR="00536AB1">
        <w:rPr>
          <w:rFonts w:eastAsia="Times New Roman"/>
          <w:noProof/>
          <w:color w:val="333333"/>
          <w:szCs w:val="24"/>
          <w:lang w:eastAsia="en-IE"/>
        </w:rPr>
        <w:t xml:space="preserve"> </w:t>
      </w:r>
      <w:r w:rsidR="006B75EE" w:rsidRPr="003A5AF4">
        <w:rPr>
          <w:rFonts w:eastAsia="Times New Roman"/>
          <w:noProof/>
          <w:color w:val="333333"/>
          <w:szCs w:val="24"/>
          <w:lang w:eastAsia="en-IE"/>
        </w:rPr>
        <w:t>war</w:t>
      </w:r>
      <w:r w:rsidR="00CD1281">
        <w:rPr>
          <w:rFonts w:eastAsia="Times New Roman"/>
          <w:noProof/>
          <w:color w:val="333333"/>
          <w:szCs w:val="24"/>
          <w:lang w:eastAsia="en-IE"/>
        </w:rPr>
        <w:t>”</w:t>
      </w:r>
      <w:r w:rsidR="006B75EE" w:rsidRPr="003A5AF4">
        <w:rPr>
          <w:rFonts w:eastAsia="Times New Roman"/>
          <w:noProof/>
          <w:color w:val="333333"/>
          <w:szCs w:val="24"/>
          <w:lang w:eastAsia="en-IE"/>
        </w:rPr>
        <w:t xml:space="preserve">, </w:t>
      </w:r>
      <w:r w:rsidR="00536AB1" w:rsidRPr="00536AB1">
        <w:rPr>
          <w:rFonts w:eastAsia="Times New Roman"/>
          <w:noProof/>
          <w:color w:val="333333"/>
          <w:szCs w:val="24"/>
          <w:lang w:eastAsia="en-IE"/>
        </w:rPr>
        <w:t>including the Register of Damage and the International Centre for the Prosecution of the Crime of Aggression against Ukraine (ICPA).</w:t>
      </w:r>
    </w:p>
    <w:p w:rsidR="006B75EE" w:rsidRPr="003A5AF4" w:rsidRDefault="006B75EE" w:rsidP="006B75EE">
      <w:pPr>
        <w:shd w:val="clear" w:color="auto" w:fill="FFFFFF"/>
        <w:spacing w:before="0" w:after="0"/>
        <w:rPr>
          <w:rFonts w:eastAsia="Times New Roman"/>
          <w:noProof/>
          <w:color w:val="333333"/>
          <w:szCs w:val="24"/>
          <w:lang w:eastAsia="en-IE"/>
        </w:rPr>
      </w:pPr>
    </w:p>
    <w:p w:rsidR="00536AB1" w:rsidRPr="00536AB1" w:rsidRDefault="00536AB1" w:rsidP="00536AB1">
      <w:pPr>
        <w:shd w:val="clear" w:color="auto" w:fill="FFFFFF"/>
        <w:spacing w:before="0" w:after="0"/>
        <w:rPr>
          <w:rFonts w:eastAsia="Times New Roman"/>
          <w:noProof/>
          <w:color w:val="333333"/>
          <w:lang w:val="en-IE" w:eastAsia="en-IE"/>
        </w:rPr>
      </w:pPr>
      <w:r w:rsidRPr="00536AB1">
        <w:rPr>
          <w:rFonts w:eastAsia="Times New Roman"/>
          <w:noProof/>
          <w:color w:val="333333"/>
          <w:szCs w:val="24"/>
          <w:lang w:eastAsia="en-IE"/>
        </w:rPr>
        <w:t>On 14 January 2026, the Commission adopted a Proposal for a Regulation implementing enhanced cooperation on the establishment of the Ukraine Support Loan for Ukraine for 2026 and</w:t>
      </w:r>
      <w:r>
        <w:rPr>
          <w:rFonts w:eastAsia="Times New Roman"/>
          <w:noProof/>
          <w:color w:val="333333"/>
          <w:szCs w:val="24"/>
          <w:lang w:eastAsia="en-IE"/>
        </w:rPr>
        <w:t xml:space="preserve"> </w:t>
      </w:r>
      <w:r w:rsidR="006B75EE" w:rsidRPr="003A5AF4">
        <w:rPr>
          <w:rFonts w:eastAsia="Times New Roman"/>
          <w:noProof/>
          <w:color w:val="333333"/>
          <w:szCs w:val="24"/>
          <w:lang w:eastAsia="en-IE"/>
        </w:rPr>
        <w:t>2027</w:t>
      </w:r>
      <w:r w:rsidR="006B75EE" w:rsidRPr="003A5AF4">
        <w:rPr>
          <w:rStyle w:val="FootnoteReference"/>
          <w:rFonts w:eastAsia="Times New Roman"/>
          <w:noProof/>
          <w:color w:val="333333"/>
          <w:szCs w:val="24"/>
          <w:lang w:eastAsia="en-IE"/>
        </w:rPr>
        <w:footnoteReference w:id="10"/>
      </w:r>
      <w:r w:rsidR="006B75EE" w:rsidRPr="003A5AF4">
        <w:rPr>
          <w:rFonts w:eastAsia="Times New Roman"/>
          <w:noProof/>
          <w:color w:val="333333"/>
          <w:szCs w:val="24"/>
          <w:lang w:eastAsia="en-IE"/>
        </w:rPr>
        <w:t xml:space="preserve">. </w:t>
      </w:r>
      <w:r w:rsidRPr="00536AB1">
        <w:rPr>
          <w:rFonts w:eastAsia="Times New Roman"/>
          <w:noProof/>
          <w:color w:val="333333"/>
          <w:lang w:val="en-IE" w:eastAsia="en-IE"/>
        </w:rPr>
        <w:t>The proposal aims to ensure the establishment of a new instrument to address Ukraine’s urgent needs by providing Union assistance of EUR 90 billion in the form of a loan to be repaid from reparations due by the Russian Federation.</w:t>
      </w:r>
      <w:r>
        <w:rPr>
          <w:rFonts w:eastAsia="Times New Roman"/>
          <w:noProof/>
          <w:color w:val="333333"/>
          <w:lang w:val="en-IE" w:eastAsia="en-IE"/>
        </w:rPr>
        <w:t xml:space="preserve"> </w:t>
      </w:r>
      <w:r w:rsidRPr="00536AB1">
        <w:rPr>
          <w:rFonts w:eastAsia="Times New Roman"/>
          <w:noProof/>
          <w:color w:val="333333"/>
          <w:szCs w:val="24"/>
          <w:lang w:val="en-IE" w:eastAsia="en-IE"/>
        </w:rPr>
        <w:t>Recital 24 of the proposal provides that macro-financial assistance may be used by Ukraine to support the financing of compensation, as a form of reparations, for individuals who have suffered damage as a result of the illegal actions of Russia, including through the Claims Commission for Ukraine established under the auspices of the Council of Europe.</w:t>
      </w:r>
    </w:p>
    <w:p w:rsidR="00536AB1" w:rsidRDefault="00536AB1" w:rsidP="006B75EE">
      <w:pPr>
        <w:shd w:val="clear" w:color="auto" w:fill="FFFFFF"/>
        <w:spacing w:before="0" w:after="0"/>
        <w:rPr>
          <w:rFonts w:eastAsia="Times New Roman"/>
          <w:noProof/>
          <w:color w:val="333333"/>
          <w:szCs w:val="24"/>
          <w:lang w:eastAsia="en-IE"/>
        </w:rPr>
      </w:pPr>
    </w:p>
    <w:p w:rsidR="006B75EE" w:rsidRPr="003A5AF4" w:rsidRDefault="006B75EE" w:rsidP="006B75EE">
      <w:pPr>
        <w:shd w:val="clear" w:color="auto" w:fill="FFFFFF"/>
        <w:spacing w:before="0" w:after="0"/>
        <w:rPr>
          <w:rFonts w:eastAsia="Times New Roman"/>
          <w:noProof/>
          <w:color w:val="333333"/>
          <w:szCs w:val="24"/>
          <w:lang w:eastAsia="en-IE"/>
        </w:rPr>
      </w:pPr>
      <w:r w:rsidRPr="003A5AF4">
        <w:rPr>
          <w:rFonts w:eastAsia="Times New Roman"/>
          <w:noProof/>
          <w:color w:val="333333"/>
          <w:szCs w:val="24"/>
          <w:lang w:eastAsia="en-IE"/>
        </w:rPr>
        <w:t>On 14 January 2026, the Commission adopted a Proposal for amending the Ukraine Facilit</w:t>
      </w:r>
      <w:r w:rsidR="00536AB1">
        <w:rPr>
          <w:rFonts w:eastAsia="Times New Roman"/>
          <w:noProof/>
          <w:color w:val="333333"/>
          <w:szCs w:val="24"/>
          <w:lang w:eastAsia="en-IE"/>
        </w:rPr>
        <w:t>y Regulation</w:t>
      </w:r>
      <w:r w:rsidRPr="003A5AF4">
        <w:rPr>
          <w:rStyle w:val="FootnoteReference"/>
          <w:rFonts w:eastAsia="Times New Roman"/>
          <w:noProof/>
          <w:color w:val="333333"/>
          <w:szCs w:val="24"/>
          <w:lang w:eastAsia="en-IE"/>
        </w:rPr>
        <w:footnoteReference w:id="11"/>
      </w:r>
      <w:r w:rsidR="00536AB1">
        <w:rPr>
          <w:rFonts w:eastAsia="Times New Roman"/>
          <w:noProof/>
          <w:color w:val="333333"/>
          <w:szCs w:val="24"/>
          <w:lang w:eastAsia="en-IE"/>
        </w:rPr>
        <w:t xml:space="preserve">, </w:t>
      </w:r>
      <w:r w:rsidR="00536AB1" w:rsidRPr="00536AB1">
        <w:rPr>
          <w:rFonts w:eastAsia="Times New Roman"/>
          <w:noProof/>
          <w:color w:val="333333"/>
          <w:szCs w:val="24"/>
          <w:lang w:eastAsia="en-IE"/>
        </w:rPr>
        <w:t>based on Article 212 TFEU, as one of the instruments to enable the delivery of the EUR 90 billion financial support package to Ukraine.</w:t>
      </w:r>
    </w:p>
    <w:p w:rsidR="006B75EE" w:rsidRPr="003A5AF4" w:rsidRDefault="006B75EE" w:rsidP="006B75EE">
      <w:pPr>
        <w:shd w:val="clear" w:color="auto" w:fill="FFFFFF"/>
        <w:spacing w:before="0" w:after="0"/>
        <w:rPr>
          <w:rFonts w:eastAsia="Times New Roman"/>
          <w:noProof/>
          <w:color w:val="333333"/>
          <w:szCs w:val="24"/>
          <w:lang w:eastAsia="en-IE"/>
        </w:rPr>
      </w:pPr>
    </w:p>
    <w:p w:rsidR="00F5502B" w:rsidRPr="003A5AF4" w:rsidRDefault="00F5502B" w:rsidP="00A4693B">
      <w:pPr>
        <w:pStyle w:val="ManualHeading2"/>
        <w:rPr>
          <w:rFonts w:eastAsia="Arial Unicode MS"/>
          <w:noProof/>
        </w:rPr>
      </w:pPr>
      <w:r w:rsidRPr="003A5AF4">
        <w:rPr>
          <w:rFonts w:eastAsia="Arial Unicode MS"/>
          <w:noProof/>
          <w:color w:val="000000"/>
          <w:u w:color="000000"/>
          <w:bdr w:val="nil"/>
          <w:lang w:eastAsia="en-GB"/>
        </w:rPr>
        <w:lastRenderedPageBreak/>
        <w:t>•</w:t>
      </w:r>
      <w:r w:rsidRPr="003A5AF4">
        <w:rPr>
          <w:rFonts w:eastAsia="Arial Unicode MS"/>
          <w:noProof/>
          <w:color w:val="000000"/>
          <w:u w:color="000000"/>
          <w:bdr w:val="nil"/>
          <w:lang w:eastAsia="en-GB"/>
        </w:rPr>
        <w:tab/>
      </w:r>
      <w:r w:rsidRPr="003A5AF4">
        <w:rPr>
          <w:rFonts w:eastAsia="Arial Unicode MS"/>
          <w:noProof/>
        </w:rPr>
        <w:t>Consistency with other Union policies</w:t>
      </w:r>
    </w:p>
    <w:p w:rsidR="00536AB1" w:rsidRPr="00536AB1" w:rsidRDefault="00536AB1" w:rsidP="00536AB1">
      <w:pPr>
        <w:rPr>
          <w:noProof/>
          <w:szCs w:val="24"/>
          <w:lang w:val="en-IE"/>
        </w:rPr>
      </w:pPr>
      <w:r w:rsidRPr="00536AB1">
        <w:rPr>
          <w:noProof/>
          <w:szCs w:val="24"/>
          <w:lang w:val="en-IE"/>
        </w:rPr>
        <w:t>The proposal is consistent with the Union’s broader policies in support of Ukraine and seeks to pursue distinct but mutually reinforcing objectives within the wider accountability architecture addressing the Russian Federation’s unlawful war of aggression.</w:t>
      </w:r>
    </w:p>
    <w:p w:rsidR="00536AB1" w:rsidRPr="00536AB1" w:rsidRDefault="00536AB1" w:rsidP="00536AB1">
      <w:pPr>
        <w:rPr>
          <w:noProof/>
          <w:szCs w:val="24"/>
          <w:lang w:val="en-IE"/>
        </w:rPr>
      </w:pPr>
      <w:r w:rsidRPr="00536AB1">
        <w:rPr>
          <w:noProof/>
          <w:szCs w:val="24"/>
          <w:lang w:val="en-IE"/>
        </w:rPr>
        <w:t>On 2 February 2023, the Commission announced the establishment of the ICPA, hosted at Eurojust. Established in July 2023, the ICPA has played an instrumental role in strengthening national investigations into the crime of aggression carried out by Ukraine and five Member States, by securing evidence and facilitating joint case-building for future proceedings before the Special Tribunal.</w:t>
      </w:r>
    </w:p>
    <w:p w:rsidR="00536AB1" w:rsidRDefault="00536AB1" w:rsidP="00536AB1">
      <w:pPr>
        <w:rPr>
          <w:noProof/>
          <w:szCs w:val="24"/>
          <w:lang w:val="en-IE"/>
        </w:rPr>
      </w:pPr>
      <w:r w:rsidRPr="00536AB1">
        <w:rPr>
          <w:noProof/>
          <w:szCs w:val="24"/>
          <w:lang w:val="en-IE"/>
        </w:rPr>
        <w:t>Between January 2023 and March 2025, the Union participated in the Core Group on the Establishment of a Special Tribunal for the Crime of Aggression against Ukraine (</w:t>
      </w:r>
      <w:r w:rsidR="00CD1281">
        <w:rPr>
          <w:noProof/>
          <w:szCs w:val="24"/>
          <w:lang w:val="en-IE"/>
        </w:rPr>
        <w:t xml:space="preserve">hereinafter </w:t>
      </w:r>
      <w:r w:rsidR="00A91359">
        <w:rPr>
          <w:noProof/>
          <w:szCs w:val="24"/>
          <w:lang w:val="en-IE"/>
        </w:rPr>
        <w:t>‘</w:t>
      </w:r>
      <w:r w:rsidRPr="00536AB1">
        <w:rPr>
          <w:noProof/>
          <w:szCs w:val="24"/>
          <w:lang w:val="en-IE"/>
        </w:rPr>
        <w:t>Core Group</w:t>
      </w:r>
      <w:r w:rsidR="00A91359">
        <w:rPr>
          <w:noProof/>
          <w:szCs w:val="24"/>
          <w:lang w:val="en-IE"/>
        </w:rPr>
        <w:t>’</w:t>
      </w:r>
      <w:r w:rsidRPr="00536AB1">
        <w:rPr>
          <w:noProof/>
          <w:szCs w:val="24"/>
          <w:lang w:val="en-IE"/>
        </w:rPr>
        <w:t xml:space="preserve">), which discussed the modalities for establishing a tribunal empowered to investigate, prosecute, and try persons bearing the greatest responsibility for the crime of aggression against Ukraine. </w:t>
      </w:r>
    </w:p>
    <w:p w:rsidR="00536AB1" w:rsidRPr="00536AB1" w:rsidRDefault="00536AB1" w:rsidP="00536AB1">
      <w:pPr>
        <w:rPr>
          <w:noProof/>
          <w:szCs w:val="24"/>
          <w:lang w:val="en-IE"/>
        </w:rPr>
      </w:pPr>
      <w:r w:rsidRPr="00536AB1">
        <w:rPr>
          <w:noProof/>
          <w:szCs w:val="24"/>
          <w:lang w:val="en-IE"/>
        </w:rPr>
        <w:t>On 9 May 2025, the Ministers for Foreign Affairs and other representatives of the participants in the Core Group convened in Lviv and adopted the “Lviv Statement,” committing to the establishment of the Special Tribunal within the framework of the Council of Europe, to the swift commencement of its operations, and to supporting its effective functioning, while acknowledging the instrumental contribution of the Commission and the European External Action Service throughout the process.</w:t>
      </w:r>
    </w:p>
    <w:p w:rsidR="00536AB1" w:rsidRDefault="00536AB1" w:rsidP="006B75EE">
      <w:pPr>
        <w:rPr>
          <w:noProof/>
          <w:szCs w:val="24"/>
          <w:lang w:val="en-IE"/>
        </w:rPr>
      </w:pPr>
      <w:r w:rsidRPr="00536AB1">
        <w:rPr>
          <w:noProof/>
          <w:szCs w:val="24"/>
          <w:lang w:val="en-IE"/>
        </w:rPr>
        <w:t>On 25 June 2025, Ukraine and the Council of Europe signed an agreement establishing the Special Tribunal</w:t>
      </w:r>
      <w:r w:rsidR="00940774">
        <w:rPr>
          <w:rStyle w:val="FootnoteReference"/>
          <w:noProof/>
          <w:szCs w:val="24"/>
          <w:lang w:val="en-IE"/>
        </w:rPr>
        <w:footnoteReference w:id="12"/>
      </w:r>
      <w:r w:rsidRPr="00536AB1">
        <w:rPr>
          <w:noProof/>
          <w:szCs w:val="24"/>
          <w:lang w:val="en-IE"/>
        </w:rPr>
        <w:t>. Subsequently, work has continued within the Council of Europe</w:t>
      </w:r>
      <w:r w:rsidR="00CD1281">
        <w:rPr>
          <w:noProof/>
          <w:szCs w:val="24"/>
          <w:lang w:val="en-IE"/>
        </w:rPr>
        <w:t>’s</w:t>
      </w:r>
      <w:r w:rsidRPr="00536AB1">
        <w:rPr>
          <w:noProof/>
          <w:szCs w:val="24"/>
          <w:lang w:val="en-IE"/>
        </w:rPr>
        <w:t xml:space="preserve"> framework to finalise the necessary legal acts</w:t>
      </w:r>
      <w:r w:rsidR="00CD1281">
        <w:rPr>
          <w:noProof/>
          <w:szCs w:val="24"/>
          <w:lang w:val="en-IE"/>
        </w:rPr>
        <w:t xml:space="preserve"> to establish the Tribunal</w:t>
      </w:r>
      <w:r w:rsidRPr="00536AB1">
        <w:rPr>
          <w:noProof/>
          <w:szCs w:val="24"/>
          <w:lang w:val="en-IE"/>
        </w:rPr>
        <w:t>, in particular the Enlarged Partial Agreement on the Management Committee of the Special Tribunal</w:t>
      </w:r>
      <w:r>
        <w:rPr>
          <w:noProof/>
          <w:szCs w:val="24"/>
          <w:lang w:val="en-IE"/>
        </w:rPr>
        <w:t xml:space="preserve">. </w:t>
      </w:r>
    </w:p>
    <w:p w:rsidR="006B75EE" w:rsidRPr="00536AB1" w:rsidRDefault="00536AB1" w:rsidP="006B75EE">
      <w:pPr>
        <w:rPr>
          <w:noProof/>
          <w:szCs w:val="24"/>
          <w:lang w:val="en-IE"/>
        </w:rPr>
      </w:pPr>
      <w:r>
        <w:rPr>
          <w:noProof/>
          <w:szCs w:val="24"/>
          <w:lang w:val="en-IE"/>
        </w:rPr>
        <w:t xml:space="preserve">Further </w:t>
      </w:r>
      <w:r w:rsidR="00A06343">
        <w:rPr>
          <w:noProof/>
          <w:szCs w:val="24"/>
          <w:lang w:val="en-IE"/>
        </w:rPr>
        <w:t>testament</w:t>
      </w:r>
      <w:r>
        <w:rPr>
          <w:noProof/>
          <w:szCs w:val="24"/>
          <w:lang w:val="en-IE"/>
        </w:rPr>
        <w:t xml:space="preserve"> to th</w:t>
      </w:r>
      <w:r w:rsidR="00CD1281">
        <w:rPr>
          <w:noProof/>
          <w:szCs w:val="24"/>
          <w:lang w:val="en-IE"/>
        </w:rPr>
        <w:t>e Union’s commitment to support Ukraine and ensure accountability for the international crimes committed in and against Ukraine</w:t>
      </w:r>
      <w:r>
        <w:rPr>
          <w:noProof/>
          <w:szCs w:val="24"/>
          <w:lang w:val="en-IE"/>
        </w:rPr>
        <w:t xml:space="preserve"> is the</w:t>
      </w:r>
      <w:r w:rsidR="006B75EE" w:rsidRPr="003A5AF4">
        <w:rPr>
          <w:noProof/>
          <w:szCs w:val="24"/>
        </w:rPr>
        <w:t xml:space="preserve"> Union</w:t>
      </w:r>
      <w:r>
        <w:rPr>
          <w:noProof/>
          <w:szCs w:val="24"/>
        </w:rPr>
        <w:t>’s</w:t>
      </w:r>
      <w:r w:rsidR="006B75EE" w:rsidRPr="003A5AF4">
        <w:rPr>
          <w:noProof/>
          <w:szCs w:val="24"/>
        </w:rPr>
        <w:t xml:space="preserve"> suppor</w:t>
      </w:r>
      <w:r>
        <w:rPr>
          <w:noProof/>
          <w:szCs w:val="24"/>
        </w:rPr>
        <w:t>t to</w:t>
      </w:r>
      <w:r w:rsidR="006B75EE" w:rsidRPr="003A5AF4">
        <w:rPr>
          <w:noProof/>
          <w:szCs w:val="24"/>
        </w:rPr>
        <w:t xml:space="preserve"> the Advance Team preparing the Special Tribunal with EUR 10 million for 24 months</w:t>
      </w:r>
      <w:r>
        <w:rPr>
          <w:noProof/>
          <w:szCs w:val="24"/>
        </w:rPr>
        <w:t xml:space="preserve"> as of</w:t>
      </w:r>
      <w:r w:rsidRPr="003A5AF4">
        <w:rPr>
          <w:noProof/>
          <w:szCs w:val="24"/>
        </w:rPr>
        <w:t xml:space="preserve"> January 202</w:t>
      </w:r>
      <w:r>
        <w:rPr>
          <w:noProof/>
          <w:szCs w:val="24"/>
        </w:rPr>
        <w:t>6</w:t>
      </w:r>
      <w:r w:rsidR="006B75EE" w:rsidRPr="003A5AF4">
        <w:rPr>
          <w:rStyle w:val="FootnoteReference"/>
          <w:noProof/>
          <w:szCs w:val="24"/>
        </w:rPr>
        <w:footnoteReference w:id="13"/>
      </w:r>
      <w:r w:rsidR="006B75EE" w:rsidRPr="003A5AF4">
        <w:rPr>
          <w:noProof/>
          <w:szCs w:val="24"/>
        </w:rPr>
        <w:t xml:space="preserve"> via </w:t>
      </w:r>
      <w:r w:rsidR="00565CD4" w:rsidRPr="003A5AF4">
        <w:rPr>
          <w:noProof/>
          <w:szCs w:val="24"/>
        </w:rPr>
        <w:t>the Neighbourhood, Development and International Cooperation Instrument (NDICI-Global Europe)</w:t>
      </w:r>
      <w:r w:rsidR="008468B7" w:rsidRPr="003A5AF4">
        <w:rPr>
          <w:rStyle w:val="FootnoteReference"/>
          <w:noProof/>
          <w:szCs w:val="24"/>
        </w:rPr>
        <w:footnoteReference w:id="14"/>
      </w:r>
      <w:r w:rsidR="00565CD4" w:rsidRPr="003A5AF4">
        <w:rPr>
          <w:noProof/>
          <w:szCs w:val="24"/>
        </w:rPr>
        <w:t>.</w:t>
      </w:r>
    </w:p>
    <w:p w:rsidR="00AF4947" w:rsidRPr="00AF4947" w:rsidRDefault="006B75EE" w:rsidP="00AF4947">
      <w:pPr>
        <w:rPr>
          <w:noProof/>
          <w:lang w:val="en-IE"/>
        </w:rPr>
      </w:pPr>
      <w:r w:rsidRPr="003A5AF4">
        <w:rPr>
          <w:noProof/>
          <w:szCs w:val="24"/>
        </w:rPr>
        <w:t xml:space="preserve">The </w:t>
      </w:r>
      <w:r w:rsidR="00AF4947" w:rsidRPr="00AF4947">
        <w:rPr>
          <w:noProof/>
          <w:lang w:val="en-IE"/>
        </w:rPr>
        <w:t>present proposal also complements the Union’s active participation in coordination platforms such as the US-UK-EU Atrocity Crimes Advisory Group, which provides expert assistance to the Office of the Prosecutor General of Ukraine, and the Dialogue Group, which serves as a hub for coordinating support to Ukraine’s justice sector by international organisations, civil society actors, and donors.</w:t>
      </w:r>
    </w:p>
    <w:p w:rsidR="00AF4947" w:rsidRPr="00AF4947" w:rsidRDefault="00AF4947" w:rsidP="00AF4947">
      <w:pPr>
        <w:rPr>
          <w:noProof/>
          <w:szCs w:val="24"/>
          <w:lang w:val="en-IE"/>
        </w:rPr>
      </w:pPr>
      <w:r w:rsidRPr="00AF4947">
        <w:rPr>
          <w:noProof/>
          <w:szCs w:val="24"/>
          <w:lang w:val="en-IE"/>
        </w:rPr>
        <w:t xml:space="preserve">Finally, the proposal is consistent with the Union’s policy of imposing an ever-expanding range of restrictive measures against the Russian Federation, with a view to increasing the costs borne by the Russian Federation for its illegal actions and constraining its ability to </w:t>
      </w:r>
      <w:r w:rsidRPr="00AF4947">
        <w:rPr>
          <w:noProof/>
          <w:szCs w:val="24"/>
          <w:lang w:val="en-IE"/>
        </w:rPr>
        <w:lastRenderedPageBreak/>
        <w:t>continue its aggression</w:t>
      </w:r>
      <w:r w:rsidR="00977D86">
        <w:rPr>
          <w:rStyle w:val="FootnoteReference"/>
          <w:noProof/>
          <w:szCs w:val="24"/>
          <w:lang w:val="en-IE"/>
        </w:rPr>
        <w:footnoteReference w:id="15"/>
      </w:r>
      <w:r w:rsidRPr="00AF4947">
        <w:rPr>
          <w:noProof/>
          <w:szCs w:val="24"/>
          <w:lang w:val="en-IE"/>
        </w:rPr>
        <w:t xml:space="preserve">. To strengthen the enforcement of restrictive measures, the Union has, </w:t>
      </w:r>
      <w:r w:rsidRPr="00AF4947">
        <w:rPr>
          <w:i/>
          <w:iCs/>
          <w:noProof/>
          <w:szCs w:val="24"/>
          <w:lang w:val="en-IE"/>
        </w:rPr>
        <w:t>inter alia</w:t>
      </w:r>
      <w:r w:rsidRPr="00AF4947">
        <w:rPr>
          <w:noProof/>
          <w:szCs w:val="24"/>
          <w:lang w:val="en-IE"/>
        </w:rPr>
        <w:t>, established the Freeze and Seize Task Force and adopted Directive (EU) 2024/1226</w:t>
      </w:r>
      <w:r w:rsidR="001948D1">
        <w:rPr>
          <w:rStyle w:val="FootnoteReference"/>
          <w:noProof/>
          <w:szCs w:val="24"/>
          <w:lang w:val="en-IE"/>
        </w:rPr>
        <w:footnoteReference w:id="16"/>
      </w:r>
      <w:r w:rsidRPr="00AF4947">
        <w:rPr>
          <w:noProof/>
          <w:szCs w:val="24"/>
          <w:lang w:val="en-IE"/>
        </w:rPr>
        <w:t xml:space="preserve">, which harmonises the definition of, and criminal penalties for, violations of Union restrictive measures. In addition, the Commission has appointed an EU Sanctions Envoy to ensure continuous </w:t>
      </w:r>
      <w:r w:rsidR="00940774" w:rsidRPr="00AF4947">
        <w:rPr>
          <w:noProof/>
          <w:szCs w:val="24"/>
          <w:lang w:val="en-IE"/>
        </w:rPr>
        <w:t>high</w:t>
      </w:r>
      <w:r w:rsidR="00940774">
        <w:rPr>
          <w:noProof/>
          <w:szCs w:val="24"/>
          <w:lang w:val="en-IE"/>
        </w:rPr>
        <w:t>-level</w:t>
      </w:r>
      <w:r w:rsidRPr="00AF4947">
        <w:rPr>
          <w:noProof/>
          <w:szCs w:val="24"/>
          <w:lang w:val="en-IE"/>
        </w:rPr>
        <w:t xml:space="preserve"> engagement with third countries on preventing the evasion or circumvention of Union restrictive measures</w:t>
      </w:r>
      <w:r>
        <w:rPr>
          <w:noProof/>
          <w:szCs w:val="24"/>
          <w:lang w:val="en-IE"/>
        </w:rPr>
        <w:t xml:space="preserve">, </w:t>
      </w:r>
      <w:r w:rsidRPr="00AF4947">
        <w:rPr>
          <w:noProof/>
          <w:szCs w:val="24"/>
          <w:lang w:val="en-IE"/>
        </w:rPr>
        <w:t>particularly those adopted against the Russian Federation</w:t>
      </w:r>
      <w:r>
        <w:rPr>
          <w:noProof/>
          <w:szCs w:val="24"/>
          <w:lang w:val="en-IE"/>
        </w:rPr>
        <w:t xml:space="preserve">, </w:t>
      </w:r>
      <w:r w:rsidRPr="00AF4947">
        <w:rPr>
          <w:noProof/>
          <w:szCs w:val="24"/>
          <w:lang w:val="en-IE"/>
        </w:rPr>
        <w:t>and has published guidance for national authorities and private operators on the interpretation of the relevant Union rules.</w:t>
      </w:r>
    </w:p>
    <w:p w:rsidR="006B75EE" w:rsidRPr="003A5AF4" w:rsidRDefault="006B75EE" w:rsidP="00536AB1">
      <w:pPr>
        <w:rPr>
          <w:noProof/>
          <w:szCs w:val="24"/>
        </w:rPr>
      </w:pPr>
    </w:p>
    <w:p w:rsidR="00F5502B" w:rsidRPr="003A5AF4" w:rsidRDefault="00F5502B" w:rsidP="00550536">
      <w:pPr>
        <w:pStyle w:val="ManualHeading1"/>
        <w:rPr>
          <w:noProof/>
        </w:rPr>
      </w:pPr>
      <w:r w:rsidRPr="003A5AF4">
        <w:rPr>
          <w:noProof/>
        </w:rPr>
        <w:t>2.</w:t>
      </w:r>
      <w:r w:rsidRPr="003A5AF4">
        <w:rPr>
          <w:noProof/>
        </w:rPr>
        <w:tab/>
        <w:t>LEGAL BASIS, SUBSIDIARITY AND PROPORTIONALITY</w:t>
      </w:r>
    </w:p>
    <w:p w:rsidR="00AF4947" w:rsidRDefault="00AF4947" w:rsidP="00AF4947">
      <w:pPr>
        <w:pBdr>
          <w:top w:val="nil"/>
          <w:left w:val="nil"/>
          <w:bottom w:val="nil"/>
          <w:right w:val="nil"/>
          <w:between w:val="nil"/>
          <w:bar w:val="nil"/>
        </w:pBdr>
        <w:rPr>
          <w:rFonts w:eastAsia="Arial Unicode MS"/>
          <w:noProof/>
        </w:rPr>
      </w:pPr>
      <w:r w:rsidRPr="00AF4947">
        <w:rPr>
          <w:rFonts w:eastAsia="Arial Unicode MS"/>
          <w:noProof/>
        </w:rPr>
        <w:t>The substantive legal basis for the adoption of the Council Decision authorising the conclusion of the Convention is Article 212 TFEU. Likewise, Council Decision (EU) 2025/2655 on the signing of the Convention was adopted on the substantive legal basis of Article 212 TFEU.</w:t>
      </w:r>
    </w:p>
    <w:p w:rsidR="00AF4947" w:rsidRDefault="00AF4947" w:rsidP="00AF4947">
      <w:pPr>
        <w:rPr>
          <w:rFonts w:eastAsia="Arial Unicode MS"/>
          <w:noProof/>
        </w:rPr>
      </w:pPr>
      <w:r w:rsidRPr="00AF4947">
        <w:rPr>
          <w:rFonts w:eastAsia="Arial Unicode MS"/>
          <w:noProof/>
        </w:rPr>
        <w:t>The procedural legal basis for the adoption of the Council Decision authorising the conclusion of the Convention is Article 218(6)(a)(v) TFEU, which provides that the Council sh</w:t>
      </w:r>
      <w:r w:rsidR="00CD1281">
        <w:rPr>
          <w:rFonts w:eastAsia="Arial Unicode MS"/>
          <w:noProof/>
        </w:rPr>
        <w:t>ould</w:t>
      </w:r>
      <w:r w:rsidRPr="00AF4947">
        <w:rPr>
          <w:rFonts w:eastAsia="Arial Unicode MS"/>
          <w:noProof/>
        </w:rPr>
        <w:t xml:space="preserve"> adopt a decision concluding the agreement after obtaining the consent of the European Parliament.</w:t>
      </w:r>
    </w:p>
    <w:p w:rsidR="00AF4947" w:rsidRDefault="00AF4947" w:rsidP="00AF4947">
      <w:pPr>
        <w:rPr>
          <w:noProof/>
        </w:rPr>
      </w:pPr>
      <w:r w:rsidRPr="00AF4947">
        <w:rPr>
          <w:noProof/>
        </w:rPr>
        <w:t>As illustrated by the United Nations General Assembly resolutions referred to above and in the preamble to the Convention, the Claims Commission is to be established in order to ensure that victims of the Russian Federation’s aggression against Ukraine, in manifest violation of Article 2(4) of the United Nations Charter, are duly compensated for the damage they have suffered as a result of Russia’s internationally wrongful acts, in accordance with international law. The establishment of this mechanism therefore also forms part of the broader efforts of the international community to ensure respect for human rights and the principles of international law, as well as for international peace and security. From the perspective of the Union, participation in this mechanism corresponds to the objectives underpinning the Union’s external action, as set out in Article 21(2)</w:t>
      </w:r>
      <w:r w:rsidR="006733CB">
        <w:rPr>
          <w:noProof/>
        </w:rPr>
        <w:t xml:space="preserve"> of the Treaty on European Union</w:t>
      </w:r>
      <w:r w:rsidRPr="00AF4947">
        <w:rPr>
          <w:noProof/>
        </w:rPr>
        <w:t xml:space="preserve"> </w:t>
      </w:r>
      <w:r w:rsidR="006733CB">
        <w:rPr>
          <w:noProof/>
        </w:rPr>
        <w:t>(</w:t>
      </w:r>
      <w:r w:rsidRPr="00AF4947">
        <w:rPr>
          <w:noProof/>
        </w:rPr>
        <w:t>TEU</w:t>
      </w:r>
      <w:r w:rsidR="006733CB">
        <w:rPr>
          <w:noProof/>
        </w:rPr>
        <w:t>)</w:t>
      </w:r>
      <w:r w:rsidRPr="00AF4947">
        <w:rPr>
          <w:noProof/>
        </w:rPr>
        <w:t>.</w:t>
      </w:r>
    </w:p>
    <w:p w:rsidR="00AF4947" w:rsidRPr="003A5AF4" w:rsidRDefault="00AF4947" w:rsidP="00AF4947">
      <w:pPr>
        <w:rPr>
          <w:rStyle w:val="eop"/>
          <w:noProof/>
        </w:rPr>
      </w:pP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 xml:space="preserve">Subsidiarity (for non-exclusive competence) </w:t>
      </w:r>
    </w:p>
    <w:p w:rsidR="00AF4947" w:rsidRPr="00AF4947" w:rsidRDefault="00AF4947" w:rsidP="00AF4947">
      <w:pPr>
        <w:pBdr>
          <w:top w:val="nil"/>
          <w:left w:val="nil"/>
          <w:bottom w:val="nil"/>
          <w:right w:val="nil"/>
          <w:between w:val="nil"/>
          <w:bar w:val="nil"/>
        </w:pBdr>
        <w:rPr>
          <w:noProof/>
          <w:lang w:val="en-IE"/>
        </w:rPr>
      </w:pPr>
      <w:r w:rsidRPr="00AF4947">
        <w:rPr>
          <w:noProof/>
          <w:lang w:val="en-IE"/>
        </w:rPr>
        <w:t>In accordance with Article 216(1) TFEU, the Union’s conclusion of the Convention establishing an International Claims Commission for Ukraine falls within the Union’s external competence.</w:t>
      </w:r>
    </w:p>
    <w:p w:rsidR="00AF4947" w:rsidRPr="00AF4947" w:rsidRDefault="00AF4947" w:rsidP="00AF4947">
      <w:pPr>
        <w:pBdr>
          <w:top w:val="nil"/>
          <w:left w:val="nil"/>
          <w:bottom w:val="nil"/>
          <w:right w:val="nil"/>
          <w:between w:val="nil"/>
          <w:bar w:val="nil"/>
        </w:pBdr>
        <w:rPr>
          <w:noProof/>
          <w:lang w:val="en-IE"/>
        </w:rPr>
      </w:pPr>
      <w:r w:rsidRPr="00AF4947">
        <w:rPr>
          <w:noProof/>
          <w:lang w:val="en-IE"/>
        </w:rPr>
        <w:t>Pursuant to the second subparagraph of Article 212(3) TFEU, the Union’s conclusion of the Convention does not affect the competence of the Member States “to conclude international agreements.</w:t>
      </w:r>
      <w:r>
        <w:rPr>
          <w:noProof/>
          <w:lang w:val="en-IE"/>
        </w:rPr>
        <w:t>”</w:t>
      </w:r>
      <w:r w:rsidRPr="00AF4947">
        <w:rPr>
          <w:noProof/>
          <w:lang w:val="en-IE"/>
        </w:rPr>
        <w:t xml:space="preserve"> This provision, read in conjunction with Article 4(4) TFEU, confirms the </w:t>
      </w:r>
      <w:r w:rsidRPr="00AF4947">
        <w:rPr>
          <w:noProof/>
          <w:lang w:val="en-IE"/>
        </w:rPr>
        <w:lastRenderedPageBreak/>
        <w:t>parallel nature of the competence and allows Member States to become Parties to the Convention alongside the Union, should they wish to do so.</w:t>
      </w:r>
    </w:p>
    <w:p w:rsidR="00AF4947" w:rsidRPr="00AF4947" w:rsidRDefault="00AF4947" w:rsidP="00AF4947">
      <w:pPr>
        <w:pBdr>
          <w:top w:val="nil"/>
          <w:left w:val="nil"/>
          <w:bottom w:val="nil"/>
          <w:right w:val="nil"/>
          <w:between w:val="nil"/>
          <w:bar w:val="nil"/>
        </w:pBdr>
        <w:rPr>
          <w:noProof/>
          <w:lang w:val="en-IE"/>
        </w:rPr>
      </w:pPr>
      <w:r w:rsidRPr="00AF4947">
        <w:rPr>
          <w:noProof/>
          <w:lang w:val="en-IE"/>
        </w:rPr>
        <w:t>The proposed initiative is also consistent with the principle of subsidiarity, as set out in Article 5(3) TEU, as it represents a coherent step towards the broader goal shared by the Union and the Member States</w:t>
      </w:r>
      <w:r w:rsidR="00CD1281">
        <w:rPr>
          <w:noProof/>
          <w:lang w:val="en-IE"/>
        </w:rPr>
        <w:t xml:space="preserve"> of</w:t>
      </w:r>
      <w:r w:rsidRPr="00AF4947">
        <w:rPr>
          <w:noProof/>
          <w:lang w:val="en-IE"/>
        </w:rPr>
        <w:t xml:space="preserve"> the establishment of a mechanism to decide on claims for compensation for damage, loss, or injury caused by internationally wrongful acts committed by the Russian Federation in or against Ukraine. The added value of action at Union level lies in the Union’s capacity to coordinate a coherent and unified position internationally, to reinforce its political and legal commitment to accountability, and to ensure consistency with its broader external action and support to Ukraine.</w:t>
      </w:r>
    </w:p>
    <w:p w:rsidR="006B75EE" w:rsidRPr="003A5AF4" w:rsidRDefault="006B75EE" w:rsidP="006B75EE">
      <w:pPr>
        <w:pBdr>
          <w:top w:val="nil"/>
          <w:left w:val="nil"/>
          <w:bottom w:val="nil"/>
          <w:right w:val="nil"/>
          <w:between w:val="nil"/>
          <w:bar w:val="nil"/>
        </w:pBdr>
        <w:rPr>
          <w:rFonts w:eastAsia="Arial Unicode MS"/>
          <w:noProof/>
        </w:rPr>
      </w:pP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Proportionality</w:t>
      </w:r>
    </w:p>
    <w:p w:rsidR="006B75EE" w:rsidRDefault="00AF4947" w:rsidP="006B75EE">
      <w:pPr>
        <w:pBdr>
          <w:top w:val="nil"/>
          <w:left w:val="nil"/>
          <w:bottom w:val="nil"/>
          <w:right w:val="nil"/>
          <w:between w:val="nil"/>
          <w:bar w:val="nil"/>
        </w:pBdr>
        <w:rPr>
          <w:noProof/>
        </w:rPr>
      </w:pPr>
      <w:r w:rsidRPr="00AF4947">
        <w:rPr>
          <w:noProof/>
        </w:rPr>
        <w:t>The proposal is consistent with the principle of proportionality, as set out in Article 5(4) TEU, since the objectives described above can only be effectively achieved through the Union’s conclusion of the Convention establishing an International Claims Commission for Ukraine.</w:t>
      </w:r>
    </w:p>
    <w:p w:rsidR="00AF4947" w:rsidRPr="003A5AF4" w:rsidRDefault="00AF4947" w:rsidP="006B75EE">
      <w:pPr>
        <w:pBdr>
          <w:top w:val="nil"/>
          <w:left w:val="nil"/>
          <w:bottom w:val="nil"/>
          <w:right w:val="nil"/>
          <w:between w:val="nil"/>
          <w:bar w:val="nil"/>
        </w:pBdr>
        <w:rPr>
          <w:noProof/>
        </w:rPr>
      </w:pP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Choice of the instrument</w:t>
      </w:r>
    </w:p>
    <w:p w:rsidR="006B75EE" w:rsidRPr="003A5AF4" w:rsidRDefault="00AF4947" w:rsidP="006B75EE">
      <w:pPr>
        <w:rPr>
          <w:noProof/>
        </w:rPr>
      </w:pPr>
      <w:r w:rsidRPr="00AF4947">
        <w:rPr>
          <w:noProof/>
        </w:rPr>
        <w:t xml:space="preserve">The </w:t>
      </w:r>
      <w:r w:rsidR="00601C46">
        <w:rPr>
          <w:noProof/>
        </w:rPr>
        <w:t xml:space="preserve">Union’s </w:t>
      </w:r>
      <w:r w:rsidRPr="00AF4947">
        <w:rPr>
          <w:noProof/>
        </w:rPr>
        <w:t>conclusion of the Convention requires a proposal for a Council Decision pursuant to Article 218(6) TFEU, under which the Council may authorise the conclusion of an international agreement.</w:t>
      </w:r>
    </w:p>
    <w:p w:rsidR="00F5502B" w:rsidRPr="003A5AF4" w:rsidRDefault="00F5502B" w:rsidP="00550536">
      <w:pPr>
        <w:pStyle w:val="ManualHeading1"/>
        <w:rPr>
          <w:noProof/>
        </w:rPr>
      </w:pPr>
      <w:r w:rsidRPr="003A5AF4">
        <w:rPr>
          <w:noProof/>
        </w:rPr>
        <w:t>3.</w:t>
      </w:r>
      <w:r w:rsidRPr="003A5AF4">
        <w:rPr>
          <w:noProof/>
        </w:rPr>
        <w:tab/>
        <w:t>RESULTS OF EX-POST EVALUATIONS, STAKEHOLDER CONSULTATIONS AND IMPACT ASSESSMENTS</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Ex-post evaluations/fitness checks of existing legislation</w:t>
      </w:r>
    </w:p>
    <w:p w:rsidR="006B75EE" w:rsidRPr="003A5AF4" w:rsidRDefault="006B75EE" w:rsidP="006B75EE">
      <w:pPr>
        <w:pBdr>
          <w:top w:val="nil"/>
          <w:left w:val="nil"/>
          <w:bottom w:val="nil"/>
          <w:right w:val="nil"/>
          <w:between w:val="nil"/>
          <w:bar w:val="nil"/>
        </w:pBdr>
        <w:spacing w:before="0" w:after="240"/>
        <w:rPr>
          <w:noProof/>
        </w:rPr>
      </w:pPr>
      <w:r w:rsidRPr="003A5AF4">
        <w:rPr>
          <w:noProof/>
        </w:rPr>
        <w:t xml:space="preserve">Not applicable. </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Stakeholder consultations</w:t>
      </w:r>
    </w:p>
    <w:p w:rsidR="006B75EE" w:rsidRPr="003A5AF4" w:rsidRDefault="006B75EE" w:rsidP="006B75EE">
      <w:pPr>
        <w:pBdr>
          <w:top w:val="nil"/>
          <w:left w:val="nil"/>
          <w:bottom w:val="nil"/>
          <w:right w:val="nil"/>
          <w:between w:val="nil"/>
          <w:bar w:val="nil"/>
        </w:pBdr>
        <w:spacing w:before="0" w:after="240"/>
        <w:rPr>
          <w:noProof/>
        </w:rPr>
      </w:pPr>
      <w:r w:rsidRPr="003A5AF4">
        <w:rPr>
          <w:noProof/>
        </w:rPr>
        <w:t xml:space="preserve">Not applicable. </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Collection and use of expertise</w:t>
      </w:r>
    </w:p>
    <w:p w:rsidR="006B75EE" w:rsidRPr="003A5AF4" w:rsidRDefault="006B75EE" w:rsidP="006B75EE">
      <w:pPr>
        <w:pBdr>
          <w:top w:val="nil"/>
          <w:left w:val="nil"/>
          <w:bottom w:val="nil"/>
          <w:right w:val="nil"/>
          <w:between w:val="nil"/>
          <w:bar w:val="nil"/>
        </w:pBdr>
        <w:spacing w:before="0" w:after="240"/>
        <w:rPr>
          <w:noProof/>
        </w:rPr>
      </w:pPr>
      <w:r w:rsidRPr="003A5AF4">
        <w:rPr>
          <w:noProof/>
        </w:rPr>
        <w:t xml:space="preserve">Not applicable. </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Impact assessment</w:t>
      </w:r>
    </w:p>
    <w:p w:rsidR="006B75EE" w:rsidRPr="003A5AF4" w:rsidRDefault="006B75EE" w:rsidP="006B75EE">
      <w:pPr>
        <w:pBdr>
          <w:top w:val="nil"/>
          <w:left w:val="nil"/>
          <w:bottom w:val="nil"/>
          <w:right w:val="nil"/>
          <w:between w:val="nil"/>
          <w:bar w:val="nil"/>
        </w:pBdr>
        <w:spacing w:before="0" w:after="240"/>
        <w:rPr>
          <w:noProof/>
        </w:rPr>
      </w:pPr>
      <w:r w:rsidRPr="003A5AF4">
        <w:rPr>
          <w:noProof/>
        </w:rPr>
        <w:t xml:space="preserve">Not applicable. </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Regulatory fitness and simplification</w:t>
      </w:r>
    </w:p>
    <w:p w:rsidR="006B75EE" w:rsidRPr="003A5AF4" w:rsidRDefault="006B75EE" w:rsidP="006B75EE">
      <w:pPr>
        <w:pBdr>
          <w:top w:val="nil"/>
          <w:left w:val="nil"/>
          <w:bottom w:val="nil"/>
          <w:right w:val="nil"/>
          <w:between w:val="nil"/>
          <w:bar w:val="nil"/>
        </w:pBdr>
        <w:spacing w:before="0" w:after="240"/>
        <w:rPr>
          <w:noProof/>
        </w:rPr>
      </w:pPr>
      <w:r w:rsidRPr="003A5AF4">
        <w:rPr>
          <w:noProof/>
        </w:rPr>
        <w:t xml:space="preserve">Not applicable. </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Fundamental rights</w:t>
      </w:r>
    </w:p>
    <w:p w:rsidR="006B75EE" w:rsidRPr="003A5AF4" w:rsidRDefault="006B75EE" w:rsidP="006B75EE">
      <w:pPr>
        <w:pBdr>
          <w:top w:val="nil"/>
          <w:left w:val="nil"/>
          <w:bottom w:val="nil"/>
          <w:right w:val="nil"/>
          <w:between w:val="nil"/>
          <w:bar w:val="nil"/>
        </w:pBdr>
        <w:spacing w:before="0" w:after="240"/>
        <w:rPr>
          <w:noProof/>
        </w:rPr>
      </w:pPr>
      <w:r w:rsidRPr="003A5AF4">
        <w:rPr>
          <w:noProof/>
        </w:rPr>
        <w:t xml:space="preserve">Not applicable. </w:t>
      </w:r>
    </w:p>
    <w:p w:rsidR="00F5502B" w:rsidRPr="003A5AF4" w:rsidRDefault="00F5502B" w:rsidP="00550536">
      <w:pPr>
        <w:pStyle w:val="ManualHeading1"/>
        <w:rPr>
          <w:noProof/>
        </w:rPr>
      </w:pPr>
      <w:r w:rsidRPr="003A5AF4">
        <w:rPr>
          <w:noProof/>
        </w:rPr>
        <w:t>4.</w:t>
      </w:r>
      <w:r w:rsidRPr="003A5AF4">
        <w:rPr>
          <w:noProof/>
        </w:rPr>
        <w:tab/>
        <w:t>BUDGETARY IMPLICATIONS</w:t>
      </w:r>
    </w:p>
    <w:p w:rsidR="00AF4947" w:rsidRDefault="00AF4947" w:rsidP="006B75EE">
      <w:pPr>
        <w:spacing w:line="259" w:lineRule="auto"/>
        <w:rPr>
          <w:noProof/>
        </w:rPr>
      </w:pPr>
      <w:r w:rsidRPr="00AF4947">
        <w:rPr>
          <w:noProof/>
        </w:rPr>
        <w:t xml:space="preserve">In accordance with international law, and as stipulated by the Convention, the Russian Federation should bear the costs of the work of the Claims Commission. Until such time as </w:t>
      </w:r>
      <w:r w:rsidRPr="00AF4947">
        <w:rPr>
          <w:noProof/>
        </w:rPr>
        <w:lastRenderedPageBreak/>
        <w:t>the Russian Federation becomes a Member of the Commission, the Convention provides that the Claims Commission sh</w:t>
      </w:r>
      <w:r w:rsidR="00C566C8">
        <w:rPr>
          <w:noProof/>
        </w:rPr>
        <w:t>ould</w:t>
      </w:r>
      <w:r w:rsidRPr="00AF4947">
        <w:rPr>
          <w:noProof/>
        </w:rPr>
        <w:t xml:space="preserve"> be financed through annual contributions from its Members and voluntary contributions, without prejudice to the possibility of recovering the related costs from the Russian Federation.</w:t>
      </w:r>
    </w:p>
    <w:p w:rsidR="00D125C1" w:rsidRPr="003A5AF4" w:rsidRDefault="00AF4947" w:rsidP="006B75EE">
      <w:pPr>
        <w:spacing w:line="259" w:lineRule="auto"/>
        <w:rPr>
          <w:noProof/>
        </w:rPr>
      </w:pPr>
      <w:r w:rsidRPr="00AF4947">
        <w:rPr>
          <w:noProof/>
        </w:rPr>
        <w:t xml:space="preserve">In this context, the Union’s conclusion of the Convention requires the payment of an annual contribution. While the date of entry into force of the Convention remains uncertain, the Claims Commission’s full annual budget is not expected to be required before 2028. As indicated in Council Decision </w:t>
      </w:r>
      <w:r w:rsidR="00C566C8">
        <w:rPr>
          <w:noProof/>
        </w:rPr>
        <w:t xml:space="preserve">(EU) </w:t>
      </w:r>
      <w:r w:rsidRPr="00AF4947">
        <w:rPr>
          <w:noProof/>
        </w:rPr>
        <w:t>2025/2655 on the signing of the Convention, the Union’s annual contribution to the Claims Commission is expected to reach EUR 3 million during peak operational years.</w:t>
      </w:r>
      <w:r>
        <w:rPr>
          <w:noProof/>
        </w:rPr>
        <w:t xml:space="preserve"> </w:t>
      </w:r>
      <w:r w:rsidR="00B566C9" w:rsidRPr="003A5AF4">
        <w:rPr>
          <w:noProof/>
        </w:rPr>
        <w:t>The Union’s mandatory contribution may be provided under the Global Europe Instrument</w:t>
      </w:r>
      <w:r>
        <w:rPr>
          <w:noProof/>
        </w:rPr>
        <w:t>,</w:t>
      </w:r>
      <w:r w:rsidR="00B566C9" w:rsidRPr="003A5AF4">
        <w:rPr>
          <w:noProof/>
        </w:rPr>
        <w:t xml:space="preserve"> subject to the outcome of interinstitutional negotiations on the </w:t>
      </w:r>
      <w:r w:rsidR="001948D1" w:rsidRPr="003A5AF4">
        <w:rPr>
          <w:noProof/>
        </w:rPr>
        <w:t>M</w:t>
      </w:r>
      <w:r w:rsidR="001948D1">
        <w:rPr>
          <w:noProof/>
        </w:rPr>
        <w:t>ultiannual</w:t>
      </w:r>
      <w:r w:rsidR="00C566C8">
        <w:rPr>
          <w:noProof/>
        </w:rPr>
        <w:t xml:space="preserve"> </w:t>
      </w:r>
      <w:r w:rsidR="00B566C9" w:rsidRPr="003A5AF4">
        <w:rPr>
          <w:noProof/>
        </w:rPr>
        <w:t>F</w:t>
      </w:r>
      <w:r w:rsidR="00C566C8">
        <w:rPr>
          <w:noProof/>
        </w:rPr>
        <w:t xml:space="preserve">inancial </w:t>
      </w:r>
      <w:r w:rsidR="00B566C9" w:rsidRPr="003A5AF4">
        <w:rPr>
          <w:noProof/>
        </w:rPr>
        <w:t>F</w:t>
      </w:r>
      <w:r w:rsidR="00C566C8">
        <w:rPr>
          <w:noProof/>
        </w:rPr>
        <w:t>ramework (MFF)</w:t>
      </w:r>
      <w:r w:rsidR="00B566C9" w:rsidRPr="003A5AF4">
        <w:rPr>
          <w:noProof/>
        </w:rPr>
        <w:t xml:space="preserve"> 2028-2034</w:t>
      </w:r>
      <w:r>
        <w:rPr>
          <w:noProof/>
        </w:rPr>
        <w:t>,</w:t>
      </w:r>
      <w:r w:rsidR="00B566C9" w:rsidRPr="003A5AF4">
        <w:rPr>
          <w:noProof/>
        </w:rPr>
        <w:t xml:space="preserve"> and thereafter to be determined through the annual budgetary procedure and the steering mechanism.</w:t>
      </w:r>
    </w:p>
    <w:p w:rsidR="00AF4947" w:rsidRPr="00AF4947" w:rsidRDefault="00AF4947" w:rsidP="00AF4947">
      <w:pPr>
        <w:spacing w:line="259" w:lineRule="auto"/>
        <w:rPr>
          <w:noProof/>
          <w:lang w:val="en-IE"/>
        </w:rPr>
      </w:pPr>
      <w:r w:rsidRPr="00AF4947">
        <w:rPr>
          <w:noProof/>
          <w:lang w:val="en-IE"/>
        </w:rPr>
        <w:t xml:space="preserve">As announced at the Diplomatic Conference on 16 December 2025, the Union will finance the costs of the Advance Team within the Council of Europe, with the participation of the Register of Damage, to prepare for the operational launch of the Claims Commission. </w:t>
      </w:r>
      <w:r w:rsidR="00A06343" w:rsidRPr="00AF4947">
        <w:rPr>
          <w:noProof/>
          <w:lang w:val="en-IE"/>
        </w:rPr>
        <w:t xml:space="preserve">These costs are estimated at EUR 880 000 over 18 months and will be financed under the </w:t>
      </w:r>
      <w:r w:rsidR="00C2144F">
        <w:rPr>
          <w:noProof/>
          <w:lang w:val="en-IE"/>
        </w:rPr>
        <w:t xml:space="preserve">Rapid Response Pillar of the </w:t>
      </w:r>
      <w:r w:rsidR="00A06343" w:rsidRPr="00AF4947">
        <w:rPr>
          <w:noProof/>
          <w:lang w:val="en-IE"/>
        </w:rPr>
        <w:t>Neighbourhood, Development and International Cooperation Instrument (NDICI</w:t>
      </w:r>
      <w:r w:rsidR="00A06343">
        <w:rPr>
          <w:noProof/>
          <w:lang w:val="en-IE"/>
        </w:rPr>
        <w:t>-</w:t>
      </w:r>
      <w:r w:rsidR="00A06343" w:rsidRPr="00AF4947">
        <w:rPr>
          <w:noProof/>
          <w:lang w:val="en-IE"/>
        </w:rPr>
        <w:t>Global Europe).</w:t>
      </w:r>
      <w:r w:rsidR="00C566C8">
        <w:rPr>
          <w:noProof/>
          <w:lang w:val="en-IE"/>
        </w:rPr>
        <w:t xml:space="preserve"> </w:t>
      </w:r>
      <w:r w:rsidRPr="00AF4947">
        <w:rPr>
          <w:noProof/>
          <w:lang w:val="en-IE"/>
        </w:rPr>
        <w:t>The Union</w:t>
      </w:r>
      <w:r w:rsidR="00A06343">
        <w:rPr>
          <w:noProof/>
          <w:lang w:val="en-IE"/>
        </w:rPr>
        <w:t>’s voluntary contribution</w:t>
      </w:r>
      <w:r w:rsidRPr="00AF4947">
        <w:rPr>
          <w:noProof/>
          <w:lang w:val="en-IE"/>
        </w:rPr>
        <w:t xml:space="preserve"> will </w:t>
      </w:r>
      <w:r w:rsidR="00C2144F" w:rsidRPr="00BA61DC">
        <w:rPr>
          <w:noProof/>
        </w:rPr>
        <w:t>notably cover costs related to the setting up of an Advance Team of the Claims Commission as well as to enabling the work of the Preparatory Committee</w:t>
      </w:r>
      <w:r w:rsidR="00A06343">
        <w:rPr>
          <w:noProof/>
          <w:lang w:val="en-IE"/>
        </w:rPr>
        <w:t>, as</w:t>
      </w:r>
      <w:r w:rsidRPr="00AF4947">
        <w:rPr>
          <w:noProof/>
          <w:lang w:val="en-IE"/>
        </w:rPr>
        <w:t xml:space="preserve"> envisaged </w:t>
      </w:r>
      <w:r w:rsidR="00A06343">
        <w:rPr>
          <w:noProof/>
          <w:lang w:val="en-IE"/>
        </w:rPr>
        <w:t>in</w:t>
      </w:r>
      <w:r w:rsidR="00C566C8">
        <w:rPr>
          <w:noProof/>
          <w:lang w:val="en-IE"/>
        </w:rPr>
        <w:t xml:space="preserve"> </w:t>
      </w:r>
      <w:r w:rsidRPr="00AF4947">
        <w:rPr>
          <w:noProof/>
          <w:lang w:val="en-IE"/>
        </w:rPr>
        <w:t xml:space="preserve">the Resolution annexed to Council Decision </w:t>
      </w:r>
      <w:r w:rsidR="00C566C8">
        <w:rPr>
          <w:noProof/>
          <w:lang w:val="en-IE"/>
        </w:rPr>
        <w:t xml:space="preserve">(EU) </w:t>
      </w:r>
      <w:r w:rsidRPr="00AF4947">
        <w:rPr>
          <w:noProof/>
          <w:lang w:val="en-IE"/>
        </w:rPr>
        <w:t xml:space="preserve">2025/2655. </w:t>
      </w:r>
    </w:p>
    <w:p w:rsidR="00AF4947" w:rsidRPr="00AF4947" w:rsidRDefault="00AF4947" w:rsidP="00AF4947">
      <w:pPr>
        <w:spacing w:line="259" w:lineRule="auto"/>
        <w:rPr>
          <w:noProof/>
          <w:lang w:val="en-IE"/>
        </w:rPr>
      </w:pPr>
      <w:r w:rsidRPr="00AF4947">
        <w:rPr>
          <w:noProof/>
          <w:lang w:val="en-IE"/>
        </w:rPr>
        <w:t>Meanwhile, the Union will continue to provide its annual mandatory contribution to the Register of Damage in 2026 and 2027 through Regulation (EU) 2024/792 establishing the Ukraine Facility.</w:t>
      </w:r>
    </w:p>
    <w:p w:rsidR="00AF4947" w:rsidRPr="00AF4947" w:rsidRDefault="00AF4947" w:rsidP="00AF4947">
      <w:pPr>
        <w:spacing w:line="259" w:lineRule="auto"/>
        <w:rPr>
          <w:noProof/>
          <w:lang w:val="en-IE"/>
        </w:rPr>
      </w:pPr>
      <w:r w:rsidRPr="00AF4947">
        <w:rPr>
          <w:noProof/>
          <w:lang w:val="en-IE"/>
        </w:rPr>
        <w:t>Further details on the financial impact of this proposal are set out in the annexed legislative financial statement.</w:t>
      </w:r>
    </w:p>
    <w:p w:rsidR="00F5502B" w:rsidRPr="003A5AF4" w:rsidRDefault="00F5502B" w:rsidP="00AF4947">
      <w:pPr>
        <w:spacing w:line="259" w:lineRule="auto"/>
        <w:rPr>
          <w:noProof/>
        </w:rPr>
      </w:pPr>
      <w:r w:rsidRPr="003A5AF4">
        <w:rPr>
          <w:noProof/>
        </w:rPr>
        <w:t>5.</w:t>
      </w:r>
      <w:r w:rsidRPr="003A5AF4">
        <w:rPr>
          <w:noProof/>
        </w:rPr>
        <w:tab/>
      </w:r>
      <w:r w:rsidRPr="001948D1">
        <w:rPr>
          <w:b/>
          <w:bCs/>
          <w:noProof/>
        </w:rPr>
        <w:t>OTHER ELEMENTS</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Implementation plans and monitoring, evaluation and reporting arrangements</w:t>
      </w:r>
    </w:p>
    <w:p w:rsidR="00AF4947" w:rsidRPr="00AF4947" w:rsidRDefault="00AF4947" w:rsidP="00AF4947">
      <w:pPr>
        <w:pBdr>
          <w:top w:val="nil"/>
          <w:left w:val="nil"/>
          <w:bottom w:val="nil"/>
          <w:right w:val="nil"/>
          <w:between w:val="nil"/>
          <w:bar w:val="nil"/>
        </w:pBdr>
        <w:spacing w:before="0" w:after="240"/>
        <w:rPr>
          <w:noProof/>
          <w:lang w:val="en-IE"/>
        </w:rPr>
      </w:pPr>
      <w:r w:rsidRPr="00AF4947">
        <w:rPr>
          <w:noProof/>
          <w:lang w:val="en-IE"/>
        </w:rPr>
        <w:t xml:space="preserve">The Convention provides for the establishment of a Financial Committee, which, pursuant to Article 8 of the Convention </w:t>
      </w:r>
      <w:r w:rsidR="00FA4CEC">
        <w:rPr>
          <w:noProof/>
          <w:lang w:val="en-IE"/>
        </w:rPr>
        <w:t>annexed to this Decision</w:t>
      </w:r>
      <w:r w:rsidRPr="00AF4947">
        <w:rPr>
          <w:noProof/>
          <w:lang w:val="en-IE"/>
        </w:rPr>
        <w:t>, is tasked with determining the annual contributions of Members and providing advice to the Secretariat in the preparation of the Claims Commission’s budget.</w:t>
      </w:r>
    </w:p>
    <w:p w:rsidR="00F5502B" w:rsidRPr="00AF4947" w:rsidRDefault="00AF4947" w:rsidP="00044058">
      <w:pPr>
        <w:pBdr>
          <w:top w:val="nil"/>
          <w:left w:val="nil"/>
          <w:bottom w:val="nil"/>
          <w:right w:val="nil"/>
          <w:between w:val="nil"/>
          <w:bar w:val="nil"/>
        </w:pBdr>
        <w:spacing w:before="0" w:after="240"/>
        <w:rPr>
          <w:noProof/>
          <w:lang w:val="en-IE"/>
        </w:rPr>
      </w:pPr>
      <w:r w:rsidRPr="00AF4947">
        <w:rPr>
          <w:noProof/>
          <w:lang w:val="en-IE"/>
        </w:rPr>
        <w:t>Monitoring activities are assigned to the Assembly, composed of all Members of the Commission, which is responsible for adopting the annual financial report and activity report of the Claims Commission (Article 7 of the Convention). Similarly, the Council</w:t>
      </w:r>
      <w:r w:rsidR="00C566C8">
        <w:rPr>
          <w:noProof/>
          <w:lang w:val="en-IE"/>
        </w:rPr>
        <w:t xml:space="preserve"> of the Claims Commission</w:t>
      </w:r>
      <w:r w:rsidRPr="00AF4947">
        <w:rPr>
          <w:noProof/>
          <w:lang w:val="en-IE"/>
        </w:rPr>
        <w:t xml:space="preserve">, composed of a minimum of nine and a maximum of </w:t>
      </w:r>
      <w:r w:rsidR="00C566C8">
        <w:rPr>
          <w:noProof/>
          <w:lang w:val="en-IE"/>
        </w:rPr>
        <w:t xml:space="preserve">15 </w:t>
      </w:r>
      <w:r w:rsidRPr="00AF4947">
        <w:rPr>
          <w:noProof/>
          <w:lang w:val="en-IE"/>
        </w:rPr>
        <w:t>Members serving on a three-year rotational basis, is required to provide reports to the Assembly twice a year. These reports sh</w:t>
      </w:r>
      <w:r w:rsidR="00C566C8">
        <w:rPr>
          <w:noProof/>
          <w:lang w:val="en-IE"/>
        </w:rPr>
        <w:t>ould</w:t>
      </w:r>
      <w:r w:rsidRPr="00AF4947">
        <w:rPr>
          <w:noProof/>
          <w:lang w:val="en-IE"/>
        </w:rPr>
        <w:t xml:space="preserve"> include the number of claims considered by the Council, the total amount of compensation awarded in each category, and a summary of any other significant factual or legal matters relevant to the work of the Claims Commission (Article 10(8) of the Convention).</w:t>
      </w:r>
    </w:p>
    <w:p w:rsidR="00F5502B" w:rsidRPr="003A5AF4" w:rsidRDefault="00F5502B" w:rsidP="00A4693B">
      <w:pPr>
        <w:pStyle w:val="ManualHeading2"/>
        <w:rPr>
          <w:rFonts w:eastAsia="Arial Unicode MS"/>
          <w:noProof/>
          <w:u w:color="000000"/>
          <w:bdr w:val="nil"/>
          <w:lang w:eastAsia="en-GB"/>
        </w:rPr>
      </w:pPr>
      <w:r w:rsidRPr="003A5AF4">
        <w:rPr>
          <w:rFonts w:eastAsia="Arial Unicode MS"/>
          <w:noProof/>
          <w:u w:color="000000"/>
          <w:bdr w:val="nil"/>
          <w:lang w:eastAsia="en-GB"/>
        </w:rPr>
        <w:lastRenderedPageBreak/>
        <w:t>•</w:t>
      </w:r>
      <w:r w:rsidRPr="003A5AF4">
        <w:rPr>
          <w:rFonts w:eastAsia="Arial Unicode MS"/>
          <w:noProof/>
          <w:u w:color="000000"/>
          <w:bdr w:val="nil"/>
          <w:lang w:eastAsia="en-GB"/>
        </w:rPr>
        <w:tab/>
        <w:t>Explanatory documents (for directives)</w:t>
      </w:r>
    </w:p>
    <w:p w:rsidR="00AF4947" w:rsidRDefault="00B566C9" w:rsidP="00B566C9">
      <w:pPr>
        <w:pBdr>
          <w:top w:val="nil"/>
          <w:left w:val="nil"/>
          <w:bottom w:val="nil"/>
          <w:right w:val="nil"/>
          <w:between w:val="nil"/>
          <w:bar w:val="nil"/>
        </w:pBdr>
        <w:spacing w:before="0" w:after="240"/>
        <w:rPr>
          <w:noProof/>
        </w:rPr>
      </w:pPr>
      <w:r w:rsidRPr="003A5AF4">
        <w:rPr>
          <w:noProof/>
        </w:rPr>
        <w:t xml:space="preserve">Not applicable. </w:t>
      </w:r>
    </w:p>
    <w:p w:rsidR="002239EF" w:rsidRPr="003A5AF4" w:rsidRDefault="00F5502B" w:rsidP="002239EF">
      <w:pPr>
        <w:pStyle w:val="ManualHeading2"/>
        <w:rPr>
          <w:rFonts w:eastAsia="Arial Unicode MS"/>
          <w:noProof/>
          <w:u w:color="000000"/>
          <w:bdr w:val="nil"/>
          <w:lang w:eastAsia="en-GB"/>
        </w:rPr>
      </w:pPr>
      <w:r w:rsidRPr="003A5AF4">
        <w:rPr>
          <w:rFonts w:eastAsia="Arial Unicode MS"/>
          <w:noProof/>
          <w:u w:color="000000"/>
          <w:bdr w:val="nil"/>
          <w:lang w:eastAsia="en-GB"/>
        </w:rPr>
        <w:t>•</w:t>
      </w:r>
      <w:r w:rsidRPr="003A5AF4">
        <w:rPr>
          <w:rFonts w:eastAsia="Arial Unicode MS"/>
          <w:noProof/>
          <w:u w:color="000000"/>
          <w:bdr w:val="nil"/>
          <w:lang w:eastAsia="en-GB"/>
        </w:rPr>
        <w:tab/>
        <w:t>Detailed explanation of the specific provisions of the proposal</w:t>
      </w:r>
    </w:p>
    <w:p w:rsidR="00D00CBB" w:rsidRPr="003A5AF4" w:rsidRDefault="00D00CBB" w:rsidP="002239EF">
      <w:pPr>
        <w:rPr>
          <w:noProof/>
        </w:rPr>
      </w:pPr>
      <w:r w:rsidRPr="003A5AF4">
        <w:rPr>
          <w:noProof/>
        </w:rPr>
        <w:t xml:space="preserve">Article 1 concerns the conclusion of the Convention Establishing </w:t>
      </w:r>
      <w:r w:rsidR="00434428" w:rsidRPr="003A5AF4">
        <w:rPr>
          <w:noProof/>
        </w:rPr>
        <w:t>an</w:t>
      </w:r>
      <w:r w:rsidRPr="003A5AF4">
        <w:rPr>
          <w:noProof/>
        </w:rPr>
        <w:t xml:space="preserve"> International Claims Commission for Ukraine</w:t>
      </w:r>
      <w:r w:rsidR="001C31BE">
        <w:rPr>
          <w:noProof/>
        </w:rPr>
        <w:t>.</w:t>
      </w:r>
    </w:p>
    <w:p w:rsidR="00D00CBB" w:rsidRDefault="00D00CBB" w:rsidP="002239EF">
      <w:pPr>
        <w:rPr>
          <w:noProof/>
        </w:rPr>
      </w:pPr>
      <w:r w:rsidRPr="003A5AF4">
        <w:rPr>
          <w:noProof/>
        </w:rPr>
        <w:t>Article 2 provides for the date on which the decision will enter into force.</w:t>
      </w:r>
    </w:p>
    <w:p w:rsidR="00AF4947" w:rsidRPr="003A5AF4" w:rsidRDefault="00AF4947" w:rsidP="002239EF">
      <w:pPr>
        <w:rPr>
          <w:noProof/>
        </w:rPr>
      </w:pPr>
    </w:p>
    <w:p w:rsidR="00D00CBB" w:rsidRPr="003A5AF4" w:rsidRDefault="00D00CBB" w:rsidP="00C668A7">
      <w:pPr>
        <w:pStyle w:val="Bullet0"/>
        <w:numPr>
          <w:ilvl w:val="0"/>
          <w:numId w:val="18"/>
        </w:numPr>
        <w:rPr>
          <w:noProof/>
        </w:rPr>
      </w:pPr>
      <w:r w:rsidRPr="003A5AF4">
        <w:rPr>
          <w:noProof/>
        </w:rPr>
        <w:t xml:space="preserve">Text of the Convention and </w:t>
      </w:r>
      <w:r w:rsidR="006B0F9F" w:rsidRPr="003A5AF4">
        <w:rPr>
          <w:noProof/>
        </w:rPr>
        <w:t>depository</w:t>
      </w:r>
    </w:p>
    <w:p w:rsidR="00D00CBB" w:rsidRPr="00D00CBB" w:rsidRDefault="00D00CBB" w:rsidP="00D00CBB">
      <w:pPr>
        <w:rPr>
          <w:noProof/>
        </w:rPr>
      </w:pPr>
      <w:r w:rsidRPr="00D00CBB">
        <w:rPr>
          <w:noProof/>
        </w:rPr>
        <w:t>The text of the Convention is submitted to the Council together with this proposal.</w:t>
      </w:r>
    </w:p>
    <w:p w:rsidR="00D00CBB" w:rsidRPr="003A5AF4" w:rsidRDefault="00D00CBB" w:rsidP="002239EF">
      <w:pPr>
        <w:rPr>
          <w:noProof/>
        </w:rPr>
      </w:pPr>
      <w:r w:rsidRPr="00D00CBB">
        <w:rPr>
          <w:noProof/>
        </w:rPr>
        <w:t>In accordance with the Treaties, it is for the Commission</w:t>
      </w:r>
      <w:r w:rsidR="00B653F0">
        <w:rPr>
          <w:noProof/>
        </w:rPr>
        <w:t xml:space="preserve"> to proceed</w:t>
      </w:r>
      <w:r w:rsidR="001C31BE">
        <w:rPr>
          <w:noProof/>
        </w:rPr>
        <w:t xml:space="preserve"> </w:t>
      </w:r>
      <w:r w:rsidR="00B653F0">
        <w:rPr>
          <w:noProof/>
        </w:rPr>
        <w:t>to make the notification provided for in Article 37 of the Convention, in order to express the consent of the Union to be bound by the Convention.</w:t>
      </w:r>
      <w:r w:rsidRPr="00D00CBB">
        <w:rPr>
          <w:noProof/>
        </w:rPr>
        <w:t xml:space="preserve"> </w:t>
      </w:r>
    </w:p>
    <w:p w:rsidR="00413D81" w:rsidRDefault="00413D81">
      <w:pPr>
        <w:spacing w:before="0" w:after="200" w:line="276" w:lineRule="auto"/>
        <w:jc w:val="left"/>
        <w:rPr>
          <w:noProof/>
        </w:rPr>
      </w:pPr>
      <w:r>
        <w:rPr>
          <w:noProof/>
        </w:rPr>
        <w:br w:type="page"/>
      </w:r>
    </w:p>
    <w:p w:rsidR="00FE28D8" w:rsidRDefault="00DB001B">
      <w:pPr>
        <w:pStyle w:val="Rfrenceinterinstitutionnelle"/>
        <w:rPr>
          <w:noProof/>
        </w:rPr>
      </w:pPr>
      <w:r>
        <w:rPr>
          <w:noProof/>
        </w:rPr>
        <w:lastRenderedPageBreak/>
        <w:t>2026/0065 (NLE)</w:t>
      </w:r>
    </w:p>
    <w:p w:rsidR="00F5502B" w:rsidRPr="003A5AF4" w:rsidRDefault="001466BE" w:rsidP="001466BE">
      <w:pPr>
        <w:pStyle w:val="Statut"/>
        <w:rPr>
          <w:noProof/>
        </w:rPr>
      </w:pPr>
      <w:r w:rsidRPr="001466BE">
        <w:rPr>
          <w:noProof/>
        </w:rPr>
        <w:t>Proposal for a</w:t>
      </w:r>
    </w:p>
    <w:p w:rsidR="00F5502B" w:rsidRPr="003A5AF4" w:rsidRDefault="001466BE" w:rsidP="001466BE">
      <w:pPr>
        <w:pStyle w:val="Typedudocument"/>
        <w:rPr>
          <w:noProof/>
        </w:rPr>
      </w:pPr>
      <w:r w:rsidRPr="001466BE">
        <w:rPr>
          <w:noProof/>
        </w:rPr>
        <w:t>COUNCIL DECISION</w:t>
      </w:r>
    </w:p>
    <w:p w:rsidR="00F5502B" w:rsidRPr="003A5AF4" w:rsidRDefault="001466BE" w:rsidP="001466BE">
      <w:pPr>
        <w:pStyle w:val="Titreobjet"/>
        <w:rPr>
          <w:noProof/>
        </w:rPr>
      </w:pPr>
      <w:r w:rsidRPr="001466BE">
        <w:rPr>
          <w:noProof/>
        </w:rPr>
        <w:t>on the conclusion of the Convention Establishing an International Claims Commission for Ukraine</w:t>
      </w:r>
    </w:p>
    <w:p w:rsidR="00F5502B" w:rsidRPr="003A5AF4" w:rsidRDefault="00F5502B" w:rsidP="00197315">
      <w:pPr>
        <w:pStyle w:val="Institutionquiagit"/>
        <w:rPr>
          <w:noProof/>
        </w:rPr>
      </w:pPr>
      <w:r w:rsidRPr="003A5AF4">
        <w:rPr>
          <w:noProof/>
        </w:rPr>
        <w:t xml:space="preserve">THE COUNCIL OF THE EUROPEAN </w:t>
      </w:r>
      <w:smartTag w:uri="urn:schemas-microsoft-com:office:smarttags" w:element="place">
        <w:r w:rsidRPr="003A5AF4">
          <w:rPr>
            <w:noProof/>
          </w:rPr>
          <w:t>UNION</w:t>
        </w:r>
      </w:smartTag>
      <w:r w:rsidRPr="003A5AF4">
        <w:rPr>
          <w:noProof/>
        </w:rPr>
        <w:t>,</w:t>
      </w:r>
    </w:p>
    <w:p w:rsidR="00F5502B" w:rsidRPr="003A5AF4" w:rsidRDefault="00F5502B" w:rsidP="00197315">
      <w:pPr>
        <w:rPr>
          <w:noProof/>
        </w:rPr>
      </w:pPr>
      <w:r w:rsidRPr="003A5AF4">
        <w:rPr>
          <w:noProof/>
        </w:rPr>
        <w:t xml:space="preserve">Having regard to the Treaty on </w:t>
      </w:r>
      <w:r w:rsidRPr="002B50AB">
        <w:rPr>
          <w:noProof/>
        </w:rPr>
        <w:t>the Functioning of the European Union, and in particular Article</w:t>
      </w:r>
      <w:r w:rsidR="003C5E64" w:rsidRPr="003A60FA">
        <w:rPr>
          <w:noProof/>
        </w:rPr>
        <w:t xml:space="preserve"> 212 </w:t>
      </w:r>
      <w:r w:rsidR="003C5E64" w:rsidRPr="002B50AB">
        <w:rPr>
          <w:noProof/>
        </w:rPr>
        <w:t>in conjunction with Article 218(6)</w:t>
      </w:r>
      <w:r w:rsidR="00863DEB">
        <w:rPr>
          <w:noProof/>
        </w:rPr>
        <w:t>,</w:t>
      </w:r>
      <w:r w:rsidR="00863DEB" w:rsidRPr="00863DEB">
        <w:rPr>
          <w:noProof/>
          <w:szCs w:val="24"/>
        </w:rPr>
        <w:t xml:space="preserve"> </w:t>
      </w:r>
      <w:r w:rsidR="00863DEB" w:rsidRPr="00DB6220">
        <w:rPr>
          <w:noProof/>
          <w:szCs w:val="24"/>
        </w:rPr>
        <w:t xml:space="preserve">second subparagraph, </w:t>
      </w:r>
      <w:r w:rsidR="00863DEB" w:rsidRPr="00C70F9B">
        <w:rPr>
          <w:noProof/>
        </w:rPr>
        <w:t xml:space="preserve">point </w:t>
      </w:r>
      <w:r w:rsidR="002B50AB" w:rsidRPr="00713F7B">
        <w:rPr>
          <w:noProof/>
        </w:rPr>
        <w:t>(</w:t>
      </w:r>
      <w:r w:rsidR="002B50AB">
        <w:rPr>
          <w:noProof/>
        </w:rPr>
        <w:t>a)</w:t>
      </w:r>
      <w:r w:rsidR="003C5E64" w:rsidRPr="003A60FA">
        <w:rPr>
          <w:noProof/>
        </w:rPr>
        <w:t xml:space="preserve"> </w:t>
      </w:r>
      <w:r w:rsidRPr="002B50AB">
        <w:rPr>
          <w:noProof/>
        </w:rPr>
        <w:t>thereof</w:t>
      </w:r>
      <w:r w:rsidRPr="003A5AF4">
        <w:rPr>
          <w:noProof/>
        </w:rPr>
        <w:t>,</w:t>
      </w:r>
    </w:p>
    <w:p w:rsidR="00F5502B" w:rsidRPr="00984B9C" w:rsidRDefault="00F5502B" w:rsidP="00197315">
      <w:pPr>
        <w:rPr>
          <w:noProof/>
        </w:rPr>
      </w:pPr>
      <w:r w:rsidRPr="00984B9C">
        <w:rPr>
          <w:noProof/>
        </w:rPr>
        <w:t>Having regard to the proposal from the European Commission,</w:t>
      </w:r>
    </w:p>
    <w:p w:rsidR="00F5502B" w:rsidRPr="003A5AF4" w:rsidRDefault="00F5502B" w:rsidP="00197315">
      <w:pPr>
        <w:rPr>
          <w:noProof/>
        </w:rPr>
      </w:pPr>
      <w:r w:rsidRPr="00984B9C">
        <w:rPr>
          <w:noProof/>
        </w:rPr>
        <w:t xml:space="preserve">Having regard to the </w:t>
      </w:r>
      <w:r w:rsidR="00413119" w:rsidRPr="00984B9C">
        <w:rPr>
          <w:noProof/>
        </w:rPr>
        <w:t>consent</w:t>
      </w:r>
      <w:r w:rsidRPr="00984B9C">
        <w:rPr>
          <w:noProof/>
        </w:rPr>
        <w:t xml:space="preserve"> of the European Parliament</w:t>
      </w:r>
      <w:r w:rsidRPr="00984B9C">
        <w:rPr>
          <w:rStyle w:val="FootnoteReference"/>
          <w:noProof/>
        </w:rPr>
        <w:footnoteReference w:id="17"/>
      </w:r>
      <w:r w:rsidRPr="00984B9C">
        <w:rPr>
          <w:noProof/>
        </w:rPr>
        <w:t>,</w:t>
      </w:r>
      <w:r w:rsidRPr="003A5AF4">
        <w:rPr>
          <w:noProof/>
        </w:rPr>
        <w:t xml:space="preserve"> </w:t>
      </w:r>
    </w:p>
    <w:p w:rsidR="00F5502B" w:rsidRPr="003A5AF4" w:rsidRDefault="00F5502B" w:rsidP="00197315">
      <w:pPr>
        <w:rPr>
          <w:noProof/>
        </w:rPr>
      </w:pPr>
      <w:r w:rsidRPr="003A5AF4">
        <w:rPr>
          <w:noProof/>
        </w:rPr>
        <w:t>Whereas:</w:t>
      </w:r>
    </w:p>
    <w:p w:rsidR="00DC615D" w:rsidRDefault="002A76FD" w:rsidP="002A76FD">
      <w:pPr>
        <w:pStyle w:val="Point0"/>
        <w:rPr>
          <w:noProof/>
        </w:rPr>
      </w:pPr>
      <w:r>
        <w:rPr>
          <w:noProof/>
        </w:rPr>
        <w:t>(1)</w:t>
      </w:r>
      <w:r>
        <w:rPr>
          <w:noProof/>
        </w:rPr>
        <w:tab/>
      </w:r>
      <w:r w:rsidR="00601C46" w:rsidRPr="00601C46">
        <w:rPr>
          <w:noProof/>
        </w:rPr>
        <w:t xml:space="preserve">On 16 December 2025, </w:t>
      </w:r>
      <w:r w:rsidR="00601C46">
        <w:rPr>
          <w:noProof/>
        </w:rPr>
        <w:t>i</w:t>
      </w:r>
      <w:r w:rsidR="00DC615D">
        <w:rPr>
          <w:noProof/>
        </w:rPr>
        <w:t>n accordance with</w:t>
      </w:r>
      <w:r w:rsidR="00DC615D" w:rsidRPr="009F60F5">
        <w:rPr>
          <w:noProof/>
        </w:rPr>
        <w:t xml:space="preserve"> Council Decision (EU) 2025/2655</w:t>
      </w:r>
      <w:r w:rsidR="00940774">
        <w:rPr>
          <w:rStyle w:val="FootnoteReference"/>
          <w:noProof/>
        </w:rPr>
        <w:footnoteReference w:id="18"/>
      </w:r>
      <w:r w:rsidR="00DC615D">
        <w:rPr>
          <w:noProof/>
        </w:rPr>
        <w:t xml:space="preserve">, </w:t>
      </w:r>
      <w:r w:rsidR="001D60F1" w:rsidRPr="009F60F5">
        <w:rPr>
          <w:noProof/>
        </w:rPr>
        <w:t xml:space="preserve">the Commission signed, on behalf of the Union, the Convention </w:t>
      </w:r>
      <w:r w:rsidR="001D60F1">
        <w:rPr>
          <w:noProof/>
        </w:rPr>
        <w:t>establishing an International Claims Commission for Ukraine</w:t>
      </w:r>
      <w:r w:rsidR="00C566C8">
        <w:rPr>
          <w:noProof/>
        </w:rPr>
        <w:t xml:space="preserve"> (‘Convention’</w:t>
      </w:r>
      <w:r w:rsidR="00601C46">
        <w:rPr>
          <w:noProof/>
        </w:rPr>
        <w:t xml:space="preserve"> of ‘Claims Commission’</w:t>
      </w:r>
      <w:r w:rsidR="00C566C8">
        <w:rPr>
          <w:noProof/>
        </w:rPr>
        <w:t>)</w:t>
      </w:r>
      <w:r w:rsidR="001D60F1">
        <w:rPr>
          <w:noProof/>
        </w:rPr>
        <w:t>, subject to its conclusion</w:t>
      </w:r>
      <w:r w:rsidR="00601C46">
        <w:rPr>
          <w:noProof/>
        </w:rPr>
        <w:t>. It also</w:t>
      </w:r>
      <w:r w:rsidR="001D60F1">
        <w:rPr>
          <w:noProof/>
        </w:rPr>
        <w:t xml:space="preserve"> signed</w:t>
      </w:r>
      <w:r w:rsidR="001D60F1" w:rsidRPr="009F60F5">
        <w:rPr>
          <w:noProof/>
        </w:rPr>
        <w:t xml:space="preserve"> its Final </w:t>
      </w:r>
      <w:r w:rsidR="00413D81" w:rsidRPr="009F60F5">
        <w:rPr>
          <w:noProof/>
        </w:rPr>
        <w:t>Act and</w:t>
      </w:r>
      <w:r w:rsidR="00C566C8">
        <w:rPr>
          <w:noProof/>
        </w:rPr>
        <w:t xml:space="preserve"> </w:t>
      </w:r>
      <w:r w:rsidR="001D60F1" w:rsidRPr="009F60F5">
        <w:rPr>
          <w:noProof/>
        </w:rPr>
        <w:t>approved the adoption of the Resolution laying down the necessary arrangements for the commencement of the functions of the Claims Commission and the fulfilment of its mandate</w:t>
      </w:r>
      <w:r w:rsidR="001D60F1">
        <w:rPr>
          <w:noProof/>
        </w:rPr>
        <w:t xml:space="preserve"> within the context of a Diplomatic Conference in The Hague</w:t>
      </w:r>
      <w:r w:rsidR="001D60F1" w:rsidRPr="009F60F5">
        <w:rPr>
          <w:noProof/>
        </w:rPr>
        <w:t>.</w:t>
      </w:r>
    </w:p>
    <w:p w:rsidR="00104779" w:rsidRDefault="002A76FD" w:rsidP="002A76FD">
      <w:pPr>
        <w:pStyle w:val="Point0"/>
        <w:rPr>
          <w:noProof/>
        </w:rPr>
      </w:pPr>
      <w:r>
        <w:rPr>
          <w:noProof/>
        </w:rPr>
        <w:t>(2)</w:t>
      </w:r>
      <w:r>
        <w:rPr>
          <w:noProof/>
        </w:rPr>
        <w:tab/>
      </w:r>
      <w:r w:rsidR="00104779" w:rsidRPr="003A5AF4">
        <w:rPr>
          <w:noProof/>
        </w:rPr>
        <w:t xml:space="preserve">The Convention </w:t>
      </w:r>
      <w:r w:rsidR="00601C46">
        <w:rPr>
          <w:noProof/>
        </w:rPr>
        <w:t>notes that the</w:t>
      </w:r>
      <w:r w:rsidR="00104779" w:rsidRPr="003A5AF4">
        <w:rPr>
          <w:noProof/>
        </w:rPr>
        <w:t xml:space="preserve"> Claims Commission constitute</w:t>
      </w:r>
      <w:r w:rsidR="00601C46">
        <w:rPr>
          <w:noProof/>
        </w:rPr>
        <w:t>s</w:t>
      </w:r>
      <w:r w:rsidR="00104779" w:rsidRPr="003A5AF4">
        <w:rPr>
          <w:noProof/>
        </w:rPr>
        <w:t xml:space="preserve"> the second component of the international compensation mechanism, which is to succeed the Register of Damage for Ukraine, whose work will be transferred to the Claims Commission as soon as possible after the establishment of the latter. The Convention also recognises that the third component</w:t>
      </w:r>
      <w:r w:rsidR="00C566C8">
        <w:rPr>
          <w:noProof/>
        </w:rPr>
        <w:t xml:space="preserve"> </w:t>
      </w:r>
      <w:r w:rsidR="00C566C8" w:rsidRPr="003A5AF4">
        <w:rPr>
          <w:noProof/>
        </w:rPr>
        <w:t>of the international compensation mechanism</w:t>
      </w:r>
      <w:r w:rsidR="00601C46">
        <w:rPr>
          <w:noProof/>
        </w:rPr>
        <w:t xml:space="preserve"> may also </w:t>
      </w:r>
      <w:r w:rsidR="00C2144F">
        <w:rPr>
          <w:noProof/>
        </w:rPr>
        <w:t>include</w:t>
      </w:r>
      <w:r w:rsidR="00104779" w:rsidRPr="003A5AF4">
        <w:rPr>
          <w:noProof/>
        </w:rPr>
        <w:t xml:space="preserve"> a future compensation fund mandated to pay compensation for damage, loss or injury caused by the Russian Federation’s internationally wrongful acts in or against Ukraine.</w:t>
      </w:r>
    </w:p>
    <w:p w:rsidR="00F5502B" w:rsidRPr="003A5AF4" w:rsidRDefault="002A76FD" w:rsidP="002A76FD">
      <w:pPr>
        <w:pStyle w:val="Point0"/>
        <w:rPr>
          <w:noProof/>
        </w:rPr>
      </w:pPr>
      <w:r>
        <w:rPr>
          <w:noProof/>
        </w:rPr>
        <w:t>(3)</w:t>
      </w:r>
      <w:r>
        <w:rPr>
          <w:noProof/>
        </w:rPr>
        <w:tab/>
      </w:r>
      <w:r w:rsidR="00413119" w:rsidRPr="003A60FA">
        <w:rPr>
          <w:noProof/>
        </w:rPr>
        <w:t>Following the start of the unprovoked and unjustified war of aggression waged by the Russian Federation against Ukraine, the European Council</w:t>
      </w:r>
      <w:r w:rsidR="00C566C8" w:rsidRPr="003A60FA">
        <w:rPr>
          <w:noProof/>
        </w:rPr>
        <w:t>,</w:t>
      </w:r>
      <w:r w:rsidR="00413119" w:rsidRPr="003A60FA">
        <w:rPr>
          <w:noProof/>
        </w:rPr>
        <w:t xml:space="preserve"> </w:t>
      </w:r>
      <w:r w:rsidR="00C566C8" w:rsidRPr="003A60FA">
        <w:rPr>
          <w:noProof/>
        </w:rPr>
        <w:t xml:space="preserve">in its Conclusions of 24 February 2022, </w:t>
      </w:r>
      <w:r w:rsidR="00413119" w:rsidRPr="003A60FA">
        <w:rPr>
          <w:noProof/>
        </w:rPr>
        <w:t>condemned in the strongest possible terms the Russian Federation’s military aggression against Ukraine and affirmed that the Russian Federation bears full responsibility for this aggression and all the destruction and loss of life it causes, and that it will be held accountable for its actions</w:t>
      </w:r>
      <w:r w:rsidR="00C566C8">
        <w:rPr>
          <w:rStyle w:val="FootnoteReference"/>
          <w:noProof/>
        </w:rPr>
        <w:footnoteReference w:id="19"/>
      </w:r>
      <w:r w:rsidR="00413119" w:rsidRPr="003A60FA">
        <w:rPr>
          <w:noProof/>
        </w:rPr>
        <w:t>.</w:t>
      </w:r>
    </w:p>
    <w:p w:rsidR="00F5502B" w:rsidRPr="003A5AF4" w:rsidRDefault="002A76FD" w:rsidP="002A76FD">
      <w:pPr>
        <w:pStyle w:val="Point0"/>
        <w:rPr>
          <w:noProof/>
        </w:rPr>
      </w:pPr>
      <w:r>
        <w:rPr>
          <w:noProof/>
        </w:rPr>
        <w:t>(4)</w:t>
      </w:r>
      <w:r>
        <w:rPr>
          <w:noProof/>
        </w:rPr>
        <w:tab/>
      </w:r>
      <w:r w:rsidR="00413119" w:rsidRPr="003A5AF4">
        <w:rPr>
          <w:noProof/>
        </w:rPr>
        <w:t>On 14 November 2022, the United Nations (UN) General Assembly adopted Resolution A/RES/ES-11/5</w:t>
      </w:r>
      <w:r w:rsidR="00940774">
        <w:rPr>
          <w:rStyle w:val="FootnoteReference"/>
          <w:noProof/>
        </w:rPr>
        <w:footnoteReference w:id="20"/>
      </w:r>
      <w:r w:rsidR="00413119" w:rsidRPr="003A5AF4">
        <w:rPr>
          <w:noProof/>
        </w:rPr>
        <w:t xml:space="preserve"> in which it recognised that the Russian Federation must be held to account for any violations of international law in or against Ukraine. In </w:t>
      </w:r>
      <w:r w:rsidR="00413119" w:rsidRPr="003A5AF4">
        <w:rPr>
          <w:noProof/>
        </w:rPr>
        <w:lastRenderedPageBreak/>
        <w:t>addition, it recognised that the Russian Federation must bear the legal consequences of all its internationally wrongful acts, including making reparation for the injury, including any damage, caused by such acts. Against this background, the UN General Assembly recognised the need for the establishment, in cooperation with Ukraine, of an international mechanism for reparation for damage, loss or injury, arising from the internationally wrongful acts of the Russian Federation in or against Ukraine. To this end, the UN General Assembly recommended the creation of an international register of damage to serve as a record, in documentary form, of evidence and claims information on damage, loss or injury to all natural and legal persons concerned, as well as to the State of Ukraine, caused by internationally wrongful acts of the Russian Federation in or against Ukraine, as well as to promote and coordinate evidence-gathering.</w:t>
      </w:r>
    </w:p>
    <w:p w:rsidR="00413119" w:rsidRPr="003A5AF4" w:rsidRDefault="002A76FD" w:rsidP="002A76FD">
      <w:pPr>
        <w:pStyle w:val="Point0"/>
        <w:rPr>
          <w:noProof/>
        </w:rPr>
      </w:pPr>
      <w:r>
        <w:rPr>
          <w:noProof/>
        </w:rPr>
        <w:t>(5)</w:t>
      </w:r>
      <w:r>
        <w:rPr>
          <w:noProof/>
        </w:rPr>
        <w:tab/>
      </w:r>
      <w:r w:rsidR="00413119" w:rsidRPr="003A5AF4">
        <w:rPr>
          <w:noProof/>
        </w:rPr>
        <w:t>On 12 May 2023, the Committee of Ministers of the Council of Europe adopted Resolution CM/Res(2023)3</w:t>
      </w:r>
      <w:r w:rsidR="00940774">
        <w:rPr>
          <w:rStyle w:val="FootnoteReference"/>
          <w:noProof/>
        </w:rPr>
        <w:footnoteReference w:id="21"/>
      </w:r>
      <w:r w:rsidR="00413119" w:rsidRPr="003A5AF4">
        <w:rPr>
          <w:noProof/>
        </w:rPr>
        <w:t xml:space="preserve"> establishing the Enlarged Partial Agreement on the Register of Damage Caused by the Aggression of the Russian Federation against Ukraine</w:t>
      </w:r>
      <w:r w:rsidR="00C566C8">
        <w:rPr>
          <w:noProof/>
        </w:rPr>
        <w:t xml:space="preserve"> (‘Register of Damage’)</w:t>
      </w:r>
      <w:r w:rsidR="00413119" w:rsidRPr="003A5AF4">
        <w:rPr>
          <w:noProof/>
        </w:rPr>
        <w:t>. As reflected in that Resolution, the establishment of a register of damage constitutes a first step in setting up an international compensation mechanism, which may include a claims commission and a compensation fund. Accordingly, Resolution CM/Res(2023)3 acknowledges that the Register of Damage, including its digital platform with all data about claims and evidence recorded therein, is intended to constitute an integral part of the compensation mechanism to be established by a separate international instrument in cooperation with Ukraine and relevant international organisations and bodies.</w:t>
      </w:r>
    </w:p>
    <w:p w:rsidR="00413119" w:rsidRPr="003A5AF4" w:rsidRDefault="002A76FD" w:rsidP="002A76FD">
      <w:pPr>
        <w:pStyle w:val="Point0"/>
        <w:rPr>
          <w:noProof/>
        </w:rPr>
      </w:pPr>
      <w:r>
        <w:rPr>
          <w:noProof/>
        </w:rPr>
        <w:t>(6)</w:t>
      </w:r>
      <w:r>
        <w:rPr>
          <w:noProof/>
        </w:rPr>
        <w:tab/>
      </w:r>
      <w:r w:rsidR="00C566C8">
        <w:rPr>
          <w:noProof/>
        </w:rPr>
        <w:t xml:space="preserve">The Union </w:t>
      </w:r>
      <w:r w:rsidR="00413119" w:rsidRPr="003A5AF4">
        <w:rPr>
          <w:noProof/>
        </w:rPr>
        <w:t>joined the Register of Damage as a founding Associate Member on 11 May 2023</w:t>
      </w:r>
      <w:r w:rsidR="00940774">
        <w:rPr>
          <w:rStyle w:val="FootnoteReference"/>
          <w:noProof/>
        </w:rPr>
        <w:footnoteReference w:id="22"/>
      </w:r>
      <w:r w:rsidR="00413119" w:rsidRPr="003A5AF4">
        <w:rPr>
          <w:noProof/>
        </w:rPr>
        <w:t xml:space="preserve"> </w:t>
      </w:r>
      <w:r w:rsidR="00C566C8">
        <w:rPr>
          <w:noProof/>
        </w:rPr>
        <w:t xml:space="preserve">and </w:t>
      </w:r>
      <w:r w:rsidR="00413119" w:rsidRPr="003A5AF4">
        <w:rPr>
          <w:noProof/>
        </w:rPr>
        <w:t>changed its status to full Participant on 22 July 2024</w:t>
      </w:r>
      <w:r w:rsidR="00940774">
        <w:rPr>
          <w:rStyle w:val="FootnoteReference"/>
          <w:noProof/>
        </w:rPr>
        <w:footnoteReference w:id="23"/>
      </w:r>
      <w:r w:rsidR="00413119" w:rsidRPr="003A5AF4">
        <w:rPr>
          <w:noProof/>
        </w:rPr>
        <w:t>.</w:t>
      </w:r>
    </w:p>
    <w:p w:rsidR="00413119" w:rsidRPr="003A5AF4" w:rsidRDefault="002A76FD" w:rsidP="002A76FD">
      <w:pPr>
        <w:pStyle w:val="Point0"/>
        <w:rPr>
          <w:noProof/>
        </w:rPr>
      </w:pPr>
      <w:r>
        <w:rPr>
          <w:noProof/>
        </w:rPr>
        <w:t>(7)</w:t>
      </w:r>
      <w:r w:rsidR="00413119" w:rsidRPr="000F7C72">
        <w:rPr>
          <w:noProof/>
          <w:szCs w:val="24"/>
        </w:rPr>
        <w:tab/>
        <w:t>On 29 February 2024, the European Parliament and the Council adopted Regulation (EU) 2024/792</w:t>
      </w:r>
      <w:r w:rsidR="00413119" w:rsidRPr="003A5AF4">
        <w:rPr>
          <w:noProof/>
        </w:rPr>
        <w:t xml:space="preserve"> establishing the Ukraine Facility</w:t>
      </w:r>
      <w:r w:rsidR="00940774">
        <w:rPr>
          <w:rStyle w:val="FootnoteReference"/>
          <w:noProof/>
        </w:rPr>
        <w:footnoteReference w:id="24"/>
      </w:r>
      <w:r w:rsidR="00413119" w:rsidRPr="003A5AF4">
        <w:rPr>
          <w:noProof/>
        </w:rPr>
        <w:t>, which provides</w:t>
      </w:r>
      <w:r w:rsidR="00A37AC3">
        <w:rPr>
          <w:noProof/>
        </w:rPr>
        <w:t>, among others,</w:t>
      </w:r>
      <w:r w:rsidR="00413119" w:rsidRPr="003A5AF4">
        <w:rPr>
          <w:noProof/>
        </w:rPr>
        <w:t xml:space="preserve"> for funding for initiatives and bodies involved in supporting and enforcing international justice in Ukraine. This includes, among others, the Union’s financial contribution to the Register of Damage.</w:t>
      </w:r>
    </w:p>
    <w:p w:rsidR="00413119" w:rsidRPr="003A5AF4" w:rsidRDefault="002A76FD" w:rsidP="002A76FD">
      <w:pPr>
        <w:pStyle w:val="Point0"/>
        <w:rPr>
          <w:noProof/>
        </w:rPr>
      </w:pPr>
      <w:r>
        <w:rPr>
          <w:noProof/>
        </w:rPr>
        <w:t>(8)</w:t>
      </w:r>
      <w:r w:rsidR="00413119" w:rsidRPr="003A5AF4">
        <w:rPr>
          <w:noProof/>
        </w:rPr>
        <w:tab/>
        <w:t>In 2024, the Office of the President of Ukraine, the Ministry of Foreign Affairs of Ukraine, the Ministry of Foreign Affairs of the Kingdom of the Netherlands and the Register of Damage for Ukraine invited the States that supported the adoption of UN General Assembly Resolution A/RES/ES-11/5 to preparatory meetings on an International Instrument to establish a Claims Commission for Ukraine in The Hague.</w:t>
      </w:r>
    </w:p>
    <w:p w:rsidR="00413119" w:rsidRPr="003A5AF4" w:rsidRDefault="002A76FD" w:rsidP="002A76FD">
      <w:pPr>
        <w:pStyle w:val="Point0"/>
        <w:rPr>
          <w:noProof/>
        </w:rPr>
      </w:pPr>
      <w:r>
        <w:rPr>
          <w:noProof/>
        </w:rPr>
        <w:lastRenderedPageBreak/>
        <w:t>(9)</w:t>
      </w:r>
      <w:r w:rsidR="00413119" w:rsidRPr="003A5AF4">
        <w:rPr>
          <w:noProof/>
        </w:rPr>
        <w:tab/>
        <w:t>On 17 March 2025, the Council adopted Decision (EU) 2025/702</w:t>
      </w:r>
      <w:r w:rsidR="00DD45B8">
        <w:rPr>
          <w:rStyle w:val="FootnoteReference"/>
          <w:noProof/>
        </w:rPr>
        <w:footnoteReference w:id="25"/>
      </w:r>
      <w:r w:rsidR="00413119" w:rsidRPr="003A5AF4">
        <w:rPr>
          <w:noProof/>
        </w:rPr>
        <w:t xml:space="preserve"> authorising the Commission to take part, on behalf of the Union, in the negotiations for an international instrument setting up an International Claims Commission for Ukraine.</w:t>
      </w:r>
    </w:p>
    <w:p w:rsidR="00413119" w:rsidRPr="003A5AF4" w:rsidRDefault="002A76FD" w:rsidP="002A76FD">
      <w:pPr>
        <w:pStyle w:val="Point0"/>
        <w:rPr>
          <w:noProof/>
        </w:rPr>
      </w:pPr>
      <w:r>
        <w:rPr>
          <w:noProof/>
        </w:rPr>
        <w:t>(10)</w:t>
      </w:r>
      <w:r w:rsidR="00413119" w:rsidRPr="003A5AF4">
        <w:rPr>
          <w:noProof/>
        </w:rPr>
        <w:tab/>
        <w:t>Between March and September 2025, approximately 55 delegations, including the European Union and all its Member States, participated in four rounds of negotiations in The Hague. The first three rounds were held in the framework of the Intergovernmental Negotiation Committee on an International Treaty to Establish a Claims Commission for Ukraine (INC), which exchanged views on the draft treaty, concluded several readings of the text and produced subsequent revised versions thereof.</w:t>
      </w:r>
    </w:p>
    <w:p w:rsidR="00413119" w:rsidRPr="003A5AF4" w:rsidRDefault="002A76FD" w:rsidP="002A76FD">
      <w:pPr>
        <w:pStyle w:val="Point0"/>
        <w:rPr>
          <w:noProof/>
        </w:rPr>
      </w:pPr>
      <w:r>
        <w:rPr>
          <w:noProof/>
        </w:rPr>
        <w:t>(11)</w:t>
      </w:r>
      <w:r>
        <w:rPr>
          <w:noProof/>
        </w:rPr>
        <w:tab/>
      </w:r>
      <w:r w:rsidR="00413119" w:rsidRPr="003A5AF4">
        <w:rPr>
          <w:noProof/>
        </w:rPr>
        <w:t>During the third round of negotiations in July 2025, the INC decided to develop the International Instrument to establish a Claims Commission for Ukraine as a Council of Europe Convention open to State Parties that are not members of the Council of Europe and to the European Union. The work of the INC was subsequently transferred to, and continued within, the framework of that Ad hoc Committee</w:t>
      </w:r>
      <w:r w:rsidR="005E0657" w:rsidRPr="005E0657">
        <w:rPr>
          <w:noProof/>
        </w:rPr>
        <w:t xml:space="preserve"> </w:t>
      </w:r>
      <w:r w:rsidR="005E0657" w:rsidRPr="003A5AF4">
        <w:rPr>
          <w:noProof/>
        </w:rPr>
        <w:t>on the Establishment of an International Claims Commission for Ukraine under the auspices of the Council of Europe</w:t>
      </w:r>
      <w:r w:rsidR="005E0657">
        <w:rPr>
          <w:noProof/>
        </w:rPr>
        <w:t xml:space="preserve"> (‘Ad hoc Committee’). The Ad hoc Committee</w:t>
      </w:r>
      <w:r w:rsidR="00413119" w:rsidRPr="003A5AF4">
        <w:rPr>
          <w:noProof/>
        </w:rPr>
        <w:t xml:space="preserve"> further examined and provisionally approved the Convention as well as the Rules of Procedure for the Diplomatic Conference for the adoption of the Convention, the Resolution laying down necessary arrangements for the commencement of the functions of the Claims Commission and the fulfilment of its mandate and the Final Act for adoption at a Diplomatic Conference to be held in The Hague on 16 December 2025. The Final Act included the Convention, the Resolution and the meeting report of the Diplomatic Conference as appendices.</w:t>
      </w:r>
    </w:p>
    <w:p w:rsidR="00413119" w:rsidRPr="003A5AF4" w:rsidRDefault="002A76FD" w:rsidP="002A76FD">
      <w:pPr>
        <w:pStyle w:val="Point0"/>
        <w:rPr>
          <w:noProof/>
        </w:rPr>
      </w:pPr>
      <w:r>
        <w:rPr>
          <w:noProof/>
        </w:rPr>
        <w:t>(12)</w:t>
      </w:r>
      <w:r>
        <w:rPr>
          <w:noProof/>
        </w:rPr>
        <w:tab/>
      </w:r>
      <w:r w:rsidR="00413119" w:rsidRPr="003A5AF4">
        <w:rPr>
          <w:noProof/>
        </w:rPr>
        <w:t>On 22 October 2025, the Committee of Ministers of the Council of Europe provisionally adopted the Convention</w:t>
      </w:r>
      <w:r w:rsidR="00DD45B8">
        <w:rPr>
          <w:rStyle w:val="FootnoteReference"/>
          <w:noProof/>
        </w:rPr>
        <w:footnoteReference w:id="26"/>
      </w:r>
      <w:r w:rsidR="00413119" w:rsidRPr="003A5AF4">
        <w:rPr>
          <w:noProof/>
        </w:rPr>
        <w:t xml:space="preserve"> in view of its adoption and opening for signature on the occasion of the </w:t>
      </w:r>
      <w:r w:rsidR="005E0657">
        <w:rPr>
          <w:noProof/>
        </w:rPr>
        <w:t>D</w:t>
      </w:r>
      <w:r w:rsidR="00413119" w:rsidRPr="003A5AF4">
        <w:rPr>
          <w:noProof/>
        </w:rPr>
        <w:t xml:space="preserve">iplomatic </w:t>
      </w:r>
      <w:r w:rsidR="005E0657">
        <w:rPr>
          <w:noProof/>
        </w:rPr>
        <w:t>C</w:t>
      </w:r>
      <w:r w:rsidR="00413119" w:rsidRPr="003A5AF4">
        <w:rPr>
          <w:noProof/>
        </w:rPr>
        <w:t>onference</w:t>
      </w:r>
      <w:r w:rsidR="005E0657">
        <w:rPr>
          <w:noProof/>
        </w:rPr>
        <w:t xml:space="preserve"> on 16 December</w:t>
      </w:r>
      <w:r w:rsidR="00AC4546">
        <w:rPr>
          <w:noProof/>
        </w:rPr>
        <w:t xml:space="preserve"> 2025</w:t>
      </w:r>
      <w:r w:rsidR="00413119" w:rsidRPr="003A5AF4">
        <w:rPr>
          <w:noProof/>
        </w:rPr>
        <w:t>.</w:t>
      </w:r>
    </w:p>
    <w:p w:rsidR="00413119" w:rsidRPr="003A5AF4" w:rsidRDefault="002A76FD" w:rsidP="002A76FD">
      <w:pPr>
        <w:pStyle w:val="Point0"/>
        <w:rPr>
          <w:noProof/>
        </w:rPr>
      </w:pPr>
      <w:r>
        <w:rPr>
          <w:noProof/>
        </w:rPr>
        <w:t>(13)</w:t>
      </w:r>
      <w:r>
        <w:rPr>
          <w:noProof/>
        </w:rPr>
        <w:tab/>
      </w:r>
      <w:r w:rsidR="00413119" w:rsidRPr="002B50AB">
        <w:rPr>
          <w:noProof/>
        </w:rPr>
        <w:t xml:space="preserve">Pursuant to Article 30 of the Convention, the Convention is open for </w:t>
      </w:r>
      <w:r w:rsidR="002D26DC" w:rsidRPr="002B50AB">
        <w:rPr>
          <w:noProof/>
        </w:rPr>
        <w:t xml:space="preserve">ratification, </w:t>
      </w:r>
      <w:r w:rsidR="001948D1">
        <w:rPr>
          <w:noProof/>
        </w:rPr>
        <w:t xml:space="preserve">acceptance or </w:t>
      </w:r>
      <w:r w:rsidR="002D26DC" w:rsidRPr="002B50AB">
        <w:rPr>
          <w:noProof/>
        </w:rPr>
        <w:t xml:space="preserve">approval </w:t>
      </w:r>
      <w:r w:rsidR="00413119" w:rsidRPr="002B50AB">
        <w:rPr>
          <w:noProof/>
        </w:rPr>
        <w:t>by all member States of the Council of Europe, the European Union and any other States that</w:t>
      </w:r>
      <w:r w:rsidR="00413119" w:rsidRPr="003A5AF4">
        <w:rPr>
          <w:noProof/>
        </w:rPr>
        <w:t xml:space="preserve"> participated in the </w:t>
      </w:r>
      <w:r w:rsidR="00AC4546">
        <w:rPr>
          <w:noProof/>
        </w:rPr>
        <w:t>D</w:t>
      </w:r>
      <w:r w:rsidR="00413119" w:rsidRPr="003A5AF4">
        <w:rPr>
          <w:noProof/>
        </w:rPr>
        <w:t xml:space="preserve">iplomatic </w:t>
      </w:r>
      <w:r w:rsidR="00AC4546">
        <w:rPr>
          <w:noProof/>
        </w:rPr>
        <w:t>C</w:t>
      </w:r>
      <w:r w:rsidR="00AC4546" w:rsidRPr="003A5AF4">
        <w:rPr>
          <w:noProof/>
        </w:rPr>
        <w:t xml:space="preserve">onference </w:t>
      </w:r>
      <w:r w:rsidR="00AC4546">
        <w:rPr>
          <w:noProof/>
        </w:rPr>
        <w:t>on 16 December 2025</w:t>
      </w:r>
      <w:r w:rsidR="00413119" w:rsidRPr="003A5AF4">
        <w:rPr>
          <w:noProof/>
        </w:rPr>
        <w:t>, and any other States that voted in favour of UN General Assembly Resolution A/RES/ES-11/5.</w:t>
      </w:r>
      <w:r w:rsidR="00601C46">
        <w:rPr>
          <w:noProof/>
        </w:rPr>
        <w:t xml:space="preserve"> </w:t>
      </w:r>
      <w:r w:rsidR="00601C46" w:rsidRPr="00601C46">
        <w:rPr>
          <w:noProof/>
        </w:rPr>
        <w:t>Pursuant to Article 31 therein, other states and regional organisations may also be invited to accede to the Convention after its entry into force.</w:t>
      </w:r>
    </w:p>
    <w:p w:rsidR="00413119" w:rsidRDefault="002A76FD" w:rsidP="002A76FD">
      <w:pPr>
        <w:pStyle w:val="Point0"/>
        <w:rPr>
          <w:noProof/>
        </w:rPr>
      </w:pPr>
      <w:r>
        <w:rPr>
          <w:noProof/>
        </w:rPr>
        <w:t>(14)</w:t>
      </w:r>
      <w:r>
        <w:rPr>
          <w:noProof/>
        </w:rPr>
        <w:tab/>
      </w:r>
      <w:r w:rsidR="009F60F5" w:rsidRPr="009F60F5">
        <w:rPr>
          <w:noProof/>
        </w:rPr>
        <w:t xml:space="preserve">The Union is firmly committed to ensuring that the Russian Federation bears the legal consequences of its internationally wrongful acts against Ukraine, including the obligation to make reparation for any damage, loss, or injury caused by those acts. It is therefore appropriate for the Union to </w:t>
      </w:r>
      <w:r w:rsidR="000F7C72">
        <w:rPr>
          <w:noProof/>
        </w:rPr>
        <w:t>approve</w:t>
      </w:r>
      <w:r w:rsidR="009F60F5" w:rsidRPr="009F60F5">
        <w:rPr>
          <w:noProof/>
        </w:rPr>
        <w:t xml:space="preserve"> the Convention establishing an International Claims Commission for Ukraine.</w:t>
      </w:r>
    </w:p>
    <w:p w:rsidR="009F60F5" w:rsidRPr="003A5AF4" w:rsidRDefault="009F60F5" w:rsidP="003A60FA">
      <w:pPr>
        <w:rPr>
          <w:noProof/>
        </w:rPr>
      </w:pPr>
    </w:p>
    <w:p w:rsidR="00F5502B" w:rsidRPr="0006548A" w:rsidRDefault="00F5502B" w:rsidP="0006548A">
      <w:pPr>
        <w:pStyle w:val="Formuledadoption"/>
        <w:rPr>
          <w:noProof/>
        </w:rPr>
      </w:pPr>
      <w:r w:rsidRPr="0006548A">
        <w:rPr>
          <w:noProof/>
        </w:rPr>
        <w:lastRenderedPageBreak/>
        <w:t xml:space="preserve">HAS ADOPTED THIS DECISION: </w:t>
      </w:r>
    </w:p>
    <w:p w:rsidR="00F5502B" w:rsidRPr="003A5AF4" w:rsidRDefault="00F5502B" w:rsidP="00197315">
      <w:pPr>
        <w:pStyle w:val="Titrearticle"/>
        <w:rPr>
          <w:noProof/>
        </w:rPr>
      </w:pPr>
      <w:r w:rsidRPr="003A5AF4">
        <w:rPr>
          <w:noProof/>
        </w:rPr>
        <w:t>Article 1</w:t>
      </w:r>
    </w:p>
    <w:p w:rsidR="00541F7F" w:rsidRPr="003A5AF4" w:rsidRDefault="00541F7F" w:rsidP="00541F7F">
      <w:pPr>
        <w:keepLines/>
        <w:rPr>
          <w:noProof/>
        </w:rPr>
      </w:pPr>
      <w:r w:rsidRPr="00297547">
        <w:rPr>
          <w:noProof/>
        </w:rPr>
        <w:t>T</w:t>
      </w:r>
      <w:r w:rsidR="00601C46" w:rsidRPr="00297547">
        <w:rPr>
          <w:noProof/>
        </w:rPr>
        <w:t xml:space="preserve">he </w:t>
      </w:r>
      <w:r w:rsidRPr="00297547">
        <w:rPr>
          <w:noProof/>
        </w:rPr>
        <w:t xml:space="preserve">Convention Establishing </w:t>
      </w:r>
      <w:r w:rsidR="00434428" w:rsidRPr="00297547">
        <w:rPr>
          <w:noProof/>
        </w:rPr>
        <w:t>an</w:t>
      </w:r>
      <w:r w:rsidRPr="00297547">
        <w:rPr>
          <w:noProof/>
        </w:rPr>
        <w:t xml:space="preserve"> International Claims Commission for Ukraine is hereby </w:t>
      </w:r>
      <w:r w:rsidR="00B653F0" w:rsidRPr="00297547">
        <w:rPr>
          <w:noProof/>
        </w:rPr>
        <w:t>approved</w:t>
      </w:r>
      <w:r w:rsidR="00B653F0">
        <w:rPr>
          <w:rStyle w:val="FootnoteReference"/>
          <w:noProof/>
        </w:rPr>
        <w:footnoteReference w:id="27"/>
      </w:r>
      <w:r w:rsidRPr="003A5AF4">
        <w:rPr>
          <w:noProof/>
        </w:rPr>
        <w:t>.</w:t>
      </w:r>
    </w:p>
    <w:p w:rsidR="00292C88" w:rsidRDefault="00F5502B" w:rsidP="00292C88">
      <w:pPr>
        <w:pStyle w:val="Titrearticle"/>
        <w:keepNext w:val="0"/>
        <w:rPr>
          <w:noProof/>
        </w:rPr>
      </w:pPr>
      <w:r w:rsidRPr="003A5AF4">
        <w:rPr>
          <w:noProof/>
        </w:rPr>
        <w:t xml:space="preserve">Article </w:t>
      </w:r>
      <w:bookmarkStart w:id="4" w:name="_Hlk126129799"/>
      <w:r w:rsidR="00541F7F" w:rsidRPr="003A60FA">
        <w:rPr>
          <w:noProof/>
        </w:rPr>
        <w:t>2</w:t>
      </w:r>
      <w:bookmarkEnd w:id="4"/>
    </w:p>
    <w:p w:rsidR="00292C88" w:rsidRDefault="000F7C72" w:rsidP="00F75101">
      <w:pPr>
        <w:rPr>
          <w:noProof/>
        </w:rPr>
      </w:pPr>
      <w:r>
        <w:rPr>
          <w:noProof/>
        </w:rPr>
        <w:t>This Decision shall enter into force on [one day after the publication in the Official Journal].</w:t>
      </w:r>
    </w:p>
    <w:p w:rsidR="000F7C72" w:rsidRDefault="000F7C72" w:rsidP="00F75101">
      <w:pPr>
        <w:rPr>
          <w:noProof/>
        </w:rPr>
      </w:pPr>
    </w:p>
    <w:p w:rsidR="00F5502B" w:rsidRPr="003A5AF4" w:rsidRDefault="001466BE" w:rsidP="009139C3">
      <w:pPr>
        <w:pStyle w:val="Fait"/>
        <w:rPr>
          <w:noProof/>
        </w:rPr>
      </w:pPr>
      <w:r>
        <w:rPr>
          <w:noProof/>
        </w:rPr>
        <w:t>Done at Brussels,</w:t>
      </w:r>
    </w:p>
    <w:p w:rsidR="00F5502B" w:rsidRPr="003A5AF4" w:rsidRDefault="00F5502B" w:rsidP="009139C3">
      <w:pPr>
        <w:pStyle w:val="Institutionquisigne"/>
        <w:jc w:val="right"/>
        <w:rPr>
          <w:noProof/>
        </w:rPr>
      </w:pPr>
      <w:r w:rsidRPr="003A5AF4">
        <w:rPr>
          <w:noProof/>
        </w:rPr>
        <w:t>For the Council</w:t>
      </w:r>
    </w:p>
    <w:p w:rsidR="00F5502B" w:rsidRPr="003A5AF4" w:rsidRDefault="00F5502B" w:rsidP="00541F7F">
      <w:pPr>
        <w:pStyle w:val="Personnequisigne"/>
        <w:jc w:val="right"/>
        <w:rPr>
          <w:noProof/>
        </w:rPr>
      </w:pPr>
      <w:r w:rsidRPr="003A5AF4">
        <w:rPr>
          <w:noProof/>
        </w:rPr>
        <w:t>The President</w:t>
      </w:r>
    </w:p>
    <w:p w:rsidR="00F5502B" w:rsidRPr="003A5AF4" w:rsidRDefault="00F5502B" w:rsidP="00F5502B">
      <w:pPr>
        <w:rPr>
          <w:noProof/>
        </w:rPr>
        <w:sectPr w:rsidR="00F5502B" w:rsidRPr="003A5AF4" w:rsidSect="002D2AD5">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F5502B" w:rsidRPr="003A5AF4" w:rsidRDefault="00F5502B" w:rsidP="00E923B5">
      <w:pPr>
        <w:pStyle w:val="Fichefinanciretitre"/>
        <w:keepNext/>
        <w:rPr>
          <w:noProof/>
        </w:rPr>
      </w:pPr>
      <w:r w:rsidRPr="003A5AF4">
        <w:rPr>
          <w:noProof/>
        </w:rPr>
        <w:lastRenderedPageBreak/>
        <w:t>LEGISLATIVE FINANCIAL AND DIGITAL STATEMENT</w:t>
      </w:r>
    </w:p>
    <w:p w:rsidR="00F5502B" w:rsidRPr="003A5AF4" w:rsidRDefault="00F5502B" w:rsidP="00E923B5">
      <w:pPr>
        <w:pStyle w:val="TOC1"/>
        <w:rPr>
          <w:rFonts w:asciiTheme="minorHAnsi" w:eastAsiaTheme="minorEastAsia" w:hAnsiTheme="minorHAnsi" w:cstheme="minorBidi"/>
          <w:noProof/>
          <w:kern w:val="2"/>
          <w:sz w:val="22"/>
          <w:lang w:eastAsia="en-GB"/>
          <w14:ligatures w14:val="standardContextual"/>
        </w:rPr>
      </w:pPr>
      <w:r w:rsidRPr="003A5AF4">
        <w:rPr>
          <w:noProof/>
        </w:rPr>
        <w:t>1.</w:t>
      </w:r>
      <w:r w:rsidRPr="003A5AF4">
        <w:rPr>
          <w:rFonts w:asciiTheme="minorHAnsi" w:eastAsiaTheme="minorEastAsia" w:hAnsiTheme="minorHAnsi" w:cstheme="minorBidi"/>
          <w:noProof/>
          <w:kern w:val="2"/>
          <w:sz w:val="22"/>
          <w:lang w:eastAsia="en-GB"/>
          <w14:ligatures w14:val="standardContextual"/>
        </w:rPr>
        <w:tab/>
      </w:r>
      <w:r w:rsidRPr="003A5AF4">
        <w:rPr>
          <w:noProof/>
        </w:rPr>
        <w:t>FRAMEWORK OF THE PROPOSAL/INITIATIVE</w:t>
      </w:r>
      <w:r w:rsidRPr="003A5AF4">
        <w:rPr>
          <w:noProof/>
          <w:webHidden/>
        </w:rPr>
        <w:tab/>
        <w:t>3</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1.1.</w:t>
      </w:r>
      <w:r w:rsidRPr="003A5AF4">
        <w:rPr>
          <w:rFonts w:asciiTheme="minorHAnsi" w:eastAsiaTheme="minorEastAsia" w:hAnsiTheme="minorHAnsi" w:cstheme="minorBidi"/>
          <w:noProof/>
          <w:kern w:val="2"/>
          <w:sz w:val="22"/>
          <w:lang w:eastAsia="en-GB"/>
          <w14:ligatures w14:val="standardContextual"/>
        </w:rPr>
        <w:tab/>
      </w:r>
      <w:r w:rsidRPr="003A5AF4">
        <w:rPr>
          <w:noProof/>
        </w:rPr>
        <w:t>Title of the proposal/initiative</w:t>
      </w:r>
      <w:r w:rsidRPr="003A5AF4">
        <w:rPr>
          <w:noProof/>
          <w:webHidden/>
        </w:rPr>
        <w:tab/>
        <w:t>3</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1.2.</w:t>
      </w:r>
      <w:r w:rsidRPr="003A5AF4">
        <w:rPr>
          <w:rFonts w:asciiTheme="minorHAnsi" w:eastAsiaTheme="minorEastAsia" w:hAnsiTheme="minorHAnsi" w:cstheme="minorBidi"/>
          <w:noProof/>
          <w:kern w:val="2"/>
          <w:sz w:val="22"/>
          <w:lang w:eastAsia="en-GB"/>
          <w14:ligatures w14:val="standardContextual"/>
        </w:rPr>
        <w:tab/>
      </w:r>
      <w:r w:rsidRPr="003A5AF4">
        <w:rPr>
          <w:noProof/>
        </w:rPr>
        <w:t>Policy area(s) concerned</w:t>
      </w:r>
      <w:r w:rsidRPr="003A5AF4">
        <w:rPr>
          <w:noProof/>
          <w:webHidden/>
        </w:rPr>
        <w:tab/>
        <w:t>3</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1.3.</w:t>
      </w:r>
      <w:r w:rsidRPr="003A5AF4">
        <w:rPr>
          <w:rFonts w:asciiTheme="minorHAnsi" w:eastAsiaTheme="minorEastAsia" w:hAnsiTheme="minorHAnsi" w:cstheme="minorBidi"/>
          <w:noProof/>
          <w:kern w:val="2"/>
          <w:sz w:val="22"/>
          <w:lang w:eastAsia="en-GB"/>
          <w14:ligatures w14:val="standardContextual"/>
        </w:rPr>
        <w:tab/>
      </w:r>
      <w:r w:rsidRPr="003A5AF4">
        <w:rPr>
          <w:noProof/>
        </w:rPr>
        <w:t>Objective(s)</w:t>
      </w:r>
      <w:r w:rsidRPr="003A5AF4">
        <w:rPr>
          <w:noProof/>
          <w:webHidden/>
        </w:rPr>
        <w:tab/>
        <w:t>3</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1.3.1.</w:t>
      </w:r>
      <w:r w:rsidRPr="003A5AF4">
        <w:rPr>
          <w:rFonts w:asciiTheme="minorHAnsi" w:eastAsiaTheme="minorEastAsia" w:hAnsiTheme="minorHAnsi" w:cstheme="minorBidi"/>
          <w:noProof/>
          <w:kern w:val="2"/>
          <w:sz w:val="22"/>
          <w:lang w:eastAsia="en-GB"/>
          <w14:ligatures w14:val="standardContextual"/>
        </w:rPr>
        <w:tab/>
      </w:r>
      <w:r w:rsidRPr="003A5AF4">
        <w:rPr>
          <w:noProof/>
        </w:rPr>
        <w:t>General objective(s)</w:t>
      </w:r>
      <w:r w:rsidRPr="003A5AF4">
        <w:rPr>
          <w:noProof/>
          <w:webHidden/>
        </w:rPr>
        <w:tab/>
        <w:t>3</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1.3.2.</w:t>
      </w:r>
      <w:r w:rsidRPr="003A5AF4">
        <w:rPr>
          <w:rFonts w:asciiTheme="minorHAnsi" w:eastAsiaTheme="minorEastAsia" w:hAnsiTheme="minorHAnsi" w:cstheme="minorBidi"/>
          <w:noProof/>
          <w:kern w:val="2"/>
          <w:sz w:val="22"/>
          <w:lang w:eastAsia="en-GB"/>
          <w14:ligatures w14:val="standardContextual"/>
        </w:rPr>
        <w:tab/>
      </w:r>
      <w:r w:rsidRPr="003A5AF4">
        <w:rPr>
          <w:noProof/>
        </w:rPr>
        <w:t>Specific objective(s)</w:t>
      </w:r>
      <w:r w:rsidRPr="003A5AF4">
        <w:rPr>
          <w:noProof/>
          <w:webHidden/>
        </w:rPr>
        <w:tab/>
        <w:t>3</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1.3.3.</w:t>
      </w:r>
      <w:r w:rsidRPr="003A5AF4">
        <w:rPr>
          <w:rFonts w:asciiTheme="minorHAnsi" w:eastAsiaTheme="minorEastAsia" w:hAnsiTheme="minorHAnsi" w:cstheme="minorBidi"/>
          <w:noProof/>
          <w:kern w:val="2"/>
          <w:sz w:val="22"/>
          <w:lang w:eastAsia="en-GB"/>
          <w14:ligatures w14:val="standardContextual"/>
        </w:rPr>
        <w:tab/>
      </w:r>
      <w:r w:rsidRPr="003A5AF4">
        <w:rPr>
          <w:noProof/>
        </w:rPr>
        <w:t>Expected result(s) and impact</w:t>
      </w:r>
      <w:r w:rsidRPr="003A5AF4">
        <w:rPr>
          <w:noProof/>
          <w:webHidden/>
        </w:rPr>
        <w:tab/>
        <w:t>3</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1.3.4.</w:t>
      </w:r>
      <w:r w:rsidRPr="003A5AF4">
        <w:rPr>
          <w:rFonts w:asciiTheme="minorHAnsi" w:eastAsiaTheme="minorEastAsia" w:hAnsiTheme="minorHAnsi" w:cstheme="minorBidi"/>
          <w:noProof/>
          <w:kern w:val="2"/>
          <w:sz w:val="22"/>
          <w:lang w:eastAsia="en-GB"/>
          <w14:ligatures w14:val="standardContextual"/>
        </w:rPr>
        <w:tab/>
      </w:r>
      <w:r w:rsidRPr="003A5AF4">
        <w:rPr>
          <w:noProof/>
        </w:rPr>
        <w:t>Indicators of performance</w:t>
      </w:r>
      <w:r w:rsidRPr="003A5AF4">
        <w:rPr>
          <w:noProof/>
          <w:webHidden/>
        </w:rPr>
        <w:tab/>
        <w:t>3</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1.4.</w:t>
      </w:r>
      <w:r w:rsidRPr="003A5AF4">
        <w:rPr>
          <w:rFonts w:asciiTheme="minorHAnsi" w:eastAsiaTheme="minorEastAsia" w:hAnsiTheme="minorHAnsi" w:cstheme="minorBidi"/>
          <w:noProof/>
          <w:kern w:val="2"/>
          <w:sz w:val="22"/>
          <w:lang w:eastAsia="en-GB"/>
          <w14:ligatures w14:val="standardContextual"/>
        </w:rPr>
        <w:tab/>
      </w:r>
      <w:r w:rsidRPr="003A5AF4">
        <w:rPr>
          <w:noProof/>
        </w:rPr>
        <w:t>The proposal/initiative relates to:</w:t>
      </w:r>
      <w:r w:rsidRPr="003A5AF4">
        <w:rPr>
          <w:noProof/>
          <w:webHidden/>
        </w:rPr>
        <w:tab/>
        <w:t>4</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1.5.</w:t>
      </w:r>
      <w:r w:rsidRPr="003A5AF4">
        <w:rPr>
          <w:rFonts w:asciiTheme="minorHAnsi" w:eastAsiaTheme="minorEastAsia" w:hAnsiTheme="minorHAnsi" w:cstheme="minorBidi"/>
          <w:noProof/>
          <w:kern w:val="2"/>
          <w:sz w:val="22"/>
          <w:lang w:eastAsia="en-GB"/>
          <w14:ligatures w14:val="standardContextual"/>
        </w:rPr>
        <w:tab/>
      </w:r>
      <w:r w:rsidRPr="003A5AF4">
        <w:rPr>
          <w:noProof/>
        </w:rPr>
        <w:t>Grounds for the proposal/initiative</w:t>
      </w:r>
      <w:r w:rsidRPr="003A5AF4">
        <w:rPr>
          <w:noProof/>
          <w:webHidden/>
        </w:rPr>
        <w:tab/>
        <w:t>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1.5.1.</w:t>
      </w:r>
      <w:r w:rsidRPr="003A5AF4">
        <w:rPr>
          <w:rFonts w:asciiTheme="minorHAnsi" w:eastAsiaTheme="minorEastAsia" w:hAnsiTheme="minorHAnsi" w:cstheme="minorBidi"/>
          <w:noProof/>
          <w:kern w:val="2"/>
          <w:sz w:val="22"/>
          <w:lang w:eastAsia="en-GB"/>
          <w14:ligatures w14:val="standardContextual"/>
        </w:rPr>
        <w:tab/>
      </w:r>
      <w:r w:rsidRPr="003A5AF4">
        <w:rPr>
          <w:noProof/>
        </w:rPr>
        <w:t>Requirement(s) to be met in the short or long term including a detailed timeline for roll-out of the implementation of the initiative</w:t>
      </w:r>
      <w:r w:rsidRPr="003A5AF4">
        <w:rPr>
          <w:noProof/>
          <w:webHidden/>
        </w:rPr>
        <w:tab/>
        <w:t>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1.5.2.</w:t>
      </w:r>
      <w:r w:rsidRPr="003A5AF4">
        <w:rPr>
          <w:rFonts w:asciiTheme="minorHAnsi" w:eastAsiaTheme="minorEastAsia" w:hAnsiTheme="minorHAnsi" w:cstheme="minorBidi"/>
          <w:noProof/>
          <w:kern w:val="2"/>
          <w:sz w:val="22"/>
          <w:lang w:eastAsia="en-GB"/>
          <w14:ligatures w14:val="standardContextual"/>
        </w:rPr>
        <w:tab/>
      </w:r>
      <w:r w:rsidRPr="003A5AF4">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3A5AF4">
        <w:rPr>
          <w:noProof/>
          <w:webHidden/>
        </w:rPr>
        <w:tab/>
        <w:t>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1.5.3.</w:t>
      </w:r>
      <w:r w:rsidRPr="003A5AF4">
        <w:rPr>
          <w:rFonts w:asciiTheme="minorHAnsi" w:eastAsiaTheme="minorEastAsia" w:hAnsiTheme="minorHAnsi" w:cstheme="minorBidi"/>
          <w:noProof/>
          <w:kern w:val="2"/>
          <w:sz w:val="22"/>
          <w:lang w:eastAsia="en-GB"/>
          <w14:ligatures w14:val="standardContextual"/>
        </w:rPr>
        <w:tab/>
      </w:r>
      <w:r w:rsidRPr="003A5AF4">
        <w:rPr>
          <w:noProof/>
        </w:rPr>
        <w:t>Lessons learned from similar experiences in the past</w:t>
      </w:r>
      <w:r w:rsidRPr="003A5AF4">
        <w:rPr>
          <w:noProof/>
          <w:webHidden/>
        </w:rPr>
        <w:tab/>
        <w:t>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1.5.4.</w:t>
      </w:r>
      <w:r w:rsidRPr="003A5AF4">
        <w:rPr>
          <w:rFonts w:asciiTheme="minorHAnsi" w:eastAsiaTheme="minorEastAsia" w:hAnsiTheme="minorHAnsi" w:cstheme="minorBidi"/>
          <w:noProof/>
          <w:kern w:val="2"/>
          <w:sz w:val="22"/>
          <w:lang w:eastAsia="en-GB"/>
          <w14:ligatures w14:val="standardContextual"/>
        </w:rPr>
        <w:tab/>
      </w:r>
      <w:r w:rsidRPr="003A5AF4">
        <w:rPr>
          <w:noProof/>
        </w:rPr>
        <w:t>Compatibility with the multiannual financial framework and possible synergies with other appropriate instruments</w:t>
      </w:r>
      <w:r w:rsidRPr="003A5AF4">
        <w:rPr>
          <w:noProof/>
          <w:webHidden/>
        </w:rPr>
        <w:tab/>
        <w:t>5</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1.5.5.</w:t>
      </w:r>
      <w:r w:rsidRPr="003A5AF4">
        <w:rPr>
          <w:rFonts w:asciiTheme="minorHAnsi" w:eastAsiaTheme="minorEastAsia" w:hAnsiTheme="minorHAnsi" w:cstheme="minorBidi"/>
          <w:noProof/>
          <w:kern w:val="2"/>
          <w:sz w:val="22"/>
          <w:lang w:eastAsia="en-GB"/>
          <w14:ligatures w14:val="standardContextual"/>
        </w:rPr>
        <w:tab/>
      </w:r>
      <w:r w:rsidRPr="003A5AF4">
        <w:rPr>
          <w:noProof/>
        </w:rPr>
        <w:t>Assessment of the different available financing options, including scope for redeployment</w:t>
      </w:r>
      <w:r w:rsidRPr="003A5AF4">
        <w:rPr>
          <w:noProof/>
          <w:webHidden/>
        </w:rPr>
        <w:tab/>
        <w:t>5</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1.6.</w:t>
      </w:r>
      <w:r w:rsidRPr="003A5AF4">
        <w:rPr>
          <w:rFonts w:asciiTheme="minorHAnsi" w:eastAsiaTheme="minorEastAsia" w:hAnsiTheme="minorHAnsi" w:cstheme="minorBidi"/>
          <w:noProof/>
          <w:kern w:val="2"/>
          <w:sz w:val="22"/>
          <w:lang w:eastAsia="en-GB"/>
          <w14:ligatures w14:val="standardContextual"/>
        </w:rPr>
        <w:tab/>
      </w:r>
      <w:r w:rsidRPr="003A5AF4">
        <w:rPr>
          <w:noProof/>
        </w:rPr>
        <w:t>Duration of the proposal/initiative and of its financial impact</w:t>
      </w:r>
      <w:r w:rsidRPr="003A5AF4">
        <w:rPr>
          <w:noProof/>
          <w:webHidden/>
        </w:rPr>
        <w:tab/>
        <w:t>6</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1.7.</w:t>
      </w:r>
      <w:r w:rsidRPr="003A5AF4">
        <w:rPr>
          <w:rFonts w:asciiTheme="minorHAnsi" w:eastAsiaTheme="minorEastAsia" w:hAnsiTheme="minorHAnsi" w:cstheme="minorBidi"/>
          <w:noProof/>
          <w:kern w:val="2"/>
          <w:sz w:val="22"/>
          <w:lang w:eastAsia="en-GB"/>
          <w14:ligatures w14:val="standardContextual"/>
        </w:rPr>
        <w:tab/>
      </w:r>
      <w:r w:rsidRPr="003A5AF4">
        <w:rPr>
          <w:noProof/>
        </w:rPr>
        <w:t>Method(s) of budget implementation planned</w:t>
      </w:r>
      <w:r w:rsidRPr="003A5AF4">
        <w:rPr>
          <w:noProof/>
          <w:webHidden/>
        </w:rPr>
        <w:tab/>
        <w:t>6</w:t>
      </w:r>
    </w:p>
    <w:p w:rsidR="00F5502B" w:rsidRPr="003A5AF4" w:rsidRDefault="00F5502B" w:rsidP="00E923B5">
      <w:pPr>
        <w:pStyle w:val="TOC1"/>
        <w:rPr>
          <w:rFonts w:asciiTheme="minorHAnsi" w:eastAsiaTheme="minorEastAsia" w:hAnsiTheme="minorHAnsi" w:cstheme="minorBidi"/>
          <w:noProof/>
          <w:kern w:val="2"/>
          <w:sz w:val="22"/>
          <w:lang w:eastAsia="en-GB"/>
          <w14:ligatures w14:val="standardContextual"/>
        </w:rPr>
      </w:pPr>
      <w:r w:rsidRPr="003A5AF4">
        <w:rPr>
          <w:noProof/>
        </w:rPr>
        <w:t>2.</w:t>
      </w:r>
      <w:r w:rsidRPr="003A5AF4">
        <w:rPr>
          <w:rFonts w:asciiTheme="minorHAnsi" w:eastAsiaTheme="minorEastAsia" w:hAnsiTheme="minorHAnsi" w:cstheme="minorBidi"/>
          <w:noProof/>
          <w:kern w:val="2"/>
          <w:sz w:val="22"/>
          <w:lang w:eastAsia="en-GB"/>
          <w14:ligatures w14:val="standardContextual"/>
        </w:rPr>
        <w:tab/>
      </w:r>
      <w:r w:rsidRPr="003A5AF4">
        <w:rPr>
          <w:noProof/>
        </w:rPr>
        <w:t>MANAGEMENT MEASURES</w:t>
      </w:r>
      <w:r w:rsidRPr="003A5AF4">
        <w:rPr>
          <w:noProof/>
          <w:webHidden/>
        </w:rPr>
        <w:tab/>
        <w:t>8</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2.1.</w:t>
      </w:r>
      <w:r w:rsidRPr="003A5AF4">
        <w:rPr>
          <w:rFonts w:asciiTheme="minorHAnsi" w:eastAsiaTheme="minorEastAsia" w:hAnsiTheme="minorHAnsi" w:cstheme="minorBidi"/>
          <w:noProof/>
          <w:kern w:val="2"/>
          <w:sz w:val="22"/>
          <w:lang w:eastAsia="en-GB"/>
          <w14:ligatures w14:val="standardContextual"/>
        </w:rPr>
        <w:tab/>
      </w:r>
      <w:r w:rsidRPr="003A5AF4">
        <w:rPr>
          <w:noProof/>
        </w:rPr>
        <w:t>Monitoring and reporting rules</w:t>
      </w:r>
      <w:r w:rsidRPr="003A5AF4">
        <w:rPr>
          <w:noProof/>
          <w:webHidden/>
        </w:rPr>
        <w:tab/>
        <w:t>8</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2.2.</w:t>
      </w:r>
      <w:r w:rsidRPr="003A5AF4">
        <w:rPr>
          <w:rFonts w:asciiTheme="minorHAnsi" w:eastAsiaTheme="minorEastAsia" w:hAnsiTheme="minorHAnsi" w:cstheme="minorBidi"/>
          <w:noProof/>
          <w:kern w:val="2"/>
          <w:sz w:val="22"/>
          <w:lang w:eastAsia="en-GB"/>
          <w14:ligatures w14:val="standardContextual"/>
        </w:rPr>
        <w:tab/>
      </w:r>
      <w:r w:rsidRPr="003A5AF4">
        <w:rPr>
          <w:noProof/>
        </w:rPr>
        <w:t>Management and control system(s)</w:t>
      </w:r>
      <w:r w:rsidRPr="003A5AF4">
        <w:rPr>
          <w:noProof/>
          <w:webHidden/>
        </w:rPr>
        <w:tab/>
        <w:t>8</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2.2.1.</w:t>
      </w:r>
      <w:r w:rsidRPr="003A5AF4">
        <w:rPr>
          <w:rFonts w:asciiTheme="minorHAnsi" w:eastAsiaTheme="minorEastAsia" w:hAnsiTheme="minorHAnsi" w:cstheme="minorBidi"/>
          <w:noProof/>
          <w:kern w:val="2"/>
          <w:sz w:val="22"/>
          <w:lang w:eastAsia="en-GB"/>
          <w14:ligatures w14:val="standardContextual"/>
        </w:rPr>
        <w:tab/>
      </w:r>
      <w:r w:rsidRPr="003A5AF4">
        <w:rPr>
          <w:noProof/>
        </w:rPr>
        <w:t>Justification of the budget implementation method(s), the funding implementation mechanism(s), the payment modalities and the control strategy proposed</w:t>
      </w:r>
      <w:r w:rsidRPr="003A5AF4">
        <w:rPr>
          <w:noProof/>
          <w:webHidden/>
        </w:rPr>
        <w:tab/>
        <w:t>8</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2.2.2.</w:t>
      </w:r>
      <w:r w:rsidRPr="003A5AF4">
        <w:rPr>
          <w:rFonts w:asciiTheme="minorHAnsi" w:eastAsiaTheme="minorEastAsia" w:hAnsiTheme="minorHAnsi" w:cstheme="minorBidi"/>
          <w:noProof/>
          <w:kern w:val="2"/>
          <w:sz w:val="22"/>
          <w:lang w:eastAsia="en-GB"/>
          <w14:ligatures w14:val="standardContextual"/>
        </w:rPr>
        <w:tab/>
      </w:r>
      <w:r w:rsidRPr="003A5AF4">
        <w:rPr>
          <w:noProof/>
        </w:rPr>
        <w:t>Information concerning the risks identified and the internal control system(s) set up to mitigate them</w:t>
      </w:r>
      <w:r w:rsidRPr="003A5AF4">
        <w:rPr>
          <w:noProof/>
          <w:webHidden/>
        </w:rPr>
        <w:tab/>
        <w:t>8</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2.2.3.</w:t>
      </w:r>
      <w:r w:rsidRPr="003A5AF4">
        <w:rPr>
          <w:rFonts w:asciiTheme="minorHAnsi" w:eastAsiaTheme="minorEastAsia" w:hAnsiTheme="minorHAnsi" w:cstheme="minorBidi"/>
          <w:noProof/>
          <w:kern w:val="2"/>
          <w:sz w:val="22"/>
          <w:lang w:eastAsia="en-GB"/>
          <w14:ligatures w14:val="standardContextual"/>
        </w:rPr>
        <w:tab/>
      </w:r>
      <w:r w:rsidRPr="003A5AF4">
        <w:rPr>
          <w:noProof/>
        </w:rPr>
        <w:t>Estimation and justification of the cost-effectiveness of the controls (ratio between the control costs  and the value of the related funds managed), and assessment of the expected levels of risk of error (at payment &amp; at closure)</w:t>
      </w:r>
      <w:r w:rsidRPr="003A5AF4">
        <w:rPr>
          <w:noProof/>
          <w:webHidden/>
        </w:rPr>
        <w:tab/>
        <w:t>8</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2.3.</w:t>
      </w:r>
      <w:r w:rsidRPr="003A5AF4">
        <w:rPr>
          <w:rFonts w:asciiTheme="minorHAnsi" w:eastAsiaTheme="minorEastAsia" w:hAnsiTheme="minorHAnsi" w:cstheme="minorBidi"/>
          <w:noProof/>
          <w:kern w:val="2"/>
          <w:sz w:val="22"/>
          <w:lang w:eastAsia="en-GB"/>
          <w14:ligatures w14:val="standardContextual"/>
        </w:rPr>
        <w:tab/>
      </w:r>
      <w:r w:rsidRPr="003A5AF4">
        <w:rPr>
          <w:noProof/>
        </w:rPr>
        <w:t>Measures to prevent fraud and irregularities</w:t>
      </w:r>
      <w:r w:rsidRPr="003A5AF4">
        <w:rPr>
          <w:noProof/>
          <w:webHidden/>
        </w:rPr>
        <w:tab/>
        <w:t>9</w:t>
      </w:r>
    </w:p>
    <w:p w:rsidR="00F5502B" w:rsidRPr="003A5AF4" w:rsidRDefault="00F5502B" w:rsidP="00E923B5">
      <w:pPr>
        <w:pStyle w:val="TOC1"/>
        <w:rPr>
          <w:rFonts w:asciiTheme="minorHAnsi" w:eastAsiaTheme="minorEastAsia" w:hAnsiTheme="minorHAnsi" w:cstheme="minorBidi"/>
          <w:noProof/>
          <w:kern w:val="2"/>
          <w:sz w:val="22"/>
          <w:lang w:eastAsia="en-GB"/>
          <w14:ligatures w14:val="standardContextual"/>
        </w:rPr>
      </w:pPr>
      <w:r w:rsidRPr="003A5AF4">
        <w:rPr>
          <w:noProof/>
        </w:rPr>
        <w:t>3.</w:t>
      </w:r>
      <w:r w:rsidRPr="003A5AF4">
        <w:rPr>
          <w:rFonts w:asciiTheme="minorHAnsi" w:eastAsiaTheme="minorEastAsia" w:hAnsiTheme="minorHAnsi" w:cstheme="minorBidi"/>
          <w:noProof/>
          <w:kern w:val="2"/>
          <w:sz w:val="22"/>
          <w:lang w:eastAsia="en-GB"/>
          <w14:ligatures w14:val="standardContextual"/>
        </w:rPr>
        <w:tab/>
      </w:r>
      <w:r w:rsidRPr="003A5AF4">
        <w:rPr>
          <w:noProof/>
        </w:rPr>
        <w:t>ESTIMATED FINANCIAL IMPACT OF THE PROPOSAL/INITIATIVE</w:t>
      </w:r>
      <w:r w:rsidRPr="003A5AF4">
        <w:rPr>
          <w:noProof/>
          <w:webHidden/>
        </w:rPr>
        <w:tab/>
        <w:t>10</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3.1.</w:t>
      </w:r>
      <w:r w:rsidRPr="003A5AF4">
        <w:rPr>
          <w:rFonts w:asciiTheme="minorHAnsi" w:eastAsiaTheme="minorEastAsia" w:hAnsiTheme="minorHAnsi" w:cstheme="minorBidi"/>
          <w:noProof/>
          <w:kern w:val="2"/>
          <w:sz w:val="22"/>
          <w:lang w:eastAsia="en-GB"/>
          <w14:ligatures w14:val="standardContextual"/>
        </w:rPr>
        <w:tab/>
      </w:r>
      <w:r w:rsidRPr="003A5AF4">
        <w:rPr>
          <w:noProof/>
        </w:rPr>
        <w:t>Heading(s) of the multiannual financial framework and expenditure budget line(s) affected</w:t>
      </w:r>
      <w:r w:rsidRPr="003A5AF4">
        <w:rPr>
          <w:noProof/>
          <w:webHidden/>
        </w:rPr>
        <w:tab/>
        <w:t>10</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3.2.</w:t>
      </w:r>
      <w:r w:rsidRPr="003A5AF4">
        <w:rPr>
          <w:rFonts w:asciiTheme="minorHAnsi" w:eastAsiaTheme="minorEastAsia" w:hAnsiTheme="minorHAnsi" w:cstheme="minorBidi"/>
          <w:noProof/>
          <w:kern w:val="2"/>
          <w:sz w:val="22"/>
          <w:lang w:eastAsia="en-GB"/>
          <w14:ligatures w14:val="standardContextual"/>
        </w:rPr>
        <w:tab/>
      </w:r>
      <w:r w:rsidRPr="003A5AF4">
        <w:rPr>
          <w:noProof/>
        </w:rPr>
        <w:t>Estimated financial impact of the proposal on appropriations</w:t>
      </w:r>
      <w:r w:rsidRPr="003A5AF4">
        <w:rPr>
          <w:noProof/>
          <w:webHidden/>
        </w:rPr>
        <w:tab/>
        <w:t>12</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3.2.1.</w:t>
      </w:r>
      <w:r w:rsidRPr="003A5AF4">
        <w:rPr>
          <w:rFonts w:asciiTheme="minorHAnsi" w:eastAsiaTheme="minorEastAsia" w:hAnsiTheme="minorHAnsi" w:cstheme="minorBidi"/>
          <w:noProof/>
          <w:kern w:val="2"/>
          <w:sz w:val="22"/>
          <w:lang w:eastAsia="en-GB"/>
          <w14:ligatures w14:val="standardContextual"/>
        </w:rPr>
        <w:tab/>
      </w:r>
      <w:r w:rsidRPr="003A5AF4">
        <w:rPr>
          <w:noProof/>
        </w:rPr>
        <w:t>Summary of estimated impact on operational appropriations</w:t>
      </w:r>
      <w:r w:rsidRPr="003A5AF4">
        <w:rPr>
          <w:noProof/>
          <w:webHidden/>
        </w:rPr>
        <w:tab/>
        <w:t>12</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3.2.1.1.</w:t>
      </w:r>
      <w:r w:rsidRPr="003A5AF4">
        <w:rPr>
          <w:rFonts w:asciiTheme="minorHAnsi" w:eastAsiaTheme="minorEastAsia" w:hAnsiTheme="minorHAnsi" w:cstheme="minorBidi"/>
          <w:noProof/>
          <w:kern w:val="2"/>
          <w:sz w:val="22"/>
          <w:lang w:eastAsia="en-GB"/>
          <w14:ligatures w14:val="standardContextual"/>
        </w:rPr>
        <w:tab/>
      </w:r>
      <w:r w:rsidRPr="003A5AF4">
        <w:rPr>
          <w:noProof/>
        </w:rPr>
        <w:t>Appropriations from voted budget</w:t>
      </w:r>
      <w:r w:rsidRPr="003A5AF4">
        <w:rPr>
          <w:noProof/>
          <w:webHidden/>
        </w:rPr>
        <w:tab/>
        <w:t>12</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3.2.1.2.</w:t>
      </w:r>
      <w:r w:rsidRPr="003A5AF4">
        <w:rPr>
          <w:rFonts w:asciiTheme="minorHAnsi" w:eastAsiaTheme="minorEastAsia" w:hAnsiTheme="minorHAnsi" w:cstheme="minorBidi"/>
          <w:noProof/>
          <w:kern w:val="2"/>
          <w:sz w:val="22"/>
          <w:lang w:eastAsia="en-GB"/>
          <w14:ligatures w14:val="standardContextual"/>
        </w:rPr>
        <w:tab/>
      </w:r>
      <w:r w:rsidRPr="003A5AF4">
        <w:rPr>
          <w:noProof/>
        </w:rPr>
        <w:t>Appropriations from external assigned revenues</w:t>
      </w:r>
      <w:r w:rsidRPr="003A5AF4">
        <w:rPr>
          <w:noProof/>
          <w:webHidden/>
        </w:rPr>
        <w:tab/>
        <w:t>17</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3.2.2.</w:t>
      </w:r>
      <w:r w:rsidRPr="003A5AF4">
        <w:rPr>
          <w:rFonts w:asciiTheme="minorHAnsi" w:eastAsiaTheme="minorEastAsia" w:hAnsiTheme="minorHAnsi" w:cstheme="minorBidi"/>
          <w:noProof/>
          <w:kern w:val="2"/>
          <w:sz w:val="22"/>
          <w:lang w:eastAsia="en-GB"/>
          <w14:ligatures w14:val="standardContextual"/>
        </w:rPr>
        <w:tab/>
      </w:r>
      <w:r w:rsidRPr="003A5AF4">
        <w:rPr>
          <w:noProof/>
        </w:rPr>
        <w:t>Estimated output funded from operational appropriations</w:t>
      </w:r>
      <w:r w:rsidRPr="003A5AF4">
        <w:rPr>
          <w:noProof/>
          <w:webHidden/>
        </w:rPr>
        <w:tab/>
        <w:t>22</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3.2.3.</w:t>
      </w:r>
      <w:r w:rsidRPr="003A5AF4">
        <w:rPr>
          <w:rFonts w:asciiTheme="minorHAnsi" w:eastAsiaTheme="minorEastAsia" w:hAnsiTheme="minorHAnsi" w:cstheme="minorBidi"/>
          <w:noProof/>
          <w:kern w:val="2"/>
          <w:sz w:val="22"/>
          <w:lang w:eastAsia="en-GB"/>
          <w14:ligatures w14:val="standardContextual"/>
        </w:rPr>
        <w:tab/>
      </w:r>
      <w:r w:rsidRPr="003A5AF4">
        <w:rPr>
          <w:noProof/>
        </w:rPr>
        <w:t>Summary of estimated impact on administrative appropriations</w:t>
      </w:r>
      <w:r w:rsidRPr="003A5AF4">
        <w:rPr>
          <w:noProof/>
          <w:webHidden/>
        </w:rPr>
        <w:tab/>
        <w:t>24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 xml:space="preserve">3.2.3.1. Appropriations </w:t>
      </w:r>
      <w:r w:rsidRPr="003A5AF4">
        <w:rPr>
          <w:rFonts w:eastAsia="Calibri"/>
          <w:noProof/>
        </w:rPr>
        <w:t>from</w:t>
      </w:r>
      <w:r w:rsidRPr="003A5AF4">
        <w:rPr>
          <w:noProof/>
        </w:rPr>
        <w:t xml:space="preserve"> voted budget</w:t>
      </w:r>
      <w:r w:rsidRPr="003A5AF4">
        <w:rPr>
          <w:noProof/>
          <w:webHidden/>
        </w:rPr>
        <w:tab/>
        <w:t>24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3.2.3.2.</w:t>
      </w:r>
      <w:r w:rsidRPr="003A5AF4">
        <w:rPr>
          <w:rFonts w:asciiTheme="minorHAnsi" w:eastAsiaTheme="minorEastAsia" w:hAnsiTheme="minorHAnsi" w:cstheme="minorBidi"/>
          <w:noProof/>
          <w:kern w:val="2"/>
          <w:sz w:val="22"/>
          <w:lang w:eastAsia="en-GB"/>
          <w14:ligatures w14:val="standardContextual"/>
        </w:rPr>
        <w:tab/>
      </w:r>
      <w:r w:rsidRPr="003A5AF4">
        <w:rPr>
          <w:noProof/>
        </w:rPr>
        <w:t>Appropriations from external assigned revenues</w:t>
      </w:r>
      <w:r w:rsidRPr="003A5AF4">
        <w:rPr>
          <w:noProof/>
          <w:webHidden/>
        </w:rPr>
        <w:tab/>
        <w:t>24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3.2.3.3.</w:t>
      </w:r>
      <w:r w:rsidRPr="003A5AF4">
        <w:rPr>
          <w:rFonts w:asciiTheme="minorHAnsi" w:eastAsiaTheme="minorEastAsia" w:hAnsiTheme="minorHAnsi" w:cstheme="minorBidi"/>
          <w:noProof/>
          <w:kern w:val="2"/>
          <w:sz w:val="22"/>
          <w:lang w:eastAsia="en-GB"/>
          <w14:ligatures w14:val="standardContextual"/>
        </w:rPr>
        <w:tab/>
      </w:r>
      <w:r w:rsidRPr="003A5AF4">
        <w:rPr>
          <w:noProof/>
        </w:rPr>
        <w:t>Total appropriations</w:t>
      </w:r>
      <w:r w:rsidRPr="003A5AF4">
        <w:rPr>
          <w:noProof/>
          <w:webHidden/>
        </w:rPr>
        <w:tab/>
        <w:t>24</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3.2.4.</w:t>
      </w:r>
      <w:r w:rsidRPr="003A5AF4">
        <w:rPr>
          <w:rFonts w:asciiTheme="minorHAnsi" w:eastAsiaTheme="minorEastAsia" w:hAnsiTheme="minorHAnsi" w:cstheme="minorBidi"/>
          <w:noProof/>
          <w:kern w:val="2"/>
          <w:sz w:val="22"/>
          <w:lang w:eastAsia="en-GB"/>
          <w14:ligatures w14:val="standardContextual"/>
        </w:rPr>
        <w:tab/>
      </w:r>
      <w:r w:rsidRPr="003A5AF4">
        <w:rPr>
          <w:noProof/>
        </w:rPr>
        <w:t>Estimated requirements of human resources</w:t>
      </w:r>
      <w:r w:rsidRPr="003A5AF4">
        <w:rPr>
          <w:noProof/>
          <w:webHidden/>
        </w:rPr>
        <w:tab/>
        <w:t>25</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3.2.4.1.</w:t>
      </w:r>
      <w:r w:rsidRPr="003A5AF4">
        <w:rPr>
          <w:rFonts w:asciiTheme="minorHAnsi" w:eastAsiaTheme="minorEastAsia" w:hAnsiTheme="minorHAnsi" w:cstheme="minorBidi"/>
          <w:noProof/>
          <w:kern w:val="2"/>
          <w:sz w:val="22"/>
          <w:lang w:eastAsia="en-GB"/>
          <w14:ligatures w14:val="standardContextual"/>
        </w:rPr>
        <w:tab/>
      </w:r>
      <w:r w:rsidRPr="003A5AF4">
        <w:rPr>
          <w:noProof/>
        </w:rPr>
        <w:t>Financed from voted budget</w:t>
      </w:r>
      <w:r w:rsidRPr="003A5AF4">
        <w:rPr>
          <w:noProof/>
          <w:webHidden/>
        </w:rPr>
        <w:tab/>
        <w:t>25</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3.2.4.2.</w:t>
      </w:r>
      <w:r w:rsidRPr="003A5AF4">
        <w:rPr>
          <w:rFonts w:asciiTheme="minorHAnsi" w:eastAsiaTheme="minorEastAsia" w:hAnsiTheme="minorHAnsi" w:cstheme="minorBidi"/>
          <w:noProof/>
          <w:kern w:val="2"/>
          <w:sz w:val="22"/>
          <w:lang w:eastAsia="en-GB"/>
          <w14:ligatures w14:val="standardContextual"/>
        </w:rPr>
        <w:tab/>
      </w:r>
      <w:r w:rsidRPr="003A5AF4">
        <w:rPr>
          <w:noProof/>
        </w:rPr>
        <w:t>Financed from external assigned revenues</w:t>
      </w:r>
      <w:r w:rsidRPr="003A5AF4">
        <w:rPr>
          <w:noProof/>
          <w:webHidden/>
        </w:rPr>
        <w:tab/>
        <w:t>26</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3.2.4.3.</w:t>
      </w:r>
      <w:r w:rsidRPr="003A5AF4">
        <w:rPr>
          <w:rFonts w:asciiTheme="minorHAnsi" w:eastAsiaTheme="minorEastAsia" w:hAnsiTheme="minorHAnsi" w:cstheme="minorBidi"/>
          <w:noProof/>
          <w:kern w:val="2"/>
          <w:sz w:val="22"/>
          <w:lang w:eastAsia="en-GB"/>
          <w14:ligatures w14:val="standardContextual"/>
        </w:rPr>
        <w:tab/>
      </w:r>
      <w:r w:rsidRPr="003A5AF4">
        <w:rPr>
          <w:noProof/>
        </w:rPr>
        <w:t>Total requirements of human resources</w:t>
      </w:r>
      <w:r w:rsidRPr="003A5AF4">
        <w:rPr>
          <w:noProof/>
          <w:webHidden/>
        </w:rPr>
        <w:tab/>
        <w:t>26</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3.2.5.</w:t>
      </w:r>
      <w:r w:rsidRPr="003A5AF4">
        <w:rPr>
          <w:rFonts w:asciiTheme="minorHAnsi" w:eastAsiaTheme="minorEastAsia" w:hAnsiTheme="minorHAnsi" w:cstheme="minorBidi"/>
          <w:noProof/>
          <w:kern w:val="2"/>
          <w:sz w:val="22"/>
          <w:lang w:eastAsia="en-GB"/>
          <w14:ligatures w14:val="standardContextual"/>
        </w:rPr>
        <w:tab/>
      </w:r>
      <w:r w:rsidRPr="003A5AF4">
        <w:rPr>
          <w:noProof/>
        </w:rPr>
        <w:t>Overview of estimated impact on digital technology-related investments</w:t>
      </w:r>
      <w:r w:rsidRPr="003A5AF4">
        <w:rPr>
          <w:noProof/>
          <w:webHidden/>
        </w:rPr>
        <w:tab/>
        <w:t>28</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3.2.6.</w:t>
      </w:r>
      <w:r w:rsidRPr="003A5AF4">
        <w:rPr>
          <w:rFonts w:asciiTheme="minorHAnsi" w:eastAsiaTheme="minorEastAsia" w:hAnsiTheme="minorHAnsi" w:cstheme="minorBidi"/>
          <w:noProof/>
          <w:kern w:val="2"/>
          <w:sz w:val="22"/>
          <w:lang w:eastAsia="en-GB"/>
          <w14:ligatures w14:val="standardContextual"/>
        </w:rPr>
        <w:tab/>
      </w:r>
      <w:r w:rsidRPr="003A5AF4">
        <w:rPr>
          <w:noProof/>
        </w:rPr>
        <w:t>Compatibility with the current multiannual financial framework</w:t>
      </w:r>
      <w:r w:rsidRPr="003A5AF4">
        <w:rPr>
          <w:noProof/>
          <w:webHidden/>
        </w:rPr>
        <w:tab/>
        <w:t>28</w:t>
      </w:r>
    </w:p>
    <w:p w:rsidR="00F5502B" w:rsidRPr="003A5AF4" w:rsidRDefault="00F5502B" w:rsidP="00E923B5">
      <w:pPr>
        <w:pStyle w:val="TOC3"/>
        <w:rPr>
          <w:rFonts w:asciiTheme="minorHAnsi" w:eastAsiaTheme="minorEastAsia" w:hAnsiTheme="minorHAnsi" w:cstheme="minorBidi"/>
          <w:noProof/>
          <w:kern w:val="2"/>
          <w:sz w:val="22"/>
          <w:lang w:eastAsia="en-GB"/>
          <w14:ligatures w14:val="standardContextual"/>
        </w:rPr>
      </w:pPr>
      <w:r w:rsidRPr="003A5AF4">
        <w:rPr>
          <w:noProof/>
        </w:rPr>
        <w:t>3.2.7.</w:t>
      </w:r>
      <w:r w:rsidRPr="003A5AF4">
        <w:rPr>
          <w:rFonts w:asciiTheme="minorHAnsi" w:eastAsiaTheme="minorEastAsia" w:hAnsiTheme="minorHAnsi" w:cstheme="minorBidi"/>
          <w:noProof/>
          <w:kern w:val="2"/>
          <w:sz w:val="22"/>
          <w:lang w:eastAsia="en-GB"/>
          <w14:ligatures w14:val="standardContextual"/>
        </w:rPr>
        <w:tab/>
      </w:r>
      <w:r w:rsidRPr="003A5AF4">
        <w:rPr>
          <w:noProof/>
        </w:rPr>
        <w:t>Third-party contributions</w:t>
      </w:r>
      <w:r w:rsidRPr="003A5AF4">
        <w:rPr>
          <w:noProof/>
          <w:webHidden/>
        </w:rPr>
        <w:tab/>
        <w:t>28</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3.3.</w:t>
      </w:r>
      <w:r w:rsidRPr="003A5AF4">
        <w:rPr>
          <w:rFonts w:asciiTheme="minorHAnsi" w:eastAsiaTheme="minorEastAsia" w:hAnsiTheme="minorHAnsi" w:cstheme="minorBidi"/>
          <w:noProof/>
          <w:kern w:val="2"/>
          <w:sz w:val="22"/>
          <w:lang w:eastAsia="en-GB"/>
          <w14:ligatures w14:val="standardContextual"/>
        </w:rPr>
        <w:tab/>
      </w:r>
      <w:r w:rsidRPr="003A5AF4">
        <w:rPr>
          <w:noProof/>
        </w:rPr>
        <w:t>Estimated impact on revenue</w:t>
      </w:r>
      <w:r w:rsidRPr="003A5AF4">
        <w:rPr>
          <w:noProof/>
          <w:webHidden/>
        </w:rPr>
        <w:tab/>
        <w:t>29</w:t>
      </w:r>
    </w:p>
    <w:p w:rsidR="00F5502B" w:rsidRPr="003A5AF4" w:rsidRDefault="00F5502B" w:rsidP="00E923B5">
      <w:pPr>
        <w:pStyle w:val="TOC1"/>
        <w:rPr>
          <w:rFonts w:asciiTheme="minorHAnsi" w:eastAsiaTheme="minorEastAsia" w:hAnsiTheme="minorHAnsi" w:cstheme="minorBidi"/>
          <w:noProof/>
          <w:kern w:val="2"/>
          <w:sz w:val="22"/>
          <w:lang w:eastAsia="en-GB"/>
          <w14:ligatures w14:val="standardContextual"/>
        </w:rPr>
      </w:pPr>
      <w:r w:rsidRPr="003A5AF4">
        <w:rPr>
          <w:noProof/>
        </w:rPr>
        <w:t>4.</w:t>
      </w:r>
      <w:r w:rsidRPr="003A5AF4">
        <w:rPr>
          <w:rFonts w:asciiTheme="minorHAnsi" w:eastAsiaTheme="minorEastAsia" w:hAnsiTheme="minorHAnsi" w:cstheme="minorBidi"/>
          <w:noProof/>
          <w:kern w:val="2"/>
          <w:sz w:val="22"/>
          <w:lang w:eastAsia="en-GB"/>
          <w14:ligatures w14:val="standardContextual"/>
        </w:rPr>
        <w:tab/>
      </w:r>
      <w:r w:rsidRPr="003A5AF4">
        <w:rPr>
          <w:caps/>
          <w:noProof/>
        </w:rPr>
        <w:t>Digital dimensions</w:t>
      </w:r>
      <w:r w:rsidRPr="003A5AF4">
        <w:rPr>
          <w:noProof/>
          <w:webHidden/>
        </w:rPr>
        <w:tab/>
        <w:t>29</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4.1.</w:t>
      </w:r>
      <w:r w:rsidRPr="003A5AF4">
        <w:rPr>
          <w:rFonts w:asciiTheme="minorHAnsi" w:eastAsiaTheme="minorEastAsia" w:hAnsiTheme="minorHAnsi" w:cstheme="minorBidi"/>
          <w:noProof/>
          <w:kern w:val="2"/>
          <w:sz w:val="22"/>
          <w:lang w:eastAsia="en-GB"/>
          <w14:ligatures w14:val="standardContextual"/>
        </w:rPr>
        <w:tab/>
      </w:r>
      <w:r w:rsidRPr="003A5AF4">
        <w:rPr>
          <w:noProof/>
        </w:rPr>
        <w:t>Requirements of digital relevance</w:t>
      </w:r>
      <w:r w:rsidRPr="003A5AF4">
        <w:rPr>
          <w:noProof/>
          <w:webHidden/>
        </w:rPr>
        <w:tab/>
        <w:t>30</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4.2.</w:t>
      </w:r>
      <w:r w:rsidRPr="003A5AF4">
        <w:rPr>
          <w:rFonts w:asciiTheme="minorHAnsi" w:eastAsiaTheme="minorEastAsia" w:hAnsiTheme="minorHAnsi" w:cstheme="minorBidi"/>
          <w:noProof/>
          <w:kern w:val="2"/>
          <w:sz w:val="22"/>
          <w:lang w:eastAsia="en-GB"/>
          <w14:ligatures w14:val="standardContextual"/>
        </w:rPr>
        <w:tab/>
      </w:r>
      <w:r w:rsidRPr="003A5AF4">
        <w:rPr>
          <w:noProof/>
        </w:rPr>
        <w:t>Data</w:t>
      </w:r>
      <w:r w:rsidRPr="003A5AF4">
        <w:rPr>
          <w:noProof/>
          <w:webHidden/>
        </w:rPr>
        <w:tab/>
        <w:t>30</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4.3.</w:t>
      </w:r>
      <w:r w:rsidRPr="003A5AF4">
        <w:rPr>
          <w:rFonts w:asciiTheme="minorHAnsi" w:eastAsiaTheme="minorEastAsia" w:hAnsiTheme="minorHAnsi" w:cstheme="minorBidi"/>
          <w:noProof/>
          <w:kern w:val="2"/>
          <w:sz w:val="22"/>
          <w:lang w:eastAsia="en-GB"/>
          <w14:ligatures w14:val="standardContextual"/>
        </w:rPr>
        <w:tab/>
      </w:r>
      <w:r w:rsidRPr="003A5AF4">
        <w:rPr>
          <w:noProof/>
        </w:rPr>
        <w:t>Digital solutions</w:t>
      </w:r>
      <w:r w:rsidRPr="003A5AF4">
        <w:rPr>
          <w:noProof/>
          <w:webHidden/>
        </w:rPr>
        <w:tab/>
        <w:t>31</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bCs/>
          <w:noProof/>
        </w:rPr>
        <w:t>4.4.</w:t>
      </w:r>
      <w:r w:rsidRPr="003A5AF4">
        <w:rPr>
          <w:rFonts w:asciiTheme="minorHAnsi" w:eastAsiaTheme="minorEastAsia" w:hAnsiTheme="minorHAnsi" w:cstheme="minorBidi"/>
          <w:noProof/>
          <w:kern w:val="2"/>
          <w:sz w:val="22"/>
          <w:lang w:eastAsia="en-GB"/>
          <w14:ligatures w14:val="standardContextual"/>
        </w:rPr>
        <w:tab/>
      </w:r>
      <w:r w:rsidRPr="003A5AF4">
        <w:rPr>
          <w:bCs/>
          <w:noProof/>
        </w:rPr>
        <w:t>Interoperability assessment</w:t>
      </w:r>
      <w:r w:rsidRPr="003A5AF4">
        <w:rPr>
          <w:noProof/>
          <w:webHidden/>
        </w:rPr>
        <w:tab/>
        <w:t>31</w:t>
      </w:r>
    </w:p>
    <w:p w:rsidR="00F5502B" w:rsidRPr="003A5AF4" w:rsidRDefault="00F5502B" w:rsidP="00E923B5">
      <w:pPr>
        <w:pStyle w:val="TOC2"/>
        <w:rPr>
          <w:rFonts w:asciiTheme="minorHAnsi" w:eastAsiaTheme="minorEastAsia" w:hAnsiTheme="minorHAnsi" w:cstheme="minorBidi"/>
          <w:noProof/>
          <w:kern w:val="2"/>
          <w:sz w:val="22"/>
          <w:lang w:eastAsia="en-GB"/>
          <w14:ligatures w14:val="standardContextual"/>
        </w:rPr>
      </w:pPr>
      <w:r w:rsidRPr="003A5AF4">
        <w:rPr>
          <w:noProof/>
        </w:rPr>
        <w:t>4.5.</w:t>
      </w:r>
      <w:r w:rsidRPr="003A5AF4">
        <w:rPr>
          <w:rFonts w:asciiTheme="minorHAnsi" w:eastAsiaTheme="minorEastAsia" w:hAnsiTheme="minorHAnsi" w:cstheme="minorBidi"/>
          <w:noProof/>
          <w:kern w:val="2"/>
          <w:sz w:val="22"/>
          <w:lang w:eastAsia="en-GB"/>
          <w14:ligatures w14:val="standardContextual"/>
        </w:rPr>
        <w:tab/>
      </w:r>
      <w:r w:rsidRPr="003A5AF4">
        <w:rPr>
          <w:noProof/>
        </w:rPr>
        <w:t>Measures to support digital implementation</w:t>
      </w:r>
      <w:r w:rsidRPr="003A5AF4">
        <w:rPr>
          <w:noProof/>
          <w:webHidden/>
        </w:rPr>
        <w:tab/>
        <w:t>32</w:t>
      </w:r>
    </w:p>
    <w:p w:rsidR="00F5502B" w:rsidRPr="003A5AF4" w:rsidRDefault="00F5502B" w:rsidP="00E923B5">
      <w:pPr>
        <w:pStyle w:val="TOC1"/>
        <w:ind w:left="0" w:firstLine="0"/>
        <w:rPr>
          <w:noProof/>
        </w:rPr>
        <w:sectPr w:rsidR="00F5502B" w:rsidRPr="003A5AF4" w:rsidSect="002D2AD5">
          <w:pgSz w:w="11907" w:h="16840" w:code="9"/>
          <w:pgMar w:top="1134" w:right="1418" w:bottom="1134" w:left="1418" w:header="709" w:footer="709" w:gutter="0"/>
          <w:pgNumType w:start="1"/>
          <w:cols w:space="720"/>
          <w:docGrid w:linePitch="360"/>
        </w:sectPr>
      </w:pPr>
    </w:p>
    <w:p w:rsidR="00F5502B" w:rsidRPr="003A5AF4" w:rsidRDefault="00F5502B" w:rsidP="00E923B5">
      <w:pPr>
        <w:pStyle w:val="ManualHeading1"/>
        <w:rPr>
          <w:noProof/>
        </w:rPr>
      </w:pPr>
      <w:bookmarkStart w:id="5" w:name="_Toc514938007"/>
      <w:bookmarkStart w:id="6" w:name="_Toc520485025"/>
      <w:bookmarkStart w:id="7" w:name="_Toc160804567"/>
      <w:bookmarkStart w:id="8" w:name="_Toc167220259"/>
      <w:bookmarkStart w:id="9" w:name="_Toc177548992"/>
      <w:r w:rsidRPr="003A5AF4">
        <w:rPr>
          <w:noProof/>
        </w:rPr>
        <w:t>1.</w:t>
      </w:r>
      <w:r w:rsidRPr="003A5AF4">
        <w:rPr>
          <w:noProof/>
        </w:rPr>
        <w:tab/>
        <w:t>FRAMEWORK OF THE PROPOSAL/INITIATIVE</w:t>
      </w:r>
      <w:bookmarkEnd w:id="5"/>
      <w:bookmarkEnd w:id="6"/>
      <w:bookmarkEnd w:id="7"/>
      <w:bookmarkEnd w:id="8"/>
      <w:bookmarkEnd w:id="9"/>
      <w:r w:rsidRPr="003A5AF4">
        <w:rPr>
          <w:noProof/>
        </w:rPr>
        <w:t xml:space="preserve"> </w:t>
      </w:r>
    </w:p>
    <w:p w:rsidR="00F5502B" w:rsidRPr="003A5AF4" w:rsidRDefault="00F5502B" w:rsidP="00E923B5">
      <w:pPr>
        <w:pStyle w:val="ManualHeading2"/>
        <w:rPr>
          <w:noProof/>
        </w:rPr>
      </w:pPr>
      <w:bookmarkStart w:id="10" w:name="_Toc514938008"/>
      <w:bookmarkStart w:id="11" w:name="_Toc520485026"/>
      <w:bookmarkStart w:id="12" w:name="_Toc160804568"/>
      <w:bookmarkStart w:id="13" w:name="_Toc167220260"/>
      <w:bookmarkStart w:id="14" w:name="_Toc177548993"/>
      <w:r w:rsidRPr="003A5AF4">
        <w:rPr>
          <w:noProof/>
        </w:rPr>
        <w:t>1.1.</w:t>
      </w:r>
      <w:r w:rsidRPr="003A5AF4">
        <w:rPr>
          <w:noProof/>
        </w:rPr>
        <w:tab/>
        <w:t>Title of the proposal/initiative</w:t>
      </w:r>
      <w:bookmarkEnd w:id="10"/>
      <w:bookmarkEnd w:id="11"/>
      <w:bookmarkEnd w:id="12"/>
      <w:bookmarkEnd w:id="13"/>
      <w:bookmarkEnd w:id="14"/>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15" w:name="_Toc514938011"/>
      <w:bookmarkStart w:id="16" w:name="_Toc520485027"/>
      <w:bookmarkStart w:id="17" w:name="_Toc160804569"/>
      <w:bookmarkStart w:id="18" w:name="_Toc167220261"/>
      <w:bookmarkStart w:id="19" w:name="_Toc177548994"/>
      <w:r w:rsidRPr="003A5AF4">
        <w:rPr>
          <w:noProof/>
        </w:rPr>
        <w:t xml:space="preserve">Proposal for a Council Decision </w:t>
      </w:r>
      <w:r w:rsidR="00E644E8">
        <w:rPr>
          <w:noProof/>
        </w:rPr>
        <w:t>for conclusion</w:t>
      </w:r>
      <w:r w:rsidR="001C31BE">
        <w:rPr>
          <w:noProof/>
        </w:rPr>
        <w:t xml:space="preserve"> </w:t>
      </w:r>
      <w:r w:rsidR="00E644E8">
        <w:rPr>
          <w:noProof/>
        </w:rPr>
        <w:t xml:space="preserve">of </w:t>
      </w:r>
      <w:r w:rsidRPr="003A5AF4">
        <w:rPr>
          <w:noProof/>
        </w:rPr>
        <w:t>the Convention Establishing an International Claims Commission for Ukraine.</w:t>
      </w:r>
    </w:p>
    <w:p w:rsidR="00F5502B" w:rsidRPr="003A5AF4" w:rsidRDefault="00F5502B" w:rsidP="00E923B5">
      <w:pPr>
        <w:pStyle w:val="ManualHeading2"/>
        <w:rPr>
          <w:i/>
          <w:noProof/>
        </w:rPr>
      </w:pPr>
      <w:r w:rsidRPr="003A5AF4">
        <w:rPr>
          <w:noProof/>
        </w:rPr>
        <w:t>1.2.</w:t>
      </w:r>
      <w:r w:rsidRPr="003A5AF4">
        <w:rPr>
          <w:noProof/>
        </w:rPr>
        <w:tab/>
        <w:t>Policy area(s) concerned</w:t>
      </w:r>
      <w:bookmarkEnd w:id="15"/>
      <w:bookmarkEnd w:id="16"/>
      <w:bookmarkEnd w:id="17"/>
      <w:bookmarkEnd w:id="18"/>
      <w:bookmarkEnd w:id="19"/>
      <w:r w:rsidRPr="003A5AF4">
        <w:rPr>
          <w:i/>
          <w:noProof/>
        </w:rPr>
        <w:t xml:space="preserve"> </w:t>
      </w:r>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20" w:name="_Toc514938015"/>
      <w:bookmarkStart w:id="21" w:name="_Toc520485029"/>
      <w:bookmarkStart w:id="22" w:name="_Toc160804571"/>
      <w:bookmarkStart w:id="23" w:name="_Toc167220263"/>
      <w:bookmarkStart w:id="24" w:name="_Toc177548995"/>
      <w:r w:rsidRPr="003A5AF4">
        <w:rPr>
          <w:noProof/>
        </w:rPr>
        <w:t xml:space="preserve">Justice </w:t>
      </w:r>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rPr>
      </w:pPr>
      <w:r w:rsidRPr="003A5AF4">
        <w:rPr>
          <w:noProof/>
        </w:rPr>
        <w:t>Financial and technical assistance to third countries</w:t>
      </w:r>
    </w:p>
    <w:p w:rsidR="00F5502B" w:rsidRPr="003A5AF4" w:rsidRDefault="00F5502B" w:rsidP="00E923B5">
      <w:pPr>
        <w:pStyle w:val="ManualHeading2"/>
        <w:rPr>
          <w:noProof/>
        </w:rPr>
      </w:pPr>
      <w:r w:rsidRPr="003A5AF4">
        <w:rPr>
          <w:noProof/>
        </w:rPr>
        <w:t>1.3.</w:t>
      </w:r>
      <w:r w:rsidRPr="003A5AF4">
        <w:rPr>
          <w:noProof/>
        </w:rPr>
        <w:tab/>
        <w:t>Objective(s)</w:t>
      </w:r>
      <w:bookmarkEnd w:id="20"/>
      <w:bookmarkEnd w:id="21"/>
      <w:bookmarkEnd w:id="22"/>
      <w:bookmarkEnd w:id="23"/>
      <w:bookmarkEnd w:id="24"/>
    </w:p>
    <w:p w:rsidR="00F5502B" w:rsidRPr="003A5AF4" w:rsidRDefault="00F5502B" w:rsidP="00E923B5">
      <w:pPr>
        <w:pStyle w:val="ManualHeading3"/>
        <w:rPr>
          <w:noProof/>
        </w:rPr>
      </w:pPr>
      <w:bookmarkStart w:id="25" w:name="_Toc514938016"/>
      <w:bookmarkStart w:id="26" w:name="_Toc520485030"/>
      <w:bookmarkStart w:id="27" w:name="_Toc160804572"/>
      <w:bookmarkStart w:id="28" w:name="_Toc167220264"/>
      <w:bookmarkStart w:id="29" w:name="_Toc177548996"/>
      <w:r w:rsidRPr="003A5AF4">
        <w:rPr>
          <w:noProof/>
        </w:rPr>
        <w:t>1.3.1.</w:t>
      </w:r>
      <w:r w:rsidRPr="003A5AF4">
        <w:rPr>
          <w:noProof/>
        </w:rPr>
        <w:tab/>
        <w:t>General objective(s)</w:t>
      </w:r>
      <w:bookmarkEnd w:id="25"/>
      <w:bookmarkEnd w:id="26"/>
      <w:bookmarkEnd w:id="27"/>
      <w:bookmarkEnd w:id="28"/>
      <w:bookmarkEnd w:id="29"/>
    </w:p>
    <w:p w:rsidR="00592A08" w:rsidRPr="003A5AF4" w:rsidRDefault="00067069" w:rsidP="00592A08">
      <w:pPr>
        <w:pStyle w:val="Text1"/>
        <w:pBdr>
          <w:top w:val="single" w:sz="4" w:space="1" w:color="auto"/>
          <w:left w:val="single" w:sz="4" w:space="4" w:color="auto"/>
          <w:bottom w:val="single" w:sz="4" w:space="1" w:color="auto"/>
          <w:right w:val="single" w:sz="4" w:space="4" w:color="auto"/>
        </w:pBdr>
        <w:rPr>
          <w:noProof/>
        </w:rPr>
      </w:pPr>
      <w:bookmarkStart w:id="30" w:name="_Toc514938018"/>
      <w:bookmarkStart w:id="31" w:name="_Toc520485031"/>
      <w:bookmarkStart w:id="32" w:name="_Toc160804573"/>
      <w:bookmarkStart w:id="33" w:name="_Toc167220265"/>
      <w:bookmarkStart w:id="34" w:name="_Toc177548997"/>
      <w:r w:rsidRPr="00067069">
        <w:rPr>
          <w:noProof/>
        </w:rPr>
        <w:t>The International Claims Commission for Ukraine will be an independent administrative body with international legal personality, operating within the institutional framework of the Council of Europe. The Claims Commission constitutes the second component of the international compensation mechanism. The functions of the Register of Damage sh</w:t>
      </w:r>
      <w:r w:rsidR="00AC4546">
        <w:rPr>
          <w:noProof/>
        </w:rPr>
        <w:t>ould</w:t>
      </w:r>
      <w:r w:rsidRPr="00067069">
        <w:rPr>
          <w:noProof/>
        </w:rPr>
        <w:t xml:space="preserve"> continue as part of the Claims Commission, which will become the Register’s legal successor, inheriting its digital platform, data, and archives. The Claims Commission will provide the necessary assistance to Ukraine to ensure that the Russian Federation bears the legal consequences of its internationally wrongful acts against Ukraine, including the obligation to make reparation for any damage, loss, or injury resulting from those acts.</w:t>
      </w:r>
    </w:p>
    <w:p w:rsidR="00F5502B" w:rsidRPr="003A5AF4" w:rsidRDefault="00F5502B" w:rsidP="00E923B5">
      <w:pPr>
        <w:pStyle w:val="ManualHeading3"/>
        <w:rPr>
          <w:noProof/>
        </w:rPr>
      </w:pPr>
      <w:r w:rsidRPr="003A5AF4">
        <w:rPr>
          <w:noProof/>
        </w:rPr>
        <w:t>1.3.2.</w:t>
      </w:r>
      <w:r w:rsidRPr="003A5AF4">
        <w:rPr>
          <w:noProof/>
        </w:rPr>
        <w:tab/>
        <w:t>Specific objective(s)</w:t>
      </w:r>
      <w:bookmarkEnd w:id="30"/>
      <w:bookmarkEnd w:id="31"/>
      <w:bookmarkEnd w:id="32"/>
      <w:bookmarkEnd w:id="33"/>
      <w:bookmarkEnd w:id="34"/>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35" w:name="_Toc514938019"/>
      <w:bookmarkStart w:id="36" w:name="_Toc520485032"/>
      <w:bookmarkStart w:id="37" w:name="_Toc160804574"/>
      <w:bookmarkStart w:id="38" w:name="_Toc167220266"/>
      <w:bookmarkStart w:id="39" w:name="_Toc177548998"/>
      <w:r w:rsidRPr="003A5AF4">
        <w:rPr>
          <w:noProof/>
        </w:rPr>
        <w:t xml:space="preserve">(1) To conclude the Convention on the International Claims Commission with the intent of </w:t>
      </w:r>
      <w:r w:rsidR="00AC4546">
        <w:rPr>
          <w:noProof/>
        </w:rPr>
        <w:t xml:space="preserve">ensuring </w:t>
      </w:r>
      <w:r w:rsidRPr="003A5AF4">
        <w:rPr>
          <w:noProof/>
        </w:rPr>
        <w:t>the Union’s participation therein.</w:t>
      </w:r>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u w:val="single"/>
        </w:rPr>
      </w:pPr>
      <w:r w:rsidRPr="003A5AF4">
        <w:rPr>
          <w:noProof/>
        </w:rPr>
        <w:t xml:space="preserve">(2) </w:t>
      </w:r>
      <w:r w:rsidR="00067069" w:rsidRPr="00067069">
        <w:rPr>
          <w:noProof/>
        </w:rPr>
        <w:t xml:space="preserve">To provide the International Claims Commission with the </w:t>
      </w:r>
      <w:bookmarkStart w:id="40" w:name="_Hlk221545364"/>
      <w:r w:rsidR="00067069" w:rsidRPr="00067069">
        <w:rPr>
          <w:noProof/>
        </w:rPr>
        <w:t>means</w:t>
      </w:r>
      <w:bookmarkEnd w:id="40"/>
      <w:r w:rsidR="00067069" w:rsidRPr="00067069">
        <w:rPr>
          <w:noProof/>
        </w:rPr>
        <w:t xml:space="preserve"> to review, assess, and decide eligible claims recorded in the Register of Damage, and to determine the amount of compensation due in each case.</w:t>
      </w:r>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u w:val="single"/>
        </w:rPr>
      </w:pPr>
      <w:r w:rsidRPr="003A5AF4">
        <w:rPr>
          <w:noProof/>
        </w:rPr>
        <w:t>(3)</w:t>
      </w:r>
      <w:r w:rsidR="00067069">
        <w:rPr>
          <w:noProof/>
        </w:rPr>
        <w:t xml:space="preserve"> </w:t>
      </w:r>
      <w:r w:rsidR="00067069" w:rsidRPr="00067069">
        <w:rPr>
          <w:noProof/>
        </w:rPr>
        <w:t>Once the Convention enters into force and the Claims Commission becomes operational</w:t>
      </w:r>
      <w:r w:rsidR="00AC4546">
        <w:rPr>
          <w:noProof/>
        </w:rPr>
        <w:t xml:space="preserve"> (</w:t>
      </w:r>
      <w:r w:rsidR="00067069" w:rsidRPr="00067069">
        <w:rPr>
          <w:noProof/>
        </w:rPr>
        <w:t>expected in 2028</w:t>
      </w:r>
      <w:r w:rsidR="00AC4546">
        <w:rPr>
          <w:noProof/>
        </w:rPr>
        <w:t>)</w:t>
      </w:r>
      <w:r w:rsidR="00067069" w:rsidRPr="00067069">
        <w:rPr>
          <w:noProof/>
        </w:rPr>
        <w:t xml:space="preserve">, the Union will contribute annually between EUR 1 million and EUR 3 million during peak operational years, depending on the overall workload and the number of claims submitted, for the </w:t>
      </w:r>
      <w:r w:rsidR="00AC4546">
        <w:rPr>
          <w:noProof/>
        </w:rPr>
        <w:t xml:space="preserve">Claims </w:t>
      </w:r>
      <w:r w:rsidR="00067069" w:rsidRPr="00067069">
        <w:rPr>
          <w:noProof/>
        </w:rPr>
        <w:t>Commission’s estimated lifespan of at least 10 years, in accordance with Article 36(1) of the Convention</w:t>
      </w:r>
      <w:r w:rsidR="00133DF9">
        <w:rPr>
          <w:rStyle w:val="FootnoteReference"/>
          <w:noProof/>
        </w:rPr>
        <w:footnoteReference w:id="28"/>
      </w:r>
      <w:r w:rsidR="00067069" w:rsidRPr="00067069">
        <w:rPr>
          <w:noProof/>
        </w:rPr>
        <w:t>.</w:t>
      </w:r>
    </w:p>
    <w:p w:rsidR="00F5502B" w:rsidRPr="003A5AF4" w:rsidRDefault="00F5502B" w:rsidP="00E923B5">
      <w:pPr>
        <w:pStyle w:val="ManualHeading3"/>
        <w:rPr>
          <w:noProof/>
        </w:rPr>
      </w:pPr>
      <w:r w:rsidRPr="003A5AF4">
        <w:rPr>
          <w:noProof/>
        </w:rPr>
        <w:t>1.3.3.</w:t>
      </w:r>
      <w:r w:rsidRPr="003A5AF4">
        <w:rPr>
          <w:noProof/>
        </w:rPr>
        <w:tab/>
        <w:t>Expected result(s) and impact</w:t>
      </w:r>
      <w:bookmarkEnd w:id="35"/>
      <w:bookmarkEnd w:id="36"/>
      <w:bookmarkEnd w:id="37"/>
      <w:bookmarkEnd w:id="38"/>
      <w:bookmarkEnd w:id="39"/>
    </w:p>
    <w:p w:rsidR="00F5502B" w:rsidRPr="003A5AF4" w:rsidRDefault="00F5502B" w:rsidP="00E923B5">
      <w:pPr>
        <w:pStyle w:val="Text1"/>
        <w:rPr>
          <w:i/>
          <w:noProof/>
          <w:sz w:val="20"/>
        </w:rPr>
      </w:pPr>
      <w:r w:rsidRPr="003A5AF4">
        <w:rPr>
          <w:i/>
          <w:noProof/>
          <w:sz w:val="20"/>
        </w:rPr>
        <w:t>Specify the effects which the proposal/initiative should have on the beneficiaries/groups targeted.</w:t>
      </w:r>
    </w:p>
    <w:p w:rsidR="00592A08" w:rsidRPr="003A5AF4" w:rsidRDefault="00067069" w:rsidP="00592A08">
      <w:pPr>
        <w:pStyle w:val="Text1"/>
        <w:pBdr>
          <w:top w:val="single" w:sz="4" w:space="1" w:color="auto"/>
          <w:left w:val="single" w:sz="4" w:space="4" w:color="auto"/>
          <w:bottom w:val="single" w:sz="4" w:space="1" w:color="auto"/>
          <w:right w:val="single" w:sz="4" w:space="4" w:color="auto"/>
        </w:pBdr>
        <w:rPr>
          <w:noProof/>
        </w:rPr>
      </w:pPr>
      <w:bookmarkStart w:id="41" w:name="_Toc514938023"/>
      <w:bookmarkStart w:id="42" w:name="_Toc520485033"/>
      <w:bookmarkStart w:id="43" w:name="_Toc160804575"/>
      <w:bookmarkStart w:id="44" w:name="_Toc167220267"/>
      <w:bookmarkStart w:id="45" w:name="_Toc177548999"/>
      <w:r w:rsidRPr="00067069">
        <w:rPr>
          <w:noProof/>
        </w:rPr>
        <w:t>The International Claims Commission will function as a fact-finding body tasked with reviewing, assessing, and deciding eligible claims, and determining the amount of compensation due in each case. It will ensure that the Russian Federation bears the legal consequences of its internationally wrongful acts against Ukraine, including the obligation to provide reparation for any damage, loss, or injury resulting from those acts.</w:t>
      </w:r>
    </w:p>
    <w:p w:rsidR="00F5502B" w:rsidRPr="003A5AF4" w:rsidRDefault="00F5502B" w:rsidP="00E923B5">
      <w:pPr>
        <w:pStyle w:val="ManualHeading3"/>
        <w:rPr>
          <w:noProof/>
        </w:rPr>
      </w:pPr>
      <w:r w:rsidRPr="003A5AF4">
        <w:rPr>
          <w:noProof/>
        </w:rPr>
        <w:t>1.3.4.</w:t>
      </w:r>
      <w:r w:rsidRPr="003A5AF4">
        <w:rPr>
          <w:noProof/>
        </w:rPr>
        <w:tab/>
        <w:t>Indicators of performance</w:t>
      </w:r>
      <w:bookmarkEnd w:id="41"/>
      <w:bookmarkEnd w:id="42"/>
      <w:bookmarkEnd w:id="43"/>
      <w:bookmarkEnd w:id="44"/>
      <w:bookmarkEnd w:id="45"/>
    </w:p>
    <w:p w:rsidR="00F5502B" w:rsidRPr="003A5AF4" w:rsidRDefault="00F5502B" w:rsidP="00E923B5">
      <w:pPr>
        <w:pStyle w:val="Text1"/>
        <w:rPr>
          <w:i/>
          <w:noProof/>
          <w:sz w:val="20"/>
        </w:rPr>
      </w:pPr>
      <w:r w:rsidRPr="003A5AF4">
        <w:rPr>
          <w:i/>
          <w:noProof/>
          <w:sz w:val="20"/>
        </w:rPr>
        <w:t>Specify the indicators for monitoring progress and achievements.</w:t>
      </w:r>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46" w:name="_Toc177549000"/>
      <w:r w:rsidRPr="003A5AF4">
        <w:rPr>
          <w:noProof/>
        </w:rPr>
        <w:t>The setting up of the International Claims Commission.</w:t>
      </w:r>
    </w:p>
    <w:p w:rsidR="00F5502B" w:rsidRPr="003A5AF4" w:rsidRDefault="00F5502B" w:rsidP="00E923B5">
      <w:pPr>
        <w:pStyle w:val="ManualHeading2"/>
        <w:rPr>
          <w:noProof/>
        </w:rPr>
      </w:pPr>
      <w:r w:rsidRPr="003A5AF4">
        <w:rPr>
          <w:noProof/>
        </w:rPr>
        <w:t>1.4.</w:t>
      </w:r>
      <w:r w:rsidRPr="003A5AF4">
        <w:rPr>
          <w:noProof/>
        </w:rPr>
        <w:tab/>
        <w:t>The proposal/initiative relates to:</w:t>
      </w:r>
      <w:bookmarkEnd w:id="46"/>
      <w:r w:rsidRPr="003A5AF4">
        <w:rPr>
          <w:noProof/>
        </w:rPr>
        <w:t xml:space="preserve"> </w:t>
      </w:r>
    </w:p>
    <w:p w:rsidR="00F5502B" w:rsidRPr="003A5AF4" w:rsidRDefault="00592A08" w:rsidP="00E923B5">
      <w:pPr>
        <w:pStyle w:val="Text1"/>
        <w:rPr>
          <w:noProof/>
          <w:sz w:val="22"/>
        </w:rPr>
      </w:pPr>
      <w:r w:rsidRPr="003A5AF4">
        <w:rPr>
          <w:rFonts w:ascii="Wingdings" w:eastAsia="Wingdings" w:hAnsi="Wingdings" w:cs="Wingdings"/>
          <w:noProof/>
          <w:sz w:val="22"/>
        </w:rPr>
        <w:t></w:t>
      </w:r>
      <w:r w:rsidR="00F5502B" w:rsidRPr="003A5AF4">
        <w:rPr>
          <w:i/>
          <w:iCs/>
          <w:noProof/>
          <w:sz w:val="22"/>
        </w:rPr>
        <w:t xml:space="preserve"> </w:t>
      </w:r>
      <w:r w:rsidR="00F5502B" w:rsidRPr="003A5AF4">
        <w:rPr>
          <w:noProof/>
        </w:rPr>
        <w:t>a new action</w:t>
      </w:r>
      <w:r w:rsidR="00F5502B" w:rsidRPr="003A5AF4">
        <w:rPr>
          <w:noProof/>
          <w:sz w:val="22"/>
        </w:rPr>
        <w:t xml:space="preserve"> </w:t>
      </w:r>
    </w:p>
    <w:p w:rsidR="00F5502B" w:rsidRPr="003A5AF4" w:rsidRDefault="00F5502B" w:rsidP="00E923B5">
      <w:pPr>
        <w:pStyle w:val="Text1"/>
        <w:rPr>
          <w:noProof/>
          <w:sz w:val="22"/>
        </w:rPr>
      </w:pPr>
      <w:r w:rsidRPr="003A5AF4">
        <w:rPr>
          <w:rFonts w:ascii="Wingdings" w:eastAsia="Wingdings" w:hAnsi="Wingdings" w:cs="Wingdings"/>
          <w:noProof/>
          <w:sz w:val="22"/>
        </w:rPr>
        <w:t></w:t>
      </w:r>
      <w:r w:rsidRPr="003A5AF4">
        <w:rPr>
          <w:i/>
          <w:iCs/>
          <w:noProof/>
          <w:sz w:val="22"/>
        </w:rPr>
        <w:t xml:space="preserve"> </w:t>
      </w:r>
      <w:r w:rsidRPr="003A5AF4">
        <w:rPr>
          <w:noProof/>
        </w:rPr>
        <w:t>a new action following a pilot project / preparatory action</w:t>
      </w:r>
      <w:r w:rsidRPr="003A5AF4">
        <w:rPr>
          <w:rStyle w:val="FootnoteReference"/>
          <w:noProof/>
        </w:rPr>
        <w:footnoteReference w:id="29"/>
      </w:r>
      <w:r w:rsidRPr="003A5AF4">
        <w:rPr>
          <w:noProof/>
          <w:sz w:val="22"/>
        </w:rPr>
        <w:t xml:space="preserve"> </w:t>
      </w:r>
    </w:p>
    <w:p w:rsidR="00F5502B" w:rsidRPr="003A5AF4" w:rsidRDefault="00F5502B" w:rsidP="00E923B5">
      <w:pPr>
        <w:pStyle w:val="Text1"/>
        <w:rPr>
          <w:noProof/>
          <w:sz w:val="22"/>
        </w:rPr>
      </w:pPr>
      <w:r w:rsidRPr="003A5AF4">
        <w:rPr>
          <w:rFonts w:ascii="Wingdings" w:eastAsia="Wingdings" w:hAnsi="Wingdings" w:cs="Wingdings"/>
          <w:noProof/>
          <w:sz w:val="22"/>
        </w:rPr>
        <w:t></w:t>
      </w:r>
      <w:r w:rsidRPr="003A5AF4">
        <w:rPr>
          <w:i/>
          <w:iCs/>
          <w:noProof/>
          <w:sz w:val="22"/>
        </w:rPr>
        <w:t xml:space="preserve"> </w:t>
      </w:r>
      <w:r w:rsidRPr="003A5AF4">
        <w:rPr>
          <w:noProof/>
        </w:rPr>
        <w:t>the extension of an existing action</w:t>
      </w:r>
      <w:r w:rsidRPr="003A5AF4">
        <w:rPr>
          <w:noProof/>
          <w:sz w:val="22"/>
        </w:rPr>
        <w:t xml:space="preserve"> </w:t>
      </w:r>
    </w:p>
    <w:p w:rsidR="00F5502B" w:rsidRPr="003A5AF4" w:rsidRDefault="00F5502B" w:rsidP="00E923B5">
      <w:pPr>
        <w:pStyle w:val="Text1"/>
        <w:rPr>
          <w:noProof/>
        </w:rPr>
      </w:pPr>
      <w:r w:rsidRPr="003A5AF4">
        <w:rPr>
          <w:rFonts w:ascii="Wingdings" w:eastAsia="Wingdings" w:hAnsi="Wingdings" w:cs="Wingdings"/>
          <w:noProof/>
          <w:sz w:val="22"/>
        </w:rPr>
        <w:t></w:t>
      </w:r>
      <w:r w:rsidRPr="003A5AF4">
        <w:rPr>
          <w:i/>
          <w:iCs/>
          <w:noProof/>
          <w:sz w:val="22"/>
        </w:rPr>
        <w:t xml:space="preserve"> </w:t>
      </w:r>
      <w:r w:rsidRPr="003A5AF4">
        <w:rPr>
          <w:noProof/>
        </w:rPr>
        <w:t>a merger or redirection of one or more actions towards another/a new action</w:t>
      </w:r>
    </w:p>
    <w:p w:rsidR="00F5502B" w:rsidRPr="003A5AF4" w:rsidRDefault="00F5502B" w:rsidP="00E923B5">
      <w:pPr>
        <w:pStyle w:val="ManualHeading2"/>
        <w:rPr>
          <w:bCs/>
          <w:noProof/>
          <w:szCs w:val="24"/>
        </w:rPr>
      </w:pPr>
      <w:bookmarkStart w:id="47" w:name="_Toc514938025"/>
      <w:bookmarkStart w:id="48" w:name="_Toc520485034"/>
      <w:bookmarkStart w:id="49" w:name="_Toc160804576"/>
      <w:bookmarkStart w:id="50" w:name="_Toc167220268"/>
      <w:bookmarkStart w:id="51" w:name="_Toc177549001"/>
      <w:r w:rsidRPr="003A5AF4">
        <w:rPr>
          <w:noProof/>
        </w:rPr>
        <w:t>1.5.</w:t>
      </w:r>
      <w:r w:rsidRPr="003A5AF4">
        <w:rPr>
          <w:noProof/>
        </w:rPr>
        <w:tab/>
        <w:t>Grounds for the proposal/initiative</w:t>
      </w:r>
      <w:bookmarkEnd w:id="47"/>
      <w:bookmarkEnd w:id="48"/>
      <w:bookmarkEnd w:id="49"/>
      <w:bookmarkEnd w:id="50"/>
      <w:bookmarkEnd w:id="51"/>
      <w:r w:rsidRPr="003A5AF4">
        <w:rPr>
          <w:noProof/>
        </w:rPr>
        <w:t xml:space="preserve"> </w:t>
      </w:r>
    </w:p>
    <w:p w:rsidR="00F5502B" w:rsidRPr="003A5AF4" w:rsidRDefault="00F5502B" w:rsidP="00E923B5">
      <w:pPr>
        <w:pStyle w:val="ManualHeading3"/>
        <w:rPr>
          <w:noProof/>
        </w:rPr>
      </w:pPr>
      <w:bookmarkStart w:id="52" w:name="_Toc514938026"/>
      <w:bookmarkStart w:id="53" w:name="_Toc520485035"/>
      <w:bookmarkStart w:id="54" w:name="_Toc160804577"/>
      <w:bookmarkStart w:id="55" w:name="_Toc167220269"/>
      <w:bookmarkStart w:id="56" w:name="_Toc177549002"/>
      <w:r w:rsidRPr="003A5AF4">
        <w:rPr>
          <w:noProof/>
        </w:rPr>
        <w:t>1.5.1.</w:t>
      </w:r>
      <w:r w:rsidRPr="003A5AF4">
        <w:rPr>
          <w:noProof/>
        </w:rPr>
        <w:tab/>
        <w:t>Requirement(s) to be met in the short or long term including a detailed timeline for roll-out of the implementation of the initiative</w:t>
      </w:r>
      <w:bookmarkEnd w:id="52"/>
      <w:bookmarkEnd w:id="53"/>
      <w:bookmarkEnd w:id="54"/>
      <w:bookmarkEnd w:id="55"/>
      <w:bookmarkEnd w:id="56"/>
    </w:p>
    <w:p w:rsidR="00592A08" w:rsidRPr="003A5AF4"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57" w:name="_Toc514938029"/>
      <w:bookmarkStart w:id="58" w:name="_Toc520485036"/>
      <w:bookmarkStart w:id="59" w:name="_Toc160804578"/>
      <w:bookmarkStart w:id="60" w:name="_Toc167220270"/>
      <w:bookmarkStart w:id="61" w:name="_Toc177549003"/>
      <w:r w:rsidRPr="003A5AF4">
        <w:rPr>
          <w:noProof/>
        </w:rPr>
        <w:t xml:space="preserve">In the short term, it is required to obtain the Council’s authorisation for the Union to conclude the Convention establishing an International Claims Commission. </w:t>
      </w:r>
      <w:r w:rsidR="00AC4546">
        <w:rPr>
          <w:noProof/>
        </w:rPr>
        <w:t>The consequence is that, i</w:t>
      </w:r>
      <w:r w:rsidRPr="003A5AF4">
        <w:rPr>
          <w:noProof/>
        </w:rPr>
        <w:t xml:space="preserve">n the long term, the Union will pay mandatory contributions to </w:t>
      </w:r>
      <w:r w:rsidR="00067069">
        <w:rPr>
          <w:noProof/>
        </w:rPr>
        <w:t xml:space="preserve">the Claims Commission’s </w:t>
      </w:r>
      <w:r w:rsidRPr="003A5AF4">
        <w:rPr>
          <w:noProof/>
        </w:rPr>
        <w:t xml:space="preserve">general budget so that </w:t>
      </w:r>
      <w:r w:rsidR="00AC4546">
        <w:rPr>
          <w:noProof/>
        </w:rPr>
        <w:t>the latter</w:t>
      </w:r>
      <w:r w:rsidRPr="003A5AF4">
        <w:rPr>
          <w:noProof/>
        </w:rPr>
        <w:t xml:space="preserve"> can fulfil its mandate to review, assess and decide eligible claims recorded in the Register of Damage and determine the amount of compensation due in each case</w:t>
      </w:r>
      <w:r w:rsidR="00133DF9">
        <w:rPr>
          <w:rStyle w:val="FootnoteReference"/>
          <w:noProof/>
        </w:rPr>
        <w:footnoteReference w:id="30"/>
      </w:r>
      <w:r w:rsidRPr="003A5AF4">
        <w:rPr>
          <w:noProof/>
        </w:rPr>
        <w:t>.</w:t>
      </w:r>
    </w:p>
    <w:p w:rsidR="00F5502B" w:rsidRPr="003A5AF4" w:rsidRDefault="00F5502B" w:rsidP="00E923B5">
      <w:pPr>
        <w:pStyle w:val="ManualHeading3"/>
        <w:rPr>
          <w:bCs/>
          <w:noProof/>
          <w:szCs w:val="24"/>
        </w:rPr>
      </w:pPr>
      <w:r w:rsidRPr="003A5AF4">
        <w:rPr>
          <w:noProof/>
        </w:rPr>
        <w:t>1.5.2.</w:t>
      </w:r>
      <w:r w:rsidRPr="003A5AF4">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7"/>
      <w:bookmarkEnd w:id="58"/>
      <w:bookmarkEnd w:id="59"/>
      <w:bookmarkEnd w:id="60"/>
      <w:bookmarkEnd w:id="61"/>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rPr>
      </w:pPr>
      <w:bookmarkStart w:id="62" w:name="_Toc514938030"/>
      <w:bookmarkStart w:id="63" w:name="_Toc520485037"/>
      <w:bookmarkStart w:id="64" w:name="_Toc160804579"/>
      <w:bookmarkStart w:id="65" w:name="_Toc167220271"/>
      <w:bookmarkStart w:id="66" w:name="_Toc177549004"/>
      <w:r w:rsidRPr="00067069">
        <w:rPr>
          <w:noProof/>
          <w:lang w:val="en-IE"/>
        </w:rPr>
        <w:t xml:space="preserve">Reasons for </w:t>
      </w:r>
      <w:r w:rsidR="00AC4546">
        <w:rPr>
          <w:noProof/>
          <w:lang w:val="en-IE"/>
        </w:rPr>
        <w:t>a</w:t>
      </w:r>
      <w:r w:rsidRPr="00067069">
        <w:rPr>
          <w:noProof/>
          <w:lang w:val="en-IE"/>
        </w:rPr>
        <w:t xml:space="preserve">ction at EU </w:t>
      </w:r>
      <w:r w:rsidR="00AC4546">
        <w:rPr>
          <w:noProof/>
          <w:lang w:val="en-IE"/>
        </w:rPr>
        <w:t>l</w:t>
      </w:r>
      <w:r w:rsidRPr="00067069">
        <w:rPr>
          <w:noProof/>
          <w:lang w:val="en-IE"/>
        </w:rPr>
        <w:t>evel (ex-ante)</w:t>
      </w:r>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lang w:val="en-IE"/>
        </w:rPr>
      </w:pPr>
      <w:r w:rsidRPr="00067069">
        <w:rPr>
          <w:noProof/>
          <w:lang w:val="en-IE"/>
        </w:rPr>
        <w:t xml:space="preserve">The Union has consistently reiterated its commitment to ensuring that the Russian Federation bears the legal consequences of its internationally wrongful acts, including the obligation to make full reparation for the injury and damage resulting from its war of aggression against Ukraine. This position aligns with </w:t>
      </w:r>
      <w:r w:rsidR="00AC4546">
        <w:rPr>
          <w:noProof/>
          <w:lang w:val="en-IE"/>
        </w:rPr>
        <w:t xml:space="preserve">the </w:t>
      </w:r>
      <w:r w:rsidRPr="00067069">
        <w:rPr>
          <w:noProof/>
          <w:lang w:val="en-IE"/>
        </w:rPr>
        <w:t xml:space="preserve">United Nations General Assembly Resolution ES-11/5 of 14 November 2022, entitled </w:t>
      </w:r>
      <w:r w:rsidRPr="00067069">
        <w:rPr>
          <w:i/>
          <w:iCs/>
          <w:noProof/>
          <w:lang w:val="en-IE"/>
        </w:rPr>
        <w:t>“Furtherance of remedy and reparation for aggression against Ukraine”</w:t>
      </w:r>
      <w:r w:rsidRPr="00067069">
        <w:rPr>
          <w:noProof/>
          <w:lang w:val="en-IE"/>
        </w:rPr>
        <w:t>, which recognised the need to establish an international mechanism for reparation for damage, loss, or injury arising from the Russian Federation’s acts of aggression.</w:t>
      </w:r>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lang w:val="en-IE"/>
        </w:rPr>
      </w:pPr>
      <w:r w:rsidRPr="00067069">
        <w:rPr>
          <w:noProof/>
          <w:lang w:val="en-IE"/>
        </w:rPr>
        <w:t xml:space="preserve">In response to that Resolution, on 12 May 2023, the Committee of Ministers of the Council of Europe adopted the Resolution establishing the Enlarged Partial Agreement on the Register of Damage Caused by the Aggression of the Russian Federation against Ukraine. </w:t>
      </w:r>
      <w:r w:rsidR="00AC4546">
        <w:rPr>
          <w:noProof/>
          <w:lang w:val="en-IE"/>
        </w:rPr>
        <w:t xml:space="preserve">The </w:t>
      </w:r>
      <w:r w:rsidRPr="00067069">
        <w:rPr>
          <w:noProof/>
          <w:lang w:val="en-IE"/>
        </w:rPr>
        <w:t>States agreed to pursue a stepwise approach, beginning with the creation of the Register as the first component of a future international compensation mechanism, to be followed by the establishment of a Claims Commission and, at a later stage, a compensation fund. The Statute of the Register explicitly provides that it constitutes the first element of this broader mechanism, to be completed through a separate international instrument to be developed in cooperation with Ukraine and relevant international organisations and bodies.</w:t>
      </w:r>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lang w:val="en-IE"/>
        </w:rPr>
      </w:pPr>
      <w:r w:rsidRPr="00067069">
        <w:rPr>
          <w:noProof/>
          <w:lang w:val="en-IE"/>
        </w:rPr>
        <w:t>The Union joined the Register of Damage as a founding Associate Member on 11 May 2023 through a Commission Decision and, following the Council Decision of 22 July 2024, became a full Participant. This participation enables the Union to support Ukraine in seeking justice and reparation, to contribute to strengthening the rules-based international order, and to ensure coherence between the Union’s actions and those of its Member States.</w:t>
      </w:r>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lang w:val="en-IE"/>
        </w:rPr>
      </w:pPr>
      <w:r w:rsidRPr="00067069">
        <w:rPr>
          <w:noProof/>
          <w:lang w:val="en-IE"/>
        </w:rPr>
        <w:t>The Commission, together with the European External Action Service (EEAS), actively participated in negotiations on the draft Convention establishing an International Claims Commission, based on the Council Decision of 17 March 2025. Pursuant to the Council Decision of 16 December 2025, the Commission signed the Convention on behalf of the Union. In this context, the present proposal seeks the Council’s authorisation to conclude the Convention pursuant to Articles 212 and 218(6) TFEU.</w:t>
      </w:r>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lang w:val="en-IE"/>
        </w:rPr>
      </w:pPr>
      <w:r w:rsidRPr="00067069">
        <w:rPr>
          <w:noProof/>
          <w:lang w:val="en-IE"/>
        </w:rPr>
        <w:t xml:space="preserve">Expected </w:t>
      </w:r>
      <w:r w:rsidR="00AC4546">
        <w:rPr>
          <w:noProof/>
          <w:lang w:val="en-IE"/>
        </w:rPr>
        <w:t>g</w:t>
      </w:r>
      <w:r w:rsidRPr="00067069">
        <w:rPr>
          <w:noProof/>
          <w:lang w:val="en-IE"/>
        </w:rPr>
        <w:t xml:space="preserve">enerated EU </w:t>
      </w:r>
      <w:r w:rsidR="00AC4546">
        <w:rPr>
          <w:noProof/>
          <w:lang w:val="en-IE"/>
        </w:rPr>
        <w:t>a</w:t>
      </w:r>
      <w:r w:rsidRPr="00067069">
        <w:rPr>
          <w:noProof/>
          <w:lang w:val="en-IE"/>
        </w:rPr>
        <w:t xml:space="preserve">dded </w:t>
      </w:r>
      <w:r w:rsidR="00AC4546">
        <w:rPr>
          <w:noProof/>
          <w:lang w:val="en-IE"/>
        </w:rPr>
        <w:t>v</w:t>
      </w:r>
      <w:r w:rsidRPr="00067069">
        <w:rPr>
          <w:noProof/>
          <w:lang w:val="en-IE"/>
        </w:rPr>
        <w:t>alue (ex-post)</w:t>
      </w:r>
    </w:p>
    <w:p w:rsidR="00067069" w:rsidRPr="00067069" w:rsidRDefault="00067069" w:rsidP="00067069">
      <w:pPr>
        <w:pStyle w:val="Text1"/>
        <w:pBdr>
          <w:top w:val="single" w:sz="4" w:space="1" w:color="auto"/>
          <w:left w:val="single" w:sz="4" w:space="4" w:color="auto"/>
          <w:bottom w:val="single" w:sz="4" w:space="1" w:color="auto"/>
          <w:right w:val="single" w:sz="4" w:space="4" w:color="auto"/>
        </w:pBdr>
        <w:rPr>
          <w:noProof/>
          <w:lang w:val="en-IE"/>
        </w:rPr>
      </w:pPr>
      <w:r w:rsidRPr="00067069">
        <w:rPr>
          <w:noProof/>
          <w:lang w:val="en-IE"/>
        </w:rPr>
        <w:t>Once the Convention enters into force and the Claims Commission becomes operational, the Union’s participation as a Member will contribute to ensuring that the Russian Federation bears the legal consequences of its internationally wrongful acts, in accordance with international law. The Union’s involvement will promote consistency between the actions of the Union and those of its Member States, and reinforce the Union’s role in advancing accountability and reparation for Ukraine. As a Member, the Union will also support the Claims Commission by contributing to its financing, thereby helping to ensure its financial stability.</w:t>
      </w:r>
    </w:p>
    <w:p w:rsidR="00F5502B" w:rsidRPr="003A5AF4" w:rsidRDefault="00F5502B" w:rsidP="00E923B5">
      <w:pPr>
        <w:pStyle w:val="ManualHeading3"/>
        <w:rPr>
          <w:noProof/>
        </w:rPr>
      </w:pPr>
      <w:r w:rsidRPr="003A5AF4">
        <w:rPr>
          <w:noProof/>
        </w:rPr>
        <w:t>1.5.3.</w:t>
      </w:r>
      <w:r w:rsidRPr="003A5AF4">
        <w:rPr>
          <w:noProof/>
        </w:rPr>
        <w:tab/>
        <w:t>Lessons learned from similar experiences in the past</w:t>
      </w:r>
      <w:bookmarkEnd w:id="62"/>
      <w:bookmarkEnd w:id="63"/>
      <w:bookmarkEnd w:id="64"/>
      <w:bookmarkEnd w:id="65"/>
      <w:bookmarkEnd w:id="66"/>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67" w:name="_Toc514938033"/>
      <w:bookmarkStart w:id="68" w:name="_Toc520485038"/>
      <w:bookmarkStart w:id="69" w:name="_Toc160804580"/>
      <w:bookmarkStart w:id="70" w:name="_Toc167220272"/>
      <w:bookmarkStart w:id="71" w:name="_Toc177549005"/>
      <w:r w:rsidRPr="003A5AF4">
        <w:rPr>
          <w:noProof/>
        </w:rPr>
        <w:t xml:space="preserve">The establishment of the International Claims Commission draws on lessons learned from previous mechanisms established to address large-scale violations of international law. The most relevant precedent is the United Nations Compensation Commission (UNCC), which operated from 1991 to 2022 to adjudicate claims arising from Iraq’s invasion of Kuwait. While the UNCC’s adjudicative activities lasted approximately </w:t>
      </w:r>
      <w:r w:rsidR="00AC4546">
        <w:rPr>
          <w:noProof/>
        </w:rPr>
        <w:t>12</w:t>
      </w:r>
      <w:r w:rsidR="00AC4546" w:rsidRPr="003A5AF4">
        <w:rPr>
          <w:noProof/>
        </w:rPr>
        <w:t xml:space="preserve"> </w:t>
      </w:r>
      <w:r w:rsidRPr="003A5AF4">
        <w:rPr>
          <w:noProof/>
        </w:rPr>
        <w:t xml:space="preserve">years, the institution itself remained in existence for over three decades. Building on this experience, and taking into account the groundwork laid by the Register of Damage as well as significant technological and procedural advances achieved in recent decades, the International Claims Commission is expected to have a shorter operational duration, currently estimated for </w:t>
      </w:r>
      <w:r w:rsidR="00AC4546">
        <w:rPr>
          <w:noProof/>
        </w:rPr>
        <w:t xml:space="preserve">10 </w:t>
      </w:r>
      <w:r w:rsidRPr="003A5AF4">
        <w:rPr>
          <w:noProof/>
        </w:rPr>
        <w:t>years.</w:t>
      </w:r>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r w:rsidRPr="003A5AF4">
        <w:rPr>
          <w:noProof/>
        </w:rPr>
        <w:t>The Union did not participate in the UNCC. However, the envisaged participation of the Union in both the International Claims Commission and the Special Tribunal for the Crime of Aggression against Ukraine reflects a broader and structured approach to ensuring accountability and reparation for internationally wrongful acts committed by the Russian Federation.</w:t>
      </w:r>
    </w:p>
    <w:p w:rsidR="00F5502B" w:rsidRPr="003A5AF4" w:rsidRDefault="00F5502B" w:rsidP="00E923B5">
      <w:pPr>
        <w:pStyle w:val="ManualHeading3"/>
        <w:rPr>
          <w:noProof/>
        </w:rPr>
      </w:pPr>
      <w:r w:rsidRPr="003A5AF4">
        <w:rPr>
          <w:noProof/>
        </w:rPr>
        <w:t>1.5.4.</w:t>
      </w:r>
      <w:r w:rsidRPr="003A5AF4">
        <w:rPr>
          <w:noProof/>
        </w:rPr>
        <w:tab/>
        <w:t>Compatibility with the multiannual financial framework and possible synergies with other appropriate instruments</w:t>
      </w:r>
      <w:bookmarkEnd w:id="67"/>
      <w:bookmarkEnd w:id="68"/>
      <w:bookmarkEnd w:id="69"/>
      <w:bookmarkEnd w:id="70"/>
      <w:bookmarkEnd w:id="71"/>
    </w:p>
    <w:p w:rsidR="008E41CC" w:rsidRPr="003A5AF4" w:rsidRDefault="00067069" w:rsidP="008E41CC">
      <w:pPr>
        <w:pStyle w:val="Text1"/>
        <w:pBdr>
          <w:top w:val="single" w:sz="4" w:space="1" w:color="auto"/>
          <w:left w:val="single" w:sz="4" w:space="4" w:color="auto"/>
          <w:bottom w:val="single" w:sz="4" w:space="1" w:color="auto"/>
          <w:right w:val="single" w:sz="4" w:space="4" w:color="auto"/>
        </w:pBdr>
        <w:rPr>
          <w:noProof/>
        </w:rPr>
      </w:pPr>
      <w:bookmarkStart w:id="72" w:name="_Toc514938036"/>
      <w:bookmarkStart w:id="73" w:name="_Toc520485039"/>
      <w:bookmarkStart w:id="74" w:name="_Toc160804581"/>
      <w:bookmarkStart w:id="75" w:name="_Toc167220273"/>
      <w:bookmarkStart w:id="76" w:name="_Toc177549006"/>
      <w:r w:rsidRPr="00067069">
        <w:rPr>
          <w:noProof/>
        </w:rPr>
        <w:t>The Union’s unwavering support for Ukraine reflects a shared commitment to democratic principles and to safeguarding the rules-based international order and peace in Europe. The present proposal is therefore consistent with other Union policies aimed at supporting Ukraine and upholding the international order and peace, particularly in the context of the Russian Federation’s ongoing war of aggression against Ukraine.</w:t>
      </w:r>
    </w:p>
    <w:p w:rsidR="00F5502B" w:rsidRPr="003A5AF4" w:rsidRDefault="00F5502B" w:rsidP="00E923B5">
      <w:pPr>
        <w:pStyle w:val="ManualHeading3"/>
        <w:rPr>
          <w:noProof/>
          <w:highlight w:val="yellow"/>
        </w:rPr>
      </w:pPr>
      <w:r w:rsidRPr="003A5AF4">
        <w:rPr>
          <w:noProof/>
        </w:rPr>
        <w:t>1.5.5.</w:t>
      </w:r>
      <w:r w:rsidRPr="003A5AF4">
        <w:rPr>
          <w:noProof/>
        </w:rPr>
        <w:tab/>
      </w:r>
      <w:r w:rsidRPr="00617CA7">
        <w:rPr>
          <w:noProof/>
        </w:rPr>
        <w:t>Assessment of the different available financing options, including scope for redeployment</w:t>
      </w:r>
      <w:bookmarkEnd w:id="72"/>
      <w:bookmarkEnd w:id="73"/>
      <w:bookmarkEnd w:id="74"/>
      <w:bookmarkEnd w:id="75"/>
      <w:bookmarkEnd w:id="76"/>
    </w:p>
    <w:p w:rsidR="00617CA7" w:rsidRDefault="00617CA7" w:rsidP="00617CA7">
      <w:pPr>
        <w:pStyle w:val="Text1"/>
        <w:pBdr>
          <w:top w:val="single" w:sz="4" w:space="1" w:color="auto"/>
          <w:left w:val="single" w:sz="4" w:space="4" w:color="auto"/>
          <w:bottom w:val="single" w:sz="4" w:space="1" w:color="auto"/>
          <w:right w:val="single" w:sz="4" w:space="4" w:color="auto"/>
        </w:pBdr>
        <w:rPr>
          <w:noProof/>
        </w:rPr>
      </w:pPr>
      <w:r>
        <w:rPr>
          <w:noProof/>
        </w:rPr>
        <w:t>In accordance with international law, and as stipulated by the Convention, the Russian Federation should bear the costs of the work of the Claims Commission. At least until the Russian Federation becomes a Member of the Commission, the Convention provides that the Claims Commission should be financed through annual contributions from its Members and voluntary contributions, without prejudice to the possibility of recovering the related costs from the Russian Federation.</w:t>
      </w:r>
    </w:p>
    <w:p w:rsidR="00617CA7" w:rsidRDefault="00067069" w:rsidP="00617CA7">
      <w:pPr>
        <w:pStyle w:val="Text1"/>
        <w:pBdr>
          <w:top w:val="single" w:sz="4" w:space="1" w:color="auto"/>
          <w:left w:val="single" w:sz="4" w:space="4" w:color="auto"/>
          <w:bottom w:val="single" w:sz="4" w:space="1" w:color="auto"/>
          <w:right w:val="single" w:sz="4" w:space="4" w:color="auto"/>
        </w:pBdr>
        <w:rPr>
          <w:noProof/>
        </w:rPr>
      </w:pPr>
      <w:r w:rsidRPr="003A5AF4">
        <w:rPr>
          <w:noProof/>
        </w:rPr>
        <w:t>The Union’s mandatory contribution as of 2028 will range between EUR 1</w:t>
      </w:r>
      <w:r w:rsidR="00AC4546">
        <w:rPr>
          <w:noProof/>
        </w:rPr>
        <w:t xml:space="preserve"> million and EUR </w:t>
      </w:r>
      <w:r w:rsidRPr="003A5AF4">
        <w:rPr>
          <w:noProof/>
        </w:rPr>
        <w:t>3 million</w:t>
      </w:r>
      <w:r>
        <w:rPr>
          <w:noProof/>
        </w:rPr>
        <w:t xml:space="preserve">, with </w:t>
      </w:r>
      <w:r w:rsidR="008E41CC" w:rsidRPr="003A5AF4">
        <w:rPr>
          <w:noProof/>
        </w:rPr>
        <w:t xml:space="preserve">EUR 3 million </w:t>
      </w:r>
      <w:r>
        <w:rPr>
          <w:noProof/>
        </w:rPr>
        <w:t xml:space="preserve">being required </w:t>
      </w:r>
      <w:r w:rsidR="008E41CC" w:rsidRPr="003A5AF4">
        <w:rPr>
          <w:noProof/>
        </w:rPr>
        <w:t xml:space="preserve">during peak operational years. </w:t>
      </w:r>
      <w:r>
        <w:rPr>
          <w:noProof/>
        </w:rPr>
        <w:t xml:space="preserve">The mandatory contributions to the Claims Commission </w:t>
      </w:r>
      <w:r w:rsidR="008E41CC" w:rsidRPr="003A5AF4">
        <w:rPr>
          <w:noProof/>
        </w:rPr>
        <w:t>will like</w:t>
      </w:r>
      <w:r w:rsidR="00AC4546">
        <w:rPr>
          <w:noProof/>
        </w:rPr>
        <w:t>l</w:t>
      </w:r>
      <w:r w:rsidR="008E41CC" w:rsidRPr="003A5AF4">
        <w:rPr>
          <w:noProof/>
        </w:rPr>
        <w:t xml:space="preserve">y become effective once </w:t>
      </w:r>
      <w:r w:rsidR="00AC4546">
        <w:rPr>
          <w:noProof/>
        </w:rPr>
        <w:t>the Claims Commission will become</w:t>
      </w:r>
      <w:r w:rsidR="008E41CC" w:rsidRPr="003A5AF4">
        <w:rPr>
          <w:noProof/>
        </w:rPr>
        <w:t xml:space="preserve"> operational</w:t>
      </w:r>
      <w:r>
        <w:rPr>
          <w:noProof/>
        </w:rPr>
        <w:t xml:space="preserve"> </w:t>
      </w:r>
      <w:r w:rsidR="00AC4546">
        <w:rPr>
          <w:noProof/>
        </w:rPr>
        <w:t>(</w:t>
      </w:r>
      <w:r>
        <w:rPr>
          <w:noProof/>
        </w:rPr>
        <w:t>expected for</w:t>
      </w:r>
      <w:r w:rsidRPr="003A5AF4">
        <w:rPr>
          <w:noProof/>
        </w:rPr>
        <w:t xml:space="preserve"> 2028</w:t>
      </w:r>
      <w:r w:rsidR="00AC4546">
        <w:rPr>
          <w:noProof/>
        </w:rPr>
        <w:t>)</w:t>
      </w:r>
      <w:r w:rsidR="008E41CC" w:rsidRPr="003A5AF4">
        <w:rPr>
          <w:noProof/>
        </w:rPr>
        <w:t xml:space="preserve">. </w:t>
      </w:r>
      <w:r w:rsidR="00AC4546">
        <w:rPr>
          <w:noProof/>
        </w:rPr>
        <w:t xml:space="preserve">In accordance with </w:t>
      </w:r>
      <w:r w:rsidRPr="003A5AF4">
        <w:rPr>
          <w:noProof/>
        </w:rPr>
        <w:t>Article 36(1) of the Convention, the lifespan of the Claims Commission is estimated at 10 years.</w:t>
      </w:r>
      <w:r>
        <w:rPr>
          <w:noProof/>
        </w:rPr>
        <w:t xml:space="preserve"> </w:t>
      </w:r>
      <w:r w:rsidR="008E41CC" w:rsidRPr="003A5AF4">
        <w:rPr>
          <w:noProof/>
        </w:rPr>
        <w:t>The Union’s contribution is calculated at approximately EUR 1 million for 2028 and will in subsequent years increase progressively to a sum of annual EUR 3 million in peak years</w:t>
      </w:r>
      <w:r w:rsidR="00133DF9">
        <w:rPr>
          <w:noProof/>
        </w:rPr>
        <w:t>.</w:t>
      </w:r>
      <w:r w:rsidR="008E41CC" w:rsidRPr="003A5AF4">
        <w:rPr>
          <w:noProof/>
        </w:rPr>
        <w:t xml:space="preserve"> </w:t>
      </w:r>
    </w:p>
    <w:p w:rsidR="00784279" w:rsidRDefault="003A5AF4" w:rsidP="00784279">
      <w:pPr>
        <w:pStyle w:val="Text1"/>
        <w:pBdr>
          <w:top w:val="single" w:sz="4" w:space="1" w:color="auto"/>
          <w:left w:val="single" w:sz="4" w:space="4" w:color="auto"/>
          <w:bottom w:val="single" w:sz="4" w:space="1" w:color="auto"/>
          <w:right w:val="single" w:sz="4" w:space="4" w:color="auto"/>
        </w:pBdr>
        <w:rPr>
          <w:noProof/>
        </w:rPr>
      </w:pPr>
      <w:r>
        <w:rPr>
          <w:noProof/>
        </w:rPr>
        <w:t>The Union’s contribution may be provided under the Global Europe Instrument subject to the outcome of interinstitutional negotiations on the MFF 2028-2034 and thereafter to be determined through the annual budgetary procedure and the steering mechanism.</w:t>
      </w:r>
    </w:p>
    <w:p w:rsidR="00784279" w:rsidRDefault="00784279" w:rsidP="00784279">
      <w:pPr>
        <w:pStyle w:val="Text1"/>
        <w:pBdr>
          <w:top w:val="single" w:sz="4" w:space="1" w:color="auto"/>
          <w:left w:val="single" w:sz="4" w:space="4" w:color="auto"/>
          <w:bottom w:val="single" w:sz="4" w:space="1" w:color="auto"/>
          <w:right w:val="single" w:sz="4" w:space="4" w:color="auto"/>
        </w:pBdr>
        <w:rPr>
          <w:noProof/>
        </w:rPr>
      </w:pPr>
      <w:r>
        <w:rPr>
          <w:noProof/>
        </w:rPr>
        <w:t>As announced at the Diplomatic Conference on 16 December 2025, the Union will finance the costs of the Advance Team within the Council of Europe</w:t>
      </w:r>
      <w:r w:rsidR="00067069">
        <w:rPr>
          <w:noProof/>
        </w:rPr>
        <w:t xml:space="preserve">, </w:t>
      </w:r>
      <w:r>
        <w:rPr>
          <w:noProof/>
        </w:rPr>
        <w:t>with the participation of the Register of Damage</w:t>
      </w:r>
      <w:r w:rsidR="00067069">
        <w:rPr>
          <w:noProof/>
        </w:rPr>
        <w:t xml:space="preserve">, </w:t>
      </w:r>
      <w:r>
        <w:rPr>
          <w:noProof/>
        </w:rPr>
        <w:t xml:space="preserve">preparing the Claims Commission, as well as cover any costs arising from the meetings of the Preparatory Committee envisaged by the Resolution annexed to Council Decision </w:t>
      </w:r>
      <w:r w:rsidR="00AC4546">
        <w:rPr>
          <w:noProof/>
        </w:rPr>
        <w:t xml:space="preserve">(EU) </w:t>
      </w:r>
      <w:r>
        <w:rPr>
          <w:noProof/>
        </w:rPr>
        <w:t>2025/2655. These costs will amount to EUR 880 000 over 18 months under the Neighbourhood, Development and International Cooperation Instrument (NDICI-Global Europe).</w:t>
      </w:r>
    </w:p>
    <w:p w:rsidR="00784279" w:rsidRDefault="00784279" w:rsidP="00784279">
      <w:pPr>
        <w:pStyle w:val="Text1"/>
        <w:pBdr>
          <w:top w:val="single" w:sz="4" w:space="1" w:color="auto"/>
          <w:left w:val="single" w:sz="4" w:space="4" w:color="auto"/>
          <w:bottom w:val="single" w:sz="4" w:space="1" w:color="auto"/>
          <w:right w:val="single" w:sz="4" w:space="4" w:color="auto"/>
        </w:pBdr>
        <w:rPr>
          <w:noProof/>
        </w:rPr>
      </w:pPr>
      <w:r>
        <w:rPr>
          <w:noProof/>
        </w:rPr>
        <w:t>In the meantime, the Union will also continue to provide its annual mandatory contribution to the Register of Damage in 2026 and 2027 through Regulation (EU) 2024/792 establishing the Ukraine Facility.</w:t>
      </w:r>
    </w:p>
    <w:p w:rsidR="00F5502B" w:rsidRPr="003A5AF4" w:rsidRDefault="00F5502B" w:rsidP="00E923B5">
      <w:pPr>
        <w:pStyle w:val="ManualHeading2"/>
        <w:rPr>
          <w:bCs/>
          <w:noProof/>
          <w:szCs w:val="24"/>
        </w:rPr>
      </w:pPr>
      <w:r w:rsidRPr="003A5AF4">
        <w:rPr>
          <w:noProof/>
        </w:rPr>
        <w:br w:type="page"/>
      </w:r>
      <w:bookmarkStart w:id="77" w:name="_Toc514938039"/>
      <w:bookmarkStart w:id="78" w:name="_Toc520485040"/>
      <w:bookmarkStart w:id="79" w:name="_Toc160804582"/>
      <w:bookmarkStart w:id="80" w:name="_Toc167220274"/>
      <w:bookmarkStart w:id="81" w:name="_Toc177549007"/>
      <w:r w:rsidRPr="003A5AF4">
        <w:rPr>
          <w:noProof/>
        </w:rPr>
        <w:t>1.6.</w:t>
      </w:r>
      <w:r w:rsidRPr="003A5AF4">
        <w:rPr>
          <w:noProof/>
        </w:rPr>
        <w:tab/>
        <w:t>Duration of the proposal/initiative</w:t>
      </w:r>
      <w:bookmarkEnd w:id="77"/>
      <w:bookmarkEnd w:id="78"/>
      <w:r w:rsidRPr="003A5AF4">
        <w:rPr>
          <w:noProof/>
        </w:rPr>
        <w:t xml:space="preserve"> and of its financial impact</w:t>
      </w:r>
      <w:bookmarkEnd w:id="79"/>
      <w:bookmarkEnd w:id="80"/>
      <w:bookmarkEnd w:id="81"/>
    </w:p>
    <w:p w:rsidR="00F5502B" w:rsidRPr="003A5AF4" w:rsidRDefault="00F5502B" w:rsidP="00E923B5">
      <w:pPr>
        <w:pStyle w:val="Text1"/>
        <w:rPr>
          <w:noProof/>
        </w:rPr>
      </w:pPr>
      <w:r w:rsidRPr="003A5AF4">
        <w:rPr>
          <w:rFonts w:ascii="Wingdings" w:eastAsia="Wingdings" w:hAnsi="Wingdings" w:cs="Wingdings"/>
          <w:noProof/>
        </w:rPr>
        <w:t></w:t>
      </w:r>
      <w:r w:rsidRPr="003A5AF4">
        <w:rPr>
          <w:b/>
          <w:i/>
          <w:noProof/>
        </w:rPr>
        <w:t xml:space="preserve"> </w:t>
      </w:r>
      <w:r w:rsidRPr="003A5AF4">
        <w:rPr>
          <w:b/>
          <w:noProof/>
        </w:rPr>
        <w:t xml:space="preserve">limited duration </w:t>
      </w:r>
    </w:p>
    <w:p w:rsidR="00F5502B" w:rsidRPr="003A5AF4" w:rsidRDefault="003422B0" w:rsidP="00E923B5">
      <w:pPr>
        <w:pStyle w:val="ListDash2"/>
        <w:rPr>
          <w:noProof/>
        </w:rPr>
      </w:pPr>
      <w:r>
        <w:rPr>
          <w:rFonts w:ascii="Wingdings" w:eastAsia="Wingdings" w:hAnsi="Wingdings" w:cs="Wingdings"/>
          <w:noProof/>
        </w:rPr>
        <w:t></w:t>
      </w:r>
      <w:r w:rsidR="00F5502B" w:rsidRPr="003A5AF4">
        <w:rPr>
          <w:noProof/>
        </w:rPr>
        <w:tab/>
        <w:t xml:space="preserve">in effect from </w:t>
      </w:r>
      <w:r w:rsidR="001948D1">
        <w:rPr>
          <w:noProof/>
        </w:rPr>
        <w:t xml:space="preserve">the date of entry into force of the Convention [YYYY] </w:t>
      </w:r>
      <w:r>
        <w:rPr>
          <w:noProof/>
        </w:rPr>
        <w:t>upon</w:t>
      </w:r>
      <w:r w:rsidR="00F5502B" w:rsidRPr="003A5AF4">
        <w:rPr>
          <w:noProof/>
        </w:rPr>
        <w:t xml:space="preserve"> </w:t>
      </w:r>
      <w:r>
        <w:rPr>
          <w:noProof/>
        </w:rPr>
        <w:t>the fulfilment of the Claims Commission’s mandate, with a duration expected for 10 years</w:t>
      </w:r>
      <w:r w:rsidR="001948D1">
        <w:rPr>
          <w:noProof/>
        </w:rPr>
        <w:t xml:space="preserve"> [YYYY]</w:t>
      </w:r>
      <w:r>
        <w:rPr>
          <w:noProof/>
        </w:rPr>
        <w:t xml:space="preserve">. </w:t>
      </w:r>
      <w:r w:rsidR="00F5502B" w:rsidRPr="003A5AF4">
        <w:rPr>
          <w:noProof/>
        </w:rPr>
        <w:t xml:space="preserve"> </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ab/>
        <w:t xml:space="preserve">financial impact from YYYY to YYYY for commitment appropriations and from YYYY to YYYY for payment appropriations. </w:t>
      </w:r>
    </w:p>
    <w:p w:rsidR="00F5502B" w:rsidRPr="003A5AF4" w:rsidRDefault="00F5502B" w:rsidP="00E923B5">
      <w:pPr>
        <w:pStyle w:val="Text1"/>
        <w:rPr>
          <w:noProof/>
        </w:rPr>
      </w:pPr>
      <w:r w:rsidRPr="003A5AF4">
        <w:rPr>
          <w:rFonts w:ascii="Wingdings" w:eastAsia="Wingdings" w:hAnsi="Wingdings" w:cs="Wingdings"/>
          <w:noProof/>
        </w:rPr>
        <w:t></w:t>
      </w:r>
      <w:r w:rsidRPr="003A5AF4">
        <w:rPr>
          <w:b/>
          <w:i/>
          <w:noProof/>
        </w:rPr>
        <w:t xml:space="preserve"> </w:t>
      </w:r>
      <w:r w:rsidRPr="003A5AF4">
        <w:rPr>
          <w:b/>
          <w:noProof/>
        </w:rPr>
        <w:t>unlimited duration</w:t>
      </w:r>
    </w:p>
    <w:p w:rsidR="00F5502B" w:rsidRPr="003A5AF4" w:rsidRDefault="00F5502B" w:rsidP="00E923B5">
      <w:pPr>
        <w:pStyle w:val="ListDash1"/>
        <w:rPr>
          <w:noProof/>
        </w:rPr>
      </w:pPr>
      <w:r w:rsidRPr="003A5AF4">
        <w:rPr>
          <w:noProof/>
        </w:rPr>
        <w:t>Implementation with a start-up period from YYYY to YYYY,</w:t>
      </w:r>
    </w:p>
    <w:p w:rsidR="00F5502B" w:rsidRPr="003A5AF4" w:rsidRDefault="00F5502B" w:rsidP="00E923B5">
      <w:pPr>
        <w:pStyle w:val="ListDash1"/>
        <w:rPr>
          <w:noProof/>
        </w:rPr>
      </w:pPr>
      <w:r w:rsidRPr="003A5AF4">
        <w:rPr>
          <w:noProof/>
        </w:rPr>
        <w:t>followed by full-scale operation.</w:t>
      </w:r>
    </w:p>
    <w:p w:rsidR="00F5502B" w:rsidRPr="003A5AF4" w:rsidRDefault="00F5502B" w:rsidP="00E923B5">
      <w:pPr>
        <w:pStyle w:val="ManualHeading2"/>
        <w:rPr>
          <w:bCs/>
          <w:noProof/>
          <w:szCs w:val="24"/>
        </w:rPr>
      </w:pPr>
      <w:bookmarkStart w:id="82" w:name="_Toc514938040"/>
      <w:bookmarkStart w:id="83" w:name="_Toc520485041"/>
      <w:bookmarkStart w:id="84" w:name="_Toc160804583"/>
      <w:bookmarkStart w:id="85" w:name="_Toc167220275"/>
      <w:bookmarkStart w:id="86" w:name="_Toc177549008"/>
      <w:r w:rsidRPr="003A5AF4">
        <w:rPr>
          <w:noProof/>
        </w:rPr>
        <w:t>1.7.</w:t>
      </w:r>
      <w:r w:rsidRPr="003A5AF4">
        <w:rPr>
          <w:noProof/>
        </w:rPr>
        <w:tab/>
        <w:t>Method(s) of budget implementation planned</w:t>
      </w:r>
      <w:bookmarkEnd w:id="82"/>
      <w:bookmarkEnd w:id="83"/>
      <w:bookmarkEnd w:id="84"/>
      <w:bookmarkEnd w:id="85"/>
      <w:bookmarkEnd w:id="86"/>
      <w:r w:rsidRPr="003A5AF4">
        <w:rPr>
          <w:noProof/>
        </w:rPr>
        <w:t xml:space="preserve"> </w:t>
      </w:r>
    </w:p>
    <w:p w:rsidR="00F5502B" w:rsidRPr="003A5AF4" w:rsidRDefault="00F5502B" w:rsidP="00E923B5">
      <w:pPr>
        <w:pStyle w:val="Text1"/>
        <w:rPr>
          <w:noProof/>
        </w:rPr>
      </w:pPr>
      <w:r w:rsidRPr="003A5AF4">
        <w:rPr>
          <w:rFonts w:ascii="Wingdings" w:eastAsia="Wingdings" w:hAnsi="Wingdings" w:cs="Wingdings"/>
          <w:noProof/>
        </w:rPr>
        <w:t></w:t>
      </w:r>
      <w:r w:rsidRPr="003A5AF4">
        <w:rPr>
          <w:i/>
          <w:noProof/>
        </w:rPr>
        <w:t xml:space="preserve"> </w:t>
      </w:r>
      <w:r w:rsidRPr="003A5AF4">
        <w:rPr>
          <w:b/>
          <w:noProof/>
        </w:rPr>
        <w:t>Direct management</w:t>
      </w:r>
      <w:r w:rsidRPr="003A5AF4">
        <w:rPr>
          <w:noProof/>
        </w:rPr>
        <w:t xml:space="preserve"> by the Commission</w:t>
      </w:r>
    </w:p>
    <w:p w:rsidR="00F5502B" w:rsidRPr="003A5AF4" w:rsidRDefault="00F5502B" w:rsidP="00E923B5">
      <w:pPr>
        <w:pStyle w:val="ListDash2"/>
        <w:rPr>
          <w:rFonts w:cs="EUAlbertina"/>
          <w:noProof/>
        </w:rPr>
      </w:pPr>
      <w:r w:rsidRPr="003A5AF4">
        <w:rPr>
          <w:rFonts w:ascii="Wingdings" w:eastAsia="Wingdings" w:hAnsi="Wingdings" w:cs="Wingdings"/>
          <w:noProof/>
        </w:rPr>
        <w:t></w:t>
      </w:r>
      <w:r w:rsidRPr="003A5AF4">
        <w:rPr>
          <w:noProof/>
        </w:rPr>
        <w:t xml:space="preserve"> by its departments, including by its staff in the Union delegations; </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ab/>
        <w:t xml:space="preserve">by the executive agencies </w:t>
      </w:r>
    </w:p>
    <w:p w:rsidR="00F5502B" w:rsidRPr="003A5AF4" w:rsidRDefault="00F5502B" w:rsidP="00E923B5">
      <w:pPr>
        <w:pStyle w:val="Text1"/>
        <w:rPr>
          <w:noProof/>
        </w:rPr>
      </w:pPr>
      <w:r w:rsidRPr="003A5AF4">
        <w:rPr>
          <w:rFonts w:ascii="Wingdings" w:eastAsia="Wingdings" w:hAnsi="Wingdings" w:cs="Wingdings"/>
          <w:noProof/>
        </w:rPr>
        <w:t></w:t>
      </w:r>
      <w:r w:rsidRPr="003A5AF4">
        <w:rPr>
          <w:b/>
          <w:i/>
          <w:noProof/>
        </w:rPr>
        <w:t xml:space="preserve"> </w:t>
      </w:r>
      <w:r w:rsidRPr="003A5AF4">
        <w:rPr>
          <w:b/>
          <w:noProof/>
        </w:rPr>
        <w:t>Shared management</w:t>
      </w:r>
      <w:r w:rsidRPr="003A5AF4">
        <w:rPr>
          <w:noProof/>
        </w:rPr>
        <w:t xml:space="preserve"> with the Member States </w:t>
      </w:r>
    </w:p>
    <w:p w:rsidR="00F5502B" w:rsidRPr="003A5AF4" w:rsidRDefault="00F5502B" w:rsidP="00E923B5">
      <w:pPr>
        <w:pStyle w:val="Text1"/>
        <w:rPr>
          <w:noProof/>
        </w:rPr>
      </w:pPr>
      <w:r w:rsidRPr="003A5AF4">
        <w:rPr>
          <w:rFonts w:ascii="Wingdings" w:eastAsia="Wingdings" w:hAnsi="Wingdings" w:cs="Wingdings"/>
          <w:noProof/>
        </w:rPr>
        <w:t></w:t>
      </w:r>
      <w:r w:rsidRPr="003A5AF4">
        <w:rPr>
          <w:i/>
          <w:noProof/>
        </w:rPr>
        <w:t xml:space="preserve"> </w:t>
      </w:r>
      <w:r w:rsidRPr="003A5AF4">
        <w:rPr>
          <w:b/>
          <w:noProof/>
        </w:rPr>
        <w:t>Indirect management</w:t>
      </w:r>
      <w:r w:rsidRPr="003A5AF4">
        <w:rPr>
          <w:noProof/>
        </w:rPr>
        <w:t xml:space="preserve"> by entrusting budget implementation tasks to:</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third countries or the bodies they have designated</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international organisations and their agencies (to be specified)</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the European Investment Bank and the European Investment Fund</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bodies referred to in Articles 70 and 71 of the Financial Regulation</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public law bodies</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bodies governed by private law with a public service mission to the extent that they are provided with adequate financial guarantees</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bodies governed by the private law of a Member State that are entrusted with the implementation of a public-private partnership and that are provided with adequate financial guarantees</w:t>
      </w:r>
    </w:p>
    <w:p w:rsidR="00F5502B" w:rsidRPr="003A5AF4" w:rsidRDefault="00F5502B" w:rsidP="00E923B5">
      <w:pPr>
        <w:pStyle w:val="ListDash2"/>
        <w:rPr>
          <w:noProof/>
        </w:rPr>
      </w:pPr>
      <w:r w:rsidRPr="003A5AF4">
        <w:rPr>
          <w:rFonts w:ascii="Wingdings" w:eastAsia="Wingdings" w:hAnsi="Wingdings" w:cs="Wingdings"/>
          <w:noProof/>
        </w:rPr>
        <w:t></w:t>
      </w:r>
      <w:r w:rsidRPr="003A5AF4">
        <w:rPr>
          <w:noProof/>
        </w:rPr>
        <w:t xml:space="preserve"> bodies or persons entrusted with the implementation of specific actions in the common foreign and security policy pursuant to Title V of the Treaty on European Union, and identified in the relevant basic act</w:t>
      </w:r>
    </w:p>
    <w:p w:rsidR="00F5502B" w:rsidRPr="003A5AF4" w:rsidRDefault="00F5502B" w:rsidP="00E923B5">
      <w:pPr>
        <w:pStyle w:val="ListDash2"/>
        <w:rPr>
          <w:noProof/>
        </w:rPr>
      </w:pPr>
      <w:r w:rsidRPr="003A5AF4">
        <w:rPr>
          <w:rFonts w:ascii="Wingdings" w:eastAsia="Wingdings" w:hAnsi="Wingdings" w:cs="Wingdings"/>
          <w:noProof/>
        </w:rPr>
        <w:t></w:t>
      </w:r>
      <w:r w:rsidRPr="003A5AF4">
        <w:rPr>
          <w:rFonts w:ascii="Wingdings" w:eastAsia="Wingdings" w:hAnsi="Wingdings" w:cs="Wingdings"/>
          <w:noProof/>
        </w:rPr>
        <w:t></w:t>
      </w:r>
      <w:r w:rsidRPr="003A5AF4">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F5502B" w:rsidRPr="003A5AF4" w:rsidRDefault="00F5502B" w:rsidP="00E923B5">
      <w:pPr>
        <w:rPr>
          <w:noProof/>
        </w:rPr>
      </w:pPr>
      <w:r w:rsidRPr="003A5AF4">
        <w:rPr>
          <w:noProof/>
        </w:rPr>
        <w:t xml:space="preserve">Comments </w:t>
      </w:r>
    </w:p>
    <w:p w:rsidR="00F5502B" w:rsidRPr="003A5AF4" w:rsidRDefault="00F5502B" w:rsidP="00E923B5">
      <w:pPr>
        <w:rPr>
          <w:noProof/>
        </w:rPr>
        <w:sectPr w:rsidR="00F5502B" w:rsidRPr="003A5AF4" w:rsidSect="002D2AD5">
          <w:pgSz w:w="11907" w:h="16840" w:code="9"/>
          <w:pgMar w:top="1134" w:right="1418" w:bottom="1134" w:left="1418" w:header="709" w:footer="709" w:gutter="0"/>
          <w:cols w:space="708"/>
          <w:docGrid w:linePitch="360"/>
        </w:sectPr>
      </w:pPr>
    </w:p>
    <w:p w:rsidR="00F5502B" w:rsidRPr="003A5AF4" w:rsidRDefault="00F5502B" w:rsidP="00E923B5">
      <w:pPr>
        <w:pStyle w:val="ManualHeading1"/>
        <w:rPr>
          <w:bCs/>
          <w:noProof/>
          <w:szCs w:val="24"/>
        </w:rPr>
      </w:pPr>
      <w:bookmarkStart w:id="87" w:name="_Toc514938041"/>
      <w:bookmarkStart w:id="88" w:name="_Toc520485042"/>
      <w:bookmarkStart w:id="89" w:name="_Toc160804584"/>
      <w:bookmarkStart w:id="90" w:name="_Toc167220276"/>
      <w:bookmarkStart w:id="91" w:name="_Toc177549009"/>
      <w:r w:rsidRPr="003A5AF4">
        <w:rPr>
          <w:noProof/>
        </w:rPr>
        <w:t>2.</w:t>
      </w:r>
      <w:r w:rsidRPr="003A5AF4">
        <w:rPr>
          <w:noProof/>
        </w:rPr>
        <w:tab/>
        <w:t>MANAGEMENT MEASURES</w:t>
      </w:r>
      <w:bookmarkEnd w:id="87"/>
      <w:bookmarkEnd w:id="88"/>
      <w:bookmarkEnd w:id="89"/>
      <w:bookmarkEnd w:id="90"/>
      <w:bookmarkEnd w:id="91"/>
      <w:r w:rsidRPr="003A5AF4">
        <w:rPr>
          <w:noProof/>
        </w:rPr>
        <w:t xml:space="preserve"> </w:t>
      </w:r>
    </w:p>
    <w:p w:rsidR="00F5502B" w:rsidRPr="003A5AF4" w:rsidRDefault="00F5502B" w:rsidP="00E923B5">
      <w:pPr>
        <w:pStyle w:val="ManualHeading2"/>
        <w:rPr>
          <w:noProof/>
        </w:rPr>
      </w:pPr>
      <w:bookmarkStart w:id="92" w:name="_Toc514938042"/>
      <w:bookmarkStart w:id="93" w:name="_Toc520485043"/>
      <w:bookmarkStart w:id="94" w:name="_Toc160804585"/>
      <w:bookmarkStart w:id="95" w:name="_Toc167220277"/>
      <w:bookmarkStart w:id="96" w:name="_Toc177549010"/>
      <w:r w:rsidRPr="003A5AF4">
        <w:rPr>
          <w:noProof/>
        </w:rPr>
        <w:t>2.1.</w:t>
      </w:r>
      <w:r w:rsidRPr="003A5AF4">
        <w:rPr>
          <w:noProof/>
        </w:rPr>
        <w:tab/>
        <w:t>Monitoring and reporting rules</w:t>
      </w:r>
      <w:bookmarkEnd w:id="92"/>
      <w:bookmarkEnd w:id="93"/>
      <w:bookmarkEnd w:id="94"/>
      <w:bookmarkEnd w:id="95"/>
      <w:bookmarkEnd w:id="96"/>
      <w:r w:rsidRPr="003A5AF4">
        <w:rPr>
          <w:noProof/>
        </w:rPr>
        <w:t xml:space="preserve"> </w:t>
      </w:r>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97" w:name="_Toc514938045"/>
      <w:bookmarkStart w:id="98" w:name="_Toc520485044"/>
      <w:bookmarkStart w:id="99" w:name="_Toc160804586"/>
      <w:bookmarkStart w:id="100" w:name="_Toc167220278"/>
      <w:bookmarkStart w:id="101" w:name="_Toc177549011"/>
      <w:r w:rsidRPr="003A5AF4">
        <w:rPr>
          <w:noProof/>
        </w:rPr>
        <w:t xml:space="preserve">The Commission on a regular basis, and whenever requested by the Council or the European Parliament, </w:t>
      </w:r>
      <w:r w:rsidR="00740FCD">
        <w:rPr>
          <w:noProof/>
        </w:rPr>
        <w:t>will</w:t>
      </w:r>
      <w:r w:rsidR="00740FCD" w:rsidRPr="003A5AF4">
        <w:rPr>
          <w:noProof/>
        </w:rPr>
        <w:t xml:space="preserve"> </w:t>
      </w:r>
      <w:r w:rsidRPr="003A5AF4">
        <w:rPr>
          <w:noProof/>
        </w:rPr>
        <w:t>report on the advancement of the work of the International Claims Commission.</w:t>
      </w:r>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r w:rsidRPr="003A5AF4">
        <w:rPr>
          <w:noProof/>
        </w:rPr>
        <w:t xml:space="preserve">The Convention provides for the establishment of a Financial Committee that, pursuant to Article 8 of the Convention (Annex I), is tasked with determining the annual contribution of Members and provide advice to the Secretariat in the preparation of the budget of the Claims Commission. In parallel, monitoring activities have been assigned to the Assembly, composed of all Members of the </w:t>
      </w:r>
      <w:r w:rsidR="00740FCD">
        <w:rPr>
          <w:noProof/>
        </w:rPr>
        <w:t xml:space="preserve">Claims </w:t>
      </w:r>
      <w:r w:rsidRPr="003A5AF4">
        <w:rPr>
          <w:noProof/>
        </w:rPr>
        <w:t xml:space="preserve">Commission, which </w:t>
      </w:r>
      <w:r w:rsidR="00740FCD">
        <w:rPr>
          <w:noProof/>
        </w:rPr>
        <w:t>should</w:t>
      </w:r>
      <w:r w:rsidR="00740FCD" w:rsidRPr="003A5AF4">
        <w:rPr>
          <w:noProof/>
        </w:rPr>
        <w:t xml:space="preserve"> </w:t>
      </w:r>
      <w:r w:rsidRPr="003A5AF4">
        <w:rPr>
          <w:noProof/>
        </w:rPr>
        <w:t>adopt the annual financial report and activity report of the Claims Commission (Article 7 of the Convention). Similarly, the Council</w:t>
      </w:r>
      <w:r w:rsidR="00740FCD">
        <w:rPr>
          <w:noProof/>
        </w:rPr>
        <w:t xml:space="preserve"> of the Claims Commission</w:t>
      </w:r>
      <w:r w:rsidRPr="003A5AF4">
        <w:rPr>
          <w:noProof/>
        </w:rPr>
        <w:t xml:space="preserve">, composed of a minimum of nine and a maximum of </w:t>
      </w:r>
      <w:r w:rsidR="00740FCD">
        <w:rPr>
          <w:noProof/>
        </w:rPr>
        <w:t xml:space="preserve">15 </w:t>
      </w:r>
      <w:r w:rsidRPr="003A5AF4">
        <w:rPr>
          <w:noProof/>
        </w:rPr>
        <w:t>Members on a three-year-rotational basis, is required to provide reports to the Assembly twice a year. Such reports should include the number of claims considered by the Council and the total amount of compensation awarded in each category, as well as a summary of any other significant factual or legal matters relevant to the work of the Claims Commission (Article 10(8) of the Convention).</w:t>
      </w:r>
    </w:p>
    <w:p w:rsidR="00F5502B" w:rsidRPr="003A5AF4" w:rsidRDefault="00F5502B" w:rsidP="00E923B5">
      <w:pPr>
        <w:pStyle w:val="ManualHeading2"/>
        <w:rPr>
          <w:bCs/>
          <w:noProof/>
          <w:szCs w:val="24"/>
        </w:rPr>
      </w:pPr>
      <w:r w:rsidRPr="003A5AF4">
        <w:rPr>
          <w:noProof/>
        </w:rPr>
        <w:t>2.2.</w:t>
      </w:r>
      <w:r w:rsidRPr="003A5AF4">
        <w:rPr>
          <w:noProof/>
        </w:rPr>
        <w:tab/>
        <w:t>Management and control system(s)</w:t>
      </w:r>
      <w:bookmarkEnd w:id="97"/>
      <w:bookmarkEnd w:id="98"/>
      <w:bookmarkEnd w:id="99"/>
      <w:bookmarkEnd w:id="100"/>
      <w:bookmarkEnd w:id="101"/>
      <w:r w:rsidRPr="003A5AF4">
        <w:rPr>
          <w:noProof/>
        </w:rPr>
        <w:t xml:space="preserve"> </w:t>
      </w:r>
    </w:p>
    <w:p w:rsidR="00F5502B" w:rsidRPr="003A5AF4" w:rsidRDefault="00F5502B" w:rsidP="00E923B5">
      <w:pPr>
        <w:pStyle w:val="ManualHeading3"/>
        <w:rPr>
          <w:noProof/>
        </w:rPr>
      </w:pPr>
      <w:bookmarkStart w:id="102" w:name="_Toc514938046"/>
      <w:bookmarkStart w:id="103" w:name="_Toc520485045"/>
      <w:bookmarkStart w:id="104" w:name="_Toc160804587"/>
      <w:bookmarkStart w:id="105" w:name="_Toc167220279"/>
      <w:bookmarkStart w:id="106" w:name="_Toc177549012"/>
      <w:r w:rsidRPr="003A5AF4">
        <w:rPr>
          <w:noProof/>
        </w:rPr>
        <w:t>2.2.1.</w:t>
      </w:r>
      <w:r w:rsidRPr="003A5AF4">
        <w:rPr>
          <w:noProof/>
        </w:rPr>
        <w:tab/>
        <w:t>Justification of the budget implementation method(s), the funding implementation mechanism(s), the payment modalities and the control strategy proposed</w:t>
      </w:r>
      <w:bookmarkEnd w:id="102"/>
      <w:bookmarkEnd w:id="103"/>
      <w:bookmarkEnd w:id="104"/>
      <w:bookmarkEnd w:id="105"/>
      <w:bookmarkEnd w:id="106"/>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07" w:name="_Hlk221546471"/>
      <w:bookmarkStart w:id="108" w:name="_Toc514938047"/>
      <w:bookmarkStart w:id="109" w:name="_Toc520485046"/>
      <w:bookmarkStart w:id="110" w:name="_Toc160804588"/>
      <w:bookmarkStart w:id="111" w:name="_Toc167220280"/>
      <w:bookmarkStart w:id="112" w:name="_Toc177549013"/>
      <w:r w:rsidRPr="003A5AF4">
        <w:rPr>
          <w:noProof/>
        </w:rPr>
        <w:t>With regard to the method of implementation, Article 245 of Regulation (EU, Euratom) 2024/2509 of the European Parliament and of the Council, which enables the Union to pay membership fees to bodies of which the Union is a member, is applicable to the Union’s contribution to the Claims Commission.</w:t>
      </w:r>
    </w:p>
    <w:bookmarkEnd w:id="107"/>
    <w:p w:rsidR="00F5502B" w:rsidRPr="003A5AF4" w:rsidRDefault="00F5502B" w:rsidP="00E923B5">
      <w:pPr>
        <w:pStyle w:val="ManualHeading3"/>
        <w:rPr>
          <w:bCs/>
          <w:noProof/>
          <w:szCs w:val="24"/>
        </w:rPr>
      </w:pPr>
      <w:r w:rsidRPr="003A5AF4">
        <w:rPr>
          <w:noProof/>
        </w:rPr>
        <w:t>2.2.2.</w:t>
      </w:r>
      <w:r w:rsidRPr="003A5AF4">
        <w:rPr>
          <w:noProof/>
        </w:rPr>
        <w:tab/>
        <w:t>Information concerning the risks identified and the internal control system(s) set up to mitigate them</w:t>
      </w:r>
      <w:bookmarkEnd w:id="108"/>
      <w:bookmarkEnd w:id="109"/>
      <w:bookmarkEnd w:id="110"/>
      <w:bookmarkEnd w:id="111"/>
      <w:bookmarkEnd w:id="112"/>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13" w:name="_Toc514938048"/>
      <w:bookmarkStart w:id="114" w:name="_Toc520485047"/>
      <w:bookmarkStart w:id="115" w:name="_Toc160804589"/>
      <w:bookmarkStart w:id="116" w:name="_Toc167220281"/>
      <w:bookmarkStart w:id="117" w:name="_Toc177549014"/>
      <w:r w:rsidRPr="003A5AF4">
        <w:rPr>
          <w:noProof/>
        </w:rPr>
        <w:t>No specific risks have been identified at this stage.</w:t>
      </w:r>
    </w:p>
    <w:p w:rsidR="00F5502B" w:rsidRPr="003A5AF4" w:rsidRDefault="00F5502B" w:rsidP="00E923B5">
      <w:pPr>
        <w:pStyle w:val="ManualHeading3"/>
        <w:rPr>
          <w:noProof/>
        </w:rPr>
      </w:pPr>
      <w:r w:rsidRPr="003A5AF4">
        <w:rPr>
          <w:noProof/>
        </w:rPr>
        <w:t>2.2.3.</w:t>
      </w:r>
      <w:r w:rsidRPr="003A5AF4">
        <w:rPr>
          <w:noProof/>
        </w:rPr>
        <w:tab/>
        <w:t>Estimation and justification of the cost-effectiveness of the controls (ratio between the control costs  and the value of the related funds managed), and assessment of the expected levels of risk of error (at payment &amp; at closure)</w:t>
      </w:r>
      <w:bookmarkEnd w:id="113"/>
      <w:bookmarkEnd w:id="114"/>
      <w:bookmarkEnd w:id="115"/>
      <w:bookmarkEnd w:id="116"/>
      <w:bookmarkEnd w:id="117"/>
      <w:r w:rsidRPr="003A5AF4">
        <w:rPr>
          <w:noProof/>
        </w:rPr>
        <w:t xml:space="preserve"> </w:t>
      </w:r>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18" w:name="_Toc514938049"/>
      <w:bookmarkStart w:id="119" w:name="_Toc520485048"/>
      <w:bookmarkStart w:id="120" w:name="_Toc160804590"/>
      <w:bookmarkStart w:id="121" w:name="_Toc167220282"/>
      <w:bookmarkStart w:id="122" w:name="_Toc177549015"/>
      <w:r w:rsidRPr="003A5AF4">
        <w:rPr>
          <w:noProof/>
        </w:rPr>
        <w:t>Following the Commission central services</w:t>
      </w:r>
      <w:r w:rsidR="00740FCD">
        <w:rPr>
          <w:noProof/>
        </w:rPr>
        <w:t>’</w:t>
      </w:r>
      <w:r w:rsidRPr="003A5AF4">
        <w:rPr>
          <w:noProof/>
        </w:rPr>
        <w:t xml:space="preserve"> guidance, the cost of the controls at Commission level is assessed by the cost of the different control stages. The overall assessment for each management mode is obtained from the ratio between all those costs and the total amount paid in the year for the related management mode.</w:t>
      </w:r>
    </w:p>
    <w:p w:rsidR="00F5502B" w:rsidRPr="003A5AF4" w:rsidRDefault="00F5502B" w:rsidP="00E923B5">
      <w:pPr>
        <w:pStyle w:val="ManualHeading2"/>
        <w:rPr>
          <w:bCs/>
          <w:noProof/>
          <w:szCs w:val="24"/>
        </w:rPr>
      </w:pPr>
      <w:r w:rsidRPr="003A5AF4">
        <w:rPr>
          <w:noProof/>
        </w:rPr>
        <w:t>2.3.</w:t>
      </w:r>
      <w:r w:rsidRPr="003A5AF4">
        <w:rPr>
          <w:noProof/>
        </w:rPr>
        <w:tab/>
        <w:t>Measures to prevent fraud and irregularities</w:t>
      </w:r>
      <w:bookmarkEnd w:id="118"/>
      <w:bookmarkEnd w:id="119"/>
      <w:bookmarkEnd w:id="120"/>
      <w:bookmarkEnd w:id="121"/>
      <w:bookmarkEnd w:id="122"/>
      <w:r w:rsidRPr="003A5AF4">
        <w:rPr>
          <w:noProof/>
        </w:rPr>
        <w:t xml:space="preserve"> </w:t>
      </w:r>
    </w:p>
    <w:p w:rsidR="008E41CC" w:rsidRPr="003A5AF4" w:rsidRDefault="008E41CC" w:rsidP="008E41CC">
      <w:pPr>
        <w:pStyle w:val="Text1"/>
        <w:pBdr>
          <w:top w:val="single" w:sz="4" w:space="1" w:color="auto"/>
          <w:left w:val="single" w:sz="4" w:space="4" w:color="auto"/>
          <w:bottom w:val="single" w:sz="4" w:space="1" w:color="auto"/>
          <w:right w:val="single" w:sz="4" w:space="4" w:color="auto"/>
        </w:pBdr>
        <w:rPr>
          <w:noProof/>
        </w:rPr>
      </w:pPr>
      <w:r w:rsidRPr="003A5AF4">
        <w:rPr>
          <w:noProof/>
        </w:rPr>
        <w:t>Standards rules on funding management shall apply.</w:t>
      </w:r>
    </w:p>
    <w:p w:rsidR="00F5502B" w:rsidRPr="003A5AF4" w:rsidRDefault="00F5502B" w:rsidP="00E923B5">
      <w:pPr>
        <w:rPr>
          <w:noProof/>
        </w:rPr>
        <w:sectPr w:rsidR="00F5502B" w:rsidRPr="003A5AF4" w:rsidSect="002D2AD5">
          <w:pgSz w:w="11907" w:h="16840" w:code="9"/>
          <w:pgMar w:top="1134" w:right="1418" w:bottom="1134" w:left="1418" w:header="709" w:footer="709" w:gutter="0"/>
          <w:cols w:space="708"/>
          <w:docGrid w:linePitch="360"/>
        </w:sectPr>
      </w:pPr>
    </w:p>
    <w:p w:rsidR="00F5502B" w:rsidRPr="003A5AF4" w:rsidRDefault="00F5502B" w:rsidP="00E923B5">
      <w:pPr>
        <w:pStyle w:val="ManualHeading1"/>
        <w:rPr>
          <w:bCs/>
          <w:noProof/>
          <w:szCs w:val="24"/>
        </w:rPr>
      </w:pPr>
      <w:bookmarkStart w:id="123" w:name="_Toc514938050"/>
      <w:bookmarkStart w:id="124" w:name="_Toc520485049"/>
      <w:bookmarkStart w:id="125" w:name="_Toc160804591"/>
      <w:bookmarkStart w:id="126" w:name="_Toc167220283"/>
      <w:bookmarkStart w:id="127" w:name="_Toc177549016"/>
      <w:r w:rsidRPr="003A5AF4">
        <w:rPr>
          <w:noProof/>
        </w:rPr>
        <w:t>3.</w:t>
      </w:r>
      <w:r w:rsidRPr="003A5AF4">
        <w:rPr>
          <w:noProof/>
        </w:rPr>
        <w:tab/>
        <w:t>ESTIMATED FINANCIAL IMPACT OF THE PROPOSAL/INITIATIVE</w:t>
      </w:r>
      <w:bookmarkEnd w:id="123"/>
      <w:bookmarkEnd w:id="124"/>
      <w:bookmarkEnd w:id="125"/>
      <w:bookmarkEnd w:id="126"/>
      <w:bookmarkEnd w:id="127"/>
      <w:r w:rsidRPr="003A5AF4">
        <w:rPr>
          <w:noProof/>
        </w:rPr>
        <w:t xml:space="preserve"> </w:t>
      </w:r>
    </w:p>
    <w:p w:rsidR="00F5502B" w:rsidRPr="003A5AF4" w:rsidRDefault="00F5502B" w:rsidP="00E923B5">
      <w:pPr>
        <w:pStyle w:val="ManualHeading2"/>
        <w:rPr>
          <w:noProof/>
        </w:rPr>
      </w:pPr>
      <w:bookmarkStart w:id="128" w:name="_Toc514938051"/>
      <w:bookmarkStart w:id="129" w:name="_Toc520485050"/>
      <w:bookmarkStart w:id="130" w:name="_Toc160804592"/>
      <w:bookmarkStart w:id="131" w:name="_Toc167220284"/>
      <w:bookmarkStart w:id="132" w:name="_Toc177549017"/>
      <w:r w:rsidRPr="003A5AF4">
        <w:rPr>
          <w:noProof/>
        </w:rPr>
        <w:t>3.1.</w:t>
      </w:r>
      <w:r w:rsidRPr="003A5AF4">
        <w:rPr>
          <w:noProof/>
        </w:rPr>
        <w:tab/>
        <w:t>Heading(s) of the multiannual financial framework and expenditure budget line(s) affected</w:t>
      </w:r>
      <w:bookmarkEnd w:id="128"/>
      <w:bookmarkEnd w:id="129"/>
      <w:bookmarkEnd w:id="130"/>
      <w:bookmarkEnd w:id="131"/>
      <w:bookmarkEnd w:id="132"/>
      <w:r w:rsidRPr="003A5AF4">
        <w:rPr>
          <w:noProof/>
        </w:rPr>
        <w:t xml:space="preserve"> </w:t>
      </w:r>
    </w:p>
    <w:p w:rsidR="00814848" w:rsidRPr="003A5AF4" w:rsidRDefault="00814848" w:rsidP="00814848">
      <w:pPr>
        <w:pStyle w:val="ListBullet1"/>
        <w:rPr>
          <w:noProof/>
        </w:rPr>
      </w:pPr>
      <w:r w:rsidRPr="003A5AF4">
        <w:rPr>
          <w:noProof/>
        </w:rPr>
        <w:t xml:space="preserve">New budget lines requested </w:t>
      </w:r>
    </w:p>
    <w:p w:rsidR="00F5502B" w:rsidRPr="003A5AF4" w:rsidRDefault="00814848" w:rsidP="00E923B5">
      <w:pPr>
        <w:pStyle w:val="Text1"/>
        <w:rPr>
          <w:i/>
          <w:noProof/>
        </w:rPr>
      </w:pPr>
      <w:r w:rsidRPr="003A5AF4">
        <w:rPr>
          <w:i/>
          <w:noProof/>
          <w:u w:val="single"/>
        </w:rPr>
        <w:t>In order</w:t>
      </w:r>
      <w:r w:rsidRPr="003A5AF4">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5502B" w:rsidRPr="003A5AF4" w:rsidTr="00425340">
        <w:trPr>
          <w:jc w:val="center"/>
        </w:trPr>
        <w:tc>
          <w:tcPr>
            <w:tcW w:w="1092" w:type="dxa"/>
            <w:vMerge w:val="restart"/>
            <w:vAlign w:val="center"/>
          </w:tcPr>
          <w:p w:rsidR="00F5502B" w:rsidRPr="003A5AF4" w:rsidRDefault="00F5502B" w:rsidP="00425340">
            <w:pPr>
              <w:spacing w:before="60" w:after="60"/>
              <w:jc w:val="center"/>
              <w:rPr>
                <w:noProof/>
              </w:rPr>
            </w:pPr>
            <w:bookmarkStart w:id="133" w:name="_Hlk221546550"/>
            <w:r w:rsidRPr="003A5AF4">
              <w:rPr>
                <w:noProof/>
                <w:sz w:val="18"/>
              </w:rPr>
              <w:t>Heading of multiannual financial framework</w:t>
            </w:r>
          </w:p>
        </w:tc>
        <w:tc>
          <w:tcPr>
            <w:tcW w:w="4002" w:type="dxa"/>
            <w:vAlign w:val="center"/>
          </w:tcPr>
          <w:p w:rsidR="00F5502B" w:rsidRPr="003A5AF4" w:rsidRDefault="00F5502B" w:rsidP="00425340">
            <w:pPr>
              <w:spacing w:before="60" w:after="60"/>
              <w:jc w:val="center"/>
              <w:rPr>
                <w:noProof/>
              </w:rPr>
            </w:pPr>
            <w:r w:rsidRPr="003A5AF4">
              <w:rPr>
                <w:noProof/>
                <w:sz w:val="20"/>
              </w:rPr>
              <w:t>Budget line</w:t>
            </w:r>
          </w:p>
        </w:tc>
        <w:tc>
          <w:tcPr>
            <w:tcW w:w="1092" w:type="dxa"/>
            <w:vAlign w:val="center"/>
          </w:tcPr>
          <w:p w:rsidR="00F5502B" w:rsidRPr="003A5AF4" w:rsidRDefault="00F5502B" w:rsidP="00425340">
            <w:pPr>
              <w:spacing w:before="60" w:after="60"/>
              <w:jc w:val="center"/>
              <w:rPr>
                <w:noProof/>
              </w:rPr>
            </w:pPr>
            <w:r w:rsidRPr="003A5AF4">
              <w:rPr>
                <w:noProof/>
                <w:sz w:val="18"/>
              </w:rPr>
              <w:t>Type of expenditure</w:t>
            </w:r>
          </w:p>
        </w:tc>
        <w:tc>
          <w:tcPr>
            <w:tcW w:w="4487" w:type="dxa"/>
            <w:gridSpan w:val="4"/>
            <w:vAlign w:val="center"/>
          </w:tcPr>
          <w:p w:rsidR="00F5502B" w:rsidRPr="003A5AF4" w:rsidRDefault="00F5502B" w:rsidP="00425340">
            <w:pPr>
              <w:spacing w:before="60" w:after="60"/>
              <w:jc w:val="center"/>
              <w:rPr>
                <w:noProof/>
              </w:rPr>
            </w:pPr>
            <w:r w:rsidRPr="003A5AF4">
              <w:rPr>
                <w:noProof/>
                <w:sz w:val="20"/>
              </w:rPr>
              <w:t xml:space="preserve">Contribution </w:t>
            </w:r>
          </w:p>
        </w:tc>
      </w:tr>
      <w:tr w:rsidR="00F5502B" w:rsidRPr="003A5AF4" w:rsidTr="00425340">
        <w:trPr>
          <w:cantSplit/>
          <w:jc w:val="center"/>
        </w:trPr>
        <w:tc>
          <w:tcPr>
            <w:tcW w:w="1092" w:type="dxa"/>
            <w:vMerge/>
            <w:vAlign w:val="center"/>
          </w:tcPr>
          <w:p w:rsidR="00F5502B" w:rsidRPr="003A5AF4" w:rsidRDefault="00F5502B" w:rsidP="00425340">
            <w:pPr>
              <w:jc w:val="center"/>
              <w:rPr>
                <w:noProof/>
              </w:rPr>
            </w:pPr>
          </w:p>
        </w:tc>
        <w:tc>
          <w:tcPr>
            <w:tcW w:w="4002" w:type="dxa"/>
            <w:vAlign w:val="center"/>
          </w:tcPr>
          <w:p w:rsidR="00F5502B" w:rsidRPr="003A5AF4" w:rsidRDefault="00F5502B" w:rsidP="00425340">
            <w:pPr>
              <w:rPr>
                <w:noProof/>
              </w:rPr>
            </w:pPr>
            <w:r w:rsidRPr="003A5AF4">
              <w:rPr>
                <w:noProof/>
                <w:sz w:val="20"/>
              </w:rPr>
              <w:t xml:space="preserve">Number </w:t>
            </w:r>
            <w:r w:rsidRPr="003A5AF4">
              <w:rPr>
                <w:noProof/>
                <w:sz w:val="22"/>
              </w:rPr>
              <w:br/>
            </w:r>
          </w:p>
        </w:tc>
        <w:tc>
          <w:tcPr>
            <w:tcW w:w="1092" w:type="dxa"/>
            <w:vAlign w:val="center"/>
          </w:tcPr>
          <w:p w:rsidR="00F5502B" w:rsidRPr="003A5AF4" w:rsidRDefault="00F5502B" w:rsidP="00425340">
            <w:pPr>
              <w:jc w:val="center"/>
              <w:rPr>
                <w:noProof/>
              </w:rPr>
            </w:pPr>
            <w:r w:rsidRPr="003A5AF4">
              <w:rPr>
                <w:noProof/>
                <w:sz w:val="18"/>
              </w:rPr>
              <w:t>Diff./Non-diff.</w:t>
            </w:r>
            <w:r w:rsidRPr="003A5AF4">
              <w:rPr>
                <w:rStyle w:val="FootnoteReference"/>
                <w:noProof/>
                <w:sz w:val="18"/>
              </w:rPr>
              <w:footnoteReference w:id="31"/>
            </w:r>
          </w:p>
        </w:tc>
        <w:tc>
          <w:tcPr>
            <w:tcW w:w="966" w:type="dxa"/>
            <w:vAlign w:val="center"/>
          </w:tcPr>
          <w:p w:rsidR="00F5502B" w:rsidRPr="003A5AF4" w:rsidRDefault="00F5502B" w:rsidP="00425340">
            <w:pPr>
              <w:jc w:val="center"/>
              <w:rPr>
                <w:b/>
                <w:noProof/>
                <w:sz w:val="18"/>
              </w:rPr>
            </w:pPr>
            <w:r w:rsidRPr="003A5AF4">
              <w:rPr>
                <w:noProof/>
                <w:sz w:val="18"/>
              </w:rPr>
              <w:t>from EFTA countries</w:t>
            </w:r>
            <w:r w:rsidRPr="003A5AF4">
              <w:rPr>
                <w:rStyle w:val="FootnoteReference"/>
                <w:noProof/>
                <w:sz w:val="18"/>
              </w:rPr>
              <w:footnoteReference w:id="32"/>
            </w:r>
          </w:p>
        </w:tc>
        <w:tc>
          <w:tcPr>
            <w:tcW w:w="1092" w:type="dxa"/>
            <w:vAlign w:val="center"/>
          </w:tcPr>
          <w:p w:rsidR="00F5502B" w:rsidRPr="003A5AF4" w:rsidRDefault="00F5502B" w:rsidP="00425340">
            <w:pPr>
              <w:jc w:val="center"/>
              <w:rPr>
                <w:noProof/>
                <w:sz w:val="18"/>
              </w:rPr>
            </w:pPr>
            <w:r w:rsidRPr="003A5AF4">
              <w:rPr>
                <w:noProof/>
                <w:sz w:val="18"/>
              </w:rPr>
              <w:t>from candidate countries and potential candidates</w:t>
            </w:r>
            <w:r w:rsidRPr="003A5AF4">
              <w:rPr>
                <w:rStyle w:val="FootnoteReference"/>
                <w:noProof/>
                <w:sz w:val="18"/>
              </w:rPr>
              <w:footnoteReference w:id="33"/>
            </w:r>
          </w:p>
        </w:tc>
        <w:tc>
          <w:tcPr>
            <w:tcW w:w="966" w:type="dxa"/>
            <w:vAlign w:val="center"/>
          </w:tcPr>
          <w:p w:rsidR="00F5502B" w:rsidRPr="003A5AF4" w:rsidRDefault="00F5502B" w:rsidP="00425340">
            <w:pPr>
              <w:jc w:val="center"/>
              <w:rPr>
                <w:noProof/>
                <w:sz w:val="18"/>
              </w:rPr>
            </w:pPr>
            <w:r w:rsidRPr="003A5AF4">
              <w:rPr>
                <w:noProof/>
                <w:sz w:val="18"/>
              </w:rPr>
              <w:t>From other third countries</w:t>
            </w:r>
          </w:p>
        </w:tc>
        <w:tc>
          <w:tcPr>
            <w:tcW w:w="1463" w:type="dxa"/>
            <w:vAlign w:val="center"/>
          </w:tcPr>
          <w:p w:rsidR="00F5502B" w:rsidRPr="003A5AF4" w:rsidRDefault="00F5502B" w:rsidP="00425340">
            <w:pPr>
              <w:jc w:val="center"/>
              <w:rPr>
                <w:noProof/>
              </w:rPr>
            </w:pPr>
            <w:r w:rsidRPr="003A5AF4">
              <w:rPr>
                <w:noProof/>
                <w:sz w:val="18"/>
                <w:szCs w:val="18"/>
              </w:rPr>
              <w:t>other assigned revenue</w:t>
            </w:r>
          </w:p>
        </w:tc>
      </w:tr>
      <w:tr w:rsidR="00F5502B" w:rsidRPr="003A5AF4" w:rsidTr="00425340">
        <w:trPr>
          <w:jc w:val="center"/>
        </w:trPr>
        <w:tc>
          <w:tcPr>
            <w:tcW w:w="1092" w:type="dxa"/>
            <w:vAlign w:val="center"/>
          </w:tcPr>
          <w:p w:rsidR="00F5502B" w:rsidRPr="003A5AF4" w:rsidRDefault="00814848" w:rsidP="00425340">
            <w:pPr>
              <w:jc w:val="center"/>
              <w:rPr>
                <w:noProof/>
                <w:color w:val="0000FF"/>
              </w:rPr>
            </w:pPr>
            <w:r w:rsidRPr="003A5AF4">
              <w:rPr>
                <w:noProof/>
              </w:rPr>
              <w:t>3</w:t>
            </w:r>
          </w:p>
        </w:tc>
        <w:tc>
          <w:tcPr>
            <w:tcW w:w="4002" w:type="dxa"/>
            <w:vAlign w:val="center"/>
          </w:tcPr>
          <w:p w:rsidR="00F5502B" w:rsidRPr="003A5AF4" w:rsidRDefault="00814848" w:rsidP="00425340">
            <w:pPr>
              <w:spacing w:after="60"/>
              <w:rPr>
                <w:noProof/>
              </w:rPr>
            </w:pPr>
            <w:r w:rsidRPr="003A5AF4">
              <w:rPr>
                <w:noProof/>
                <w:sz w:val="22"/>
              </w:rPr>
              <w:t>[Budget line for Global Europe]</w:t>
            </w:r>
            <w:r w:rsidRPr="003A5AF4">
              <w:rPr>
                <w:rStyle w:val="FootnoteReference"/>
                <w:noProof/>
                <w:sz w:val="22"/>
              </w:rPr>
              <w:footnoteReference w:id="34"/>
            </w:r>
            <w:r w:rsidRPr="003A5AF4">
              <w:rPr>
                <w:noProof/>
                <w:sz w:val="22"/>
              </w:rPr>
              <w:t xml:space="preserve"> </w:t>
            </w:r>
          </w:p>
        </w:tc>
        <w:tc>
          <w:tcPr>
            <w:tcW w:w="1092" w:type="dxa"/>
            <w:vAlign w:val="center"/>
          </w:tcPr>
          <w:p w:rsidR="00F5502B" w:rsidRPr="003A5AF4" w:rsidRDefault="00F5502B" w:rsidP="00425340">
            <w:pPr>
              <w:jc w:val="center"/>
              <w:rPr>
                <w:noProof/>
                <w:color w:val="0000FF"/>
              </w:rPr>
            </w:pPr>
            <w:r w:rsidRPr="003A5AF4">
              <w:rPr>
                <w:noProof/>
                <w:sz w:val="22"/>
              </w:rPr>
              <w:t>Diff.</w:t>
            </w:r>
          </w:p>
        </w:tc>
        <w:tc>
          <w:tcPr>
            <w:tcW w:w="966" w:type="dxa"/>
            <w:vAlign w:val="center"/>
          </w:tcPr>
          <w:p w:rsidR="00F5502B" w:rsidRPr="003A5AF4" w:rsidRDefault="00F5502B" w:rsidP="00425340">
            <w:pPr>
              <w:jc w:val="center"/>
              <w:rPr>
                <w:noProof/>
                <w:sz w:val="20"/>
                <w:szCs w:val="20"/>
              </w:rPr>
            </w:pPr>
            <w:r w:rsidRPr="003A5AF4">
              <w:rPr>
                <w:noProof/>
                <w:sz w:val="20"/>
                <w:szCs w:val="20"/>
              </w:rPr>
              <w:t>NO</w:t>
            </w:r>
          </w:p>
        </w:tc>
        <w:tc>
          <w:tcPr>
            <w:tcW w:w="1092" w:type="dxa"/>
            <w:vAlign w:val="center"/>
          </w:tcPr>
          <w:p w:rsidR="00F5502B" w:rsidRPr="003A5AF4" w:rsidRDefault="00F5502B" w:rsidP="00425340">
            <w:pPr>
              <w:jc w:val="center"/>
              <w:rPr>
                <w:noProof/>
                <w:sz w:val="20"/>
                <w:szCs w:val="20"/>
              </w:rPr>
            </w:pPr>
            <w:r w:rsidRPr="003A5AF4">
              <w:rPr>
                <w:noProof/>
                <w:sz w:val="20"/>
                <w:szCs w:val="20"/>
              </w:rPr>
              <w:t>NO</w:t>
            </w:r>
          </w:p>
        </w:tc>
        <w:tc>
          <w:tcPr>
            <w:tcW w:w="966" w:type="dxa"/>
            <w:vAlign w:val="center"/>
          </w:tcPr>
          <w:p w:rsidR="00F5502B" w:rsidRPr="003A5AF4" w:rsidRDefault="00F5502B" w:rsidP="00425340">
            <w:pPr>
              <w:jc w:val="center"/>
              <w:rPr>
                <w:noProof/>
                <w:sz w:val="20"/>
                <w:szCs w:val="20"/>
              </w:rPr>
            </w:pPr>
            <w:r w:rsidRPr="003A5AF4">
              <w:rPr>
                <w:noProof/>
                <w:sz w:val="20"/>
                <w:szCs w:val="20"/>
              </w:rPr>
              <w:t>NO</w:t>
            </w:r>
          </w:p>
        </w:tc>
        <w:tc>
          <w:tcPr>
            <w:tcW w:w="1463" w:type="dxa"/>
            <w:vAlign w:val="center"/>
          </w:tcPr>
          <w:p w:rsidR="00F5502B" w:rsidRPr="003A5AF4" w:rsidRDefault="00F5502B" w:rsidP="00425340">
            <w:pPr>
              <w:jc w:val="center"/>
              <w:rPr>
                <w:noProof/>
                <w:sz w:val="20"/>
                <w:szCs w:val="20"/>
              </w:rPr>
            </w:pPr>
            <w:r w:rsidRPr="003A5AF4">
              <w:rPr>
                <w:noProof/>
                <w:sz w:val="20"/>
                <w:szCs w:val="20"/>
              </w:rPr>
              <w:t>NO</w:t>
            </w:r>
          </w:p>
        </w:tc>
      </w:tr>
      <w:bookmarkEnd w:id="133"/>
    </w:tbl>
    <w:p w:rsidR="00F5502B" w:rsidRPr="003A5AF4" w:rsidRDefault="00F5502B" w:rsidP="00E923B5">
      <w:pPr>
        <w:rPr>
          <w:noProof/>
        </w:rPr>
        <w:sectPr w:rsidR="00F5502B" w:rsidRPr="003A5AF4" w:rsidSect="002D2AD5">
          <w:pgSz w:w="11907" w:h="16840" w:code="1"/>
          <w:pgMar w:top="1134" w:right="1418" w:bottom="1134" w:left="1418" w:header="709" w:footer="709" w:gutter="0"/>
          <w:cols w:space="708"/>
          <w:docGrid w:linePitch="360"/>
        </w:sectPr>
      </w:pPr>
    </w:p>
    <w:p w:rsidR="00F5502B" w:rsidRPr="003A5AF4" w:rsidRDefault="00F5502B" w:rsidP="00E923B5">
      <w:pPr>
        <w:pStyle w:val="ManualHeading2"/>
        <w:rPr>
          <w:bCs/>
          <w:noProof/>
          <w:szCs w:val="24"/>
        </w:rPr>
      </w:pPr>
      <w:bookmarkStart w:id="134" w:name="_Toc514938052"/>
      <w:bookmarkStart w:id="135" w:name="_Toc520485051"/>
      <w:bookmarkStart w:id="136" w:name="_Toc160804593"/>
      <w:bookmarkStart w:id="137" w:name="_Toc167220285"/>
      <w:bookmarkStart w:id="138" w:name="_Toc177549018"/>
      <w:r w:rsidRPr="003A5AF4">
        <w:rPr>
          <w:noProof/>
        </w:rPr>
        <w:t>3.2.</w:t>
      </w:r>
      <w:r w:rsidRPr="003A5AF4">
        <w:rPr>
          <w:noProof/>
        </w:rPr>
        <w:tab/>
        <w:t>Estimated financial impact of the proposal on appropriations</w:t>
      </w:r>
      <w:bookmarkEnd w:id="134"/>
      <w:bookmarkEnd w:id="135"/>
      <w:bookmarkEnd w:id="136"/>
      <w:bookmarkEnd w:id="137"/>
      <w:bookmarkEnd w:id="138"/>
      <w:r w:rsidRPr="003A5AF4">
        <w:rPr>
          <w:noProof/>
        </w:rPr>
        <w:t xml:space="preserve"> </w:t>
      </w:r>
    </w:p>
    <w:p w:rsidR="00F5502B" w:rsidRPr="003A5AF4" w:rsidRDefault="00F5502B" w:rsidP="00E923B5">
      <w:pPr>
        <w:pStyle w:val="ManualHeading3"/>
        <w:rPr>
          <w:noProof/>
        </w:rPr>
      </w:pPr>
      <w:bookmarkStart w:id="139" w:name="_Toc514938053"/>
      <w:bookmarkStart w:id="140" w:name="_Toc520485052"/>
      <w:bookmarkStart w:id="141" w:name="_Toc160804594"/>
      <w:bookmarkStart w:id="142" w:name="_Toc167220286"/>
      <w:bookmarkStart w:id="143" w:name="_Toc177549019"/>
      <w:r w:rsidRPr="003A5AF4">
        <w:rPr>
          <w:noProof/>
        </w:rPr>
        <w:t>3.2.1.</w:t>
      </w:r>
      <w:r w:rsidRPr="003A5AF4">
        <w:rPr>
          <w:noProof/>
        </w:rPr>
        <w:tab/>
        <w:t>Summary of estimated impact on operational appropriations</w:t>
      </w:r>
      <w:bookmarkEnd w:id="139"/>
      <w:bookmarkEnd w:id="140"/>
      <w:bookmarkEnd w:id="141"/>
      <w:bookmarkEnd w:id="142"/>
      <w:bookmarkEnd w:id="143"/>
      <w:r w:rsidRPr="003A5AF4">
        <w:rPr>
          <w:noProof/>
        </w:rPr>
        <w:t xml:space="preserve"> </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 xml:space="preserve">The proposal/initiative does not require the use of operational appropriations </w:t>
      </w:r>
    </w:p>
    <w:p w:rsidR="00F5502B" w:rsidRPr="003A5AF4" w:rsidRDefault="0084684D" w:rsidP="00E923B5">
      <w:pPr>
        <w:pStyle w:val="ListDash1"/>
        <w:rPr>
          <w:noProof/>
        </w:rPr>
      </w:pPr>
      <w:r>
        <w:rPr>
          <w:rFonts w:ascii="Wingdings" w:eastAsia="Wingdings" w:hAnsi="Wingdings" w:cs="Wingdings"/>
          <w:noProof/>
        </w:rPr>
        <w:t></w:t>
      </w:r>
      <w:r w:rsidR="00F5502B" w:rsidRPr="003A5AF4">
        <w:rPr>
          <w:noProof/>
        </w:rPr>
        <w:tab/>
        <w:t>The proposal/initiative requires the use of operational appropriations, as explained below</w:t>
      </w:r>
    </w:p>
    <w:p w:rsidR="00F5502B" w:rsidRPr="003A5AF4" w:rsidRDefault="00F5502B" w:rsidP="00E923B5">
      <w:pPr>
        <w:pStyle w:val="ManualHeading3"/>
        <w:rPr>
          <w:noProof/>
        </w:rPr>
      </w:pPr>
      <w:bookmarkStart w:id="144" w:name="_Toc160804595"/>
      <w:bookmarkStart w:id="145" w:name="_Toc167220287"/>
      <w:bookmarkStart w:id="146" w:name="_Toc177549020"/>
      <w:r w:rsidRPr="003A5AF4">
        <w:rPr>
          <w:noProof/>
        </w:rPr>
        <w:t>3.2.1.1.</w:t>
      </w:r>
      <w:r w:rsidRPr="003A5AF4">
        <w:rPr>
          <w:noProof/>
        </w:rPr>
        <w:tab/>
        <w:t>Appropriations from voted budget</w:t>
      </w:r>
      <w:bookmarkEnd w:id="144"/>
      <w:bookmarkEnd w:id="145"/>
      <w:bookmarkEnd w:id="146"/>
    </w:p>
    <w:p w:rsidR="00F5502B" w:rsidRPr="003A5AF4" w:rsidRDefault="00F5502B" w:rsidP="00E923B5">
      <w:pPr>
        <w:jc w:val="right"/>
        <w:rPr>
          <w:noProof/>
          <w:sz w:val="18"/>
          <w:szCs w:val="18"/>
        </w:rPr>
      </w:pPr>
      <w:r w:rsidRPr="003A5AF4">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5502B" w:rsidRPr="003A5AF4" w:rsidTr="00425340">
        <w:tc>
          <w:tcPr>
            <w:tcW w:w="1739" w:type="pct"/>
            <w:shd w:val="thinDiagStripe" w:color="C0C0C0" w:fill="auto"/>
            <w:vAlign w:val="center"/>
          </w:tcPr>
          <w:p w:rsidR="00F5502B" w:rsidRPr="003A5AF4" w:rsidRDefault="00F5502B" w:rsidP="00425340">
            <w:pPr>
              <w:spacing w:before="60" w:after="60"/>
              <w:jc w:val="center"/>
              <w:rPr>
                <w:b/>
                <w:noProof/>
              </w:rPr>
            </w:pPr>
            <w:r w:rsidRPr="003A5AF4">
              <w:rPr>
                <w:b/>
                <w:noProof/>
                <w:sz w:val="22"/>
              </w:rPr>
              <w:t>Heading of multiannual financial framework</w:t>
            </w:r>
            <w:r w:rsidR="00814848" w:rsidRPr="003A5AF4">
              <w:rPr>
                <w:b/>
                <w:noProof/>
                <w:sz w:val="22"/>
              </w:rPr>
              <w:t xml:space="preserve"> - 2028 - 2034</w:t>
            </w:r>
          </w:p>
        </w:tc>
        <w:tc>
          <w:tcPr>
            <w:tcW w:w="396" w:type="pct"/>
            <w:vAlign w:val="center"/>
          </w:tcPr>
          <w:p w:rsidR="00F5502B" w:rsidRPr="003A5AF4" w:rsidRDefault="00814848" w:rsidP="00425340">
            <w:pPr>
              <w:spacing w:before="60" w:after="60"/>
              <w:jc w:val="center"/>
              <w:rPr>
                <w:noProof/>
              </w:rPr>
            </w:pPr>
            <w:r w:rsidRPr="003A5AF4">
              <w:rPr>
                <w:noProof/>
              </w:rPr>
              <w:t>3</w:t>
            </w:r>
            <w:r w:rsidRPr="003A5AF4">
              <w:rPr>
                <w:rStyle w:val="FootnoteReference"/>
                <w:noProof/>
              </w:rPr>
              <w:footnoteReference w:id="35"/>
            </w:r>
          </w:p>
        </w:tc>
        <w:tc>
          <w:tcPr>
            <w:tcW w:w="2865" w:type="pct"/>
            <w:vAlign w:val="center"/>
          </w:tcPr>
          <w:p w:rsidR="00F5502B" w:rsidRPr="003A5AF4" w:rsidRDefault="00814848" w:rsidP="00425340">
            <w:pPr>
              <w:spacing w:before="60" w:after="60"/>
              <w:rPr>
                <w:noProof/>
              </w:rPr>
            </w:pPr>
            <w:r w:rsidRPr="003A5AF4">
              <w:rPr>
                <w:noProof/>
              </w:rPr>
              <w:t>Global Europe</w:t>
            </w:r>
          </w:p>
        </w:tc>
      </w:tr>
    </w:tbl>
    <w:p w:rsidR="00F5502B" w:rsidRPr="003A5AF4" w:rsidRDefault="00F5502B" w:rsidP="00E923B5">
      <w:pPr>
        <w:rPr>
          <w:noProof/>
          <w:sz w:val="16"/>
        </w:rPr>
      </w:pPr>
    </w:p>
    <w:tbl>
      <w:tblPr>
        <w:tblW w:w="5000" w:type="pct"/>
        <w:jc w:val="center"/>
        <w:tblLook w:val="04A0" w:firstRow="1" w:lastRow="0" w:firstColumn="1" w:lastColumn="0" w:noHBand="0" w:noVBand="1"/>
      </w:tblPr>
      <w:tblGrid>
        <w:gridCol w:w="2878"/>
        <w:gridCol w:w="34"/>
        <w:gridCol w:w="1203"/>
        <w:gridCol w:w="147"/>
        <w:gridCol w:w="811"/>
        <w:gridCol w:w="274"/>
        <w:gridCol w:w="742"/>
        <w:gridCol w:w="340"/>
        <w:gridCol w:w="727"/>
        <w:gridCol w:w="355"/>
        <w:gridCol w:w="822"/>
        <w:gridCol w:w="254"/>
        <w:gridCol w:w="923"/>
        <w:gridCol w:w="142"/>
        <w:gridCol w:w="1072"/>
        <w:gridCol w:w="64"/>
        <w:gridCol w:w="952"/>
        <w:gridCol w:w="184"/>
        <w:gridCol w:w="948"/>
        <w:gridCol w:w="194"/>
        <w:gridCol w:w="1154"/>
      </w:tblGrid>
      <w:tr w:rsidR="00814848" w:rsidRPr="00764B43" w:rsidTr="00617CA7">
        <w:trPr>
          <w:trHeight w:val="420"/>
          <w:jc w:val="center"/>
        </w:trPr>
        <w:tc>
          <w:tcPr>
            <w:tcW w:w="1428" w:type="pct"/>
            <w:gridSpan w:val="6"/>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noProof/>
                <w:color w:val="000000"/>
                <w:sz w:val="20"/>
                <w:szCs w:val="20"/>
                <w:lang w:eastAsia="en-IE"/>
              </w:rPr>
            </w:pPr>
            <w:r w:rsidRPr="00764B43">
              <w:rPr>
                <w:noProof/>
                <w:color w:val="000000"/>
                <w:sz w:val="20"/>
                <w:szCs w:val="20"/>
                <w:lang w:eastAsia="en-IE"/>
              </w:rPr>
              <w:t>DG</w:t>
            </w:r>
          </w:p>
        </w:tc>
        <w:tc>
          <w:tcPr>
            <w:tcW w:w="437"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37"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35"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31"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814848">
            <w:pPr>
              <w:spacing w:before="0" w:after="0"/>
              <w:jc w:val="center"/>
              <w:rPr>
                <w:b/>
                <w:bCs/>
                <w:noProof/>
                <w:color w:val="000000"/>
                <w:sz w:val="20"/>
                <w:szCs w:val="20"/>
                <w:lang w:eastAsia="en-IE"/>
              </w:rPr>
            </w:pPr>
            <w:r w:rsidRPr="00764B43">
              <w:rPr>
                <w:noProof/>
                <w:color w:val="000000"/>
                <w:sz w:val="20"/>
                <w:szCs w:val="20"/>
                <w:lang w:eastAsia="en-IE"/>
              </w:rPr>
              <w:t>Year</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814848">
            <w:pPr>
              <w:spacing w:before="0" w:after="0"/>
              <w:jc w:val="center"/>
              <w:rPr>
                <w:b/>
                <w:bCs/>
                <w:noProof/>
                <w:color w:val="000000"/>
                <w:sz w:val="20"/>
                <w:szCs w:val="20"/>
                <w:lang w:eastAsia="en-IE"/>
              </w:rPr>
            </w:pPr>
            <w:r w:rsidRPr="00764B43">
              <w:rPr>
                <w:noProof/>
                <w:color w:val="000000"/>
                <w:sz w:val="20"/>
                <w:szCs w:val="20"/>
                <w:lang w:eastAsia="en-IE"/>
              </w:rPr>
              <w:t>Year</w:t>
            </w:r>
          </w:p>
        </w:tc>
        <w:tc>
          <w:tcPr>
            <w:tcW w:w="458"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814848">
            <w:pPr>
              <w:spacing w:before="0" w:after="0"/>
              <w:jc w:val="center"/>
              <w:rPr>
                <w:b/>
                <w:bCs/>
                <w:noProof/>
                <w:color w:val="000000"/>
                <w:sz w:val="20"/>
                <w:szCs w:val="20"/>
                <w:lang w:eastAsia="en-IE"/>
              </w:rPr>
            </w:pPr>
            <w:r w:rsidRPr="00764B43">
              <w:rPr>
                <w:noProof/>
                <w:color w:val="000000"/>
                <w:sz w:val="20"/>
                <w:szCs w:val="20"/>
                <w:lang w:eastAsia="en-IE"/>
              </w:rPr>
              <w:t>Year</w:t>
            </w:r>
          </w:p>
        </w:tc>
        <w:tc>
          <w:tcPr>
            <w:tcW w:w="46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b/>
                <w:bCs/>
                <w:noProof/>
                <w:color w:val="000000"/>
                <w:sz w:val="20"/>
                <w:szCs w:val="20"/>
                <w:lang w:eastAsia="en-IE"/>
              </w:rPr>
            </w:pPr>
            <w:r w:rsidRPr="00764B43">
              <w:rPr>
                <w:b/>
                <w:bCs/>
                <w:noProof/>
                <w:color w:val="000000"/>
                <w:sz w:val="20"/>
                <w:szCs w:val="20"/>
                <w:lang w:eastAsia="en-IE"/>
              </w:rPr>
              <w:t>TOTAL MFF 202</w:t>
            </w:r>
            <w:r w:rsidR="00133DF9">
              <w:rPr>
                <w:b/>
                <w:bCs/>
                <w:noProof/>
                <w:color w:val="000000"/>
                <w:sz w:val="20"/>
                <w:szCs w:val="20"/>
                <w:lang w:eastAsia="en-IE"/>
              </w:rPr>
              <w:t>8</w:t>
            </w:r>
            <w:r w:rsidRPr="00764B43">
              <w:rPr>
                <w:b/>
                <w:bCs/>
                <w:noProof/>
                <w:color w:val="000000"/>
                <w:sz w:val="20"/>
                <w:szCs w:val="20"/>
                <w:lang w:eastAsia="en-IE"/>
              </w:rPr>
              <w:t>-20</w:t>
            </w:r>
            <w:r w:rsidR="00133DF9">
              <w:rPr>
                <w:b/>
                <w:bCs/>
                <w:noProof/>
                <w:color w:val="000000"/>
                <w:sz w:val="20"/>
                <w:szCs w:val="20"/>
                <w:lang w:eastAsia="en-IE"/>
              </w:rPr>
              <w:t>34</w:t>
            </w:r>
          </w:p>
        </w:tc>
      </w:tr>
      <w:tr w:rsidR="00814848" w:rsidRPr="00764B43" w:rsidTr="00617CA7">
        <w:trPr>
          <w:trHeight w:val="288"/>
          <w:jc w:val="center"/>
        </w:trPr>
        <w:tc>
          <w:tcPr>
            <w:tcW w:w="1428" w:type="pct"/>
            <w:gridSpan w:val="6"/>
            <w:vMerge/>
            <w:tcBorders>
              <w:top w:val="single" w:sz="8" w:space="0" w:color="auto"/>
              <w:left w:val="single" w:sz="8" w:space="0" w:color="auto"/>
              <w:bottom w:val="single" w:sz="8" w:space="0" w:color="auto"/>
              <w:right w:val="single" w:sz="8" w:space="0" w:color="auto"/>
            </w:tcBorders>
            <w:vAlign w:val="center"/>
            <w:hideMark/>
          </w:tcPr>
          <w:p w:rsidR="00814848" w:rsidRPr="00764B43" w:rsidRDefault="00814848" w:rsidP="00425340">
            <w:pPr>
              <w:spacing w:before="0" w:after="0"/>
              <w:jc w:val="left"/>
              <w:rPr>
                <w:noProof/>
                <w:color w:val="000000"/>
                <w:sz w:val="20"/>
                <w:szCs w:val="20"/>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b/>
                <w:bCs/>
                <w:noProof/>
                <w:color w:val="000000"/>
                <w:sz w:val="20"/>
                <w:szCs w:val="20"/>
                <w:lang w:eastAsia="en-IE"/>
              </w:rPr>
            </w:pPr>
            <w:r w:rsidRPr="00764B43">
              <w:rPr>
                <w:b/>
                <w:bCs/>
                <w:noProof/>
                <w:color w:val="000000"/>
                <w:sz w:val="20"/>
                <w:szCs w:val="20"/>
                <w:lang w:eastAsia="en-IE"/>
              </w:rPr>
              <w:t>2028</w:t>
            </w:r>
          </w:p>
        </w:tc>
        <w:tc>
          <w:tcPr>
            <w:tcW w:w="437" w:type="pct"/>
            <w:gridSpan w:val="2"/>
            <w:tcBorders>
              <w:top w:val="nil"/>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b/>
                <w:bCs/>
                <w:noProof/>
                <w:color w:val="000000"/>
                <w:sz w:val="20"/>
                <w:szCs w:val="20"/>
                <w:lang w:eastAsia="en-IE"/>
              </w:rPr>
            </w:pPr>
            <w:r w:rsidRPr="00764B43">
              <w:rPr>
                <w:b/>
                <w:bCs/>
                <w:noProof/>
                <w:color w:val="000000"/>
                <w:sz w:val="20"/>
                <w:szCs w:val="20"/>
                <w:lang w:eastAsia="en-IE"/>
              </w:rPr>
              <w:t>2029</w:t>
            </w:r>
          </w:p>
        </w:tc>
        <w:tc>
          <w:tcPr>
            <w:tcW w:w="435" w:type="pct"/>
            <w:gridSpan w:val="2"/>
            <w:tcBorders>
              <w:top w:val="nil"/>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b/>
                <w:bCs/>
                <w:noProof/>
                <w:color w:val="000000"/>
                <w:sz w:val="20"/>
                <w:szCs w:val="20"/>
                <w:lang w:eastAsia="en-IE"/>
              </w:rPr>
            </w:pPr>
            <w:r w:rsidRPr="00764B43">
              <w:rPr>
                <w:b/>
                <w:bCs/>
                <w:noProof/>
                <w:color w:val="000000"/>
                <w:sz w:val="20"/>
                <w:szCs w:val="20"/>
                <w:lang w:eastAsia="en-IE"/>
              </w:rPr>
              <w:t>2030</w:t>
            </w:r>
          </w:p>
        </w:tc>
        <w:tc>
          <w:tcPr>
            <w:tcW w:w="431" w:type="pct"/>
            <w:gridSpan w:val="2"/>
            <w:tcBorders>
              <w:top w:val="nil"/>
              <w:left w:val="nil"/>
              <w:bottom w:val="single" w:sz="8" w:space="0" w:color="auto"/>
              <w:right w:val="single" w:sz="8" w:space="0" w:color="auto"/>
            </w:tcBorders>
            <w:shd w:val="clear" w:color="auto" w:fill="auto"/>
            <w:vAlign w:val="center"/>
            <w:hideMark/>
          </w:tcPr>
          <w:p w:rsidR="00814848" w:rsidRPr="00764B43" w:rsidRDefault="00814848" w:rsidP="00425340">
            <w:pPr>
              <w:spacing w:before="0" w:after="0"/>
              <w:jc w:val="center"/>
              <w:rPr>
                <w:b/>
                <w:bCs/>
                <w:noProof/>
                <w:color w:val="000000"/>
                <w:sz w:val="20"/>
                <w:szCs w:val="20"/>
                <w:lang w:eastAsia="en-IE"/>
              </w:rPr>
            </w:pPr>
            <w:r w:rsidRPr="00764B43">
              <w:rPr>
                <w:b/>
                <w:bCs/>
                <w:noProof/>
                <w:color w:val="000000"/>
                <w:sz w:val="20"/>
                <w:szCs w:val="20"/>
                <w:lang w:eastAsia="en-IE"/>
              </w:rPr>
              <w:t>2031</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425340">
            <w:pPr>
              <w:spacing w:before="0" w:after="0"/>
              <w:jc w:val="left"/>
              <w:rPr>
                <w:b/>
                <w:bCs/>
                <w:noProof/>
                <w:color w:val="000000"/>
                <w:sz w:val="20"/>
                <w:szCs w:val="20"/>
                <w:lang w:eastAsia="en-IE"/>
              </w:rPr>
            </w:pPr>
            <w:r w:rsidRPr="00764B43">
              <w:rPr>
                <w:b/>
                <w:bCs/>
                <w:noProof/>
                <w:color w:val="000000"/>
                <w:sz w:val="20"/>
                <w:szCs w:val="20"/>
                <w:lang w:eastAsia="en-IE"/>
              </w:rPr>
              <w:t>2032</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425340">
            <w:pPr>
              <w:spacing w:before="0" w:after="0"/>
              <w:jc w:val="left"/>
              <w:rPr>
                <w:b/>
                <w:bCs/>
                <w:noProof/>
                <w:color w:val="000000"/>
                <w:sz w:val="20"/>
                <w:szCs w:val="20"/>
                <w:lang w:eastAsia="en-IE"/>
              </w:rPr>
            </w:pPr>
            <w:r w:rsidRPr="00764B43">
              <w:rPr>
                <w:b/>
                <w:bCs/>
                <w:noProof/>
                <w:color w:val="000000"/>
                <w:sz w:val="20"/>
                <w:szCs w:val="20"/>
                <w:lang w:eastAsia="en-IE"/>
              </w:rPr>
              <w:t>2033</w:t>
            </w:r>
          </w:p>
        </w:tc>
        <w:tc>
          <w:tcPr>
            <w:tcW w:w="458"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425340">
            <w:pPr>
              <w:spacing w:before="0" w:after="0"/>
              <w:jc w:val="left"/>
              <w:rPr>
                <w:b/>
                <w:bCs/>
                <w:noProof/>
                <w:color w:val="000000"/>
                <w:sz w:val="20"/>
                <w:szCs w:val="20"/>
                <w:lang w:eastAsia="en-IE"/>
              </w:rPr>
            </w:pPr>
            <w:r w:rsidRPr="00764B43">
              <w:rPr>
                <w:b/>
                <w:bCs/>
                <w:noProof/>
                <w:color w:val="000000"/>
                <w:sz w:val="20"/>
                <w:szCs w:val="20"/>
                <w:lang w:eastAsia="en-IE"/>
              </w:rPr>
              <w:t>2034</w:t>
            </w:r>
          </w:p>
        </w:tc>
        <w:tc>
          <w:tcPr>
            <w:tcW w:w="462" w:type="pct"/>
            <w:vMerge/>
            <w:tcBorders>
              <w:top w:val="single" w:sz="8" w:space="0" w:color="auto"/>
              <w:left w:val="single" w:sz="8" w:space="0" w:color="auto"/>
              <w:bottom w:val="single" w:sz="8" w:space="0" w:color="auto"/>
              <w:right w:val="single" w:sz="8" w:space="0" w:color="auto"/>
            </w:tcBorders>
            <w:vAlign w:val="center"/>
            <w:hideMark/>
          </w:tcPr>
          <w:p w:rsidR="00814848" w:rsidRPr="00764B43" w:rsidRDefault="00814848" w:rsidP="00425340">
            <w:pPr>
              <w:spacing w:before="0" w:after="0"/>
              <w:jc w:val="left"/>
              <w:rPr>
                <w:b/>
                <w:bCs/>
                <w:noProof/>
                <w:color w:val="000000"/>
                <w:sz w:val="20"/>
                <w:szCs w:val="20"/>
                <w:lang w:eastAsia="en-IE"/>
              </w:rPr>
            </w:pPr>
          </w:p>
        </w:tc>
      </w:tr>
      <w:tr w:rsidR="00784279" w:rsidRPr="00764B43" w:rsidTr="00617CA7">
        <w:trPr>
          <w:trHeight w:val="288"/>
          <w:jc w:val="center"/>
        </w:trPr>
        <w:tc>
          <w:tcPr>
            <w:tcW w:w="1428" w:type="pct"/>
            <w:gridSpan w:val="6"/>
            <w:tcBorders>
              <w:top w:val="single" w:sz="8" w:space="0" w:color="auto"/>
              <w:left w:val="single" w:sz="8" w:space="0" w:color="auto"/>
              <w:bottom w:val="single" w:sz="8" w:space="0" w:color="auto"/>
              <w:right w:val="single" w:sz="8" w:space="0" w:color="auto"/>
            </w:tcBorders>
            <w:vAlign w:val="center"/>
          </w:tcPr>
          <w:p w:rsidR="00814848" w:rsidRPr="00764B43" w:rsidRDefault="00814848" w:rsidP="00425340">
            <w:pPr>
              <w:spacing w:before="0" w:after="0"/>
              <w:jc w:val="left"/>
              <w:rPr>
                <w:noProof/>
                <w:color w:val="000000"/>
                <w:sz w:val="20"/>
                <w:szCs w:val="20"/>
                <w:lang w:eastAsia="en-IE"/>
              </w:rPr>
            </w:pPr>
            <w:r w:rsidRPr="00764B43">
              <w:rPr>
                <w:noProof/>
                <w:sz w:val="20"/>
                <w:szCs w:val="20"/>
                <w:lang w:eastAsia="en-IE"/>
              </w:rPr>
              <w:t>Operational appropriations</w:t>
            </w:r>
          </w:p>
        </w:tc>
        <w:tc>
          <w:tcPr>
            <w:tcW w:w="437" w:type="pct"/>
            <w:gridSpan w:val="2"/>
            <w:tcBorders>
              <w:top w:val="nil"/>
              <w:left w:val="nil"/>
              <w:bottom w:val="single" w:sz="8" w:space="0" w:color="auto"/>
              <w:right w:val="single" w:sz="8" w:space="0" w:color="auto"/>
            </w:tcBorders>
            <w:shd w:val="clear" w:color="auto" w:fill="auto"/>
            <w:vAlign w:val="center"/>
          </w:tcPr>
          <w:p w:rsidR="00814848" w:rsidRPr="00764B43" w:rsidRDefault="00814848" w:rsidP="00425340">
            <w:pPr>
              <w:spacing w:before="0" w:after="0"/>
              <w:jc w:val="center"/>
              <w:rPr>
                <w:b/>
                <w:bCs/>
                <w:noProof/>
                <w:color w:val="000000"/>
                <w:sz w:val="20"/>
                <w:szCs w:val="20"/>
                <w:lang w:eastAsia="en-IE"/>
              </w:rPr>
            </w:pPr>
          </w:p>
        </w:tc>
        <w:tc>
          <w:tcPr>
            <w:tcW w:w="437" w:type="pct"/>
            <w:gridSpan w:val="2"/>
            <w:tcBorders>
              <w:top w:val="nil"/>
              <w:left w:val="nil"/>
              <w:bottom w:val="single" w:sz="8" w:space="0" w:color="auto"/>
              <w:right w:val="single" w:sz="8" w:space="0" w:color="auto"/>
            </w:tcBorders>
            <w:shd w:val="clear" w:color="auto" w:fill="auto"/>
            <w:vAlign w:val="center"/>
          </w:tcPr>
          <w:p w:rsidR="00814848" w:rsidRPr="00764B43" w:rsidRDefault="00814848" w:rsidP="00425340">
            <w:pPr>
              <w:spacing w:before="0" w:after="0"/>
              <w:jc w:val="center"/>
              <w:rPr>
                <w:b/>
                <w:bCs/>
                <w:noProof/>
                <w:color w:val="000000"/>
                <w:sz w:val="20"/>
                <w:szCs w:val="20"/>
                <w:lang w:eastAsia="en-IE"/>
              </w:rPr>
            </w:pPr>
          </w:p>
        </w:tc>
        <w:tc>
          <w:tcPr>
            <w:tcW w:w="435" w:type="pct"/>
            <w:gridSpan w:val="2"/>
            <w:tcBorders>
              <w:top w:val="nil"/>
              <w:left w:val="nil"/>
              <w:bottom w:val="single" w:sz="8" w:space="0" w:color="auto"/>
              <w:right w:val="single" w:sz="8" w:space="0" w:color="auto"/>
            </w:tcBorders>
            <w:shd w:val="clear" w:color="auto" w:fill="auto"/>
            <w:vAlign w:val="center"/>
          </w:tcPr>
          <w:p w:rsidR="00814848" w:rsidRPr="00764B43" w:rsidRDefault="00814848" w:rsidP="00425340">
            <w:pPr>
              <w:spacing w:before="0" w:after="0"/>
              <w:jc w:val="center"/>
              <w:rPr>
                <w:b/>
                <w:bCs/>
                <w:noProof/>
                <w:color w:val="000000"/>
                <w:sz w:val="20"/>
                <w:szCs w:val="20"/>
                <w:lang w:eastAsia="en-IE"/>
              </w:rPr>
            </w:pPr>
          </w:p>
        </w:tc>
        <w:tc>
          <w:tcPr>
            <w:tcW w:w="431" w:type="pct"/>
            <w:gridSpan w:val="2"/>
            <w:tcBorders>
              <w:top w:val="nil"/>
              <w:left w:val="nil"/>
              <w:bottom w:val="single" w:sz="8" w:space="0" w:color="auto"/>
              <w:right w:val="single" w:sz="8" w:space="0" w:color="auto"/>
            </w:tcBorders>
            <w:shd w:val="clear" w:color="auto" w:fill="auto"/>
            <w:vAlign w:val="center"/>
          </w:tcPr>
          <w:p w:rsidR="00814848" w:rsidRPr="00764B43" w:rsidRDefault="00814848" w:rsidP="00425340">
            <w:pPr>
              <w:spacing w:before="0" w:after="0"/>
              <w:jc w:val="center"/>
              <w:rPr>
                <w:b/>
                <w:bCs/>
                <w:noProof/>
                <w:color w:val="000000"/>
                <w:sz w:val="20"/>
                <w:szCs w:val="20"/>
                <w:lang w:eastAsia="en-IE"/>
              </w:rPr>
            </w:pPr>
          </w:p>
        </w:tc>
        <w:tc>
          <w:tcPr>
            <w:tcW w:w="456"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425340">
            <w:pPr>
              <w:spacing w:before="0" w:after="0"/>
              <w:jc w:val="left"/>
              <w:rPr>
                <w:b/>
                <w:bCs/>
                <w:noProof/>
                <w:color w:val="000000"/>
                <w:sz w:val="20"/>
                <w:szCs w:val="20"/>
                <w:lang w:eastAsia="en-IE"/>
              </w:rPr>
            </w:pPr>
          </w:p>
        </w:tc>
        <w:tc>
          <w:tcPr>
            <w:tcW w:w="456"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425340">
            <w:pPr>
              <w:spacing w:before="0" w:after="0"/>
              <w:jc w:val="left"/>
              <w:rPr>
                <w:b/>
                <w:bCs/>
                <w:noProof/>
                <w:color w:val="000000"/>
                <w:sz w:val="20"/>
                <w:szCs w:val="20"/>
                <w:lang w:eastAsia="en-IE"/>
              </w:rPr>
            </w:pPr>
          </w:p>
        </w:tc>
        <w:tc>
          <w:tcPr>
            <w:tcW w:w="458" w:type="pct"/>
            <w:gridSpan w:val="2"/>
            <w:tcBorders>
              <w:top w:val="single" w:sz="8" w:space="0" w:color="auto"/>
              <w:left w:val="single" w:sz="8" w:space="0" w:color="auto"/>
              <w:bottom w:val="single" w:sz="8" w:space="0" w:color="auto"/>
              <w:right w:val="single" w:sz="8" w:space="0" w:color="auto"/>
            </w:tcBorders>
          </w:tcPr>
          <w:p w:rsidR="00814848" w:rsidRPr="00764B43" w:rsidRDefault="00814848" w:rsidP="00425340">
            <w:pPr>
              <w:spacing w:before="0" w:after="0"/>
              <w:jc w:val="left"/>
              <w:rPr>
                <w:b/>
                <w:bCs/>
                <w:noProof/>
                <w:color w:val="000000"/>
                <w:sz w:val="20"/>
                <w:szCs w:val="20"/>
                <w:lang w:eastAsia="en-IE"/>
              </w:rPr>
            </w:pPr>
          </w:p>
        </w:tc>
        <w:tc>
          <w:tcPr>
            <w:tcW w:w="462" w:type="pct"/>
            <w:tcBorders>
              <w:top w:val="single" w:sz="8" w:space="0" w:color="auto"/>
              <w:left w:val="single" w:sz="8" w:space="0" w:color="auto"/>
              <w:bottom w:val="single" w:sz="8" w:space="0" w:color="auto"/>
              <w:right w:val="single" w:sz="8" w:space="0" w:color="auto"/>
            </w:tcBorders>
            <w:vAlign w:val="center"/>
          </w:tcPr>
          <w:p w:rsidR="00814848" w:rsidRPr="00764B43" w:rsidRDefault="00814848" w:rsidP="00425340">
            <w:pPr>
              <w:spacing w:before="0" w:after="0"/>
              <w:jc w:val="left"/>
              <w:rPr>
                <w:b/>
                <w:bCs/>
                <w:noProof/>
                <w:color w:val="000000"/>
                <w:sz w:val="20"/>
                <w:szCs w:val="20"/>
                <w:lang w:eastAsia="en-IE"/>
              </w:rPr>
            </w:pPr>
          </w:p>
        </w:tc>
      </w:tr>
      <w:tr w:rsidR="00E36005" w:rsidRPr="00764B43" w:rsidTr="00617CA7">
        <w:trPr>
          <w:trHeight w:val="288"/>
          <w:jc w:val="center"/>
        </w:trPr>
        <w:tc>
          <w:tcPr>
            <w:tcW w:w="584" w:type="pct"/>
            <w:gridSpan w:val="2"/>
            <w:vMerge w:val="restart"/>
            <w:tcBorders>
              <w:top w:val="nil"/>
              <w:left w:val="single" w:sz="8" w:space="0" w:color="auto"/>
              <w:bottom w:val="single" w:sz="8" w:space="0" w:color="auto"/>
              <w:right w:val="single" w:sz="8" w:space="0" w:color="auto"/>
            </w:tcBorders>
            <w:shd w:val="clear" w:color="auto" w:fill="auto"/>
            <w:noWrap/>
            <w:vAlign w:val="center"/>
            <w:hideMark/>
          </w:tcPr>
          <w:p w:rsidR="00E36005" w:rsidRPr="00764B43" w:rsidRDefault="00E36005" w:rsidP="00E36005">
            <w:pPr>
              <w:spacing w:before="60"/>
              <w:rPr>
                <w:noProof/>
                <w:sz w:val="20"/>
                <w:szCs w:val="20"/>
              </w:rPr>
            </w:pPr>
            <w:r w:rsidRPr="00764B43">
              <w:rPr>
                <w:noProof/>
                <w:sz w:val="20"/>
                <w:szCs w:val="20"/>
              </w:rPr>
              <w:t>[Budget line for Global Europe</w:t>
            </w:r>
            <w:r w:rsidR="00784279" w:rsidRPr="00764B43">
              <w:rPr>
                <w:rStyle w:val="FootnoteReference"/>
                <w:noProof/>
                <w:sz w:val="20"/>
                <w:szCs w:val="20"/>
              </w:rPr>
              <w:footnoteReference w:id="36"/>
            </w:r>
            <w:r w:rsidRPr="00764B43">
              <w:rPr>
                <w:noProof/>
                <w:sz w:val="20"/>
                <w:szCs w:val="20"/>
              </w:rPr>
              <w:t>]</w:t>
            </w:r>
          </w:p>
          <w:p w:rsidR="00E36005" w:rsidRPr="00764B43" w:rsidRDefault="00E36005" w:rsidP="00E36005">
            <w:pPr>
              <w:spacing w:before="0" w:after="0"/>
              <w:jc w:val="left"/>
              <w:rPr>
                <w:noProof/>
                <w:color w:val="000000"/>
                <w:sz w:val="20"/>
                <w:szCs w:val="20"/>
                <w:lang w:eastAsia="en-IE"/>
              </w:rPr>
            </w:pP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rPr>
                <w:noProof/>
                <w:color w:val="000000"/>
                <w:sz w:val="20"/>
                <w:szCs w:val="20"/>
                <w:lang w:eastAsia="en-IE"/>
              </w:rPr>
            </w:pPr>
            <w:r w:rsidRPr="00764B43">
              <w:rPr>
                <w:noProof/>
                <w:color w:val="000000"/>
                <w:sz w:val="20"/>
                <w:szCs w:val="20"/>
                <w:lang w:eastAsia="en-IE"/>
              </w:rPr>
              <w:t>Commitments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center"/>
              <w:rPr>
                <w:noProof/>
                <w:color w:val="000000"/>
                <w:sz w:val="20"/>
                <w:szCs w:val="20"/>
                <w:lang w:eastAsia="en-IE"/>
              </w:rPr>
            </w:pPr>
            <w:r w:rsidRPr="00764B43">
              <w:rPr>
                <w:noProof/>
                <w:color w:val="000000"/>
                <w:sz w:val="20"/>
                <w:szCs w:val="20"/>
                <w:lang w:eastAsia="en-IE"/>
              </w:rPr>
              <w:t>(1a)</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1.000.000</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2.000.000</w:t>
            </w:r>
            <w:r w:rsidRPr="00764B43">
              <w:rPr>
                <w:noProof/>
                <w:color w:val="000000"/>
                <w:sz w:val="20"/>
                <w:szCs w:val="20"/>
                <w:lang w:eastAsia="en-IE"/>
              </w:rPr>
              <w:t>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58"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18.000.000</w:t>
            </w:r>
          </w:p>
        </w:tc>
      </w:tr>
      <w:tr w:rsidR="00E36005" w:rsidRPr="00764B43" w:rsidTr="00617CA7">
        <w:trPr>
          <w:trHeight w:val="315"/>
          <w:jc w:val="center"/>
        </w:trPr>
        <w:tc>
          <w:tcPr>
            <w:tcW w:w="584" w:type="pct"/>
            <w:gridSpan w:val="2"/>
            <w:vMerge/>
            <w:tcBorders>
              <w:top w:val="nil"/>
              <w:left w:val="single" w:sz="8" w:space="0" w:color="auto"/>
              <w:bottom w:val="single" w:sz="8" w:space="0" w:color="auto"/>
              <w:right w:val="single" w:sz="8" w:space="0" w:color="auto"/>
            </w:tcBorders>
            <w:vAlign w:val="center"/>
            <w:hideMark/>
          </w:tcPr>
          <w:p w:rsidR="00E36005" w:rsidRPr="00764B43" w:rsidRDefault="00E36005" w:rsidP="00E36005">
            <w:pPr>
              <w:spacing w:before="0" w:after="0"/>
              <w:jc w:val="left"/>
              <w:rPr>
                <w:noProof/>
                <w:color w:val="000000"/>
                <w:sz w:val="20"/>
                <w:szCs w:val="20"/>
                <w:lang w:eastAsia="en-IE"/>
              </w:rPr>
            </w:pP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rPr>
                <w:noProof/>
                <w:color w:val="000000"/>
                <w:sz w:val="20"/>
                <w:szCs w:val="20"/>
                <w:lang w:eastAsia="en-IE"/>
              </w:rPr>
            </w:pPr>
            <w:r w:rsidRPr="00764B43">
              <w:rPr>
                <w:noProof/>
                <w:color w:val="000000"/>
                <w:sz w:val="20"/>
                <w:szCs w:val="20"/>
                <w:lang w:eastAsia="en-IE"/>
              </w:rPr>
              <w:t>Payments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center"/>
              <w:rPr>
                <w:noProof/>
                <w:color w:val="000000"/>
                <w:sz w:val="20"/>
                <w:szCs w:val="20"/>
                <w:lang w:eastAsia="en-IE"/>
              </w:rPr>
            </w:pPr>
            <w:r w:rsidRPr="00764B43">
              <w:rPr>
                <w:noProof/>
                <w:color w:val="000000"/>
                <w:sz w:val="20"/>
                <w:szCs w:val="20"/>
                <w:lang w:eastAsia="en-IE"/>
              </w:rPr>
              <w:t>(2a)</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1.000.000</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2.000.000</w:t>
            </w:r>
            <w:r w:rsidRPr="00764B43">
              <w:rPr>
                <w:noProof/>
                <w:color w:val="000000"/>
                <w:sz w:val="20"/>
                <w:szCs w:val="20"/>
                <w:lang w:eastAsia="en-IE"/>
              </w:rPr>
              <w:t>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58"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noProof/>
                <w:color w:val="000000"/>
                <w:sz w:val="20"/>
                <w:szCs w:val="20"/>
                <w:lang w:eastAsia="en-IE"/>
              </w:rPr>
            </w:pPr>
            <w:r w:rsidRPr="00764B43">
              <w:rPr>
                <w:noProof/>
                <w:sz w:val="20"/>
                <w:szCs w:val="20"/>
                <w:lang w:eastAsia="en-IE"/>
              </w:rPr>
              <w:t>3.000.000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64B43" w:rsidRDefault="00E36005" w:rsidP="00E36005">
            <w:pPr>
              <w:spacing w:before="0" w:after="0"/>
              <w:jc w:val="center"/>
              <w:rPr>
                <w:b/>
                <w:bCs/>
                <w:noProof/>
                <w:color w:val="000000"/>
                <w:sz w:val="20"/>
                <w:szCs w:val="20"/>
                <w:lang w:eastAsia="en-IE"/>
              </w:rPr>
            </w:pPr>
            <w:r w:rsidRPr="00764B43">
              <w:rPr>
                <w:b/>
                <w:bCs/>
                <w:noProof/>
                <w:color w:val="000000"/>
                <w:sz w:val="20"/>
                <w:szCs w:val="20"/>
                <w:lang w:eastAsia="en-IE"/>
              </w:rPr>
              <w:t>18.000.000</w:t>
            </w:r>
          </w:p>
        </w:tc>
      </w:tr>
      <w:tr w:rsidR="00E36005" w:rsidRPr="00764B43" w:rsidTr="00617CA7">
        <w:trPr>
          <w:trHeight w:val="288"/>
          <w:jc w:val="center"/>
        </w:trPr>
        <w:tc>
          <w:tcPr>
            <w:tcW w:w="5000" w:type="pct"/>
            <w:gridSpan w:val="21"/>
            <w:tcBorders>
              <w:top w:val="single" w:sz="8" w:space="0" w:color="auto"/>
              <w:left w:val="single" w:sz="8" w:space="0" w:color="auto"/>
              <w:bottom w:val="single" w:sz="8" w:space="0" w:color="auto"/>
              <w:right w:val="single" w:sz="8" w:space="0" w:color="auto"/>
            </w:tcBorders>
          </w:tcPr>
          <w:p w:rsidR="00E36005" w:rsidRPr="00764B43" w:rsidRDefault="00E36005" w:rsidP="00E36005">
            <w:pPr>
              <w:spacing w:before="0" w:after="0"/>
              <w:jc w:val="left"/>
              <w:rPr>
                <w:noProof/>
                <w:color w:val="000000"/>
                <w:sz w:val="20"/>
                <w:szCs w:val="20"/>
                <w:lang w:eastAsia="en-IE"/>
              </w:rPr>
            </w:pPr>
            <w:r w:rsidRPr="00764B43">
              <w:rPr>
                <w:noProof/>
                <w:color w:val="000000"/>
                <w:sz w:val="20"/>
                <w:szCs w:val="20"/>
                <w:lang w:eastAsia="en-IE"/>
              </w:rPr>
              <w:t>Appropriations of an administrative nature financed from the envelope of specific programmes</w:t>
            </w:r>
            <w:r w:rsidRPr="00764B43">
              <w:rPr>
                <w:noProof/>
                <w:sz w:val="20"/>
                <w:szCs w:val="20"/>
              </w:rPr>
              <w:t xml:space="preserve"> </w:t>
            </w:r>
          </w:p>
        </w:tc>
      </w:tr>
      <w:tr w:rsidR="00784279" w:rsidRPr="00764B43" w:rsidTr="00617CA7">
        <w:trPr>
          <w:trHeight w:val="288"/>
          <w:jc w:val="center"/>
        </w:trPr>
        <w:tc>
          <w:tcPr>
            <w:tcW w:w="584" w:type="pct"/>
            <w:gridSpan w:val="2"/>
            <w:tcBorders>
              <w:top w:val="nil"/>
              <w:left w:val="single" w:sz="8" w:space="0" w:color="auto"/>
              <w:bottom w:val="single" w:sz="8" w:space="0" w:color="auto"/>
              <w:right w:val="single" w:sz="8" w:space="0" w:color="auto"/>
            </w:tcBorders>
            <w:shd w:val="clear" w:color="auto" w:fill="auto"/>
            <w:vAlign w:val="center"/>
            <w:hideMark/>
          </w:tcPr>
          <w:p w:rsidR="00E36005" w:rsidRPr="00764B43" w:rsidRDefault="00E36005" w:rsidP="00E36005">
            <w:pPr>
              <w:spacing w:before="0" w:after="0"/>
              <w:rPr>
                <w:noProof/>
                <w:color w:val="000000"/>
                <w:sz w:val="20"/>
                <w:szCs w:val="20"/>
                <w:lang w:eastAsia="en-IE"/>
              </w:rPr>
            </w:pPr>
            <w:r w:rsidRPr="00764B43">
              <w:rPr>
                <w:noProof/>
                <w:color w:val="000000"/>
                <w:sz w:val="20"/>
                <w:szCs w:val="20"/>
                <w:lang w:eastAsia="en-IE"/>
              </w:rPr>
              <w:t>Budget line</w:t>
            </w: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noProof/>
                <w:color w:val="000000"/>
                <w:sz w:val="20"/>
                <w:szCs w:val="20"/>
                <w:lang w:eastAsia="en-IE"/>
              </w:rPr>
            </w:pPr>
            <w:r w:rsidRPr="00764B43">
              <w:rPr>
                <w:noProof/>
                <w:color w:val="000000"/>
                <w:sz w:val="20"/>
                <w:szCs w:val="20"/>
                <w:lang w:eastAsia="en-IE"/>
              </w:rPr>
              <w:t> </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center"/>
              <w:rPr>
                <w:noProof/>
                <w:color w:val="000000"/>
                <w:sz w:val="20"/>
                <w:szCs w:val="20"/>
                <w:lang w:eastAsia="en-IE"/>
              </w:rPr>
            </w:pPr>
            <w:r w:rsidRPr="00764B43">
              <w:rPr>
                <w:noProof/>
                <w:color w:val="000000"/>
                <w:sz w:val="20"/>
                <w:szCs w:val="20"/>
                <w:lang w:eastAsia="en-IE"/>
              </w:rPr>
              <w:t>(3)</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 </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 </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 </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b/>
                <w:bCs/>
                <w:noProof/>
                <w:color w:val="000000"/>
                <w:sz w:val="20"/>
                <w:szCs w:val="20"/>
                <w:lang w:eastAsia="en-IE"/>
              </w:rPr>
            </w:pPr>
          </w:p>
        </w:tc>
        <w:tc>
          <w:tcPr>
            <w:tcW w:w="456"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b/>
                <w:bCs/>
                <w:noProof/>
                <w:color w:val="000000"/>
                <w:sz w:val="20"/>
                <w:szCs w:val="20"/>
                <w:lang w:eastAsia="en-IE"/>
              </w:rPr>
            </w:pPr>
          </w:p>
        </w:tc>
        <w:tc>
          <w:tcPr>
            <w:tcW w:w="458" w:type="pct"/>
            <w:gridSpan w:val="2"/>
            <w:tcBorders>
              <w:top w:val="single" w:sz="4" w:space="0" w:color="auto"/>
              <w:left w:val="single" w:sz="4" w:space="0" w:color="auto"/>
              <w:bottom w:val="single" w:sz="4" w:space="0" w:color="auto"/>
              <w:right w:val="single" w:sz="4" w:space="0" w:color="auto"/>
            </w:tcBorders>
          </w:tcPr>
          <w:p w:rsidR="00E36005" w:rsidRPr="00764B43" w:rsidRDefault="00E36005" w:rsidP="00E36005">
            <w:pPr>
              <w:spacing w:before="0" w:after="0"/>
              <w:jc w:val="right"/>
              <w:rPr>
                <w:b/>
                <w:bCs/>
                <w:noProof/>
                <w:color w:val="000000"/>
                <w:sz w:val="20"/>
                <w:szCs w:val="20"/>
                <w:lang w:eastAsia="en-IE"/>
              </w:rPr>
            </w:pP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0.000</w:t>
            </w:r>
          </w:p>
        </w:tc>
      </w:tr>
      <w:tr w:rsidR="00784279" w:rsidRPr="00764B43" w:rsidTr="00617CA7">
        <w:trPr>
          <w:trHeight w:val="288"/>
          <w:jc w:val="center"/>
        </w:trPr>
        <w:tc>
          <w:tcPr>
            <w:tcW w:w="584" w:type="pct"/>
            <w:gridSpan w:val="2"/>
            <w:vMerge w:val="restart"/>
            <w:tcBorders>
              <w:top w:val="nil"/>
              <w:left w:val="single" w:sz="8" w:space="0" w:color="auto"/>
              <w:right w:val="single" w:sz="8" w:space="0" w:color="auto"/>
            </w:tcBorders>
            <w:shd w:val="clear" w:color="auto" w:fill="auto"/>
            <w:vAlign w:val="center"/>
            <w:hideMark/>
          </w:tcPr>
          <w:p w:rsidR="00E36005" w:rsidRPr="00764B43" w:rsidRDefault="00E36005" w:rsidP="00E36005">
            <w:pPr>
              <w:spacing w:before="0" w:after="0"/>
              <w:jc w:val="center"/>
              <w:rPr>
                <w:b/>
                <w:bCs/>
                <w:noProof/>
                <w:color w:val="000000"/>
                <w:sz w:val="20"/>
                <w:szCs w:val="20"/>
                <w:lang w:eastAsia="en-IE"/>
              </w:rPr>
            </w:pPr>
            <w:r w:rsidRPr="00764B43">
              <w:rPr>
                <w:b/>
                <w:bCs/>
                <w:noProof/>
                <w:color w:val="000000"/>
                <w:sz w:val="20"/>
                <w:szCs w:val="20"/>
                <w:lang w:eastAsia="en-IE"/>
              </w:rPr>
              <w:t>TOTAL appropriations</w:t>
            </w:r>
          </w:p>
          <w:p w:rsidR="00E36005" w:rsidRPr="00764B43" w:rsidRDefault="00E36005" w:rsidP="00E36005">
            <w:pPr>
              <w:spacing w:before="0" w:after="0"/>
              <w:jc w:val="center"/>
              <w:rPr>
                <w:b/>
                <w:bCs/>
                <w:noProof/>
                <w:color w:val="000000"/>
                <w:sz w:val="20"/>
                <w:szCs w:val="20"/>
                <w:lang w:eastAsia="en-IE"/>
              </w:rPr>
            </w:pPr>
            <w:r w:rsidRPr="00764B43">
              <w:rPr>
                <w:b/>
                <w:bCs/>
                <w:noProof/>
                <w:color w:val="000000"/>
                <w:sz w:val="20"/>
                <w:szCs w:val="20"/>
                <w:lang w:eastAsia="en-IE"/>
              </w:rPr>
              <w:t xml:space="preserve">for </w:t>
            </w:r>
            <w:r w:rsidRPr="00764B43">
              <w:rPr>
                <w:b/>
                <w:bCs/>
                <w:noProof/>
                <w:sz w:val="20"/>
                <w:szCs w:val="20"/>
                <w:lang w:eastAsia="en-IE"/>
              </w:rPr>
              <w:t xml:space="preserve">DG </w:t>
            </w: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rPr>
                <w:noProof/>
                <w:color w:val="000000"/>
                <w:sz w:val="20"/>
                <w:szCs w:val="20"/>
                <w:lang w:eastAsia="en-IE"/>
              </w:rPr>
            </w:pPr>
            <w:r w:rsidRPr="00764B43">
              <w:rPr>
                <w:noProof/>
                <w:color w:val="000000"/>
                <w:sz w:val="20"/>
                <w:szCs w:val="20"/>
                <w:lang w:eastAsia="en-IE"/>
              </w:rPr>
              <w:t>Commitments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center"/>
              <w:rPr>
                <w:noProof/>
                <w:color w:val="000000"/>
                <w:sz w:val="20"/>
                <w:szCs w:val="20"/>
                <w:lang w:eastAsia="en-IE"/>
              </w:rPr>
            </w:pPr>
            <w:r w:rsidRPr="00764B43">
              <w:rPr>
                <w:noProof/>
                <w:color w:val="000000"/>
                <w:sz w:val="20"/>
                <w:szCs w:val="20"/>
                <w:lang w:eastAsia="en-IE"/>
              </w:rPr>
              <w:t>=1a+1b+3</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1.000.000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2.000.000</w:t>
            </w:r>
            <w:r w:rsidRPr="00764B43">
              <w:rPr>
                <w:b/>
                <w:bCs/>
                <w:noProof/>
                <w:color w:val="000000"/>
                <w:sz w:val="20"/>
                <w:szCs w:val="20"/>
                <w:lang w:eastAsia="en-IE"/>
              </w:rPr>
              <w:t> </w:t>
            </w:r>
          </w:p>
        </w:tc>
        <w:tc>
          <w:tcPr>
            <w:tcW w:w="435" w:type="pct"/>
            <w:gridSpan w:val="2"/>
            <w:tcBorders>
              <w:top w:val="nil"/>
              <w:left w:val="nil"/>
              <w:bottom w:val="single" w:sz="8" w:space="0" w:color="auto"/>
              <w:right w:val="single" w:sz="8"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31" w:type="pct"/>
            <w:gridSpan w:val="2"/>
            <w:tcBorders>
              <w:top w:val="nil"/>
              <w:left w:val="nil"/>
              <w:bottom w:val="single" w:sz="8" w:space="0" w:color="auto"/>
              <w:right w:val="single" w:sz="4"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764B43" w:rsidRDefault="00E36005" w:rsidP="00617CA7">
            <w:pPr>
              <w:spacing w:before="0" w:after="0"/>
              <w:rPr>
                <w:b/>
                <w:bCs/>
                <w:noProof/>
                <w:color w:val="000000"/>
                <w:sz w:val="20"/>
                <w:szCs w:val="20"/>
                <w:lang w:eastAsia="en-IE"/>
              </w:rPr>
            </w:pPr>
            <w:r w:rsidRPr="00764B43">
              <w:rPr>
                <w:b/>
                <w:bCs/>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5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18.000.000</w:t>
            </w:r>
          </w:p>
          <w:p w:rsidR="00617CA7" w:rsidRPr="00764B43" w:rsidRDefault="00617CA7" w:rsidP="00E36005">
            <w:pPr>
              <w:spacing w:before="0" w:after="0"/>
              <w:jc w:val="right"/>
              <w:rPr>
                <w:b/>
                <w:bCs/>
                <w:noProof/>
                <w:color w:val="000000"/>
                <w:sz w:val="20"/>
                <w:szCs w:val="20"/>
                <w:lang w:eastAsia="en-IE"/>
              </w:rPr>
            </w:pPr>
          </w:p>
        </w:tc>
      </w:tr>
      <w:tr w:rsidR="00784279" w:rsidRPr="00764B43" w:rsidTr="00617CA7">
        <w:trPr>
          <w:trHeight w:val="288"/>
          <w:jc w:val="center"/>
        </w:trPr>
        <w:tc>
          <w:tcPr>
            <w:tcW w:w="584" w:type="pct"/>
            <w:gridSpan w:val="2"/>
            <w:vMerge/>
            <w:tcBorders>
              <w:left w:val="single" w:sz="8" w:space="0" w:color="auto"/>
              <w:bottom w:val="single" w:sz="4" w:space="0" w:color="auto"/>
              <w:right w:val="single" w:sz="8" w:space="0" w:color="auto"/>
            </w:tcBorders>
            <w:shd w:val="clear" w:color="auto" w:fill="auto"/>
            <w:vAlign w:val="center"/>
            <w:hideMark/>
          </w:tcPr>
          <w:p w:rsidR="00E36005" w:rsidRPr="00764B43" w:rsidRDefault="00E36005" w:rsidP="00E36005">
            <w:pPr>
              <w:spacing w:before="0" w:after="0"/>
              <w:jc w:val="center"/>
              <w:rPr>
                <w:b/>
                <w:bCs/>
                <w:noProof/>
                <w:color w:val="000000"/>
                <w:sz w:val="20"/>
                <w:szCs w:val="20"/>
                <w:lang w:eastAsia="en-IE"/>
              </w:rPr>
            </w:pPr>
          </w:p>
        </w:tc>
        <w:tc>
          <w:tcPr>
            <w:tcW w:w="406" w:type="pct"/>
            <w:gridSpan w:val="2"/>
            <w:tcBorders>
              <w:top w:val="nil"/>
              <w:left w:val="single" w:sz="8" w:space="0" w:color="auto"/>
              <w:bottom w:val="single" w:sz="8" w:space="0" w:color="auto"/>
              <w:right w:val="single" w:sz="8" w:space="0" w:color="auto"/>
            </w:tcBorders>
            <w:shd w:val="clear" w:color="auto" w:fill="auto"/>
            <w:vAlign w:val="center"/>
            <w:hideMark/>
          </w:tcPr>
          <w:p w:rsidR="00E36005" w:rsidRPr="00764B43" w:rsidRDefault="00E36005" w:rsidP="00E36005">
            <w:pPr>
              <w:spacing w:before="0" w:after="0"/>
              <w:rPr>
                <w:noProof/>
                <w:color w:val="000000"/>
                <w:sz w:val="20"/>
                <w:szCs w:val="20"/>
                <w:lang w:eastAsia="en-IE"/>
              </w:rPr>
            </w:pPr>
            <w:r w:rsidRPr="00764B43">
              <w:rPr>
                <w:noProof/>
                <w:color w:val="000000"/>
                <w:sz w:val="20"/>
                <w:szCs w:val="20"/>
                <w:lang w:eastAsia="en-IE"/>
              </w:rPr>
              <w:t>Payments</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764B43" w:rsidRDefault="00E36005" w:rsidP="00E36005">
            <w:pPr>
              <w:spacing w:before="0" w:after="0"/>
              <w:jc w:val="center"/>
              <w:rPr>
                <w:noProof/>
                <w:color w:val="000000"/>
                <w:sz w:val="20"/>
                <w:szCs w:val="20"/>
                <w:lang w:eastAsia="en-IE"/>
              </w:rPr>
            </w:pPr>
            <w:r w:rsidRPr="00764B43">
              <w:rPr>
                <w:noProof/>
                <w:color w:val="000000"/>
                <w:sz w:val="20"/>
                <w:szCs w:val="20"/>
                <w:lang w:eastAsia="en-IE"/>
              </w:rPr>
              <w:t>=2a+2b+3</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1.000.000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2.000.000</w:t>
            </w:r>
            <w:r w:rsidRPr="00764B43">
              <w:rPr>
                <w:b/>
                <w:bCs/>
                <w:noProof/>
                <w:color w:val="000000"/>
                <w:sz w:val="20"/>
                <w:szCs w:val="20"/>
                <w:lang w:eastAsia="en-IE"/>
              </w:rPr>
              <w:t> </w:t>
            </w:r>
          </w:p>
        </w:tc>
        <w:tc>
          <w:tcPr>
            <w:tcW w:w="435" w:type="pct"/>
            <w:gridSpan w:val="2"/>
            <w:tcBorders>
              <w:top w:val="nil"/>
              <w:left w:val="nil"/>
              <w:bottom w:val="single" w:sz="8" w:space="0" w:color="auto"/>
              <w:right w:val="single" w:sz="8"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31" w:type="pct"/>
            <w:gridSpan w:val="2"/>
            <w:tcBorders>
              <w:top w:val="nil"/>
              <w:left w:val="nil"/>
              <w:bottom w:val="single" w:sz="8" w:space="0" w:color="auto"/>
              <w:right w:val="single" w:sz="4"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764B43" w:rsidRDefault="00784279" w:rsidP="00E36005">
            <w:pPr>
              <w:spacing w:before="0" w:after="0"/>
              <w:jc w:val="right"/>
              <w:rPr>
                <w:b/>
                <w:bCs/>
                <w:noProof/>
                <w:color w:val="000000"/>
                <w:sz w:val="20"/>
                <w:szCs w:val="20"/>
                <w:lang w:eastAsia="en-IE"/>
              </w:rPr>
            </w:pPr>
            <w:r w:rsidRPr="00764B43">
              <w:rPr>
                <w:b/>
                <w:bCs/>
                <w:noProof/>
                <w:sz w:val="20"/>
                <w:szCs w:val="20"/>
                <w:lang w:eastAsia="en-IE"/>
              </w:rPr>
              <w:t>3.000.000</w:t>
            </w:r>
          </w:p>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3.000.000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764B43" w:rsidRDefault="00784279" w:rsidP="00E36005">
            <w:pPr>
              <w:spacing w:before="0" w:after="0"/>
              <w:jc w:val="right"/>
              <w:rPr>
                <w:b/>
                <w:bCs/>
                <w:noProof/>
                <w:sz w:val="20"/>
                <w:szCs w:val="20"/>
                <w:lang w:eastAsia="en-IE"/>
              </w:rPr>
            </w:pPr>
            <w:r w:rsidRPr="00764B43">
              <w:rPr>
                <w:b/>
                <w:bCs/>
                <w:noProof/>
                <w:sz w:val="20"/>
                <w:szCs w:val="20"/>
                <w:lang w:eastAsia="en-IE"/>
              </w:rPr>
              <w:t>3.000.000</w:t>
            </w:r>
          </w:p>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58"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764B43" w:rsidRDefault="00784279" w:rsidP="00E36005">
            <w:pPr>
              <w:spacing w:before="0" w:after="0"/>
              <w:jc w:val="right"/>
              <w:rPr>
                <w:b/>
                <w:bCs/>
                <w:noProof/>
                <w:sz w:val="20"/>
                <w:szCs w:val="20"/>
                <w:lang w:eastAsia="en-IE"/>
              </w:rPr>
            </w:pPr>
            <w:r w:rsidRPr="00764B43">
              <w:rPr>
                <w:b/>
                <w:bCs/>
                <w:noProof/>
                <w:sz w:val="20"/>
                <w:szCs w:val="20"/>
                <w:lang w:eastAsia="en-IE"/>
              </w:rPr>
              <w:t>3.000.000</w:t>
            </w:r>
          </w:p>
          <w:p w:rsidR="00E36005" w:rsidRPr="00764B43" w:rsidRDefault="00E36005" w:rsidP="00E36005">
            <w:pPr>
              <w:spacing w:before="0" w:after="0"/>
              <w:jc w:val="right"/>
              <w:rPr>
                <w:b/>
                <w:bCs/>
                <w:noProof/>
                <w:color w:val="000000"/>
                <w:sz w:val="20"/>
                <w:szCs w:val="20"/>
                <w:lang w:eastAsia="en-IE"/>
              </w:rPr>
            </w:pPr>
            <w:r w:rsidRPr="00764B43">
              <w:rPr>
                <w:b/>
                <w:bCs/>
                <w:noProof/>
                <w:sz w:val="20"/>
                <w:szCs w:val="20"/>
                <w:lang w:eastAsia="en-IE"/>
              </w:rPr>
              <w:t>3.000.000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764B43" w:rsidRDefault="00E36005" w:rsidP="00E36005">
            <w:pPr>
              <w:spacing w:before="0" w:after="0"/>
              <w:jc w:val="right"/>
              <w:rPr>
                <w:b/>
                <w:bCs/>
                <w:noProof/>
                <w:color w:val="000000"/>
                <w:sz w:val="20"/>
                <w:szCs w:val="20"/>
                <w:lang w:eastAsia="en-IE"/>
              </w:rPr>
            </w:pPr>
            <w:r w:rsidRPr="00764B43">
              <w:rPr>
                <w:b/>
                <w:bCs/>
                <w:noProof/>
                <w:color w:val="000000"/>
                <w:sz w:val="20"/>
                <w:szCs w:val="20"/>
                <w:lang w:eastAsia="en-IE"/>
              </w:rPr>
              <w:t>18.000.000</w:t>
            </w:r>
          </w:p>
        </w:tc>
      </w:tr>
      <w:tr w:rsidR="0084684D" w:rsidRPr="00764B43" w:rsidTr="0084684D">
        <w:trPr>
          <w:trHeight w:val="300"/>
          <w:jc w:val="center"/>
        </w:trPr>
        <w:tc>
          <w:tcPr>
            <w:tcW w:w="1784" w:type="pct"/>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4684D" w:rsidRPr="00764B43" w:rsidRDefault="0084684D" w:rsidP="00425340">
            <w:pPr>
              <w:spacing w:before="0" w:after="0"/>
              <w:jc w:val="center"/>
              <w:rPr>
                <w:b/>
                <w:bCs/>
                <w:noProof/>
                <w:color w:val="000000"/>
                <w:sz w:val="22"/>
                <w:lang w:eastAsia="en-IE"/>
              </w:rPr>
            </w:pPr>
            <w:r w:rsidRPr="00764B43">
              <w:rPr>
                <w:b/>
                <w:bCs/>
                <w:noProof/>
                <w:color w:val="000000"/>
                <w:sz w:val="22"/>
                <w:lang w:eastAsia="en-IE"/>
              </w:rPr>
              <w:t> </w:t>
            </w:r>
          </w:p>
        </w:tc>
        <w:tc>
          <w:tcPr>
            <w:tcW w:w="35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375"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14"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14" w:type="pct"/>
            <w:gridSpan w:val="2"/>
            <w:tcBorders>
              <w:top w:val="single" w:sz="8" w:space="0" w:color="auto"/>
              <w:left w:val="nil"/>
              <w:bottom w:val="single" w:sz="8" w:space="0" w:color="auto"/>
              <w:right w:val="single" w:sz="4" w:space="0" w:color="auto"/>
            </w:tcBorders>
            <w:shd w:val="clear" w:color="auto" w:fill="auto"/>
            <w:vAlign w:val="center"/>
            <w:hideMark/>
          </w:tcPr>
          <w:p w:rsidR="0084684D" w:rsidRPr="00764B43" w:rsidRDefault="0084684D" w:rsidP="00425340">
            <w:pPr>
              <w:spacing w:before="0" w:after="0"/>
              <w:jc w:val="center"/>
              <w:rPr>
                <w:noProof/>
                <w:color w:val="000000"/>
                <w:sz w:val="20"/>
                <w:szCs w:val="20"/>
                <w:lang w:eastAsia="en-IE"/>
              </w:rPr>
            </w:pPr>
            <w:r w:rsidRPr="00764B43">
              <w:rPr>
                <w:noProof/>
                <w:color w:val="000000"/>
                <w:sz w:val="20"/>
                <w:szCs w:val="20"/>
                <w:lang w:eastAsia="en-IE"/>
              </w:rPr>
              <w:t>Year</w:t>
            </w:r>
          </w:p>
        </w:tc>
        <w:tc>
          <w:tcPr>
            <w:tcW w:w="427" w:type="pct"/>
            <w:gridSpan w:val="2"/>
            <w:tcBorders>
              <w:top w:val="single" w:sz="4" w:space="0" w:color="auto"/>
              <w:left w:val="single" w:sz="4" w:space="0" w:color="auto"/>
              <w:bottom w:val="single" w:sz="4" w:space="0" w:color="auto"/>
              <w:right w:val="single" w:sz="4" w:space="0" w:color="auto"/>
            </w:tcBorders>
          </w:tcPr>
          <w:p w:rsidR="0084684D" w:rsidRPr="00764B43" w:rsidRDefault="0084684D" w:rsidP="00425340">
            <w:pPr>
              <w:spacing w:before="0" w:after="0"/>
              <w:jc w:val="center"/>
              <w:rPr>
                <w:b/>
                <w:bCs/>
                <w:noProof/>
                <w:color w:val="000000"/>
                <w:sz w:val="20"/>
                <w:szCs w:val="20"/>
                <w:lang w:eastAsia="en-IE"/>
              </w:rPr>
            </w:pPr>
            <w:r w:rsidRPr="00764B43">
              <w:rPr>
                <w:noProof/>
                <w:color w:val="000000"/>
                <w:sz w:val="20"/>
                <w:szCs w:val="20"/>
                <w:lang w:eastAsia="en-IE"/>
              </w:rPr>
              <w:t>Year</w:t>
            </w:r>
          </w:p>
        </w:tc>
        <w:tc>
          <w:tcPr>
            <w:tcW w:w="357" w:type="pct"/>
            <w:gridSpan w:val="2"/>
            <w:tcBorders>
              <w:top w:val="single" w:sz="4" w:space="0" w:color="auto"/>
              <w:left w:val="single" w:sz="4" w:space="0" w:color="auto"/>
              <w:bottom w:val="single" w:sz="4" w:space="0" w:color="auto"/>
              <w:right w:val="single" w:sz="4" w:space="0" w:color="auto"/>
            </w:tcBorders>
          </w:tcPr>
          <w:p w:rsidR="0084684D" w:rsidRPr="00764B43" w:rsidRDefault="0084684D" w:rsidP="00425340">
            <w:pPr>
              <w:spacing w:before="0" w:after="0"/>
              <w:jc w:val="center"/>
              <w:rPr>
                <w:b/>
                <w:bCs/>
                <w:noProof/>
                <w:color w:val="000000"/>
                <w:sz w:val="20"/>
                <w:szCs w:val="20"/>
                <w:lang w:eastAsia="en-IE"/>
              </w:rPr>
            </w:pPr>
            <w:r w:rsidRPr="00764B43">
              <w:rPr>
                <w:noProof/>
                <w:color w:val="000000"/>
                <w:sz w:val="20"/>
                <w:szCs w:val="20"/>
                <w:lang w:eastAsia="en-IE"/>
              </w:rPr>
              <w:t>Year</w:t>
            </w:r>
          </w:p>
        </w:tc>
        <w:tc>
          <w:tcPr>
            <w:tcW w:w="398" w:type="pct"/>
            <w:gridSpan w:val="2"/>
            <w:tcBorders>
              <w:top w:val="single" w:sz="4" w:space="0" w:color="auto"/>
              <w:left w:val="single" w:sz="4" w:space="0" w:color="auto"/>
              <w:bottom w:val="single" w:sz="4" w:space="0" w:color="auto"/>
              <w:right w:val="single" w:sz="4" w:space="0" w:color="auto"/>
            </w:tcBorders>
          </w:tcPr>
          <w:p w:rsidR="0084684D" w:rsidRPr="00764B43" w:rsidRDefault="0084684D" w:rsidP="00425340">
            <w:pPr>
              <w:spacing w:before="0" w:after="0"/>
              <w:jc w:val="center"/>
              <w:rPr>
                <w:b/>
                <w:bCs/>
                <w:noProof/>
                <w:color w:val="000000"/>
                <w:sz w:val="20"/>
                <w:szCs w:val="20"/>
                <w:lang w:eastAsia="en-IE"/>
              </w:rPr>
            </w:pPr>
            <w:r w:rsidRPr="00764B43">
              <w:rPr>
                <w:noProof/>
                <w:color w:val="000000"/>
                <w:sz w:val="20"/>
                <w:szCs w:val="20"/>
                <w:lang w:eastAsia="en-IE"/>
              </w:rPr>
              <w:t>Year</w:t>
            </w:r>
          </w:p>
        </w:tc>
        <w:tc>
          <w:tcPr>
            <w:tcW w:w="47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84D" w:rsidRPr="00764B43" w:rsidRDefault="0084684D" w:rsidP="00425340">
            <w:pPr>
              <w:spacing w:before="0" w:after="0"/>
              <w:jc w:val="center"/>
              <w:rPr>
                <w:b/>
                <w:bCs/>
                <w:noProof/>
                <w:color w:val="000000"/>
                <w:sz w:val="20"/>
                <w:szCs w:val="20"/>
                <w:lang w:eastAsia="en-IE"/>
              </w:rPr>
            </w:pPr>
            <w:r w:rsidRPr="00764B43">
              <w:rPr>
                <w:b/>
                <w:bCs/>
                <w:noProof/>
                <w:color w:val="000000"/>
                <w:sz w:val="20"/>
                <w:szCs w:val="20"/>
                <w:lang w:eastAsia="en-IE"/>
              </w:rPr>
              <w:t>TOTAL MFF 202</w:t>
            </w:r>
            <w:r w:rsidR="00133DF9">
              <w:rPr>
                <w:b/>
                <w:bCs/>
                <w:noProof/>
                <w:color w:val="000000"/>
                <w:sz w:val="20"/>
                <w:szCs w:val="20"/>
                <w:lang w:eastAsia="en-IE"/>
              </w:rPr>
              <w:t>8</w:t>
            </w:r>
            <w:r w:rsidRPr="00764B43">
              <w:rPr>
                <w:b/>
                <w:bCs/>
                <w:noProof/>
                <w:color w:val="000000"/>
                <w:sz w:val="20"/>
                <w:szCs w:val="20"/>
                <w:lang w:eastAsia="en-IE"/>
              </w:rPr>
              <w:t>-20</w:t>
            </w:r>
            <w:r w:rsidR="00133DF9">
              <w:rPr>
                <w:b/>
                <w:bCs/>
                <w:noProof/>
                <w:color w:val="000000"/>
                <w:sz w:val="20"/>
                <w:szCs w:val="20"/>
                <w:lang w:eastAsia="en-IE"/>
              </w:rPr>
              <w:t>34</w:t>
            </w:r>
          </w:p>
        </w:tc>
      </w:tr>
      <w:tr w:rsidR="0084684D" w:rsidRPr="00764B43" w:rsidTr="0084684D">
        <w:trPr>
          <w:trHeight w:val="300"/>
          <w:jc w:val="center"/>
        </w:trPr>
        <w:tc>
          <w:tcPr>
            <w:tcW w:w="1784" w:type="pct"/>
            <w:gridSpan w:val="5"/>
            <w:vMerge/>
            <w:tcBorders>
              <w:top w:val="single" w:sz="8" w:space="0" w:color="auto"/>
              <w:left w:val="single" w:sz="8" w:space="0" w:color="auto"/>
              <w:bottom w:val="single" w:sz="8" w:space="0" w:color="000000"/>
              <w:right w:val="single" w:sz="8" w:space="0" w:color="000000"/>
            </w:tcBorders>
            <w:vAlign w:val="center"/>
            <w:hideMark/>
          </w:tcPr>
          <w:p w:rsidR="0084684D" w:rsidRPr="00764B43" w:rsidRDefault="0084684D" w:rsidP="00425340">
            <w:pPr>
              <w:spacing w:before="0" w:after="0"/>
              <w:jc w:val="left"/>
              <w:rPr>
                <w:b/>
                <w:bCs/>
                <w:noProof/>
                <w:color w:val="000000"/>
                <w:sz w:val="22"/>
                <w:lang w:eastAsia="en-IE"/>
              </w:rPr>
            </w:pPr>
          </w:p>
        </w:tc>
        <w:tc>
          <w:tcPr>
            <w:tcW w:w="357"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425340">
            <w:pPr>
              <w:spacing w:before="0" w:after="0"/>
              <w:jc w:val="center"/>
              <w:rPr>
                <w:b/>
                <w:bCs/>
                <w:noProof/>
                <w:color w:val="000000"/>
                <w:sz w:val="20"/>
                <w:szCs w:val="20"/>
                <w:lang w:eastAsia="en-IE"/>
              </w:rPr>
            </w:pPr>
            <w:r w:rsidRPr="00764B43">
              <w:rPr>
                <w:b/>
                <w:bCs/>
                <w:noProof/>
                <w:color w:val="000000"/>
                <w:sz w:val="20"/>
                <w:szCs w:val="20"/>
                <w:lang w:eastAsia="en-IE"/>
              </w:rPr>
              <w:t>2028</w:t>
            </w:r>
          </w:p>
        </w:tc>
        <w:tc>
          <w:tcPr>
            <w:tcW w:w="375"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425340">
            <w:pPr>
              <w:spacing w:before="0" w:after="0"/>
              <w:jc w:val="center"/>
              <w:rPr>
                <w:b/>
                <w:bCs/>
                <w:noProof/>
                <w:color w:val="000000"/>
                <w:sz w:val="20"/>
                <w:szCs w:val="20"/>
                <w:lang w:eastAsia="en-IE"/>
              </w:rPr>
            </w:pPr>
            <w:r w:rsidRPr="00764B43">
              <w:rPr>
                <w:b/>
                <w:bCs/>
                <w:noProof/>
                <w:color w:val="000000"/>
                <w:sz w:val="20"/>
                <w:szCs w:val="20"/>
                <w:lang w:eastAsia="en-IE"/>
              </w:rPr>
              <w:t>2029</w:t>
            </w:r>
          </w:p>
        </w:tc>
        <w:tc>
          <w:tcPr>
            <w:tcW w:w="414"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425340">
            <w:pPr>
              <w:spacing w:before="0" w:after="0"/>
              <w:jc w:val="center"/>
              <w:rPr>
                <w:b/>
                <w:bCs/>
                <w:noProof/>
                <w:color w:val="000000"/>
                <w:sz w:val="20"/>
                <w:szCs w:val="20"/>
                <w:lang w:eastAsia="en-IE"/>
              </w:rPr>
            </w:pPr>
            <w:r w:rsidRPr="00764B43">
              <w:rPr>
                <w:b/>
                <w:bCs/>
                <w:noProof/>
                <w:color w:val="000000"/>
                <w:sz w:val="20"/>
                <w:szCs w:val="20"/>
                <w:lang w:eastAsia="en-IE"/>
              </w:rPr>
              <w:t>2030</w:t>
            </w:r>
          </w:p>
        </w:tc>
        <w:tc>
          <w:tcPr>
            <w:tcW w:w="414" w:type="pct"/>
            <w:gridSpan w:val="2"/>
            <w:tcBorders>
              <w:top w:val="nil"/>
              <w:left w:val="nil"/>
              <w:bottom w:val="single" w:sz="8" w:space="0" w:color="auto"/>
              <w:right w:val="single" w:sz="4" w:space="0" w:color="auto"/>
            </w:tcBorders>
            <w:shd w:val="clear" w:color="auto" w:fill="auto"/>
            <w:vAlign w:val="center"/>
            <w:hideMark/>
          </w:tcPr>
          <w:p w:rsidR="0084684D" w:rsidRPr="00764B43" w:rsidRDefault="0084684D" w:rsidP="00425340">
            <w:pPr>
              <w:spacing w:before="0" w:after="0"/>
              <w:jc w:val="center"/>
              <w:rPr>
                <w:b/>
                <w:bCs/>
                <w:noProof/>
                <w:color w:val="000000"/>
                <w:sz w:val="20"/>
                <w:szCs w:val="20"/>
                <w:lang w:eastAsia="en-IE"/>
              </w:rPr>
            </w:pPr>
            <w:r w:rsidRPr="00764B43">
              <w:rPr>
                <w:b/>
                <w:bCs/>
                <w:noProof/>
                <w:color w:val="000000"/>
                <w:sz w:val="20"/>
                <w:szCs w:val="20"/>
                <w:lang w:eastAsia="en-IE"/>
              </w:rPr>
              <w:t>2031</w:t>
            </w:r>
          </w:p>
        </w:tc>
        <w:tc>
          <w:tcPr>
            <w:tcW w:w="427" w:type="pct"/>
            <w:gridSpan w:val="2"/>
            <w:tcBorders>
              <w:top w:val="single" w:sz="4" w:space="0" w:color="auto"/>
              <w:left w:val="single" w:sz="4" w:space="0" w:color="auto"/>
              <w:bottom w:val="single" w:sz="4" w:space="0" w:color="auto"/>
              <w:right w:val="single" w:sz="4" w:space="0" w:color="auto"/>
            </w:tcBorders>
            <w:vAlign w:val="center"/>
          </w:tcPr>
          <w:p w:rsidR="0084684D" w:rsidRPr="00764B43" w:rsidRDefault="0084684D" w:rsidP="00425340">
            <w:pPr>
              <w:spacing w:before="0" w:after="0"/>
              <w:jc w:val="left"/>
              <w:rPr>
                <w:b/>
                <w:bCs/>
                <w:noProof/>
                <w:color w:val="000000"/>
                <w:sz w:val="20"/>
                <w:szCs w:val="20"/>
                <w:lang w:eastAsia="en-IE"/>
              </w:rPr>
            </w:pPr>
            <w:r w:rsidRPr="00764B43">
              <w:rPr>
                <w:b/>
                <w:bCs/>
                <w:noProof/>
                <w:color w:val="000000"/>
                <w:sz w:val="20"/>
                <w:szCs w:val="20"/>
                <w:lang w:eastAsia="en-IE"/>
              </w:rPr>
              <w:t xml:space="preserve"> 2032</w:t>
            </w:r>
          </w:p>
        </w:tc>
        <w:tc>
          <w:tcPr>
            <w:tcW w:w="357" w:type="pct"/>
            <w:gridSpan w:val="2"/>
            <w:tcBorders>
              <w:top w:val="single" w:sz="4" w:space="0" w:color="auto"/>
              <w:left w:val="single" w:sz="4" w:space="0" w:color="auto"/>
              <w:bottom w:val="single" w:sz="4" w:space="0" w:color="auto"/>
              <w:right w:val="single" w:sz="4" w:space="0" w:color="auto"/>
            </w:tcBorders>
            <w:vAlign w:val="center"/>
          </w:tcPr>
          <w:p w:rsidR="0084684D" w:rsidRPr="00764B43" w:rsidRDefault="0084684D" w:rsidP="00425340">
            <w:pPr>
              <w:spacing w:before="0" w:after="0"/>
              <w:jc w:val="left"/>
              <w:rPr>
                <w:b/>
                <w:bCs/>
                <w:noProof/>
                <w:color w:val="000000"/>
                <w:sz w:val="20"/>
                <w:szCs w:val="20"/>
                <w:lang w:eastAsia="en-IE"/>
              </w:rPr>
            </w:pPr>
            <w:r w:rsidRPr="00764B43">
              <w:rPr>
                <w:b/>
                <w:bCs/>
                <w:noProof/>
                <w:color w:val="000000"/>
                <w:sz w:val="20"/>
                <w:szCs w:val="20"/>
                <w:lang w:eastAsia="en-IE"/>
              </w:rPr>
              <w:t>2033</w:t>
            </w:r>
          </w:p>
        </w:tc>
        <w:tc>
          <w:tcPr>
            <w:tcW w:w="398" w:type="pct"/>
            <w:gridSpan w:val="2"/>
            <w:tcBorders>
              <w:top w:val="single" w:sz="4" w:space="0" w:color="auto"/>
              <w:left w:val="single" w:sz="4" w:space="0" w:color="auto"/>
              <w:bottom w:val="single" w:sz="4" w:space="0" w:color="auto"/>
              <w:right w:val="single" w:sz="4" w:space="0" w:color="auto"/>
            </w:tcBorders>
            <w:vAlign w:val="center"/>
          </w:tcPr>
          <w:p w:rsidR="0084684D" w:rsidRPr="00764B43" w:rsidRDefault="0084684D" w:rsidP="00425340">
            <w:pPr>
              <w:spacing w:before="0" w:after="0"/>
              <w:jc w:val="left"/>
              <w:rPr>
                <w:b/>
                <w:bCs/>
                <w:noProof/>
                <w:color w:val="000000"/>
                <w:sz w:val="20"/>
                <w:szCs w:val="20"/>
                <w:lang w:eastAsia="en-IE"/>
              </w:rPr>
            </w:pPr>
            <w:r w:rsidRPr="00764B43">
              <w:rPr>
                <w:b/>
                <w:bCs/>
                <w:noProof/>
                <w:color w:val="000000"/>
                <w:sz w:val="20"/>
                <w:szCs w:val="20"/>
                <w:lang w:eastAsia="en-IE"/>
              </w:rPr>
              <w:t>2034</w:t>
            </w:r>
          </w:p>
        </w:tc>
        <w:tc>
          <w:tcPr>
            <w:tcW w:w="474" w:type="pct"/>
            <w:gridSpan w:val="2"/>
            <w:vMerge/>
            <w:tcBorders>
              <w:top w:val="single" w:sz="4" w:space="0" w:color="auto"/>
              <w:left w:val="single" w:sz="4" w:space="0" w:color="auto"/>
              <w:bottom w:val="single" w:sz="4" w:space="0" w:color="auto"/>
              <w:right w:val="single" w:sz="4" w:space="0" w:color="auto"/>
            </w:tcBorders>
            <w:vAlign w:val="center"/>
            <w:hideMark/>
          </w:tcPr>
          <w:p w:rsidR="0084684D" w:rsidRPr="00764B43" w:rsidRDefault="0084684D" w:rsidP="00425340">
            <w:pPr>
              <w:spacing w:before="0" w:after="0"/>
              <w:jc w:val="left"/>
              <w:rPr>
                <w:b/>
                <w:bCs/>
                <w:noProof/>
                <w:color w:val="000000"/>
                <w:sz w:val="20"/>
                <w:szCs w:val="20"/>
                <w:lang w:eastAsia="en-IE"/>
              </w:rPr>
            </w:pPr>
          </w:p>
        </w:tc>
      </w:tr>
      <w:tr w:rsidR="0084684D" w:rsidRPr="00764B43" w:rsidTr="0084684D">
        <w:trPr>
          <w:trHeight w:val="432"/>
          <w:jc w:val="center"/>
        </w:trPr>
        <w:tc>
          <w:tcPr>
            <w:tcW w:w="1012" w:type="pct"/>
            <w:vMerge w:val="restart"/>
            <w:tcBorders>
              <w:top w:val="nil"/>
              <w:left w:val="single" w:sz="8" w:space="0" w:color="auto"/>
              <w:bottom w:val="single" w:sz="8" w:space="0" w:color="auto"/>
              <w:right w:val="single" w:sz="8" w:space="0" w:color="auto"/>
            </w:tcBorders>
            <w:shd w:val="clear" w:color="auto" w:fill="auto"/>
            <w:vAlign w:val="center"/>
            <w:hideMark/>
          </w:tcPr>
          <w:p w:rsidR="0084684D" w:rsidRPr="00764B43" w:rsidRDefault="0084684D" w:rsidP="0084684D">
            <w:pPr>
              <w:spacing w:before="0" w:after="0"/>
              <w:rPr>
                <w:noProof/>
                <w:color w:val="000000"/>
                <w:sz w:val="21"/>
                <w:szCs w:val="21"/>
                <w:lang w:eastAsia="en-IE"/>
              </w:rPr>
            </w:pPr>
            <w:r w:rsidRPr="00764B43">
              <w:rPr>
                <w:noProof/>
                <w:color w:val="000000"/>
                <w:sz w:val="21"/>
                <w:szCs w:val="21"/>
                <w:lang w:eastAsia="en-IE"/>
              </w:rPr>
              <w:t xml:space="preserve">TOTAL operational appropriations </w:t>
            </w:r>
            <w:r w:rsidRPr="00764B43">
              <w:rPr>
                <w:noProof/>
                <w:color w:val="000000"/>
                <w:sz w:val="21"/>
                <w:szCs w:val="21"/>
                <w:lang w:eastAsia="en-IE"/>
              </w:rPr>
              <w:br/>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rPr>
                <w:noProof/>
                <w:color w:val="000000"/>
                <w:sz w:val="18"/>
                <w:szCs w:val="18"/>
                <w:lang w:eastAsia="en-IE"/>
              </w:rPr>
            </w:pPr>
            <w:r w:rsidRPr="00764B43">
              <w:rPr>
                <w:noProof/>
                <w:color w:val="000000"/>
                <w:sz w:val="18"/>
                <w:szCs w:val="18"/>
                <w:lang w:eastAsia="en-IE"/>
              </w:rPr>
              <w:t>Commitments</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jc w:val="center"/>
              <w:rPr>
                <w:noProof/>
                <w:color w:val="000000"/>
                <w:sz w:val="14"/>
                <w:szCs w:val="14"/>
                <w:lang w:eastAsia="en-IE"/>
              </w:rPr>
            </w:pPr>
            <w:r w:rsidRPr="00764B43">
              <w:rPr>
                <w:noProof/>
                <w:color w:val="000000"/>
                <w:sz w:val="14"/>
                <w:szCs w:val="14"/>
                <w:lang w:eastAsia="en-IE"/>
              </w:rPr>
              <w:t>(4)</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lang w:eastAsia="en-IE"/>
              </w:rPr>
              <w:t>1.000.000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lang w:eastAsia="en-IE"/>
              </w:rPr>
              <w:t>2.000.000</w:t>
            </w:r>
            <w:r w:rsidRPr="00764B43">
              <w:rPr>
                <w:noProof/>
                <w:color w:val="000000"/>
                <w:sz w:val="20"/>
                <w:szCs w:val="20"/>
                <w:lang w:eastAsia="en-IE"/>
              </w:rPr>
              <w:t>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rPr>
              <w:t>3.000.000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rPr>
              <w:t>3.000.000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lang w:eastAsia="en-IE"/>
              </w:rPr>
              <w:t>3.000.000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lang w:eastAsia="en-IE"/>
              </w:rPr>
              <w:t>3.000.000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lang w:eastAsia="en-IE"/>
              </w:rPr>
              <w:t>3.000.000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color w:val="000000"/>
                <w:sz w:val="20"/>
                <w:szCs w:val="20"/>
                <w:lang w:eastAsia="en-IE"/>
              </w:rPr>
              <w:t>18.000.000</w:t>
            </w:r>
          </w:p>
        </w:tc>
      </w:tr>
      <w:tr w:rsidR="0084684D" w:rsidRPr="00764B43" w:rsidTr="0084684D">
        <w:trPr>
          <w:trHeight w:val="456"/>
          <w:jc w:val="center"/>
        </w:trPr>
        <w:tc>
          <w:tcPr>
            <w:tcW w:w="1012" w:type="pct"/>
            <w:vMerge/>
            <w:tcBorders>
              <w:top w:val="nil"/>
              <w:left w:val="single" w:sz="8" w:space="0" w:color="auto"/>
              <w:bottom w:val="single" w:sz="8" w:space="0" w:color="auto"/>
              <w:right w:val="single" w:sz="8" w:space="0" w:color="auto"/>
            </w:tcBorders>
            <w:vAlign w:val="center"/>
            <w:hideMark/>
          </w:tcPr>
          <w:p w:rsidR="0084684D" w:rsidRPr="00764B43" w:rsidRDefault="0084684D" w:rsidP="0084684D">
            <w:pPr>
              <w:spacing w:before="0" w:after="0"/>
              <w:jc w:val="left"/>
              <w:rPr>
                <w:noProof/>
                <w:color w:val="000000"/>
                <w:sz w:val="21"/>
                <w:szCs w:val="21"/>
                <w:lang w:eastAsia="en-IE"/>
              </w:rPr>
            </w:pP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rPr>
                <w:noProof/>
                <w:color w:val="000000"/>
                <w:sz w:val="18"/>
                <w:szCs w:val="18"/>
                <w:lang w:eastAsia="en-IE"/>
              </w:rPr>
            </w:pPr>
            <w:r w:rsidRPr="00764B43">
              <w:rPr>
                <w:noProof/>
                <w:color w:val="000000"/>
                <w:sz w:val="18"/>
                <w:szCs w:val="18"/>
                <w:lang w:eastAsia="en-IE"/>
              </w:rPr>
              <w:t>Payments</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jc w:val="center"/>
              <w:rPr>
                <w:noProof/>
                <w:color w:val="000000"/>
                <w:sz w:val="14"/>
                <w:szCs w:val="14"/>
                <w:lang w:eastAsia="en-IE"/>
              </w:rPr>
            </w:pPr>
            <w:r w:rsidRPr="00764B43">
              <w:rPr>
                <w:noProof/>
                <w:color w:val="000000"/>
                <w:sz w:val="14"/>
                <w:szCs w:val="14"/>
                <w:lang w:eastAsia="en-IE"/>
              </w:rPr>
              <w:t>(5)</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lang w:eastAsia="en-IE"/>
              </w:rPr>
              <w:t>1.000.000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lang w:eastAsia="en-IE"/>
              </w:rPr>
              <w:t>2.000.000</w:t>
            </w:r>
            <w:r w:rsidRPr="00764B43">
              <w:rPr>
                <w:noProof/>
                <w:color w:val="000000"/>
                <w:sz w:val="20"/>
                <w:szCs w:val="20"/>
                <w:lang w:eastAsia="en-IE"/>
              </w:rPr>
              <w:t>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rPr>
              <w:t>3.000.000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sz w:val="20"/>
                <w:szCs w:val="20"/>
              </w:rPr>
              <w:t>3.000.000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lang w:eastAsia="en-IE"/>
              </w:rPr>
              <w:t>3.000.000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lang w:eastAsia="en-IE"/>
              </w:rPr>
              <w:t>3.000.000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lang w:eastAsia="en-IE"/>
              </w:rPr>
              <w:t>3.000.000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color w:val="000000"/>
                <w:sz w:val="20"/>
                <w:szCs w:val="20"/>
                <w:lang w:eastAsia="en-IE"/>
              </w:rPr>
              <w:t>18.000.000</w:t>
            </w:r>
          </w:p>
        </w:tc>
      </w:tr>
      <w:tr w:rsidR="0084684D" w:rsidRPr="00764B43" w:rsidTr="0084684D">
        <w:trPr>
          <w:trHeight w:val="924"/>
          <w:jc w:val="center"/>
        </w:trPr>
        <w:tc>
          <w:tcPr>
            <w:tcW w:w="1447"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84684D" w:rsidRPr="00764B43" w:rsidRDefault="0084684D" w:rsidP="0084684D">
            <w:pPr>
              <w:spacing w:before="0" w:after="0"/>
              <w:rPr>
                <w:noProof/>
                <w:color w:val="000000"/>
                <w:sz w:val="21"/>
                <w:szCs w:val="21"/>
                <w:lang w:eastAsia="en-IE"/>
              </w:rPr>
            </w:pPr>
            <w:r w:rsidRPr="00764B43">
              <w:rPr>
                <w:noProof/>
                <w:color w:val="000000"/>
                <w:sz w:val="21"/>
                <w:szCs w:val="21"/>
                <w:lang w:eastAsia="en-IE"/>
              </w:rPr>
              <w:t xml:space="preserve">TOTAL appropriations of an administrative nature financed from the envelope for specific programmes </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jc w:val="center"/>
              <w:rPr>
                <w:noProof/>
                <w:color w:val="000000"/>
                <w:sz w:val="14"/>
                <w:szCs w:val="14"/>
                <w:lang w:eastAsia="en-IE"/>
              </w:rPr>
            </w:pPr>
            <w:r w:rsidRPr="00764B43">
              <w:rPr>
                <w:noProof/>
                <w:color w:val="000000"/>
                <w:sz w:val="14"/>
                <w:szCs w:val="14"/>
                <w:lang w:eastAsia="en-IE"/>
              </w:rPr>
              <w:t>(6)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color w:val="000000"/>
                <w:sz w:val="20"/>
                <w:szCs w:val="20"/>
                <w:lang w:eastAsia="en-IE"/>
              </w:rPr>
              <w:t>0.000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color w:val="000000"/>
                <w:sz w:val="20"/>
                <w:szCs w:val="20"/>
                <w:lang w:eastAsia="en-IE"/>
              </w:rPr>
              <w:t>0.000</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color w:val="000000"/>
                <w:sz w:val="20"/>
                <w:szCs w:val="20"/>
                <w:lang w:eastAsia="en-IE"/>
              </w:rPr>
              <w:t>0.000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64B43" w:rsidRDefault="0084684D" w:rsidP="0084684D">
            <w:pPr>
              <w:spacing w:before="0" w:after="0"/>
              <w:jc w:val="right"/>
              <w:rPr>
                <w:noProof/>
                <w:color w:val="000000"/>
                <w:sz w:val="20"/>
                <w:szCs w:val="20"/>
                <w:lang w:eastAsia="en-IE"/>
              </w:rPr>
            </w:pPr>
            <w:r w:rsidRPr="00764B43">
              <w:rPr>
                <w:noProof/>
                <w:color w:val="000000"/>
                <w:sz w:val="20"/>
                <w:szCs w:val="20"/>
                <w:lang w:eastAsia="en-IE"/>
              </w:rPr>
              <w:t>0.000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rPr>
              <w:t>0.000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rPr>
              <w:t>0.000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noProof/>
                <w:sz w:val="20"/>
                <w:szCs w:val="20"/>
              </w:rPr>
              <w:t>0.000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color w:val="000000"/>
                <w:sz w:val="20"/>
                <w:szCs w:val="20"/>
                <w:lang w:eastAsia="en-IE"/>
              </w:rPr>
              <w:t>0.000</w:t>
            </w:r>
          </w:p>
        </w:tc>
      </w:tr>
      <w:tr w:rsidR="0084684D" w:rsidRPr="00764B43" w:rsidTr="0084684D">
        <w:trPr>
          <w:trHeight w:val="564"/>
          <w:jc w:val="center"/>
        </w:trPr>
        <w:tc>
          <w:tcPr>
            <w:tcW w:w="1012" w:type="pct"/>
            <w:tcBorders>
              <w:top w:val="nil"/>
              <w:left w:val="single" w:sz="8" w:space="0" w:color="auto"/>
              <w:bottom w:val="nil"/>
              <w:right w:val="single" w:sz="8" w:space="0" w:color="auto"/>
            </w:tcBorders>
            <w:shd w:val="thinDiagStripe" w:color="C0C0C0" w:fill="F1F1F1"/>
            <w:vAlign w:val="center"/>
            <w:hideMark/>
          </w:tcPr>
          <w:p w:rsidR="0084684D" w:rsidRPr="00764B43" w:rsidRDefault="0084684D" w:rsidP="0084684D">
            <w:pPr>
              <w:spacing w:before="0" w:after="0"/>
              <w:jc w:val="center"/>
              <w:rPr>
                <w:b/>
                <w:bCs/>
                <w:noProof/>
                <w:color w:val="000000"/>
                <w:sz w:val="22"/>
                <w:lang w:eastAsia="en-IE"/>
              </w:rPr>
            </w:pPr>
            <w:r w:rsidRPr="00764B43">
              <w:rPr>
                <w:b/>
                <w:bCs/>
                <w:noProof/>
                <w:color w:val="000000"/>
                <w:sz w:val="22"/>
                <w:lang w:eastAsia="en-IE"/>
              </w:rPr>
              <w:t xml:space="preserve">TOTAL appropriations under HEADING </w:t>
            </w:r>
            <w:r w:rsidRPr="00764B43">
              <w:rPr>
                <w:b/>
                <w:bCs/>
                <w:noProof/>
              </w:rPr>
              <w:t>3</w:t>
            </w:r>
            <w:r w:rsidRPr="00764B43">
              <w:rPr>
                <w:rStyle w:val="FootnoteReference"/>
                <w:b/>
                <w:bCs/>
                <w:noProof/>
              </w:rPr>
              <w:footnoteReference w:id="37"/>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rPr>
                <w:noProof/>
                <w:color w:val="000000"/>
                <w:sz w:val="18"/>
                <w:szCs w:val="18"/>
                <w:lang w:eastAsia="en-IE"/>
              </w:rPr>
            </w:pPr>
            <w:r w:rsidRPr="00764B43">
              <w:rPr>
                <w:noProof/>
                <w:color w:val="000000"/>
                <w:sz w:val="18"/>
                <w:szCs w:val="18"/>
                <w:lang w:eastAsia="en-IE"/>
              </w:rPr>
              <w:t>Commitments</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jc w:val="center"/>
              <w:rPr>
                <w:noProof/>
                <w:color w:val="000000"/>
                <w:sz w:val="14"/>
                <w:szCs w:val="14"/>
                <w:lang w:eastAsia="en-IE"/>
              </w:rPr>
            </w:pPr>
            <w:r w:rsidRPr="00764B43">
              <w:rPr>
                <w:noProof/>
                <w:color w:val="000000"/>
                <w:sz w:val="14"/>
                <w:szCs w:val="14"/>
                <w:lang w:eastAsia="en-IE"/>
              </w:rPr>
              <w:t>=4+6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1.000.000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2.000.000</w:t>
            </w:r>
            <w:r w:rsidRPr="00764B43">
              <w:rPr>
                <w:b/>
                <w:bCs/>
                <w:noProof/>
                <w:color w:val="000000"/>
                <w:sz w:val="20"/>
                <w:szCs w:val="20"/>
                <w:lang w:eastAsia="en-IE"/>
              </w:rPr>
              <w:t>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color w:val="000000"/>
                <w:sz w:val="20"/>
                <w:szCs w:val="20"/>
                <w:lang w:eastAsia="en-IE"/>
              </w:rPr>
              <w:t>18.000.000</w:t>
            </w:r>
          </w:p>
        </w:tc>
      </w:tr>
      <w:tr w:rsidR="0084684D" w:rsidRPr="00764B43" w:rsidTr="0084684D">
        <w:trPr>
          <w:trHeight w:val="528"/>
          <w:jc w:val="center"/>
        </w:trPr>
        <w:tc>
          <w:tcPr>
            <w:tcW w:w="1012" w:type="pct"/>
            <w:tcBorders>
              <w:top w:val="nil"/>
              <w:left w:val="single" w:sz="8" w:space="0" w:color="auto"/>
              <w:bottom w:val="single" w:sz="8" w:space="0" w:color="auto"/>
              <w:right w:val="single" w:sz="8" w:space="0" w:color="auto"/>
            </w:tcBorders>
            <w:shd w:val="thinDiagStripe" w:color="C0C0C0" w:fill="F1F1F1"/>
            <w:vAlign w:val="center"/>
            <w:hideMark/>
          </w:tcPr>
          <w:p w:rsidR="0084684D" w:rsidRPr="00764B43" w:rsidRDefault="0084684D" w:rsidP="0084684D">
            <w:pPr>
              <w:spacing w:before="0" w:after="0"/>
              <w:jc w:val="center"/>
              <w:rPr>
                <w:noProof/>
                <w:color w:val="000000"/>
                <w:sz w:val="22"/>
                <w:lang w:eastAsia="en-IE"/>
              </w:rPr>
            </w:pPr>
            <w:r w:rsidRPr="00764B43">
              <w:rPr>
                <w:noProof/>
                <w:color w:val="000000"/>
                <w:sz w:val="22"/>
                <w:lang w:eastAsia="en-IE"/>
              </w:rPr>
              <w:t>of the multiannual financial framework</w:t>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rPr>
                <w:noProof/>
                <w:color w:val="000000"/>
                <w:sz w:val="18"/>
                <w:szCs w:val="18"/>
                <w:lang w:eastAsia="en-IE"/>
              </w:rPr>
            </w:pPr>
            <w:r w:rsidRPr="00764B43">
              <w:rPr>
                <w:noProof/>
                <w:color w:val="000000"/>
                <w:sz w:val="18"/>
                <w:szCs w:val="18"/>
                <w:lang w:eastAsia="en-IE"/>
              </w:rPr>
              <w:t>Payments</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764B43" w:rsidRDefault="0084684D" w:rsidP="0084684D">
            <w:pPr>
              <w:spacing w:before="0" w:after="0"/>
              <w:jc w:val="center"/>
              <w:rPr>
                <w:noProof/>
                <w:color w:val="000000"/>
                <w:sz w:val="14"/>
                <w:szCs w:val="14"/>
                <w:lang w:eastAsia="en-IE"/>
              </w:rPr>
            </w:pPr>
            <w:r w:rsidRPr="00764B43">
              <w:rPr>
                <w:noProof/>
                <w:color w:val="000000"/>
                <w:sz w:val="14"/>
                <w:szCs w:val="14"/>
                <w:lang w:eastAsia="en-IE"/>
              </w:rPr>
              <w:t>=5+6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1.000.000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2.000.000</w:t>
            </w:r>
            <w:r w:rsidRPr="00764B43">
              <w:rPr>
                <w:b/>
                <w:bCs/>
                <w:noProof/>
                <w:color w:val="000000"/>
                <w:sz w:val="20"/>
                <w:szCs w:val="20"/>
                <w:lang w:eastAsia="en-IE"/>
              </w:rPr>
              <w:t>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764B43" w:rsidRDefault="0084684D" w:rsidP="0084684D">
            <w:pPr>
              <w:spacing w:before="0" w:after="0"/>
              <w:jc w:val="right"/>
              <w:rPr>
                <w:b/>
                <w:bCs/>
                <w:noProof/>
                <w:color w:val="000000"/>
                <w:sz w:val="20"/>
                <w:szCs w:val="20"/>
                <w:lang w:eastAsia="en-IE"/>
              </w:rPr>
            </w:pPr>
            <w:r w:rsidRPr="00764B43">
              <w:rPr>
                <w:b/>
                <w:bCs/>
                <w:noProof/>
                <w:sz w:val="20"/>
                <w:szCs w:val="20"/>
                <w:lang w:eastAsia="en-IE"/>
              </w:rPr>
              <w:t>3.000.000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764B43" w:rsidRDefault="0084684D" w:rsidP="0084684D">
            <w:pPr>
              <w:spacing w:before="0" w:after="0"/>
              <w:jc w:val="right"/>
              <w:rPr>
                <w:b/>
                <w:bCs/>
                <w:noProof/>
                <w:color w:val="000000"/>
                <w:sz w:val="20"/>
                <w:szCs w:val="20"/>
                <w:lang w:eastAsia="en-IE"/>
              </w:rPr>
            </w:pPr>
            <w:r w:rsidRPr="00764B43">
              <w:rPr>
                <w:b/>
                <w:bCs/>
                <w:noProof/>
                <w:color w:val="000000"/>
                <w:sz w:val="20"/>
                <w:szCs w:val="20"/>
                <w:lang w:eastAsia="en-IE"/>
              </w:rPr>
              <w:t>18.000.000</w:t>
            </w:r>
          </w:p>
        </w:tc>
      </w:tr>
    </w:tbl>
    <w:p w:rsidR="00F5502B" w:rsidRPr="003A5AF4" w:rsidRDefault="00F5502B" w:rsidP="00E923B5">
      <w:pPr>
        <w:pStyle w:val="ManualHeading3"/>
        <w:rPr>
          <w:noProof/>
        </w:rPr>
      </w:pPr>
      <w:bookmarkStart w:id="148" w:name="_Toc160804596"/>
      <w:bookmarkStart w:id="149" w:name="_Toc167220288"/>
      <w:bookmarkStart w:id="150" w:name="_Toc177549021"/>
      <w:r w:rsidRPr="003A5AF4">
        <w:rPr>
          <w:noProof/>
        </w:rPr>
        <w:t>3.2.1.2.</w:t>
      </w:r>
      <w:r w:rsidRPr="003A5AF4">
        <w:rPr>
          <w:noProof/>
        </w:rPr>
        <w:tab/>
        <w:t>Appropriations from external assigned revenues</w:t>
      </w:r>
      <w:bookmarkEnd w:id="148"/>
      <w:bookmarkEnd w:id="149"/>
      <w:bookmarkEnd w:id="150"/>
    </w:p>
    <w:tbl>
      <w:tblPr>
        <w:tblW w:w="5000" w:type="pct"/>
        <w:tblLook w:val="04A0" w:firstRow="1" w:lastRow="0" w:firstColumn="1" w:lastColumn="0" w:noHBand="0" w:noVBand="1"/>
      </w:tblPr>
      <w:tblGrid>
        <w:gridCol w:w="4014"/>
        <w:gridCol w:w="314"/>
        <w:gridCol w:w="1190"/>
        <w:gridCol w:w="149"/>
        <w:gridCol w:w="1038"/>
        <w:gridCol w:w="212"/>
        <w:gridCol w:w="829"/>
        <w:gridCol w:w="573"/>
        <w:gridCol w:w="670"/>
        <w:gridCol w:w="732"/>
        <w:gridCol w:w="511"/>
        <w:gridCol w:w="891"/>
        <w:gridCol w:w="352"/>
        <w:gridCol w:w="1050"/>
        <w:gridCol w:w="193"/>
        <w:gridCol w:w="1502"/>
      </w:tblGrid>
      <w:tr w:rsidR="00F5502B" w:rsidRPr="003A5AF4" w:rsidTr="00425340">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TOTAL MFF 2021-2027</w:t>
            </w:r>
          </w:p>
        </w:tc>
      </w:tr>
      <w:tr w:rsidR="00F5502B" w:rsidRPr="003A5AF4" w:rsidTr="00425340">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F5502B" w:rsidRPr="003A5AF4" w:rsidRDefault="00F5502B" w:rsidP="0042534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20"/>
                <w:szCs w:val="20"/>
                <w:lang w:eastAsia="en-IE"/>
              </w:rPr>
            </w:pPr>
          </w:p>
        </w:tc>
      </w:tr>
      <w:tr w:rsidR="00F5502B" w:rsidRPr="003A5AF4" w:rsidTr="00425340">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21"/>
                <w:szCs w:val="21"/>
                <w:lang w:eastAsia="en-IE"/>
              </w:rPr>
            </w:pPr>
            <w:r w:rsidRPr="003A5AF4">
              <w:rPr>
                <w:noProof/>
                <w:color w:val="000000"/>
                <w:sz w:val="21"/>
                <w:szCs w:val="21"/>
                <w:lang w:eastAsia="en-IE"/>
              </w:rPr>
              <w:t xml:space="preserve">TOTAL operational appropriations </w:t>
            </w:r>
            <w:r w:rsidRPr="003A5AF4">
              <w:rPr>
                <w:noProof/>
                <w:color w:val="000000"/>
                <w:sz w:val="21"/>
                <w:szCs w:val="21"/>
                <w:lang w:eastAsia="en-IE"/>
              </w:rPr>
              <w:br/>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924"/>
        </w:trPr>
        <w:tc>
          <w:tcPr>
            <w:tcW w:w="1939"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21"/>
                <w:szCs w:val="21"/>
                <w:lang w:eastAsia="en-IE"/>
              </w:rPr>
            </w:pPr>
            <w:r w:rsidRPr="003A5AF4">
              <w:rPr>
                <w:noProof/>
                <w:color w:val="000000"/>
                <w:sz w:val="21"/>
                <w:szCs w:val="21"/>
                <w:lang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TOTAL appropriations under HEADING &lt;….&gt;</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F5502B" w:rsidRPr="003A5AF4" w:rsidRDefault="00F5502B" w:rsidP="00425340">
            <w:pPr>
              <w:spacing w:before="0" w:after="0"/>
              <w:jc w:val="center"/>
              <w:rPr>
                <w:noProof/>
                <w:color w:val="000000"/>
                <w:sz w:val="22"/>
                <w:lang w:eastAsia="en-IE"/>
              </w:rPr>
            </w:pPr>
            <w:r w:rsidRPr="003A5AF4">
              <w:rPr>
                <w:noProof/>
                <w:color w:val="000000"/>
                <w:sz w:val="22"/>
                <w:lang w:eastAsia="en-IE"/>
              </w:rPr>
              <w:t>of the multiannual financial framework</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TOTAL MFF 2021-2027</w:t>
            </w:r>
          </w:p>
        </w:tc>
      </w:tr>
      <w:tr w:rsidR="00F5502B" w:rsidRPr="003A5AF4" w:rsidTr="00425340">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F5502B" w:rsidRPr="003A5AF4" w:rsidRDefault="00F5502B" w:rsidP="0042534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20"/>
                <w:szCs w:val="20"/>
                <w:lang w:eastAsia="en-IE"/>
              </w:rPr>
            </w:pPr>
          </w:p>
        </w:tc>
      </w:tr>
      <w:tr w:rsidR="00F5502B" w:rsidRPr="003A5AF4" w:rsidTr="00425340">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21"/>
                <w:szCs w:val="21"/>
                <w:lang w:eastAsia="en-IE"/>
              </w:rPr>
            </w:pPr>
            <w:r w:rsidRPr="003A5AF4">
              <w:rPr>
                <w:noProof/>
                <w:color w:val="000000"/>
                <w:sz w:val="21"/>
                <w:szCs w:val="21"/>
                <w:lang w:eastAsia="en-IE"/>
              </w:rPr>
              <w:t xml:space="preserve">TOTAL operational appropriations </w:t>
            </w:r>
            <w:r w:rsidRPr="003A5AF4">
              <w:rPr>
                <w:noProof/>
                <w:color w:val="000000"/>
                <w:sz w:val="21"/>
                <w:szCs w:val="21"/>
                <w:lang w:eastAsia="en-IE"/>
              </w:rPr>
              <w:br/>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924"/>
        </w:trPr>
        <w:tc>
          <w:tcPr>
            <w:tcW w:w="1939"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21"/>
                <w:szCs w:val="21"/>
                <w:lang w:eastAsia="en-IE"/>
              </w:rPr>
            </w:pPr>
            <w:r w:rsidRPr="003A5AF4">
              <w:rPr>
                <w:noProof/>
                <w:color w:val="000000"/>
                <w:sz w:val="21"/>
                <w:szCs w:val="21"/>
                <w:lang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TOTAL appropriations under HEADING &lt;….&gt;</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F5502B" w:rsidRPr="003A5AF4" w:rsidRDefault="00F5502B" w:rsidP="00425340">
            <w:pPr>
              <w:spacing w:before="0" w:after="0"/>
              <w:jc w:val="center"/>
              <w:rPr>
                <w:noProof/>
                <w:color w:val="000000"/>
                <w:sz w:val="22"/>
                <w:lang w:eastAsia="en-IE"/>
              </w:rPr>
            </w:pPr>
            <w:r w:rsidRPr="003A5AF4">
              <w:rPr>
                <w:noProof/>
                <w:color w:val="000000"/>
                <w:sz w:val="22"/>
                <w:lang w:eastAsia="en-IE"/>
              </w:rPr>
              <w:t>of the multiannual financial framework</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288"/>
        </w:trPr>
        <w:tc>
          <w:tcPr>
            <w:tcW w:w="1522" w:type="pct"/>
            <w:gridSpan w:val="2"/>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4"/>
                <w:lang w:eastAsia="en-IE"/>
              </w:rPr>
            </w:pPr>
          </w:p>
        </w:tc>
        <w:tc>
          <w:tcPr>
            <w:tcW w:w="471" w:type="pct"/>
            <w:gridSpan w:val="2"/>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TOTAL MFF 2021-2027</w:t>
            </w:r>
          </w:p>
        </w:tc>
      </w:tr>
      <w:tr w:rsidR="00F5502B" w:rsidRPr="003A5AF4" w:rsidTr="00425340">
        <w:trPr>
          <w:trHeight w:val="300"/>
        </w:trPr>
        <w:tc>
          <w:tcPr>
            <w:tcW w:w="1522" w:type="pct"/>
            <w:gridSpan w:val="2"/>
            <w:tcBorders>
              <w:top w:val="nil"/>
              <w:left w:val="nil"/>
              <w:bottom w:val="nil"/>
              <w:right w:val="nil"/>
            </w:tcBorders>
            <w:shd w:val="clear" w:color="auto" w:fill="auto"/>
            <w:noWrap/>
            <w:vAlign w:val="bottom"/>
            <w:hideMark/>
          </w:tcPr>
          <w:p w:rsidR="00F5502B" w:rsidRPr="003A5AF4" w:rsidRDefault="00F5502B" w:rsidP="00425340">
            <w:pPr>
              <w:spacing w:before="0" w:after="0"/>
              <w:jc w:val="center"/>
              <w:rPr>
                <w:b/>
                <w:bCs/>
                <w:noProof/>
                <w:color w:val="000000"/>
                <w:sz w:val="20"/>
                <w:szCs w:val="20"/>
                <w:lang w:eastAsia="en-IE"/>
              </w:rPr>
            </w:pPr>
          </w:p>
        </w:tc>
        <w:tc>
          <w:tcPr>
            <w:tcW w:w="471" w:type="pct"/>
            <w:gridSpan w:val="2"/>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F5502B" w:rsidRPr="003A5AF4" w:rsidRDefault="00F5502B" w:rsidP="00425340">
            <w:pPr>
              <w:spacing w:before="0" w:after="0"/>
              <w:jc w:val="left"/>
              <w:rPr>
                <w:b/>
                <w:bCs/>
                <w:noProof/>
                <w:color w:val="000000"/>
                <w:sz w:val="20"/>
                <w:szCs w:val="20"/>
                <w:lang w:eastAsia="en-IE"/>
              </w:rPr>
            </w:pPr>
          </w:p>
        </w:tc>
      </w:tr>
      <w:tr w:rsidR="00F5502B" w:rsidRPr="003A5AF4" w:rsidTr="00425340">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21"/>
                <w:szCs w:val="21"/>
                <w:lang w:eastAsia="en-IE"/>
              </w:rPr>
            </w:pPr>
            <w:r w:rsidRPr="003A5AF4">
              <w:rPr>
                <w:rFonts w:ascii="Calibri" w:hAnsi="Calibri" w:cs="Calibri"/>
                <w:noProof/>
                <w:color w:val="000000"/>
                <w:sz w:val="21"/>
                <w:szCs w:val="21"/>
                <w:lang w:eastAsia="en-IE"/>
              </w:rPr>
              <w:t xml:space="preserve">• </w:t>
            </w:r>
            <w:r w:rsidRPr="003A5AF4">
              <w:rPr>
                <w:noProof/>
                <w:color w:val="000000"/>
                <w:sz w:val="21"/>
                <w:szCs w:val="21"/>
                <w:lang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990"/>
        </w:trPr>
        <w:tc>
          <w:tcPr>
            <w:tcW w:w="1993"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F5502B" w:rsidRPr="003A5AF4" w:rsidRDefault="00F5502B" w:rsidP="00425340">
            <w:pPr>
              <w:spacing w:before="0" w:after="0"/>
              <w:rPr>
                <w:noProof/>
                <w:color w:val="000000"/>
                <w:sz w:val="21"/>
                <w:szCs w:val="21"/>
                <w:lang w:eastAsia="en-IE"/>
              </w:rPr>
            </w:pPr>
            <w:r w:rsidRPr="003A5AF4">
              <w:rPr>
                <w:rFonts w:ascii="Calibri" w:hAnsi="Calibri" w:cs="Calibri"/>
                <w:noProof/>
                <w:color w:val="000000"/>
                <w:sz w:val="21"/>
                <w:szCs w:val="21"/>
                <w:lang w:eastAsia="en-IE"/>
              </w:rPr>
              <w:t>•</w:t>
            </w:r>
            <w:r w:rsidRPr="003A5AF4">
              <w:rPr>
                <w:noProof/>
                <w:color w:val="000000"/>
                <w:sz w:val="21"/>
                <w:szCs w:val="21"/>
                <w:lang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TOTAL appropriations under Headings 1 to 6</w:t>
            </w:r>
          </w:p>
        </w:tc>
        <w:tc>
          <w:tcPr>
            <w:tcW w:w="471" w:type="pct"/>
            <w:gridSpan w:val="2"/>
            <w:tcBorders>
              <w:top w:val="nil"/>
              <w:left w:val="nil"/>
              <w:bottom w:val="nil"/>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731" w:type="pct"/>
            <w:gridSpan w:val="3"/>
            <w:tcBorders>
              <w:top w:val="single" w:sz="8" w:space="0" w:color="auto"/>
              <w:left w:val="nil"/>
              <w:bottom w:val="nil"/>
              <w:right w:val="single" w:sz="8" w:space="0" w:color="000000"/>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of the multiannual financial framework (Reference amount)</w:t>
            </w:r>
          </w:p>
        </w:tc>
        <w:tc>
          <w:tcPr>
            <w:tcW w:w="471" w:type="pct"/>
            <w:gridSpan w:val="2"/>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3A5AF4" w:rsidRDefault="00F5502B" w:rsidP="00425340">
            <w:pPr>
              <w:spacing w:before="0" w:after="0"/>
              <w:jc w:val="center"/>
              <w:rPr>
                <w:noProof/>
                <w:color w:val="000000"/>
                <w:sz w:val="14"/>
                <w:szCs w:val="14"/>
                <w:lang w:eastAsia="en-IE"/>
              </w:rPr>
            </w:pPr>
            <w:r w:rsidRPr="003A5AF4">
              <w:rPr>
                <w:noProof/>
                <w:color w:val="000000"/>
                <w:sz w:val="14"/>
                <w:szCs w:val="14"/>
                <w:lang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bl>
    <w:p w:rsidR="00F5502B" w:rsidRPr="003A5AF4" w:rsidRDefault="00F5502B"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5502B" w:rsidRPr="003A5AF4" w:rsidTr="00425340">
        <w:trPr>
          <w:jc w:val="center"/>
        </w:trPr>
        <w:tc>
          <w:tcPr>
            <w:tcW w:w="1668" w:type="pct"/>
            <w:shd w:val="thinDiagStripe" w:color="C0C0C0" w:fill="auto"/>
            <w:vAlign w:val="center"/>
          </w:tcPr>
          <w:p w:rsidR="00F5502B" w:rsidRPr="003A5AF4" w:rsidRDefault="00F5502B" w:rsidP="00425340">
            <w:pPr>
              <w:spacing w:before="60" w:after="60"/>
              <w:jc w:val="center"/>
              <w:rPr>
                <w:b/>
                <w:noProof/>
              </w:rPr>
            </w:pPr>
            <w:r w:rsidRPr="003A5AF4">
              <w:rPr>
                <w:noProof/>
                <w:sz w:val="22"/>
              </w:rPr>
              <w:br w:type="page"/>
            </w:r>
            <w:r w:rsidRPr="003A5AF4">
              <w:rPr>
                <w:b/>
                <w:noProof/>
                <w:sz w:val="22"/>
              </w:rPr>
              <w:t xml:space="preserve">Heading of multiannual financial framework </w:t>
            </w:r>
          </w:p>
        </w:tc>
        <w:tc>
          <w:tcPr>
            <w:tcW w:w="380" w:type="pct"/>
            <w:shd w:val="thinDiagStripe" w:color="C0C0C0" w:fill="auto"/>
            <w:vAlign w:val="center"/>
          </w:tcPr>
          <w:p w:rsidR="00F5502B" w:rsidRPr="003A5AF4" w:rsidRDefault="00F5502B" w:rsidP="00425340">
            <w:pPr>
              <w:spacing w:before="60" w:after="60"/>
              <w:jc w:val="center"/>
              <w:rPr>
                <w:noProof/>
              </w:rPr>
            </w:pPr>
            <w:r w:rsidRPr="003A5AF4">
              <w:rPr>
                <w:b/>
                <w:noProof/>
                <w:sz w:val="22"/>
              </w:rPr>
              <w:t>7</w:t>
            </w:r>
          </w:p>
        </w:tc>
        <w:tc>
          <w:tcPr>
            <w:tcW w:w="2749" w:type="pct"/>
            <w:vAlign w:val="center"/>
          </w:tcPr>
          <w:p w:rsidR="00F5502B" w:rsidRPr="003A5AF4" w:rsidRDefault="00F5502B" w:rsidP="00425340">
            <w:pPr>
              <w:spacing w:before="60" w:after="60"/>
              <w:rPr>
                <w:noProof/>
              </w:rPr>
            </w:pPr>
            <w:r w:rsidRPr="003A5AF4">
              <w:rPr>
                <w:noProof/>
                <w:sz w:val="22"/>
              </w:rPr>
              <w:t>‘Administrative expenditure’</w:t>
            </w:r>
            <w:r w:rsidRPr="003A5AF4">
              <w:rPr>
                <w:noProof/>
              </w:rPr>
              <w:t xml:space="preserve"> </w:t>
            </w:r>
          </w:p>
        </w:tc>
      </w:tr>
    </w:tbl>
    <w:p w:rsidR="00F5502B" w:rsidRPr="003A5AF4" w:rsidRDefault="00F5502B" w:rsidP="00E923B5">
      <w:pPr>
        <w:jc w:val="right"/>
        <w:rPr>
          <w:noProof/>
          <w:sz w:val="20"/>
        </w:rPr>
      </w:pPr>
      <w:r w:rsidRPr="003A5AF4">
        <w:rPr>
          <w:noProof/>
          <w:sz w:val="20"/>
        </w:rPr>
        <w:t>EUR million (to three decimal places)</w:t>
      </w:r>
    </w:p>
    <w:tbl>
      <w:tblPr>
        <w:tblW w:w="13140"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F5502B" w:rsidRPr="003A5AF4" w:rsidTr="00425340">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Cs w:val="24"/>
                <w:lang w:eastAsia="en-IE"/>
              </w:rPr>
            </w:pPr>
            <w:r w:rsidRPr="003A5AF4">
              <w:rPr>
                <w:noProof/>
                <w:color w:val="000000"/>
                <w:szCs w:val="24"/>
                <w:lang w:eastAsia="en-IE"/>
              </w:rPr>
              <w:t>DG: &lt;…….&gt;</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TOTAL MFF 2021-2027</w:t>
            </w:r>
          </w:p>
        </w:tc>
      </w:tr>
      <w:tr w:rsidR="00F5502B" w:rsidRPr="003A5AF4"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F5502B" w:rsidRPr="003A5AF4" w:rsidRDefault="00F5502B" w:rsidP="00425340">
            <w:pPr>
              <w:spacing w:before="0" w:after="0"/>
              <w:jc w:val="left"/>
              <w:rPr>
                <w:b/>
                <w:bCs/>
                <w:noProof/>
                <w:color w:val="000000"/>
                <w:sz w:val="20"/>
                <w:szCs w:val="20"/>
                <w:lang w:eastAsia="en-IE"/>
              </w:rPr>
            </w:pPr>
          </w:p>
        </w:tc>
      </w:tr>
      <w:tr w:rsidR="00F5502B" w:rsidRPr="003A5AF4"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rFonts w:ascii="Wingdings" w:hAnsi="Wingdings" w:cs="Calibri"/>
                <w:noProof/>
                <w:color w:val="000000"/>
                <w:sz w:val="22"/>
                <w:lang w:eastAsia="en-IE"/>
              </w:rPr>
            </w:pPr>
            <w:r w:rsidRPr="003A5AF4">
              <w:rPr>
                <w:rFonts w:ascii="Wingdings" w:hAnsi="Wingdings" w:cs="Calibri"/>
                <w:noProof/>
                <w:color w:val="000000"/>
                <w:sz w:val="22"/>
                <w:lang w:eastAsia="en-IE"/>
              </w:rPr>
              <w:t></w:t>
            </w:r>
            <w:r w:rsidRPr="003A5AF4">
              <w:rPr>
                <w:noProof/>
                <w:color w:val="000000"/>
                <w:sz w:val="22"/>
                <w:lang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rFonts w:ascii="Wingdings" w:hAnsi="Wingdings" w:cs="Calibri"/>
                <w:noProof/>
                <w:color w:val="000000"/>
                <w:sz w:val="22"/>
                <w:lang w:eastAsia="en-IE"/>
              </w:rPr>
            </w:pPr>
            <w:r w:rsidRPr="003A5AF4">
              <w:rPr>
                <w:rFonts w:ascii="Wingdings" w:hAnsi="Wingdings" w:cs="Calibri"/>
                <w:noProof/>
                <w:color w:val="000000"/>
                <w:sz w:val="22"/>
                <w:lang w:eastAsia="en-IE"/>
              </w:rPr>
              <w:t></w:t>
            </w:r>
            <w:r w:rsidRPr="003A5AF4">
              <w:rPr>
                <w:noProof/>
                <w:color w:val="000000"/>
                <w:sz w:val="22"/>
                <w:lang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 xml:space="preserve">TOTAL DG </w:t>
            </w:r>
            <w:r w:rsidRPr="003A5AF4">
              <w:rPr>
                <w:noProof/>
                <w:color w:val="000000"/>
                <w:sz w:val="22"/>
                <w:lang w:eastAsia="en-IE"/>
              </w:rPr>
              <w:t>&lt;…….&gt;</w:t>
            </w:r>
          </w:p>
        </w:tc>
        <w:tc>
          <w:tcPr>
            <w:tcW w:w="3487" w:type="dxa"/>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8"/>
                <w:szCs w:val="18"/>
                <w:lang w:eastAsia="en-IE"/>
              </w:rPr>
            </w:pPr>
            <w:r w:rsidRPr="003A5AF4">
              <w:rPr>
                <w:noProof/>
                <w:color w:val="000000"/>
                <w:sz w:val="18"/>
                <w:szCs w:val="18"/>
                <w:lang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4405"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right"/>
              <w:rPr>
                <w:b/>
                <w:bCs/>
                <w:noProof/>
                <w:color w:val="000000"/>
                <w:sz w:val="20"/>
                <w:szCs w:val="20"/>
                <w:lang w:eastAsia="en-IE"/>
              </w:rPr>
            </w:pPr>
          </w:p>
        </w:tc>
        <w:tc>
          <w:tcPr>
            <w:tcW w:w="2477"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244"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r>
      <w:tr w:rsidR="00F5502B" w:rsidRPr="003A5AF4" w:rsidTr="00425340">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Cs w:val="24"/>
                <w:lang w:eastAsia="en-IE"/>
              </w:rPr>
            </w:pPr>
            <w:r w:rsidRPr="003A5AF4">
              <w:rPr>
                <w:noProof/>
                <w:color w:val="000000"/>
                <w:szCs w:val="24"/>
                <w:lang w:eastAsia="en-IE"/>
              </w:rPr>
              <w:t>DG: &lt;…….&gt;</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001"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TOTAL MFF 2021-2027</w:t>
            </w:r>
          </w:p>
        </w:tc>
      </w:tr>
      <w:tr w:rsidR="00F5502B" w:rsidRPr="003A5AF4"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1001"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F5502B" w:rsidRPr="003A5AF4" w:rsidRDefault="00F5502B" w:rsidP="00425340">
            <w:pPr>
              <w:spacing w:before="0" w:after="0"/>
              <w:jc w:val="left"/>
              <w:rPr>
                <w:b/>
                <w:bCs/>
                <w:noProof/>
                <w:color w:val="000000"/>
                <w:sz w:val="20"/>
                <w:szCs w:val="20"/>
                <w:lang w:eastAsia="en-IE"/>
              </w:rPr>
            </w:pPr>
          </w:p>
        </w:tc>
      </w:tr>
      <w:tr w:rsidR="00F5502B" w:rsidRPr="003A5AF4"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rFonts w:ascii="Wingdings" w:hAnsi="Wingdings" w:cs="Calibri"/>
                <w:noProof/>
                <w:color w:val="000000"/>
                <w:sz w:val="22"/>
                <w:lang w:eastAsia="en-IE"/>
              </w:rPr>
            </w:pPr>
            <w:r w:rsidRPr="003A5AF4">
              <w:rPr>
                <w:rFonts w:ascii="Wingdings" w:hAnsi="Wingdings" w:cs="Calibri"/>
                <w:noProof/>
                <w:color w:val="000000"/>
                <w:sz w:val="22"/>
                <w:lang w:eastAsia="en-IE"/>
              </w:rPr>
              <w:t></w:t>
            </w:r>
            <w:r w:rsidRPr="003A5AF4">
              <w:rPr>
                <w:noProof/>
                <w:color w:val="000000"/>
                <w:sz w:val="22"/>
                <w:lang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rFonts w:ascii="Wingdings" w:hAnsi="Wingdings" w:cs="Calibri"/>
                <w:noProof/>
                <w:color w:val="000000"/>
                <w:sz w:val="22"/>
                <w:lang w:eastAsia="en-IE"/>
              </w:rPr>
            </w:pPr>
            <w:r w:rsidRPr="003A5AF4">
              <w:rPr>
                <w:rFonts w:ascii="Wingdings" w:hAnsi="Wingdings" w:cs="Calibri"/>
                <w:noProof/>
                <w:color w:val="000000"/>
                <w:sz w:val="22"/>
                <w:lang w:eastAsia="en-IE"/>
              </w:rPr>
              <w:t></w:t>
            </w:r>
            <w:r w:rsidRPr="003A5AF4">
              <w:rPr>
                <w:noProof/>
                <w:color w:val="000000"/>
                <w:sz w:val="22"/>
                <w:lang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20"/>
                <w:szCs w:val="20"/>
                <w:lang w:eastAsia="en-IE"/>
              </w:rPr>
            </w:pPr>
            <w:r w:rsidRPr="003A5AF4">
              <w:rPr>
                <w:noProof/>
                <w:color w:val="000000"/>
                <w:sz w:val="20"/>
                <w:szCs w:val="20"/>
                <w:lang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 xml:space="preserve">TOTAL DG </w:t>
            </w:r>
            <w:r w:rsidRPr="003A5AF4">
              <w:rPr>
                <w:noProof/>
                <w:color w:val="000000"/>
                <w:sz w:val="22"/>
                <w:lang w:eastAsia="en-IE"/>
              </w:rPr>
              <w:t>&lt;…….&gt;</w:t>
            </w:r>
          </w:p>
        </w:tc>
        <w:tc>
          <w:tcPr>
            <w:tcW w:w="3487" w:type="dxa"/>
            <w:gridSpan w:val="3"/>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8"/>
                <w:szCs w:val="18"/>
                <w:lang w:eastAsia="en-IE"/>
              </w:rPr>
            </w:pPr>
            <w:r w:rsidRPr="003A5AF4">
              <w:rPr>
                <w:noProof/>
                <w:color w:val="000000"/>
                <w:sz w:val="18"/>
                <w:szCs w:val="18"/>
                <w:lang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r w:rsidR="00F5502B" w:rsidRPr="003A5AF4" w:rsidTr="00425340">
        <w:trPr>
          <w:trHeight w:val="300"/>
        </w:trPr>
        <w:tc>
          <w:tcPr>
            <w:tcW w:w="4405"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right"/>
              <w:rPr>
                <w:b/>
                <w:bCs/>
                <w:noProof/>
                <w:color w:val="000000"/>
                <w:sz w:val="20"/>
                <w:szCs w:val="20"/>
                <w:lang w:eastAsia="en-IE"/>
              </w:rPr>
            </w:pPr>
          </w:p>
        </w:tc>
        <w:tc>
          <w:tcPr>
            <w:tcW w:w="2477"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c>
          <w:tcPr>
            <w:tcW w:w="1244" w:type="dxa"/>
            <w:tcBorders>
              <w:top w:val="nil"/>
              <w:left w:val="nil"/>
              <w:bottom w:val="nil"/>
              <w:right w:val="nil"/>
            </w:tcBorders>
            <w:shd w:val="clear" w:color="auto" w:fill="auto"/>
            <w:noWrap/>
            <w:vAlign w:val="bottom"/>
            <w:hideMark/>
          </w:tcPr>
          <w:p w:rsidR="00F5502B" w:rsidRPr="003A5AF4" w:rsidRDefault="00F5502B" w:rsidP="00425340">
            <w:pPr>
              <w:spacing w:before="0" w:after="0"/>
              <w:jc w:val="left"/>
              <w:rPr>
                <w:noProof/>
                <w:sz w:val="20"/>
                <w:szCs w:val="20"/>
                <w:lang w:eastAsia="en-IE"/>
              </w:rPr>
            </w:pPr>
          </w:p>
        </w:tc>
      </w:tr>
      <w:tr w:rsidR="00F5502B" w:rsidRPr="003A5AF4" w:rsidTr="00425340">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 xml:space="preserve">TOTAL appropriations under HEADING 7 of the multiannual financial framework </w:t>
            </w:r>
          </w:p>
        </w:tc>
        <w:tc>
          <w:tcPr>
            <w:tcW w:w="1010" w:type="dxa"/>
            <w:gridSpan w:val="2"/>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20"/>
                <w:szCs w:val="20"/>
                <w:lang w:eastAsia="en-IE"/>
              </w:rPr>
            </w:pPr>
            <w:r w:rsidRPr="003A5AF4">
              <w:rPr>
                <w:b/>
                <w:bCs/>
                <w:noProof/>
                <w:color w:val="000000"/>
                <w:sz w:val="20"/>
                <w:szCs w:val="20"/>
                <w:lang w:eastAsia="en-IE"/>
              </w:rPr>
              <w:t>0.000</w:t>
            </w:r>
          </w:p>
        </w:tc>
      </w:tr>
    </w:tbl>
    <w:p w:rsidR="00F5502B" w:rsidRPr="003A5AF4" w:rsidRDefault="00F5502B" w:rsidP="00E923B5">
      <w:pPr>
        <w:jc w:val="right"/>
        <w:rPr>
          <w:noProof/>
          <w:sz w:val="20"/>
        </w:rPr>
      </w:pPr>
      <w:r w:rsidRPr="003A5AF4">
        <w:rPr>
          <w:noProof/>
          <w:sz w:val="20"/>
        </w:rPr>
        <w:t>EUR million (to three decimal places)</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F5502B" w:rsidRPr="003A5AF4" w:rsidTr="00425340">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Cs w:val="24"/>
                <w:lang w:eastAsia="en-IE"/>
              </w:rPr>
            </w:pPr>
            <w:r w:rsidRPr="003A5AF4">
              <w:rPr>
                <w:noProof/>
                <w:color w:val="000000"/>
                <w:szCs w:val="24"/>
                <w:lang w:eastAsia="en-IE"/>
              </w:rPr>
              <w:t> </w:t>
            </w:r>
          </w:p>
        </w:tc>
        <w:tc>
          <w:tcPr>
            <w:tcW w:w="11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1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1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1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14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TOTAL MFF 2021-2027</w:t>
            </w:r>
          </w:p>
        </w:tc>
      </w:tr>
      <w:tr w:rsidR="00F5502B" w:rsidRPr="003A5AF4" w:rsidTr="00425340">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11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11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11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F5502B" w:rsidRPr="003A5AF4" w:rsidRDefault="00F5502B" w:rsidP="00425340">
            <w:pPr>
              <w:spacing w:before="0" w:after="0"/>
              <w:jc w:val="left"/>
              <w:rPr>
                <w:b/>
                <w:bCs/>
                <w:noProof/>
                <w:color w:val="000000"/>
                <w:sz w:val="20"/>
                <w:szCs w:val="20"/>
                <w:lang w:eastAsia="en-IE"/>
              </w:rPr>
            </w:pPr>
          </w:p>
        </w:tc>
      </w:tr>
      <w:tr w:rsidR="00F5502B" w:rsidRPr="003A5AF4" w:rsidTr="00425340">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F5502B" w:rsidRPr="003A5AF4" w:rsidRDefault="00F5502B" w:rsidP="00425340">
            <w:pPr>
              <w:spacing w:before="0" w:after="0"/>
              <w:jc w:val="center"/>
              <w:rPr>
                <w:b/>
                <w:bCs/>
                <w:noProof/>
                <w:color w:val="000000"/>
                <w:sz w:val="22"/>
                <w:lang w:eastAsia="en-IE"/>
              </w:rPr>
            </w:pPr>
            <w:r w:rsidRPr="003A5AF4">
              <w:rPr>
                <w:b/>
                <w:bCs/>
                <w:noProof/>
                <w:color w:val="000000"/>
                <w:sz w:val="22"/>
                <w:lang w:eastAsia="en-IE"/>
              </w:rPr>
              <w:t>TOTAL appropriations under HEADINGS 1 to 7</w:t>
            </w:r>
          </w:p>
        </w:tc>
        <w:tc>
          <w:tcPr>
            <w:tcW w:w="1920" w:type="dxa"/>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Commitments</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r>
      <w:tr w:rsidR="00F5502B" w:rsidRPr="003A5AF4" w:rsidTr="00425340">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F5502B" w:rsidRPr="003A5AF4" w:rsidRDefault="00F5502B" w:rsidP="00425340">
            <w:pPr>
              <w:spacing w:before="0" w:after="0"/>
              <w:jc w:val="center"/>
              <w:rPr>
                <w:noProof/>
                <w:color w:val="000000"/>
                <w:sz w:val="22"/>
                <w:lang w:eastAsia="en-IE"/>
              </w:rPr>
            </w:pPr>
            <w:r w:rsidRPr="003A5AF4">
              <w:rPr>
                <w:noProof/>
                <w:color w:val="000000"/>
                <w:sz w:val="22"/>
                <w:lang w:eastAsia="en-IE"/>
              </w:rPr>
              <w:t>of the multiannual financial framework</w:t>
            </w:r>
            <w:r w:rsidRPr="003A5AF4">
              <w:rPr>
                <w:b/>
                <w:bCs/>
                <w:noProof/>
                <w:color w:val="000000"/>
                <w:sz w:val="22"/>
                <w:lang w:eastAsia="en-IE"/>
              </w:rPr>
              <w:t xml:space="preserve"> </w:t>
            </w:r>
          </w:p>
        </w:tc>
        <w:tc>
          <w:tcPr>
            <w:tcW w:w="1920" w:type="dxa"/>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rPr>
                <w:noProof/>
                <w:color w:val="000000"/>
                <w:sz w:val="18"/>
                <w:szCs w:val="18"/>
                <w:lang w:eastAsia="en-IE"/>
              </w:rPr>
            </w:pPr>
            <w:r w:rsidRPr="003A5AF4">
              <w:rPr>
                <w:noProof/>
                <w:color w:val="000000"/>
                <w:sz w:val="18"/>
                <w:szCs w:val="18"/>
                <w:lang w:eastAsia="en-IE"/>
              </w:rPr>
              <w:t>Payments</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Cs w:val="24"/>
                <w:lang w:eastAsia="en-IE"/>
              </w:rPr>
            </w:pPr>
            <w:r w:rsidRPr="003A5AF4">
              <w:rPr>
                <w:b/>
                <w:bCs/>
                <w:noProof/>
                <w:color w:val="000000"/>
                <w:szCs w:val="24"/>
                <w:lang w:eastAsia="en-IE"/>
              </w:rPr>
              <w:t>0.000</w:t>
            </w:r>
          </w:p>
        </w:tc>
      </w:tr>
    </w:tbl>
    <w:p w:rsidR="00F5502B" w:rsidRPr="003A5AF4" w:rsidRDefault="00F5502B" w:rsidP="00E923B5">
      <w:pPr>
        <w:pStyle w:val="ManualHeading3"/>
        <w:rPr>
          <w:bCs/>
          <w:noProof/>
          <w:szCs w:val="24"/>
        </w:rPr>
      </w:pPr>
      <w:bookmarkStart w:id="151" w:name="_Toc514938054"/>
      <w:bookmarkStart w:id="152" w:name="_Toc520485053"/>
      <w:bookmarkStart w:id="153" w:name="_Toc160804597"/>
      <w:bookmarkStart w:id="154" w:name="_Toc167220289"/>
      <w:bookmarkStart w:id="155" w:name="_Toc177549022"/>
      <w:r w:rsidRPr="003A5AF4">
        <w:rPr>
          <w:noProof/>
        </w:rPr>
        <w:t>3.2.2.</w:t>
      </w:r>
      <w:r w:rsidRPr="003A5AF4">
        <w:rPr>
          <w:noProof/>
        </w:rPr>
        <w:tab/>
        <w:t>Estimated output funded from operational appropriations</w:t>
      </w:r>
      <w:bookmarkEnd w:id="151"/>
      <w:bookmarkEnd w:id="152"/>
      <w:r w:rsidRPr="003A5AF4">
        <w:rPr>
          <w:noProof/>
        </w:rPr>
        <w:t xml:space="preserve"> (not to be completed for decentralised agencies)</w:t>
      </w:r>
      <w:bookmarkEnd w:id="153"/>
      <w:bookmarkEnd w:id="154"/>
      <w:bookmarkEnd w:id="155"/>
    </w:p>
    <w:p w:rsidR="00F5502B" w:rsidRPr="003A5AF4" w:rsidRDefault="00F5502B" w:rsidP="00E923B5">
      <w:pPr>
        <w:jc w:val="right"/>
        <w:rPr>
          <w:noProof/>
          <w:sz w:val="20"/>
        </w:rPr>
      </w:pPr>
      <w:r w:rsidRPr="003A5AF4">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F5502B" w:rsidRPr="003A5AF4" w:rsidTr="00425340">
        <w:trPr>
          <w:jc w:val="center"/>
        </w:trPr>
        <w:tc>
          <w:tcPr>
            <w:tcW w:w="1423" w:type="dxa"/>
            <w:vMerge w:val="restart"/>
            <w:vAlign w:val="center"/>
          </w:tcPr>
          <w:p w:rsidR="00F5502B" w:rsidRPr="003A5AF4" w:rsidRDefault="00F5502B" w:rsidP="00425340">
            <w:pPr>
              <w:ind w:right="-29"/>
              <w:jc w:val="center"/>
              <w:rPr>
                <w:b/>
                <w:noProof/>
                <w:sz w:val="18"/>
                <w:szCs w:val="18"/>
              </w:rPr>
            </w:pPr>
            <w:r w:rsidRPr="003A5AF4">
              <w:rPr>
                <w:b/>
                <w:noProof/>
                <w:sz w:val="18"/>
              </w:rPr>
              <w:t xml:space="preserve">Indicate objectives and outputs </w:t>
            </w:r>
          </w:p>
          <w:p w:rsidR="00F5502B" w:rsidRPr="003A5AF4" w:rsidRDefault="00F5502B" w:rsidP="00425340">
            <w:pPr>
              <w:ind w:right="-29"/>
              <w:jc w:val="center"/>
              <w:rPr>
                <w:b/>
                <w:noProof/>
                <w:sz w:val="18"/>
                <w:szCs w:val="18"/>
              </w:rPr>
            </w:pPr>
          </w:p>
          <w:p w:rsidR="00F5502B" w:rsidRPr="003A5AF4" w:rsidRDefault="00F5502B" w:rsidP="00425340">
            <w:pPr>
              <w:ind w:right="-29"/>
              <w:jc w:val="center"/>
              <w:rPr>
                <w:noProof/>
                <w:sz w:val="18"/>
                <w:szCs w:val="18"/>
              </w:rPr>
            </w:pPr>
            <w:r w:rsidRPr="003A5AF4">
              <w:rPr>
                <w:rFonts w:ascii="Wingdings" w:eastAsia="Wingdings" w:hAnsi="Wingdings" w:cs="Wingdings"/>
                <w:noProof/>
                <w:sz w:val="18"/>
              </w:rPr>
              <w:t></w:t>
            </w:r>
          </w:p>
        </w:tc>
        <w:tc>
          <w:tcPr>
            <w:tcW w:w="720" w:type="dxa"/>
            <w:vAlign w:val="center"/>
          </w:tcPr>
          <w:p w:rsidR="00F5502B" w:rsidRPr="003A5AF4" w:rsidRDefault="00F5502B" w:rsidP="00425340">
            <w:pPr>
              <w:ind w:right="-29"/>
              <w:jc w:val="center"/>
              <w:rPr>
                <w:noProof/>
                <w:sz w:val="18"/>
                <w:szCs w:val="18"/>
              </w:rPr>
            </w:pPr>
          </w:p>
        </w:tc>
        <w:tc>
          <w:tcPr>
            <w:tcW w:w="701" w:type="dxa"/>
            <w:vAlign w:val="center"/>
          </w:tcPr>
          <w:p w:rsidR="00F5502B" w:rsidRPr="003A5AF4" w:rsidRDefault="00F5502B" w:rsidP="00425340">
            <w:pPr>
              <w:ind w:right="-29"/>
              <w:jc w:val="center"/>
              <w:rPr>
                <w:noProof/>
                <w:sz w:val="18"/>
                <w:szCs w:val="18"/>
              </w:rPr>
            </w:pPr>
          </w:p>
        </w:tc>
        <w:tc>
          <w:tcPr>
            <w:tcW w:w="1224" w:type="dxa"/>
            <w:gridSpan w:val="2"/>
            <w:tcBorders>
              <w:left w:val="nil"/>
            </w:tcBorders>
            <w:vAlign w:val="center"/>
          </w:tcPr>
          <w:p w:rsidR="00F5502B" w:rsidRPr="003A5AF4" w:rsidRDefault="00F5502B" w:rsidP="00425340">
            <w:pPr>
              <w:ind w:right="-29"/>
              <w:jc w:val="center"/>
              <w:rPr>
                <w:noProof/>
                <w:sz w:val="18"/>
                <w:szCs w:val="18"/>
              </w:rPr>
            </w:pPr>
            <w:r w:rsidRPr="003A5AF4">
              <w:rPr>
                <w:noProof/>
                <w:sz w:val="18"/>
              </w:rPr>
              <w:t xml:space="preserve">Year </w:t>
            </w:r>
            <w:r w:rsidRPr="003A5AF4">
              <w:rPr>
                <w:noProof/>
                <w:sz w:val="22"/>
              </w:rPr>
              <w:br/>
            </w:r>
            <w:r w:rsidRPr="003A5AF4">
              <w:rPr>
                <w:b/>
                <w:noProof/>
                <w:sz w:val="18"/>
              </w:rPr>
              <w:t>2024</w:t>
            </w:r>
          </w:p>
        </w:tc>
        <w:tc>
          <w:tcPr>
            <w:tcW w:w="1260" w:type="dxa"/>
            <w:gridSpan w:val="2"/>
            <w:vAlign w:val="center"/>
          </w:tcPr>
          <w:p w:rsidR="00F5502B" w:rsidRPr="003A5AF4" w:rsidRDefault="00F5502B" w:rsidP="00425340">
            <w:pPr>
              <w:ind w:right="-29"/>
              <w:jc w:val="center"/>
              <w:rPr>
                <w:noProof/>
                <w:sz w:val="18"/>
                <w:szCs w:val="18"/>
              </w:rPr>
            </w:pPr>
            <w:r w:rsidRPr="003A5AF4">
              <w:rPr>
                <w:noProof/>
                <w:sz w:val="18"/>
              </w:rPr>
              <w:t xml:space="preserve">Year </w:t>
            </w:r>
            <w:r w:rsidRPr="003A5AF4">
              <w:rPr>
                <w:noProof/>
                <w:sz w:val="22"/>
              </w:rPr>
              <w:br/>
            </w:r>
            <w:r w:rsidRPr="003A5AF4">
              <w:rPr>
                <w:b/>
                <w:noProof/>
                <w:sz w:val="18"/>
              </w:rPr>
              <w:t>2025</w:t>
            </w:r>
          </w:p>
        </w:tc>
        <w:tc>
          <w:tcPr>
            <w:tcW w:w="1440" w:type="dxa"/>
            <w:gridSpan w:val="2"/>
            <w:vAlign w:val="center"/>
          </w:tcPr>
          <w:p w:rsidR="00F5502B" w:rsidRPr="003A5AF4" w:rsidRDefault="00F5502B" w:rsidP="00425340">
            <w:pPr>
              <w:ind w:right="-29"/>
              <w:jc w:val="center"/>
              <w:rPr>
                <w:noProof/>
                <w:sz w:val="18"/>
                <w:szCs w:val="18"/>
              </w:rPr>
            </w:pPr>
            <w:r w:rsidRPr="003A5AF4">
              <w:rPr>
                <w:noProof/>
                <w:sz w:val="18"/>
              </w:rPr>
              <w:t xml:space="preserve">Year </w:t>
            </w:r>
            <w:r w:rsidRPr="003A5AF4">
              <w:rPr>
                <w:noProof/>
                <w:sz w:val="22"/>
              </w:rPr>
              <w:br/>
            </w:r>
            <w:r w:rsidRPr="003A5AF4">
              <w:rPr>
                <w:b/>
                <w:noProof/>
                <w:sz w:val="18"/>
              </w:rPr>
              <w:t>2026</w:t>
            </w:r>
          </w:p>
        </w:tc>
        <w:tc>
          <w:tcPr>
            <w:tcW w:w="1620" w:type="dxa"/>
            <w:gridSpan w:val="3"/>
            <w:vAlign w:val="center"/>
          </w:tcPr>
          <w:p w:rsidR="00F5502B" w:rsidRPr="003A5AF4" w:rsidRDefault="00F5502B" w:rsidP="00425340">
            <w:pPr>
              <w:ind w:right="-29"/>
              <w:jc w:val="center"/>
              <w:rPr>
                <w:noProof/>
                <w:sz w:val="18"/>
                <w:szCs w:val="18"/>
              </w:rPr>
            </w:pPr>
            <w:r w:rsidRPr="003A5AF4">
              <w:rPr>
                <w:noProof/>
                <w:sz w:val="18"/>
              </w:rPr>
              <w:t xml:space="preserve">Year </w:t>
            </w:r>
            <w:r w:rsidRPr="003A5AF4">
              <w:rPr>
                <w:noProof/>
                <w:sz w:val="22"/>
              </w:rPr>
              <w:br/>
            </w:r>
            <w:r w:rsidRPr="003A5AF4">
              <w:rPr>
                <w:b/>
                <w:noProof/>
                <w:sz w:val="18"/>
              </w:rPr>
              <w:t>2027</w:t>
            </w:r>
          </w:p>
        </w:tc>
        <w:tc>
          <w:tcPr>
            <w:tcW w:w="3600" w:type="dxa"/>
            <w:gridSpan w:val="6"/>
            <w:vAlign w:val="center"/>
          </w:tcPr>
          <w:p w:rsidR="00F5502B" w:rsidRPr="003A5AF4" w:rsidRDefault="00F5502B" w:rsidP="00425340">
            <w:pPr>
              <w:jc w:val="center"/>
              <w:rPr>
                <w:noProof/>
                <w:sz w:val="18"/>
                <w:szCs w:val="18"/>
              </w:rPr>
            </w:pPr>
            <w:r w:rsidRPr="003A5AF4">
              <w:rPr>
                <w:noProof/>
                <w:sz w:val="18"/>
              </w:rPr>
              <w:t>Enter as many years as necessary to show the duration of the impact (see Section1.6)</w:t>
            </w:r>
          </w:p>
        </w:tc>
        <w:tc>
          <w:tcPr>
            <w:tcW w:w="1620" w:type="dxa"/>
            <w:gridSpan w:val="2"/>
            <w:tcBorders>
              <w:left w:val="nil"/>
              <w:bottom w:val="nil"/>
            </w:tcBorders>
            <w:vAlign w:val="center"/>
          </w:tcPr>
          <w:p w:rsidR="00F5502B" w:rsidRPr="003A5AF4" w:rsidRDefault="00F5502B" w:rsidP="00425340">
            <w:pPr>
              <w:ind w:right="-29"/>
              <w:jc w:val="center"/>
              <w:rPr>
                <w:noProof/>
                <w:sz w:val="18"/>
                <w:szCs w:val="18"/>
              </w:rPr>
            </w:pPr>
            <w:r w:rsidRPr="003A5AF4">
              <w:rPr>
                <w:b/>
                <w:noProof/>
                <w:sz w:val="18"/>
              </w:rPr>
              <w:t>TOTAL</w:t>
            </w:r>
          </w:p>
        </w:tc>
      </w:tr>
      <w:tr w:rsidR="00F5502B" w:rsidRPr="003A5AF4" w:rsidTr="00425340">
        <w:trPr>
          <w:jc w:val="center"/>
        </w:trPr>
        <w:tc>
          <w:tcPr>
            <w:tcW w:w="1423" w:type="dxa"/>
            <w:vMerge/>
            <w:vAlign w:val="center"/>
          </w:tcPr>
          <w:p w:rsidR="00F5502B" w:rsidRPr="003A5AF4" w:rsidRDefault="00F5502B" w:rsidP="00425340">
            <w:pPr>
              <w:ind w:right="-29"/>
              <w:jc w:val="center"/>
              <w:rPr>
                <w:noProof/>
                <w:sz w:val="18"/>
                <w:szCs w:val="18"/>
              </w:rPr>
            </w:pPr>
          </w:p>
        </w:tc>
        <w:tc>
          <w:tcPr>
            <w:tcW w:w="12185" w:type="dxa"/>
            <w:gridSpan w:val="19"/>
            <w:vAlign w:val="center"/>
          </w:tcPr>
          <w:p w:rsidR="00F5502B" w:rsidRPr="003A5AF4" w:rsidRDefault="00F5502B" w:rsidP="00425340">
            <w:pPr>
              <w:spacing w:before="60" w:after="60"/>
              <w:ind w:right="-29"/>
              <w:jc w:val="center"/>
              <w:rPr>
                <w:noProof/>
                <w:sz w:val="18"/>
                <w:szCs w:val="18"/>
              </w:rPr>
            </w:pPr>
            <w:r w:rsidRPr="003A5AF4">
              <w:rPr>
                <w:b/>
                <w:noProof/>
                <w:sz w:val="18"/>
              </w:rPr>
              <w:t>OUTPUTS</w:t>
            </w:r>
          </w:p>
        </w:tc>
      </w:tr>
      <w:tr w:rsidR="00F5502B" w:rsidRPr="003A5AF4" w:rsidTr="00425340">
        <w:trPr>
          <w:cantSplit/>
          <w:trHeight w:val="1134"/>
          <w:jc w:val="center"/>
        </w:trPr>
        <w:tc>
          <w:tcPr>
            <w:tcW w:w="1423" w:type="dxa"/>
            <w:vMerge/>
            <w:vAlign w:val="center"/>
          </w:tcPr>
          <w:p w:rsidR="00F5502B" w:rsidRPr="003A5AF4" w:rsidRDefault="00F5502B" w:rsidP="00425340">
            <w:pPr>
              <w:rPr>
                <w:noProof/>
                <w:sz w:val="18"/>
                <w:szCs w:val="18"/>
              </w:rPr>
            </w:pPr>
          </w:p>
        </w:tc>
        <w:tc>
          <w:tcPr>
            <w:tcW w:w="720" w:type="dxa"/>
            <w:vAlign w:val="center"/>
          </w:tcPr>
          <w:p w:rsidR="00F5502B" w:rsidRPr="003A5AF4" w:rsidRDefault="00F5502B" w:rsidP="00425340">
            <w:pPr>
              <w:jc w:val="center"/>
              <w:rPr>
                <w:noProof/>
                <w:sz w:val="18"/>
                <w:szCs w:val="18"/>
              </w:rPr>
            </w:pPr>
            <w:r w:rsidRPr="003A5AF4">
              <w:rPr>
                <w:noProof/>
                <w:sz w:val="18"/>
              </w:rPr>
              <w:t>Type</w:t>
            </w:r>
            <w:r w:rsidRPr="003A5AF4">
              <w:rPr>
                <w:rStyle w:val="FootnoteReference"/>
                <w:noProof/>
                <w:sz w:val="18"/>
              </w:rPr>
              <w:footnoteReference w:id="38"/>
            </w:r>
          </w:p>
          <w:p w:rsidR="00F5502B" w:rsidRPr="003A5AF4" w:rsidRDefault="00F5502B" w:rsidP="00425340">
            <w:pPr>
              <w:spacing w:before="0" w:after="0"/>
              <w:jc w:val="center"/>
              <w:rPr>
                <w:noProof/>
                <w:sz w:val="18"/>
                <w:szCs w:val="18"/>
              </w:rPr>
            </w:pPr>
          </w:p>
        </w:tc>
        <w:tc>
          <w:tcPr>
            <w:tcW w:w="701" w:type="dxa"/>
            <w:vAlign w:val="center"/>
          </w:tcPr>
          <w:p w:rsidR="00F5502B" w:rsidRPr="003A5AF4" w:rsidRDefault="00F5502B" w:rsidP="00425340">
            <w:pPr>
              <w:jc w:val="center"/>
              <w:rPr>
                <w:noProof/>
                <w:sz w:val="18"/>
                <w:szCs w:val="18"/>
              </w:rPr>
            </w:pPr>
            <w:r w:rsidRPr="003A5AF4">
              <w:rPr>
                <w:noProof/>
                <w:sz w:val="18"/>
              </w:rPr>
              <w:t>Average cost</w:t>
            </w:r>
          </w:p>
        </w:tc>
        <w:tc>
          <w:tcPr>
            <w:tcW w:w="504" w:type="dxa"/>
            <w:tcBorders>
              <w:left w:val="nil"/>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720"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540" w:type="dxa"/>
            <w:tcBorders>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720"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720" w:type="dxa"/>
            <w:tcBorders>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720"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900" w:type="dxa"/>
            <w:tcBorders>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720" w:type="dxa"/>
            <w:gridSpan w:val="2"/>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540" w:type="dxa"/>
            <w:tcBorders>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648"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432" w:type="dxa"/>
            <w:tcBorders>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720"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540" w:type="dxa"/>
            <w:tcBorders>
              <w:right w:val="dashSmallGap" w:sz="4" w:space="0" w:color="auto"/>
            </w:tcBorders>
            <w:shd w:val="pct10" w:color="auto" w:fill="auto"/>
            <w:textDirection w:val="btLr"/>
            <w:vAlign w:val="center"/>
          </w:tcPr>
          <w:p w:rsidR="00F5502B" w:rsidRPr="003A5AF4" w:rsidRDefault="00F5502B" w:rsidP="00425340">
            <w:pPr>
              <w:ind w:left="113" w:right="113"/>
              <w:jc w:val="center"/>
              <w:rPr>
                <w:noProof/>
                <w:sz w:val="18"/>
                <w:szCs w:val="18"/>
              </w:rPr>
            </w:pPr>
            <w:r w:rsidRPr="003A5AF4">
              <w:rPr>
                <w:noProof/>
                <w:sz w:val="18"/>
              </w:rPr>
              <w:t>No</w:t>
            </w:r>
          </w:p>
        </w:tc>
        <w:tc>
          <w:tcPr>
            <w:tcW w:w="720"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Cost</w:t>
            </w:r>
          </w:p>
        </w:tc>
        <w:tc>
          <w:tcPr>
            <w:tcW w:w="720" w:type="dxa"/>
            <w:tcBorders>
              <w:righ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Total No</w:t>
            </w:r>
          </w:p>
        </w:tc>
        <w:tc>
          <w:tcPr>
            <w:tcW w:w="900" w:type="dxa"/>
            <w:tcBorders>
              <w:left w:val="dashSmallGap" w:sz="4" w:space="0" w:color="auto"/>
            </w:tcBorders>
            <w:shd w:val="pct10" w:color="auto" w:fill="auto"/>
            <w:vAlign w:val="center"/>
          </w:tcPr>
          <w:p w:rsidR="00F5502B" w:rsidRPr="003A5AF4" w:rsidRDefault="00F5502B" w:rsidP="00425340">
            <w:pPr>
              <w:jc w:val="center"/>
              <w:rPr>
                <w:noProof/>
                <w:sz w:val="18"/>
                <w:szCs w:val="18"/>
              </w:rPr>
            </w:pPr>
            <w:r w:rsidRPr="003A5AF4">
              <w:rPr>
                <w:noProof/>
                <w:sz w:val="18"/>
              </w:rPr>
              <w:t>Total cost</w:t>
            </w:r>
          </w:p>
        </w:tc>
      </w:tr>
      <w:tr w:rsidR="00F5502B" w:rsidRPr="003A5AF4" w:rsidTr="00425340">
        <w:trPr>
          <w:jc w:val="center"/>
        </w:trPr>
        <w:tc>
          <w:tcPr>
            <w:tcW w:w="2844" w:type="dxa"/>
            <w:gridSpan w:val="3"/>
            <w:vAlign w:val="center"/>
          </w:tcPr>
          <w:p w:rsidR="00F5502B" w:rsidRPr="003A5AF4" w:rsidRDefault="00F5502B" w:rsidP="00425340">
            <w:pPr>
              <w:spacing w:before="60" w:after="60"/>
              <w:ind w:right="-29"/>
              <w:jc w:val="center"/>
              <w:rPr>
                <w:noProof/>
                <w:sz w:val="18"/>
                <w:szCs w:val="18"/>
              </w:rPr>
            </w:pPr>
            <w:r w:rsidRPr="003A5AF4">
              <w:rPr>
                <w:noProof/>
                <w:sz w:val="18"/>
              </w:rPr>
              <w:t>SPECIFIC OBJECTIVE No 1</w:t>
            </w:r>
            <w:r w:rsidRPr="003A5AF4">
              <w:rPr>
                <w:rStyle w:val="FootnoteReference"/>
                <w:noProof/>
                <w:sz w:val="18"/>
              </w:rPr>
              <w:footnoteReference w:id="39"/>
            </w:r>
            <w:r w:rsidRPr="003A5AF4">
              <w:rPr>
                <w:noProof/>
                <w:sz w:val="18"/>
              </w:rPr>
              <w:t>…</w:t>
            </w:r>
          </w:p>
        </w:tc>
        <w:tc>
          <w:tcPr>
            <w:tcW w:w="504"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gridSpan w:val="2"/>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648"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432"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r>
      <w:tr w:rsidR="00F5502B" w:rsidRPr="003A5AF4" w:rsidTr="00425340">
        <w:trPr>
          <w:trHeight w:hRule="exact" w:val="369"/>
          <w:jc w:val="center"/>
        </w:trPr>
        <w:tc>
          <w:tcPr>
            <w:tcW w:w="1423" w:type="dxa"/>
          </w:tcPr>
          <w:p w:rsidR="00F5502B" w:rsidRPr="003A5AF4" w:rsidRDefault="00F5502B" w:rsidP="00425340">
            <w:pPr>
              <w:ind w:right="-29"/>
              <w:jc w:val="center"/>
              <w:rPr>
                <w:noProof/>
                <w:sz w:val="18"/>
                <w:szCs w:val="18"/>
              </w:rPr>
            </w:pPr>
            <w:r w:rsidRPr="003A5AF4">
              <w:rPr>
                <w:noProof/>
                <w:sz w:val="18"/>
              </w:rPr>
              <w:t>- Output</w:t>
            </w:r>
          </w:p>
        </w:tc>
        <w:tc>
          <w:tcPr>
            <w:tcW w:w="720" w:type="dxa"/>
          </w:tcPr>
          <w:p w:rsidR="00F5502B" w:rsidRPr="003A5AF4" w:rsidRDefault="00F5502B" w:rsidP="00425340">
            <w:pPr>
              <w:ind w:right="-29"/>
              <w:jc w:val="center"/>
              <w:rPr>
                <w:noProof/>
                <w:sz w:val="18"/>
                <w:szCs w:val="18"/>
              </w:rPr>
            </w:pPr>
          </w:p>
        </w:tc>
        <w:tc>
          <w:tcPr>
            <w:tcW w:w="701" w:type="dxa"/>
          </w:tcPr>
          <w:p w:rsidR="00F5502B" w:rsidRPr="003A5AF4" w:rsidRDefault="00F5502B" w:rsidP="00425340">
            <w:pPr>
              <w:ind w:right="-29"/>
              <w:jc w:val="center"/>
              <w:rPr>
                <w:noProof/>
                <w:sz w:val="18"/>
                <w:szCs w:val="18"/>
              </w:rPr>
            </w:pPr>
          </w:p>
        </w:tc>
        <w:tc>
          <w:tcPr>
            <w:tcW w:w="504"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540"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720"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900" w:type="dxa"/>
            <w:tcBorders>
              <w:right w:val="dashSmallGap" w:sz="4" w:space="0" w:color="auto"/>
            </w:tcBorders>
          </w:tcPr>
          <w:p w:rsidR="00F5502B" w:rsidRPr="003A5AF4" w:rsidRDefault="00F5502B" w:rsidP="00425340">
            <w:pPr>
              <w:ind w:right="-29"/>
              <w:jc w:val="center"/>
              <w:rPr>
                <w:noProof/>
                <w:sz w:val="18"/>
                <w:szCs w:val="18"/>
              </w:rPr>
            </w:pPr>
          </w:p>
        </w:tc>
        <w:tc>
          <w:tcPr>
            <w:tcW w:w="720" w:type="dxa"/>
            <w:gridSpan w:val="2"/>
            <w:tcBorders>
              <w:left w:val="dashSmallGap" w:sz="4" w:space="0" w:color="auto"/>
            </w:tcBorders>
          </w:tcPr>
          <w:p w:rsidR="00F5502B" w:rsidRPr="003A5AF4" w:rsidRDefault="00F5502B" w:rsidP="00425340">
            <w:pPr>
              <w:ind w:right="-29"/>
              <w:jc w:val="center"/>
              <w:rPr>
                <w:noProof/>
                <w:sz w:val="18"/>
                <w:szCs w:val="18"/>
              </w:rPr>
            </w:pPr>
          </w:p>
        </w:tc>
        <w:tc>
          <w:tcPr>
            <w:tcW w:w="540" w:type="dxa"/>
            <w:tcBorders>
              <w:right w:val="dashSmallGap" w:sz="4" w:space="0" w:color="auto"/>
            </w:tcBorders>
          </w:tcPr>
          <w:p w:rsidR="00F5502B" w:rsidRPr="003A5AF4" w:rsidRDefault="00F5502B" w:rsidP="00425340">
            <w:pPr>
              <w:ind w:right="-29"/>
              <w:jc w:val="center"/>
              <w:rPr>
                <w:noProof/>
                <w:sz w:val="18"/>
                <w:szCs w:val="18"/>
              </w:rPr>
            </w:pPr>
          </w:p>
        </w:tc>
        <w:tc>
          <w:tcPr>
            <w:tcW w:w="648" w:type="dxa"/>
            <w:tcBorders>
              <w:left w:val="dashSmallGap" w:sz="4" w:space="0" w:color="auto"/>
            </w:tcBorders>
          </w:tcPr>
          <w:p w:rsidR="00F5502B" w:rsidRPr="003A5AF4" w:rsidRDefault="00F5502B" w:rsidP="00425340">
            <w:pPr>
              <w:ind w:right="-29"/>
              <w:jc w:val="center"/>
              <w:rPr>
                <w:noProof/>
                <w:sz w:val="18"/>
                <w:szCs w:val="18"/>
              </w:rPr>
            </w:pPr>
          </w:p>
        </w:tc>
        <w:tc>
          <w:tcPr>
            <w:tcW w:w="432"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540"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900" w:type="dxa"/>
          </w:tcPr>
          <w:p w:rsidR="00F5502B" w:rsidRPr="003A5AF4" w:rsidRDefault="00F5502B" w:rsidP="00425340">
            <w:pPr>
              <w:ind w:right="-29"/>
              <w:jc w:val="center"/>
              <w:rPr>
                <w:noProof/>
                <w:sz w:val="18"/>
                <w:szCs w:val="18"/>
              </w:rPr>
            </w:pPr>
          </w:p>
        </w:tc>
      </w:tr>
      <w:tr w:rsidR="00F5502B" w:rsidRPr="003A5AF4" w:rsidTr="00425340">
        <w:trPr>
          <w:trHeight w:hRule="exact" w:val="369"/>
          <w:jc w:val="center"/>
        </w:trPr>
        <w:tc>
          <w:tcPr>
            <w:tcW w:w="1423" w:type="dxa"/>
          </w:tcPr>
          <w:p w:rsidR="00F5502B" w:rsidRPr="003A5AF4" w:rsidRDefault="00F5502B" w:rsidP="00425340">
            <w:pPr>
              <w:ind w:right="-29"/>
              <w:jc w:val="center"/>
              <w:rPr>
                <w:noProof/>
                <w:sz w:val="18"/>
                <w:szCs w:val="18"/>
              </w:rPr>
            </w:pPr>
            <w:r w:rsidRPr="003A5AF4">
              <w:rPr>
                <w:noProof/>
                <w:sz w:val="18"/>
              </w:rPr>
              <w:t>- Output</w:t>
            </w:r>
          </w:p>
        </w:tc>
        <w:tc>
          <w:tcPr>
            <w:tcW w:w="720" w:type="dxa"/>
          </w:tcPr>
          <w:p w:rsidR="00F5502B" w:rsidRPr="003A5AF4" w:rsidRDefault="00F5502B" w:rsidP="00425340">
            <w:pPr>
              <w:ind w:right="-29"/>
              <w:jc w:val="center"/>
              <w:rPr>
                <w:noProof/>
                <w:sz w:val="18"/>
                <w:szCs w:val="18"/>
              </w:rPr>
            </w:pPr>
          </w:p>
        </w:tc>
        <w:tc>
          <w:tcPr>
            <w:tcW w:w="701" w:type="dxa"/>
          </w:tcPr>
          <w:p w:rsidR="00F5502B" w:rsidRPr="003A5AF4" w:rsidRDefault="00F5502B" w:rsidP="00425340">
            <w:pPr>
              <w:ind w:right="-29"/>
              <w:jc w:val="center"/>
              <w:rPr>
                <w:noProof/>
                <w:sz w:val="18"/>
                <w:szCs w:val="18"/>
              </w:rPr>
            </w:pPr>
          </w:p>
        </w:tc>
        <w:tc>
          <w:tcPr>
            <w:tcW w:w="504"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540"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720"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900" w:type="dxa"/>
            <w:tcBorders>
              <w:right w:val="dashSmallGap" w:sz="4" w:space="0" w:color="auto"/>
            </w:tcBorders>
          </w:tcPr>
          <w:p w:rsidR="00F5502B" w:rsidRPr="003A5AF4" w:rsidRDefault="00F5502B" w:rsidP="00425340">
            <w:pPr>
              <w:ind w:right="-29"/>
              <w:jc w:val="center"/>
              <w:rPr>
                <w:noProof/>
                <w:sz w:val="18"/>
                <w:szCs w:val="18"/>
              </w:rPr>
            </w:pPr>
          </w:p>
        </w:tc>
        <w:tc>
          <w:tcPr>
            <w:tcW w:w="720" w:type="dxa"/>
            <w:gridSpan w:val="2"/>
            <w:tcBorders>
              <w:left w:val="dashSmallGap" w:sz="4" w:space="0" w:color="auto"/>
            </w:tcBorders>
          </w:tcPr>
          <w:p w:rsidR="00F5502B" w:rsidRPr="003A5AF4" w:rsidRDefault="00F5502B" w:rsidP="00425340">
            <w:pPr>
              <w:ind w:right="-29"/>
              <w:jc w:val="center"/>
              <w:rPr>
                <w:noProof/>
                <w:sz w:val="18"/>
                <w:szCs w:val="18"/>
              </w:rPr>
            </w:pPr>
          </w:p>
        </w:tc>
        <w:tc>
          <w:tcPr>
            <w:tcW w:w="540" w:type="dxa"/>
            <w:tcBorders>
              <w:right w:val="dashSmallGap" w:sz="4" w:space="0" w:color="auto"/>
            </w:tcBorders>
          </w:tcPr>
          <w:p w:rsidR="00F5502B" w:rsidRPr="003A5AF4" w:rsidRDefault="00F5502B" w:rsidP="00425340">
            <w:pPr>
              <w:ind w:right="-29"/>
              <w:jc w:val="center"/>
              <w:rPr>
                <w:noProof/>
                <w:sz w:val="18"/>
                <w:szCs w:val="18"/>
              </w:rPr>
            </w:pPr>
          </w:p>
        </w:tc>
        <w:tc>
          <w:tcPr>
            <w:tcW w:w="648" w:type="dxa"/>
            <w:tcBorders>
              <w:left w:val="dashSmallGap" w:sz="4" w:space="0" w:color="auto"/>
            </w:tcBorders>
          </w:tcPr>
          <w:p w:rsidR="00F5502B" w:rsidRPr="003A5AF4" w:rsidRDefault="00F5502B" w:rsidP="00425340">
            <w:pPr>
              <w:ind w:right="-29"/>
              <w:jc w:val="center"/>
              <w:rPr>
                <w:noProof/>
                <w:sz w:val="18"/>
                <w:szCs w:val="18"/>
              </w:rPr>
            </w:pPr>
          </w:p>
        </w:tc>
        <w:tc>
          <w:tcPr>
            <w:tcW w:w="432"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540" w:type="dxa"/>
            <w:tcBorders>
              <w:right w:val="dashSmallGap" w:sz="4" w:space="0" w:color="auto"/>
            </w:tcBorders>
          </w:tcPr>
          <w:p w:rsidR="00F5502B" w:rsidRPr="003A5AF4" w:rsidRDefault="00F5502B" w:rsidP="00425340">
            <w:pPr>
              <w:ind w:right="-29"/>
              <w:jc w:val="center"/>
              <w:rPr>
                <w:noProof/>
                <w:sz w:val="18"/>
                <w:szCs w:val="18"/>
              </w:rPr>
            </w:pPr>
          </w:p>
        </w:tc>
        <w:tc>
          <w:tcPr>
            <w:tcW w:w="720" w:type="dxa"/>
            <w:tcBorders>
              <w:left w:val="dashSmallGap" w:sz="4" w:space="0" w:color="auto"/>
            </w:tcBorders>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900" w:type="dxa"/>
          </w:tcPr>
          <w:p w:rsidR="00F5502B" w:rsidRPr="003A5AF4" w:rsidRDefault="00F5502B" w:rsidP="00425340">
            <w:pPr>
              <w:ind w:right="-29"/>
              <w:jc w:val="center"/>
              <w:rPr>
                <w:noProof/>
                <w:sz w:val="18"/>
                <w:szCs w:val="18"/>
              </w:rPr>
            </w:pPr>
          </w:p>
        </w:tc>
      </w:tr>
      <w:tr w:rsidR="00F5502B" w:rsidRPr="003A5AF4" w:rsidTr="00425340">
        <w:trPr>
          <w:trHeight w:hRule="exact" w:val="369"/>
          <w:jc w:val="center"/>
        </w:trPr>
        <w:tc>
          <w:tcPr>
            <w:tcW w:w="1423" w:type="dxa"/>
          </w:tcPr>
          <w:p w:rsidR="00F5502B" w:rsidRPr="003A5AF4" w:rsidRDefault="00F5502B" w:rsidP="00425340">
            <w:pPr>
              <w:ind w:right="-29"/>
              <w:jc w:val="center"/>
              <w:rPr>
                <w:noProof/>
                <w:sz w:val="18"/>
                <w:szCs w:val="18"/>
              </w:rPr>
            </w:pPr>
            <w:r w:rsidRPr="003A5AF4">
              <w:rPr>
                <w:noProof/>
                <w:sz w:val="18"/>
              </w:rPr>
              <w:t>- Output</w:t>
            </w:r>
          </w:p>
        </w:tc>
        <w:tc>
          <w:tcPr>
            <w:tcW w:w="720" w:type="dxa"/>
          </w:tcPr>
          <w:p w:rsidR="00F5502B" w:rsidRPr="003A5AF4" w:rsidRDefault="00F5502B" w:rsidP="00425340">
            <w:pPr>
              <w:ind w:right="-29"/>
              <w:jc w:val="center"/>
              <w:rPr>
                <w:noProof/>
                <w:sz w:val="18"/>
                <w:szCs w:val="18"/>
              </w:rPr>
            </w:pPr>
          </w:p>
        </w:tc>
        <w:tc>
          <w:tcPr>
            <w:tcW w:w="701" w:type="dxa"/>
          </w:tcPr>
          <w:p w:rsidR="00F5502B" w:rsidRPr="003A5AF4" w:rsidRDefault="00F5502B" w:rsidP="00425340">
            <w:pPr>
              <w:ind w:right="-29"/>
              <w:jc w:val="center"/>
              <w:rPr>
                <w:noProof/>
                <w:sz w:val="18"/>
                <w:szCs w:val="18"/>
              </w:rPr>
            </w:pPr>
          </w:p>
        </w:tc>
        <w:tc>
          <w:tcPr>
            <w:tcW w:w="504"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54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900" w:type="dxa"/>
          </w:tcPr>
          <w:p w:rsidR="00F5502B" w:rsidRPr="003A5AF4" w:rsidRDefault="00F5502B" w:rsidP="00425340">
            <w:pPr>
              <w:ind w:right="-29"/>
              <w:jc w:val="center"/>
              <w:rPr>
                <w:noProof/>
                <w:sz w:val="18"/>
                <w:szCs w:val="18"/>
              </w:rPr>
            </w:pPr>
          </w:p>
        </w:tc>
        <w:tc>
          <w:tcPr>
            <w:tcW w:w="720" w:type="dxa"/>
            <w:gridSpan w:val="2"/>
          </w:tcPr>
          <w:p w:rsidR="00F5502B" w:rsidRPr="003A5AF4" w:rsidRDefault="00F5502B" w:rsidP="00425340">
            <w:pPr>
              <w:ind w:right="-29"/>
              <w:jc w:val="center"/>
              <w:rPr>
                <w:noProof/>
                <w:sz w:val="18"/>
                <w:szCs w:val="18"/>
              </w:rPr>
            </w:pPr>
          </w:p>
        </w:tc>
        <w:tc>
          <w:tcPr>
            <w:tcW w:w="540" w:type="dxa"/>
          </w:tcPr>
          <w:p w:rsidR="00F5502B" w:rsidRPr="003A5AF4" w:rsidRDefault="00F5502B" w:rsidP="00425340">
            <w:pPr>
              <w:ind w:right="-29"/>
              <w:jc w:val="center"/>
              <w:rPr>
                <w:noProof/>
                <w:sz w:val="18"/>
                <w:szCs w:val="18"/>
              </w:rPr>
            </w:pPr>
          </w:p>
        </w:tc>
        <w:tc>
          <w:tcPr>
            <w:tcW w:w="648" w:type="dxa"/>
          </w:tcPr>
          <w:p w:rsidR="00F5502B" w:rsidRPr="003A5AF4" w:rsidRDefault="00F5502B" w:rsidP="00425340">
            <w:pPr>
              <w:ind w:right="-29"/>
              <w:jc w:val="center"/>
              <w:rPr>
                <w:noProof/>
                <w:sz w:val="18"/>
                <w:szCs w:val="18"/>
              </w:rPr>
            </w:pPr>
          </w:p>
        </w:tc>
        <w:tc>
          <w:tcPr>
            <w:tcW w:w="432"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54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900" w:type="dxa"/>
          </w:tcPr>
          <w:p w:rsidR="00F5502B" w:rsidRPr="003A5AF4" w:rsidRDefault="00F5502B" w:rsidP="00425340">
            <w:pPr>
              <w:ind w:right="-29"/>
              <w:jc w:val="center"/>
              <w:rPr>
                <w:noProof/>
                <w:sz w:val="18"/>
                <w:szCs w:val="18"/>
              </w:rPr>
            </w:pPr>
          </w:p>
        </w:tc>
      </w:tr>
      <w:tr w:rsidR="00F5502B" w:rsidRPr="003A5AF4" w:rsidTr="00425340">
        <w:trPr>
          <w:trHeight w:val="77"/>
          <w:jc w:val="center"/>
        </w:trPr>
        <w:tc>
          <w:tcPr>
            <w:tcW w:w="2844" w:type="dxa"/>
            <w:gridSpan w:val="3"/>
            <w:tcBorders>
              <w:bottom w:val="single" w:sz="12" w:space="0" w:color="auto"/>
            </w:tcBorders>
            <w:vAlign w:val="center"/>
          </w:tcPr>
          <w:p w:rsidR="00F5502B" w:rsidRPr="003A5AF4" w:rsidRDefault="00F5502B" w:rsidP="00425340">
            <w:pPr>
              <w:ind w:right="-29"/>
              <w:jc w:val="center"/>
              <w:rPr>
                <w:noProof/>
                <w:sz w:val="18"/>
                <w:szCs w:val="18"/>
              </w:rPr>
            </w:pPr>
            <w:r w:rsidRPr="003A5AF4">
              <w:rPr>
                <w:noProof/>
                <w:sz w:val="18"/>
              </w:rPr>
              <w:t>Subtotal for specific objective No 1</w:t>
            </w:r>
          </w:p>
        </w:tc>
        <w:tc>
          <w:tcPr>
            <w:tcW w:w="504"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54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900" w:type="dxa"/>
            <w:tcBorders>
              <w:bottom w:val="single" w:sz="12" w:space="0" w:color="auto"/>
            </w:tcBorders>
          </w:tcPr>
          <w:p w:rsidR="00F5502B" w:rsidRPr="003A5AF4" w:rsidRDefault="00F5502B" w:rsidP="00425340">
            <w:pPr>
              <w:ind w:right="-29"/>
              <w:jc w:val="center"/>
              <w:rPr>
                <w:noProof/>
                <w:sz w:val="18"/>
                <w:szCs w:val="18"/>
              </w:rPr>
            </w:pPr>
          </w:p>
        </w:tc>
        <w:tc>
          <w:tcPr>
            <w:tcW w:w="720" w:type="dxa"/>
            <w:gridSpan w:val="2"/>
            <w:tcBorders>
              <w:bottom w:val="single" w:sz="12" w:space="0" w:color="auto"/>
            </w:tcBorders>
          </w:tcPr>
          <w:p w:rsidR="00F5502B" w:rsidRPr="003A5AF4" w:rsidRDefault="00F5502B" w:rsidP="00425340">
            <w:pPr>
              <w:ind w:right="-29"/>
              <w:jc w:val="center"/>
              <w:rPr>
                <w:noProof/>
                <w:sz w:val="18"/>
                <w:szCs w:val="18"/>
              </w:rPr>
            </w:pPr>
          </w:p>
        </w:tc>
        <w:tc>
          <w:tcPr>
            <w:tcW w:w="540" w:type="dxa"/>
            <w:tcBorders>
              <w:bottom w:val="single" w:sz="12" w:space="0" w:color="auto"/>
            </w:tcBorders>
          </w:tcPr>
          <w:p w:rsidR="00F5502B" w:rsidRPr="003A5AF4" w:rsidRDefault="00F5502B" w:rsidP="00425340">
            <w:pPr>
              <w:ind w:right="-29"/>
              <w:jc w:val="center"/>
              <w:rPr>
                <w:noProof/>
                <w:sz w:val="18"/>
                <w:szCs w:val="18"/>
              </w:rPr>
            </w:pPr>
          </w:p>
        </w:tc>
        <w:tc>
          <w:tcPr>
            <w:tcW w:w="648" w:type="dxa"/>
            <w:tcBorders>
              <w:bottom w:val="single" w:sz="12" w:space="0" w:color="auto"/>
            </w:tcBorders>
          </w:tcPr>
          <w:p w:rsidR="00F5502B" w:rsidRPr="003A5AF4" w:rsidRDefault="00F5502B" w:rsidP="00425340">
            <w:pPr>
              <w:ind w:right="-29"/>
              <w:jc w:val="center"/>
              <w:rPr>
                <w:noProof/>
                <w:sz w:val="18"/>
                <w:szCs w:val="18"/>
              </w:rPr>
            </w:pPr>
          </w:p>
        </w:tc>
        <w:tc>
          <w:tcPr>
            <w:tcW w:w="432"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54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900" w:type="dxa"/>
            <w:tcBorders>
              <w:bottom w:val="single" w:sz="12" w:space="0" w:color="auto"/>
            </w:tcBorders>
          </w:tcPr>
          <w:p w:rsidR="00F5502B" w:rsidRPr="003A5AF4" w:rsidRDefault="00F5502B" w:rsidP="00425340">
            <w:pPr>
              <w:ind w:right="-29"/>
              <w:jc w:val="center"/>
              <w:rPr>
                <w:noProof/>
                <w:sz w:val="18"/>
                <w:szCs w:val="18"/>
              </w:rPr>
            </w:pPr>
          </w:p>
        </w:tc>
      </w:tr>
      <w:tr w:rsidR="00F5502B" w:rsidRPr="003A5AF4" w:rsidTr="00425340">
        <w:trPr>
          <w:jc w:val="center"/>
        </w:trPr>
        <w:tc>
          <w:tcPr>
            <w:tcW w:w="2844" w:type="dxa"/>
            <w:gridSpan w:val="3"/>
            <w:vAlign w:val="center"/>
          </w:tcPr>
          <w:p w:rsidR="00F5502B" w:rsidRPr="003A5AF4" w:rsidRDefault="00F5502B" w:rsidP="00425340">
            <w:pPr>
              <w:spacing w:before="60" w:after="60"/>
              <w:ind w:right="-29"/>
              <w:jc w:val="center"/>
              <w:rPr>
                <w:noProof/>
                <w:sz w:val="18"/>
                <w:szCs w:val="18"/>
              </w:rPr>
            </w:pPr>
            <w:r w:rsidRPr="003A5AF4">
              <w:rPr>
                <w:noProof/>
                <w:sz w:val="18"/>
              </w:rPr>
              <w:t>SPECIFIC OBJECTIVE No 2 ...</w:t>
            </w:r>
          </w:p>
        </w:tc>
        <w:tc>
          <w:tcPr>
            <w:tcW w:w="504"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gridSpan w:val="2"/>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648"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432"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3A5AF4" w:rsidRDefault="00F5502B" w:rsidP="00425340">
            <w:pPr>
              <w:spacing w:before="60" w:after="60"/>
              <w:ind w:right="-29"/>
              <w:jc w:val="center"/>
              <w:rPr>
                <w:noProof/>
                <w:sz w:val="18"/>
                <w:szCs w:val="18"/>
              </w:rPr>
            </w:pPr>
          </w:p>
        </w:tc>
      </w:tr>
      <w:tr w:rsidR="00F5502B" w:rsidRPr="003A5AF4" w:rsidTr="00425340">
        <w:trPr>
          <w:trHeight w:hRule="exact" w:val="369"/>
          <w:jc w:val="center"/>
        </w:trPr>
        <w:tc>
          <w:tcPr>
            <w:tcW w:w="1423" w:type="dxa"/>
          </w:tcPr>
          <w:p w:rsidR="00F5502B" w:rsidRPr="003A5AF4" w:rsidRDefault="00F5502B" w:rsidP="00425340">
            <w:pPr>
              <w:ind w:right="-29"/>
              <w:jc w:val="center"/>
              <w:rPr>
                <w:noProof/>
                <w:sz w:val="18"/>
                <w:szCs w:val="18"/>
              </w:rPr>
            </w:pPr>
            <w:r w:rsidRPr="003A5AF4">
              <w:rPr>
                <w:noProof/>
                <w:sz w:val="18"/>
              </w:rPr>
              <w:t>- Output</w:t>
            </w:r>
          </w:p>
        </w:tc>
        <w:tc>
          <w:tcPr>
            <w:tcW w:w="720" w:type="dxa"/>
          </w:tcPr>
          <w:p w:rsidR="00F5502B" w:rsidRPr="003A5AF4" w:rsidRDefault="00F5502B" w:rsidP="00425340">
            <w:pPr>
              <w:ind w:right="-29"/>
              <w:jc w:val="center"/>
              <w:rPr>
                <w:noProof/>
                <w:sz w:val="18"/>
                <w:szCs w:val="18"/>
              </w:rPr>
            </w:pPr>
          </w:p>
        </w:tc>
        <w:tc>
          <w:tcPr>
            <w:tcW w:w="701" w:type="dxa"/>
          </w:tcPr>
          <w:p w:rsidR="00F5502B" w:rsidRPr="003A5AF4" w:rsidRDefault="00F5502B" w:rsidP="00425340">
            <w:pPr>
              <w:ind w:right="-29"/>
              <w:jc w:val="center"/>
              <w:rPr>
                <w:noProof/>
                <w:sz w:val="18"/>
                <w:szCs w:val="18"/>
              </w:rPr>
            </w:pPr>
          </w:p>
        </w:tc>
        <w:tc>
          <w:tcPr>
            <w:tcW w:w="504"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54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900" w:type="dxa"/>
          </w:tcPr>
          <w:p w:rsidR="00F5502B" w:rsidRPr="003A5AF4" w:rsidRDefault="00F5502B" w:rsidP="00425340">
            <w:pPr>
              <w:ind w:right="-29"/>
              <w:jc w:val="center"/>
              <w:rPr>
                <w:noProof/>
                <w:sz w:val="18"/>
                <w:szCs w:val="18"/>
              </w:rPr>
            </w:pPr>
          </w:p>
        </w:tc>
        <w:tc>
          <w:tcPr>
            <w:tcW w:w="720" w:type="dxa"/>
            <w:gridSpan w:val="2"/>
          </w:tcPr>
          <w:p w:rsidR="00F5502B" w:rsidRPr="003A5AF4" w:rsidRDefault="00F5502B" w:rsidP="00425340">
            <w:pPr>
              <w:ind w:right="-29"/>
              <w:jc w:val="center"/>
              <w:rPr>
                <w:noProof/>
                <w:sz w:val="18"/>
                <w:szCs w:val="18"/>
              </w:rPr>
            </w:pPr>
          </w:p>
        </w:tc>
        <w:tc>
          <w:tcPr>
            <w:tcW w:w="540" w:type="dxa"/>
          </w:tcPr>
          <w:p w:rsidR="00F5502B" w:rsidRPr="003A5AF4" w:rsidRDefault="00F5502B" w:rsidP="00425340">
            <w:pPr>
              <w:ind w:right="-29"/>
              <w:jc w:val="center"/>
              <w:rPr>
                <w:noProof/>
                <w:sz w:val="18"/>
                <w:szCs w:val="18"/>
              </w:rPr>
            </w:pPr>
          </w:p>
        </w:tc>
        <w:tc>
          <w:tcPr>
            <w:tcW w:w="648" w:type="dxa"/>
          </w:tcPr>
          <w:p w:rsidR="00F5502B" w:rsidRPr="003A5AF4" w:rsidRDefault="00F5502B" w:rsidP="00425340">
            <w:pPr>
              <w:ind w:right="-29"/>
              <w:jc w:val="center"/>
              <w:rPr>
                <w:noProof/>
                <w:sz w:val="18"/>
                <w:szCs w:val="18"/>
              </w:rPr>
            </w:pPr>
          </w:p>
        </w:tc>
        <w:tc>
          <w:tcPr>
            <w:tcW w:w="432"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54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720" w:type="dxa"/>
          </w:tcPr>
          <w:p w:rsidR="00F5502B" w:rsidRPr="003A5AF4" w:rsidRDefault="00F5502B" w:rsidP="00425340">
            <w:pPr>
              <w:ind w:right="-29"/>
              <w:jc w:val="center"/>
              <w:rPr>
                <w:noProof/>
                <w:sz w:val="18"/>
                <w:szCs w:val="18"/>
              </w:rPr>
            </w:pPr>
          </w:p>
        </w:tc>
        <w:tc>
          <w:tcPr>
            <w:tcW w:w="900" w:type="dxa"/>
          </w:tcPr>
          <w:p w:rsidR="00F5502B" w:rsidRPr="003A5AF4" w:rsidRDefault="00F5502B" w:rsidP="00425340">
            <w:pPr>
              <w:ind w:right="-29"/>
              <w:jc w:val="center"/>
              <w:rPr>
                <w:noProof/>
                <w:sz w:val="18"/>
                <w:szCs w:val="18"/>
              </w:rPr>
            </w:pPr>
          </w:p>
        </w:tc>
      </w:tr>
      <w:tr w:rsidR="00F5502B" w:rsidRPr="003A5AF4" w:rsidTr="00425340">
        <w:trPr>
          <w:jc w:val="center"/>
        </w:trPr>
        <w:tc>
          <w:tcPr>
            <w:tcW w:w="2844" w:type="dxa"/>
            <w:gridSpan w:val="3"/>
            <w:tcBorders>
              <w:bottom w:val="single" w:sz="12" w:space="0" w:color="auto"/>
            </w:tcBorders>
            <w:vAlign w:val="center"/>
          </w:tcPr>
          <w:p w:rsidR="00F5502B" w:rsidRPr="003A5AF4" w:rsidRDefault="00F5502B" w:rsidP="00425340">
            <w:pPr>
              <w:jc w:val="center"/>
              <w:rPr>
                <w:noProof/>
                <w:sz w:val="18"/>
                <w:szCs w:val="18"/>
              </w:rPr>
            </w:pPr>
            <w:r w:rsidRPr="003A5AF4">
              <w:rPr>
                <w:noProof/>
                <w:sz w:val="18"/>
              </w:rPr>
              <w:t>Subtotal for specific objective No 2</w:t>
            </w:r>
          </w:p>
        </w:tc>
        <w:tc>
          <w:tcPr>
            <w:tcW w:w="504"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54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951" w:type="dxa"/>
            <w:gridSpan w:val="2"/>
            <w:tcBorders>
              <w:bottom w:val="single" w:sz="12" w:space="0" w:color="auto"/>
            </w:tcBorders>
          </w:tcPr>
          <w:p w:rsidR="00F5502B" w:rsidRPr="003A5AF4" w:rsidRDefault="00F5502B" w:rsidP="00425340">
            <w:pPr>
              <w:ind w:right="-29"/>
              <w:jc w:val="center"/>
              <w:rPr>
                <w:noProof/>
                <w:sz w:val="18"/>
                <w:szCs w:val="18"/>
              </w:rPr>
            </w:pPr>
          </w:p>
        </w:tc>
        <w:tc>
          <w:tcPr>
            <w:tcW w:w="669" w:type="dxa"/>
            <w:tcBorders>
              <w:bottom w:val="single" w:sz="12" w:space="0" w:color="auto"/>
            </w:tcBorders>
          </w:tcPr>
          <w:p w:rsidR="00F5502B" w:rsidRPr="003A5AF4" w:rsidRDefault="00F5502B" w:rsidP="00425340">
            <w:pPr>
              <w:ind w:right="-29"/>
              <w:jc w:val="center"/>
              <w:rPr>
                <w:noProof/>
                <w:sz w:val="18"/>
                <w:szCs w:val="18"/>
              </w:rPr>
            </w:pPr>
          </w:p>
        </w:tc>
        <w:tc>
          <w:tcPr>
            <w:tcW w:w="540" w:type="dxa"/>
            <w:tcBorders>
              <w:bottom w:val="single" w:sz="12" w:space="0" w:color="auto"/>
            </w:tcBorders>
          </w:tcPr>
          <w:p w:rsidR="00F5502B" w:rsidRPr="003A5AF4" w:rsidRDefault="00F5502B" w:rsidP="00425340">
            <w:pPr>
              <w:ind w:right="-29"/>
              <w:jc w:val="center"/>
              <w:rPr>
                <w:noProof/>
                <w:sz w:val="18"/>
                <w:szCs w:val="18"/>
              </w:rPr>
            </w:pPr>
          </w:p>
        </w:tc>
        <w:tc>
          <w:tcPr>
            <w:tcW w:w="648" w:type="dxa"/>
            <w:tcBorders>
              <w:bottom w:val="single" w:sz="12" w:space="0" w:color="auto"/>
            </w:tcBorders>
          </w:tcPr>
          <w:p w:rsidR="00F5502B" w:rsidRPr="003A5AF4" w:rsidRDefault="00F5502B" w:rsidP="00425340">
            <w:pPr>
              <w:ind w:right="-29"/>
              <w:jc w:val="center"/>
              <w:rPr>
                <w:noProof/>
                <w:sz w:val="18"/>
                <w:szCs w:val="18"/>
              </w:rPr>
            </w:pPr>
          </w:p>
        </w:tc>
        <w:tc>
          <w:tcPr>
            <w:tcW w:w="432"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54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720" w:type="dxa"/>
            <w:tcBorders>
              <w:bottom w:val="single" w:sz="12" w:space="0" w:color="auto"/>
            </w:tcBorders>
          </w:tcPr>
          <w:p w:rsidR="00F5502B" w:rsidRPr="003A5AF4" w:rsidRDefault="00F5502B" w:rsidP="00425340">
            <w:pPr>
              <w:ind w:right="-29"/>
              <w:jc w:val="center"/>
              <w:rPr>
                <w:noProof/>
                <w:sz w:val="18"/>
                <w:szCs w:val="18"/>
              </w:rPr>
            </w:pPr>
          </w:p>
        </w:tc>
        <w:tc>
          <w:tcPr>
            <w:tcW w:w="900" w:type="dxa"/>
            <w:tcBorders>
              <w:bottom w:val="single" w:sz="12" w:space="0" w:color="auto"/>
            </w:tcBorders>
          </w:tcPr>
          <w:p w:rsidR="00F5502B" w:rsidRPr="003A5AF4" w:rsidRDefault="00F5502B" w:rsidP="00425340">
            <w:pPr>
              <w:ind w:right="-29"/>
              <w:jc w:val="center"/>
              <w:rPr>
                <w:noProof/>
                <w:sz w:val="18"/>
                <w:szCs w:val="18"/>
              </w:rPr>
            </w:pPr>
          </w:p>
        </w:tc>
      </w:tr>
      <w:tr w:rsidR="00F5502B" w:rsidRPr="003A5AF4" w:rsidTr="00425340">
        <w:trPr>
          <w:jc w:val="center"/>
        </w:trPr>
        <w:tc>
          <w:tcPr>
            <w:tcW w:w="2844" w:type="dxa"/>
            <w:gridSpan w:val="3"/>
            <w:tcBorders>
              <w:top w:val="single" w:sz="12" w:space="0" w:color="auto"/>
              <w:left w:val="single" w:sz="12" w:space="0" w:color="auto"/>
              <w:bottom w:val="single" w:sz="12" w:space="0" w:color="auto"/>
            </w:tcBorders>
            <w:vAlign w:val="center"/>
          </w:tcPr>
          <w:p w:rsidR="00F5502B" w:rsidRPr="003A5AF4" w:rsidRDefault="00F5502B" w:rsidP="00425340">
            <w:pPr>
              <w:ind w:right="-29"/>
              <w:jc w:val="center"/>
              <w:rPr>
                <w:noProof/>
                <w:sz w:val="18"/>
                <w:szCs w:val="18"/>
              </w:rPr>
            </w:pPr>
            <w:r w:rsidRPr="003A5AF4">
              <w:rPr>
                <w:b/>
                <w:noProof/>
                <w:sz w:val="18"/>
              </w:rPr>
              <w:t>TOTALS</w:t>
            </w:r>
          </w:p>
        </w:tc>
        <w:tc>
          <w:tcPr>
            <w:tcW w:w="504"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90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648"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432"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3A5AF4" w:rsidRDefault="00F5502B" w:rsidP="004253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F5502B" w:rsidRPr="003A5AF4" w:rsidRDefault="00F5502B" w:rsidP="00425340">
            <w:pPr>
              <w:spacing w:before="180" w:after="180"/>
              <w:ind w:right="-29"/>
              <w:jc w:val="center"/>
              <w:rPr>
                <w:noProof/>
                <w:sz w:val="18"/>
                <w:szCs w:val="18"/>
              </w:rPr>
            </w:pPr>
          </w:p>
        </w:tc>
      </w:tr>
    </w:tbl>
    <w:p w:rsidR="00F5502B" w:rsidRPr="003A5AF4" w:rsidRDefault="00F5502B" w:rsidP="00E923B5">
      <w:pPr>
        <w:rPr>
          <w:noProof/>
        </w:rPr>
        <w:sectPr w:rsidR="00F5502B" w:rsidRPr="003A5AF4" w:rsidSect="002D2AD5">
          <w:headerReference w:type="default" r:id="rId16"/>
          <w:footerReference w:type="default" r:id="rId17"/>
          <w:pgSz w:w="16840" w:h="11907" w:orient="landscape" w:code="9"/>
          <w:pgMar w:top="1134" w:right="1418" w:bottom="567" w:left="1418" w:header="709" w:footer="709" w:gutter="0"/>
          <w:cols w:space="708"/>
          <w:docGrid w:linePitch="360"/>
        </w:sectPr>
      </w:pPr>
    </w:p>
    <w:p w:rsidR="00F5502B" w:rsidRPr="003A5AF4" w:rsidRDefault="00F5502B" w:rsidP="00E923B5">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3A5AF4">
        <w:rPr>
          <w:noProof/>
        </w:rPr>
        <w:t>3.2.3.</w:t>
      </w:r>
      <w:r w:rsidRPr="003A5AF4">
        <w:rPr>
          <w:noProof/>
        </w:rPr>
        <w:tab/>
        <w:t>Summary of estimated impact on administrative appropriations</w:t>
      </w:r>
      <w:bookmarkEnd w:id="156"/>
      <w:bookmarkEnd w:id="157"/>
      <w:bookmarkEnd w:id="158"/>
      <w:bookmarkEnd w:id="159"/>
      <w:bookmarkEnd w:id="160"/>
      <w:r w:rsidRPr="003A5AF4">
        <w:rPr>
          <w:noProof/>
        </w:rPr>
        <w:t xml:space="preserve"> </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 xml:space="preserve">The proposal/initiative does not require the use of appropriations of an administrative nature </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The proposal/initiative requires the use of appropriations of an administrative nature, as explained below</w:t>
      </w:r>
    </w:p>
    <w:p w:rsidR="00F5502B" w:rsidRPr="003A5AF4" w:rsidRDefault="00F5502B" w:rsidP="00E923B5">
      <w:pPr>
        <w:pStyle w:val="ManualHeading3"/>
        <w:rPr>
          <w:noProof/>
        </w:rPr>
      </w:pPr>
      <w:bookmarkStart w:id="161" w:name="_Toc167220291"/>
      <w:bookmarkStart w:id="162" w:name="_Toc177549024"/>
      <w:r w:rsidRPr="003A5AF4">
        <w:rPr>
          <w:noProof/>
        </w:rPr>
        <w:t xml:space="preserve">3.2.3.1. Appropriations </w:t>
      </w:r>
      <w:r w:rsidRPr="003A5AF4">
        <w:rPr>
          <w:rFonts w:eastAsia="Calibri"/>
          <w:noProof/>
        </w:rPr>
        <w:t>from</w:t>
      </w:r>
      <w:r w:rsidRPr="003A5AF4">
        <w:rPr>
          <w:noProof/>
        </w:rPr>
        <w:t xml:space="preserve"> voted budget</w:t>
      </w:r>
      <w:bookmarkEnd w:id="161"/>
      <w:bookmarkEnd w:id="162"/>
    </w:p>
    <w:tbl>
      <w:tblPr>
        <w:tblW w:w="5000" w:type="pct"/>
        <w:tblLook w:val="04A0" w:firstRow="1" w:lastRow="0" w:firstColumn="1" w:lastColumn="0" w:noHBand="0" w:noVBand="1"/>
      </w:tblPr>
      <w:tblGrid>
        <w:gridCol w:w="4027"/>
        <w:gridCol w:w="1027"/>
        <w:gridCol w:w="1027"/>
        <w:gridCol w:w="1027"/>
        <w:gridCol w:w="1027"/>
        <w:gridCol w:w="1154"/>
      </w:tblGrid>
      <w:tr w:rsidR="00F5502B" w:rsidRPr="003A5AF4" w:rsidTr="00425340">
        <w:trPr>
          <w:trHeight w:val="300"/>
        </w:trPr>
        <w:tc>
          <w:tcPr>
            <w:tcW w:w="216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VOTED APPROPRIATIONS</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62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TOTAL 2021 - 2027</w:t>
            </w:r>
          </w:p>
        </w:tc>
      </w:tr>
      <w:tr w:rsidR="00F5502B" w:rsidRPr="003A5AF4" w:rsidTr="00425340">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2024</w:t>
            </w: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2025</w:t>
            </w: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2026</w:t>
            </w: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18"/>
                <w:szCs w:val="18"/>
                <w:lang w:eastAsia="en-IE"/>
              </w:rPr>
            </w:pP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b/>
                <w:bCs/>
                <w:noProof/>
                <w:sz w:val="16"/>
                <w:szCs w:val="16"/>
                <w:lang w:eastAsia="en-IE"/>
              </w:rPr>
            </w:pPr>
            <w:r w:rsidRPr="003A5AF4">
              <w:rPr>
                <w:b/>
                <w:bCs/>
                <w:noProof/>
                <w:sz w:val="16"/>
                <w:szCs w:val="16"/>
                <w:lang w:eastAsia="en-IE"/>
              </w:rPr>
              <w:t>HEADING 7</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b/>
                <w:bCs/>
                <w:noProof/>
                <w:sz w:val="16"/>
                <w:szCs w:val="16"/>
                <w:lang w:eastAsia="en-IE"/>
              </w:rPr>
            </w:pPr>
            <w:r w:rsidRPr="003A5AF4">
              <w:rPr>
                <w:b/>
                <w:bCs/>
                <w:noProof/>
                <w:sz w:val="16"/>
                <w:szCs w:val="16"/>
                <w:lang w:eastAsia="en-IE"/>
              </w:rPr>
              <w:t>Outside HEADING 7</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 </w:t>
            </w:r>
          </w:p>
        </w:tc>
      </w:tr>
      <w:tr w:rsidR="00F5502B" w:rsidRPr="003A5AF4"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bl>
    <w:p w:rsidR="00F5502B" w:rsidRPr="003A5AF4" w:rsidRDefault="00F5502B" w:rsidP="00E923B5">
      <w:pPr>
        <w:pStyle w:val="ManualHeading3"/>
        <w:rPr>
          <w:noProof/>
        </w:rPr>
      </w:pPr>
      <w:bookmarkStart w:id="163" w:name="_Toc167220292"/>
      <w:bookmarkStart w:id="164" w:name="_Toc177549025"/>
      <w:r w:rsidRPr="003A5AF4">
        <w:rPr>
          <w:noProof/>
        </w:rPr>
        <w:t>3.2.3.2.</w:t>
      </w:r>
      <w:r w:rsidRPr="003A5AF4">
        <w:rPr>
          <w:noProof/>
        </w:rPr>
        <w:tab/>
        <w:t>Appropriations from external assigned revenues</w:t>
      </w:r>
      <w:bookmarkEnd w:id="163"/>
      <w:bookmarkEnd w:id="164"/>
    </w:p>
    <w:tbl>
      <w:tblPr>
        <w:tblW w:w="5000" w:type="pct"/>
        <w:tblLook w:val="04A0" w:firstRow="1" w:lastRow="0" w:firstColumn="1" w:lastColumn="0" w:noHBand="0" w:noVBand="1"/>
      </w:tblPr>
      <w:tblGrid>
        <w:gridCol w:w="4025"/>
        <w:gridCol w:w="1027"/>
        <w:gridCol w:w="1027"/>
        <w:gridCol w:w="1027"/>
        <w:gridCol w:w="1027"/>
        <w:gridCol w:w="1156"/>
      </w:tblGrid>
      <w:tr w:rsidR="00F5502B" w:rsidRPr="003A5AF4" w:rsidTr="00425340">
        <w:trPr>
          <w:trHeight w:val="300"/>
        </w:trPr>
        <w:tc>
          <w:tcPr>
            <w:tcW w:w="21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EXTERNAL ASSIGNED REVENUES</w:t>
            </w:r>
          </w:p>
        </w:tc>
        <w:tc>
          <w:tcPr>
            <w:tcW w:w="553"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553"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553"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553"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TOTAL 2021 - 2027</w:t>
            </w:r>
          </w:p>
        </w:tc>
      </w:tr>
      <w:tr w:rsidR="00F5502B" w:rsidRPr="003A5AF4" w:rsidTr="00425340">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2024</w:t>
            </w: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2025</w:t>
            </w: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2026</w:t>
            </w:r>
          </w:p>
        </w:tc>
        <w:tc>
          <w:tcPr>
            <w:tcW w:w="553"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18"/>
                <w:szCs w:val="18"/>
                <w:lang w:eastAsia="en-IE"/>
              </w:rPr>
            </w:pP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b/>
                <w:bCs/>
                <w:noProof/>
                <w:sz w:val="16"/>
                <w:szCs w:val="16"/>
                <w:lang w:eastAsia="en-IE"/>
              </w:rPr>
            </w:pPr>
            <w:r w:rsidRPr="003A5AF4">
              <w:rPr>
                <w:b/>
                <w:bCs/>
                <w:noProof/>
                <w:sz w:val="16"/>
                <w:szCs w:val="16"/>
                <w:lang w:eastAsia="en-IE"/>
              </w:rPr>
              <w:t>HEADING 7</w:t>
            </w:r>
          </w:p>
        </w:tc>
      </w:tr>
      <w:tr w:rsidR="00F5502B" w:rsidRPr="003A5AF4"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b/>
                <w:bCs/>
                <w:noProof/>
                <w:sz w:val="16"/>
                <w:szCs w:val="16"/>
                <w:lang w:eastAsia="en-IE"/>
              </w:rPr>
            </w:pPr>
            <w:r w:rsidRPr="003A5AF4">
              <w:rPr>
                <w:b/>
                <w:bCs/>
                <w:noProof/>
                <w:sz w:val="16"/>
                <w:szCs w:val="16"/>
                <w:lang w:eastAsia="en-IE"/>
              </w:rPr>
              <w:t>Outside HEADING 7</w:t>
            </w:r>
          </w:p>
        </w:tc>
      </w:tr>
      <w:tr w:rsidR="00F5502B" w:rsidRPr="003A5AF4"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 </w:t>
            </w:r>
          </w:p>
        </w:tc>
      </w:tr>
      <w:tr w:rsidR="00F5502B" w:rsidRPr="003A5AF4" w:rsidTr="00425340">
        <w:trPr>
          <w:trHeight w:val="312"/>
        </w:trPr>
        <w:tc>
          <w:tcPr>
            <w:tcW w:w="2166" w:type="pct"/>
            <w:tcBorders>
              <w:top w:val="single" w:sz="12" w:space="0" w:color="auto"/>
              <w:left w:val="single" w:sz="12" w:space="0" w:color="auto"/>
              <w:bottom w:val="single" w:sz="12"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bl>
    <w:p w:rsidR="00F5502B" w:rsidRPr="003A5AF4" w:rsidRDefault="00F5502B" w:rsidP="00E923B5">
      <w:pPr>
        <w:pStyle w:val="ManualHeading3"/>
        <w:rPr>
          <w:noProof/>
        </w:rPr>
      </w:pPr>
      <w:bookmarkStart w:id="165" w:name="_Toc167220293"/>
      <w:bookmarkStart w:id="166" w:name="_Toc177549026"/>
      <w:r w:rsidRPr="003A5AF4">
        <w:rPr>
          <w:noProof/>
        </w:rPr>
        <w:t>3.2.3.3.</w:t>
      </w:r>
      <w:r w:rsidRPr="003A5AF4">
        <w:rPr>
          <w:noProof/>
        </w:rPr>
        <w:tab/>
        <w:t>Total appropriations</w:t>
      </w:r>
      <w:bookmarkEnd w:id="165"/>
      <w:bookmarkEnd w:id="166"/>
    </w:p>
    <w:tbl>
      <w:tblPr>
        <w:tblW w:w="8680" w:type="dxa"/>
        <w:tblLook w:val="04A0" w:firstRow="1" w:lastRow="0" w:firstColumn="1" w:lastColumn="0" w:noHBand="0" w:noVBand="1"/>
      </w:tblPr>
      <w:tblGrid>
        <w:gridCol w:w="3760"/>
        <w:gridCol w:w="960"/>
        <w:gridCol w:w="960"/>
        <w:gridCol w:w="960"/>
        <w:gridCol w:w="960"/>
        <w:gridCol w:w="1080"/>
      </w:tblGrid>
      <w:tr w:rsidR="00F5502B" w:rsidRPr="003A5AF4" w:rsidTr="00425340">
        <w:trPr>
          <w:trHeight w:val="519"/>
        </w:trPr>
        <w:tc>
          <w:tcPr>
            <w:tcW w:w="37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TOTAL</w:t>
            </w:r>
            <w:r w:rsidRPr="003A5AF4">
              <w:rPr>
                <w:b/>
                <w:bCs/>
                <w:noProof/>
                <w:color w:val="000000"/>
                <w:sz w:val="18"/>
                <w:szCs w:val="18"/>
                <w:lang w:eastAsia="en-IE"/>
              </w:rPr>
              <w:br/>
              <w:t>VOTED APPROPRIATIONS                            +                                                               EXTERNAL ASSIGNED REVENUES</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8"/>
                <w:szCs w:val="18"/>
                <w:lang w:eastAsia="en-IE"/>
              </w:rPr>
            </w:pPr>
            <w:r w:rsidRPr="003A5AF4">
              <w:rPr>
                <w:noProof/>
                <w:color w:val="000000"/>
                <w:sz w:val="18"/>
                <w:szCs w:val="18"/>
                <w:lang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TOTAL 2021 - 2027</w:t>
            </w:r>
          </w:p>
        </w:tc>
      </w:tr>
      <w:tr w:rsidR="00F5502B" w:rsidRPr="003A5AF4" w:rsidTr="00425340">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2024</w:t>
            </w: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2025</w:t>
            </w: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2026</w:t>
            </w: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b/>
                <w:bCs/>
                <w:noProof/>
                <w:color w:val="000000"/>
                <w:sz w:val="18"/>
                <w:szCs w:val="18"/>
                <w:lang w:eastAsia="en-IE"/>
              </w:rPr>
            </w:pPr>
          </w:p>
        </w:tc>
      </w:tr>
      <w:tr w:rsidR="00F5502B" w:rsidRPr="003A5AF4"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b/>
                <w:bCs/>
                <w:noProof/>
                <w:sz w:val="16"/>
                <w:szCs w:val="16"/>
                <w:lang w:eastAsia="en-IE"/>
              </w:rPr>
            </w:pPr>
            <w:r w:rsidRPr="003A5AF4">
              <w:rPr>
                <w:b/>
                <w:bCs/>
                <w:noProof/>
                <w:sz w:val="16"/>
                <w:szCs w:val="16"/>
                <w:lang w:eastAsia="en-IE"/>
              </w:rPr>
              <w:t>HEADING 7</w:t>
            </w:r>
          </w:p>
        </w:tc>
      </w:tr>
      <w:tr w:rsidR="00F5502B" w:rsidRPr="003A5AF4"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b/>
                <w:bCs/>
                <w:noProof/>
                <w:sz w:val="16"/>
                <w:szCs w:val="16"/>
                <w:lang w:eastAsia="en-IE"/>
              </w:rPr>
            </w:pPr>
            <w:r w:rsidRPr="003A5AF4">
              <w:rPr>
                <w:b/>
                <w:bCs/>
                <w:noProof/>
                <w:sz w:val="16"/>
                <w:szCs w:val="16"/>
                <w:lang w:eastAsia="en-IE"/>
              </w:rPr>
              <w:t>Outside HEADING 7</w:t>
            </w:r>
          </w:p>
        </w:tc>
      </w:tr>
      <w:tr w:rsidR="00F5502B" w:rsidRPr="003A5AF4"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left"/>
              <w:rPr>
                <w:noProof/>
                <w:color w:val="000000"/>
                <w:sz w:val="16"/>
                <w:szCs w:val="16"/>
                <w:lang w:eastAsia="en-IE"/>
              </w:rPr>
            </w:pPr>
            <w:r w:rsidRPr="003A5AF4">
              <w:rPr>
                <w:noProof/>
                <w:color w:val="000000"/>
                <w:sz w:val="16"/>
                <w:szCs w:val="16"/>
                <w:lang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noProof/>
                <w:color w:val="000000"/>
                <w:sz w:val="16"/>
                <w:szCs w:val="16"/>
                <w:lang w:eastAsia="en-IE"/>
              </w:rPr>
            </w:pPr>
            <w:r w:rsidRPr="003A5AF4">
              <w:rPr>
                <w:noProof/>
                <w:color w:val="000000"/>
                <w:sz w:val="16"/>
                <w:szCs w:val="16"/>
                <w:lang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r w:rsidR="00F5502B" w:rsidRPr="003A5AF4"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 </w:t>
            </w:r>
          </w:p>
        </w:tc>
      </w:tr>
      <w:tr w:rsidR="00F5502B" w:rsidRPr="003A5AF4" w:rsidTr="00425340">
        <w:trPr>
          <w:trHeight w:val="312"/>
        </w:trPr>
        <w:tc>
          <w:tcPr>
            <w:tcW w:w="3760" w:type="dxa"/>
            <w:tcBorders>
              <w:top w:val="single" w:sz="12" w:space="0" w:color="auto"/>
              <w:left w:val="single" w:sz="12" w:space="0" w:color="auto"/>
              <w:bottom w:val="single" w:sz="12"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F5502B" w:rsidRPr="003A5AF4" w:rsidRDefault="00F5502B" w:rsidP="00425340">
            <w:pPr>
              <w:spacing w:before="0" w:after="0"/>
              <w:jc w:val="right"/>
              <w:rPr>
                <w:b/>
                <w:bCs/>
                <w:noProof/>
                <w:color w:val="000000"/>
                <w:sz w:val="16"/>
                <w:szCs w:val="16"/>
                <w:lang w:eastAsia="en-IE"/>
              </w:rPr>
            </w:pPr>
            <w:r w:rsidRPr="003A5AF4">
              <w:rPr>
                <w:b/>
                <w:bCs/>
                <w:noProof/>
                <w:color w:val="000000"/>
                <w:sz w:val="16"/>
                <w:szCs w:val="16"/>
                <w:lang w:eastAsia="en-IE"/>
              </w:rPr>
              <w:t>0.000</w:t>
            </w:r>
          </w:p>
        </w:tc>
      </w:tr>
    </w:tbl>
    <w:p w:rsidR="00F5502B" w:rsidRPr="003A5AF4" w:rsidRDefault="00F5502B" w:rsidP="00E923B5">
      <w:pPr>
        <w:rPr>
          <w:noProof/>
          <w:sz w:val="22"/>
          <w:szCs w:val="28"/>
        </w:rPr>
      </w:pPr>
      <w:r w:rsidRPr="003A5AF4">
        <w:rPr>
          <w:noProof/>
          <w:sz w:val="22"/>
          <w:szCs w:val="2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rsidR="00F5502B" w:rsidRPr="003A5AF4" w:rsidRDefault="00F5502B" w:rsidP="00E923B5">
      <w:pPr>
        <w:pStyle w:val="ManualHeading3"/>
        <w:rPr>
          <w:bCs/>
          <w:noProof/>
          <w:szCs w:val="24"/>
        </w:rPr>
      </w:pPr>
      <w:bookmarkStart w:id="167" w:name="_Toc167220294"/>
      <w:bookmarkStart w:id="168" w:name="_Toc177549027"/>
      <w:r w:rsidRPr="003A5AF4">
        <w:rPr>
          <w:noProof/>
        </w:rPr>
        <w:t>3.2.4.</w:t>
      </w:r>
      <w:r w:rsidRPr="003A5AF4">
        <w:rPr>
          <w:noProof/>
        </w:rPr>
        <w:tab/>
        <w:t>Estimated requirements of human resources</w:t>
      </w:r>
      <w:bookmarkEnd w:id="167"/>
      <w:bookmarkEnd w:id="168"/>
      <w:r w:rsidRPr="003A5AF4">
        <w:rPr>
          <w:noProof/>
        </w:rPr>
        <w:t xml:space="preserve"> </w:t>
      </w:r>
    </w:p>
    <w:p w:rsidR="00F5502B" w:rsidRPr="003A5AF4" w:rsidRDefault="00784279" w:rsidP="00E923B5">
      <w:pPr>
        <w:pStyle w:val="ListDash1"/>
        <w:rPr>
          <w:noProof/>
        </w:rPr>
      </w:pPr>
      <w:r>
        <w:rPr>
          <w:rFonts w:ascii="Wingdings" w:eastAsia="Wingdings" w:hAnsi="Wingdings" w:cs="Wingdings"/>
          <w:noProof/>
        </w:rPr>
        <w:t></w:t>
      </w:r>
      <w:r w:rsidR="00F5502B" w:rsidRPr="003A5AF4">
        <w:rPr>
          <w:noProof/>
        </w:rPr>
        <w:tab/>
        <w:t xml:space="preserve">The proposal/initiative does not require the use of human resources </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The proposal/initiative requires the use of human resources, as explained below</w:t>
      </w:r>
    </w:p>
    <w:p w:rsidR="00F5502B" w:rsidRPr="003A5AF4" w:rsidRDefault="00F5502B" w:rsidP="00E923B5">
      <w:pPr>
        <w:pStyle w:val="ManualHeading3"/>
        <w:rPr>
          <w:noProof/>
        </w:rPr>
      </w:pPr>
      <w:bookmarkStart w:id="169" w:name="_Toc167220295"/>
      <w:bookmarkStart w:id="170" w:name="_Toc177549028"/>
      <w:r w:rsidRPr="003A5AF4">
        <w:rPr>
          <w:noProof/>
        </w:rPr>
        <w:t>3.2.4.1.</w:t>
      </w:r>
      <w:r w:rsidRPr="003A5AF4">
        <w:rPr>
          <w:noProof/>
        </w:rPr>
        <w:tab/>
        <w:t>Financed from voted budget</w:t>
      </w:r>
      <w:bookmarkEnd w:id="169"/>
      <w:bookmarkEnd w:id="170"/>
    </w:p>
    <w:p w:rsidR="00F5502B" w:rsidRPr="003A5AF4" w:rsidRDefault="00F5502B" w:rsidP="00E923B5">
      <w:pPr>
        <w:spacing w:after="60"/>
        <w:jc w:val="right"/>
        <w:rPr>
          <w:i/>
          <w:noProof/>
          <w:sz w:val="20"/>
        </w:rPr>
      </w:pPr>
      <w:r w:rsidRPr="003A5AF4">
        <w:rPr>
          <w:i/>
          <w:noProof/>
          <w:sz w:val="20"/>
        </w:rPr>
        <w:t>Estimate to be expressed in full-time equivalent units (FTEs)</w:t>
      </w:r>
    </w:p>
    <w:p w:rsidR="00F5502B" w:rsidRPr="003A5AF4" w:rsidRDefault="00F5502B" w:rsidP="00E923B5">
      <w:pPr>
        <w:pStyle w:val="Text1"/>
        <w:spacing w:before="60" w:after="60"/>
        <w:ind w:left="-426" w:right="-427"/>
        <w:rPr>
          <w:b/>
          <w:noProof/>
          <w:sz w:val="18"/>
          <w:szCs w:val="18"/>
        </w:rPr>
      </w:pPr>
      <w:bookmarkStart w:id="171" w:name="_Hlk156979231"/>
    </w:p>
    <w:tbl>
      <w:tblPr>
        <w:tblW w:w="5000" w:type="pct"/>
        <w:tblLook w:val="04A0" w:firstRow="1" w:lastRow="0" w:firstColumn="1" w:lastColumn="0" w:noHBand="0" w:noVBand="1"/>
      </w:tblPr>
      <w:tblGrid>
        <w:gridCol w:w="1513"/>
        <w:gridCol w:w="3898"/>
        <w:gridCol w:w="970"/>
        <w:gridCol w:w="970"/>
        <w:gridCol w:w="970"/>
        <w:gridCol w:w="968"/>
      </w:tblGrid>
      <w:tr w:rsidR="00F5502B" w:rsidRPr="003A5AF4"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VOTED APPROPRIATIONS</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r>
      <w:tr w:rsidR="00F5502B" w:rsidRPr="003A5AF4"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F5502B" w:rsidRPr="003A5AF4" w:rsidRDefault="00F5502B" w:rsidP="0042534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rFonts w:ascii="Wingdings" w:hAnsi="Wingdings" w:cs="Calibri"/>
                <w:b/>
                <w:bCs/>
                <w:noProof/>
                <w:color w:val="000000"/>
                <w:sz w:val="16"/>
                <w:szCs w:val="16"/>
                <w:lang w:eastAsia="en-IE"/>
              </w:rPr>
            </w:pPr>
            <w:r w:rsidRPr="003A5AF4">
              <w:rPr>
                <w:rFonts w:ascii="Wingdings" w:hAnsi="Wingdings" w:cs="Calibri"/>
                <w:b/>
                <w:bCs/>
                <w:noProof/>
                <w:color w:val="000000"/>
                <w:sz w:val="16"/>
                <w:szCs w:val="16"/>
                <w:lang w:eastAsia="en-IE"/>
              </w:rPr>
              <w:t></w:t>
            </w:r>
            <w:r w:rsidRPr="003A5AF4">
              <w:rPr>
                <w:b/>
                <w:bCs/>
                <w:noProof/>
                <w:color w:val="000000"/>
                <w:sz w:val="16"/>
                <w:szCs w:val="16"/>
                <w:lang w:eastAsia="en-IE"/>
              </w:rPr>
              <w:t xml:space="preserve"> Establishment plan posts (officials and temporary staff)</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20 01 02 01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rFonts w:ascii="Wingdings" w:hAnsi="Wingdings" w:cs="Calibri"/>
                <w:b/>
                <w:bCs/>
                <w:noProof/>
                <w:color w:val="000000"/>
                <w:sz w:val="16"/>
                <w:szCs w:val="16"/>
                <w:lang w:eastAsia="en-IE"/>
              </w:rPr>
            </w:pPr>
            <w:r w:rsidRPr="003A5AF4">
              <w:rPr>
                <w:rFonts w:ascii="Calibri" w:hAnsi="Calibri" w:cs="Calibri"/>
                <w:b/>
                <w:bCs/>
                <w:noProof/>
                <w:color w:val="000000"/>
                <w:sz w:val="16"/>
                <w:szCs w:val="16"/>
                <w:lang w:eastAsia="en-IE"/>
              </w:rPr>
              <w:t>•</w:t>
            </w:r>
            <w:r w:rsidRPr="003A5AF4">
              <w:rPr>
                <w:b/>
                <w:bCs/>
                <w:noProof/>
                <w:color w:val="000000"/>
                <w:sz w:val="16"/>
                <w:szCs w:val="16"/>
                <w:lang w:eastAsia="en-IE"/>
              </w:rPr>
              <w:t xml:space="preserve"> External staff (inFTEs)</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20 02 01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Admin. Support line</w:t>
            </w:r>
            <w:r w:rsidRPr="003A5AF4">
              <w:rPr>
                <w:noProof/>
                <w:color w:val="000000"/>
                <w:sz w:val="16"/>
                <w:szCs w:val="16"/>
                <w:lang w:eastAsia="en-IE"/>
              </w:rPr>
              <w:br/>
              <w:t>[XX.01.YY.YY]</w:t>
            </w:r>
          </w:p>
        </w:tc>
        <w:tc>
          <w:tcPr>
            <w:tcW w:w="2098"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01 01 01 02</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b/>
                <w:bCs/>
                <w:noProof/>
                <w:color w:val="000000"/>
                <w:sz w:val="16"/>
                <w:szCs w:val="16"/>
                <w:lang w:eastAsia="en-IE"/>
              </w:rPr>
            </w:pPr>
            <w:r w:rsidRPr="003A5AF4">
              <w:rPr>
                <w:b/>
                <w:bCs/>
                <w:noProof/>
                <w:color w:val="000000"/>
                <w:sz w:val="16"/>
                <w:szCs w:val="16"/>
                <w:lang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r>
    </w:tbl>
    <w:p w:rsidR="00F5502B" w:rsidRPr="003A5AF4" w:rsidRDefault="00F5502B" w:rsidP="00E923B5">
      <w:pPr>
        <w:pStyle w:val="ManualHeading3"/>
        <w:rPr>
          <w:noProof/>
        </w:rPr>
      </w:pPr>
      <w:bookmarkStart w:id="172" w:name="_Toc167220296"/>
      <w:bookmarkStart w:id="173" w:name="_Toc177549029"/>
      <w:r w:rsidRPr="003A5AF4">
        <w:rPr>
          <w:noProof/>
        </w:rPr>
        <w:t>3.2.4.2.</w:t>
      </w:r>
      <w:r w:rsidRPr="003A5AF4">
        <w:rPr>
          <w:noProof/>
        </w:rPr>
        <w:tab/>
        <w:t>Financed from external assigned revenues</w:t>
      </w:r>
      <w:bookmarkEnd w:id="172"/>
      <w:bookmarkEnd w:id="173"/>
    </w:p>
    <w:tbl>
      <w:tblPr>
        <w:tblW w:w="5000" w:type="pct"/>
        <w:tblLook w:val="04A0" w:firstRow="1" w:lastRow="0" w:firstColumn="1" w:lastColumn="0" w:noHBand="0" w:noVBand="1"/>
      </w:tblPr>
      <w:tblGrid>
        <w:gridCol w:w="1513"/>
        <w:gridCol w:w="3898"/>
        <w:gridCol w:w="970"/>
        <w:gridCol w:w="970"/>
        <w:gridCol w:w="970"/>
        <w:gridCol w:w="968"/>
      </w:tblGrid>
      <w:tr w:rsidR="00F5502B" w:rsidRPr="003A5AF4"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EXTERNAL ASSIGNED REVENUES</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522" w:type="pct"/>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r>
      <w:tr w:rsidR="00F5502B" w:rsidRPr="003A5AF4"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F5502B" w:rsidRPr="003A5AF4" w:rsidRDefault="00F5502B" w:rsidP="0042534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522"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rFonts w:ascii="Wingdings" w:hAnsi="Wingdings" w:cs="Calibri"/>
                <w:b/>
                <w:bCs/>
                <w:noProof/>
                <w:color w:val="000000"/>
                <w:sz w:val="16"/>
                <w:szCs w:val="16"/>
                <w:lang w:eastAsia="en-IE"/>
              </w:rPr>
            </w:pPr>
            <w:r w:rsidRPr="003A5AF4">
              <w:rPr>
                <w:rFonts w:ascii="Wingdings" w:hAnsi="Wingdings" w:cs="Calibri"/>
                <w:b/>
                <w:bCs/>
                <w:noProof/>
                <w:color w:val="000000"/>
                <w:sz w:val="16"/>
                <w:szCs w:val="16"/>
                <w:lang w:eastAsia="en-IE"/>
              </w:rPr>
              <w:t></w:t>
            </w:r>
            <w:r w:rsidRPr="003A5AF4">
              <w:rPr>
                <w:b/>
                <w:bCs/>
                <w:noProof/>
                <w:color w:val="000000"/>
                <w:sz w:val="16"/>
                <w:szCs w:val="16"/>
                <w:lang w:eastAsia="en-IE"/>
              </w:rPr>
              <w:t xml:space="preserve"> Establishment plan posts (officials and temporary staff)</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20 01 02 01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rFonts w:ascii="Wingdings" w:hAnsi="Wingdings" w:cs="Calibri"/>
                <w:b/>
                <w:bCs/>
                <w:noProof/>
                <w:color w:val="000000"/>
                <w:sz w:val="16"/>
                <w:szCs w:val="16"/>
                <w:lang w:eastAsia="en-IE"/>
              </w:rPr>
            </w:pPr>
            <w:r w:rsidRPr="003A5AF4">
              <w:rPr>
                <w:rFonts w:ascii="Calibri" w:hAnsi="Calibri" w:cs="Calibri"/>
                <w:b/>
                <w:bCs/>
                <w:noProof/>
                <w:color w:val="000000"/>
                <w:sz w:val="16"/>
                <w:szCs w:val="16"/>
                <w:lang w:eastAsia="en-IE"/>
              </w:rPr>
              <w:t>•</w:t>
            </w:r>
            <w:r w:rsidRPr="003A5AF4">
              <w:rPr>
                <w:b/>
                <w:bCs/>
                <w:noProof/>
                <w:color w:val="000000"/>
                <w:sz w:val="16"/>
                <w:szCs w:val="16"/>
                <w:lang w:eastAsia="en-IE"/>
              </w:rPr>
              <w:t xml:space="preserve"> External staff (in full time equivalent units)</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20 02 01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 xml:space="preserve">Admin. Support line </w:t>
            </w:r>
            <w:r w:rsidRPr="003A5AF4">
              <w:rPr>
                <w:noProof/>
                <w:color w:val="000000"/>
                <w:sz w:val="16"/>
                <w:szCs w:val="16"/>
                <w:lang w:eastAsia="en-IE"/>
              </w:rPr>
              <w:br/>
              <w:t>[XX.01.YY.YY]</w:t>
            </w:r>
          </w:p>
        </w:tc>
        <w:tc>
          <w:tcPr>
            <w:tcW w:w="2098"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01 01 01 02</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b/>
                <w:bCs/>
                <w:noProof/>
                <w:color w:val="000000"/>
                <w:sz w:val="16"/>
                <w:szCs w:val="16"/>
                <w:lang w:eastAsia="en-IE"/>
              </w:rPr>
            </w:pPr>
            <w:r w:rsidRPr="003A5AF4">
              <w:rPr>
                <w:b/>
                <w:bCs/>
                <w:noProof/>
                <w:color w:val="000000"/>
                <w:sz w:val="16"/>
                <w:szCs w:val="16"/>
                <w:lang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r>
    </w:tbl>
    <w:p w:rsidR="00F5502B" w:rsidRPr="003A5AF4" w:rsidRDefault="00F5502B" w:rsidP="00E923B5">
      <w:pPr>
        <w:pStyle w:val="ManualHeading3"/>
        <w:rPr>
          <w:noProof/>
        </w:rPr>
      </w:pPr>
      <w:bookmarkStart w:id="174" w:name="_Toc167220297"/>
      <w:bookmarkStart w:id="175" w:name="_Toc177549030"/>
      <w:r w:rsidRPr="003A5AF4">
        <w:rPr>
          <w:noProof/>
        </w:rPr>
        <w:t>3.2.4.3.</w:t>
      </w:r>
      <w:r w:rsidRPr="003A5AF4">
        <w:rPr>
          <w:noProof/>
        </w:rPr>
        <w:tab/>
        <w:t>Total requirements of human resources</w:t>
      </w:r>
      <w:bookmarkEnd w:id="174"/>
      <w:bookmarkEnd w:id="175"/>
    </w:p>
    <w:tbl>
      <w:tblPr>
        <w:tblW w:w="9200" w:type="dxa"/>
        <w:tblLook w:val="04A0" w:firstRow="1" w:lastRow="0" w:firstColumn="1" w:lastColumn="0" w:noHBand="0" w:noVBand="1"/>
      </w:tblPr>
      <w:tblGrid>
        <w:gridCol w:w="1500"/>
        <w:gridCol w:w="3860"/>
        <w:gridCol w:w="960"/>
        <w:gridCol w:w="960"/>
        <w:gridCol w:w="960"/>
        <w:gridCol w:w="960"/>
      </w:tblGrid>
      <w:tr w:rsidR="00F5502B" w:rsidRPr="003A5AF4" w:rsidTr="00425340">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3A5AF4" w:rsidRDefault="00F5502B" w:rsidP="00425340">
            <w:pPr>
              <w:spacing w:before="0" w:after="0"/>
              <w:jc w:val="center"/>
              <w:rPr>
                <w:b/>
                <w:bCs/>
                <w:noProof/>
                <w:color w:val="000000"/>
                <w:sz w:val="18"/>
                <w:szCs w:val="18"/>
                <w:lang w:eastAsia="en-IE"/>
              </w:rPr>
            </w:pPr>
            <w:r w:rsidRPr="003A5AF4">
              <w:rPr>
                <w:b/>
                <w:bCs/>
                <w:noProof/>
                <w:color w:val="000000"/>
                <w:sz w:val="18"/>
                <w:szCs w:val="18"/>
                <w:lang w:eastAsia="en-IE"/>
              </w:rPr>
              <w:t>TOTAL VOTED APPROPRIATIONS                                                   +                                                                                               EXTERNAL ASSIGNED REVENUES</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c>
          <w:tcPr>
            <w:tcW w:w="960" w:type="dxa"/>
            <w:tcBorders>
              <w:top w:val="single" w:sz="8" w:space="0" w:color="auto"/>
              <w:left w:val="nil"/>
              <w:bottom w:val="nil"/>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20"/>
                <w:szCs w:val="20"/>
                <w:lang w:eastAsia="en-IE"/>
              </w:rPr>
            </w:pPr>
            <w:r w:rsidRPr="003A5AF4">
              <w:rPr>
                <w:noProof/>
                <w:color w:val="000000"/>
                <w:sz w:val="20"/>
                <w:szCs w:val="20"/>
                <w:lang w:eastAsia="en-IE"/>
              </w:rPr>
              <w:t>Year</w:t>
            </w:r>
          </w:p>
        </w:tc>
      </w:tr>
      <w:tr w:rsidR="00F5502B" w:rsidRPr="003A5AF4" w:rsidTr="00425340">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F5502B" w:rsidRPr="003A5AF4" w:rsidRDefault="00F5502B" w:rsidP="0042534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2024</w:t>
            </w: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2025</w:t>
            </w: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2026</w:t>
            </w:r>
          </w:p>
        </w:tc>
        <w:tc>
          <w:tcPr>
            <w:tcW w:w="9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b/>
                <w:bCs/>
                <w:noProof/>
                <w:color w:val="000000"/>
                <w:sz w:val="20"/>
                <w:szCs w:val="20"/>
                <w:lang w:eastAsia="en-IE"/>
              </w:rPr>
            </w:pPr>
            <w:r w:rsidRPr="003A5AF4">
              <w:rPr>
                <w:b/>
                <w:bCs/>
                <w:noProof/>
                <w:color w:val="000000"/>
                <w:sz w:val="20"/>
                <w:szCs w:val="20"/>
                <w:lang w:eastAsia="en-IE"/>
              </w:rPr>
              <w:t>2027</w:t>
            </w:r>
          </w:p>
        </w:tc>
      </w:tr>
      <w:tr w:rsidR="00F5502B" w:rsidRPr="003A5AF4"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rFonts w:ascii="Wingdings" w:hAnsi="Wingdings" w:cs="Calibri"/>
                <w:b/>
                <w:bCs/>
                <w:noProof/>
                <w:color w:val="000000"/>
                <w:sz w:val="16"/>
                <w:szCs w:val="16"/>
                <w:lang w:eastAsia="en-IE"/>
              </w:rPr>
            </w:pPr>
            <w:r w:rsidRPr="003A5AF4">
              <w:rPr>
                <w:rFonts w:ascii="Wingdings" w:hAnsi="Wingdings" w:cs="Calibri"/>
                <w:b/>
                <w:bCs/>
                <w:noProof/>
                <w:color w:val="000000"/>
                <w:sz w:val="16"/>
                <w:szCs w:val="16"/>
                <w:lang w:eastAsia="en-IE"/>
              </w:rPr>
              <w:t></w:t>
            </w:r>
            <w:r w:rsidRPr="003A5AF4">
              <w:rPr>
                <w:b/>
                <w:bCs/>
                <w:noProof/>
                <w:color w:val="000000"/>
                <w:sz w:val="16"/>
                <w:szCs w:val="16"/>
                <w:lang w:eastAsia="en-IE"/>
              </w:rPr>
              <w:t xml:space="preserve"> Establishment plan posts (officials and temporary staff)</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20 01 02 01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(Indirect research)</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3A5AF4" w:rsidRDefault="00F5502B" w:rsidP="00425340">
            <w:pPr>
              <w:spacing w:before="0" w:after="0"/>
              <w:jc w:val="left"/>
              <w:rPr>
                <w:rFonts w:ascii="Wingdings" w:hAnsi="Wingdings" w:cs="Calibri"/>
                <w:b/>
                <w:bCs/>
                <w:noProof/>
                <w:color w:val="000000"/>
                <w:sz w:val="16"/>
                <w:szCs w:val="16"/>
                <w:lang w:eastAsia="en-IE"/>
              </w:rPr>
            </w:pPr>
            <w:r w:rsidRPr="003A5AF4">
              <w:rPr>
                <w:rFonts w:ascii="Calibri" w:hAnsi="Calibri" w:cs="Calibri"/>
                <w:b/>
                <w:bCs/>
                <w:noProof/>
                <w:color w:val="000000"/>
                <w:sz w:val="16"/>
                <w:szCs w:val="16"/>
                <w:lang w:eastAsia="en-IE"/>
              </w:rPr>
              <w:t>•</w:t>
            </w:r>
            <w:r w:rsidRPr="003A5AF4">
              <w:rPr>
                <w:b/>
                <w:bCs/>
                <w:noProof/>
                <w:color w:val="000000"/>
                <w:sz w:val="16"/>
                <w:szCs w:val="16"/>
                <w:lang w:eastAsia="en-IE"/>
              </w:rPr>
              <w:t xml:space="preserve"> External staff (in full time equivalent units)</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20 02 01</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1500" w:type="dxa"/>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 xml:space="preserve">Admin. Support line </w:t>
            </w:r>
            <w:r w:rsidRPr="003A5AF4">
              <w:rPr>
                <w:noProof/>
                <w:color w:val="000000"/>
                <w:sz w:val="16"/>
                <w:szCs w:val="16"/>
                <w:lang w:eastAsia="en-IE"/>
              </w:rPr>
              <w:br/>
              <w:t>[XX.01.YY.YY]</w:t>
            </w:r>
          </w:p>
        </w:tc>
        <w:tc>
          <w:tcPr>
            <w:tcW w:w="38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1500" w:type="dxa"/>
            <w:vMerge/>
            <w:tcBorders>
              <w:top w:val="nil"/>
              <w:left w:val="single" w:sz="8" w:space="0" w:color="auto"/>
              <w:bottom w:val="single" w:sz="8" w:space="0" w:color="auto"/>
              <w:right w:val="single" w:sz="8" w:space="0" w:color="auto"/>
            </w:tcBorders>
            <w:vAlign w:val="center"/>
            <w:hideMark/>
          </w:tcPr>
          <w:p w:rsidR="00F5502B" w:rsidRPr="003A5AF4" w:rsidRDefault="00F5502B" w:rsidP="00425340">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01 01 01 02</w:t>
            </w:r>
            <w:r w:rsidRPr="003A5AF4">
              <w:rPr>
                <w:rFonts w:ascii="Arial Narrow" w:hAnsi="Arial Narrow"/>
                <w:noProof/>
                <w:color w:val="000000"/>
                <w:sz w:val="20"/>
                <w:szCs w:val="20"/>
                <w:lang w:eastAsia="en-IE"/>
              </w:rPr>
              <w:t xml:space="preserve"> </w:t>
            </w:r>
            <w:r w:rsidRPr="003A5AF4">
              <w:rPr>
                <w:noProof/>
                <w:color w:val="000000"/>
                <w:sz w:val="16"/>
                <w:szCs w:val="16"/>
                <w:lang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 xml:space="preserve"> 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noProof/>
                <w:color w:val="000000"/>
                <w:sz w:val="16"/>
                <w:szCs w:val="16"/>
                <w:lang w:eastAsia="en-IE"/>
              </w:rPr>
            </w:pPr>
            <w:r w:rsidRPr="003A5AF4">
              <w:rPr>
                <w:noProof/>
                <w:color w:val="000000"/>
                <w:sz w:val="16"/>
                <w:szCs w:val="16"/>
                <w:lang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noProof/>
                <w:color w:val="000000"/>
                <w:sz w:val="16"/>
                <w:szCs w:val="16"/>
                <w:lang w:eastAsia="en-IE"/>
              </w:rPr>
            </w:pPr>
            <w:r w:rsidRPr="003A5AF4">
              <w:rPr>
                <w:noProof/>
                <w:color w:val="000000"/>
                <w:sz w:val="16"/>
                <w:szCs w:val="16"/>
                <w:lang w:eastAsia="en-IE"/>
              </w:rPr>
              <w:t>0</w:t>
            </w:r>
          </w:p>
        </w:tc>
      </w:tr>
      <w:tr w:rsidR="00F5502B" w:rsidRPr="003A5AF4"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3A5AF4" w:rsidRDefault="00F5502B" w:rsidP="00425340">
            <w:pPr>
              <w:spacing w:before="0" w:after="0"/>
              <w:ind w:firstLineChars="100" w:firstLine="160"/>
              <w:jc w:val="left"/>
              <w:rPr>
                <w:b/>
                <w:bCs/>
                <w:noProof/>
                <w:color w:val="000000"/>
                <w:sz w:val="16"/>
                <w:szCs w:val="16"/>
                <w:lang w:eastAsia="en-IE"/>
              </w:rPr>
            </w:pPr>
            <w:r w:rsidRPr="003A5AF4">
              <w:rPr>
                <w:b/>
                <w:bCs/>
                <w:noProof/>
                <w:color w:val="000000"/>
                <w:sz w:val="16"/>
                <w:szCs w:val="16"/>
                <w:lang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3A5AF4" w:rsidRDefault="00F5502B" w:rsidP="00425340">
            <w:pPr>
              <w:spacing w:before="0" w:after="0"/>
              <w:jc w:val="center"/>
              <w:rPr>
                <w:b/>
                <w:bCs/>
                <w:noProof/>
                <w:color w:val="000000"/>
                <w:sz w:val="16"/>
                <w:szCs w:val="16"/>
                <w:lang w:eastAsia="en-IE"/>
              </w:rPr>
            </w:pPr>
            <w:r w:rsidRPr="003A5AF4">
              <w:rPr>
                <w:b/>
                <w:bCs/>
                <w:noProof/>
                <w:color w:val="000000"/>
                <w:sz w:val="16"/>
                <w:szCs w:val="16"/>
                <w:lang w:eastAsia="en-IE"/>
              </w:rPr>
              <w:t>0</w:t>
            </w:r>
          </w:p>
        </w:tc>
      </w:tr>
    </w:tbl>
    <w:p w:rsidR="00784279" w:rsidRDefault="00784279" w:rsidP="00E923B5">
      <w:pPr>
        <w:pStyle w:val="Text1"/>
        <w:ind w:left="-426"/>
        <w:rPr>
          <w:noProof/>
          <w:color w:val="000000" w:themeColor="text1"/>
        </w:rPr>
      </w:pPr>
      <w:bookmarkStart w:id="176" w:name="_Hlk167692843"/>
      <w:bookmarkEnd w:id="171"/>
    </w:p>
    <w:p w:rsidR="00F5502B" w:rsidRPr="003A5AF4" w:rsidRDefault="00F5502B" w:rsidP="00E923B5">
      <w:pPr>
        <w:pStyle w:val="Text1"/>
        <w:ind w:left="-426"/>
        <w:rPr>
          <w:noProof/>
          <w:color w:val="000000" w:themeColor="text1"/>
        </w:rPr>
      </w:pPr>
      <w:r w:rsidRPr="003A5AF4">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F5502B" w:rsidRPr="003A5AF4" w:rsidTr="00425340">
        <w:trPr>
          <w:trHeight w:val="300"/>
        </w:trPr>
        <w:tc>
          <w:tcPr>
            <w:tcW w:w="1845" w:type="dxa"/>
          </w:tcPr>
          <w:p w:rsidR="00F5502B" w:rsidRPr="003A5AF4" w:rsidRDefault="00F5502B" w:rsidP="00425340">
            <w:pPr>
              <w:pStyle w:val="Text1"/>
              <w:ind w:left="0"/>
              <w:jc w:val="center"/>
              <w:rPr>
                <w:b/>
                <w:bCs/>
                <w:noProof/>
                <w:sz w:val="22"/>
                <w:szCs w:val="28"/>
              </w:rPr>
            </w:pPr>
          </w:p>
        </w:tc>
        <w:tc>
          <w:tcPr>
            <w:tcW w:w="2031" w:type="dxa"/>
          </w:tcPr>
          <w:p w:rsidR="00F5502B" w:rsidRPr="003A5AF4" w:rsidRDefault="00F5502B" w:rsidP="00425340">
            <w:pPr>
              <w:pStyle w:val="Text1"/>
              <w:ind w:left="0"/>
              <w:jc w:val="center"/>
              <w:rPr>
                <w:b/>
                <w:bCs/>
                <w:noProof/>
                <w:sz w:val="22"/>
              </w:rPr>
            </w:pPr>
            <w:r w:rsidRPr="003A5AF4">
              <w:rPr>
                <w:b/>
                <w:bCs/>
                <w:noProof/>
                <w:sz w:val="22"/>
              </w:rPr>
              <w:t xml:space="preserve">To be covered by current staff available in the Commission services </w:t>
            </w:r>
          </w:p>
        </w:tc>
        <w:tc>
          <w:tcPr>
            <w:tcW w:w="5611" w:type="dxa"/>
            <w:gridSpan w:val="3"/>
          </w:tcPr>
          <w:p w:rsidR="00F5502B" w:rsidRPr="003A5AF4" w:rsidRDefault="00F5502B" w:rsidP="00425340">
            <w:pPr>
              <w:pStyle w:val="Text1"/>
              <w:ind w:left="0"/>
              <w:jc w:val="center"/>
              <w:rPr>
                <w:b/>
                <w:bCs/>
                <w:noProof/>
                <w:sz w:val="22"/>
              </w:rPr>
            </w:pPr>
            <w:r w:rsidRPr="003A5AF4">
              <w:rPr>
                <w:b/>
                <w:bCs/>
                <w:noProof/>
                <w:sz w:val="22"/>
              </w:rPr>
              <w:t>Exceptional additional staff*</w:t>
            </w:r>
          </w:p>
        </w:tc>
      </w:tr>
      <w:tr w:rsidR="00F5502B" w:rsidRPr="003A5AF4" w:rsidTr="00425340">
        <w:trPr>
          <w:trHeight w:val="300"/>
        </w:trPr>
        <w:tc>
          <w:tcPr>
            <w:tcW w:w="1845" w:type="dxa"/>
          </w:tcPr>
          <w:p w:rsidR="00F5502B" w:rsidRPr="003A5AF4" w:rsidRDefault="00F5502B" w:rsidP="00425340">
            <w:pPr>
              <w:pStyle w:val="Text1"/>
              <w:ind w:left="0"/>
              <w:jc w:val="center"/>
              <w:rPr>
                <w:b/>
                <w:bCs/>
                <w:noProof/>
                <w:sz w:val="22"/>
                <w:szCs w:val="28"/>
              </w:rPr>
            </w:pPr>
          </w:p>
        </w:tc>
        <w:tc>
          <w:tcPr>
            <w:tcW w:w="2031" w:type="dxa"/>
          </w:tcPr>
          <w:p w:rsidR="00F5502B" w:rsidRPr="003A5AF4" w:rsidRDefault="00F5502B" w:rsidP="00425340">
            <w:pPr>
              <w:pStyle w:val="Text1"/>
              <w:ind w:left="0"/>
              <w:jc w:val="center"/>
              <w:rPr>
                <w:b/>
                <w:bCs/>
                <w:noProof/>
                <w:sz w:val="22"/>
                <w:szCs w:val="28"/>
              </w:rPr>
            </w:pPr>
          </w:p>
        </w:tc>
        <w:tc>
          <w:tcPr>
            <w:tcW w:w="1925" w:type="dxa"/>
          </w:tcPr>
          <w:p w:rsidR="00F5502B" w:rsidRPr="003A5AF4" w:rsidRDefault="00F5502B" w:rsidP="00425340">
            <w:pPr>
              <w:pStyle w:val="Text1"/>
              <w:ind w:left="0"/>
              <w:jc w:val="center"/>
              <w:rPr>
                <w:b/>
                <w:bCs/>
                <w:noProof/>
                <w:sz w:val="22"/>
              </w:rPr>
            </w:pPr>
            <w:r w:rsidRPr="003A5AF4">
              <w:rPr>
                <w:b/>
                <w:bCs/>
                <w:noProof/>
                <w:sz w:val="22"/>
              </w:rPr>
              <w:t>To be financed under Heading 7 or Research</w:t>
            </w:r>
          </w:p>
        </w:tc>
        <w:tc>
          <w:tcPr>
            <w:tcW w:w="1938" w:type="dxa"/>
          </w:tcPr>
          <w:p w:rsidR="00F5502B" w:rsidRPr="003A5AF4" w:rsidRDefault="00F5502B" w:rsidP="00425340">
            <w:pPr>
              <w:pStyle w:val="Text1"/>
              <w:ind w:left="0"/>
              <w:jc w:val="center"/>
              <w:rPr>
                <w:b/>
                <w:bCs/>
                <w:noProof/>
                <w:sz w:val="22"/>
                <w:szCs w:val="28"/>
              </w:rPr>
            </w:pPr>
            <w:r w:rsidRPr="003A5AF4">
              <w:rPr>
                <w:b/>
                <w:bCs/>
                <w:noProof/>
                <w:sz w:val="22"/>
                <w:szCs w:val="28"/>
              </w:rPr>
              <w:t>To be financed from BA line</w:t>
            </w:r>
          </w:p>
        </w:tc>
        <w:tc>
          <w:tcPr>
            <w:tcW w:w="1748" w:type="dxa"/>
          </w:tcPr>
          <w:p w:rsidR="00F5502B" w:rsidRPr="003A5AF4" w:rsidRDefault="00F5502B" w:rsidP="00425340">
            <w:pPr>
              <w:pStyle w:val="Text1"/>
              <w:ind w:left="0"/>
              <w:jc w:val="center"/>
              <w:rPr>
                <w:b/>
                <w:bCs/>
                <w:noProof/>
                <w:sz w:val="22"/>
                <w:szCs w:val="28"/>
              </w:rPr>
            </w:pPr>
            <w:r w:rsidRPr="003A5AF4">
              <w:rPr>
                <w:b/>
                <w:bCs/>
                <w:noProof/>
                <w:sz w:val="22"/>
                <w:szCs w:val="28"/>
              </w:rPr>
              <w:t>To be financed from fees</w:t>
            </w:r>
          </w:p>
        </w:tc>
      </w:tr>
      <w:tr w:rsidR="00F5502B" w:rsidRPr="003A5AF4" w:rsidTr="00425340">
        <w:trPr>
          <w:trHeight w:val="300"/>
        </w:trPr>
        <w:tc>
          <w:tcPr>
            <w:tcW w:w="1845" w:type="dxa"/>
          </w:tcPr>
          <w:p w:rsidR="00F5502B" w:rsidRPr="003A5AF4" w:rsidRDefault="00F5502B" w:rsidP="00425340">
            <w:pPr>
              <w:pStyle w:val="Text1"/>
              <w:ind w:left="0"/>
              <w:rPr>
                <w:noProof/>
                <w:sz w:val="22"/>
                <w:szCs w:val="28"/>
              </w:rPr>
            </w:pPr>
            <w:r w:rsidRPr="003A5AF4">
              <w:rPr>
                <w:noProof/>
                <w:sz w:val="22"/>
                <w:szCs w:val="28"/>
              </w:rPr>
              <w:t>Establishment plan posts</w:t>
            </w:r>
          </w:p>
        </w:tc>
        <w:tc>
          <w:tcPr>
            <w:tcW w:w="2031" w:type="dxa"/>
          </w:tcPr>
          <w:p w:rsidR="00F5502B" w:rsidRPr="003A5AF4" w:rsidRDefault="00F5502B" w:rsidP="00425340">
            <w:pPr>
              <w:pStyle w:val="Text1"/>
              <w:ind w:left="0"/>
              <w:rPr>
                <w:noProof/>
                <w:sz w:val="22"/>
                <w:szCs w:val="28"/>
              </w:rPr>
            </w:pPr>
          </w:p>
        </w:tc>
        <w:tc>
          <w:tcPr>
            <w:tcW w:w="1925" w:type="dxa"/>
          </w:tcPr>
          <w:p w:rsidR="00F5502B" w:rsidRPr="003A5AF4" w:rsidRDefault="00F5502B" w:rsidP="00425340">
            <w:pPr>
              <w:pStyle w:val="Text1"/>
              <w:ind w:left="0"/>
              <w:rPr>
                <w:noProof/>
                <w:sz w:val="22"/>
                <w:szCs w:val="28"/>
              </w:rPr>
            </w:pPr>
          </w:p>
        </w:tc>
        <w:tc>
          <w:tcPr>
            <w:tcW w:w="1938" w:type="dxa"/>
          </w:tcPr>
          <w:p w:rsidR="00F5502B" w:rsidRPr="003A5AF4" w:rsidRDefault="00F5502B" w:rsidP="00425340">
            <w:pPr>
              <w:pStyle w:val="Text1"/>
              <w:ind w:left="0"/>
              <w:rPr>
                <w:noProof/>
                <w:sz w:val="22"/>
                <w:szCs w:val="28"/>
              </w:rPr>
            </w:pPr>
            <w:r w:rsidRPr="003A5AF4">
              <w:rPr>
                <w:noProof/>
                <w:sz w:val="22"/>
                <w:szCs w:val="28"/>
              </w:rPr>
              <w:t>N/A</w:t>
            </w:r>
          </w:p>
        </w:tc>
        <w:tc>
          <w:tcPr>
            <w:tcW w:w="1748" w:type="dxa"/>
          </w:tcPr>
          <w:p w:rsidR="00F5502B" w:rsidRPr="003A5AF4" w:rsidRDefault="00F5502B" w:rsidP="00425340">
            <w:pPr>
              <w:pStyle w:val="Text1"/>
              <w:ind w:left="0"/>
              <w:rPr>
                <w:noProof/>
                <w:sz w:val="22"/>
                <w:szCs w:val="28"/>
              </w:rPr>
            </w:pPr>
          </w:p>
        </w:tc>
      </w:tr>
      <w:tr w:rsidR="00F5502B" w:rsidRPr="003A5AF4" w:rsidTr="00425340">
        <w:trPr>
          <w:trHeight w:val="300"/>
        </w:trPr>
        <w:tc>
          <w:tcPr>
            <w:tcW w:w="1845" w:type="dxa"/>
          </w:tcPr>
          <w:p w:rsidR="00F5502B" w:rsidRPr="003A5AF4" w:rsidRDefault="00F5502B" w:rsidP="00425340">
            <w:pPr>
              <w:pStyle w:val="Text1"/>
              <w:ind w:left="0"/>
              <w:rPr>
                <w:noProof/>
                <w:sz w:val="22"/>
                <w:szCs w:val="28"/>
              </w:rPr>
            </w:pPr>
            <w:r w:rsidRPr="003A5AF4">
              <w:rPr>
                <w:noProof/>
                <w:sz w:val="22"/>
                <w:szCs w:val="28"/>
              </w:rPr>
              <w:t>External staff (CA, SNEs, INT)</w:t>
            </w:r>
          </w:p>
        </w:tc>
        <w:tc>
          <w:tcPr>
            <w:tcW w:w="2031" w:type="dxa"/>
          </w:tcPr>
          <w:p w:rsidR="00F5502B" w:rsidRPr="003A5AF4" w:rsidRDefault="00F5502B" w:rsidP="00425340">
            <w:pPr>
              <w:pStyle w:val="Text1"/>
              <w:ind w:left="0"/>
              <w:rPr>
                <w:noProof/>
                <w:sz w:val="22"/>
                <w:szCs w:val="28"/>
              </w:rPr>
            </w:pPr>
          </w:p>
        </w:tc>
        <w:tc>
          <w:tcPr>
            <w:tcW w:w="1925" w:type="dxa"/>
          </w:tcPr>
          <w:p w:rsidR="00F5502B" w:rsidRPr="003A5AF4" w:rsidRDefault="00F5502B" w:rsidP="00425340">
            <w:pPr>
              <w:pStyle w:val="Text1"/>
              <w:ind w:left="0"/>
              <w:rPr>
                <w:noProof/>
                <w:sz w:val="22"/>
                <w:szCs w:val="28"/>
              </w:rPr>
            </w:pPr>
          </w:p>
        </w:tc>
        <w:tc>
          <w:tcPr>
            <w:tcW w:w="1938" w:type="dxa"/>
          </w:tcPr>
          <w:p w:rsidR="00F5502B" w:rsidRPr="003A5AF4" w:rsidRDefault="00F5502B" w:rsidP="00425340">
            <w:pPr>
              <w:pStyle w:val="Text1"/>
              <w:ind w:left="0"/>
              <w:rPr>
                <w:noProof/>
                <w:sz w:val="22"/>
                <w:szCs w:val="28"/>
              </w:rPr>
            </w:pPr>
          </w:p>
        </w:tc>
        <w:tc>
          <w:tcPr>
            <w:tcW w:w="1748" w:type="dxa"/>
          </w:tcPr>
          <w:p w:rsidR="00F5502B" w:rsidRPr="003A5AF4" w:rsidRDefault="00F5502B" w:rsidP="00425340">
            <w:pPr>
              <w:pStyle w:val="Text1"/>
              <w:ind w:left="0"/>
              <w:rPr>
                <w:noProof/>
                <w:sz w:val="22"/>
                <w:szCs w:val="28"/>
              </w:rPr>
            </w:pPr>
          </w:p>
        </w:tc>
      </w:tr>
    </w:tbl>
    <w:p w:rsidR="00F5502B" w:rsidRPr="003A5AF4" w:rsidRDefault="00F5502B" w:rsidP="00E923B5">
      <w:pPr>
        <w:pStyle w:val="Text1"/>
        <w:ind w:left="-426" w:right="-427"/>
        <w:rPr>
          <w:noProof/>
        </w:rPr>
      </w:pPr>
      <w:r w:rsidRPr="003A5AF4">
        <w:rPr>
          <w:noProof/>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F5502B" w:rsidRPr="003A5AF4" w:rsidTr="00425340">
        <w:tc>
          <w:tcPr>
            <w:tcW w:w="3240" w:type="dxa"/>
          </w:tcPr>
          <w:p w:rsidR="00F5502B" w:rsidRPr="003A5AF4" w:rsidRDefault="00F5502B" w:rsidP="00425340">
            <w:pPr>
              <w:rPr>
                <w:noProof/>
                <w:sz w:val="20"/>
              </w:rPr>
            </w:pPr>
            <w:r w:rsidRPr="003A5AF4">
              <w:rPr>
                <w:noProof/>
                <w:sz w:val="20"/>
              </w:rPr>
              <w:t>Officials and temporary staff</w:t>
            </w:r>
          </w:p>
        </w:tc>
        <w:tc>
          <w:tcPr>
            <w:tcW w:w="7200" w:type="dxa"/>
          </w:tcPr>
          <w:p w:rsidR="00F5502B" w:rsidRPr="003A5AF4" w:rsidRDefault="00F5502B" w:rsidP="00425340">
            <w:pPr>
              <w:rPr>
                <w:noProof/>
                <w:sz w:val="20"/>
              </w:rPr>
            </w:pPr>
          </w:p>
        </w:tc>
      </w:tr>
      <w:tr w:rsidR="00F5502B" w:rsidRPr="003A5AF4" w:rsidTr="00425340">
        <w:tc>
          <w:tcPr>
            <w:tcW w:w="3240" w:type="dxa"/>
          </w:tcPr>
          <w:p w:rsidR="00F5502B" w:rsidRPr="003A5AF4" w:rsidRDefault="00F5502B" w:rsidP="00425340">
            <w:pPr>
              <w:spacing w:before="60" w:after="60"/>
              <w:rPr>
                <w:noProof/>
                <w:sz w:val="20"/>
              </w:rPr>
            </w:pPr>
            <w:r w:rsidRPr="003A5AF4">
              <w:rPr>
                <w:noProof/>
                <w:sz w:val="20"/>
              </w:rPr>
              <w:t>External staff</w:t>
            </w:r>
          </w:p>
        </w:tc>
        <w:tc>
          <w:tcPr>
            <w:tcW w:w="7200" w:type="dxa"/>
          </w:tcPr>
          <w:p w:rsidR="00F5502B" w:rsidRPr="003A5AF4" w:rsidRDefault="00F5502B" w:rsidP="00425340">
            <w:pPr>
              <w:rPr>
                <w:noProof/>
                <w:sz w:val="20"/>
              </w:rPr>
            </w:pPr>
          </w:p>
        </w:tc>
      </w:tr>
    </w:tbl>
    <w:p w:rsidR="00F5502B" w:rsidRPr="003A5AF4" w:rsidRDefault="00F5502B" w:rsidP="00E923B5">
      <w:pPr>
        <w:pStyle w:val="ManualHeading3"/>
        <w:rPr>
          <w:noProof/>
        </w:rPr>
      </w:pPr>
      <w:bookmarkStart w:id="177" w:name="_Toc177549031"/>
      <w:r w:rsidRPr="003A5AF4">
        <w:rPr>
          <w:noProof/>
        </w:rPr>
        <w:t>3.2.5.</w:t>
      </w:r>
      <w:r w:rsidRPr="003A5AF4">
        <w:rPr>
          <w:noProof/>
        </w:rPr>
        <w:tab/>
        <w:t>Overview of estimated impact on digital technology-related investments</w:t>
      </w:r>
      <w:bookmarkEnd w:id="177"/>
    </w:p>
    <w:p w:rsidR="00F5502B" w:rsidRPr="003A5AF4" w:rsidRDefault="00F5502B" w:rsidP="00E923B5">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F5502B" w:rsidRPr="003A5AF4" w:rsidTr="00425340">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8"/>
                <w:szCs w:val="18"/>
              </w:rPr>
            </w:pPr>
            <w:r w:rsidRPr="003A5AF4">
              <w:rPr>
                <w:b/>
                <w:bCs/>
                <w:noProof/>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F5502B" w:rsidRPr="003A5AF4" w:rsidRDefault="00F5502B" w:rsidP="00425340">
            <w:pPr>
              <w:spacing w:before="0" w:after="0"/>
              <w:jc w:val="center"/>
              <w:rPr>
                <w:noProof/>
                <w:color w:val="000000" w:themeColor="text1"/>
                <w:sz w:val="18"/>
                <w:szCs w:val="18"/>
              </w:rPr>
            </w:pPr>
            <w:r w:rsidRPr="003A5AF4">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3A5AF4" w:rsidRDefault="00F5502B" w:rsidP="00425340">
            <w:pPr>
              <w:spacing w:before="0" w:after="0"/>
              <w:jc w:val="center"/>
              <w:rPr>
                <w:noProof/>
                <w:color w:val="000000" w:themeColor="text1"/>
                <w:sz w:val="18"/>
                <w:szCs w:val="18"/>
              </w:rPr>
            </w:pPr>
            <w:r w:rsidRPr="003A5AF4">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3A5AF4" w:rsidRDefault="00F5502B" w:rsidP="00425340">
            <w:pPr>
              <w:spacing w:before="0" w:after="0"/>
              <w:jc w:val="center"/>
              <w:rPr>
                <w:noProof/>
                <w:color w:val="000000" w:themeColor="text1"/>
                <w:sz w:val="18"/>
                <w:szCs w:val="18"/>
              </w:rPr>
            </w:pPr>
            <w:r w:rsidRPr="003A5AF4">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3A5AF4" w:rsidRDefault="00F5502B" w:rsidP="00425340">
            <w:pPr>
              <w:spacing w:before="0" w:after="0"/>
              <w:jc w:val="center"/>
              <w:rPr>
                <w:noProof/>
                <w:color w:val="000000" w:themeColor="text1"/>
                <w:sz w:val="18"/>
                <w:szCs w:val="18"/>
              </w:rPr>
            </w:pPr>
            <w:r w:rsidRPr="003A5AF4">
              <w:rPr>
                <w:noProof/>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8"/>
                <w:szCs w:val="18"/>
              </w:rPr>
            </w:pPr>
            <w:r w:rsidRPr="003A5AF4">
              <w:rPr>
                <w:b/>
                <w:bCs/>
                <w:noProof/>
                <w:color w:val="000000" w:themeColor="text1"/>
                <w:sz w:val="18"/>
                <w:szCs w:val="18"/>
              </w:rPr>
              <w:t>TOTAL MFF 2021 - 2027</w:t>
            </w:r>
          </w:p>
        </w:tc>
      </w:tr>
      <w:tr w:rsidR="00F5502B" w:rsidRPr="003A5AF4" w:rsidTr="00425340">
        <w:trPr>
          <w:trHeight w:val="525"/>
        </w:trPr>
        <w:tc>
          <w:tcPr>
            <w:tcW w:w="3214" w:type="dxa"/>
            <w:vMerge/>
            <w:tcBorders>
              <w:top w:val="single" w:sz="8" w:space="0" w:color="auto"/>
              <w:left w:val="single" w:sz="4" w:space="0" w:color="auto"/>
              <w:right w:val="single" w:sz="4" w:space="0" w:color="auto"/>
            </w:tcBorders>
            <w:vAlign w:val="center"/>
          </w:tcPr>
          <w:p w:rsidR="00F5502B" w:rsidRPr="003A5AF4" w:rsidRDefault="00F5502B" w:rsidP="0042534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8"/>
                <w:szCs w:val="18"/>
              </w:rPr>
            </w:pPr>
            <w:r w:rsidRPr="003A5AF4">
              <w:rPr>
                <w:b/>
                <w:bCs/>
                <w:noProof/>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8"/>
                <w:szCs w:val="18"/>
              </w:rPr>
            </w:pPr>
            <w:r w:rsidRPr="003A5AF4">
              <w:rPr>
                <w:b/>
                <w:bCs/>
                <w:noProof/>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8"/>
                <w:szCs w:val="18"/>
              </w:rPr>
            </w:pPr>
            <w:r w:rsidRPr="003A5AF4">
              <w:rPr>
                <w:b/>
                <w:bCs/>
                <w:noProof/>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8"/>
                <w:szCs w:val="18"/>
              </w:rPr>
            </w:pPr>
            <w:r w:rsidRPr="003A5AF4">
              <w:rPr>
                <w:b/>
                <w:bCs/>
                <w:noProof/>
                <w:color w:val="000000" w:themeColor="text1"/>
                <w:sz w:val="18"/>
                <w:szCs w:val="18"/>
              </w:rPr>
              <w:t>2027</w:t>
            </w:r>
          </w:p>
        </w:tc>
        <w:tc>
          <w:tcPr>
            <w:tcW w:w="981" w:type="dxa"/>
            <w:vMerge/>
            <w:tcBorders>
              <w:bottom w:val="single" w:sz="4" w:space="0" w:color="auto"/>
              <w:right w:val="single" w:sz="4" w:space="0" w:color="auto"/>
            </w:tcBorders>
            <w:vAlign w:val="center"/>
          </w:tcPr>
          <w:p w:rsidR="00F5502B" w:rsidRPr="003A5AF4" w:rsidRDefault="00F5502B" w:rsidP="00425340">
            <w:pPr>
              <w:rPr>
                <w:noProof/>
              </w:rPr>
            </w:pPr>
          </w:p>
        </w:tc>
      </w:tr>
      <w:tr w:rsidR="00F5502B" w:rsidRPr="003A5AF4" w:rsidTr="00425340">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left"/>
              <w:rPr>
                <w:b/>
                <w:bCs/>
                <w:noProof/>
                <w:sz w:val="16"/>
                <w:szCs w:val="16"/>
              </w:rPr>
            </w:pPr>
            <w:r w:rsidRPr="003A5AF4">
              <w:rPr>
                <w:b/>
                <w:bCs/>
                <w:noProof/>
                <w:sz w:val="16"/>
                <w:szCs w:val="16"/>
              </w:rPr>
              <w:t>HEADING 7</w:t>
            </w:r>
          </w:p>
        </w:tc>
      </w:tr>
      <w:tr w:rsidR="00F5502B" w:rsidRPr="003A5AF4"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left"/>
              <w:rPr>
                <w:noProof/>
                <w:color w:val="000000" w:themeColor="text1"/>
                <w:sz w:val="16"/>
                <w:szCs w:val="16"/>
              </w:rPr>
            </w:pPr>
            <w:r w:rsidRPr="003A5AF4">
              <w:rPr>
                <w:rFonts w:ascii="Arial Narrow" w:eastAsia="Arial Narrow" w:hAnsi="Arial Narrow" w:cs="Arial Narrow"/>
                <w:noProof/>
                <w:color w:val="000000" w:themeColor="text1"/>
                <w:sz w:val="20"/>
                <w:szCs w:val="20"/>
              </w:rPr>
              <w:t>IT expenditure (corporate)</w:t>
            </w:r>
            <w:r w:rsidRPr="003A5AF4">
              <w:rPr>
                <w:noProof/>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r>
      <w:tr w:rsidR="00F5502B" w:rsidRPr="003A5AF4"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F5502B" w:rsidRPr="003A5AF4" w:rsidRDefault="00F5502B" w:rsidP="00425340">
            <w:pPr>
              <w:spacing w:before="0" w:after="0"/>
              <w:jc w:val="center"/>
              <w:rPr>
                <w:b/>
                <w:bCs/>
                <w:noProof/>
                <w:color w:val="000000" w:themeColor="text1"/>
                <w:sz w:val="16"/>
                <w:szCs w:val="16"/>
              </w:rPr>
            </w:pPr>
            <w:r w:rsidRPr="003A5AF4">
              <w:rPr>
                <w:b/>
                <w:bCs/>
                <w:noProof/>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r>
      <w:tr w:rsidR="00F5502B" w:rsidRPr="003A5AF4"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left"/>
              <w:rPr>
                <w:b/>
                <w:bCs/>
                <w:noProof/>
                <w:sz w:val="16"/>
                <w:szCs w:val="16"/>
              </w:rPr>
            </w:pPr>
            <w:r w:rsidRPr="003A5AF4">
              <w:rPr>
                <w:b/>
                <w:bCs/>
                <w:noProof/>
                <w:sz w:val="16"/>
                <w:szCs w:val="16"/>
              </w:rPr>
              <w:t>Outside HEADING 7</w:t>
            </w:r>
          </w:p>
        </w:tc>
      </w:tr>
      <w:tr w:rsidR="00F5502B" w:rsidRPr="003A5AF4"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left"/>
              <w:rPr>
                <w:rFonts w:ascii="Arial Narrow" w:eastAsia="Arial Narrow" w:hAnsi="Arial Narrow" w:cs="Arial Narrow"/>
                <w:noProof/>
                <w:color w:val="000000" w:themeColor="text1"/>
                <w:sz w:val="20"/>
                <w:szCs w:val="20"/>
              </w:rPr>
            </w:pPr>
            <w:r w:rsidRPr="003A5AF4">
              <w:rPr>
                <w:rFonts w:ascii="Arial Narrow" w:eastAsia="Arial Narrow" w:hAnsi="Arial Narrow" w:cs="Arial Narrow"/>
                <w:noProof/>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noProof/>
                <w:color w:val="000000" w:themeColor="text1"/>
                <w:sz w:val="16"/>
                <w:szCs w:val="16"/>
              </w:rPr>
            </w:pPr>
            <w:r w:rsidRPr="003A5AF4">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r>
      <w:tr w:rsidR="00F5502B" w:rsidRPr="003A5AF4"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F5502B" w:rsidRPr="003A5AF4" w:rsidRDefault="00F5502B" w:rsidP="00425340">
            <w:pPr>
              <w:spacing w:before="0" w:after="0"/>
              <w:jc w:val="center"/>
              <w:rPr>
                <w:b/>
                <w:bCs/>
                <w:noProof/>
                <w:color w:val="000000" w:themeColor="text1"/>
                <w:sz w:val="16"/>
                <w:szCs w:val="16"/>
              </w:rPr>
            </w:pPr>
            <w:r w:rsidRPr="003A5AF4">
              <w:rPr>
                <w:b/>
                <w:bCs/>
                <w:noProof/>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r>
      <w:tr w:rsidR="00F5502B" w:rsidRPr="003A5AF4"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3A5AF4" w:rsidRDefault="00F5502B" w:rsidP="00425340">
            <w:pPr>
              <w:spacing w:before="0" w:after="0"/>
              <w:jc w:val="center"/>
              <w:rPr>
                <w:noProof/>
                <w:color w:val="000000" w:themeColor="text1"/>
                <w:sz w:val="16"/>
                <w:szCs w:val="16"/>
              </w:rPr>
            </w:pPr>
            <w:r w:rsidRPr="003A5AF4">
              <w:rPr>
                <w:noProof/>
                <w:color w:val="000000" w:themeColor="text1"/>
                <w:sz w:val="16"/>
                <w:szCs w:val="16"/>
              </w:rPr>
              <w:t xml:space="preserve"> </w:t>
            </w:r>
          </w:p>
        </w:tc>
      </w:tr>
      <w:tr w:rsidR="00F5502B" w:rsidRPr="003A5AF4" w:rsidTr="00425340">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F5502B" w:rsidRPr="003A5AF4" w:rsidRDefault="00F5502B" w:rsidP="00425340">
            <w:pPr>
              <w:spacing w:before="0" w:after="0"/>
              <w:jc w:val="center"/>
              <w:rPr>
                <w:b/>
                <w:bCs/>
                <w:noProof/>
                <w:color w:val="000000" w:themeColor="text1"/>
                <w:sz w:val="16"/>
                <w:szCs w:val="16"/>
              </w:rPr>
            </w:pPr>
            <w:r w:rsidRPr="003A5AF4">
              <w:rPr>
                <w:b/>
                <w:bCs/>
                <w:noProof/>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3A5AF4" w:rsidRDefault="00F5502B" w:rsidP="00425340">
            <w:pPr>
              <w:spacing w:before="0" w:after="0"/>
              <w:jc w:val="right"/>
              <w:rPr>
                <w:b/>
                <w:bCs/>
                <w:noProof/>
                <w:color w:val="000000" w:themeColor="text1"/>
                <w:sz w:val="16"/>
                <w:szCs w:val="16"/>
              </w:rPr>
            </w:pPr>
            <w:r w:rsidRPr="003A5AF4">
              <w:rPr>
                <w:b/>
                <w:bCs/>
                <w:noProof/>
                <w:color w:val="000000" w:themeColor="text1"/>
                <w:sz w:val="16"/>
                <w:szCs w:val="16"/>
              </w:rPr>
              <w:t>0.000</w:t>
            </w:r>
          </w:p>
        </w:tc>
      </w:tr>
    </w:tbl>
    <w:p w:rsidR="00F5502B" w:rsidRPr="003A5AF4" w:rsidRDefault="00F5502B" w:rsidP="00E923B5">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6"/>
      <w:r w:rsidRPr="003A5AF4">
        <w:rPr>
          <w:noProof/>
        </w:rPr>
        <w:t>3.2.6.</w:t>
      </w:r>
      <w:r w:rsidRPr="003A5AF4">
        <w:rPr>
          <w:noProof/>
        </w:rPr>
        <w:tab/>
        <w:t>Compatibility with the current multiannual financial framework</w:t>
      </w:r>
      <w:bookmarkEnd w:id="178"/>
      <w:bookmarkEnd w:id="179"/>
      <w:bookmarkEnd w:id="180"/>
      <w:bookmarkEnd w:id="181"/>
      <w:bookmarkEnd w:id="182"/>
      <w:r w:rsidRPr="003A5AF4">
        <w:rPr>
          <w:noProof/>
        </w:rPr>
        <w:t xml:space="preserve"> </w:t>
      </w:r>
    </w:p>
    <w:p w:rsidR="00F5502B" w:rsidRPr="003A5AF4" w:rsidRDefault="00F5502B" w:rsidP="00E923B5">
      <w:pPr>
        <w:pStyle w:val="Text1"/>
        <w:rPr>
          <w:noProof/>
        </w:rPr>
      </w:pPr>
      <w:r w:rsidRPr="003A5AF4">
        <w:rPr>
          <w:noProof/>
        </w:rPr>
        <w:t>The proposal/initiative:</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can be fully financed through redeployment within the relevant heading of the multiannual financial framework (MFF)</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requires use of the unallocated margin under the relevant heading of the MFF and/or use of the special instruments as defined in the MFF Regulation</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requires a revision of the MFF</w:t>
      </w:r>
    </w:p>
    <w:p w:rsidR="00F5502B" w:rsidRPr="003A5AF4" w:rsidRDefault="00F5502B" w:rsidP="00E923B5">
      <w:pPr>
        <w:pStyle w:val="ManualHeading3"/>
        <w:rPr>
          <w:noProof/>
        </w:rPr>
      </w:pPr>
      <w:bookmarkStart w:id="183" w:name="_Toc514938058"/>
      <w:bookmarkStart w:id="184" w:name="_Toc520485056"/>
      <w:bookmarkStart w:id="185" w:name="_Toc160804600"/>
      <w:bookmarkStart w:id="186" w:name="_Toc167220299"/>
      <w:bookmarkStart w:id="187" w:name="_Toc177549033"/>
      <w:r w:rsidRPr="003A5AF4">
        <w:rPr>
          <w:noProof/>
        </w:rPr>
        <w:t>3.2.7.</w:t>
      </w:r>
      <w:r w:rsidRPr="003A5AF4">
        <w:rPr>
          <w:noProof/>
        </w:rPr>
        <w:tab/>
        <w:t>Third-party contributions</w:t>
      </w:r>
      <w:bookmarkEnd w:id="183"/>
      <w:bookmarkEnd w:id="184"/>
      <w:bookmarkEnd w:id="185"/>
      <w:bookmarkEnd w:id="186"/>
      <w:bookmarkEnd w:id="187"/>
      <w:r w:rsidRPr="003A5AF4">
        <w:rPr>
          <w:noProof/>
        </w:rPr>
        <w:t xml:space="preserve"> </w:t>
      </w:r>
    </w:p>
    <w:p w:rsidR="00F5502B" w:rsidRPr="003A5AF4" w:rsidRDefault="00F5502B" w:rsidP="00E923B5">
      <w:pPr>
        <w:pStyle w:val="Text1"/>
        <w:rPr>
          <w:noProof/>
        </w:rPr>
      </w:pPr>
      <w:r w:rsidRPr="003A5AF4">
        <w:rPr>
          <w:noProof/>
        </w:rPr>
        <w:t>The proposal/initiative:</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does not provide for co-financing by third parties</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provides for the co-financing by third parties estimated below:</w:t>
      </w:r>
    </w:p>
    <w:p w:rsidR="00F5502B" w:rsidRPr="003A5AF4" w:rsidRDefault="00F5502B" w:rsidP="00E923B5">
      <w:pPr>
        <w:jc w:val="right"/>
        <w:rPr>
          <w:noProof/>
          <w:sz w:val="20"/>
        </w:rPr>
      </w:pPr>
      <w:r w:rsidRPr="003A5AF4">
        <w:rPr>
          <w:noProof/>
          <w:sz w:val="20"/>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F5502B" w:rsidRPr="003A5AF4" w:rsidTr="00425340">
        <w:trPr>
          <w:cantSplit/>
        </w:trPr>
        <w:tc>
          <w:tcPr>
            <w:tcW w:w="1591" w:type="pct"/>
          </w:tcPr>
          <w:p w:rsidR="00F5502B" w:rsidRPr="003A5AF4" w:rsidRDefault="00F5502B" w:rsidP="00425340">
            <w:pPr>
              <w:spacing w:before="60" w:after="60"/>
              <w:rPr>
                <w:noProof/>
                <w:sz w:val="20"/>
              </w:rPr>
            </w:pPr>
          </w:p>
        </w:tc>
        <w:tc>
          <w:tcPr>
            <w:tcW w:w="655" w:type="pct"/>
            <w:vAlign w:val="center"/>
          </w:tcPr>
          <w:p w:rsidR="00F5502B" w:rsidRPr="003A5AF4" w:rsidRDefault="00F5502B" w:rsidP="00425340">
            <w:pPr>
              <w:jc w:val="center"/>
              <w:rPr>
                <w:noProof/>
                <w:sz w:val="20"/>
              </w:rPr>
            </w:pPr>
            <w:r w:rsidRPr="003A5AF4">
              <w:rPr>
                <w:noProof/>
                <w:sz w:val="20"/>
              </w:rPr>
              <w:t xml:space="preserve">Year </w:t>
            </w:r>
            <w:r w:rsidRPr="003A5AF4">
              <w:rPr>
                <w:noProof/>
                <w:sz w:val="22"/>
              </w:rPr>
              <w:br/>
            </w:r>
            <w:r w:rsidRPr="003A5AF4">
              <w:rPr>
                <w:b/>
                <w:noProof/>
                <w:sz w:val="20"/>
              </w:rPr>
              <w:t>2024</w:t>
            </w:r>
          </w:p>
        </w:tc>
        <w:tc>
          <w:tcPr>
            <w:tcW w:w="655" w:type="pct"/>
            <w:vAlign w:val="center"/>
          </w:tcPr>
          <w:p w:rsidR="00F5502B" w:rsidRPr="003A5AF4" w:rsidRDefault="00F5502B" w:rsidP="00425340">
            <w:pPr>
              <w:jc w:val="center"/>
              <w:rPr>
                <w:noProof/>
                <w:sz w:val="20"/>
              </w:rPr>
            </w:pPr>
            <w:r w:rsidRPr="003A5AF4">
              <w:rPr>
                <w:noProof/>
                <w:sz w:val="20"/>
              </w:rPr>
              <w:t xml:space="preserve">Year </w:t>
            </w:r>
            <w:r w:rsidRPr="003A5AF4">
              <w:rPr>
                <w:noProof/>
                <w:sz w:val="22"/>
              </w:rPr>
              <w:br/>
            </w:r>
            <w:r w:rsidRPr="003A5AF4">
              <w:rPr>
                <w:b/>
                <w:noProof/>
                <w:sz w:val="20"/>
              </w:rPr>
              <w:t>2025</w:t>
            </w:r>
          </w:p>
        </w:tc>
        <w:tc>
          <w:tcPr>
            <w:tcW w:w="655" w:type="pct"/>
            <w:vAlign w:val="center"/>
          </w:tcPr>
          <w:p w:rsidR="00F5502B" w:rsidRPr="003A5AF4" w:rsidRDefault="00F5502B" w:rsidP="00425340">
            <w:pPr>
              <w:jc w:val="center"/>
              <w:rPr>
                <w:noProof/>
                <w:sz w:val="20"/>
              </w:rPr>
            </w:pPr>
            <w:r w:rsidRPr="003A5AF4">
              <w:rPr>
                <w:noProof/>
                <w:sz w:val="20"/>
              </w:rPr>
              <w:t xml:space="preserve">Year </w:t>
            </w:r>
            <w:r w:rsidRPr="003A5AF4">
              <w:rPr>
                <w:noProof/>
                <w:sz w:val="22"/>
              </w:rPr>
              <w:br/>
            </w:r>
            <w:r w:rsidRPr="003A5AF4">
              <w:rPr>
                <w:b/>
                <w:noProof/>
                <w:sz w:val="20"/>
              </w:rPr>
              <w:t>2026</w:t>
            </w:r>
          </w:p>
        </w:tc>
        <w:tc>
          <w:tcPr>
            <w:tcW w:w="655" w:type="pct"/>
            <w:vAlign w:val="center"/>
          </w:tcPr>
          <w:p w:rsidR="00F5502B" w:rsidRPr="003A5AF4" w:rsidRDefault="00F5502B" w:rsidP="00425340">
            <w:pPr>
              <w:jc w:val="center"/>
              <w:rPr>
                <w:noProof/>
                <w:sz w:val="20"/>
              </w:rPr>
            </w:pPr>
            <w:r w:rsidRPr="003A5AF4">
              <w:rPr>
                <w:noProof/>
                <w:sz w:val="20"/>
              </w:rPr>
              <w:t xml:space="preserve">Year </w:t>
            </w:r>
            <w:r w:rsidRPr="003A5AF4">
              <w:rPr>
                <w:noProof/>
                <w:sz w:val="22"/>
              </w:rPr>
              <w:br/>
            </w:r>
            <w:r w:rsidRPr="003A5AF4">
              <w:rPr>
                <w:b/>
                <w:noProof/>
                <w:sz w:val="20"/>
              </w:rPr>
              <w:t>2027</w:t>
            </w:r>
          </w:p>
        </w:tc>
        <w:tc>
          <w:tcPr>
            <w:tcW w:w="787" w:type="pct"/>
            <w:vAlign w:val="center"/>
          </w:tcPr>
          <w:p w:rsidR="00F5502B" w:rsidRPr="003A5AF4" w:rsidRDefault="00F5502B" w:rsidP="00425340">
            <w:pPr>
              <w:spacing w:before="60" w:after="60"/>
              <w:jc w:val="center"/>
              <w:rPr>
                <w:noProof/>
                <w:sz w:val="20"/>
              </w:rPr>
            </w:pPr>
            <w:r w:rsidRPr="003A5AF4">
              <w:rPr>
                <w:noProof/>
                <w:sz w:val="20"/>
              </w:rPr>
              <w:t>Total</w:t>
            </w:r>
          </w:p>
        </w:tc>
      </w:tr>
      <w:tr w:rsidR="00F5502B" w:rsidRPr="003A5AF4" w:rsidTr="00425340">
        <w:trPr>
          <w:cantSplit/>
        </w:trPr>
        <w:tc>
          <w:tcPr>
            <w:tcW w:w="1591" w:type="pct"/>
          </w:tcPr>
          <w:p w:rsidR="00F5502B" w:rsidRPr="003A5AF4" w:rsidRDefault="00F5502B" w:rsidP="00425340">
            <w:pPr>
              <w:rPr>
                <w:noProof/>
              </w:rPr>
            </w:pPr>
            <w:r w:rsidRPr="003A5AF4">
              <w:rPr>
                <w:noProof/>
                <w:sz w:val="20"/>
              </w:rPr>
              <w:t>Specify the co-financing body</w:t>
            </w:r>
            <w:r w:rsidRPr="003A5AF4">
              <w:rPr>
                <w:i/>
                <w:noProof/>
                <w:sz w:val="20"/>
              </w:rPr>
              <w:t xml:space="preserve"> </w:t>
            </w:r>
          </w:p>
        </w:tc>
        <w:tc>
          <w:tcPr>
            <w:tcW w:w="655" w:type="pct"/>
            <w:vAlign w:val="center"/>
          </w:tcPr>
          <w:p w:rsidR="00F5502B" w:rsidRPr="003A5AF4" w:rsidRDefault="00F5502B" w:rsidP="00425340">
            <w:pPr>
              <w:spacing w:before="60" w:after="60"/>
              <w:jc w:val="center"/>
              <w:rPr>
                <w:noProof/>
                <w:sz w:val="20"/>
              </w:rPr>
            </w:pPr>
          </w:p>
        </w:tc>
        <w:tc>
          <w:tcPr>
            <w:tcW w:w="655" w:type="pct"/>
            <w:vAlign w:val="center"/>
          </w:tcPr>
          <w:p w:rsidR="00F5502B" w:rsidRPr="003A5AF4" w:rsidRDefault="00F5502B" w:rsidP="00425340">
            <w:pPr>
              <w:spacing w:before="60" w:after="60"/>
              <w:jc w:val="center"/>
              <w:rPr>
                <w:noProof/>
                <w:sz w:val="20"/>
              </w:rPr>
            </w:pPr>
          </w:p>
        </w:tc>
        <w:tc>
          <w:tcPr>
            <w:tcW w:w="655" w:type="pct"/>
            <w:vAlign w:val="center"/>
          </w:tcPr>
          <w:p w:rsidR="00F5502B" w:rsidRPr="003A5AF4" w:rsidRDefault="00F5502B" w:rsidP="00425340">
            <w:pPr>
              <w:spacing w:before="60" w:after="60"/>
              <w:jc w:val="center"/>
              <w:rPr>
                <w:noProof/>
                <w:sz w:val="20"/>
              </w:rPr>
            </w:pPr>
          </w:p>
        </w:tc>
        <w:tc>
          <w:tcPr>
            <w:tcW w:w="655" w:type="pct"/>
            <w:vAlign w:val="center"/>
          </w:tcPr>
          <w:p w:rsidR="00F5502B" w:rsidRPr="003A5AF4" w:rsidRDefault="00F5502B" w:rsidP="00425340">
            <w:pPr>
              <w:spacing w:before="60" w:after="60"/>
              <w:jc w:val="center"/>
              <w:rPr>
                <w:noProof/>
                <w:sz w:val="20"/>
              </w:rPr>
            </w:pPr>
          </w:p>
        </w:tc>
        <w:tc>
          <w:tcPr>
            <w:tcW w:w="787" w:type="pct"/>
            <w:vAlign w:val="center"/>
          </w:tcPr>
          <w:p w:rsidR="00F5502B" w:rsidRPr="003A5AF4" w:rsidRDefault="00F5502B" w:rsidP="00425340">
            <w:pPr>
              <w:spacing w:before="60" w:after="60"/>
              <w:jc w:val="center"/>
              <w:rPr>
                <w:noProof/>
                <w:sz w:val="20"/>
              </w:rPr>
            </w:pPr>
          </w:p>
        </w:tc>
      </w:tr>
      <w:tr w:rsidR="00F5502B" w:rsidRPr="003A5AF4" w:rsidTr="00425340">
        <w:trPr>
          <w:cantSplit/>
        </w:trPr>
        <w:tc>
          <w:tcPr>
            <w:tcW w:w="1591" w:type="pct"/>
          </w:tcPr>
          <w:p w:rsidR="00F5502B" w:rsidRPr="003A5AF4" w:rsidRDefault="00F5502B" w:rsidP="00425340">
            <w:pPr>
              <w:spacing w:before="60" w:after="60"/>
              <w:jc w:val="left"/>
              <w:rPr>
                <w:noProof/>
                <w:sz w:val="20"/>
              </w:rPr>
            </w:pPr>
            <w:r w:rsidRPr="003A5AF4">
              <w:rPr>
                <w:noProof/>
                <w:sz w:val="20"/>
              </w:rPr>
              <w:t xml:space="preserve">TOTAL appropriations co-financed </w:t>
            </w:r>
          </w:p>
        </w:tc>
        <w:tc>
          <w:tcPr>
            <w:tcW w:w="655" w:type="pct"/>
            <w:vAlign w:val="center"/>
          </w:tcPr>
          <w:p w:rsidR="00F5502B" w:rsidRPr="003A5AF4" w:rsidRDefault="00F5502B" w:rsidP="00425340">
            <w:pPr>
              <w:spacing w:before="60" w:after="60"/>
              <w:jc w:val="center"/>
              <w:rPr>
                <w:noProof/>
                <w:sz w:val="20"/>
              </w:rPr>
            </w:pPr>
          </w:p>
        </w:tc>
        <w:tc>
          <w:tcPr>
            <w:tcW w:w="655" w:type="pct"/>
            <w:vAlign w:val="center"/>
          </w:tcPr>
          <w:p w:rsidR="00F5502B" w:rsidRPr="003A5AF4" w:rsidRDefault="00F5502B" w:rsidP="00425340">
            <w:pPr>
              <w:spacing w:before="60" w:after="60"/>
              <w:jc w:val="center"/>
              <w:rPr>
                <w:noProof/>
                <w:sz w:val="20"/>
              </w:rPr>
            </w:pPr>
          </w:p>
        </w:tc>
        <w:tc>
          <w:tcPr>
            <w:tcW w:w="655" w:type="pct"/>
            <w:vAlign w:val="center"/>
          </w:tcPr>
          <w:p w:rsidR="00F5502B" w:rsidRPr="003A5AF4" w:rsidRDefault="00F5502B" w:rsidP="00425340">
            <w:pPr>
              <w:spacing w:before="60" w:after="60"/>
              <w:jc w:val="center"/>
              <w:rPr>
                <w:noProof/>
                <w:sz w:val="20"/>
              </w:rPr>
            </w:pPr>
          </w:p>
        </w:tc>
        <w:tc>
          <w:tcPr>
            <w:tcW w:w="655" w:type="pct"/>
            <w:vAlign w:val="center"/>
          </w:tcPr>
          <w:p w:rsidR="00F5502B" w:rsidRPr="003A5AF4" w:rsidRDefault="00F5502B" w:rsidP="00425340">
            <w:pPr>
              <w:spacing w:before="60" w:after="60"/>
              <w:jc w:val="center"/>
              <w:rPr>
                <w:noProof/>
                <w:sz w:val="20"/>
              </w:rPr>
            </w:pPr>
          </w:p>
        </w:tc>
        <w:tc>
          <w:tcPr>
            <w:tcW w:w="787" w:type="pct"/>
            <w:vAlign w:val="center"/>
          </w:tcPr>
          <w:p w:rsidR="00F5502B" w:rsidRPr="003A5AF4" w:rsidRDefault="00F5502B" w:rsidP="00425340">
            <w:pPr>
              <w:spacing w:before="60" w:after="60"/>
              <w:jc w:val="center"/>
              <w:rPr>
                <w:noProof/>
                <w:sz w:val="20"/>
              </w:rPr>
            </w:pPr>
          </w:p>
        </w:tc>
      </w:tr>
    </w:tbl>
    <w:p w:rsidR="00F5502B" w:rsidRPr="003A5AF4" w:rsidRDefault="00F5502B" w:rsidP="00E923B5">
      <w:pPr>
        <w:outlineLvl w:val="1"/>
        <w:rPr>
          <w:noProof/>
          <w:szCs w:val="24"/>
        </w:rPr>
      </w:pPr>
      <w:r w:rsidRPr="003A5AF4">
        <w:rPr>
          <w:noProof/>
        </w:rPr>
        <w:br/>
      </w:r>
      <w:bookmarkStart w:id="188" w:name="_Toc514938059"/>
      <w:bookmarkStart w:id="189" w:name="_Toc520485057"/>
      <w:bookmarkStart w:id="190" w:name="_Toc160804602"/>
      <w:bookmarkStart w:id="191" w:name="_Toc167220300"/>
      <w:bookmarkStart w:id="192" w:name="_Toc177549034"/>
      <w:bookmarkStart w:id="193" w:name="_Hlk166860179"/>
      <w:r w:rsidRPr="003A5AF4">
        <w:rPr>
          <w:noProof/>
        </w:rPr>
        <w:t>3.3.</w:t>
      </w:r>
      <w:r w:rsidRPr="003A5AF4">
        <w:rPr>
          <w:noProof/>
        </w:rPr>
        <w:tab/>
        <w:t>Estimated impact on revenue</w:t>
      </w:r>
      <w:bookmarkEnd w:id="188"/>
      <w:bookmarkEnd w:id="189"/>
      <w:bookmarkEnd w:id="190"/>
      <w:bookmarkEnd w:id="191"/>
      <w:bookmarkEnd w:id="192"/>
      <w:r w:rsidRPr="003A5AF4">
        <w:rPr>
          <w:noProof/>
        </w:rPr>
        <w:t xml:space="preserve"> </w:t>
      </w:r>
    </w:p>
    <w:bookmarkEnd w:id="193"/>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The proposal/initiative has no financial impact on revenue.</w:t>
      </w:r>
    </w:p>
    <w:p w:rsidR="00F5502B" w:rsidRPr="003A5AF4" w:rsidRDefault="00F5502B" w:rsidP="00E923B5">
      <w:pPr>
        <w:pStyle w:val="ListDash1"/>
        <w:rPr>
          <w:noProof/>
        </w:rPr>
      </w:pPr>
      <w:r w:rsidRPr="003A5AF4">
        <w:rPr>
          <w:rFonts w:ascii="Wingdings" w:eastAsia="Wingdings" w:hAnsi="Wingdings" w:cs="Wingdings"/>
          <w:noProof/>
        </w:rPr>
        <w:t></w:t>
      </w:r>
      <w:r w:rsidRPr="003A5AF4">
        <w:rPr>
          <w:noProof/>
        </w:rPr>
        <w:tab/>
        <w:t>The proposal/initiative has the following financial impact:</w:t>
      </w:r>
    </w:p>
    <w:p w:rsidR="00F5502B" w:rsidRPr="003A5AF4" w:rsidRDefault="00F5502B" w:rsidP="00F5502B">
      <w:pPr>
        <w:pStyle w:val="ListNumberLevel3"/>
        <w:rPr>
          <w:noProof/>
        </w:rPr>
      </w:pPr>
      <w:r w:rsidRPr="003A5AF4">
        <w:rPr>
          <w:rFonts w:ascii="Wingdings" w:eastAsia="Wingdings" w:hAnsi="Wingdings" w:cs="Wingdings"/>
          <w:noProof/>
        </w:rPr>
        <w:t></w:t>
      </w:r>
      <w:r w:rsidRPr="003A5AF4">
        <w:rPr>
          <w:noProof/>
        </w:rPr>
        <w:tab/>
        <w:t xml:space="preserve">on own resources </w:t>
      </w:r>
    </w:p>
    <w:p w:rsidR="00F5502B" w:rsidRPr="003A5AF4" w:rsidRDefault="00F5502B" w:rsidP="00F5502B">
      <w:pPr>
        <w:pStyle w:val="ListNumberLevel3"/>
        <w:rPr>
          <w:noProof/>
        </w:rPr>
      </w:pPr>
      <w:r w:rsidRPr="003A5AF4">
        <w:rPr>
          <w:rFonts w:ascii="Wingdings" w:eastAsia="Wingdings" w:hAnsi="Wingdings" w:cs="Wingdings"/>
          <w:noProof/>
        </w:rPr>
        <w:t></w:t>
      </w:r>
      <w:r w:rsidRPr="003A5AF4">
        <w:rPr>
          <w:noProof/>
        </w:rPr>
        <w:tab/>
        <w:t>on other revenue</w:t>
      </w:r>
    </w:p>
    <w:p w:rsidR="00F5502B" w:rsidRPr="003A5AF4" w:rsidRDefault="00F5502B" w:rsidP="00F5502B">
      <w:pPr>
        <w:pStyle w:val="ListNumberLevel3"/>
        <w:rPr>
          <w:noProof/>
        </w:rPr>
      </w:pPr>
      <w:r w:rsidRPr="003A5AF4">
        <w:rPr>
          <w:rFonts w:ascii="Wingdings" w:eastAsia="Wingdings" w:hAnsi="Wingdings" w:cs="Wingdings"/>
          <w:noProof/>
        </w:rPr>
        <w:t></w:t>
      </w:r>
      <w:r w:rsidRPr="003A5AF4">
        <w:rPr>
          <w:rFonts w:ascii="Wingdings" w:eastAsia="Wingdings" w:hAnsi="Wingdings" w:cs="Wingdings"/>
          <w:noProof/>
        </w:rPr>
        <w:tab/>
      </w:r>
      <w:r w:rsidRPr="003A5AF4">
        <w:rPr>
          <w:noProof/>
        </w:rPr>
        <w:t>please indicate, if the revenue is assigned to expenditure lines</w:t>
      </w:r>
    </w:p>
    <w:p w:rsidR="00F5502B" w:rsidRPr="003A5AF4" w:rsidRDefault="00F5502B" w:rsidP="00E923B5">
      <w:pPr>
        <w:jc w:val="right"/>
        <w:rPr>
          <w:noProof/>
          <w:sz w:val="20"/>
        </w:rPr>
      </w:pPr>
      <w:r w:rsidRPr="003A5AF4">
        <w:rPr>
          <w:noProof/>
          <w:sz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F5502B" w:rsidRPr="003A5AF4" w:rsidTr="00425340">
        <w:trPr>
          <w:trHeight w:val="388"/>
        </w:trPr>
        <w:tc>
          <w:tcPr>
            <w:tcW w:w="1423" w:type="pct"/>
            <w:vMerge w:val="restart"/>
            <w:vAlign w:val="center"/>
          </w:tcPr>
          <w:p w:rsidR="00F5502B" w:rsidRPr="003A5AF4" w:rsidRDefault="00F5502B" w:rsidP="00425340">
            <w:pPr>
              <w:spacing w:before="40" w:after="40"/>
              <w:rPr>
                <w:noProof/>
                <w:sz w:val="18"/>
              </w:rPr>
            </w:pPr>
            <w:r w:rsidRPr="003A5AF4">
              <w:rPr>
                <w:noProof/>
                <w:sz w:val="18"/>
              </w:rPr>
              <w:t>Budget revenue line:</w:t>
            </w:r>
          </w:p>
        </w:tc>
        <w:tc>
          <w:tcPr>
            <w:tcW w:w="869" w:type="pct"/>
            <w:vMerge w:val="restart"/>
            <w:vAlign w:val="center"/>
          </w:tcPr>
          <w:p w:rsidR="00F5502B" w:rsidRPr="003A5AF4" w:rsidRDefault="00F5502B" w:rsidP="00425340">
            <w:pPr>
              <w:jc w:val="center"/>
              <w:rPr>
                <w:noProof/>
                <w:sz w:val="18"/>
              </w:rPr>
            </w:pPr>
            <w:r w:rsidRPr="003A5AF4">
              <w:rPr>
                <w:noProof/>
                <w:sz w:val="18"/>
              </w:rPr>
              <w:t>Appropriations available for the current financial year</w:t>
            </w:r>
          </w:p>
        </w:tc>
        <w:tc>
          <w:tcPr>
            <w:tcW w:w="2709" w:type="pct"/>
            <w:gridSpan w:val="4"/>
            <w:vAlign w:val="center"/>
          </w:tcPr>
          <w:p w:rsidR="00F5502B" w:rsidRPr="003A5AF4" w:rsidRDefault="00F5502B" w:rsidP="00425340">
            <w:pPr>
              <w:jc w:val="center"/>
              <w:rPr>
                <w:noProof/>
                <w:sz w:val="18"/>
              </w:rPr>
            </w:pPr>
            <w:r w:rsidRPr="003A5AF4">
              <w:rPr>
                <w:noProof/>
                <w:sz w:val="18"/>
                <w:szCs w:val="18"/>
              </w:rPr>
              <w:t>Impact of the proposal/initiative</w:t>
            </w:r>
            <w:r w:rsidRPr="003A5AF4">
              <w:rPr>
                <w:rStyle w:val="FootnoteReference"/>
                <w:noProof/>
                <w:sz w:val="18"/>
                <w:szCs w:val="18"/>
              </w:rPr>
              <w:footnoteReference w:id="40"/>
            </w:r>
          </w:p>
        </w:tc>
      </w:tr>
      <w:tr w:rsidR="00F5502B" w:rsidRPr="003A5AF4" w:rsidTr="00425340">
        <w:trPr>
          <w:trHeight w:val="388"/>
        </w:trPr>
        <w:tc>
          <w:tcPr>
            <w:tcW w:w="1423" w:type="pct"/>
            <w:vMerge/>
          </w:tcPr>
          <w:p w:rsidR="00F5502B" w:rsidRPr="003A5AF4" w:rsidRDefault="00F5502B" w:rsidP="00425340">
            <w:pPr>
              <w:spacing w:before="40" w:after="40"/>
              <w:rPr>
                <w:noProof/>
                <w:sz w:val="18"/>
              </w:rPr>
            </w:pPr>
          </w:p>
        </w:tc>
        <w:tc>
          <w:tcPr>
            <w:tcW w:w="869" w:type="pct"/>
            <w:vMerge/>
          </w:tcPr>
          <w:p w:rsidR="00F5502B" w:rsidRPr="003A5AF4" w:rsidRDefault="00F5502B" w:rsidP="00425340">
            <w:pPr>
              <w:spacing w:beforeLines="40" w:before="96" w:afterLines="40" w:after="96"/>
              <w:rPr>
                <w:i/>
                <w:noProof/>
                <w:sz w:val="18"/>
              </w:rPr>
            </w:pPr>
          </w:p>
        </w:tc>
        <w:tc>
          <w:tcPr>
            <w:tcW w:w="911" w:type="pct"/>
            <w:vAlign w:val="center"/>
          </w:tcPr>
          <w:p w:rsidR="00F5502B" w:rsidRPr="003A5AF4" w:rsidRDefault="00F5502B" w:rsidP="00425340">
            <w:pPr>
              <w:jc w:val="center"/>
              <w:rPr>
                <w:noProof/>
                <w:sz w:val="18"/>
              </w:rPr>
            </w:pPr>
            <w:r w:rsidRPr="003A5AF4">
              <w:rPr>
                <w:noProof/>
                <w:sz w:val="18"/>
              </w:rPr>
              <w:t xml:space="preserve">Year </w:t>
            </w:r>
            <w:r w:rsidRPr="003A5AF4">
              <w:rPr>
                <w:b/>
                <w:noProof/>
                <w:sz w:val="18"/>
              </w:rPr>
              <w:t>2024</w:t>
            </w:r>
          </w:p>
        </w:tc>
        <w:tc>
          <w:tcPr>
            <w:tcW w:w="562" w:type="pct"/>
            <w:vAlign w:val="center"/>
          </w:tcPr>
          <w:p w:rsidR="00F5502B" w:rsidRPr="003A5AF4" w:rsidRDefault="00F5502B" w:rsidP="00425340">
            <w:pPr>
              <w:jc w:val="center"/>
              <w:rPr>
                <w:noProof/>
                <w:sz w:val="18"/>
              </w:rPr>
            </w:pPr>
            <w:r w:rsidRPr="003A5AF4">
              <w:rPr>
                <w:noProof/>
                <w:sz w:val="18"/>
              </w:rPr>
              <w:t xml:space="preserve">Year </w:t>
            </w:r>
            <w:r w:rsidRPr="003A5AF4">
              <w:rPr>
                <w:b/>
                <w:noProof/>
                <w:sz w:val="18"/>
              </w:rPr>
              <w:t>2025</w:t>
            </w:r>
          </w:p>
        </w:tc>
        <w:tc>
          <w:tcPr>
            <w:tcW w:w="557" w:type="pct"/>
            <w:vAlign w:val="center"/>
          </w:tcPr>
          <w:p w:rsidR="00F5502B" w:rsidRPr="003A5AF4" w:rsidRDefault="00F5502B" w:rsidP="00425340">
            <w:pPr>
              <w:jc w:val="center"/>
              <w:rPr>
                <w:noProof/>
                <w:sz w:val="18"/>
              </w:rPr>
            </w:pPr>
            <w:r w:rsidRPr="003A5AF4">
              <w:rPr>
                <w:noProof/>
                <w:sz w:val="18"/>
              </w:rPr>
              <w:t xml:space="preserve">Year </w:t>
            </w:r>
            <w:r w:rsidRPr="003A5AF4">
              <w:rPr>
                <w:b/>
                <w:noProof/>
                <w:sz w:val="18"/>
              </w:rPr>
              <w:t>2026</w:t>
            </w:r>
          </w:p>
        </w:tc>
        <w:tc>
          <w:tcPr>
            <w:tcW w:w="679" w:type="pct"/>
            <w:vAlign w:val="center"/>
          </w:tcPr>
          <w:p w:rsidR="00F5502B" w:rsidRPr="003A5AF4" w:rsidRDefault="00F5502B" w:rsidP="00425340">
            <w:pPr>
              <w:jc w:val="center"/>
              <w:rPr>
                <w:noProof/>
                <w:sz w:val="18"/>
              </w:rPr>
            </w:pPr>
            <w:r w:rsidRPr="003A5AF4">
              <w:rPr>
                <w:noProof/>
                <w:sz w:val="18"/>
              </w:rPr>
              <w:t xml:space="preserve">Year </w:t>
            </w:r>
            <w:r w:rsidRPr="003A5AF4">
              <w:rPr>
                <w:b/>
                <w:noProof/>
                <w:sz w:val="18"/>
              </w:rPr>
              <w:t>2027</w:t>
            </w:r>
          </w:p>
        </w:tc>
      </w:tr>
      <w:tr w:rsidR="00F5502B" w:rsidRPr="003A5AF4" w:rsidTr="00425340">
        <w:trPr>
          <w:trHeight w:val="388"/>
        </w:trPr>
        <w:tc>
          <w:tcPr>
            <w:tcW w:w="1423" w:type="pct"/>
            <w:vAlign w:val="center"/>
          </w:tcPr>
          <w:p w:rsidR="00F5502B" w:rsidRPr="003A5AF4" w:rsidRDefault="00F5502B" w:rsidP="00425340">
            <w:pPr>
              <w:spacing w:before="40" w:after="40"/>
              <w:rPr>
                <w:noProof/>
                <w:sz w:val="18"/>
              </w:rPr>
            </w:pPr>
            <w:r w:rsidRPr="003A5AF4">
              <w:rPr>
                <w:noProof/>
                <w:sz w:val="18"/>
              </w:rPr>
              <w:t>Article ………….</w:t>
            </w:r>
          </w:p>
        </w:tc>
        <w:tc>
          <w:tcPr>
            <w:tcW w:w="869" w:type="pct"/>
          </w:tcPr>
          <w:p w:rsidR="00F5502B" w:rsidRPr="003A5AF4" w:rsidRDefault="00F5502B" w:rsidP="00425340">
            <w:pPr>
              <w:spacing w:beforeLines="40" w:before="96" w:afterLines="40" w:after="96"/>
              <w:jc w:val="center"/>
              <w:rPr>
                <w:i/>
                <w:noProof/>
                <w:sz w:val="18"/>
              </w:rPr>
            </w:pPr>
          </w:p>
        </w:tc>
        <w:tc>
          <w:tcPr>
            <w:tcW w:w="911" w:type="pct"/>
          </w:tcPr>
          <w:p w:rsidR="00F5502B" w:rsidRPr="003A5AF4" w:rsidRDefault="00F5502B" w:rsidP="00425340">
            <w:pPr>
              <w:spacing w:beforeLines="40" w:before="96" w:afterLines="40" w:after="96"/>
              <w:jc w:val="center"/>
              <w:rPr>
                <w:noProof/>
                <w:sz w:val="18"/>
              </w:rPr>
            </w:pPr>
          </w:p>
        </w:tc>
        <w:tc>
          <w:tcPr>
            <w:tcW w:w="562" w:type="pct"/>
          </w:tcPr>
          <w:p w:rsidR="00F5502B" w:rsidRPr="003A5AF4" w:rsidRDefault="00F5502B" w:rsidP="00425340">
            <w:pPr>
              <w:spacing w:beforeLines="40" w:before="96" w:afterLines="40" w:after="96"/>
              <w:jc w:val="center"/>
              <w:rPr>
                <w:noProof/>
                <w:sz w:val="18"/>
              </w:rPr>
            </w:pPr>
          </w:p>
        </w:tc>
        <w:tc>
          <w:tcPr>
            <w:tcW w:w="557" w:type="pct"/>
          </w:tcPr>
          <w:p w:rsidR="00F5502B" w:rsidRPr="003A5AF4" w:rsidRDefault="00F5502B" w:rsidP="00425340">
            <w:pPr>
              <w:spacing w:beforeLines="40" w:before="96" w:afterLines="40" w:after="96"/>
              <w:jc w:val="center"/>
              <w:rPr>
                <w:noProof/>
                <w:sz w:val="18"/>
              </w:rPr>
            </w:pPr>
          </w:p>
        </w:tc>
        <w:tc>
          <w:tcPr>
            <w:tcW w:w="679" w:type="pct"/>
          </w:tcPr>
          <w:p w:rsidR="00F5502B" w:rsidRPr="003A5AF4" w:rsidRDefault="00F5502B" w:rsidP="00425340">
            <w:pPr>
              <w:spacing w:beforeLines="40" w:before="96" w:afterLines="40" w:after="96"/>
              <w:jc w:val="center"/>
              <w:rPr>
                <w:noProof/>
                <w:sz w:val="18"/>
              </w:rPr>
            </w:pPr>
          </w:p>
        </w:tc>
      </w:tr>
    </w:tbl>
    <w:p w:rsidR="00F5502B" w:rsidRPr="003A5AF4" w:rsidRDefault="00F5502B" w:rsidP="00E923B5">
      <w:pPr>
        <w:pStyle w:val="Text1"/>
        <w:rPr>
          <w:noProof/>
          <w:szCs w:val="24"/>
        </w:rPr>
      </w:pPr>
      <w:r w:rsidRPr="003A5AF4">
        <w:rPr>
          <w:noProof/>
          <w:szCs w:val="24"/>
        </w:rPr>
        <w:t>For assigned revenue, specify the budget expenditure line(s) affected.</w:t>
      </w:r>
    </w:p>
    <w:p w:rsidR="00F5502B" w:rsidRPr="003A5AF4" w:rsidRDefault="00F5502B" w:rsidP="00E923B5">
      <w:pPr>
        <w:pStyle w:val="Text1"/>
        <w:pBdr>
          <w:top w:val="single" w:sz="4" w:space="1" w:color="auto"/>
          <w:left w:val="single" w:sz="4" w:space="4" w:color="auto"/>
          <w:bottom w:val="single" w:sz="4" w:space="1" w:color="auto"/>
          <w:right w:val="single" w:sz="4" w:space="4" w:color="auto"/>
        </w:pBdr>
        <w:rPr>
          <w:noProof/>
        </w:rPr>
      </w:pPr>
    </w:p>
    <w:p w:rsidR="00F5502B" w:rsidRPr="003A5AF4" w:rsidRDefault="00F5502B" w:rsidP="00E923B5">
      <w:pPr>
        <w:pStyle w:val="Text1"/>
        <w:rPr>
          <w:noProof/>
          <w:szCs w:val="24"/>
        </w:rPr>
      </w:pPr>
      <w:r w:rsidRPr="003A5AF4">
        <w:rPr>
          <w:noProof/>
          <w:szCs w:val="24"/>
        </w:rPr>
        <w:t>Other remarks (e.g. method/formula used for calculating the impact on revenue or any other information).</w:t>
      </w:r>
    </w:p>
    <w:p w:rsidR="00F5502B" w:rsidRPr="003A5AF4" w:rsidRDefault="00F5502B" w:rsidP="00E923B5">
      <w:pPr>
        <w:pStyle w:val="Text1"/>
        <w:pBdr>
          <w:top w:val="single" w:sz="4" w:space="1" w:color="auto"/>
          <w:left w:val="single" w:sz="4" w:space="4" w:color="auto"/>
          <w:bottom w:val="single" w:sz="4" w:space="1" w:color="auto"/>
          <w:right w:val="single" w:sz="4" w:space="4" w:color="auto"/>
        </w:pBdr>
        <w:rPr>
          <w:noProof/>
        </w:rPr>
      </w:pPr>
    </w:p>
    <w:p w:rsidR="00F5502B" w:rsidRPr="003A5AF4" w:rsidRDefault="00F5502B" w:rsidP="00E923B5">
      <w:pPr>
        <w:pStyle w:val="ManualHeading1"/>
        <w:rPr>
          <w:caps/>
          <w:noProof/>
        </w:rPr>
      </w:pPr>
      <w:bookmarkStart w:id="194" w:name="_Toc167220301"/>
      <w:bookmarkStart w:id="195" w:name="_Toc177549035"/>
      <w:r w:rsidRPr="003A5AF4">
        <w:rPr>
          <w:noProof/>
        </w:rPr>
        <w:t>4.</w:t>
      </w:r>
      <w:r w:rsidRPr="003A5AF4">
        <w:rPr>
          <w:noProof/>
        </w:rPr>
        <w:tab/>
      </w:r>
      <w:bookmarkStart w:id="196" w:name="_Hlk167692977"/>
      <w:r w:rsidRPr="003A5AF4">
        <w:rPr>
          <w:caps/>
          <w:noProof/>
        </w:rPr>
        <w:t>Digital dimensions</w:t>
      </w:r>
      <w:bookmarkEnd w:id="194"/>
      <w:bookmarkEnd w:id="195"/>
    </w:p>
    <w:p w:rsidR="00F5502B" w:rsidRPr="00784279" w:rsidRDefault="00784279" w:rsidP="00E923B5">
      <w:pPr>
        <w:pStyle w:val="Text1"/>
        <w:pBdr>
          <w:top w:val="single" w:sz="4" w:space="1" w:color="000000"/>
          <w:left w:val="single" w:sz="4" w:space="4" w:color="000000"/>
          <w:bottom w:val="single" w:sz="4" w:space="1" w:color="000000"/>
          <w:right w:val="single" w:sz="4" w:space="4" w:color="000000"/>
        </w:pBdr>
        <w:spacing w:line="259" w:lineRule="auto"/>
        <w:rPr>
          <w:noProof/>
        </w:rPr>
      </w:pPr>
      <w:r w:rsidRPr="00784279">
        <w:rPr>
          <w:noProof/>
        </w:rPr>
        <w:t>Not applicable.</w:t>
      </w:r>
    </w:p>
    <w:p w:rsidR="00F5502B" w:rsidRPr="003A5AF4" w:rsidRDefault="00F5502B" w:rsidP="00E923B5">
      <w:pPr>
        <w:pStyle w:val="ManualHeading2"/>
        <w:rPr>
          <w:noProof/>
        </w:rPr>
      </w:pPr>
      <w:bookmarkStart w:id="197" w:name="_Toc167220302"/>
      <w:bookmarkStart w:id="198" w:name="_Toc177549037"/>
      <w:r w:rsidRPr="003A5AF4">
        <w:rPr>
          <w:noProof/>
        </w:rPr>
        <w:t>4.1.</w:t>
      </w:r>
      <w:r w:rsidRPr="003A5AF4">
        <w:rPr>
          <w:noProof/>
        </w:rPr>
        <w:tab/>
        <w:t>Requirements of digital relevance</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rsidR="00F5502B" w:rsidRPr="003A5AF4" w:rsidTr="00425340">
        <w:trPr>
          <w:trHeight w:val="300"/>
        </w:trPr>
        <w:tc>
          <w:tcPr>
            <w:tcW w:w="9072" w:type="dxa"/>
          </w:tcPr>
          <w:p w:rsidR="00F5502B" w:rsidRPr="003A5AF4" w:rsidRDefault="00F5502B" w:rsidP="00784279">
            <w:pPr>
              <w:rPr>
                <w:noProof/>
                <w:color w:val="0000FF"/>
              </w:rPr>
            </w:pPr>
          </w:p>
        </w:tc>
      </w:tr>
    </w:tbl>
    <w:p w:rsidR="00F5502B" w:rsidRPr="003A5AF4" w:rsidRDefault="00F5502B" w:rsidP="00E923B5">
      <w:pPr>
        <w:pStyle w:val="ManualHeading2"/>
        <w:rPr>
          <w:noProof/>
        </w:rPr>
      </w:pPr>
      <w:bookmarkStart w:id="199" w:name="_Toc167220303"/>
      <w:bookmarkStart w:id="200" w:name="_Toc177549038"/>
      <w:r w:rsidRPr="003A5AF4">
        <w:rPr>
          <w:noProof/>
        </w:rPr>
        <w:t>4.2.</w:t>
      </w:r>
      <w:r w:rsidRPr="003A5AF4">
        <w:rPr>
          <w:noProof/>
        </w:rPr>
        <w:tab/>
        <w:t>Data</w:t>
      </w:r>
      <w:bookmarkEnd w:id="199"/>
      <w:bookmarkEnd w:id="200"/>
    </w:p>
    <w:tbl>
      <w:tblPr>
        <w:tblStyle w:val="TableGrid"/>
        <w:tblW w:w="0" w:type="auto"/>
        <w:tblLook w:val="04A0" w:firstRow="1" w:lastRow="0" w:firstColumn="1" w:lastColumn="0" w:noHBand="0" w:noVBand="1"/>
      </w:tblPr>
      <w:tblGrid>
        <w:gridCol w:w="9063"/>
      </w:tblGrid>
      <w:tr w:rsidR="00F5502B" w:rsidRPr="003A5AF4" w:rsidTr="00425340">
        <w:tc>
          <w:tcPr>
            <w:tcW w:w="9063" w:type="dxa"/>
          </w:tcPr>
          <w:p w:rsidR="00F5502B" w:rsidRPr="00784279" w:rsidRDefault="00F5502B" w:rsidP="00784279">
            <w:pPr>
              <w:rPr>
                <w:noProof/>
                <w:color w:val="0000FF"/>
              </w:rPr>
            </w:pPr>
          </w:p>
        </w:tc>
      </w:tr>
    </w:tbl>
    <w:p w:rsidR="00F5502B" w:rsidRPr="003A5AF4" w:rsidRDefault="00F5502B" w:rsidP="00E923B5">
      <w:pPr>
        <w:pStyle w:val="ManualHeading2"/>
        <w:rPr>
          <w:noProof/>
        </w:rPr>
      </w:pPr>
      <w:bookmarkStart w:id="201" w:name="_Toc167220305"/>
      <w:bookmarkStart w:id="202" w:name="_Toc177549039"/>
      <w:r w:rsidRPr="003A5AF4">
        <w:rPr>
          <w:noProof/>
        </w:rPr>
        <w:t>4.3.</w:t>
      </w:r>
      <w:r w:rsidRPr="003A5AF4">
        <w:rPr>
          <w:noProof/>
        </w:rPr>
        <w:tab/>
        <w:t>Digital solutions</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F5502B" w:rsidRPr="003A5AF4" w:rsidTr="00784279">
        <w:trPr>
          <w:trHeight w:val="416"/>
        </w:trPr>
        <w:tc>
          <w:tcPr>
            <w:tcW w:w="9067" w:type="dxa"/>
          </w:tcPr>
          <w:p w:rsidR="00F5502B" w:rsidRPr="003A5AF4" w:rsidRDefault="00F5502B" w:rsidP="00425340">
            <w:pPr>
              <w:rPr>
                <w:noProof/>
              </w:rPr>
            </w:pPr>
          </w:p>
        </w:tc>
      </w:tr>
    </w:tbl>
    <w:p w:rsidR="00F5502B" w:rsidRPr="003A5AF4" w:rsidRDefault="00F5502B" w:rsidP="00E923B5">
      <w:pPr>
        <w:pStyle w:val="ManualHeading2"/>
        <w:rPr>
          <w:rStyle w:val="Emphasis"/>
          <w:b w:val="0"/>
          <w:bCs/>
          <w:i w:val="0"/>
          <w:iCs w:val="0"/>
          <w:noProof/>
        </w:rPr>
      </w:pPr>
      <w:bookmarkStart w:id="203" w:name="_Toc167220304"/>
      <w:bookmarkStart w:id="204" w:name="_Toc177549040"/>
      <w:r w:rsidRPr="003A5AF4">
        <w:rPr>
          <w:rStyle w:val="Emphasis"/>
          <w:bCs/>
          <w:noProof/>
        </w:rPr>
        <w:t>4.4.</w:t>
      </w:r>
      <w:r w:rsidRPr="003A5AF4">
        <w:rPr>
          <w:noProof/>
        </w:rPr>
        <w:tab/>
      </w:r>
      <w:r w:rsidRPr="003A5AF4">
        <w:rPr>
          <w:rStyle w:val="Emphasis"/>
          <w:bCs/>
          <w:noProof/>
        </w:rPr>
        <w:t>Interoperability assessment</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F5502B" w:rsidRPr="003A5AF4" w:rsidTr="00425340">
        <w:trPr>
          <w:trHeight w:val="300"/>
        </w:trPr>
        <w:tc>
          <w:tcPr>
            <w:tcW w:w="9067" w:type="dxa"/>
          </w:tcPr>
          <w:p w:rsidR="00F5502B" w:rsidRPr="00784279" w:rsidRDefault="00F5502B" w:rsidP="00425340">
            <w:pPr>
              <w:rPr>
                <w:noProof/>
                <w:color w:val="0000FF"/>
              </w:rPr>
            </w:pPr>
          </w:p>
        </w:tc>
      </w:tr>
    </w:tbl>
    <w:p w:rsidR="00F5502B" w:rsidRPr="003A5AF4" w:rsidRDefault="00F5502B" w:rsidP="00E923B5">
      <w:pPr>
        <w:pStyle w:val="ManualHeading2"/>
        <w:rPr>
          <w:noProof/>
        </w:rPr>
      </w:pPr>
      <w:bookmarkStart w:id="205" w:name="_Toc167220306"/>
      <w:bookmarkStart w:id="206" w:name="_Toc177549041"/>
      <w:r w:rsidRPr="003A5AF4">
        <w:rPr>
          <w:noProof/>
        </w:rPr>
        <w:t>4.5.</w:t>
      </w:r>
      <w:r w:rsidRPr="003A5AF4">
        <w:rPr>
          <w:noProof/>
        </w:rPr>
        <w:tab/>
        <w:t>Measures to support digital implementation</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F5502B" w:rsidRPr="003A5AF4" w:rsidTr="00425340">
        <w:tc>
          <w:tcPr>
            <w:tcW w:w="9067" w:type="dxa"/>
          </w:tcPr>
          <w:p w:rsidR="00F5502B" w:rsidRPr="00784279" w:rsidRDefault="00F5502B" w:rsidP="00784279">
            <w:pPr>
              <w:rPr>
                <w:noProof/>
                <w:color w:val="0000FF"/>
              </w:rPr>
            </w:pPr>
          </w:p>
        </w:tc>
      </w:tr>
      <w:bookmarkEnd w:id="196"/>
    </w:tbl>
    <w:p w:rsidR="00F5502B" w:rsidRPr="00334B30" w:rsidRDefault="00F5502B" w:rsidP="00E923B5">
      <w:pPr>
        <w:rPr>
          <w:noProof/>
          <w:color w:val="008000"/>
        </w:rPr>
      </w:pPr>
    </w:p>
    <w:sectPr w:rsidR="00F5502B" w:rsidRPr="00334B30" w:rsidSect="002D2AD5">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FE" w:rsidRPr="003A5AF4" w:rsidRDefault="003647FE" w:rsidP="00F5502B">
      <w:pPr>
        <w:spacing w:before="0" w:after="0"/>
      </w:pPr>
      <w:r w:rsidRPr="003A5AF4">
        <w:separator/>
      </w:r>
    </w:p>
  </w:endnote>
  <w:endnote w:type="continuationSeparator" w:id="0">
    <w:p w:rsidR="003647FE" w:rsidRPr="003A5AF4" w:rsidRDefault="003647FE" w:rsidP="00F5502B">
      <w:pPr>
        <w:spacing w:before="0" w:after="0"/>
      </w:pPr>
      <w:r w:rsidRPr="003A5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Footer"/>
      <w:rPr>
        <w:rFonts w:ascii="Arial" w:hAnsi="Arial" w:cs="Arial"/>
        <w:b/>
        <w:sz w:val="48"/>
      </w:rPr>
    </w:pPr>
    <w:r w:rsidRPr="002D2AD5">
      <w:rPr>
        <w:rFonts w:ascii="Arial" w:hAnsi="Arial" w:cs="Arial"/>
        <w:b/>
        <w:sz w:val="48"/>
      </w:rPr>
      <w:t>EN</w:t>
    </w:r>
    <w:r w:rsidRPr="002D2AD5">
      <w:rPr>
        <w:rFonts w:ascii="Arial" w:hAnsi="Arial" w:cs="Arial"/>
        <w:b/>
        <w:sz w:val="48"/>
      </w:rPr>
      <w:tab/>
    </w:r>
    <w:r w:rsidRPr="002D2AD5">
      <w:rPr>
        <w:rFonts w:ascii="Arial" w:hAnsi="Arial" w:cs="Arial"/>
        <w:b/>
        <w:sz w:val="48"/>
      </w:rPr>
      <w:tab/>
    </w:r>
    <w:r w:rsidRPr="002D2AD5">
      <w:tab/>
    </w:r>
    <w:r w:rsidRPr="002D2AD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Footer"/>
      <w:rPr>
        <w:rFonts w:ascii="Arial" w:hAnsi="Arial" w:cs="Arial"/>
        <w:b/>
        <w:sz w:val="48"/>
      </w:rPr>
    </w:pPr>
    <w:r w:rsidRPr="002D2AD5">
      <w:rPr>
        <w:rFonts w:ascii="Arial" w:hAnsi="Arial" w:cs="Arial"/>
        <w:b/>
        <w:sz w:val="48"/>
      </w:rPr>
      <w:t>EN</w:t>
    </w:r>
    <w:r w:rsidRPr="002D2AD5">
      <w:rPr>
        <w:rFonts w:ascii="Arial" w:hAnsi="Arial" w:cs="Arial"/>
        <w:b/>
        <w:sz w:val="48"/>
      </w:rPr>
      <w:tab/>
    </w:r>
    <w:r w:rsidRPr="002D2AD5">
      <w:rPr>
        <w:rFonts w:ascii="Arial" w:hAnsi="Arial" w:cs="Arial"/>
        <w:b/>
        <w:sz w:val="48"/>
      </w:rPr>
      <w:tab/>
    </w:r>
    <w:r w:rsidRPr="002D2AD5">
      <w:tab/>
    </w:r>
    <w:r w:rsidRPr="002D2AD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Default="002D2A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Footer"/>
      <w:rPr>
        <w:rFonts w:ascii="Arial" w:hAnsi="Arial" w:cs="Arial"/>
        <w:b/>
        <w:sz w:val="48"/>
      </w:rPr>
    </w:pPr>
    <w:r w:rsidRPr="002D2AD5">
      <w:rPr>
        <w:rFonts w:ascii="Arial" w:hAnsi="Arial" w:cs="Arial"/>
        <w:b/>
        <w:sz w:val="48"/>
      </w:rPr>
      <w:t>EN</w:t>
    </w:r>
    <w:r w:rsidRPr="002D2AD5">
      <w:rPr>
        <w:rFonts w:ascii="Arial" w:hAnsi="Arial" w:cs="Arial"/>
        <w:b/>
        <w:sz w:val="48"/>
      </w:rPr>
      <w:tab/>
    </w:r>
    <w:r>
      <w:fldChar w:fldCharType="begin"/>
    </w:r>
    <w:r>
      <w:instrText xml:space="preserve"> PAGE  \* MERGEFORMAT </w:instrText>
    </w:r>
    <w:r>
      <w:fldChar w:fldCharType="separate"/>
    </w:r>
    <w:r w:rsidR="009139C3">
      <w:rPr>
        <w:noProof/>
      </w:rPr>
      <w:t>14</w:t>
    </w:r>
    <w:r>
      <w:fldChar w:fldCharType="end"/>
    </w:r>
    <w:r>
      <w:tab/>
    </w:r>
    <w:r w:rsidRPr="002D2AD5">
      <w:tab/>
    </w:r>
    <w:r w:rsidRPr="002D2AD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Default="002D2AD5" w:rsidP="002D2A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FooterLandscape"/>
      <w:rPr>
        <w:rFonts w:ascii="Arial" w:hAnsi="Arial" w:cs="Arial"/>
        <w:b/>
        <w:sz w:val="48"/>
      </w:rPr>
    </w:pPr>
    <w:r w:rsidRPr="002D2AD5">
      <w:rPr>
        <w:rFonts w:ascii="Arial" w:hAnsi="Arial" w:cs="Arial"/>
        <w:b/>
        <w:sz w:val="48"/>
      </w:rPr>
      <w:t>EN</w:t>
    </w:r>
    <w:r w:rsidRPr="002D2AD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D2AD5">
      <w:tab/>
    </w:r>
    <w:r w:rsidRPr="002D2AD5">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Footer"/>
      <w:rPr>
        <w:rFonts w:ascii="Arial" w:hAnsi="Arial" w:cs="Arial"/>
        <w:b/>
        <w:sz w:val="48"/>
      </w:rPr>
    </w:pPr>
    <w:r w:rsidRPr="002D2AD5">
      <w:rPr>
        <w:rFonts w:ascii="Arial" w:hAnsi="Arial" w:cs="Arial"/>
        <w:b/>
        <w:sz w:val="48"/>
      </w:rPr>
      <w:t>EN</w:t>
    </w:r>
    <w:r w:rsidRPr="002D2AD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D2AD5">
      <w:tab/>
    </w:r>
    <w:r w:rsidRPr="002D2AD5">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FE" w:rsidRPr="003A5AF4" w:rsidRDefault="003647FE" w:rsidP="00F5502B">
      <w:pPr>
        <w:spacing w:before="0" w:after="0"/>
      </w:pPr>
      <w:r w:rsidRPr="003A5AF4">
        <w:separator/>
      </w:r>
    </w:p>
  </w:footnote>
  <w:footnote w:type="continuationSeparator" w:id="0">
    <w:p w:rsidR="003647FE" w:rsidRPr="003A5AF4" w:rsidRDefault="003647FE" w:rsidP="00F5502B">
      <w:pPr>
        <w:spacing w:before="0" w:after="0"/>
      </w:pPr>
      <w:r w:rsidRPr="003A5AF4">
        <w:continuationSeparator/>
      </w:r>
    </w:p>
  </w:footnote>
  <w:footnote w:id="1">
    <w:p w:rsidR="006B75EE" w:rsidRPr="003A5AF4" w:rsidRDefault="006B75EE" w:rsidP="00FF57C9">
      <w:pPr>
        <w:pStyle w:val="FootnoteText"/>
        <w:ind w:left="0" w:firstLine="0"/>
      </w:pPr>
      <w:r w:rsidRPr="003A60FA">
        <w:rPr>
          <w:rStyle w:val="FootnoteReference"/>
        </w:rPr>
        <w:footnoteRef/>
      </w:r>
      <w:r w:rsidR="003A60FA">
        <w:tab/>
      </w:r>
      <w:r w:rsidRPr="003A5AF4">
        <w:t>UNGA resolution A/RES/ES-11/5, OP2-OP.</w:t>
      </w:r>
    </w:p>
  </w:footnote>
  <w:footnote w:id="2">
    <w:p w:rsidR="006B75EE" w:rsidRPr="003A5AF4" w:rsidRDefault="006B75EE" w:rsidP="001948D1">
      <w:pPr>
        <w:pStyle w:val="FootnoteText"/>
        <w:ind w:left="0" w:firstLine="0"/>
      </w:pPr>
      <w:r w:rsidRPr="003A60FA">
        <w:rPr>
          <w:rStyle w:val="FootnoteReference"/>
        </w:rPr>
        <w:footnoteRef/>
      </w:r>
      <w:r w:rsidR="003A60FA">
        <w:tab/>
      </w:r>
      <w:r w:rsidRPr="003A5AF4">
        <w:t>Resolution CM/Res(2023)3 establishing the Enlarged Partial Agreement on the Register of Damage Caused by the Aggression of the Russian Federation against Ukraine, Adopted by the Committee of Ministers on 12 May 2023 at the 1466th meeting of the Ministers</w:t>
      </w:r>
      <w:r w:rsidR="00FF57C9">
        <w:t>’</w:t>
      </w:r>
      <w:r w:rsidRPr="003A5AF4">
        <w:t xml:space="preserve"> Deputies</w:t>
      </w:r>
      <w:r w:rsidR="004450B6">
        <w:t>.</w:t>
      </w:r>
    </w:p>
  </w:footnote>
  <w:footnote w:id="3">
    <w:p w:rsidR="006B75EE" w:rsidRPr="003A5AF4" w:rsidRDefault="006B75EE" w:rsidP="001948D1">
      <w:pPr>
        <w:pStyle w:val="FootnoteText"/>
        <w:ind w:left="0" w:firstLine="0"/>
      </w:pPr>
      <w:r w:rsidRPr="003A60FA">
        <w:rPr>
          <w:rStyle w:val="FootnoteReference"/>
        </w:rPr>
        <w:footnoteRef/>
      </w:r>
      <w:r w:rsidR="003A60FA">
        <w:tab/>
      </w:r>
      <w:r w:rsidRPr="003A5AF4">
        <w:t>Commission Decision of 11.5.2023 on the EU participation as Founding Associate Member in the Enlarged Partial Agreement on the Register of damage caused by the Aggression of the Russian Federation against Ukraine within the institutional framework of the Council of Europe. C(2023) 3241.</w:t>
      </w:r>
    </w:p>
  </w:footnote>
  <w:footnote w:id="4">
    <w:p w:rsidR="006B75EE" w:rsidRPr="003A5AF4" w:rsidRDefault="006B75EE" w:rsidP="001948D1">
      <w:pPr>
        <w:pStyle w:val="FootnoteText"/>
        <w:ind w:left="0" w:firstLine="0"/>
      </w:pPr>
      <w:r w:rsidRPr="003A60FA">
        <w:rPr>
          <w:rStyle w:val="FootnoteReference"/>
        </w:rPr>
        <w:footnoteRef/>
      </w:r>
      <w:r w:rsidR="003A60FA">
        <w:tab/>
      </w:r>
      <w:r w:rsidRPr="003A5AF4">
        <w:t xml:space="preserve">Council Decision (EU) </w:t>
      </w:r>
      <w:bookmarkStart w:id="1" w:name="_Hlk221539018"/>
      <w:r w:rsidRPr="003A5AF4">
        <w:t xml:space="preserve">2024/2045 </w:t>
      </w:r>
      <w:bookmarkEnd w:id="1"/>
      <w:r w:rsidRPr="003A5AF4">
        <w:t>of 22 July 202 on the position to be taken on behalf of the EU within the Council of Europe bodies as regards the status of the European Union in the Enlarged Partial Agreement on the Register of Damage caused by the Aggression of the Russian Federation against Ukraine. OJ L, 2024/2045, 24.7.2024.</w:t>
      </w:r>
    </w:p>
  </w:footnote>
  <w:footnote w:id="5">
    <w:p w:rsidR="00FF57C9" w:rsidRPr="003A5AF4" w:rsidRDefault="00FF57C9" w:rsidP="00FF57C9">
      <w:pPr>
        <w:pStyle w:val="FootnoteText"/>
        <w:ind w:left="0" w:firstLine="0"/>
      </w:pPr>
      <w:r w:rsidRPr="003A60FA">
        <w:rPr>
          <w:rStyle w:val="FootnoteReference"/>
        </w:rPr>
        <w:footnoteRef/>
      </w:r>
      <w:r w:rsidR="003A60FA">
        <w:tab/>
      </w:r>
      <w:r w:rsidRPr="003A5AF4">
        <w:t>Council Decision (EU) 2025/702 of 17 March 2025 authorising the European Commission to take part, on behalf of the Union, in the negotiations for an international instrument setting up an International Claims Commission for Ukraine. OJ L, 2025/702, 8.4.2025.</w:t>
      </w:r>
    </w:p>
  </w:footnote>
  <w:footnote w:id="6">
    <w:p w:rsidR="00527211" w:rsidRPr="00527211" w:rsidRDefault="00527211" w:rsidP="00527211">
      <w:pPr>
        <w:pStyle w:val="FootnoteText"/>
        <w:ind w:left="0" w:firstLine="0"/>
        <w:rPr>
          <w:lang w:val="en-IE"/>
        </w:rPr>
      </w:pPr>
      <w:r w:rsidRPr="003A60FA">
        <w:rPr>
          <w:rStyle w:val="FootnoteReference"/>
        </w:rPr>
        <w:footnoteRef/>
      </w:r>
      <w:r w:rsidR="003A60FA">
        <w:tab/>
      </w:r>
      <w:r w:rsidRPr="00527211">
        <w:t>CM(2025)139-final - [1541/10.1] Ad hoc Committee on the Establishment of an International Claims Commission for Ukraine (CAHEC) - Draft Convention Establishing an International Claims Commission for Ukraine</w:t>
      </w:r>
      <w:r>
        <w:t xml:space="preserve"> (Strasbourg, 22 October 2025).</w:t>
      </w:r>
    </w:p>
  </w:footnote>
  <w:footnote w:id="7">
    <w:p w:rsidR="00B10389" w:rsidRPr="00B10389" w:rsidRDefault="00B10389" w:rsidP="00B10389">
      <w:pPr>
        <w:pStyle w:val="FootnoteText"/>
        <w:ind w:left="0" w:firstLine="0"/>
        <w:rPr>
          <w:lang w:val="en-IE"/>
        </w:rPr>
      </w:pPr>
      <w:r w:rsidRPr="003A60FA">
        <w:rPr>
          <w:rStyle w:val="FootnoteReference"/>
        </w:rPr>
        <w:footnoteRef/>
      </w:r>
      <w:r w:rsidR="003A60FA">
        <w:tab/>
      </w:r>
      <w:r w:rsidRPr="00B10389">
        <w:t xml:space="preserve">Council Decision (EU) </w:t>
      </w:r>
      <w:bookmarkStart w:id="2" w:name="_Hlk221539075"/>
      <w:r w:rsidRPr="00B10389">
        <w:t xml:space="preserve">2025/2655 </w:t>
      </w:r>
      <w:bookmarkEnd w:id="2"/>
      <w:r w:rsidRPr="00B10389">
        <w:t>of 16 December 2025 on the signing, on behalf of the European Union, of the Convention Establishing the International Claims Commission for Ukraine. OJ L, 2025/2655, 23.12.2025.</w:t>
      </w:r>
    </w:p>
  </w:footnote>
  <w:footnote w:id="8">
    <w:p w:rsidR="006B75EE" w:rsidRPr="003A5AF4" w:rsidRDefault="006B75EE" w:rsidP="004450B6">
      <w:pPr>
        <w:pStyle w:val="FootnoteText"/>
        <w:ind w:left="0" w:firstLine="0"/>
      </w:pPr>
      <w:r w:rsidRPr="003A60FA">
        <w:rPr>
          <w:rStyle w:val="FootnoteReference"/>
        </w:rPr>
        <w:footnoteRef/>
      </w:r>
      <w:r w:rsidR="003A60FA">
        <w:tab/>
      </w:r>
      <w:r w:rsidRPr="003A5AF4">
        <w:t>Resolution CM/Res(2025)3 confirming the establishment of the Enlarged Partial Agreement on the Register of Damage Caused by the Aggression of the Russian Federation against Ukraine, Adopted by the Committee of Ministers on 9 July 2025 at the 1534th meeting of the Ministers</w:t>
      </w:r>
      <w:r w:rsidR="00CD1281">
        <w:t>’</w:t>
      </w:r>
      <w:r w:rsidRPr="003A5AF4">
        <w:t xml:space="preserve"> Deputies.</w:t>
      </w:r>
    </w:p>
  </w:footnote>
  <w:footnote w:id="9">
    <w:p w:rsidR="006B75EE" w:rsidRPr="003A5AF4" w:rsidRDefault="006B75EE" w:rsidP="004450B6">
      <w:pPr>
        <w:pStyle w:val="FootnoteText"/>
        <w:ind w:left="0" w:firstLine="0"/>
      </w:pPr>
      <w:r w:rsidRPr="003A60FA">
        <w:rPr>
          <w:rStyle w:val="FootnoteReference"/>
        </w:rPr>
        <w:footnoteRef/>
      </w:r>
      <w:r w:rsidR="003A60FA">
        <w:tab/>
      </w:r>
      <w:r w:rsidRPr="003A5AF4">
        <w:t>Regulation (EU) 2024/792 of the European Parliament and of the Council of 29 February 2024 establishing the Ukraine Facility. OJ L, 2024/792, 29.2.2024.</w:t>
      </w:r>
    </w:p>
  </w:footnote>
  <w:footnote w:id="10">
    <w:p w:rsidR="006B75EE" w:rsidRPr="003A5AF4" w:rsidRDefault="006B75EE" w:rsidP="004450B6">
      <w:pPr>
        <w:pStyle w:val="FootnoteText"/>
        <w:ind w:left="0" w:firstLine="0"/>
      </w:pPr>
      <w:r w:rsidRPr="003A60FA">
        <w:rPr>
          <w:rStyle w:val="FootnoteReference"/>
        </w:rPr>
        <w:footnoteRef/>
      </w:r>
      <w:r w:rsidR="003A60FA">
        <w:tab/>
      </w:r>
      <w:r w:rsidRPr="003A5AF4">
        <w:t>Proposal for a Regulation of the European Parliament and of the Council implementing enhanced cooperation on the establishment of the Ukraine Support Loan for 2026 and 2027. Brussels, 14.1.2026. COM(2026) 20 final.</w:t>
      </w:r>
    </w:p>
  </w:footnote>
  <w:footnote w:id="11">
    <w:p w:rsidR="006B75EE" w:rsidRPr="003A5AF4" w:rsidRDefault="006B75EE" w:rsidP="004450B6">
      <w:pPr>
        <w:pStyle w:val="FootnoteText"/>
        <w:ind w:left="0" w:firstLine="0"/>
      </w:pPr>
      <w:r w:rsidRPr="003A60FA">
        <w:rPr>
          <w:rStyle w:val="FootnoteReference"/>
        </w:rPr>
        <w:footnoteRef/>
      </w:r>
      <w:r w:rsidR="003A60FA">
        <w:tab/>
      </w:r>
      <w:r w:rsidRPr="003A5AF4">
        <w:t>Proposal for a Regulation of the European Parliament and of the Council amending Regulation (EU) 2024/792 establishing the Ukraine Facility. Brussels, 14.1.2026. COM(2026) 22 final</w:t>
      </w:r>
      <w:r w:rsidR="00A91359">
        <w:t>.</w:t>
      </w:r>
    </w:p>
  </w:footnote>
  <w:footnote w:id="12">
    <w:p w:rsidR="00940774" w:rsidRPr="00940774" w:rsidRDefault="00940774" w:rsidP="00147A19">
      <w:pPr>
        <w:pStyle w:val="FootnoteText"/>
        <w:ind w:left="0" w:firstLine="0"/>
        <w:rPr>
          <w:lang w:val="en-IE"/>
        </w:rPr>
      </w:pPr>
      <w:r w:rsidRPr="003A60FA">
        <w:rPr>
          <w:rStyle w:val="FootnoteReference"/>
        </w:rPr>
        <w:footnoteRef/>
      </w:r>
      <w:r w:rsidR="003A60FA">
        <w:tab/>
      </w:r>
      <w:r w:rsidRPr="000E7A7F">
        <w:rPr>
          <w:lang w:val="en-IE"/>
        </w:rPr>
        <w:t>CM(2025)104-final - [1532/2.3] Consequences of the aggression of the Russian Federation against Ukraine - Agreement between the Council of Europe and Ukraine on the Establishment of the Special Tribunal for the Crime of Aggression against Ukraine</w:t>
      </w:r>
      <w:r>
        <w:rPr>
          <w:lang w:val="en-IE"/>
        </w:rPr>
        <w:t>. (Strasbourg, 24 June 2025).</w:t>
      </w:r>
    </w:p>
  </w:footnote>
  <w:footnote w:id="13">
    <w:p w:rsidR="006B75EE" w:rsidRPr="003A5AF4" w:rsidRDefault="006B75EE" w:rsidP="004450B6">
      <w:pPr>
        <w:pStyle w:val="FootnoteText"/>
        <w:ind w:left="0" w:firstLine="0"/>
      </w:pPr>
      <w:r w:rsidRPr="003A60FA">
        <w:rPr>
          <w:rStyle w:val="FootnoteReference"/>
        </w:rPr>
        <w:footnoteRef/>
      </w:r>
      <w:r w:rsidR="003A60FA">
        <w:tab/>
      </w:r>
      <w:r w:rsidRPr="003A5AF4">
        <w:rPr>
          <w:szCs w:val="24"/>
        </w:rPr>
        <w:t>Commission Implementing Decision on the financing of the multiannual action plan for Support to the preparations of the launch of the Special Tribunal for the Crime of Aggression against Ukraine for 2025 and 2026. Brussels, 4.12.2025, C(2025) 8248 final.</w:t>
      </w:r>
    </w:p>
  </w:footnote>
  <w:footnote w:id="14">
    <w:p w:rsidR="008468B7" w:rsidRPr="003A5AF4" w:rsidRDefault="008468B7" w:rsidP="001948D1">
      <w:pPr>
        <w:pStyle w:val="FootnoteText"/>
        <w:tabs>
          <w:tab w:val="left" w:pos="696"/>
        </w:tabs>
        <w:ind w:left="0" w:firstLine="0"/>
      </w:pPr>
      <w:r w:rsidRPr="003A60FA">
        <w:rPr>
          <w:rStyle w:val="FootnoteReference"/>
        </w:rPr>
        <w:footnoteRef/>
      </w:r>
      <w:r w:rsidR="003A60FA">
        <w:tab/>
      </w:r>
      <w:r w:rsidRPr="003A5AF4">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(Text with EEA relevance)</w:t>
      </w:r>
      <w:r w:rsidR="00A91359">
        <w:t>.</w:t>
      </w:r>
    </w:p>
  </w:footnote>
  <w:footnote w:id="15">
    <w:p w:rsidR="00977D86" w:rsidRPr="00977D86" w:rsidRDefault="00977D86" w:rsidP="00147A19">
      <w:pPr>
        <w:pStyle w:val="FootnoteText"/>
        <w:ind w:left="0" w:firstLine="0"/>
        <w:rPr>
          <w:lang w:val="en-IE"/>
        </w:rPr>
      </w:pPr>
      <w:r w:rsidRPr="003A60FA">
        <w:rPr>
          <w:rStyle w:val="FootnoteReference"/>
        </w:rPr>
        <w:footnoteRef/>
      </w:r>
      <w:r w:rsidR="003A60FA">
        <w:tab/>
      </w:r>
      <w:r>
        <w:rPr>
          <w:lang w:val="en-IE"/>
        </w:rPr>
        <w:t xml:space="preserve">Most recent: </w:t>
      </w:r>
      <w:r w:rsidRPr="00C446DB">
        <w:rPr>
          <w:lang w:val="en-IE"/>
        </w:rPr>
        <w:t>Council Decision (CFSP) 2026/260 of 29 January 2026 amending Decision (CFSP) 2024/2643</w:t>
      </w:r>
      <w:r>
        <w:rPr>
          <w:lang w:val="en-IE"/>
        </w:rPr>
        <w:t xml:space="preserve"> </w:t>
      </w:r>
      <w:r w:rsidRPr="00C446DB">
        <w:rPr>
          <w:lang w:val="en-IE"/>
        </w:rPr>
        <w:t>concerning restrictive measures in view of Russia’s destabilising activities</w:t>
      </w:r>
      <w:r>
        <w:rPr>
          <w:lang w:val="en-IE"/>
        </w:rPr>
        <w:t xml:space="preserve">. </w:t>
      </w:r>
      <w:r w:rsidRPr="00C446DB">
        <w:rPr>
          <w:lang w:val="en-IE"/>
        </w:rPr>
        <w:t>OJ L, 2026/260, 29.1.2026</w:t>
      </w:r>
      <w:r>
        <w:rPr>
          <w:lang w:val="en-IE"/>
        </w:rPr>
        <w:t xml:space="preserve">; </w:t>
      </w:r>
      <w:r w:rsidRPr="00C446DB">
        <w:rPr>
          <w:lang w:val="en-IE"/>
        </w:rPr>
        <w:t>Council Decision (CFSP) 2025/2648 of 22 December 2025 amending Decision 2014/512/CFSP concerning restrictive measures in view of Russia’s actions destabilising the situation in Ukraine</w:t>
      </w:r>
      <w:r>
        <w:rPr>
          <w:lang w:val="en-IE"/>
        </w:rPr>
        <w:t xml:space="preserve">. </w:t>
      </w:r>
      <w:r w:rsidRPr="00C446DB">
        <w:rPr>
          <w:lang w:val="en-IE"/>
        </w:rPr>
        <w:t>OJ L, 2025/2648, 23.12.2025</w:t>
      </w:r>
      <w:r>
        <w:rPr>
          <w:lang w:val="en-IE"/>
        </w:rPr>
        <w:t xml:space="preserve">; </w:t>
      </w:r>
      <w:r w:rsidRPr="00C446DB">
        <w:rPr>
          <w:lang w:val="en-IE"/>
        </w:rPr>
        <w:t>Council Decision (CFSP) 2025/2572 of 15 December 2025 amending Decision (CFSP) 2024/2643 concerning restrictive measures in view of Russia’s destabilising activities</w:t>
      </w:r>
      <w:r>
        <w:rPr>
          <w:lang w:val="en-IE"/>
        </w:rPr>
        <w:t xml:space="preserve">. </w:t>
      </w:r>
      <w:r w:rsidRPr="00C446DB">
        <w:rPr>
          <w:lang w:val="en-IE"/>
        </w:rPr>
        <w:t>OJ L, 2025/2572, 15.12.2025</w:t>
      </w:r>
      <w:r>
        <w:rPr>
          <w:lang w:val="en-IE"/>
        </w:rPr>
        <w:t>.</w:t>
      </w:r>
    </w:p>
  </w:footnote>
  <w:footnote w:id="16">
    <w:p w:rsidR="001948D1" w:rsidRPr="001948D1" w:rsidRDefault="001948D1" w:rsidP="00147A19">
      <w:pPr>
        <w:pStyle w:val="FootnoteText"/>
        <w:ind w:left="0" w:firstLine="0"/>
      </w:pPr>
      <w:r w:rsidRPr="003A60FA">
        <w:rPr>
          <w:rStyle w:val="FootnoteReference"/>
        </w:rPr>
        <w:footnoteRef/>
      </w:r>
      <w:r w:rsidR="003A60FA">
        <w:tab/>
      </w:r>
      <w:r>
        <w:t>Directive (EU) 2024/1226 of the European Parliament and of the Council of 24 April 2024 on the definition of criminal offences and penalties for the violation of Union restrictive measures and amending Directive (EU) 2018/1673. OJ L, 2024/1226, 29.4.2024.</w:t>
      </w:r>
    </w:p>
  </w:footnote>
  <w:footnote w:id="17">
    <w:p w:rsidR="00F5502B" w:rsidRPr="003A5AF4" w:rsidRDefault="00F5502B" w:rsidP="00D50664">
      <w:pPr>
        <w:pStyle w:val="FootnoteText"/>
        <w:ind w:left="0" w:firstLine="0"/>
      </w:pPr>
      <w:r w:rsidRPr="003A5AF4">
        <w:rPr>
          <w:rStyle w:val="FootnoteReference"/>
        </w:rPr>
        <w:footnoteRef/>
      </w:r>
      <w:r w:rsidRPr="003A5AF4">
        <w:tab/>
      </w:r>
      <w:r w:rsidR="00413119" w:rsidRPr="00984B9C">
        <w:t xml:space="preserve">Consent published in </w:t>
      </w:r>
      <w:r w:rsidRPr="00984B9C">
        <w:t>OJ C , , p. .</w:t>
      </w:r>
    </w:p>
  </w:footnote>
  <w:footnote w:id="18">
    <w:p w:rsidR="00940774" w:rsidRPr="00940774" w:rsidRDefault="00940774" w:rsidP="00940774">
      <w:pPr>
        <w:pStyle w:val="FootnoteText"/>
        <w:rPr>
          <w:lang w:val="en-IE"/>
        </w:rPr>
      </w:pPr>
      <w:r w:rsidRPr="003A60FA">
        <w:rPr>
          <w:rStyle w:val="FootnoteReference"/>
        </w:rPr>
        <w:footnoteRef/>
      </w:r>
      <w:r w:rsidR="003A60FA">
        <w:tab/>
      </w:r>
      <w:bookmarkStart w:id="3" w:name="_Hlk221538192"/>
      <w:r w:rsidRPr="00172415">
        <w:t>Council Decision (EU) 2025/2655 of 16 December 2025 on the signing, on behalf of the European Union, of the Convention Establishing the International Claims Commission for Ukraine</w:t>
      </w:r>
      <w:r>
        <w:t xml:space="preserve">. </w:t>
      </w:r>
      <w:r w:rsidRPr="00172415">
        <w:t>OJ L, 2025/2655, 23.12.2025</w:t>
      </w:r>
      <w:r>
        <w:t>.</w:t>
      </w:r>
      <w:bookmarkEnd w:id="3"/>
    </w:p>
  </w:footnote>
  <w:footnote w:id="19">
    <w:p w:rsidR="00C566C8" w:rsidRPr="00940774" w:rsidRDefault="00C566C8" w:rsidP="00C566C8">
      <w:pPr>
        <w:pStyle w:val="FootnoteText"/>
      </w:pPr>
      <w:r w:rsidRPr="003A60FA">
        <w:rPr>
          <w:rStyle w:val="FootnoteReference"/>
        </w:rPr>
        <w:footnoteRef/>
      </w:r>
      <w:r w:rsidR="003A60FA">
        <w:tab/>
      </w:r>
      <w:r>
        <w:t>Special meeting of the European Council (24 February 2022) – Conclusions, EUCO 18/22.</w:t>
      </w:r>
    </w:p>
  </w:footnote>
  <w:footnote w:id="20">
    <w:p w:rsidR="00940774" w:rsidRPr="00940774" w:rsidRDefault="00940774">
      <w:pPr>
        <w:pStyle w:val="FootnoteText"/>
        <w:rPr>
          <w:lang w:val="en-IE"/>
        </w:rPr>
      </w:pPr>
      <w:r w:rsidRPr="003A60FA">
        <w:rPr>
          <w:rStyle w:val="FootnoteReference"/>
        </w:rPr>
        <w:footnoteRef/>
      </w:r>
      <w:r w:rsidR="003A60FA">
        <w:tab/>
      </w:r>
      <w:r w:rsidRPr="003A5AF4">
        <w:t>UNGA resolution A/RES/ES-11/5, OP2-OP.</w:t>
      </w:r>
    </w:p>
  </w:footnote>
  <w:footnote w:id="21">
    <w:p w:rsidR="00940774" w:rsidRPr="00940774" w:rsidRDefault="00940774" w:rsidP="00C566C8">
      <w:pPr>
        <w:pStyle w:val="FootnoteText"/>
        <w:rPr>
          <w:lang w:val="en-IE"/>
        </w:rPr>
      </w:pPr>
      <w:r w:rsidRPr="003A60FA">
        <w:rPr>
          <w:rStyle w:val="FootnoteReference"/>
        </w:rPr>
        <w:footnoteRef/>
      </w:r>
      <w:r w:rsidR="003A60FA">
        <w:tab/>
      </w:r>
      <w:r w:rsidRPr="003A5AF4">
        <w:t>Resolution CM/Res(2025)3 confirming the establishment of the Enlarged Partial Agreement on the Register of Damage Caused by the Aggression of the Russian Federation against Ukraine, Adopted by the Committee of Ministers on 9 July 2025 at the 1534th meeting of the Ministers</w:t>
      </w:r>
      <w:r w:rsidR="00C566C8">
        <w:t>’</w:t>
      </w:r>
      <w:r w:rsidRPr="003A5AF4">
        <w:t xml:space="preserve"> Deputies.</w:t>
      </w:r>
    </w:p>
  </w:footnote>
  <w:footnote w:id="22">
    <w:p w:rsidR="00940774" w:rsidRPr="00940774" w:rsidRDefault="00940774" w:rsidP="001948D1">
      <w:pPr>
        <w:pStyle w:val="FootnoteText"/>
      </w:pPr>
      <w:r w:rsidRPr="003A60FA">
        <w:rPr>
          <w:rStyle w:val="FootnoteReference"/>
        </w:rPr>
        <w:footnoteRef/>
      </w:r>
      <w:r w:rsidR="003A60FA">
        <w:tab/>
      </w:r>
      <w:r w:rsidRPr="003A5AF4">
        <w:t>Commission Decision of 11.5.2023 on the EU participation as Founding Associate Member in the Enlarged Partial Agreement on the Register of damage caused by the Aggression of the Russian Federation against Ukraine within the institutional framework of the Council of Europe. C(2023) 3241.</w:t>
      </w:r>
    </w:p>
  </w:footnote>
  <w:footnote w:id="23">
    <w:p w:rsidR="00940774" w:rsidRPr="00940774" w:rsidRDefault="00940774" w:rsidP="001948D1">
      <w:pPr>
        <w:pStyle w:val="FootnoteText"/>
      </w:pPr>
      <w:r w:rsidRPr="003A60FA">
        <w:rPr>
          <w:rStyle w:val="FootnoteReference"/>
        </w:rPr>
        <w:footnoteRef/>
      </w:r>
      <w:r w:rsidR="003A60FA">
        <w:tab/>
      </w:r>
      <w:r w:rsidRPr="003A5AF4">
        <w:t>Council Decision (EU) 2024/2045 of 22 July 202 on the position to be taken on behalf of the EU within the Council of Europe bodies as regards the status of the European Union in the Enlarged Partial Agreement on the Register of Damage caused by the Aggression of the Russian Federation against Ukraine. OJ L, 2024/2045, 24.7.2024.</w:t>
      </w:r>
    </w:p>
  </w:footnote>
  <w:footnote w:id="24">
    <w:p w:rsidR="00940774" w:rsidRPr="00940774" w:rsidRDefault="00940774" w:rsidP="00C566C8">
      <w:pPr>
        <w:pStyle w:val="FootnoteText"/>
        <w:rPr>
          <w:lang w:val="en-IE"/>
        </w:rPr>
      </w:pPr>
      <w:r w:rsidRPr="003A60FA">
        <w:rPr>
          <w:rStyle w:val="FootnoteReference"/>
        </w:rPr>
        <w:footnoteRef/>
      </w:r>
      <w:r w:rsidR="003A60FA">
        <w:tab/>
      </w:r>
      <w:r w:rsidRPr="006825AA">
        <w:t xml:space="preserve">Regulation (EU) 2024/792 of the European Parliament and of the Council of 29 February 2024 establishing the Ukraine Facility (OJ L, 2024/792, </w:t>
      </w:r>
      <w:r>
        <w:t>29.2.2024.</w:t>
      </w:r>
    </w:p>
  </w:footnote>
  <w:footnote w:id="25">
    <w:p w:rsidR="00DD45B8" w:rsidRPr="00DD45B8" w:rsidRDefault="00DD45B8">
      <w:pPr>
        <w:pStyle w:val="FootnoteText"/>
        <w:rPr>
          <w:lang w:val="en-IE"/>
        </w:rPr>
      </w:pPr>
      <w:r w:rsidRPr="003A60FA">
        <w:rPr>
          <w:rStyle w:val="FootnoteReference"/>
        </w:rPr>
        <w:footnoteRef/>
      </w:r>
      <w:r w:rsidR="003A60FA">
        <w:tab/>
      </w:r>
      <w:r w:rsidRPr="003A5AF4">
        <w:t>Council Decision (EU) 2025/702 of 17 March 2025 authorising the European Commission to take part, on behalf of the Union, in the negotiations for an international instrument setting up an International Claims Commission for Ukraine. OJ L, 2025/702, 8.4.2025.</w:t>
      </w:r>
    </w:p>
  </w:footnote>
  <w:footnote w:id="26">
    <w:p w:rsidR="00DD45B8" w:rsidRPr="00DD45B8" w:rsidRDefault="00DD45B8">
      <w:pPr>
        <w:pStyle w:val="FootnoteText"/>
        <w:rPr>
          <w:lang w:val="en-IE"/>
        </w:rPr>
      </w:pPr>
      <w:r w:rsidRPr="003A60FA">
        <w:rPr>
          <w:rStyle w:val="FootnoteReference"/>
        </w:rPr>
        <w:footnoteRef/>
      </w:r>
      <w:r w:rsidR="003A60FA">
        <w:tab/>
      </w:r>
      <w:r w:rsidRPr="00527211">
        <w:t>CM(2025)139-final - [1541/10.1] Ad hoc Committee on the Establishment of an International Claims Commission for Ukraine (CAHEC) - Draft Convention Establishing an International Claims Commission for Ukraine</w:t>
      </w:r>
      <w:r>
        <w:t xml:space="preserve"> (Strasbourg, 22 October 2025).</w:t>
      </w:r>
    </w:p>
  </w:footnote>
  <w:footnote w:id="27">
    <w:p w:rsidR="00B653F0" w:rsidRPr="00B653F0" w:rsidRDefault="00B653F0">
      <w:pPr>
        <w:pStyle w:val="FootnoteText"/>
      </w:pPr>
      <w:r w:rsidRPr="003A60FA">
        <w:rPr>
          <w:rStyle w:val="FootnoteReference"/>
        </w:rPr>
        <w:footnoteRef/>
      </w:r>
      <w:r w:rsidR="003A60FA">
        <w:tab/>
      </w:r>
      <w:r w:rsidRPr="00B653F0">
        <w:t>The text of the Convention is published in OJ L, […].</w:t>
      </w:r>
    </w:p>
  </w:footnote>
  <w:footnote w:id="28">
    <w:p w:rsidR="00133DF9" w:rsidRPr="000F7C72" w:rsidRDefault="00133DF9" w:rsidP="00133DF9">
      <w:pPr>
        <w:pStyle w:val="FootnoteText"/>
        <w:ind w:left="0" w:firstLine="0"/>
        <w:rPr>
          <w:lang w:val="en-IE"/>
        </w:rPr>
      </w:pPr>
      <w:r w:rsidRPr="00761DEA">
        <w:rPr>
          <w:rStyle w:val="FootnoteReference"/>
        </w:rPr>
        <w:footnoteRef/>
      </w:r>
      <w:r>
        <w:tab/>
      </w:r>
      <w:r w:rsidRPr="003A5AF4">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footnote>
  <w:footnote w:id="29">
    <w:p w:rsidR="00F5502B" w:rsidRPr="003A5AF4" w:rsidRDefault="00F5502B" w:rsidP="00E923B5">
      <w:pPr>
        <w:pStyle w:val="FootnoteText"/>
      </w:pPr>
      <w:r w:rsidRPr="003A5AF4">
        <w:rPr>
          <w:rStyle w:val="FootnoteReference"/>
        </w:rPr>
        <w:footnoteRef/>
      </w:r>
      <w:r w:rsidRPr="003A5AF4">
        <w:tab/>
        <w:t>As referred to in Article 58(2), point (a) or (b) of the Financial Regulation.</w:t>
      </w:r>
    </w:p>
  </w:footnote>
  <w:footnote w:id="30">
    <w:p w:rsidR="00133DF9" w:rsidRPr="000F7C72" w:rsidRDefault="00133DF9" w:rsidP="00133DF9">
      <w:pPr>
        <w:pStyle w:val="FootnoteText"/>
        <w:rPr>
          <w:lang w:val="en-IE"/>
        </w:rPr>
      </w:pPr>
      <w:r w:rsidRPr="00761DEA">
        <w:rPr>
          <w:rStyle w:val="FootnoteReference"/>
        </w:rPr>
        <w:footnoteRef/>
      </w:r>
      <w:r>
        <w:tab/>
      </w:r>
      <w:r w:rsidRPr="003A5AF4">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footnote>
  <w:footnote w:id="31">
    <w:p w:rsidR="00F5502B" w:rsidRPr="003A5AF4" w:rsidRDefault="00F5502B" w:rsidP="00E923B5">
      <w:pPr>
        <w:pStyle w:val="FootnoteText"/>
        <w:rPr>
          <w:szCs w:val="24"/>
        </w:rPr>
      </w:pPr>
      <w:r w:rsidRPr="003A5AF4">
        <w:rPr>
          <w:rStyle w:val="FootnoteReference"/>
        </w:rPr>
        <w:footnoteRef/>
      </w:r>
      <w:r w:rsidRPr="003A5AF4">
        <w:tab/>
        <w:t>Diff. = Differentiated appropriations / Non-diff. = Non-differentiated appropriations.</w:t>
      </w:r>
    </w:p>
  </w:footnote>
  <w:footnote w:id="32">
    <w:p w:rsidR="00F5502B" w:rsidRPr="003A5AF4" w:rsidRDefault="00F5502B" w:rsidP="00E923B5">
      <w:pPr>
        <w:pStyle w:val="FootnoteText"/>
        <w:rPr>
          <w:szCs w:val="24"/>
        </w:rPr>
      </w:pPr>
      <w:r w:rsidRPr="003A5AF4">
        <w:rPr>
          <w:rStyle w:val="FootnoteReference"/>
        </w:rPr>
        <w:footnoteRef/>
      </w:r>
      <w:r w:rsidRPr="003A5AF4">
        <w:tab/>
        <w:t xml:space="preserve">EFTA: European Free Trade Association. </w:t>
      </w:r>
    </w:p>
  </w:footnote>
  <w:footnote w:id="33">
    <w:p w:rsidR="00F5502B" w:rsidRPr="003A5AF4" w:rsidRDefault="00F5502B" w:rsidP="00E923B5">
      <w:pPr>
        <w:pStyle w:val="FootnoteText"/>
        <w:rPr>
          <w:szCs w:val="24"/>
        </w:rPr>
      </w:pPr>
      <w:r w:rsidRPr="003A5AF4">
        <w:rPr>
          <w:rStyle w:val="FootnoteReference"/>
        </w:rPr>
        <w:footnoteRef/>
      </w:r>
      <w:r w:rsidRPr="003A5AF4">
        <w:tab/>
        <w:t>Candidate countries and, where applicable, potential candidates from the Western Balkans.</w:t>
      </w:r>
    </w:p>
  </w:footnote>
  <w:footnote w:id="34">
    <w:p w:rsidR="00814848" w:rsidRPr="003A5AF4" w:rsidRDefault="00814848" w:rsidP="00814848">
      <w:pPr>
        <w:pStyle w:val="FootnoteText"/>
        <w:tabs>
          <w:tab w:val="left" w:pos="816"/>
        </w:tabs>
        <w:rPr>
          <w:i/>
          <w:iCs/>
        </w:rPr>
      </w:pPr>
      <w:r w:rsidRPr="003A60FA">
        <w:rPr>
          <w:rStyle w:val="FootnoteReference"/>
        </w:rPr>
        <w:footnoteRef/>
      </w:r>
      <w:r w:rsidR="003A60FA">
        <w:tab/>
      </w:r>
      <w:r w:rsidRPr="003A5AF4">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p w:rsidR="00814848" w:rsidRPr="00814848" w:rsidRDefault="00814848" w:rsidP="00814848">
      <w:pPr>
        <w:pStyle w:val="FootnoteText"/>
        <w:tabs>
          <w:tab w:val="left" w:pos="816"/>
        </w:tabs>
      </w:pPr>
    </w:p>
    <w:p w:rsidR="00814848" w:rsidRPr="003A5AF4" w:rsidRDefault="00814848" w:rsidP="00814848">
      <w:pPr>
        <w:pStyle w:val="FootnoteText"/>
        <w:tabs>
          <w:tab w:val="left" w:pos="816"/>
        </w:tabs>
      </w:pPr>
    </w:p>
  </w:footnote>
  <w:footnote w:id="35">
    <w:p w:rsidR="00814848" w:rsidRPr="00784279" w:rsidRDefault="00814848" w:rsidP="00784279">
      <w:pPr>
        <w:rPr>
          <w:sz w:val="20"/>
          <w:szCs w:val="20"/>
        </w:rPr>
      </w:pPr>
      <w:r w:rsidRPr="003A60FA">
        <w:rPr>
          <w:rStyle w:val="FootnoteReference"/>
        </w:rPr>
        <w:footnoteRef/>
      </w:r>
      <w:r w:rsidR="003A60FA">
        <w:tab/>
      </w:r>
      <w:r w:rsidRPr="003A5AF4">
        <w:rPr>
          <w:sz w:val="20"/>
          <w:szCs w:val="20"/>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footnote>
  <w:footnote w:id="36">
    <w:p w:rsidR="00784279" w:rsidRPr="003A5AF4" w:rsidRDefault="00784279" w:rsidP="00784279">
      <w:pPr>
        <w:rPr>
          <w:sz w:val="20"/>
          <w:szCs w:val="20"/>
        </w:rPr>
      </w:pPr>
      <w:r w:rsidRPr="003A60FA">
        <w:rPr>
          <w:rStyle w:val="FootnoteReference"/>
        </w:rPr>
        <w:footnoteRef/>
      </w:r>
      <w:r w:rsidR="003A60FA">
        <w:tab/>
      </w:r>
      <w:bookmarkStart w:id="147" w:name="_Hlk221553507"/>
      <w:r w:rsidRPr="003A5AF4">
        <w:rPr>
          <w:sz w:val="20"/>
          <w:szCs w:val="20"/>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bookmarkEnd w:id="147"/>
    </w:p>
    <w:p w:rsidR="00784279" w:rsidRPr="00784279" w:rsidRDefault="00784279" w:rsidP="00784279">
      <w:pPr>
        <w:pStyle w:val="FootnoteText"/>
        <w:rPr>
          <w:lang w:val="en-IE"/>
        </w:rPr>
      </w:pPr>
    </w:p>
  </w:footnote>
  <w:footnote w:id="37">
    <w:p w:rsidR="0084684D" w:rsidRPr="003A5AF4" w:rsidRDefault="0084684D" w:rsidP="0084684D">
      <w:pPr>
        <w:rPr>
          <w:sz w:val="20"/>
          <w:szCs w:val="20"/>
        </w:rPr>
      </w:pPr>
      <w:r w:rsidRPr="003A60FA">
        <w:rPr>
          <w:rStyle w:val="FootnoteReference"/>
        </w:rPr>
        <w:footnoteRef/>
      </w:r>
      <w:r w:rsidR="003A60FA">
        <w:tab/>
      </w:r>
      <w:r w:rsidRPr="003A5AF4">
        <w:rPr>
          <w:sz w:val="20"/>
          <w:szCs w:val="20"/>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p w:rsidR="0084684D" w:rsidRPr="003A5AF4" w:rsidRDefault="0084684D" w:rsidP="0084684D">
      <w:pPr>
        <w:pStyle w:val="FootnoteText"/>
      </w:pPr>
    </w:p>
  </w:footnote>
  <w:footnote w:id="38">
    <w:p w:rsidR="00F5502B" w:rsidRPr="003A5AF4" w:rsidRDefault="00F5502B" w:rsidP="00E923B5">
      <w:pPr>
        <w:pStyle w:val="FootnoteText"/>
        <w:rPr>
          <w:szCs w:val="24"/>
        </w:rPr>
      </w:pPr>
      <w:r w:rsidRPr="003A5AF4">
        <w:rPr>
          <w:rStyle w:val="FootnoteReference"/>
        </w:rPr>
        <w:footnoteRef/>
      </w:r>
      <w:r w:rsidRPr="003A5AF4">
        <w:tab/>
        <w:t>Outputs are products and services to be supplied (e.g. number of student exchanges financed, number of km of roads built, etc.).</w:t>
      </w:r>
    </w:p>
  </w:footnote>
  <w:footnote w:id="39">
    <w:p w:rsidR="00F5502B" w:rsidRPr="003A5AF4" w:rsidRDefault="00F5502B" w:rsidP="00E923B5">
      <w:pPr>
        <w:pStyle w:val="FootnoteText"/>
        <w:rPr>
          <w:szCs w:val="24"/>
        </w:rPr>
      </w:pPr>
      <w:r w:rsidRPr="003A5AF4">
        <w:rPr>
          <w:rStyle w:val="FootnoteReference"/>
        </w:rPr>
        <w:footnoteRef/>
      </w:r>
      <w:r w:rsidRPr="003A5AF4">
        <w:tab/>
        <w:t xml:space="preserve">As described in Section 1.3.2. ‘Specific objective(s)’ </w:t>
      </w:r>
    </w:p>
  </w:footnote>
  <w:footnote w:id="40">
    <w:p w:rsidR="00F5502B" w:rsidRPr="003A5AF4" w:rsidRDefault="00F5502B" w:rsidP="00E923B5">
      <w:pPr>
        <w:pStyle w:val="FootnoteText"/>
        <w:rPr>
          <w:szCs w:val="24"/>
        </w:rPr>
      </w:pPr>
      <w:r w:rsidRPr="003A5AF4">
        <w:rPr>
          <w:rStyle w:val="FootnoteReference"/>
        </w:rPr>
        <w:footnoteRef/>
      </w:r>
      <w:r w:rsidRPr="003A5AF4">
        <w:tab/>
        <w:t>As regards traditional own resources (customs duties, sugar levies), the amounts indicated must be net amounts, i.e. gross amounts after deduction of 20%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Default="002D2A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Default="002D2AD5" w:rsidP="002D2A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AD5" w:rsidRPr="002D2AD5" w:rsidRDefault="002D2AD5" w:rsidP="002D2A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0 12:18: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89818BB-997E-483D-A617-3FC73D5242CE"/>
    <w:docVar w:name="LW_COVERPAGE_TYPE" w:val="1"/>
    <w:docVar w:name="LW_CreatedUtc" w:val="2025-10-29T11:38:50.3843682Z"/>
    <w:docVar w:name="LW_CROSSREFERENCE" w:val="&lt;UNUSED&gt;"/>
    <w:docVar w:name="LW_DocType" w:val="COM"/>
    <w:docVar w:name="LW_EMISSION" w:val="24.2.2026"/>
    <w:docVar w:name="LW_EMISSION_ISODATE" w:val="2026-02-2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5"/>
    <w:docVar w:name="LW_REF.II.NEW.CP_YEAR" w:val="2026"/>
    <w:docVar w:name="LW_REF.INST.NEW" w:val="COM"/>
    <w:docVar w:name="LW_REF.INST.NEW_ADOPTED" w:val="final"/>
    <w:docVar w:name="LW_REF.INST.NEW_TEXT" w:val="(2026) 1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Convention Establishing an International Claims Commission for Ukraine"/>
    <w:docVar w:name="LW_TYPE.DOC.CP" w:val="COUNCIL DECISION"/>
    <w:docVar w:name="LwApiVersions" w:val="LW4CoDe 1.24.5.0; LW 9.2, Build 20251112"/>
  </w:docVars>
  <w:rsids>
    <w:rsidRoot w:val="00F5502B"/>
    <w:rsid w:val="00001E97"/>
    <w:rsid w:val="00017DA4"/>
    <w:rsid w:val="00035B55"/>
    <w:rsid w:val="0005086E"/>
    <w:rsid w:val="000540B3"/>
    <w:rsid w:val="0006548A"/>
    <w:rsid w:val="00067069"/>
    <w:rsid w:val="0008604B"/>
    <w:rsid w:val="00097A9A"/>
    <w:rsid w:val="000A42DD"/>
    <w:rsid w:val="000C4C02"/>
    <w:rsid w:val="000C6CFF"/>
    <w:rsid w:val="000D6426"/>
    <w:rsid w:val="000E4174"/>
    <w:rsid w:val="000F17EE"/>
    <w:rsid w:val="000F7C72"/>
    <w:rsid w:val="00104779"/>
    <w:rsid w:val="001065F5"/>
    <w:rsid w:val="001152AF"/>
    <w:rsid w:val="00120506"/>
    <w:rsid w:val="001238EF"/>
    <w:rsid w:val="00130BCA"/>
    <w:rsid w:val="00133DF9"/>
    <w:rsid w:val="00145E61"/>
    <w:rsid w:val="001466BE"/>
    <w:rsid w:val="00147A19"/>
    <w:rsid w:val="00152CB1"/>
    <w:rsid w:val="00154F7D"/>
    <w:rsid w:val="00163316"/>
    <w:rsid w:val="00173784"/>
    <w:rsid w:val="00180C1D"/>
    <w:rsid w:val="00192910"/>
    <w:rsid w:val="001948D1"/>
    <w:rsid w:val="00195802"/>
    <w:rsid w:val="00197613"/>
    <w:rsid w:val="001A5FDE"/>
    <w:rsid w:val="001B076F"/>
    <w:rsid w:val="001B7B9D"/>
    <w:rsid w:val="001C03B2"/>
    <w:rsid w:val="001C139D"/>
    <w:rsid w:val="001C31BE"/>
    <w:rsid w:val="001C3F96"/>
    <w:rsid w:val="001C78CD"/>
    <w:rsid w:val="001D26B9"/>
    <w:rsid w:val="001D60F1"/>
    <w:rsid w:val="001D6ED9"/>
    <w:rsid w:val="001D7CDC"/>
    <w:rsid w:val="001F3C44"/>
    <w:rsid w:val="00217FD6"/>
    <w:rsid w:val="00220F14"/>
    <w:rsid w:val="002239EF"/>
    <w:rsid w:val="002260C2"/>
    <w:rsid w:val="00227A26"/>
    <w:rsid w:val="00231AE0"/>
    <w:rsid w:val="00233DC7"/>
    <w:rsid w:val="00247779"/>
    <w:rsid w:val="002510D3"/>
    <w:rsid w:val="00285147"/>
    <w:rsid w:val="00285BEE"/>
    <w:rsid w:val="00292C88"/>
    <w:rsid w:val="0029533F"/>
    <w:rsid w:val="00297547"/>
    <w:rsid w:val="002A2179"/>
    <w:rsid w:val="002A76FD"/>
    <w:rsid w:val="002B30AF"/>
    <w:rsid w:val="002B50AB"/>
    <w:rsid w:val="002D26DC"/>
    <w:rsid w:val="002D2AD5"/>
    <w:rsid w:val="002E4866"/>
    <w:rsid w:val="0033344A"/>
    <w:rsid w:val="00341BC2"/>
    <w:rsid w:val="003422B0"/>
    <w:rsid w:val="003529D3"/>
    <w:rsid w:val="00352B5C"/>
    <w:rsid w:val="003647FE"/>
    <w:rsid w:val="00376CDB"/>
    <w:rsid w:val="003A5AF4"/>
    <w:rsid w:val="003A60FA"/>
    <w:rsid w:val="003B46D7"/>
    <w:rsid w:val="003C5E64"/>
    <w:rsid w:val="00402E07"/>
    <w:rsid w:val="004047BA"/>
    <w:rsid w:val="00405851"/>
    <w:rsid w:val="00413119"/>
    <w:rsid w:val="00413D81"/>
    <w:rsid w:val="0042648E"/>
    <w:rsid w:val="00431B9C"/>
    <w:rsid w:val="00434428"/>
    <w:rsid w:val="00440023"/>
    <w:rsid w:val="004404AA"/>
    <w:rsid w:val="004450B6"/>
    <w:rsid w:val="00453647"/>
    <w:rsid w:val="0047118C"/>
    <w:rsid w:val="00491591"/>
    <w:rsid w:val="004936D2"/>
    <w:rsid w:val="00497885"/>
    <w:rsid w:val="004D4405"/>
    <w:rsid w:val="004E60FD"/>
    <w:rsid w:val="0051290C"/>
    <w:rsid w:val="00514658"/>
    <w:rsid w:val="00517046"/>
    <w:rsid w:val="00527211"/>
    <w:rsid w:val="00536AB1"/>
    <w:rsid w:val="0053776A"/>
    <w:rsid w:val="00541F7F"/>
    <w:rsid w:val="005422B2"/>
    <w:rsid w:val="005629FC"/>
    <w:rsid w:val="00565CD4"/>
    <w:rsid w:val="005771C0"/>
    <w:rsid w:val="00577FE7"/>
    <w:rsid w:val="005856C4"/>
    <w:rsid w:val="00587273"/>
    <w:rsid w:val="00591BD0"/>
    <w:rsid w:val="00592A08"/>
    <w:rsid w:val="0059542D"/>
    <w:rsid w:val="005B1EB6"/>
    <w:rsid w:val="005E0657"/>
    <w:rsid w:val="00601C46"/>
    <w:rsid w:val="00611F2C"/>
    <w:rsid w:val="00614444"/>
    <w:rsid w:val="00617CA7"/>
    <w:rsid w:val="00625381"/>
    <w:rsid w:val="00625E72"/>
    <w:rsid w:val="006267E3"/>
    <w:rsid w:val="00626A0C"/>
    <w:rsid w:val="00637B6B"/>
    <w:rsid w:val="006733CB"/>
    <w:rsid w:val="00674A7E"/>
    <w:rsid w:val="006931C1"/>
    <w:rsid w:val="006A0CFB"/>
    <w:rsid w:val="006A2FFE"/>
    <w:rsid w:val="006B0F9F"/>
    <w:rsid w:val="006B75EE"/>
    <w:rsid w:val="006D7343"/>
    <w:rsid w:val="006E6205"/>
    <w:rsid w:val="0071066D"/>
    <w:rsid w:val="00713F7B"/>
    <w:rsid w:val="00714E7F"/>
    <w:rsid w:val="00723535"/>
    <w:rsid w:val="00740FCD"/>
    <w:rsid w:val="00741775"/>
    <w:rsid w:val="00761DEA"/>
    <w:rsid w:val="00764B43"/>
    <w:rsid w:val="00773331"/>
    <w:rsid w:val="00774EB0"/>
    <w:rsid w:val="00784279"/>
    <w:rsid w:val="007904E3"/>
    <w:rsid w:val="007932EF"/>
    <w:rsid w:val="007B69EB"/>
    <w:rsid w:val="007B748C"/>
    <w:rsid w:val="007D1CD3"/>
    <w:rsid w:val="007D27B4"/>
    <w:rsid w:val="007E05B0"/>
    <w:rsid w:val="007F559E"/>
    <w:rsid w:val="00814559"/>
    <w:rsid w:val="00814848"/>
    <w:rsid w:val="00826D43"/>
    <w:rsid w:val="0084684D"/>
    <w:rsid w:val="008468B7"/>
    <w:rsid w:val="008554C0"/>
    <w:rsid w:val="008572B5"/>
    <w:rsid w:val="00863DEB"/>
    <w:rsid w:val="00874D22"/>
    <w:rsid w:val="008764CF"/>
    <w:rsid w:val="00887FD3"/>
    <w:rsid w:val="00890C97"/>
    <w:rsid w:val="00894D8B"/>
    <w:rsid w:val="008A2914"/>
    <w:rsid w:val="008A3A48"/>
    <w:rsid w:val="008A768E"/>
    <w:rsid w:val="008B01EF"/>
    <w:rsid w:val="008B6A18"/>
    <w:rsid w:val="008D1769"/>
    <w:rsid w:val="008D6253"/>
    <w:rsid w:val="008E41CC"/>
    <w:rsid w:val="008E4D8E"/>
    <w:rsid w:val="008F46AC"/>
    <w:rsid w:val="0091154D"/>
    <w:rsid w:val="009139C3"/>
    <w:rsid w:val="00915F1A"/>
    <w:rsid w:val="00930F06"/>
    <w:rsid w:val="00940774"/>
    <w:rsid w:val="009423BA"/>
    <w:rsid w:val="009734D9"/>
    <w:rsid w:val="00973CCB"/>
    <w:rsid w:val="00977D86"/>
    <w:rsid w:val="00977F7E"/>
    <w:rsid w:val="00984B9C"/>
    <w:rsid w:val="00990F6B"/>
    <w:rsid w:val="00993698"/>
    <w:rsid w:val="009A4156"/>
    <w:rsid w:val="009C6375"/>
    <w:rsid w:val="009D7A9B"/>
    <w:rsid w:val="009F60F5"/>
    <w:rsid w:val="00A01BB7"/>
    <w:rsid w:val="00A06343"/>
    <w:rsid w:val="00A3008F"/>
    <w:rsid w:val="00A34130"/>
    <w:rsid w:val="00A37AC3"/>
    <w:rsid w:val="00A64A70"/>
    <w:rsid w:val="00A81DA4"/>
    <w:rsid w:val="00A91359"/>
    <w:rsid w:val="00AA0D5E"/>
    <w:rsid w:val="00AC4546"/>
    <w:rsid w:val="00AD7CFE"/>
    <w:rsid w:val="00AE0071"/>
    <w:rsid w:val="00AF08D5"/>
    <w:rsid w:val="00AF4947"/>
    <w:rsid w:val="00B10389"/>
    <w:rsid w:val="00B2090B"/>
    <w:rsid w:val="00B54618"/>
    <w:rsid w:val="00B566C9"/>
    <w:rsid w:val="00B60772"/>
    <w:rsid w:val="00B653F0"/>
    <w:rsid w:val="00B76A21"/>
    <w:rsid w:val="00B779EE"/>
    <w:rsid w:val="00B823E9"/>
    <w:rsid w:val="00B92962"/>
    <w:rsid w:val="00BB1B6C"/>
    <w:rsid w:val="00BB48CA"/>
    <w:rsid w:val="00BD6ACB"/>
    <w:rsid w:val="00BD7269"/>
    <w:rsid w:val="00BF6615"/>
    <w:rsid w:val="00C01384"/>
    <w:rsid w:val="00C12301"/>
    <w:rsid w:val="00C2144F"/>
    <w:rsid w:val="00C22FFA"/>
    <w:rsid w:val="00C3508C"/>
    <w:rsid w:val="00C35F98"/>
    <w:rsid w:val="00C54D4B"/>
    <w:rsid w:val="00C566C8"/>
    <w:rsid w:val="00C668A7"/>
    <w:rsid w:val="00C70F9B"/>
    <w:rsid w:val="00C8577B"/>
    <w:rsid w:val="00CA0D5F"/>
    <w:rsid w:val="00CB79A1"/>
    <w:rsid w:val="00CC7856"/>
    <w:rsid w:val="00CD0109"/>
    <w:rsid w:val="00CD1281"/>
    <w:rsid w:val="00CD5ECA"/>
    <w:rsid w:val="00CF2773"/>
    <w:rsid w:val="00D00CBB"/>
    <w:rsid w:val="00D125C1"/>
    <w:rsid w:val="00D20381"/>
    <w:rsid w:val="00D2449A"/>
    <w:rsid w:val="00D45BCD"/>
    <w:rsid w:val="00D50664"/>
    <w:rsid w:val="00D5122F"/>
    <w:rsid w:val="00D57428"/>
    <w:rsid w:val="00D7034E"/>
    <w:rsid w:val="00D839F0"/>
    <w:rsid w:val="00D86C34"/>
    <w:rsid w:val="00D87776"/>
    <w:rsid w:val="00D94D34"/>
    <w:rsid w:val="00D967A9"/>
    <w:rsid w:val="00DB62BD"/>
    <w:rsid w:val="00DC0AD9"/>
    <w:rsid w:val="00DC3B89"/>
    <w:rsid w:val="00DC615D"/>
    <w:rsid w:val="00DD45B8"/>
    <w:rsid w:val="00E209D3"/>
    <w:rsid w:val="00E20E76"/>
    <w:rsid w:val="00E34300"/>
    <w:rsid w:val="00E35C69"/>
    <w:rsid w:val="00E36005"/>
    <w:rsid w:val="00E644E8"/>
    <w:rsid w:val="00E74FE8"/>
    <w:rsid w:val="00EA4B98"/>
    <w:rsid w:val="00EB108B"/>
    <w:rsid w:val="00EB31AA"/>
    <w:rsid w:val="00F02778"/>
    <w:rsid w:val="00F174C3"/>
    <w:rsid w:val="00F24710"/>
    <w:rsid w:val="00F30E82"/>
    <w:rsid w:val="00F41052"/>
    <w:rsid w:val="00F47A59"/>
    <w:rsid w:val="00F5502B"/>
    <w:rsid w:val="00F609C1"/>
    <w:rsid w:val="00F75101"/>
    <w:rsid w:val="00F755DD"/>
    <w:rsid w:val="00F76771"/>
    <w:rsid w:val="00F7734F"/>
    <w:rsid w:val="00FA34C5"/>
    <w:rsid w:val="00FA4CEC"/>
    <w:rsid w:val="00FA706A"/>
    <w:rsid w:val="00FC35E9"/>
    <w:rsid w:val="00FC38F8"/>
    <w:rsid w:val="00FE28D8"/>
    <w:rsid w:val="00FE3E94"/>
    <w:rsid w:val="00FF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67583EB3-C435-4941-8CAE-F0E16515A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5502B"/>
    <w:pPr>
      <w:numPr>
        <w:numId w:val="2"/>
      </w:numPr>
      <w:tabs>
        <w:tab w:val="num" w:pos="360"/>
      </w:tabs>
      <w:ind w:left="0" w:firstLine="0"/>
    </w:pPr>
    <w:rPr>
      <w:rFonts w:eastAsia="Times New Roman"/>
      <w:lang w:eastAsia="de-DE"/>
    </w:rPr>
  </w:style>
  <w:style w:type="paragraph" w:styleId="ListNumber">
    <w:name w:val="List Number"/>
    <w:basedOn w:val="Normal"/>
    <w:rsid w:val="00F5502B"/>
    <w:pPr>
      <w:numPr>
        <w:numId w:val="6"/>
      </w:numPr>
    </w:pPr>
    <w:rPr>
      <w:rFonts w:eastAsia="Times New Roman"/>
      <w:lang w:eastAsia="de-DE"/>
    </w:rPr>
  </w:style>
  <w:style w:type="paragraph" w:customStyle="1" w:styleId="ListBullet1">
    <w:name w:val="List Bullet 1"/>
    <w:basedOn w:val="Normal"/>
    <w:rsid w:val="00F5502B"/>
    <w:pPr>
      <w:numPr>
        <w:numId w:val="1"/>
      </w:numPr>
    </w:pPr>
    <w:rPr>
      <w:rFonts w:eastAsia="Times New Roman"/>
      <w:lang w:eastAsia="de-DE"/>
    </w:rPr>
  </w:style>
  <w:style w:type="paragraph" w:customStyle="1" w:styleId="ListDash">
    <w:name w:val="List Dash"/>
    <w:basedOn w:val="Normal"/>
    <w:rsid w:val="00F5502B"/>
    <w:pPr>
      <w:numPr>
        <w:numId w:val="3"/>
      </w:numPr>
    </w:pPr>
    <w:rPr>
      <w:rFonts w:eastAsia="Times New Roman"/>
      <w:lang w:eastAsia="de-DE"/>
    </w:rPr>
  </w:style>
  <w:style w:type="paragraph" w:customStyle="1" w:styleId="ListDash1">
    <w:name w:val="List Dash 1"/>
    <w:basedOn w:val="Normal"/>
    <w:rsid w:val="00F5502B"/>
    <w:pPr>
      <w:numPr>
        <w:numId w:val="4"/>
      </w:numPr>
    </w:pPr>
    <w:rPr>
      <w:rFonts w:eastAsia="Times New Roman"/>
      <w:lang w:eastAsia="de-DE"/>
    </w:rPr>
  </w:style>
  <w:style w:type="paragraph" w:customStyle="1" w:styleId="ListDash2">
    <w:name w:val="List Dash 2"/>
    <w:basedOn w:val="Normal"/>
    <w:rsid w:val="00F5502B"/>
    <w:pPr>
      <w:numPr>
        <w:numId w:val="5"/>
      </w:numPr>
    </w:pPr>
    <w:rPr>
      <w:rFonts w:eastAsia="Times New Roman"/>
      <w:lang w:eastAsia="de-DE"/>
    </w:rPr>
  </w:style>
  <w:style w:type="paragraph" w:customStyle="1" w:styleId="ListNumberLevel2">
    <w:name w:val="List Number (Level 2)"/>
    <w:basedOn w:val="Normal"/>
    <w:rsid w:val="00F5502B"/>
    <w:pPr>
      <w:numPr>
        <w:ilvl w:val="1"/>
        <w:numId w:val="6"/>
      </w:numPr>
    </w:pPr>
    <w:rPr>
      <w:rFonts w:eastAsia="Times New Roman"/>
      <w:lang w:eastAsia="de-DE"/>
    </w:rPr>
  </w:style>
  <w:style w:type="paragraph" w:customStyle="1" w:styleId="ListNumberLevel3">
    <w:name w:val="List Number (Level 3)"/>
    <w:basedOn w:val="Normal"/>
    <w:rsid w:val="00F5502B"/>
    <w:pPr>
      <w:numPr>
        <w:ilvl w:val="2"/>
        <w:numId w:val="6"/>
      </w:numPr>
    </w:pPr>
    <w:rPr>
      <w:rFonts w:eastAsia="Times New Roman"/>
      <w:lang w:eastAsia="de-DE"/>
    </w:rPr>
  </w:style>
  <w:style w:type="paragraph" w:customStyle="1" w:styleId="ListNumberLevel4">
    <w:name w:val="List Number (Level 4)"/>
    <w:basedOn w:val="Normal"/>
    <w:rsid w:val="00F5502B"/>
    <w:pPr>
      <w:numPr>
        <w:ilvl w:val="3"/>
        <w:numId w:val="6"/>
      </w:numPr>
    </w:pPr>
    <w:rPr>
      <w:rFonts w:eastAsia="Times New Roman"/>
      <w:lang w:eastAsia="de-DE"/>
    </w:rPr>
  </w:style>
  <w:style w:type="table" w:styleId="TableGrid">
    <w:name w:val="Table Grid"/>
    <w:basedOn w:val="TableNormal"/>
    <w:rsid w:val="00F5502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5502B"/>
    <w:rPr>
      <w:color w:val="0000FF"/>
      <w:u w:val="single"/>
    </w:rPr>
  </w:style>
  <w:style w:type="paragraph" w:styleId="ListBullet">
    <w:name w:val="List Bullet"/>
    <w:basedOn w:val="Normal"/>
    <w:rsid w:val="00F5502B"/>
    <w:pPr>
      <w:numPr>
        <w:numId w:val="7"/>
      </w:numPr>
    </w:pPr>
    <w:rPr>
      <w:rFonts w:eastAsia="Times New Roman"/>
      <w:lang w:val="fr-FR" w:eastAsia="en-GB"/>
    </w:rPr>
  </w:style>
  <w:style w:type="paragraph" w:styleId="ListBullet2">
    <w:name w:val="List Bullet 2"/>
    <w:basedOn w:val="Normal"/>
    <w:rsid w:val="00F5502B"/>
    <w:pPr>
      <w:numPr>
        <w:numId w:val="8"/>
      </w:numPr>
    </w:pPr>
    <w:rPr>
      <w:rFonts w:eastAsia="Times New Roman"/>
      <w:lang w:val="fr-FR" w:eastAsia="en-GB"/>
    </w:rPr>
  </w:style>
  <w:style w:type="paragraph" w:styleId="ListBullet3">
    <w:name w:val="List Bullet 3"/>
    <w:basedOn w:val="Normal"/>
    <w:rsid w:val="00F5502B"/>
    <w:pPr>
      <w:numPr>
        <w:numId w:val="9"/>
      </w:numPr>
    </w:pPr>
    <w:rPr>
      <w:rFonts w:eastAsia="Times New Roman"/>
      <w:lang w:val="fr-FR" w:eastAsia="en-GB"/>
    </w:rPr>
  </w:style>
  <w:style w:type="paragraph" w:styleId="ListNumber2">
    <w:name w:val="List Number 2"/>
    <w:basedOn w:val="Normal"/>
    <w:rsid w:val="00F5502B"/>
    <w:pPr>
      <w:numPr>
        <w:numId w:val="13"/>
      </w:numPr>
    </w:pPr>
    <w:rPr>
      <w:rFonts w:eastAsia="Times New Roman"/>
      <w:lang w:val="fr-FR" w:eastAsia="en-GB"/>
    </w:rPr>
  </w:style>
  <w:style w:type="paragraph" w:styleId="ListNumber3">
    <w:name w:val="List Number 3"/>
    <w:basedOn w:val="Normal"/>
    <w:rsid w:val="00F5502B"/>
    <w:pPr>
      <w:numPr>
        <w:numId w:val="14"/>
      </w:numPr>
    </w:pPr>
    <w:rPr>
      <w:rFonts w:eastAsia="Times New Roman"/>
      <w:lang w:val="fr-FR" w:eastAsia="en-GB"/>
    </w:rPr>
  </w:style>
  <w:style w:type="paragraph" w:styleId="ListNumber4">
    <w:name w:val="List Number 4"/>
    <w:basedOn w:val="Normal"/>
    <w:rsid w:val="00F5502B"/>
    <w:pPr>
      <w:numPr>
        <w:numId w:val="15"/>
      </w:numPr>
    </w:pPr>
    <w:rPr>
      <w:rFonts w:eastAsia="Times New Roman"/>
      <w:lang w:val="fr-FR" w:eastAsia="en-GB"/>
    </w:rPr>
  </w:style>
  <w:style w:type="paragraph" w:customStyle="1" w:styleId="ListDash3">
    <w:name w:val="List Dash 3"/>
    <w:basedOn w:val="Normal"/>
    <w:rsid w:val="00F5502B"/>
    <w:pPr>
      <w:numPr>
        <w:numId w:val="10"/>
      </w:numPr>
    </w:pPr>
    <w:rPr>
      <w:rFonts w:eastAsia="Times New Roman"/>
      <w:lang w:val="fr-FR" w:eastAsia="en-GB"/>
    </w:rPr>
  </w:style>
  <w:style w:type="paragraph" w:customStyle="1" w:styleId="ListDash4">
    <w:name w:val="List Dash 4"/>
    <w:basedOn w:val="Normal"/>
    <w:rsid w:val="00F5502B"/>
    <w:pPr>
      <w:numPr>
        <w:numId w:val="11"/>
      </w:numPr>
    </w:pPr>
    <w:rPr>
      <w:rFonts w:eastAsia="Times New Roman"/>
      <w:lang w:val="fr-FR" w:eastAsia="en-GB"/>
    </w:rPr>
  </w:style>
  <w:style w:type="paragraph" w:customStyle="1" w:styleId="ListNumber1">
    <w:name w:val="List Number 1"/>
    <w:basedOn w:val="Text1"/>
    <w:rsid w:val="00F5502B"/>
    <w:pPr>
      <w:numPr>
        <w:numId w:val="12"/>
      </w:numPr>
    </w:pPr>
    <w:rPr>
      <w:rFonts w:eastAsia="Times New Roman"/>
      <w:lang w:val="fr-FR" w:eastAsia="en-GB"/>
    </w:rPr>
  </w:style>
  <w:style w:type="paragraph" w:customStyle="1" w:styleId="ListNumber1Level2">
    <w:name w:val="List Number 1 (Level 2)"/>
    <w:basedOn w:val="Text1"/>
    <w:rsid w:val="00F5502B"/>
    <w:pPr>
      <w:numPr>
        <w:ilvl w:val="1"/>
        <w:numId w:val="12"/>
      </w:numPr>
    </w:pPr>
    <w:rPr>
      <w:rFonts w:eastAsia="Times New Roman"/>
      <w:lang w:val="fr-FR" w:eastAsia="en-GB"/>
    </w:rPr>
  </w:style>
  <w:style w:type="paragraph" w:customStyle="1" w:styleId="ListNumber2Level2">
    <w:name w:val="List Number 2 (Level 2)"/>
    <w:basedOn w:val="Text2"/>
    <w:rsid w:val="00F5502B"/>
    <w:pPr>
      <w:numPr>
        <w:ilvl w:val="1"/>
        <w:numId w:val="13"/>
      </w:numPr>
    </w:pPr>
    <w:rPr>
      <w:rFonts w:eastAsia="Times New Roman"/>
      <w:lang w:val="fr-FR" w:eastAsia="en-GB"/>
    </w:rPr>
  </w:style>
  <w:style w:type="paragraph" w:customStyle="1" w:styleId="ListNumber3Level2">
    <w:name w:val="List Number 3 (Level 2)"/>
    <w:basedOn w:val="Text3"/>
    <w:rsid w:val="00F5502B"/>
    <w:pPr>
      <w:numPr>
        <w:ilvl w:val="1"/>
        <w:numId w:val="14"/>
      </w:numPr>
    </w:pPr>
    <w:rPr>
      <w:rFonts w:eastAsia="Times New Roman"/>
      <w:lang w:val="fr-FR" w:eastAsia="en-GB"/>
    </w:rPr>
  </w:style>
  <w:style w:type="paragraph" w:customStyle="1" w:styleId="ListNumber4Level2">
    <w:name w:val="List Number 4 (Level 2)"/>
    <w:basedOn w:val="Text4"/>
    <w:rsid w:val="00F5502B"/>
    <w:pPr>
      <w:numPr>
        <w:ilvl w:val="1"/>
        <w:numId w:val="15"/>
      </w:numPr>
    </w:pPr>
    <w:rPr>
      <w:rFonts w:eastAsia="Times New Roman"/>
      <w:lang w:val="fr-FR" w:eastAsia="en-GB"/>
    </w:rPr>
  </w:style>
  <w:style w:type="paragraph" w:customStyle="1" w:styleId="ListNumber1Level3">
    <w:name w:val="List Number 1 (Level 3)"/>
    <w:basedOn w:val="Text1"/>
    <w:rsid w:val="00F5502B"/>
    <w:pPr>
      <w:numPr>
        <w:ilvl w:val="2"/>
        <w:numId w:val="12"/>
      </w:numPr>
    </w:pPr>
    <w:rPr>
      <w:rFonts w:eastAsia="Times New Roman"/>
      <w:lang w:val="fr-FR" w:eastAsia="en-GB"/>
    </w:rPr>
  </w:style>
  <w:style w:type="paragraph" w:customStyle="1" w:styleId="ListNumber2Level3">
    <w:name w:val="List Number 2 (Level 3)"/>
    <w:basedOn w:val="Text2"/>
    <w:rsid w:val="00F5502B"/>
    <w:pPr>
      <w:numPr>
        <w:ilvl w:val="2"/>
        <w:numId w:val="13"/>
      </w:numPr>
    </w:pPr>
    <w:rPr>
      <w:rFonts w:eastAsia="Times New Roman"/>
      <w:lang w:val="fr-FR" w:eastAsia="en-GB"/>
    </w:rPr>
  </w:style>
  <w:style w:type="paragraph" w:customStyle="1" w:styleId="ListNumber3Level3">
    <w:name w:val="List Number 3 (Level 3)"/>
    <w:basedOn w:val="Text3"/>
    <w:rsid w:val="00F5502B"/>
    <w:pPr>
      <w:numPr>
        <w:ilvl w:val="2"/>
        <w:numId w:val="14"/>
      </w:numPr>
    </w:pPr>
    <w:rPr>
      <w:rFonts w:eastAsia="Times New Roman"/>
      <w:lang w:val="fr-FR" w:eastAsia="en-GB"/>
    </w:rPr>
  </w:style>
  <w:style w:type="paragraph" w:customStyle="1" w:styleId="ListNumber4Level3">
    <w:name w:val="List Number 4 (Level 3)"/>
    <w:basedOn w:val="Text4"/>
    <w:rsid w:val="00F5502B"/>
    <w:pPr>
      <w:numPr>
        <w:ilvl w:val="2"/>
        <w:numId w:val="15"/>
      </w:numPr>
    </w:pPr>
    <w:rPr>
      <w:rFonts w:eastAsia="Times New Roman"/>
      <w:lang w:val="fr-FR" w:eastAsia="en-GB"/>
    </w:rPr>
  </w:style>
  <w:style w:type="paragraph" w:customStyle="1" w:styleId="ListNumber1Level4">
    <w:name w:val="List Number 1 (Level 4)"/>
    <w:basedOn w:val="Text1"/>
    <w:rsid w:val="00F5502B"/>
    <w:pPr>
      <w:numPr>
        <w:ilvl w:val="3"/>
        <w:numId w:val="12"/>
      </w:numPr>
    </w:pPr>
    <w:rPr>
      <w:rFonts w:eastAsia="Times New Roman"/>
      <w:lang w:val="fr-FR" w:eastAsia="en-GB"/>
    </w:rPr>
  </w:style>
  <w:style w:type="paragraph" w:customStyle="1" w:styleId="ListNumber2Level4">
    <w:name w:val="List Number 2 (Level 4)"/>
    <w:basedOn w:val="Text2"/>
    <w:rsid w:val="00F5502B"/>
    <w:pPr>
      <w:numPr>
        <w:ilvl w:val="3"/>
        <w:numId w:val="13"/>
      </w:numPr>
    </w:pPr>
    <w:rPr>
      <w:rFonts w:eastAsia="Times New Roman"/>
      <w:lang w:val="fr-FR" w:eastAsia="en-GB"/>
    </w:rPr>
  </w:style>
  <w:style w:type="paragraph" w:customStyle="1" w:styleId="ListNumber3Level4">
    <w:name w:val="List Number 3 (Level 4)"/>
    <w:basedOn w:val="Text3"/>
    <w:rsid w:val="00F5502B"/>
    <w:pPr>
      <w:numPr>
        <w:ilvl w:val="3"/>
        <w:numId w:val="14"/>
      </w:numPr>
    </w:pPr>
    <w:rPr>
      <w:rFonts w:eastAsia="Times New Roman"/>
      <w:lang w:val="fr-FR" w:eastAsia="en-GB"/>
    </w:rPr>
  </w:style>
  <w:style w:type="paragraph" w:customStyle="1" w:styleId="ListNumber4Level4">
    <w:name w:val="List Number 4 (Level 4)"/>
    <w:basedOn w:val="Text4"/>
    <w:rsid w:val="00F5502B"/>
    <w:pPr>
      <w:numPr>
        <w:ilvl w:val="3"/>
        <w:numId w:val="15"/>
      </w:numPr>
    </w:pPr>
    <w:rPr>
      <w:rFonts w:eastAsia="Times New Roman"/>
      <w:lang w:val="fr-FR" w:eastAsia="en-GB"/>
    </w:rPr>
  </w:style>
  <w:style w:type="paragraph" w:customStyle="1" w:styleId="Annexetitreacte">
    <w:name w:val="Annexe titre (acte)"/>
    <w:basedOn w:val="Normal"/>
    <w:next w:val="Normal"/>
    <w:rsid w:val="00F5502B"/>
    <w:pPr>
      <w:jc w:val="center"/>
    </w:pPr>
    <w:rPr>
      <w:rFonts w:eastAsia="Times New Roman"/>
      <w:b/>
      <w:u w:val="single"/>
      <w:lang w:val="fr-FR" w:eastAsia="en-GB"/>
    </w:rPr>
  </w:style>
  <w:style w:type="paragraph" w:customStyle="1" w:styleId="Annexetitreexposglobal">
    <w:name w:val="Annexe titre (exposé global)"/>
    <w:basedOn w:val="Normal"/>
    <w:next w:val="Normal"/>
    <w:rsid w:val="00F5502B"/>
    <w:pPr>
      <w:jc w:val="center"/>
    </w:pPr>
    <w:rPr>
      <w:rFonts w:eastAsia="Times New Roman"/>
      <w:b/>
      <w:u w:val="single"/>
      <w:lang w:val="fr-FR" w:eastAsia="en-GB"/>
    </w:rPr>
  </w:style>
  <w:style w:type="paragraph" w:customStyle="1" w:styleId="Annexetitrefichefinacte">
    <w:name w:val="Annexe titre (fiche fin. acte)"/>
    <w:basedOn w:val="Normal"/>
    <w:next w:val="Normal"/>
    <w:rsid w:val="00F5502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F5502B"/>
    <w:pPr>
      <w:jc w:val="center"/>
    </w:pPr>
    <w:rPr>
      <w:rFonts w:eastAsia="Times New Roman"/>
      <w:b/>
      <w:u w:val="single"/>
      <w:lang w:val="fr-FR" w:eastAsia="en-GB"/>
    </w:rPr>
  </w:style>
  <w:style w:type="paragraph" w:customStyle="1" w:styleId="Annexetitreglobale">
    <w:name w:val="Annexe titre (globale)"/>
    <w:basedOn w:val="Normal"/>
    <w:next w:val="Normal"/>
    <w:rsid w:val="00F5502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F5502B"/>
    <w:pPr>
      <w:jc w:val="center"/>
    </w:pPr>
    <w:rPr>
      <w:rFonts w:eastAsia="Times New Roman"/>
      <w:b/>
      <w:u w:val="single"/>
      <w:lang w:val="fr-FR" w:eastAsia="en-GB"/>
    </w:rPr>
  </w:style>
  <w:style w:type="paragraph" w:customStyle="1" w:styleId="Langueoriginale">
    <w:name w:val="Langue originale"/>
    <w:basedOn w:val="Normal"/>
    <w:rsid w:val="00F5502B"/>
    <w:pPr>
      <w:spacing w:before="360"/>
      <w:jc w:val="center"/>
    </w:pPr>
    <w:rPr>
      <w:rFonts w:eastAsia="Times New Roman"/>
      <w:caps/>
      <w:lang w:val="fr-FR" w:eastAsia="en-GB"/>
    </w:rPr>
  </w:style>
  <w:style w:type="paragraph" w:customStyle="1" w:styleId="Phrasefinale">
    <w:name w:val="Phrase finale"/>
    <w:basedOn w:val="Normal"/>
    <w:next w:val="Normal"/>
    <w:rsid w:val="00F5502B"/>
    <w:pPr>
      <w:spacing w:before="360" w:after="0"/>
      <w:jc w:val="center"/>
    </w:pPr>
    <w:rPr>
      <w:rFonts w:eastAsia="Times New Roman"/>
      <w:lang w:val="fr-FR" w:eastAsia="en-GB"/>
    </w:rPr>
  </w:style>
  <w:style w:type="paragraph" w:customStyle="1" w:styleId="Prliminairetitre">
    <w:name w:val="Préliminaire titre"/>
    <w:basedOn w:val="Normal"/>
    <w:next w:val="Normal"/>
    <w:rsid w:val="00F5502B"/>
    <w:pPr>
      <w:spacing w:before="360" w:after="360"/>
      <w:jc w:val="center"/>
    </w:pPr>
    <w:rPr>
      <w:rFonts w:eastAsia="Times New Roman"/>
      <w:b/>
      <w:lang w:val="fr-FR" w:eastAsia="en-GB"/>
    </w:rPr>
  </w:style>
  <w:style w:type="paragraph" w:customStyle="1" w:styleId="Prliminairetype">
    <w:name w:val="Préliminaire type"/>
    <w:basedOn w:val="Normal"/>
    <w:next w:val="Normal"/>
    <w:rsid w:val="00F5502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F5502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F5502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F5502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F5502B"/>
    <w:pPr>
      <w:spacing w:before="0" w:after="0"/>
      <w:jc w:val="center"/>
    </w:pPr>
    <w:rPr>
      <w:rFonts w:eastAsia="Times New Roman"/>
      <w:b/>
      <w:lang w:val="fr-FR" w:eastAsia="en-GB"/>
    </w:rPr>
  </w:style>
  <w:style w:type="paragraph" w:customStyle="1" w:styleId="Statutprliminaire">
    <w:name w:val="Statut (préliminaire)"/>
    <w:basedOn w:val="Normal"/>
    <w:next w:val="Normal"/>
    <w:rsid w:val="00F5502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F5502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F5502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F5502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F5502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F5502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F5502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F5502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F5502B"/>
    <w:pPr>
      <w:jc w:val="center"/>
    </w:pPr>
    <w:rPr>
      <w:rFonts w:eastAsia="Times New Roman"/>
      <w:b/>
      <w:u w:val="single"/>
      <w:lang w:val="fr-FR" w:eastAsia="en-GB"/>
    </w:rPr>
  </w:style>
  <w:style w:type="character" w:styleId="CommentReference">
    <w:name w:val="annotation reference"/>
    <w:rsid w:val="00F5502B"/>
    <w:rPr>
      <w:rFonts w:cs="Times New Roman"/>
      <w:sz w:val="16"/>
      <w:szCs w:val="16"/>
    </w:rPr>
  </w:style>
  <w:style w:type="paragraph" w:styleId="CommentText">
    <w:name w:val="annotation text"/>
    <w:basedOn w:val="Normal"/>
    <w:link w:val="CommentTextChar"/>
    <w:rsid w:val="00F5502B"/>
    <w:rPr>
      <w:rFonts w:eastAsia="Times New Roman"/>
      <w:sz w:val="20"/>
      <w:szCs w:val="20"/>
      <w:lang w:val="fr-FR" w:eastAsia="en-GB"/>
    </w:rPr>
  </w:style>
  <w:style w:type="character" w:customStyle="1" w:styleId="CommentTextChar">
    <w:name w:val="Comment Text Char"/>
    <w:basedOn w:val="DefaultParagraphFont"/>
    <w:link w:val="CommentText"/>
    <w:rsid w:val="00F5502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5502B"/>
    <w:rPr>
      <w:b/>
      <w:bCs/>
    </w:rPr>
  </w:style>
  <w:style w:type="character" w:customStyle="1" w:styleId="CommentSubjectChar">
    <w:name w:val="Comment Subject Char"/>
    <w:basedOn w:val="CommentTextChar"/>
    <w:link w:val="CommentSubject"/>
    <w:rsid w:val="00F5502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5502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F5502B"/>
    <w:rPr>
      <w:rFonts w:ascii="Tahoma" w:eastAsia="Times New Roman" w:hAnsi="Tahoma" w:cs="Tahoma"/>
      <w:sz w:val="16"/>
      <w:szCs w:val="16"/>
      <w:lang w:val="fr-FR" w:eastAsia="en-GB"/>
    </w:rPr>
  </w:style>
  <w:style w:type="paragraph" w:styleId="Caption">
    <w:name w:val="caption"/>
    <w:basedOn w:val="Normal"/>
    <w:next w:val="Normal"/>
    <w:qFormat/>
    <w:rsid w:val="00F5502B"/>
    <w:rPr>
      <w:rFonts w:eastAsia="Times New Roman"/>
      <w:b/>
      <w:bCs/>
      <w:sz w:val="20"/>
      <w:szCs w:val="20"/>
      <w:lang w:val="fr-FR" w:eastAsia="en-GB"/>
    </w:rPr>
  </w:style>
  <w:style w:type="paragraph" w:styleId="TableofFigures">
    <w:name w:val="table of figures"/>
    <w:basedOn w:val="Normal"/>
    <w:next w:val="Normal"/>
    <w:rsid w:val="00F5502B"/>
    <w:rPr>
      <w:rFonts w:eastAsia="Times New Roman"/>
      <w:lang w:val="fr-FR" w:eastAsia="en-GB"/>
    </w:rPr>
  </w:style>
  <w:style w:type="character" w:styleId="PageNumber">
    <w:name w:val="page number"/>
    <w:rsid w:val="00F5502B"/>
  </w:style>
  <w:style w:type="character" w:customStyle="1" w:styleId="tw4winMark">
    <w:name w:val="tw4winMark"/>
    <w:rsid w:val="00F5502B"/>
    <w:rPr>
      <w:vanish/>
      <w:color w:val="800080"/>
      <w:vertAlign w:val="subscript"/>
    </w:rPr>
  </w:style>
  <w:style w:type="character" w:styleId="FollowedHyperlink">
    <w:name w:val="FollowedHyperlink"/>
    <w:rsid w:val="00F5502B"/>
    <w:rPr>
      <w:color w:val="800080"/>
      <w:u w:val="single"/>
    </w:rPr>
  </w:style>
  <w:style w:type="paragraph" w:customStyle="1" w:styleId="Sous-titreobjet">
    <w:name w:val="Sous-titre objet"/>
    <w:basedOn w:val="Normal"/>
    <w:rsid w:val="00F5502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5502B"/>
  </w:style>
  <w:style w:type="paragraph" w:styleId="Revision">
    <w:name w:val="Revision"/>
    <w:hidden/>
    <w:uiPriority w:val="99"/>
    <w:semiHidden/>
    <w:rsid w:val="00F5502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F5502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5502B"/>
    <w:rPr>
      <w:rFonts w:ascii="Times New Roman" w:hAnsi="Times New Roman" w:cs="Times New Roman"/>
      <w:b/>
      <w:sz w:val="28"/>
      <w:lang w:val="en-GB"/>
    </w:rPr>
  </w:style>
  <w:style w:type="character" w:customStyle="1" w:styleId="FooterCoverPageChar">
    <w:name w:val="Footer Cover Page Char"/>
    <w:link w:val="FooterCoverPage"/>
    <w:rsid w:val="00F5502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F5502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5502B"/>
    <w:rPr>
      <w:rFonts w:ascii="Times New Roman" w:eastAsia="Calibri" w:hAnsi="Times New Roman" w:cs="Times New Roman"/>
      <w:sz w:val="24"/>
      <w:lang w:val="en-GB" w:eastAsia="en-GB"/>
    </w:rPr>
  </w:style>
  <w:style w:type="character" w:customStyle="1" w:styleId="FooterSensitivityChar">
    <w:name w:val="Footer Sensitivity Char"/>
    <w:rsid w:val="00F5502B"/>
    <w:rPr>
      <w:rFonts w:ascii="Times New Roman" w:hAnsi="Times New Roman" w:cs="Times New Roman"/>
      <w:b/>
      <w:sz w:val="32"/>
      <w:lang w:val="en-GB"/>
    </w:rPr>
  </w:style>
  <w:style w:type="character" w:customStyle="1" w:styleId="HeaderSensitivityChar">
    <w:name w:val="Header Sensitivity Char"/>
    <w:rsid w:val="00F5502B"/>
    <w:rPr>
      <w:rFonts w:ascii="Times New Roman" w:hAnsi="Times New Roman" w:cs="Times New Roman"/>
      <w:b/>
      <w:sz w:val="32"/>
      <w:lang w:val="en-GB"/>
    </w:rPr>
  </w:style>
  <w:style w:type="character" w:customStyle="1" w:styleId="HeaderSensitivityRightChar">
    <w:name w:val="Header Sensitivity Right Char"/>
    <w:rsid w:val="00F5502B"/>
    <w:rPr>
      <w:rFonts w:ascii="Times New Roman" w:hAnsi="Times New Roman" w:cs="Times New Roman"/>
      <w:sz w:val="28"/>
      <w:lang w:val="en-GB"/>
    </w:rPr>
  </w:style>
  <w:style w:type="paragraph" w:customStyle="1" w:styleId="LegalNumPar">
    <w:name w:val="LegalNumPar"/>
    <w:basedOn w:val="Normal"/>
    <w:rsid w:val="00F5502B"/>
    <w:pPr>
      <w:numPr>
        <w:numId w:val="16"/>
      </w:numPr>
      <w:spacing w:line="360" w:lineRule="auto"/>
    </w:pPr>
    <w:rPr>
      <w:rFonts w:eastAsia="Times New Roman"/>
      <w:lang w:eastAsia="en-GB"/>
    </w:rPr>
  </w:style>
  <w:style w:type="paragraph" w:customStyle="1" w:styleId="LegalNumPar2">
    <w:name w:val="LegalNumPar2"/>
    <w:basedOn w:val="Normal"/>
    <w:rsid w:val="00F5502B"/>
    <w:pPr>
      <w:numPr>
        <w:ilvl w:val="1"/>
        <w:numId w:val="16"/>
      </w:numPr>
      <w:spacing w:line="360" w:lineRule="auto"/>
    </w:pPr>
    <w:rPr>
      <w:rFonts w:eastAsia="Times New Roman"/>
      <w:lang w:eastAsia="en-GB"/>
    </w:rPr>
  </w:style>
  <w:style w:type="paragraph" w:customStyle="1" w:styleId="LegalNumPar3">
    <w:name w:val="LegalNumPar3"/>
    <w:basedOn w:val="Normal"/>
    <w:rsid w:val="00F5502B"/>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F5502B"/>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F5502B"/>
    <w:rPr>
      <w:color w:val="605E5C"/>
      <w:shd w:val="clear" w:color="auto" w:fill="E1DFDD"/>
    </w:rPr>
  </w:style>
  <w:style w:type="character" w:styleId="Strong">
    <w:name w:val="Strong"/>
    <w:basedOn w:val="DefaultParagraphFont"/>
    <w:qFormat/>
    <w:rsid w:val="00F5502B"/>
    <w:rPr>
      <w:b/>
      <w:bCs/>
    </w:rPr>
  </w:style>
  <w:style w:type="character" w:styleId="Emphasis">
    <w:name w:val="Emphasis"/>
    <w:basedOn w:val="DefaultParagraphFont"/>
    <w:qFormat/>
    <w:rsid w:val="00F5502B"/>
    <w:rPr>
      <w:i/>
      <w:iCs/>
    </w:rPr>
  </w:style>
  <w:style w:type="character" w:customStyle="1" w:styleId="Mention">
    <w:name w:val="Mention"/>
    <w:basedOn w:val="DefaultParagraphFont"/>
    <w:uiPriority w:val="99"/>
    <w:unhideWhenUsed/>
    <w:rsid w:val="00F5502B"/>
    <w:rPr>
      <w:color w:val="2B579A"/>
      <w:shd w:val="clear" w:color="auto" w:fill="E1DFDD"/>
    </w:rPr>
  </w:style>
  <w:style w:type="character" w:customStyle="1" w:styleId="normaltextrun">
    <w:name w:val="normaltextrun"/>
    <w:basedOn w:val="DefaultParagraphFont"/>
    <w:rsid w:val="00F5502B"/>
  </w:style>
  <w:style w:type="character" w:customStyle="1" w:styleId="eop">
    <w:name w:val="eop"/>
    <w:basedOn w:val="DefaultParagraphFont"/>
    <w:rsid w:val="00F5502B"/>
  </w:style>
  <w:style w:type="paragraph" w:customStyle="1" w:styleId="CharCharChar1">
    <w:name w:val="Char Char Char1"/>
    <w:basedOn w:val="Normal"/>
    <w:link w:val="FootnoteReference"/>
    <w:uiPriority w:val="99"/>
    <w:rsid w:val="006B75EE"/>
    <w:pPr>
      <w:spacing w:before="0" w:after="160" w:line="240" w:lineRule="exact"/>
    </w:pPr>
    <w:rPr>
      <w:rFonts w:asciiTheme="minorHAnsi" w:hAnsiTheme="minorHAnsi" w:cstheme="minorBidi"/>
      <w:sz w:val="22"/>
      <w:vertAlign w:val="superscript"/>
      <w:lang w:val="en-US"/>
    </w:rPr>
  </w:style>
  <w:style w:type="paragraph" w:styleId="NormalWeb">
    <w:name w:val="Normal (Web)"/>
    <w:basedOn w:val="Normal"/>
    <w:uiPriority w:val="99"/>
    <w:semiHidden/>
    <w:unhideWhenUsed/>
    <w:rsid w:val="00536AB1"/>
    <w:rPr>
      <w:szCs w:val="24"/>
    </w:rPr>
  </w:style>
  <w:style w:type="character" w:customStyle="1" w:styleId="HeaderChar">
    <w:name w:val="Header Char"/>
    <w:basedOn w:val="DefaultParagraphFont"/>
    <w:link w:val="Header"/>
    <w:uiPriority w:val="99"/>
    <w:rsid w:val="002D2AD5"/>
    <w:rPr>
      <w:rFonts w:ascii="Times New Roman" w:hAnsi="Times New Roman" w:cs="Times New Roman"/>
      <w:sz w:val="24"/>
      <w:lang w:val="en-GB"/>
    </w:rPr>
  </w:style>
  <w:style w:type="character" w:customStyle="1" w:styleId="FooterChar">
    <w:name w:val="Footer Char"/>
    <w:basedOn w:val="DefaultParagraphFont"/>
    <w:link w:val="Footer"/>
    <w:uiPriority w:val="99"/>
    <w:rsid w:val="002D2AD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2D2AD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D2AD5"/>
    <w:pPr>
      <w:spacing w:before="0"/>
      <w:jc w:val="right"/>
    </w:pPr>
    <w:rPr>
      <w:sz w:val="28"/>
    </w:rPr>
  </w:style>
  <w:style w:type="paragraph" w:customStyle="1" w:styleId="FooterSensitivity">
    <w:name w:val="Footer Sensitivity"/>
    <w:basedOn w:val="Normal"/>
    <w:rsid w:val="002D2AD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D2AD5"/>
    <w:pPr>
      <w:tabs>
        <w:tab w:val="center" w:pos="4535"/>
        <w:tab w:val="right" w:pos="9071"/>
      </w:tabs>
      <w:spacing w:before="0"/>
    </w:pPr>
  </w:style>
  <w:style w:type="paragraph" w:customStyle="1" w:styleId="HeaderLandscape">
    <w:name w:val="HeaderLandscape"/>
    <w:basedOn w:val="Normal"/>
    <w:rsid w:val="002D2AD5"/>
    <w:pPr>
      <w:tabs>
        <w:tab w:val="center" w:pos="7285"/>
        <w:tab w:val="right" w:pos="14003"/>
      </w:tabs>
      <w:spacing w:before="0"/>
    </w:pPr>
  </w:style>
  <w:style w:type="paragraph" w:styleId="Footer">
    <w:name w:val="footer"/>
    <w:basedOn w:val="Normal"/>
    <w:link w:val="FooterChar"/>
    <w:uiPriority w:val="99"/>
    <w:unhideWhenUsed/>
    <w:rsid w:val="002D2AD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D2AD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588">
      <w:bodyDiv w:val="1"/>
      <w:marLeft w:val="0"/>
      <w:marRight w:val="0"/>
      <w:marTop w:val="0"/>
      <w:marBottom w:val="0"/>
      <w:divBdr>
        <w:top w:val="none" w:sz="0" w:space="0" w:color="auto"/>
        <w:left w:val="none" w:sz="0" w:space="0" w:color="auto"/>
        <w:bottom w:val="none" w:sz="0" w:space="0" w:color="auto"/>
        <w:right w:val="none" w:sz="0" w:space="0" w:color="auto"/>
      </w:divBdr>
    </w:div>
    <w:div w:id="6829277">
      <w:bodyDiv w:val="1"/>
      <w:marLeft w:val="0"/>
      <w:marRight w:val="0"/>
      <w:marTop w:val="0"/>
      <w:marBottom w:val="0"/>
      <w:divBdr>
        <w:top w:val="none" w:sz="0" w:space="0" w:color="auto"/>
        <w:left w:val="none" w:sz="0" w:space="0" w:color="auto"/>
        <w:bottom w:val="none" w:sz="0" w:space="0" w:color="auto"/>
        <w:right w:val="none" w:sz="0" w:space="0" w:color="auto"/>
      </w:divBdr>
    </w:div>
    <w:div w:id="142743490">
      <w:bodyDiv w:val="1"/>
      <w:marLeft w:val="0"/>
      <w:marRight w:val="0"/>
      <w:marTop w:val="0"/>
      <w:marBottom w:val="0"/>
      <w:divBdr>
        <w:top w:val="none" w:sz="0" w:space="0" w:color="auto"/>
        <w:left w:val="none" w:sz="0" w:space="0" w:color="auto"/>
        <w:bottom w:val="none" w:sz="0" w:space="0" w:color="auto"/>
        <w:right w:val="none" w:sz="0" w:space="0" w:color="auto"/>
      </w:divBdr>
    </w:div>
    <w:div w:id="165050760">
      <w:bodyDiv w:val="1"/>
      <w:marLeft w:val="0"/>
      <w:marRight w:val="0"/>
      <w:marTop w:val="0"/>
      <w:marBottom w:val="0"/>
      <w:divBdr>
        <w:top w:val="none" w:sz="0" w:space="0" w:color="auto"/>
        <w:left w:val="none" w:sz="0" w:space="0" w:color="auto"/>
        <w:bottom w:val="none" w:sz="0" w:space="0" w:color="auto"/>
        <w:right w:val="none" w:sz="0" w:space="0" w:color="auto"/>
      </w:divBdr>
    </w:div>
    <w:div w:id="261190397">
      <w:bodyDiv w:val="1"/>
      <w:marLeft w:val="0"/>
      <w:marRight w:val="0"/>
      <w:marTop w:val="0"/>
      <w:marBottom w:val="0"/>
      <w:divBdr>
        <w:top w:val="none" w:sz="0" w:space="0" w:color="auto"/>
        <w:left w:val="none" w:sz="0" w:space="0" w:color="auto"/>
        <w:bottom w:val="none" w:sz="0" w:space="0" w:color="auto"/>
        <w:right w:val="none" w:sz="0" w:space="0" w:color="auto"/>
      </w:divBdr>
    </w:div>
    <w:div w:id="293602382">
      <w:bodyDiv w:val="1"/>
      <w:marLeft w:val="0"/>
      <w:marRight w:val="0"/>
      <w:marTop w:val="0"/>
      <w:marBottom w:val="0"/>
      <w:divBdr>
        <w:top w:val="none" w:sz="0" w:space="0" w:color="auto"/>
        <w:left w:val="none" w:sz="0" w:space="0" w:color="auto"/>
        <w:bottom w:val="none" w:sz="0" w:space="0" w:color="auto"/>
        <w:right w:val="none" w:sz="0" w:space="0" w:color="auto"/>
      </w:divBdr>
    </w:div>
    <w:div w:id="319891498">
      <w:bodyDiv w:val="1"/>
      <w:marLeft w:val="0"/>
      <w:marRight w:val="0"/>
      <w:marTop w:val="0"/>
      <w:marBottom w:val="0"/>
      <w:divBdr>
        <w:top w:val="none" w:sz="0" w:space="0" w:color="auto"/>
        <w:left w:val="none" w:sz="0" w:space="0" w:color="auto"/>
        <w:bottom w:val="none" w:sz="0" w:space="0" w:color="auto"/>
        <w:right w:val="none" w:sz="0" w:space="0" w:color="auto"/>
      </w:divBdr>
    </w:div>
    <w:div w:id="335111681">
      <w:bodyDiv w:val="1"/>
      <w:marLeft w:val="0"/>
      <w:marRight w:val="0"/>
      <w:marTop w:val="0"/>
      <w:marBottom w:val="0"/>
      <w:divBdr>
        <w:top w:val="none" w:sz="0" w:space="0" w:color="auto"/>
        <w:left w:val="none" w:sz="0" w:space="0" w:color="auto"/>
        <w:bottom w:val="none" w:sz="0" w:space="0" w:color="auto"/>
        <w:right w:val="none" w:sz="0" w:space="0" w:color="auto"/>
      </w:divBdr>
    </w:div>
    <w:div w:id="340204784">
      <w:bodyDiv w:val="1"/>
      <w:marLeft w:val="0"/>
      <w:marRight w:val="0"/>
      <w:marTop w:val="0"/>
      <w:marBottom w:val="0"/>
      <w:divBdr>
        <w:top w:val="none" w:sz="0" w:space="0" w:color="auto"/>
        <w:left w:val="none" w:sz="0" w:space="0" w:color="auto"/>
        <w:bottom w:val="none" w:sz="0" w:space="0" w:color="auto"/>
        <w:right w:val="none" w:sz="0" w:space="0" w:color="auto"/>
      </w:divBdr>
    </w:div>
    <w:div w:id="485903028">
      <w:bodyDiv w:val="1"/>
      <w:marLeft w:val="0"/>
      <w:marRight w:val="0"/>
      <w:marTop w:val="0"/>
      <w:marBottom w:val="0"/>
      <w:divBdr>
        <w:top w:val="none" w:sz="0" w:space="0" w:color="auto"/>
        <w:left w:val="none" w:sz="0" w:space="0" w:color="auto"/>
        <w:bottom w:val="none" w:sz="0" w:space="0" w:color="auto"/>
        <w:right w:val="none" w:sz="0" w:space="0" w:color="auto"/>
      </w:divBdr>
    </w:div>
    <w:div w:id="583999565">
      <w:bodyDiv w:val="1"/>
      <w:marLeft w:val="0"/>
      <w:marRight w:val="0"/>
      <w:marTop w:val="0"/>
      <w:marBottom w:val="0"/>
      <w:divBdr>
        <w:top w:val="none" w:sz="0" w:space="0" w:color="auto"/>
        <w:left w:val="none" w:sz="0" w:space="0" w:color="auto"/>
        <w:bottom w:val="none" w:sz="0" w:space="0" w:color="auto"/>
        <w:right w:val="none" w:sz="0" w:space="0" w:color="auto"/>
      </w:divBdr>
    </w:div>
    <w:div w:id="603264554">
      <w:bodyDiv w:val="1"/>
      <w:marLeft w:val="0"/>
      <w:marRight w:val="0"/>
      <w:marTop w:val="0"/>
      <w:marBottom w:val="0"/>
      <w:divBdr>
        <w:top w:val="none" w:sz="0" w:space="0" w:color="auto"/>
        <w:left w:val="none" w:sz="0" w:space="0" w:color="auto"/>
        <w:bottom w:val="none" w:sz="0" w:space="0" w:color="auto"/>
        <w:right w:val="none" w:sz="0" w:space="0" w:color="auto"/>
      </w:divBdr>
    </w:div>
    <w:div w:id="614945924">
      <w:bodyDiv w:val="1"/>
      <w:marLeft w:val="0"/>
      <w:marRight w:val="0"/>
      <w:marTop w:val="0"/>
      <w:marBottom w:val="0"/>
      <w:divBdr>
        <w:top w:val="none" w:sz="0" w:space="0" w:color="auto"/>
        <w:left w:val="none" w:sz="0" w:space="0" w:color="auto"/>
        <w:bottom w:val="none" w:sz="0" w:space="0" w:color="auto"/>
        <w:right w:val="none" w:sz="0" w:space="0" w:color="auto"/>
      </w:divBdr>
    </w:div>
    <w:div w:id="669219135">
      <w:bodyDiv w:val="1"/>
      <w:marLeft w:val="0"/>
      <w:marRight w:val="0"/>
      <w:marTop w:val="0"/>
      <w:marBottom w:val="0"/>
      <w:divBdr>
        <w:top w:val="none" w:sz="0" w:space="0" w:color="auto"/>
        <w:left w:val="none" w:sz="0" w:space="0" w:color="auto"/>
        <w:bottom w:val="none" w:sz="0" w:space="0" w:color="auto"/>
        <w:right w:val="none" w:sz="0" w:space="0" w:color="auto"/>
      </w:divBdr>
    </w:div>
    <w:div w:id="765199801">
      <w:bodyDiv w:val="1"/>
      <w:marLeft w:val="0"/>
      <w:marRight w:val="0"/>
      <w:marTop w:val="0"/>
      <w:marBottom w:val="0"/>
      <w:divBdr>
        <w:top w:val="none" w:sz="0" w:space="0" w:color="auto"/>
        <w:left w:val="none" w:sz="0" w:space="0" w:color="auto"/>
        <w:bottom w:val="none" w:sz="0" w:space="0" w:color="auto"/>
        <w:right w:val="none" w:sz="0" w:space="0" w:color="auto"/>
      </w:divBdr>
    </w:div>
    <w:div w:id="767046428">
      <w:bodyDiv w:val="1"/>
      <w:marLeft w:val="0"/>
      <w:marRight w:val="0"/>
      <w:marTop w:val="0"/>
      <w:marBottom w:val="0"/>
      <w:divBdr>
        <w:top w:val="none" w:sz="0" w:space="0" w:color="auto"/>
        <w:left w:val="none" w:sz="0" w:space="0" w:color="auto"/>
        <w:bottom w:val="none" w:sz="0" w:space="0" w:color="auto"/>
        <w:right w:val="none" w:sz="0" w:space="0" w:color="auto"/>
      </w:divBdr>
    </w:div>
    <w:div w:id="795373774">
      <w:bodyDiv w:val="1"/>
      <w:marLeft w:val="0"/>
      <w:marRight w:val="0"/>
      <w:marTop w:val="0"/>
      <w:marBottom w:val="0"/>
      <w:divBdr>
        <w:top w:val="none" w:sz="0" w:space="0" w:color="auto"/>
        <w:left w:val="none" w:sz="0" w:space="0" w:color="auto"/>
        <w:bottom w:val="none" w:sz="0" w:space="0" w:color="auto"/>
        <w:right w:val="none" w:sz="0" w:space="0" w:color="auto"/>
      </w:divBdr>
    </w:div>
    <w:div w:id="824971363">
      <w:bodyDiv w:val="1"/>
      <w:marLeft w:val="0"/>
      <w:marRight w:val="0"/>
      <w:marTop w:val="0"/>
      <w:marBottom w:val="0"/>
      <w:divBdr>
        <w:top w:val="none" w:sz="0" w:space="0" w:color="auto"/>
        <w:left w:val="none" w:sz="0" w:space="0" w:color="auto"/>
        <w:bottom w:val="none" w:sz="0" w:space="0" w:color="auto"/>
        <w:right w:val="none" w:sz="0" w:space="0" w:color="auto"/>
      </w:divBdr>
    </w:div>
    <w:div w:id="889076307">
      <w:bodyDiv w:val="1"/>
      <w:marLeft w:val="0"/>
      <w:marRight w:val="0"/>
      <w:marTop w:val="0"/>
      <w:marBottom w:val="0"/>
      <w:divBdr>
        <w:top w:val="none" w:sz="0" w:space="0" w:color="auto"/>
        <w:left w:val="none" w:sz="0" w:space="0" w:color="auto"/>
        <w:bottom w:val="none" w:sz="0" w:space="0" w:color="auto"/>
        <w:right w:val="none" w:sz="0" w:space="0" w:color="auto"/>
      </w:divBdr>
    </w:div>
    <w:div w:id="908074565">
      <w:bodyDiv w:val="1"/>
      <w:marLeft w:val="0"/>
      <w:marRight w:val="0"/>
      <w:marTop w:val="0"/>
      <w:marBottom w:val="0"/>
      <w:divBdr>
        <w:top w:val="none" w:sz="0" w:space="0" w:color="auto"/>
        <w:left w:val="none" w:sz="0" w:space="0" w:color="auto"/>
        <w:bottom w:val="none" w:sz="0" w:space="0" w:color="auto"/>
        <w:right w:val="none" w:sz="0" w:space="0" w:color="auto"/>
      </w:divBdr>
    </w:div>
    <w:div w:id="939408804">
      <w:bodyDiv w:val="1"/>
      <w:marLeft w:val="0"/>
      <w:marRight w:val="0"/>
      <w:marTop w:val="0"/>
      <w:marBottom w:val="0"/>
      <w:divBdr>
        <w:top w:val="none" w:sz="0" w:space="0" w:color="auto"/>
        <w:left w:val="none" w:sz="0" w:space="0" w:color="auto"/>
        <w:bottom w:val="none" w:sz="0" w:space="0" w:color="auto"/>
        <w:right w:val="none" w:sz="0" w:space="0" w:color="auto"/>
      </w:divBdr>
      <w:divsChild>
        <w:div w:id="1038705085">
          <w:marLeft w:val="0"/>
          <w:marRight w:val="0"/>
          <w:marTop w:val="100"/>
          <w:marBottom w:val="100"/>
          <w:divBdr>
            <w:top w:val="none" w:sz="0" w:space="0" w:color="auto"/>
            <w:left w:val="none" w:sz="0" w:space="0" w:color="auto"/>
            <w:bottom w:val="none" w:sz="0" w:space="0" w:color="auto"/>
            <w:right w:val="none" w:sz="0" w:space="0" w:color="auto"/>
          </w:divBdr>
          <w:divsChild>
            <w:div w:id="1086607480">
              <w:marLeft w:val="0"/>
              <w:marRight w:val="0"/>
              <w:marTop w:val="0"/>
              <w:marBottom w:val="0"/>
              <w:divBdr>
                <w:top w:val="none" w:sz="0" w:space="0" w:color="auto"/>
                <w:left w:val="none" w:sz="0" w:space="0" w:color="auto"/>
                <w:bottom w:val="none" w:sz="0" w:space="0" w:color="auto"/>
                <w:right w:val="none" w:sz="0" w:space="0" w:color="auto"/>
              </w:divBdr>
              <w:divsChild>
                <w:div w:id="1756588638">
                  <w:marLeft w:val="0"/>
                  <w:marRight w:val="0"/>
                  <w:marTop w:val="0"/>
                  <w:marBottom w:val="0"/>
                  <w:divBdr>
                    <w:top w:val="none" w:sz="0" w:space="0" w:color="auto"/>
                    <w:left w:val="none" w:sz="0" w:space="0" w:color="auto"/>
                    <w:bottom w:val="none" w:sz="0" w:space="0" w:color="auto"/>
                    <w:right w:val="none" w:sz="0" w:space="0" w:color="auto"/>
                  </w:divBdr>
                  <w:divsChild>
                    <w:div w:id="515266782">
                      <w:marLeft w:val="0"/>
                      <w:marRight w:val="0"/>
                      <w:marTop w:val="0"/>
                      <w:marBottom w:val="0"/>
                      <w:divBdr>
                        <w:top w:val="none" w:sz="0" w:space="0" w:color="auto"/>
                        <w:left w:val="none" w:sz="0" w:space="0" w:color="auto"/>
                        <w:bottom w:val="none" w:sz="0" w:space="0" w:color="auto"/>
                        <w:right w:val="none" w:sz="0" w:space="0" w:color="auto"/>
                      </w:divBdr>
                      <w:divsChild>
                        <w:div w:id="222328304">
                          <w:marLeft w:val="0"/>
                          <w:marRight w:val="0"/>
                          <w:marTop w:val="0"/>
                          <w:marBottom w:val="0"/>
                          <w:divBdr>
                            <w:top w:val="none" w:sz="0" w:space="0" w:color="auto"/>
                            <w:left w:val="none" w:sz="0" w:space="0" w:color="auto"/>
                            <w:bottom w:val="none" w:sz="0" w:space="0" w:color="auto"/>
                            <w:right w:val="none" w:sz="0" w:space="0" w:color="auto"/>
                          </w:divBdr>
                          <w:divsChild>
                            <w:div w:id="1391269466">
                              <w:marLeft w:val="0"/>
                              <w:marRight w:val="0"/>
                              <w:marTop w:val="0"/>
                              <w:marBottom w:val="0"/>
                              <w:divBdr>
                                <w:top w:val="none" w:sz="0" w:space="0" w:color="auto"/>
                                <w:left w:val="none" w:sz="0" w:space="0" w:color="auto"/>
                                <w:bottom w:val="none" w:sz="0" w:space="0" w:color="auto"/>
                                <w:right w:val="none" w:sz="0" w:space="0" w:color="auto"/>
                              </w:divBdr>
                              <w:divsChild>
                                <w:div w:id="15127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883291">
          <w:marLeft w:val="0"/>
          <w:marRight w:val="0"/>
          <w:marTop w:val="100"/>
          <w:marBottom w:val="100"/>
          <w:divBdr>
            <w:top w:val="none" w:sz="0" w:space="0" w:color="auto"/>
            <w:left w:val="none" w:sz="0" w:space="0" w:color="auto"/>
            <w:bottom w:val="none" w:sz="0" w:space="0" w:color="auto"/>
            <w:right w:val="none" w:sz="0" w:space="0" w:color="auto"/>
          </w:divBdr>
          <w:divsChild>
            <w:div w:id="1528567691">
              <w:marLeft w:val="0"/>
              <w:marRight w:val="0"/>
              <w:marTop w:val="0"/>
              <w:marBottom w:val="0"/>
              <w:divBdr>
                <w:top w:val="none" w:sz="0" w:space="0" w:color="auto"/>
                <w:left w:val="none" w:sz="0" w:space="0" w:color="auto"/>
                <w:bottom w:val="none" w:sz="0" w:space="0" w:color="auto"/>
                <w:right w:val="none" w:sz="0" w:space="0" w:color="auto"/>
              </w:divBdr>
              <w:divsChild>
                <w:div w:id="1481337856">
                  <w:marLeft w:val="0"/>
                  <w:marRight w:val="0"/>
                  <w:marTop w:val="0"/>
                  <w:marBottom w:val="0"/>
                  <w:divBdr>
                    <w:top w:val="none" w:sz="0" w:space="0" w:color="auto"/>
                    <w:left w:val="none" w:sz="0" w:space="0" w:color="auto"/>
                    <w:bottom w:val="none" w:sz="0" w:space="0" w:color="auto"/>
                    <w:right w:val="none" w:sz="0" w:space="0" w:color="auto"/>
                  </w:divBdr>
                  <w:divsChild>
                    <w:div w:id="1260212692">
                      <w:marLeft w:val="0"/>
                      <w:marRight w:val="0"/>
                      <w:marTop w:val="0"/>
                      <w:marBottom w:val="0"/>
                      <w:divBdr>
                        <w:top w:val="none" w:sz="0" w:space="0" w:color="auto"/>
                        <w:left w:val="none" w:sz="0" w:space="0" w:color="auto"/>
                        <w:bottom w:val="none" w:sz="0" w:space="0" w:color="auto"/>
                        <w:right w:val="none" w:sz="0" w:space="0" w:color="auto"/>
                      </w:divBdr>
                      <w:divsChild>
                        <w:div w:id="1872645971">
                          <w:marLeft w:val="0"/>
                          <w:marRight w:val="0"/>
                          <w:marTop w:val="0"/>
                          <w:marBottom w:val="0"/>
                          <w:divBdr>
                            <w:top w:val="none" w:sz="0" w:space="0" w:color="auto"/>
                            <w:left w:val="none" w:sz="0" w:space="0" w:color="auto"/>
                            <w:bottom w:val="none" w:sz="0" w:space="0" w:color="auto"/>
                            <w:right w:val="none" w:sz="0" w:space="0" w:color="auto"/>
                          </w:divBdr>
                          <w:divsChild>
                            <w:div w:id="15674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978941">
          <w:marLeft w:val="0"/>
          <w:marRight w:val="0"/>
          <w:marTop w:val="100"/>
          <w:marBottom w:val="100"/>
          <w:divBdr>
            <w:top w:val="none" w:sz="0" w:space="0" w:color="auto"/>
            <w:left w:val="none" w:sz="0" w:space="0" w:color="auto"/>
            <w:bottom w:val="none" w:sz="0" w:space="0" w:color="auto"/>
            <w:right w:val="none" w:sz="0" w:space="0" w:color="auto"/>
          </w:divBdr>
          <w:divsChild>
            <w:div w:id="569735164">
              <w:marLeft w:val="0"/>
              <w:marRight w:val="0"/>
              <w:marTop w:val="0"/>
              <w:marBottom w:val="0"/>
              <w:divBdr>
                <w:top w:val="none" w:sz="0" w:space="0" w:color="auto"/>
                <w:left w:val="none" w:sz="0" w:space="0" w:color="auto"/>
                <w:bottom w:val="none" w:sz="0" w:space="0" w:color="auto"/>
                <w:right w:val="none" w:sz="0" w:space="0" w:color="auto"/>
              </w:divBdr>
              <w:divsChild>
                <w:div w:id="1439451172">
                  <w:marLeft w:val="0"/>
                  <w:marRight w:val="0"/>
                  <w:marTop w:val="0"/>
                  <w:marBottom w:val="0"/>
                  <w:divBdr>
                    <w:top w:val="none" w:sz="0" w:space="0" w:color="auto"/>
                    <w:left w:val="none" w:sz="0" w:space="0" w:color="auto"/>
                    <w:bottom w:val="none" w:sz="0" w:space="0" w:color="auto"/>
                    <w:right w:val="none" w:sz="0" w:space="0" w:color="auto"/>
                  </w:divBdr>
                  <w:divsChild>
                    <w:div w:id="1509247577">
                      <w:marLeft w:val="0"/>
                      <w:marRight w:val="0"/>
                      <w:marTop w:val="0"/>
                      <w:marBottom w:val="0"/>
                      <w:divBdr>
                        <w:top w:val="none" w:sz="0" w:space="0" w:color="auto"/>
                        <w:left w:val="none" w:sz="0" w:space="0" w:color="auto"/>
                        <w:bottom w:val="none" w:sz="0" w:space="0" w:color="auto"/>
                        <w:right w:val="none" w:sz="0" w:space="0" w:color="auto"/>
                      </w:divBdr>
                      <w:divsChild>
                        <w:div w:id="2021665487">
                          <w:marLeft w:val="0"/>
                          <w:marRight w:val="0"/>
                          <w:marTop w:val="0"/>
                          <w:marBottom w:val="0"/>
                          <w:divBdr>
                            <w:top w:val="none" w:sz="0" w:space="0" w:color="auto"/>
                            <w:left w:val="none" w:sz="0" w:space="0" w:color="auto"/>
                            <w:bottom w:val="none" w:sz="0" w:space="0" w:color="auto"/>
                            <w:right w:val="none" w:sz="0" w:space="0" w:color="auto"/>
                          </w:divBdr>
                          <w:divsChild>
                            <w:div w:id="534194939">
                              <w:marLeft w:val="0"/>
                              <w:marRight w:val="0"/>
                              <w:marTop w:val="0"/>
                              <w:marBottom w:val="0"/>
                              <w:divBdr>
                                <w:top w:val="none" w:sz="0" w:space="0" w:color="auto"/>
                                <w:left w:val="none" w:sz="0" w:space="0" w:color="auto"/>
                                <w:bottom w:val="none" w:sz="0" w:space="0" w:color="auto"/>
                                <w:right w:val="none" w:sz="0" w:space="0" w:color="auto"/>
                              </w:divBdr>
                              <w:divsChild>
                                <w:div w:id="17269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781">
          <w:marLeft w:val="0"/>
          <w:marRight w:val="0"/>
          <w:marTop w:val="100"/>
          <w:marBottom w:val="100"/>
          <w:divBdr>
            <w:top w:val="none" w:sz="0" w:space="0" w:color="auto"/>
            <w:left w:val="none" w:sz="0" w:space="0" w:color="auto"/>
            <w:bottom w:val="none" w:sz="0" w:space="0" w:color="auto"/>
            <w:right w:val="none" w:sz="0" w:space="0" w:color="auto"/>
          </w:divBdr>
          <w:divsChild>
            <w:div w:id="1076974767">
              <w:marLeft w:val="0"/>
              <w:marRight w:val="0"/>
              <w:marTop w:val="0"/>
              <w:marBottom w:val="0"/>
              <w:divBdr>
                <w:top w:val="none" w:sz="0" w:space="0" w:color="auto"/>
                <w:left w:val="none" w:sz="0" w:space="0" w:color="auto"/>
                <w:bottom w:val="none" w:sz="0" w:space="0" w:color="auto"/>
                <w:right w:val="none" w:sz="0" w:space="0" w:color="auto"/>
              </w:divBdr>
              <w:divsChild>
                <w:div w:id="797260702">
                  <w:marLeft w:val="0"/>
                  <w:marRight w:val="0"/>
                  <w:marTop w:val="0"/>
                  <w:marBottom w:val="0"/>
                  <w:divBdr>
                    <w:top w:val="none" w:sz="0" w:space="0" w:color="auto"/>
                    <w:left w:val="none" w:sz="0" w:space="0" w:color="auto"/>
                    <w:bottom w:val="none" w:sz="0" w:space="0" w:color="auto"/>
                    <w:right w:val="none" w:sz="0" w:space="0" w:color="auto"/>
                  </w:divBdr>
                  <w:divsChild>
                    <w:div w:id="1395811870">
                      <w:marLeft w:val="0"/>
                      <w:marRight w:val="0"/>
                      <w:marTop w:val="0"/>
                      <w:marBottom w:val="0"/>
                      <w:divBdr>
                        <w:top w:val="none" w:sz="0" w:space="0" w:color="auto"/>
                        <w:left w:val="none" w:sz="0" w:space="0" w:color="auto"/>
                        <w:bottom w:val="none" w:sz="0" w:space="0" w:color="auto"/>
                        <w:right w:val="none" w:sz="0" w:space="0" w:color="auto"/>
                      </w:divBdr>
                      <w:divsChild>
                        <w:div w:id="1650013116">
                          <w:marLeft w:val="0"/>
                          <w:marRight w:val="0"/>
                          <w:marTop w:val="0"/>
                          <w:marBottom w:val="0"/>
                          <w:divBdr>
                            <w:top w:val="none" w:sz="0" w:space="0" w:color="auto"/>
                            <w:left w:val="none" w:sz="0" w:space="0" w:color="auto"/>
                            <w:bottom w:val="none" w:sz="0" w:space="0" w:color="auto"/>
                            <w:right w:val="none" w:sz="0" w:space="0" w:color="auto"/>
                          </w:divBdr>
                          <w:divsChild>
                            <w:div w:id="18546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718196">
          <w:marLeft w:val="0"/>
          <w:marRight w:val="0"/>
          <w:marTop w:val="100"/>
          <w:marBottom w:val="100"/>
          <w:divBdr>
            <w:top w:val="none" w:sz="0" w:space="0" w:color="auto"/>
            <w:left w:val="none" w:sz="0" w:space="0" w:color="auto"/>
            <w:bottom w:val="none" w:sz="0" w:space="0" w:color="auto"/>
            <w:right w:val="none" w:sz="0" w:space="0" w:color="auto"/>
          </w:divBdr>
          <w:divsChild>
            <w:div w:id="860356784">
              <w:marLeft w:val="0"/>
              <w:marRight w:val="0"/>
              <w:marTop w:val="0"/>
              <w:marBottom w:val="0"/>
              <w:divBdr>
                <w:top w:val="none" w:sz="0" w:space="0" w:color="auto"/>
                <w:left w:val="none" w:sz="0" w:space="0" w:color="auto"/>
                <w:bottom w:val="none" w:sz="0" w:space="0" w:color="auto"/>
                <w:right w:val="none" w:sz="0" w:space="0" w:color="auto"/>
              </w:divBdr>
              <w:divsChild>
                <w:div w:id="1430814300">
                  <w:marLeft w:val="0"/>
                  <w:marRight w:val="0"/>
                  <w:marTop w:val="0"/>
                  <w:marBottom w:val="0"/>
                  <w:divBdr>
                    <w:top w:val="none" w:sz="0" w:space="0" w:color="auto"/>
                    <w:left w:val="none" w:sz="0" w:space="0" w:color="auto"/>
                    <w:bottom w:val="none" w:sz="0" w:space="0" w:color="auto"/>
                    <w:right w:val="none" w:sz="0" w:space="0" w:color="auto"/>
                  </w:divBdr>
                  <w:divsChild>
                    <w:div w:id="248739837">
                      <w:marLeft w:val="0"/>
                      <w:marRight w:val="0"/>
                      <w:marTop w:val="0"/>
                      <w:marBottom w:val="0"/>
                      <w:divBdr>
                        <w:top w:val="none" w:sz="0" w:space="0" w:color="auto"/>
                        <w:left w:val="none" w:sz="0" w:space="0" w:color="auto"/>
                        <w:bottom w:val="none" w:sz="0" w:space="0" w:color="auto"/>
                        <w:right w:val="none" w:sz="0" w:space="0" w:color="auto"/>
                      </w:divBdr>
                      <w:divsChild>
                        <w:div w:id="1729455949">
                          <w:marLeft w:val="0"/>
                          <w:marRight w:val="0"/>
                          <w:marTop w:val="0"/>
                          <w:marBottom w:val="0"/>
                          <w:divBdr>
                            <w:top w:val="none" w:sz="0" w:space="0" w:color="auto"/>
                            <w:left w:val="none" w:sz="0" w:space="0" w:color="auto"/>
                            <w:bottom w:val="none" w:sz="0" w:space="0" w:color="auto"/>
                            <w:right w:val="none" w:sz="0" w:space="0" w:color="auto"/>
                          </w:divBdr>
                          <w:divsChild>
                            <w:div w:id="2045279186">
                              <w:marLeft w:val="0"/>
                              <w:marRight w:val="0"/>
                              <w:marTop w:val="0"/>
                              <w:marBottom w:val="0"/>
                              <w:divBdr>
                                <w:top w:val="none" w:sz="0" w:space="0" w:color="auto"/>
                                <w:left w:val="none" w:sz="0" w:space="0" w:color="auto"/>
                                <w:bottom w:val="none" w:sz="0" w:space="0" w:color="auto"/>
                                <w:right w:val="none" w:sz="0" w:space="0" w:color="auto"/>
                              </w:divBdr>
                              <w:divsChild>
                                <w:div w:id="207893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637671">
          <w:marLeft w:val="0"/>
          <w:marRight w:val="0"/>
          <w:marTop w:val="100"/>
          <w:marBottom w:val="100"/>
          <w:divBdr>
            <w:top w:val="none" w:sz="0" w:space="0" w:color="auto"/>
            <w:left w:val="none" w:sz="0" w:space="0" w:color="auto"/>
            <w:bottom w:val="none" w:sz="0" w:space="0" w:color="auto"/>
            <w:right w:val="none" w:sz="0" w:space="0" w:color="auto"/>
          </w:divBdr>
          <w:divsChild>
            <w:div w:id="1188561997">
              <w:marLeft w:val="0"/>
              <w:marRight w:val="0"/>
              <w:marTop w:val="0"/>
              <w:marBottom w:val="0"/>
              <w:divBdr>
                <w:top w:val="none" w:sz="0" w:space="0" w:color="auto"/>
                <w:left w:val="none" w:sz="0" w:space="0" w:color="auto"/>
                <w:bottom w:val="none" w:sz="0" w:space="0" w:color="auto"/>
                <w:right w:val="none" w:sz="0" w:space="0" w:color="auto"/>
              </w:divBdr>
              <w:divsChild>
                <w:div w:id="1697269773">
                  <w:marLeft w:val="0"/>
                  <w:marRight w:val="0"/>
                  <w:marTop w:val="0"/>
                  <w:marBottom w:val="0"/>
                  <w:divBdr>
                    <w:top w:val="none" w:sz="0" w:space="0" w:color="auto"/>
                    <w:left w:val="none" w:sz="0" w:space="0" w:color="auto"/>
                    <w:bottom w:val="none" w:sz="0" w:space="0" w:color="auto"/>
                    <w:right w:val="none" w:sz="0" w:space="0" w:color="auto"/>
                  </w:divBdr>
                  <w:divsChild>
                    <w:div w:id="1153911913">
                      <w:marLeft w:val="0"/>
                      <w:marRight w:val="0"/>
                      <w:marTop w:val="0"/>
                      <w:marBottom w:val="0"/>
                      <w:divBdr>
                        <w:top w:val="none" w:sz="0" w:space="0" w:color="auto"/>
                        <w:left w:val="none" w:sz="0" w:space="0" w:color="auto"/>
                        <w:bottom w:val="none" w:sz="0" w:space="0" w:color="auto"/>
                        <w:right w:val="none" w:sz="0" w:space="0" w:color="auto"/>
                      </w:divBdr>
                      <w:divsChild>
                        <w:div w:id="1031877984">
                          <w:marLeft w:val="0"/>
                          <w:marRight w:val="0"/>
                          <w:marTop w:val="0"/>
                          <w:marBottom w:val="0"/>
                          <w:divBdr>
                            <w:top w:val="none" w:sz="0" w:space="0" w:color="auto"/>
                            <w:left w:val="none" w:sz="0" w:space="0" w:color="auto"/>
                            <w:bottom w:val="none" w:sz="0" w:space="0" w:color="auto"/>
                            <w:right w:val="none" w:sz="0" w:space="0" w:color="auto"/>
                          </w:divBdr>
                          <w:divsChild>
                            <w:div w:id="16693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4957">
          <w:marLeft w:val="0"/>
          <w:marRight w:val="0"/>
          <w:marTop w:val="100"/>
          <w:marBottom w:val="100"/>
          <w:divBdr>
            <w:top w:val="none" w:sz="0" w:space="0" w:color="auto"/>
            <w:left w:val="none" w:sz="0" w:space="0" w:color="auto"/>
            <w:bottom w:val="none" w:sz="0" w:space="0" w:color="auto"/>
            <w:right w:val="none" w:sz="0" w:space="0" w:color="auto"/>
          </w:divBdr>
          <w:divsChild>
            <w:div w:id="846020662">
              <w:marLeft w:val="0"/>
              <w:marRight w:val="0"/>
              <w:marTop w:val="0"/>
              <w:marBottom w:val="0"/>
              <w:divBdr>
                <w:top w:val="none" w:sz="0" w:space="0" w:color="auto"/>
                <w:left w:val="none" w:sz="0" w:space="0" w:color="auto"/>
                <w:bottom w:val="none" w:sz="0" w:space="0" w:color="auto"/>
                <w:right w:val="none" w:sz="0" w:space="0" w:color="auto"/>
              </w:divBdr>
              <w:divsChild>
                <w:div w:id="453207469">
                  <w:marLeft w:val="0"/>
                  <w:marRight w:val="0"/>
                  <w:marTop w:val="0"/>
                  <w:marBottom w:val="0"/>
                  <w:divBdr>
                    <w:top w:val="none" w:sz="0" w:space="0" w:color="auto"/>
                    <w:left w:val="none" w:sz="0" w:space="0" w:color="auto"/>
                    <w:bottom w:val="none" w:sz="0" w:space="0" w:color="auto"/>
                    <w:right w:val="none" w:sz="0" w:space="0" w:color="auto"/>
                  </w:divBdr>
                  <w:divsChild>
                    <w:div w:id="1531332193">
                      <w:marLeft w:val="0"/>
                      <w:marRight w:val="0"/>
                      <w:marTop w:val="0"/>
                      <w:marBottom w:val="0"/>
                      <w:divBdr>
                        <w:top w:val="none" w:sz="0" w:space="0" w:color="auto"/>
                        <w:left w:val="none" w:sz="0" w:space="0" w:color="auto"/>
                        <w:bottom w:val="none" w:sz="0" w:space="0" w:color="auto"/>
                        <w:right w:val="none" w:sz="0" w:space="0" w:color="auto"/>
                      </w:divBdr>
                      <w:divsChild>
                        <w:div w:id="1879777525">
                          <w:marLeft w:val="0"/>
                          <w:marRight w:val="0"/>
                          <w:marTop w:val="0"/>
                          <w:marBottom w:val="0"/>
                          <w:divBdr>
                            <w:top w:val="none" w:sz="0" w:space="0" w:color="auto"/>
                            <w:left w:val="none" w:sz="0" w:space="0" w:color="auto"/>
                            <w:bottom w:val="none" w:sz="0" w:space="0" w:color="auto"/>
                            <w:right w:val="none" w:sz="0" w:space="0" w:color="auto"/>
                          </w:divBdr>
                          <w:divsChild>
                            <w:div w:id="1755082816">
                              <w:marLeft w:val="0"/>
                              <w:marRight w:val="0"/>
                              <w:marTop w:val="0"/>
                              <w:marBottom w:val="0"/>
                              <w:divBdr>
                                <w:top w:val="none" w:sz="0" w:space="0" w:color="auto"/>
                                <w:left w:val="none" w:sz="0" w:space="0" w:color="auto"/>
                                <w:bottom w:val="none" w:sz="0" w:space="0" w:color="auto"/>
                                <w:right w:val="none" w:sz="0" w:space="0" w:color="auto"/>
                              </w:divBdr>
                              <w:divsChild>
                                <w:div w:id="123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778033">
          <w:marLeft w:val="0"/>
          <w:marRight w:val="0"/>
          <w:marTop w:val="100"/>
          <w:marBottom w:val="100"/>
          <w:divBdr>
            <w:top w:val="none" w:sz="0" w:space="0" w:color="auto"/>
            <w:left w:val="none" w:sz="0" w:space="0" w:color="auto"/>
            <w:bottom w:val="none" w:sz="0" w:space="0" w:color="auto"/>
            <w:right w:val="none" w:sz="0" w:space="0" w:color="auto"/>
          </w:divBdr>
          <w:divsChild>
            <w:div w:id="804081507">
              <w:marLeft w:val="0"/>
              <w:marRight w:val="0"/>
              <w:marTop w:val="0"/>
              <w:marBottom w:val="0"/>
              <w:divBdr>
                <w:top w:val="none" w:sz="0" w:space="0" w:color="auto"/>
                <w:left w:val="none" w:sz="0" w:space="0" w:color="auto"/>
                <w:bottom w:val="none" w:sz="0" w:space="0" w:color="auto"/>
                <w:right w:val="none" w:sz="0" w:space="0" w:color="auto"/>
              </w:divBdr>
              <w:divsChild>
                <w:div w:id="636375234">
                  <w:marLeft w:val="0"/>
                  <w:marRight w:val="0"/>
                  <w:marTop w:val="0"/>
                  <w:marBottom w:val="0"/>
                  <w:divBdr>
                    <w:top w:val="none" w:sz="0" w:space="0" w:color="auto"/>
                    <w:left w:val="none" w:sz="0" w:space="0" w:color="auto"/>
                    <w:bottom w:val="none" w:sz="0" w:space="0" w:color="auto"/>
                    <w:right w:val="none" w:sz="0" w:space="0" w:color="auto"/>
                  </w:divBdr>
                  <w:divsChild>
                    <w:div w:id="1197042216">
                      <w:marLeft w:val="0"/>
                      <w:marRight w:val="0"/>
                      <w:marTop w:val="0"/>
                      <w:marBottom w:val="0"/>
                      <w:divBdr>
                        <w:top w:val="none" w:sz="0" w:space="0" w:color="auto"/>
                        <w:left w:val="none" w:sz="0" w:space="0" w:color="auto"/>
                        <w:bottom w:val="none" w:sz="0" w:space="0" w:color="auto"/>
                        <w:right w:val="none" w:sz="0" w:space="0" w:color="auto"/>
                      </w:divBdr>
                      <w:divsChild>
                        <w:div w:id="1259484389">
                          <w:marLeft w:val="0"/>
                          <w:marRight w:val="0"/>
                          <w:marTop w:val="0"/>
                          <w:marBottom w:val="0"/>
                          <w:divBdr>
                            <w:top w:val="none" w:sz="0" w:space="0" w:color="auto"/>
                            <w:left w:val="none" w:sz="0" w:space="0" w:color="auto"/>
                            <w:bottom w:val="none" w:sz="0" w:space="0" w:color="auto"/>
                            <w:right w:val="none" w:sz="0" w:space="0" w:color="auto"/>
                          </w:divBdr>
                          <w:divsChild>
                            <w:div w:id="2950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614893">
          <w:marLeft w:val="0"/>
          <w:marRight w:val="0"/>
          <w:marTop w:val="100"/>
          <w:marBottom w:val="100"/>
          <w:divBdr>
            <w:top w:val="none" w:sz="0" w:space="0" w:color="auto"/>
            <w:left w:val="none" w:sz="0" w:space="0" w:color="auto"/>
            <w:bottom w:val="none" w:sz="0" w:space="0" w:color="auto"/>
            <w:right w:val="none" w:sz="0" w:space="0" w:color="auto"/>
          </w:divBdr>
          <w:divsChild>
            <w:div w:id="1495414946">
              <w:marLeft w:val="0"/>
              <w:marRight w:val="0"/>
              <w:marTop w:val="0"/>
              <w:marBottom w:val="0"/>
              <w:divBdr>
                <w:top w:val="none" w:sz="0" w:space="0" w:color="auto"/>
                <w:left w:val="none" w:sz="0" w:space="0" w:color="auto"/>
                <w:bottom w:val="none" w:sz="0" w:space="0" w:color="auto"/>
                <w:right w:val="none" w:sz="0" w:space="0" w:color="auto"/>
              </w:divBdr>
              <w:divsChild>
                <w:div w:id="2130463681">
                  <w:marLeft w:val="0"/>
                  <w:marRight w:val="0"/>
                  <w:marTop w:val="0"/>
                  <w:marBottom w:val="0"/>
                  <w:divBdr>
                    <w:top w:val="none" w:sz="0" w:space="0" w:color="auto"/>
                    <w:left w:val="none" w:sz="0" w:space="0" w:color="auto"/>
                    <w:bottom w:val="none" w:sz="0" w:space="0" w:color="auto"/>
                    <w:right w:val="none" w:sz="0" w:space="0" w:color="auto"/>
                  </w:divBdr>
                  <w:divsChild>
                    <w:div w:id="1418212432">
                      <w:marLeft w:val="0"/>
                      <w:marRight w:val="0"/>
                      <w:marTop w:val="0"/>
                      <w:marBottom w:val="0"/>
                      <w:divBdr>
                        <w:top w:val="none" w:sz="0" w:space="0" w:color="auto"/>
                        <w:left w:val="none" w:sz="0" w:space="0" w:color="auto"/>
                        <w:bottom w:val="none" w:sz="0" w:space="0" w:color="auto"/>
                        <w:right w:val="none" w:sz="0" w:space="0" w:color="auto"/>
                      </w:divBdr>
                      <w:divsChild>
                        <w:div w:id="2114278241">
                          <w:marLeft w:val="0"/>
                          <w:marRight w:val="0"/>
                          <w:marTop w:val="0"/>
                          <w:marBottom w:val="0"/>
                          <w:divBdr>
                            <w:top w:val="none" w:sz="0" w:space="0" w:color="auto"/>
                            <w:left w:val="none" w:sz="0" w:space="0" w:color="auto"/>
                            <w:bottom w:val="none" w:sz="0" w:space="0" w:color="auto"/>
                            <w:right w:val="none" w:sz="0" w:space="0" w:color="auto"/>
                          </w:divBdr>
                          <w:divsChild>
                            <w:div w:id="564099194">
                              <w:marLeft w:val="0"/>
                              <w:marRight w:val="0"/>
                              <w:marTop w:val="0"/>
                              <w:marBottom w:val="0"/>
                              <w:divBdr>
                                <w:top w:val="none" w:sz="0" w:space="0" w:color="auto"/>
                                <w:left w:val="none" w:sz="0" w:space="0" w:color="auto"/>
                                <w:bottom w:val="none" w:sz="0" w:space="0" w:color="auto"/>
                                <w:right w:val="none" w:sz="0" w:space="0" w:color="auto"/>
                              </w:divBdr>
                              <w:divsChild>
                                <w:div w:id="110056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314469">
          <w:marLeft w:val="0"/>
          <w:marRight w:val="0"/>
          <w:marTop w:val="100"/>
          <w:marBottom w:val="100"/>
          <w:divBdr>
            <w:top w:val="none" w:sz="0" w:space="0" w:color="auto"/>
            <w:left w:val="none" w:sz="0" w:space="0" w:color="auto"/>
            <w:bottom w:val="none" w:sz="0" w:space="0" w:color="auto"/>
            <w:right w:val="none" w:sz="0" w:space="0" w:color="auto"/>
          </w:divBdr>
          <w:divsChild>
            <w:div w:id="489758024">
              <w:marLeft w:val="0"/>
              <w:marRight w:val="0"/>
              <w:marTop w:val="0"/>
              <w:marBottom w:val="0"/>
              <w:divBdr>
                <w:top w:val="none" w:sz="0" w:space="0" w:color="auto"/>
                <w:left w:val="none" w:sz="0" w:space="0" w:color="auto"/>
                <w:bottom w:val="none" w:sz="0" w:space="0" w:color="auto"/>
                <w:right w:val="none" w:sz="0" w:space="0" w:color="auto"/>
              </w:divBdr>
              <w:divsChild>
                <w:div w:id="522791513">
                  <w:marLeft w:val="0"/>
                  <w:marRight w:val="0"/>
                  <w:marTop w:val="0"/>
                  <w:marBottom w:val="0"/>
                  <w:divBdr>
                    <w:top w:val="none" w:sz="0" w:space="0" w:color="auto"/>
                    <w:left w:val="none" w:sz="0" w:space="0" w:color="auto"/>
                    <w:bottom w:val="none" w:sz="0" w:space="0" w:color="auto"/>
                    <w:right w:val="none" w:sz="0" w:space="0" w:color="auto"/>
                  </w:divBdr>
                  <w:divsChild>
                    <w:div w:id="209073173">
                      <w:marLeft w:val="0"/>
                      <w:marRight w:val="0"/>
                      <w:marTop w:val="0"/>
                      <w:marBottom w:val="0"/>
                      <w:divBdr>
                        <w:top w:val="none" w:sz="0" w:space="0" w:color="auto"/>
                        <w:left w:val="none" w:sz="0" w:space="0" w:color="auto"/>
                        <w:bottom w:val="none" w:sz="0" w:space="0" w:color="auto"/>
                        <w:right w:val="none" w:sz="0" w:space="0" w:color="auto"/>
                      </w:divBdr>
                      <w:divsChild>
                        <w:div w:id="929390812">
                          <w:marLeft w:val="0"/>
                          <w:marRight w:val="0"/>
                          <w:marTop w:val="0"/>
                          <w:marBottom w:val="0"/>
                          <w:divBdr>
                            <w:top w:val="none" w:sz="0" w:space="0" w:color="auto"/>
                            <w:left w:val="none" w:sz="0" w:space="0" w:color="auto"/>
                            <w:bottom w:val="none" w:sz="0" w:space="0" w:color="auto"/>
                            <w:right w:val="none" w:sz="0" w:space="0" w:color="auto"/>
                          </w:divBdr>
                          <w:divsChild>
                            <w:div w:id="68533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060407">
          <w:marLeft w:val="0"/>
          <w:marRight w:val="0"/>
          <w:marTop w:val="100"/>
          <w:marBottom w:val="100"/>
          <w:divBdr>
            <w:top w:val="none" w:sz="0" w:space="0" w:color="auto"/>
            <w:left w:val="none" w:sz="0" w:space="0" w:color="auto"/>
            <w:bottom w:val="none" w:sz="0" w:space="0" w:color="auto"/>
            <w:right w:val="none" w:sz="0" w:space="0" w:color="auto"/>
          </w:divBdr>
          <w:divsChild>
            <w:div w:id="1416629622">
              <w:marLeft w:val="0"/>
              <w:marRight w:val="0"/>
              <w:marTop w:val="0"/>
              <w:marBottom w:val="0"/>
              <w:divBdr>
                <w:top w:val="none" w:sz="0" w:space="0" w:color="auto"/>
                <w:left w:val="none" w:sz="0" w:space="0" w:color="auto"/>
                <w:bottom w:val="none" w:sz="0" w:space="0" w:color="auto"/>
                <w:right w:val="none" w:sz="0" w:space="0" w:color="auto"/>
              </w:divBdr>
              <w:divsChild>
                <w:div w:id="522943439">
                  <w:marLeft w:val="0"/>
                  <w:marRight w:val="0"/>
                  <w:marTop w:val="0"/>
                  <w:marBottom w:val="0"/>
                  <w:divBdr>
                    <w:top w:val="none" w:sz="0" w:space="0" w:color="auto"/>
                    <w:left w:val="none" w:sz="0" w:space="0" w:color="auto"/>
                    <w:bottom w:val="none" w:sz="0" w:space="0" w:color="auto"/>
                    <w:right w:val="none" w:sz="0" w:space="0" w:color="auto"/>
                  </w:divBdr>
                  <w:divsChild>
                    <w:div w:id="792283936">
                      <w:marLeft w:val="0"/>
                      <w:marRight w:val="0"/>
                      <w:marTop w:val="0"/>
                      <w:marBottom w:val="0"/>
                      <w:divBdr>
                        <w:top w:val="none" w:sz="0" w:space="0" w:color="auto"/>
                        <w:left w:val="none" w:sz="0" w:space="0" w:color="auto"/>
                        <w:bottom w:val="none" w:sz="0" w:space="0" w:color="auto"/>
                        <w:right w:val="none" w:sz="0" w:space="0" w:color="auto"/>
                      </w:divBdr>
                      <w:divsChild>
                        <w:div w:id="102960036">
                          <w:marLeft w:val="0"/>
                          <w:marRight w:val="0"/>
                          <w:marTop w:val="0"/>
                          <w:marBottom w:val="0"/>
                          <w:divBdr>
                            <w:top w:val="none" w:sz="0" w:space="0" w:color="auto"/>
                            <w:left w:val="none" w:sz="0" w:space="0" w:color="auto"/>
                            <w:bottom w:val="none" w:sz="0" w:space="0" w:color="auto"/>
                            <w:right w:val="none" w:sz="0" w:space="0" w:color="auto"/>
                          </w:divBdr>
                          <w:divsChild>
                            <w:div w:id="1530681674">
                              <w:marLeft w:val="0"/>
                              <w:marRight w:val="0"/>
                              <w:marTop w:val="0"/>
                              <w:marBottom w:val="0"/>
                              <w:divBdr>
                                <w:top w:val="none" w:sz="0" w:space="0" w:color="auto"/>
                                <w:left w:val="none" w:sz="0" w:space="0" w:color="auto"/>
                                <w:bottom w:val="none" w:sz="0" w:space="0" w:color="auto"/>
                                <w:right w:val="none" w:sz="0" w:space="0" w:color="auto"/>
                              </w:divBdr>
                              <w:divsChild>
                                <w:div w:id="16551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95335">
          <w:marLeft w:val="0"/>
          <w:marRight w:val="0"/>
          <w:marTop w:val="100"/>
          <w:marBottom w:val="100"/>
          <w:divBdr>
            <w:top w:val="none" w:sz="0" w:space="0" w:color="auto"/>
            <w:left w:val="none" w:sz="0" w:space="0" w:color="auto"/>
            <w:bottom w:val="none" w:sz="0" w:space="0" w:color="auto"/>
            <w:right w:val="none" w:sz="0" w:space="0" w:color="auto"/>
          </w:divBdr>
          <w:divsChild>
            <w:div w:id="403724076">
              <w:marLeft w:val="0"/>
              <w:marRight w:val="0"/>
              <w:marTop w:val="0"/>
              <w:marBottom w:val="0"/>
              <w:divBdr>
                <w:top w:val="none" w:sz="0" w:space="0" w:color="auto"/>
                <w:left w:val="none" w:sz="0" w:space="0" w:color="auto"/>
                <w:bottom w:val="none" w:sz="0" w:space="0" w:color="auto"/>
                <w:right w:val="none" w:sz="0" w:space="0" w:color="auto"/>
              </w:divBdr>
              <w:divsChild>
                <w:div w:id="1962179974">
                  <w:marLeft w:val="0"/>
                  <w:marRight w:val="0"/>
                  <w:marTop w:val="0"/>
                  <w:marBottom w:val="0"/>
                  <w:divBdr>
                    <w:top w:val="none" w:sz="0" w:space="0" w:color="auto"/>
                    <w:left w:val="none" w:sz="0" w:space="0" w:color="auto"/>
                    <w:bottom w:val="none" w:sz="0" w:space="0" w:color="auto"/>
                    <w:right w:val="none" w:sz="0" w:space="0" w:color="auto"/>
                  </w:divBdr>
                  <w:divsChild>
                    <w:div w:id="963274949">
                      <w:marLeft w:val="0"/>
                      <w:marRight w:val="0"/>
                      <w:marTop w:val="0"/>
                      <w:marBottom w:val="0"/>
                      <w:divBdr>
                        <w:top w:val="none" w:sz="0" w:space="0" w:color="auto"/>
                        <w:left w:val="none" w:sz="0" w:space="0" w:color="auto"/>
                        <w:bottom w:val="none" w:sz="0" w:space="0" w:color="auto"/>
                        <w:right w:val="none" w:sz="0" w:space="0" w:color="auto"/>
                      </w:divBdr>
                      <w:divsChild>
                        <w:div w:id="951325785">
                          <w:marLeft w:val="0"/>
                          <w:marRight w:val="0"/>
                          <w:marTop w:val="0"/>
                          <w:marBottom w:val="0"/>
                          <w:divBdr>
                            <w:top w:val="none" w:sz="0" w:space="0" w:color="auto"/>
                            <w:left w:val="none" w:sz="0" w:space="0" w:color="auto"/>
                            <w:bottom w:val="none" w:sz="0" w:space="0" w:color="auto"/>
                            <w:right w:val="none" w:sz="0" w:space="0" w:color="auto"/>
                          </w:divBdr>
                          <w:divsChild>
                            <w:div w:id="82801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92603">
          <w:marLeft w:val="0"/>
          <w:marRight w:val="0"/>
          <w:marTop w:val="100"/>
          <w:marBottom w:val="100"/>
          <w:divBdr>
            <w:top w:val="none" w:sz="0" w:space="0" w:color="auto"/>
            <w:left w:val="none" w:sz="0" w:space="0" w:color="auto"/>
            <w:bottom w:val="none" w:sz="0" w:space="0" w:color="auto"/>
            <w:right w:val="none" w:sz="0" w:space="0" w:color="auto"/>
          </w:divBdr>
          <w:divsChild>
            <w:div w:id="274479638">
              <w:marLeft w:val="0"/>
              <w:marRight w:val="0"/>
              <w:marTop w:val="0"/>
              <w:marBottom w:val="0"/>
              <w:divBdr>
                <w:top w:val="none" w:sz="0" w:space="0" w:color="auto"/>
                <w:left w:val="none" w:sz="0" w:space="0" w:color="auto"/>
                <w:bottom w:val="none" w:sz="0" w:space="0" w:color="auto"/>
                <w:right w:val="none" w:sz="0" w:space="0" w:color="auto"/>
              </w:divBdr>
              <w:divsChild>
                <w:div w:id="1052968807">
                  <w:marLeft w:val="0"/>
                  <w:marRight w:val="0"/>
                  <w:marTop w:val="0"/>
                  <w:marBottom w:val="0"/>
                  <w:divBdr>
                    <w:top w:val="none" w:sz="0" w:space="0" w:color="auto"/>
                    <w:left w:val="none" w:sz="0" w:space="0" w:color="auto"/>
                    <w:bottom w:val="none" w:sz="0" w:space="0" w:color="auto"/>
                    <w:right w:val="none" w:sz="0" w:space="0" w:color="auto"/>
                  </w:divBdr>
                  <w:divsChild>
                    <w:div w:id="167988094">
                      <w:marLeft w:val="0"/>
                      <w:marRight w:val="0"/>
                      <w:marTop w:val="0"/>
                      <w:marBottom w:val="0"/>
                      <w:divBdr>
                        <w:top w:val="none" w:sz="0" w:space="0" w:color="auto"/>
                        <w:left w:val="none" w:sz="0" w:space="0" w:color="auto"/>
                        <w:bottom w:val="none" w:sz="0" w:space="0" w:color="auto"/>
                        <w:right w:val="none" w:sz="0" w:space="0" w:color="auto"/>
                      </w:divBdr>
                      <w:divsChild>
                        <w:div w:id="1953433344">
                          <w:marLeft w:val="0"/>
                          <w:marRight w:val="0"/>
                          <w:marTop w:val="0"/>
                          <w:marBottom w:val="0"/>
                          <w:divBdr>
                            <w:top w:val="none" w:sz="0" w:space="0" w:color="auto"/>
                            <w:left w:val="none" w:sz="0" w:space="0" w:color="auto"/>
                            <w:bottom w:val="none" w:sz="0" w:space="0" w:color="auto"/>
                            <w:right w:val="none" w:sz="0" w:space="0" w:color="auto"/>
                          </w:divBdr>
                          <w:divsChild>
                            <w:div w:id="1972782144">
                              <w:marLeft w:val="0"/>
                              <w:marRight w:val="0"/>
                              <w:marTop w:val="0"/>
                              <w:marBottom w:val="0"/>
                              <w:divBdr>
                                <w:top w:val="none" w:sz="0" w:space="0" w:color="auto"/>
                                <w:left w:val="none" w:sz="0" w:space="0" w:color="auto"/>
                                <w:bottom w:val="none" w:sz="0" w:space="0" w:color="auto"/>
                                <w:right w:val="none" w:sz="0" w:space="0" w:color="auto"/>
                              </w:divBdr>
                              <w:divsChild>
                                <w:div w:id="1862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910467">
          <w:marLeft w:val="0"/>
          <w:marRight w:val="0"/>
          <w:marTop w:val="100"/>
          <w:marBottom w:val="100"/>
          <w:divBdr>
            <w:top w:val="none" w:sz="0" w:space="0" w:color="auto"/>
            <w:left w:val="none" w:sz="0" w:space="0" w:color="auto"/>
            <w:bottom w:val="none" w:sz="0" w:space="0" w:color="auto"/>
            <w:right w:val="none" w:sz="0" w:space="0" w:color="auto"/>
          </w:divBdr>
          <w:divsChild>
            <w:div w:id="293559882">
              <w:marLeft w:val="0"/>
              <w:marRight w:val="0"/>
              <w:marTop w:val="0"/>
              <w:marBottom w:val="0"/>
              <w:divBdr>
                <w:top w:val="none" w:sz="0" w:space="0" w:color="auto"/>
                <w:left w:val="none" w:sz="0" w:space="0" w:color="auto"/>
                <w:bottom w:val="none" w:sz="0" w:space="0" w:color="auto"/>
                <w:right w:val="none" w:sz="0" w:space="0" w:color="auto"/>
              </w:divBdr>
              <w:divsChild>
                <w:div w:id="419450399">
                  <w:marLeft w:val="0"/>
                  <w:marRight w:val="0"/>
                  <w:marTop w:val="0"/>
                  <w:marBottom w:val="0"/>
                  <w:divBdr>
                    <w:top w:val="none" w:sz="0" w:space="0" w:color="auto"/>
                    <w:left w:val="none" w:sz="0" w:space="0" w:color="auto"/>
                    <w:bottom w:val="none" w:sz="0" w:space="0" w:color="auto"/>
                    <w:right w:val="none" w:sz="0" w:space="0" w:color="auto"/>
                  </w:divBdr>
                  <w:divsChild>
                    <w:div w:id="193688358">
                      <w:marLeft w:val="0"/>
                      <w:marRight w:val="0"/>
                      <w:marTop w:val="0"/>
                      <w:marBottom w:val="0"/>
                      <w:divBdr>
                        <w:top w:val="none" w:sz="0" w:space="0" w:color="auto"/>
                        <w:left w:val="none" w:sz="0" w:space="0" w:color="auto"/>
                        <w:bottom w:val="none" w:sz="0" w:space="0" w:color="auto"/>
                        <w:right w:val="none" w:sz="0" w:space="0" w:color="auto"/>
                      </w:divBdr>
                      <w:divsChild>
                        <w:div w:id="991954751">
                          <w:marLeft w:val="0"/>
                          <w:marRight w:val="0"/>
                          <w:marTop w:val="0"/>
                          <w:marBottom w:val="0"/>
                          <w:divBdr>
                            <w:top w:val="none" w:sz="0" w:space="0" w:color="auto"/>
                            <w:left w:val="none" w:sz="0" w:space="0" w:color="auto"/>
                            <w:bottom w:val="none" w:sz="0" w:space="0" w:color="auto"/>
                            <w:right w:val="none" w:sz="0" w:space="0" w:color="auto"/>
                          </w:divBdr>
                          <w:divsChild>
                            <w:div w:id="15343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841408">
          <w:marLeft w:val="0"/>
          <w:marRight w:val="0"/>
          <w:marTop w:val="100"/>
          <w:marBottom w:val="100"/>
          <w:divBdr>
            <w:top w:val="none" w:sz="0" w:space="0" w:color="auto"/>
            <w:left w:val="none" w:sz="0" w:space="0" w:color="auto"/>
            <w:bottom w:val="none" w:sz="0" w:space="0" w:color="auto"/>
            <w:right w:val="none" w:sz="0" w:space="0" w:color="auto"/>
          </w:divBdr>
          <w:divsChild>
            <w:div w:id="792014274">
              <w:marLeft w:val="0"/>
              <w:marRight w:val="0"/>
              <w:marTop w:val="0"/>
              <w:marBottom w:val="0"/>
              <w:divBdr>
                <w:top w:val="none" w:sz="0" w:space="0" w:color="auto"/>
                <w:left w:val="none" w:sz="0" w:space="0" w:color="auto"/>
                <w:bottom w:val="none" w:sz="0" w:space="0" w:color="auto"/>
                <w:right w:val="none" w:sz="0" w:space="0" w:color="auto"/>
              </w:divBdr>
              <w:divsChild>
                <w:div w:id="1414424838">
                  <w:marLeft w:val="0"/>
                  <w:marRight w:val="0"/>
                  <w:marTop w:val="0"/>
                  <w:marBottom w:val="0"/>
                  <w:divBdr>
                    <w:top w:val="none" w:sz="0" w:space="0" w:color="auto"/>
                    <w:left w:val="none" w:sz="0" w:space="0" w:color="auto"/>
                    <w:bottom w:val="none" w:sz="0" w:space="0" w:color="auto"/>
                    <w:right w:val="none" w:sz="0" w:space="0" w:color="auto"/>
                  </w:divBdr>
                  <w:divsChild>
                    <w:div w:id="1426920285">
                      <w:marLeft w:val="0"/>
                      <w:marRight w:val="0"/>
                      <w:marTop w:val="0"/>
                      <w:marBottom w:val="0"/>
                      <w:divBdr>
                        <w:top w:val="none" w:sz="0" w:space="0" w:color="auto"/>
                        <w:left w:val="none" w:sz="0" w:space="0" w:color="auto"/>
                        <w:bottom w:val="none" w:sz="0" w:space="0" w:color="auto"/>
                        <w:right w:val="none" w:sz="0" w:space="0" w:color="auto"/>
                      </w:divBdr>
                      <w:divsChild>
                        <w:div w:id="2017880524">
                          <w:marLeft w:val="0"/>
                          <w:marRight w:val="0"/>
                          <w:marTop w:val="0"/>
                          <w:marBottom w:val="0"/>
                          <w:divBdr>
                            <w:top w:val="none" w:sz="0" w:space="0" w:color="auto"/>
                            <w:left w:val="none" w:sz="0" w:space="0" w:color="auto"/>
                            <w:bottom w:val="none" w:sz="0" w:space="0" w:color="auto"/>
                            <w:right w:val="none" w:sz="0" w:space="0" w:color="auto"/>
                          </w:divBdr>
                          <w:divsChild>
                            <w:div w:id="586579132">
                              <w:marLeft w:val="0"/>
                              <w:marRight w:val="0"/>
                              <w:marTop w:val="0"/>
                              <w:marBottom w:val="0"/>
                              <w:divBdr>
                                <w:top w:val="none" w:sz="0" w:space="0" w:color="auto"/>
                                <w:left w:val="none" w:sz="0" w:space="0" w:color="auto"/>
                                <w:bottom w:val="none" w:sz="0" w:space="0" w:color="auto"/>
                                <w:right w:val="none" w:sz="0" w:space="0" w:color="auto"/>
                              </w:divBdr>
                              <w:divsChild>
                                <w:div w:id="67110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187247">
          <w:marLeft w:val="0"/>
          <w:marRight w:val="0"/>
          <w:marTop w:val="100"/>
          <w:marBottom w:val="100"/>
          <w:divBdr>
            <w:top w:val="none" w:sz="0" w:space="0" w:color="auto"/>
            <w:left w:val="none" w:sz="0" w:space="0" w:color="auto"/>
            <w:bottom w:val="none" w:sz="0" w:space="0" w:color="auto"/>
            <w:right w:val="none" w:sz="0" w:space="0" w:color="auto"/>
          </w:divBdr>
          <w:divsChild>
            <w:div w:id="917977201">
              <w:marLeft w:val="0"/>
              <w:marRight w:val="0"/>
              <w:marTop w:val="0"/>
              <w:marBottom w:val="0"/>
              <w:divBdr>
                <w:top w:val="none" w:sz="0" w:space="0" w:color="auto"/>
                <w:left w:val="none" w:sz="0" w:space="0" w:color="auto"/>
                <w:bottom w:val="none" w:sz="0" w:space="0" w:color="auto"/>
                <w:right w:val="none" w:sz="0" w:space="0" w:color="auto"/>
              </w:divBdr>
              <w:divsChild>
                <w:div w:id="1330400586">
                  <w:marLeft w:val="0"/>
                  <w:marRight w:val="0"/>
                  <w:marTop w:val="0"/>
                  <w:marBottom w:val="0"/>
                  <w:divBdr>
                    <w:top w:val="none" w:sz="0" w:space="0" w:color="auto"/>
                    <w:left w:val="none" w:sz="0" w:space="0" w:color="auto"/>
                    <w:bottom w:val="none" w:sz="0" w:space="0" w:color="auto"/>
                    <w:right w:val="none" w:sz="0" w:space="0" w:color="auto"/>
                  </w:divBdr>
                  <w:divsChild>
                    <w:div w:id="96947237">
                      <w:marLeft w:val="0"/>
                      <w:marRight w:val="0"/>
                      <w:marTop w:val="0"/>
                      <w:marBottom w:val="0"/>
                      <w:divBdr>
                        <w:top w:val="none" w:sz="0" w:space="0" w:color="auto"/>
                        <w:left w:val="none" w:sz="0" w:space="0" w:color="auto"/>
                        <w:bottom w:val="none" w:sz="0" w:space="0" w:color="auto"/>
                        <w:right w:val="none" w:sz="0" w:space="0" w:color="auto"/>
                      </w:divBdr>
                      <w:divsChild>
                        <w:div w:id="166210286">
                          <w:marLeft w:val="0"/>
                          <w:marRight w:val="0"/>
                          <w:marTop w:val="0"/>
                          <w:marBottom w:val="0"/>
                          <w:divBdr>
                            <w:top w:val="none" w:sz="0" w:space="0" w:color="auto"/>
                            <w:left w:val="none" w:sz="0" w:space="0" w:color="auto"/>
                            <w:bottom w:val="none" w:sz="0" w:space="0" w:color="auto"/>
                            <w:right w:val="none" w:sz="0" w:space="0" w:color="auto"/>
                          </w:divBdr>
                          <w:divsChild>
                            <w:div w:id="17607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45223">
          <w:marLeft w:val="0"/>
          <w:marRight w:val="0"/>
          <w:marTop w:val="100"/>
          <w:marBottom w:val="100"/>
          <w:divBdr>
            <w:top w:val="none" w:sz="0" w:space="0" w:color="auto"/>
            <w:left w:val="none" w:sz="0" w:space="0" w:color="auto"/>
            <w:bottom w:val="none" w:sz="0" w:space="0" w:color="auto"/>
            <w:right w:val="none" w:sz="0" w:space="0" w:color="auto"/>
          </w:divBdr>
          <w:divsChild>
            <w:div w:id="1566991168">
              <w:marLeft w:val="0"/>
              <w:marRight w:val="0"/>
              <w:marTop w:val="0"/>
              <w:marBottom w:val="0"/>
              <w:divBdr>
                <w:top w:val="none" w:sz="0" w:space="0" w:color="auto"/>
                <w:left w:val="none" w:sz="0" w:space="0" w:color="auto"/>
                <w:bottom w:val="none" w:sz="0" w:space="0" w:color="auto"/>
                <w:right w:val="none" w:sz="0" w:space="0" w:color="auto"/>
              </w:divBdr>
              <w:divsChild>
                <w:div w:id="1950971958">
                  <w:marLeft w:val="0"/>
                  <w:marRight w:val="0"/>
                  <w:marTop w:val="0"/>
                  <w:marBottom w:val="0"/>
                  <w:divBdr>
                    <w:top w:val="none" w:sz="0" w:space="0" w:color="auto"/>
                    <w:left w:val="none" w:sz="0" w:space="0" w:color="auto"/>
                    <w:bottom w:val="none" w:sz="0" w:space="0" w:color="auto"/>
                    <w:right w:val="none" w:sz="0" w:space="0" w:color="auto"/>
                  </w:divBdr>
                  <w:divsChild>
                    <w:div w:id="1358389524">
                      <w:marLeft w:val="0"/>
                      <w:marRight w:val="0"/>
                      <w:marTop w:val="0"/>
                      <w:marBottom w:val="0"/>
                      <w:divBdr>
                        <w:top w:val="none" w:sz="0" w:space="0" w:color="auto"/>
                        <w:left w:val="none" w:sz="0" w:space="0" w:color="auto"/>
                        <w:bottom w:val="none" w:sz="0" w:space="0" w:color="auto"/>
                        <w:right w:val="none" w:sz="0" w:space="0" w:color="auto"/>
                      </w:divBdr>
                      <w:divsChild>
                        <w:div w:id="921723900">
                          <w:marLeft w:val="0"/>
                          <w:marRight w:val="0"/>
                          <w:marTop w:val="0"/>
                          <w:marBottom w:val="0"/>
                          <w:divBdr>
                            <w:top w:val="none" w:sz="0" w:space="0" w:color="auto"/>
                            <w:left w:val="none" w:sz="0" w:space="0" w:color="auto"/>
                            <w:bottom w:val="none" w:sz="0" w:space="0" w:color="auto"/>
                            <w:right w:val="none" w:sz="0" w:space="0" w:color="auto"/>
                          </w:divBdr>
                          <w:divsChild>
                            <w:div w:id="1581021250">
                              <w:marLeft w:val="0"/>
                              <w:marRight w:val="0"/>
                              <w:marTop w:val="0"/>
                              <w:marBottom w:val="0"/>
                              <w:divBdr>
                                <w:top w:val="none" w:sz="0" w:space="0" w:color="auto"/>
                                <w:left w:val="none" w:sz="0" w:space="0" w:color="auto"/>
                                <w:bottom w:val="none" w:sz="0" w:space="0" w:color="auto"/>
                                <w:right w:val="none" w:sz="0" w:space="0" w:color="auto"/>
                              </w:divBdr>
                              <w:divsChild>
                                <w:div w:id="2052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744106">
          <w:marLeft w:val="0"/>
          <w:marRight w:val="0"/>
          <w:marTop w:val="100"/>
          <w:marBottom w:val="100"/>
          <w:divBdr>
            <w:top w:val="none" w:sz="0" w:space="0" w:color="auto"/>
            <w:left w:val="none" w:sz="0" w:space="0" w:color="auto"/>
            <w:bottom w:val="none" w:sz="0" w:space="0" w:color="auto"/>
            <w:right w:val="none" w:sz="0" w:space="0" w:color="auto"/>
          </w:divBdr>
          <w:divsChild>
            <w:div w:id="338508074">
              <w:marLeft w:val="0"/>
              <w:marRight w:val="0"/>
              <w:marTop w:val="0"/>
              <w:marBottom w:val="0"/>
              <w:divBdr>
                <w:top w:val="none" w:sz="0" w:space="0" w:color="auto"/>
                <w:left w:val="none" w:sz="0" w:space="0" w:color="auto"/>
                <w:bottom w:val="none" w:sz="0" w:space="0" w:color="auto"/>
                <w:right w:val="none" w:sz="0" w:space="0" w:color="auto"/>
              </w:divBdr>
              <w:divsChild>
                <w:div w:id="198057509">
                  <w:marLeft w:val="0"/>
                  <w:marRight w:val="0"/>
                  <w:marTop w:val="0"/>
                  <w:marBottom w:val="0"/>
                  <w:divBdr>
                    <w:top w:val="none" w:sz="0" w:space="0" w:color="auto"/>
                    <w:left w:val="none" w:sz="0" w:space="0" w:color="auto"/>
                    <w:bottom w:val="none" w:sz="0" w:space="0" w:color="auto"/>
                    <w:right w:val="none" w:sz="0" w:space="0" w:color="auto"/>
                  </w:divBdr>
                  <w:divsChild>
                    <w:div w:id="112096471">
                      <w:marLeft w:val="0"/>
                      <w:marRight w:val="0"/>
                      <w:marTop w:val="0"/>
                      <w:marBottom w:val="0"/>
                      <w:divBdr>
                        <w:top w:val="none" w:sz="0" w:space="0" w:color="auto"/>
                        <w:left w:val="none" w:sz="0" w:space="0" w:color="auto"/>
                        <w:bottom w:val="none" w:sz="0" w:space="0" w:color="auto"/>
                        <w:right w:val="none" w:sz="0" w:space="0" w:color="auto"/>
                      </w:divBdr>
                      <w:divsChild>
                        <w:div w:id="868496941">
                          <w:marLeft w:val="0"/>
                          <w:marRight w:val="0"/>
                          <w:marTop w:val="0"/>
                          <w:marBottom w:val="0"/>
                          <w:divBdr>
                            <w:top w:val="none" w:sz="0" w:space="0" w:color="auto"/>
                            <w:left w:val="none" w:sz="0" w:space="0" w:color="auto"/>
                            <w:bottom w:val="none" w:sz="0" w:space="0" w:color="auto"/>
                            <w:right w:val="none" w:sz="0" w:space="0" w:color="auto"/>
                          </w:divBdr>
                          <w:divsChild>
                            <w:div w:id="9486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570912">
      <w:bodyDiv w:val="1"/>
      <w:marLeft w:val="0"/>
      <w:marRight w:val="0"/>
      <w:marTop w:val="0"/>
      <w:marBottom w:val="0"/>
      <w:divBdr>
        <w:top w:val="none" w:sz="0" w:space="0" w:color="auto"/>
        <w:left w:val="none" w:sz="0" w:space="0" w:color="auto"/>
        <w:bottom w:val="none" w:sz="0" w:space="0" w:color="auto"/>
        <w:right w:val="none" w:sz="0" w:space="0" w:color="auto"/>
      </w:divBdr>
    </w:div>
    <w:div w:id="960263314">
      <w:bodyDiv w:val="1"/>
      <w:marLeft w:val="0"/>
      <w:marRight w:val="0"/>
      <w:marTop w:val="0"/>
      <w:marBottom w:val="0"/>
      <w:divBdr>
        <w:top w:val="none" w:sz="0" w:space="0" w:color="auto"/>
        <w:left w:val="none" w:sz="0" w:space="0" w:color="auto"/>
        <w:bottom w:val="none" w:sz="0" w:space="0" w:color="auto"/>
        <w:right w:val="none" w:sz="0" w:space="0" w:color="auto"/>
      </w:divBdr>
    </w:div>
    <w:div w:id="964889907">
      <w:bodyDiv w:val="1"/>
      <w:marLeft w:val="0"/>
      <w:marRight w:val="0"/>
      <w:marTop w:val="0"/>
      <w:marBottom w:val="0"/>
      <w:divBdr>
        <w:top w:val="none" w:sz="0" w:space="0" w:color="auto"/>
        <w:left w:val="none" w:sz="0" w:space="0" w:color="auto"/>
        <w:bottom w:val="none" w:sz="0" w:space="0" w:color="auto"/>
        <w:right w:val="none" w:sz="0" w:space="0" w:color="auto"/>
      </w:divBdr>
    </w:div>
    <w:div w:id="991760990">
      <w:bodyDiv w:val="1"/>
      <w:marLeft w:val="0"/>
      <w:marRight w:val="0"/>
      <w:marTop w:val="0"/>
      <w:marBottom w:val="0"/>
      <w:divBdr>
        <w:top w:val="none" w:sz="0" w:space="0" w:color="auto"/>
        <w:left w:val="none" w:sz="0" w:space="0" w:color="auto"/>
        <w:bottom w:val="none" w:sz="0" w:space="0" w:color="auto"/>
        <w:right w:val="none" w:sz="0" w:space="0" w:color="auto"/>
      </w:divBdr>
    </w:div>
    <w:div w:id="1037588914">
      <w:bodyDiv w:val="1"/>
      <w:marLeft w:val="0"/>
      <w:marRight w:val="0"/>
      <w:marTop w:val="0"/>
      <w:marBottom w:val="0"/>
      <w:divBdr>
        <w:top w:val="none" w:sz="0" w:space="0" w:color="auto"/>
        <w:left w:val="none" w:sz="0" w:space="0" w:color="auto"/>
        <w:bottom w:val="none" w:sz="0" w:space="0" w:color="auto"/>
        <w:right w:val="none" w:sz="0" w:space="0" w:color="auto"/>
      </w:divBdr>
    </w:div>
    <w:div w:id="1061753006">
      <w:bodyDiv w:val="1"/>
      <w:marLeft w:val="0"/>
      <w:marRight w:val="0"/>
      <w:marTop w:val="0"/>
      <w:marBottom w:val="0"/>
      <w:divBdr>
        <w:top w:val="none" w:sz="0" w:space="0" w:color="auto"/>
        <w:left w:val="none" w:sz="0" w:space="0" w:color="auto"/>
        <w:bottom w:val="none" w:sz="0" w:space="0" w:color="auto"/>
        <w:right w:val="none" w:sz="0" w:space="0" w:color="auto"/>
      </w:divBdr>
    </w:div>
    <w:div w:id="1133904998">
      <w:bodyDiv w:val="1"/>
      <w:marLeft w:val="0"/>
      <w:marRight w:val="0"/>
      <w:marTop w:val="0"/>
      <w:marBottom w:val="0"/>
      <w:divBdr>
        <w:top w:val="none" w:sz="0" w:space="0" w:color="auto"/>
        <w:left w:val="none" w:sz="0" w:space="0" w:color="auto"/>
        <w:bottom w:val="none" w:sz="0" w:space="0" w:color="auto"/>
        <w:right w:val="none" w:sz="0" w:space="0" w:color="auto"/>
      </w:divBdr>
    </w:div>
    <w:div w:id="1161118007">
      <w:bodyDiv w:val="1"/>
      <w:marLeft w:val="0"/>
      <w:marRight w:val="0"/>
      <w:marTop w:val="0"/>
      <w:marBottom w:val="0"/>
      <w:divBdr>
        <w:top w:val="none" w:sz="0" w:space="0" w:color="auto"/>
        <w:left w:val="none" w:sz="0" w:space="0" w:color="auto"/>
        <w:bottom w:val="none" w:sz="0" w:space="0" w:color="auto"/>
        <w:right w:val="none" w:sz="0" w:space="0" w:color="auto"/>
      </w:divBdr>
    </w:div>
    <w:div w:id="1168520876">
      <w:bodyDiv w:val="1"/>
      <w:marLeft w:val="0"/>
      <w:marRight w:val="0"/>
      <w:marTop w:val="0"/>
      <w:marBottom w:val="0"/>
      <w:divBdr>
        <w:top w:val="none" w:sz="0" w:space="0" w:color="auto"/>
        <w:left w:val="none" w:sz="0" w:space="0" w:color="auto"/>
        <w:bottom w:val="none" w:sz="0" w:space="0" w:color="auto"/>
        <w:right w:val="none" w:sz="0" w:space="0" w:color="auto"/>
      </w:divBdr>
    </w:div>
    <w:div w:id="1186868074">
      <w:bodyDiv w:val="1"/>
      <w:marLeft w:val="0"/>
      <w:marRight w:val="0"/>
      <w:marTop w:val="0"/>
      <w:marBottom w:val="0"/>
      <w:divBdr>
        <w:top w:val="none" w:sz="0" w:space="0" w:color="auto"/>
        <w:left w:val="none" w:sz="0" w:space="0" w:color="auto"/>
        <w:bottom w:val="none" w:sz="0" w:space="0" w:color="auto"/>
        <w:right w:val="none" w:sz="0" w:space="0" w:color="auto"/>
      </w:divBdr>
    </w:div>
    <w:div w:id="1221747796">
      <w:bodyDiv w:val="1"/>
      <w:marLeft w:val="0"/>
      <w:marRight w:val="0"/>
      <w:marTop w:val="0"/>
      <w:marBottom w:val="0"/>
      <w:divBdr>
        <w:top w:val="none" w:sz="0" w:space="0" w:color="auto"/>
        <w:left w:val="none" w:sz="0" w:space="0" w:color="auto"/>
        <w:bottom w:val="none" w:sz="0" w:space="0" w:color="auto"/>
        <w:right w:val="none" w:sz="0" w:space="0" w:color="auto"/>
      </w:divBdr>
    </w:div>
    <w:div w:id="1246572368">
      <w:bodyDiv w:val="1"/>
      <w:marLeft w:val="0"/>
      <w:marRight w:val="0"/>
      <w:marTop w:val="0"/>
      <w:marBottom w:val="0"/>
      <w:divBdr>
        <w:top w:val="none" w:sz="0" w:space="0" w:color="auto"/>
        <w:left w:val="none" w:sz="0" w:space="0" w:color="auto"/>
        <w:bottom w:val="none" w:sz="0" w:space="0" w:color="auto"/>
        <w:right w:val="none" w:sz="0" w:space="0" w:color="auto"/>
      </w:divBdr>
    </w:div>
    <w:div w:id="1278902188">
      <w:bodyDiv w:val="1"/>
      <w:marLeft w:val="0"/>
      <w:marRight w:val="0"/>
      <w:marTop w:val="0"/>
      <w:marBottom w:val="0"/>
      <w:divBdr>
        <w:top w:val="none" w:sz="0" w:space="0" w:color="auto"/>
        <w:left w:val="none" w:sz="0" w:space="0" w:color="auto"/>
        <w:bottom w:val="none" w:sz="0" w:space="0" w:color="auto"/>
        <w:right w:val="none" w:sz="0" w:space="0" w:color="auto"/>
      </w:divBdr>
    </w:div>
    <w:div w:id="1342971260">
      <w:bodyDiv w:val="1"/>
      <w:marLeft w:val="0"/>
      <w:marRight w:val="0"/>
      <w:marTop w:val="0"/>
      <w:marBottom w:val="0"/>
      <w:divBdr>
        <w:top w:val="none" w:sz="0" w:space="0" w:color="auto"/>
        <w:left w:val="none" w:sz="0" w:space="0" w:color="auto"/>
        <w:bottom w:val="none" w:sz="0" w:space="0" w:color="auto"/>
        <w:right w:val="none" w:sz="0" w:space="0" w:color="auto"/>
      </w:divBdr>
    </w:div>
    <w:div w:id="1408573385">
      <w:bodyDiv w:val="1"/>
      <w:marLeft w:val="0"/>
      <w:marRight w:val="0"/>
      <w:marTop w:val="0"/>
      <w:marBottom w:val="0"/>
      <w:divBdr>
        <w:top w:val="none" w:sz="0" w:space="0" w:color="auto"/>
        <w:left w:val="none" w:sz="0" w:space="0" w:color="auto"/>
        <w:bottom w:val="none" w:sz="0" w:space="0" w:color="auto"/>
        <w:right w:val="none" w:sz="0" w:space="0" w:color="auto"/>
      </w:divBdr>
    </w:div>
    <w:div w:id="1415860195">
      <w:bodyDiv w:val="1"/>
      <w:marLeft w:val="0"/>
      <w:marRight w:val="0"/>
      <w:marTop w:val="0"/>
      <w:marBottom w:val="0"/>
      <w:divBdr>
        <w:top w:val="none" w:sz="0" w:space="0" w:color="auto"/>
        <w:left w:val="none" w:sz="0" w:space="0" w:color="auto"/>
        <w:bottom w:val="none" w:sz="0" w:space="0" w:color="auto"/>
        <w:right w:val="none" w:sz="0" w:space="0" w:color="auto"/>
      </w:divBdr>
      <w:divsChild>
        <w:div w:id="1008946646">
          <w:marLeft w:val="0"/>
          <w:marRight w:val="0"/>
          <w:marTop w:val="100"/>
          <w:marBottom w:val="100"/>
          <w:divBdr>
            <w:top w:val="none" w:sz="0" w:space="0" w:color="auto"/>
            <w:left w:val="none" w:sz="0" w:space="0" w:color="auto"/>
            <w:bottom w:val="none" w:sz="0" w:space="0" w:color="auto"/>
            <w:right w:val="none" w:sz="0" w:space="0" w:color="auto"/>
          </w:divBdr>
          <w:divsChild>
            <w:div w:id="1535970199">
              <w:marLeft w:val="0"/>
              <w:marRight w:val="0"/>
              <w:marTop w:val="0"/>
              <w:marBottom w:val="0"/>
              <w:divBdr>
                <w:top w:val="none" w:sz="0" w:space="0" w:color="auto"/>
                <w:left w:val="none" w:sz="0" w:space="0" w:color="auto"/>
                <w:bottom w:val="none" w:sz="0" w:space="0" w:color="auto"/>
                <w:right w:val="none" w:sz="0" w:space="0" w:color="auto"/>
              </w:divBdr>
              <w:divsChild>
                <w:div w:id="40904736">
                  <w:marLeft w:val="0"/>
                  <w:marRight w:val="0"/>
                  <w:marTop w:val="0"/>
                  <w:marBottom w:val="0"/>
                  <w:divBdr>
                    <w:top w:val="none" w:sz="0" w:space="0" w:color="auto"/>
                    <w:left w:val="none" w:sz="0" w:space="0" w:color="auto"/>
                    <w:bottom w:val="none" w:sz="0" w:space="0" w:color="auto"/>
                    <w:right w:val="none" w:sz="0" w:space="0" w:color="auto"/>
                  </w:divBdr>
                  <w:divsChild>
                    <w:div w:id="574438881">
                      <w:marLeft w:val="0"/>
                      <w:marRight w:val="0"/>
                      <w:marTop w:val="0"/>
                      <w:marBottom w:val="0"/>
                      <w:divBdr>
                        <w:top w:val="none" w:sz="0" w:space="0" w:color="auto"/>
                        <w:left w:val="none" w:sz="0" w:space="0" w:color="auto"/>
                        <w:bottom w:val="none" w:sz="0" w:space="0" w:color="auto"/>
                        <w:right w:val="none" w:sz="0" w:space="0" w:color="auto"/>
                      </w:divBdr>
                      <w:divsChild>
                        <w:div w:id="953829789">
                          <w:marLeft w:val="0"/>
                          <w:marRight w:val="0"/>
                          <w:marTop w:val="0"/>
                          <w:marBottom w:val="0"/>
                          <w:divBdr>
                            <w:top w:val="none" w:sz="0" w:space="0" w:color="auto"/>
                            <w:left w:val="none" w:sz="0" w:space="0" w:color="auto"/>
                            <w:bottom w:val="none" w:sz="0" w:space="0" w:color="auto"/>
                            <w:right w:val="none" w:sz="0" w:space="0" w:color="auto"/>
                          </w:divBdr>
                          <w:divsChild>
                            <w:div w:id="2001804628">
                              <w:marLeft w:val="0"/>
                              <w:marRight w:val="0"/>
                              <w:marTop w:val="0"/>
                              <w:marBottom w:val="0"/>
                              <w:divBdr>
                                <w:top w:val="none" w:sz="0" w:space="0" w:color="auto"/>
                                <w:left w:val="none" w:sz="0" w:space="0" w:color="auto"/>
                                <w:bottom w:val="none" w:sz="0" w:space="0" w:color="auto"/>
                                <w:right w:val="none" w:sz="0" w:space="0" w:color="auto"/>
                              </w:divBdr>
                              <w:divsChild>
                                <w:div w:id="1913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817489">
          <w:marLeft w:val="0"/>
          <w:marRight w:val="0"/>
          <w:marTop w:val="100"/>
          <w:marBottom w:val="100"/>
          <w:divBdr>
            <w:top w:val="none" w:sz="0" w:space="0" w:color="auto"/>
            <w:left w:val="none" w:sz="0" w:space="0" w:color="auto"/>
            <w:bottom w:val="none" w:sz="0" w:space="0" w:color="auto"/>
            <w:right w:val="none" w:sz="0" w:space="0" w:color="auto"/>
          </w:divBdr>
          <w:divsChild>
            <w:div w:id="1872185318">
              <w:marLeft w:val="0"/>
              <w:marRight w:val="0"/>
              <w:marTop w:val="0"/>
              <w:marBottom w:val="0"/>
              <w:divBdr>
                <w:top w:val="none" w:sz="0" w:space="0" w:color="auto"/>
                <w:left w:val="none" w:sz="0" w:space="0" w:color="auto"/>
                <w:bottom w:val="none" w:sz="0" w:space="0" w:color="auto"/>
                <w:right w:val="none" w:sz="0" w:space="0" w:color="auto"/>
              </w:divBdr>
              <w:divsChild>
                <w:div w:id="1068504318">
                  <w:marLeft w:val="0"/>
                  <w:marRight w:val="0"/>
                  <w:marTop w:val="0"/>
                  <w:marBottom w:val="0"/>
                  <w:divBdr>
                    <w:top w:val="none" w:sz="0" w:space="0" w:color="auto"/>
                    <w:left w:val="none" w:sz="0" w:space="0" w:color="auto"/>
                    <w:bottom w:val="none" w:sz="0" w:space="0" w:color="auto"/>
                    <w:right w:val="none" w:sz="0" w:space="0" w:color="auto"/>
                  </w:divBdr>
                  <w:divsChild>
                    <w:div w:id="257834393">
                      <w:marLeft w:val="0"/>
                      <w:marRight w:val="0"/>
                      <w:marTop w:val="0"/>
                      <w:marBottom w:val="0"/>
                      <w:divBdr>
                        <w:top w:val="none" w:sz="0" w:space="0" w:color="auto"/>
                        <w:left w:val="none" w:sz="0" w:space="0" w:color="auto"/>
                        <w:bottom w:val="none" w:sz="0" w:space="0" w:color="auto"/>
                        <w:right w:val="none" w:sz="0" w:space="0" w:color="auto"/>
                      </w:divBdr>
                      <w:divsChild>
                        <w:div w:id="1488014091">
                          <w:marLeft w:val="0"/>
                          <w:marRight w:val="0"/>
                          <w:marTop w:val="0"/>
                          <w:marBottom w:val="0"/>
                          <w:divBdr>
                            <w:top w:val="none" w:sz="0" w:space="0" w:color="auto"/>
                            <w:left w:val="none" w:sz="0" w:space="0" w:color="auto"/>
                            <w:bottom w:val="none" w:sz="0" w:space="0" w:color="auto"/>
                            <w:right w:val="none" w:sz="0" w:space="0" w:color="auto"/>
                          </w:divBdr>
                          <w:divsChild>
                            <w:div w:id="30312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427204">
          <w:marLeft w:val="0"/>
          <w:marRight w:val="0"/>
          <w:marTop w:val="100"/>
          <w:marBottom w:val="100"/>
          <w:divBdr>
            <w:top w:val="none" w:sz="0" w:space="0" w:color="auto"/>
            <w:left w:val="none" w:sz="0" w:space="0" w:color="auto"/>
            <w:bottom w:val="none" w:sz="0" w:space="0" w:color="auto"/>
            <w:right w:val="none" w:sz="0" w:space="0" w:color="auto"/>
          </w:divBdr>
          <w:divsChild>
            <w:div w:id="1023242232">
              <w:marLeft w:val="0"/>
              <w:marRight w:val="0"/>
              <w:marTop w:val="0"/>
              <w:marBottom w:val="0"/>
              <w:divBdr>
                <w:top w:val="none" w:sz="0" w:space="0" w:color="auto"/>
                <w:left w:val="none" w:sz="0" w:space="0" w:color="auto"/>
                <w:bottom w:val="none" w:sz="0" w:space="0" w:color="auto"/>
                <w:right w:val="none" w:sz="0" w:space="0" w:color="auto"/>
              </w:divBdr>
              <w:divsChild>
                <w:div w:id="121775418">
                  <w:marLeft w:val="0"/>
                  <w:marRight w:val="0"/>
                  <w:marTop w:val="0"/>
                  <w:marBottom w:val="0"/>
                  <w:divBdr>
                    <w:top w:val="none" w:sz="0" w:space="0" w:color="auto"/>
                    <w:left w:val="none" w:sz="0" w:space="0" w:color="auto"/>
                    <w:bottom w:val="none" w:sz="0" w:space="0" w:color="auto"/>
                    <w:right w:val="none" w:sz="0" w:space="0" w:color="auto"/>
                  </w:divBdr>
                  <w:divsChild>
                    <w:div w:id="373358899">
                      <w:marLeft w:val="0"/>
                      <w:marRight w:val="0"/>
                      <w:marTop w:val="0"/>
                      <w:marBottom w:val="0"/>
                      <w:divBdr>
                        <w:top w:val="none" w:sz="0" w:space="0" w:color="auto"/>
                        <w:left w:val="none" w:sz="0" w:space="0" w:color="auto"/>
                        <w:bottom w:val="none" w:sz="0" w:space="0" w:color="auto"/>
                        <w:right w:val="none" w:sz="0" w:space="0" w:color="auto"/>
                      </w:divBdr>
                      <w:divsChild>
                        <w:div w:id="1557661614">
                          <w:marLeft w:val="0"/>
                          <w:marRight w:val="0"/>
                          <w:marTop w:val="0"/>
                          <w:marBottom w:val="0"/>
                          <w:divBdr>
                            <w:top w:val="none" w:sz="0" w:space="0" w:color="auto"/>
                            <w:left w:val="none" w:sz="0" w:space="0" w:color="auto"/>
                            <w:bottom w:val="none" w:sz="0" w:space="0" w:color="auto"/>
                            <w:right w:val="none" w:sz="0" w:space="0" w:color="auto"/>
                          </w:divBdr>
                          <w:divsChild>
                            <w:div w:id="1271276125">
                              <w:marLeft w:val="0"/>
                              <w:marRight w:val="0"/>
                              <w:marTop w:val="0"/>
                              <w:marBottom w:val="0"/>
                              <w:divBdr>
                                <w:top w:val="none" w:sz="0" w:space="0" w:color="auto"/>
                                <w:left w:val="none" w:sz="0" w:space="0" w:color="auto"/>
                                <w:bottom w:val="none" w:sz="0" w:space="0" w:color="auto"/>
                                <w:right w:val="none" w:sz="0" w:space="0" w:color="auto"/>
                              </w:divBdr>
                              <w:divsChild>
                                <w:div w:id="6893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152900">
          <w:marLeft w:val="0"/>
          <w:marRight w:val="0"/>
          <w:marTop w:val="100"/>
          <w:marBottom w:val="100"/>
          <w:divBdr>
            <w:top w:val="none" w:sz="0" w:space="0" w:color="auto"/>
            <w:left w:val="none" w:sz="0" w:space="0" w:color="auto"/>
            <w:bottom w:val="none" w:sz="0" w:space="0" w:color="auto"/>
            <w:right w:val="none" w:sz="0" w:space="0" w:color="auto"/>
          </w:divBdr>
          <w:divsChild>
            <w:div w:id="876964553">
              <w:marLeft w:val="0"/>
              <w:marRight w:val="0"/>
              <w:marTop w:val="0"/>
              <w:marBottom w:val="0"/>
              <w:divBdr>
                <w:top w:val="none" w:sz="0" w:space="0" w:color="auto"/>
                <w:left w:val="none" w:sz="0" w:space="0" w:color="auto"/>
                <w:bottom w:val="none" w:sz="0" w:space="0" w:color="auto"/>
                <w:right w:val="none" w:sz="0" w:space="0" w:color="auto"/>
              </w:divBdr>
              <w:divsChild>
                <w:div w:id="1077241381">
                  <w:marLeft w:val="0"/>
                  <w:marRight w:val="0"/>
                  <w:marTop w:val="0"/>
                  <w:marBottom w:val="0"/>
                  <w:divBdr>
                    <w:top w:val="none" w:sz="0" w:space="0" w:color="auto"/>
                    <w:left w:val="none" w:sz="0" w:space="0" w:color="auto"/>
                    <w:bottom w:val="none" w:sz="0" w:space="0" w:color="auto"/>
                    <w:right w:val="none" w:sz="0" w:space="0" w:color="auto"/>
                  </w:divBdr>
                  <w:divsChild>
                    <w:div w:id="198857535">
                      <w:marLeft w:val="0"/>
                      <w:marRight w:val="0"/>
                      <w:marTop w:val="0"/>
                      <w:marBottom w:val="0"/>
                      <w:divBdr>
                        <w:top w:val="none" w:sz="0" w:space="0" w:color="auto"/>
                        <w:left w:val="none" w:sz="0" w:space="0" w:color="auto"/>
                        <w:bottom w:val="none" w:sz="0" w:space="0" w:color="auto"/>
                        <w:right w:val="none" w:sz="0" w:space="0" w:color="auto"/>
                      </w:divBdr>
                      <w:divsChild>
                        <w:div w:id="763845675">
                          <w:marLeft w:val="0"/>
                          <w:marRight w:val="0"/>
                          <w:marTop w:val="0"/>
                          <w:marBottom w:val="0"/>
                          <w:divBdr>
                            <w:top w:val="none" w:sz="0" w:space="0" w:color="auto"/>
                            <w:left w:val="none" w:sz="0" w:space="0" w:color="auto"/>
                            <w:bottom w:val="none" w:sz="0" w:space="0" w:color="auto"/>
                            <w:right w:val="none" w:sz="0" w:space="0" w:color="auto"/>
                          </w:divBdr>
                          <w:divsChild>
                            <w:div w:id="1933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805216">
          <w:marLeft w:val="0"/>
          <w:marRight w:val="0"/>
          <w:marTop w:val="100"/>
          <w:marBottom w:val="100"/>
          <w:divBdr>
            <w:top w:val="none" w:sz="0" w:space="0" w:color="auto"/>
            <w:left w:val="none" w:sz="0" w:space="0" w:color="auto"/>
            <w:bottom w:val="none" w:sz="0" w:space="0" w:color="auto"/>
            <w:right w:val="none" w:sz="0" w:space="0" w:color="auto"/>
          </w:divBdr>
          <w:divsChild>
            <w:div w:id="1291400775">
              <w:marLeft w:val="0"/>
              <w:marRight w:val="0"/>
              <w:marTop w:val="0"/>
              <w:marBottom w:val="0"/>
              <w:divBdr>
                <w:top w:val="none" w:sz="0" w:space="0" w:color="auto"/>
                <w:left w:val="none" w:sz="0" w:space="0" w:color="auto"/>
                <w:bottom w:val="none" w:sz="0" w:space="0" w:color="auto"/>
                <w:right w:val="none" w:sz="0" w:space="0" w:color="auto"/>
              </w:divBdr>
              <w:divsChild>
                <w:div w:id="167719331">
                  <w:marLeft w:val="0"/>
                  <w:marRight w:val="0"/>
                  <w:marTop w:val="0"/>
                  <w:marBottom w:val="0"/>
                  <w:divBdr>
                    <w:top w:val="none" w:sz="0" w:space="0" w:color="auto"/>
                    <w:left w:val="none" w:sz="0" w:space="0" w:color="auto"/>
                    <w:bottom w:val="none" w:sz="0" w:space="0" w:color="auto"/>
                    <w:right w:val="none" w:sz="0" w:space="0" w:color="auto"/>
                  </w:divBdr>
                  <w:divsChild>
                    <w:div w:id="573590273">
                      <w:marLeft w:val="0"/>
                      <w:marRight w:val="0"/>
                      <w:marTop w:val="0"/>
                      <w:marBottom w:val="0"/>
                      <w:divBdr>
                        <w:top w:val="none" w:sz="0" w:space="0" w:color="auto"/>
                        <w:left w:val="none" w:sz="0" w:space="0" w:color="auto"/>
                        <w:bottom w:val="none" w:sz="0" w:space="0" w:color="auto"/>
                        <w:right w:val="none" w:sz="0" w:space="0" w:color="auto"/>
                      </w:divBdr>
                      <w:divsChild>
                        <w:div w:id="1132018363">
                          <w:marLeft w:val="0"/>
                          <w:marRight w:val="0"/>
                          <w:marTop w:val="0"/>
                          <w:marBottom w:val="0"/>
                          <w:divBdr>
                            <w:top w:val="none" w:sz="0" w:space="0" w:color="auto"/>
                            <w:left w:val="none" w:sz="0" w:space="0" w:color="auto"/>
                            <w:bottom w:val="none" w:sz="0" w:space="0" w:color="auto"/>
                            <w:right w:val="none" w:sz="0" w:space="0" w:color="auto"/>
                          </w:divBdr>
                          <w:divsChild>
                            <w:div w:id="1645041348">
                              <w:marLeft w:val="0"/>
                              <w:marRight w:val="0"/>
                              <w:marTop w:val="0"/>
                              <w:marBottom w:val="0"/>
                              <w:divBdr>
                                <w:top w:val="none" w:sz="0" w:space="0" w:color="auto"/>
                                <w:left w:val="none" w:sz="0" w:space="0" w:color="auto"/>
                                <w:bottom w:val="none" w:sz="0" w:space="0" w:color="auto"/>
                                <w:right w:val="none" w:sz="0" w:space="0" w:color="auto"/>
                              </w:divBdr>
                              <w:divsChild>
                                <w:div w:id="195181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01921">
          <w:marLeft w:val="0"/>
          <w:marRight w:val="0"/>
          <w:marTop w:val="100"/>
          <w:marBottom w:val="100"/>
          <w:divBdr>
            <w:top w:val="none" w:sz="0" w:space="0" w:color="auto"/>
            <w:left w:val="none" w:sz="0" w:space="0" w:color="auto"/>
            <w:bottom w:val="none" w:sz="0" w:space="0" w:color="auto"/>
            <w:right w:val="none" w:sz="0" w:space="0" w:color="auto"/>
          </w:divBdr>
          <w:divsChild>
            <w:div w:id="821848095">
              <w:marLeft w:val="0"/>
              <w:marRight w:val="0"/>
              <w:marTop w:val="0"/>
              <w:marBottom w:val="0"/>
              <w:divBdr>
                <w:top w:val="none" w:sz="0" w:space="0" w:color="auto"/>
                <w:left w:val="none" w:sz="0" w:space="0" w:color="auto"/>
                <w:bottom w:val="none" w:sz="0" w:space="0" w:color="auto"/>
                <w:right w:val="none" w:sz="0" w:space="0" w:color="auto"/>
              </w:divBdr>
              <w:divsChild>
                <w:div w:id="1211843223">
                  <w:marLeft w:val="0"/>
                  <w:marRight w:val="0"/>
                  <w:marTop w:val="0"/>
                  <w:marBottom w:val="0"/>
                  <w:divBdr>
                    <w:top w:val="none" w:sz="0" w:space="0" w:color="auto"/>
                    <w:left w:val="none" w:sz="0" w:space="0" w:color="auto"/>
                    <w:bottom w:val="none" w:sz="0" w:space="0" w:color="auto"/>
                    <w:right w:val="none" w:sz="0" w:space="0" w:color="auto"/>
                  </w:divBdr>
                  <w:divsChild>
                    <w:div w:id="1726760286">
                      <w:marLeft w:val="0"/>
                      <w:marRight w:val="0"/>
                      <w:marTop w:val="0"/>
                      <w:marBottom w:val="0"/>
                      <w:divBdr>
                        <w:top w:val="none" w:sz="0" w:space="0" w:color="auto"/>
                        <w:left w:val="none" w:sz="0" w:space="0" w:color="auto"/>
                        <w:bottom w:val="none" w:sz="0" w:space="0" w:color="auto"/>
                        <w:right w:val="none" w:sz="0" w:space="0" w:color="auto"/>
                      </w:divBdr>
                      <w:divsChild>
                        <w:div w:id="1970163750">
                          <w:marLeft w:val="0"/>
                          <w:marRight w:val="0"/>
                          <w:marTop w:val="0"/>
                          <w:marBottom w:val="0"/>
                          <w:divBdr>
                            <w:top w:val="none" w:sz="0" w:space="0" w:color="auto"/>
                            <w:left w:val="none" w:sz="0" w:space="0" w:color="auto"/>
                            <w:bottom w:val="none" w:sz="0" w:space="0" w:color="auto"/>
                            <w:right w:val="none" w:sz="0" w:space="0" w:color="auto"/>
                          </w:divBdr>
                          <w:divsChild>
                            <w:div w:id="4418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100940">
          <w:marLeft w:val="0"/>
          <w:marRight w:val="0"/>
          <w:marTop w:val="100"/>
          <w:marBottom w:val="100"/>
          <w:divBdr>
            <w:top w:val="none" w:sz="0" w:space="0" w:color="auto"/>
            <w:left w:val="none" w:sz="0" w:space="0" w:color="auto"/>
            <w:bottom w:val="none" w:sz="0" w:space="0" w:color="auto"/>
            <w:right w:val="none" w:sz="0" w:space="0" w:color="auto"/>
          </w:divBdr>
          <w:divsChild>
            <w:div w:id="1355496847">
              <w:marLeft w:val="0"/>
              <w:marRight w:val="0"/>
              <w:marTop w:val="0"/>
              <w:marBottom w:val="0"/>
              <w:divBdr>
                <w:top w:val="none" w:sz="0" w:space="0" w:color="auto"/>
                <w:left w:val="none" w:sz="0" w:space="0" w:color="auto"/>
                <w:bottom w:val="none" w:sz="0" w:space="0" w:color="auto"/>
                <w:right w:val="none" w:sz="0" w:space="0" w:color="auto"/>
              </w:divBdr>
              <w:divsChild>
                <w:div w:id="413168266">
                  <w:marLeft w:val="0"/>
                  <w:marRight w:val="0"/>
                  <w:marTop w:val="0"/>
                  <w:marBottom w:val="0"/>
                  <w:divBdr>
                    <w:top w:val="none" w:sz="0" w:space="0" w:color="auto"/>
                    <w:left w:val="none" w:sz="0" w:space="0" w:color="auto"/>
                    <w:bottom w:val="none" w:sz="0" w:space="0" w:color="auto"/>
                    <w:right w:val="none" w:sz="0" w:space="0" w:color="auto"/>
                  </w:divBdr>
                  <w:divsChild>
                    <w:div w:id="512841731">
                      <w:marLeft w:val="0"/>
                      <w:marRight w:val="0"/>
                      <w:marTop w:val="0"/>
                      <w:marBottom w:val="0"/>
                      <w:divBdr>
                        <w:top w:val="none" w:sz="0" w:space="0" w:color="auto"/>
                        <w:left w:val="none" w:sz="0" w:space="0" w:color="auto"/>
                        <w:bottom w:val="none" w:sz="0" w:space="0" w:color="auto"/>
                        <w:right w:val="none" w:sz="0" w:space="0" w:color="auto"/>
                      </w:divBdr>
                      <w:divsChild>
                        <w:div w:id="1557471258">
                          <w:marLeft w:val="0"/>
                          <w:marRight w:val="0"/>
                          <w:marTop w:val="0"/>
                          <w:marBottom w:val="0"/>
                          <w:divBdr>
                            <w:top w:val="none" w:sz="0" w:space="0" w:color="auto"/>
                            <w:left w:val="none" w:sz="0" w:space="0" w:color="auto"/>
                            <w:bottom w:val="none" w:sz="0" w:space="0" w:color="auto"/>
                            <w:right w:val="none" w:sz="0" w:space="0" w:color="auto"/>
                          </w:divBdr>
                          <w:divsChild>
                            <w:div w:id="820270315">
                              <w:marLeft w:val="0"/>
                              <w:marRight w:val="0"/>
                              <w:marTop w:val="0"/>
                              <w:marBottom w:val="0"/>
                              <w:divBdr>
                                <w:top w:val="none" w:sz="0" w:space="0" w:color="auto"/>
                                <w:left w:val="none" w:sz="0" w:space="0" w:color="auto"/>
                                <w:bottom w:val="none" w:sz="0" w:space="0" w:color="auto"/>
                                <w:right w:val="none" w:sz="0" w:space="0" w:color="auto"/>
                              </w:divBdr>
                              <w:divsChild>
                                <w:div w:id="20452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839969">
          <w:marLeft w:val="0"/>
          <w:marRight w:val="0"/>
          <w:marTop w:val="100"/>
          <w:marBottom w:val="100"/>
          <w:divBdr>
            <w:top w:val="none" w:sz="0" w:space="0" w:color="auto"/>
            <w:left w:val="none" w:sz="0" w:space="0" w:color="auto"/>
            <w:bottom w:val="none" w:sz="0" w:space="0" w:color="auto"/>
            <w:right w:val="none" w:sz="0" w:space="0" w:color="auto"/>
          </w:divBdr>
          <w:divsChild>
            <w:div w:id="161167828">
              <w:marLeft w:val="0"/>
              <w:marRight w:val="0"/>
              <w:marTop w:val="0"/>
              <w:marBottom w:val="0"/>
              <w:divBdr>
                <w:top w:val="none" w:sz="0" w:space="0" w:color="auto"/>
                <w:left w:val="none" w:sz="0" w:space="0" w:color="auto"/>
                <w:bottom w:val="none" w:sz="0" w:space="0" w:color="auto"/>
                <w:right w:val="none" w:sz="0" w:space="0" w:color="auto"/>
              </w:divBdr>
              <w:divsChild>
                <w:div w:id="1152018333">
                  <w:marLeft w:val="0"/>
                  <w:marRight w:val="0"/>
                  <w:marTop w:val="0"/>
                  <w:marBottom w:val="0"/>
                  <w:divBdr>
                    <w:top w:val="none" w:sz="0" w:space="0" w:color="auto"/>
                    <w:left w:val="none" w:sz="0" w:space="0" w:color="auto"/>
                    <w:bottom w:val="none" w:sz="0" w:space="0" w:color="auto"/>
                    <w:right w:val="none" w:sz="0" w:space="0" w:color="auto"/>
                  </w:divBdr>
                  <w:divsChild>
                    <w:div w:id="630939296">
                      <w:marLeft w:val="0"/>
                      <w:marRight w:val="0"/>
                      <w:marTop w:val="0"/>
                      <w:marBottom w:val="0"/>
                      <w:divBdr>
                        <w:top w:val="none" w:sz="0" w:space="0" w:color="auto"/>
                        <w:left w:val="none" w:sz="0" w:space="0" w:color="auto"/>
                        <w:bottom w:val="none" w:sz="0" w:space="0" w:color="auto"/>
                        <w:right w:val="none" w:sz="0" w:space="0" w:color="auto"/>
                      </w:divBdr>
                      <w:divsChild>
                        <w:div w:id="1748067099">
                          <w:marLeft w:val="0"/>
                          <w:marRight w:val="0"/>
                          <w:marTop w:val="0"/>
                          <w:marBottom w:val="0"/>
                          <w:divBdr>
                            <w:top w:val="none" w:sz="0" w:space="0" w:color="auto"/>
                            <w:left w:val="none" w:sz="0" w:space="0" w:color="auto"/>
                            <w:bottom w:val="none" w:sz="0" w:space="0" w:color="auto"/>
                            <w:right w:val="none" w:sz="0" w:space="0" w:color="auto"/>
                          </w:divBdr>
                          <w:divsChild>
                            <w:div w:id="5566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777184">
          <w:marLeft w:val="0"/>
          <w:marRight w:val="0"/>
          <w:marTop w:val="100"/>
          <w:marBottom w:val="100"/>
          <w:divBdr>
            <w:top w:val="none" w:sz="0" w:space="0" w:color="auto"/>
            <w:left w:val="none" w:sz="0" w:space="0" w:color="auto"/>
            <w:bottom w:val="none" w:sz="0" w:space="0" w:color="auto"/>
            <w:right w:val="none" w:sz="0" w:space="0" w:color="auto"/>
          </w:divBdr>
          <w:divsChild>
            <w:div w:id="106580201">
              <w:marLeft w:val="0"/>
              <w:marRight w:val="0"/>
              <w:marTop w:val="0"/>
              <w:marBottom w:val="0"/>
              <w:divBdr>
                <w:top w:val="none" w:sz="0" w:space="0" w:color="auto"/>
                <w:left w:val="none" w:sz="0" w:space="0" w:color="auto"/>
                <w:bottom w:val="none" w:sz="0" w:space="0" w:color="auto"/>
                <w:right w:val="none" w:sz="0" w:space="0" w:color="auto"/>
              </w:divBdr>
              <w:divsChild>
                <w:div w:id="2047021731">
                  <w:marLeft w:val="0"/>
                  <w:marRight w:val="0"/>
                  <w:marTop w:val="0"/>
                  <w:marBottom w:val="0"/>
                  <w:divBdr>
                    <w:top w:val="none" w:sz="0" w:space="0" w:color="auto"/>
                    <w:left w:val="none" w:sz="0" w:space="0" w:color="auto"/>
                    <w:bottom w:val="none" w:sz="0" w:space="0" w:color="auto"/>
                    <w:right w:val="none" w:sz="0" w:space="0" w:color="auto"/>
                  </w:divBdr>
                  <w:divsChild>
                    <w:div w:id="235281953">
                      <w:marLeft w:val="0"/>
                      <w:marRight w:val="0"/>
                      <w:marTop w:val="0"/>
                      <w:marBottom w:val="0"/>
                      <w:divBdr>
                        <w:top w:val="none" w:sz="0" w:space="0" w:color="auto"/>
                        <w:left w:val="none" w:sz="0" w:space="0" w:color="auto"/>
                        <w:bottom w:val="none" w:sz="0" w:space="0" w:color="auto"/>
                        <w:right w:val="none" w:sz="0" w:space="0" w:color="auto"/>
                      </w:divBdr>
                      <w:divsChild>
                        <w:div w:id="2127120890">
                          <w:marLeft w:val="0"/>
                          <w:marRight w:val="0"/>
                          <w:marTop w:val="0"/>
                          <w:marBottom w:val="0"/>
                          <w:divBdr>
                            <w:top w:val="none" w:sz="0" w:space="0" w:color="auto"/>
                            <w:left w:val="none" w:sz="0" w:space="0" w:color="auto"/>
                            <w:bottom w:val="none" w:sz="0" w:space="0" w:color="auto"/>
                            <w:right w:val="none" w:sz="0" w:space="0" w:color="auto"/>
                          </w:divBdr>
                          <w:divsChild>
                            <w:div w:id="184297548">
                              <w:marLeft w:val="0"/>
                              <w:marRight w:val="0"/>
                              <w:marTop w:val="0"/>
                              <w:marBottom w:val="0"/>
                              <w:divBdr>
                                <w:top w:val="none" w:sz="0" w:space="0" w:color="auto"/>
                                <w:left w:val="none" w:sz="0" w:space="0" w:color="auto"/>
                                <w:bottom w:val="none" w:sz="0" w:space="0" w:color="auto"/>
                                <w:right w:val="none" w:sz="0" w:space="0" w:color="auto"/>
                              </w:divBdr>
                              <w:divsChild>
                                <w:div w:id="10680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84291">
          <w:marLeft w:val="0"/>
          <w:marRight w:val="0"/>
          <w:marTop w:val="100"/>
          <w:marBottom w:val="100"/>
          <w:divBdr>
            <w:top w:val="none" w:sz="0" w:space="0" w:color="auto"/>
            <w:left w:val="none" w:sz="0" w:space="0" w:color="auto"/>
            <w:bottom w:val="none" w:sz="0" w:space="0" w:color="auto"/>
            <w:right w:val="none" w:sz="0" w:space="0" w:color="auto"/>
          </w:divBdr>
          <w:divsChild>
            <w:div w:id="1313556228">
              <w:marLeft w:val="0"/>
              <w:marRight w:val="0"/>
              <w:marTop w:val="0"/>
              <w:marBottom w:val="0"/>
              <w:divBdr>
                <w:top w:val="none" w:sz="0" w:space="0" w:color="auto"/>
                <w:left w:val="none" w:sz="0" w:space="0" w:color="auto"/>
                <w:bottom w:val="none" w:sz="0" w:space="0" w:color="auto"/>
                <w:right w:val="none" w:sz="0" w:space="0" w:color="auto"/>
              </w:divBdr>
              <w:divsChild>
                <w:div w:id="408426066">
                  <w:marLeft w:val="0"/>
                  <w:marRight w:val="0"/>
                  <w:marTop w:val="0"/>
                  <w:marBottom w:val="0"/>
                  <w:divBdr>
                    <w:top w:val="none" w:sz="0" w:space="0" w:color="auto"/>
                    <w:left w:val="none" w:sz="0" w:space="0" w:color="auto"/>
                    <w:bottom w:val="none" w:sz="0" w:space="0" w:color="auto"/>
                    <w:right w:val="none" w:sz="0" w:space="0" w:color="auto"/>
                  </w:divBdr>
                  <w:divsChild>
                    <w:div w:id="1141657553">
                      <w:marLeft w:val="0"/>
                      <w:marRight w:val="0"/>
                      <w:marTop w:val="0"/>
                      <w:marBottom w:val="0"/>
                      <w:divBdr>
                        <w:top w:val="none" w:sz="0" w:space="0" w:color="auto"/>
                        <w:left w:val="none" w:sz="0" w:space="0" w:color="auto"/>
                        <w:bottom w:val="none" w:sz="0" w:space="0" w:color="auto"/>
                        <w:right w:val="none" w:sz="0" w:space="0" w:color="auto"/>
                      </w:divBdr>
                      <w:divsChild>
                        <w:div w:id="1555579710">
                          <w:marLeft w:val="0"/>
                          <w:marRight w:val="0"/>
                          <w:marTop w:val="0"/>
                          <w:marBottom w:val="0"/>
                          <w:divBdr>
                            <w:top w:val="none" w:sz="0" w:space="0" w:color="auto"/>
                            <w:left w:val="none" w:sz="0" w:space="0" w:color="auto"/>
                            <w:bottom w:val="none" w:sz="0" w:space="0" w:color="auto"/>
                            <w:right w:val="none" w:sz="0" w:space="0" w:color="auto"/>
                          </w:divBdr>
                          <w:divsChild>
                            <w:div w:id="13813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231873">
          <w:marLeft w:val="0"/>
          <w:marRight w:val="0"/>
          <w:marTop w:val="100"/>
          <w:marBottom w:val="100"/>
          <w:divBdr>
            <w:top w:val="none" w:sz="0" w:space="0" w:color="auto"/>
            <w:left w:val="none" w:sz="0" w:space="0" w:color="auto"/>
            <w:bottom w:val="none" w:sz="0" w:space="0" w:color="auto"/>
            <w:right w:val="none" w:sz="0" w:space="0" w:color="auto"/>
          </w:divBdr>
          <w:divsChild>
            <w:div w:id="336004183">
              <w:marLeft w:val="0"/>
              <w:marRight w:val="0"/>
              <w:marTop w:val="0"/>
              <w:marBottom w:val="0"/>
              <w:divBdr>
                <w:top w:val="none" w:sz="0" w:space="0" w:color="auto"/>
                <w:left w:val="none" w:sz="0" w:space="0" w:color="auto"/>
                <w:bottom w:val="none" w:sz="0" w:space="0" w:color="auto"/>
                <w:right w:val="none" w:sz="0" w:space="0" w:color="auto"/>
              </w:divBdr>
              <w:divsChild>
                <w:div w:id="795106771">
                  <w:marLeft w:val="0"/>
                  <w:marRight w:val="0"/>
                  <w:marTop w:val="0"/>
                  <w:marBottom w:val="0"/>
                  <w:divBdr>
                    <w:top w:val="none" w:sz="0" w:space="0" w:color="auto"/>
                    <w:left w:val="none" w:sz="0" w:space="0" w:color="auto"/>
                    <w:bottom w:val="none" w:sz="0" w:space="0" w:color="auto"/>
                    <w:right w:val="none" w:sz="0" w:space="0" w:color="auto"/>
                  </w:divBdr>
                  <w:divsChild>
                    <w:div w:id="1688600827">
                      <w:marLeft w:val="0"/>
                      <w:marRight w:val="0"/>
                      <w:marTop w:val="0"/>
                      <w:marBottom w:val="0"/>
                      <w:divBdr>
                        <w:top w:val="none" w:sz="0" w:space="0" w:color="auto"/>
                        <w:left w:val="none" w:sz="0" w:space="0" w:color="auto"/>
                        <w:bottom w:val="none" w:sz="0" w:space="0" w:color="auto"/>
                        <w:right w:val="none" w:sz="0" w:space="0" w:color="auto"/>
                      </w:divBdr>
                      <w:divsChild>
                        <w:div w:id="624698273">
                          <w:marLeft w:val="0"/>
                          <w:marRight w:val="0"/>
                          <w:marTop w:val="0"/>
                          <w:marBottom w:val="0"/>
                          <w:divBdr>
                            <w:top w:val="none" w:sz="0" w:space="0" w:color="auto"/>
                            <w:left w:val="none" w:sz="0" w:space="0" w:color="auto"/>
                            <w:bottom w:val="none" w:sz="0" w:space="0" w:color="auto"/>
                            <w:right w:val="none" w:sz="0" w:space="0" w:color="auto"/>
                          </w:divBdr>
                          <w:divsChild>
                            <w:div w:id="1565680718">
                              <w:marLeft w:val="0"/>
                              <w:marRight w:val="0"/>
                              <w:marTop w:val="0"/>
                              <w:marBottom w:val="0"/>
                              <w:divBdr>
                                <w:top w:val="none" w:sz="0" w:space="0" w:color="auto"/>
                                <w:left w:val="none" w:sz="0" w:space="0" w:color="auto"/>
                                <w:bottom w:val="none" w:sz="0" w:space="0" w:color="auto"/>
                                <w:right w:val="none" w:sz="0" w:space="0" w:color="auto"/>
                              </w:divBdr>
                              <w:divsChild>
                                <w:div w:id="4503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84742">
          <w:marLeft w:val="0"/>
          <w:marRight w:val="0"/>
          <w:marTop w:val="100"/>
          <w:marBottom w:val="100"/>
          <w:divBdr>
            <w:top w:val="none" w:sz="0" w:space="0" w:color="auto"/>
            <w:left w:val="none" w:sz="0" w:space="0" w:color="auto"/>
            <w:bottom w:val="none" w:sz="0" w:space="0" w:color="auto"/>
            <w:right w:val="none" w:sz="0" w:space="0" w:color="auto"/>
          </w:divBdr>
          <w:divsChild>
            <w:div w:id="1724868980">
              <w:marLeft w:val="0"/>
              <w:marRight w:val="0"/>
              <w:marTop w:val="0"/>
              <w:marBottom w:val="0"/>
              <w:divBdr>
                <w:top w:val="none" w:sz="0" w:space="0" w:color="auto"/>
                <w:left w:val="none" w:sz="0" w:space="0" w:color="auto"/>
                <w:bottom w:val="none" w:sz="0" w:space="0" w:color="auto"/>
                <w:right w:val="none" w:sz="0" w:space="0" w:color="auto"/>
              </w:divBdr>
              <w:divsChild>
                <w:div w:id="1732654627">
                  <w:marLeft w:val="0"/>
                  <w:marRight w:val="0"/>
                  <w:marTop w:val="0"/>
                  <w:marBottom w:val="0"/>
                  <w:divBdr>
                    <w:top w:val="none" w:sz="0" w:space="0" w:color="auto"/>
                    <w:left w:val="none" w:sz="0" w:space="0" w:color="auto"/>
                    <w:bottom w:val="none" w:sz="0" w:space="0" w:color="auto"/>
                    <w:right w:val="none" w:sz="0" w:space="0" w:color="auto"/>
                  </w:divBdr>
                  <w:divsChild>
                    <w:div w:id="308753030">
                      <w:marLeft w:val="0"/>
                      <w:marRight w:val="0"/>
                      <w:marTop w:val="0"/>
                      <w:marBottom w:val="0"/>
                      <w:divBdr>
                        <w:top w:val="none" w:sz="0" w:space="0" w:color="auto"/>
                        <w:left w:val="none" w:sz="0" w:space="0" w:color="auto"/>
                        <w:bottom w:val="none" w:sz="0" w:space="0" w:color="auto"/>
                        <w:right w:val="none" w:sz="0" w:space="0" w:color="auto"/>
                      </w:divBdr>
                      <w:divsChild>
                        <w:div w:id="1258758353">
                          <w:marLeft w:val="0"/>
                          <w:marRight w:val="0"/>
                          <w:marTop w:val="0"/>
                          <w:marBottom w:val="0"/>
                          <w:divBdr>
                            <w:top w:val="none" w:sz="0" w:space="0" w:color="auto"/>
                            <w:left w:val="none" w:sz="0" w:space="0" w:color="auto"/>
                            <w:bottom w:val="none" w:sz="0" w:space="0" w:color="auto"/>
                            <w:right w:val="none" w:sz="0" w:space="0" w:color="auto"/>
                          </w:divBdr>
                          <w:divsChild>
                            <w:div w:id="13428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795473">
          <w:marLeft w:val="0"/>
          <w:marRight w:val="0"/>
          <w:marTop w:val="100"/>
          <w:marBottom w:val="100"/>
          <w:divBdr>
            <w:top w:val="none" w:sz="0" w:space="0" w:color="auto"/>
            <w:left w:val="none" w:sz="0" w:space="0" w:color="auto"/>
            <w:bottom w:val="none" w:sz="0" w:space="0" w:color="auto"/>
            <w:right w:val="none" w:sz="0" w:space="0" w:color="auto"/>
          </w:divBdr>
          <w:divsChild>
            <w:div w:id="595164853">
              <w:marLeft w:val="0"/>
              <w:marRight w:val="0"/>
              <w:marTop w:val="0"/>
              <w:marBottom w:val="0"/>
              <w:divBdr>
                <w:top w:val="none" w:sz="0" w:space="0" w:color="auto"/>
                <w:left w:val="none" w:sz="0" w:space="0" w:color="auto"/>
                <w:bottom w:val="none" w:sz="0" w:space="0" w:color="auto"/>
                <w:right w:val="none" w:sz="0" w:space="0" w:color="auto"/>
              </w:divBdr>
              <w:divsChild>
                <w:div w:id="960182707">
                  <w:marLeft w:val="0"/>
                  <w:marRight w:val="0"/>
                  <w:marTop w:val="0"/>
                  <w:marBottom w:val="0"/>
                  <w:divBdr>
                    <w:top w:val="none" w:sz="0" w:space="0" w:color="auto"/>
                    <w:left w:val="none" w:sz="0" w:space="0" w:color="auto"/>
                    <w:bottom w:val="none" w:sz="0" w:space="0" w:color="auto"/>
                    <w:right w:val="none" w:sz="0" w:space="0" w:color="auto"/>
                  </w:divBdr>
                  <w:divsChild>
                    <w:div w:id="1193151730">
                      <w:marLeft w:val="0"/>
                      <w:marRight w:val="0"/>
                      <w:marTop w:val="0"/>
                      <w:marBottom w:val="0"/>
                      <w:divBdr>
                        <w:top w:val="none" w:sz="0" w:space="0" w:color="auto"/>
                        <w:left w:val="none" w:sz="0" w:space="0" w:color="auto"/>
                        <w:bottom w:val="none" w:sz="0" w:space="0" w:color="auto"/>
                        <w:right w:val="none" w:sz="0" w:space="0" w:color="auto"/>
                      </w:divBdr>
                      <w:divsChild>
                        <w:div w:id="1219904025">
                          <w:marLeft w:val="0"/>
                          <w:marRight w:val="0"/>
                          <w:marTop w:val="0"/>
                          <w:marBottom w:val="0"/>
                          <w:divBdr>
                            <w:top w:val="none" w:sz="0" w:space="0" w:color="auto"/>
                            <w:left w:val="none" w:sz="0" w:space="0" w:color="auto"/>
                            <w:bottom w:val="none" w:sz="0" w:space="0" w:color="auto"/>
                            <w:right w:val="none" w:sz="0" w:space="0" w:color="auto"/>
                          </w:divBdr>
                          <w:divsChild>
                            <w:div w:id="1373070475">
                              <w:marLeft w:val="0"/>
                              <w:marRight w:val="0"/>
                              <w:marTop w:val="0"/>
                              <w:marBottom w:val="0"/>
                              <w:divBdr>
                                <w:top w:val="none" w:sz="0" w:space="0" w:color="auto"/>
                                <w:left w:val="none" w:sz="0" w:space="0" w:color="auto"/>
                                <w:bottom w:val="none" w:sz="0" w:space="0" w:color="auto"/>
                                <w:right w:val="none" w:sz="0" w:space="0" w:color="auto"/>
                              </w:divBdr>
                              <w:divsChild>
                                <w:div w:id="132628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683151">
          <w:marLeft w:val="0"/>
          <w:marRight w:val="0"/>
          <w:marTop w:val="100"/>
          <w:marBottom w:val="100"/>
          <w:divBdr>
            <w:top w:val="none" w:sz="0" w:space="0" w:color="auto"/>
            <w:left w:val="none" w:sz="0" w:space="0" w:color="auto"/>
            <w:bottom w:val="none" w:sz="0" w:space="0" w:color="auto"/>
            <w:right w:val="none" w:sz="0" w:space="0" w:color="auto"/>
          </w:divBdr>
          <w:divsChild>
            <w:div w:id="1494948855">
              <w:marLeft w:val="0"/>
              <w:marRight w:val="0"/>
              <w:marTop w:val="0"/>
              <w:marBottom w:val="0"/>
              <w:divBdr>
                <w:top w:val="none" w:sz="0" w:space="0" w:color="auto"/>
                <w:left w:val="none" w:sz="0" w:space="0" w:color="auto"/>
                <w:bottom w:val="none" w:sz="0" w:space="0" w:color="auto"/>
                <w:right w:val="none" w:sz="0" w:space="0" w:color="auto"/>
              </w:divBdr>
              <w:divsChild>
                <w:div w:id="820804459">
                  <w:marLeft w:val="0"/>
                  <w:marRight w:val="0"/>
                  <w:marTop w:val="0"/>
                  <w:marBottom w:val="0"/>
                  <w:divBdr>
                    <w:top w:val="none" w:sz="0" w:space="0" w:color="auto"/>
                    <w:left w:val="none" w:sz="0" w:space="0" w:color="auto"/>
                    <w:bottom w:val="none" w:sz="0" w:space="0" w:color="auto"/>
                    <w:right w:val="none" w:sz="0" w:space="0" w:color="auto"/>
                  </w:divBdr>
                  <w:divsChild>
                    <w:div w:id="1118065701">
                      <w:marLeft w:val="0"/>
                      <w:marRight w:val="0"/>
                      <w:marTop w:val="0"/>
                      <w:marBottom w:val="0"/>
                      <w:divBdr>
                        <w:top w:val="none" w:sz="0" w:space="0" w:color="auto"/>
                        <w:left w:val="none" w:sz="0" w:space="0" w:color="auto"/>
                        <w:bottom w:val="none" w:sz="0" w:space="0" w:color="auto"/>
                        <w:right w:val="none" w:sz="0" w:space="0" w:color="auto"/>
                      </w:divBdr>
                      <w:divsChild>
                        <w:div w:id="484585904">
                          <w:marLeft w:val="0"/>
                          <w:marRight w:val="0"/>
                          <w:marTop w:val="0"/>
                          <w:marBottom w:val="0"/>
                          <w:divBdr>
                            <w:top w:val="none" w:sz="0" w:space="0" w:color="auto"/>
                            <w:left w:val="none" w:sz="0" w:space="0" w:color="auto"/>
                            <w:bottom w:val="none" w:sz="0" w:space="0" w:color="auto"/>
                            <w:right w:val="none" w:sz="0" w:space="0" w:color="auto"/>
                          </w:divBdr>
                          <w:divsChild>
                            <w:div w:id="2391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990383">
          <w:marLeft w:val="0"/>
          <w:marRight w:val="0"/>
          <w:marTop w:val="100"/>
          <w:marBottom w:val="100"/>
          <w:divBdr>
            <w:top w:val="none" w:sz="0" w:space="0" w:color="auto"/>
            <w:left w:val="none" w:sz="0" w:space="0" w:color="auto"/>
            <w:bottom w:val="none" w:sz="0" w:space="0" w:color="auto"/>
            <w:right w:val="none" w:sz="0" w:space="0" w:color="auto"/>
          </w:divBdr>
          <w:divsChild>
            <w:div w:id="587808591">
              <w:marLeft w:val="0"/>
              <w:marRight w:val="0"/>
              <w:marTop w:val="0"/>
              <w:marBottom w:val="0"/>
              <w:divBdr>
                <w:top w:val="none" w:sz="0" w:space="0" w:color="auto"/>
                <w:left w:val="none" w:sz="0" w:space="0" w:color="auto"/>
                <w:bottom w:val="none" w:sz="0" w:space="0" w:color="auto"/>
                <w:right w:val="none" w:sz="0" w:space="0" w:color="auto"/>
              </w:divBdr>
              <w:divsChild>
                <w:div w:id="1353416230">
                  <w:marLeft w:val="0"/>
                  <w:marRight w:val="0"/>
                  <w:marTop w:val="0"/>
                  <w:marBottom w:val="0"/>
                  <w:divBdr>
                    <w:top w:val="none" w:sz="0" w:space="0" w:color="auto"/>
                    <w:left w:val="none" w:sz="0" w:space="0" w:color="auto"/>
                    <w:bottom w:val="none" w:sz="0" w:space="0" w:color="auto"/>
                    <w:right w:val="none" w:sz="0" w:space="0" w:color="auto"/>
                  </w:divBdr>
                  <w:divsChild>
                    <w:div w:id="1324820521">
                      <w:marLeft w:val="0"/>
                      <w:marRight w:val="0"/>
                      <w:marTop w:val="0"/>
                      <w:marBottom w:val="0"/>
                      <w:divBdr>
                        <w:top w:val="none" w:sz="0" w:space="0" w:color="auto"/>
                        <w:left w:val="none" w:sz="0" w:space="0" w:color="auto"/>
                        <w:bottom w:val="none" w:sz="0" w:space="0" w:color="auto"/>
                        <w:right w:val="none" w:sz="0" w:space="0" w:color="auto"/>
                      </w:divBdr>
                      <w:divsChild>
                        <w:div w:id="1887065713">
                          <w:marLeft w:val="0"/>
                          <w:marRight w:val="0"/>
                          <w:marTop w:val="0"/>
                          <w:marBottom w:val="0"/>
                          <w:divBdr>
                            <w:top w:val="none" w:sz="0" w:space="0" w:color="auto"/>
                            <w:left w:val="none" w:sz="0" w:space="0" w:color="auto"/>
                            <w:bottom w:val="none" w:sz="0" w:space="0" w:color="auto"/>
                            <w:right w:val="none" w:sz="0" w:space="0" w:color="auto"/>
                          </w:divBdr>
                          <w:divsChild>
                            <w:div w:id="1324434576">
                              <w:marLeft w:val="0"/>
                              <w:marRight w:val="0"/>
                              <w:marTop w:val="0"/>
                              <w:marBottom w:val="0"/>
                              <w:divBdr>
                                <w:top w:val="none" w:sz="0" w:space="0" w:color="auto"/>
                                <w:left w:val="none" w:sz="0" w:space="0" w:color="auto"/>
                                <w:bottom w:val="none" w:sz="0" w:space="0" w:color="auto"/>
                                <w:right w:val="none" w:sz="0" w:space="0" w:color="auto"/>
                              </w:divBdr>
                              <w:divsChild>
                                <w:div w:id="8667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384916">
          <w:marLeft w:val="0"/>
          <w:marRight w:val="0"/>
          <w:marTop w:val="100"/>
          <w:marBottom w:val="100"/>
          <w:divBdr>
            <w:top w:val="none" w:sz="0" w:space="0" w:color="auto"/>
            <w:left w:val="none" w:sz="0" w:space="0" w:color="auto"/>
            <w:bottom w:val="none" w:sz="0" w:space="0" w:color="auto"/>
            <w:right w:val="none" w:sz="0" w:space="0" w:color="auto"/>
          </w:divBdr>
          <w:divsChild>
            <w:div w:id="1482842365">
              <w:marLeft w:val="0"/>
              <w:marRight w:val="0"/>
              <w:marTop w:val="0"/>
              <w:marBottom w:val="0"/>
              <w:divBdr>
                <w:top w:val="none" w:sz="0" w:space="0" w:color="auto"/>
                <w:left w:val="none" w:sz="0" w:space="0" w:color="auto"/>
                <w:bottom w:val="none" w:sz="0" w:space="0" w:color="auto"/>
                <w:right w:val="none" w:sz="0" w:space="0" w:color="auto"/>
              </w:divBdr>
              <w:divsChild>
                <w:div w:id="1615743540">
                  <w:marLeft w:val="0"/>
                  <w:marRight w:val="0"/>
                  <w:marTop w:val="0"/>
                  <w:marBottom w:val="0"/>
                  <w:divBdr>
                    <w:top w:val="none" w:sz="0" w:space="0" w:color="auto"/>
                    <w:left w:val="none" w:sz="0" w:space="0" w:color="auto"/>
                    <w:bottom w:val="none" w:sz="0" w:space="0" w:color="auto"/>
                    <w:right w:val="none" w:sz="0" w:space="0" w:color="auto"/>
                  </w:divBdr>
                  <w:divsChild>
                    <w:div w:id="1778057345">
                      <w:marLeft w:val="0"/>
                      <w:marRight w:val="0"/>
                      <w:marTop w:val="0"/>
                      <w:marBottom w:val="0"/>
                      <w:divBdr>
                        <w:top w:val="none" w:sz="0" w:space="0" w:color="auto"/>
                        <w:left w:val="none" w:sz="0" w:space="0" w:color="auto"/>
                        <w:bottom w:val="none" w:sz="0" w:space="0" w:color="auto"/>
                        <w:right w:val="none" w:sz="0" w:space="0" w:color="auto"/>
                      </w:divBdr>
                      <w:divsChild>
                        <w:div w:id="1247763976">
                          <w:marLeft w:val="0"/>
                          <w:marRight w:val="0"/>
                          <w:marTop w:val="0"/>
                          <w:marBottom w:val="0"/>
                          <w:divBdr>
                            <w:top w:val="none" w:sz="0" w:space="0" w:color="auto"/>
                            <w:left w:val="none" w:sz="0" w:space="0" w:color="auto"/>
                            <w:bottom w:val="none" w:sz="0" w:space="0" w:color="auto"/>
                            <w:right w:val="none" w:sz="0" w:space="0" w:color="auto"/>
                          </w:divBdr>
                          <w:divsChild>
                            <w:div w:id="81680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50718">
          <w:marLeft w:val="0"/>
          <w:marRight w:val="0"/>
          <w:marTop w:val="100"/>
          <w:marBottom w:val="100"/>
          <w:divBdr>
            <w:top w:val="none" w:sz="0" w:space="0" w:color="auto"/>
            <w:left w:val="none" w:sz="0" w:space="0" w:color="auto"/>
            <w:bottom w:val="none" w:sz="0" w:space="0" w:color="auto"/>
            <w:right w:val="none" w:sz="0" w:space="0" w:color="auto"/>
          </w:divBdr>
          <w:divsChild>
            <w:div w:id="1071931767">
              <w:marLeft w:val="0"/>
              <w:marRight w:val="0"/>
              <w:marTop w:val="0"/>
              <w:marBottom w:val="0"/>
              <w:divBdr>
                <w:top w:val="none" w:sz="0" w:space="0" w:color="auto"/>
                <w:left w:val="none" w:sz="0" w:space="0" w:color="auto"/>
                <w:bottom w:val="none" w:sz="0" w:space="0" w:color="auto"/>
                <w:right w:val="none" w:sz="0" w:space="0" w:color="auto"/>
              </w:divBdr>
              <w:divsChild>
                <w:div w:id="1517185410">
                  <w:marLeft w:val="0"/>
                  <w:marRight w:val="0"/>
                  <w:marTop w:val="0"/>
                  <w:marBottom w:val="0"/>
                  <w:divBdr>
                    <w:top w:val="none" w:sz="0" w:space="0" w:color="auto"/>
                    <w:left w:val="none" w:sz="0" w:space="0" w:color="auto"/>
                    <w:bottom w:val="none" w:sz="0" w:space="0" w:color="auto"/>
                    <w:right w:val="none" w:sz="0" w:space="0" w:color="auto"/>
                  </w:divBdr>
                  <w:divsChild>
                    <w:div w:id="872695889">
                      <w:marLeft w:val="0"/>
                      <w:marRight w:val="0"/>
                      <w:marTop w:val="0"/>
                      <w:marBottom w:val="0"/>
                      <w:divBdr>
                        <w:top w:val="none" w:sz="0" w:space="0" w:color="auto"/>
                        <w:left w:val="none" w:sz="0" w:space="0" w:color="auto"/>
                        <w:bottom w:val="none" w:sz="0" w:space="0" w:color="auto"/>
                        <w:right w:val="none" w:sz="0" w:space="0" w:color="auto"/>
                      </w:divBdr>
                      <w:divsChild>
                        <w:div w:id="1501652884">
                          <w:marLeft w:val="0"/>
                          <w:marRight w:val="0"/>
                          <w:marTop w:val="0"/>
                          <w:marBottom w:val="0"/>
                          <w:divBdr>
                            <w:top w:val="none" w:sz="0" w:space="0" w:color="auto"/>
                            <w:left w:val="none" w:sz="0" w:space="0" w:color="auto"/>
                            <w:bottom w:val="none" w:sz="0" w:space="0" w:color="auto"/>
                            <w:right w:val="none" w:sz="0" w:space="0" w:color="auto"/>
                          </w:divBdr>
                          <w:divsChild>
                            <w:div w:id="1096168864">
                              <w:marLeft w:val="0"/>
                              <w:marRight w:val="0"/>
                              <w:marTop w:val="0"/>
                              <w:marBottom w:val="0"/>
                              <w:divBdr>
                                <w:top w:val="none" w:sz="0" w:space="0" w:color="auto"/>
                                <w:left w:val="none" w:sz="0" w:space="0" w:color="auto"/>
                                <w:bottom w:val="none" w:sz="0" w:space="0" w:color="auto"/>
                                <w:right w:val="none" w:sz="0" w:space="0" w:color="auto"/>
                              </w:divBdr>
                              <w:divsChild>
                                <w:div w:id="73643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771978">
          <w:marLeft w:val="0"/>
          <w:marRight w:val="0"/>
          <w:marTop w:val="100"/>
          <w:marBottom w:val="100"/>
          <w:divBdr>
            <w:top w:val="none" w:sz="0" w:space="0" w:color="auto"/>
            <w:left w:val="none" w:sz="0" w:space="0" w:color="auto"/>
            <w:bottom w:val="none" w:sz="0" w:space="0" w:color="auto"/>
            <w:right w:val="none" w:sz="0" w:space="0" w:color="auto"/>
          </w:divBdr>
          <w:divsChild>
            <w:div w:id="1887793046">
              <w:marLeft w:val="0"/>
              <w:marRight w:val="0"/>
              <w:marTop w:val="0"/>
              <w:marBottom w:val="0"/>
              <w:divBdr>
                <w:top w:val="none" w:sz="0" w:space="0" w:color="auto"/>
                <w:left w:val="none" w:sz="0" w:space="0" w:color="auto"/>
                <w:bottom w:val="none" w:sz="0" w:space="0" w:color="auto"/>
                <w:right w:val="none" w:sz="0" w:space="0" w:color="auto"/>
              </w:divBdr>
              <w:divsChild>
                <w:div w:id="1708528367">
                  <w:marLeft w:val="0"/>
                  <w:marRight w:val="0"/>
                  <w:marTop w:val="0"/>
                  <w:marBottom w:val="0"/>
                  <w:divBdr>
                    <w:top w:val="none" w:sz="0" w:space="0" w:color="auto"/>
                    <w:left w:val="none" w:sz="0" w:space="0" w:color="auto"/>
                    <w:bottom w:val="none" w:sz="0" w:space="0" w:color="auto"/>
                    <w:right w:val="none" w:sz="0" w:space="0" w:color="auto"/>
                  </w:divBdr>
                  <w:divsChild>
                    <w:div w:id="875577841">
                      <w:marLeft w:val="0"/>
                      <w:marRight w:val="0"/>
                      <w:marTop w:val="0"/>
                      <w:marBottom w:val="0"/>
                      <w:divBdr>
                        <w:top w:val="none" w:sz="0" w:space="0" w:color="auto"/>
                        <w:left w:val="none" w:sz="0" w:space="0" w:color="auto"/>
                        <w:bottom w:val="none" w:sz="0" w:space="0" w:color="auto"/>
                        <w:right w:val="none" w:sz="0" w:space="0" w:color="auto"/>
                      </w:divBdr>
                      <w:divsChild>
                        <w:div w:id="1355575572">
                          <w:marLeft w:val="0"/>
                          <w:marRight w:val="0"/>
                          <w:marTop w:val="0"/>
                          <w:marBottom w:val="0"/>
                          <w:divBdr>
                            <w:top w:val="none" w:sz="0" w:space="0" w:color="auto"/>
                            <w:left w:val="none" w:sz="0" w:space="0" w:color="auto"/>
                            <w:bottom w:val="none" w:sz="0" w:space="0" w:color="auto"/>
                            <w:right w:val="none" w:sz="0" w:space="0" w:color="auto"/>
                          </w:divBdr>
                          <w:divsChild>
                            <w:div w:id="137226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751804">
      <w:bodyDiv w:val="1"/>
      <w:marLeft w:val="0"/>
      <w:marRight w:val="0"/>
      <w:marTop w:val="0"/>
      <w:marBottom w:val="0"/>
      <w:divBdr>
        <w:top w:val="none" w:sz="0" w:space="0" w:color="auto"/>
        <w:left w:val="none" w:sz="0" w:space="0" w:color="auto"/>
        <w:bottom w:val="none" w:sz="0" w:space="0" w:color="auto"/>
        <w:right w:val="none" w:sz="0" w:space="0" w:color="auto"/>
      </w:divBdr>
    </w:div>
    <w:div w:id="1473595386">
      <w:bodyDiv w:val="1"/>
      <w:marLeft w:val="0"/>
      <w:marRight w:val="0"/>
      <w:marTop w:val="0"/>
      <w:marBottom w:val="0"/>
      <w:divBdr>
        <w:top w:val="none" w:sz="0" w:space="0" w:color="auto"/>
        <w:left w:val="none" w:sz="0" w:space="0" w:color="auto"/>
        <w:bottom w:val="none" w:sz="0" w:space="0" w:color="auto"/>
        <w:right w:val="none" w:sz="0" w:space="0" w:color="auto"/>
      </w:divBdr>
    </w:div>
    <w:div w:id="1542596204">
      <w:bodyDiv w:val="1"/>
      <w:marLeft w:val="0"/>
      <w:marRight w:val="0"/>
      <w:marTop w:val="0"/>
      <w:marBottom w:val="0"/>
      <w:divBdr>
        <w:top w:val="none" w:sz="0" w:space="0" w:color="auto"/>
        <w:left w:val="none" w:sz="0" w:space="0" w:color="auto"/>
        <w:bottom w:val="none" w:sz="0" w:space="0" w:color="auto"/>
        <w:right w:val="none" w:sz="0" w:space="0" w:color="auto"/>
      </w:divBdr>
    </w:div>
    <w:div w:id="1585068479">
      <w:bodyDiv w:val="1"/>
      <w:marLeft w:val="0"/>
      <w:marRight w:val="0"/>
      <w:marTop w:val="0"/>
      <w:marBottom w:val="0"/>
      <w:divBdr>
        <w:top w:val="none" w:sz="0" w:space="0" w:color="auto"/>
        <w:left w:val="none" w:sz="0" w:space="0" w:color="auto"/>
        <w:bottom w:val="none" w:sz="0" w:space="0" w:color="auto"/>
        <w:right w:val="none" w:sz="0" w:space="0" w:color="auto"/>
      </w:divBdr>
      <w:divsChild>
        <w:div w:id="1227372832">
          <w:marLeft w:val="0"/>
          <w:marRight w:val="0"/>
          <w:marTop w:val="100"/>
          <w:marBottom w:val="100"/>
          <w:divBdr>
            <w:top w:val="none" w:sz="0" w:space="0" w:color="auto"/>
            <w:left w:val="none" w:sz="0" w:space="0" w:color="auto"/>
            <w:bottom w:val="none" w:sz="0" w:space="0" w:color="auto"/>
            <w:right w:val="none" w:sz="0" w:space="0" w:color="auto"/>
          </w:divBdr>
          <w:divsChild>
            <w:div w:id="413010553">
              <w:marLeft w:val="0"/>
              <w:marRight w:val="0"/>
              <w:marTop w:val="0"/>
              <w:marBottom w:val="0"/>
              <w:divBdr>
                <w:top w:val="none" w:sz="0" w:space="0" w:color="auto"/>
                <w:left w:val="none" w:sz="0" w:space="0" w:color="auto"/>
                <w:bottom w:val="none" w:sz="0" w:space="0" w:color="auto"/>
                <w:right w:val="none" w:sz="0" w:space="0" w:color="auto"/>
              </w:divBdr>
              <w:divsChild>
                <w:div w:id="873423940">
                  <w:marLeft w:val="0"/>
                  <w:marRight w:val="0"/>
                  <w:marTop w:val="0"/>
                  <w:marBottom w:val="0"/>
                  <w:divBdr>
                    <w:top w:val="none" w:sz="0" w:space="0" w:color="auto"/>
                    <w:left w:val="none" w:sz="0" w:space="0" w:color="auto"/>
                    <w:bottom w:val="none" w:sz="0" w:space="0" w:color="auto"/>
                    <w:right w:val="none" w:sz="0" w:space="0" w:color="auto"/>
                  </w:divBdr>
                  <w:divsChild>
                    <w:div w:id="990527834">
                      <w:marLeft w:val="0"/>
                      <w:marRight w:val="0"/>
                      <w:marTop w:val="0"/>
                      <w:marBottom w:val="0"/>
                      <w:divBdr>
                        <w:top w:val="none" w:sz="0" w:space="0" w:color="auto"/>
                        <w:left w:val="none" w:sz="0" w:space="0" w:color="auto"/>
                        <w:bottom w:val="none" w:sz="0" w:space="0" w:color="auto"/>
                        <w:right w:val="none" w:sz="0" w:space="0" w:color="auto"/>
                      </w:divBdr>
                      <w:divsChild>
                        <w:div w:id="408307555">
                          <w:marLeft w:val="0"/>
                          <w:marRight w:val="0"/>
                          <w:marTop w:val="0"/>
                          <w:marBottom w:val="0"/>
                          <w:divBdr>
                            <w:top w:val="none" w:sz="0" w:space="0" w:color="auto"/>
                            <w:left w:val="none" w:sz="0" w:space="0" w:color="auto"/>
                            <w:bottom w:val="none" w:sz="0" w:space="0" w:color="auto"/>
                            <w:right w:val="none" w:sz="0" w:space="0" w:color="auto"/>
                          </w:divBdr>
                          <w:divsChild>
                            <w:div w:id="408885874">
                              <w:marLeft w:val="0"/>
                              <w:marRight w:val="0"/>
                              <w:marTop w:val="0"/>
                              <w:marBottom w:val="0"/>
                              <w:divBdr>
                                <w:top w:val="none" w:sz="0" w:space="0" w:color="auto"/>
                                <w:left w:val="none" w:sz="0" w:space="0" w:color="auto"/>
                                <w:bottom w:val="none" w:sz="0" w:space="0" w:color="auto"/>
                                <w:right w:val="none" w:sz="0" w:space="0" w:color="auto"/>
                              </w:divBdr>
                              <w:divsChild>
                                <w:div w:id="20594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391781">
          <w:marLeft w:val="0"/>
          <w:marRight w:val="0"/>
          <w:marTop w:val="100"/>
          <w:marBottom w:val="100"/>
          <w:divBdr>
            <w:top w:val="none" w:sz="0" w:space="0" w:color="auto"/>
            <w:left w:val="none" w:sz="0" w:space="0" w:color="auto"/>
            <w:bottom w:val="none" w:sz="0" w:space="0" w:color="auto"/>
            <w:right w:val="none" w:sz="0" w:space="0" w:color="auto"/>
          </w:divBdr>
          <w:divsChild>
            <w:div w:id="1560557863">
              <w:marLeft w:val="0"/>
              <w:marRight w:val="0"/>
              <w:marTop w:val="0"/>
              <w:marBottom w:val="0"/>
              <w:divBdr>
                <w:top w:val="none" w:sz="0" w:space="0" w:color="auto"/>
                <w:left w:val="none" w:sz="0" w:space="0" w:color="auto"/>
                <w:bottom w:val="none" w:sz="0" w:space="0" w:color="auto"/>
                <w:right w:val="none" w:sz="0" w:space="0" w:color="auto"/>
              </w:divBdr>
              <w:divsChild>
                <w:div w:id="154997260">
                  <w:marLeft w:val="0"/>
                  <w:marRight w:val="0"/>
                  <w:marTop w:val="0"/>
                  <w:marBottom w:val="0"/>
                  <w:divBdr>
                    <w:top w:val="none" w:sz="0" w:space="0" w:color="auto"/>
                    <w:left w:val="none" w:sz="0" w:space="0" w:color="auto"/>
                    <w:bottom w:val="none" w:sz="0" w:space="0" w:color="auto"/>
                    <w:right w:val="none" w:sz="0" w:space="0" w:color="auto"/>
                  </w:divBdr>
                  <w:divsChild>
                    <w:div w:id="1153332546">
                      <w:marLeft w:val="0"/>
                      <w:marRight w:val="0"/>
                      <w:marTop w:val="0"/>
                      <w:marBottom w:val="0"/>
                      <w:divBdr>
                        <w:top w:val="none" w:sz="0" w:space="0" w:color="auto"/>
                        <w:left w:val="none" w:sz="0" w:space="0" w:color="auto"/>
                        <w:bottom w:val="none" w:sz="0" w:space="0" w:color="auto"/>
                        <w:right w:val="none" w:sz="0" w:space="0" w:color="auto"/>
                      </w:divBdr>
                      <w:divsChild>
                        <w:div w:id="335885471">
                          <w:marLeft w:val="0"/>
                          <w:marRight w:val="0"/>
                          <w:marTop w:val="0"/>
                          <w:marBottom w:val="0"/>
                          <w:divBdr>
                            <w:top w:val="none" w:sz="0" w:space="0" w:color="auto"/>
                            <w:left w:val="none" w:sz="0" w:space="0" w:color="auto"/>
                            <w:bottom w:val="none" w:sz="0" w:space="0" w:color="auto"/>
                            <w:right w:val="none" w:sz="0" w:space="0" w:color="auto"/>
                          </w:divBdr>
                          <w:divsChild>
                            <w:div w:id="15801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40864">
          <w:marLeft w:val="0"/>
          <w:marRight w:val="0"/>
          <w:marTop w:val="100"/>
          <w:marBottom w:val="100"/>
          <w:divBdr>
            <w:top w:val="none" w:sz="0" w:space="0" w:color="auto"/>
            <w:left w:val="none" w:sz="0" w:space="0" w:color="auto"/>
            <w:bottom w:val="none" w:sz="0" w:space="0" w:color="auto"/>
            <w:right w:val="none" w:sz="0" w:space="0" w:color="auto"/>
          </w:divBdr>
          <w:divsChild>
            <w:div w:id="190847678">
              <w:marLeft w:val="0"/>
              <w:marRight w:val="0"/>
              <w:marTop w:val="0"/>
              <w:marBottom w:val="0"/>
              <w:divBdr>
                <w:top w:val="none" w:sz="0" w:space="0" w:color="auto"/>
                <w:left w:val="none" w:sz="0" w:space="0" w:color="auto"/>
                <w:bottom w:val="none" w:sz="0" w:space="0" w:color="auto"/>
                <w:right w:val="none" w:sz="0" w:space="0" w:color="auto"/>
              </w:divBdr>
              <w:divsChild>
                <w:div w:id="1748308903">
                  <w:marLeft w:val="0"/>
                  <w:marRight w:val="0"/>
                  <w:marTop w:val="0"/>
                  <w:marBottom w:val="0"/>
                  <w:divBdr>
                    <w:top w:val="none" w:sz="0" w:space="0" w:color="auto"/>
                    <w:left w:val="none" w:sz="0" w:space="0" w:color="auto"/>
                    <w:bottom w:val="none" w:sz="0" w:space="0" w:color="auto"/>
                    <w:right w:val="none" w:sz="0" w:space="0" w:color="auto"/>
                  </w:divBdr>
                  <w:divsChild>
                    <w:div w:id="541526236">
                      <w:marLeft w:val="0"/>
                      <w:marRight w:val="0"/>
                      <w:marTop w:val="0"/>
                      <w:marBottom w:val="0"/>
                      <w:divBdr>
                        <w:top w:val="none" w:sz="0" w:space="0" w:color="auto"/>
                        <w:left w:val="none" w:sz="0" w:space="0" w:color="auto"/>
                        <w:bottom w:val="none" w:sz="0" w:space="0" w:color="auto"/>
                        <w:right w:val="none" w:sz="0" w:space="0" w:color="auto"/>
                      </w:divBdr>
                      <w:divsChild>
                        <w:div w:id="1432631277">
                          <w:marLeft w:val="0"/>
                          <w:marRight w:val="0"/>
                          <w:marTop w:val="0"/>
                          <w:marBottom w:val="0"/>
                          <w:divBdr>
                            <w:top w:val="none" w:sz="0" w:space="0" w:color="auto"/>
                            <w:left w:val="none" w:sz="0" w:space="0" w:color="auto"/>
                            <w:bottom w:val="none" w:sz="0" w:space="0" w:color="auto"/>
                            <w:right w:val="none" w:sz="0" w:space="0" w:color="auto"/>
                          </w:divBdr>
                          <w:divsChild>
                            <w:div w:id="1482384333">
                              <w:marLeft w:val="0"/>
                              <w:marRight w:val="0"/>
                              <w:marTop w:val="0"/>
                              <w:marBottom w:val="0"/>
                              <w:divBdr>
                                <w:top w:val="none" w:sz="0" w:space="0" w:color="auto"/>
                                <w:left w:val="none" w:sz="0" w:space="0" w:color="auto"/>
                                <w:bottom w:val="none" w:sz="0" w:space="0" w:color="auto"/>
                                <w:right w:val="none" w:sz="0" w:space="0" w:color="auto"/>
                              </w:divBdr>
                              <w:divsChild>
                                <w:div w:id="83449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208735">
          <w:marLeft w:val="0"/>
          <w:marRight w:val="0"/>
          <w:marTop w:val="100"/>
          <w:marBottom w:val="100"/>
          <w:divBdr>
            <w:top w:val="none" w:sz="0" w:space="0" w:color="auto"/>
            <w:left w:val="none" w:sz="0" w:space="0" w:color="auto"/>
            <w:bottom w:val="none" w:sz="0" w:space="0" w:color="auto"/>
            <w:right w:val="none" w:sz="0" w:space="0" w:color="auto"/>
          </w:divBdr>
          <w:divsChild>
            <w:div w:id="1720206690">
              <w:marLeft w:val="0"/>
              <w:marRight w:val="0"/>
              <w:marTop w:val="0"/>
              <w:marBottom w:val="0"/>
              <w:divBdr>
                <w:top w:val="none" w:sz="0" w:space="0" w:color="auto"/>
                <w:left w:val="none" w:sz="0" w:space="0" w:color="auto"/>
                <w:bottom w:val="none" w:sz="0" w:space="0" w:color="auto"/>
                <w:right w:val="none" w:sz="0" w:space="0" w:color="auto"/>
              </w:divBdr>
              <w:divsChild>
                <w:div w:id="995380215">
                  <w:marLeft w:val="0"/>
                  <w:marRight w:val="0"/>
                  <w:marTop w:val="0"/>
                  <w:marBottom w:val="0"/>
                  <w:divBdr>
                    <w:top w:val="none" w:sz="0" w:space="0" w:color="auto"/>
                    <w:left w:val="none" w:sz="0" w:space="0" w:color="auto"/>
                    <w:bottom w:val="none" w:sz="0" w:space="0" w:color="auto"/>
                    <w:right w:val="none" w:sz="0" w:space="0" w:color="auto"/>
                  </w:divBdr>
                  <w:divsChild>
                    <w:div w:id="1998066310">
                      <w:marLeft w:val="0"/>
                      <w:marRight w:val="0"/>
                      <w:marTop w:val="0"/>
                      <w:marBottom w:val="0"/>
                      <w:divBdr>
                        <w:top w:val="none" w:sz="0" w:space="0" w:color="auto"/>
                        <w:left w:val="none" w:sz="0" w:space="0" w:color="auto"/>
                        <w:bottom w:val="none" w:sz="0" w:space="0" w:color="auto"/>
                        <w:right w:val="none" w:sz="0" w:space="0" w:color="auto"/>
                      </w:divBdr>
                      <w:divsChild>
                        <w:div w:id="2111775983">
                          <w:marLeft w:val="0"/>
                          <w:marRight w:val="0"/>
                          <w:marTop w:val="0"/>
                          <w:marBottom w:val="0"/>
                          <w:divBdr>
                            <w:top w:val="none" w:sz="0" w:space="0" w:color="auto"/>
                            <w:left w:val="none" w:sz="0" w:space="0" w:color="auto"/>
                            <w:bottom w:val="none" w:sz="0" w:space="0" w:color="auto"/>
                            <w:right w:val="none" w:sz="0" w:space="0" w:color="auto"/>
                          </w:divBdr>
                          <w:divsChild>
                            <w:div w:id="19113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26944">
          <w:marLeft w:val="0"/>
          <w:marRight w:val="0"/>
          <w:marTop w:val="100"/>
          <w:marBottom w:val="100"/>
          <w:divBdr>
            <w:top w:val="none" w:sz="0" w:space="0" w:color="auto"/>
            <w:left w:val="none" w:sz="0" w:space="0" w:color="auto"/>
            <w:bottom w:val="none" w:sz="0" w:space="0" w:color="auto"/>
            <w:right w:val="none" w:sz="0" w:space="0" w:color="auto"/>
          </w:divBdr>
          <w:divsChild>
            <w:div w:id="1012490562">
              <w:marLeft w:val="0"/>
              <w:marRight w:val="0"/>
              <w:marTop w:val="0"/>
              <w:marBottom w:val="0"/>
              <w:divBdr>
                <w:top w:val="none" w:sz="0" w:space="0" w:color="auto"/>
                <w:left w:val="none" w:sz="0" w:space="0" w:color="auto"/>
                <w:bottom w:val="none" w:sz="0" w:space="0" w:color="auto"/>
                <w:right w:val="none" w:sz="0" w:space="0" w:color="auto"/>
              </w:divBdr>
              <w:divsChild>
                <w:div w:id="144515653">
                  <w:marLeft w:val="0"/>
                  <w:marRight w:val="0"/>
                  <w:marTop w:val="0"/>
                  <w:marBottom w:val="0"/>
                  <w:divBdr>
                    <w:top w:val="none" w:sz="0" w:space="0" w:color="auto"/>
                    <w:left w:val="none" w:sz="0" w:space="0" w:color="auto"/>
                    <w:bottom w:val="none" w:sz="0" w:space="0" w:color="auto"/>
                    <w:right w:val="none" w:sz="0" w:space="0" w:color="auto"/>
                  </w:divBdr>
                  <w:divsChild>
                    <w:div w:id="1409226941">
                      <w:marLeft w:val="0"/>
                      <w:marRight w:val="0"/>
                      <w:marTop w:val="0"/>
                      <w:marBottom w:val="0"/>
                      <w:divBdr>
                        <w:top w:val="none" w:sz="0" w:space="0" w:color="auto"/>
                        <w:left w:val="none" w:sz="0" w:space="0" w:color="auto"/>
                        <w:bottom w:val="none" w:sz="0" w:space="0" w:color="auto"/>
                        <w:right w:val="none" w:sz="0" w:space="0" w:color="auto"/>
                      </w:divBdr>
                      <w:divsChild>
                        <w:div w:id="891891868">
                          <w:marLeft w:val="0"/>
                          <w:marRight w:val="0"/>
                          <w:marTop w:val="0"/>
                          <w:marBottom w:val="0"/>
                          <w:divBdr>
                            <w:top w:val="none" w:sz="0" w:space="0" w:color="auto"/>
                            <w:left w:val="none" w:sz="0" w:space="0" w:color="auto"/>
                            <w:bottom w:val="none" w:sz="0" w:space="0" w:color="auto"/>
                            <w:right w:val="none" w:sz="0" w:space="0" w:color="auto"/>
                          </w:divBdr>
                          <w:divsChild>
                            <w:div w:id="188492557">
                              <w:marLeft w:val="0"/>
                              <w:marRight w:val="0"/>
                              <w:marTop w:val="0"/>
                              <w:marBottom w:val="0"/>
                              <w:divBdr>
                                <w:top w:val="none" w:sz="0" w:space="0" w:color="auto"/>
                                <w:left w:val="none" w:sz="0" w:space="0" w:color="auto"/>
                                <w:bottom w:val="none" w:sz="0" w:space="0" w:color="auto"/>
                                <w:right w:val="none" w:sz="0" w:space="0" w:color="auto"/>
                              </w:divBdr>
                              <w:divsChild>
                                <w:div w:id="11343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446233">
          <w:marLeft w:val="0"/>
          <w:marRight w:val="0"/>
          <w:marTop w:val="100"/>
          <w:marBottom w:val="100"/>
          <w:divBdr>
            <w:top w:val="none" w:sz="0" w:space="0" w:color="auto"/>
            <w:left w:val="none" w:sz="0" w:space="0" w:color="auto"/>
            <w:bottom w:val="none" w:sz="0" w:space="0" w:color="auto"/>
            <w:right w:val="none" w:sz="0" w:space="0" w:color="auto"/>
          </w:divBdr>
          <w:divsChild>
            <w:div w:id="1654991923">
              <w:marLeft w:val="0"/>
              <w:marRight w:val="0"/>
              <w:marTop w:val="0"/>
              <w:marBottom w:val="0"/>
              <w:divBdr>
                <w:top w:val="none" w:sz="0" w:space="0" w:color="auto"/>
                <w:left w:val="none" w:sz="0" w:space="0" w:color="auto"/>
                <w:bottom w:val="none" w:sz="0" w:space="0" w:color="auto"/>
                <w:right w:val="none" w:sz="0" w:space="0" w:color="auto"/>
              </w:divBdr>
              <w:divsChild>
                <w:div w:id="1210189507">
                  <w:marLeft w:val="0"/>
                  <w:marRight w:val="0"/>
                  <w:marTop w:val="0"/>
                  <w:marBottom w:val="0"/>
                  <w:divBdr>
                    <w:top w:val="none" w:sz="0" w:space="0" w:color="auto"/>
                    <w:left w:val="none" w:sz="0" w:space="0" w:color="auto"/>
                    <w:bottom w:val="none" w:sz="0" w:space="0" w:color="auto"/>
                    <w:right w:val="none" w:sz="0" w:space="0" w:color="auto"/>
                  </w:divBdr>
                  <w:divsChild>
                    <w:div w:id="1664771224">
                      <w:marLeft w:val="0"/>
                      <w:marRight w:val="0"/>
                      <w:marTop w:val="0"/>
                      <w:marBottom w:val="0"/>
                      <w:divBdr>
                        <w:top w:val="none" w:sz="0" w:space="0" w:color="auto"/>
                        <w:left w:val="none" w:sz="0" w:space="0" w:color="auto"/>
                        <w:bottom w:val="none" w:sz="0" w:space="0" w:color="auto"/>
                        <w:right w:val="none" w:sz="0" w:space="0" w:color="auto"/>
                      </w:divBdr>
                      <w:divsChild>
                        <w:div w:id="1725519997">
                          <w:marLeft w:val="0"/>
                          <w:marRight w:val="0"/>
                          <w:marTop w:val="0"/>
                          <w:marBottom w:val="0"/>
                          <w:divBdr>
                            <w:top w:val="none" w:sz="0" w:space="0" w:color="auto"/>
                            <w:left w:val="none" w:sz="0" w:space="0" w:color="auto"/>
                            <w:bottom w:val="none" w:sz="0" w:space="0" w:color="auto"/>
                            <w:right w:val="none" w:sz="0" w:space="0" w:color="auto"/>
                          </w:divBdr>
                          <w:divsChild>
                            <w:div w:id="19897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571997">
          <w:marLeft w:val="0"/>
          <w:marRight w:val="0"/>
          <w:marTop w:val="100"/>
          <w:marBottom w:val="100"/>
          <w:divBdr>
            <w:top w:val="none" w:sz="0" w:space="0" w:color="auto"/>
            <w:left w:val="none" w:sz="0" w:space="0" w:color="auto"/>
            <w:bottom w:val="none" w:sz="0" w:space="0" w:color="auto"/>
            <w:right w:val="none" w:sz="0" w:space="0" w:color="auto"/>
          </w:divBdr>
          <w:divsChild>
            <w:div w:id="1211191856">
              <w:marLeft w:val="0"/>
              <w:marRight w:val="0"/>
              <w:marTop w:val="0"/>
              <w:marBottom w:val="0"/>
              <w:divBdr>
                <w:top w:val="none" w:sz="0" w:space="0" w:color="auto"/>
                <w:left w:val="none" w:sz="0" w:space="0" w:color="auto"/>
                <w:bottom w:val="none" w:sz="0" w:space="0" w:color="auto"/>
                <w:right w:val="none" w:sz="0" w:space="0" w:color="auto"/>
              </w:divBdr>
              <w:divsChild>
                <w:div w:id="503589219">
                  <w:marLeft w:val="0"/>
                  <w:marRight w:val="0"/>
                  <w:marTop w:val="0"/>
                  <w:marBottom w:val="0"/>
                  <w:divBdr>
                    <w:top w:val="none" w:sz="0" w:space="0" w:color="auto"/>
                    <w:left w:val="none" w:sz="0" w:space="0" w:color="auto"/>
                    <w:bottom w:val="none" w:sz="0" w:space="0" w:color="auto"/>
                    <w:right w:val="none" w:sz="0" w:space="0" w:color="auto"/>
                  </w:divBdr>
                  <w:divsChild>
                    <w:div w:id="1231379893">
                      <w:marLeft w:val="0"/>
                      <w:marRight w:val="0"/>
                      <w:marTop w:val="0"/>
                      <w:marBottom w:val="0"/>
                      <w:divBdr>
                        <w:top w:val="none" w:sz="0" w:space="0" w:color="auto"/>
                        <w:left w:val="none" w:sz="0" w:space="0" w:color="auto"/>
                        <w:bottom w:val="none" w:sz="0" w:space="0" w:color="auto"/>
                        <w:right w:val="none" w:sz="0" w:space="0" w:color="auto"/>
                      </w:divBdr>
                      <w:divsChild>
                        <w:div w:id="1456555268">
                          <w:marLeft w:val="0"/>
                          <w:marRight w:val="0"/>
                          <w:marTop w:val="0"/>
                          <w:marBottom w:val="0"/>
                          <w:divBdr>
                            <w:top w:val="none" w:sz="0" w:space="0" w:color="auto"/>
                            <w:left w:val="none" w:sz="0" w:space="0" w:color="auto"/>
                            <w:bottom w:val="none" w:sz="0" w:space="0" w:color="auto"/>
                            <w:right w:val="none" w:sz="0" w:space="0" w:color="auto"/>
                          </w:divBdr>
                          <w:divsChild>
                            <w:div w:id="1117602009">
                              <w:marLeft w:val="0"/>
                              <w:marRight w:val="0"/>
                              <w:marTop w:val="0"/>
                              <w:marBottom w:val="0"/>
                              <w:divBdr>
                                <w:top w:val="none" w:sz="0" w:space="0" w:color="auto"/>
                                <w:left w:val="none" w:sz="0" w:space="0" w:color="auto"/>
                                <w:bottom w:val="none" w:sz="0" w:space="0" w:color="auto"/>
                                <w:right w:val="none" w:sz="0" w:space="0" w:color="auto"/>
                              </w:divBdr>
                              <w:divsChild>
                                <w:div w:id="832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786223">
          <w:marLeft w:val="0"/>
          <w:marRight w:val="0"/>
          <w:marTop w:val="100"/>
          <w:marBottom w:val="100"/>
          <w:divBdr>
            <w:top w:val="none" w:sz="0" w:space="0" w:color="auto"/>
            <w:left w:val="none" w:sz="0" w:space="0" w:color="auto"/>
            <w:bottom w:val="none" w:sz="0" w:space="0" w:color="auto"/>
            <w:right w:val="none" w:sz="0" w:space="0" w:color="auto"/>
          </w:divBdr>
          <w:divsChild>
            <w:div w:id="734203207">
              <w:marLeft w:val="0"/>
              <w:marRight w:val="0"/>
              <w:marTop w:val="0"/>
              <w:marBottom w:val="0"/>
              <w:divBdr>
                <w:top w:val="none" w:sz="0" w:space="0" w:color="auto"/>
                <w:left w:val="none" w:sz="0" w:space="0" w:color="auto"/>
                <w:bottom w:val="none" w:sz="0" w:space="0" w:color="auto"/>
                <w:right w:val="none" w:sz="0" w:space="0" w:color="auto"/>
              </w:divBdr>
              <w:divsChild>
                <w:div w:id="2036343768">
                  <w:marLeft w:val="0"/>
                  <w:marRight w:val="0"/>
                  <w:marTop w:val="0"/>
                  <w:marBottom w:val="0"/>
                  <w:divBdr>
                    <w:top w:val="none" w:sz="0" w:space="0" w:color="auto"/>
                    <w:left w:val="none" w:sz="0" w:space="0" w:color="auto"/>
                    <w:bottom w:val="none" w:sz="0" w:space="0" w:color="auto"/>
                    <w:right w:val="none" w:sz="0" w:space="0" w:color="auto"/>
                  </w:divBdr>
                  <w:divsChild>
                    <w:div w:id="172258058">
                      <w:marLeft w:val="0"/>
                      <w:marRight w:val="0"/>
                      <w:marTop w:val="0"/>
                      <w:marBottom w:val="0"/>
                      <w:divBdr>
                        <w:top w:val="none" w:sz="0" w:space="0" w:color="auto"/>
                        <w:left w:val="none" w:sz="0" w:space="0" w:color="auto"/>
                        <w:bottom w:val="none" w:sz="0" w:space="0" w:color="auto"/>
                        <w:right w:val="none" w:sz="0" w:space="0" w:color="auto"/>
                      </w:divBdr>
                      <w:divsChild>
                        <w:div w:id="1722443079">
                          <w:marLeft w:val="0"/>
                          <w:marRight w:val="0"/>
                          <w:marTop w:val="0"/>
                          <w:marBottom w:val="0"/>
                          <w:divBdr>
                            <w:top w:val="none" w:sz="0" w:space="0" w:color="auto"/>
                            <w:left w:val="none" w:sz="0" w:space="0" w:color="auto"/>
                            <w:bottom w:val="none" w:sz="0" w:space="0" w:color="auto"/>
                            <w:right w:val="none" w:sz="0" w:space="0" w:color="auto"/>
                          </w:divBdr>
                          <w:divsChild>
                            <w:div w:id="17204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385609">
          <w:marLeft w:val="0"/>
          <w:marRight w:val="0"/>
          <w:marTop w:val="100"/>
          <w:marBottom w:val="100"/>
          <w:divBdr>
            <w:top w:val="none" w:sz="0" w:space="0" w:color="auto"/>
            <w:left w:val="none" w:sz="0" w:space="0" w:color="auto"/>
            <w:bottom w:val="none" w:sz="0" w:space="0" w:color="auto"/>
            <w:right w:val="none" w:sz="0" w:space="0" w:color="auto"/>
          </w:divBdr>
          <w:divsChild>
            <w:div w:id="19666796">
              <w:marLeft w:val="0"/>
              <w:marRight w:val="0"/>
              <w:marTop w:val="0"/>
              <w:marBottom w:val="0"/>
              <w:divBdr>
                <w:top w:val="none" w:sz="0" w:space="0" w:color="auto"/>
                <w:left w:val="none" w:sz="0" w:space="0" w:color="auto"/>
                <w:bottom w:val="none" w:sz="0" w:space="0" w:color="auto"/>
                <w:right w:val="none" w:sz="0" w:space="0" w:color="auto"/>
              </w:divBdr>
              <w:divsChild>
                <w:div w:id="2116319848">
                  <w:marLeft w:val="0"/>
                  <w:marRight w:val="0"/>
                  <w:marTop w:val="0"/>
                  <w:marBottom w:val="0"/>
                  <w:divBdr>
                    <w:top w:val="none" w:sz="0" w:space="0" w:color="auto"/>
                    <w:left w:val="none" w:sz="0" w:space="0" w:color="auto"/>
                    <w:bottom w:val="none" w:sz="0" w:space="0" w:color="auto"/>
                    <w:right w:val="none" w:sz="0" w:space="0" w:color="auto"/>
                  </w:divBdr>
                  <w:divsChild>
                    <w:div w:id="185103678">
                      <w:marLeft w:val="0"/>
                      <w:marRight w:val="0"/>
                      <w:marTop w:val="0"/>
                      <w:marBottom w:val="0"/>
                      <w:divBdr>
                        <w:top w:val="none" w:sz="0" w:space="0" w:color="auto"/>
                        <w:left w:val="none" w:sz="0" w:space="0" w:color="auto"/>
                        <w:bottom w:val="none" w:sz="0" w:space="0" w:color="auto"/>
                        <w:right w:val="none" w:sz="0" w:space="0" w:color="auto"/>
                      </w:divBdr>
                      <w:divsChild>
                        <w:div w:id="99254218">
                          <w:marLeft w:val="0"/>
                          <w:marRight w:val="0"/>
                          <w:marTop w:val="0"/>
                          <w:marBottom w:val="0"/>
                          <w:divBdr>
                            <w:top w:val="none" w:sz="0" w:space="0" w:color="auto"/>
                            <w:left w:val="none" w:sz="0" w:space="0" w:color="auto"/>
                            <w:bottom w:val="none" w:sz="0" w:space="0" w:color="auto"/>
                            <w:right w:val="none" w:sz="0" w:space="0" w:color="auto"/>
                          </w:divBdr>
                          <w:divsChild>
                            <w:div w:id="32006187">
                              <w:marLeft w:val="0"/>
                              <w:marRight w:val="0"/>
                              <w:marTop w:val="0"/>
                              <w:marBottom w:val="0"/>
                              <w:divBdr>
                                <w:top w:val="none" w:sz="0" w:space="0" w:color="auto"/>
                                <w:left w:val="none" w:sz="0" w:space="0" w:color="auto"/>
                                <w:bottom w:val="none" w:sz="0" w:space="0" w:color="auto"/>
                                <w:right w:val="none" w:sz="0" w:space="0" w:color="auto"/>
                              </w:divBdr>
                              <w:divsChild>
                                <w:div w:id="5478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740010">
          <w:marLeft w:val="0"/>
          <w:marRight w:val="0"/>
          <w:marTop w:val="100"/>
          <w:marBottom w:val="100"/>
          <w:divBdr>
            <w:top w:val="none" w:sz="0" w:space="0" w:color="auto"/>
            <w:left w:val="none" w:sz="0" w:space="0" w:color="auto"/>
            <w:bottom w:val="none" w:sz="0" w:space="0" w:color="auto"/>
            <w:right w:val="none" w:sz="0" w:space="0" w:color="auto"/>
          </w:divBdr>
          <w:divsChild>
            <w:div w:id="392460702">
              <w:marLeft w:val="0"/>
              <w:marRight w:val="0"/>
              <w:marTop w:val="0"/>
              <w:marBottom w:val="0"/>
              <w:divBdr>
                <w:top w:val="none" w:sz="0" w:space="0" w:color="auto"/>
                <w:left w:val="none" w:sz="0" w:space="0" w:color="auto"/>
                <w:bottom w:val="none" w:sz="0" w:space="0" w:color="auto"/>
                <w:right w:val="none" w:sz="0" w:space="0" w:color="auto"/>
              </w:divBdr>
              <w:divsChild>
                <w:div w:id="64836054">
                  <w:marLeft w:val="0"/>
                  <w:marRight w:val="0"/>
                  <w:marTop w:val="0"/>
                  <w:marBottom w:val="0"/>
                  <w:divBdr>
                    <w:top w:val="none" w:sz="0" w:space="0" w:color="auto"/>
                    <w:left w:val="none" w:sz="0" w:space="0" w:color="auto"/>
                    <w:bottom w:val="none" w:sz="0" w:space="0" w:color="auto"/>
                    <w:right w:val="none" w:sz="0" w:space="0" w:color="auto"/>
                  </w:divBdr>
                  <w:divsChild>
                    <w:div w:id="430246055">
                      <w:marLeft w:val="0"/>
                      <w:marRight w:val="0"/>
                      <w:marTop w:val="0"/>
                      <w:marBottom w:val="0"/>
                      <w:divBdr>
                        <w:top w:val="none" w:sz="0" w:space="0" w:color="auto"/>
                        <w:left w:val="none" w:sz="0" w:space="0" w:color="auto"/>
                        <w:bottom w:val="none" w:sz="0" w:space="0" w:color="auto"/>
                        <w:right w:val="none" w:sz="0" w:space="0" w:color="auto"/>
                      </w:divBdr>
                      <w:divsChild>
                        <w:div w:id="709112416">
                          <w:marLeft w:val="0"/>
                          <w:marRight w:val="0"/>
                          <w:marTop w:val="0"/>
                          <w:marBottom w:val="0"/>
                          <w:divBdr>
                            <w:top w:val="none" w:sz="0" w:space="0" w:color="auto"/>
                            <w:left w:val="none" w:sz="0" w:space="0" w:color="auto"/>
                            <w:bottom w:val="none" w:sz="0" w:space="0" w:color="auto"/>
                            <w:right w:val="none" w:sz="0" w:space="0" w:color="auto"/>
                          </w:divBdr>
                          <w:divsChild>
                            <w:div w:id="16463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931848">
          <w:marLeft w:val="0"/>
          <w:marRight w:val="0"/>
          <w:marTop w:val="100"/>
          <w:marBottom w:val="100"/>
          <w:divBdr>
            <w:top w:val="none" w:sz="0" w:space="0" w:color="auto"/>
            <w:left w:val="none" w:sz="0" w:space="0" w:color="auto"/>
            <w:bottom w:val="none" w:sz="0" w:space="0" w:color="auto"/>
            <w:right w:val="none" w:sz="0" w:space="0" w:color="auto"/>
          </w:divBdr>
          <w:divsChild>
            <w:div w:id="1774282560">
              <w:marLeft w:val="0"/>
              <w:marRight w:val="0"/>
              <w:marTop w:val="0"/>
              <w:marBottom w:val="0"/>
              <w:divBdr>
                <w:top w:val="none" w:sz="0" w:space="0" w:color="auto"/>
                <w:left w:val="none" w:sz="0" w:space="0" w:color="auto"/>
                <w:bottom w:val="none" w:sz="0" w:space="0" w:color="auto"/>
                <w:right w:val="none" w:sz="0" w:space="0" w:color="auto"/>
              </w:divBdr>
              <w:divsChild>
                <w:div w:id="2037269148">
                  <w:marLeft w:val="0"/>
                  <w:marRight w:val="0"/>
                  <w:marTop w:val="0"/>
                  <w:marBottom w:val="0"/>
                  <w:divBdr>
                    <w:top w:val="none" w:sz="0" w:space="0" w:color="auto"/>
                    <w:left w:val="none" w:sz="0" w:space="0" w:color="auto"/>
                    <w:bottom w:val="none" w:sz="0" w:space="0" w:color="auto"/>
                    <w:right w:val="none" w:sz="0" w:space="0" w:color="auto"/>
                  </w:divBdr>
                  <w:divsChild>
                    <w:div w:id="1961569760">
                      <w:marLeft w:val="0"/>
                      <w:marRight w:val="0"/>
                      <w:marTop w:val="0"/>
                      <w:marBottom w:val="0"/>
                      <w:divBdr>
                        <w:top w:val="none" w:sz="0" w:space="0" w:color="auto"/>
                        <w:left w:val="none" w:sz="0" w:space="0" w:color="auto"/>
                        <w:bottom w:val="none" w:sz="0" w:space="0" w:color="auto"/>
                        <w:right w:val="none" w:sz="0" w:space="0" w:color="auto"/>
                      </w:divBdr>
                      <w:divsChild>
                        <w:div w:id="620501367">
                          <w:marLeft w:val="0"/>
                          <w:marRight w:val="0"/>
                          <w:marTop w:val="0"/>
                          <w:marBottom w:val="0"/>
                          <w:divBdr>
                            <w:top w:val="none" w:sz="0" w:space="0" w:color="auto"/>
                            <w:left w:val="none" w:sz="0" w:space="0" w:color="auto"/>
                            <w:bottom w:val="none" w:sz="0" w:space="0" w:color="auto"/>
                            <w:right w:val="none" w:sz="0" w:space="0" w:color="auto"/>
                          </w:divBdr>
                          <w:divsChild>
                            <w:div w:id="1269509187">
                              <w:marLeft w:val="0"/>
                              <w:marRight w:val="0"/>
                              <w:marTop w:val="0"/>
                              <w:marBottom w:val="0"/>
                              <w:divBdr>
                                <w:top w:val="none" w:sz="0" w:space="0" w:color="auto"/>
                                <w:left w:val="none" w:sz="0" w:space="0" w:color="auto"/>
                                <w:bottom w:val="none" w:sz="0" w:space="0" w:color="auto"/>
                                <w:right w:val="none" w:sz="0" w:space="0" w:color="auto"/>
                              </w:divBdr>
                              <w:divsChild>
                                <w:div w:id="8823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746580">
          <w:marLeft w:val="0"/>
          <w:marRight w:val="0"/>
          <w:marTop w:val="100"/>
          <w:marBottom w:val="100"/>
          <w:divBdr>
            <w:top w:val="none" w:sz="0" w:space="0" w:color="auto"/>
            <w:left w:val="none" w:sz="0" w:space="0" w:color="auto"/>
            <w:bottom w:val="none" w:sz="0" w:space="0" w:color="auto"/>
            <w:right w:val="none" w:sz="0" w:space="0" w:color="auto"/>
          </w:divBdr>
          <w:divsChild>
            <w:div w:id="389353293">
              <w:marLeft w:val="0"/>
              <w:marRight w:val="0"/>
              <w:marTop w:val="0"/>
              <w:marBottom w:val="0"/>
              <w:divBdr>
                <w:top w:val="none" w:sz="0" w:space="0" w:color="auto"/>
                <w:left w:val="none" w:sz="0" w:space="0" w:color="auto"/>
                <w:bottom w:val="none" w:sz="0" w:space="0" w:color="auto"/>
                <w:right w:val="none" w:sz="0" w:space="0" w:color="auto"/>
              </w:divBdr>
              <w:divsChild>
                <w:div w:id="1523517901">
                  <w:marLeft w:val="0"/>
                  <w:marRight w:val="0"/>
                  <w:marTop w:val="0"/>
                  <w:marBottom w:val="0"/>
                  <w:divBdr>
                    <w:top w:val="none" w:sz="0" w:space="0" w:color="auto"/>
                    <w:left w:val="none" w:sz="0" w:space="0" w:color="auto"/>
                    <w:bottom w:val="none" w:sz="0" w:space="0" w:color="auto"/>
                    <w:right w:val="none" w:sz="0" w:space="0" w:color="auto"/>
                  </w:divBdr>
                  <w:divsChild>
                    <w:div w:id="1730374929">
                      <w:marLeft w:val="0"/>
                      <w:marRight w:val="0"/>
                      <w:marTop w:val="0"/>
                      <w:marBottom w:val="0"/>
                      <w:divBdr>
                        <w:top w:val="none" w:sz="0" w:space="0" w:color="auto"/>
                        <w:left w:val="none" w:sz="0" w:space="0" w:color="auto"/>
                        <w:bottom w:val="none" w:sz="0" w:space="0" w:color="auto"/>
                        <w:right w:val="none" w:sz="0" w:space="0" w:color="auto"/>
                      </w:divBdr>
                      <w:divsChild>
                        <w:div w:id="95292579">
                          <w:marLeft w:val="0"/>
                          <w:marRight w:val="0"/>
                          <w:marTop w:val="0"/>
                          <w:marBottom w:val="0"/>
                          <w:divBdr>
                            <w:top w:val="none" w:sz="0" w:space="0" w:color="auto"/>
                            <w:left w:val="none" w:sz="0" w:space="0" w:color="auto"/>
                            <w:bottom w:val="none" w:sz="0" w:space="0" w:color="auto"/>
                            <w:right w:val="none" w:sz="0" w:space="0" w:color="auto"/>
                          </w:divBdr>
                          <w:divsChild>
                            <w:div w:id="3444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648589">
          <w:marLeft w:val="0"/>
          <w:marRight w:val="0"/>
          <w:marTop w:val="100"/>
          <w:marBottom w:val="100"/>
          <w:divBdr>
            <w:top w:val="none" w:sz="0" w:space="0" w:color="auto"/>
            <w:left w:val="none" w:sz="0" w:space="0" w:color="auto"/>
            <w:bottom w:val="none" w:sz="0" w:space="0" w:color="auto"/>
            <w:right w:val="none" w:sz="0" w:space="0" w:color="auto"/>
          </w:divBdr>
          <w:divsChild>
            <w:div w:id="1407872834">
              <w:marLeft w:val="0"/>
              <w:marRight w:val="0"/>
              <w:marTop w:val="0"/>
              <w:marBottom w:val="0"/>
              <w:divBdr>
                <w:top w:val="none" w:sz="0" w:space="0" w:color="auto"/>
                <w:left w:val="none" w:sz="0" w:space="0" w:color="auto"/>
                <w:bottom w:val="none" w:sz="0" w:space="0" w:color="auto"/>
                <w:right w:val="none" w:sz="0" w:space="0" w:color="auto"/>
              </w:divBdr>
              <w:divsChild>
                <w:div w:id="1501240808">
                  <w:marLeft w:val="0"/>
                  <w:marRight w:val="0"/>
                  <w:marTop w:val="0"/>
                  <w:marBottom w:val="0"/>
                  <w:divBdr>
                    <w:top w:val="none" w:sz="0" w:space="0" w:color="auto"/>
                    <w:left w:val="none" w:sz="0" w:space="0" w:color="auto"/>
                    <w:bottom w:val="none" w:sz="0" w:space="0" w:color="auto"/>
                    <w:right w:val="none" w:sz="0" w:space="0" w:color="auto"/>
                  </w:divBdr>
                  <w:divsChild>
                    <w:div w:id="377625447">
                      <w:marLeft w:val="0"/>
                      <w:marRight w:val="0"/>
                      <w:marTop w:val="0"/>
                      <w:marBottom w:val="0"/>
                      <w:divBdr>
                        <w:top w:val="none" w:sz="0" w:space="0" w:color="auto"/>
                        <w:left w:val="none" w:sz="0" w:space="0" w:color="auto"/>
                        <w:bottom w:val="none" w:sz="0" w:space="0" w:color="auto"/>
                        <w:right w:val="none" w:sz="0" w:space="0" w:color="auto"/>
                      </w:divBdr>
                      <w:divsChild>
                        <w:div w:id="814495138">
                          <w:marLeft w:val="0"/>
                          <w:marRight w:val="0"/>
                          <w:marTop w:val="0"/>
                          <w:marBottom w:val="0"/>
                          <w:divBdr>
                            <w:top w:val="none" w:sz="0" w:space="0" w:color="auto"/>
                            <w:left w:val="none" w:sz="0" w:space="0" w:color="auto"/>
                            <w:bottom w:val="none" w:sz="0" w:space="0" w:color="auto"/>
                            <w:right w:val="none" w:sz="0" w:space="0" w:color="auto"/>
                          </w:divBdr>
                          <w:divsChild>
                            <w:div w:id="855265117">
                              <w:marLeft w:val="0"/>
                              <w:marRight w:val="0"/>
                              <w:marTop w:val="0"/>
                              <w:marBottom w:val="0"/>
                              <w:divBdr>
                                <w:top w:val="none" w:sz="0" w:space="0" w:color="auto"/>
                                <w:left w:val="none" w:sz="0" w:space="0" w:color="auto"/>
                                <w:bottom w:val="none" w:sz="0" w:space="0" w:color="auto"/>
                                <w:right w:val="none" w:sz="0" w:space="0" w:color="auto"/>
                              </w:divBdr>
                              <w:divsChild>
                                <w:div w:id="4921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108422">
          <w:marLeft w:val="0"/>
          <w:marRight w:val="0"/>
          <w:marTop w:val="100"/>
          <w:marBottom w:val="100"/>
          <w:divBdr>
            <w:top w:val="none" w:sz="0" w:space="0" w:color="auto"/>
            <w:left w:val="none" w:sz="0" w:space="0" w:color="auto"/>
            <w:bottom w:val="none" w:sz="0" w:space="0" w:color="auto"/>
            <w:right w:val="none" w:sz="0" w:space="0" w:color="auto"/>
          </w:divBdr>
          <w:divsChild>
            <w:div w:id="714080708">
              <w:marLeft w:val="0"/>
              <w:marRight w:val="0"/>
              <w:marTop w:val="0"/>
              <w:marBottom w:val="0"/>
              <w:divBdr>
                <w:top w:val="none" w:sz="0" w:space="0" w:color="auto"/>
                <w:left w:val="none" w:sz="0" w:space="0" w:color="auto"/>
                <w:bottom w:val="none" w:sz="0" w:space="0" w:color="auto"/>
                <w:right w:val="none" w:sz="0" w:space="0" w:color="auto"/>
              </w:divBdr>
              <w:divsChild>
                <w:div w:id="368648886">
                  <w:marLeft w:val="0"/>
                  <w:marRight w:val="0"/>
                  <w:marTop w:val="0"/>
                  <w:marBottom w:val="0"/>
                  <w:divBdr>
                    <w:top w:val="none" w:sz="0" w:space="0" w:color="auto"/>
                    <w:left w:val="none" w:sz="0" w:space="0" w:color="auto"/>
                    <w:bottom w:val="none" w:sz="0" w:space="0" w:color="auto"/>
                    <w:right w:val="none" w:sz="0" w:space="0" w:color="auto"/>
                  </w:divBdr>
                  <w:divsChild>
                    <w:div w:id="1004209930">
                      <w:marLeft w:val="0"/>
                      <w:marRight w:val="0"/>
                      <w:marTop w:val="0"/>
                      <w:marBottom w:val="0"/>
                      <w:divBdr>
                        <w:top w:val="none" w:sz="0" w:space="0" w:color="auto"/>
                        <w:left w:val="none" w:sz="0" w:space="0" w:color="auto"/>
                        <w:bottom w:val="none" w:sz="0" w:space="0" w:color="auto"/>
                        <w:right w:val="none" w:sz="0" w:space="0" w:color="auto"/>
                      </w:divBdr>
                      <w:divsChild>
                        <w:div w:id="1460420037">
                          <w:marLeft w:val="0"/>
                          <w:marRight w:val="0"/>
                          <w:marTop w:val="0"/>
                          <w:marBottom w:val="0"/>
                          <w:divBdr>
                            <w:top w:val="none" w:sz="0" w:space="0" w:color="auto"/>
                            <w:left w:val="none" w:sz="0" w:space="0" w:color="auto"/>
                            <w:bottom w:val="none" w:sz="0" w:space="0" w:color="auto"/>
                            <w:right w:val="none" w:sz="0" w:space="0" w:color="auto"/>
                          </w:divBdr>
                          <w:divsChild>
                            <w:div w:id="19685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3398">
          <w:marLeft w:val="0"/>
          <w:marRight w:val="0"/>
          <w:marTop w:val="100"/>
          <w:marBottom w:val="100"/>
          <w:divBdr>
            <w:top w:val="none" w:sz="0" w:space="0" w:color="auto"/>
            <w:left w:val="none" w:sz="0" w:space="0" w:color="auto"/>
            <w:bottom w:val="none" w:sz="0" w:space="0" w:color="auto"/>
            <w:right w:val="none" w:sz="0" w:space="0" w:color="auto"/>
          </w:divBdr>
          <w:divsChild>
            <w:div w:id="636683705">
              <w:marLeft w:val="0"/>
              <w:marRight w:val="0"/>
              <w:marTop w:val="0"/>
              <w:marBottom w:val="0"/>
              <w:divBdr>
                <w:top w:val="none" w:sz="0" w:space="0" w:color="auto"/>
                <w:left w:val="none" w:sz="0" w:space="0" w:color="auto"/>
                <w:bottom w:val="none" w:sz="0" w:space="0" w:color="auto"/>
                <w:right w:val="none" w:sz="0" w:space="0" w:color="auto"/>
              </w:divBdr>
              <w:divsChild>
                <w:div w:id="1449661225">
                  <w:marLeft w:val="0"/>
                  <w:marRight w:val="0"/>
                  <w:marTop w:val="0"/>
                  <w:marBottom w:val="0"/>
                  <w:divBdr>
                    <w:top w:val="none" w:sz="0" w:space="0" w:color="auto"/>
                    <w:left w:val="none" w:sz="0" w:space="0" w:color="auto"/>
                    <w:bottom w:val="none" w:sz="0" w:space="0" w:color="auto"/>
                    <w:right w:val="none" w:sz="0" w:space="0" w:color="auto"/>
                  </w:divBdr>
                  <w:divsChild>
                    <w:div w:id="1277327003">
                      <w:marLeft w:val="0"/>
                      <w:marRight w:val="0"/>
                      <w:marTop w:val="0"/>
                      <w:marBottom w:val="0"/>
                      <w:divBdr>
                        <w:top w:val="none" w:sz="0" w:space="0" w:color="auto"/>
                        <w:left w:val="none" w:sz="0" w:space="0" w:color="auto"/>
                        <w:bottom w:val="none" w:sz="0" w:space="0" w:color="auto"/>
                        <w:right w:val="none" w:sz="0" w:space="0" w:color="auto"/>
                      </w:divBdr>
                      <w:divsChild>
                        <w:div w:id="804396099">
                          <w:marLeft w:val="0"/>
                          <w:marRight w:val="0"/>
                          <w:marTop w:val="0"/>
                          <w:marBottom w:val="0"/>
                          <w:divBdr>
                            <w:top w:val="none" w:sz="0" w:space="0" w:color="auto"/>
                            <w:left w:val="none" w:sz="0" w:space="0" w:color="auto"/>
                            <w:bottom w:val="none" w:sz="0" w:space="0" w:color="auto"/>
                            <w:right w:val="none" w:sz="0" w:space="0" w:color="auto"/>
                          </w:divBdr>
                          <w:divsChild>
                            <w:div w:id="854074028">
                              <w:marLeft w:val="0"/>
                              <w:marRight w:val="0"/>
                              <w:marTop w:val="0"/>
                              <w:marBottom w:val="0"/>
                              <w:divBdr>
                                <w:top w:val="none" w:sz="0" w:space="0" w:color="auto"/>
                                <w:left w:val="none" w:sz="0" w:space="0" w:color="auto"/>
                                <w:bottom w:val="none" w:sz="0" w:space="0" w:color="auto"/>
                                <w:right w:val="none" w:sz="0" w:space="0" w:color="auto"/>
                              </w:divBdr>
                              <w:divsChild>
                                <w:div w:id="57674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293891">
          <w:marLeft w:val="0"/>
          <w:marRight w:val="0"/>
          <w:marTop w:val="100"/>
          <w:marBottom w:val="100"/>
          <w:divBdr>
            <w:top w:val="none" w:sz="0" w:space="0" w:color="auto"/>
            <w:left w:val="none" w:sz="0" w:space="0" w:color="auto"/>
            <w:bottom w:val="none" w:sz="0" w:space="0" w:color="auto"/>
            <w:right w:val="none" w:sz="0" w:space="0" w:color="auto"/>
          </w:divBdr>
          <w:divsChild>
            <w:div w:id="24990953">
              <w:marLeft w:val="0"/>
              <w:marRight w:val="0"/>
              <w:marTop w:val="0"/>
              <w:marBottom w:val="0"/>
              <w:divBdr>
                <w:top w:val="none" w:sz="0" w:space="0" w:color="auto"/>
                <w:left w:val="none" w:sz="0" w:space="0" w:color="auto"/>
                <w:bottom w:val="none" w:sz="0" w:space="0" w:color="auto"/>
                <w:right w:val="none" w:sz="0" w:space="0" w:color="auto"/>
              </w:divBdr>
              <w:divsChild>
                <w:div w:id="1405713423">
                  <w:marLeft w:val="0"/>
                  <w:marRight w:val="0"/>
                  <w:marTop w:val="0"/>
                  <w:marBottom w:val="0"/>
                  <w:divBdr>
                    <w:top w:val="none" w:sz="0" w:space="0" w:color="auto"/>
                    <w:left w:val="none" w:sz="0" w:space="0" w:color="auto"/>
                    <w:bottom w:val="none" w:sz="0" w:space="0" w:color="auto"/>
                    <w:right w:val="none" w:sz="0" w:space="0" w:color="auto"/>
                  </w:divBdr>
                  <w:divsChild>
                    <w:div w:id="115761047">
                      <w:marLeft w:val="0"/>
                      <w:marRight w:val="0"/>
                      <w:marTop w:val="0"/>
                      <w:marBottom w:val="0"/>
                      <w:divBdr>
                        <w:top w:val="none" w:sz="0" w:space="0" w:color="auto"/>
                        <w:left w:val="none" w:sz="0" w:space="0" w:color="auto"/>
                        <w:bottom w:val="none" w:sz="0" w:space="0" w:color="auto"/>
                        <w:right w:val="none" w:sz="0" w:space="0" w:color="auto"/>
                      </w:divBdr>
                      <w:divsChild>
                        <w:div w:id="1156797693">
                          <w:marLeft w:val="0"/>
                          <w:marRight w:val="0"/>
                          <w:marTop w:val="0"/>
                          <w:marBottom w:val="0"/>
                          <w:divBdr>
                            <w:top w:val="none" w:sz="0" w:space="0" w:color="auto"/>
                            <w:left w:val="none" w:sz="0" w:space="0" w:color="auto"/>
                            <w:bottom w:val="none" w:sz="0" w:space="0" w:color="auto"/>
                            <w:right w:val="none" w:sz="0" w:space="0" w:color="auto"/>
                          </w:divBdr>
                          <w:divsChild>
                            <w:div w:id="20172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786124">
          <w:marLeft w:val="0"/>
          <w:marRight w:val="0"/>
          <w:marTop w:val="100"/>
          <w:marBottom w:val="100"/>
          <w:divBdr>
            <w:top w:val="none" w:sz="0" w:space="0" w:color="auto"/>
            <w:left w:val="none" w:sz="0" w:space="0" w:color="auto"/>
            <w:bottom w:val="none" w:sz="0" w:space="0" w:color="auto"/>
            <w:right w:val="none" w:sz="0" w:space="0" w:color="auto"/>
          </w:divBdr>
          <w:divsChild>
            <w:div w:id="1876431445">
              <w:marLeft w:val="0"/>
              <w:marRight w:val="0"/>
              <w:marTop w:val="0"/>
              <w:marBottom w:val="0"/>
              <w:divBdr>
                <w:top w:val="none" w:sz="0" w:space="0" w:color="auto"/>
                <w:left w:val="none" w:sz="0" w:space="0" w:color="auto"/>
                <w:bottom w:val="none" w:sz="0" w:space="0" w:color="auto"/>
                <w:right w:val="none" w:sz="0" w:space="0" w:color="auto"/>
              </w:divBdr>
              <w:divsChild>
                <w:div w:id="411396426">
                  <w:marLeft w:val="0"/>
                  <w:marRight w:val="0"/>
                  <w:marTop w:val="0"/>
                  <w:marBottom w:val="0"/>
                  <w:divBdr>
                    <w:top w:val="none" w:sz="0" w:space="0" w:color="auto"/>
                    <w:left w:val="none" w:sz="0" w:space="0" w:color="auto"/>
                    <w:bottom w:val="none" w:sz="0" w:space="0" w:color="auto"/>
                    <w:right w:val="none" w:sz="0" w:space="0" w:color="auto"/>
                  </w:divBdr>
                  <w:divsChild>
                    <w:div w:id="1698391104">
                      <w:marLeft w:val="0"/>
                      <w:marRight w:val="0"/>
                      <w:marTop w:val="0"/>
                      <w:marBottom w:val="0"/>
                      <w:divBdr>
                        <w:top w:val="none" w:sz="0" w:space="0" w:color="auto"/>
                        <w:left w:val="none" w:sz="0" w:space="0" w:color="auto"/>
                        <w:bottom w:val="none" w:sz="0" w:space="0" w:color="auto"/>
                        <w:right w:val="none" w:sz="0" w:space="0" w:color="auto"/>
                      </w:divBdr>
                      <w:divsChild>
                        <w:div w:id="1517188854">
                          <w:marLeft w:val="0"/>
                          <w:marRight w:val="0"/>
                          <w:marTop w:val="0"/>
                          <w:marBottom w:val="0"/>
                          <w:divBdr>
                            <w:top w:val="none" w:sz="0" w:space="0" w:color="auto"/>
                            <w:left w:val="none" w:sz="0" w:space="0" w:color="auto"/>
                            <w:bottom w:val="none" w:sz="0" w:space="0" w:color="auto"/>
                            <w:right w:val="none" w:sz="0" w:space="0" w:color="auto"/>
                          </w:divBdr>
                          <w:divsChild>
                            <w:div w:id="1803305464">
                              <w:marLeft w:val="0"/>
                              <w:marRight w:val="0"/>
                              <w:marTop w:val="0"/>
                              <w:marBottom w:val="0"/>
                              <w:divBdr>
                                <w:top w:val="none" w:sz="0" w:space="0" w:color="auto"/>
                                <w:left w:val="none" w:sz="0" w:space="0" w:color="auto"/>
                                <w:bottom w:val="none" w:sz="0" w:space="0" w:color="auto"/>
                                <w:right w:val="none" w:sz="0" w:space="0" w:color="auto"/>
                              </w:divBdr>
                              <w:divsChild>
                                <w:div w:id="18575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781280">
          <w:marLeft w:val="0"/>
          <w:marRight w:val="0"/>
          <w:marTop w:val="100"/>
          <w:marBottom w:val="100"/>
          <w:divBdr>
            <w:top w:val="none" w:sz="0" w:space="0" w:color="auto"/>
            <w:left w:val="none" w:sz="0" w:space="0" w:color="auto"/>
            <w:bottom w:val="none" w:sz="0" w:space="0" w:color="auto"/>
            <w:right w:val="none" w:sz="0" w:space="0" w:color="auto"/>
          </w:divBdr>
          <w:divsChild>
            <w:div w:id="1172602421">
              <w:marLeft w:val="0"/>
              <w:marRight w:val="0"/>
              <w:marTop w:val="0"/>
              <w:marBottom w:val="0"/>
              <w:divBdr>
                <w:top w:val="none" w:sz="0" w:space="0" w:color="auto"/>
                <w:left w:val="none" w:sz="0" w:space="0" w:color="auto"/>
                <w:bottom w:val="none" w:sz="0" w:space="0" w:color="auto"/>
                <w:right w:val="none" w:sz="0" w:space="0" w:color="auto"/>
              </w:divBdr>
              <w:divsChild>
                <w:div w:id="2104760750">
                  <w:marLeft w:val="0"/>
                  <w:marRight w:val="0"/>
                  <w:marTop w:val="0"/>
                  <w:marBottom w:val="0"/>
                  <w:divBdr>
                    <w:top w:val="none" w:sz="0" w:space="0" w:color="auto"/>
                    <w:left w:val="none" w:sz="0" w:space="0" w:color="auto"/>
                    <w:bottom w:val="none" w:sz="0" w:space="0" w:color="auto"/>
                    <w:right w:val="none" w:sz="0" w:space="0" w:color="auto"/>
                  </w:divBdr>
                  <w:divsChild>
                    <w:div w:id="1415123752">
                      <w:marLeft w:val="0"/>
                      <w:marRight w:val="0"/>
                      <w:marTop w:val="0"/>
                      <w:marBottom w:val="0"/>
                      <w:divBdr>
                        <w:top w:val="none" w:sz="0" w:space="0" w:color="auto"/>
                        <w:left w:val="none" w:sz="0" w:space="0" w:color="auto"/>
                        <w:bottom w:val="none" w:sz="0" w:space="0" w:color="auto"/>
                        <w:right w:val="none" w:sz="0" w:space="0" w:color="auto"/>
                      </w:divBdr>
                      <w:divsChild>
                        <w:div w:id="1594826272">
                          <w:marLeft w:val="0"/>
                          <w:marRight w:val="0"/>
                          <w:marTop w:val="0"/>
                          <w:marBottom w:val="0"/>
                          <w:divBdr>
                            <w:top w:val="none" w:sz="0" w:space="0" w:color="auto"/>
                            <w:left w:val="none" w:sz="0" w:space="0" w:color="auto"/>
                            <w:bottom w:val="none" w:sz="0" w:space="0" w:color="auto"/>
                            <w:right w:val="none" w:sz="0" w:space="0" w:color="auto"/>
                          </w:divBdr>
                          <w:divsChild>
                            <w:div w:id="4653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887562">
      <w:bodyDiv w:val="1"/>
      <w:marLeft w:val="0"/>
      <w:marRight w:val="0"/>
      <w:marTop w:val="0"/>
      <w:marBottom w:val="0"/>
      <w:divBdr>
        <w:top w:val="none" w:sz="0" w:space="0" w:color="auto"/>
        <w:left w:val="none" w:sz="0" w:space="0" w:color="auto"/>
        <w:bottom w:val="none" w:sz="0" w:space="0" w:color="auto"/>
        <w:right w:val="none" w:sz="0" w:space="0" w:color="auto"/>
      </w:divBdr>
    </w:div>
    <w:div w:id="1629701666">
      <w:bodyDiv w:val="1"/>
      <w:marLeft w:val="0"/>
      <w:marRight w:val="0"/>
      <w:marTop w:val="0"/>
      <w:marBottom w:val="0"/>
      <w:divBdr>
        <w:top w:val="none" w:sz="0" w:space="0" w:color="auto"/>
        <w:left w:val="none" w:sz="0" w:space="0" w:color="auto"/>
        <w:bottom w:val="none" w:sz="0" w:space="0" w:color="auto"/>
        <w:right w:val="none" w:sz="0" w:space="0" w:color="auto"/>
      </w:divBdr>
    </w:div>
    <w:div w:id="1642618710">
      <w:bodyDiv w:val="1"/>
      <w:marLeft w:val="0"/>
      <w:marRight w:val="0"/>
      <w:marTop w:val="0"/>
      <w:marBottom w:val="0"/>
      <w:divBdr>
        <w:top w:val="none" w:sz="0" w:space="0" w:color="auto"/>
        <w:left w:val="none" w:sz="0" w:space="0" w:color="auto"/>
        <w:bottom w:val="none" w:sz="0" w:space="0" w:color="auto"/>
        <w:right w:val="none" w:sz="0" w:space="0" w:color="auto"/>
      </w:divBdr>
      <w:divsChild>
        <w:div w:id="1372027485">
          <w:marLeft w:val="0"/>
          <w:marRight w:val="0"/>
          <w:marTop w:val="100"/>
          <w:marBottom w:val="100"/>
          <w:divBdr>
            <w:top w:val="none" w:sz="0" w:space="0" w:color="auto"/>
            <w:left w:val="none" w:sz="0" w:space="0" w:color="auto"/>
            <w:bottom w:val="none" w:sz="0" w:space="0" w:color="auto"/>
            <w:right w:val="none" w:sz="0" w:space="0" w:color="auto"/>
          </w:divBdr>
          <w:divsChild>
            <w:div w:id="1558737059">
              <w:marLeft w:val="0"/>
              <w:marRight w:val="0"/>
              <w:marTop w:val="0"/>
              <w:marBottom w:val="0"/>
              <w:divBdr>
                <w:top w:val="none" w:sz="0" w:space="0" w:color="auto"/>
                <w:left w:val="none" w:sz="0" w:space="0" w:color="auto"/>
                <w:bottom w:val="none" w:sz="0" w:space="0" w:color="auto"/>
                <w:right w:val="none" w:sz="0" w:space="0" w:color="auto"/>
              </w:divBdr>
              <w:divsChild>
                <w:div w:id="219559645">
                  <w:marLeft w:val="0"/>
                  <w:marRight w:val="0"/>
                  <w:marTop w:val="0"/>
                  <w:marBottom w:val="0"/>
                  <w:divBdr>
                    <w:top w:val="none" w:sz="0" w:space="0" w:color="auto"/>
                    <w:left w:val="none" w:sz="0" w:space="0" w:color="auto"/>
                    <w:bottom w:val="none" w:sz="0" w:space="0" w:color="auto"/>
                    <w:right w:val="none" w:sz="0" w:space="0" w:color="auto"/>
                  </w:divBdr>
                  <w:divsChild>
                    <w:div w:id="1501576440">
                      <w:marLeft w:val="0"/>
                      <w:marRight w:val="0"/>
                      <w:marTop w:val="0"/>
                      <w:marBottom w:val="0"/>
                      <w:divBdr>
                        <w:top w:val="none" w:sz="0" w:space="0" w:color="auto"/>
                        <w:left w:val="none" w:sz="0" w:space="0" w:color="auto"/>
                        <w:bottom w:val="none" w:sz="0" w:space="0" w:color="auto"/>
                        <w:right w:val="none" w:sz="0" w:space="0" w:color="auto"/>
                      </w:divBdr>
                      <w:divsChild>
                        <w:div w:id="998459566">
                          <w:marLeft w:val="0"/>
                          <w:marRight w:val="0"/>
                          <w:marTop w:val="0"/>
                          <w:marBottom w:val="0"/>
                          <w:divBdr>
                            <w:top w:val="none" w:sz="0" w:space="0" w:color="auto"/>
                            <w:left w:val="none" w:sz="0" w:space="0" w:color="auto"/>
                            <w:bottom w:val="none" w:sz="0" w:space="0" w:color="auto"/>
                            <w:right w:val="none" w:sz="0" w:space="0" w:color="auto"/>
                          </w:divBdr>
                          <w:divsChild>
                            <w:div w:id="1798445336">
                              <w:marLeft w:val="0"/>
                              <w:marRight w:val="0"/>
                              <w:marTop w:val="0"/>
                              <w:marBottom w:val="0"/>
                              <w:divBdr>
                                <w:top w:val="none" w:sz="0" w:space="0" w:color="auto"/>
                                <w:left w:val="none" w:sz="0" w:space="0" w:color="auto"/>
                                <w:bottom w:val="none" w:sz="0" w:space="0" w:color="auto"/>
                                <w:right w:val="none" w:sz="0" w:space="0" w:color="auto"/>
                              </w:divBdr>
                              <w:divsChild>
                                <w:div w:id="127810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635416">
          <w:marLeft w:val="0"/>
          <w:marRight w:val="0"/>
          <w:marTop w:val="100"/>
          <w:marBottom w:val="10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sChild>
                <w:div w:id="673074045">
                  <w:marLeft w:val="0"/>
                  <w:marRight w:val="0"/>
                  <w:marTop w:val="0"/>
                  <w:marBottom w:val="0"/>
                  <w:divBdr>
                    <w:top w:val="none" w:sz="0" w:space="0" w:color="auto"/>
                    <w:left w:val="none" w:sz="0" w:space="0" w:color="auto"/>
                    <w:bottom w:val="none" w:sz="0" w:space="0" w:color="auto"/>
                    <w:right w:val="none" w:sz="0" w:space="0" w:color="auto"/>
                  </w:divBdr>
                  <w:divsChild>
                    <w:div w:id="1233277742">
                      <w:marLeft w:val="0"/>
                      <w:marRight w:val="0"/>
                      <w:marTop w:val="0"/>
                      <w:marBottom w:val="0"/>
                      <w:divBdr>
                        <w:top w:val="none" w:sz="0" w:space="0" w:color="auto"/>
                        <w:left w:val="none" w:sz="0" w:space="0" w:color="auto"/>
                        <w:bottom w:val="none" w:sz="0" w:space="0" w:color="auto"/>
                        <w:right w:val="none" w:sz="0" w:space="0" w:color="auto"/>
                      </w:divBdr>
                      <w:divsChild>
                        <w:div w:id="740177172">
                          <w:marLeft w:val="0"/>
                          <w:marRight w:val="0"/>
                          <w:marTop w:val="0"/>
                          <w:marBottom w:val="0"/>
                          <w:divBdr>
                            <w:top w:val="none" w:sz="0" w:space="0" w:color="auto"/>
                            <w:left w:val="none" w:sz="0" w:space="0" w:color="auto"/>
                            <w:bottom w:val="none" w:sz="0" w:space="0" w:color="auto"/>
                            <w:right w:val="none" w:sz="0" w:space="0" w:color="auto"/>
                          </w:divBdr>
                          <w:divsChild>
                            <w:div w:id="5414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948349">
          <w:marLeft w:val="0"/>
          <w:marRight w:val="0"/>
          <w:marTop w:val="100"/>
          <w:marBottom w:val="100"/>
          <w:divBdr>
            <w:top w:val="none" w:sz="0" w:space="0" w:color="auto"/>
            <w:left w:val="none" w:sz="0" w:space="0" w:color="auto"/>
            <w:bottom w:val="none" w:sz="0" w:space="0" w:color="auto"/>
            <w:right w:val="none" w:sz="0" w:space="0" w:color="auto"/>
          </w:divBdr>
          <w:divsChild>
            <w:div w:id="136920761">
              <w:marLeft w:val="0"/>
              <w:marRight w:val="0"/>
              <w:marTop w:val="0"/>
              <w:marBottom w:val="0"/>
              <w:divBdr>
                <w:top w:val="none" w:sz="0" w:space="0" w:color="auto"/>
                <w:left w:val="none" w:sz="0" w:space="0" w:color="auto"/>
                <w:bottom w:val="none" w:sz="0" w:space="0" w:color="auto"/>
                <w:right w:val="none" w:sz="0" w:space="0" w:color="auto"/>
              </w:divBdr>
              <w:divsChild>
                <w:div w:id="2121104700">
                  <w:marLeft w:val="0"/>
                  <w:marRight w:val="0"/>
                  <w:marTop w:val="0"/>
                  <w:marBottom w:val="0"/>
                  <w:divBdr>
                    <w:top w:val="none" w:sz="0" w:space="0" w:color="auto"/>
                    <w:left w:val="none" w:sz="0" w:space="0" w:color="auto"/>
                    <w:bottom w:val="none" w:sz="0" w:space="0" w:color="auto"/>
                    <w:right w:val="none" w:sz="0" w:space="0" w:color="auto"/>
                  </w:divBdr>
                  <w:divsChild>
                    <w:div w:id="1578204549">
                      <w:marLeft w:val="0"/>
                      <w:marRight w:val="0"/>
                      <w:marTop w:val="0"/>
                      <w:marBottom w:val="0"/>
                      <w:divBdr>
                        <w:top w:val="none" w:sz="0" w:space="0" w:color="auto"/>
                        <w:left w:val="none" w:sz="0" w:space="0" w:color="auto"/>
                        <w:bottom w:val="none" w:sz="0" w:space="0" w:color="auto"/>
                        <w:right w:val="none" w:sz="0" w:space="0" w:color="auto"/>
                      </w:divBdr>
                      <w:divsChild>
                        <w:div w:id="1327705884">
                          <w:marLeft w:val="0"/>
                          <w:marRight w:val="0"/>
                          <w:marTop w:val="0"/>
                          <w:marBottom w:val="0"/>
                          <w:divBdr>
                            <w:top w:val="none" w:sz="0" w:space="0" w:color="auto"/>
                            <w:left w:val="none" w:sz="0" w:space="0" w:color="auto"/>
                            <w:bottom w:val="none" w:sz="0" w:space="0" w:color="auto"/>
                            <w:right w:val="none" w:sz="0" w:space="0" w:color="auto"/>
                          </w:divBdr>
                          <w:divsChild>
                            <w:div w:id="1412920941">
                              <w:marLeft w:val="0"/>
                              <w:marRight w:val="0"/>
                              <w:marTop w:val="0"/>
                              <w:marBottom w:val="0"/>
                              <w:divBdr>
                                <w:top w:val="none" w:sz="0" w:space="0" w:color="auto"/>
                                <w:left w:val="none" w:sz="0" w:space="0" w:color="auto"/>
                                <w:bottom w:val="none" w:sz="0" w:space="0" w:color="auto"/>
                                <w:right w:val="none" w:sz="0" w:space="0" w:color="auto"/>
                              </w:divBdr>
                              <w:divsChild>
                                <w:div w:id="13539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766451">
          <w:marLeft w:val="0"/>
          <w:marRight w:val="0"/>
          <w:marTop w:val="100"/>
          <w:marBottom w:val="100"/>
          <w:divBdr>
            <w:top w:val="none" w:sz="0" w:space="0" w:color="auto"/>
            <w:left w:val="none" w:sz="0" w:space="0" w:color="auto"/>
            <w:bottom w:val="none" w:sz="0" w:space="0" w:color="auto"/>
            <w:right w:val="none" w:sz="0" w:space="0" w:color="auto"/>
          </w:divBdr>
          <w:divsChild>
            <w:div w:id="710687177">
              <w:marLeft w:val="0"/>
              <w:marRight w:val="0"/>
              <w:marTop w:val="0"/>
              <w:marBottom w:val="0"/>
              <w:divBdr>
                <w:top w:val="none" w:sz="0" w:space="0" w:color="auto"/>
                <w:left w:val="none" w:sz="0" w:space="0" w:color="auto"/>
                <w:bottom w:val="none" w:sz="0" w:space="0" w:color="auto"/>
                <w:right w:val="none" w:sz="0" w:space="0" w:color="auto"/>
              </w:divBdr>
              <w:divsChild>
                <w:div w:id="1899122988">
                  <w:marLeft w:val="0"/>
                  <w:marRight w:val="0"/>
                  <w:marTop w:val="0"/>
                  <w:marBottom w:val="0"/>
                  <w:divBdr>
                    <w:top w:val="none" w:sz="0" w:space="0" w:color="auto"/>
                    <w:left w:val="none" w:sz="0" w:space="0" w:color="auto"/>
                    <w:bottom w:val="none" w:sz="0" w:space="0" w:color="auto"/>
                    <w:right w:val="none" w:sz="0" w:space="0" w:color="auto"/>
                  </w:divBdr>
                  <w:divsChild>
                    <w:div w:id="1987123478">
                      <w:marLeft w:val="0"/>
                      <w:marRight w:val="0"/>
                      <w:marTop w:val="0"/>
                      <w:marBottom w:val="0"/>
                      <w:divBdr>
                        <w:top w:val="none" w:sz="0" w:space="0" w:color="auto"/>
                        <w:left w:val="none" w:sz="0" w:space="0" w:color="auto"/>
                        <w:bottom w:val="none" w:sz="0" w:space="0" w:color="auto"/>
                        <w:right w:val="none" w:sz="0" w:space="0" w:color="auto"/>
                      </w:divBdr>
                      <w:divsChild>
                        <w:div w:id="1276327569">
                          <w:marLeft w:val="0"/>
                          <w:marRight w:val="0"/>
                          <w:marTop w:val="0"/>
                          <w:marBottom w:val="0"/>
                          <w:divBdr>
                            <w:top w:val="none" w:sz="0" w:space="0" w:color="auto"/>
                            <w:left w:val="none" w:sz="0" w:space="0" w:color="auto"/>
                            <w:bottom w:val="none" w:sz="0" w:space="0" w:color="auto"/>
                            <w:right w:val="none" w:sz="0" w:space="0" w:color="auto"/>
                          </w:divBdr>
                          <w:divsChild>
                            <w:div w:id="3484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296653">
          <w:marLeft w:val="0"/>
          <w:marRight w:val="0"/>
          <w:marTop w:val="100"/>
          <w:marBottom w:val="100"/>
          <w:divBdr>
            <w:top w:val="none" w:sz="0" w:space="0" w:color="auto"/>
            <w:left w:val="none" w:sz="0" w:space="0" w:color="auto"/>
            <w:bottom w:val="none" w:sz="0" w:space="0" w:color="auto"/>
            <w:right w:val="none" w:sz="0" w:space="0" w:color="auto"/>
          </w:divBdr>
          <w:divsChild>
            <w:div w:id="669868677">
              <w:marLeft w:val="0"/>
              <w:marRight w:val="0"/>
              <w:marTop w:val="0"/>
              <w:marBottom w:val="0"/>
              <w:divBdr>
                <w:top w:val="none" w:sz="0" w:space="0" w:color="auto"/>
                <w:left w:val="none" w:sz="0" w:space="0" w:color="auto"/>
                <w:bottom w:val="none" w:sz="0" w:space="0" w:color="auto"/>
                <w:right w:val="none" w:sz="0" w:space="0" w:color="auto"/>
              </w:divBdr>
              <w:divsChild>
                <w:div w:id="1133523812">
                  <w:marLeft w:val="0"/>
                  <w:marRight w:val="0"/>
                  <w:marTop w:val="0"/>
                  <w:marBottom w:val="0"/>
                  <w:divBdr>
                    <w:top w:val="none" w:sz="0" w:space="0" w:color="auto"/>
                    <w:left w:val="none" w:sz="0" w:space="0" w:color="auto"/>
                    <w:bottom w:val="none" w:sz="0" w:space="0" w:color="auto"/>
                    <w:right w:val="none" w:sz="0" w:space="0" w:color="auto"/>
                  </w:divBdr>
                  <w:divsChild>
                    <w:div w:id="527138430">
                      <w:marLeft w:val="0"/>
                      <w:marRight w:val="0"/>
                      <w:marTop w:val="0"/>
                      <w:marBottom w:val="0"/>
                      <w:divBdr>
                        <w:top w:val="none" w:sz="0" w:space="0" w:color="auto"/>
                        <w:left w:val="none" w:sz="0" w:space="0" w:color="auto"/>
                        <w:bottom w:val="none" w:sz="0" w:space="0" w:color="auto"/>
                        <w:right w:val="none" w:sz="0" w:space="0" w:color="auto"/>
                      </w:divBdr>
                      <w:divsChild>
                        <w:div w:id="719790573">
                          <w:marLeft w:val="0"/>
                          <w:marRight w:val="0"/>
                          <w:marTop w:val="0"/>
                          <w:marBottom w:val="0"/>
                          <w:divBdr>
                            <w:top w:val="none" w:sz="0" w:space="0" w:color="auto"/>
                            <w:left w:val="none" w:sz="0" w:space="0" w:color="auto"/>
                            <w:bottom w:val="none" w:sz="0" w:space="0" w:color="auto"/>
                            <w:right w:val="none" w:sz="0" w:space="0" w:color="auto"/>
                          </w:divBdr>
                          <w:divsChild>
                            <w:div w:id="843201494">
                              <w:marLeft w:val="0"/>
                              <w:marRight w:val="0"/>
                              <w:marTop w:val="0"/>
                              <w:marBottom w:val="0"/>
                              <w:divBdr>
                                <w:top w:val="none" w:sz="0" w:space="0" w:color="auto"/>
                                <w:left w:val="none" w:sz="0" w:space="0" w:color="auto"/>
                                <w:bottom w:val="none" w:sz="0" w:space="0" w:color="auto"/>
                                <w:right w:val="none" w:sz="0" w:space="0" w:color="auto"/>
                              </w:divBdr>
                              <w:divsChild>
                                <w:div w:id="10429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748472">
          <w:marLeft w:val="0"/>
          <w:marRight w:val="0"/>
          <w:marTop w:val="100"/>
          <w:marBottom w:val="100"/>
          <w:divBdr>
            <w:top w:val="none" w:sz="0" w:space="0" w:color="auto"/>
            <w:left w:val="none" w:sz="0" w:space="0" w:color="auto"/>
            <w:bottom w:val="none" w:sz="0" w:space="0" w:color="auto"/>
            <w:right w:val="none" w:sz="0" w:space="0" w:color="auto"/>
          </w:divBdr>
          <w:divsChild>
            <w:div w:id="127747139">
              <w:marLeft w:val="0"/>
              <w:marRight w:val="0"/>
              <w:marTop w:val="0"/>
              <w:marBottom w:val="0"/>
              <w:divBdr>
                <w:top w:val="none" w:sz="0" w:space="0" w:color="auto"/>
                <w:left w:val="none" w:sz="0" w:space="0" w:color="auto"/>
                <w:bottom w:val="none" w:sz="0" w:space="0" w:color="auto"/>
                <w:right w:val="none" w:sz="0" w:space="0" w:color="auto"/>
              </w:divBdr>
              <w:divsChild>
                <w:div w:id="1507017676">
                  <w:marLeft w:val="0"/>
                  <w:marRight w:val="0"/>
                  <w:marTop w:val="0"/>
                  <w:marBottom w:val="0"/>
                  <w:divBdr>
                    <w:top w:val="none" w:sz="0" w:space="0" w:color="auto"/>
                    <w:left w:val="none" w:sz="0" w:space="0" w:color="auto"/>
                    <w:bottom w:val="none" w:sz="0" w:space="0" w:color="auto"/>
                    <w:right w:val="none" w:sz="0" w:space="0" w:color="auto"/>
                  </w:divBdr>
                  <w:divsChild>
                    <w:div w:id="68307595">
                      <w:marLeft w:val="0"/>
                      <w:marRight w:val="0"/>
                      <w:marTop w:val="0"/>
                      <w:marBottom w:val="0"/>
                      <w:divBdr>
                        <w:top w:val="none" w:sz="0" w:space="0" w:color="auto"/>
                        <w:left w:val="none" w:sz="0" w:space="0" w:color="auto"/>
                        <w:bottom w:val="none" w:sz="0" w:space="0" w:color="auto"/>
                        <w:right w:val="none" w:sz="0" w:space="0" w:color="auto"/>
                      </w:divBdr>
                      <w:divsChild>
                        <w:div w:id="2002931527">
                          <w:marLeft w:val="0"/>
                          <w:marRight w:val="0"/>
                          <w:marTop w:val="0"/>
                          <w:marBottom w:val="0"/>
                          <w:divBdr>
                            <w:top w:val="none" w:sz="0" w:space="0" w:color="auto"/>
                            <w:left w:val="none" w:sz="0" w:space="0" w:color="auto"/>
                            <w:bottom w:val="none" w:sz="0" w:space="0" w:color="auto"/>
                            <w:right w:val="none" w:sz="0" w:space="0" w:color="auto"/>
                          </w:divBdr>
                          <w:divsChild>
                            <w:div w:id="3190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680241">
          <w:marLeft w:val="0"/>
          <w:marRight w:val="0"/>
          <w:marTop w:val="100"/>
          <w:marBottom w:val="100"/>
          <w:divBdr>
            <w:top w:val="none" w:sz="0" w:space="0" w:color="auto"/>
            <w:left w:val="none" w:sz="0" w:space="0" w:color="auto"/>
            <w:bottom w:val="none" w:sz="0" w:space="0" w:color="auto"/>
            <w:right w:val="none" w:sz="0" w:space="0" w:color="auto"/>
          </w:divBdr>
          <w:divsChild>
            <w:div w:id="1260984459">
              <w:marLeft w:val="0"/>
              <w:marRight w:val="0"/>
              <w:marTop w:val="0"/>
              <w:marBottom w:val="0"/>
              <w:divBdr>
                <w:top w:val="none" w:sz="0" w:space="0" w:color="auto"/>
                <w:left w:val="none" w:sz="0" w:space="0" w:color="auto"/>
                <w:bottom w:val="none" w:sz="0" w:space="0" w:color="auto"/>
                <w:right w:val="none" w:sz="0" w:space="0" w:color="auto"/>
              </w:divBdr>
              <w:divsChild>
                <w:div w:id="1168594245">
                  <w:marLeft w:val="0"/>
                  <w:marRight w:val="0"/>
                  <w:marTop w:val="0"/>
                  <w:marBottom w:val="0"/>
                  <w:divBdr>
                    <w:top w:val="none" w:sz="0" w:space="0" w:color="auto"/>
                    <w:left w:val="none" w:sz="0" w:space="0" w:color="auto"/>
                    <w:bottom w:val="none" w:sz="0" w:space="0" w:color="auto"/>
                    <w:right w:val="none" w:sz="0" w:space="0" w:color="auto"/>
                  </w:divBdr>
                  <w:divsChild>
                    <w:div w:id="1245381681">
                      <w:marLeft w:val="0"/>
                      <w:marRight w:val="0"/>
                      <w:marTop w:val="0"/>
                      <w:marBottom w:val="0"/>
                      <w:divBdr>
                        <w:top w:val="none" w:sz="0" w:space="0" w:color="auto"/>
                        <w:left w:val="none" w:sz="0" w:space="0" w:color="auto"/>
                        <w:bottom w:val="none" w:sz="0" w:space="0" w:color="auto"/>
                        <w:right w:val="none" w:sz="0" w:space="0" w:color="auto"/>
                      </w:divBdr>
                      <w:divsChild>
                        <w:div w:id="800344915">
                          <w:marLeft w:val="0"/>
                          <w:marRight w:val="0"/>
                          <w:marTop w:val="0"/>
                          <w:marBottom w:val="0"/>
                          <w:divBdr>
                            <w:top w:val="none" w:sz="0" w:space="0" w:color="auto"/>
                            <w:left w:val="none" w:sz="0" w:space="0" w:color="auto"/>
                            <w:bottom w:val="none" w:sz="0" w:space="0" w:color="auto"/>
                            <w:right w:val="none" w:sz="0" w:space="0" w:color="auto"/>
                          </w:divBdr>
                          <w:divsChild>
                            <w:div w:id="1688284952">
                              <w:marLeft w:val="0"/>
                              <w:marRight w:val="0"/>
                              <w:marTop w:val="0"/>
                              <w:marBottom w:val="0"/>
                              <w:divBdr>
                                <w:top w:val="none" w:sz="0" w:space="0" w:color="auto"/>
                                <w:left w:val="none" w:sz="0" w:space="0" w:color="auto"/>
                                <w:bottom w:val="none" w:sz="0" w:space="0" w:color="auto"/>
                                <w:right w:val="none" w:sz="0" w:space="0" w:color="auto"/>
                              </w:divBdr>
                              <w:divsChild>
                                <w:div w:id="2951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229686">
          <w:marLeft w:val="0"/>
          <w:marRight w:val="0"/>
          <w:marTop w:val="100"/>
          <w:marBottom w:val="100"/>
          <w:divBdr>
            <w:top w:val="none" w:sz="0" w:space="0" w:color="auto"/>
            <w:left w:val="none" w:sz="0" w:space="0" w:color="auto"/>
            <w:bottom w:val="none" w:sz="0" w:space="0" w:color="auto"/>
            <w:right w:val="none" w:sz="0" w:space="0" w:color="auto"/>
          </w:divBdr>
          <w:divsChild>
            <w:div w:id="995719338">
              <w:marLeft w:val="0"/>
              <w:marRight w:val="0"/>
              <w:marTop w:val="0"/>
              <w:marBottom w:val="0"/>
              <w:divBdr>
                <w:top w:val="none" w:sz="0" w:space="0" w:color="auto"/>
                <w:left w:val="none" w:sz="0" w:space="0" w:color="auto"/>
                <w:bottom w:val="none" w:sz="0" w:space="0" w:color="auto"/>
                <w:right w:val="none" w:sz="0" w:space="0" w:color="auto"/>
              </w:divBdr>
              <w:divsChild>
                <w:div w:id="702751378">
                  <w:marLeft w:val="0"/>
                  <w:marRight w:val="0"/>
                  <w:marTop w:val="0"/>
                  <w:marBottom w:val="0"/>
                  <w:divBdr>
                    <w:top w:val="none" w:sz="0" w:space="0" w:color="auto"/>
                    <w:left w:val="none" w:sz="0" w:space="0" w:color="auto"/>
                    <w:bottom w:val="none" w:sz="0" w:space="0" w:color="auto"/>
                    <w:right w:val="none" w:sz="0" w:space="0" w:color="auto"/>
                  </w:divBdr>
                  <w:divsChild>
                    <w:div w:id="1633242792">
                      <w:marLeft w:val="0"/>
                      <w:marRight w:val="0"/>
                      <w:marTop w:val="0"/>
                      <w:marBottom w:val="0"/>
                      <w:divBdr>
                        <w:top w:val="none" w:sz="0" w:space="0" w:color="auto"/>
                        <w:left w:val="none" w:sz="0" w:space="0" w:color="auto"/>
                        <w:bottom w:val="none" w:sz="0" w:space="0" w:color="auto"/>
                        <w:right w:val="none" w:sz="0" w:space="0" w:color="auto"/>
                      </w:divBdr>
                      <w:divsChild>
                        <w:div w:id="1370300244">
                          <w:marLeft w:val="0"/>
                          <w:marRight w:val="0"/>
                          <w:marTop w:val="0"/>
                          <w:marBottom w:val="0"/>
                          <w:divBdr>
                            <w:top w:val="none" w:sz="0" w:space="0" w:color="auto"/>
                            <w:left w:val="none" w:sz="0" w:space="0" w:color="auto"/>
                            <w:bottom w:val="none" w:sz="0" w:space="0" w:color="auto"/>
                            <w:right w:val="none" w:sz="0" w:space="0" w:color="auto"/>
                          </w:divBdr>
                          <w:divsChild>
                            <w:div w:id="19202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5799">
          <w:marLeft w:val="0"/>
          <w:marRight w:val="0"/>
          <w:marTop w:val="100"/>
          <w:marBottom w:val="100"/>
          <w:divBdr>
            <w:top w:val="none" w:sz="0" w:space="0" w:color="auto"/>
            <w:left w:val="none" w:sz="0" w:space="0" w:color="auto"/>
            <w:bottom w:val="none" w:sz="0" w:space="0" w:color="auto"/>
            <w:right w:val="none" w:sz="0" w:space="0" w:color="auto"/>
          </w:divBdr>
          <w:divsChild>
            <w:div w:id="1152715017">
              <w:marLeft w:val="0"/>
              <w:marRight w:val="0"/>
              <w:marTop w:val="0"/>
              <w:marBottom w:val="0"/>
              <w:divBdr>
                <w:top w:val="none" w:sz="0" w:space="0" w:color="auto"/>
                <w:left w:val="none" w:sz="0" w:space="0" w:color="auto"/>
                <w:bottom w:val="none" w:sz="0" w:space="0" w:color="auto"/>
                <w:right w:val="none" w:sz="0" w:space="0" w:color="auto"/>
              </w:divBdr>
              <w:divsChild>
                <w:div w:id="813256538">
                  <w:marLeft w:val="0"/>
                  <w:marRight w:val="0"/>
                  <w:marTop w:val="0"/>
                  <w:marBottom w:val="0"/>
                  <w:divBdr>
                    <w:top w:val="none" w:sz="0" w:space="0" w:color="auto"/>
                    <w:left w:val="none" w:sz="0" w:space="0" w:color="auto"/>
                    <w:bottom w:val="none" w:sz="0" w:space="0" w:color="auto"/>
                    <w:right w:val="none" w:sz="0" w:space="0" w:color="auto"/>
                  </w:divBdr>
                  <w:divsChild>
                    <w:div w:id="1477843808">
                      <w:marLeft w:val="0"/>
                      <w:marRight w:val="0"/>
                      <w:marTop w:val="0"/>
                      <w:marBottom w:val="0"/>
                      <w:divBdr>
                        <w:top w:val="none" w:sz="0" w:space="0" w:color="auto"/>
                        <w:left w:val="none" w:sz="0" w:space="0" w:color="auto"/>
                        <w:bottom w:val="none" w:sz="0" w:space="0" w:color="auto"/>
                        <w:right w:val="none" w:sz="0" w:space="0" w:color="auto"/>
                      </w:divBdr>
                      <w:divsChild>
                        <w:div w:id="1534807264">
                          <w:marLeft w:val="0"/>
                          <w:marRight w:val="0"/>
                          <w:marTop w:val="0"/>
                          <w:marBottom w:val="0"/>
                          <w:divBdr>
                            <w:top w:val="none" w:sz="0" w:space="0" w:color="auto"/>
                            <w:left w:val="none" w:sz="0" w:space="0" w:color="auto"/>
                            <w:bottom w:val="none" w:sz="0" w:space="0" w:color="auto"/>
                            <w:right w:val="none" w:sz="0" w:space="0" w:color="auto"/>
                          </w:divBdr>
                          <w:divsChild>
                            <w:div w:id="799153757">
                              <w:marLeft w:val="0"/>
                              <w:marRight w:val="0"/>
                              <w:marTop w:val="0"/>
                              <w:marBottom w:val="0"/>
                              <w:divBdr>
                                <w:top w:val="none" w:sz="0" w:space="0" w:color="auto"/>
                                <w:left w:val="none" w:sz="0" w:space="0" w:color="auto"/>
                                <w:bottom w:val="none" w:sz="0" w:space="0" w:color="auto"/>
                                <w:right w:val="none" w:sz="0" w:space="0" w:color="auto"/>
                              </w:divBdr>
                              <w:divsChild>
                                <w:div w:id="11810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473749">
          <w:marLeft w:val="0"/>
          <w:marRight w:val="0"/>
          <w:marTop w:val="100"/>
          <w:marBottom w:val="100"/>
          <w:divBdr>
            <w:top w:val="none" w:sz="0" w:space="0" w:color="auto"/>
            <w:left w:val="none" w:sz="0" w:space="0" w:color="auto"/>
            <w:bottom w:val="none" w:sz="0" w:space="0" w:color="auto"/>
            <w:right w:val="none" w:sz="0" w:space="0" w:color="auto"/>
          </w:divBdr>
          <w:divsChild>
            <w:div w:id="1959098861">
              <w:marLeft w:val="0"/>
              <w:marRight w:val="0"/>
              <w:marTop w:val="0"/>
              <w:marBottom w:val="0"/>
              <w:divBdr>
                <w:top w:val="none" w:sz="0" w:space="0" w:color="auto"/>
                <w:left w:val="none" w:sz="0" w:space="0" w:color="auto"/>
                <w:bottom w:val="none" w:sz="0" w:space="0" w:color="auto"/>
                <w:right w:val="none" w:sz="0" w:space="0" w:color="auto"/>
              </w:divBdr>
              <w:divsChild>
                <w:div w:id="1746342496">
                  <w:marLeft w:val="0"/>
                  <w:marRight w:val="0"/>
                  <w:marTop w:val="0"/>
                  <w:marBottom w:val="0"/>
                  <w:divBdr>
                    <w:top w:val="none" w:sz="0" w:space="0" w:color="auto"/>
                    <w:left w:val="none" w:sz="0" w:space="0" w:color="auto"/>
                    <w:bottom w:val="none" w:sz="0" w:space="0" w:color="auto"/>
                    <w:right w:val="none" w:sz="0" w:space="0" w:color="auto"/>
                  </w:divBdr>
                  <w:divsChild>
                    <w:div w:id="571087833">
                      <w:marLeft w:val="0"/>
                      <w:marRight w:val="0"/>
                      <w:marTop w:val="0"/>
                      <w:marBottom w:val="0"/>
                      <w:divBdr>
                        <w:top w:val="none" w:sz="0" w:space="0" w:color="auto"/>
                        <w:left w:val="none" w:sz="0" w:space="0" w:color="auto"/>
                        <w:bottom w:val="none" w:sz="0" w:space="0" w:color="auto"/>
                        <w:right w:val="none" w:sz="0" w:space="0" w:color="auto"/>
                      </w:divBdr>
                      <w:divsChild>
                        <w:div w:id="994332505">
                          <w:marLeft w:val="0"/>
                          <w:marRight w:val="0"/>
                          <w:marTop w:val="0"/>
                          <w:marBottom w:val="0"/>
                          <w:divBdr>
                            <w:top w:val="none" w:sz="0" w:space="0" w:color="auto"/>
                            <w:left w:val="none" w:sz="0" w:space="0" w:color="auto"/>
                            <w:bottom w:val="none" w:sz="0" w:space="0" w:color="auto"/>
                            <w:right w:val="none" w:sz="0" w:space="0" w:color="auto"/>
                          </w:divBdr>
                          <w:divsChild>
                            <w:div w:id="25751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715800">
          <w:marLeft w:val="0"/>
          <w:marRight w:val="0"/>
          <w:marTop w:val="100"/>
          <w:marBottom w:val="100"/>
          <w:divBdr>
            <w:top w:val="none" w:sz="0" w:space="0" w:color="auto"/>
            <w:left w:val="none" w:sz="0" w:space="0" w:color="auto"/>
            <w:bottom w:val="none" w:sz="0" w:space="0" w:color="auto"/>
            <w:right w:val="none" w:sz="0" w:space="0" w:color="auto"/>
          </w:divBdr>
          <w:divsChild>
            <w:div w:id="1073431483">
              <w:marLeft w:val="0"/>
              <w:marRight w:val="0"/>
              <w:marTop w:val="0"/>
              <w:marBottom w:val="0"/>
              <w:divBdr>
                <w:top w:val="none" w:sz="0" w:space="0" w:color="auto"/>
                <w:left w:val="none" w:sz="0" w:space="0" w:color="auto"/>
                <w:bottom w:val="none" w:sz="0" w:space="0" w:color="auto"/>
                <w:right w:val="none" w:sz="0" w:space="0" w:color="auto"/>
              </w:divBdr>
              <w:divsChild>
                <w:div w:id="766735433">
                  <w:marLeft w:val="0"/>
                  <w:marRight w:val="0"/>
                  <w:marTop w:val="0"/>
                  <w:marBottom w:val="0"/>
                  <w:divBdr>
                    <w:top w:val="none" w:sz="0" w:space="0" w:color="auto"/>
                    <w:left w:val="none" w:sz="0" w:space="0" w:color="auto"/>
                    <w:bottom w:val="none" w:sz="0" w:space="0" w:color="auto"/>
                    <w:right w:val="none" w:sz="0" w:space="0" w:color="auto"/>
                  </w:divBdr>
                  <w:divsChild>
                    <w:div w:id="2112360110">
                      <w:marLeft w:val="0"/>
                      <w:marRight w:val="0"/>
                      <w:marTop w:val="0"/>
                      <w:marBottom w:val="0"/>
                      <w:divBdr>
                        <w:top w:val="none" w:sz="0" w:space="0" w:color="auto"/>
                        <w:left w:val="none" w:sz="0" w:space="0" w:color="auto"/>
                        <w:bottom w:val="none" w:sz="0" w:space="0" w:color="auto"/>
                        <w:right w:val="none" w:sz="0" w:space="0" w:color="auto"/>
                      </w:divBdr>
                      <w:divsChild>
                        <w:div w:id="1146236718">
                          <w:marLeft w:val="0"/>
                          <w:marRight w:val="0"/>
                          <w:marTop w:val="0"/>
                          <w:marBottom w:val="0"/>
                          <w:divBdr>
                            <w:top w:val="none" w:sz="0" w:space="0" w:color="auto"/>
                            <w:left w:val="none" w:sz="0" w:space="0" w:color="auto"/>
                            <w:bottom w:val="none" w:sz="0" w:space="0" w:color="auto"/>
                            <w:right w:val="none" w:sz="0" w:space="0" w:color="auto"/>
                          </w:divBdr>
                          <w:divsChild>
                            <w:div w:id="188959117">
                              <w:marLeft w:val="0"/>
                              <w:marRight w:val="0"/>
                              <w:marTop w:val="0"/>
                              <w:marBottom w:val="0"/>
                              <w:divBdr>
                                <w:top w:val="none" w:sz="0" w:space="0" w:color="auto"/>
                                <w:left w:val="none" w:sz="0" w:space="0" w:color="auto"/>
                                <w:bottom w:val="none" w:sz="0" w:space="0" w:color="auto"/>
                                <w:right w:val="none" w:sz="0" w:space="0" w:color="auto"/>
                              </w:divBdr>
                              <w:divsChild>
                                <w:div w:id="161763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713069">
          <w:marLeft w:val="0"/>
          <w:marRight w:val="0"/>
          <w:marTop w:val="100"/>
          <w:marBottom w:val="100"/>
          <w:divBdr>
            <w:top w:val="none" w:sz="0" w:space="0" w:color="auto"/>
            <w:left w:val="none" w:sz="0" w:space="0" w:color="auto"/>
            <w:bottom w:val="none" w:sz="0" w:space="0" w:color="auto"/>
            <w:right w:val="none" w:sz="0" w:space="0" w:color="auto"/>
          </w:divBdr>
          <w:divsChild>
            <w:div w:id="1582369990">
              <w:marLeft w:val="0"/>
              <w:marRight w:val="0"/>
              <w:marTop w:val="0"/>
              <w:marBottom w:val="0"/>
              <w:divBdr>
                <w:top w:val="none" w:sz="0" w:space="0" w:color="auto"/>
                <w:left w:val="none" w:sz="0" w:space="0" w:color="auto"/>
                <w:bottom w:val="none" w:sz="0" w:space="0" w:color="auto"/>
                <w:right w:val="none" w:sz="0" w:space="0" w:color="auto"/>
              </w:divBdr>
              <w:divsChild>
                <w:div w:id="1476265626">
                  <w:marLeft w:val="0"/>
                  <w:marRight w:val="0"/>
                  <w:marTop w:val="0"/>
                  <w:marBottom w:val="0"/>
                  <w:divBdr>
                    <w:top w:val="none" w:sz="0" w:space="0" w:color="auto"/>
                    <w:left w:val="none" w:sz="0" w:space="0" w:color="auto"/>
                    <w:bottom w:val="none" w:sz="0" w:space="0" w:color="auto"/>
                    <w:right w:val="none" w:sz="0" w:space="0" w:color="auto"/>
                  </w:divBdr>
                  <w:divsChild>
                    <w:div w:id="200675935">
                      <w:marLeft w:val="0"/>
                      <w:marRight w:val="0"/>
                      <w:marTop w:val="0"/>
                      <w:marBottom w:val="0"/>
                      <w:divBdr>
                        <w:top w:val="none" w:sz="0" w:space="0" w:color="auto"/>
                        <w:left w:val="none" w:sz="0" w:space="0" w:color="auto"/>
                        <w:bottom w:val="none" w:sz="0" w:space="0" w:color="auto"/>
                        <w:right w:val="none" w:sz="0" w:space="0" w:color="auto"/>
                      </w:divBdr>
                      <w:divsChild>
                        <w:div w:id="1476490845">
                          <w:marLeft w:val="0"/>
                          <w:marRight w:val="0"/>
                          <w:marTop w:val="0"/>
                          <w:marBottom w:val="0"/>
                          <w:divBdr>
                            <w:top w:val="none" w:sz="0" w:space="0" w:color="auto"/>
                            <w:left w:val="none" w:sz="0" w:space="0" w:color="auto"/>
                            <w:bottom w:val="none" w:sz="0" w:space="0" w:color="auto"/>
                            <w:right w:val="none" w:sz="0" w:space="0" w:color="auto"/>
                          </w:divBdr>
                          <w:divsChild>
                            <w:div w:id="12798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64192">
          <w:marLeft w:val="0"/>
          <w:marRight w:val="0"/>
          <w:marTop w:val="100"/>
          <w:marBottom w:val="100"/>
          <w:divBdr>
            <w:top w:val="none" w:sz="0" w:space="0" w:color="auto"/>
            <w:left w:val="none" w:sz="0" w:space="0" w:color="auto"/>
            <w:bottom w:val="none" w:sz="0" w:space="0" w:color="auto"/>
            <w:right w:val="none" w:sz="0" w:space="0" w:color="auto"/>
          </w:divBdr>
          <w:divsChild>
            <w:div w:id="1761875496">
              <w:marLeft w:val="0"/>
              <w:marRight w:val="0"/>
              <w:marTop w:val="0"/>
              <w:marBottom w:val="0"/>
              <w:divBdr>
                <w:top w:val="none" w:sz="0" w:space="0" w:color="auto"/>
                <w:left w:val="none" w:sz="0" w:space="0" w:color="auto"/>
                <w:bottom w:val="none" w:sz="0" w:space="0" w:color="auto"/>
                <w:right w:val="none" w:sz="0" w:space="0" w:color="auto"/>
              </w:divBdr>
              <w:divsChild>
                <w:div w:id="1345790854">
                  <w:marLeft w:val="0"/>
                  <w:marRight w:val="0"/>
                  <w:marTop w:val="0"/>
                  <w:marBottom w:val="0"/>
                  <w:divBdr>
                    <w:top w:val="none" w:sz="0" w:space="0" w:color="auto"/>
                    <w:left w:val="none" w:sz="0" w:space="0" w:color="auto"/>
                    <w:bottom w:val="none" w:sz="0" w:space="0" w:color="auto"/>
                    <w:right w:val="none" w:sz="0" w:space="0" w:color="auto"/>
                  </w:divBdr>
                  <w:divsChild>
                    <w:div w:id="2146505855">
                      <w:marLeft w:val="0"/>
                      <w:marRight w:val="0"/>
                      <w:marTop w:val="0"/>
                      <w:marBottom w:val="0"/>
                      <w:divBdr>
                        <w:top w:val="none" w:sz="0" w:space="0" w:color="auto"/>
                        <w:left w:val="none" w:sz="0" w:space="0" w:color="auto"/>
                        <w:bottom w:val="none" w:sz="0" w:space="0" w:color="auto"/>
                        <w:right w:val="none" w:sz="0" w:space="0" w:color="auto"/>
                      </w:divBdr>
                      <w:divsChild>
                        <w:div w:id="829255084">
                          <w:marLeft w:val="0"/>
                          <w:marRight w:val="0"/>
                          <w:marTop w:val="0"/>
                          <w:marBottom w:val="0"/>
                          <w:divBdr>
                            <w:top w:val="none" w:sz="0" w:space="0" w:color="auto"/>
                            <w:left w:val="none" w:sz="0" w:space="0" w:color="auto"/>
                            <w:bottom w:val="none" w:sz="0" w:space="0" w:color="auto"/>
                            <w:right w:val="none" w:sz="0" w:space="0" w:color="auto"/>
                          </w:divBdr>
                          <w:divsChild>
                            <w:div w:id="1394887753">
                              <w:marLeft w:val="0"/>
                              <w:marRight w:val="0"/>
                              <w:marTop w:val="0"/>
                              <w:marBottom w:val="0"/>
                              <w:divBdr>
                                <w:top w:val="none" w:sz="0" w:space="0" w:color="auto"/>
                                <w:left w:val="none" w:sz="0" w:space="0" w:color="auto"/>
                                <w:bottom w:val="none" w:sz="0" w:space="0" w:color="auto"/>
                                <w:right w:val="none" w:sz="0" w:space="0" w:color="auto"/>
                              </w:divBdr>
                              <w:divsChild>
                                <w:div w:id="2856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444636">
          <w:marLeft w:val="0"/>
          <w:marRight w:val="0"/>
          <w:marTop w:val="100"/>
          <w:marBottom w:val="100"/>
          <w:divBdr>
            <w:top w:val="none" w:sz="0" w:space="0" w:color="auto"/>
            <w:left w:val="none" w:sz="0" w:space="0" w:color="auto"/>
            <w:bottom w:val="none" w:sz="0" w:space="0" w:color="auto"/>
            <w:right w:val="none" w:sz="0" w:space="0" w:color="auto"/>
          </w:divBdr>
          <w:divsChild>
            <w:div w:id="395779755">
              <w:marLeft w:val="0"/>
              <w:marRight w:val="0"/>
              <w:marTop w:val="0"/>
              <w:marBottom w:val="0"/>
              <w:divBdr>
                <w:top w:val="none" w:sz="0" w:space="0" w:color="auto"/>
                <w:left w:val="none" w:sz="0" w:space="0" w:color="auto"/>
                <w:bottom w:val="none" w:sz="0" w:space="0" w:color="auto"/>
                <w:right w:val="none" w:sz="0" w:space="0" w:color="auto"/>
              </w:divBdr>
              <w:divsChild>
                <w:div w:id="1525291724">
                  <w:marLeft w:val="0"/>
                  <w:marRight w:val="0"/>
                  <w:marTop w:val="0"/>
                  <w:marBottom w:val="0"/>
                  <w:divBdr>
                    <w:top w:val="none" w:sz="0" w:space="0" w:color="auto"/>
                    <w:left w:val="none" w:sz="0" w:space="0" w:color="auto"/>
                    <w:bottom w:val="none" w:sz="0" w:space="0" w:color="auto"/>
                    <w:right w:val="none" w:sz="0" w:space="0" w:color="auto"/>
                  </w:divBdr>
                  <w:divsChild>
                    <w:div w:id="1322352464">
                      <w:marLeft w:val="0"/>
                      <w:marRight w:val="0"/>
                      <w:marTop w:val="0"/>
                      <w:marBottom w:val="0"/>
                      <w:divBdr>
                        <w:top w:val="none" w:sz="0" w:space="0" w:color="auto"/>
                        <w:left w:val="none" w:sz="0" w:space="0" w:color="auto"/>
                        <w:bottom w:val="none" w:sz="0" w:space="0" w:color="auto"/>
                        <w:right w:val="none" w:sz="0" w:space="0" w:color="auto"/>
                      </w:divBdr>
                      <w:divsChild>
                        <w:div w:id="2050377928">
                          <w:marLeft w:val="0"/>
                          <w:marRight w:val="0"/>
                          <w:marTop w:val="0"/>
                          <w:marBottom w:val="0"/>
                          <w:divBdr>
                            <w:top w:val="none" w:sz="0" w:space="0" w:color="auto"/>
                            <w:left w:val="none" w:sz="0" w:space="0" w:color="auto"/>
                            <w:bottom w:val="none" w:sz="0" w:space="0" w:color="auto"/>
                            <w:right w:val="none" w:sz="0" w:space="0" w:color="auto"/>
                          </w:divBdr>
                          <w:divsChild>
                            <w:div w:id="5935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691">
          <w:marLeft w:val="0"/>
          <w:marRight w:val="0"/>
          <w:marTop w:val="100"/>
          <w:marBottom w:val="100"/>
          <w:divBdr>
            <w:top w:val="none" w:sz="0" w:space="0" w:color="auto"/>
            <w:left w:val="none" w:sz="0" w:space="0" w:color="auto"/>
            <w:bottom w:val="none" w:sz="0" w:space="0" w:color="auto"/>
            <w:right w:val="none" w:sz="0" w:space="0" w:color="auto"/>
          </w:divBdr>
          <w:divsChild>
            <w:div w:id="442117230">
              <w:marLeft w:val="0"/>
              <w:marRight w:val="0"/>
              <w:marTop w:val="0"/>
              <w:marBottom w:val="0"/>
              <w:divBdr>
                <w:top w:val="none" w:sz="0" w:space="0" w:color="auto"/>
                <w:left w:val="none" w:sz="0" w:space="0" w:color="auto"/>
                <w:bottom w:val="none" w:sz="0" w:space="0" w:color="auto"/>
                <w:right w:val="none" w:sz="0" w:space="0" w:color="auto"/>
              </w:divBdr>
              <w:divsChild>
                <w:div w:id="1503230131">
                  <w:marLeft w:val="0"/>
                  <w:marRight w:val="0"/>
                  <w:marTop w:val="0"/>
                  <w:marBottom w:val="0"/>
                  <w:divBdr>
                    <w:top w:val="none" w:sz="0" w:space="0" w:color="auto"/>
                    <w:left w:val="none" w:sz="0" w:space="0" w:color="auto"/>
                    <w:bottom w:val="none" w:sz="0" w:space="0" w:color="auto"/>
                    <w:right w:val="none" w:sz="0" w:space="0" w:color="auto"/>
                  </w:divBdr>
                  <w:divsChild>
                    <w:div w:id="2053921457">
                      <w:marLeft w:val="0"/>
                      <w:marRight w:val="0"/>
                      <w:marTop w:val="0"/>
                      <w:marBottom w:val="0"/>
                      <w:divBdr>
                        <w:top w:val="none" w:sz="0" w:space="0" w:color="auto"/>
                        <w:left w:val="none" w:sz="0" w:space="0" w:color="auto"/>
                        <w:bottom w:val="none" w:sz="0" w:space="0" w:color="auto"/>
                        <w:right w:val="none" w:sz="0" w:space="0" w:color="auto"/>
                      </w:divBdr>
                      <w:divsChild>
                        <w:div w:id="1254365182">
                          <w:marLeft w:val="0"/>
                          <w:marRight w:val="0"/>
                          <w:marTop w:val="0"/>
                          <w:marBottom w:val="0"/>
                          <w:divBdr>
                            <w:top w:val="none" w:sz="0" w:space="0" w:color="auto"/>
                            <w:left w:val="none" w:sz="0" w:space="0" w:color="auto"/>
                            <w:bottom w:val="none" w:sz="0" w:space="0" w:color="auto"/>
                            <w:right w:val="none" w:sz="0" w:space="0" w:color="auto"/>
                          </w:divBdr>
                          <w:divsChild>
                            <w:div w:id="2080518106">
                              <w:marLeft w:val="0"/>
                              <w:marRight w:val="0"/>
                              <w:marTop w:val="0"/>
                              <w:marBottom w:val="0"/>
                              <w:divBdr>
                                <w:top w:val="none" w:sz="0" w:space="0" w:color="auto"/>
                                <w:left w:val="none" w:sz="0" w:space="0" w:color="auto"/>
                                <w:bottom w:val="none" w:sz="0" w:space="0" w:color="auto"/>
                                <w:right w:val="none" w:sz="0" w:space="0" w:color="auto"/>
                              </w:divBdr>
                              <w:divsChild>
                                <w:div w:id="1704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429361">
          <w:marLeft w:val="0"/>
          <w:marRight w:val="0"/>
          <w:marTop w:val="100"/>
          <w:marBottom w:val="100"/>
          <w:divBdr>
            <w:top w:val="none" w:sz="0" w:space="0" w:color="auto"/>
            <w:left w:val="none" w:sz="0" w:space="0" w:color="auto"/>
            <w:bottom w:val="none" w:sz="0" w:space="0" w:color="auto"/>
            <w:right w:val="none" w:sz="0" w:space="0" w:color="auto"/>
          </w:divBdr>
          <w:divsChild>
            <w:div w:id="31348542">
              <w:marLeft w:val="0"/>
              <w:marRight w:val="0"/>
              <w:marTop w:val="0"/>
              <w:marBottom w:val="0"/>
              <w:divBdr>
                <w:top w:val="none" w:sz="0" w:space="0" w:color="auto"/>
                <w:left w:val="none" w:sz="0" w:space="0" w:color="auto"/>
                <w:bottom w:val="none" w:sz="0" w:space="0" w:color="auto"/>
                <w:right w:val="none" w:sz="0" w:space="0" w:color="auto"/>
              </w:divBdr>
              <w:divsChild>
                <w:div w:id="835994509">
                  <w:marLeft w:val="0"/>
                  <w:marRight w:val="0"/>
                  <w:marTop w:val="0"/>
                  <w:marBottom w:val="0"/>
                  <w:divBdr>
                    <w:top w:val="none" w:sz="0" w:space="0" w:color="auto"/>
                    <w:left w:val="none" w:sz="0" w:space="0" w:color="auto"/>
                    <w:bottom w:val="none" w:sz="0" w:space="0" w:color="auto"/>
                    <w:right w:val="none" w:sz="0" w:space="0" w:color="auto"/>
                  </w:divBdr>
                  <w:divsChild>
                    <w:div w:id="1984695552">
                      <w:marLeft w:val="0"/>
                      <w:marRight w:val="0"/>
                      <w:marTop w:val="0"/>
                      <w:marBottom w:val="0"/>
                      <w:divBdr>
                        <w:top w:val="none" w:sz="0" w:space="0" w:color="auto"/>
                        <w:left w:val="none" w:sz="0" w:space="0" w:color="auto"/>
                        <w:bottom w:val="none" w:sz="0" w:space="0" w:color="auto"/>
                        <w:right w:val="none" w:sz="0" w:space="0" w:color="auto"/>
                      </w:divBdr>
                      <w:divsChild>
                        <w:div w:id="1671835451">
                          <w:marLeft w:val="0"/>
                          <w:marRight w:val="0"/>
                          <w:marTop w:val="0"/>
                          <w:marBottom w:val="0"/>
                          <w:divBdr>
                            <w:top w:val="none" w:sz="0" w:space="0" w:color="auto"/>
                            <w:left w:val="none" w:sz="0" w:space="0" w:color="auto"/>
                            <w:bottom w:val="none" w:sz="0" w:space="0" w:color="auto"/>
                            <w:right w:val="none" w:sz="0" w:space="0" w:color="auto"/>
                          </w:divBdr>
                          <w:divsChild>
                            <w:div w:id="207330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101787">
          <w:marLeft w:val="0"/>
          <w:marRight w:val="0"/>
          <w:marTop w:val="100"/>
          <w:marBottom w:val="100"/>
          <w:divBdr>
            <w:top w:val="none" w:sz="0" w:space="0" w:color="auto"/>
            <w:left w:val="none" w:sz="0" w:space="0" w:color="auto"/>
            <w:bottom w:val="none" w:sz="0" w:space="0" w:color="auto"/>
            <w:right w:val="none" w:sz="0" w:space="0" w:color="auto"/>
          </w:divBdr>
          <w:divsChild>
            <w:div w:id="434134288">
              <w:marLeft w:val="0"/>
              <w:marRight w:val="0"/>
              <w:marTop w:val="0"/>
              <w:marBottom w:val="0"/>
              <w:divBdr>
                <w:top w:val="none" w:sz="0" w:space="0" w:color="auto"/>
                <w:left w:val="none" w:sz="0" w:space="0" w:color="auto"/>
                <w:bottom w:val="none" w:sz="0" w:space="0" w:color="auto"/>
                <w:right w:val="none" w:sz="0" w:space="0" w:color="auto"/>
              </w:divBdr>
              <w:divsChild>
                <w:div w:id="1883177604">
                  <w:marLeft w:val="0"/>
                  <w:marRight w:val="0"/>
                  <w:marTop w:val="0"/>
                  <w:marBottom w:val="0"/>
                  <w:divBdr>
                    <w:top w:val="none" w:sz="0" w:space="0" w:color="auto"/>
                    <w:left w:val="none" w:sz="0" w:space="0" w:color="auto"/>
                    <w:bottom w:val="none" w:sz="0" w:space="0" w:color="auto"/>
                    <w:right w:val="none" w:sz="0" w:space="0" w:color="auto"/>
                  </w:divBdr>
                  <w:divsChild>
                    <w:div w:id="1854372629">
                      <w:marLeft w:val="0"/>
                      <w:marRight w:val="0"/>
                      <w:marTop w:val="0"/>
                      <w:marBottom w:val="0"/>
                      <w:divBdr>
                        <w:top w:val="none" w:sz="0" w:space="0" w:color="auto"/>
                        <w:left w:val="none" w:sz="0" w:space="0" w:color="auto"/>
                        <w:bottom w:val="none" w:sz="0" w:space="0" w:color="auto"/>
                        <w:right w:val="none" w:sz="0" w:space="0" w:color="auto"/>
                      </w:divBdr>
                      <w:divsChild>
                        <w:div w:id="465047983">
                          <w:marLeft w:val="0"/>
                          <w:marRight w:val="0"/>
                          <w:marTop w:val="0"/>
                          <w:marBottom w:val="0"/>
                          <w:divBdr>
                            <w:top w:val="none" w:sz="0" w:space="0" w:color="auto"/>
                            <w:left w:val="none" w:sz="0" w:space="0" w:color="auto"/>
                            <w:bottom w:val="none" w:sz="0" w:space="0" w:color="auto"/>
                            <w:right w:val="none" w:sz="0" w:space="0" w:color="auto"/>
                          </w:divBdr>
                          <w:divsChild>
                            <w:div w:id="41828230">
                              <w:marLeft w:val="0"/>
                              <w:marRight w:val="0"/>
                              <w:marTop w:val="0"/>
                              <w:marBottom w:val="0"/>
                              <w:divBdr>
                                <w:top w:val="none" w:sz="0" w:space="0" w:color="auto"/>
                                <w:left w:val="none" w:sz="0" w:space="0" w:color="auto"/>
                                <w:bottom w:val="none" w:sz="0" w:space="0" w:color="auto"/>
                                <w:right w:val="none" w:sz="0" w:space="0" w:color="auto"/>
                              </w:divBdr>
                              <w:divsChild>
                                <w:div w:id="71501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660570">
          <w:marLeft w:val="0"/>
          <w:marRight w:val="0"/>
          <w:marTop w:val="100"/>
          <w:marBottom w:val="100"/>
          <w:divBdr>
            <w:top w:val="none" w:sz="0" w:space="0" w:color="auto"/>
            <w:left w:val="none" w:sz="0" w:space="0" w:color="auto"/>
            <w:bottom w:val="none" w:sz="0" w:space="0" w:color="auto"/>
            <w:right w:val="none" w:sz="0" w:space="0" w:color="auto"/>
          </w:divBdr>
          <w:divsChild>
            <w:div w:id="417866645">
              <w:marLeft w:val="0"/>
              <w:marRight w:val="0"/>
              <w:marTop w:val="0"/>
              <w:marBottom w:val="0"/>
              <w:divBdr>
                <w:top w:val="none" w:sz="0" w:space="0" w:color="auto"/>
                <w:left w:val="none" w:sz="0" w:space="0" w:color="auto"/>
                <w:bottom w:val="none" w:sz="0" w:space="0" w:color="auto"/>
                <w:right w:val="none" w:sz="0" w:space="0" w:color="auto"/>
              </w:divBdr>
              <w:divsChild>
                <w:div w:id="1553611490">
                  <w:marLeft w:val="0"/>
                  <w:marRight w:val="0"/>
                  <w:marTop w:val="0"/>
                  <w:marBottom w:val="0"/>
                  <w:divBdr>
                    <w:top w:val="none" w:sz="0" w:space="0" w:color="auto"/>
                    <w:left w:val="none" w:sz="0" w:space="0" w:color="auto"/>
                    <w:bottom w:val="none" w:sz="0" w:space="0" w:color="auto"/>
                    <w:right w:val="none" w:sz="0" w:space="0" w:color="auto"/>
                  </w:divBdr>
                  <w:divsChild>
                    <w:div w:id="1603687589">
                      <w:marLeft w:val="0"/>
                      <w:marRight w:val="0"/>
                      <w:marTop w:val="0"/>
                      <w:marBottom w:val="0"/>
                      <w:divBdr>
                        <w:top w:val="none" w:sz="0" w:space="0" w:color="auto"/>
                        <w:left w:val="none" w:sz="0" w:space="0" w:color="auto"/>
                        <w:bottom w:val="none" w:sz="0" w:space="0" w:color="auto"/>
                        <w:right w:val="none" w:sz="0" w:space="0" w:color="auto"/>
                      </w:divBdr>
                      <w:divsChild>
                        <w:div w:id="666632424">
                          <w:marLeft w:val="0"/>
                          <w:marRight w:val="0"/>
                          <w:marTop w:val="0"/>
                          <w:marBottom w:val="0"/>
                          <w:divBdr>
                            <w:top w:val="none" w:sz="0" w:space="0" w:color="auto"/>
                            <w:left w:val="none" w:sz="0" w:space="0" w:color="auto"/>
                            <w:bottom w:val="none" w:sz="0" w:space="0" w:color="auto"/>
                            <w:right w:val="none" w:sz="0" w:space="0" w:color="auto"/>
                          </w:divBdr>
                          <w:divsChild>
                            <w:div w:id="11404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6326">
      <w:bodyDiv w:val="1"/>
      <w:marLeft w:val="0"/>
      <w:marRight w:val="0"/>
      <w:marTop w:val="0"/>
      <w:marBottom w:val="0"/>
      <w:divBdr>
        <w:top w:val="none" w:sz="0" w:space="0" w:color="auto"/>
        <w:left w:val="none" w:sz="0" w:space="0" w:color="auto"/>
        <w:bottom w:val="none" w:sz="0" w:space="0" w:color="auto"/>
        <w:right w:val="none" w:sz="0" w:space="0" w:color="auto"/>
      </w:divBdr>
    </w:div>
    <w:div w:id="1704020401">
      <w:bodyDiv w:val="1"/>
      <w:marLeft w:val="0"/>
      <w:marRight w:val="0"/>
      <w:marTop w:val="0"/>
      <w:marBottom w:val="0"/>
      <w:divBdr>
        <w:top w:val="none" w:sz="0" w:space="0" w:color="auto"/>
        <w:left w:val="none" w:sz="0" w:space="0" w:color="auto"/>
        <w:bottom w:val="none" w:sz="0" w:space="0" w:color="auto"/>
        <w:right w:val="none" w:sz="0" w:space="0" w:color="auto"/>
      </w:divBdr>
    </w:div>
    <w:div w:id="1726027090">
      <w:bodyDiv w:val="1"/>
      <w:marLeft w:val="0"/>
      <w:marRight w:val="0"/>
      <w:marTop w:val="0"/>
      <w:marBottom w:val="0"/>
      <w:divBdr>
        <w:top w:val="none" w:sz="0" w:space="0" w:color="auto"/>
        <w:left w:val="none" w:sz="0" w:space="0" w:color="auto"/>
        <w:bottom w:val="none" w:sz="0" w:space="0" w:color="auto"/>
        <w:right w:val="none" w:sz="0" w:space="0" w:color="auto"/>
      </w:divBdr>
    </w:div>
    <w:div w:id="1764952618">
      <w:bodyDiv w:val="1"/>
      <w:marLeft w:val="0"/>
      <w:marRight w:val="0"/>
      <w:marTop w:val="0"/>
      <w:marBottom w:val="0"/>
      <w:divBdr>
        <w:top w:val="none" w:sz="0" w:space="0" w:color="auto"/>
        <w:left w:val="none" w:sz="0" w:space="0" w:color="auto"/>
        <w:bottom w:val="none" w:sz="0" w:space="0" w:color="auto"/>
        <w:right w:val="none" w:sz="0" w:space="0" w:color="auto"/>
      </w:divBdr>
    </w:div>
    <w:div w:id="1781990021">
      <w:bodyDiv w:val="1"/>
      <w:marLeft w:val="0"/>
      <w:marRight w:val="0"/>
      <w:marTop w:val="0"/>
      <w:marBottom w:val="0"/>
      <w:divBdr>
        <w:top w:val="none" w:sz="0" w:space="0" w:color="auto"/>
        <w:left w:val="none" w:sz="0" w:space="0" w:color="auto"/>
        <w:bottom w:val="none" w:sz="0" w:space="0" w:color="auto"/>
        <w:right w:val="none" w:sz="0" w:space="0" w:color="auto"/>
      </w:divBdr>
    </w:div>
    <w:div w:id="1817140923">
      <w:bodyDiv w:val="1"/>
      <w:marLeft w:val="0"/>
      <w:marRight w:val="0"/>
      <w:marTop w:val="0"/>
      <w:marBottom w:val="0"/>
      <w:divBdr>
        <w:top w:val="none" w:sz="0" w:space="0" w:color="auto"/>
        <w:left w:val="none" w:sz="0" w:space="0" w:color="auto"/>
        <w:bottom w:val="none" w:sz="0" w:space="0" w:color="auto"/>
        <w:right w:val="none" w:sz="0" w:space="0" w:color="auto"/>
      </w:divBdr>
      <w:divsChild>
        <w:div w:id="505172935">
          <w:marLeft w:val="0"/>
          <w:marRight w:val="0"/>
          <w:marTop w:val="0"/>
          <w:marBottom w:val="0"/>
          <w:divBdr>
            <w:top w:val="none" w:sz="0" w:space="0" w:color="auto"/>
            <w:left w:val="none" w:sz="0" w:space="0" w:color="auto"/>
            <w:bottom w:val="none" w:sz="0" w:space="0" w:color="auto"/>
            <w:right w:val="none" w:sz="0" w:space="0" w:color="auto"/>
          </w:divBdr>
        </w:div>
        <w:div w:id="2127969039">
          <w:marLeft w:val="0"/>
          <w:marRight w:val="0"/>
          <w:marTop w:val="0"/>
          <w:marBottom w:val="0"/>
          <w:divBdr>
            <w:top w:val="none" w:sz="0" w:space="0" w:color="auto"/>
            <w:left w:val="none" w:sz="0" w:space="0" w:color="auto"/>
            <w:bottom w:val="none" w:sz="0" w:space="0" w:color="auto"/>
            <w:right w:val="none" w:sz="0" w:space="0" w:color="auto"/>
          </w:divBdr>
        </w:div>
        <w:div w:id="1543707075">
          <w:marLeft w:val="0"/>
          <w:marRight w:val="0"/>
          <w:marTop w:val="0"/>
          <w:marBottom w:val="0"/>
          <w:divBdr>
            <w:top w:val="none" w:sz="0" w:space="0" w:color="auto"/>
            <w:left w:val="none" w:sz="0" w:space="0" w:color="auto"/>
            <w:bottom w:val="none" w:sz="0" w:space="0" w:color="auto"/>
            <w:right w:val="none" w:sz="0" w:space="0" w:color="auto"/>
          </w:divBdr>
        </w:div>
      </w:divsChild>
    </w:div>
    <w:div w:id="1831755419">
      <w:bodyDiv w:val="1"/>
      <w:marLeft w:val="0"/>
      <w:marRight w:val="0"/>
      <w:marTop w:val="0"/>
      <w:marBottom w:val="0"/>
      <w:divBdr>
        <w:top w:val="none" w:sz="0" w:space="0" w:color="auto"/>
        <w:left w:val="none" w:sz="0" w:space="0" w:color="auto"/>
        <w:bottom w:val="none" w:sz="0" w:space="0" w:color="auto"/>
        <w:right w:val="none" w:sz="0" w:space="0" w:color="auto"/>
      </w:divBdr>
    </w:div>
    <w:div w:id="1941527678">
      <w:bodyDiv w:val="1"/>
      <w:marLeft w:val="0"/>
      <w:marRight w:val="0"/>
      <w:marTop w:val="0"/>
      <w:marBottom w:val="0"/>
      <w:divBdr>
        <w:top w:val="none" w:sz="0" w:space="0" w:color="auto"/>
        <w:left w:val="none" w:sz="0" w:space="0" w:color="auto"/>
        <w:bottom w:val="none" w:sz="0" w:space="0" w:color="auto"/>
        <w:right w:val="none" w:sz="0" w:space="0" w:color="auto"/>
      </w:divBdr>
      <w:divsChild>
        <w:div w:id="900215970">
          <w:marLeft w:val="0"/>
          <w:marRight w:val="0"/>
          <w:marTop w:val="0"/>
          <w:marBottom w:val="0"/>
          <w:divBdr>
            <w:top w:val="none" w:sz="0" w:space="0" w:color="auto"/>
            <w:left w:val="none" w:sz="0" w:space="0" w:color="auto"/>
            <w:bottom w:val="none" w:sz="0" w:space="0" w:color="auto"/>
            <w:right w:val="none" w:sz="0" w:space="0" w:color="auto"/>
          </w:divBdr>
        </w:div>
        <w:div w:id="461656003">
          <w:marLeft w:val="0"/>
          <w:marRight w:val="0"/>
          <w:marTop w:val="0"/>
          <w:marBottom w:val="0"/>
          <w:divBdr>
            <w:top w:val="none" w:sz="0" w:space="0" w:color="auto"/>
            <w:left w:val="none" w:sz="0" w:space="0" w:color="auto"/>
            <w:bottom w:val="none" w:sz="0" w:space="0" w:color="auto"/>
            <w:right w:val="none" w:sz="0" w:space="0" w:color="auto"/>
          </w:divBdr>
        </w:div>
        <w:div w:id="1960331369">
          <w:marLeft w:val="0"/>
          <w:marRight w:val="0"/>
          <w:marTop w:val="0"/>
          <w:marBottom w:val="0"/>
          <w:divBdr>
            <w:top w:val="none" w:sz="0" w:space="0" w:color="auto"/>
            <w:left w:val="none" w:sz="0" w:space="0" w:color="auto"/>
            <w:bottom w:val="none" w:sz="0" w:space="0" w:color="auto"/>
            <w:right w:val="none" w:sz="0" w:space="0" w:color="auto"/>
          </w:divBdr>
        </w:div>
      </w:divsChild>
    </w:div>
    <w:div w:id="1973706183">
      <w:bodyDiv w:val="1"/>
      <w:marLeft w:val="0"/>
      <w:marRight w:val="0"/>
      <w:marTop w:val="0"/>
      <w:marBottom w:val="0"/>
      <w:divBdr>
        <w:top w:val="none" w:sz="0" w:space="0" w:color="auto"/>
        <w:left w:val="none" w:sz="0" w:space="0" w:color="auto"/>
        <w:bottom w:val="none" w:sz="0" w:space="0" w:color="auto"/>
        <w:right w:val="none" w:sz="0" w:space="0" w:color="auto"/>
      </w:divBdr>
    </w:div>
    <w:div w:id="1989161397">
      <w:bodyDiv w:val="1"/>
      <w:marLeft w:val="0"/>
      <w:marRight w:val="0"/>
      <w:marTop w:val="0"/>
      <w:marBottom w:val="0"/>
      <w:divBdr>
        <w:top w:val="none" w:sz="0" w:space="0" w:color="auto"/>
        <w:left w:val="none" w:sz="0" w:space="0" w:color="auto"/>
        <w:bottom w:val="none" w:sz="0" w:space="0" w:color="auto"/>
        <w:right w:val="none" w:sz="0" w:space="0" w:color="auto"/>
      </w:divBdr>
    </w:div>
    <w:div w:id="2031367295">
      <w:bodyDiv w:val="1"/>
      <w:marLeft w:val="0"/>
      <w:marRight w:val="0"/>
      <w:marTop w:val="0"/>
      <w:marBottom w:val="0"/>
      <w:divBdr>
        <w:top w:val="none" w:sz="0" w:space="0" w:color="auto"/>
        <w:left w:val="none" w:sz="0" w:space="0" w:color="auto"/>
        <w:bottom w:val="none" w:sz="0" w:space="0" w:color="auto"/>
        <w:right w:val="none" w:sz="0" w:space="0" w:color="auto"/>
      </w:divBdr>
    </w:div>
    <w:div w:id="2033214941">
      <w:bodyDiv w:val="1"/>
      <w:marLeft w:val="0"/>
      <w:marRight w:val="0"/>
      <w:marTop w:val="0"/>
      <w:marBottom w:val="0"/>
      <w:divBdr>
        <w:top w:val="none" w:sz="0" w:space="0" w:color="auto"/>
        <w:left w:val="none" w:sz="0" w:space="0" w:color="auto"/>
        <w:bottom w:val="none" w:sz="0" w:space="0" w:color="auto"/>
        <w:right w:val="none" w:sz="0" w:space="0" w:color="auto"/>
      </w:divBdr>
    </w:div>
    <w:div w:id="2039892397">
      <w:bodyDiv w:val="1"/>
      <w:marLeft w:val="0"/>
      <w:marRight w:val="0"/>
      <w:marTop w:val="0"/>
      <w:marBottom w:val="0"/>
      <w:divBdr>
        <w:top w:val="none" w:sz="0" w:space="0" w:color="auto"/>
        <w:left w:val="none" w:sz="0" w:space="0" w:color="auto"/>
        <w:bottom w:val="none" w:sz="0" w:space="0" w:color="auto"/>
        <w:right w:val="none" w:sz="0" w:space="0" w:color="auto"/>
      </w:divBdr>
    </w:div>
    <w:div w:id="2083094305">
      <w:bodyDiv w:val="1"/>
      <w:marLeft w:val="0"/>
      <w:marRight w:val="0"/>
      <w:marTop w:val="0"/>
      <w:marBottom w:val="0"/>
      <w:divBdr>
        <w:top w:val="none" w:sz="0" w:space="0" w:color="auto"/>
        <w:left w:val="none" w:sz="0" w:space="0" w:color="auto"/>
        <w:bottom w:val="none" w:sz="0" w:space="0" w:color="auto"/>
        <w:right w:val="none" w:sz="0" w:space="0" w:color="auto"/>
      </w:divBdr>
    </w:div>
    <w:div w:id="214473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D5AD1-14DE-4C50-ACD5-C8D4EF40A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24</Pages>
  <Words>10235</Words>
  <Characters>58346</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2026-02-19T10:50:00Z</dcterms:created>
  <dcterms:modified xsi:type="dcterms:W3CDTF">2026-02-20T11:18:00Z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2025-10-29T11:40:25Z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df4a84cd-a9cf-4ec4-93c6-8441c26cafc1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