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5332" w:rsidRPr="00FE1B71" w:rsidRDefault="00A7317C" w:rsidP="00A7317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ABC13A-9BE2-4047-AF76-DC154DC53C89" style="width:455.25pt;height:342.75pt">
            <v:imagedata r:id="rId11" o:title=""/>
          </v:shape>
        </w:pict>
      </w:r>
    </w:p>
    <w:p w:rsidR="00F05332" w:rsidRPr="00FE1B71" w:rsidRDefault="00F05332" w:rsidP="00F05332">
      <w:pPr>
        <w:rPr>
          <w:noProof/>
        </w:rPr>
        <w:sectPr w:rsidR="00F05332" w:rsidRPr="00FE1B71" w:rsidSect="00A7317C">
          <w:footerReference w:type="even" r:id="rId12"/>
          <w:footerReference w:type="default" r:id="rId13"/>
          <w:pgSz w:w="11907" w:h="16839"/>
          <w:pgMar w:top="1134" w:right="1417" w:bottom="1134" w:left="1417" w:header="709" w:footer="709" w:gutter="0"/>
          <w:pgNumType w:start="0"/>
          <w:cols w:space="720"/>
          <w:docGrid w:linePitch="360"/>
        </w:sectPr>
      </w:pPr>
    </w:p>
    <w:p w:rsidR="00F05332" w:rsidRPr="00FE1B71" w:rsidRDefault="00F05332" w:rsidP="00BB6B30">
      <w:pPr>
        <w:pStyle w:val="Exposdesmotifstitre"/>
        <w:rPr>
          <w:noProof/>
        </w:rPr>
      </w:pPr>
      <w:bookmarkStart w:id="0" w:name="_GoBack"/>
      <w:bookmarkEnd w:id="0"/>
      <w:r w:rsidRPr="00FE1B71">
        <w:rPr>
          <w:noProof/>
        </w:rPr>
        <w:lastRenderedPageBreak/>
        <w:t>EXPOSÉ DES MOTIFS</w:t>
      </w:r>
    </w:p>
    <w:p w:rsidR="00F05332" w:rsidRPr="00FE1B71" w:rsidRDefault="00F05332" w:rsidP="004805CC">
      <w:pPr>
        <w:pStyle w:val="ManualHeading1"/>
        <w:rPr>
          <w:rFonts w:eastAsia="Arial Unicode MS"/>
          <w:noProof/>
        </w:rPr>
      </w:pPr>
      <w:r>
        <w:rPr>
          <w:noProof/>
        </w:rPr>
        <w:t>1.</w:t>
      </w:r>
      <w:r>
        <w:rPr>
          <w:noProof/>
        </w:rPr>
        <w:tab/>
      </w:r>
      <w:r w:rsidRPr="00FE1B71">
        <w:rPr>
          <w:noProof/>
        </w:rPr>
        <w:t>Objet de la proposition</w:t>
      </w:r>
    </w:p>
    <w:p w:rsidR="00F05332" w:rsidRPr="00FE1B71" w:rsidRDefault="00F05332" w:rsidP="00736AA9">
      <w:pPr>
        <w:rPr>
          <w:rFonts w:eastAsia="Arial Unicode MS"/>
          <w:noProof/>
        </w:rPr>
      </w:pPr>
      <w:r w:rsidRPr="00FE1B71">
        <w:rPr>
          <w:noProof/>
        </w:rPr>
        <w:t>La présente proposition concerne la décision établissant la position à prendre, au nom de l’Union, au sein du comité spécialisé chargé de la participation aux programmes de l’Union (ci</w:t>
      </w:r>
      <w:r w:rsidRPr="00FE1B71">
        <w:rPr>
          <w:noProof/>
        </w:rPr>
        <w:noBreakHyphen/>
        <w:t>après dénommé le «comité spécialisé»), en lien avec la modification envisagée du protocole I «Programmes et activités auxquels le Royaume-Uni participe» (ci</w:t>
      </w:r>
      <w:r w:rsidRPr="00FE1B71">
        <w:rPr>
          <w:noProof/>
        </w:rPr>
        <w:noBreakHyphen/>
        <w:t>après dénommé le «protocole I») de l’accord de commerce et de coopération entre l’Union européenne et la Communauté européenne de l’énergie atomique, d’une part, et le Royaume-Uni de Grande-Bretagne et d’Irlande du Nord, d’autre part (ci</w:t>
      </w:r>
      <w:r w:rsidRPr="00FE1B71">
        <w:rPr>
          <w:noProof/>
        </w:rPr>
        <w:noBreakHyphen/>
        <w:t xml:space="preserve">après dénommé l’«ACC»). </w:t>
      </w:r>
    </w:p>
    <w:p w:rsidR="00F05332" w:rsidRPr="00FE1B71" w:rsidRDefault="00F05332" w:rsidP="00736AA9">
      <w:pPr>
        <w:rPr>
          <w:noProof/>
        </w:rPr>
      </w:pPr>
      <w:bookmarkStart w:id="1" w:name="_Hlk220497986"/>
      <w:r w:rsidRPr="00FE1B71">
        <w:rPr>
          <w:noProof/>
        </w:rPr>
        <w:t>La modification envisagée a pour objectif de permettre la participation et la contribution financière du Royaume-Uni, à compter du 1</w:t>
      </w:r>
      <w:r w:rsidRPr="00FE1B71">
        <w:rPr>
          <w:noProof/>
          <w:vertAlign w:val="superscript"/>
        </w:rPr>
        <w:t>er</w:t>
      </w:r>
      <w:r w:rsidRPr="00FE1B71">
        <w:rPr>
          <w:noProof/>
        </w:rPr>
        <w:t> janvier 2027, au programme de l’Union institué par le règlement (UE) 2021/817 du Parlement européen et du Conseil du 20 mai 2021 établissant Erasmus+, le programme de l’Union pour l’éducation et la formation, la jeunesse et le sport, et abrogeant le règlement (UE) nº 1288/2013</w:t>
      </w:r>
      <w:r w:rsidRPr="00FE1B71">
        <w:rPr>
          <w:rStyle w:val="FootnoteReference"/>
          <w:noProof/>
        </w:rPr>
        <w:footnoteReference w:id="1"/>
      </w:r>
      <w:r w:rsidRPr="00FE1B71">
        <w:rPr>
          <w:noProof/>
        </w:rPr>
        <w:t xml:space="preserve"> (ci</w:t>
      </w:r>
      <w:r w:rsidRPr="00FE1B71">
        <w:rPr>
          <w:noProof/>
        </w:rPr>
        <w:noBreakHyphen/>
        <w:t xml:space="preserve">après dénommé le «programme Erasmus+»). </w:t>
      </w:r>
      <w:bookmarkEnd w:id="1"/>
    </w:p>
    <w:p w:rsidR="00F05332" w:rsidRPr="00FE1B71" w:rsidRDefault="00F05332" w:rsidP="00736AA9">
      <w:pPr>
        <w:pStyle w:val="ManualHeading1"/>
        <w:rPr>
          <w:noProof/>
        </w:rPr>
      </w:pPr>
      <w:r>
        <w:rPr>
          <w:noProof/>
        </w:rPr>
        <w:t>2.</w:t>
      </w:r>
      <w:r>
        <w:rPr>
          <w:noProof/>
        </w:rPr>
        <w:tab/>
      </w:r>
      <w:r w:rsidRPr="00FE1B71">
        <w:rPr>
          <w:noProof/>
        </w:rPr>
        <w:t>Contexte de la proposition</w:t>
      </w:r>
    </w:p>
    <w:p w:rsidR="00F05332" w:rsidRPr="00FE1B71" w:rsidRDefault="00F05332" w:rsidP="00736AA9">
      <w:pPr>
        <w:pStyle w:val="ManualHeading2"/>
        <w:rPr>
          <w:noProof/>
        </w:rPr>
      </w:pPr>
      <w:r>
        <w:rPr>
          <w:noProof/>
        </w:rPr>
        <w:t>2.1.</w:t>
      </w:r>
      <w:r>
        <w:rPr>
          <w:noProof/>
        </w:rPr>
        <w:tab/>
      </w:r>
      <w:r w:rsidRPr="00FE1B71">
        <w:rPr>
          <w:noProof/>
        </w:rPr>
        <w:t>Accord de commerce et de coopération entre l’Union européenne et la Communauté européenne de l’énergie atomique, d’une part, et le Royaume-Uni de Grande-Bretagne et d’Irlande du Nord, d’autre part</w:t>
      </w:r>
    </w:p>
    <w:p w:rsidR="00F05332" w:rsidRPr="00FE1B71" w:rsidRDefault="00F05332" w:rsidP="00736AA9">
      <w:pPr>
        <w:rPr>
          <w:rFonts w:eastAsia="Arial Unicode MS"/>
          <w:noProof/>
        </w:rPr>
      </w:pPr>
      <w:r w:rsidRPr="00FE1B71">
        <w:rPr>
          <w:noProof/>
        </w:rPr>
        <w:t>L’ACC est entré en vigueur le 1</w:t>
      </w:r>
      <w:r w:rsidRPr="00FE1B71">
        <w:rPr>
          <w:noProof/>
          <w:vertAlign w:val="superscript"/>
        </w:rPr>
        <w:t>er</w:t>
      </w:r>
      <w:r w:rsidRPr="00FE1B71">
        <w:rPr>
          <w:noProof/>
        </w:rPr>
        <w:t> mai 2021</w:t>
      </w:r>
      <w:r w:rsidRPr="00FE1B71">
        <w:rPr>
          <w:rStyle w:val="FootnoteReference"/>
          <w:noProof/>
        </w:rPr>
        <w:footnoteReference w:id="2"/>
      </w:r>
      <w:r w:rsidRPr="00FE1B71">
        <w:rPr>
          <w:noProof/>
        </w:rPr>
        <w:t xml:space="preserve">. Il définit, en sa cinquième partie «PARTICIPATION AUX PROGRAMMES DE L’UNION, BONNE GESTION FINANCIÈRE ET DISPOSITIONS FINANCIÈRES», les règles de la participation du Royaume-Uni aux programmes, activités et services de l’Union. </w:t>
      </w:r>
    </w:p>
    <w:p w:rsidR="00F05332" w:rsidRPr="00FE1B71" w:rsidRDefault="00F05332" w:rsidP="00F05332">
      <w:pPr>
        <w:rPr>
          <w:rFonts w:eastAsia="Arial Unicode MS"/>
          <w:noProof/>
        </w:rPr>
      </w:pPr>
      <w:r w:rsidRPr="00FE1B71">
        <w:rPr>
          <w:noProof/>
        </w:rPr>
        <w:t xml:space="preserve">L’article 710, paragraphe 1, de l’ACC dispose que le Royaume-Uni participe et contribue aux programmes et activités de l’Union ou, dans des cas exceptionnels, à la partie des programmes ou activités de l’Union, qui sont ouverts à sa participation et qui sont désignés dans le protocole I. </w:t>
      </w:r>
    </w:p>
    <w:p w:rsidR="00F05332" w:rsidRPr="00FE1B71" w:rsidRDefault="00F05332" w:rsidP="00F05332">
      <w:pPr>
        <w:rPr>
          <w:rFonts w:eastAsia="Arial Unicode MS"/>
          <w:noProof/>
        </w:rPr>
      </w:pPr>
      <w:r w:rsidRPr="00FE1B71">
        <w:rPr>
          <w:noProof/>
        </w:rPr>
        <w:t>Conformément à l’article 710, paragraphe 2, à l’article 714, paragraphe 11, et à l'article 731, paragraphe 3, de l’ACC, le comité spécialisé institué par l’article 8, paragraphe 1, point s), de l’ACC a adopté le 4 décembre 2023 une décision établissant le protocole I «Programmes et activités auxquels le Royaume-Uni participe» (ci</w:t>
      </w:r>
      <w:r w:rsidRPr="00FE1B71">
        <w:rPr>
          <w:noProof/>
        </w:rPr>
        <w:noBreakHyphen/>
        <w:t>après dénommé le «protocole I») et le protocole II «relatif à l’accès du Royaume-Uni à des services offerts dans le cadre de certains programmes et activités de l’Union auxquels le Royaume-Uni ne participe pas» (ci</w:t>
      </w:r>
      <w:r w:rsidRPr="00FE1B71">
        <w:rPr>
          <w:noProof/>
        </w:rPr>
        <w:noBreakHyphen/>
        <w:t xml:space="preserve">après dénommé le «protocole II») de l’ACC. </w:t>
      </w:r>
    </w:p>
    <w:p w:rsidR="00F05332" w:rsidRPr="00FE1B71" w:rsidRDefault="00F05332" w:rsidP="00F05332">
      <w:pPr>
        <w:rPr>
          <w:rFonts w:eastAsia="Arial Unicode MS"/>
          <w:noProof/>
        </w:rPr>
      </w:pPr>
      <w:r w:rsidRPr="00FE1B71">
        <w:rPr>
          <w:noProof/>
        </w:rPr>
        <w:lastRenderedPageBreak/>
        <w:t>Conformément à l'article 1, paragraphe 1, du protocole I, depuis le 1</w:t>
      </w:r>
      <w:r w:rsidRPr="00FE1B71">
        <w:rPr>
          <w:noProof/>
          <w:vertAlign w:val="superscript"/>
        </w:rPr>
        <w:t>er</w:t>
      </w:r>
      <w:r w:rsidRPr="00FE1B71">
        <w:rPr>
          <w:noProof/>
        </w:rPr>
        <w:t> janvier 2024, le Royaume-Uni participe et contribue aux programmes et activités suivants de l’Union, ou à des parties de ceux-ci, établis par les actes de base suivants:</w:t>
      </w:r>
    </w:p>
    <w:p w:rsidR="00F05332" w:rsidRPr="00FE1B71" w:rsidRDefault="00F05332" w:rsidP="004805CC">
      <w:pPr>
        <w:pStyle w:val="Bullet0"/>
        <w:numPr>
          <w:ilvl w:val="0"/>
          <w:numId w:val="1"/>
        </w:numPr>
        <w:rPr>
          <w:noProof/>
        </w:rPr>
      </w:pPr>
      <w:r w:rsidRPr="00FE1B71">
        <w:rPr>
          <w:noProof/>
        </w:rPr>
        <w:t>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 dans la mesure où il concerne les règles applicables à la composante visée à l'article 3, paragraphe 1, point c), dudit règlement («Copernicus»);</w:t>
      </w:r>
    </w:p>
    <w:p w:rsidR="00F05332" w:rsidRPr="00FE1B71" w:rsidRDefault="00F05332" w:rsidP="004805CC">
      <w:pPr>
        <w:pStyle w:val="Bullet0"/>
        <w:numPr>
          <w:ilvl w:val="0"/>
          <w:numId w:val="1"/>
        </w:numPr>
        <w:rPr>
          <w:noProof/>
        </w:rPr>
      </w:pPr>
      <w:r w:rsidRPr="00FE1B71">
        <w:rPr>
          <w:noProof/>
        </w:rPr>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dans la mesure où il concerne les règles applicables aux composantes visées à l'article 1</w:t>
      </w:r>
      <w:r w:rsidRPr="00FE1B71">
        <w:rPr>
          <w:noProof/>
          <w:vertAlign w:val="superscript"/>
        </w:rPr>
        <w:t>er</w:t>
      </w:r>
      <w:r w:rsidRPr="00FE1B71">
        <w:rPr>
          <w:noProof/>
        </w:rPr>
        <w:t>, paragraphe 2, points a) et b), dudit règlement;</w:t>
      </w:r>
    </w:p>
    <w:p w:rsidR="00F05332" w:rsidRPr="00FE1B71" w:rsidRDefault="00F05332" w:rsidP="004805CC">
      <w:pPr>
        <w:pStyle w:val="Bullet0"/>
        <w:numPr>
          <w:ilvl w:val="0"/>
          <w:numId w:val="1"/>
        </w:numPr>
        <w:rPr>
          <w:noProof/>
        </w:rPr>
      </w:pPr>
      <w:r w:rsidRPr="00FE1B71">
        <w:rPr>
          <w:noProof/>
        </w:rPr>
        <w:t>décision (UE) 2021/764 du Conseil du 10 mai 2021 établissant le programme spécifique d’exécution du programme-cadre pour la recherche et l’innovation «Horizon Europe», et abrogeant la décision 2013/743/UE.</w:t>
      </w:r>
    </w:p>
    <w:p w:rsidR="00F05332" w:rsidRPr="00FE1B71" w:rsidRDefault="00F05332" w:rsidP="00F05332">
      <w:pPr>
        <w:rPr>
          <w:rFonts w:eastAsia="Arial Unicode MS"/>
          <w:noProof/>
        </w:rPr>
      </w:pPr>
      <w:r w:rsidRPr="00FE1B71">
        <w:rPr>
          <w:noProof/>
        </w:rPr>
        <w:t>À la suite du sommet UE</w:t>
      </w:r>
      <w:r w:rsidRPr="00FE1B71">
        <w:rPr>
          <w:noProof/>
        </w:rPr>
        <w:noBreakHyphen/>
        <w:t>Royaume</w:t>
      </w:r>
      <w:r w:rsidRPr="00FE1B71">
        <w:rPr>
          <w:noProof/>
        </w:rPr>
        <w:noBreakHyphen/>
        <w:t>Uni du 19 mai 2025, la Commission européenne et le Royaume-Uni sont parvenus à une convention d’entente en vue d’œuvrer à l’association du Royaume-Uni au programme Erasmus+. Les conditions spécifiques de cette association, y compris ses modalités financières, devaient être déterminées au cours du processus de négociation et en assurant un juste équilibre entre les contributions du Royaume-Uni et les avantages qu’il en retire, conformément au cadre financier pluriannuel de l’Union et à l’ACC.</w:t>
      </w:r>
    </w:p>
    <w:p w:rsidR="00F05332" w:rsidRPr="00FE1B71" w:rsidRDefault="00F05332" w:rsidP="00F05332">
      <w:pPr>
        <w:rPr>
          <w:rFonts w:eastAsia="Arial Unicode MS"/>
          <w:noProof/>
        </w:rPr>
      </w:pPr>
      <w:r w:rsidRPr="00FE1B71">
        <w:rPr>
          <w:noProof/>
        </w:rPr>
        <w:t xml:space="preserve">À la suite de ces négociations, il convient de modifier le protocole I afin de permettre la participation du Royaume-Uni en tant que pays associé au programme Erasmus+. </w:t>
      </w:r>
    </w:p>
    <w:p w:rsidR="00F05332" w:rsidRPr="00FE1B71" w:rsidRDefault="00F05332" w:rsidP="00736AA9">
      <w:pPr>
        <w:rPr>
          <w:rFonts w:eastAsia="Arial Unicode MS"/>
          <w:noProof/>
        </w:rPr>
      </w:pPr>
    </w:p>
    <w:p w:rsidR="00F05332" w:rsidRPr="00FE1B71" w:rsidRDefault="00F05332" w:rsidP="00736AA9">
      <w:pPr>
        <w:pStyle w:val="ManualHeading2"/>
        <w:rPr>
          <w:noProof/>
        </w:rPr>
      </w:pPr>
      <w:r>
        <w:rPr>
          <w:noProof/>
        </w:rPr>
        <w:t>2.2.</w:t>
      </w:r>
      <w:r>
        <w:rPr>
          <w:noProof/>
        </w:rPr>
        <w:tab/>
      </w:r>
      <w:r w:rsidRPr="00FE1B71">
        <w:rPr>
          <w:noProof/>
        </w:rPr>
        <w:t>Le comité spécialisé chargé de la participation aux programmes de l'Union</w:t>
      </w:r>
    </w:p>
    <w:p w:rsidR="00F05332" w:rsidRPr="00FE1B71" w:rsidRDefault="00F05332" w:rsidP="00F05332">
      <w:pPr>
        <w:rPr>
          <w:rFonts w:eastAsia="Arial Unicode MS"/>
          <w:noProof/>
        </w:rPr>
      </w:pPr>
      <w:r w:rsidRPr="00FE1B71">
        <w:rPr>
          <w:noProof/>
        </w:rPr>
        <w:t xml:space="preserve">Ce comité spécialisé est institué en vertu de l’article 8, paragraphe 1, point s), de l'ACC. </w:t>
      </w:r>
    </w:p>
    <w:p w:rsidR="00F05332" w:rsidRPr="00FE1B71" w:rsidRDefault="00F05332" w:rsidP="00F05332">
      <w:pPr>
        <w:pStyle w:val="Text1"/>
        <w:ind w:left="0"/>
        <w:rPr>
          <w:noProof/>
        </w:rPr>
      </w:pPr>
      <w:r w:rsidRPr="00FE1B71">
        <w:rPr>
          <w:noProof/>
        </w:rPr>
        <w:t>L’ACC prévoit notamment, dans son article 710, paragraphe 2, que le comité spécialisé peut modifier le protocole I.</w:t>
      </w:r>
    </w:p>
    <w:p w:rsidR="00F05332" w:rsidRPr="00FE1B71" w:rsidRDefault="00F05332" w:rsidP="00736AA9">
      <w:pPr>
        <w:pStyle w:val="ManualHeading2"/>
        <w:rPr>
          <w:noProof/>
        </w:rPr>
      </w:pPr>
      <w:r>
        <w:rPr>
          <w:noProof/>
        </w:rPr>
        <w:t>2.3.</w:t>
      </w:r>
      <w:r>
        <w:rPr>
          <w:noProof/>
        </w:rPr>
        <w:tab/>
      </w:r>
      <w:r w:rsidRPr="00FE1B71">
        <w:rPr>
          <w:noProof/>
        </w:rPr>
        <w:t>Acte envisagé par le comité spécialisé chargé de la participation aux programmes de l'Union</w:t>
      </w:r>
    </w:p>
    <w:p w:rsidR="00F05332" w:rsidRPr="00FE1B71" w:rsidRDefault="00F05332" w:rsidP="00F05332">
      <w:pPr>
        <w:rPr>
          <w:rFonts w:eastAsia="Arial Unicode MS"/>
          <w:noProof/>
        </w:rPr>
      </w:pPr>
      <w:r w:rsidRPr="00FE1B71">
        <w:rPr>
          <w:noProof/>
        </w:rPr>
        <w:t>Le comité spécialisé doit modifier le protocole I de l’ACC (ci</w:t>
      </w:r>
      <w:r w:rsidRPr="00FE1B71">
        <w:rPr>
          <w:noProof/>
        </w:rPr>
        <w:noBreakHyphen/>
        <w:t xml:space="preserve">après la «modification envisagée»). </w:t>
      </w:r>
    </w:p>
    <w:p w:rsidR="00F05332" w:rsidRPr="00FE1B71" w:rsidRDefault="00F05332" w:rsidP="00F05332">
      <w:pPr>
        <w:rPr>
          <w:rFonts w:eastAsia="Arial Unicode MS"/>
          <w:noProof/>
        </w:rPr>
      </w:pPr>
      <w:r w:rsidRPr="00FE1B71">
        <w:rPr>
          <w:noProof/>
        </w:rPr>
        <w:t xml:space="preserve">La modification envisagée a pour objectif de permettre la participation du Royaume-Uni et des entités du Royaume-Uni au programme Erasmus+ et l’accès aux programmes, activités et services y afférents. </w:t>
      </w:r>
    </w:p>
    <w:p w:rsidR="00F05332" w:rsidRPr="00FE1B71" w:rsidRDefault="00F05332" w:rsidP="00F05332">
      <w:pPr>
        <w:rPr>
          <w:rFonts w:eastAsia="Arial Unicode MS"/>
          <w:noProof/>
        </w:rPr>
      </w:pPr>
      <w:r w:rsidRPr="00FE1B71">
        <w:rPr>
          <w:noProof/>
        </w:rPr>
        <w:t>À cette fin, la modification envisagée ajoute le programme Erasmus+ établi par le règlement (UE) 2021/817 à la liste des programmes de l’Union couverts par le protocole I et prévoit que le Royaume-Uni participe au programme Erasmus+ à partir du 1</w:t>
      </w:r>
      <w:r w:rsidRPr="00FE1B71">
        <w:rPr>
          <w:noProof/>
          <w:vertAlign w:val="superscript"/>
        </w:rPr>
        <w:t>er</w:t>
      </w:r>
      <w:r w:rsidRPr="00FE1B71">
        <w:rPr>
          <w:noProof/>
        </w:rPr>
        <w:t> janvier 2027.</w:t>
      </w:r>
    </w:p>
    <w:p w:rsidR="00F05332" w:rsidRPr="00FE1B71" w:rsidRDefault="00F05332" w:rsidP="00F05332">
      <w:pPr>
        <w:rPr>
          <w:rFonts w:eastAsia="Arial Unicode MS"/>
          <w:noProof/>
        </w:rPr>
      </w:pPr>
      <w:r w:rsidRPr="00FE1B71">
        <w:rPr>
          <w:noProof/>
        </w:rPr>
        <w:t xml:space="preserve">Étant donné que la participation du Royaume-Uni au programme Erasmus+ s’appliquera à partir de la septième année du cadre financier pluriannuel de l’Union 2021-2027, le Royaume-Uni ne participera pas au programme pendant la période 2021-2026. La modification </w:t>
      </w:r>
      <w:r w:rsidRPr="00FE1B71">
        <w:rPr>
          <w:noProof/>
        </w:rPr>
        <w:lastRenderedPageBreak/>
        <w:t>envisagée reflète donc le champ d’application temporel de la participation et fixe les conditions financières applicables à la participation du Royaume-Uni en 2027, ce qui entraîne une réduction de 30 % de la contribution opérationnelle du Royaume-Uni au programme.</w:t>
      </w:r>
    </w:p>
    <w:p w:rsidR="00F05332" w:rsidRPr="00FE1B71" w:rsidRDefault="00F05332" w:rsidP="00F05332">
      <w:pPr>
        <w:rPr>
          <w:rFonts w:eastAsia="Arial Unicode MS"/>
          <w:noProof/>
        </w:rPr>
      </w:pPr>
      <w:r w:rsidRPr="00FE1B71">
        <w:rPr>
          <w:noProof/>
        </w:rPr>
        <w:t xml:space="preserve">La modification envisagée établit aussi les conditions spécifiques de participation en 2027, notamment la notification de l’autorité nationale du Royaume-Uni, la désignation d’une agence nationale et d’un organisme d’audit indépendant, et introduit une clause de réexamen et une clause de coopération statistique aux fins de la participation au programme Erasmus+. </w:t>
      </w:r>
    </w:p>
    <w:p w:rsidR="00F05332" w:rsidRPr="00FE1B71" w:rsidRDefault="00F05332" w:rsidP="00F05332">
      <w:pPr>
        <w:rPr>
          <w:rFonts w:eastAsia="Arial Unicode MS"/>
          <w:noProof/>
        </w:rPr>
      </w:pPr>
      <w:r w:rsidRPr="00FE1B71">
        <w:rPr>
          <w:noProof/>
        </w:rPr>
        <w:t>La modification envisagée deviendra contraignante pour les parties dans le cadre de l’ACC, conformément à l’article 778, paragraphe 1, de ce dernier, qui prévoit que les «</w:t>
      </w:r>
      <w:r w:rsidRPr="00FE1B71">
        <w:rPr>
          <w:i/>
          <w:iCs/>
          <w:noProof/>
        </w:rPr>
        <w:t>protocoles, annexes, appendices et notes de bas de page du présent accord font partie intégrante de celui-ci</w:t>
      </w:r>
      <w:r w:rsidRPr="00FE1B71">
        <w:rPr>
          <w:noProof/>
        </w:rPr>
        <w:t xml:space="preserve">». Conformément à l'article 9 lu en combinaison avec l'article 13, paragraphe 1, de l’annexe 1 de l’ACC, les décisions adoptées par le comité spécialisé précisent la date à laquelle elles prennent effet. </w:t>
      </w:r>
    </w:p>
    <w:p w:rsidR="00F05332" w:rsidRPr="00FE1B71" w:rsidRDefault="00F05332" w:rsidP="00F05332">
      <w:pPr>
        <w:pStyle w:val="ManualHeading1"/>
        <w:rPr>
          <w:rFonts w:eastAsia="Arial Unicode MS"/>
          <w:noProof/>
        </w:rPr>
      </w:pPr>
      <w:r>
        <w:rPr>
          <w:noProof/>
        </w:rPr>
        <w:t>3.</w:t>
      </w:r>
      <w:r>
        <w:rPr>
          <w:noProof/>
        </w:rPr>
        <w:tab/>
      </w:r>
      <w:r w:rsidRPr="00FE1B71">
        <w:rPr>
          <w:noProof/>
        </w:rPr>
        <w:t>Position à prendre au nom de l’Union</w:t>
      </w:r>
    </w:p>
    <w:p w:rsidR="00F05332" w:rsidRPr="00FE1B71" w:rsidRDefault="00F05332" w:rsidP="00F05332">
      <w:pPr>
        <w:rPr>
          <w:noProof/>
        </w:rPr>
      </w:pPr>
      <w:r w:rsidRPr="00FE1B71">
        <w:rPr>
          <w:noProof/>
        </w:rPr>
        <w:t xml:space="preserve">Il est proposé d’approuver la modification du protocole I en ce qui concerne l’extension de la participation du Royaume-Uni et des entités du Royaume-Uni au programme Erasmus+. </w:t>
      </w:r>
    </w:p>
    <w:p w:rsidR="00F05332" w:rsidRPr="00FE1B71" w:rsidRDefault="00F05332" w:rsidP="00736AA9">
      <w:pPr>
        <w:pStyle w:val="ManualHeading1"/>
        <w:rPr>
          <w:noProof/>
        </w:rPr>
      </w:pPr>
      <w:r>
        <w:rPr>
          <w:noProof/>
        </w:rPr>
        <w:t>4.</w:t>
      </w:r>
      <w:r>
        <w:rPr>
          <w:noProof/>
        </w:rPr>
        <w:tab/>
      </w:r>
      <w:r w:rsidRPr="00FE1B71">
        <w:rPr>
          <w:noProof/>
        </w:rPr>
        <w:t>Base juridique</w:t>
      </w:r>
    </w:p>
    <w:p w:rsidR="00F05332" w:rsidRPr="00FE1B71" w:rsidRDefault="00F05332" w:rsidP="00736AA9">
      <w:pPr>
        <w:pStyle w:val="ManualHeading2"/>
        <w:rPr>
          <w:noProof/>
        </w:rPr>
      </w:pPr>
      <w:r>
        <w:rPr>
          <w:noProof/>
        </w:rPr>
        <w:t>4.1.</w:t>
      </w:r>
      <w:r>
        <w:rPr>
          <w:noProof/>
        </w:rPr>
        <w:tab/>
      </w:r>
      <w:r w:rsidRPr="00FE1B71">
        <w:rPr>
          <w:noProof/>
        </w:rPr>
        <w:t>Base juridique procédurale</w:t>
      </w:r>
    </w:p>
    <w:p w:rsidR="00F05332" w:rsidRPr="00FE1B71" w:rsidRDefault="00F05332" w:rsidP="00F05332">
      <w:pPr>
        <w:pStyle w:val="ManualHeading3"/>
        <w:tabs>
          <w:tab w:val="clear" w:pos="850"/>
          <w:tab w:val="num" w:pos="1984"/>
        </w:tabs>
        <w:ind w:left="1984" w:hanging="567"/>
        <w:rPr>
          <w:noProof/>
        </w:rPr>
      </w:pPr>
      <w:r>
        <w:rPr>
          <w:noProof/>
        </w:rPr>
        <w:t>4.1.1.</w:t>
      </w:r>
      <w:r>
        <w:rPr>
          <w:noProof/>
        </w:rPr>
        <w:tab/>
      </w:r>
      <w:r w:rsidRPr="00FE1B71">
        <w:rPr>
          <w:noProof/>
        </w:rPr>
        <w:t>Principes</w:t>
      </w:r>
    </w:p>
    <w:p w:rsidR="00F05332" w:rsidRPr="00FE1B71" w:rsidRDefault="00F05332" w:rsidP="00736AA9">
      <w:pPr>
        <w:rPr>
          <w:noProof/>
        </w:rPr>
      </w:pPr>
      <w:r w:rsidRPr="00FE1B71">
        <w:rPr>
          <w:noProof/>
        </w:rPr>
        <w:t>L’article 218, paragraphe 9, du traité sur le fonctionnement de l’Union européenne (TFUE) prévoit des décisions établissant «</w:t>
      </w:r>
      <w:r w:rsidRPr="00FE1B71">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FE1B71">
        <w:rPr>
          <w:noProof/>
        </w:rPr>
        <w:t>».</w:t>
      </w:r>
    </w:p>
    <w:p w:rsidR="00F05332" w:rsidRPr="00FE1B71" w:rsidRDefault="00F05332" w:rsidP="00736AA9">
      <w:pPr>
        <w:rPr>
          <w:noProof/>
        </w:rPr>
      </w:pPr>
      <w:r w:rsidRPr="00FE1B71">
        <w:rPr>
          <w:noProof/>
        </w:rPr>
        <w:t>La notion d’«</w:t>
      </w:r>
      <w:r w:rsidRPr="00FE1B71">
        <w:rPr>
          <w:i/>
          <w:iCs/>
          <w:noProof/>
        </w:rPr>
        <w:t>actes ayant des effets juridiques</w:t>
      </w:r>
      <w:r w:rsidRPr="00FE1B71">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FE1B71">
        <w:rPr>
          <w:i/>
          <w:iCs/>
          <w:noProof/>
        </w:rPr>
        <w:t>vocation à influencer de manière déterminante le contenu de la réglementation adoptée par le législateur de l’Union</w:t>
      </w:r>
      <w:r w:rsidRPr="00FE1B71">
        <w:rPr>
          <w:noProof/>
        </w:rPr>
        <w:t>»</w:t>
      </w:r>
      <w:r w:rsidRPr="00FE1B71">
        <w:rPr>
          <w:rStyle w:val="FootnoteReference"/>
          <w:noProof/>
        </w:rPr>
        <w:footnoteReference w:id="3"/>
      </w:r>
      <w:r w:rsidRPr="00FE1B71">
        <w:rPr>
          <w:noProof/>
        </w:rPr>
        <w:t>.</w:t>
      </w:r>
    </w:p>
    <w:p w:rsidR="00F05332" w:rsidRPr="00FE1B71" w:rsidRDefault="00F05332" w:rsidP="00F05332">
      <w:pPr>
        <w:pStyle w:val="ManualHeading3"/>
        <w:tabs>
          <w:tab w:val="clear" w:pos="850"/>
          <w:tab w:val="num" w:pos="1984"/>
        </w:tabs>
        <w:ind w:left="1984" w:hanging="567"/>
        <w:rPr>
          <w:noProof/>
        </w:rPr>
      </w:pPr>
      <w:r>
        <w:rPr>
          <w:noProof/>
        </w:rPr>
        <w:t>4.1.2.</w:t>
      </w:r>
      <w:r>
        <w:rPr>
          <w:noProof/>
        </w:rPr>
        <w:tab/>
      </w:r>
      <w:r w:rsidRPr="00FE1B71">
        <w:rPr>
          <w:noProof/>
        </w:rPr>
        <w:t>Application au cas d’espèce</w:t>
      </w:r>
    </w:p>
    <w:p w:rsidR="00F05332" w:rsidRPr="00FE1B71" w:rsidRDefault="00F05332" w:rsidP="00736AA9">
      <w:pPr>
        <w:rPr>
          <w:noProof/>
        </w:rPr>
      </w:pPr>
      <w:r w:rsidRPr="00FE1B71">
        <w:rPr>
          <w:noProof/>
        </w:rPr>
        <w:t>Le comité spécialisé est une instance créée par un accord, à savoir l’ACC.</w:t>
      </w:r>
    </w:p>
    <w:p w:rsidR="00F05332" w:rsidRPr="00FE1B71" w:rsidRDefault="00F05332" w:rsidP="00736AA9">
      <w:pPr>
        <w:rPr>
          <w:noProof/>
        </w:rPr>
      </w:pPr>
      <w:r w:rsidRPr="00FE1B71">
        <w:rPr>
          <w:noProof/>
        </w:rPr>
        <w:t xml:space="preserve">L’acte que le comité spécialisé est appelé à adopter est un acte ayant des effets juridiques. La modification envisagée sera contraignante en vertu du droit international, conformément à l’article 778, paragraphe 1, de l’ACC. </w:t>
      </w:r>
    </w:p>
    <w:p w:rsidR="00F05332" w:rsidRPr="00FE1B71" w:rsidRDefault="00F05332" w:rsidP="00736AA9">
      <w:pPr>
        <w:rPr>
          <w:noProof/>
        </w:rPr>
      </w:pPr>
      <w:r w:rsidRPr="00FE1B71">
        <w:rPr>
          <w:noProof/>
        </w:rPr>
        <w:t>La modification envisagée ne complète ni ne modifie le cadre institutionnel de l’ACC.</w:t>
      </w:r>
    </w:p>
    <w:p w:rsidR="00F05332" w:rsidRPr="00FE1B71" w:rsidRDefault="00F05332" w:rsidP="00736AA9">
      <w:pPr>
        <w:rPr>
          <w:noProof/>
        </w:rPr>
      </w:pPr>
      <w:r w:rsidRPr="00FE1B71">
        <w:rPr>
          <w:noProof/>
        </w:rPr>
        <w:t>En conséquence, la base juridique procédurale de la proposition de décision est l’article 218, paragraphe 9, du TFUE.</w:t>
      </w:r>
    </w:p>
    <w:p w:rsidR="00F05332" w:rsidRPr="00FE1B71" w:rsidRDefault="00F05332" w:rsidP="00736AA9">
      <w:pPr>
        <w:pStyle w:val="ManualHeading2"/>
        <w:rPr>
          <w:noProof/>
        </w:rPr>
      </w:pPr>
      <w:r>
        <w:rPr>
          <w:noProof/>
        </w:rPr>
        <w:lastRenderedPageBreak/>
        <w:t>4.2.</w:t>
      </w:r>
      <w:r>
        <w:rPr>
          <w:noProof/>
        </w:rPr>
        <w:tab/>
      </w:r>
      <w:r w:rsidRPr="00FE1B71">
        <w:rPr>
          <w:noProof/>
        </w:rPr>
        <w:t>Base juridique matérielle</w:t>
      </w:r>
    </w:p>
    <w:p w:rsidR="00F05332" w:rsidRPr="00FE1B71" w:rsidRDefault="00F05332" w:rsidP="00F05332">
      <w:pPr>
        <w:pStyle w:val="ManualHeading3"/>
        <w:tabs>
          <w:tab w:val="clear" w:pos="850"/>
          <w:tab w:val="num" w:pos="1984"/>
        </w:tabs>
        <w:ind w:left="1984" w:hanging="567"/>
        <w:rPr>
          <w:noProof/>
        </w:rPr>
      </w:pPr>
      <w:r>
        <w:rPr>
          <w:noProof/>
        </w:rPr>
        <w:t>4.2.1.</w:t>
      </w:r>
      <w:r>
        <w:rPr>
          <w:noProof/>
        </w:rPr>
        <w:tab/>
      </w:r>
      <w:r w:rsidRPr="00FE1B71">
        <w:rPr>
          <w:noProof/>
        </w:rPr>
        <w:t>Principes</w:t>
      </w:r>
    </w:p>
    <w:p w:rsidR="00F05332" w:rsidRPr="00FE1B71" w:rsidRDefault="00F05332" w:rsidP="00736AA9">
      <w:pPr>
        <w:rPr>
          <w:noProof/>
        </w:rPr>
      </w:pPr>
      <w:r w:rsidRPr="00FE1B71">
        <w:rPr>
          <w:noProof/>
        </w:rPr>
        <w:t>La base juridique matérielle d’une décision au titre de l’article 218, paragraphe 9, du TFUE dépend avant tout de l’objectif et du contenu de l’acte envisagé à propos duquel une position est prise au nom de l’Union. Si l’acte envisagé poursuit deux finalités ou comporte deux composantes et que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F05332" w:rsidRPr="00FE1B71" w:rsidRDefault="00F05332" w:rsidP="00736AA9">
      <w:pPr>
        <w:rPr>
          <w:noProof/>
        </w:rPr>
      </w:pPr>
      <w:r w:rsidRPr="00FE1B71">
        <w:rPr>
          <w:noProof/>
        </w:rPr>
        <w:t>Si l’acte envisagé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F05332" w:rsidRPr="00FE1B71" w:rsidRDefault="00F05332" w:rsidP="00F05332">
      <w:pPr>
        <w:pStyle w:val="ManualHeading3"/>
        <w:tabs>
          <w:tab w:val="clear" w:pos="850"/>
          <w:tab w:val="num" w:pos="1984"/>
        </w:tabs>
        <w:ind w:left="1984" w:hanging="567"/>
        <w:rPr>
          <w:noProof/>
        </w:rPr>
      </w:pPr>
      <w:r>
        <w:rPr>
          <w:noProof/>
        </w:rPr>
        <w:t>4.2.2.</w:t>
      </w:r>
      <w:r>
        <w:rPr>
          <w:noProof/>
        </w:rPr>
        <w:tab/>
      </w:r>
      <w:r w:rsidRPr="00FE1B71">
        <w:rPr>
          <w:noProof/>
        </w:rPr>
        <w:t>Application au cas d’espèce</w:t>
      </w:r>
    </w:p>
    <w:p w:rsidR="00F05332" w:rsidRPr="00FE1B71" w:rsidRDefault="00F05332" w:rsidP="00736AA9">
      <w:pPr>
        <w:rPr>
          <w:noProof/>
        </w:rPr>
      </w:pPr>
      <w:r w:rsidRPr="00FE1B71">
        <w:rPr>
          <w:noProof/>
        </w:rPr>
        <w:t>La modification envisagée poursuit des finalités et comporte des composantes dans les domaines de l’éducation, de la formation professionnelle, de la jeunesse et du sport. Ces aspects de l’acte envisagé sont liés de façon indissociable, sans que l’un soit accessoire par rapport à l’autre.</w:t>
      </w:r>
    </w:p>
    <w:p w:rsidR="00F05332" w:rsidRPr="00FE1B71" w:rsidRDefault="00F05332" w:rsidP="00736AA9">
      <w:pPr>
        <w:rPr>
          <w:noProof/>
        </w:rPr>
      </w:pPr>
      <w:r w:rsidRPr="00FE1B71">
        <w:rPr>
          <w:noProof/>
        </w:rPr>
        <w:t>En conséquence, la base juridique matérielle pour la décision proposée comporte les dispositions suivantes: le traité sur le fonctionnement de l'Union européenne, et notamment son article 165, paragraphe 4, et son article 166, paragraphe 4.</w:t>
      </w:r>
    </w:p>
    <w:p w:rsidR="00F05332" w:rsidRPr="00FE1B71" w:rsidRDefault="00F05332" w:rsidP="00736AA9">
      <w:pPr>
        <w:pStyle w:val="ManualHeading2"/>
        <w:rPr>
          <w:noProof/>
        </w:rPr>
      </w:pPr>
      <w:r>
        <w:rPr>
          <w:noProof/>
        </w:rPr>
        <w:t>4.3.</w:t>
      </w:r>
      <w:r>
        <w:rPr>
          <w:noProof/>
        </w:rPr>
        <w:tab/>
      </w:r>
      <w:r w:rsidRPr="00FE1B71">
        <w:rPr>
          <w:noProof/>
        </w:rPr>
        <w:t>Conclusion</w:t>
      </w:r>
    </w:p>
    <w:p w:rsidR="00F05332" w:rsidRPr="00FE1B71" w:rsidRDefault="00F05332" w:rsidP="00736AA9">
      <w:pPr>
        <w:rPr>
          <w:noProof/>
        </w:rPr>
      </w:pPr>
      <w:r w:rsidRPr="00FE1B71">
        <w:rPr>
          <w:noProof/>
        </w:rPr>
        <w:t>La base juridique de la décision proposée devrait être l’article 165, paragraphe 4, et l’article 166, paragraphe 4, du TFUE, en liaison avec l’article 218, paragraphe 9, du TFUE.</w:t>
      </w:r>
    </w:p>
    <w:p w:rsidR="00F05332" w:rsidRPr="00FE1B71" w:rsidRDefault="00F05332" w:rsidP="00736AA9">
      <w:pPr>
        <w:pStyle w:val="ManualHeading1"/>
        <w:rPr>
          <w:noProof/>
        </w:rPr>
      </w:pPr>
      <w:r>
        <w:rPr>
          <w:noProof/>
        </w:rPr>
        <w:t>5.</w:t>
      </w:r>
      <w:r>
        <w:rPr>
          <w:noProof/>
        </w:rPr>
        <w:tab/>
      </w:r>
      <w:r w:rsidRPr="00FE1B71">
        <w:rPr>
          <w:noProof/>
        </w:rPr>
        <w:t>Publication de l’acte envisagé</w:t>
      </w:r>
    </w:p>
    <w:p w:rsidR="00F05332" w:rsidRPr="00FE1B71" w:rsidRDefault="00463620" w:rsidP="00736AA9">
      <w:pPr>
        <w:rPr>
          <w:noProof/>
        </w:rPr>
      </w:pPr>
      <w:r w:rsidRPr="00FE1B71">
        <w:rPr>
          <w:noProof/>
        </w:rPr>
        <w:t xml:space="preserve">Étant donné que la décision du comité spécialisé chargé de la participation aux programmes de l'Union modifiant le protocole I a des effets juridiques, il y a lieu de la publier au </w:t>
      </w:r>
      <w:r w:rsidRPr="00FE1B71">
        <w:rPr>
          <w:i/>
          <w:noProof/>
        </w:rPr>
        <w:t>Journal officiel de l’Union européenne</w:t>
      </w:r>
      <w:r w:rsidRPr="00FE1B71">
        <w:rPr>
          <w:noProof/>
        </w:rPr>
        <w:t xml:space="preserve"> après son adoption.</w:t>
      </w:r>
    </w:p>
    <w:p w:rsidR="00F05332" w:rsidRPr="00FE1B71" w:rsidRDefault="00F05332" w:rsidP="00FD40BA">
      <w:pPr>
        <w:rPr>
          <w:noProof/>
        </w:rPr>
        <w:sectPr w:rsidR="00F05332" w:rsidRPr="00FE1B71" w:rsidSect="00A7317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B61AB1" w:rsidRDefault="007746BA">
      <w:pPr>
        <w:pStyle w:val="Rfrenceinterinstitutionnelle"/>
        <w:rPr>
          <w:noProof/>
        </w:rPr>
      </w:pPr>
      <w:r>
        <w:rPr>
          <w:noProof/>
        </w:rPr>
        <w:lastRenderedPageBreak/>
        <w:t>2026/0067 (NLE)</w:t>
      </w:r>
    </w:p>
    <w:p w:rsidR="00F05332" w:rsidRPr="00FE1B71" w:rsidRDefault="00FE1B71" w:rsidP="00FE1B71">
      <w:pPr>
        <w:pStyle w:val="Statut"/>
        <w:rPr>
          <w:noProof/>
        </w:rPr>
      </w:pPr>
      <w:r w:rsidRPr="00FE1B71">
        <w:rPr>
          <w:noProof/>
        </w:rPr>
        <w:t>Proposition de</w:t>
      </w:r>
    </w:p>
    <w:p w:rsidR="00F05332" w:rsidRPr="00FE1B71" w:rsidRDefault="00FE1B71" w:rsidP="00FE1B71">
      <w:pPr>
        <w:pStyle w:val="Typedudocument"/>
        <w:rPr>
          <w:noProof/>
        </w:rPr>
      </w:pPr>
      <w:r w:rsidRPr="00FE1B71">
        <w:rPr>
          <w:noProof/>
        </w:rPr>
        <w:t>DÉCISION DU CONSEIL</w:t>
      </w:r>
    </w:p>
    <w:p w:rsidR="00F05332" w:rsidRPr="00FE1B71" w:rsidRDefault="00FE1B71" w:rsidP="00FE1B71">
      <w:pPr>
        <w:pStyle w:val="Titreobjet"/>
        <w:rPr>
          <w:noProof/>
        </w:rPr>
      </w:pPr>
      <w:r w:rsidRPr="00FE1B71">
        <w:rPr>
          <w:noProof/>
        </w:rPr>
        <w:t>relative à la position à prendre, au nom de l’Union européenne, au sein du comité spécialisé chargé de la participation aux programmes de l’Union</w:t>
      </w:r>
    </w:p>
    <w:p w:rsidR="00F05332" w:rsidRPr="00FE1B71" w:rsidRDefault="00F05332" w:rsidP="00BE7CB9">
      <w:pPr>
        <w:pStyle w:val="Institutionquiagit"/>
        <w:rPr>
          <w:noProof/>
        </w:rPr>
      </w:pPr>
      <w:r w:rsidRPr="00FE1B71">
        <w:rPr>
          <w:noProof/>
        </w:rPr>
        <w:t>LE CONSEIL DE L'UNION EUROPÉENNE,</w:t>
      </w:r>
    </w:p>
    <w:p w:rsidR="00F05332" w:rsidRPr="00FE1B71" w:rsidRDefault="00F05332" w:rsidP="00BE7CB9">
      <w:pPr>
        <w:rPr>
          <w:noProof/>
        </w:rPr>
      </w:pPr>
      <w:r w:rsidRPr="00FE1B71">
        <w:rPr>
          <w:noProof/>
        </w:rPr>
        <w:t>vu le traité sur le fonctionnement de l’Union européenne, et notamment son article 165, paragraphe 4, et son article 166, paragraphe 4, en liaison avec son article 218, paragraphe 9,</w:t>
      </w:r>
    </w:p>
    <w:p w:rsidR="00F05332" w:rsidRPr="00FE1B71" w:rsidRDefault="00F05332" w:rsidP="00BE7CB9">
      <w:pPr>
        <w:rPr>
          <w:noProof/>
        </w:rPr>
      </w:pPr>
      <w:r w:rsidRPr="00FE1B71">
        <w:rPr>
          <w:noProof/>
        </w:rPr>
        <w:t>vu la proposition de la Commission européenne,</w:t>
      </w:r>
    </w:p>
    <w:p w:rsidR="00F05332" w:rsidRPr="00FE1B71" w:rsidRDefault="00F05332" w:rsidP="00BE7CB9">
      <w:pPr>
        <w:rPr>
          <w:noProof/>
        </w:rPr>
      </w:pPr>
      <w:r w:rsidRPr="00FE1B71">
        <w:rPr>
          <w:noProof/>
        </w:rPr>
        <w:t>considérant ce qui suit:</w:t>
      </w:r>
    </w:p>
    <w:p w:rsidR="00A973BD" w:rsidRPr="00FE1B71" w:rsidRDefault="00A973BD" w:rsidP="004805CC">
      <w:pPr>
        <w:pStyle w:val="ManualConsidrant"/>
        <w:rPr>
          <w:noProof/>
        </w:rPr>
      </w:pPr>
      <w:r>
        <w:rPr>
          <w:noProof/>
        </w:rPr>
        <w:t>(1)</w:t>
      </w:r>
      <w:r>
        <w:rPr>
          <w:noProof/>
        </w:rPr>
        <w:tab/>
      </w:r>
      <w:r w:rsidRPr="00FE1B71">
        <w:rPr>
          <w:noProof/>
        </w:rPr>
        <w:t>Le programme de l’Union pour l’éducation, la formation, la jeunesse et le sport est établi par le règlement (UE) 2021/817 du Parlement européen et du Conseil du 20 mai 2021</w:t>
      </w:r>
      <w:r w:rsidRPr="00FE1B71">
        <w:rPr>
          <w:rStyle w:val="FootnoteReference"/>
          <w:noProof/>
        </w:rPr>
        <w:footnoteReference w:id="4"/>
      </w:r>
      <w:r w:rsidRPr="00FE1B71">
        <w:rPr>
          <w:noProof/>
        </w:rPr>
        <w:t xml:space="preserve"> (ci</w:t>
      </w:r>
      <w:r w:rsidRPr="00FE1B71">
        <w:rPr>
          <w:noProof/>
        </w:rPr>
        <w:noBreakHyphen/>
        <w:t xml:space="preserve">après dénommé le «règlement Erasmus+»). </w:t>
      </w:r>
    </w:p>
    <w:p w:rsidR="00A973BD" w:rsidRPr="00FE1B71" w:rsidRDefault="00A973BD" w:rsidP="004805CC">
      <w:pPr>
        <w:pStyle w:val="ManualConsidrant"/>
        <w:rPr>
          <w:noProof/>
        </w:rPr>
      </w:pPr>
      <w:r>
        <w:rPr>
          <w:noProof/>
        </w:rPr>
        <w:t>(2)</w:t>
      </w:r>
      <w:r>
        <w:rPr>
          <w:noProof/>
        </w:rPr>
        <w:tab/>
      </w:r>
      <w:r w:rsidRPr="00FE1B71">
        <w:rPr>
          <w:noProof/>
        </w:rPr>
        <w:t>Conformément à l’article 19 du règlement Erasmus+, qui prévoit l’association de pays tiers au programme, les modalités et conditions spécifiques de l’association doivent être déterminées par un accord international entre l’Union et le pays tiers concerné.</w:t>
      </w:r>
    </w:p>
    <w:p w:rsidR="00F05332" w:rsidRPr="00FE1B71" w:rsidRDefault="00463620" w:rsidP="004805CC">
      <w:pPr>
        <w:pStyle w:val="ManualConsidrant"/>
        <w:rPr>
          <w:noProof/>
        </w:rPr>
      </w:pPr>
      <w:r>
        <w:rPr>
          <w:noProof/>
        </w:rPr>
        <w:t>(3)</w:t>
      </w:r>
      <w:r>
        <w:rPr>
          <w:noProof/>
        </w:rPr>
        <w:tab/>
      </w:r>
      <w:r w:rsidRPr="00FE1B71">
        <w:rPr>
          <w:noProof/>
        </w:rPr>
        <w:t>L'accord de commerce et de coopération entre l'Union européenne et la Communauté européenne de l'énergie atomique, d'une part, et le Royaume-Uni de Grande-Bretagne et d'Irlande du Nord, d'autre part (ci</w:t>
      </w:r>
      <w:r w:rsidRPr="00FE1B71">
        <w:rPr>
          <w:noProof/>
        </w:rPr>
        <w:noBreakHyphen/>
        <w:t>après dénommé l’«ACC»), a été conclu par la décision (UE) 2021/689 du Conseil</w:t>
      </w:r>
      <w:r w:rsidRPr="00FE1B71">
        <w:rPr>
          <w:rStyle w:val="FootnoteReference"/>
          <w:noProof/>
        </w:rPr>
        <w:footnoteReference w:id="5"/>
      </w:r>
      <w:r w:rsidRPr="00FE1B71">
        <w:rPr>
          <w:noProof/>
        </w:rPr>
        <w:t xml:space="preserve"> et est entré en vigueur le 1</w:t>
      </w:r>
      <w:r w:rsidRPr="00FE1B71">
        <w:rPr>
          <w:noProof/>
          <w:vertAlign w:val="superscript"/>
        </w:rPr>
        <w:t>er</w:t>
      </w:r>
      <w:r w:rsidRPr="00FE1B71">
        <w:rPr>
          <w:noProof/>
        </w:rPr>
        <w:t> mai 2021.</w:t>
      </w:r>
    </w:p>
    <w:p w:rsidR="00463620" w:rsidRPr="00FE1B71" w:rsidRDefault="00F05332" w:rsidP="00463620">
      <w:pPr>
        <w:pStyle w:val="ManualConsidrant"/>
        <w:rPr>
          <w:noProof/>
        </w:rPr>
      </w:pPr>
      <w:r>
        <w:rPr>
          <w:noProof/>
        </w:rPr>
        <w:t>(4)</w:t>
      </w:r>
      <w:r>
        <w:rPr>
          <w:noProof/>
        </w:rPr>
        <w:tab/>
      </w:r>
      <w:r w:rsidRPr="00FE1B71">
        <w:rPr>
          <w:noProof/>
        </w:rPr>
        <w:t>Conformément à l’article 710, paragraphe 2, de l’ACC, le comité spécialisé chargé de la participation aux programmes de l’Union institué par l’article 8, paragraphe 1, point s), de l’ACC (ci</w:t>
      </w:r>
      <w:r w:rsidRPr="00FE1B71">
        <w:rPr>
          <w:noProof/>
        </w:rPr>
        <w:noBreakHyphen/>
        <w:t>après dénommé le «comité spécialisé») peut modifier le protocole I «Programmes et activités auxquels le Royaume-Uni participe» (ci</w:t>
      </w:r>
      <w:r w:rsidRPr="00FE1B71">
        <w:rPr>
          <w:noProof/>
        </w:rPr>
        <w:noBreakHyphen/>
        <w:t>après dénommé le «protocole I»), notamment pour ajouter de nouveaux programmes ou activités auxquels le Royaume-Uni participe et contribue.</w:t>
      </w:r>
    </w:p>
    <w:p w:rsidR="00F05332" w:rsidRPr="00FE1B71" w:rsidRDefault="00463620" w:rsidP="00F05332">
      <w:pPr>
        <w:pStyle w:val="ManualConsidrant"/>
        <w:rPr>
          <w:noProof/>
        </w:rPr>
      </w:pPr>
      <w:r>
        <w:rPr>
          <w:noProof/>
        </w:rPr>
        <w:t>(5)</w:t>
      </w:r>
      <w:r>
        <w:rPr>
          <w:noProof/>
        </w:rPr>
        <w:tab/>
      </w:r>
      <w:r w:rsidRPr="00FE1B71">
        <w:rPr>
          <w:noProof/>
        </w:rPr>
        <w:t xml:space="preserve">Le protocole I et ses modifications font partie intégrante de l’ACC. </w:t>
      </w:r>
    </w:p>
    <w:p w:rsidR="00F05332" w:rsidRPr="00FE1B71" w:rsidRDefault="00F05332" w:rsidP="00F05332">
      <w:pPr>
        <w:pStyle w:val="ManualConsidrant"/>
        <w:rPr>
          <w:noProof/>
        </w:rPr>
      </w:pPr>
      <w:r>
        <w:rPr>
          <w:noProof/>
        </w:rPr>
        <w:t>(6)</w:t>
      </w:r>
      <w:r>
        <w:rPr>
          <w:noProof/>
        </w:rPr>
        <w:tab/>
      </w:r>
      <w:r w:rsidRPr="00FE1B71">
        <w:rPr>
          <w:noProof/>
        </w:rPr>
        <w:t>Il convient d’arrêter la position à prendre au nom de l’Union, au sein du comité spécialisé, en ce qui concerne la modification du protocole I de l’ACC,</w:t>
      </w:r>
    </w:p>
    <w:p w:rsidR="00F05332" w:rsidRPr="00FE1B71" w:rsidRDefault="00F05332" w:rsidP="00BE7CB9">
      <w:pPr>
        <w:pStyle w:val="Formuledadoption"/>
        <w:rPr>
          <w:noProof/>
        </w:rPr>
      </w:pPr>
      <w:r w:rsidRPr="00FE1B71">
        <w:rPr>
          <w:noProof/>
        </w:rPr>
        <w:lastRenderedPageBreak/>
        <w:t>A ADOPTÉ LA PRÉSENTE DÉCISION:</w:t>
      </w:r>
    </w:p>
    <w:p w:rsidR="00F05332" w:rsidRPr="00FE1B71" w:rsidRDefault="00F05332" w:rsidP="00BE7CB9">
      <w:pPr>
        <w:pStyle w:val="Titrearticle"/>
        <w:rPr>
          <w:noProof/>
        </w:rPr>
      </w:pPr>
      <w:r w:rsidRPr="00FE1B71">
        <w:rPr>
          <w:noProof/>
        </w:rPr>
        <w:t>Article premier</w:t>
      </w:r>
    </w:p>
    <w:p w:rsidR="00F05332" w:rsidRPr="00FE1B71" w:rsidRDefault="00F05332" w:rsidP="000648C5">
      <w:pPr>
        <w:rPr>
          <w:noProof/>
        </w:rPr>
      </w:pPr>
      <w:r w:rsidRPr="00FE1B71">
        <w:rPr>
          <w:noProof/>
        </w:rPr>
        <w:t>La position à prendre, au nom de l’Union, dans le cadre du comité spécialisé chargé de la participation aux programmes de l’Union est fondée sur le projet d'acte du comité spécialisé joint à la présente décision.</w:t>
      </w:r>
    </w:p>
    <w:p w:rsidR="00F05332" w:rsidRPr="00FE1B71" w:rsidRDefault="00F05332" w:rsidP="00BE7CB9">
      <w:pPr>
        <w:pStyle w:val="Titrearticle"/>
        <w:rPr>
          <w:noProof/>
        </w:rPr>
      </w:pPr>
      <w:r w:rsidRPr="00FE1B71">
        <w:rPr>
          <w:noProof/>
        </w:rPr>
        <w:t>Article 2</w:t>
      </w:r>
    </w:p>
    <w:p w:rsidR="00F05332" w:rsidRPr="00FE1B71" w:rsidRDefault="000648C5" w:rsidP="00BE7CB9">
      <w:pPr>
        <w:rPr>
          <w:noProof/>
        </w:rPr>
      </w:pPr>
      <w:r w:rsidRPr="00FE1B71">
        <w:rPr>
          <w:noProof/>
        </w:rPr>
        <w:t>Les modifications techniques mineures apportées au projet de décision peuvent être acceptées par les représentants de l’Union au sein du comité spécialisé, sans qu’une nouvelle décision du Conseil ne soit nécessaire.</w:t>
      </w:r>
    </w:p>
    <w:p w:rsidR="00F05332" w:rsidRPr="00FE1B71" w:rsidRDefault="00F05332" w:rsidP="00BE7CB9">
      <w:pPr>
        <w:pStyle w:val="Titrearticle"/>
        <w:rPr>
          <w:noProof/>
        </w:rPr>
      </w:pPr>
      <w:r w:rsidRPr="00FE1B71">
        <w:rPr>
          <w:noProof/>
        </w:rPr>
        <w:t>Article 3</w:t>
      </w:r>
    </w:p>
    <w:p w:rsidR="000648C5" w:rsidRPr="00FE1B71" w:rsidRDefault="00F05332" w:rsidP="00BE7CB9">
      <w:pPr>
        <w:rPr>
          <w:noProof/>
        </w:rPr>
      </w:pPr>
      <w:r w:rsidRPr="00FE1B71">
        <w:rPr>
          <w:noProof/>
        </w:rPr>
        <w:t xml:space="preserve">La présente décision entre en vigueur le jour de son adoption. </w:t>
      </w:r>
    </w:p>
    <w:p w:rsidR="000648C5" w:rsidRPr="00FE1B71" w:rsidRDefault="000648C5" w:rsidP="00BE7CB9">
      <w:pPr>
        <w:rPr>
          <w:noProof/>
        </w:rPr>
      </w:pPr>
    </w:p>
    <w:p w:rsidR="00F05332" w:rsidRPr="00FE1B71" w:rsidRDefault="00FE1B71" w:rsidP="00ED1923">
      <w:pPr>
        <w:pStyle w:val="Fait"/>
        <w:rPr>
          <w:noProof/>
        </w:rPr>
      </w:pPr>
      <w:r>
        <w:rPr>
          <w:noProof/>
        </w:rPr>
        <w:t>Fait à Bruxelles, le</w:t>
      </w:r>
    </w:p>
    <w:p w:rsidR="00F05332" w:rsidRPr="00FE1B71" w:rsidRDefault="00F05332" w:rsidP="00ED1923">
      <w:pPr>
        <w:pStyle w:val="Institutionquisigne"/>
        <w:rPr>
          <w:noProof/>
        </w:rPr>
      </w:pPr>
      <w:r w:rsidRPr="00FE1B71">
        <w:rPr>
          <w:noProof/>
        </w:rPr>
        <w:tab/>
        <w:t>Par le Conseil</w:t>
      </w:r>
    </w:p>
    <w:p w:rsidR="00F05332" w:rsidRPr="00FE1B71" w:rsidRDefault="00F05332" w:rsidP="00F05332">
      <w:pPr>
        <w:pStyle w:val="Personnequisigne"/>
        <w:rPr>
          <w:noProof/>
        </w:rPr>
      </w:pPr>
      <w:r w:rsidRPr="00FE1B71">
        <w:rPr>
          <w:noProof/>
        </w:rPr>
        <w:tab/>
        <w:t>Le président</w:t>
      </w:r>
    </w:p>
    <w:sectPr w:rsidR="00F05332" w:rsidRPr="00FE1B71" w:rsidSect="00A7317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332" w:rsidRDefault="00F05332" w:rsidP="00F05332">
      <w:pPr>
        <w:spacing w:before="0" w:after="0"/>
      </w:pPr>
      <w:r>
        <w:separator/>
      </w:r>
    </w:p>
  </w:endnote>
  <w:endnote w:type="continuationSeparator" w:id="0">
    <w:p w:rsidR="00F05332" w:rsidRDefault="00F05332" w:rsidP="00F053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Pr="00A7317C" w:rsidRDefault="00A7317C" w:rsidP="00A7317C">
    <w:pPr>
      <w:pStyle w:val="Footer"/>
      <w:rPr>
        <w:rFonts w:ascii="Arial" w:hAnsi="Arial" w:cs="Arial"/>
        <w:b/>
        <w:sz w:val="48"/>
      </w:rPr>
    </w:pPr>
    <w:r w:rsidRPr="00A7317C">
      <w:rPr>
        <w:rFonts w:ascii="Arial" w:hAnsi="Arial" w:cs="Arial"/>
        <w:b/>
        <w:sz w:val="48"/>
      </w:rPr>
      <w:t>FR</w:t>
    </w:r>
    <w:r w:rsidRPr="00A7317C">
      <w:rPr>
        <w:rFonts w:ascii="Arial" w:hAnsi="Arial" w:cs="Arial"/>
        <w:b/>
        <w:sz w:val="48"/>
      </w:rPr>
      <w:tab/>
    </w:r>
    <w:r w:rsidRPr="00A7317C">
      <w:rPr>
        <w:rFonts w:ascii="Arial" w:hAnsi="Arial" w:cs="Arial"/>
        <w:b/>
        <w:sz w:val="48"/>
      </w:rPr>
      <w:tab/>
    </w:r>
    <w:r w:rsidRPr="00A7317C">
      <w:tab/>
    </w:r>
    <w:r w:rsidRPr="00A7317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Pr="00A7317C" w:rsidRDefault="00A7317C" w:rsidP="00A7317C">
    <w:pPr>
      <w:pStyle w:val="Footer"/>
      <w:rPr>
        <w:rFonts w:ascii="Arial" w:hAnsi="Arial" w:cs="Arial"/>
        <w:b/>
        <w:sz w:val="48"/>
      </w:rPr>
    </w:pPr>
    <w:r w:rsidRPr="00A7317C">
      <w:rPr>
        <w:rFonts w:ascii="Arial" w:hAnsi="Arial" w:cs="Arial"/>
        <w:b/>
        <w:sz w:val="48"/>
      </w:rPr>
      <w:t>FR</w:t>
    </w:r>
    <w:r w:rsidRPr="00A7317C">
      <w:rPr>
        <w:rFonts w:ascii="Arial" w:hAnsi="Arial" w:cs="Arial"/>
        <w:b/>
        <w:sz w:val="48"/>
      </w:rPr>
      <w:tab/>
    </w:r>
    <w:r w:rsidRPr="00A7317C">
      <w:rPr>
        <w:rFonts w:ascii="Arial" w:hAnsi="Arial" w:cs="Arial"/>
        <w:b/>
        <w:sz w:val="48"/>
      </w:rPr>
      <w:tab/>
    </w:r>
    <w:r w:rsidRPr="00A7317C">
      <w:tab/>
    </w:r>
    <w:r w:rsidRPr="00A7317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Default="00A731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Pr="00A7317C" w:rsidRDefault="00A7317C" w:rsidP="00A7317C">
    <w:pPr>
      <w:pStyle w:val="Footer"/>
      <w:rPr>
        <w:rFonts w:ascii="Arial" w:hAnsi="Arial" w:cs="Arial"/>
        <w:b/>
        <w:sz w:val="48"/>
      </w:rPr>
    </w:pPr>
    <w:r w:rsidRPr="00A7317C">
      <w:rPr>
        <w:rFonts w:ascii="Arial" w:hAnsi="Arial" w:cs="Arial"/>
        <w:b/>
        <w:sz w:val="48"/>
      </w:rPr>
      <w:t>FR</w:t>
    </w:r>
    <w:r w:rsidRPr="00A7317C">
      <w:rPr>
        <w:rFonts w:ascii="Arial" w:hAnsi="Arial" w:cs="Arial"/>
        <w:b/>
        <w:sz w:val="48"/>
      </w:rPr>
      <w:tab/>
    </w:r>
    <w:r>
      <w:fldChar w:fldCharType="begin"/>
    </w:r>
    <w:r>
      <w:instrText xml:space="preserve"> PAGE  \* MERGEFORMAT </w:instrText>
    </w:r>
    <w:r>
      <w:fldChar w:fldCharType="separate"/>
    </w:r>
    <w:r w:rsidR="00ED1923">
      <w:rPr>
        <w:noProof/>
      </w:rPr>
      <w:t>6</w:t>
    </w:r>
    <w:r>
      <w:fldChar w:fldCharType="end"/>
    </w:r>
    <w:r>
      <w:tab/>
    </w:r>
    <w:r w:rsidRPr="00A7317C">
      <w:tab/>
    </w:r>
    <w:r w:rsidRPr="00A7317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Default="00A7317C" w:rsidP="00A73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332" w:rsidRDefault="00F05332" w:rsidP="00F05332">
      <w:pPr>
        <w:spacing w:before="0" w:after="0"/>
      </w:pPr>
      <w:r>
        <w:separator/>
      </w:r>
    </w:p>
  </w:footnote>
  <w:footnote w:type="continuationSeparator" w:id="0">
    <w:p w:rsidR="00F05332" w:rsidRDefault="00F05332" w:rsidP="00F05332">
      <w:pPr>
        <w:spacing w:before="0" w:after="0"/>
      </w:pPr>
      <w:r>
        <w:continuationSeparator/>
      </w:r>
    </w:p>
  </w:footnote>
  <w:footnote w:id="1">
    <w:p w:rsidR="00F05332" w:rsidRPr="00FE1B71" w:rsidRDefault="00F05332" w:rsidP="00F05332">
      <w:pPr>
        <w:pStyle w:val="FootnoteText"/>
      </w:pPr>
      <w:r>
        <w:rPr>
          <w:rStyle w:val="FootnoteReference"/>
        </w:rPr>
        <w:footnoteRef/>
      </w:r>
      <w:r w:rsidRPr="00FE1B71">
        <w:tab/>
        <w:t>Règlement (UE) 2021/817 du Parlement européen et du Conseil du 20 mai 2021 établissant Erasmus+, le programme de l’Union pour l’éducation et la formation, la jeunesse et le sport, et abrogeant le règlement (UE) nº 1288/2013 (JO L 189 du 28.5.2021, p. 1).</w:t>
      </w:r>
    </w:p>
    <w:p w:rsidR="00F05332" w:rsidRPr="00FE1B71" w:rsidRDefault="00F05332" w:rsidP="00F05332">
      <w:pPr>
        <w:pStyle w:val="FootnoteText"/>
        <w:ind w:left="0" w:firstLine="0"/>
        <w:rPr>
          <w:color w:val="00B0F0"/>
        </w:rPr>
      </w:pPr>
    </w:p>
  </w:footnote>
  <w:footnote w:id="2">
    <w:p w:rsidR="00F05332" w:rsidRPr="00FE1B71" w:rsidRDefault="00F05332" w:rsidP="00F05332">
      <w:pPr>
        <w:pStyle w:val="FootnoteText"/>
      </w:pPr>
      <w:r>
        <w:rPr>
          <w:rStyle w:val="FootnoteReference"/>
        </w:rPr>
        <w:footnoteRef/>
      </w:r>
      <w:r w:rsidRPr="00FE1B71">
        <w:tab/>
        <w:t>Décision (UE) 2021/689 du Conseil du 29 avril 2021 relative à la conclusion, au nom de l’Union, de l’accord de commerce et de coopération entre l’Union européenne et la Communauté européenne de l’énergie atomique, d’une part, et le Royaume-Uni de Grande-Bretagne et d’Irlande du Nord, d’autre part, et de l’accord entre l’Union européenne et le Royaume-Uni de Grande-Bretagne et d’Irlande du Nord relatif aux procédures de sécurité pour l’échange d’informations classifiées et leur protection (JO L 149 du 30.4.2021, p. 2).</w:t>
      </w:r>
    </w:p>
  </w:footnote>
  <w:footnote w:id="3">
    <w:p w:rsidR="00F05332" w:rsidRPr="00FE1B71" w:rsidRDefault="00F05332" w:rsidP="00736AA9">
      <w:pPr>
        <w:pStyle w:val="FootnoteText"/>
      </w:pPr>
      <w:r>
        <w:rPr>
          <w:rStyle w:val="FootnoteReference"/>
        </w:rPr>
        <w:footnoteRef/>
      </w:r>
      <w:r w:rsidRPr="00FE1B71">
        <w:tab/>
        <w:t>Arrêt de la Cour de justice du 7 octobre 2014, Allemagne/Conseil, C</w:t>
      </w:r>
      <w:r w:rsidRPr="00FE1B71">
        <w:noBreakHyphen/>
        <w:t xml:space="preserve">399/12, ECLI:EU:C:2014:2258, points 61 à 64. </w:t>
      </w:r>
    </w:p>
  </w:footnote>
  <w:footnote w:id="4">
    <w:p w:rsidR="00A973BD" w:rsidRPr="00FE1B71" w:rsidRDefault="00A973BD" w:rsidP="00A973BD">
      <w:pPr>
        <w:pStyle w:val="FootnoteText"/>
        <w:rPr>
          <w:color w:val="00B0F0"/>
        </w:rPr>
      </w:pPr>
      <w:r>
        <w:rPr>
          <w:rStyle w:val="FootnoteReference"/>
        </w:rPr>
        <w:footnoteRef/>
      </w:r>
      <w:r w:rsidRPr="00FE1B71">
        <w:tab/>
        <w:t>Règlement (UE) 2021/817 du Parlement européen et du Conseil du 20 mai 2021 établissant Erasmus+, le programme de l’Union pour l’éducation et la formation, la jeunesse et le sport, et abrogeant le règlement (UE) nº 1288/2013 (JO L 189 du 28.5.2021, p. 1).</w:t>
      </w:r>
    </w:p>
  </w:footnote>
  <w:footnote w:id="5">
    <w:p w:rsidR="00463620" w:rsidRPr="00FE1B71" w:rsidRDefault="00463620" w:rsidP="00463620">
      <w:pPr>
        <w:pStyle w:val="FootnoteText"/>
      </w:pPr>
      <w:r>
        <w:rPr>
          <w:rStyle w:val="FootnoteReference"/>
        </w:rPr>
        <w:footnoteRef/>
      </w:r>
      <w:r w:rsidRPr="00FE1B71">
        <w:tab/>
        <w:t>Décision (UE) 2021/689 du Conseil du 29 avril 2021 relative à la conclusion, au nom de l’Union, de l’accord de commerce et de coopération entre l’Union européenne et la Communauté européenne de l’énergie atomique, d’une part, et le Royaume-Uni de Grande-Bretagne et d’Irlande du Nord, d’autre part, et de l’accord entre l’Union européenne et le Royaume-Uni de Grande-Bretagne et d’Irlande du Nord relatif aux procédures de sécurité pour l’échange d’informations classifiées et leur protection (JO L 149 du 30.4.2021,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Default="00A73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7C" w:rsidRDefault="00A73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49E35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6F8C2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3EA8A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C3C1F7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num>
  <w:num w:numId="4">
    <w:abstractNumId w:val="3"/>
  </w:num>
  <w:num w:numId="5">
    <w:abstractNumId w:val="2"/>
  </w:num>
  <w:num w:numId="6">
    <w:abstractNumId w:val="1"/>
  </w:num>
  <w:num w:numId="7">
    <w:abstractNumId w:val="0"/>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2 09:12: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8ABC13A-9BE2-4047-AF76-DC154DC53C89"/>
    <w:docVar w:name="LW_COVERPAGE_TYPE" w:val="1"/>
    <w:docVar w:name="LW_CreatedUtc" w:val="2026-01-28T12:05:37.1202471Z"/>
    <w:docVar w:name="LW_CROSSREFERENCE" w:val="&lt;UNUSED&gt;"/>
    <w:docVar w:name="LW_DocType" w:val="COM"/>
    <w:docVar w:name="LW_EMISSION" w:val="2.3.2026"/>
    <w:docVar w:name="LW_EMISSION_ISODATE" w:val="2026-03-0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7"/>
    <w:docVar w:name="LW_REF.II.NEW.CP_YEAR" w:val="2026"/>
    <w:docVar w:name="LW_REF.INST.NEW" w:val="COM"/>
    <w:docVar w:name="LW_REF.INST.NEW_ADOPTED" w:val="final"/>
    <w:docVar w:name="LW_REF.INST.NEW_TEXT" w:val="(2026) 10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spécialisé chargé de la participation aux programmes de l\u8217?Union"/>
    <w:docVar w:name="LW_TYPE.DOC.CP" w:val="DÉCISION DU CONSEIL"/>
    <w:docVar w:name="LwApiVersions" w:val="LW4CoDe 1.24.5.0; LW 9.2, Build 20251112"/>
  </w:docVars>
  <w:rsids>
    <w:rsidRoot w:val="00F05332"/>
    <w:rsid w:val="00003EB5"/>
    <w:rsid w:val="000264D2"/>
    <w:rsid w:val="00031A58"/>
    <w:rsid w:val="0003529E"/>
    <w:rsid w:val="000648C5"/>
    <w:rsid w:val="00076B0C"/>
    <w:rsid w:val="000874E7"/>
    <w:rsid w:val="000A6451"/>
    <w:rsid w:val="000C6E1C"/>
    <w:rsid w:val="001065F5"/>
    <w:rsid w:val="0011350F"/>
    <w:rsid w:val="001238EF"/>
    <w:rsid w:val="00160B93"/>
    <w:rsid w:val="001950BB"/>
    <w:rsid w:val="00197613"/>
    <w:rsid w:val="001D74D7"/>
    <w:rsid w:val="002077D9"/>
    <w:rsid w:val="00214A45"/>
    <w:rsid w:val="00224181"/>
    <w:rsid w:val="00233DC7"/>
    <w:rsid w:val="00235675"/>
    <w:rsid w:val="002363B3"/>
    <w:rsid w:val="00247779"/>
    <w:rsid w:val="00285BEE"/>
    <w:rsid w:val="0029533F"/>
    <w:rsid w:val="002953F6"/>
    <w:rsid w:val="002B30AF"/>
    <w:rsid w:val="002F7422"/>
    <w:rsid w:val="00306F9B"/>
    <w:rsid w:val="0032796D"/>
    <w:rsid w:val="0033344A"/>
    <w:rsid w:val="003601E9"/>
    <w:rsid w:val="003B36B3"/>
    <w:rsid w:val="003C59E5"/>
    <w:rsid w:val="003C74A7"/>
    <w:rsid w:val="00400065"/>
    <w:rsid w:val="0042648E"/>
    <w:rsid w:val="00446380"/>
    <w:rsid w:val="00452E0C"/>
    <w:rsid w:val="00463620"/>
    <w:rsid w:val="004805CC"/>
    <w:rsid w:val="004936D2"/>
    <w:rsid w:val="00497432"/>
    <w:rsid w:val="004A288B"/>
    <w:rsid w:val="004F01B2"/>
    <w:rsid w:val="00504896"/>
    <w:rsid w:val="00524A35"/>
    <w:rsid w:val="005500F2"/>
    <w:rsid w:val="005728E3"/>
    <w:rsid w:val="005A5067"/>
    <w:rsid w:val="005B1EB6"/>
    <w:rsid w:val="005D1F90"/>
    <w:rsid w:val="005D32FD"/>
    <w:rsid w:val="005D6F5E"/>
    <w:rsid w:val="00670C4F"/>
    <w:rsid w:val="00684681"/>
    <w:rsid w:val="006B609A"/>
    <w:rsid w:val="006C60A1"/>
    <w:rsid w:val="006E428F"/>
    <w:rsid w:val="006F3980"/>
    <w:rsid w:val="007645D6"/>
    <w:rsid w:val="00773331"/>
    <w:rsid w:val="007932EF"/>
    <w:rsid w:val="007D6B0E"/>
    <w:rsid w:val="007D7350"/>
    <w:rsid w:val="007E05B0"/>
    <w:rsid w:val="00802254"/>
    <w:rsid w:val="00874D22"/>
    <w:rsid w:val="00882749"/>
    <w:rsid w:val="008A2914"/>
    <w:rsid w:val="008B6104"/>
    <w:rsid w:val="008C0ACD"/>
    <w:rsid w:val="008C0C78"/>
    <w:rsid w:val="008E4D8E"/>
    <w:rsid w:val="0095296E"/>
    <w:rsid w:val="00953D16"/>
    <w:rsid w:val="00960552"/>
    <w:rsid w:val="00966486"/>
    <w:rsid w:val="009A1AB6"/>
    <w:rsid w:val="009A4FBB"/>
    <w:rsid w:val="009A7F94"/>
    <w:rsid w:val="009C5D89"/>
    <w:rsid w:val="009F6A29"/>
    <w:rsid w:val="00A06377"/>
    <w:rsid w:val="00A47B90"/>
    <w:rsid w:val="00A67F8B"/>
    <w:rsid w:val="00A70883"/>
    <w:rsid w:val="00A7317C"/>
    <w:rsid w:val="00A973BD"/>
    <w:rsid w:val="00B61AB1"/>
    <w:rsid w:val="00BA2332"/>
    <w:rsid w:val="00C12301"/>
    <w:rsid w:val="00C163A7"/>
    <w:rsid w:val="00C700A2"/>
    <w:rsid w:val="00CA3DA6"/>
    <w:rsid w:val="00CA794B"/>
    <w:rsid w:val="00CD6A20"/>
    <w:rsid w:val="00CE0499"/>
    <w:rsid w:val="00D20381"/>
    <w:rsid w:val="00D462F5"/>
    <w:rsid w:val="00DD5949"/>
    <w:rsid w:val="00DE4921"/>
    <w:rsid w:val="00E1640D"/>
    <w:rsid w:val="00E33F7A"/>
    <w:rsid w:val="00E664ED"/>
    <w:rsid w:val="00EA6F66"/>
    <w:rsid w:val="00EB10E7"/>
    <w:rsid w:val="00ED1923"/>
    <w:rsid w:val="00ED261A"/>
    <w:rsid w:val="00F03063"/>
    <w:rsid w:val="00F05332"/>
    <w:rsid w:val="00F51ABD"/>
    <w:rsid w:val="00F54FC1"/>
    <w:rsid w:val="00FC38F8"/>
    <w:rsid w:val="00FE1B71"/>
    <w:rsid w:val="085B0EEE"/>
    <w:rsid w:val="0C080B2A"/>
    <w:rsid w:val="0E6FF2F1"/>
    <w:rsid w:val="13B4B4D9"/>
    <w:rsid w:val="17151B86"/>
    <w:rsid w:val="1B9C1596"/>
    <w:rsid w:val="2449FC95"/>
    <w:rsid w:val="310DAA62"/>
    <w:rsid w:val="31A0BFEE"/>
    <w:rsid w:val="3D0B60C3"/>
    <w:rsid w:val="40E15617"/>
    <w:rsid w:val="542AE63B"/>
    <w:rsid w:val="5DE1FE93"/>
    <w:rsid w:val="63804AD2"/>
    <w:rsid w:val="67659CC6"/>
    <w:rsid w:val="67820419"/>
    <w:rsid w:val="715C49DC"/>
    <w:rsid w:val="7280463C"/>
    <w:rsid w:val="7D78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5:docId w15:val="{186C1795-E327-4587-A92C-6044E5D7F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50F"/>
    <w:rPr>
      <w:color w:val="0000FF" w:themeColor="hyperlink"/>
      <w:u w:val="single"/>
    </w:rPr>
  </w:style>
  <w:style w:type="character" w:styleId="CommentReference">
    <w:name w:val="annotation reference"/>
    <w:basedOn w:val="DefaultParagraphFont"/>
    <w:uiPriority w:val="99"/>
    <w:semiHidden/>
    <w:unhideWhenUsed/>
    <w:rsid w:val="0011350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ListBullet">
    <w:name w:val="List Bullet"/>
    <w:basedOn w:val="Normal"/>
    <w:uiPriority w:val="99"/>
    <w:semiHidden/>
    <w:unhideWhenUsed/>
    <w:rsid w:val="001D74D7"/>
    <w:pPr>
      <w:numPr>
        <w:numId w:val="4"/>
      </w:numPr>
      <w:contextualSpacing/>
    </w:pPr>
  </w:style>
  <w:style w:type="paragraph" w:styleId="ListBullet2">
    <w:name w:val="List Bullet 2"/>
    <w:basedOn w:val="Normal"/>
    <w:uiPriority w:val="99"/>
    <w:semiHidden/>
    <w:unhideWhenUsed/>
    <w:rsid w:val="001D74D7"/>
    <w:pPr>
      <w:numPr>
        <w:numId w:val="5"/>
      </w:numPr>
      <w:contextualSpacing/>
    </w:pPr>
  </w:style>
  <w:style w:type="paragraph" w:styleId="ListBullet3">
    <w:name w:val="List Bullet 3"/>
    <w:basedOn w:val="Normal"/>
    <w:uiPriority w:val="99"/>
    <w:semiHidden/>
    <w:unhideWhenUsed/>
    <w:rsid w:val="001D74D7"/>
    <w:pPr>
      <w:numPr>
        <w:numId w:val="6"/>
      </w:numPr>
      <w:contextualSpacing/>
    </w:pPr>
  </w:style>
  <w:style w:type="paragraph" w:styleId="ListBullet4">
    <w:name w:val="List Bullet 4"/>
    <w:basedOn w:val="Normal"/>
    <w:uiPriority w:val="99"/>
    <w:semiHidden/>
    <w:unhideWhenUsed/>
    <w:rsid w:val="001D74D7"/>
    <w:pPr>
      <w:numPr>
        <w:numId w:val="7"/>
      </w:numPr>
      <w:contextualSpacing/>
    </w:pPr>
  </w:style>
  <w:style w:type="paragraph" w:styleId="Revision">
    <w:name w:val="Revision"/>
    <w:hidden/>
    <w:uiPriority w:val="99"/>
    <w:semiHidden/>
    <w:rsid w:val="00031A58"/>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160B93"/>
    <w:rPr>
      <w:b/>
      <w:bCs/>
    </w:rPr>
  </w:style>
  <w:style w:type="character" w:customStyle="1" w:styleId="CommentSubjectChar">
    <w:name w:val="Comment Subject Char"/>
    <w:basedOn w:val="CommentTextChar"/>
    <w:link w:val="CommentSubject"/>
    <w:uiPriority w:val="99"/>
    <w:semiHidden/>
    <w:rsid w:val="00160B93"/>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160B93"/>
    <w:rPr>
      <w:color w:val="605E5C"/>
      <w:shd w:val="clear" w:color="auto" w:fill="E1DFDD"/>
    </w:rPr>
  </w:style>
  <w:style w:type="character" w:customStyle="1" w:styleId="HeaderChar">
    <w:name w:val="Header Char"/>
    <w:basedOn w:val="DefaultParagraphFont"/>
    <w:link w:val="Header"/>
    <w:uiPriority w:val="99"/>
    <w:rsid w:val="00A7317C"/>
    <w:rPr>
      <w:rFonts w:ascii="Times New Roman" w:hAnsi="Times New Roman" w:cs="Times New Roman"/>
      <w:sz w:val="24"/>
      <w:lang w:val="fr-FR"/>
    </w:rPr>
  </w:style>
  <w:style w:type="character" w:customStyle="1" w:styleId="FooterChar">
    <w:name w:val="Footer Char"/>
    <w:basedOn w:val="DefaultParagraphFont"/>
    <w:link w:val="Footer"/>
    <w:uiPriority w:val="99"/>
    <w:rsid w:val="00A7317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731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7317C"/>
    <w:pPr>
      <w:spacing w:before="0"/>
      <w:jc w:val="right"/>
    </w:pPr>
    <w:rPr>
      <w:sz w:val="28"/>
    </w:rPr>
  </w:style>
  <w:style w:type="paragraph" w:customStyle="1" w:styleId="FooterSensitivity">
    <w:name w:val="Footer Sensitivity"/>
    <w:basedOn w:val="Normal"/>
    <w:rsid w:val="00A731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7317C"/>
    <w:pPr>
      <w:tabs>
        <w:tab w:val="center" w:pos="4535"/>
        <w:tab w:val="right" w:pos="9071"/>
      </w:tabs>
      <w:spacing w:before="0"/>
    </w:pPr>
  </w:style>
  <w:style w:type="paragraph" w:customStyle="1" w:styleId="HeaderLandscape">
    <w:name w:val="HeaderLandscape"/>
    <w:basedOn w:val="Normal"/>
    <w:rsid w:val="00A7317C"/>
    <w:pPr>
      <w:tabs>
        <w:tab w:val="center" w:pos="7285"/>
        <w:tab w:val="right" w:pos="14003"/>
      </w:tabs>
      <w:spacing w:before="0"/>
    </w:pPr>
  </w:style>
  <w:style w:type="paragraph" w:styleId="Footer">
    <w:name w:val="footer"/>
    <w:basedOn w:val="Normal"/>
    <w:link w:val="FooterChar"/>
    <w:uiPriority w:val="99"/>
    <w:unhideWhenUsed/>
    <w:rsid w:val="00A731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731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70C03C4C96AF43AFA86F89D80F8EC3" ma:contentTypeVersion="6" ma:contentTypeDescription="Create a new document." ma:contentTypeScope="" ma:versionID="88052605181e4d545871c90d21665f4b">
  <xsd:schema xmlns:xsd="http://www.w3.org/2001/XMLSchema" xmlns:xs="http://www.w3.org/2001/XMLSchema" xmlns:p="http://schemas.microsoft.com/office/2006/metadata/properties" xmlns:ns2="23fa53c3-7de0-4eec-acc7-30db1b66c849" xmlns:ns3="7058b7d0-6f54-43d0-ac9b-f95b90dfb0dc" targetNamespace="http://schemas.microsoft.com/office/2006/metadata/properties" ma:root="true" ma:fieldsID="86a478ffc038d85215de71702024ff28" ns2:_="" ns3:_="">
    <xsd:import namespace="23fa53c3-7de0-4eec-acc7-30db1b66c849"/>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a53c3-7de0-4eec-acc7-30db1b66c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B91C4-0F11-4923-A7B6-967A5B6D9237}">
  <ds:schemaRefs>
    <ds:schemaRef ds:uri="http://schemas.microsoft.com/sharepoint/v3/contenttype/forms"/>
  </ds:schemaRefs>
</ds:datastoreItem>
</file>

<file path=customXml/itemProps2.xml><?xml version="1.0" encoding="utf-8"?>
<ds:datastoreItem xmlns:ds="http://schemas.openxmlformats.org/officeDocument/2006/customXml" ds:itemID="{7D738D1B-B16B-4D11-804C-AC6CA63A4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a53c3-7de0-4eec-acc7-30db1b66c849"/>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C4F9BA-EA8B-4042-AE82-EC6AFE3106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BD38B3-38E7-4FB2-8B7D-891BE84F5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7</Pages>
  <Words>1962</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dcterms:created xsi:type="dcterms:W3CDTF">2026-02-05T12:12:00Z</dcterms:created>
  <dcterms:modified xsi:type="dcterms:W3CDTF">2026-03-02T08:12:00Z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2026-01-28T12:36:23Z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99ff20f4-9f06-4f20-9bf9-7167aed7a982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0x0101000970C03C4C96AF43AFA86F89D80F8EC3</vt:lpwstr>
  </property>
  <property fmtid="{D5CDD505-2E9C-101B-9397-08002B2CF9AE}" pid="19" name="DQCStatus">
    <vt:lpwstr>Green (DQC version 03)</vt:lpwstr>
  </property>
</Properties>
</file>