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B536FE" w:rsidRDefault="007A0201" w:rsidP="007A020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9D6210-71F5-443F-874B-E2EA8E1E4F19" style="width:455.25pt;height:357.75pt">
            <v:imagedata r:id="rId11" o:title=""/>
          </v:shape>
        </w:pict>
      </w:r>
    </w:p>
    <w:p w:rsidR="00382895" w:rsidRPr="00B536FE" w:rsidRDefault="00382895" w:rsidP="00440DA8">
      <w:pPr>
        <w:rPr>
          <w:noProof/>
        </w:rPr>
        <w:sectPr w:rsidR="00382895" w:rsidRPr="00B536FE" w:rsidSect="007A0201">
          <w:footerReference w:type="even" r:id="rId12"/>
          <w:footerReference w:type="default" r:id="rId13"/>
          <w:pgSz w:w="11907" w:h="16839"/>
          <w:pgMar w:top="1134" w:right="1417" w:bottom="1134" w:left="1417" w:header="709" w:footer="709" w:gutter="0"/>
          <w:pgNumType w:start="0"/>
          <w:cols w:space="720"/>
          <w:docGrid w:linePitch="360"/>
        </w:sectPr>
      </w:pPr>
    </w:p>
    <w:p w:rsidR="00382895" w:rsidRPr="00B536FE" w:rsidRDefault="00382895" w:rsidP="00440DA8">
      <w:pPr>
        <w:pStyle w:val="Exposdesmotifstitre"/>
        <w:rPr>
          <w:noProof/>
        </w:rPr>
      </w:pPr>
      <w:bookmarkStart w:id="0" w:name="_GoBack"/>
      <w:bookmarkEnd w:id="0"/>
      <w:r w:rsidRPr="00B536FE">
        <w:rPr>
          <w:noProof/>
        </w:rPr>
        <w:lastRenderedPageBreak/>
        <w:t>EXPLANATORY MEMORANDUM</w:t>
      </w:r>
    </w:p>
    <w:p w:rsidR="00382895" w:rsidRPr="00B536FE" w:rsidRDefault="57386994" w:rsidP="00440DA8">
      <w:pPr>
        <w:pStyle w:val="ManualHeading1"/>
        <w:rPr>
          <w:noProof/>
        </w:rPr>
      </w:pPr>
      <w:r w:rsidRPr="00B536FE">
        <w:rPr>
          <w:noProof/>
        </w:rPr>
        <w:t>1.</w:t>
      </w:r>
      <w:r w:rsidR="51853F79" w:rsidRPr="00B536FE">
        <w:rPr>
          <w:noProof/>
        </w:rPr>
        <w:tab/>
      </w:r>
      <w:r w:rsidRPr="00B536FE">
        <w:rPr>
          <w:noProof/>
        </w:rPr>
        <w:t>CONTEXT OF THE PROPOSAL</w:t>
      </w:r>
    </w:p>
    <w:p w:rsidR="00382895" w:rsidRPr="00B536FE" w:rsidRDefault="51853F79" w:rsidP="00440DA8">
      <w:pPr>
        <w:pStyle w:val="ManualHeading2"/>
        <w:rPr>
          <w:rFonts w:eastAsia="Arial Unicode MS"/>
          <w:noProof/>
        </w:rPr>
      </w:pPr>
      <w:r w:rsidRPr="00B536FE">
        <w:rPr>
          <w:rFonts w:eastAsia="Arial Unicode MS"/>
          <w:noProof/>
          <w:color w:val="000000"/>
          <w:bdr w:val="nil"/>
          <w:lang w:val="en-US" w:eastAsia="en-GB"/>
        </w:rPr>
        <w:t>•</w:t>
      </w:r>
      <w:r w:rsidR="00382895" w:rsidRPr="00B536FE">
        <w:rPr>
          <w:rFonts w:eastAsia="Arial Unicode MS"/>
          <w:noProof/>
          <w:color w:val="000000"/>
          <w:u w:color="000000"/>
          <w:bdr w:val="nil"/>
          <w:lang w:val="en-US" w:eastAsia="en-GB"/>
        </w:rPr>
        <w:tab/>
      </w:r>
      <w:r w:rsidRPr="00B536FE">
        <w:rPr>
          <w:rFonts w:eastAsia="Arial Unicode MS"/>
          <w:noProof/>
        </w:rPr>
        <w:t>Reasons for and objectives of the proposal</w:t>
      </w:r>
    </w:p>
    <w:p w:rsidR="00063BFE" w:rsidRPr="00B536FE" w:rsidRDefault="00063BFE" w:rsidP="00440DA8">
      <w:pPr>
        <w:pBdr>
          <w:top w:val="nil"/>
          <w:left w:val="nil"/>
          <w:bottom w:val="nil"/>
          <w:right w:val="nil"/>
          <w:between w:val="nil"/>
          <w:bar w:val="nil"/>
        </w:pBdr>
        <w:spacing w:before="0" w:after="240"/>
        <w:rPr>
          <w:noProof/>
          <w:lang w:val="en-IE"/>
        </w:rPr>
      </w:pPr>
      <w:r w:rsidRPr="00B536FE">
        <w:rPr>
          <w:noProof/>
          <w:lang w:val="en-IE"/>
        </w:rPr>
        <w:t>Council Regulation (EU) 20</w:t>
      </w:r>
      <w:r w:rsidR="0073360D" w:rsidRPr="00B536FE">
        <w:rPr>
          <w:noProof/>
          <w:lang w:val="en-IE"/>
        </w:rPr>
        <w:t>2</w:t>
      </w:r>
      <w:r w:rsidR="001B19CE" w:rsidRPr="00B536FE">
        <w:rPr>
          <w:noProof/>
          <w:lang w:val="en-IE"/>
        </w:rPr>
        <w:t>6</w:t>
      </w:r>
      <w:r w:rsidR="008F51B1" w:rsidRPr="00B536FE">
        <w:rPr>
          <w:noProof/>
          <w:lang w:val="en-IE"/>
        </w:rPr>
        <w:t>/</w:t>
      </w:r>
      <w:r w:rsidR="00A56915" w:rsidRPr="00B536FE">
        <w:rPr>
          <w:noProof/>
          <w:lang w:val="en-IE"/>
        </w:rPr>
        <w:t>249</w:t>
      </w:r>
      <w:r w:rsidRPr="00B536FE">
        <w:rPr>
          <w:rStyle w:val="FootnoteReference"/>
          <w:noProof/>
          <w:lang w:val="en-IE"/>
        </w:rPr>
        <w:footnoteReference w:id="2"/>
      </w:r>
      <w:r w:rsidRPr="00B536FE">
        <w:rPr>
          <w:noProof/>
          <w:lang w:val="en-IE"/>
        </w:rPr>
        <w:t xml:space="preserve"> </w:t>
      </w:r>
      <w:r w:rsidR="0073360D" w:rsidRPr="00B536FE">
        <w:rPr>
          <w:noProof/>
          <w:lang w:val="en-IE"/>
        </w:rPr>
        <w:t xml:space="preserve">fixes </w:t>
      </w:r>
      <w:r w:rsidR="001B19CE" w:rsidRPr="00B536FE">
        <w:rPr>
          <w:noProof/>
          <w:lang w:val="en-IE"/>
        </w:rPr>
        <w:t xml:space="preserve">for 2026, 2027 and 2028 the fishing opportunities for certain fish stocks, applicable in EU waters and, for EU fishing vessels, in certain non-EU waters. </w:t>
      </w:r>
      <w:r w:rsidRPr="00B536FE">
        <w:rPr>
          <w:noProof/>
          <w:lang w:val="en-IE"/>
        </w:rPr>
        <w:t>Th</w:t>
      </w:r>
      <w:r w:rsidR="00E91733" w:rsidRPr="00B536FE">
        <w:rPr>
          <w:noProof/>
          <w:lang w:val="en-IE"/>
        </w:rPr>
        <w:t xml:space="preserve">e proposal amends those </w:t>
      </w:r>
      <w:r w:rsidRPr="00B536FE">
        <w:rPr>
          <w:noProof/>
          <w:lang w:val="en-IE"/>
        </w:rPr>
        <w:t xml:space="preserve">fishing opportunities to take account of the latest scientific advice and </w:t>
      </w:r>
      <w:r w:rsidR="00E91733" w:rsidRPr="00B536FE">
        <w:rPr>
          <w:noProof/>
          <w:lang w:val="en-IE"/>
        </w:rPr>
        <w:t xml:space="preserve">other </w:t>
      </w:r>
      <w:r w:rsidRPr="00B536FE">
        <w:rPr>
          <w:noProof/>
          <w:lang w:val="en-IE"/>
        </w:rPr>
        <w:t>developments.</w:t>
      </w:r>
      <w:r w:rsidR="00304044" w:rsidRPr="00B536FE">
        <w:rPr>
          <w:noProof/>
          <w:lang w:val="en-IE"/>
        </w:rPr>
        <w:t xml:space="preserve"> </w:t>
      </w:r>
    </w:p>
    <w:p w:rsidR="00382895" w:rsidRPr="00B536FE" w:rsidRDefault="00382895" w:rsidP="00440DA8">
      <w:pPr>
        <w:pStyle w:val="ManualHeading2"/>
        <w:rPr>
          <w:rFonts w:eastAsia="Arial Unicode MS"/>
          <w:noProof/>
          <w:color w:val="000000"/>
          <w:u w:color="000000"/>
          <w:bdr w:val="nil"/>
          <w:lang w:val="en-US" w:eastAsia="en-GB"/>
        </w:rPr>
      </w:pPr>
      <w:r w:rsidRPr="00B536FE">
        <w:rPr>
          <w:rFonts w:eastAsia="Arial Unicode MS"/>
          <w:noProof/>
          <w:color w:val="000000"/>
          <w:u w:color="000000"/>
          <w:bdr w:val="nil"/>
          <w:lang w:val="en-US" w:eastAsia="en-GB"/>
        </w:rPr>
        <w:t>•</w:t>
      </w:r>
      <w:r w:rsidRPr="00B536FE">
        <w:rPr>
          <w:rFonts w:eastAsia="Arial Unicode MS"/>
          <w:noProof/>
          <w:color w:val="000000"/>
          <w:u w:color="000000"/>
          <w:bdr w:val="nil"/>
          <w:lang w:val="en-US" w:eastAsia="en-GB"/>
        </w:rPr>
        <w:tab/>
      </w:r>
      <w:r w:rsidRPr="00B536FE">
        <w:rPr>
          <w:rFonts w:eastAsia="Arial Unicode MS"/>
          <w:noProof/>
        </w:rPr>
        <w:t>Consistency with existing policy provisions in the policy area</w:t>
      </w:r>
    </w:p>
    <w:p w:rsidR="008A4A50" w:rsidRPr="00B536FE" w:rsidRDefault="00382895" w:rsidP="00FE5725">
      <w:pPr>
        <w:rPr>
          <w:noProof/>
        </w:rPr>
      </w:pPr>
      <w:r w:rsidRPr="00B536FE">
        <w:rPr>
          <w:noProof/>
        </w:rPr>
        <w:t xml:space="preserve">The measures proposed are consistent with the objectives </w:t>
      </w:r>
      <w:r w:rsidR="008F51B1" w:rsidRPr="00B536FE">
        <w:rPr>
          <w:noProof/>
        </w:rPr>
        <w:t>set out in Regulation (EU) No 1380/2013</w:t>
      </w:r>
      <w:r w:rsidR="008F51B1" w:rsidRPr="00B536FE">
        <w:rPr>
          <w:rStyle w:val="FootnoteReference"/>
          <w:noProof/>
        </w:rPr>
        <w:footnoteReference w:id="3"/>
      </w:r>
      <w:r w:rsidR="008F51B1" w:rsidRPr="00B536FE">
        <w:rPr>
          <w:noProof/>
        </w:rPr>
        <w:t xml:space="preserve"> of the European Parliament and of the Council on the Common Fisheries Policy (CFP) (‘Basic Regulation’)</w:t>
      </w:r>
      <w:r w:rsidR="00D20D67" w:rsidRPr="00B536FE">
        <w:rPr>
          <w:noProof/>
        </w:rPr>
        <w:t xml:space="preserve">, </w:t>
      </w:r>
      <w:r w:rsidR="008A4A50" w:rsidRPr="00B536FE">
        <w:rPr>
          <w:noProof/>
        </w:rPr>
        <w:t xml:space="preserve">that are to be applied among others when establishing fishing opportunities, i.e. catch and fishing effort limits. </w:t>
      </w:r>
      <w:r w:rsidR="00FE5725" w:rsidRPr="00B536FE">
        <w:rPr>
          <w:noProof/>
        </w:rPr>
        <w:t xml:space="preserve">One of the objectives of the CFP is to restore stocks to levels that can deliver </w:t>
      </w:r>
      <w:r w:rsidR="00876F68" w:rsidRPr="00B536FE">
        <w:rPr>
          <w:noProof/>
        </w:rPr>
        <w:t>the maximum sustainable yield (</w:t>
      </w:r>
      <w:r w:rsidR="00FE5725" w:rsidRPr="00B536FE">
        <w:rPr>
          <w:noProof/>
        </w:rPr>
        <w:t>MSY</w:t>
      </w:r>
      <w:r w:rsidR="00876F68" w:rsidRPr="00B536FE">
        <w:rPr>
          <w:noProof/>
        </w:rPr>
        <w:t>)</w:t>
      </w:r>
      <w:r w:rsidR="00FE5725" w:rsidRPr="00B536FE">
        <w:rPr>
          <w:noProof/>
        </w:rPr>
        <w:t xml:space="preserve"> and to maintain them at those levels. </w:t>
      </w:r>
      <w:r w:rsidR="008A4A50" w:rsidRPr="00B536FE">
        <w:rPr>
          <w:noProof/>
        </w:rPr>
        <w:t>The aim is to ensure that EU fisheries are ecologically as well as economically and socially sustainable.</w:t>
      </w:r>
    </w:p>
    <w:p w:rsidR="00382895" w:rsidRPr="00B536FE" w:rsidRDefault="00382895" w:rsidP="00440DA8">
      <w:pPr>
        <w:pStyle w:val="ManualHeading2"/>
        <w:rPr>
          <w:rFonts w:eastAsia="Arial Unicode MS"/>
          <w:noProof/>
        </w:rPr>
      </w:pPr>
      <w:r w:rsidRPr="00B536FE">
        <w:rPr>
          <w:rFonts w:eastAsia="Arial Unicode MS"/>
          <w:noProof/>
          <w:color w:val="000000"/>
          <w:u w:color="000000"/>
          <w:bdr w:val="nil"/>
          <w:lang w:val="en-US" w:eastAsia="en-GB"/>
        </w:rPr>
        <w:t>•</w:t>
      </w:r>
      <w:r w:rsidRPr="00B536FE">
        <w:rPr>
          <w:rFonts w:eastAsia="Arial Unicode MS"/>
          <w:noProof/>
          <w:color w:val="000000"/>
          <w:u w:color="000000"/>
          <w:bdr w:val="nil"/>
          <w:lang w:val="en-US" w:eastAsia="en-GB"/>
        </w:rPr>
        <w:tab/>
      </w:r>
      <w:r w:rsidRPr="00B536FE">
        <w:rPr>
          <w:rFonts w:eastAsia="Arial Unicode MS"/>
          <w:noProof/>
        </w:rPr>
        <w:t>Consistency with other Union policies</w:t>
      </w:r>
    </w:p>
    <w:p w:rsidR="00D20D67" w:rsidRPr="00B536FE" w:rsidRDefault="00D20D67" w:rsidP="00D20D67">
      <w:pPr>
        <w:spacing w:before="0" w:after="240"/>
        <w:rPr>
          <w:noProof/>
        </w:rPr>
      </w:pPr>
      <w:r w:rsidRPr="00B536FE">
        <w:rPr>
          <w:noProof/>
        </w:rPr>
        <w:t>The proposed measures are consistent with other EU policies, in particular Directive 2008/56/EC of the European Parliament and of the Council</w:t>
      </w:r>
      <w:r w:rsidRPr="00B536FE">
        <w:rPr>
          <w:rStyle w:val="FootnoteReference"/>
          <w:noProof/>
        </w:rPr>
        <w:footnoteReference w:id="4"/>
      </w:r>
      <w:r w:rsidRPr="00B536FE">
        <w:rPr>
          <w:noProof/>
        </w:rPr>
        <w:t xml:space="preserve"> (‘Marine Strategy Framework Directive’) and aim to contribute to achieving good environmental status</w:t>
      </w:r>
      <w:r w:rsidR="001B19CE" w:rsidRPr="00B536FE">
        <w:rPr>
          <w:noProof/>
        </w:rPr>
        <w:t xml:space="preserve"> (GES) for </w:t>
      </w:r>
      <w:r w:rsidRPr="00B536FE">
        <w:rPr>
          <w:noProof/>
        </w:rPr>
        <w:t>descriptor 3</w:t>
      </w:r>
      <w:r w:rsidR="001B19CE" w:rsidRPr="00B536FE">
        <w:rPr>
          <w:noProof/>
        </w:rPr>
        <w:t xml:space="preserve"> in particular</w:t>
      </w:r>
      <w:r w:rsidRPr="00B536FE">
        <w:rPr>
          <w:noProof/>
        </w:rPr>
        <w:t>, which requires all commercially exploited fish and shellfish to be within safe biological limits.</w:t>
      </w:r>
    </w:p>
    <w:p w:rsidR="00382895" w:rsidRPr="00B536FE" w:rsidRDefault="00382895" w:rsidP="00440DA8">
      <w:pPr>
        <w:pStyle w:val="ManualHeading1"/>
        <w:rPr>
          <w:noProof/>
        </w:rPr>
      </w:pPr>
      <w:r w:rsidRPr="00B536FE">
        <w:rPr>
          <w:noProof/>
        </w:rPr>
        <w:t>2.</w:t>
      </w:r>
      <w:r w:rsidRPr="00B536FE">
        <w:rPr>
          <w:noProof/>
        </w:rPr>
        <w:tab/>
        <w:t>LEGAL BASIS, SUBSIDIARITY AND PROPORTIONALITY</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Legal basis</w:t>
      </w:r>
    </w:p>
    <w:p w:rsidR="00382895" w:rsidRPr="00B536FE" w:rsidRDefault="00382895" w:rsidP="00440DA8">
      <w:pPr>
        <w:rPr>
          <w:noProof/>
        </w:rPr>
      </w:pPr>
      <w:r w:rsidRPr="00B536FE">
        <w:rPr>
          <w:noProof/>
        </w:rPr>
        <w:t xml:space="preserve">The legal basis of </w:t>
      </w:r>
      <w:r w:rsidR="007214DD" w:rsidRPr="00B536FE">
        <w:rPr>
          <w:noProof/>
        </w:rPr>
        <w:t xml:space="preserve">the </w:t>
      </w:r>
      <w:r w:rsidRPr="00B536FE">
        <w:rPr>
          <w:noProof/>
        </w:rPr>
        <w:t>proposal is Article 43(3) of the Treaty on the Functioning of the European Union</w:t>
      </w:r>
      <w:r w:rsidR="006A7EC6" w:rsidRPr="00B536FE">
        <w:rPr>
          <w:noProof/>
        </w:rPr>
        <w:t xml:space="preserve"> (TFEU)</w:t>
      </w:r>
      <w:r w:rsidRPr="00B536FE">
        <w:rPr>
          <w:noProof/>
        </w:rPr>
        <w:t xml:space="preserve">. </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 xml:space="preserve">Subsidiarity </w:t>
      </w:r>
    </w:p>
    <w:p w:rsidR="00382895" w:rsidRPr="00B536FE" w:rsidRDefault="00A94AF2" w:rsidP="00440DA8">
      <w:pPr>
        <w:rPr>
          <w:rFonts w:eastAsia="Arial Unicode MS"/>
          <w:noProof/>
        </w:rPr>
      </w:pPr>
      <w:r w:rsidRPr="00B536FE">
        <w:rPr>
          <w:noProof/>
        </w:rPr>
        <w:t xml:space="preserve">The proposal falls under the exclusive </w:t>
      </w:r>
      <w:r w:rsidR="0073360D" w:rsidRPr="00B536FE">
        <w:rPr>
          <w:noProof/>
        </w:rPr>
        <w:t xml:space="preserve">EU </w:t>
      </w:r>
      <w:r w:rsidRPr="00B536FE">
        <w:rPr>
          <w:noProof/>
        </w:rPr>
        <w:t xml:space="preserve">competence as referred to in Article 3(1)(d) TFEU. </w:t>
      </w:r>
      <w:r w:rsidR="0073360D" w:rsidRPr="00B536FE">
        <w:rPr>
          <w:noProof/>
        </w:rPr>
        <w:t>T</w:t>
      </w:r>
      <w:r w:rsidR="00784DE7" w:rsidRPr="00B536FE">
        <w:rPr>
          <w:noProof/>
        </w:rPr>
        <w:t>herefore, t</w:t>
      </w:r>
      <w:r w:rsidR="0073360D" w:rsidRPr="00B536FE">
        <w:rPr>
          <w:noProof/>
        </w:rPr>
        <w:t>he</w:t>
      </w:r>
      <w:r w:rsidRPr="00B536FE">
        <w:rPr>
          <w:noProof/>
        </w:rPr>
        <w:t xml:space="preserve"> subsidiarity principle does not apply.</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Proportionality</w:t>
      </w:r>
    </w:p>
    <w:p w:rsidR="00D20D67" w:rsidRPr="00B536FE" w:rsidRDefault="00D20D67" w:rsidP="008A4A50">
      <w:pPr>
        <w:spacing w:before="0" w:after="240"/>
        <w:rPr>
          <w:noProof/>
        </w:rPr>
      </w:pPr>
      <w:r w:rsidRPr="00B536FE">
        <w:rPr>
          <w:noProof/>
        </w:rPr>
        <w:t xml:space="preserve">The proposal allocates fishing opportunities to Member States in accordance with the objectives and rules set out in the Basic Regulation as well as the outcome of multilateral or </w:t>
      </w:r>
      <w:r w:rsidRPr="00B536FE">
        <w:rPr>
          <w:noProof/>
        </w:rPr>
        <w:lastRenderedPageBreak/>
        <w:t xml:space="preserve">bilateral consultations with non-EU countries, including </w:t>
      </w:r>
      <w:r w:rsidR="00A156B8" w:rsidRPr="00B536FE">
        <w:rPr>
          <w:noProof/>
        </w:rPr>
        <w:t>in the context of regional fisheries management organisations (RFMOs)</w:t>
      </w:r>
      <w:r w:rsidRPr="00B536FE">
        <w:rPr>
          <w:noProof/>
        </w:rPr>
        <w:t xml:space="preserve">. </w:t>
      </w:r>
      <w:r w:rsidR="008A4A50" w:rsidRPr="00B536FE">
        <w:rPr>
          <w:noProof/>
        </w:rPr>
        <w:t>As a result, the fishing opportunities should be fixed on the basis of the best available scientific advice, taking into account biological and socio-economic considerations in mixed fisheries where possible.</w:t>
      </w:r>
    </w:p>
    <w:p w:rsidR="00D20D67" w:rsidRPr="00B536FE" w:rsidRDefault="00D20D67" w:rsidP="00A156B8">
      <w:pPr>
        <w:spacing w:before="0" w:after="240"/>
        <w:rPr>
          <w:noProof/>
        </w:rPr>
      </w:pPr>
      <w:r w:rsidRPr="00B536FE">
        <w:rPr>
          <w:noProof/>
        </w:rPr>
        <w:t>Pursuant to Article 16(6) and (7) and Article 17 of the Basic Regulation, Member States are to decide how the fishing opportunities available to them may be allocated to vessels flying their flag in accordance with certain criteria set out in those Articles. Therefore, Member States have the necessary margin of discretion when distributing the allocated quotas, in line with their preferred social/economic model for using the fishing opportunities available to them.</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Choice of the instrument</w:t>
      </w:r>
    </w:p>
    <w:p w:rsidR="00382895" w:rsidRPr="00B536FE" w:rsidRDefault="00302D0A" w:rsidP="00440DA8">
      <w:pPr>
        <w:rPr>
          <w:rFonts w:eastAsia="Arial Unicode MS"/>
          <w:noProof/>
        </w:rPr>
      </w:pPr>
      <w:r w:rsidRPr="00B536FE">
        <w:rPr>
          <w:noProof/>
        </w:rPr>
        <w:t xml:space="preserve">Given that the proposal amends an existing </w:t>
      </w:r>
      <w:r w:rsidR="00F1523B" w:rsidRPr="00B536FE">
        <w:rPr>
          <w:noProof/>
        </w:rPr>
        <w:t>r</w:t>
      </w:r>
      <w:r w:rsidR="00382895" w:rsidRPr="00B536FE">
        <w:rPr>
          <w:noProof/>
        </w:rPr>
        <w:t>egulation</w:t>
      </w:r>
      <w:r w:rsidR="00F1523B" w:rsidRPr="00B536FE">
        <w:rPr>
          <w:noProof/>
        </w:rPr>
        <w:t>, the most appropriate legal instrument is a regulation</w:t>
      </w:r>
      <w:r w:rsidR="00382895" w:rsidRPr="00B536FE">
        <w:rPr>
          <w:noProof/>
        </w:rPr>
        <w:t>.</w:t>
      </w:r>
    </w:p>
    <w:p w:rsidR="00382895" w:rsidRPr="00B536FE" w:rsidRDefault="00382895" w:rsidP="00440DA8">
      <w:pPr>
        <w:pStyle w:val="ManualHeading1"/>
        <w:rPr>
          <w:noProof/>
        </w:rPr>
      </w:pPr>
      <w:r w:rsidRPr="00B536FE">
        <w:rPr>
          <w:noProof/>
        </w:rPr>
        <w:t>3.</w:t>
      </w:r>
      <w:r w:rsidRPr="00B536FE">
        <w:rPr>
          <w:noProof/>
        </w:rPr>
        <w:tab/>
        <w:t xml:space="preserve">RESULTS OF </w:t>
      </w:r>
      <w:r w:rsidRPr="00B536FE">
        <w:rPr>
          <w:i/>
          <w:noProof/>
        </w:rPr>
        <w:t>EX</w:t>
      </w:r>
      <w:r w:rsidR="00655179" w:rsidRPr="00B536FE">
        <w:rPr>
          <w:i/>
          <w:noProof/>
        </w:rPr>
        <w:t xml:space="preserve"> </w:t>
      </w:r>
      <w:r w:rsidRPr="00B536FE">
        <w:rPr>
          <w:i/>
          <w:noProof/>
        </w:rPr>
        <w:t>POST</w:t>
      </w:r>
      <w:r w:rsidRPr="00B536FE">
        <w:rPr>
          <w:noProof/>
        </w:rPr>
        <w:t xml:space="preserve"> EVALUATIONS, STAKEHOLDER CONSULTATIONS AND IMPACT ASSESSMENTS</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Ex-post evaluations/fitness checks of existing legislation</w:t>
      </w:r>
    </w:p>
    <w:p w:rsidR="00382895" w:rsidRPr="00B536FE" w:rsidRDefault="00382895" w:rsidP="00440DA8">
      <w:pPr>
        <w:pBdr>
          <w:top w:val="nil"/>
          <w:left w:val="nil"/>
          <w:bottom w:val="nil"/>
          <w:right w:val="nil"/>
          <w:between w:val="nil"/>
          <w:bar w:val="nil"/>
        </w:pBdr>
        <w:spacing w:before="0" w:after="240"/>
        <w:rPr>
          <w:rFonts w:eastAsia="Arial Unicode MS"/>
          <w:noProof/>
        </w:rPr>
      </w:pPr>
      <w:r w:rsidRPr="00B536FE">
        <w:rPr>
          <w:noProof/>
        </w:rPr>
        <w:t>Not applicable.</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Stakeholder consultations</w:t>
      </w:r>
    </w:p>
    <w:p w:rsidR="008A4A50" w:rsidRPr="00B536FE" w:rsidRDefault="00790AA0" w:rsidP="00440DA8">
      <w:pPr>
        <w:rPr>
          <w:noProof/>
        </w:rPr>
      </w:pPr>
      <w:r w:rsidRPr="00B536FE">
        <w:rPr>
          <w:noProof/>
        </w:rPr>
        <w:t>The Commission has consulted stakeholders, in particular through the advisory councils, on the basis of its</w:t>
      </w:r>
      <w:r w:rsidR="00A156B8" w:rsidRPr="00B536FE">
        <w:rPr>
          <w:noProof/>
        </w:rPr>
        <w:t xml:space="preserve"> annual communication entitled</w:t>
      </w:r>
      <w:r w:rsidRPr="00B536FE">
        <w:rPr>
          <w:noProof/>
        </w:rPr>
        <w:t xml:space="preserve"> </w:t>
      </w:r>
      <w:r w:rsidR="00A156B8" w:rsidRPr="00B536FE">
        <w:rPr>
          <w:noProof/>
        </w:rPr>
        <w:t>‘</w:t>
      </w:r>
      <w:r w:rsidR="00A156B8" w:rsidRPr="00B536FE">
        <w:rPr>
          <w:i/>
          <w:iCs/>
          <w:noProof/>
        </w:rPr>
        <w:t>Sustainable fishing in the EU: state of play and orientations for 202</w:t>
      </w:r>
      <w:r w:rsidR="008A4A50" w:rsidRPr="00B536FE">
        <w:rPr>
          <w:i/>
          <w:iCs/>
          <w:noProof/>
        </w:rPr>
        <w:t>6</w:t>
      </w:r>
      <w:r w:rsidR="00A156B8" w:rsidRPr="00B536FE">
        <w:rPr>
          <w:i/>
          <w:iCs/>
          <w:noProof/>
        </w:rPr>
        <w:t>’</w:t>
      </w:r>
      <w:r w:rsidR="00A156B8" w:rsidRPr="00B536FE">
        <w:rPr>
          <w:noProof/>
        </w:rPr>
        <w:t xml:space="preserve"> (</w:t>
      </w:r>
      <w:r w:rsidR="008A4A50" w:rsidRPr="00B536FE">
        <w:rPr>
          <w:noProof/>
        </w:rPr>
        <w:t>COM(2025) 296 final</w:t>
      </w:r>
      <w:r w:rsidR="00A156B8" w:rsidRPr="00B536FE">
        <w:rPr>
          <w:noProof/>
        </w:rPr>
        <w:t>).</w:t>
      </w:r>
    </w:p>
    <w:p w:rsidR="00AD72C5" w:rsidRPr="00B536FE" w:rsidRDefault="008A4A50" w:rsidP="00440DA8">
      <w:pPr>
        <w:rPr>
          <w:noProof/>
        </w:rPr>
      </w:pPr>
      <w:r w:rsidRPr="00B536FE">
        <w:rPr>
          <w:noProof/>
        </w:rPr>
        <w:t>The responses to that annual communication set out their views on the Commission’s evaluation of the status of the resources and on the appropriate management response. The Commission considered those responses when formulating the proposal.</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Collection and use of expertise</w:t>
      </w:r>
    </w:p>
    <w:p w:rsidR="008A4A50" w:rsidRPr="00B536FE" w:rsidRDefault="00FE5725" w:rsidP="00FE5725">
      <w:pPr>
        <w:rPr>
          <w:noProof/>
        </w:rPr>
      </w:pPr>
      <w:r w:rsidRPr="00B536FE">
        <w:rPr>
          <w:noProof/>
        </w:rPr>
        <w:t>International Council for the Exploration of the Sea (ICES)</w:t>
      </w:r>
      <w:r w:rsidR="00743B4F">
        <w:rPr>
          <w:noProof/>
        </w:rPr>
        <w:t xml:space="preserve"> </w:t>
      </w:r>
      <w:r w:rsidRPr="00B536FE">
        <w:rPr>
          <w:noProof/>
        </w:rPr>
        <w:t>expert groups and decision-making bodies have developed a framework for ICES scientific advice. That framework is based on the best available science and peer reviewed by independent experts. ICES scientific advice is issued on the basis of that framework and with a view to allow the implementation of the objectives and rules of the Basic Regulation, as requested by the Commission.</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Impact assessment</w:t>
      </w:r>
    </w:p>
    <w:p w:rsidR="0075565C" w:rsidRPr="00B536FE" w:rsidRDefault="68A0268C" w:rsidP="00440DA8">
      <w:pPr>
        <w:rPr>
          <w:noProof/>
        </w:rPr>
      </w:pPr>
      <w:r w:rsidRPr="00B536FE">
        <w:rPr>
          <w:noProof/>
        </w:rPr>
        <w:t xml:space="preserve">The scope of </w:t>
      </w:r>
      <w:r w:rsidR="007214DD" w:rsidRPr="00B536FE">
        <w:rPr>
          <w:noProof/>
        </w:rPr>
        <w:t xml:space="preserve">the </w:t>
      </w:r>
      <w:r w:rsidR="00D638B3" w:rsidRPr="00B536FE">
        <w:rPr>
          <w:noProof/>
        </w:rPr>
        <w:t xml:space="preserve">proposal </w:t>
      </w:r>
      <w:r w:rsidRPr="00B536FE">
        <w:rPr>
          <w:noProof/>
        </w:rPr>
        <w:t>is circumscribed by Article 43(3) of the TFEU.</w:t>
      </w:r>
    </w:p>
    <w:p w:rsidR="00A156B8" w:rsidRPr="00B536FE" w:rsidRDefault="00A156B8" w:rsidP="00A156B8">
      <w:pPr>
        <w:spacing w:before="0" w:after="240"/>
        <w:rPr>
          <w:noProof/>
        </w:rPr>
      </w:pPr>
      <w:r w:rsidRPr="00B536FE">
        <w:rPr>
          <w:noProof/>
        </w:rPr>
        <w:t>This proposal seeks to avoid short-term approaches in favour of long-term sustainability. It takes account of initiatives by stakeholders and advisory councils if they have been positively reviewed by ICES. The Commission’s CFP reform proposal was based on an impact assessment (SEC(2011) 891) that considered that while achieving the MSY objective was a necessary condition for environmental, economic and social sustainability, those three objectives cannot be achieved in isolation.</w:t>
      </w:r>
    </w:p>
    <w:p w:rsidR="00A156B8" w:rsidRPr="00B536FE" w:rsidRDefault="00A156B8" w:rsidP="00A156B8">
      <w:pPr>
        <w:pBdr>
          <w:top w:val="nil"/>
          <w:left w:val="nil"/>
          <w:bottom w:val="nil"/>
          <w:right w:val="nil"/>
          <w:between w:val="nil"/>
          <w:bar w:val="nil"/>
        </w:pBdr>
        <w:spacing w:before="0" w:after="240"/>
        <w:rPr>
          <w:noProof/>
        </w:rPr>
      </w:pPr>
      <w:r w:rsidRPr="00B536FE">
        <w:rPr>
          <w:noProof/>
        </w:rPr>
        <w:t xml:space="preserve">As regards fishing opportunities for RFMOs stocks and for stocks jointly managed with non-EU countries, this proposal essentially implements internationally agreed measures. Any aspects that are relevant to assessing possible impacts of the fishing opportunities are dealt </w:t>
      </w:r>
      <w:r w:rsidRPr="00B536FE">
        <w:rPr>
          <w:noProof/>
        </w:rPr>
        <w:lastRenderedPageBreak/>
        <w:t>with in the preparation and conduct of international negotiations in which the EU’s fishing opportunities are agreed with non-EU countries.</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Regulatory fitness and simplification</w:t>
      </w:r>
    </w:p>
    <w:p w:rsidR="00382895" w:rsidRPr="00B536FE" w:rsidRDefault="00FB2BDF" w:rsidP="00440DA8">
      <w:pPr>
        <w:rPr>
          <w:rFonts w:eastAsia="Arial Unicode MS"/>
          <w:noProof/>
        </w:rPr>
      </w:pPr>
      <w:r w:rsidRPr="00B536FE">
        <w:rPr>
          <w:noProof/>
        </w:rPr>
        <w:t>Not applicable.</w:t>
      </w:r>
    </w:p>
    <w:p w:rsidR="00382895" w:rsidRPr="00B536FE" w:rsidRDefault="00382895" w:rsidP="00440DA8">
      <w:pPr>
        <w:pStyle w:val="ManualHeading2"/>
        <w:rPr>
          <w:rFonts w:eastAsia="Arial Unicode MS"/>
          <w:noProof/>
          <w:u w:color="000000"/>
          <w:bdr w:val="nil"/>
          <w:lang w:val="en-US" w:eastAsia="en-GB"/>
        </w:rPr>
      </w:pPr>
      <w:r w:rsidRPr="00B536FE">
        <w:rPr>
          <w:rFonts w:eastAsia="Arial Unicode MS"/>
          <w:noProof/>
          <w:u w:color="000000"/>
          <w:bdr w:val="nil"/>
          <w:lang w:val="en-US" w:eastAsia="en-GB"/>
        </w:rPr>
        <w:t>•</w:t>
      </w:r>
      <w:r w:rsidRPr="00B536FE">
        <w:rPr>
          <w:rFonts w:eastAsia="Arial Unicode MS"/>
          <w:noProof/>
          <w:u w:color="000000"/>
          <w:bdr w:val="nil"/>
          <w:lang w:val="en-US" w:eastAsia="en-GB"/>
        </w:rPr>
        <w:tab/>
        <w:t>Fundamental rights</w:t>
      </w:r>
    </w:p>
    <w:p w:rsidR="00382895" w:rsidRPr="00B536FE" w:rsidRDefault="00A156B8" w:rsidP="00440DA8">
      <w:pPr>
        <w:pBdr>
          <w:top w:val="nil"/>
          <w:left w:val="nil"/>
          <w:bottom w:val="nil"/>
          <w:right w:val="nil"/>
          <w:between w:val="nil"/>
          <w:bar w:val="nil"/>
        </w:pBdr>
        <w:spacing w:before="0" w:after="240"/>
        <w:rPr>
          <w:rFonts w:eastAsia="Arial Unicode MS"/>
          <w:noProof/>
        </w:rPr>
      </w:pPr>
      <w:r w:rsidRPr="00B536FE">
        <w:rPr>
          <w:noProof/>
        </w:rPr>
        <w:t>The proposal complies with fundamental rights and in particular those recognised by the Charter of Fundamental Rights of the European Union</w:t>
      </w:r>
      <w:r w:rsidR="00272449" w:rsidRPr="00B536FE">
        <w:rPr>
          <w:noProof/>
        </w:rPr>
        <w:t>.</w:t>
      </w:r>
    </w:p>
    <w:p w:rsidR="00382895" w:rsidRPr="00B536FE" w:rsidRDefault="00382895" w:rsidP="00440DA8">
      <w:pPr>
        <w:pStyle w:val="ManualHeading1"/>
        <w:rPr>
          <w:noProof/>
        </w:rPr>
      </w:pPr>
      <w:r w:rsidRPr="00B536FE">
        <w:rPr>
          <w:noProof/>
        </w:rPr>
        <w:t>4.</w:t>
      </w:r>
      <w:r w:rsidRPr="00B536FE">
        <w:rPr>
          <w:noProof/>
        </w:rPr>
        <w:tab/>
        <w:t>BUDGETARY IMPLICATIONS</w:t>
      </w:r>
    </w:p>
    <w:p w:rsidR="00382895" w:rsidRPr="00B536FE" w:rsidRDefault="00382895" w:rsidP="00440DA8">
      <w:pPr>
        <w:rPr>
          <w:rFonts w:eastAsia="Arial Unicode MS"/>
          <w:noProof/>
        </w:rPr>
      </w:pPr>
      <w:r w:rsidRPr="00B536FE">
        <w:rPr>
          <w:noProof/>
        </w:rPr>
        <w:t>The proposed measures will have no budgetary implications.</w:t>
      </w:r>
    </w:p>
    <w:p w:rsidR="00304948" w:rsidRPr="00B536FE" w:rsidRDefault="00382895" w:rsidP="00440DA8">
      <w:pPr>
        <w:pStyle w:val="ManualHeading1"/>
        <w:rPr>
          <w:noProof/>
        </w:rPr>
      </w:pPr>
      <w:r w:rsidRPr="00B536FE">
        <w:rPr>
          <w:noProof/>
        </w:rPr>
        <w:t>5.</w:t>
      </w:r>
      <w:r w:rsidRPr="00B536FE">
        <w:rPr>
          <w:noProof/>
        </w:rPr>
        <w:tab/>
        <w:t>OTHER ELEMENTS</w:t>
      </w:r>
    </w:p>
    <w:p w:rsidR="007666CC" w:rsidRPr="00B536FE" w:rsidRDefault="00AD72C5" w:rsidP="00440DA8">
      <w:pPr>
        <w:pStyle w:val="Text1"/>
        <w:ind w:left="0"/>
        <w:rPr>
          <w:rFonts w:eastAsia="Arial Unicode MS"/>
          <w:b/>
          <w:noProof/>
          <w:u w:color="000000"/>
          <w:bdr w:val="nil"/>
          <w:lang w:val="en-US" w:eastAsia="en-GB"/>
        </w:rPr>
      </w:pPr>
      <w:r w:rsidRPr="00B536FE">
        <w:rPr>
          <w:rFonts w:eastAsia="Arial Unicode MS"/>
          <w:b/>
          <w:noProof/>
          <w:u w:color="000000"/>
          <w:bdr w:val="nil"/>
          <w:lang w:val="en-US" w:eastAsia="en-GB"/>
        </w:rPr>
        <w:t>•</w:t>
      </w:r>
      <w:r w:rsidRPr="00B536FE">
        <w:rPr>
          <w:rFonts w:eastAsia="Arial Unicode MS"/>
          <w:b/>
          <w:noProof/>
          <w:u w:color="000000"/>
          <w:bdr w:val="nil"/>
          <w:lang w:val="en-US" w:eastAsia="en-GB"/>
        </w:rPr>
        <w:tab/>
        <w:t xml:space="preserve">Detailed explanation of the specific provisions of the proposal </w:t>
      </w:r>
    </w:p>
    <w:p w:rsidR="00E14D73" w:rsidRPr="00B536FE" w:rsidRDefault="00AD72C5" w:rsidP="00440DA8">
      <w:pPr>
        <w:pStyle w:val="Text1"/>
        <w:ind w:left="0"/>
        <w:rPr>
          <w:rFonts w:eastAsia="Arial Unicode MS"/>
          <w:noProof/>
          <w:u w:color="000000"/>
          <w:bdr w:val="nil"/>
          <w:lang w:val="en-US" w:eastAsia="en-GB"/>
        </w:rPr>
      </w:pPr>
      <w:r w:rsidRPr="00B536FE">
        <w:rPr>
          <w:rFonts w:eastAsia="Arial Unicode MS"/>
          <w:noProof/>
          <w:u w:color="000000"/>
          <w:bdr w:val="nil"/>
          <w:lang w:val="en-US" w:eastAsia="en-GB"/>
        </w:rPr>
        <w:t>The propos</w:t>
      </w:r>
      <w:r w:rsidR="00AC471A" w:rsidRPr="00B536FE">
        <w:rPr>
          <w:rFonts w:eastAsia="Arial Unicode MS"/>
          <w:noProof/>
          <w:u w:color="000000"/>
          <w:bdr w:val="nil"/>
          <w:lang w:val="en-US" w:eastAsia="en-GB"/>
        </w:rPr>
        <w:t>al</w:t>
      </w:r>
      <w:r w:rsidRPr="00B536FE">
        <w:rPr>
          <w:rFonts w:eastAsia="Arial Unicode MS"/>
          <w:noProof/>
          <w:u w:color="000000"/>
          <w:bdr w:val="nil"/>
          <w:lang w:val="en-US" w:eastAsia="en-GB"/>
        </w:rPr>
        <w:t xml:space="preserve"> seek</w:t>
      </w:r>
      <w:r w:rsidR="00AC471A" w:rsidRPr="00B536FE">
        <w:rPr>
          <w:rFonts w:eastAsia="Arial Unicode MS"/>
          <w:noProof/>
          <w:u w:color="000000"/>
          <w:bdr w:val="nil"/>
          <w:lang w:val="en-US" w:eastAsia="en-GB"/>
        </w:rPr>
        <w:t>s</w:t>
      </w:r>
      <w:r w:rsidRPr="00B536FE">
        <w:rPr>
          <w:rFonts w:eastAsia="Arial Unicode MS"/>
          <w:noProof/>
          <w:u w:color="000000"/>
          <w:bdr w:val="nil"/>
          <w:lang w:val="en-US" w:eastAsia="en-GB"/>
        </w:rPr>
        <w:t xml:space="preserve"> to </w:t>
      </w:r>
      <w:r w:rsidR="009716F5" w:rsidRPr="00B536FE">
        <w:rPr>
          <w:rFonts w:eastAsia="Arial Unicode MS"/>
          <w:noProof/>
          <w:u w:color="000000"/>
          <w:bdr w:val="nil"/>
          <w:lang w:val="en-US" w:eastAsia="en-GB"/>
        </w:rPr>
        <w:t xml:space="preserve">amend </w:t>
      </w:r>
      <w:r w:rsidR="00AD4DD1" w:rsidRPr="00B536FE">
        <w:rPr>
          <w:rFonts w:eastAsia="Arial Unicode MS"/>
          <w:noProof/>
          <w:u w:color="000000"/>
          <w:bdr w:val="nil"/>
          <w:lang w:val="en-US" w:eastAsia="en-GB"/>
        </w:rPr>
        <w:t xml:space="preserve">Council </w:t>
      </w:r>
      <w:r w:rsidRPr="00B536FE">
        <w:rPr>
          <w:rFonts w:eastAsia="Arial Unicode MS"/>
          <w:noProof/>
          <w:u w:color="000000"/>
          <w:bdr w:val="nil"/>
          <w:lang w:val="en-US" w:eastAsia="en-GB"/>
        </w:rPr>
        <w:t>Regulation (EU) 202</w:t>
      </w:r>
      <w:r w:rsidR="008A4A50" w:rsidRPr="00B536FE">
        <w:rPr>
          <w:rFonts w:eastAsia="Arial Unicode MS"/>
          <w:noProof/>
          <w:u w:color="000000"/>
          <w:bdr w:val="nil"/>
          <w:lang w:val="en-US" w:eastAsia="en-GB"/>
        </w:rPr>
        <w:t>6</w:t>
      </w:r>
      <w:r w:rsidR="00790AA0" w:rsidRPr="00B536FE">
        <w:rPr>
          <w:rFonts w:eastAsia="Arial Unicode MS"/>
          <w:noProof/>
          <w:u w:color="000000"/>
          <w:bdr w:val="nil"/>
          <w:lang w:val="en-US" w:eastAsia="en-GB"/>
        </w:rPr>
        <w:t>/</w:t>
      </w:r>
      <w:r w:rsidR="00A56915" w:rsidRPr="00B536FE">
        <w:rPr>
          <w:rFonts w:eastAsia="Arial Unicode MS"/>
          <w:noProof/>
          <w:u w:color="000000"/>
          <w:bdr w:val="nil"/>
          <w:lang w:val="en-US" w:eastAsia="en-GB"/>
        </w:rPr>
        <w:t>249</w:t>
      </w:r>
      <w:r w:rsidR="00A156B8" w:rsidRPr="00B536FE">
        <w:rPr>
          <w:rFonts w:eastAsia="Arial Unicode MS"/>
          <w:noProof/>
          <w:u w:color="000000"/>
          <w:bdr w:val="nil"/>
          <w:lang w:val="en-US" w:eastAsia="en-GB"/>
        </w:rPr>
        <w:t xml:space="preserve"> </w:t>
      </w:r>
      <w:r w:rsidRPr="00B536FE">
        <w:rPr>
          <w:rFonts w:eastAsia="Arial Unicode MS"/>
          <w:noProof/>
          <w:u w:color="000000"/>
          <w:bdr w:val="nil"/>
          <w:lang w:val="en-US" w:eastAsia="en-GB"/>
        </w:rPr>
        <w:t xml:space="preserve">as described below. </w:t>
      </w:r>
    </w:p>
    <w:p w:rsidR="007749CE" w:rsidRPr="00B536FE" w:rsidRDefault="007749CE" w:rsidP="007749CE">
      <w:pPr>
        <w:pBdr>
          <w:top w:val="nil"/>
          <w:left w:val="nil"/>
          <w:bottom w:val="nil"/>
          <w:right w:val="nil"/>
          <w:between w:val="nil"/>
          <w:bar w:val="nil"/>
        </w:pBdr>
        <w:spacing w:before="240" w:after="240"/>
        <w:rPr>
          <w:b/>
          <w:bCs/>
          <w:noProof/>
          <w:lang w:val="en-IE"/>
        </w:rPr>
      </w:pPr>
      <w:r w:rsidRPr="00B536FE">
        <w:rPr>
          <w:b/>
          <w:bCs/>
          <w:noProof/>
          <w:lang w:val="en-IE"/>
        </w:rPr>
        <w:t>Remedial measur</w:t>
      </w:r>
      <w:r w:rsidRPr="00B536FE">
        <w:rPr>
          <w:b/>
          <w:noProof/>
          <w:lang w:val="en-IE"/>
        </w:rPr>
        <w:t xml:space="preserve">es </w:t>
      </w:r>
      <w:r w:rsidRPr="00B536FE">
        <w:rPr>
          <w:b/>
          <w:bCs/>
          <w:noProof/>
          <w:lang w:val="en-IE"/>
        </w:rPr>
        <w:t>agreed with the UK</w:t>
      </w:r>
    </w:p>
    <w:p w:rsidR="00997912" w:rsidRPr="00B536FE" w:rsidRDefault="00997912" w:rsidP="00997912">
      <w:pPr>
        <w:pBdr>
          <w:top w:val="nil"/>
          <w:left w:val="nil"/>
          <w:bottom w:val="nil"/>
          <w:right w:val="nil"/>
          <w:between w:val="nil"/>
          <w:bar w:val="nil"/>
        </w:pBdr>
        <w:spacing w:before="240" w:after="240"/>
        <w:rPr>
          <w:noProof/>
        </w:rPr>
      </w:pPr>
      <w:r w:rsidRPr="00B536FE">
        <w:rPr>
          <w:noProof/>
        </w:rPr>
        <w:t>In 2025, the Union and the United Kingdom (UK) held bilateral consultations on the setting of a large number of total allowable catches (TACs) for 2026, including certain measures functionally linked to those TACs, for stocks listed in Annex 35 to the Trade and Cooperation Agreement</w:t>
      </w:r>
      <w:r w:rsidRPr="00B536FE">
        <w:rPr>
          <w:rFonts w:eastAsia="Calibri"/>
          <w:noProof/>
        </w:rPr>
        <w:t xml:space="preserve"> between the European Union and the European Atomic Energy Community, of the one part, and the United Kingdom of Great Britain and Northern Ireland, of the other part</w:t>
      </w:r>
      <w:r w:rsidRPr="00A142A4">
        <w:rPr>
          <w:rStyle w:val="FootnoteReference"/>
          <w:noProof/>
        </w:rPr>
        <w:footnoteReference w:id="5"/>
      </w:r>
      <w:r w:rsidRPr="00B536FE">
        <w:rPr>
          <w:noProof/>
          <w:vertAlign w:val="superscript"/>
        </w:rPr>
        <w:t xml:space="preserve"> </w:t>
      </w:r>
      <w:r w:rsidRPr="00B536FE">
        <w:rPr>
          <w:rFonts w:eastAsia="Calibri"/>
          <w:noProof/>
        </w:rPr>
        <w:t>(‘Trade and Cooperation Agreement’)</w:t>
      </w:r>
      <w:r w:rsidRPr="00B536FE">
        <w:rPr>
          <w:noProof/>
        </w:rPr>
        <w:t>. The outcome of the consultations was documented in a written record</w:t>
      </w:r>
      <w:r w:rsidR="00541874" w:rsidRPr="00A142A4">
        <w:rPr>
          <w:rStyle w:val="FootnoteReference"/>
          <w:noProof/>
        </w:rPr>
        <w:footnoteReference w:id="6"/>
      </w:r>
      <w:r w:rsidRPr="00B536FE">
        <w:rPr>
          <w:noProof/>
        </w:rPr>
        <w:t xml:space="preserve"> signed by the Heads of Delegation on 10 December 2025. </w:t>
      </w:r>
    </w:p>
    <w:p w:rsidR="00997912" w:rsidRPr="00B536FE" w:rsidRDefault="00997912" w:rsidP="00997912">
      <w:pPr>
        <w:pBdr>
          <w:top w:val="nil"/>
          <w:left w:val="nil"/>
          <w:bottom w:val="nil"/>
          <w:right w:val="nil"/>
          <w:between w:val="nil"/>
          <w:bar w:val="nil"/>
        </w:pBdr>
        <w:spacing w:before="240" w:after="240"/>
        <w:rPr>
          <w:noProof/>
        </w:rPr>
      </w:pPr>
      <w:r w:rsidRPr="00B536FE">
        <w:rPr>
          <w:noProof/>
        </w:rPr>
        <w:t xml:space="preserve">As documented in the written record, </w:t>
      </w:r>
      <w:r w:rsidRPr="00B536FE">
        <w:rPr>
          <w:noProof/>
          <w:lang w:val="en-US"/>
        </w:rPr>
        <w:t xml:space="preserve">the Heads of Delegation agreed to recommend to their respective authorities that the </w:t>
      </w:r>
      <w:r w:rsidRPr="00B536FE">
        <w:rPr>
          <w:noProof/>
        </w:rPr>
        <w:t xml:space="preserve">remedial measures for cod, haddock and whiting in the Celtic Sea and Irish Sea and </w:t>
      </w:r>
      <w:r w:rsidR="00443D38" w:rsidRPr="00B536FE">
        <w:rPr>
          <w:noProof/>
        </w:rPr>
        <w:t xml:space="preserve">for </w:t>
      </w:r>
      <w:r w:rsidRPr="00B536FE">
        <w:rPr>
          <w:noProof/>
        </w:rPr>
        <w:t>sole and plaice in the Channel should start applying, in principle, no later than 1 June 2026, in both parties</w:t>
      </w:r>
      <w:r w:rsidR="001D51D8">
        <w:rPr>
          <w:noProof/>
        </w:rPr>
        <w:t xml:space="preserve"> </w:t>
      </w:r>
      <w:r w:rsidRPr="00B536FE">
        <w:rPr>
          <w:noProof/>
        </w:rPr>
        <w:t xml:space="preserve">alike </w:t>
      </w:r>
      <w:r w:rsidR="00541874" w:rsidRPr="00B536FE">
        <w:rPr>
          <w:noProof/>
        </w:rPr>
        <w:t xml:space="preserve">to </w:t>
      </w:r>
      <w:r w:rsidRPr="00B536FE">
        <w:rPr>
          <w:noProof/>
        </w:rPr>
        <w:t xml:space="preserve">ensure level playing field as the stocks in question are jointly managed. </w:t>
      </w:r>
      <w:r w:rsidR="00443D38" w:rsidRPr="00B536FE">
        <w:rPr>
          <w:noProof/>
        </w:rPr>
        <w:t xml:space="preserve">That </w:t>
      </w:r>
      <w:r w:rsidRPr="00B536FE">
        <w:rPr>
          <w:noProof/>
        </w:rPr>
        <w:t>would be subject to the Parties having notified the completion of their respective internal procedures required for the</w:t>
      </w:r>
      <w:r w:rsidR="00443D38" w:rsidRPr="00B536FE">
        <w:rPr>
          <w:noProof/>
        </w:rPr>
        <w:t xml:space="preserve"> </w:t>
      </w:r>
      <w:r w:rsidRPr="00B536FE">
        <w:rPr>
          <w:noProof/>
        </w:rPr>
        <w:t>adoption</w:t>
      </w:r>
      <w:r w:rsidR="00443D38" w:rsidRPr="00B536FE">
        <w:rPr>
          <w:noProof/>
        </w:rPr>
        <w:t xml:space="preserve"> of those remedial measures</w:t>
      </w:r>
      <w:r w:rsidRPr="00B536FE">
        <w:rPr>
          <w:noProof/>
        </w:rPr>
        <w:t xml:space="preserve">, considering that legislative procedures may be required in the UK side for the entry into force of some of the measures in question. The UK has informed the Commission services that the completion of its internal procedures for the adoption of some of </w:t>
      </w:r>
      <w:r w:rsidR="00443D38" w:rsidRPr="00B536FE">
        <w:rPr>
          <w:noProof/>
        </w:rPr>
        <w:t>those</w:t>
      </w:r>
      <w:r w:rsidRPr="00B536FE">
        <w:rPr>
          <w:noProof/>
        </w:rPr>
        <w:t xml:space="preserve"> remedial measures in UK law is still pending. </w:t>
      </w:r>
    </w:p>
    <w:p w:rsidR="00073CBD" w:rsidRPr="00B536FE" w:rsidRDefault="00997912" w:rsidP="00997912">
      <w:pPr>
        <w:pBdr>
          <w:top w:val="nil"/>
          <w:left w:val="nil"/>
          <w:bottom w:val="nil"/>
          <w:right w:val="nil"/>
          <w:between w:val="nil"/>
          <w:bar w:val="nil"/>
        </w:pBdr>
        <w:spacing w:before="240" w:after="240"/>
        <w:rPr>
          <w:noProof/>
          <w:lang w:val="en-IE"/>
        </w:rPr>
      </w:pPr>
      <w:r w:rsidRPr="00B536FE">
        <w:rPr>
          <w:noProof/>
        </w:rPr>
        <w:t>The remedial measures agreed for cod, haddock and whiting in the Celtic Sea will enter into force on 1 June, as currently established in Article 62</w:t>
      </w:r>
      <w:r w:rsidR="00BC5012" w:rsidRPr="00B536FE">
        <w:rPr>
          <w:noProof/>
        </w:rPr>
        <w:t>(2)</w:t>
      </w:r>
      <w:r w:rsidRPr="00B536FE">
        <w:rPr>
          <w:noProof/>
        </w:rPr>
        <w:t>(d) of Regulation 2026/249.</w:t>
      </w:r>
      <w:r w:rsidRPr="00B536FE">
        <w:rPr>
          <w:noProof/>
          <w:lang w:val="en-IE"/>
        </w:rPr>
        <w:t xml:space="preserve"> </w:t>
      </w:r>
    </w:p>
    <w:p w:rsidR="00997912" w:rsidRPr="00B536FE" w:rsidRDefault="00997912" w:rsidP="00997912">
      <w:pPr>
        <w:pBdr>
          <w:top w:val="nil"/>
          <w:left w:val="nil"/>
          <w:bottom w:val="nil"/>
          <w:right w:val="nil"/>
          <w:between w:val="nil"/>
          <w:bar w:val="nil"/>
        </w:pBdr>
        <w:spacing w:before="240" w:after="240"/>
        <w:rPr>
          <w:noProof/>
          <w:lang w:val="en-IE"/>
        </w:rPr>
      </w:pPr>
      <w:r w:rsidRPr="00B536FE">
        <w:rPr>
          <w:noProof/>
        </w:rPr>
        <w:t xml:space="preserve">The remedial measures agreed for cod and whiting in the Irish Sea and </w:t>
      </w:r>
      <w:r w:rsidR="00443D38" w:rsidRPr="00B536FE">
        <w:rPr>
          <w:noProof/>
        </w:rPr>
        <w:t xml:space="preserve">for </w:t>
      </w:r>
      <w:r w:rsidRPr="00B536FE">
        <w:rPr>
          <w:noProof/>
        </w:rPr>
        <w:t xml:space="preserve">sole and plaice in the Channel will enter into force in EU and UK waters once the UK has notified the date of completion of </w:t>
      </w:r>
      <w:r w:rsidR="00443D38" w:rsidRPr="00B536FE">
        <w:rPr>
          <w:noProof/>
        </w:rPr>
        <w:t xml:space="preserve">its </w:t>
      </w:r>
      <w:r w:rsidRPr="00B536FE">
        <w:rPr>
          <w:noProof/>
        </w:rPr>
        <w:t>internal procedures</w:t>
      </w:r>
      <w:r w:rsidR="00443D38" w:rsidRPr="00B536FE">
        <w:rPr>
          <w:noProof/>
        </w:rPr>
        <w:t xml:space="preserve"> for adoption of the </w:t>
      </w:r>
      <w:r w:rsidR="003626A8" w:rsidRPr="00B536FE">
        <w:rPr>
          <w:noProof/>
        </w:rPr>
        <w:t xml:space="preserve">relevant </w:t>
      </w:r>
      <w:r w:rsidR="00443D38" w:rsidRPr="00B536FE">
        <w:rPr>
          <w:noProof/>
        </w:rPr>
        <w:t>measures</w:t>
      </w:r>
      <w:r w:rsidRPr="00B536FE">
        <w:rPr>
          <w:noProof/>
        </w:rPr>
        <w:t>.</w:t>
      </w:r>
      <w:r w:rsidR="00073CBD" w:rsidRPr="00B536FE">
        <w:rPr>
          <w:noProof/>
        </w:rPr>
        <w:t xml:space="preserve"> </w:t>
      </w:r>
      <w:r w:rsidRPr="00B536FE">
        <w:rPr>
          <w:noProof/>
        </w:rPr>
        <w:t xml:space="preserve">Pending more </w:t>
      </w:r>
      <w:r w:rsidRPr="00B536FE">
        <w:rPr>
          <w:noProof/>
        </w:rPr>
        <w:lastRenderedPageBreak/>
        <w:t xml:space="preserve">concrete information by the UK on the expected completion of its relevant internal procedures </w:t>
      </w:r>
      <w:bookmarkStart w:id="1" w:name="_Hlk222903465"/>
      <w:r w:rsidRPr="00B536FE">
        <w:rPr>
          <w:noProof/>
        </w:rPr>
        <w:t xml:space="preserve">for adoption of </w:t>
      </w:r>
      <w:r w:rsidR="00902618" w:rsidRPr="00B536FE">
        <w:rPr>
          <w:noProof/>
        </w:rPr>
        <w:t>the measures</w:t>
      </w:r>
      <w:bookmarkEnd w:id="1"/>
      <w:r w:rsidRPr="00B536FE">
        <w:rPr>
          <w:noProof/>
        </w:rPr>
        <w:t xml:space="preserve">, the starting date of application for the remedial measures for cod and whiting in the Irish Sea and </w:t>
      </w:r>
      <w:r w:rsidR="00443D38" w:rsidRPr="00B536FE">
        <w:rPr>
          <w:noProof/>
        </w:rPr>
        <w:t xml:space="preserve">for </w:t>
      </w:r>
      <w:r w:rsidRPr="00B536FE">
        <w:rPr>
          <w:noProof/>
        </w:rPr>
        <w:t>sole and plaice in the Channel is marked ‘pm’ (</w:t>
      </w:r>
      <w:r w:rsidRPr="00B536FE">
        <w:rPr>
          <w:i/>
          <w:iCs/>
          <w:noProof/>
        </w:rPr>
        <w:t>pro memoria</w:t>
      </w:r>
      <w:r w:rsidRPr="00B536FE">
        <w:rPr>
          <w:noProof/>
        </w:rPr>
        <w:t xml:space="preserve">) in this proposal. </w:t>
      </w:r>
      <w:r w:rsidRPr="00B536FE">
        <w:rPr>
          <w:noProof/>
          <w:lang w:val="en-IE"/>
        </w:rPr>
        <w:t>As soon as that information is received from the UK, the Commission services will update the proposal by means of a non-paper proposing a starting date of application for those measures on or after 1 June 2026, which is the start date of application established by Regulation (EU) 2026/249.</w:t>
      </w:r>
    </w:p>
    <w:p w:rsidR="00D62121" w:rsidRPr="00B536FE" w:rsidRDefault="00D62121" w:rsidP="000F5FD1">
      <w:pPr>
        <w:pBdr>
          <w:top w:val="nil"/>
          <w:left w:val="nil"/>
          <w:bottom w:val="nil"/>
          <w:right w:val="nil"/>
          <w:between w:val="nil"/>
          <w:bar w:val="nil"/>
        </w:pBdr>
        <w:spacing w:before="240" w:after="240"/>
        <w:rPr>
          <w:b/>
          <w:bCs/>
          <w:noProof/>
          <w:lang w:val="en-IE"/>
        </w:rPr>
      </w:pPr>
      <w:r w:rsidRPr="00B536FE">
        <w:rPr>
          <w:b/>
          <w:bCs/>
          <w:noProof/>
          <w:lang w:val="en-IE"/>
        </w:rPr>
        <w:t>Sandeel</w:t>
      </w:r>
      <w:r w:rsidR="00C63317" w:rsidRPr="00B536FE">
        <w:rPr>
          <w:b/>
          <w:bCs/>
          <w:noProof/>
          <w:lang w:val="en-IE"/>
        </w:rPr>
        <w:t xml:space="preserve"> in the North Sea</w:t>
      </w:r>
    </w:p>
    <w:p w:rsidR="00D62121" w:rsidRPr="00B536FE" w:rsidRDefault="00D62121" w:rsidP="00440DA8">
      <w:pPr>
        <w:rPr>
          <w:noProof/>
          <w:lang w:val="en-IE"/>
        </w:rPr>
      </w:pPr>
      <w:r w:rsidRPr="00B536FE">
        <w:rPr>
          <w:noProof/>
          <w:lang w:val="en-IE"/>
        </w:rPr>
        <w:t xml:space="preserve">Regulation (EU) </w:t>
      </w:r>
      <w:r w:rsidR="007C6565" w:rsidRPr="00B536FE">
        <w:rPr>
          <w:noProof/>
          <w:lang w:val="en-IE"/>
        </w:rPr>
        <w:t>202</w:t>
      </w:r>
      <w:r w:rsidR="00FE5725" w:rsidRPr="00B536FE">
        <w:rPr>
          <w:noProof/>
          <w:lang w:val="en-IE"/>
        </w:rPr>
        <w:t>6</w:t>
      </w:r>
      <w:r w:rsidR="007C6565" w:rsidRPr="00B536FE">
        <w:rPr>
          <w:noProof/>
          <w:lang w:val="en-IE"/>
        </w:rPr>
        <w:t>/</w:t>
      </w:r>
      <w:r w:rsidR="00A56915" w:rsidRPr="00B536FE">
        <w:rPr>
          <w:noProof/>
          <w:lang w:val="en-IE"/>
        </w:rPr>
        <w:t>49</w:t>
      </w:r>
      <w:r w:rsidRPr="00B536FE">
        <w:rPr>
          <w:noProof/>
          <w:lang w:val="en-IE"/>
        </w:rPr>
        <w:t xml:space="preserve"> </w:t>
      </w:r>
      <w:r w:rsidR="00FC37FA" w:rsidRPr="00B536FE">
        <w:rPr>
          <w:noProof/>
          <w:lang w:val="en-IE"/>
        </w:rPr>
        <w:t xml:space="preserve">provisionally </w:t>
      </w:r>
      <w:r w:rsidR="002113C8" w:rsidRPr="00B536FE">
        <w:rPr>
          <w:noProof/>
          <w:lang w:val="en-IE"/>
        </w:rPr>
        <w:t>marked as ‘to be established’</w:t>
      </w:r>
      <w:r w:rsidRPr="00B536FE">
        <w:rPr>
          <w:noProof/>
          <w:lang w:val="en-IE"/>
        </w:rPr>
        <w:t xml:space="preserve"> the</w:t>
      </w:r>
      <w:r w:rsidR="00FE27FD" w:rsidRPr="00B536FE">
        <w:rPr>
          <w:noProof/>
          <w:lang w:val="en-IE"/>
        </w:rPr>
        <w:t xml:space="preserve"> </w:t>
      </w:r>
      <w:r w:rsidRPr="00B536FE">
        <w:rPr>
          <w:noProof/>
          <w:lang w:val="en-IE"/>
        </w:rPr>
        <w:t>TAC for sandeel and associated by-catches (</w:t>
      </w:r>
      <w:r w:rsidRPr="00B536FE">
        <w:rPr>
          <w:i/>
          <w:iCs/>
          <w:noProof/>
          <w:lang w:val="en-IE"/>
        </w:rPr>
        <w:t xml:space="preserve">Ammodytes </w:t>
      </w:r>
      <w:r w:rsidRPr="00B536FE">
        <w:rPr>
          <w:noProof/>
          <w:lang w:val="en-IE"/>
        </w:rPr>
        <w:t>spp</w:t>
      </w:r>
      <w:r w:rsidRPr="00B536FE">
        <w:rPr>
          <w:i/>
          <w:iCs/>
          <w:noProof/>
          <w:lang w:val="en-IE"/>
        </w:rPr>
        <w:t>.</w:t>
      </w:r>
      <w:r w:rsidRPr="00B536FE">
        <w:rPr>
          <w:noProof/>
          <w:lang w:val="en-IE"/>
        </w:rPr>
        <w:t xml:space="preserve">) in </w:t>
      </w:r>
      <w:r w:rsidR="00477B57">
        <w:rPr>
          <w:noProof/>
          <w:lang w:val="en-IE"/>
        </w:rPr>
        <w:t>EU and UK</w:t>
      </w:r>
      <w:r w:rsidRPr="00B536FE">
        <w:rPr>
          <w:noProof/>
          <w:lang w:val="en-IE"/>
        </w:rPr>
        <w:t xml:space="preserve"> waters of </w:t>
      </w:r>
      <w:r w:rsidR="000F5C19" w:rsidRPr="00B536FE">
        <w:rPr>
          <w:noProof/>
          <w:lang w:val="en-IE"/>
        </w:rPr>
        <w:t>International Council for the Exploration of the Sea (</w:t>
      </w:r>
      <w:r w:rsidRPr="00B536FE">
        <w:rPr>
          <w:noProof/>
          <w:lang w:val="en-IE"/>
        </w:rPr>
        <w:t>ICES</w:t>
      </w:r>
      <w:r w:rsidR="000F5C19" w:rsidRPr="00B536FE">
        <w:rPr>
          <w:noProof/>
          <w:lang w:val="en-IE"/>
        </w:rPr>
        <w:t>)</w:t>
      </w:r>
      <w:r w:rsidRPr="00B536FE">
        <w:rPr>
          <w:noProof/>
          <w:lang w:val="en-IE"/>
        </w:rPr>
        <w:t xml:space="preserve"> subarea 4, UK waters of </w:t>
      </w:r>
      <w:r w:rsidR="002515E1" w:rsidRPr="00B536FE">
        <w:rPr>
          <w:noProof/>
          <w:lang w:val="en-IE"/>
        </w:rPr>
        <w:t xml:space="preserve">ICES division </w:t>
      </w:r>
      <w:r w:rsidRPr="00B536FE">
        <w:rPr>
          <w:noProof/>
          <w:lang w:val="en-IE"/>
        </w:rPr>
        <w:t xml:space="preserve">2a </w:t>
      </w:r>
      <w:r w:rsidR="00FE5725" w:rsidRPr="00B536FE">
        <w:rPr>
          <w:noProof/>
          <w:lang w:val="en-IE"/>
        </w:rPr>
        <w:t xml:space="preserve">(North Sea) </w:t>
      </w:r>
      <w:r w:rsidRPr="00B536FE">
        <w:rPr>
          <w:noProof/>
          <w:lang w:val="en-IE"/>
        </w:rPr>
        <w:t xml:space="preserve">and </w:t>
      </w:r>
      <w:r w:rsidR="00BD4997" w:rsidRPr="00B536FE">
        <w:rPr>
          <w:noProof/>
          <w:lang w:val="en-IE"/>
        </w:rPr>
        <w:t xml:space="preserve">EU </w:t>
      </w:r>
      <w:r w:rsidRPr="00B536FE">
        <w:rPr>
          <w:noProof/>
          <w:lang w:val="en-IE"/>
        </w:rPr>
        <w:t xml:space="preserve">waters of </w:t>
      </w:r>
      <w:r w:rsidR="002515E1" w:rsidRPr="00B536FE">
        <w:rPr>
          <w:noProof/>
          <w:lang w:val="en-IE"/>
        </w:rPr>
        <w:t xml:space="preserve">division </w:t>
      </w:r>
      <w:r w:rsidRPr="00B536FE">
        <w:rPr>
          <w:noProof/>
          <w:lang w:val="en-IE"/>
        </w:rPr>
        <w:t xml:space="preserve">3a (Skagerrak and Kattegat) for </w:t>
      </w:r>
      <w:r w:rsidR="009858C8" w:rsidRPr="00B536FE">
        <w:rPr>
          <w:noProof/>
          <w:lang w:val="en-IE"/>
        </w:rPr>
        <w:t>202</w:t>
      </w:r>
      <w:r w:rsidR="00FE5725" w:rsidRPr="00B536FE">
        <w:rPr>
          <w:noProof/>
          <w:lang w:val="en-IE"/>
        </w:rPr>
        <w:t>6</w:t>
      </w:r>
      <w:r w:rsidRPr="00B536FE">
        <w:rPr>
          <w:noProof/>
          <w:lang w:val="en-IE"/>
        </w:rPr>
        <w:t xml:space="preserve">, pending publication </w:t>
      </w:r>
      <w:r w:rsidR="00477B57" w:rsidRPr="00B536FE">
        <w:rPr>
          <w:noProof/>
          <w:lang w:val="en-IE"/>
        </w:rPr>
        <w:t>by ICES</w:t>
      </w:r>
      <w:r w:rsidR="00477B57">
        <w:rPr>
          <w:noProof/>
          <w:lang w:val="en-IE"/>
        </w:rPr>
        <w:t xml:space="preserve"> </w:t>
      </w:r>
      <w:r w:rsidRPr="00B536FE">
        <w:rPr>
          <w:noProof/>
          <w:lang w:val="en-IE"/>
        </w:rPr>
        <w:t>of the scientific advice for t</w:t>
      </w:r>
      <w:r w:rsidR="001D51D8">
        <w:rPr>
          <w:noProof/>
          <w:lang w:val="en-IE"/>
        </w:rPr>
        <w:t>he relevant</w:t>
      </w:r>
      <w:r w:rsidRPr="00B536FE">
        <w:rPr>
          <w:noProof/>
          <w:lang w:val="en-IE"/>
        </w:rPr>
        <w:t xml:space="preserve"> stock for 202</w:t>
      </w:r>
      <w:r w:rsidR="00FE5725" w:rsidRPr="00B536FE">
        <w:rPr>
          <w:noProof/>
          <w:lang w:val="en-IE"/>
        </w:rPr>
        <w:t>6</w:t>
      </w:r>
      <w:r w:rsidRPr="00B536FE">
        <w:rPr>
          <w:noProof/>
          <w:lang w:val="en-IE"/>
        </w:rPr>
        <w:t xml:space="preserve">. </w:t>
      </w:r>
    </w:p>
    <w:p w:rsidR="00AA1229" w:rsidRPr="00B536FE" w:rsidRDefault="70E52E1C" w:rsidP="00440DA8">
      <w:pPr>
        <w:rPr>
          <w:noProof/>
          <w:lang w:val="en-IE"/>
        </w:rPr>
      </w:pPr>
      <w:r w:rsidRPr="00B536FE">
        <w:rPr>
          <w:noProof/>
          <w:lang w:val="en-IE"/>
        </w:rPr>
        <w:t>ICES publish</w:t>
      </w:r>
      <w:r w:rsidR="00443D38" w:rsidRPr="00B536FE">
        <w:rPr>
          <w:noProof/>
          <w:lang w:val="en-IE"/>
        </w:rPr>
        <w:t>ed</w:t>
      </w:r>
      <w:r w:rsidRPr="00B536FE">
        <w:rPr>
          <w:noProof/>
          <w:lang w:val="en-IE"/>
        </w:rPr>
        <w:t xml:space="preserve"> </w:t>
      </w:r>
      <w:r w:rsidR="2083E286" w:rsidRPr="00B536FE">
        <w:rPr>
          <w:noProof/>
          <w:lang w:val="en-IE"/>
        </w:rPr>
        <w:t xml:space="preserve">its </w:t>
      </w:r>
      <w:r w:rsidRPr="00B536FE">
        <w:rPr>
          <w:noProof/>
          <w:lang w:val="en-IE"/>
        </w:rPr>
        <w:t xml:space="preserve">scientific advice </w:t>
      </w:r>
      <w:r w:rsidRPr="00B536FE">
        <w:rPr>
          <w:noProof/>
        </w:rPr>
        <w:t xml:space="preserve">for sandeel in ICES subarea 4 and </w:t>
      </w:r>
      <w:r w:rsidR="74942D18" w:rsidRPr="00B536FE">
        <w:rPr>
          <w:noProof/>
        </w:rPr>
        <w:t xml:space="preserve">division </w:t>
      </w:r>
      <w:r w:rsidRPr="00B536FE">
        <w:rPr>
          <w:noProof/>
        </w:rPr>
        <w:t>3a</w:t>
      </w:r>
      <w:r w:rsidRPr="00B536FE">
        <w:rPr>
          <w:noProof/>
          <w:lang w:val="en-IE"/>
        </w:rPr>
        <w:t xml:space="preserve"> for 202</w:t>
      </w:r>
      <w:r w:rsidR="63BA8ED8" w:rsidRPr="00B536FE">
        <w:rPr>
          <w:noProof/>
          <w:lang w:val="en-IE"/>
        </w:rPr>
        <w:t>6</w:t>
      </w:r>
      <w:r w:rsidRPr="00B536FE">
        <w:rPr>
          <w:noProof/>
          <w:lang w:val="en-IE"/>
        </w:rPr>
        <w:t xml:space="preserve"> on </w:t>
      </w:r>
      <w:r w:rsidR="00443D38" w:rsidRPr="00B536FE">
        <w:rPr>
          <w:noProof/>
          <w:lang w:val="en-IE"/>
        </w:rPr>
        <w:t>27 February 2026</w:t>
      </w:r>
      <w:r w:rsidRPr="00B536FE">
        <w:rPr>
          <w:noProof/>
          <w:lang w:val="en-IE"/>
        </w:rPr>
        <w:t>. Following</w:t>
      </w:r>
      <w:r w:rsidRPr="00B536FE">
        <w:rPr>
          <w:noProof/>
        </w:rPr>
        <w:t xml:space="preserve"> the publication of </w:t>
      </w:r>
      <w:r w:rsidR="007299CC" w:rsidRPr="00B536FE">
        <w:rPr>
          <w:noProof/>
        </w:rPr>
        <w:t xml:space="preserve">that </w:t>
      </w:r>
      <w:r w:rsidRPr="00B536FE">
        <w:rPr>
          <w:noProof/>
        </w:rPr>
        <w:t xml:space="preserve">advice, </w:t>
      </w:r>
      <w:r w:rsidR="684989DC" w:rsidRPr="00B536FE">
        <w:rPr>
          <w:noProof/>
        </w:rPr>
        <w:t xml:space="preserve">the EU will hold </w:t>
      </w:r>
      <w:r w:rsidRPr="00B536FE">
        <w:rPr>
          <w:noProof/>
          <w:lang w:val="en-IE"/>
        </w:rPr>
        <w:t xml:space="preserve">bilateral consultations </w:t>
      </w:r>
      <w:r w:rsidR="684989DC" w:rsidRPr="00B536FE">
        <w:rPr>
          <w:noProof/>
          <w:lang w:val="en-IE"/>
        </w:rPr>
        <w:t>with</w:t>
      </w:r>
      <w:r w:rsidRPr="00B536FE">
        <w:rPr>
          <w:noProof/>
          <w:lang w:val="en-IE"/>
        </w:rPr>
        <w:t xml:space="preserve"> the UK on the level of th</w:t>
      </w:r>
      <w:r w:rsidR="001D51D8">
        <w:rPr>
          <w:noProof/>
          <w:lang w:val="en-IE"/>
        </w:rPr>
        <w:t>at</w:t>
      </w:r>
      <w:r w:rsidRPr="00B536FE">
        <w:rPr>
          <w:noProof/>
          <w:lang w:val="en-IE"/>
        </w:rPr>
        <w:t xml:space="preserve"> TAC </w:t>
      </w:r>
      <w:r w:rsidR="55A854D0" w:rsidRPr="00B536FE">
        <w:rPr>
          <w:noProof/>
          <w:lang w:val="en-IE"/>
        </w:rPr>
        <w:t>for 202</w:t>
      </w:r>
      <w:r w:rsidR="6BEE0238" w:rsidRPr="00B536FE">
        <w:rPr>
          <w:noProof/>
          <w:lang w:val="en-IE"/>
        </w:rPr>
        <w:t>6</w:t>
      </w:r>
      <w:r w:rsidR="3630A710" w:rsidRPr="00B536FE">
        <w:rPr>
          <w:noProof/>
          <w:lang w:val="en-IE"/>
        </w:rPr>
        <w:t xml:space="preserve"> </w:t>
      </w:r>
      <w:r w:rsidR="6BEE0238" w:rsidRPr="00B536FE">
        <w:rPr>
          <w:noProof/>
          <w:lang w:val="en-IE"/>
        </w:rPr>
        <w:t>in accordance with</w:t>
      </w:r>
      <w:r w:rsidRPr="00B536FE">
        <w:rPr>
          <w:noProof/>
          <w:lang w:val="en-IE"/>
        </w:rPr>
        <w:t xml:space="preserve"> Articles 498(2), (4) and (6) of the</w:t>
      </w:r>
      <w:r w:rsidR="2BAF239E" w:rsidRPr="00B536FE">
        <w:rPr>
          <w:noProof/>
          <w:lang w:val="en-IE"/>
        </w:rPr>
        <w:t xml:space="preserve"> </w:t>
      </w:r>
      <w:r w:rsidR="0B3A3BF5" w:rsidRPr="00B536FE">
        <w:rPr>
          <w:rFonts w:eastAsia="Calibri"/>
          <w:noProof/>
        </w:rPr>
        <w:t>Trade and Cooperation Agreement</w:t>
      </w:r>
      <w:r w:rsidRPr="00B536FE">
        <w:rPr>
          <w:noProof/>
          <w:lang w:val="en-IE"/>
        </w:rPr>
        <w:t xml:space="preserve">. </w:t>
      </w:r>
      <w:r w:rsidR="55A854D0" w:rsidRPr="00B536FE">
        <w:rPr>
          <w:noProof/>
        </w:rPr>
        <w:t xml:space="preserve">Pending </w:t>
      </w:r>
      <w:r w:rsidR="007299CC" w:rsidRPr="00B536FE">
        <w:rPr>
          <w:noProof/>
        </w:rPr>
        <w:t xml:space="preserve">the </w:t>
      </w:r>
      <w:r w:rsidR="55A854D0" w:rsidRPr="00B536FE">
        <w:rPr>
          <w:noProof/>
        </w:rPr>
        <w:t xml:space="preserve">outcome of those </w:t>
      </w:r>
      <w:r w:rsidR="47D216E1" w:rsidRPr="00B536FE">
        <w:rPr>
          <w:noProof/>
        </w:rPr>
        <w:t xml:space="preserve">bilateral </w:t>
      </w:r>
      <w:r w:rsidR="55A854D0" w:rsidRPr="00B536FE">
        <w:rPr>
          <w:noProof/>
        </w:rPr>
        <w:t xml:space="preserve">consultations, </w:t>
      </w:r>
      <w:r w:rsidR="1ACD817D" w:rsidRPr="00B536FE">
        <w:rPr>
          <w:noProof/>
        </w:rPr>
        <w:t xml:space="preserve">the text of </w:t>
      </w:r>
      <w:r w:rsidR="3A2096B5" w:rsidRPr="00B536FE">
        <w:rPr>
          <w:noProof/>
        </w:rPr>
        <w:t xml:space="preserve">the </w:t>
      </w:r>
      <w:r w:rsidR="1ACD817D" w:rsidRPr="00B536FE">
        <w:rPr>
          <w:noProof/>
        </w:rPr>
        <w:t xml:space="preserve">relevant recital of </w:t>
      </w:r>
      <w:r w:rsidR="0B3A3BF5" w:rsidRPr="00B536FE">
        <w:rPr>
          <w:noProof/>
        </w:rPr>
        <w:t>Council Regulation (EU) 202</w:t>
      </w:r>
      <w:r w:rsidR="6BEE0238" w:rsidRPr="00B536FE">
        <w:rPr>
          <w:noProof/>
        </w:rPr>
        <w:t>5</w:t>
      </w:r>
      <w:r w:rsidR="0B3A3BF5" w:rsidRPr="00B536FE">
        <w:rPr>
          <w:noProof/>
        </w:rPr>
        <w:t>/</w:t>
      </w:r>
      <w:r w:rsidR="00A93152" w:rsidRPr="00B536FE">
        <w:rPr>
          <w:noProof/>
        </w:rPr>
        <w:t>669</w:t>
      </w:r>
      <w:r w:rsidR="002113C8" w:rsidRPr="00B536FE">
        <w:rPr>
          <w:rStyle w:val="FootnoteReference"/>
          <w:noProof/>
        </w:rPr>
        <w:footnoteReference w:id="7"/>
      </w:r>
      <w:r w:rsidR="25B99415" w:rsidRPr="00B536FE">
        <w:rPr>
          <w:noProof/>
        </w:rPr>
        <w:t xml:space="preserve"> </w:t>
      </w:r>
      <w:r w:rsidR="1ACD817D" w:rsidRPr="00B536FE">
        <w:rPr>
          <w:noProof/>
        </w:rPr>
        <w:t xml:space="preserve">is included in square brackets and the TAC for sandeel </w:t>
      </w:r>
      <w:r w:rsidR="001D51D8">
        <w:rPr>
          <w:noProof/>
        </w:rPr>
        <w:t xml:space="preserve">and associated by-catches </w:t>
      </w:r>
      <w:r w:rsidR="1ACD817D" w:rsidRPr="00B536FE">
        <w:rPr>
          <w:noProof/>
        </w:rPr>
        <w:t>in ICES subarea 4 and divisions 2a and 3a for 202</w:t>
      </w:r>
      <w:r w:rsidR="6BEE0238" w:rsidRPr="00B536FE">
        <w:rPr>
          <w:noProof/>
        </w:rPr>
        <w:t>6</w:t>
      </w:r>
      <w:r w:rsidR="1ACD817D" w:rsidRPr="00B536FE">
        <w:rPr>
          <w:noProof/>
        </w:rPr>
        <w:t xml:space="preserve"> is marked ‘pm’ (</w:t>
      </w:r>
      <w:r w:rsidR="1ACD817D" w:rsidRPr="00B536FE">
        <w:rPr>
          <w:i/>
          <w:iCs/>
          <w:noProof/>
        </w:rPr>
        <w:t>pro memoria</w:t>
      </w:r>
      <w:r w:rsidR="1ACD817D" w:rsidRPr="00B536FE">
        <w:rPr>
          <w:noProof/>
        </w:rPr>
        <w:t>)</w:t>
      </w:r>
      <w:r w:rsidR="00C70FFB" w:rsidRPr="00B536FE">
        <w:rPr>
          <w:noProof/>
        </w:rPr>
        <w:t xml:space="preserve"> in this proposal</w:t>
      </w:r>
      <w:r w:rsidR="1ACD817D" w:rsidRPr="00B536FE">
        <w:rPr>
          <w:noProof/>
        </w:rPr>
        <w:t xml:space="preserve">. </w:t>
      </w:r>
      <w:r w:rsidR="03FABAA8" w:rsidRPr="00B536FE">
        <w:rPr>
          <w:noProof/>
          <w:lang w:val="en-IE"/>
        </w:rPr>
        <w:t xml:space="preserve">As soon as </w:t>
      </w:r>
      <w:r w:rsidR="2083E286" w:rsidRPr="00B536FE">
        <w:rPr>
          <w:noProof/>
          <w:lang w:val="en-IE"/>
        </w:rPr>
        <w:t xml:space="preserve">the </w:t>
      </w:r>
      <w:r w:rsidR="03FABAA8" w:rsidRPr="00B536FE">
        <w:rPr>
          <w:noProof/>
          <w:lang w:val="en-IE"/>
        </w:rPr>
        <w:t>outcome</w:t>
      </w:r>
      <w:r w:rsidR="2083E286" w:rsidRPr="00B536FE">
        <w:rPr>
          <w:noProof/>
          <w:lang w:val="en-IE"/>
        </w:rPr>
        <w:t xml:space="preserve"> of </w:t>
      </w:r>
      <w:r w:rsidR="007299CC" w:rsidRPr="00B536FE">
        <w:rPr>
          <w:noProof/>
          <w:lang w:val="en-IE"/>
        </w:rPr>
        <w:t>those</w:t>
      </w:r>
      <w:r w:rsidR="2083E286" w:rsidRPr="00B536FE">
        <w:rPr>
          <w:noProof/>
          <w:lang w:val="en-IE"/>
        </w:rPr>
        <w:t xml:space="preserve"> bilateral consultations</w:t>
      </w:r>
      <w:r w:rsidR="03FABAA8" w:rsidRPr="00B536FE">
        <w:rPr>
          <w:noProof/>
          <w:lang w:val="en-IE"/>
        </w:rPr>
        <w:t xml:space="preserve"> is known, the Commission services will </w:t>
      </w:r>
      <w:r w:rsidR="10EA792A" w:rsidRPr="00B536FE">
        <w:rPr>
          <w:noProof/>
          <w:lang w:val="en-IE"/>
        </w:rPr>
        <w:t xml:space="preserve">update </w:t>
      </w:r>
      <w:r w:rsidR="71DD00AE" w:rsidRPr="00B536FE">
        <w:rPr>
          <w:noProof/>
          <w:lang w:val="en-IE"/>
        </w:rPr>
        <w:t xml:space="preserve">the </w:t>
      </w:r>
      <w:r w:rsidR="10EA792A" w:rsidRPr="00B536FE">
        <w:rPr>
          <w:noProof/>
          <w:lang w:val="en-IE"/>
        </w:rPr>
        <w:t xml:space="preserve">proposal by means of </w:t>
      </w:r>
      <w:r w:rsidR="03FABAA8" w:rsidRPr="00B536FE">
        <w:rPr>
          <w:noProof/>
          <w:lang w:val="en-IE"/>
        </w:rPr>
        <w:t xml:space="preserve">a non-paper </w:t>
      </w:r>
      <w:r w:rsidR="007299CC" w:rsidRPr="00B536FE">
        <w:rPr>
          <w:noProof/>
          <w:lang w:val="en-IE"/>
        </w:rPr>
        <w:t xml:space="preserve">proposing </w:t>
      </w:r>
      <w:r w:rsidR="00FB4D57" w:rsidRPr="00B536FE">
        <w:rPr>
          <w:noProof/>
          <w:lang w:val="en-IE"/>
        </w:rPr>
        <w:t>that</w:t>
      </w:r>
      <w:r w:rsidR="35227C3A" w:rsidRPr="00B536FE">
        <w:rPr>
          <w:noProof/>
          <w:lang w:val="en-IE"/>
        </w:rPr>
        <w:t xml:space="preserve"> </w:t>
      </w:r>
      <w:r w:rsidR="03FABAA8" w:rsidRPr="00B536FE">
        <w:rPr>
          <w:noProof/>
          <w:lang w:val="en-IE"/>
        </w:rPr>
        <w:t>TAC for 202</w:t>
      </w:r>
      <w:r w:rsidR="6BEE0238" w:rsidRPr="00B536FE">
        <w:rPr>
          <w:noProof/>
          <w:lang w:val="en-IE"/>
        </w:rPr>
        <w:t>6</w:t>
      </w:r>
      <w:r w:rsidR="387DF3E9" w:rsidRPr="00B536FE">
        <w:rPr>
          <w:noProof/>
          <w:lang w:val="en-IE"/>
        </w:rPr>
        <w:t xml:space="preserve"> at the level agreed with the UK</w:t>
      </w:r>
      <w:r w:rsidR="03FABAA8" w:rsidRPr="00B536FE">
        <w:rPr>
          <w:noProof/>
          <w:lang w:val="en-IE"/>
        </w:rPr>
        <w:t>.</w:t>
      </w:r>
    </w:p>
    <w:p w:rsidR="00DA577A" w:rsidRPr="00B536FE" w:rsidRDefault="00DA577A" w:rsidP="00DA577A">
      <w:pPr>
        <w:pBdr>
          <w:top w:val="nil"/>
          <w:left w:val="nil"/>
          <w:bottom w:val="nil"/>
          <w:right w:val="nil"/>
          <w:between w:val="nil"/>
          <w:bar w:val="nil"/>
        </w:pBdr>
        <w:spacing w:before="240" w:after="240"/>
        <w:rPr>
          <w:b/>
          <w:noProof/>
          <w:lang w:val="en-IE"/>
        </w:rPr>
      </w:pPr>
      <w:r w:rsidRPr="00B536FE">
        <w:rPr>
          <w:b/>
          <w:noProof/>
          <w:lang w:val="en-IE"/>
        </w:rPr>
        <w:t>Mackerel</w:t>
      </w:r>
      <w:r w:rsidR="00E5372D" w:rsidRPr="00B536FE">
        <w:rPr>
          <w:b/>
          <w:noProof/>
          <w:lang w:val="en-IE"/>
        </w:rPr>
        <w:t xml:space="preserve"> in the north-east Atlantic</w:t>
      </w:r>
    </w:p>
    <w:p w:rsidR="009E15B6" w:rsidRPr="00B536FE" w:rsidRDefault="009E15B6" w:rsidP="009E15B6">
      <w:pPr>
        <w:pBdr>
          <w:top w:val="nil"/>
          <w:left w:val="nil"/>
          <w:bottom w:val="nil"/>
          <w:right w:val="nil"/>
          <w:between w:val="nil"/>
          <w:bar w:val="nil"/>
        </w:pBdr>
        <w:spacing w:before="240" w:after="240"/>
        <w:rPr>
          <w:noProof/>
          <w:lang w:val="en-IE"/>
        </w:rPr>
      </w:pPr>
      <w:r w:rsidRPr="00B536FE">
        <w:rPr>
          <w:noProof/>
          <w:lang w:val="en-IE"/>
        </w:rPr>
        <w:t>Mackerel (</w:t>
      </w:r>
      <w:r w:rsidRPr="00B536FE">
        <w:rPr>
          <w:i/>
          <w:iCs/>
          <w:noProof/>
          <w:lang w:val="en-IE"/>
        </w:rPr>
        <w:t>Scomber scombrus</w:t>
      </w:r>
      <w:r w:rsidRPr="00B536FE">
        <w:rPr>
          <w:noProof/>
          <w:lang w:val="en-IE"/>
        </w:rPr>
        <w:t>) in the north-east Atlantic is subject to annual coastal States’ consultations on the management for th</w:t>
      </w:r>
      <w:r w:rsidR="007459E9" w:rsidRPr="00B536FE">
        <w:rPr>
          <w:noProof/>
          <w:lang w:val="en-IE"/>
        </w:rPr>
        <w:t>at</w:t>
      </w:r>
      <w:r w:rsidRPr="00B536FE">
        <w:rPr>
          <w:noProof/>
          <w:lang w:val="en-IE"/>
        </w:rPr>
        <w:t xml:space="preserve"> stock and is a stock that is also managed by the North-East Atlantic Fisheries Commission (NEAFC). </w:t>
      </w:r>
    </w:p>
    <w:p w:rsidR="009E15B6" w:rsidRPr="00B536FE" w:rsidRDefault="20BBBC20" w:rsidP="0126DEB4">
      <w:pPr>
        <w:pBdr>
          <w:top w:val="nil"/>
          <w:left w:val="nil"/>
          <w:bottom w:val="nil"/>
          <w:right w:val="nil"/>
          <w:between w:val="nil"/>
          <w:bar w:val="nil"/>
        </w:pBdr>
        <w:spacing w:before="240" w:after="240"/>
        <w:rPr>
          <w:noProof/>
        </w:rPr>
      </w:pPr>
      <w:r w:rsidRPr="00B536FE">
        <w:rPr>
          <w:noProof/>
          <w:lang w:val="en-IE"/>
        </w:rPr>
        <w:t xml:space="preserve">Given that, in December 2025, coastal States’ consultations between the EU, </w:t>
      </w:r>
      <w:r w:rsidR="003626A8" w:rsidRPr="00B536FE">
        <w:rPr>
          <w:noProof/>
          <w:lang w:val="en-IE"/>
        </w:rPr>
        <w:t xml:space="preserve">the Faroe Islands, Greenland, </w:t>
      </w:r>
      <w:r w:rsidRPr="00B536FE">
        <w:rPr>
          <w:noProof/>
          <w:lang w:val="en-IE"/>
        </w:rPr>
        <w:t>Iceland, Norway</w:t>
      </w:r>
      <w:r w:rsidR="003626A8" w:rsidRPr="00B536FE">
        <w:rPr>
          <w:noProof/>
          <w:lang w:val="en-IE"/>
        </w:rPr>
        <w:t xml:space="preserve"> </w:t>
      </w:r>
      <w:r w:rsidRPr="00B536FE">
        <w:rPr>
          <w:noProof/>
          <w:lang w:val="en-IE"/>
        </w:rPr>
        <w:t>and the UK were still ongoing and NEAFC did not adopt a recommendation setting the TAC for mackerel at its annual meeting held on 11 and 14 November 2025, Regulation (EU) 2026/</w:t>
      </w:r>
      <w:r w:rsidR="00A56915" w:rsidRPr="00B536FE">
        <w:rPr>
          <w:noProof/>
          <w:lang w:val="en-IE"/>
        </w:rPr>
        <w:t xml:space="preserve">249 </w:t>
      </w:r>
      <w:r w:rsidRPr="00B536FE">
        <w:rPr>
          <w:noProof/>
          <w:lang w:val="en-IE"/>
        </w:rPr>
        <w:t>sets provisional</w:t>
      </w:r>
      <w:r w:rsidR="09E37DA8" w:rsidRPr="00B536FE">
        <w:rPr>
          <w:noProof/>
          <w:lang w:val="en-IE"/>
        </w:rPr>
        <w:t xml:space="preserve"> EU quotas</w:t>
      </w:r>
      <w:r w:rsidRPr="00B536FE">
        <w:rPr>
          <w:noProof/>
          <w:lang w:val="en-IE"/>
        </w:rPr>
        <w:t xml:space="preserve"> for mackerel </w:t>
      </w:r>
      <w:r w:rsidRPr="00B536FE">
        <w:rPr>
          <w:noProof/>
        </w:rPr>
        <w:t xml:space="preserve">for the first half of 2026. </w:t>
      </w:r>
      <w:r w:rsidR="09E37DA8" w:rsidRPr="00B536FE">
        <w:rPr>
          <w:noProof/>
        </w:rPr>
        <w:t xml:space="preserve">Given the seasonality of the mackerel fishery, the provisional EU quotas are set at </w:t>
      </w:r>
      <w:r w:rsidR="6E940E34" w:rsidRPr="00B536FE">
        <w:rPr>
          <w:noProof/>
        </w:rPr>
        <w:t>9</w:t>
      </w:r>
      <w:r w:rsidR="09E37DA8" w:rsidRPr="00B536FE">
        <w:rPr>
          <w:noProof/>
        </w:rPr>
        <w:t>0% of the level advised by ICES</w:t>
      </w:r>
      <w:r w:rsidR="007459E9" w:rsidRPr="00B536FE">
        <w:rPr>
          <w:rStyle w:val="FootnoteReference"/>
          <w:noProof/>
        </w:rPr>
        <w:footnoteReference w:id="8"/>
      </w:r>
      <w:r w:rsidR="00477B57">
        <w:rPr>
          <w:noProof/>
        </w:rPr>
        <w:t xml:space="preserve"> </w:t>
      </w:r>
      <w:r w:rsidR="2983A381" w:rsidRPr="00B536FE">
        <w:rPr>
          <w:noProof/>
        </w:rPr>
        <w:t>and in line with the approach applied since 2021</w:t>
      </w:r>
      <w:r w:rsidR="00361B9E" w:rsidRPr="00B536FE">
        <w:rPr>
          <w:rStyle w:val="FootnoteReference"/>
          <w:noProof/>
        </w:rPr>
        <w:footnoteReference w:id="9"/>
      </w:r>
      <w:r w:rsidR="09E37DA8" w:rsidRPr="00B536FE">
        <w:rPr>
          <w:noProof/>
        </w:rPr>
        <w:t>.</w:t>
      </w:r>
    </w:p>
    <w:p w:rsidR="29DC0008" w:rsidRPr="00B536FE" w:rsidRDefault="29DC0008" w:rsidP="0126DEB4">
      <w:pPr>
        <w:pBdr>
          <w:top w:val="nil"/>
          <w:left w:val="nil"/>
          <w:bottom w:val="nil"/>
          <w:right w:val="nil"/>
          <w:between w:val="nil"/>
          <w:bar w:val="nil"/>
        </w:pBdr>
        <w:spacing w:before="240" w:after="240"/>
        <w:rPr>
          <w:noProof/>
        </w:rPr>
      </w:pPr>
      <w:r w:rsidRPr="00B536FE">
        <w:rPr>
          <w:noProof/>
        </w:rPr>
        <w:t>Taking into account bilateral and multilateral consultations on the management of the mackerel stock</w:t>
      </w:r>
      <w:r w:rsidR="00D02FAE" w:rsidRPr="00B536FE">
        <w:rPr>
          <w:noProof/>
        </w:rPr>
        <w:t xml:space="preserve"> and before the expiry of the provisional EU quotas on 30 June 2026</w:t>
      </w:r>
      <w:r w:rsidRPr="00B536FE">
        <w:rPr>
          <w:noProof/>
        </w:rPr>
        <w:t xml:space="preserve">, </w:t>
      </w:r>
      <w:r w:rsidR="0046584C" w:rsidRPr="00B536FE">
        <w:rPr>
          <w:noProof/>
        </w:rPr>
        <w:t xml:space="preserve">the </w:t>
      </w:r>
      <w:r w:rsidR="00092B2D" w:rsidRPr="00B536FE">
        <w:rPr>
          <w:noProof/>
        </w:rPr>
        <w:t>Council</w:t>
      </w:r>
      <w:r w:rsidR="3DE83530" w:rsidRPr="00B536FE">
        <w:rPr>
          <w:noProof/>
        </w:rPr>
        <w:t xml:space="preserve"> </w:t>
      </w:r>
      <w:r w:rsidRPr="00B536FE">
        <w:rPr>
          <w:noProof/>
        </w:rPr>
        <w:t xml:space="preserve">should set </w:t>
      </w:r>
      <w:r w:rsidR="00092B2D" w:rsidRPr="00B536FE">
        <w:rPr>
          <w:noProof/>
        </w:rPr>
        <w:t>EU quotas for mackerel</w:t>
      </w:r>
      <w:r w:rsidRPr="00B536FE">
        <w:rPr>
          <w:noProof/>
        </w:rPr>
        <w:t xml:space="preserve"> for 2026</w:t>
      </w:r>
      <w:r w:rsidR="000D6885" w:rsidRPr="00B536FE">
        <w:rPr>
          <w:noProof/>
        </w:rPr>
        <w:t xml:space="preserve">, while respecting the provisions of the </w:t>
      </w:r>
      <w:r w:rsidR="00905AD8" w:rsidRPr="00B536FE">
        <w:rPr>
          <w:noProof/>
        </w:rPr>
        <w:lastRenderedPageBreak/>
        <w:t>Trade and Cooperation Agreement</w:t>
      </w:r>
      <w:r w:rsidRPr="00B536FE">
        <w:rPr>
          <w:noProof/>
        </w:rPr>
        <w:t>.</w:t>
      </w:r>
      <w:r w:rsidR="3877CF6D" w:rsidRPr="00B536FE">
        <w:rPr>
          <w:noProof/>
        </w:rPr>
        <w:t xml:space="preserve"> The quotas </w:t>
      </w:r>
      <w:r w:rsidR="1EA7B9D0" w:rsidRPr="00B536FE">
        <w:rPr>
          <w:noProof/>
        </w:rPr>
        <w:t xml:space="preserve">are </w:t>
      </w:r>
      <w:r w:rsidR="009A4E85" w:rsidRPr="00B536FE">
        <w:rPr>
          <w:noProof/>
        </w:rPr>
        <w:t>marked</w:t>
      </w:r>
      <w:r w:rsidR="006A6868" w:rsidRPr="00B536FE">
        <w:rPr>
          <w:noProof/>
        </w:rPr>
        <w:t xml:space="preserve"> </w:t>
      </w:r>
      <w:r w:rsidR="3877CF6D" w:rsidRPr="00B536FE">
        <w:rPr>
          <w:noProof/>
        </w:rPr>
        <w:t>‘pm</w:t>
      </w:r>
      <w:r w:rsidR="25B74CB8" w:rsidRPr="00B536FE">
        <w:rPr>
          <w:noProof/>
        </w:rPr>
        <w:t>’</w:t>
      </w:r>
      <w:r w:rsidR="006A6868" w:rsidRPr="00B536FE">
        <w:rPr>
          <w:noProof/>
        </w:rPr>
        <w:t xml:space="preserve"> in this proposal</w:t>
      </w:r>
      <w:r w:rsidR="25B74CB8" w:rsidRPr="00B536FE">
        <w:rPr>
          <w:noProof/>
        </w:rPr>
        <w:t xml:space="preserve">, but the Commission services will soon update this proposal by means of a non-paper proposing </w:t>
      </w:r>
      <w:r w:rsidR="00FB4D57" w:rsidRPr="00B536FE">
        <w:rPr>
          <w:noProof/>
        </w:rPr>
        <w:t>those</w:t>
      </w:r>
      <w:r w:rsidR="25B74CB8" w:rsidRPr="00B536FE">
        <w:rPr>
          <w:noProof/>
        </w:rPr>
        <w:t xml:space="preserve"> </w:t>
      </w:r>
      <w:r w:rsidR="004006F6" w:rsidRPr="00B536FE">
        <w:rPr>
          <w:noProof/>
        </w:rPr>
        <w:t xml:space="preserve">EU quotas </w:t>
      </w:r>
      <w:r w:rsidR="25B74CB8" w:rsidRPr="00B536FE">
        <w:rPr>
          <w:noProof/>
        </w:rPr>
        <w:t>for 2026.</w:t>
      </w:r>
    </w:p>
    <w:p w:rsidR="000F5FD1" w:rsidRPr="00B536FE" w:rsidRDefault="000F5FD1" w:rsidP="000F5FD1">
      <w:pPr>
        <w:pBdr>
          <w:top w:val="nil"/>
          <w:left w:val="nil"/>
          <w:bottom w:val="nil"/>
          <w:right w:val="nil"/>
          <w:between w:val="nil"/>
          <w:bar w:val="nil"/>
        </w:pBdr>
        <w:spacing w:before="240" w:after="240"/>
        <w:rPr>
          <w:b/>
          <w:noProof/>
          <w:lang w:val="en-IE"/>
        </w:rPr>
      </w:pPr>
      <w:r w:rsidRPr="00B536FE">
        <w:rPr>
          <w:b/>
          <w:noProof/>
          <w:lang w:val="en-IE"/>
        </w:rPr>
        <w:t>Access for Atlanto-Scandian herring and blue whiting</w:t>
      </w:r>
    </w:p>
    <w:p w:rsidR="000F5FD1" w:rsidRPr="00B536FE" w:rsidRDefault="000F5FD1" w:rsidP="000F5FD1">
      <w:pPr>
        <w:pBdr>
          <w:top w:val="nil"/>
          <w:left w:val="nil"/>
          <w:bottom w:val="nil"/>
          <w:right w:val="nil"/>
          <w:between w:val="nil"/>
          <w:bar w:val="nil"/>
        </w:pBdr>
        <w:spacing w:before="240" w:after="240"/>
        <w:rPr>
          <w:noProof/>
        </w:rPr>
      </w:pPr>
      <w:r w:rsidRPr="00B536FE">
        <w:rPr>
          <w:noProof/>
          <w:lang w:val="en-IE"/>
        </w:rPr>
        <w:t xml:space="preserve">As the bilateral </w:t>
      </w:r>
      <w:r w:rsidRPr="00B536FE">
        <w:rPr>
          <w:noProof/>
        </w:rPr>
        <w:t>consultations between the EU and Norway regarding access to their respective waters for fishing for herring (</w:t>
      </w:r>
      <w:r w:rsidRPr="00B536FE">
        <w:rPr>
          <w:i/>
          <w:iCs/>
          <w:noProof/>
        </w:rPr>
        <w:t>Clupea harengus</w:t>
      </w:r>
      <w:r w:rsidRPr="00B536FE">
        <w:rPr>
          <w:noProof/>
        </w:rPr>
        <w:t>) (‘Atlanto-Scandian herring’) and blue whiting (</w:t>
      </w:r>
      <w:r w:rsidRPr="00B536FE">
        <w:rPr>
          <w:i/>
          <w:iCs/>
          <w:noProof/>
        </w:rPr>
        <w:t>Micromesistius poutassou</w:t>
      </w:r>
      <w:r w:rsidRPr="00B536FE">
        <w:rPr>
          <w:noProof/>
        </w:rPr>
        <w:t xml:space="preserve">) in the north-east Atlantic had not been concluded at the time of adoption of </w:t>
      </w:r>
      <w:r w:rsidRPr="00B536FE">
        <w:rPr>
          <w:noProof/>
          <w:lang w:val="en-IE"/>
        </w:rPr>
        <w:t xml:space="preserve">Regulation (EU) 2026/249, the </w:t>
      </w:r>
      <w:r w:rsidRPr="00B536FE">
        <w:rPr>
          <w:noProof/>
        </w:rPr>
        <w:t>corresponding access levels for 2026 were marked ‘to be established’</w:t>
      </w:r>
      <w:r w:rsidR="00051635">
        <w:rPr>
          <w:noProof/>
        </w:rPr>
        <w:t xml:space="preserve"> in that Regulation</w:t>
      </w:r>
      <w:r w:rsidRPr="00B536FE">
        <w:rPr>
          <w:noProof/>
        </w:rPr>
        <w:t xml:space="preserve">. </w:t>
      </w:r>
    </w:p>
    <w:p w:rsidR="000F5FD1" w:rsidRPr="00B536FE" w:rsidRDefault="000F5FD1" w:rsidP="005B4A19">
      <w:pPr>
        <w:rPr>
          <w:noProof/>
          <w:lang w:val="en-IE"/>
        </w:rPr>
      </w:pPr>
      <w:r w:rsidRPr="00B536FE">
        <w:rPr>
          <w:noProof/>
        </w:rPr>
        <w:t xml:space="preserve">Pending the </w:t>
      </w:r>
      <w:r w:rsidRPr="00B536FE" w:rsidDel="00131101">
        <w:rPr>
          <w:noProof/>
        </w:rPr>
        <w:t>outcome</w:t>
      </w:r>
      <w:r w:rsidRPr="00B536FE">
        <w:rPr>
          <w:noProof/>
        </w:rPr>
        <w:t xml:space="preserve"> of those bilateral consultations, the access levels are marked ‘pm’ in this proposal. </w:t>
      </w:r>
      <w:r w:rsidRPr="00B536FE">
        <w:rPr>
          <w:noProof/>
          <w:lang w:val="en-IE"/>
        </w:rPr>
        <w:t xml:space="preserve">Once the outcome of the consultations is known, the Commission services will update the proposal by means of a non-paper </w:t>
      </w:r>
      <w:r w:rsidRPr="00B536FE" w:rsidDel="00131101">
        <w:rPr>
          <w:noProof/>
          <w:lang w:val="en-IE"/>
        </w:rPr>
        <w:t>proposing</w:t>
      </w:r>
      <w:r w:rsidRPr="00B536FE">
        <w:rPr>
          <w:noProof/>
          <w:lang w:val="en-IE"/>
        </w:rPr>
        <w:t xml:space="preserve"> those access levels for 2026 at the level agreed with Norway.</w:t>
      </w:r>
    </w:p>
    <w:p w:rsidR="00735B8E" w:rsidRPr="00B536FE" w:rsidRDefault="00735B8E" w:rsidP="00735B8E">
      <w:pPr>
        <w:pBdr>
          <w:top w:val="nil"/>
          <w:left w:val="nil"/>
          <w:bottom w:val="nil"/>
          <w:right w:val="nil"/>
          <w:between w:val="nil"/>
          <w:bar w:val="nil"/>
        </w:pBdr>
        <w:spacing w:before="240" w:after="240"/>
        <w:rPr>
          <w:b/>
          <w:noProof/>
          <w:lang w:val="en-IE"/>
        </w:rPr>
      </w:pPr>
      <w:r w:rsidRPr="00B536FE">
        <w:rPr>
          <w:b/>
          <w:noProof/>
          <w:lang w:val="en-IE"/>
        </w:rPr>
        <w:t>Cod in the north-east Arctic</w:t>
      </w:r>
    </w:p>
    <w:p w:rsidR="008474F3" w:rsidRPr="00B536FE" w:rsidRDefault="008474F3" w:rsidP="00735B8E">
      <w:pPr>
        <w:pBdr>
          <w:top w:val="nil"/>
          <w:left w:val="nil"/>
          <w:bottom w:val="nil"/>
          <w:right w:val="nil"/>
          <w:between w:val="nil"/>
          <w:bar w:val="nil"/>
        </w:pBdr>
        <w:spacing w:before="240" w:after="240"/>
        <w:rPr>
          <w:noProof/>
          <w:lang w:val="en-IE"/>
        </w:rPr>
      </w:pPr>
      <w:r w:rsidRPr="00B536FE">
        <w:rPr>
          <w:noProof/>
          <w:lang w:val="en-IE"/>
        </w:rPr>
        <w:t>Regulation (EU) 2026/</w:t>
      </w:r>
      <w:r w:rsidR="00A56915" w:rsidRPr="00B536FE">
        <w:rPr>
          <w:noProof/>
          <w:lang w:val="en-IE"/>
        </w:rPr>
        <w:t>249</w:t>
      </w:r>
      <w:r w:rsidRPr="00B536FE">
        <w:rPr>
          <w:noProof/>
          <w:lang w:val="en-IE"/>
        </w:rPr>
        <w:t xml:space="preserve"> sets a provisional EU quota for cod (</w:t>
      </w:r>
      <w:r w:rsidRPr="00B536FE">
        <w:rPr>
          <w:i/>
          <w:iCs/>
          <w:noProof/>
          <w:lang w:val="en-IE"/>
        </w:rPr>
        <w:t>Gadus morhua</w:t>
      </w:r>
      <w:r w:rsidRPr="00B536FE">
        <w:rPr>
          <w:noProof/>
          <w:lang w:val="en-IE"/>
        </w:rPr>
        <w:t xml:space="preserve">) in Svalbard waters and international waters of ICES subarea 1 and division 2b (north-east Arctic) for the period from 1 January to 30 June 2026, pending the setting of a reference TAC for </w:t>
      </w:r>
      <w:r w:rsidR="00D54DA1" w:rsidRPr="00B536FE">
        <w:rPr>
          <w:noProof/>
          <w:lang w:val="en-IE"/>
        </w:rPr>
        <w:t xml:space="preserve">cod in the north-east Arctic </w:t>
      </w:r>
      <w:r w:rsidRPr="00B536FE">
        <w:rPr>
          <w:noProof/>
          <w:lang w:val="en-IE"/>
        </w:rPr>
        <w:t>for 2026.</w:t>
      </w:r>
    </w:p>
    <w:p w:rsidR="00735B8E" w:rsidRPr="00B536FE" w:rsidRDefault="23C5EE81" w:rsidP="40ABDB0B">
      <w:pPr>
        <w:pBdr>
          <w:top w:val="nil"/>
          <w:left w:val="nil"/>
          <w:bottom w:val="nil"/>
          <w:right w:val="nil"/>
          <w:between w:val="nil"/>
          <w:bar w:val="nil"/>
        </w:pBdr>
        <w:spacing w:before="240" w:after="240"/>
        <w:rPr>
          <w:noProof/>
        </w:rPr>
      </w:pPr>
      <w:r w:rsidRPr="00B536FE">
        <w:rPr>
          <w:noProof/>
          <w:lang w:val="en-IE"/>
        </w:rPr>
        <w:t>Following the setting of that reference TAC</w:t>
      </w:r>
      <w:r w:rsidR="3D8F01DD" w:rsidRPr="00B536FE">
        <w:rPr>
          <w:noProof/>
          <w:lang w:val="en-IE"/>
        </w:rPr>
        <w:t xml:space="preserve"> </w:t>
      </w:r>
      <w:r w:rsidR="1E8558B9" w:rsidRPr="00B536FE">
        <w:rPr>
          <w:noProof/>
          <w:lang w:val="en-IE"/>
        </w:rPr>
        <w:t>for 2026</w:t>
      </w:r>
      <w:r w:rsidRPr="00B536FE">
        <w:rPr>
          <w:noProof/>
        </w:rPr>
        <w:t xml:space="preserve">, the definitive EU quota for cod in Svalbard waters and international water of </w:t>
      </w:r>
      <w:r w:rsidRPr="00B536FE">
        <w:rPr>
          <w:noProof/>
          <w:lang w:val="en-IE"/>
        </w:rPr>
        <w:t xml:space="preserve">ICES subarea 1 and division 2b </w:t>
      </w:r>
      <w:r w:rsidR="1E8558B9" w:rsidRPr="00B536FE">
        <w:rPr>
          <w:noProof/>
          <w:lang w:val="en-IE"/>
        </w:rPr>
        <w:t xml:space="preserve">for 2026 </w:t>
      </w:r>
      <w:r w:rsidRPr="00B536FE">
        <w:rPr>
          <w:noProof/>
        </w:rPr>
        <w:t xml:space="preserve">should be set. It is therefore proposed </w:t>
      </w:r>
      <w:r w:rsidRPr="00B536FE">
        <w:rPr>
          <w:noProof/>
          <w:lang w:val="en-IE"/>
        </w:rPr>
        <w:t>to set that definitive EU quota</w:t>
      </w:r>
      <w:r w:rsidR="1E8558B9" w:rsidRPr="00B536FE">
        <w:rPr>
          <w:noProof/>
          <w:lang w:val="en-IE"/>
        </w:rPr>
        <w:t xml:space="preserve"> for 2026 </w:t>
      </w:r>
      <w:r w:rsidRPr="00B536FE">
        <w:rPr>
          <w:noProof/>
          <w:lang w:val="en-IE"/>
        </w:rPr>
        <w:t>based on th</w:t>
      </w:r>
      <w:r w:rsidR="2DF81B46" w:rsidRPr="00B536FE">
        <w:rPr>
          <w:noProof/>
          <w:lang w:val="en-IE"/>
        </w:rPr>
        <w:t>e</w:t>
      </w:r>
      <w:r w:rsidRPr="00B536FE">
        <w:rPr>
          <w:noProof/>
          <w:lang w:val="en-IE"/>
        </w:rPr>
        <w:t xml:space="preserve"> reference TAC</w:t>
      </w:r>
      <w:r w:rsidR="1E8558B9" w:rsidRPr="00B536FE">
        <w:rPr>
          <w:noProof/>
          <w:lang w:val="en-IE"/>
        </w:rPr>
        <w:t xml:space="preserve"> for 2026</w:t>
      </w:r>
      <w:r w:rsidRPr="00B536FE">
        <w:rPr>
          <w:noProof/>
          <w:lang w:val="en-IE"/>
        </w:rPr>
        <w:t xml:space="preserve"> and on the EU’s historical </w:t>
      </w:r>
      <w:r w:rsidR="1A51D343" w:rsidRPr="00B536FE">
        <w:rPr>
          <w:noProof/>
          <w:lang w:val="en-IE"/>
        </w:rPr>
        <w:t>share</w:t>
      </w:r>
      <w:r w:rsidR="005B4A19" w:rsidRPr="00B536FE">
        <w:rPr>
          <w:noProof/>
          <w:lang w:val="en-IE"/>
        </w:rPr>
        <w:t xml:space="preserve"> of north-east Arctic cod</w:t>
      </w:r>
      <w:r w:rsidRPr="00B536FE">
        <w:rPr>
          <w:noProof/>
          <w:lang w:val="en-IE"/>
        </w:rPr>
        <w:t xml:space="preserve">. </w:t>
      </w:r>
    </w:p>
    <w:p w:rsidR="00D87409" w:rsidRPr="00B536FE" w:rsidRDefault="00D87409" w:rsidP="00500EA9">
      <w:pPr>
        <w:pBdr>
          <w:top w:val="nil"/>
          <w:left w:val="nil"/>
          <w:bottom w:val="nil"/>
          <w:right w:val="nil"/>
          <w:between w:val="nil"/>
          <w:bar w:val="nil"/>
        </w:pBdr>
        <w:spacing w:before="240" w:after="240"/>
        <w:rPr>
          <w:b/>
          <w:noProof/>
          <w:lang w:val="en-IE"/>
        </w:rPr>
      </w:pPr>
      <w:r w:rsidRPr="00B536FE">
        <w:rPr>
          <w:b/>
          <w:noProof/>
          <w:lang w:val="en-IE"/>
        </w:rPr>
        <w:t>ICCAT</w:t>
      </w:r>
    </w:p>
    <w:p w:rsidR="00FF7F61" w:rsidRPr="00B536FE" w:rsidRDefault="00D87409" w:rsidP="00D87409">
      <w:pPr>
        <w:pBdr>
          <w:top w:val="nil"/>
          <w:left w:val="nil"/>
          <w:bottom w:val="nil"/>
          <w:right w:val="nil"/>
          <w:between w:val="nil"/>
          <w:bar w:val="nil"/>
        </w:pBdr>
        <w:spacing w:before="0" w:after="240"/>
        <w:rPr>
          <w:noProof/>
          <w:lang w:val="en-IE"/>
        </w:rPr>
      </w:pPr>
      <w:r w:rsidRPr="00B536FE">
        <w:rPr>
          <w:noProof/>
          <w:lang w:val="en-IE"/>
        </w:rPr>
        <w:t>Fishing effort limits for EU vessels fishing for bluefin tuna (</w:t>
      </w:r>
      <w:r w:rsidRPr="00B536FE">
        <w:rPr>
          <w:i/>
          <w:iCs/>
          <w:noProof/>
          <w:lang w:val="en-IE"/>
        </w:rPr>
        <w:t>Thunnus thynnus</w:t>
      </w:r>
      <w:r w:rsidRPr="00B536FE">
        <w:rPr>
          <w:noProof/>
          <w:lang w:val="en-IE"/>
        </w:rPr>
        <w:t>) in</w:t>
      </w:r>
      <w:r w:rsidR="00AF23FE" w:rsidRPr="00B536FE">
        <w:rPr>
          <w:noProof/>
          <w:lang w:val="en-IE"/>
        </w:rPr>
        <w:t xml:space="preserve"> part of</w:t>
      </w:r>
      <w:r w:rsidRPr="00B536FE">
        <w:rPr>
          <w:noProof/>
          <w:lang w:val="en-IE"/>
        </w:rPr>
        <w:t xml:space="preserve"> the International Commission for the Conservation of Atlantic Tunas (ICCAT) Convention area</w:t>
      </w:r>
      <w:r w:rsidR="00AF23FE" w:rsidRPr="00B536FE">
        <w:rPr>
          <w:noProof/>
          <w:lang w:val="en-IE"/>
        </w:rPr>
        <w:t xml:space="preserve">, east of 45°W, </w:t>
      </w:r>
      <w:r w:rsidR="002E77BB" w:rsidRPr="00B536FE">
        <w:rPr>
          <w:noProof/>
          <w:lang w:val="en-IE"/>
        </w:rPr>
        <w:t>including</w:t>
      </w:r>
      <w:r w:rsidR="00AF23FE" w:rsidRPr="00B536FE">
        <w:rPr>
          <w:noProof/>
          <w:lang w:val="en-IE"/>
        </w:rPr>
        <w:t xml:space="preserve"> the Mediterranean, </w:t>
      </w:r>
      <w:r w:rsidRPr="00B536FE">
        <w:rPr>
          <w:noProof/>
          <w:lang w:val="en-IE"/>
        </w:rPr>
        <w:t>and maximum input and capacity for EU farms of bluefin tuna in that area</w:t>
      </w:r>
      <w:r w:rsidR="007B6457" w:rsidRPr="00B536FE">
        <w:rPr>
          <w:noProof/>
          <w:lang w:val="en-IE"/>
        </w:rPr>
        <w:t>,</w:t>
      </w:r>
      <w:r w:rsidRPr="00B536FE">
        <w:rPr>
          <w:noProof/>
          <w:lang w:val="en-IE"/>
        </w:rPr>
        <w:t xml:space="preserve"> are based on information provided in the annual plans</w:t>
      </w:r>
      <w:r w:rsidR="007F77A8" w:rsidRPr="00B536FE">
        <w:rPr>
          <w:noProof/>
        </w:rPr>
        <w:t xml:space="preserve"> </w:t>
      </w:r>
      <w:r w:rsidR="00F60651" w:rsidRPr="00B536FE">
        <w:rPr>
          <w:noProof/>
        </w:rPr>
        <w:t xml:space="preserve">referred to in </w:t>
      </w:r>
      <w:r w:rsidR="007F77A8" w:rsidRPr="00B536FE">
        <w:rPr>
          <w:noProof/>
        </w:rPr>
        <w:t>Articles 11, 13 and 15 of Regulation (EU) 2023/2053 of the European Parliament and of the Council</w:t>
      </w:r>
      <w:r w:rsidR="00B25136" w:rsidRPr="00B536FE">
        <w:rPr>
          <w:rStyle w:val="FootnoteReference"/>
          <w:noProof/>
        </w:rPr>
        <w:footnoteReference w:id="10"/>
      </w:r>
      <w:r w:rsidRPr="00B536FE">
        <w:rPr>
          <w:noProof/>
          <w:lang w:val="en-IE"/>
        </w:rPr>
        <w:t xml:space="preserve">. Member States are to transmit those plans to the Commission by 31 January each year, pursuant to Article 16(1) of </w:t>
      </w:r>
      <w:r w:rsidRPr="00B536FE">
        <w:rPr>
          <w:noProof/>
        </w:rPr>
        <w:t>Regulation (EU) 2023/2053</w:t>
      </w:r>
      <w:r w:rsidRPr="00B536FE">
        <w:rPr>
          <w:noProof/>
          <w:lang w:val="en-IE"/>
        </w:rPr>
        <w:t xml:space="preserve">. Those plans are then compiled by the Commission and form the basis for the establishment of an EU annual plan, which is transmitted to the ICCAT Secretariat for discussion and approval by ICCAT, as required by Article 16(2) of Regulation (EU) 2023/2053. Pending the submission and approval </w:t>
      </w:r>
      <w:r w:rsidR="00081127" w:rsidRPr="00B536FE">
        <w:rPr>
          <w:noProof/>
          <w:lang w:val="en-IE"/>
        </w:rPr>
        <w:t xml:space="preserve">by ICCAT </w:t>
      </w:r>
      <w:r w:rsidRPr="00B536FE">
        <w:rPr>
          <w:noProof/>
          <w:lang w:val="en-IE"/>
        </w:rPr>
        <w:t xml:space="preserve">of the EU annual plan, the text of </w:t>
      </w:r>
      <w:r w:rsidR="00081127" w:rsidRPr="00B536FE">
        <w:rPr>
          <w:noProof/>
          <w:lang w:val="en-IE"/>
        </w:rPr>
        <w:t xml:space="preserve">the </w:t>
      </w:r>
      <w:r w:rsidRPr="00B536FE">
        <w:rPr>
          <w:noProof/>
          <w:lang w:val="en-IE"/>
        </w:rPr>
        <w:t>relevant recital of</w:t>
      </w:r>
      <w:r w:rsidR="000720F3" w:rsidRPr="00B536FE">
        <w:rPr>
          <w:noProof/>
          <w:lang w:val="en-IE"/>
        </w:rPr>
        <w:t xml:space="preserve"> </w:t>
      </w:r>
      <w:r w:rsidR="00A93152" w:rsidRPr="00B536FE">
        <w:rPr>
          <w:noProof/>
        </w:rPr>
        <w:t>Regulation (EU) 2025/669</w:t>
      </w:r>
      <w:r w:rsidR="000720F3" w:rsidRPr="00B536FE">
        <w:rPr>
          <w:noProof/>
          <w:lang w:val="en-IE"/>
        </w:rPr>
        <w:t xml:space="preserve"> </w:t>
      </w:r>
      <w:r w:rsidRPr="00B536FE">
        <w:rPr>
          <w:noProof/>
          <w:lang w:val="en-IE"/>
        </w:rPr>
        <w:t>is included in square brackets and the EU fishing effort limits and the EU maximum farming input and capacity for 202</w:t>
      </w:r>
      <w:r w:rsidR="007B6457" w:rsidRPr="00B536FE">
        <w:rPr>
          <w:noProof/>
          <w:lang w:val="en-IE"/>
        </w:rPr>
        <w:t>6</w:t>
      </w:r>
      <w:r w:rsidRPr="00B536FE">
        <w:rPr>
          <w:noProof/>
          <w:lang w:val="en-IE"/>
        </w:rPr>
        <w:t xml:space="preserve"> are marked ‘pm’</w:t>
      </w:r>
      <w:r w:rsidR="00C70FFB" w:rsidRPr="00B536FE">
        <w:rPr>
          <w:noProof/>
          <w:lang w:val="en-IE"/>
        </w:rPr>
        <w:t xml:space="preserve"> in this proposal</w:t>
      </w:r>
      <w:r w:rsidRPr="00B536FE">
        <w:rPr>
          <w:noProof/>
          <w:lang w:val="en-IE"/>
        </w:rPr>
        <w:t xml:space="preserve">. As soon as the EU annual plan is </w:t>
      </w:r>
      <w:r w:rsidRPr="00B536FE">
        <w:rPr>
          <w:noProof/>
          <w:lang w:val="en-IE"/>
        </w:rPr>
        <w:lastRenderedPageBreak/>
        <w:t xml:space="preserve">approved by ICCAT, the Commission services will update the proposal by means of a non-paper proposing </w:t>
      </w:r>
      <w:r w:rsidR="00FB4D57" w:rsidRPr="00B536FE">
        <w:rPr>
          <w:noProof/>
          <w:lang w:val="en-IE"/>
        </w:rPr>
        <w:t>those</w:t>
      </w:r>
      <w:r w:rsidRPr="00B536FE">
        <w:rPr>
          <w:noProof/>
          <w:lang w:val="en-IE"/>
        </w:rPr>
        <w:t xml:space="preserve"> fishing effort limits and maximum farming input and capacity for 202</w:t>
      </w:r>
      <w:r w:rsidR="007B6457" w:rsidRPr="00B536FE">
        <w:rPr>
          <w:noProof/>
          <w:lang w:val="en-IE"/>
        </w:rPr>
        <w:t>6</w:t>
      </w:r>
      <w:r w:rsidRPr="00B536FE">
        <w:rPr>
          <w:noProof/>
          <w:lang w:val="en-IE"/>
        </w:rPr>
        <w:t>.</w:t>
      </w:r>
    </w:p>
    <w:p w:rsidR="00C2056A" w:rsidRPr="00B536FE" w:rsidRDefault="00CB3599" w:rsidP="5DB31DF5">
      <w:pPr>
        <w:pBdr>
          <w:top w:val="nil"/>
          <w:left w:val="nil"/>
          <w:bottom w:val="nil"/>
          <w:right w:val="nil"/>
          <w:between w:val="nil"/>
          <w:bar w:val="nil"/>
        </w:pBdr>
        <w:rPr>
          <w:noProof/>
          <w:lang w:val="en-IE"/>
        </w:rPr>
      </w:pPr>
      <w:r w:rsidRPr="00B536FE">
        <w:rPr>
          <w:noProof/>
          <w:lang w:val="en-IE"/>
        </w:rPr>
        <w:t xml:space="preserve">In addition, </w:t>
      </w:r>
      <w:r w:rsidR="00A57133" w:rsidRPr="00B536FE">
        <w:rPr>
          <w:noProof/>
          <w:lang w:val="en-IE"/>
        </w:rPr>
        <w:t>pursuant to</w:t>
      </w:r>
      <w:r w:rsidR="0F946397" w:rsidRPr="00B536FE">
        <w:rPr>
          <w:noProof/>
          <w:lang w:val="en-IE"/>
        </w:rPr>
        <w:t xml:space="preserve"> Article 8 of Regulation (EU) 2023/2053</w:t>
      </w:r>
      <w:r w:rsidR="0052075D" w:rsidRPr="00B536FE">
        <w:rPr>
          <w:noProof/>
          <w:lang w:val="en-IE"/>
        </w:rPr>
        <w:t>,</w:t>
      </w:r>
      <w:r w:rsidR="0F946397" w:rsidRPr="00B536FE">
        <w:rPr>
          <w:noProof/>
          <w:lang w:val="en-IE"/>
        </w:rPr>
        <w:t xml:space="preserve"> Member States may request to transfer a maximum 5% of their annual quota of bluefin tuna</w:t>
      </w:r>
      <w:r w:rsidR="6FEDDD3C" w:rsidRPr="00B536FE">
        <w:rPr>
          <w:noProof/>
          <w:lang w:val="en-IE"/>
        </w:rPr>
        <w:t xml:space="preserve"> </w:t>
      </w:r>
      <w:r w:rsidR="0F946397" w:rsidRPr="00B536FE">
        <w:rPr>
          <w:noProof/>
          <w:lang w:val="en-IE"/>
        </w:rPr>
        <w:t xml:space="preserve">in </w:t>
      </w:r>
      <w:r w:rsidR="004453B2" w:rsidRPr="00B536FE">
        <w:rPr>
          <w:noProof/>
          <w:lang w:val="en-IE"/>
        </w:rPr>
        <w:t>the ICCAT Convention area,</w:t>
      </w:r>
      <w:r w:rsidR="0F946397" w:rsidRPr="00B536FE">
        <w:rPr>
          <w:noProof/>
          <w:lang w:val="en-IE"/>
        </w:rPr>
        <w:t xml:space="preserve"> east of 45°W</w:t>
      </w:r>
      <w:r w:rsidR="004453B2" w:rsidRPr="00B536FE">
        <w:rPr>
          <w:noProof/>
          <w:lang w:val="en-IE"/>
        </w:rPr>
        <w:t xml:space="preserve"> </w:t>
      </w:r>
      <w:r w:rsidR="0F946397" w:rsidRPr="00B536FE">
        <w:rPr>
          <w:noProof/>
          <w:lang w:val="en-IE"/>
        </w:rPr>
        <w:t xml:space="preserve">from the preceding year to a given year. Where Member States make such a request, they are required to submit to the Commission a revised annual fishing plan. Based on such revised annual </w:t>
      </w:r>
      <w:r w:rsidR="00C2056A" w:rsidRPr="00B536FE">
        <w:rPr>
          <w:noProof/>
          <w:lang w:val="en-IE"/>
        </w:rPr>
        <w:t xml:space="preserve">fishing </w:t>
      </w:r>
      <w:r w:rsidR="0F946397" w:rsidRPr="00B536FE">
        <w:rPr>
          <w:noProof/>
          <w:lang w:val="en-IE"/>
        </w:rPr>
        <w:t>plans, the Commission will submit a revised EU annual plan to the ICCAT Secretariat for discussion and approval by ICCAT, pursuant to Article 11(5) of Regulation (EU) 2023/2053. Pending</w:t>
      </w:r>
      <w:r w:rsidR="00772E9B" w:rsidRPr="00B536FE">
        <w:rPr>
          <w:noProof/>
          <w:lang w:val="en-IE"/>
        </w:rPr>
        <w:t>: (i)</w:t>
      </w:r>
      <w:r w:rsidR="0F946397" w:rsidRPr="00B536FE">
        <w:rPr>
          <w:noProof/>
          <w:lang w:val="en-IE"/>
        </w:rPr>
        <w:t xml:space="preserve"> the possible </w:t>
      </w:r>
      <w:r w:rsidR="00EF74BA" w:rsidRPr="00B536FE">
        <w:rPr>
          <w:noProof/>
          <w:lang w:val="en-IE"/>
        </w:rPr>
        <w:t xml:space="preserve">inclusion </w:t>
      </w:r>
      <w:r w:rsidR="6FEDDD3C" w:rsidRPr="00B536FE">
        <w:rPr>
          <w:noProof/>
          <w:lang w:val="en-IE"/>
        </w:rPr>
        <w:t xml:space="preserve">by the Commission </w:t>
      </w:r>
      <w:r w:rsidR="00C2056A" w:rsidRPr="00B536FE">
        <w:rPr>
          <w:noProof/>
          <w:lang w:val="en-IE"/>
        </w:rPr>
        <w:t>of a request for carry-over of the EU quota from 202</w:t>
      </w:r>
      <w:r w:rsidR="001B42C2" w:rsidRPr="00B536FE">
        <w:rPr>
          <w:noProof/>
          <w:lang w:val="en-IE"/>
        </w:rPr>
        <w:t>5</w:t>
      </w:r>
      <w:r w:rsidR="00C2056A" w:rsidRPr="00B536FE">
        <w:rPr>
          <w:noProof/>
          <w:lang w:val="en-IE"/>
        </w:rPr>
        <w:t xml:space="preserve"> to 202</w:t>
      </w:r>
      <w:r w:rsidR="001B42C2" w:rsidRPr="00B536FE">
        <w:rPr>
          <w:noProof/>
          <w:lang w:val="en-IE"/>
        </w:rPr>
        <w:t>6</w:t>
      </w:r>
      <w:r w:rsidR="00A57133" w:rsidRPr="00B536FE">
        <w:rPr>
          <w:noProof/>
          <w:lang w:val="en-IE"/>
        </w:rPr>
        <w:t xml:space="preserve"> in the EU annual plan </w:t>
      </w:r>
      <w:r w:rsidR="6FEDDD3C" w:rsidRPr="00B536FE">
        <w:rPr>
          <w:noProof/>
          <w:lang w:val="en-IE"/>
        </w:rPr>
        <w:t>and the approval by ICCAT of such revisions</w:t>
      </w:r>
      <w:r w:rsidR="6D7B7DD1" w:rsidRPr="00B536FE">
        <w:rPr>
          <w:noProof/>
          <w:lang w:val="en-IE"/>
        </w:rPr>
        <w:t xml:space="preserve"> </w:t>
      </w:r>
      <w:r w:rsidR="00051635">
        <w:rPr>
          <w:noProof/>
          <w:lang w:val="en-IE"/>
        </w:rPr>
        <w:t>to</w:t>
      </w:r>
      <w:r w:rsidR="6FEDDD3C" w:rsidRPr="00B536FE">
        <w:rPr>
          <w:noProof/>
          <w:lang w:val="en-IE"/>
        </w:rPr>
        <w:t xml:space="preserve"> the EU annual plan</w:t>
      </w:r>
      <w:r w:rsidR="00772E9B" w:rsidRPr="00B536FE">
        <w:rPr>
          <w:noProof/>
          <w:lang w:val="en-IE"/>
        </w:rPr>
        <w:t xml:space="preserve">; and (ii) the availability of data on quota use by Member States </w:t>
      </w:r>
      <w:r w:rsidR="001B42C2" w:rsidRPr="00B536FE">
        <w:rPr>
          <w:noProof/>
          <w:lang w:val="en-IE"/>
        </w:rPr>
        <w:t xml:space="preserve">for that stock </w:t>
      </w:r>
      <w:r w:rsidR="00772E9B" w:rsidRPr="00B536FE">
        <w:rPr>
          <w:noProof/>
          <w:lang w:val="en-IE"/>
        </w:rPr>
        <w:t xml:space="preserve">in the preceding year, </w:t>
      </w:r>
      <w:r w:rsidR="6FEDDD3C" w:rsidRPr="00B536FE">
        <w:rPr>
          <w:noProof/>
          <w:lang w:val="en-IE"/>
        </w:rPr>
        <w:t xml:space="preserve">the text of the relevant recital of </w:t>
      </w:r>
      <w:r w:rsidR="00A93152" w:rsidRPr="00B536FE">
        <w:rPr>
          <w:noProof/>
        </w:rPr>
        <w:t>Regulation (EU) 2025/669</w:t>
      </w:r>
      <w:r w:rsidR="6FEDDD3C" w:rsidRPr="00B536FE">
        <w:rPr>
          <w:noProof/>
          <w:lang w:val="en-IE"/>
        </w:rPr>
        <w:t xml:space="preserve"> is included in square brackets and </w:t>
      </w:r>
      <w:r w:rsidR="0F946397" w:rsidRPr="00B536FE">
        <w:rPr>
          <w:noProof/>
          <w:lang w:val="en-IE"/>
        </w:rPr>
        <w:t>the TAC for bluefin tuna in the Atlantic Ocean, east of 45°W</w:t>
      </w:r>
      <w:r w:rsidR="00772E9B" w:rsidRPr="00B536FE">
        <w:rPr>
          <w:noProof/>
          <w:lang w:val="en-IE"/>
        </w:rPr>
        <w:t xml:space="preserve"> </w:t>
      </w:r>
      <w:r w:rsidR="0F946397" w:rsidRPr="00B536FE">
        <w:rPr>
          <w:noProof/>
          <w:lang w:val="en-IE"/>
        </w:rPr>
        <w:t>for 202</w:t>
      </w:r>
      <w:r w:rsidR="00772E9B" w:rsidRPr="00B536FE">
        <w:rPr>
          <w:noProof/>
          <w:lang w:val="en-IE"/>
        </w:rPr>
        <w:t>6</w:t>
      </w:r>
      <w:r w:rsidR="0F946397" w:rsidRPr="00B536FE">
        <w:rPr>
          <w:noProof/>
          <w:lang w:val="en-IE"/>
        </w:rPr>
        <w:t xml:space="preserve"> is marked ‘pm</w:t>
      </w:r>
      <w:r w:rsidR="6D7B7DD1" w:rsidRPr="00B536FE">
        <w:rPr>
          <w:noProof/>
          <w:lang w:val="en-IE"/>
        </w:rPr>
        <w:t>’</w:t>
      </w:r>
      <w:r w:rsidR="00C70FFB" w:rsidRPr="00B536FE">
        <w:rPr>
          <w:noProof/>
          <w:lang w:val="en-IE"/>
        </w:rPr>
        <w:t xml:space="preserve"> in this proposal</w:t>
      </w:r>
      <w:r w:rsidR="0F946397" w:rsidRPr="00B536FE">
        <w:rPr>
          <w:noProof/>
          <w:lang w:val="en-IE"/>
        </w:rPr>
        <w:t>.</w:t>
      </w:r>
      <w:r w:rsidR="00772E9B" w:rsidRPr="00B536FE">
        <w:rPr>
          <w:noProof/>
          <w:lang w:val="en-IE"/>
        </w:rPr>
        <w:t xml:space="preserve"> </w:t>
      </w:r>
      <w:r w:rsidR="0F946397" w:rsidRPr="00B536FE">
        <w:rPr>
          <w:noProof/>
          <w:lang w:val="en-IE"/>
        </w:rPr>
        <w:t xml:space="preserve"> </w:t>
      </w:r>
      <w:r w:rsidR="6D7B7DD1" w:rsidRPr="00B536FE">
        <w:rPr>
          <w:noProof/>
          <w:lang w:val="en-IE"/>
        </w:rPr>
        <w:t>A</w:t>
      </w:r>
      <w:r w:rsidR="4F4465A3" w:rsidRPr="00B536FE">
        <w:rPr>
          <w:noProof/>
          <w:lang w:val="en-IE"/>
        </w:rPr>
        <w:t>s</w:t>
      </w:r>
      <w:r w:rsidR="6D7B7DD1" w:rsidRPr="00B536FE">
        <w:rPr>
          <w:noProof/>
          <w:lang w:val="en-IE"/>
        </w:rPr>
        <w:t xml:space="preserve"> soon as the EU annual plan is approved by ICCAT</w:t>
      </w:r>
      <w:r w:rsidR="00772E9B" w:rsidRPr="00B536FE">
        <w:rPr>
          <w:noProof/>
          <w:lang w:val="en-IE"/>
        </w:rPr>
        <w:t xml:space="preserve"> and data on quota use by Member States </w:t>
      </w:r>
      <w:r w:rsidR="00C2056A" w:rsidRPr="00B536FE">
        <w:rPr>
          <w:noProof/>
          <w:lang w:val="en-IE"/>
        </w:rPr>
        <w:t xml:space="preserve">becomes </w:t>
      </w:r>
      <w:r w:rsidR="00772E9B" w:rsidRPr="00B536FE">
        <w:rPr>
          <w:noProof/>
          <w:lang w:val="en-IE"/>
        </w:rPr>
        <w:t>available</w:t>
      </w:r>
      <w:r w:rsidR="6D7B7DD1" w:rsidRPr="00B536FE">
        <w:rPr>
          <w:noProof/>
          <w:lang w:val="en-IE"/>
        </w:rPr>
        <w:t>, the Commission services will update the proposal by means of a non-paper proposing t</w:t>
      </w:r>
      <w:r w:rsidR="19DE520D" w:rsidRPr="00B536FE">
        <w:rPr>
          <w:noProof/>
          <w:lang w:val="en-IE"/>
        </w:rPr>
        <w:t xml:space="preserve">o amend the </w:t>
      </w:r>
      <w:r w:rsidR="46E8E048" w:rsidRPr="00B536FE">
        <w:rPr>
          <w:noProof/>
          <w:lang w:val="en-IE"/>
        </w:rPr>
        <w:t xml:space="preserve">quotas </w:t>
      </w:r>
      <w:r w:rsidR="0043707D" w:rsidRPr="00B536FE">
        <w:rPr>
          <w:noProof/>
          <w:lang w:val="en-IE"/>
        </w:rPr>
        <w:t xml:space="preserve">of </w:t>
      </w:r>
      <w:r w:rsidR="00C70FFB" w:rsidRPr="00B536FE">
        <w:rPr>
          <w:noProof/>
          <w:lang w:val="en-IE"/>
        </w:rPr>
        <w:t>those</w:t>
      </w:r>
      <w:r w:rsidR="0043707D" w:rsidRPr="00B536FE">
        <w:rPr>
          <w:noProof/>
          <w:lang w:val="en-IE"/>
        </w:rPr>
        <w:t xml:space="preserve"> Member States </w:t>
      </w:r>
      <w:r w:rsidR="19DE520D" w:rsidRPr="00B536FE">
        <w:rPr>
          <w:noProof/>
          <w:lang w:val="en-IE"/>
        </w:rPr>
        <w:t xml:space="preserve">for that stock for </w:t>
      </w:r>
      <w:r w:rsidR="6D7B7DD1" w:rsidRPr="00B536FE">
        <w:rPr>
          <w:noProof/>
          <w:lang w:val="en-IE"/>
        </w:rPr>
        <w:t>202</w:t>
      </w:r>
      <w:r w:rsidR="00772E9B" w:rsidRPr="00B536FE">
        <w:rPr>
          <w:noProof/>
          <w:lang w:val="en-IE"/>
        </w:rPr>
        <w:t>6</w:t>
      </w:r>
      <w:r w:rsidR="19DE520D" w:rsidRPr="00B536FE">
        <w:rPr>
          <w:noProof/>
          <w:lang w:val="en-IE"/>
        </w:rPr>
        <w:t xml:space="preserve"> </w:t>
      </w:r>
      <w:r w:rsidR="731C19DF" w:rsidRPr="00B536FE">
        <w:rPr>
          <w:noProof/>
          <w:lang w:val="en-IE"/>
        </w:rPr>
        <w:t>accordingly</w:t>
      </w:r>
      <w:r w:rsidR="4E50B1BB" w:rsidRPr="00B536FE">
        <w:rPr>
          <w:noProof/>
          <w:lang w:val="en-IE"/>
        </w:rPr>
        <w:t>.</w:t>
      </w:r>
      <w:r w:rsidR="00922C72" w:rsidRPr="00B536FE">
        <w:rPr>
          <w:noProof/>
          <w:lang w:val="en-IE"/>
        </w:rPr>
        <w:t xml:space="preserve"> When calculating the amended quotas of Member States, both underfishing and overfishing by Member States in the preceding year will be taken into account. </w:t>
      </w:r>
      <w:r w:rsidR="17006963" w:rsidRPr="00B536FE">
        <w:rPr>
          <w:rFonts w:eastAsia="Times New Roman"/>
          <w:noProof/>
          <w:szCs w:val="24"/>
          <w:lang w:val="en-IE"/>
        </w:rPr>
        <w:t xml:space="preserve">In cases of overfishing, quota deductions </w:t>
      </w:r>
      <w:r w:rsidR="00E239EE" w:rsidRPr="00B536FE">
        <w:rPr>
          <w:rFonts w:eastAsia="Times New Roman"/>
          <w:noProof/>
          <w:szCs w:val="24"/>
          <w:lang w:val="en-IE"/>
        </w:rPr>
        <w:t xml:space="preserve">are to </w:t>
      </w:r>
      <w:r w:rsidR="17006963" w:rsidRPr="00B536FE">
        <w:rPr>
          <w:rFonts w:eastAsia="Times New Roman"/>
          <w:noProof/>
          <w:szCs w:val="24"/>
          <w:lang w:val="en-IE"/>
        </w:rPr>
        <w:t>be applied in accordance with the procedure</w:t>
      </w:r>
      <w:r w:rsidR="00B67576" w:rsidRPr="00B536FE">
        <w:rPr>
          <w:rFonts w:eastAsia="Times New Roman"/>
          <w:noProof/>
          <w:szCs w:val="24"/>
          <w:lang w:val="en-IE"/>
        </w:rPr>
        <w:t>s</w:t>
      </w:r>
      <w:r w:rsidR="17006963" w:rsidRPr="00B536FE">
        <w:rPr>
          <w:rFonts w:eastAsia="Times New Roman"/>
          <w:noProof/>
          <w:szCs w:val="24"/>
          <w:lang w:val="en-IE"/>
        </w:rPr>
        <w:t xml:space="preserve"> laid down in Article 105</w:t>
      </w:r>
      <w:r w:rsidR="0C706F30" w:rsidRPr="00B536FE">
        <w:rPr>
          <w:rFonts w:eastAsia="Times New Roman"/>
          <w:noProof/>
          <w:szCs w:val="24"/>
          <w:lang w:val="en-IE"/>
        </w:rPr>
        <w:t xml:space="preserve"> and </w:t>
      </w:r>
      <w:r w:rsidR="00E239EE" w:rsidRPr="00B536FE">
        <w:rPr>
          <w:rFonts w:eastAsia="Times New Roman"/>
          <w:noProof/>
          <w:szCs w:val="24"/>
          <w:lang w:val="en-IE"/>
        </w:rPr>
        <w:t xml:space="preserve">Article </w:t>
      </w:r>
      <w:r w:rsidR="0C706F30" w:rsidRPr="00B536FE">
        <w:rPr>
          <w:rFonts w:eastAsia="Times New Roman"/>
          <w:noProof/>
          <w:szCs w:val="24"/>
          <w:lang w:val="en-IE"/>
        </w:rPr>
        <w:t>107a</w:t>
      </w:r>
      <w:r w:rsidR="17006963" w:rsidRPr="00B536FE">
        <w:rPr>
          <w:rFonts w:eastAsia="Times New Roman"/>
          <w:noProof/>
          <w:szCs w:val="24"/>
          <w:lang w:val="en-IE"/>
        </w:rPr>
        <w:t xml:space="preserve"> of </w:t>
      </w:r>
      <w:r w:rsidR="00922C72" w:rsidRPr="00B536FE">
        <w:rPr>
          <w:noProof/>
          <w:lang w:val="en-IE"/>
        </w:rPr>
        <w:t>Council Regulation (EC) No 1224/2009</w:t>
      </w:r>
      <w:r w:rsidR="00922C72" w:rsidRPr="00B536FE">
        <w:rPr>
          <w:rStyle w:val="FootnoteReference"/>
          <w:noProof/>
        </w:rPr>
        <w:footnoteReference w:id="11"/>
      </w:r>
      <w:r w:rsidR="009662AB" w:rsidRPr="00B536FE">
        <w:rPr>
          <w:noProof/>
          <w:lang w:val="en-IE"/>
        </w:rPr>
        <w:t>.</w:t>
      </w:r>
    </w:p>
    <w:p w:rsidR="00CB3599" w:rsidRPr="00B536FE" w:rsidRDefault="3D3C84C2" w:rsidP="0126DEB4">
      <w:pPr>
        <w:pBdr>
          <w:top w:val="nil"/>
          <w:left w:val="nil"/>
          <w:bottom w:val="nil"/>
          <w:right w:val="nil"/>
          <w:between w:val="nil"/>
          <w:bar w:val="nil"/>
        </w:pBdr>
        <w:spacing w:before="240" w:after="240"/>
        <w:rPr>
          <w:noProof/>
        </w:rPr>
      </w:pPr>
      <w:r w:rsidRPr="00B536FE">
        <w:rPr>
          <w:noProof/>
          <w:lang w:val="en-IE"/>
        </w:rPr>
        <w:t>Moreover, p</w:t>
      </w:r>
      <w:r w:rsidR="7EE0B846" w:rsidRPr="00B536FE">
        <w:rPr>
          <w:noProof/>
          <w:lang w:val="en-IE"/>
        </w:rPr>
        <w:t>ursuant to Articles 8a</w:t>
      </w:r>
      <w:r w:rsidR="463E4716" w:rsidRPr="00B536FE">
        <w:rPr>
          <w:noProof/>
          <w:lang w:val="en-IE"/>
        </w:rPr>
        <w:t>,</w:t>
      </w:r>
      <w:r w:rsidR="0B8C020D" w:rsidRPr="00B536FE">
        <w:rPr>
          <w:noProof/>
          <w:lang w:val="en-IE"/>
        </w:rPr>
        <w:t xml:space="preserve"> 17b</w:t>
      </w:r>
      <w:r w:rsidR="463E4716" w:rsidRPr="00B536FE">
        <w:rPr>
          <w:noProof/>
          <w:lang w:val="en-IE"/>
        </w:rPr>
        <w:t xml:space="preserve"> and 18b</w:t>
      </w:r>
      <w:r w:rsidR="7EE0B846" w:rsidRPr="00B536FE">
        <w:rPr>
          <w:noProof/>
          <w:lang w:val="en-IE"/>
        </w:rPr>
        <w:t xml:space="preserve"> of Regulation (EU) </w:t>
      </w:r>
      <w:r w:rsidR="70D29483" w:rsidRPr="00B536FE">
        <w:rPr>
          <w:noProof/>
          <w:lang w:val="en-IE"/>
        </w:rPr>
        <w:t xml:space="preserve">2017/2107 of the </w:t>
      </w:r>
      <w:r w:rsidR="70D29483" w:rsidRPr="00B536FE">
        <w:rPr>
          <w:noProof/>
        </w:rPr>
        <w:t>European Parliament and of the Council</w:t>
      </w:r>
      <w:r w:rsidR="00B25136" w:rsidRPr="00B536FE">
        <w:rPr>
          <w:rStyle w:val="FootnoteReference"/>
          <w:noProof/>
        </w:rPr>
        <w:footnoteReference w:id="12"/>
      </w:r>
      <w:r w:rsidR="2CCB931C" w:rsidRPr="00B536FE">
        <w:rPr>
          <w:noProof/>
          <w:vertAlign w:val="superscript"/>
        </w:rPr>
        <w:t xml:space="preserve"> </w:t>
      </w:r>
      <w:r w:rsidR="1D296A13" w:rsidRPr="00B536FE">
        <w:rPr>
          <w:noProof/>
        </w:rPr>
        <w:t>a Member State’s annual quota for</w:t>
      </w:r>
      <w:r w:rsidR="463E4716" w:rsidRPr="00B536FE">
        <w:rPr>
          <w:noProof/>
        </w:rPr>
        <w:t>: (i)</w:t>
      </w:r>
      <w:r w:rsidR="1D296A13" w:rsidRPr="00B536FE">
        <w:rPr>
          <w:noProof/>
        </w:rPr>
        <w:t xml:space="preserve"> bigeye tuna</w:t>
      </w:r>
      <w:r w:rsidR="463E4716" w:rsidRPr="00B536FE">
        <w:rPr>
          <w:noProof/>
        </w:rPr>
        <w:t xml:space="preserve"> (</w:t>
      </w:r>
      <w:r w:rsidR="463E4716" w:rsidRPr="00B536FE">
        <w:rPr>
          <w:i/>
          <w:iCs/>
          <w:noProof/>
        </w:rPr>
        <w:t>Thunnus obesus</w:t>
      </w:r>
      <w:r w:rsidR="463E4716" w:rsidRPr="00B536FE">
        <w:rPr>
          <w:noProof/>
        </w:rPr>
        <w:t xml:space="preserve">) in the </w:t>
      </w:r>
      <w:r w:rsidR="0F272C5F" w:rsidRPr="00B536FE">
        <w:rPr>
          <w:noProof/>
        </w:rPr>
        <w:t>ICCAT Convention area</w:t>
      </w:r>
      <w:r w:rsidR="463E4716" w:rsidRPr="00B536FE">
        <w:rPr>
          <w:noProof/>
        </w:rPr>
        <w:t>; (ii) albacore (</w:t>
      </w:r>
      <w:r w:rsidR="463E4716" w:rsidRPr="00B536FE">
        <w:rPr>
          <w:i/>
          <w:iCs/>
          <w:noProof/>
        </w:rPr>
        <w:t>Thunnus alalunga</w:t>
      </w:r>
      <w:r w:rsidR="463E4716" w:rsidRPr="00B536FE">
        <w:rPr>
          <w:noProof/>
        </w:rPr>
        <w:t xml:space="preserve">) in the </w:t>
      </w:r>
      <w:r w:rsidR="0F272C5F" w:rsidRPr="00B536FE">
        <w:rPr>
          <w:noProof/>
        </w:rPr>
        <w:t>ICCAT Convention area</w:t>
      </w:r>
      <w:r w:rsidR="463E4716" w:rsidRPr="00B536FE">
        <w:rPr>
          <w:noProof/>
        </w:rPr>
        <w:t xml:space="preserve">, </w:t>
      </w:r>
      <w:r w:rsidR="4ED6BD98" w:rsidRPr="00B536FE">
        <w:rPr>
          <w:noProof/>
        </w:rPr>
        <w:t>both</w:t>
      </w:r>
      <w:r w:rsidR="463E4716" w:rsidRPr="00B536FE">
        <w:rPr>
          <w:noProof/>
        </w:rPr>
        <w:t xml:space="preserve"> north of 5°N and south of 5°N; and (iii) swordfish </w:t>
      </w:r>
      <w:r w:rsidR="0B8C020D" w:rsidRPr="00B536FE">
        <w:rPr>
          <w:noProof/>
        </w:rPr>
        <w:t>(</w:t>
      </w:r>
      <w:r w:rsidR="0B8C020D" w:rsidRPr="00B536FE">
        <w:rPr>
          <w:i/>
          <w:iCs/>
          <w:noProof/>
        </w:rPr>
        <w:t>Xiphias gladius</w:t>
      </w:r>
      <w:r w:rsidR="0B8C020D" w:rsidRPr="00B536FE">
        <w:rPr>
          <w:noProof/>
        </w:rPr>
        <w:t xml:space="preserve">) </w:t>
      </w:r>
      <w:r w:rsidR="0F272C5F" w:rsidRPr="00B536FE">
        <w:rPr>
          <w:noProof/>
        </w:rPr>
        <w:t>in the ICCAT Convention area</w:t>
      </w:r>
      <w:r w:rsidR="0B8C020D" w:rsidRPr="00B536FE">
        <w:rPr>
          <w:noProof/>
        </w:rPr>
        <w:t xml:space="preserve">, </w:t>
      </w:r>
      <w:r w:rsidR="4ED6BD98" w:rsidRPr="00B536FE">
        <w:rPr>
          <w:noProof/>
        </w:rPr>
        <w:t>both</w:t>
      </w:r>
      <w:r w:rsidR="0B8C020D" w:rsidRPr="00B536FE">
        <w:rPr>
          <w:noProof/>
        </w:rPr>
        <w:t xml:space="preserve"> north of 5°N and south of 5°N, </w:t>
      </w:r>
      <w:r w:rsidR="1D296A13" w:rsidRPr="00B536FE">
        <w:rPr>
          <w:noProof/>
        </w:rPr>
        <w:t>may be transferred from the p</w:t>
      </w:r>
      <w:r w:rsidR="0B8C020D" w:rsidRPr="00B536FE">
        <w:rPr>
          <w:noProof/>
        </w:rPr>
        <w:t>enultimate</w:t>
      </w:r>
      <w:r w:rsidR="1D296A13" w:rsidRPr="00B536FE">
        <w:rPr>
          <w:noProof/>
        </w:rPr>
        <w:t xml:space="preserve"> year to a given </w:t>
      </w:r>
      <w:r w:rsidR="0B8C020D" w:rsidRPr="00B536FE">
        <w:rPr>
          <w:noProof/>
        </w:rPr>
        <w:t>year in accordance with</w:t>
      </w:r>
      <w:r w:rsidR="1D296A13" w:rsidRPr="00B536FE">
        <w:rPr>
          <w:noProof/>
        </w:rPr>
        <w:t xml:space="preserve"> the relevant ICCAT recommendations.</w:t>
      </w:r>
      <w:r w:rsidR="00227583" w:rsidRPr="00B536FE">
        <w:rPr>
          <w:noProof/>
        </w:rPr>
        <w:t xml:space="preserve"> </w:t>
      </w:r>
      <w:r w:rsidR="1CC6775C" w:rsidRPr="00B536FE">
        <w:rPr>
          <w:noProof/>
        </w:rPr>
        <w:t xml:space="preserve">It is therefore proposed </w:t>
      </w:r>
      <w:r w:rsidR="0F272C5F" w:rsidRPr="00B536FE">
        <w:rPr>
          <w:noProof/>
        </w:rPr>
        <w:t xml:space="preserve">to amend the quotas of </w:t>
      </w:r>
      <w:r w:rsidR="003D377F" w:rsidRPr="00B536FE">
        <w:rPr>
          <w:noProof/>
        </w:rPr>
        <w:t>those</w:t>
      </w:r>
      <w:r w:rsidR="0F272C5F" w:rsidRPr="00B536FE">
        <w:rPr>
          <w:noProof/>
        </w:rPr>
        <w:t xml:space="preserve"> Member States for those stocks for 2026 accordingly. When calculating the amended quotas of Member States, both underfishing and overfishing by Member States in the </w:t>
      </w:r>
      <w:r w:rsidR="5A0070A3" w:rsidRPr="00B536FE">
        <w:rPr>
          <w:noProof/>
        </w:rPr>
        <w:t>penultimate</w:t>
      </w:r>
      <w:r w:rsidR="0F272C5F" w:rsidRPr="00B536FE">
        <w:rPr>
          <w:noProof/>
        </w:rPr>
        <w:t xml:space="preserve"> year will be taken into account. </w:t>
      </w:r>
      <w:r w:rsidR="0CB85F6A" w:rsidRPr="00B536FE">
        <w:rPr>
          <w:rFonts w:eastAsia="Times New Roman"/>
          <w:noProof/>
          <w:szCs w:val="24"/>
        </w:rPr>
        <w:t xml:space="preserve">In cases of overfishing, quota deductions </w:t>
      </w:r>
      <w:r w:rsidR="00E91045" w:rsidRPr="00B536FE">
        <w:rPr>
          <w:rFonts w:eastAsia="Times New Roman"/>
          <w:noProof/>
          <w:szCs w:val="24"/>
        </w:rPr>
        <w:t>are to</w:t>
      </w:r>
      <w:r w:rsidR="0CB85F6A" w:rsidRPr="00B536FE">
        <w:rPr>
          <w:rFonts w:eastAsia="Times New Roman"/>
          <w:noProof/>
          <w:szCs w:val="24"/>
        </w:rPr>
        <w:t xml:space="preserve"> be applied in accordance with the procedure</w:t>
      </w:r>
      <w:r w:rsidR="00E91045" w:rsidRPr="00B536FE">
        <w:rPr>
          <w:rFonts w:eastAsia="Times New Roman"/>
          <w:noProof/>
          <w:szCs w:val="24"/>
        </w:rPr>
        <w:t>s</w:t>
      </w:r>
      <w:r w:rsidR="0CB85F6A" w:rsidRPr="00B536FE">
        <w:rPr>
          <w:rFonts w:eastAsia="Times New Roman"/>
          <w:noProof/>
          <w:szCs w:val="24"/>
        </w:rPr>
        <w:t xml:space="preserve"> laid down in Article 105 </w:t>
      </w:r>
      <w:r w:rsidR="1ED834F3" w:rsidRPr="00B536FE">
        <w:rPr>
          <w:rFonts w:eastAsia="Times New Roman"/>
          <w:noProof/>
          <w:szCs w:val="24"/>
        </w:rPr>
        <w:t xml:space="preserve">and </w:t>
      </w:r>
      <w:r w:rsidR="00E91045" w:rsidRPr="00B536FE">
        <w:rPr>
          <w:rFonts w:eastAsia="Times New Roman"/>
          <w:noProof/>
          <w:szCs w:val="24"/>
        </w:rPr>
        <w:t xml:space="preserve">Article </w:t>
      </w:r>
      <w:r w:rsidR="1ED834F3" w:rsidRPr="00B536FE">
        <w:rPr>
          <w:rFonts w:eastAsia="Times New Roman"/>
          <w:noProof/>
          <w:szCs w:val="24"/>
        </w:rPr>
        <w:t xml:space="preserve">107a </w:t>
      </w:r>
      <w:r w:rsidR="0F272C5F" w:rsidRPr="00B536FE">
        <w:rPr>
          <w:noProof/>
        </w:rPr>
        <w:t>of Regulation (EC) No 1224/2009.</w:t>
      </w:r>
    </w:p>
    <w:p w:rsidR="00D21655" w:rsidRPr="00B536FE" w:rsidRDefault="00D21655" w:rsidP="00440DA8">
      <w:pPr>
        <w:pBdr>
          <w:top w:val="nil"/>
          <w:left w:val="nil"/>
          <w:bottom w:val="nil"/>
          <w:right w:val="nil"/>
          <w:between w:val="nil"/>
          <w:bar w:val="nil"/>
        </w:pBdr>
        <w:spacing w:before="240" w:after="240"/>
        <w:rPr>
          <w:b/>
          <w:bCs/>
          <w:noProof/>
          <w:lang w:val="en-IE"/>
        </w:rPr>
      </w:pPr>
      <w:r w:rsidRPr="00B536FE">
        <w:rPr>
          <w:b/>
          <w:bCs/>
          <w:noProof/>
          <w:lang w:val="en-IE"/>
        </w:rPr>
        <w:t>SPRFMO</w:t>
      </w:r>
    </w:p>
    <w:p w:rsidR="00A7006A" w:rsidRPr="00B536FE" w:rsidRDefault="009C38D5" w:rsidP="00440DA8">
      <w:pPr>
        <w:pBdr>
          <w:top w:val="nil"/>
          <w:left w:val="nil"/>
          <w:bottom w:val="nil"/>
          <w:right w:val="nil"/>
          <w:between w:val="nil"/>
          <w:bar w:val="nil"/>
        </w:pBdr>
        <w:spacing w:before="240" w:after="240"/>
        <w:rPr>
          <w:noProof/>
          <w:lang w:val="en-IE"/>
        </w:rPr>
      </w:pPr>
      <w:r w:rsidRPr="00B536FE">
        <w:rPr>
          <w:noProof/>
          <w:lang w:val="en-IE"/>
        </w:rPr>
        <w:t>In Regulation (EU) 202</w:t>
      </w:r>
      <w:r w:rsidR="00A57133" w:rsidRPr="00B536FE">
        <w:rPr>
          <w:noProof/>
          <w:lang w:val="en-IE"/>
        </w:rPr>
        <w:t>6</w:t>
      </w:r>
      <w:r w:rsidRPr="00B536FE">
        <w:rPr>
          <w:noProof/>
          <w:lang w:val="en-IE"/>
        </w:rPr>
        <w:t>/</w:t>
      </w:r>
      <w:r w:rsidR="00A56915" w:rsidRPr="00B536FE">
        <w:rPr>
          <w:noProof/>
          <w:lang w:val="en-IE"/>
        </w:rPr>
        <w:t>249</w:t>
      </w:r>
      <w:r w:rsidRPr="00B536FE">
        <w:rPr>
          <w:noProof/>
          <w:lang w:val="en-IE"/>
        </w:rPr>
        <w:t xml:space="preserve">, </w:t>
      </w:r>
      <w:r w:rsidR="00521C3B" w:rsidRPr="00B536FE">
        <w:rPr>
          <w:noProof/>
          <w:lang w:val="en-IE"/>
        </w:rPr>
        <w:t xml:space="preserve">the </w:t>
      </w:r>
      <w:r w:rsidRPr="00B536FE">
        <w:rPr>
          <w:noProof/>
          <w:lang w:val="en-IE"/>
        </w:rPr>
        <w:t>TACs in the South Pacific Regional Fisheries Management Organisation (SPRFMO) Convention area are</w:t>
      </w:r>
      <w:r w:rsidR="002113C8" w:rsidRPr="00B536FE">
        <w:rPr>
          <w:noProof/>
          <w:lang w:val="en-IE"/>
        </w:rPr>
        <w:t xml:space="preserve"> provisionally set at zero</w:t>
      </w:r>
      <w:r w:rsidRPr="00B536FE">
        <w:rPr>
          <w:noProof/>
          <w:lang w:val="en-IE"/>
        </w:rPr>
        <w:t xml:space="preserve"> and measures </w:t>
      </w:r>
      <w:r w:rsidRPr="00B536FE">
        <w:rPr>
          <w:noProof/>
          <w:lang w:val="en-IE"/>
        </w:rPr>
        <w:lastRenderedPageBreak/>
        <w:t xml:space="preserve">functionally linked to the TACs are </w:t>
      </w:r>
      <w:r w:rsidR="002113C8" w:rsidRPr="00B536FE">
        <w:rPr>
          <w:noProof/>
          <w:lang w:val="en-IE"/>
        </w:rPr>
        <w:t>temporarily</w:t>
      </w:r>
      <w:r w:rsidRPr="00B536FE">
        <w:rPr>
          <w:noProof/>
          <w:lang w:val="en-IE"/>
        </w:rPr>
        <w:t xml:space="preserve"> maintained, pending the outcome of the 202</w:t>
      </w:r>
      <w:r w:rsidR="00A57133" w:rsidRPr="00B536FE">
        <w:rPr>
          <w:noProof/>
          <w:lang w:val="en-IE"/>
        </w:rPr>
        <w:t>6</w:t>
      </w:r>
      <w:r w:rsidRPr="00B536FE">
        <w:rPr>
          <w:noProof/>
          <w:lang w:val="en-IE"/>
        </w:rPr>
        <w:t xml:space="preserve"> annual meeting of the SPRFMO held from </w:t>
      </w:r>
      <w:r w:rsidR="00BC58C9" w:rsidRPr="00B536FE">
        <w:rPr>
          <w:noProof/>
          <w:lang w:val="en-IE"/>
        </w:rPr>
        <w:t>2 to 6 March 2026</w:t>
      </w:r>
      <w:r w:rsidRPr="00B536FE">
        <w:rPr>
          <w:noProof/>
          <w:lang w:val="en-IE"/>
        </w:rPr>
        <w:t xml:space="preserve">. </w:t>
      </w:r>
    </w:p>
    <w:p w:rsidR="007532FC" w:rsidRPr="00B536FE" w:rsidRDefault="007532FC" w:rsidP="00440DA8">
      <w:pPr>
        <w:pBdr>
          <w:top w:val="nil"/>
          <w:left w:val="nil"/>
          <w:bottom w:val="nil"/>
          <w:right w:val="nil"/>
          <w:between w:val="nil"/>
          <w:bar w:val="nil"/>
        </w:pBdr>
        <w:spacing w:before="240" w:after="240"/>
        <w:rPr>
          <w:noProof/>
          <w:lang w:val="en-IE"/>
        </w:rPr>
      </w:pPr>
      <w:r w:rsidRPr="00B536FE">
        <w:rPr>
          <w:noProof/>
        </w:rPr>
        <w:t xml:space="preserve">Pending the outcome of that annual meeting, the text of the relevant recital </w:t>
      </w:r>
      <w:bookmarkStart w:id="2" w:name="_Hlk187917578"/>
      <w:r w:rsidRPr="00B536FE">
        <w:rPr>
          <w:noProof/>
        </w:rPr>
        <w:t xml:space="preserve">of </w:t>
      </w:r>
      <w:bookmarkEnd w:id="2"/>
      <w:r w:rsidR="00A93152" w:rsidRPr="00B536FE">
        <w:rPr>
          <w:noProof/>
        </w:rPr>
        <w:t>Regulation (EU) 2025/669</w:t>
      </w:r>
      <w:r w:rsidR="00A37F5E" w:rsidRPr="00B536FE">
        <w:rPr>
          <w:noProof/>
        </w:rPr>
        <w:t xml:space="preserve"> </w:t>
      </w:r>
      <w:r w:rsidRPr="00B536FE">
        <w:rPr>
          <w:noProof/>
        </w:rPr>
        <w:t xml:space="preserve">is included in square brackets and the TACs </w:t>
      </w:r>
      <w:r w:rsidR="00066357" w:rsidRPr="00B536FE">
        <w:rPr>
          <w:noProof/>
        </w:rPr>
        <w:t>in SPRFMO Convention area</w:t>
      </w:r>
      <w:r w:rsidRPr="00B536FE">
        <w:rPr>
          <w:noProof/>
        </w:rPr>
        <w:t xml:space="preserve"> </w:t>
      </w:r>
      <w:r w:rsidR="00066357" w:rsidRPr="00B536FE">
        <w:rPr>
          <w:noProof/>
        </w:rPr>
        <w:t xml:space="preserve">are </w:t>
      </w:r>
      <w:r w:rsidRPr="00B536FE">
        <w:rPr>
          <w:noProof/>
        </w:rPr>
        <w:t>marked ‘pm’</w:t>
      </w:r>
      <w:r w:rsidR="000F5FD1" w:rsidRPr="00B536FE">
        <w:rPr>
          <w:noProof/>
        </w:rPr>
        <w:t xml:space="preserve"> in this proposal</w:t>
      </w:r>
      <w:r w:rsidRPr="00B536FE">
        <w:rPr>
          <w:noProof/>
        </w:rPr>
        <w:t xml:space="preserve">. </w:t>
      </w:r>
      <w:r w:rsidRPr="00B536FE">
        <w:rPr>
          <w:noProof/>
          <w:lang w:val="en-IE"/>
        </w:rPr>
        <w:t xml:space="preserve">As soon as the outcome of </w:t>
      </w:r>
      <w:r w:rsidR="00066357" w:rsidRPr="00B536FE">
        <w:rPr>
          <w:noProof/>
          <w:lang w:val="en-IE"/>
        </w:rPr>
        <w:t>that annual meeting</w:t>
      </w:r>
      <w:r w:rsidRPr="00B536FE">
        <w:rPr>
          <w:noProof/>
          <w:lang w:val="en-IE"/>
        </w:rPr>
        <w:t xml:space="preserve"> is known, the Commission services will update the proposal by means of a non-paper proposing </w:t>
      </w:r>
      <w:r w:rsidR="00FB4D57" w:rsidRPr="00B536FE">
        <w:rPr>
          <w:noProof/>
          <w:lang w:val="en-IE"/>
        </w:rPr>
        <w:t>those</w:t>
      </w:r>
      <w:r w:rsidRPr="00B536FE">
        <w:rPr>
          <w:noProof/>
          <w:lang w:val="en-IE"/>
        </w:rPr>
        <w:t xml:space="preserve"> TAC</w:t>
      </w:r>
      <w:r w:rsidR="00066357" w:rsidRPr="00B536FE">
        <w:rPr>
          <w:noProof/>
          <w:lang w:val="en-IE"/>
        </w:rPr>
        <w:t>s</w:t>
      </w:r>
      <w:r w:rsidRPr="00B536FE">
        <w:rPr>
          <w:noProof/>
          <w:lang w:val="en-IE"/>
        </w:rPr>
        <w:t xml:space="preserve"> for 202</w:t>
      </w:r>
      <w:r w:rsidR="00BC58C9" w:rsidRPr="00B536FE">
        <w:rPr>
          <w:noProof/>
          <w:lang w:val="en-IE"/>
        </w:rPr>
        <w:t>6</w:t>
      </w:r>
      <w:r w:rsidRPr="00B536FE">
        <w:rPr>
          <w:noProof/>
          <w:lang w:val="en-IE"/>
        </w:rPr>
        <w:t xml:space="preserve"> at the level agreed </w:t>
      </w:r>
      <w:r w:rsidR="00066357" w:rsidRPr="00B536FE">
        <w:rPr>
          <w:noProof/>
          <w:lang w:val="en-IE"/>
        </w:rPr>
        <w:t>in the SPRF</w:t>
      </w:r>
      <w:r w:rsidR="00521C3B" w:rsidRPr="00B536FE">
        <w:rPr>
          <w:noProof/>
          <w:lang w:val="en-IE"/>
        </w:rPr>
        <w:t>MO.</w:t>
      </w:r>
    </w:p>
    <w:p w:rsidR="000F5FD1" w:rsidRPr="00B536FE" w:rsidRDefault="000F5FD1" w:rsidP="000F5FD1">
      <w:pPr>
        <w:pBdr>
          <w:top w:val="nil"/>
          <w:left w:val="nil"/>
          <w:bottom w:val="nil"/>
          <w:right w:val="nil"/>
          <w:between w:val="nil"/>
          <w:bar w:val="nil"/>
        </w:pBdr>
        <w:spacing w:before="240" w:after="240"/>
        <w:rPr>
          <w:b/>
          <w:noProof/>
          <w:lang w:val="en-IE"/>
        </w:rPr>
      </w:pPr>
      <w:r w:rsidRPr="00B536FE">
        <w:rPr>
          <w:b/>
          <w:noProof/>
          <w:lang w:val="en-IE"/>
        </w:rPr>
        <w:t>NPFC</w:t>
      </w:r>
    </w:p>
    <w:p w:rsidR="000F5FD1" w:rsidRPr="00B536FE" w:rsidRDefault="000F5FD1" w:rsidP="000F5FD1">
      <w:pPr>
        <w:pBdr>
          <w:top w:val="nil"/>
          <w:left w:val="nil"/>
          <w:bottom w:val="nil"/>
          <w:right w:val="nil"/>
          <w:between w:val="nil"/>
          <w:bar w:val="nil"/>
        </w:pBdr>
        <w:spacing w:before="240" w:after="240"/>
        <w:rPr>
          <w:noProof/>
        </w:rPr>
      </w:pPr>
      <w:r w:rsidRPr="00B536FE">
        <w:rPr>
          <w:noProof/>
          <w:lang w:val="en-IE"/>
        </w:rPr>
        <w:t>Pending the outcome of the 10</w:t>
      </w:r>
      <w:r w:rsidRPr="00B536FE">
        <w:rPr>
          <w:noProof/>
          <w:vertAlign w:val="superscript"/>
          <w:lang w:val="en-IE"/>
        </w:rPr>
        <w:t>th</w:t>
      </w:r>
      <w:r w:rsidRPr="00B536FE">
        <w:rPr>
          <w:noProof/>
          <w:lang w:val="en-IE"/>
        </w:rPr>
        <w:t xml:space="preserve"> session of the North Pacific Fisheries Commission (NPFC), to be held from 14 to 17 April 2026, Regulation (EU) 2026/249 provisionally set at zero the fishing opportunities for Chub mackerel (</w:t>
      </w:r>
      <w:r w:rsidRPr="00B536FE">
        <w:rPr>
          <w:i/>
          <w:iCs/>
          <w:noProof/>
        </w:rPr>
        <w:t>Scomber japonicus</w:t>
      </w:r>
      <w:r w:rsidRPr="00B536FE">
        <w:rPr>
          <w:noProof/>
        </w:rPr>
        <w:t>) in the NPFC Convention area for the period from 1 June 2026 to 31 May 2027.</w:t>
      </w:r>
      <w:r w:rsidRPr="00B536FE">
        <w:rPr>
          <w:noProof/>
          <w:lang w:val="en-IE"/>
        </w:rPr>
        <w:t xml:space="preserve"> </w:t>
      </w:r>
    </w:p>
    <w:p w:rsidR="000F5FD1" w:rsidRPr="00B536FE" w:rsidRDefault="000F5FD1" w:rsidP="00440DA8">
      <w:pPr>
        <w:pBdr>
          <w:top w:val="nil"/>
          <w:left w:val="nil"/>
          <w:bottom w:val="nil"/>
          <w:right w:val="nil"/>
          <w:between w:val="nil"/>
          <w:bar w:val="nil"/>
        </w:pBdr>
        <w:spacing w:before="240" w:after="240"/>
        <w:rPr>
          <w:noProof/>
        </w:rPr>
      </w:pPr>
      <w:r w:rsidRPr="00B536FE">
        <w:rPr>
          <w:noProof/>
        </w:rPr>
        <w:t>Those fishing opportunities should be marked ‘to be established’. That is to allow the fishery for Chub mackerel to start from 1 June 2026, following the conclusion of the NPFC session</w:t>
      </w:r>
      <w:r w:rsidR="005B4A19" w:rsidRPr="00B536FE">
        <w:rPr>
          <w:noProof/>
        </w:rPr>
        <w:t xml:space="preserve">, </w:t>
      </w:r>
      <w:r w:rsidRPr="00B536FE">
        <w:rPr>
          <w:noProof/>
        </w:rPr>
        <w:t xml:space="preserve"> </w:t>
      </w:r>
      <w:r w:rsidR="00D51A78" w:rsidRPr="00B536FE">
        <w:rPr>
          <w:noProof/>
        </w:rPr>
        <w:t>for</w:t>
      </w:r>
      <w:r w:rsidRPr="00B536FE">
        <w:rPr>
          <w:noProof/>
        </w:rPr>
        <w:t xml:space="preserve"> EU fishing vessel</w:t>
      </w:r>
      <w:r w:rsidR="005B4A19" w:rsidRPr="00B536FE">
        <w:rPr>
          <w:noProof/>
        </w:rPr>
        <w:t>s</w:t>
      </w:r>
      <w:r w:rsidRPr="00B536FE">
        <w:rPr>
          <w:noProof/>
        </w:rPr>
        <w:t xml:space="preserve"> issued a fishing authorisation in accordance with Article</w:t>
      </w:r>
      <w:r w:rsidR="005B4A19" w:rsidRPr="00B536FE">
        <w:rPr>
          <w:noProof/>
        </w:rPr>
        <w:t>s</w:t>
      </w:r>
      <w:r w:rsidRPr="00B536FE">
        <w:rPr>
          <w:noProof/>
        </w:rPr>
        <w:t xml:space="preserve"> 20 to 22 of Regulation (EU) 2017/2403 of the European Parliament and of the Council</w:t>
      </w:r>
      <w:r w:rsidRPr="00A142A4">
        <w:rPr>
          <w:rStyle w:val="FootnoteReference"/>
          <w:noProof/>
        </w:rPr>
        <w:footnoteReference w:id="13"/>
      </w:r>
      <w:r w:rsidRPr="00B536FE">
        <w:rPr>
          <w:noProof/>
        </w:rPr>
        <w:t>.</w:t>
      </w:r>
    </w:p>
    <w:p w:rsidR="000F5FD1" w:rsidRPr="00B536FE" w:rsidRDefault="000F5FD1" w:rsidP="000F5FD1">
      <w:pPr>
        <w:pBdr>
          <w:top w:val="nil"/>
          <w:left w:val="nil"/>
          <w:bottom w:val="nil"/>
          <w:right w:val="nil"/>
          <w:between w:val="nil"/>
          <w:bar w:val="nil"/>
        </w:pBdr>
        <w:spacing w:before="240" w:after="240"/>
        <w:rPr>
          <w:b/>
          <w:bCs/>
          <w:noProof/>
          <w:lang w:val="en-IE"/>
        </w:rPr>
      </w:pPr>
      <w:r w:rsidRPr="00B536FE">
        <w:rPr>
          <w:b/>
          <w:bCs/>
          <w:noProof/>
          <w:lang w:val="en-IE"/>
        </w:rPr>
        <w:t>IATTC</w:t>
      </w:r>
    </w:p>
    <w:p w:rsidR="000F5FD1" w:rsidRPr="00B536FE" w:rsidRDefault="000F5FD1" w:rsidP="000F5FD1">
      <w:pPr>
        <w:spacing w:before="240" w:after="240"/>
        <w:rPr>
          <w:noProof/>
        </w:rPr>
      </w:pPr>
      <w:r w:rsidRPr="00B536FE">
        <w:rPr>
          <w:noProof/>
          <w:lang w:val="en-US"/>
        </w:rPr>
        <w:t xml:space="preserve">Regulation (EU) 2026/249 established two groups of closure periods for EU purse seine fishing vessels in the </w:t>
      </w:r>
      <w:r w:rsidRPr="00B536FE">
        <w:rPr>
          <w:noProof/>
        </w:rPr>
        <w:t>Inter-American Tropical Tuna Commission (IATTC) Convention area</w:t>
      </w:r>
      <w:r w:rsidRPr="00B536FE">
        <w:rPr>
          <w:noProof/>
          <w:lang w:val="en-US"/>
        </w:rPr>
        <w:t xml:space="preserve"> for 2026</w:t>
      </w:r>
      <w:r w:rsidRPr="00B536FE">
        <w:rPr>
          <w:noProof/>
        </w:rPr>
        <w:t>, during which those vessels are prohibited from fishing for yellowfin tuna (</w:t>
      </w:r>
      <w:r w:rsidRPr="00B536FE">
        <w:rPr>
          <w:i/>
          <w:iCs/>
          <w:noProof/>
        </w:rPr>
        <w:t>Thunnus albacares</w:t>
      </w:r>
      <w:r w:rsidRPr="00B536FE">
        <w:rPr>
          <w:noProof/>
        </w:rPr>
        <w:t>), bigeye tuna or skipjack tuna (</w:t>
      </w:r>
      <w:r w:rsidRPr="00B536FE">
        <w:rPr>
          <w:i/>
          <w:iCs/>
          <w:noProof/>
        </w:rPr>
        <w:t>Katsuwonus pelamis</w:t>
      </w:r>
      <w:r w:rsidRPr="00B536FE">
        <w:rPr>
          <w:noProof/>
        </w:rPr>
        <w:t xml:space="preserve">). That Regulation also established extensions to those closure periods for vessels whose annual catches of bigeye tuna </w:t>
      </w:r>
      <w:r w:rsidR="00A3052F">
        <w:rPr>
          <w:noProof/>
        </w:rPr>
        <w:t xml:space="preserve">in the IATTC Convention area during the previous year </w:t>
      </w:r>
      <w:r w:rsidRPr="00B536FE">
        <w:rPr>
          <w:noProof/>
        </w:rPr>
        <w:t>exceed</w:t>
      </w:r>
      <w:r w:rsidR="00A3052F">
        <w:rPr>
          <w:noProof/>
        </w:rPr>
        <w:t>ed</w:t>
      </w:r>
      <w:r w:rsidRPr="00B536FE">
        <w:rPr>
          <w:noProof/>
        </w:rPr>
        <w:t xml:space="preserve"> certain levels. </w:t>
      </w:r>
    </w:p>
    <w:p w:rsidR="0066246E" w:rsidRDefault="000F5FD1" w:rsidP="0066246E">
      <w:pPr>
        <w:spacing w:before="240" w:after="240"/>
        <w:rPr>
          <w:noProof/>
        </w:rPr>
      </w:pPr>
      <w:r w:rsidRPr="00B536FE">
        <w:rPr>
          <w:noProof/>
        </w:rPr>
        <w:t>In line with the measures adopted by the IATTC at its 2021, 2024 and 2025 annual meetings, those provisions should be amended so that the first group of closure periods applies throughout the entire IATTC Convention area</w:t>
      </w:r>
      <w:r w:rsidR="00D51A78" w:rsidRPr="00B536FE">
        <w:rPr>
          <w:noProof/>
        </w:rPr>
        <w:t xml:space="preserve"> whilst the second group of closure periods continues to apply in a specific area only. In addition,</w:t>
      </w:r>
      <w:r w:rsidR="00881C47" w:rsidRPr="00B536FE">
        <w:rPr>
          <w:noProof/>
        </w:rPr>
        <w:t xml:space="preserve"> those provisions should be amended so that</w:t>
      </w:r>
      <w:r w:rsidRPr="00B536FE">
        <w:rPr>
          <w:noProof/>
        </w:rPr>
        <w:t xml:space="preserve"> the extensions of the closure periods </w:t>
      </w:r>
      <w:r w:rsidRPr="00B536FE">
        <w:rPr>
          <w:rFonts w:eastAsia="Times New Roman"/>
          <w:noProof/>
        </w:rPr>
        <w:t>for EU purse seine fishing vessels, based on their catches of bigeye tuna in the IATTC Convention area</w:t>
      </w:r>
      <w:r w:rsidR="0066246E">
        <w:rPr>
          <w:rFonts w:eastAsia="Times New Roman"/>
          <w:noProof/>
        </w:rPr>
        <w:t xml:space="preserve"> during the previous year</w:t>
      </w:r>
      <w:r w:rsidRPr="00B536FE">
        <w:rPr>
          <w:rFonts w:eastAsia="Times New Roman"/>
          <w:noProof/>
        </w:rPr>
        <w:t xml:space="preserve">, </w:t>
      </w:r>
      <w:r w:rsidRPr="00B536FE">
        <w:rPr>
          <w:noProof/>
        </w:rPr>
        <w:t xml:space="preserve">only apply to </w:t>
      </w:r>
      <w:r w:rsidR="00881C47" w:rsidRPr="00B536FE">
        <w:rPr>
          <w:noProof/>
        </w:rPr>
        <w:t xml:space="preserve">the first </w:t>
      </w:r>
      <w:r w:rsidRPr="00B536FE">
        <w:rPr>
          <w:noProof/>
        </w:rPr>
        <w:t>group of closure periods</w:t>
      </w:r>
      <w:r w:rsidR="00881C47" w:rsidRPr="00B536FE">
        <w:rPr>
          <w:noProof/>
        </w:rPr>
        <w:t xml:space="preserve"> and thus no longer apply to the second group of closure periods</w:t>
      </w:r>
      <w:r w:rsidRPr="00B536FE">
        <w:rPr>
          <w:noProof/>
        </w:rPr>
        <w:t>.</w:t>
      </w:r>
      <w:r w:rsidR="0066246E">
        <w:rPr>
          <w:noProof/>
        </w:rPr>
        <w:t xml:space="preserve"> </w:t>
      </w:r>
    </w:p>
    <w:p w:rsidR="000F5FD1" w:rsidRPr="00B536FE" w:rsidRDefault="000F5FD1" w:rsidP="000F5FD1">
      <w:pPr>
        <w:spacing w:before="0" w:after="0"/>
        <w:rPr>
          <w:noProof/>
        </w:rPr>
      </w:pPr>
      <w:r w:rsidRPr="00B536FE">
        <w:rPr>
          <w:noProof/>
        </w:rPr>
        <w:t>On 20 January 2021, the European Parliament and the Council adopted Regulation (EU) Regulation (EU) 2021/56</w:t>
      </w:r>
      <w:r w:rsidRPr="00B536FE">
        <w:rPr>
          <w:rStyle w:val="FootnoteReference"/>
          <w:noProof/>
        </w:rPr>
        <w:footnoteReference w:id="14"/>
      </w:r>
      <w:r w:rsidRPr="00B536FE">
        <w:rPr>
          <w:noProof/>
        </w:rPr>
        <w:t xml:space="preserve"> implementing into EU law certain management, conservation and control measures applicable in the IATTC Convention area. Article 8 of that Regulation establishes measures for oceanic whitetip sharks (</w:t>
      </w:r>
      <w:r w:rsidRPr="00B536FE">
        <w:rPr>
          <w:i/>
          <w:iCs/>
          <w:noProof/>
        </w:rPr>
        <w:t>Carcharhinus longimanus</w:t>
      </w:r>
      <w:r w:rsidRPr="00B536FE">
        <w:rPr>
          <w:noProof/>
        </w:rPr>
        <w:t xml:space="preserve">). </w:t>
      </w:r>
      <w:r w:rsidR="0066246E" w:rsidRPr="0066246E">
        <w:rPr>
          <w:noProof/>
        </w:rPr>
        <w:t xml:space="preserve">Article 40 of Regulation (EU) 2026/249 overlaps with Regulation (EU) 2021/56 on that subject matter and </w:t>
      </w:r>
      <w:r w:rsidR="0066246E" w:rsidRPr="0066246E">
        <w:rPr>
          <w:noProof/>
        </w:rPr>
        <w:lastRenderedPageBreak/>
        <w:t xml:space="preserve">imposes requirements that are already addressed under Union law. It is therefore appropriate to delete Article 40 of Regulation (EU) 2026/249. </w:t>
      </w:r>
    </w:p>
    <w:p w:rsidR="000E4BB7" w:rsidRPr="00B536FE" w:rsidRDefault="000E4BB7" w:rsidP="00FF1B67">
      <w:pPr>
        <w:pBdr>
          <w:top w:val="nil"/>
          <w:left w:val="nil"/>
          <w:bottom w:val="nil"/>
          <w:right w:val="nil"/>
          <w:between w:val="nil"/>
          <w:bar w:val="nil"/>
        </w:pBdr>
        <w:spacing w:before="240" w:after="240"/>
        <w:rPr>
          <w:b/>
          <w:bCs/>
          <w:noProof/>
          <w:lang w:val="en-IE"/>
        </w:rPr>
      </w:pPr>
      <w:r w:rsidRPr="00B536FE">
        <w:rPr>
          <w:b/>
          <w:bCs/>
          <w:noProof/>
          <w:lang w:val="en-IE"/>
        </w:rPr>
        <w:t>Sole in Iberian waters</w:t>
      </w:r>
    </w:p>
    <w:p w:rsidR="00135F4D" w:rsidRPr="00B536FE" w:rsidRDefault="007C22CC" w:rsidP="00CA6D7C">
      <w:pPr>
        <w:pBdr>
          <w:top w:val="nil"/>
          <w:left w:val="nil"/>
          <w:bottom w:val="nil"/>
          <w:right w:val="nil"/>
          <w:between w:val="nil"/>
          <w:bar w:val="nil"/>
        </w:pBdr>
        <w:spacing w:before="240" w:after="240"/>
        <w:rPr>
          <w:noProof/>
          <w:lang w:val="en-US"/>
        </w:rPr>
      </w:pPr>
      <w:r w:rsidRPr="00B536FE">
        <w:rPr>
          <w:noProof/>
          <w:lang w:val="en-US"/>
        </w:rPr>
        <w:t>Regulation (EU) 2026/</w:t>
      </w:r>
      <w:r w:rsidR="00A56915" w:rsidRPr="00B536FE">
        <w:rPr>
          <w:noProof/>
          <w:lang w:val="en-US"/>
        </w:rPr>
        <w:t>249</w:t>
      </w:r>
      <w:r w:rsidRPr="00B536FE">
        <w:rPr>
          <w:noProof/>
          <w:lang w:val="en-US"/>
        </w:rPr>
        <w:t xml:space="preserve"> set</w:t>
      </w:r>
      <w:r w:rsidR="0066246E">
        <w:rPr>
          <w:noProof/>
          <w:lang w:val="en-US"/>
        </w:rPr>
        <w:t>s</w:t>
      </w:r>
      <w:r w:rsidRPr="00B536FE">
        <w:rPr>
          <w:noProof/>
          <w:lang w:val="en-US"/>
        </w:rPr>
        <w:t xml:space="preserve"> a TAC for sole in ICES divisions 8c, 8d and 8e (southern Bay of Biscay), subareas 9 and 10, and EU waters of Fishery Committee for the Eastern Central Atlantic (CECAF) 34.1.1 (Iberian waters) for 2026 and for 2027. </w:t>
      </w:r>
      <w:r w:rsidR="002B3B91" w:rsidRPr="00B536FE">
        <w:rPr>
          <w:noProof/>
          <w:lang w:val="en-US"/>
        </w:rPr>
        <w:t xml:space="preserve">According to ICES, </w:t>
      </w:r>
      <w:r w:rsidR="001A1EEA" w:rsidRPr="00B536FE">
        <w:rPr>
          <w:noProof/>
          <w:lang w:val="en-US"/>
        </w:rPr>
        <w:t>there are</w:t>
      </w:r>
      <w:r w:rsidR="002B3B91" w:rsidRPr="00B536FE">
        <w:rPr>
          <w:noProof/>
          <w:lang w:val="en-US"/>
        </w:rPr>
        <w:t xml:space="preserve"> three main species of sole caught in that </w:t>
      </w:r>
      <w:r w:rsidR="001C7701" w:rsidRPr="00B536FE">
        <w:rPr>
          <w:noProof/>
          <w:lang w:val="en-US"/>
        </w:rPr>
        <w:t>area:</w:t>
      </w:r>
      <w:r w:rsidR="002B3B91" w:rsidRPr="00B536FE">
        <w:rPr>
          <w:noProof/>
          <w:lang w:val="en-US"/>
        </w:rPr>
        <w:t xml:space="preserve"> common sole (</w:t>
      </w:r>
      <w:r w:rsidR="002B3B91" w:rsidRPr="00B536FE">
        <w:rPr>
          <w:i/>
          <w:iCs/>
          <w:noProof/>
          <w:lang w:val="en-US"/>
        </w:rPr>
        <w:t>Solea solea</w:t>
      </w:r>
      <w:r w:rsidR="002B3B91" w:rsidRPr="00B536FE">
        <w:rPr>
          <w:noProof/>
          <w:lang w:val="en-US"/>
        </w:rPr>
        <w:t>), Senegalese sole (</w:t>
      </w:r>
      <w:r w:rsidR="002B3B91" w:rsidRPr="00B536FE">
        <w:rPr>
          <w:i/>
          <w:iCs/>
          <w:noProof/>
          <w:lang w:val="en-US"/>
        </w:rPr>
        <w:t>Solea senegalensis</w:t>
      </w:r>
      <w:r w:rsidR="002B3B91" w:rsidRPr="00B536FE">
        <w:rPr>
          <w:noProof/>
          <w:lang w:val="en-US"/>
        </w:rPr>
        <w:t>) and sand sole (</w:t>
      </w:r>
      <w:r w:rsidR="002B3B91" w:rsidRPr="00B536FE">
        <w:rPr>
          <w:i/>
          <w:iCs/>
          <w:noProof/>
          <w:lang w:val="en-US"/>
        </w:rPr>
        <w:t>Pegusa lascaris</w:t>
      </w:r>
      <w:r w:rsidR="002B3B91" w:rsidRPr="00B536FE">
        <w:rPr>
          <w:noProof/>
          <w:lang w:val="en-US"/>
        </w:rPr>
        <w:t>).</w:t>
      </w:r>
      <w:r w:rsidR="00845513" w:rsidRPr="00B536FE">
        <w:rPr>
          <w:noProof/>
          <w:lang w:val="en-US"/>
        </w:rPr>
        <w:t xml:space="preserve"> The scientific name referred to in the TAC is “</w:t>
      </w:r>
      <w:r w:rsidR="00845513" w:rsidRPr="00B536FE">
        <w:rPr>
          <w:i/>
          <w:iCs/>
          <w:noProof/>
          <w:lang w:val="en-US"/>
        </w:rPr>
        <w:t>Solea</w:t>
      </w:r>
      <w:r w:rsidR="00845513" w:rsidRPr="00B536FE">
        <w:rPr>
          <w:noProof/>
          <w:lang w:val="en-US"/>
        </w:rPr>
        <w:t xml:space="preserve"> spp.”, which does not cover sand sole</w:t>
      </w:r>
      <w:r w:rsidR="003C3D85" w:rsidRPr="00B536FE">
        <w:rPr>
          <w:noProof/>
          <w:lang w:val="en-US"/>
        </w:rPr>
        <w:t xml:space="preserve"> as that does not belong to the </w:t>
      </w:r>
      <w:r w:rsidR="008C0F0F" w:rsidRPr="00B536FE">
        <w:rPr>
          <w:noProof/>
          <w:lang w:val="en-US"/>
        </w:rPr>
        <w:t>genus</w:t>
      </w:r>
      <w:r w:rsidR="001C7701" w:rsidRPr="00B536FE">
        <w:rPr>
          <w:noProof/>
          <w:lang w:val="en-US"/>
        </w:rPr>
        <w:t xml:space="preserve"> </w:t>
      </w:r>
      <w:r w:rsidR="001C7701" w:rsidRPr="00B536FE">
        <w:rPr>
          <w:i/>
          <w:iCs/>
          <w:noProof/>
          <w:lang w:val="en-US"/>
        </w:rPr>
        <w:t>Solea</w:t>
      </w:r>
      <w:r w:rsidR="00845513" w:rsidRPr="00B536FE">
        <w:rPr>
          <w:noProof/>
          <w:lang w:val="en-US"/>
        </w:rPr>
        <w:t xml:space="preserve">. </w:t>
      </w:r>
      <w:r w:rsidR="00F62C17" w:rsidRPr="00B536FE">
        <w:rPr>
          <w:noProof/>
          <w:lang w:val="en-US"/>
        </w:rPr>
        <w:t xml:space="preserve">However, </w:t>
      </w:r>
      <w:r w:rsidR="00515D60" w:rsidRPr="00B536FE">
        <w:rPr>
          <w:noProof/>
          <w:lang w:val="en-US"/>
        </w:rPr>
        <w:t xml:space="preserve">sand sole was previously referred to </w:t>
      </w:r>
      <w:r w:rsidR="003D377F" w:rsidRPr="00B536FE">
        <w:rPr>
          <w:noProof/>
          <w:lang w:val="en-US"/>
        </w:rPr>
        <w:t xml:space="preserve">by scientists </w:t>
      </w:r>
      <w:r w:rsidR="00515D60" w:rsidRPr="00B536FE">
        <w:rPr>
          <w:noProof/>
          <w:lang w:val="en-US"/>
        </w:rPr>
        <w:t xml:space="preserve">as </w:t>
      </w:r>
      <w:r w:rsidR="00515D60" w:rsidRPr="00B536FE">
        <w:rPr>
          <w:i/>
          <w:iCs/>
          <w:noProof/>
          <w:lang w:val="en-US"/>
        </w:rPr>
        <w:t>Solea lascaris</w:t>
      </w:r>
      <w:r w:rsidR="00B00316" w:rsidRPr="00B536FE">
        <w:rPr>
          <w:noProof/>
          <w:lang w:val="en-US"/>
        </w:rPr>
        <w:t xml:space="preserve"> and as a result </w:t>
      </w:r>
      <w:r w:rsidR="000131A8" w:rsidRPr="00B536FE">
        <w:rPr>
          <w:noProof/>
          <w:lang w:val="en-US"/>
        </w:rPr>
        <w:t>was</w:t>
      </w:r>
      <w:r w:rsidR="003D377F" w:rsidRPr="00B536FE">
        <w:rPr>
          <w:noProof/>
          <w:lang w:val="en-US"/>
        </w:rPr>
        <w:t xml:space="preserve"> previously</w:t>
      </w:r>
      <w:r w:rsidR="000131A8" w:rsidRPr="00B536FE">
        <w:rPr>
          <w:noProof/>
          <w:lang w:val="en-US"/>
        </w:rPr>
        <w:t xml:space="preserve"> </w:t>
      </w:r>
      <w:r w:rsidR="00B00316" w:rsidRPr="00B536FE">
        <w:rPr>
          <w:noProof/>
          <w:lang w:val="en-US"/>
        </w:rPr>
        <w:t xml:space="preserve">considered to belong to the genus </w:t>
      </w:r>
      <w:r w:rsidR="00B00316" w:rsidRPr="00B536FE">
        <w:rPr>
          <w:i/>
          <w:iCs/>
          <w:noProof/>
          <w:lang w:val="en-US"/>
        </w:rPr>
        <w:t>Solea</w:t>
      </w:r>
      <w:r w:rsidR="00B00316" w:rsidRPr="00B536FE">
        <w:rPr>
          <w:noProof/>
          <w:lang w:val="en-US"/>
        </w:rPr>
        <w:t>.</w:t>
      </w:r>
    </w:p>
    <w:p w:rsidR="00011109" w:rsidRPr="00B536FE" w:rsidRDefault="0066246E" w:rsidP="00CA6D7C">
      <w:pPr>
        <w:pBdr>
          <w:top w:val="nil"/>
          <w:left w:val="nil"/>
          <w:bottom w:val="nil"/>
          <w:right w:val="nil"/>
          <w:between w:val="nil"/>
          <w:bar w:val="nil"/>
        </w:pBdr>
        <w:spacing w:before="240" w:after="240"/>
        <w:rPr>
          <w:noProof/>
          <w:lang w:val="en-US"/>
        </w:rPr>
      </w:pPr>
      <w:r>
        <w:rPr>
          <w:noProof/>
          <w:lang w:val="en-US"/>
        </w:rPr>
        <w:t>T</w:t>
      </w:r>
      <w:r w:rsidR="00404599" w:rsidRPr="00B536FE">
        <w:rPr>
          <w:noProof/>
          <w:lang w:val="en-US"/>
        </w:rPr>
        <w:t>he Commission</w:t>
      </w:r>
      <w:r w:rsidR="00B00316" w:rsidRPr="00B536FE">
        <w:rPr>
          <w:noProof/>
          <w:lang w:val="en-US"/>
        </w:rPr>
        <w:t xml:space="preserve"> </w:t>
      </w:r>
      <w:r w:rsidR="001168E9" w:rsidRPr="00B536FE">
        <w:rPr>
          <w:noProof/>
          <w:lang w:val="en-US"/>
        </w:rPr>
        <w:t xml:space="preserve">proposed the level of the TAC for 2026 and 2027 </w:t>
      </w:r>
      <w:r w:rsidR="00404599" w:rsidRPr="00B536FE">
        <w:rPr>
          <w:noProof/>
        </w:rPr>
        <w:t>in line with the advice for common sole and taking into account the catch shares of the three species of sole (49% common sole and 51%</w:t>
      </w:r>
      <w:r w:rsidR="002856AF" w:rsidRPr="00B536FE">
        <w:rPr>
          <w:noProof/>
        </w:rPr>
        <w:t xml:space="preserve"> both</w:t>
      </w:r>
      <w:r w:rsidR="00404599" w:rsidRPr="00B536FE">
        <w:rPr>
          <w:noProof/>
        </w:rPr>
        <w:t xml:space="preserve"> Senegalese and sand sole)</w:t>
      </w:r>
      <w:r w:rsidR="00536B00" w:rsidRPr="00B536FE">
        <w:rPr>
          <w:noProof/>
          <w:lang w:val="en-US"/>
        </w:rPr>
        <w:t xml:space="preserve">. In addition, </w:t>
      </w:r>
      <w:r w:rsidR="00B063CE" w:rsidRPr="00B536FE">
        <w:rPr>
          <w:noProof/>
          <w:lang w:val="en-US"/>
        </w:rPr>
        <w:t xml:space="preserve">landings of </w:t>
      </w:r>
      <w:r w:rsidR="002C1C0D" w:rsidRPr="00B536FE">
        <w:rPr>
          <w:noProof/>
          <w:lang w:val="en-US"/>
        </w:rPr>
        <w:t>sand sole have been notified under the TAC</w:t>
      </w:r>
      <w:r w:rsidR="006836BE" w:rsidRPr="00B536FE">
        <w:rPr>
          <w:noProof/>
          <w:lang w:val="en-US"/>
        </w:rPr>
        <w:t xml:space="preserve"> by one of the t</w:t>
      </w:r>
      <w:r w:rsidR="00352B6D" w:rsidRPr="00B536FE">
        <w:rPr>
          <w:noProof/>
          <w:lang w:val="en-US"/>
        </w:rPr>
        <w:t>wo</w:t>
      </w:r>
      <w:r w:rsidR="00E47499" w:rsidRPr="00B536FE">
        <w:rPr>
          <w:noProof/>
          <w:lang w:val="en-US"/>
        </w:rPr>
        <w:t xml:space="preserve"> </w:t>
      </w:r>
      <w:r w:rsidR="00352B6D" w:rsidRPr="00B536FE">
        <w:rPr>
          <w:noProof/>
          <w:lang w:val="en-US"/>
        </w:rPr>
        <w:t>Member States</w:t>
      </w:r>
      <w:r w:rsidR="00E47499" w:rsidRPr="00B536FE">
        <w:rPr>
          <w:noProof/>
          <w:lang w:val="en-US"/>
        </w:rPr>
        <w:t xml:space="preserve"> concerned</w:t>
      </w:r>
      <w:r w:rsidR="00536B00" w:rsidRPr="00B536FE">
        <w:rPr>
          <w:noProof/>
          <w:lang w:val="en-US"/>
        </w:rPr>
        <w:t xml:space="preserve">. </w:t>
      </w:r>
      <w:r w:rsidR="00AA1442" w:rsidRPr="00B536FE">
        <w:rPr>
          <w:noProof/>
          <w:lang w:val="en-US"/>
        </w:rPr>
        <w:t>Alt</w:t>
      </w:r>
      <w:r w:rsidR="00536B00" w:rsidRPr="00B536FE">
        <w:rPr>
          <w:noProof/>
          <w:lang w:val="en-US"/>
        </w:rPr>
        <w:t xml:space="preserve">hough </w:t>
      </w:r>
      <w:r w:rsidR="00E47499" w:rsidRPr="00B536FE">
        <w:rPr>
          <w:noProof/>
          <w:lang w:val="en-US"/>
        </w:rPr>
        <w:t xml:space="preserve">the other </w:t>
      </w:r>
      <w:r w:rsidR="00A83E68" w:rsidRPr="00B536FE">
        <w:rPr>
          <w:noProof/>
          <w:lang w:val="en-US"/>
        </w:rPr>
        <w:t>Member State</w:t>
      </w:r>
      <w:r w:rsidR="00E47499" w:rsidRPr="00B536FE">
        <w:rPr>
          <w:noProof/>
          <w:lang w:val="en-US"/>
        </w:rPr>
        <w:t xml:space="preserve"> concerned</w:t>
      </w:r>
      <w:r w:rsidR="00536B00" w:rsidRPr="00B536FE">
        <w:rPr>
          <w:noProof/>
          <w:lang w:val="en-US"/>
        </w:rPr>
        <w:t xml:space="preserve"> has not notified landings of sand sole under the TAC.</w:t>
      </w:r>
      <w:r w:rsidR="00011109" w:rsidRPr="00B536FE">
        <w:rPr>
          <w:noProof/>
          <w:lang w:val="en-US"/>
        </w:rPr>
        <w:t xml:space="preserve"> </w:t>
      </w:r>
    </w:p>
    <w:p w:rsidR="002B3B91" w:rsidRPr="00B536FE" w:rsidRDefault="00A83E68" w:rsidP="00CA6D7C">
      <w:pPr>
        <w:pBdr>
          <w:top w:val="nil"/>
          <w:left w:val="nil"/>
          <w:bottom w:val="nil"/>
          <w:right w:val="nil"/>
          <w:between w:val="nil"/>
          <w:bar w:val="nil"/>
        </w:pBdr>
        <w:spacing w:before="240" w:after="240"/>
        <w:rPr>
          <w:noProof/>
          <w:lang w:val="en-US"/>
        </w:rPr>
      </w:pPr>
      <w:r w:rsidRPr="00B536FE">
        <w:rPr>
          <w:noProof/>
          <w:lang w:val="en-US"/>
        </w:rPr>
        <w:t>T</w:t>
      </w:r>
      <w:r w:rsidR="00FB65A0" w:rsidRPr="00B536FE">
        <w:rPr>
          <w:noProof/>
          <w:lang w:val="en-US"/>
        </w:rPr>
        <w:t xml:space="preserve">o </w:t>
      </w:r>
      <w:r w:rsidRPr="00B536FE">
        <w:rPr>
          <w:noProof/>
          <w:lang w:val="en-US"/>
        </w:rPr>
        <w:t>provide legal certainty, the scientific name</w:t>
      </w:r>
      <w:r w:rsidR="00011109" w:rsidRPr="00B536FE">
        <w:rPr>
          <w:noProof/>
          <w:lang w:val="en-US"/>
        </w:rPr>
        <w:t xml:space="preserve"> referred to in the TAC for</w:t>
      </w:r>
      <w:r w:rsidRPr="00B536FE">
        <w:rPr>
          <w:noProof/>
          <w:lang w:val="en-US"/>
        </w:rPr>
        <w:t xml:space="preserve"> </w:t>
      </w:r>
      <w:r w:rsidR="00011109" w:rsidRPr="00B536FE">
        <w:rPr>
          <w:noProof/>
          <w:lang w:val="en-US"/>
        </w:rPr>
        <w:t xml:space="preserve">sole in ICES divisions 8c, 8d and 8e </w:t>
      </w:r>
      <w:r w:rsidRPr="00B536FE">
        <w:rPr>
          <w:noProof/>
          <w:lang w:val="en-US"/>
        </w:rPr>
        <w:t xml:space="preserve">should therefore be amended. Taking into account </w:t>
      </w:r>
      <w:r w:rsidR="00FB65A0" w:rsidRPr="00B536FE">
        <w:rPr>
          <w:noProof/>
          <w:lang w:val="en-US"/>
        </w:rPr>
        <w:t>the above</w:t>
      </w:r>
      <w:r w:rsidRPr="00B536FE">
        <w:rPr>
          <w:noProof/>
          <w:lang w:val="en-US"/>
        </w:rPr>
        <w:t>, it is proposed to replace the scientific nam</w:t>
      </w:r>
      <w:r w:rsidR="00F80BC2" w:rsidRPr="00B536FE">
        <w:rPr>
          <w:noProof/>
          <w:lang w:val="en-US"/>
        </w:rPr>
        <w:t>e</w:t>
      </w:r>
      <w:r w:rsidRPr="00B536FE">
        <w:rPr>
          <w:noProof/>
          <w:lang w:val="en-US"/>
        </w:rPr>
        <w:t xml:space="preserve"> “</w:t>
      </w:r>
      <w:r w:rsidRPr="00B536FE">
        <w:rPr>
          <w:i/>
          <w:iCs/>
          <w:noProof/>
          <w:lang w:val="en-US"/>
        </w:rPr>
        <w:t>Solea</w:t>
      </w:r>
      <w:r w:rsidRPr="00B536FE">
        <w:rPr>
          <w:noProof/>
          <w:lang w:val="en-US"/>
        </w:rPr>
        <w:t xml:space="preserve"> spp.” by “</w:t>
      </w:r>
      <w:r w:rsidRPr="00B536FE">
        <w:rPr>
          <w:i/>
          <w:iCs/>
          <w:noProof/>
          <w:lang w:val="en-US"/>
        </w:rPr>
        <w:t>Solea</w:t>
      </w:r>
      <w:r w:rsidRPr="00B536FE">
        <w:rPr>
          <w:noProof/>
          <w:lang w:val="en-US"/>
        </w:rPr>
        <w:t xml:space="preserve"> spp. and </w:t>
      </w:r>
      <w:r w:rsidRPr="00B536FE">
        <w:rPr>
          <w:i/>
          <w:iCs/>
          <w:noProof/>
          <w:lang w:val="en-US"/>
        </w:rPr>
        <w:t>Pegusa lascaris</w:t>
      </w:r>
      <w:r w:rsidRPr="00B536FE">
        <w:rPr>
          <w:noProof/>
          <w:lang w:val="en-US"/>
        </w:rPr>
        <w:t>”</w:t>
      </w:r>
      <w:r w:rsidR="00AE5C54" w:rsidRPr="00B536FE">
        <w:rPr>
          <w:noProof/>
          <w:lang w:val="en-US"/>
        </w:rPr>
        <w:t xml:space="preserve"> to also cover sand sole.</w:t>
      </w:r>
    </w:p>
    <w:p w:rsidR="000F5FD1" w:rsidRPr="00B536FE" w:rsidRDefault="000F5FD1" w:rsidP="000F5FD1">
      <w:pPr>
        <w:pBdr>
          <w:top w:val="nil"/>
          <w:left w:val="nil"/>
          <w:bottom w:val="nil"/>
          <w:right w:val="nil"/>
          <w:between w:val="nil"/>
          <w:bar w:val="nil"/>
        </w:pBdr>
        <w:spacing w:before="240" w:after="240"/>
        <w:rPr>
          <w:b/>
          <w:bCs/>
          <w:noProof/>
          <w:lang w:val="en-IE"/>
        </w:rPr>
      </w:pPr>
      <w:r w:rsidRPr="00B536FE">
        <w:rPr>
          <w:b/>
          <w:bCs/>
          <w:noProof/>
          <w:lang w:val="en-IE"/>
        </w:rPr>
        <w:t xml:space="preserve">Herring in the Skagerrak-Kattegat and North Sea </w:t>
      </w:r>
    </w:p>
    <w:p w:rsidR="000F5FD1" w:rsidRPr="00B536FE" w:rsidRDefault="000F5FD1" w:rsidP="000F5FD1">
      <w:pPr>
        <w:pBdr>
          <w:top w:val="nil"/>
          <w:left w:val="nil"/>
          <w:bottom w:val="nil"/>
          <w:right w:val="nil"/>
          <w:between w:val="nil"/>
          <w:bar w:val="nil"/>
        </w:pBdr>
        <w:spacing w:before="240" w:after="240"/>
        <w:rPr>
          <w:noProof/>
          <w:lang w:val="en-US"/>
        </w:rPr>
      </w:pPr>
      <w:r w:rsidRPr="00B536FE">
        <w:rPr>
          <w:noProof/>
          <w:lang w:val="en-US"/>
        </w:rPr>
        <w:t xml:space="preserve">Regulation (EU) 2026/249 sets the TACs for herring in EU, UK and Norwegian waters of ICES subarea 4 north of 53°30'N (North Sea) and ICES division 3a (Skagerrak-Kattegat). It also establishes a quantity of 250 tonnes that may be fished by Norway in Norwegian and EU waters of the Skagerrak-Kattegat under the Norwegian quota for herring in the Skagerrak-Kattegat, in line </w:t>
      </w:r>
      <w:r w:rsidRPr="00B536FE">
        <w:rPr>
          <w:noProof/>
        </w:rPr>
        <w:t xml:space="preserve">with the outcome of the bilateral consultations between the EU and Norway. </w:t>
      </w:r>
    </w:p>
    <w:p w:rsidR="00306569" w:rsidRPr="00B536FE" w:rsidRDefault="000F5FD1" w:rsidP="000F5FD1">
      <w:pPr>
        <w:spacing w:before="0" w:after="0"/>
        <w:rPr>
          <w:noProof/>
        </w:rPr>
      </w:pPr>
      <w:r w:rsidRPr="00B536FE">
        <w:rPr>
          <w:noProof/>
          <w:lang w:val="en-US"/>
        </w:rPr>
        <w:t xml:space="preserve">However, Norway does not establish a separate quota for herring in the Skagerrak-Kattegat, but rather a single quota for herring in both the North Sea and the Skagerrak-Kattegat. Accordingly, the quantity that may be fished by Norway in Norwegian and EU waters of the Skagerrak-Kattegat should be established under the Norwegian quota for herring in the North Sea. </w:t>
      </w:r>
      <w:r w:rsidR="00306569" w:rsidRPr="00B536FE">
        <w:rPr>
          <w:noProof/>
        </w:rPr>
        <w:br w:type="page"/>
      </w:r>
    </w:p>
    <w:p w:rsidR="00BF3394" w:rsidRDefault="006C6410">
      <w:pPr>
        <w:pStyle w:val="Rfrenceinterinstitutionnelle"/>
        <w:rPr>
          <w:noProof/>
        </w:rPr>
      </w:pPr>
      <w:r>
        <w:rPr>
          <w:noProof/>
        </w:rPr>
        <w:lastRenderedPageBreak/>
        <w:t>2026/0069 (NLE)</w:t>
      </w:r>
    </w:p>
    <w:p w:rsidR="000E5540" w:rsidRPr="00B536FE" w:rsidRDefault="00A56915" w:rsidP="00A56915">
      <w:pPr>
        <w:pStyle w:val="Statut"/>
        <w:rPr>
          <w:noProof/>
        </w:rPr>
      </w:pPr>
      <w:r w:rsidRPr="00B536FE">
        <w:rPr>
          <w:noProof/>
        </w:rPr>
        <w:t>Proposal for a</w:t>
      </w:r>
    </w:p>
    <w:p w:rsidR="00382895" w:rsidRPr="00B536FE" w:rsidRDefault="00A56915" w:rsidP="00A56915">
      <w:pPr>
        <w:pStyle w:val="Typedudocument"/>
        <w:rPr>
          <w:noProof/>
        </w:rPr>
      </w:pPr>
      <w:r w:rsidRPr="00B536FE">
        <w:rPr>
          <w:noProof/>
        </w:rPr>
        <w:t>COUNCIL REGULATION</w:t>
      </w:r>
    </w:p>
    <w:p w:rsidR="00382895" w:rsidRPr="00B536FE" w:rsidRDefault="00A56915" w:rsidP="00A56915">
      <w:pPr>
        <w:pStyle w:val="Titreobjet"/>
        <w:rPr>
          <w:noProof/>
        </w:rPr>
      </w:pPr>
      <w:r w:rsidRPr="00B536FE">
        <w:rPr>
          <w:noProof/>
        </w:rPr>
        <w:t>amending Regulation (EU) 2026/249 fixing for 2026, 2027 and 2028 the fishing opportunities for certain fish stocks, applicable in Union waters and, for Union fishing vessels, in certain non-Union waters</w:t>
      </w:r>
    </w:p>
    <w:p w:rsidR="00382895" w:rsidRPr="00B536FE" w:rsidRDefault="00382895" w:rsidP="00440DA8">
      <w:pPr>
        <w:pStyle w:val="Institutionquiagit"/>
        <w:rPr>
          <w:noProof/>
        </w:rPr>
      </w:pPr>
      <w:r w:rsidRPr="00B536FE">
        <w:rPr>
          <w:noProof/>
        </w:rPr>
        <w:t xml:space="preserve">THE COUNCIL OF THE EUROPEAN </w:t>
      </w:r>
      <w:smartTag w:uri="urn:schemas-microsoft-com:office:smarttags" w:element="place">
        <w:r w:rsidRPr="00B536FE">
          <w:rPr>
            <w:noProof/>
          </w:rPr>
          <w:t>UNION</w:t>
        </w:r>
      </w:smartTag>
      <w:r w:rsidRPr="00B536FE">
        <w:rPr>
          <w:noProof/>
        </w:rPr>
        <w:t>,</w:t>
      </w:r>
    </w:p>
    <w:p w:rsidR="00382895" w:rsidRPr="00B536FE" w:rsidRDefault="00382895" w:rsidP="00440DA8">
      <w:pPr>
        <w:rPr>
          <w:noProof/>
        </w:rPr>
      </w:pPr>
      <w:r w:rsidRPr="00B536FE">
        <w:rPr>
          <w:noProof/>
        </w:rPr>
        <w:t>Having regard to the Treaty on the Functioning of the European U</w:t>
      </w:r>
      <w:r w:rsidR="002D0ED9" w:rsidRPr="00B536FE">
        <w:rPr>
          <w:noProof/>
        </w:rPr>
        <w:t>nion, and in particular Article 43(3)</w:t>
      </w:r>
      <w:r w:rsidRPr="00B536FE">
        <w:rPr>
          <w:noProof/>
        </w:rPr>
        <w:t xml:space="preserve"> thereof,</w:t>
      </w:r>
    </w:p>
    <w:p w:rsidR="00382895" w:rsidRPr="00B536FE" w:rsidRDefault="00382895" w:rsidP="00440DA8">
      <w:pPr>
        <w:rPr>
          <w:noProof/>
        </w:rPr>
      </w:pPr>
      <w:r w:rsidRPr="00B536FE">
        <w:rPr>
          <w:noProof/>
        </w:rPr>
        <w:t>Having regard to the proposal from the European Commission,</w:t>
      </w:r>
    </w:p>
    <w:p w:rsidR="00382895" w:rsidRPr="00B536FE" w:rsidRDefault="00382895" w:rsidP="00440DA8">
      <w:pPr>
        <w:rPr>
          <w:noProof/>
        </w:rPr>
      </w:pPr>
      <w:r w:rsidRPr="00B536FE">
        <w:rPr>
          <w:noProof/>
        </w:rPr>
        <w:t>Whereas:</w:t>
      </w:r>
    </w:p>
    <w:p w:rsidR="000C6438" w:rsidRPr="00B536FE" w:rsidRDefault="725A65CD" w:rsidP="00923C7F">
      <w:pPr>
        <w:pStyle w:val="ManualConsidrant"/>
        <w:rPr>
          <w:noProof/>
          <w:lang w:val="en-IE"/>
        </w:rPr>
      </w:pPr>
      <w:r>
        <w:rPr>
          <w:noProof/>
        </w:rPr>
        <w:t>(1)</w:t>
      </w:r>
      <w:r>
        <w:rPr>
          <w:noProof/>
        </w:rPr>
        <w:tab/>
      </w:r>
      <w:r w:rsidRPr="00B536FE">
        <w:rPr>
          <w:noProof/>
          <w:lang w:val="en-IE"/>
        </w:rPr>
        <w:t>Council Regulation (EU) 202</w:t>
      </w:r>
      <w:r w:rsidR="0092167A" w:rsidRPr="00B536FE">
        <w:rPr>
          <w:noProof/>
          <w:lang w:val="en-IE"/>
        </w:rPr>
        <w:t>6</w:t>
      </w:r>
      <w:r w:rsidRPr="00B536FE">
        <w:rPr>
          <w:noProof/>
          <w:lang w:val="en-IE"/>
        </w:rPr>
        <w:t>/</w:t>
      </w:r>
      <w:r w:rsidR="00A56915" w:rsidRPr="00B536FE">
        <w:rPr>
          <w:noProof/>
          <w:lang w:val="en-IE"/>
        </w:rPr>
        <w:t>249</w:t>
      </w:r>
      <w:r w:rsidR="00A200E7" w:rsidRPr="00B536FE">
        <w:rPr>
          <w:rStyle w:val="FootnoteReference"/>
          <w:noProof/>
        </w:rPr>
        <w:footnoteReference w:id="15"/>
      </w:r>
      <w:r w:rsidR="0092167A" w:rsidRPr="00B536FE">
        <w:rPr>
          <w:noProof/>
          <w:lang w:val="en-IE"/>
        </w:rPr>
        <w:t xml:space="preserve"> </w:t>
      </w:r>
      <w:r w:rsidR="6D7B7DD1" w:rsidRPr="00B536FE">
        <w:rPr>
          <w:noProof/>
          <w:lang w:val="en-IE"/>
        </w:rPr>
        <w:t xml:space="preserve">fixes </w:t>
      </w:r>
      <w:r w:rsidR="0092167A" w:rsidRPr="00B536FE">
        <w:rPr>
          <w:noProof/>
          <w:lang w:val="en-IE"/>
        </w:rPr>
        <w:t xml:space="preserve">for 2026, 2027 and 2028 </w:t>
      </w:r>
      <w:r w:rsidR="6D7B7DD1" w:rsidRPr="00B536FE">
        <w:rPr>
          <w:noProof/>
          <w:lang w:val="en-IE"/>
        </w:rPr>
        <w:t>the fishing opportunities for certain fish stocks, applicable in Union waters and, for Union fishing vessels, in certain non-Union waters. Those fishing opportunities, including certain measures functionally linked thereto, should be amended to take into account the publication of scientific advice, as well as the outcomes of consultations with third countries and regional fisheries management organisations (RFMOs) meetings.</w:t>
      </w:r>
    </w:p>
    <w:p w:rsidR="000F5FD1" w:rsidRPr="00B536FE" w:rsidRDefault="007749CE" w:rsidP="003626A8">
      <w:pPr>
        <w:pStyle w:val="ManualConsidrant"/>
        <w:rPr>
          <w:noProof/>
        </w:rPr>
      </w:pPr>
      <w:r>
        <w:rPr>
          <w:noProof/>
        </w:rPr>
        <w:t>(2)</w:t>
      </w:r>
      <w:r>
        <w:rPr>
          <w:noProof/>
        </w:rPr>
        <w:tab/>
      </w:r>
      <w:bookmarkStart w:id="3" w:name="_Hlk220322504"/>
      <w:r w:rsidRPr="00B536FE">
        <w:rPr>
          <w:i/>
          <w:iCs/>
          <w:noProof/>
        </w:rPr>
        <w:t xml:space="preserve">[The recital and the relevant provisions will be updated after </w:t>
      </w:r>
      <w:r w:rsidR="00902618" w:rsidRPr="00B536FE">
        <w:rPr>
          <w:i/>
          <w:iCs/>
          <w:noProof/>
        </w:rPr>
        <w:t xml:space="preserve">more concrete </w:t>
      </w:r>
      <w:r w:rsidRPr="00B536FE">
        <w:rPr>
          <w:i/>
          <w:iCs/>
          <w:noProof/>
        </w:rPr>
        <w:t>information is received from the UK on completion of its relevant internal procedures.]</w:t>
      </w:r>
      <w:r w:rsidRPr="00B536FE">
        <w:rPr>
          <w:noProof/>
        </w:rPr>
        <w:t xml:space="preserve"> [In 2025, the Union and the United Kingdom held bilateral consultations on the setting of a large number of total allowable catches (TACs) for 2026, including certain measures functionally linked to those TACs, for stocks listed in Annex 35 to the </w:t>
      </w:r>
      <w:r w:rsidRPr="00B536FE">
        <w:rPr>
          <w:rFonts w:eastAsia="Calibri"/>
          <w:noProof/>
        </w:rPr>
        <w:t>Trade and Cooperation Agreement between the European Union and the European Atomic Energy Community, of the one part, and the United Kingdom of Great Britain and Northern Ireland, of the other part</w:t>
      </w:r>
      <w:r w:rsidRPr="00B536FE">
        <w:rPr>
          <w:rStyle w:val="FootnoteReference"/>
          <w:noProof/>
        </w:rPr>
        <w:footnoteReference w:id="16"/>
      </w:r>
      <w:r w:rsidRPr="00B536FE">
        <w:rPr>
          <w:noProof/>
          <w:vertAlign w:val="superscript"/>
        </w:rPr>
        <w:t xml:space="preserve"> </w:t>
      </w:r>
      <w:r w:rsidRPr="00B536FE">
        <w:rPr>
          <w:rFonts w:eastAsia="Calibri"/>
          <w:noProof/>
        </w:rPr>
        <w:t>(‘Trade and Cooperation Agreement’)</w:t>
      </w:r>
      <w:r w:rsidRPr="00B536FE">
        <w:rPr>
          <w:noProof/>
        </w:rPr>
        <w:t xml:space="preserve">. The outcome of those consultations was documented in a written record signed by the Heads of Delegation on 10 December 2025. </w:t>
      </w:r>
      <w:r w:rsidR="00997912" w:rsidRPr="00B536FE">
        <w:rPr>
          <w:noProof/>
        </w:rPr>
        <w:t xml:space="preserve">As documented in the written record, the Heads of Delegation agreed to recommend to their respective authorities that the remedial measures for cod, haddock and whiting in the Celtic Sea and Irish Sea and </w:t>
      </w:r>
      <w:r w:rsidR="00443D38" w:rsidRPr="00B536FE">
        <w:rPr>
          <w:noProof/>
        </w:rPr>
        <w:t xml:space="preserve">for </w:t>
      </w:r>
      <w:r w:rsidR="00997912" w:rsidRPr="00B536FE">
        <w:rPr>
          <w:noProof/>
        </w:rPr>
        <w:t>sole and plaice in the Channel should start applying, in principle, no later than 1 June 2026, in both parties</w:t>
      </w:r>
      <w:r w:rsidR="001D51D8">
        <w:rPr>
          <w:noProof/>
        </w:rPr>
        <w:t xml:space="preserve"> </w:t>
      </w:r>
      <w:r w:rsidR="00997912" w:rsidRPr="00B536FE">
        <w:rPr>
          <w:noProof/>
        </w:rPr>
        <w:t xml:space="preserve">alike to ensure level playing field as the stocks in question are jointly managed. </w:t>
      </w:r>
      <w:r w:rsidR="00443D38" w:rsidRPr="00B536FE">
        <w:rPr>
          <w:noProof/>
        </w:rPr>
        <w:t xml:space="preserve">That </w:t>
      </w:r>
      <w:r w:rsidR="00902618" w:rsidRPr="00B536FE">
        <w:rPr>
          <w:noProof/>
        </w:rPr>
        <w:t>would be subject to the Parties having notified the completion of their respective internal procedures required for the adoption</w:t>
      </w:r>
      <w:r w:rsidR="003626A8" w:rsidRPr="00B536FE">
        <w:rPr>
          <w:noProof/>
        </w:rPr>
        <w:t xml:space="preserve"> of those remedial measures</w:t>
      </w:r>
      <w:r w:rsidR="00902618" w:rsidRPr="00B536FE">
        <w:rPr>
          <w:noProof/>
        </w:rPr>
        <w:t xml:space="preserve">. </w:t>
      </w:r>
      <w:r w:rsidRPr="00B536FE">
        <w:rPr>
          <w:noProof/>
        </w:rPr>
        <w:t xml:space="preserve">The starting date of application </w:t>
      </w:r>
      <w:r w:rsidR="00997912" w:rsidRPr="00B536FE">
        <w:rPr>
          <w:noProof/>
        </w:rPr>
        <w:t xml:space="preserve">for remedial measures agreed for </w:t>
      </w:r>
      <w:r w:rsidR="00997912" w:rsidRPr="00B536FE">
        <w:rPr>
          <w:noProof/>
        </w:rPr>
        <w:lastRenderedPageBreak/>
        <w:t xml:space="preserve">cod and whiting in the Irish Sea and </w:t>
      </w:r>
      <w:r w:rsidR="003626A8" w:rsidRPr="00B536FE">
        <w:rPr>
          <w:noProof/>
        </w:rPr>
        <w:t xml:space="preserve">for </w:t>
      </w:r>
      <w:r w:rsidR="00997912" w:rsidRPr="00B536FE">
        <w:rPr>
          <w:noProof/>
        </w:rPr>
        <w:t xml:space="preserve">sole and plaice in the Channel </w:t>
      </w:r>
      <w:r w:rsidRPr="00B536FE">
        <w:rPr>
          <w:noProof/>
        </w:rPr>
        <w:t xml:space="preserve">should be amended following receipt of information from the United Kingdom on the expected completion of its relevant internal procedures </w:t>
      </w:r>
      <w:r w:rsidR="00997912" w:rsidRPr="00B536FE">
        <w:rPr>
          <w:noProof/>
        </w:rPr>
        <w:t xml:space="preserve">for adoption of </w:t>
      </w:r>
      <w:r w:rsidR="00902618" w:rsidRPr="00B536FE">
        <w:rPr>
          <w:noProof/>
        </w:rPr>
        <w:t>the</w:t>
      </w:r>
      <w:r w:rsidR="00997912" w:rsidRPr="00B536FE">
        <w:rPr>
          <w:noProof/>
        </w:rPr>
        <w:t xml:space="preserve"> measures</w:t>
      </w:r>
      <w:r w:rsidRPr="00B536FE">
        <w:rPr>
          <w:noProof/>
        </w:rPr>
        <w:t>.]</w:t>
      </w:r>
    </w:p>
    <w:p w:rsidR="00E21655" w:rsidRPr="00B536FE" w:rsidRDefault="092697AB" w:rsidP="5DB31DF5">
      <w:pPr>
        <w:pStyle w:val="ManualConsidrant"/>
        <w:rPr>
          <w:noProof/>
        </w:rPr>
      </w:pPr>
      <w:r>
        <w:rPr>
          <w:noProof/>
        </w:rPr>
        <w:t>(3)</w:t>
      </w:r>
      <w:r>
        <w:rPr>
          <w:noProof/>
        </w:rPr>
        <w:tab/>
      </w:r>
      <w:r w:rsidRPr="00B536FE">
        <w:rPr>
          <w:i/>
          <w:iCs/>
          <w:noProof/>
        </w:rPr>
        <w:t>[The recital and the relevant provisions will be updated after the conclusion of consultations between the Union and the United Kingdom.]</w:t>
      </w:r>
      <w:bookmarkEnd w:id="3"/>
      <w:r w:rsidRPr="00B536FE">
        <w:rPr>
          <w:i/>
          <w:iCs/>
          <w:noProof/>
        </w:rPr>
        <w:t xml:space="preserve"> </w:t>
      </w:r>
      <w:r w:rsidR="7233DF02" w:rsidRPr="00B536FE">
        <w:rPr>
          <w:noProof/>
        </w:rPr>
        <w:t>[</w:t>
      </w:r>
      <w:r w:rsidR="00DA577A" w:rsidRPr="00B536FE">
        <w:rPr>
          <w:noProof/>
        </w:rPr>
        <w:t>On 6 March 2025</w:t>
      </w:r>
      <w:r w:rsidR="7233DF02" w:rsidRPr="00B536FE">
        <w:rPr>
          <w:noProof/>
        </w:rPr>
        <w:t xml:space="preserve">, the Union and the United Kingdom conducted bilateral consultations pursuant to Article 498(2), (4) and (6) of the </w:t>
      </w:r>
      <w:r w:rsidR="7233DF02" w:rsidRPr="00B536FE">
        <w:rPr>
          <w:rFonts w:eastAsia="Calibri"/>
          <w:noProof/>
        </w:rPr>
        <w:t xml:space="preserve">Trade and Cooperation Agreement  </w:t>
      </w:r>
      <w:r w:rsidR="7233DF02" w:rsidRPr="00B536FE">
        <w:rPr>
          <w:noProof/>
        </w:rPr>
        <w:t>on the level of the</w:t>
      </w:r>
      <w:r w:rsidR="3B6B6C38" w:rsidRPr="00B536FE">
        <w:rPr>
          <w:noProof/>
        </w:rPr>
        <w:t xml:space="preserve"> </w:t>
      </w:r>
      <w:r w:rsidR="7233DF02" w:rsidRPr="00B536FE">
        <w:rPr>
          <w:noProof/>
        </w:rPr>
        <w:t>TAC for sandeel and associated by-catches (</w:t>
      </w:r>
      <w:r w:rsidR="7233DF02" w:rsidRPr="00B536FE">
        <w:rPr>
          <w:i/>
          <w:iCs/>
          <w:noProof/>
        </w:rPr>
        <w:t>Ammodytes</w:t>
      </w:r>
      <w:r w:rsidR="7233DF02" w:rsidRPr="00B536FE">
        <w:rPr>
          <w:noProof/>
        </w:rPr>
        <w:t xml:space="preserve"> spp.) in United Kingdom and Union waters of </w:t>
      </w:r>
      <w:r w:rsidR="005B31F4" w:rsidRPr="00B536FE">
        <w:rPr>
          <w:noProof/>
        </w:rPr>
        <w:t>International Council for the Exploration of the Sea</w:t>
      </w:r>
      <w:r w:rsidR="001D51D8">
        <w:rPr>
          <w:noProof/>
        </w:rPr>
        <w:t xml:space="preserve"> (ICES</w:t>
      </w:r>
      <w:r w:rsidR="005B31F4" w:rsidRPr="00B536FE">
        <w:rPr>
          <w:noProof/>
        </w:rPr>
        <w:t>)</w:t>
      </w:r>
      <w:r w:rsidR="7233DF02" w:rsidRPr="00B536FE">
        <w:rPr>
          <w:noProof/>
        </w:rPr>
        <w:t xml:space="preserve"> subarea 4, United Kingdom waters of ICES division 2a, and Union waters of division 3a. The Union participated in those consultations on the basis of the Union position endorsed by the Council on </w:t>
      </w:r>
      <w:r w:rsidR="768D91D5" w:rsidRPr="00B536FE">
        <w:rPr>
          <w:noProof/>
        </w:rPr>
        <w:t xml:space="preserve">4 March </w:t>
      </w:r>
      <w:r w:rsidR="7233DF02" w:rsidRPr="00B536FE">
        <w:rPr>
          <w:noProof/>
        </w:rPr>
        <w:t>202</w:t>
      </w:r>
      <w:r w:rsidR="00DA577A" w:rsidRPr="00B536FE">
        <w:rPr>
          <w:noProof/>
        </w:rPr>
        <w:t>5</w:t>
      </w:r>
      <w:r w:rsidR="7233DF02" w:rsidRPr="00B536FE">
        <w:rPr>
          <w:noProof/>
        </w:rPr>
        <w:t>. The outcome of those consultations was documented in a Written Record signed on 12 March 202</w:t>
      </w:r>
      <w:r w:rsidR="00DA577A" w:rsidRPr="00B536FE">
        <w:rPr>
          <w:noProof/>
        </w:rPr>
        <w:t>5</w:t>
      </w:r>
      <w:r w:rsidR="7233DF02" w:rsidRPr="00B536FE">
        <w:rPr>
          <w:noProof/>
        </w:rPr>
        <w:t xml:space="preserve">. </w:t>
      </w:r>
      <w:r w:rsidR="00FB4D57" w:rsidRPr="00B536FE">
        <w:rPr>
          <w:noProof/>
        </w:rPr>
        <w:t>That</w:t>
      </w:r>
      <w:r w:rsidR="7233DF02" w:rsidRPr="00B536FE">
        <w:rPr>
          <w:noProof/>
        </w:rPr>
        <w:t xml:space="preserve"> TAC should therefore be set at the level agreed with the United Kingdom.]</w:t>
      </w:r>
    </w:p>
    <w:p w:rsidR="007F6CF8" w:rsidRPr="00B536FE" w:rsidRDefault="0092167A" w:rsidP="002C6A15">
      <w:pPr>
        <w:pStyle w:val="ManualConsidrant"/>
        <w:rPr>
          <w:noProof/>
        </w:rPr>
      </w:pPr>
      <w:r>
        <w:rPr>
          <w:noProof/>
        </w:rPr>
        <w:t>(4)</w:t>
      </w:r>
      <w:r>
        <w:rPr>
          <w:noProof/>
        </w:rPr>
        <w:tab/>
      </w:r>
      <w:r w:rsidRPr="00B536FE">
        <w:rPr>
          <w:i/>
          <w:iCs/>
          <w:noProof/>
        </w:rPr>
        <w:t>[The recital and the relevant provisions will be updated.]</w:t>
      </w:r>
      <w:r w:rsidRPr="00B536FE">
        <w:rPr>
          <w:noProof/>
        </w:rPr>
        <w:t xml:space="preserve"> </w:t>
      </w:r>
      <w:r w:rsidR="001B42C2" w:rsidRPr="00B536FE">
        <w:rPr>
          <w:noProof/>
        </w:rPr>
        <w:t>[</w:t>
      </w:r>
      <w:r w:rsidRPr="00B536FE">
        <w:rPr>
          <w:noProof/>
        </w:rPr>
        <w:t>Regulation (EU) 2026/</w:t>
      </w:r>
      <w:r w:rsidR="00A56915" w:rsidRPr="00B536FE">
        <w:rPr>
          <w:noProof/>
        </w:rPr>
        <w:t>249</w:t>
      </w:r>
      <w:r w:rsidRPr="00B536FE">
        <w:rPr>
          <w:noProof/>
        </w:rPr>
        <w:t xml:space="preserve"> sets provisional Union quotas for mackerel in the north-east Atlantic for the first half of 2026. </w:t>
      </w:r>
      <w:r w:rsidR="003626A8" w:rsidRPr="00B536FE">
        <w:rPr>
          <w:noProof/>
        </w:rPr>
        <w:t>The Union</w:t>
      </w:r>
      <w:r w:rsidRPr="00B536FE">
        <w:rPr>
          <w:noProof/>
        </w:rPr>
        <w:t xml:space="preserve"> quotas for mackerel for 2026 should be set before the expiry of the provisional Union quotas on 30 June 2026</w:t>
      </w:r>
      <w:r w:rsidR="00905AD8" w:rsidRPr="00B536FE">
        <w:rPr>
          <w:noProof/>
        </w:rPr>
        <w:t>, while respecting the provisions of the Trade and Cooperation Agreement</w:t>
      </w:r>
      <w:r w:rsidRPr="00B536FE">
        <w:rPr>
          <w:noProof/>
        </w:rPr>
        <w:t>.</w:t>
      </w:r>
      <w:r w:rsidR="001B42C2" w:rsidRPr="00B536FE">
        <w:rPr>
          <w:noProof/>
        </w:rPr>
        <w:t>]</w:t>
      </w:r>
    </w:p>
    <w:p w:rsidR="000F5FD1" w:rsidRPr="00B536FE" w:rsidRDefault="000F5FD1" w:rsidP="00BA2882">
      <w:pPr>
        <w:pStyle w:val="ManualConsidrant"/>
        <w:rPr>
          <w:noProof/>
        </w:rPr>
      </w:pPr>
      <w:r>
        <w:rPr>
          <w:noProof/>
        </w:rPr>
        <w:t>(5)</w:t>
      </w:r>
      <w:r>
        <w:rPr>
          <w:noProof/>
        </w:rPr>
        <w:tab/>
      </w:r>
      <w:r w:rsidRPr="00B536FE">
        <w:rPr>
          <w:i/>
          <w:iCs/>
          <w:noProof/>
        </w:rPr>
        <w:t xml:space="preserve">[The recital and the relevant provisions will be updated after the conclusion of consultations between the Union and Norway.] </w:t>
      </w:r>
      <w:r w:rsidRPr="00B536FE">
        <w:rPr>
          <w:noProof/>
        </w:rPr>
        <w:t>[The Union and Norway are holding consultations regarding the access to their respective waters for fishing for herring (</w:t>
      </w:r>
      <w:r w:rsidRPr="00B536FE">
        <w:rPr>
          <w:i/>
          <w:iCs/>
          <w:noProof/>
        </w:rPr>
        <w:t>Clupea harengus</w:t>
      </w:r>
      <w:r w:rsidRPr="00B536FE">
        <w:rPr>
          <w:noProof/>
        </w:rPr>
        <w:t>) (‘Atlanto-Scandian herring’) and blue whiting (</w:t>
      </w:r>
      <w:r w:rsidRPr="00B536FE">
        <w:rPr>
          <w:i/>
          <w:iCs/>
          <w:noProof/>
        </w:rPr>
        <w:t>Micromesistius poutassou</w:t>
      </w:r>
      <w:r w:rsidRPr="00B536FE">
        <w:rPr>
          <w:noProof/>
        </w:rPr>
        <w:t>) in the north-east Atlantic for 2026. Those access levels should be set in line with the outcome of those bilateral consultations.]</w:t>
      </w:r>
    </w:p>
    <w:p w:rsidR="005B31F4" w:rsidRPr="00B536FE" w:rsidRDefault="005B31F4" w:rsidP="005B31F4">
      <w:pPr>
        <w:pStyle w:val="ManualConsidrant"/>
        <w:rPr>
          <w:noProof/>
        </w:rPr>
      </w:pPr>
      <w:r>
        <w:rPr>
          <w:noProof/>
        </w:rPr>
        <w:t>(6)</w:t>
      </w:r>
      <w:r>
        <w:rPr>
          <w:noProof/>
        </w:rPr>
        <w:tab/>
      </w:r>
      <w:r w:rsidRPr="00B536FE">
        <w:rPr>
          <w:noProof/>
        </w:rPr>
        <w:t xml:space="preserve">Following the setting of </w:t>
      </w:r>
      <w:r w:rsidR="001E666E" w:rsidRPr="00B536FE">
        <w:rPr>
          <w:noProof/>
        </w:rPr>
        <w:t xml:space="preserve">a </w:t>
      </w:r>
      <w:r w:rsidRPr="00B536FE">
        <w:rPr>
          <w:noProof/>
        </w:rPr>
        <w:t>reference TAC for</w:t>
      </w:r>
      <w:r w:rsidR="000F5FD1" w:rsidRPr="00B536FE">
        <w:rPr>
          <w:noProof/>
        </w:rPr>
        <w:t xml:space="preserve"> cod in the north-east Arctic for</w:t>
      </w:r>
      <w:r w:rsidRPr="00B536FE">
        <w:rPr>
          <w:noProof/>
        </w:rPr>
        <w:t xml:space="preserve"> 2026, the definitive Union quota for cod in Svalbard waters and international water</w:t>
      </w:r>
      <w:r w:rsidR="001D51D8">
        <w:rPr>
          <w:noProof/>
        </w:rPr>
        <w:t>s</w:t>
      </w:r>
      <w:r w:rsidRPr="00B536FE">
        <w:rPr>
          <w:noProof/>
        </w:rPr>
        <w:t xml:space="preserve"> of ICES subarea 1 and division 2b for 2026 should be set based on that reference TAC for 2026 and on the Union’s historical share for cod in the north-east Arctic.</w:t>
      </w:r>
      <w:r w:rsidR="001B42C2" w:rsidRPr="00B536FE">
        <w:rPr>
          <w:noProof/>
        </w:rPr>
        <w:t xml:space="preserve"> </w:t>
      </w:r>
      <w:r w:rsidRPr="00B536FE">
        <w:rPr>
          <w:rFonts w:eastAsia="Aptos"/>
          <w:noProof/>
          <w:szCs w:val="24"/>
          <w:lang w:val="en-IE"/>
        </w:rPr>
        <w:t>That Union quota should be allocated to the Member States in accordance with Council Decision 87/277/EEC</w:t>
      </w:r>
      <w:r w:rsidRPr="00B536FE">
        <w:rPr>
          <w:rStyle w:val="FootnoteReference"/>
          <w:noProof/>
        </w:rPr>
        <w:footnoteReference w:id="17"/>
      </w:r>
      <w:r w:rsidRPr="00B536FE">
        <w:rPr>
          <w:rFonts w:eastAsia="Aptos"/>
          <w:noProof/>
          <w:szCs w:val="24"/>
          <w:lang w:val="en-IE"/>
        </w:rPr>
        <w:t>, subject to the adaptations necessary due to the withdrawal of the United Kingdom from the Union as set out in Annex 36, table E to the Trade and Cooperation Agreement.</w:t>
      </w:r>
    </w:p>
    <w:p w:rsidR="00E21655" w:rsidRPr="00B536FE" w:rsidRDefault="54655BCD" w:rsidP="00AD6180">
      <w:pPr>
        <w:pStyle w:val="ManualConsidrant"/>
        <w:rPr>
          <w:noProof/>
        </w:rPr>
      </w:pPr>
      <w:r>
        <w:rPr>
          <w:noProof/>
        </w:rPr>
        <w:t>(7)</w:t>
      </w:r>
      <w:r>
        <w:rPr>
          <w:noProof/>
        </w:rPr>
        <w:tab/>
      </w:r>
      <w:r w:rsidRPr="00B536FE">
        <w:rPr>
          <w:i/>
          <w:iCs/>
          <w:noProof/>
        </w:rPr>
        <w:t xml:space="preserve">[The recital and the relevant provisions will be updated after the approval by ICCAT of the Union annual plan.] </w:t>
      </w:r>
      <w:r w:rsidR="7AE7A8B1" w:rsidRPr="00B536FE">
        <w:rPr>
          <w:noProof/>
        </w:rPr>
        <w:t>[Fishing effort limits for Union fishing vessels fishing for bluefin tuna (</w:t>
      </w:r>
      <w:r w:rsidR="7AE7A8B1" w:rsidRPr="00B536FE">
        <w:rPr>
          <w:i/>
          <w:iCs/>
          <w:noProof/>
        </w:rPr>
        <w:t>Thunnus thynnus</w:t>
      </w:r>
      <w:r w:rsidR="7AE7A8B1" w:rsidRPr="00B536FE">
        <w:rPr>
          <w:noProof/>
        </w:rPr>
        <w:t xml:space="preserve">) in International Commission for the Conservation of Atlantic Tunas (ICCAT) Convention area, </w:t>
      </w:r>
      <w:r w:rsidR="7AE7A8B1" w:rsidRPr="00B536FE">
        <w:rPr>
          <w:noProof/>
          <w:lang w:val="en-IE"/>
        </w:rPr>
        <w:t>east of 45°W</w:t>
      </w:r>
      <w:r w:rsidR="7AE7A8B1" w:rsidRPr="00B536FE">
        <w:rPr>
          <w:noProof/>
        </w:rPr>
        <w:t xml:space="preserve"> and maximum input and capacity for Union farms of bluefin tuna in that area are based on information provided in the annual plans</w:t>
      </w:r>
      <w:r w:rsidR="005A61F4" w:rsidRPr="00B536FE">
        <w:rPr>
          <w:noProof/>
        </w:rPr>
        <w:t xml:space="preserve"> referred to</w:t>
      </w:r>
      <w:r w:rsidR="0018645F" w:rsidRPr="00B536FE">
        <w:rPr>
          <w:noProof/>
        </w:rPr>
        <w:t xml:space="preserve"> in </w:t>
      </w:r>
      <w:r w:rsidR="7AE7A8B1" w:rsidRPr="00B536FE">
        <w:rPr>
          <w:noProof/>
        </w:rPr>
        <w:t>Articles 11, 13 and 15 of Regulation (EU) 2023/2053 of the European Parliament and of the Council</w:t>
      </w:r>
      <w:r w:rsidR="00E21655" w:rsidRPr="00B536FE">
        <w:rPr>
          <w:rStyle w:val="FootnoteReference"/>
          <w:noProof/>
        </w:rPr>
        <w:footnoteReference w:id="18"/>
      </w:r>
      <w:r w:rsidR="7AE7A8B1" w:rsidRPr="00B536FE">
        <w:rPr>
          <w:noProof/>
        </w:rPr>
        <w:t xml:space="preserve">. Member States are to </w:t>
      </w:r>
      <w:r w:rsidR="7AE7A8B1" w:rsidRPr="00B536FE">
        <w:rPr>
          <w:noProof/>
        </w:rPr>
        <w:lastRenderedPageBreak/>
        <w:t>submit those plans to the Commission by 31 January of each year, pursuant to Article 16(1) of Regulation (EU) 2023/2053. Those plans are then compiled by the Commission and form the basis for the establishment of a Union annual plan, which is transmitted to the ICCAT Secretariat for discussion and approval by ICCAT, as required by Article 16(2) of Regulation (EU) 2023/2053</w:t>
      </w:r>
      <w:r w:rsidR="08A1EC65" w:rsidRPr="00B536FE">
        <w:rPr>
          <w:noProof/>
        </w:rPr>
        <w:t>.</w:t>
      </w:r>
      <w:r w:rsidR="7AE7A8B1" w:rsidRPr="00B536FE">
        <w:rPr>
          <w:noProof/>
        </w:rPr>
        <w:t xml:space="preserve"> </w:t>
      </w:r>
      <w:r w:rsidRPr="00B536FE">
        <w:rPr>
          <w:noProof/>
        </w:rPr>
        <w:t xml:space="preserve">On </w:t>
      </w:r>
      <w:r w:rsidR="007B6457" w:rsidRPr="00B536FE">
        <w:rPr>
          <w:noProof/>
        </w:rPr>
        <w:t>5</w:t>
      </w:r>
      <w:r w:rsidRPr="00B536FE">
        <w:rPr>
          <w:noProof/>
        </w:rPr>
        <w:t xml:space="preserve"> March 202</w:t>
      </w:r>
      <w:r w:rsidR="007B6457" w:rsidRPr="00B536FE">
        <w:rPr>
          <w:noProof/>
        </w:rPr>
        <w:t>5</w:t>
      </w:r>
      <w:r w:rsidRPr="00B536FE">
        <w:rPr>
          <w:noProof/>
        </w:rPr>
        <w:t xml:space="preserve">, </w:t>
      </w:r>
      <w:r w:rsidR="007B6457" w:rsidRPr="00B536FE">
        <w:rPr>
          <w:noProof/>
        </w:rPr>
        <w:t>the Union annual plan for 2025 was approved by ICCAT</w:t>
      </w:r>
      <w:r w:rsidR="7AE7A8B1" w:rsidRPr="00B536FE">
        <w:rPr>
          <w:noProof/>
        </w:rPr>
        <w:t xml:space="preserve">. The </w:t>
      </w:r>
      <w:bookmarkStart w:id="4" w:name="_Hlk188565494"/>
      <w:r w:rsidR="7AE7A8B1" w:rsidRPr="00B536FE">
        <w:rPr>
          <w:noProof/>
        </w:rPr>
        <w:t>Union fishing effort limits and Union maximum farming input and capacity for 202</w:t>
      </w:r>
      <w:bookmarkEnd w:id="4"/>
      <w:r w:rsidR="007B6457" w:rsidRPr="00B536FE">
        <w:rPr>
          <w:noProof/>
        </w:rPr>
        <w:t xml:space="preserve">5 </w:t>
      </w:r>
      <w:r w:rsidR="7AE7A8B1" w:rsidRPr="00B536FE">
        <w:rPr>
          <w:noProof/>
        </w:rPr>
        <w:t>should therefore be amended in line with that annual plan.]</w:t>
      </w:r>
    </w:p>
    <w:p w:rsidR="006621C4" w:rsidRPr="00B536FE" w:rsidRDefault="54655BCD" w:rsidP="00C2056A">
      <w:pPr>
        <w:pStyle w:val="ManualConsidrant"/>
        <w:rPr>
          <w:noProof/>
          <w:lang w:val="en-IE"/>
        </w:rPr>
      </w:pPr>
      <w:r>
        <w:rPr>
          <w:noProof/>
        </w:rPr>
        <w:t>(8)</w:t>
      </w:r>
      <w:r>
        <w:rPr>
          <w:noProof/>
        </w:rPr>
        <w:tab/>
      </w:r>
      <w:r w:rsidRPr="00B536FE">
        <w:rPr>
          <w:i/>
          <w:iCs/>
          <w:noProof/>
        </w:rPr>
        <w:t>[The recital and the relevant provisions will be updated after the approval by ICCAT of the Union annual plan</w:t>
      </w:r>
      <w:r w:rsidR="00C2056A" w:rsidRPr="00B536FE">
        <w:rPr>
          <w:i/>
          <w:iCs/>
          <w:noProof/>
        </w:rPr>
        <w:t xml:space="preserve"> and the availability of data on Member States’ quota use in the preceding year</w:t>
      </w:r>
      <w:r w:rsidRPr="00B536FE">
        <w:rPr>
          <w:i/>
          <w:iCs/>
          <w:noProof/>
        </w:rPr>
        <w:t>.]</w:t>
      </w:r>
      <w:r w:rsidRPr="00B536FE">
        <w:rPr>
          <w:noProof/>
        </w:rPr>
        <w:t xml:space="preserve"> </w:t>
      </w:r>
      <w:r w:rsidR="4B63E172" w:rsidRPr="00B536FE">
        <w:rPr>
          <w:noProof/>
        </w:rPr>
        <w:t>[</w:t>
      </w:r>
      <w:r w:rsidR="00C2056A" w:rsidRPr="00B536FE">
        <w:rPr>
          <w:noProof/>
          <w:lang w:val="en-IE"/>
        </w:rPr>
        <w:t xml:space="preserve">In accordance with </w:t>
      </w:r>
      <w:r w:rsidR="4DD9F425" w:rsidRPr="00B536FE">
        <w:rPr>
          <w:noProof/>
          <w:lang w:val="en-IE"/>
        </w:rPr>
        <w:t>Article 8 of Regulation (EU) 2023/2053</w:t>
      </w:r>
      <w:r w:rsidR="19701E79" w:rsidRPr="00B536FE">
        <w:rPr>
          <w:noProof/>
          <w:lang w:val="en-IE"/>
        </w:rPr>
        <w:t xml:space="preserve">, </w:t>
      </w:r>
      <w:r w:rsidR="00C2056A" w:rsidRPr="00B536FE">
        <w:rPr>
          <w:noProof/>
          <w:lang w:val="en-IE"/>
        </w:rPr>
        <w:t xml:space="preserve">certain </w:t>
      </w:r>
      <w:r w:rsidR="19701E79" w:rsidRPr="00B536FE">
        <w:rPr>
          <w:noProof/>
          <w:lang w:val="en-IE"/>
        </w:rPr>
        <w:t xml:space="preserve">Member States </w:t>
      </w:r>
      <w:r w:rsidR="08A1EC65" w:rsidRPr="00B536FE">
        <w:rPr>
          <w:noProof/>
          <w:lang w:val="en-IE"/>
        </w:rPr>
        <w:t>included in their</w:t>
      </w:r>
      <w:r w:rsidR="19701E79" w:rsidRPr="00B536FE">
        <w:rPr>
          <w:noProof/>
          <w:lang w:val="en-IE"/>
        </w:rPr>
        <w:t xml:space="preserve"> annual fishing </w:t>
      </w:r>
      <w:r w:rsidR="08A1EC65" w:rsidRPr="00B536FE">
        <w:rPr>
          <w:noProof/>
          <w:lang w:val="en-IE"/>
        </w:rPr>
        <w:t>plans submitted to the Commission</w:t>
      </w:r>
      <w:r w:rsidR="19701E79" w:rsidRPr="00B536FE">
        <w:rPr>
          <w:noProof/>
          <w:lang w:val="en-IE"/>
        </w:rPr>
        <w:t xml:space="preserve"> requests to carry-over 5 % of their annual quota of bluefin tuna in the </w:t>
      </w:r>
      <w:r w:rsidR="00C2056A" w:rsidRPr="00B536FE">
        <w:rPr>
          <w:noProof/>
          <w:lang w:val="en-IE"/>
        </w:rPr>
        <w:t>ICCAT Convention area</w:t>
      </w:r>
      <w:r w:rsidR="19701E79" w:rsidRPr="00B536FE">
        <w:rPr>
          <w:noProof/>
          <w:lang w:val="en-IE"/>
        </w:rPr>
        <w:t>, east of 45°W</w:t>
      </w:r>
      <w:r w:rsidR="00C2056A" w:rsidRPr="00B536FE">
        <w:rPr>
          <w:noProof/>
          <w:lang w:val="en-IE"/>
        </w:rPr>
        <w:t xml:space="preserve"> </w:t>
      </w:r>
      <w:r w:rsidR="19701E79" w:rsidRPr="00B536FE">
        <w:rPr>
          <w:noProof/>
          <w:lang w:val="en-IE"/>
        </w:rPr>
        <w:t>from 202</w:t>
      </w:r>
      <w:r w:rsidR="00C2056A" w:rsidRPr="00B536FE">
        <w:rPr>
          <w:noProof/>
          <w:lang w:val="en-IE"/>
        </w:rPr>
        <w:t>4</w:t>
      </w:r>
      <w:r w:rsidR="19701E79" w:rsidRPr="00B536FE">
        <w:rPr>
          <w:noProof/>
          <w:lang w:val="en-IE"/>
        </w:rPr>
        <w:t xml:space="preserve"> to 202</w:t>
      </w:r>
      <w:r w:rsidR="00C2056A" w:rsidRPr="00B536FE">
        <w:rPr>
          <w:noProof/>
          <w:lang w:val="en-IE"/>
        </w:rPr>
        <w:t>5</w:t>
      </w:r>
      <w:r w:rsidR="19701E79" w:rsidRPr="00B536FE">
        <w:rPr>
          <w:noProof/>
          <w:lang w:val="en-IE"/>
        </w:rPr>
        <w:t xml:space="preserve">. </w:t>
      </w:r>
      <w:r w:rsidR="00C2056A" w:rsidRPr="00B536FE">
        <w:rPr>
          <w:noProof/>
          <w:lang w:val="en-IE"/>
        </w:rPr>
        <w:t>On the basis of those requests, the Commission in</w:t>
      </w:r>
      <w:r w:rsidR="003D377F" w:rsidRPr="00B536FE">
        <w:rPr>
          <w:noProof/>
          <w:lang w:val="en-IE"/>
        </w:rPr>
        <w:t>clud</w:t>
      </w:r>
      <w:r w:rsidR="00C2056A" w:rsidRPr="00B536FE">
        <w:rPr>
          <w:noProof/>
          <w:lang w:val="en-IE"/>
        </w:rPr>
        <w:t xml:space="preserve">ed a request for carry-over of the EU quota for that stock from 2024 to 2025 in the Union annual plan for 2025. Following the approval of the Union annual plan, the quotas of </w:t>
      </w:r>
      <w:r w:rsidR="00C70FFB" w:rsidRPr="00B536FE">
        <w:rPr>
          <w:noProof/>
          <w:lang w:val="en-IE"/>
        </w:rPr>
        <w:t>those</w:t>
      </w:r>
      <w:r w:rsidR="00C2056A" w:rsidRPr="00B536FE">
        <w:rPr>
          <w:noProof/>
          <w:lang w:val="en-IE"/>
        </w:rPr>
        <w:t xml:space="preserve"> Member States for bluefin tuna in the </w:t>
      </w:r>
      <w:r w:rsidR="00A57133" w:rsidRPr="00B536FE">
        <w:rPr>
          <w:noProof/>
          <w:lang w:val="en-IE"/>
        </w:rPr>
        <w:t>ICCAT Convention area</w:t>
      </w:r>
      <w:r w:rsidR="00C2056A" w:rsidRPr="00B536FE">
        <w:rPr>
          <w:noProof/>
          <w:lang w:val="en-IE"/>
        </w:rPr>
        <w:t>, east of 45°W</w:t>
      </w:r>
      <w:r w:rsidR="00A57133" w:rsidRPr="00B536FE">
        <w:rPr>
          <w:noProof/>
          <w:lang w:val="en-IE"/>
        </w:rPr>
        <w:t xml:space="preserve"> </w:t>
      </w:r>
      <w:r w:rsidR="00C2056A" w:rsidRPr="00B536FE">
        <w:rPr>
          <w:noProof/>
          <w:lang w:val="en-IE"/>
        </w:rPr>
        <w:t>for 2025 should therefore be amended accordingly</w:t>
      </w:r>
      <w:r w:rsidR="00A57133" w:rsidRPr="00B536FE">
        <w:rPr>
          <w:noProof/>
          <w:lang w:val="en-IE"/>
        </w:rPr>
        <w:t>.</w:t>
      </w:r>
      <w:r w:rsidR="19701E79" w:rsidRPr="00B536FE">
        <w:rPr>
          <w:noProof/>
          <w:lang w:val="en-IE"/>
        </w:rPr>
        <w:t>]</w:t>
      </w:r>
    </w:p>
    <w:p w:rsidR="00A57133" w:rsidRPr="00B536FE" w:rsidRDefault="00A57133" w:rsidP="00A57133">
      <w:pPr>
        <w:pStyle w:val="ManualConsidrant"/>
        <w:rPr>
          <w:noProof/>
        </w:rPr>
      </w:pPr>
      <w:r>
        <w:rPr>
          <w:noProof/>
        </w:rPr>
        <w:t>(9)</w:t>
      </w:r>
      <w:r>
        <w:rPr>
          <w:noProof/>
        </w:rPr>
        <w:tab/>
      </w:r>
      <w:r w:rsidRPr="00B536FE">
        <w:rPr>
          <w:noProof/>
          <w:lang w:val="en-IE"/>
        </w:rPr>
        <w:t xml:space="preserve">In accordance with </w:t>
      </w:r>
      <w:r w:rsidR="5BB0F02C" w:rsidRPr="00B536FE">
        <w:rPr>
          <w:noProof/>
          <w:lang w:val="en-IE"/>
        </w:rPr>
        <w:t xml:space="preserve">Articles 8a, 17b and 18b of Regulation (EU) 2017/2107 of the </w:t>
      </w:r>
      <w:r w:rsidR="5BB0F02C" w:rsidRPr="00B536FE">
        <w:rPr>
          <w:noProof/>
        </w:rPr>
        <w:t>European Parliament and of the Council</w:t>
      </w:r>
      <w:r w:rsidR="00B25136" w:rsidRPr="00B536FE">
        <w:rPr>
          <w:rStyle w:val="FootnoteReference"/>
          <w:noProof/>
        </w:rPr>
        <w:footnoteReference w:id="19"/>
      </w:r>
      <w:r w:rsidR="008A098C" w:rsidRPr="00B536FE">
        <w:rPr>
          <w:noProof/>
        </w:rPr>
        <w:t>,</w:t>
      </w:r>
      <w:r w:rsidRPr="00B536FE">
        <w:rPr>
          <w:noProof/>
        </w:rPr>
        <w:t xml:space="preserve"> annual quotas for certain Member States for bigeye tuna (</w:t>
      </w:r>
      <w:r w:rsidRPr="00B536FE">
        <w:rPr>
          <w:i/>
          <w:iCs/>
          <w:noProof/>
        </w:rPr>
        <w:t>Thunnus obesus</w:t>
      </w:r>
      <w:r w:rsidRPr="00B536FE">
        <w:rPr>
          <w:noProof/>
        </w:rPr>
        <w:t>) in the ICCAT Convention area, albacore (</w:t>
      </w:r>
      <w:r w:rsidRPr="00B536FE">
        <w:rPr>
          <w:i/>
          <w:iCs/>
          <w:noProof/>
        </w:rPr>
        <w:t>Thunnus alalunga</w:t>
      </w:r>
      <w:r w:rsidRPr="00B536FE">
        <w:rPr>
          <w:noProof/>
        </w:rPr>
        <w:t>) in the ICCAT Convention area, both north of 5°N and south of 5°N, and  swordfish (</w:t>
      </w:r>
      <w:r w:rsidRPr="00B536FE">
        <w:rPr>
          <w:i/>
          <w:iCs/>
          <w:noProof/>
        </w:rPr>
        <w:t>Xiphias gladius</w:t>
      </w:r>
      <w:r w:rsidRPr="00B536FE">
        <w:rPr>
          <w:noProof/>
        </w:rPr>
        <w:t>) in the ICCAT Convention area, both north of 5°N and south of 5°N, were transferred from 202</w:t>
      </w:r>
      <w:r w:rsidR="00640630" w:rsidRPr="00B536FE">
        <w:rPr>
          <w:noProof/>
        </w:rPr>
        <w:t>4</w:t>
      </w:r>
      <w:r w:rsidRPr="00B536FE">
        <w:rPr>
          <w:noProof/>
        </w:rPr>
        <w:t xml:space="preserve"> to 202</w:t>
      </w:r>
      <w:r w:rsidR="00640630" w:rsidRPr="00B536FE">
        <w:rPr>
          <w:noProof/>
        </w:rPr>
        <w:t>6</w:t>
      </w:r>
      <w:r w:rsidRPr="00B536FE">
        <w:rPr>
          <w:noProof/>
        </w:rPr>
        <w:t xml:space="preserve"> in accordance with the relevant ICCAT recommendations. The quotas of th</w:t>
      </w:r>
      <w:r w:rsidR="00C23713" w:rsidRPr="00B536FE">
        <w:rPr>
          <w:noProof/>
        </w:rPr>
        <w:t>ose</w:t>
      </w:r>
      <w:r w:rsidRPr="00B536FE">
        <w:rPr>
          <w:noProof/>
        </w:rPr>
        <w:t xml:space="preserve"> Member States for those stocks for 202</w:t>
      </w:r>
      <w:r w:rsidR="00640630" w:rsidRPr="00B536FE">
        <w:rPr>
          <w:noProof/>
        </w:rPr>
        <w:t>6</w:t>
      </w:r>
      <w:r w:rsidRPr="00B536FE">
        <w:rPr>
          <w:noProof/>
        </w:rPr>
        <w:t xml:space="preserve"> should therefore be amended accordingly.</w:t>
      </w:r>
    </w:p>
    <w:p w:rsidR="18A85F7D" w:rsidRPr="00B536FE" w:rsidRDefault="008B2FBB" w:rsidP="00C647FD">
      <w:pPr>
        <w:pStyle w:val="ManualConsidrant"/>
        <w:rPr>
          <w:noProof/>
        </w:rPr>
      </w:pPr>
      <w:r>
        <w:rPr>
          <w:noProof/>
        </w:rPr>
        <w:t>(10)</w:t>
      </w:r>
      <w:r>
        <w:rPr>
          <w:noProof/>
        </w:rPr>
        <w:tab/>
      </w:r>
      <w:r w:rsidRPr="00B536FE">
        <w:rPr>
          <w:i/>
          <w:iCs/>
          <w:noProof/>
        </w:rPr>
        <w:t>[The recital and the relevant provisions will be updated after the</w:t>
      </w:r>
      <w:r w:rsidR="00710643" w:rsidRPr="00B536FE">
        <w:rPr>
          <w:i/>
          <w:iCs/>
          <w:noProof/>
        </w:rPr>
        <w:t xml:space="preserve"> SPRFMO annual meeting</w:t>
      </w:r>
      <w:r w:rsidRPr="00B536FE">
        <w:rPr>
          <w:i/>
          <w:iCs/>
          <w:noProof/>
        </w:rPr>
        <w:t>.]</w:t>
      </w:r>
      <w:r w:rsidRPr="00B536FE">
        <w:rPr>
          <w:noProof/>
        </w:rPr>
        <w:t xml:space="preserve"> </w:t>
      </w:r>
      <w:r w:rsidR="00710643" w:rsidRPr="00B536FE">
        <w:rPr>
          <w:noProof/>
        </w:rPr>
        <w:t>[</w:t>
      </w:r>
      <w:r w:rsidR="00C647FD" w:rsidRPr="00B536FE">
        <w:rPr>
          <w:noProof/>
        </w:rPr>
        <w:t>At its 13th annual meeting in 2025, the South Pacific Regional Fisheries Management Organisation (SPRFMO) adopted catch limits for jack mackerel (</w:t>
      </w:r>
      <w:r w:rsidR="00C647FD" w:rsidRPr="00B536FE">
        <w:rPr>
          <w:i/>
          <w:iCs/>
          <w:noProof/>
        </w:rPr>
        <w:t>Trachurus murphyi</w:t>
      </w:r>
      <w:r w:rsidR="00C647FD" w:rsidRPr="00B536FE">
        <w:rPr>
          <w:noProof/>
        </w:rPr>
        <w:t>) and maintained exploratory fisheries for toothfishes (</w:t>
      </w:r>
      <w:r w:rsidR="00C647FD" w:rsidRPr="00B536FE">
        <w:rPr>
          <w:i/>
          <w:iCs/>
          <w:noProof/>
        </w:rPr>
        <w:t>Dissostichus</w:t>
      </w:r>
      <w:r w:rsidR="00C647FD" w:rsidRPr="00B536FE">
        <w:rPr>
          <w:noProof/>
        </w:rPr>
        <w:t xml:space="preserve"> spp.). In addition, the SPRFMO maintained </w:t>
      </w:r>
      <w:r w:rsidR="00871E1A" w:rsidRPr="00B536FE">
        <w:rPr>
          <w:noProof/>
        </w:rPr>
        <w:t xml:space="preserve">and </w:t>
      </w:r>
      <w:r w:rsidR="00C647FD" w:rsidRPr="00B536FE">
        <w:rPr>
          <w:noProof/>
        </w:rPr>
        <w:t xml:space="preserve">amended functionally linked measures. Those outcomes of the SPRFMO meeting should </w:t>
      </w:r>
      <w:r w:rsidR="00F26CD2" w:rsidRPr="00B536FE">
        <w:rPr>
          <w:noProof/>
        </w:rPr>
        <w:t xml:space="preserve">therefore </w:t>
      </w:r>
      <w:r w:rsidR="00C647FD" w:rsidRPr="00B536FE">
        <w:rPr>
          <w:noProof/>
        </w:rPr>
        <w:t>be implemented in Union law.</w:t>
      </w:r>
      <w:r w:rsidR="00710643" w:rsidRPr="00B536FE">
        <w:rPr>
          <w:noProof/>
        </w:rPr>
        <w:t>]</w:t>
      </w:r>
    </w:p>
    <w:p w:rsidR="000F5FD1" w:rsidRPr="00B536FE" w:rsidRDefault="00807EA7" w:rsidP="00807EA7">
      <w:pPr>
        <w:pStyle w:val="ManualConsidrant"/>
        <w:rPr>
          <w:noProof/>
        </w:rPr>
      </w:pPr>
      <w:r>
        <w:rPr>
          <w:noProof/>
        </w:rPr>
        <w:t>(11)</w:t>
      </w:r>
      <w:r>
        <w:rPr>
          <w:noProof/>
        </w:rPr>
        <w:tab/>
      </w:r>
      <w:r w:rsidRPr="00B536FE">
        <w:rPr>
          <w:noProof/>
          <w:lang w:val="en-IE"/>
        </w:rPr>
        <w:t>Pending the outcome of the 10</w:t>
      </w:r>
      <w:r w:rsidRPr="00B536FE">
        <w:rPr>
          <w:noProof/>
          <w:vertAlign w:val="superscript"/>
          <w:lang w:val="en-IE"/>
        </w:rPr>
        <w:t>th</w:t>
      </w:r>
      <w:r w:rsidRPr="00B536FE">
        <w:rPr>
          <w:noProof/>
          <w:lang w:val="en-IE"/>
        </w:rPr>
        <w:t xml:space="preserve"> session of the North Pacific Fisheries Commission (NPFC), the fishing opportunities for Chub mackerel (</w:t>
      </w:r>
      <w:r w:rsidRPr="00B536FE">
        <w:rPr>
          <w:i/>
          <w:iCs/>
          <w:noProof/>
        </w:rPr>
        <w:t>Scomber japonicus</w:t>
      </w:r>
      <w:r w:rsidRPr="00B536FE">
        <w:rPr>
          <w:noProof/>
        </w:rPr>
        <w:t>) in the NPFC Convention area for the period from 1 June 2026 to 31 May 2027 should be marked ‘to be established’, in order to allow the fishery for Chub mackerel to start from 1 June 2026,</w:t>
      </w:r>
      <w:r w:rsidR="005B4A19" w:rsidRPr="00B536FE">
        <w:rPr>
          <w:noProof/>
        </w:rPr>
        <w:t xml:space="preserve"> </w:t>
      </w:r>
      <w:r w:rsidR="001E666E" w:rsidRPr="00B536FE">
        <w:rPr>
          <w:noProof/>
        </w:rPr>
        <w:t xml:space="preserve">for </w:t>
      </w:r>
      <w:r w:rsidRPr="00B536FE">
        <w:rPr>
          <w:noProof/>
        </w:rPr>
        <w:t>Union fishing vessel</w:t>
      </w:r>
      <w:r w:rsidR="001E666E" w:rsidRPr="00B536FE">
        <w:rPr>
          <w:noProof/>
        </w:rPr>
        <w:t>s</w:t>
      </w:r>
      <w:r w:rsidR="005B4A19" w:rsidRPr="00B536FE">
        <w:rPr>
          <w:noProof/>
        </w:rPr>
        <w:t xml:space="preserve"> </w:t>
      </w:r>
      <w:r w:rsidRPr="00B536FE">
        <w:rPr>
          <w:noProof/>
        </w:rPr>
        <w:t xml:space="preserve">issued a fishing authorisation in </w:t>
      </w:r>
      <w:r w:rsidRPr="00B536FE">
        <w:rPr>
          <w:noProof/>
        </w:rPr>
        <w:lastRenderedPageBreak/>
        <w:t>accordance with Article</w:t>
      </w:r>
      <w:r w:rsidR="0011724C" w:rsidRPr="00B536FE">
        <w:rPr>
          <w:noProof/>
        </w:rPr>
        <w:t>s</w:t>
      </w:r>
      <w:r w:rsidRPr="00B536FE">
        <w:rPr>
          <w:noProof/>
        </w:rPr>
        <w:t xml:space="preserve"> 20 to 22 of Regulation (EU) 2017/2403 of the European Parliament and of the Council</w:t>
      </w:r>
      <w:r w:rsidRPr="00A142A4">
        <w:rPr>
          <w:rStyle w:val="FootnoteReference"/>
          <w:noProof/>
        </w:rPr>
        <w:footnoteReference w:id="20"/>
      </w:r>
      <w:r w:rsidRPr="00B536FE">
        <w:rPr>
          <w:noProof/>
        </w:rPr>
        <w:t>.</w:t>
      </w:r>
    </w:p>
    <w:p w:rsidR="000F5FD1" w:rsidRPr="00B536FE" w:rsidRDefault="00807EA7" w:rsidP="00D51A78">
      <w:pPr>
        <w:pStyle w:val="ManualConsidrant"/>
        <w:rPr>
          <w:noProof/>
        </w:rPr>
      </w:pPr>
      <w:r>
        <w:rPr>
          <w:noProof/>
        </w:rPr>
        <w:t>(12)</w:t>
      </w:r>
      <w:r>
        <w:rPr>
          <w:noProof/>
        </w:rPr>
        <w:tab/>
      </w:r>
      <w:r w:rsidRPr="00B536FE">
        <w:rPr>
          <w:noProof/>
          <w:lang w:val="en-US"/>
        </w:rPr>
        <w:t xml:space="preserve">The two groups of closure periods for Union purse seine fishing vessels in the </w:t>
      </w:r>
      <w:r w:rsidRPr="00B536FE">
        <w:rPr>
          <w:noProof/>
        </w:rPr>
        <w:t>Inter-American Tropical Tuna Commission (IATTC) Convention area</w:t>
      </w:r>
      <w:r w:rsidR="00D51A78" w:rsidRPr="00B536FE">
        <w:rPr>
          <w:noProof/>
        </w:rPr>
        <w:t xml:space="preserve"> established by Regulation (EU) 2026/249</w:t>
      </w:r>
      <w:r w:rsidRPr="00B536FE">
        <w:rPr>
          <w:noProof/>
        </w:rPr>
        <w:t xml:space="preserve">, during which such vessels are </w:t>
      </w:r>
      <w:r w:rsidR="009858F2">
        <w:rPr>
          <w:noProof/>
        </w:rPr>
        <w:t>prohibited from fishing</w:t>
      </w:r>
      <w:r w:rsidRPr="00B536FE">
        <w:rPr>
          <w:noProof/>
        </w:rPr>
        <w:t xml:space="preserve"> for yellowfin tuna (</w:t>
      </w:r>
      <w:r w:rsidRPr="00B536FE">
        <w:rPr>
          <w:i/>
          <w:iCs/>
          <w:noProof/>
        </w:rPr>
        <w:t>Thunnus albacares</w:t>
      </w:r>
      <w:r w:rsidRPr="00B536FE">
        <w:rPr>
          <w:noProof/>
        </w:rPr>
        <w:t>), bigeye tuna or skipjack tuna (</w:t>
      </w:r>
      <w:r w:rsidRPr="00B536FE">
        <w:rPr>
          <w:i/>
          <w:iCs/>
          <w:noProof/>
        </w:rPr>
        <w:t>Katsuwonus pelamis</w:t>
      </w:r>
      <w:r w:rsidRPr="00B536FE">
        <w:rPr>
          <w:noProof/>
        </w:rPr>
        <w:t>), should be amended</w:t>
      </w:r>
      <w:r w:rsidR="009858F2">
        <w:rPr>
          <w:noProof/>
        </w:rPr>
        <w:t xml:space="preserve"> in line with measures adopted by the IATTC</w:t>
      </w:r>
      <w:r w:rsidR="0011724C" w:rsidRPr="00B536FE">
        <w:rPr>
          <w:noProof/>
        </w:rPr>
        <w:t>.</w:t>
      </w:r>
      <w:r w:rsidRPr="00B536FE">
        <w:rPr>
          <w:noProof/>
        </w:rPr>
        <w:t xml:space="preserve"> </w:t>
      </w:r>
      <w:r w:rsidR="0011724C" w:rsidRPr="00B536FE">
        <w:rPr>
          <w:noProof/>
        </w:rPr>
        <w:t>T</w:t>
      </w:r>
      <w:r w:rsidRPr="00B536FE">
        <w:rPr>
          <w:noProof/>
        </w:rPr>
        <w:t xml:space="preserve">he first group of closure periods </w:t>
      </w:r>
      <w:r w:rsidR="001E666E" w:rsidRPr="00B536FE">
        <w:rPr>
          <w:noProof/>
        </w:rPr>
        <w:t>should be amended to apply</w:t>
      </w:r>
      <w:r w:rsidRPr="00B536FE">
        <w:rPr>
          <w:noProof/>
        </w:rPr>
        <w:t xml:space="preserve"> throughout the entire IATTC Convention area </w:t>
      </w:r>
      <w:r w:rsidR="001E666E" w:rsidRPr="00B536FE">
        <w:rPr>
          <w:noProof/>
        </w:rPr>
        <w:t>whilst the second group of closure periods</w:t>
      </w:r>
      <w:r w:rsidR="00DE6A94" w:rsidRPr="00B536FE">
        <w:rPr>
          <w:noProof/>
        </w:rPr>
        <w:t xml:space="preserve"> should continue to apply in a specific area only. </w:t>
      </w:r>
      <w:r w:rsidR="001E666E" w:rsidRPr="00B536FE">
        <w:rPr>
          <w:noProof/>
        </w:rPr>
        <w:t xml:space="preserve"> </w:t>
      </w:r>
      <w:r w:rsidR="00881C47" w:rsidRPr="00B536FE">
        <w:rPr>
          <w:noProof/>
        </w:rPr>
        <w:t>In addition</w:t>
      </w:r>
      <w:r w:rsidR="00DE6A94" w:rsidRPr="00B536FE">
        <w:rPr>
          <w:noProof/>
        </w:rPr>
        <w:t xml:space="preserve">, </w:t>
      </w:r>
      <w:r w:rsidRPr="00B536FE">
        <w:rPr>
          <w:noProof/>
        </w:rPr>
        <w:t xml:space="preserve">the extensions of closure periods </w:t>
      </w:r>
      <w:r w:rsidRPr="00B536FE">
        <w:rPr>
          <w:rFonts w:eastAsia="Times New Roman"/>
          <w:noProof/>
        </w:rPr>
        <w:t>for Union purse seine fishing vessels, based on their catches of bigeye tuna in the IATTC Convention area</w:t>
      </w:r>
      <w:r w:rsidR="00681A1C">
        <w:rPr>
          <w:rFonts w:eastAsia="Times New Roman"/>
          <w:noProof/>
        </w:rPr>
        <w:t xml:space="preserve"> during the previous year</w:t>
      </w:r>
      <w:r w:rsidRPr="00B536FE">
        <w:rPr>
          <w:rFonts w:eastAsia="Times New Roman"/>
          <w:noProof/>
        </w:rPr>
        <w:t xml:space="preserve">, </w:t>
      </w:r>
      <w:r w:rsidR="001E666E" w:rsidRPr="00B536FE">
        <w:rPr>
          <w:rFonts w:eastAsia="Times New Roman"/>
          <w:noProof/>
        </w:rPr>
        <w:t xml:space="preserve">should </w:t>
      </w:r>
      <w:r w:rsidRPr="00B536FE">
        <w:rPr>
          <w:noProof/>
        </w:rPr>
        <w:t>only apply to th</w:t>
      </w:r>
      <w:r w:rsidR="00DE6A94" w:rsidRPr="00B536FE">
        <w:rPr>
          <w:noProof/>
        </w:rPr>
        <w:t>e first</w:t>
      </w:r>
      <w:r w:rsidRPr="00B536FE">
        <w:rPr>
          <w:noProof/>
        </w:rPr>
        <w:t xml:space="preserve"> group of closure periods</w:t>
      </w:r>
      <w:r w:rsidR="00DE6A94" w:rsidRPr="00B536FE">
        <w:rPr>
          <w:noProof/>
        </w:rPr>
        <w:t xml:space="preserve"> and thus no longer apply to the second group of closure periods</w:t>
      </w:r>
      <w:r w:rsidRPr="00B536FE">
        <w:rPr>
          <w:noProof/>
        </w:rPr>
        <w:t xml:space="preserve">. </w:t>
      </w:r>
    </w:p>
    <w:p w:rsidR="00807EA7" w:rsidRPr="00B536FE" w:rsidRDefault="00807EA7" w:rsidP="00807EA7">
      <w:pPr>
        <w:pStyle w:val="ManualConsidrant"/>
        <w:rPr>
          <w:noProof/>
        </w:rPr>
      </w:pPr>
      <w:r>
        <w:rPr>
          <w:noProof/>
        </w:rPr>
        <w:t>(13)</w:t>
      </w:r>
      <w:r>
        <w:rPr>
          <w:noProof/>
        </w:rPr>
        <w:tab/>
      </w:r>
      <w:r w:rsidRPr="00B536FE">
        <w:rPr>
          <w:noProof/>
        </w:rPr>
        <w:t>On 20 January 2021, the European Parliament and the Council adopted Regulation (EU) 2021/56</w:t>
      </w:r>
      <w:r w:rsidRPr="00B536FE">
        <w:rPr>
          <w:rStyle w:val="FootnoteReference"/>
          <w:noProof/>
        </w:rPr>
        <w:footnoteReference w:id="21"/>
      </w:r>
      <w:r w:rsidRPr="00B536FE">
        <w:rPr>
          <w:noProof/>
        </w:rPr>
        <w:t xml:space="preserve"> implementing into Union law certain management, conservation and control measures applicable in the IATTC </w:t>
      </w:r>
      <w:r w:rsidR="006C014A" w:rsidRPr="00B536FE">
        <w:rPr>
          <w:noProof/>
        </w:rPr>
        <w:t xml:space="preserve">Convention </w:t>
      </w:r>
      <w:r w:rsidRPr="00B536FE">
        <w:rPr>
          <w:noProof/>
        </w:rPr>
        <w:t>area. Article 8 of that Regulation establishes measures for oceanic whitetip sharks (</w:t>
      </w:r>
      <w:r w:rsidRPr="00B536FE">
        <w:rPr>
          <w:i/>
          <w:iCs/>
          <w:noProof/>
        </w:rPr>
        <w:t>Carcharhinus longimanus</w:t>
      </w:r>
      <w:r w:rsidRPr="00B536FE">
        <w:rPr>
          <w:noProof/>
        </w:rPr>
        <w:t xml:space="preserve">). Article 40 of Regulation (EU) 2026/249 overlaps with Regulation (EU) 2021/56 on that subject matter and imposes requirements that are already addressed under Union law. It is therefore appropriate to delete Article 40 of Regulation (EU) 2026/249. </w:t>
      </w:r>
    </w:p>
    <w:p w:rsidR="0034781D" w:rsidRPr="00B536FE" w:rsidRDefault="0034781D" w:rsidP="00F06F7C">
      <w:pPr>
        <w:pStyle w:val="ManualConsidrant"/>
        <w:rPr>
          <w:noProof/>
          <w:lang w:val="en-IE"/>
        </w:rPr>
      </w:pPr>
      <w:r>
        <w:rPr>
          <w:noProof/>
        </w:rPr>
        <w:t>(14)</w:t>
      </w:r>
      <w:r>
        <w:rPr>
          <w:noProof/>
        </w:rPr>
        <w:tab/>
      </w:r>
      <w:r w:rsidRPr="00B536FE">
        <w:rPr>
          <w:noProof/>
          <w:lang w:val="en-US"/>
        </w:rPr>
        <w:t>Regulation (EU) 2026/</w:t>
      </w:r>
      <w:r w:rsidR="00A56915" w:rsidRPr="00B536FE">
        <w:rPr>
          <w:noProof/>
          <w:lang w:val="en-US"/>
        </w:rPr>
        <w:t>249</w:t>
      </w:r>
      <w:r w:rsidRPr="00B536FE">
        <w:rPr>
          <w:noProof/>
          <w:lang w:val="en-US"/>
        </w:rPr>
        <w:t xml:space="preserve"> set a TAC for sole in ICES divisions 8c, 8d and 8e, subareas 9 and 10, and EU waters of Fishery Committee for the Eastern Central Atlantic (CECAF) 34.1.1 for 2026 and for 2027. </w:t>
      </w:r>
      <w:r w:rsidR="0080480B" w:rsidRPr="00B536FE">
        <w:rPr>
          <w:noProof/>
          <w:lang w:val="en-US"/>
        </w:rPr>
        <w:t>According to ICES, there are three main species of sole caught in that area: common sole (</w:t>
      </w:r>
      <w:r w:rsidR="0080480B" w:rsidRPr="00B536FE">
        <w:rPr>
          <w:i/>
          <w:iCs/>
          <w:noProof/>
          <w:lang w:val="en-US"/>
        </w:rPr>
        <w:t>Solea solea</w:t>
      </w:r>
      <w:r w:rsidR="0080480B" w:rsidRPr="00B536FE">
        <w:rPr>
          <w:noProof/>
          <w:lang w:val="en-US"/>
        </w:rPr>
        <w:t>), Senegalese sole (</w:t>
      </w:r>
      <w:r w:rsidR="0080480B" w:rsidRPr="00B536FE">
        <w:rPr>
          <w:i/>
          <w:iCs/>
          <w:noProof/>
          <w:lang w:val="en-US"/>
        </w:rPr>
        <w:t>Solea senegalensis</w:t>
      </w:r>
      <w:r w:rsidR="0080480B" w:rsidRPr="00B536FE">
        <w:rPr>
          <w:noProof/>
          <w:lang w:val="en-US"/>
        </w:rPr>
        <w:t>) and sand sole (</w:t>
      </w:r>
      <w:r w:rsidR="0080480B" w:rsidRPr="00B536FE">
        <w:rPr>
          <w:i/>
          <w:iCs/>
          <w:noProof/>
          <w:lang w:val="en-US"/>
        </w:rPr>
        <w:t>Pegusa lascaris</w:t>
      </w:r>
      <w:r w:rsidR="0080480B" w:rsidRPr="00B536FE">
        <w:rPr>
          <w:noProof/>
          <w:lang w:val="en-US"/>
        </w:rPr>
        <w:t>). The scientific name referred to in the TAC is “</w:t>
      </w:r>
      <w:r w:rsidR="0080480B" w:rsidRPr="00B536FE">
        <w:rPr>
          <w:i/>
          <w:iCs/>
          <w:noProof/>
          <w:lang w:val="en-US"/>
        </w:rPr>
        <w:t>Solea</w:t>
      </w:r>
      <w:r w:rsidR="0080480B" w:rsidRPr="00B536FE">
        <w:rPr>
          <w:noProof/>
          <w:lang w:val="en-US"/>
        </w:rPr>
        <w:t xml:space="preserve"> spp.”, which does not cover sand sole. However, sand sole was previously considered to belong to the genus </w:t>
      </w:r>
      <w:r w:rsidR="0080480B" w:rsidRPr="00B536FE">
        <w:rPr>
          <w:i/>
          <w:iCs/>
          <w:noProof/>
          <w:lang w:val="en-US"/>
        </w:rPr>
        <w:t>Solea.</w:t>
      </w:r>
      <w:r w:rsidR="0080480B" w:rsidRPr="00B536FE">
        <w:rPr>
          <w:noProof/>
          <w:lang w:val="en-US"/>
        </w:rPr>
        <w:t xml:space="preserve"> </w:t>
      </w:r>
      <w:r w:rsidR="00A660C1" w:rsidRPr="00B536FE">
        <w:rPr>
          <w:noProof/>
          <w:lang w:val="en-US"/>
        </w:rPr>
        <w:t>To provide legal certainty, the scientific name referred to in the TAC should be replaced by “</w:t>
      </w:r>
      <w:r w:rsidR="00A660C1" w:rsidRPr="00B536FE">
        <w:rPr>
          <w:i/>
          <w:iCs/>
          <w:noProof/>
          <w:lang w:val="en-US"/>
        </w:rPr>
        <w:t>Solea</w:t>
      </w:r>
      <w:r w:rsidR="00A660C1" w:rsidRPr="00B536FE">
        <w:rPr>
          <w:noProof/>
          <w:lang w:val="en-US"/>
        </w:rPr>
        <w:t xml:space="preserve"> spp. and </w:t>
      </w:r>
      <w:r w:rsidR="00A660C1" w:rsidRPr="00B536FE">
        <w:rPr>
          <w:i/>
          <w:iCs/>
          <w:noProof/>
          <w:lang w:val="en-US"/>
        </w:rPr>
        <w:t>Pegusa lascaris</w:t>
      </w:r>
      <w:r w:rsidR="00A660C1" w:rsidRPr="00B536FE">
        <w:rPr>
          <w:noProof/>
          <w:lang w:val="en-US"/>
        </w:rPr>
        <w:t>” to also cover sand sole.</w:t>
      </w:r>
      <w:r w:rsidR="00EF74BA" w:rsidRPr="00B536FE">
        <w:rPr>
          <w:noProof/>
          <w:lang w:val="en-US"/>
        </w:rPr>
        <w:t xml:space="preserve"> </w:t>
      </w:r>
    </w:p>
    <w:p w:rsidR="00C8120D" w:rsidRPr="00B536FE" w:rsidRDefault="5B28AE18" w:rsidP="00F06F7C">
      <w:pPr>
        <w:pStyle w:val="ManualConsidrant"/>
        <w:rPr>
          <w:noProof/>
        </w:rPr>
      </w:pPr>
      <w:r>
        <w:rPr>
          <w:noProof/>
        </w:rPr>
        <w:t>(15)</w:t>
      </w:r>
      <w:r>
        <w:rPr>
          <w:noProof/>
        </w:rPr>
        <w:tab/>
      </w:r>
      <w:r w:rsidRPr="00B536FE">
        <w:rPr>
          <w:noProof/>
          <w:lang w:val="en-IE"/>
        </w:rPr>
        <w:t xml:space="preserve">Regulation (EU) </w:t>
      </w:r>
      <w:r w:rsidR="7778DFF3" w:rsidRPr="00B536FE">
        <w:rPr>
          <w:noProof/>
          <w:lang w:val="en-IE"/>
        </w:rPr>
        <w:t>202</w:t>
      </w:r>
      <w:r w:rsidR="00374092" w:rsidRPr="00B536FE">
        <w:rPr>
          <w:noProof/>
          <w:lang w:val="en-IE"/>
        </w:rPr>
        <w:t>6</w:t>
      </w:r>
      <w:r w:rsidR="3A4BB8D6" w:rsidRPr="00B536FE">
        <w:rPr>
          <w:noProof/>
          <w:lang w:val="en-IE"/>
        </w:rPr>
        <w:t>/</w:t>
      </w:r>
      <w:r w:rsidR="00A56915" w:rsidRPr="00B536FE">
        <w:rPr>
          <w:noProof/>
          <w:lang w:val="en-IE"/>
        </w:rPr>
        <w:t>249</w:t>
      </w:r>
      <w:r w:rsidR="0079040F" w:rsidRPr="00B536FE">
        <w:rPr>
          <w:noProof/>
          <w:lang w:val="en-IE"/>
        </w:rPr>
        <w:t xml:space="preserve"> </w:t>
      </w:r>
      <w:r w:rsidRPr="00B536FE">
        <w:rPr>
          <w:noProof/>
          <w:lang w:val="en-IE"/>
        </w:rPr>
        <w:t>should therefore be amended accordingly.</w:t>
      </w:r>
    </w:p>
    <w:p w:rsidR="00E52E72" w:rsidRPr="00B536FE" w:rsidRDefault="00E52E72" w:rsidP="00E52E72">
      <w:pPr>
        <w:pStyle w:val="ManualConsidrant"/>
        <w:rPr>
          <w:noProof/>
        </w:rPr>
      </w:pPr>
      <w:r>
        <w:rPr>
          <w:noProof/>
        </w:rPr>
        <w:t>(16)</w:t>
      </w:r>
      <w:r>
        <w:rPr>
          <w:noProof/>
        </w:rPr>
        <w:tab/>
      </w:r>
      <w:r w:rsidRPr="00B536FE">
        <w:rPr>
          <w:noProof/>
        </w:rPr>
        <w:t>In order to maintain the reporting periods for the TACs amended by this Regulation, which apply from 1 January 2026, the amended TACs</w:t>
      </w:r>
      <w:r w:rsidR="001F4343">
        <w:rPr>
          <w:noProof/>
        </w:rPr>
        <w:t xml:space="preserve"> </w:t>
      </w:r>
      <w:r w:rsidRPr="00B536FE">
        <w:rPr>
          <w:noProof/>
        </w:rPr>
        <w:t xml:space="preserve">should apply retroactively from </w:t>
      </w:r>
      <w:r w:rsidR="001F4343">
        <w:rPr>
          <w:noProof/>
        </w:rPr>
        <w:t>that date</w:t>
      </w:r>
      <w:r w:rsidRPr="00B536FE">
        <w:rPr>
          <w:noProof/>
        </w:rPr>
        <w:t xml:space="preserve">. Such retroactive application does not affect the principles of legal certainty and protection of legitimate expectations, as the TACs concerned are </w:t>
      </w:r>
      <w:r w:rsidR="000131A8" w:rsidRPr="00B536FE">
        <w:rPr>
          <w:noProof/>
        </w:rPr>
        <w:t xml:space="preserve">maintained or </w:t>
      </w:r>
      <w:r w:rsidRPr="00B536FE">
        <w:rPr>
          <w:noProof/>
        </w:rPr>
        <w:t>increased.</w:t>
      </w:r>
    </w:p>
    <w:p w:rsidR="003B4895" w:rsidRPr="00B536FE" w:rsidRDefault="00E52E72" w:rsidP="00E52E72">
      <w:pPr>
        <w:pStyle w:val="ManualConsidrant"/>
        <w:rPr>
          <w:noProof/>
        </w:rPr>
      </w:pPr>
      <w:r>
        <w:rPr>
          <w:noProof/>
        </w:rPr>
        <w:t>(17)</w:t>
      </w:r>
      <w:r>
        <w:rPr>
          <w:noProof/>
        </w:rPr>
        <w:tab/>
      </w:r>
      <w:r w:rsidRPr="00B536FE">
        <w:rPr>
          <w:noProof/>
        </w:rPr>
        <w:t>Given the urgency of avoiding interruptions to fishing activities, this Regulation should enter into force on the day of its publication in th</w:t>
      </w:r>
      <w:r w:rsidR="5B28AE18" w:rsidRPr="00B536FE">
        <w:rPr>
          <w:noProof/>
        </w:rPr>
        <w:t xml:space="preserve">e </w:t>
      </w:r>
      <w:r w:rsidR="5B28AE18" w:rsidRPr="00B536FE">
        <w:rPr>
          <w:i/>
          <w:iCs/>
          <w:noProof/>
        </w:rPr>
        <w:t>Official Journal of the European Union</w:t>
      </w:r>
      <w:r w:rsidR="395429EB" w:rsidRPr="00B536FE">
        <w:rPr>
          <w:noProof/>
        </w:rPr>
        <w:t>,</w:t>
      </w:r>
    </w:p>
    <w:p w:rsidR="0075565C" w:rsidRPr="00B536FE" w:rsidRDefault="0075565C" w:rsidP="00440DA8">
      <w:pPr>
        <w:rPr>
          <w:noProof/>
        </w:rPr>
      </w:pPr>
    </w:p>
    <w:p w:rsidR="00382895" w:rsidRPr="00B536FE" w:rsidRDefault="00382895" w:rsidP="00440DA8">
      <w:pPr>
        <w:pStyle w:val="Formuledadoption"/>
        <w:rPr>
          <w:noProof/>
        </w:rPr>
      </w:pPr>
      <w:r w:rsidRPr="00B536FE">
        <w:rPr>
          <w:noProof/>
        </w:rPr>
        <w:lastRenderedPageBreak/>
        <w:t>HAS ADOPTED THIS REGULATION:</w:t>
      </w:r>
    </w:p>
    <w:p w:rsidR="0075565C" w:rsidRPr="00B536FE" w:rsidRDefault="0075565C" w:rsidP="00440DA8">
      <w:pPr>
        <w:pStyle w:val="Titrearticle"/>
        <w:rPr>
          <w:noProof/>
        </w:rPr>
      </w:pPr>
      <w:r w:rsidRPr="00B536FE">
        <w:rPr>
          <w:noProof/>
        </w:rPr>
        <w:t>Article 1</w:t>
      </w:r>
      <w:r w:rsidRPr="00B536FE">
        <w:rPr>
          <w:noProof/>
        </w:rPr>
        <w:br/>
      </w:r>
      <w:r w:rsidRPr="00B536FE">
        <w:rPr>
          <w:b/>
          <w:i w:val="0"/>
          <w:noProof/>
        </w:rPr>
        <w:t>A</w:t>
      </w:r>
      <w:r w:rsidR="000C6438" w:rsidRPr="00B536FE">
        <w:rPr>
          <w:b/>
          <w:i w:val="0"/>
          <w:noProof/>
        </w:rPr>
        <w:t xml:space="preserve">mendment </w:t>
      </w:r>
      <w:r w:rsidR="0079040F" w:rsidRPr="00B536FE">
        <w:rPr>
          <w:b/>
          <w:i w:val="0"/>
          <w:noProof/>
        </w:rPr>
        <w:t xml:space="preserve">of </w:t>
      </w:r>
      <w:r w:rsidR="000C6438" w:rsidRPr="00B536FE">
        <w:rPr>
          <w:b/>
          <w:i w:val="0"/>
          <w:noProof/>
        </w:rPr>
        <w:t xml:space="preserve">Regulation (EU) </w:t>
      </w:r>
      <w:r w:rsidR="00EE1FA4" w:rsidRPr="00B536FE">
        <w:rPr>
          <w:b/>
          <w:i w:val="0"/>
          <w:noProof/>
        </w:rPr>
        <w:t>202</w:t>
      </w:r>
      <w:r w:rsidR="00E52E72" w:rsidRPr="00B536FE">
        <w:rPr>
          <w:b/>
          <w:i w:val="0"/>
          <w:noProof/>
        </w:rPr>
        <w:t>6</w:t>
      </w:r>
      <w:r w:rsidR="0079040F" w:rsidRPr="00B536FE">
        <w:rPr>
          <w:b/>
          <w:i w:val="0"/>
          <w:noProof/>
        </w:rPr>
        <w:t>/</w:t>
      </w:r>
      <w:r w:rsidR="00A56915" w:rsidRPr="00B536FE">
        <w:rPr>
          <w:b/>
          <w:i w:val="0"/>
          <w:noProof/>
        </w:rPr>
        <w:t>249</w:t>
      </w:r>
    </w:p>
    <w:p w:rsidR="74026A1F" w:rsidRPr="00B536FE" w:rsidRDefault="00EF4C14" w:rsidP="00440DA8">
      <w:pPr>
        <w:rPr>
          <w:noProof/>
        </w:rPr>
      </w:pPr>
      <w:r w:rsidRPr="00B536FE">
        <w:rPr>
          <w:noProof/>
        </w:rPr>
        <w:t xml:space="preserve">Regulation (EU) </w:t>
      </w:r>
      <w:r w:rsidR="00EE1FA4" w:rsidRPr="00B536FE">
        <w:rPr>
          <w:noProof/>
        </w:rPr>
        <w:t>202</w:t>
      </w:r>
      <w:r w:rsidR="00E52E72" w:rsidRPr="00B536FE">
        <w:rPr>
          <w:noProof/>
        </w:rPr>
        <w:t>6</w:t>
      </w:r>
      <w:r w:rsidR="00EE1FA4" w:rsidRPr="00B536FE">
        <w:rPr>
          <w:noProof/>
        </w:rPr>
        <w:t>/</w:t>
      </w:r>
      <w:r w:rsidR="00A56915" w:rsidRPr="00B536FE">
        <w:rPr>
          <w:noProof/>
        </w:rPr>
        <w:t>249</w:t>
      </w:r>
      <w:r w:rsidRPr="00B536FE">
        <w:rPr>
          <w:noProof/>
        </w:rPr>
        <w:t xml:space="preserve"> is amended</w:t>
      </w:r>
      <w:r w:rsidR="00D04CE8" w:rsidRPr="00B536FE">
        <w:rPr>
          <w:noProof/>
        </w:rPr>
        <w:t xml:space="preserve"> </w:t>
      </w:r>
      <w:r w:rsidRPr="00B536FE">
        <w:rPr>
          <w:noProof/>
        </w:rPr>
        <w:t>as follows:</w:t>
      </w:r>
    </w:p>
    <w:p w:rsidR="00807EA7" w:rsidRPr="00B536FE" w:rsidRDefault="00E60BB1" w:rsidP="00807EA7">
      <w:pPr>
        <w:pStyle w:val="Point0"/>
        <w:rPr>
          <w:noProof/>
        </w:rPr>
      </w:pPr>
      <w:r w:rsidRPr="00B536FE">
        <w:rPr>
          <w:noProof/>
        </w:rPr>
        <w:t>1.</w:t>
      </w:r>
      <w:r w:rsidR="00E52E72" w:rsidRPr="00B536FE">
        <w:rPr>
          <w:noProof/>
        </w:rPr>
        <w:tab/>
      </w:r>
      <w:r w:rsidR="00807EA7" w:rsidRPr="00B536FE">
        <w:rPr>
          <w:noProof/>
        </w:rPr>
        <w:t xml:space="preserve">Article 37 is amended as follows:  </w:t>
      </w:r>
    </w:p>
    <w:p w:rsidR="00807EA7" w:rsidRPr="00B536FE" w:rsidRDefault="00807EA7" w:rsidP="00807EA7">
      <w:pPr>
        <w:pStyle w:val="Point1"/>
        <w:rPr>
          <w:noProof/>
        </w:rPr>
      </w:pPr>
      <w:r w:rsidRPr="00B536FE">
        <w:rPr>
          <w:noProof/>
        </w:rPr>
        <w:t>(a)</w:t>
      </w:r>
      <w:r w:rsidRPr="00B536FE">
        <w:rPr>
          <w:noProof/>
        </w:rPr>
        <w:tab/>
        <w:t>in paragraph 1, point (a) is replaced by the following:</w:t>
      </w:r>
    </w:p>
    <w:p w:rsidR="00807EA7" w:rsidRPr="00B536FE" w:rsidRDefault="00881C47" w:rsidP="00807EA7">
      <w:pPr>
        <w:pStyle w:val="Point1"/>
        <w:ind w:left="2160" w:hanging="740"/>
        <w:rPr>
          <w:noProof/>
        </w:rPr>
      </w:pPr>
      <w:r w:rsidRPr="00B536FE">
        <w:rPr>
          <w:noProof/>
        </w:rPr>
        <w:t>‘</w:t>
      </w:r>
      <w:r w:rsidR="00807EA7" w:rsidRPr="00B536FE">
        <w:rPr>
          <w:noProof/>
        </w:rPr>
        <w:t>(a)</w:t>
      </w:r>
      <w:r w:rsidR="00807EA7" w:rsidRPr="00B536FE">
        <w:rPr>
          <w:noProof/>
        </w:rPr>
        <w:tab/>
        <w:t>either from 00:00 hours on 6 August 2026 to 24:00 hours on 8 October 2026 or from 00:00 hours on 9 November 2026 to 24:00 hours on 11 January 2027 in the IATTC Convention area; and</w:t>
      </w:r>
      <w:r w:rsidRPr="00B536FE">
        <w:rPr>
          <w:noProof/>
        </w:rPr>
        <w:t>’</w:t>
      </w:r>
    </w:p>
    <w:p w:rsidR="00807EA7" w:rsidRPr="00B536FE" w:rsidRDefault="00807EA7" w:rsidP="00807EA7">
      <w:pPr>
        <w:pStyle w:val="Point1"/>
        <w:rPr>
          <w:noProof/>
        </w:rPr>
      </w:pPr>
      <w:r w:rsidRPr="00B536FE">
        <w:rPr>
          <w:noProof/>
        </w:rPr>
        <w:t xml:space="preserve">(b) </w:t>
      </w:r>
      <w:r w:rsidRPr="00B536FE">
        <w:rPr>
          <w:noProof/>
        </w:rPr>
        <w:tab/>
        <w:t xml:space="preserve">in paragraph 6, the </w:t>
      </w:r>
      <w:r w:rsidR="00070337" w:rsidRPr="00B536FE">
        <w:rPr>
          <w:noProof/>
        </w:rPr>
        <w:t>introductory</w:t>
      </w:r>
      <w:r w:rsidRPr="00B536FE">
        <w:rPr>
          <w:noProof/>
        </w:rPr>
        <w:t xml:space="preserve"> sentence is replaced by the following</w:t>
      </w:r>
      <w:r w:rsidR="00881C47" w:rsidRPr="00B536FE">
        <w:rPr>
          <w:noProof/>
        </w:rPr>
        <w:t>:</w:t>
      </w:r>
    </w:p>
    <w:p w:rsidR="00807EA7" w:rsidRPr="00B536FE" w:rsidRDefault="00881C47" w:rsidP="00807EA7">
      <w:pPr>
        <w:pStyle w:val="Point0"/>
        <w:ind w:left="1417" w:firstLine="23"/>
        <w:rPr>
          <w:noProof/>
        </w:rPr>
      </w:pPr>
      <w:r w:rsidRPr="00B536FE">
        <w:rPr>
          <w:noProof/>
        </w:rPr>
        <w:t>‘</w:t>
      </w:r>
      <w:r w:rsidR="00807EA7" w:rsidRPr="00B536FE">
        <w:rPr>
          <w:noProof/>
        </w:rPr>
        <w:t>The closure periods referred to in paragraph 1, point (a) shall be extended for Union purse seine fishing vessels, on the basis of their catches of bigeye tuna in the IATTC Convention area during the previous year, as follows:</w:t>
      </w:r>
      <w:r w:rsidRPr="00B536FE">
        <w:rPr>
          <w:noProof/>
        </w:rPr>
        <w:t>’</w:t>
      </w:r>
    </w:p>
    <w:p w:rsidR="00807EA7" w:rsidRPr="00B536FE" w:rsidRDefault="00807EA7" w:rsidP="00807EA7">
      <w:pPr>
        <w:pStyle w:val="Point1"/>
        <w:rPr>
          <w:noProof/>
        </w:rPr>
      </w:pPr>
      <w:r w:rsidRPr="00B536FE">
        <w:rPr>
          <w:noProof/>
        </w:rPr>
        <w:t>(c)</w:t>
      </w:r>
      <w:r w:rsidRPr="00B536FE">
        <w:rPr>
          <w:noProof/>
        </w:rPr>
        <w:tab/>
        <w:t>paragraph 7 is replaced by the following</w:t>
      </w:r>
      <w:r w:rsidR="00881C47" w:rsidRPr="00B536FE">
        <w:rPr>
          <w:noProof/>
        </w:rPr>
        <w:t>:</w:t>
      </w:r>
    </w:p>
    <w:p w:rsidR="00807EA7" w:rsidRPr="00B536FE" w:rsidRDefault="00881C47" w:rsidP="00807EA7">
      <w:pPr>
        <w:pStyle w:val="Point0"/>
        <w:ind w:left="2160" w:hanging="720"/>
        <w:rPr>
          <w:noProof/>
        </w:rPr>
      </w:pPr>
      <w:r w:rsidRPr="00B536FE">
        <w:rPr>
          <w:noProof/>
        </w:rPr>
        <w:t>‘</w:t>
      </w:r>
      <w:r w:rsidR="00807EA7" w:rsidRPr="00B536FE">
        <w:rPr>
          <w:noProof/>
        </w:rPr>
        <w:t>(7)</w:t>
      </w:r>
      <w:r w:rsidR="00807EA7" w:rsidRPr="00B536FE">
        <w:rPr>
          <w:noProof/>
        </w:rPr>
        <w:tab/>
        <w:t>The extensions of the closure periods referred to in paragraph 6 apply as follows:</w:t>
      </w:r>
    </w:p>
    <w:p w:rsidR="00807EA7" w:rsidRPr="00B536FE" w:rsidRDefault="00807EA7" w:rsidP="00807EA7">
      <w:pPr>
        <w:pStyle w:val="Point0"/>
        <w:ind w:left="2880" w:hanging="720"/>
        <w:rPr>
          <w:noProof/>
        </w:rPr>
      </w:pPr>
      <w:r w:rsidRPr="00B536FE">
        <w:rPr>
          <w:noProof/>
        </w:rPr>
        <w:t>(a)</w:t>
      </w:r>
      <w:r w:rsidRPr="00B536FE">
        <w:rPr>
          <w:noProof/>
        </w:rPr>
        <w:tab/>
        <w:t>for the closure period starting on 00:00 hours on 6 August 2026, the additional days are added before the start of that closure period; and</w:t>
      </w:r>
    </w:p>
    <w:p w:rsidR="00807EA7" w:rsidRPr="00B536FE" w:rsidRDefault="00807EA7" w:rsidP="00881C47">
      <w:pPr>
        <w:pStyle w:val="Point0"/>
        <w:ind w:left="2880" w:hanging="720"/>
        <w:rPr>
          <w:noProof/>
        </w:rPr>
      </w:pPr>
      <w:r w:rsidRPr="00B536FE">
        <w:rPr>
          <w:noProof/>
        </w:rPr>
        <w:t>(b)</w:t>
      </w:r>
      <w:r w:rsidRPr="00B536FE">
        <w:rPr>
          <w:noProof/>
        </w:rPr>
        <w:tab/>
        <w:t>for the closure period starting on 00:00 hours on 9 November 2026, the additional days are added after the end of that closure period.</w:t>
      </w:r>
      <w:r w:rsidR="00881C47" w:rsidRPr="00B536FE">
        <w:rPr>
          <w:noProof/>
        </w:rPr>
        <w:t>’</w:t>
      </w:r>
    </w:p>
    <w:p w:rsidR="00E52E72" w:rsidRPr="00B536FE" w:rsidRDefault="00807EA7" w:rsidP="00E52E72">
      <w:pPr>
        <w:pStyle w:val="Point0"/>
        <w:rPr>
          <w:noProof/>
        </w:rPr>
      </w:pPr>
      <w:r w:rsidRPr="00B536FE">
        <w:rPr>
          <w:noProof/>
        </w:rPr>
        <w:t>2.</w:t>
      </w:r>
      <w:r w:rsidRPr="00B536FE">
        <w:rPr>
          <w:noProof/>
        </w:rPr>
        <w:tab/>
      </w:r>
      <w:r w:rsidR="009B2FA1" w:rsidRPr="00B536FE">
        <w:rPr>
          <w:noProof/>
        </w:rPr>
        <w:t xml:space="preserve">Article </w:t>
      </w:r>
      <w:r w:rsidR="00E52E72" w:rsidRPr="00B536FE">
        <w:rPr>
          <w:noProof/>
        </w:rPr>
        <w:t>40 is deleted.</w:t>
      </w:r>
    </w:p>
    <w:p w:rsidR="007C687F" w:rsidRPr="00B536FE" w:rsidRDefault="00807EA7" w:rsidP="00E52E72">
      <w:pPr>
        <w:pStyle w:val="Point0"/>
        <w:rPr>
          <w:noProof/>
        </w:rPr>
      </w:pPr>
      <w:r w:rsidRPr="00B536FE">
        <w:rPr>
          <w:noProof/>
        </w:rPr>
        <w:t>3</w:t>
      </w:r>
      <w:r w:rsidR="00E60BB1" w:rsidRPr="00B536FE">
        <w:rPr>
          <w:noProof/>
        </w:rPr>
        <w:t>.</w:t>
      </w:r>
      <w:r w:rsidR="00E52E72" w:rsidRPr="00B536FE">
        <w:rPr>
          <w:noProof/>
        </w:rPr>
        <w:t xml:space="preserve"> </w:t>
      </w:r>
      <w:r w:rsidR="00E52E72" w:rsidRPr="00B536FE">
        <w:rPr>
          <w:noProof/>
        </w:rPr>
        <w:tab/>
        <w:t>Article 62</w:t>
      </w:r>
      <w:r w:rsidR="001B42C2" w:rsidRPr="00B536FE">
        <w:rPr>
          <w:noProof/>
        </w:rPr>
        <w:t xml:space="preserve"> is amended as follows</w:t>
      </w:r>
      <w:r w:rsidR="00E52E72" w:rsidRPr="00B536FE">
        <w:rPr>
          <w:noProof/>
        </w:rPr>
        <w:t xml:space="preserve">: </w:t>
      </w:r>
      <w:r w:rsidR="008D7A9A" w:rsidRPr="00B536FE">
        <w:rPr>
          <w:noProof/>
        </w:rPr>
        <w:t xml:space="preserve"> </w:t>
      </w:r>
    </w:p>
    <w:p w:rsidR="00807EA7" w:rsidRPr="00B536FE" w:rsidRDefault="00807EA7" w:rsidP="00807EA7">
      <w:pPr>
        <w:pStyle w:val="Point1"/>
        <w:rPr>
          <w:noProof/>
        </w:rPr>
      </w:pPr>
      <w:r w:rsidRPr="00B536FE">
        <w:rPr>
          <w:noProof/>
        </w:rPr>
        <w:t>(</w:t>
      </w:r>
      <w:r w:rsidR="00A563AE" w:rsidRPr="00B536FE">
        <w:rPr>
          <w:noProof/>
        </w:rPr>
        <w:t>a</w:t>
      </w:r>
      <w:r w:rsidRPr="00B536FE">
        <w:rPr>
          <w:noProof/>
        </w:rPr>
        <w:t xml:space="preserve">) </w:t>
      </w:r>
      <w:r w:rsidRPr="00B536FE">
        <w:rPr>
          <w:noProof/>
        </w:rPr>
        <w:tab/>
        <w:t>in paragraph 2, point (d) is replaced the following:</w:t>
      </w:r>
    </w:p>
    <w:p w:rsidR="00807EA7" w:rsidRPr="00B536FE" w:rsidRDefault="00881C47" w:rsidP="00807EA7">
      <w:pPr>
        <w:pStyle w:val="Point1"/>
        <w:ind w:left="2157" w:hanging="740"/>
        <w:rPr>
          <w:noProof/>
        </w:rPr>
      </w:pPr>
      <w:r w:rsidRPr="00B536FE">
        <w:rPr>
          <w:noProof/>
        </w:rPr>
        <w:t>‘</w:t>
      </w:r>
      <w:r w:rsidR="00807EA7" w:rsidRPr="00B536FE">
        <w:rPr>
          <w:noProof/>
        </w:rPr>
        <w:t>(d)</w:t>
      </w:r>
      <w:r w:rsidR="00807EA7" w:rsidRPr="00B536FE">
        <w:rPr>
          <w:noProof/>
        </w:rPr>
        <w:tab/>
        <w:t>Article 19(1) to (2) and (4) to (6) shall apply from 1 June 2026 to 31 December 2026;</w:t>
      </w:r>
      <w:r w:rsidRPr="00B536FE">
        <w:rPr>
          <w:noProof/>
        </w:rPr>
        <w:t>’</w:t>
      </w:r>
      <w:r w:rsidR="00807EA7" w:rsidRPr="00B536FE">
        <w:rPr>
          <w:noProof/>
        </w:rPr>
        <w:t>;</w:t>
      </w:r>
      <w:r w:rsidR="00DA7E2C" w:rsidRPr="00B536FE">
        <w:rPr>
          <w:noProof/>
        </w:rPr>
        <w:t xml:space="preserve"> </w:t>
      </w:r>
    </w:p>
    <w:p w:rsidR="00807EA7" w:rsidRPr="00B536FE" w:rsidRDefault="00807EA7" w:rsidP="00807EA7">
      <w:pPr>
        <w:pStyle w:val="Point1"/>
        <w:rPr>
          <w:noProof/>
        </w:rPr>
      </w:pPr>
      <w:r w:rsidRPr="00B536FE">
        <w:rPr>
          <w:noProof/>
        </w:rPr>
        <w:t>(</w:t>
      </w:r>
      <w:r w:rsidR="00A563AE" w:rsidRPr="00B536FE">
        <w:rPr>
          <w:noProof/>
        </w:rPr>
        <w:t>b</w:t>
      </w:r>
      <w:r w:rsidRPr="00B536FE">
        <w:rPr>
          <w:noProof/>
        </w:rPr>
        <w:t>)</w:t>
      </w:r>
      <w:r w:rsidRPr="00B536FE">
        <w:rPr>
          <w:noProof/>
        </w:rPr>
        <w:tab/>
        <w:t>in paragraph 2, the following points (da) and (db) are inserted:</w:t>
      </w:r>
    </w:p>
    <w:p w:rsidR="00807EA7" w:rsidRPr="00B536FE" w:rsidRDefault="00881C47" w:rsidP="00807EA7">
      <w:pPr>
        <w:pStyle w:val="Point1"/>
        <w:ind w:left="2157" w:hanging="740"/>
        <w:rPr>
          <w:noProof/>
        </w:rPr>
      </w:pPr>
      <w:r w:rsidRPr="00B536FE">
        <w:rPr>
          <w:noProof/>
        </w:rPr>
        <w:t>‘</w:t>
      </w:r>
      <w:r w:rsidR="00807EA7" w:rsidRPr="00B536FE">
        <w:rPr>
          <w:noProof/>
        </w:rPr>
        <w:t>(da)</w:t>
      </w:r>
      <w:r w:rsidR="00807EA7" w:rsidRPr="00B536FE">
        <w:rPr>
          <w:noProof/>
        </w:rPr>
        <w:tab/>
        <w:t>Article 19(3) shall apply from pm 2026 to 31 December 2026</w:t>
      </w:r>
    </w:p>
    <w:p w:rsidR="00A563AE" w:rsidRPr="00B536FE" w:rsidRDefault="00807EA7">
      <w:pPr>
        <w:pStyle w:val="Point1"/>
        <w:ind w:firstLine="0"/>
        <w:rPr>
          <w:noProof/>
        </w:rPr>
      </w:pPr>
      <w:r w:rsidRPr="00B536FE">
        <w:rPr>
          <w:noProof/>
        </w:rPr>
        <w:t xml:space="preserve"> (db) </w:t>
      </w:r>
      <w:r w:rsidRPr="00B536FE">
        <w:rPr>
          <w:noProof/>
        </w:rPr>
        <w:tab/>
        <w:t>Article 20 shall apply from pm 2026 to 31 December 2026;</w:t>
      </w:r>
      <w:r w:rsidR="00881C47" w:rsidRPr="00B536FE">
        <w:rPr>
          <w:noProof/>
        </w:rPr>
        <w:t>’</w:t>
      </w:r>
      <w:r w:rsidRPr="00B536FE">
        <w:rPr>
          <w:noProof/>
        </w:rPr>
        <w:t>;</w:t>
      </w:r>
    </w:p>
    <w:p w:rsidR="00E52E72" w:rsidRPr="00B536FE" w:rsidRDefault="00A563AE" w:rsidP="00881C47">
      <w:pPr>
        <w:pStyle w:val="Point1"/>
        <w:rPr>
          <w:noProof/>
        </w:rPr>
      </w:pPr>
      <w:r w:rsidRPr="00B536FE">
        <w:rPr>
          <w:noProof/>
        </w:rPr>
        <w:t>(c)</w:t>
      </w:r>
      <w:r w:rsidRPr="00B536FE">
        <w:rPr>
          <w:noProof/>
        </w:rPr>
        <w:tab/>
        <w:t xml:space="preserve">in paragraph 2, point (k) is deleted; </w:t>
      </w:r>
      <w:r w:rsidR="00881C47" w:rsidRPr="00B536FE">
        <w:rPr>
          <w:noProof/>
        </w:rPr>
        <w:t>and</w:t>
      </w:r>
    </w:p>
    <w:p w:rsidR="00E52E72" w:rsidRPr="00B536FE" w:rsidRDefault="00E52E72" w:rsidP="00E52E72">
      <w:pPr>
        <w:pStyle w:val="Point1"/>
        <w:rPr>
          <w:noProof/>
        </w:rPr>
      </w:pPr>
      <w:r w:rsidRPr="00B536FE">
        <w:rPr>
          <w:noProof/>
        </w:rPr>
        <w:t>(</w:t>
      </w:r>
      <w:r w:rsidR="00807EA7" w:rsidRPr="00B536FE">
        <w:rPr>
          <w:noProof/>
        </w:rPr>
        <w:t>d</w:t>
      </w:r>
      <w:r w:rsidRPr="00B536FE">
        <w:rPr>
          <w:noProof/>
        </w:rPr>
        <w:t>)</w:t>
      </w:r>
      <w:r w:rsidRPr="00B536FE">
        <w:rPr>
          <w:noProof/>
        </w:rPr>
        <w:tab/>
      </w:r>
      <w:r w:rsidR="00E60BB1" w:rsidRPr="00B536FE">
        <w:rPr>
          <w:noProof/>
        </w:rPr>
        <w:t xml:space="preserve">in paragraph 3, </w:t>
      </w:r>
      <w:r w:rsidR="00881C47" w:rsidRPr="00B536FE">
        <w:rPr>
          <w:noProof/>
        </w:rPr>
        <w:t>‘</w:t>
      </w:r>
      <w:r w:rsidR="00E60BB1" w:rsidRPr="00B536FE">
        <w:rPr>
          <w:noProof/>
        </w:rPr>
        <w:t>40</w:t>
      </w:r>
      <w:r w:rsidR="00881C47" w:rsidRPr="00B536FE">
        <w:rPr>
          <w:noProof/>
        </w:rPr>
        <w:t>’</w:t>
      </w:r>
      <w:r w:rsidR="00E60BB1" w:rsidRPr="00B536FE">
        <w:rPr>
          <w:noProof/>
        </w:rPr>
        <w:t xml:space="preserve"> is deleted.</w:t>
      </w:r>
    </w:p>
    <w:p w:rsidR="00554BBD" w:rsidRPr="00B536FE" w:rsidRDefault="00807EA7" w:rsidP="00B2115E">
      <w:pPr>
        <w:pStyle w:val="Point0"/>
        <w:rPr>
          <w:noProof/>
        </w:rPr>
      </w:pPr>
      <w:r w:rsidRPr="00B536FE">
        <w:rPr>
          <w:noProof/>
        </w:rPr>
        <w:t>4</w:t>
      </w:r>
      <w:r w:rsidR="00E60BB1" w:rsidRPr="00B536FE">
        <w:rPr>
          <w:noProof/>
        </w:rPr>
        <w:t>.</w:t>
      </w:r>
      <w:r w:rsidR="00672F65" w:rsidRPr="00B536FE">
        <w:rPr>
          <w:noProof/>
        </w:rPr>
        <w:tab/>
      </w:r>
      <w:r w:rsidR="006049AC" w:rsidRPr="00B536FE">
        <w:rPr>
          <w:noProof/>
        </w:rPr>
        <w:t>Annex IA</w:t>
      </w:r>
      <w:r w:rsidR="007B4174" w:rsidRPr="00B536FE">
        <w:rPr>
          <w:noProof/>
        </w:rPr>
        <w:t>, Part</w:t>
      </w:r>
      <w:r w:rsidR="00E60BB1" w:rsidRPr="00B536FE">
        <w:rPr>
          <w:noProof/>
        </w:rPr>
        <w:t>s A and</w:t>
      </w:r>
      <w:r w:rsidR="007B4174" w:rsidRPr="00B536FE">
        <w:rPr>
          <w:noProof/>
        </w:rPr>
        <w:t xml:space="preserve"> B</w:t>
      </w:r>
      <w:r w:rsidR="006049AC" w:rsidRPr="00B536FE">
        <w:rPr>
          <w:noProof/>
        </w:rPr>
        <w:t>,</w:t>
      </w:r>
      <w:r w:rsidR="007B4174" w:rsidRPr="00B536FE">
        <w:rPr>
          <w:noProof/>
        </w:rPr>
        <w:t xml:space="preserve"> </w:t>
      </w:r>
      <w:r w:rsidR="002470AC" w:rsidRPr="00B536FE">
        <w:rPr>
          <w:noProof/>
        </w:rPr>
        <w:t xml:space="preserve">and </w:t>
      </w:r>
      <w:r w:rsidR="00E6001D" w:rsidRPr="00B536FE">
        <w:rPr>
          <w:noProof/>
        </w:rPr>
        <w:t>Annexes</w:t>
      </w:r>
      <w:r w:rsidR="005C370D" w:rsidRPr="00B536FE">
        <w:rPr>
          <w:noProof/>
        </w:rPr>
        <w:t xml:space="preserve"> IB,</w:t>
      </w:r>
      <w:r w:rsidR="00E6001D" w:rsidRPr="00B536FE">
        <w:rPr>
          <w:noProof/>
        </w:rPr>
        <w:t xml:space="preserve"> </w:t>
      </w:r>
      <w:r w:rsidR="007B4174" w:rsidRPr="00B536FE">
        <w:rPr>
          <w:noProof/>
        </w:rPr>
        <w:t xml:space="preserve">ID, </w:t>
      </w:r>
      <w:r w:rsidR="006A6947" w:rsidRPr="00B536FE">
        <w:rPr>
          <w:noProof/>
        </w:rPr>
        <w:t>IH</w:t>
      </w:r>
      <w:r w:rsidRPr="00B536FE">
        <w:rPr>
          <w:noProof/>
        </w:rPr>
        <w:t>, IM</w:t>
      </w:r>
      <w:r w:rsidR="006A6947" w:rsidRPr="00B536FE">
        <w:rPr>
          <w:noProof/>
        </w:rPr>
        <w:t xml:space="preserve"> </w:t>
      </w:r>
      <w:r w:rsidR="007B4174" w:rsidRPr="00B536FE">
        <w:rPr>
          <w:noProof/>
        </w:rPr>
        <w:t>and</w:t>
      </w:r>
      <w:r w:rsidR="00691CFB" w:rsidRPr="00B536FE">
        <w:rPr>
          <w:noProof/>
        </w:rPr>
        <w:t xml:space="preserve"> VI</w:t>
      </w:r>
      <w:r w:rsidR="0079040F" w:rsidRPr="00B536FE">
        <w:rPr>
          <w:noProof/>
        </w:rPr>
        <w:t xml:space="preserve"> </w:t>
      </w:r>
      <w:r w:rsidR="00691CFB" w:rsidRPr="00B536FE">
        <w:rPr>
          <w:noProof/>
        </w:rPr>
        <w:t>are</w:t>
      </w:r>
      <w:r w:rsidR="006049AC" w:rsidRPr="00B536FE">
        <w:rPr>
          <w:noProof/>
        </w:rPr>
        <w:t xml:space="preserve"> amended</w:t>
      </w:r>
      <w:r w:rsidR="001C7624" w:rsidRPr="00B536FE">
        <w:rPr>
          <w:noProof/>
        </w:rPr>
        <w:t xml:space="preserve"> </w:t>
      </w:r>
      <w:r w:rsidR="006049AC" w:rsidRPr="00B536FE">
        <w:rPr>
          <w:noProof/>
        </w:rPr>
        <w:t xml:space="preserve">in accordance with </w:t>
      </w:r>
      <w:r w:rsidR="00B72770" w:rsidRPr="00B536FE">
        <w:rPr>
          <w:noProof/>
        </w:rPr>
        <w:t>the</w:t>
      </w:r>
      <w:r w:rsidR="00EE356A" w:rsidRPr="00B536FE">
        <w:rPr>
          <w:noProof/>
        </w:rPr>
        <w:t xml:space="preserve"> Annex </w:t>
      </w:r>
      <w:r w:rsidR="00B72770" w:rsidRPr="00B536FE">
        <w:rPr>
          <w:noProof/>
        </w:rPr>
        <w:t>to this Regulation.</w:t>
      </w:r>
      <w:r w:rsidR="004905BB" w:rsidRPr="00B536FE">
        <w:rPr>
          <w:noProof/>
        </w:rPr>
        <w:t xml:space="preserve"> </w:t>
      </w:r>
    </w:p>
    <w:p w:rsidR="000C6438" w:rsidRPr="00B536FE" w:rsidRDefault="000C6438" w:rsidP="00440DA8">
      <w:pPr>
        <w:pStyle w:val="Titrearticle"/>
        <w:rPr>
          <w:noProof/>
        </w:rPr>
      </w:pPr>
      <w:r w:rsidRPr="00B536FE">
        <w:rPr>
          <w:noProof/>
        </w:rPr>
        <w:t xml:space="preserve">Article </w:t>
      </w:r>
      <w:r w:rsidR="00C13077" w:rsidRPr="00B536FE">
        <w:rPr>
          <w:noProof/>
        </w:rPr>
        <w:t>2</w:t>
      </w:r>
      <w:r w:rsidRPr="00B536FE">
        <w:rPr>
          <w:noProof/>
        </w:rPr>
        <w:br/>
      </w:r>
      <w:r w:rsidRPr="00B536FE">
        <w:rPr>
          <w:b/>
          <w:i w:val="0"/>
          <w:noProof/>
        </w:rPr>
        <w:t>Entry into force and application</w:t>
      </w:r>
    </w:p>
    <w:p w:rsidR="008704D7" w:rsidRPr="00B536FE" w:rsidRDefault="008704D7" w:rsidP="00440DA8">
      <w:pPr>
        <w:rPr>
          <w:noProof/>
        </w:rPr>
      </w:pPr>
      <w:r w:rsidRPr="00B536FE">
        <w:rPr>
          <w:noProof/>
        </w:rPr>
        <w:t xml:space="preserve">This Regulation shall enter into force on the day </w:t>
      </w:r>
      <w:r w:rsidR="0008126C" w:rsidRPr="00B536FE">
        <w:rPr>
          <w:noProof/>
        </w:rPr>
        <w:t xml:space="preserve">of </w:t>
      </w:r>
      <w:r w:rsidRPr="00B536FE">
        <w:rPr>
          <w:noProof/>
        </w:rPr>
        <w:t xml:space="preserve">its publication in the </w:t>
      </w:r>
      <w:r w:rsidRPr="00B536FE">
        <w:rPr>
          <w:i/>
          <w:noProof/>
        </w:rPr>
        <w:t>Official Journal of the European Union</w:t>
      </w:r>
      <w:r w:rsidRPr="00B536FE">
        <w:rPr>
          <w:noProof/>
        </w:rPr>
        <w:t>.</w:t>
      </w:r>
    </w:p>
    <w:p w:rsidR="008704D7" w:rsidRPr="00B536FE" w:rsidRDefault="008704D7" w:rsidP="00440DA8">
      <w:pPr>
        <w:rPr>
          <w:noProof/>
        </w:rPr>
      </w:pPr>
      <w:r w:rsidRPr="00B536FE">
        <w:rPr>
          <w:noProof/>
        </w:rPr>
        <w:lastRenderedPageBreak/>
        <w:t xml:space="preserve">It shall apply from 1 </w:t>
      </w:r>
      <w:r w:rsidR="000C6438" w:rsidRPr="00B536FE">
        <w:rPr>
          <w:noProof/>
        </w:rPr>
        <w:t>January 202</w:t>
      </w:r>
      <w:r w:rsidR="00E60BB1" w:rsidRPr="00B536FE">
        <w:rPr>
          <w:noProof/>
        </w:rPr>
        <w:t>6</w:t>
      </w:r>
      <w:r w:rsidR="007B4174" w:rsidRPr="00B536FE">
        <w:rPr>
          <w:noProof/>
        </w:rPr>
        <w:t>.</w:t>
      </w:r>
    </w:p>
    <w:p w:rsidR="008704D7" w:rsidRPr="00B536FE" w:rsidRDefault="00382895" w:rsidP="00440DA8">
      <w:pPr>
        <w:pStyle w:val="Applicationdirecte"/>
        <w:rPr>
          <w:noProof/>
        </w:rPr>
      </w:pPr>
      <w:r w:rsidRPr="00B536FE">
        <w:rPr>
          <w:noProof/>
        </w:rPr>
        <w:t>This Regulation shall be binding in its entirety and directly applicable in all Member States.</w:t>
      </w:r>
    </w:p>
    <w:p w:rsidR="00382895" w:rsidRPr="00B536FE" w:rsidRDefault="00A56915" w:rsidP="0007042E">
      <w:pPr>
        <w:pStyle w:val="Fait"/>
        <w:rPr>
          <w:noProof/>
        </w:rPr>
      </w:pPr>
      <w:r>
        <w:rPr>
          <w:noProof/>
        </w:rPr>
        <w:t>Done at Brussels,</w:t>
      </w:r>
    </w:p>
    <w:p w:rsidR="00382895" w:rsidRPr="00B536FE" w:rsidRDefault="00382895" w:rsidP="0007042E">
      <w:pPr>
        <w:pStyle w:val="Institutionquisigne"/>
        <w:rPr>
          <w:noProof/>
        </w:rPr>
      </w:pPr>
      <w:r w:rsidRPr="00B536FE">
        <w:rPr>
          <w:noProof/>
        </w:rPr>
        <w:tab/>
        <w:t>For the Council</w:t>
      </w:r>
    </w:p>
    <w:p w:rsidR="00382895" w:rsidRPr="00382895" w:rsidRDefault="00382895" w:rsidP="00440DA8">
      <w:pPr>
        <w:pStyle w:val="Personnequisigne"/>
        <w:rPr>
          <w:noProof/>
        </w:rPr>
      </w:pPr>
      <w:r w:rsidRPr="00B536FE">
        <w:rPr>
          <w:noProof/>
        </w:rPr>
        <w:tab/>
        <w:t>The President</w:t>
      </w:r>
    </w:p>
    <w:sectPr w:rsidR="00382895" w:rsidRPr="00382895" w:rsidSect="007A020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8B2" w:rsidRDefault="00A278B2" w:rsidP="00382895">
      <w:pPr>
        <w:spacing w:before="0" w:after="0"/>
      </w:pPr>
      <w:r>
        <w:separator/>
      </w:r>
    </w:p>
  </w:endnote>
  <w:endnote w:type="continuationSeparator" w:id="0">
    <w:p w:rsidR="00A278B2" w:rsidRDefault="00A278B2" w:rsidP="00382895">
      <w:pPr>
        <w:spacing w:before="0" w:after="0"/>
      </w:pPr>
      <w:r>
        <w:continuationSeparator/>
      </w:r>
    </w:p>
  </w:endnote>
  <w:endnote w:type="continuationNotice" w:id="1">
    <w:p w:rsidR="00A278B2" w:rsidRDefault="00A278B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Pr="007A0201" w:rsidRDefault="007A0201" w:rsidP="007A0201">
    <w:pPr>
      <w:pStyle w:val="Footer"/>
      <w:rPr>
        <w:rFonts w:ascii="Arial" w:hAnsi="Arial" w:cs="Arial"/>
        <w:b/>
        <w:sz w:val="48"/>
      </w:rPr>
    </w:pPr>
    <w:r w:rsidRPr="007A0201">
      <w:rPr>
        <w:rFonts w:ascii="Arial" w:hAnsi="Arial" w:cs="Arial"/>
        <w:b/>
        <w:sz w:val="48"/>
      </w:rPr>
      <w:t>EN</w:t>
    </w:r>
    <w:r w:rsidRPr="007A0201">
      <w:rPr>
        <w:rFonts w:ascii="Arial" w:hAnsi="Arial" w:cs="Arial"/>
        <w:b/>
        <w:sz w:val="48"/>
      </w:rPr>
      <w:tab/>
    </w:r>
    <w:r w:rsidRPr="007A0201">
      <w:rPr>
        <w:rFonts w:ascii="Arial" w:hAnsi="Arial" w:cs="Arial"/>
        <w:b/>
        <w:sz w:val="48"/>
      </w:rPr>
      <w:tab/>
    </w:r>
    <w:r w:rsidRPr="007A0201">
      <w:tab/>
    </w:r>
    <w:r w:rsidRPr="007A020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Pr="007A0201" w:rsidRDefault="007A0201" w:rsidP="007A0201">
    <w:pPr>
      <w:pStyle w:val="Footer"/>
      <w:rPr>
        <w:rFonts w:ascii="Arial" w:hAnsi="Arial" w:cs="Arial"/>
        <w:b/>
        <w:sz w:val="48"/>
      </w:rPr>
    </w:pPr>
    <w:r w:rsidRPr="007A0201">
      <w:rPr>
        <w:rFonts w:ascii="Arial" w:hAnsi="Arial" w:cs="Arial"/>
        <w:b/>
        <w:sz w:val="48"/>
      </w:rPr>
      <w:t>EN</w:t>
    </w:r>
    <w:r w:rsidRPr="007A0201">
      <w:rPr>
        <w:rFonts w:ascii="Arial" w:hAnsi="Arial" w:cs="Arial"/>
        <w:b/>
        <w:sz w:val="48"/>
      </w:rPr>
      <w:tab/>
    </w:r>
    <w:r w:rsidRPr="007A0201">
      <w:rPr>
        <w:rFonts w:ascii="Arial" w:hAnsi="Arial" w:cs="Arial"/>
        <w:b/>
        <w:sz w:val="48"/>
      </w:rPr>
      <w:tab/>
    </w:r>
    <w:r w:rsidRPr="007A0201">
      <w:tab/>
    </w:r>
    <w:r w:rsidRPr="007A020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Default="007A02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Pr="007A0201" w:rsidRDefault="007A0201" w:rsidP="007A0201">
    <w:pPr>
      <w:pStyle w:val="Footer"/>
      <w:rPr>
        <w:rFonts w:ascii="Arial" w:hAnsi="Arial" w:cs="Arial"/>
        <w:b/>
        <w:sz w:val="48"/>
      </w:rPr>
    </w:pPr>
    <w:r w:rsidRPr="007A0201">
      <w:rPr>
        <w:rFonts w:ascii="Arial" w:hAnsi="Arial" w:cs="Arial"/>
        <w:b/>
        <w:sz w:val="48"/>
      </w:rPr>
      <w:t>EN</w:t>
    </w:r>
    <w:r w:rsidRPr="007A0201">
      <w:rPr>
        <w:rFonts w:ascii="Arial" w:hAnsi="Arial" w:cs="Arial"/>
        <w:b/>
        <w:sz w:val="48"/>
      </w:rPr>
      <w:tab/>
    </w:r>
    <w:r>
      <w:fldChar w:fldCharType="begin"/>
    </w:r>
    <w:r>
      <w:instrText xml:space="preserve"> PAGE  \* MERGEFORMAT </w:instrText>
    </w:r>
    <w:r>
      <w:fldChar w:fldCharType="separate"/>
    </w:r>
    <w:r w:rsidR="0007042E">
      <w:rPr>
        <w:noProof/>
      </w:rPr>
      <w:t>14</w:t>
    </w:r>
    <w:r>
      <w:fldChar w:fldCharType="end"/>
    </w:r>
    <w:r>
      <w:tab/>
    </w:r>
    <w:r w:rsidRPr="007A0201">
      <w:tab/>
    </w:r>
    <w:r w:rsidRPr="007A020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Default="007A0201" w:rsidP="007A0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8B2" w:rsidRDefault="00A278B2" w:rsidP="00382895">
      <w:pPr>
        <w:spacing w:before="0" w:after="0"/>
      </w:pPr>
      <w:r>
        <w:separator/>
      </w:r>
    </w:p>
  </w:footnote>
  <w:footnote w:type="continuationSeparator" w:id="0">
    <w:p w:rsidR="00A278B2" w:rsidRDefault="00A278B2" w:rsidP="00382895">
      <w:pPr>
        <w:spacing w:before="0" w:after="0"/>
      </w:pPr>
      <w:r>
        <w:continuationSeparator/>
      </w:r>
    </w:p>
  </w:footnote>
  <w:footnote w:type="continuationNotice" w:id="1">
    <w:p w:rsidR="00A278B2" w:rsidRDefault="00A278B2">
      <w:pPr>
        <w:spacing w:before="0" w:after="0"/>
      </w:pPr>
    </w:p>
  </w:footnote>
  <w:footnote w:id="2">
    <w:p w:rsidR="00AE279B" w:rsidRPr="00A94AF2" w:rsidRDefault="00AE279B" w:rsidP="00A56915">
      <w:pPr>
        <w:pStyle w:val="FootnoteText"/>
      </w:pPr>
      <w:r w:rsidRPr="00B504B7">
        <w:rPr>
          <w:rStyle w:val="FootnoteReference"/>
        </w:rPr>
        <w:footnoteRef/>
      </w:r>
      <w:r>
        <w:tab/>
      </w:r>
      <w:r w:rsidR="00A56915">
        <w:t xml:space="preserve">Council Regulation (EU) 2026/249 of 26 January 2026 fixing for 2026, 2027 and 2028 the fishing opportunities for certain fish stocks, applicable in Union waters and, for Union fishing vessels, in certain non-Union waters, and amending Regulation (EU) 2025/202 (OJ L, 2026/249, 30.1.2026, ELI: </w:t>
      </w:r>
      <w:hyperlink r:id="rId1" w:history="1">
        <w:r w:rsidR="00A56915" w:rsidRPr="003E6B73">
          <w:rPr>
            <w:rStyle w:val="Hyperlink"/>
          </w:rPr>
          <w:t>http://data.europa.eu/eli/reg/2026/249/oj</w:t>
        </w:r>
      </w:hyperlink>
      <w:r w:rsidR="00A56915">
        <w:t xml:space="preserve">). </w:t>
      </w:r>
    </w:p>
  </w:footnote>
  <w:footnote w:id="3">
    <w:p w:rsidR="008F51B1" w:rsidRPr="00BC1CC5" w:rsidRDefault="008F51B1" w:rsidP="008F51B1">
      <w:pPr>
        <w:pStyle w:val="FootnoteText"/>
        <w:rPr>
          <w:lang w:val="en-IE"/>
        </w:rPr>
      </w:pPr>
      <w:r>
        <w:rPr>
          <w:rStyle w:val="FootnoteReference"/>
        </w:rPr>
        <w:footnoteRef/>
      </w:r>
      <w:r>
        <w:rPr>
          <w:lang w:val="en-IE"/>
        </w:rPr>
        <w:tab/>
      </w:r>
      <w:r w:rsidRPr="00BC1CC5">
        <w:rPr>
          <w:lang w:val="en-IE"/>
        </w:rPr>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w:t>
      </w:r>
      <w:r>
        <w:rPr>
          <w:lang w:val="en-IE"/>
        </w:rPr>
        <w:t xml:space="preserve">, </w:t>
      </w:r>
      <w:r w:rsidRPr="00B01B1A">
        <w:rPr>
          <w:lang w:val="en-IE"/>
        </w:rPr>
        <w:t xml:space="preserve">ELI: </w:t>
      </w:r>
      <w:hyperlink r:id="rId2" w:history="1">
        <w:r w:rsidRPr="00DF7FA5">
          <w:rPr>
            <w:rStyle w:val="Hyperlink"/>
            <w:lang w:val="en-IE"/>
          </w:rPr>
          <w:t>http://data.europa.eu/eli/reg/2013/1380/oj</w:t>
        </w:r>
      </w:hyperlink>
      <w:r w:rsidRPr="00BC1CC5">
        <w:rPr>
          <w:lang w:val="en-IE"/>
        </w:rPr>
        <w:t>).</w:t>
      </w:r>
    </w:p>
  </w:footnote>
  <w:footnote w:id="4">
    <w:p w:rsidR="00D20D67" w:rsidRPr="00B075EC" w:rsidRDefault="00D20D67" w:rsidP="00D20D67">
      <w:pPr>
        <w:pStyle w:val="FootnoteText"/>
      </w:pPr>
      <w:r w:rsidRPr="00B075EC">
        <w:rPr>
          <w:rStyle w:val="FootnoteReference"/>
        </w:rPr>
        <w:footnoteRef/>
      </w:r>
      <w:r w:rsidRPr="00B075EC">
        <w:tab/>
      </w:r>
      <w:r>
        <w:t>Directive 2008/56/EC of the European Parliament and of the Council of 17 June 2008 establishing a framework for community action in the field of marine environmental policy (Marine Strategy Framework Directive) (</w:t>
      </w:r>
      <w:r w:rsidRPr="00411E16">
        <w:rPr>
          <w:lang w:val="en-IE"/>
        </w:rPr>
        <w:t>OJ L 164, 25.6.2008, p. 19</w:t>
      </w:r>
      <w:r>
        <w:rPr>
          <w:lang w:val="en-IE"/>
        </w:rPr>
        <w:t>,</w:t>
      </w:r>
      <w:r>
        <w:t xml:space="preserve"> ELI: </w:t>
      </w:r>
      <w:hyperlink r:id="rId3" w:history="1">
        <w:r w:rsidRPr="001877DD">
          <w:rPr>
            <w:rStyle w:val="Hyperlink"/>
          </w:rPr>
          <w:t>http://data.europa.eu/eli/dir/2008/56/oj</w:t>
        </w:r>
      </w:hyperlink>
      <w:r>
        <w:t xml:space="preserve">). </w:t>
      </w:r>
    </w:p>
  </w:footnote>
  <w:footnote w:id="5">
    <w:p w:rsidR="00997912" w:rsidRPr="00634D05" w:rsidRDefault="00997912" w:rsidP="00997912">
      <w:pPr>
        <w:pStyle w:val="FootnoteText"/>
      </w:pPr>
      <w:r w:rsidRPr="00634D05">
        <w:rPr>
          <w:rStyle w:val="FootnoteReference"/>
        </w:rPr>
        <w:footnoteRef/>
      </w:r>
      <w:r w:rsidRPr="00634D05">
        <w:tab/>
      </w:r>
      <w:r w:rsidRPr="001129C5">
        <w:t>Trade and Cooperation Agreement between the European Union and the European Atomic Energy Community, of the one part, and the United Kingdom of Great Britain and Northern Ireland, of the other part (OJ L 149, 30.4.2021, p. 10</w:t>
      </w:r>
      <w:r>
        <w:t xml:space="preserve">, </w:t>
      </w:r>
      <w:r w:rsidRPr="007251B2">
        <w:t xml:space="preserve">ELI: </w:t>
      </w:r>
      <w:hyperlink r:id="rId4" w:history="1">
        <w:r w:rsidRPr="00DF7FA5">
          <w:rPr>
            <w:rStyle w:val="Hyperlink"/>
          </w:rPr>
          <w:t>http://data.europa.eu/eli/agree_internation/2021/689(1)/oj</w:t>
        </w:r>
      </w:hyperlink>
      <w:r w:rsidRPr="001129C5">
        <w:t>).</w:t>
      </w:r>
    </w:p>
  </w:footnote>
  <w:footnote w:id="6">
    <w:p w:rsidR="00541874" w:rsidRPr="00634D05" w:rsidRDefault="00541874" w:rsidP="00541874">
      <w:pPr>
        <w:pStyle w:val="FootnoteText"/>
      </w:pPr>
      <w:r w:rsidRPr="00634D05">
        <w:rPr>
          <w:rStyle w:val="FootnoteReference"/>
        </w:rPr>
        <w:footnoteRef/>
      </w:r>
      <w:r w:rsidRPr="00634D05">
        <w:tab/>
      </w:r>
      <w:hyperlink r:id="rId5" w:history="1">
        <w:r w:rsidR="0018329B" w:rsidRPr="0018329B">
          <w:rPr>
            <w:rStyle w:val="Hyperlink"/>
          </w:rPr>
          <w:t>https://oceans-and-fisheries.ec.europa.eu/fisheries/international-agreements/northern-agreements_en</w:t>
        </w:r>
      </w:hyperlink>
      <w:r w:rsidR="0018329B">
        <w:t xml:space="preserve">  </w:t>
      </w:r>
      <w:r>
        <w:t xml:space="preserve"> </w:t>
      </w:r>
    </w:p>
  </w:footnote>
  <w:footnote w:id="7">
    <w:p w:rsidR="002113C8" w:rsidRPr="00DE6A94" w:rsidRDefault="002113C8" w:rsidP="00443D38">
      <w:pPr>
        <w:pStyle w:val="FootnoteText"/>
      </w:pPr>
      <w:r w:rsidRPr="00B504B7">
        <w:rPr>
          <w:rStyle w:val="FootnoteReference"/>
        </w:rPr>
        <w:footnoteRef/>
      </w:r>
      <w:r>
        <w:tab/>
      </w:r>
      <w:r w:rsidR="00A93152">
        <w:t xml:space="preserve">Council Regulation (EU) 2025/669 of 31 March 2025 amending Regulation (EU) 2025/202 fixing for 2025 and 2026 the fishing opportunities for certain fish stocks, applicable in Union waters and, for Union fishing vessels, in certain non-Union waters (OJ L, 2025/669, 1.4.2025, ELI: </w:t>
      </w:r>
      <w:hyperlink r:id="rId6" w:history="1">
        <w:r w:rsidR="00A93152" w:rsidRPr="00C7302A">
          <w:rPr>
            <w:rStyle w:val="Hyperlink"/>
          </w:rPr>
          <w:t>http://data.europa.eu/eli/reg/2025/669/oj</w:t>
        </w:r>
      </w:hyperlink>
      <w:r w:rsidR="00A93152">
        <w:t>).</w:t>
      </w:r>
    </w:p>
  </w:footnote>
  <w:footnote w:id="8">
    <w:p w:rsidR="007459E9" w:rsidRPr="00B536FE" w:rsidRDefault="007459E9" w:rsidP="007459E9">
      <w:pPr>
        <w:pStyle w:val="FootnoteText"/>
        <w:rPr>
          <w:lang w:val="pl-PL"/>
        </w:rPr>
      </w:pPr>
      <w:r w:rsidRPr="00B504B7">
        <w:rPr>
          <w:rStyle w:val="FootnoteReference"/>
        </w:rPr>
        <w:footnoteRef/>
      </w:r>
      <w:r w:rsidRPr="00B536FE">
        <w:rPr>
          <w:lang w:val="pl-PL"/>
        </w:rPr>
        <w:tab/>
      </w:r>
      <w:hyperlink r:id="rId7" w:history="1">
        <w:r w:rsidRPr="00B536FE">
          <w:rPr>
            <w:rStyle w:val="Hyperlink"/>
            <w:lang w:val="pl-PL"/>
          </w:rPr>
          <w:t>https://doi.org/10.17895/ices.advice.27202689.v2</w:t>
        </w:r>
      </w:hyperlink>
      <w:r w:rsidRPr="00B536FE">
        <w:rPr>
          <w:lang w:val="pl-PL"/>
        </w:rPr>
        <w:t xml:space="preserve"> </w:t>
      </w:r>
    </w:p>
  </w:footnote>
  <w:footnote w:id="9">
    <w:p w:rsidR="00361B9E" w:rsidRPr="00610455" w:rsidRDefault="00361B9E" w:rsidP="00361B9E">
      <w:pPr>
        <w:pStyle w:val="FootnoteText"/>
      </w:pPr>
      <w:r w:rsidRPr="00B504B7">
        <w:rPr>
          <w:rStyle w:val="FootnoteReference"/>
        </w:rPr>
        <w:footnoteRef/>
      </w:r>
      <w:r>
        <w:tab/>
        <w:t>Approach based on an EU-</w:t>
      </w:r>
      <w:r w:rsidR="00477B57">
        <w:t xml:space="preserve">UK </w:t>
      </w:r>
      <w:r>
        <w:t>joint share of 49,29% of the TAC for mackerel, after applying the quota transfers resulting from implementing respectively tables B and F of Annex 36 of the Trade and Cooperation Agreement.</w:t>
      </w:r>
    </w:p>
  </w:footnote>
  <w:footnote w:id="10">
    <w:p w:rsidR="00B25136" w:rsidRPr="00634D05" w:rsidRDefault="00B25136" w:rsidP="00B25136">
      <w:pPr>
        <w:pStyle w:val="FootnoteText"/>
      </w:pPr>
      <w:r w:rsidRPr="00634D05">
        <w:rPr>
          <w:rStyle w:val="FootnoteReference"/>
        </w:rPr>
        <w:footnoteRef/>
      </w:r>
      <w:r w:rsidRPr="00634D05">
        <w:tab/>
      </w:r>
      <w:r w:rsidRPr="00C64B04">
        <w:t xml:space="preserve">Regulation (EU) </w:t>
      </w:r>
      <w:r>
        <w:t xml:space="preserve">Regulation (EU) 2023/2053 of the European Parliament and of the Council of 13 September 2023 establishing a multiannual management plan for bluefin tuna in the eastern Atlantic </w:t>
      </w:r>
      <w:r w:rsidRPr="00440DA8">
        <w:t>and the Mediterranean, amending Regulations (EC) No 1936/2001, (EU) 2017/2107, and (EU) 2019/833 and repealing Regulation (EU) 2016/1627 (OJ L 238, 27.9.2023, p. 1</w:t>
      </w:r>
      <w:r>
        <w:t xml:space="preserve">, </w:t>
      </w:r>
      <w:r w:rsidRPr="00521C3B">
        <w:t xml:space="preserve">ELI: </w:t>
      </w:r>
      <w:hyperlink r:id="rId8" w:history="1">
        <w:r w:rsidRPr="00E81734">
          <w:rPr>
            <w:rStyle w:val="Hyperlink"/>
          </w:rPr>
          <w:t>http://data.europa.eu/eli/reg/2023/2053/oj</w:t>
        </w:r>
      </w:hyperlink>
      <w:r w:rsidRPr="00440DA8">
        <w:t>)</w:t>
      </w:r>
      <w:r>
        <w:t>.</w:t>
      </w:r>
    </w:p>
  </w:footnote>
  <w:footnote w:id="11">
    <w:p w:rsidR="00922C72" w:rsidRPr="00610455" w:rsidRDefault="00922C72" w:rsidP="00922C72">
      <w:pPr>
        <w:pStyle w:val="FootnoteText"/>
      </w:pPr>
      <w:r w:rsidRPr="00B504B7">
        <w:rPr>
          <w:rStyle w:val="FootnoteReference"/>
        </w:rPr>
        <w:footnoteRef/>
      </w:r>
      <w:r>
        <w:tab/>
        <w:t xml:space="preserve">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 </w:t>
      </w:r>
      <w:r w:rsidR="29374F39">
        <w:t xml:space="preserve">1, ELI: </w:t>
      </w:r>
      <w:hyperlink r:id="rId9">
        <w:r w:rsidR="29374F39" w:rsidRPr="29374F39">
          <w:rPr>
            <w:rStyle w:val="Hyperlink"/>
          </w:rPr>
          <w:t>http://data.europa.eu/eli/reg/2009/1224/oj</w:t>
        </w:r>
      </w:hyperlink>
      <w:r w:rsidR="29374F39">
        <w:t>).</w:t>
      </w:r>
    </w:p>
  </w:footnote>
  <w:footnote w:id="12">
    <w:p w:rsidR="00B25136" w:rsidRPr="00634D05" w:rsidRDefault="00B25136" w:rsidP="00B25136">
      <w:pPr>
        <w:pStyle w:val="FootnoteText"/>
      </w:pPr>
      <w:r w:rsidRPr="00634D05">
        <w:rPr>
          <w:rStyle w:val="FootnoteReference"/>
        </w:rPr>
        <w:footnoteRef/>
      </w:r>
      <w:r w:rsidRPr="00634D05">
        <w:tab/>
      </w:r>
      <w:r w:rsidR="0126DEB4">
        <w:t xml:space="preserve">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 (OJ L 315, 30.11.2017, p. 1, ELI: </w:t>
      </w:r>
      <w:hyperlink r:id="rId10">
        <w:r w:rsidR="0126DEB4" w:rsidRPr="0126DEB4">
          <w:rPr>
            <w:rStyle w:val="Hyperlink"/>
          </w:rPr>
          <w:t>http://data.europa.eu/eli/reg/2017/2107/oj</w:t>
        </w:r>
      </w:hyperlink>
      <w:r w:rsidR="0126DEB4">
        <w:t>).</w:t>
      </w:r>
    </w:p>
  </w:footnote>
  <w:footnote w:id="13">
    <w:p w:rsidR="000F5FD1" w:rsidRPr="00E23410" w:rsidRDefault="000F5FD1" w:rsidP="000F5FD1">
      <w:pPr>
        <w:pStyle w:val="FootnoteText"/>
        <w:rPr>
          <w:rStyle w:val="FootnoteReference"/>
        </w:rPr>
      </w:pPr>
      <w:r w:rsidRPr="00634D05">
        <w:rPr>
          <w:rStyle w:val="FootnoteReference"/>
        </w:rPr>
        <w:footnoteRef/>
      </w:r>
      <w:r w:rsidRPr="00634D05">
        <w:tab/>
      </w:r>
      <w:r>
        <w:t xml:space="preserve">Regulation (EU) 2017/2403 of the European Parliament and of the Council of 12 December 2017 on the sustainable management of external fishing fleets, and repealing Council Regulation (EC) No 1006/2008 (OJ L 347, 28.12.2017, p. 81, ELI: </w:t>
      </w:r>
      <w:hyperlink r:id="rId11">
        <w:r w:rsidRPr="151D984F">
          <w:rPr>
            <w:rStyle w:val="Hyperlink"/>
          </w:rPr>
          <w:t>http://data.europa.eu/eli/reg/2017/2403/oj</w:t>
        </w:r>
      </w:hyperlink>
      <w:r>
        <w:t xml:space="preserve">). </w:t>
      </w:r>
    </w:p>
  </w:footnote>
  <w:footnote w:id="14">
    <w:p w:rsidR="000F5FD1" w:rsidRPr="00634D05" w:rsidRDefault="000F5FD1" w:rsidP="000F5FD1">
      <w:pPr>
        <w:pStyle w:val="FootnoteText"/>
      </w:pPr>
      <w:r w:rsidRPr="00634D05">
        <w:rPr>
          <w:rStyle w:val="FootnoteReference"/>
        </w:rPr>
        <w:footnoteRef/>
      </w:r>
      <w:r w:rsidRPr="00634D05">
        <w:tab/>
      </w:r>
      <w:r>
        <w:t xml:space="preserve">Regulation (EU) 2021/56 of the European Parliament and of the Council of 20 January 2021 laying down management, conservation and control measures applicable in the Inter-American Tropical Tuna Convention area and amending Council Regulation (EC) No 520/2007 (OJ L 24, 26.1.2021, p. 1, ELI: </w:t>
      </w:r>
      <w:hyperlink r:id="rId12" w:history="1">
        <w:r w:rsidRPr="004A1DDE">
          <w:rPr>
            <w:rStyle w:val="Hyperlink"/>
          </w:rPr>
          <w:t>http://data.europa.eu/eli/reg/2021/56/oj</w:t>
        </w:r>
      </w:hyperlink>
      <w:r>
        <w:t xml:space="preserve">). </w:t>
      </w:r>
    </w:p>
  </w:footnote>
  <w:footnote w:id="15">
    <w:p w:rsidR="00A200E7" w:rsidRPr="00A94AF2" w:rsidRDefault="00A200E7" w:rsidP="00A200E7">
      <w:pPr>
        <w:pStyle w:val="FootnoteText"/>
      </w:pPr>
      <w:r w:rsidRPr="00B504B7">
        <w:rPr>
          <w:rStyle w:val="FootnoteReference"/>
        </w:rPr>
        <w:footnoteRef/>
      </w:r>
      <w:r>
        <w:tab/>
      </w:r>
      <w:r w:rsidR="00A56915">
        <w:t xml:space="preserve">Council Regulation (EU) 2026/249 of 26 January 2026 fixing for 2026, 2027 and 2028 the fishing opportunities for certain fish stocks, applicable in Union waters and, for Union fishing vessels, in certain non-Union waters, and amending Regulation (EU) 2025/202 (OJ L, 2026/249, 30.1.2026, ELI: </w:t>
      </w:r>
      <w:hyperlink r:id="rId13" w:history="1">
        <w:r w:rsidR="00A56915" w:rsidRPr="003E6B73">
          <w:rPr>
            <w:rStyle w:val="Hyperlink"/>
          </w:rPr>
          <w:t>http://data.europa.eu/eli/reg/2026/249/oj</w:t>
        </w:r>
      </w:hyperlink>
      <w:r w:rsidR="00A56915">
        <w:t xml:space="preserve">). </w:t>
      </w:r>
    </w:p>
  </w:footnote>
  <w:footnote w:id="16">
    <w:p w:rsidR="007749CE" w:rsidRPr="00A94AF2" w:rsidRDefault="007749CE" w:rsidP="007749CE">
      <w:pPr>
        <w:pStyle w:val="FootnoteText"/>
      </w:pPr>
      <w:r w:rsidRPr="00B504B7">
        <w:rPr>
          <w:rStyle w:val="FootnoteReference"/>
        </w:rPr>
        <w:footnoteRef/>
      </w:r>
      <w:r>
        <w:tab/>
      </w:r>
      <w:r w:rsidRPr="001129C5">
        <w:t>Trade and Cooperation Agreement between the European Union and the European Atomic Energy Community, of the one part, and the United Kingdom of Great Britain and Northern Ireland, of the other part (OJ L 149, 30.4.2021, p. 10</w:t>
      </w:r>
      <w:r>
        <w:t xml:space="preserve">, </w:t>
      </w:r>
      <w:r w:rsidRPr="007251B2">
        <w:t xml:space="preserve">ELI: </w:t>
      </w:r>
      <w:hyperlink r:id="rId14" w:history="1">
        <w:r w:rsidRPr="00DF7FA5">
          <w:rPr>
            <w:rStyle w:val="Hyperlink"/>
          </w:rPr>
          <w:t>http://data.europa.eu/eli/agree_internation/2021/689(1)/oj</w:t>
        </w:r>
      </w:hyperlink>
      <w:r w:rsidRPr="001129C5">
        <w:t>).</w:t>
      </w:r>
    </w:p>
  </w:footnote>
  <w:footnote w:id="17">
    <w:p w:rsidR="005B31F4" w:rsidRPr="00DD1FD3" w:rsidRDefault="005B31F4" w:rsidP="005B31F4">
      <w:pPr>
        <w:pStyle w:val="FootnoteText"/>
      </w:pPr>
      <w:r w:rsidRPr="00763AF1">
        <w:rPr>
          <w:rStyle w:val="FootnoteReference"/>
        </w:rPr>
        <w:footnoteRef/>
      </w:r>
      <w:r w:rsidRPr="00763AF1">
        <w:tab/>
        <w:t xml:space="preserve">Council Decision 87/277/EEC of 18 May 1987 on the allocation of the catch possibilities for cod in the Spitsbergen and Bear Island area and in Division 3M as defined in the NAFO Convention (OJ L 135, 23.5.1987, p. 29, ELI: </w:t>
      </w:r>
      <w:hyperlink r:id="rId15" w:history="1">
        <w:r w:rsidRPr="00BA2825">
          <w:rPr>
            <w:rStyle w:val="Hyperlink"/>
          </w:rPr>
          <w:t>http://data.europa.eu/eli/dec/1987/277/oj</w:t>
        </w:r>
      </w:hyperlink>
      <w:r w:rsidRPr="00763AF1">
        <w:t>).</w:t>
      </w:r>
    </w:p>
  </w:footnote>
  <w:footnote w:id="18">
    <w:p w:rsidR="00E21655" w:rsidRPr="00440DA8" w:rsidRDefault="00E21655" w:rsidP="00E21655">
      <w:pPr>
        <w:pStyle w:val="FootnoteText"/>
      </w:pPr>
      <w:r>
        <w:rPr>
          <w:rStyle w:val="FootnoteReference"/>
        </w:rPr>
        <w:footnoteRef/>
      </w:r>
      <w:r w:rsidRPr="00240807">
        <w:tab/>
      </w:r>
      <w:r w:rsidRPr="00C64B04">
        <w:t xml:space="preserve">Regulation (EU) </w:t>
      </w:r>
      <w:r>
        <w:t xml:space="preserve">Regulation (EU) 2023/2053 of the European Parliament and of the Council of 13 September 2023 establishing a multiannual management plan for bluefin tuna in the eastern Atlantic </w:t>
      </w:r>
      <w:r w:rsidRPr="00440DA8">
        <w:t>and the Mediterranean, amending Regulations (EC) No 1936/2001, (EU) 2017/2107, and (EU) 2019/833 and repealing Regulation (EU) 2016/1627 (OJ L 238, 27.9.2023, p. 1</w:t>
      </w:r>
      <w:r>
        <w:t xml:space="preserve">, </w:t>
      </w:r>
      <w:r w:rsidRPr="00521C3B">
        <w:t xml:space="preserve">ELI: </w:t>
      </w:r>
      <w:hyperlink r:id="rId16" w:history="1">
        <w:r w:rsidRPr="00E81734">
          <w:rPr>
            <w:rStyle w:val="Hyperlink"/>
          </w:rPr>
          <w:t>http://data.europa.eu/eli/reg/2023/2053/oj</w:t>
        </w:r>
      </w:hyperlink>
      <w:r w:rsidRPr="00440DA8">
        <w:t>)</w:t>
      </w:r>
      <w:r>
        <w:t>.</w:t>
      </w:r>
    </w:p>
  </w:footnote>
  <w:footnote w:id="19">
    <w:p w:rsidR="00B25136" w:rsidRPr="00440DA8" w:rsidRDefault="00B25136" w:rsidP="00B25136">
      <w:pPr>
        <w:pStyle w:val="FootnoteText"/>
      </w:pPr>
      <w:r>
        <w:rPr>
          <w:rStyle w:val="FootnoteReference"/>
        </w:rPr>
        <w:footnoteRef/>
      </w:r>
      <w:r w:rsidRPr="00240807">
        <w:tab/>
      </w:r>
      <w:r>
        <w:t xml:space="preserve">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 (OJ L 315, 30.11.2017, p. 1, ELI: </w:t>
      </w:r>
      <w:hyperlink r:id="rId17" w:history="1">
        <w:r w:rsidRPr="00B72B7D">
          <w:rPr>
            <w:rStyle w:val="Hyperlink"/>
          </w:rPr>
          <w:t>http://data.europa.eu/eli/reg/2017/2107/oj</w:t>
        </w:r>
      </w:hyperlink>
      <w:r>
        <w:t>).</w:t>
      </w:r>
    </w:p>
  </w:footnote>
  <w:footnote w:id="20">
    <w:p w:rsidR="00807EA7" w:rsidRPr="00E23410" w:rsidRDefault="00807EA7" w:rsidP="00807EA7">
      <w:pPr>
        <w:pStyle w:val="FootnoteText"/>
        <w:rPr>
          <w:rStyle w:val="FootnoteReference"/>
        </w:rPr>
      </w:pPr>
      <w:r w:rsidRPr="00634D05">
        <w:rPr>
          <w:rStyle w:val="FootnoteReference"/>
        </w:rPr>
        <w:footnoteRef/>
      </w:r>
      <w:r w:rsidRPr="00634D05">
        <w:tab/>
      </w:r>
      <w:r>
        <w:t xml:space="preserve">Regulation (EU) 2017/2403 of the European Parliament and of the Council of 12 December 2017 on the sustainable management of external fishing fleets, and repealing Council Regulation (EC) No 1006/2008 (OJ L 347, 28.12.2017, p. 81, ELI: </w:t>
      </w:r>
      <w:hyperlink r:id="rId18">
        <w:r w:rsidRPr="151D984F">
          <w:rPr>
            <w:rStyle w:val="Hyperlink"/>
          </w:rPr>
          <w:t>http://data.europa.eu/eli/reg/2017/2403/oj</w:t>
        </w:r>
      </w:hyperlink>
      <w:r>
        <w:t xml:space="preserve">). </w:t>
      </w:r>
    </w:p>
  </w:footnote>
  <w:footnote w:id="21">
    <w:p w:rsidR="00807EA7" w:rsidRPr="00634D05" w:rsidRDefault="00807EA7" w:rsidP="00807EA7">
      <w:pPr>
        <w:pStyle w:val="FootnoteText"/>
      </w:pPr>
      <w:r w:rsidRPr="00634D05">
        <w:rPr>
          <w:rStyle w:val="FootnoteReference"/>
        </w:rPr>
        <w:footnoteRef/>
      </w:r>
      <w:r w:rsidRPr="00634D05">
        <w:tab/>
      </w:r>
      <w:r>
        <w:t xml:space="preserve">Regulation (EU) 2021/56 of the European Parliament and of the Council of 20 January 2021 laying down management, conservation and control measures applicable in the Inter-American Tropical Tuna Convention area and amending Council Regulation (EC) No 520/2007 (OJ L 24, 26.1.2021, p. 1, ELI: </w:t>
      </w:r>
      <w:hyperlink r:id="rId19" w:history="1">
        <w:r w:rsidRPr="004A1DDE">
          <w:rPr>
            <w:rStyle w:val="Hyperlink"/>
          </w:rPr>
          <w:t>http://data.europa.eu/eli/reg/2021/56/oj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Default="007A0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01" w:rsidRDefault="007A0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22"/>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2-28 19:45: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9D6210-71F5-443F-874B-E2EA8E1E4F19"/>
    <w:docVar w:name="LW_COVERPAGE_TYPE" w:val="1"/>
    <w:docVar w:name="LW_CROSSREFERENCE" w:val="&lt;UNUSED&gt;"/>
    <w:docVar w:name="LW_DocType" w:val="COM"/>
    <w:docVar w:name="LW_EMISSION" w:val="3.3.2026"/>
    <w:docVar w:name="LW_EMISSION_ISODATE" w:val="2026-03-03"/>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9"/>
    <w:docVar w:name="LW_REF.II.NEW.CP_YEAR" w:val="2026"/>
    <w:docVar w:name="LW_REF.INST.NEW" w:val="COM"/>
    <w:docVar w:name="LW_REF.INST.NEW_ADOPTED" w:val="final"/>
    <w:docVar w:name="LW_REF.INST.NEW_TEXT" w:val="(2026) 1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6/249 fixing for 2026, 2027 and 2028 the fishing opportunities for certain fish stocks, applicable in Union waters and, for Union fishing vessels, in certain non-Union waters"/>
    <w:docVar w:name="LW_TYPE.DOC.CP" w:val="COUNCIL REGULATION"/>
    <w:docVar w:name="LwApiVersions" w:val="LW4CoDe 1.24.5.0; LW 9.2, Build 20251112"/>
  </w:docVars>
  <w:rsids>
    <w:rsidRoot w:val="00382895"/>
    <w:rsid w:val="0000001D"/>
    <w:rsid w:val="00002057"/>
    <w:rsid w:val="000037C8"/>
    <w:rsid w:val="00003839"/>
    <w:rsid w:val="00003D49"/>
    <w:rsid w:val="00004914"/>
    <w:rsid w:val="00005460"/>
    <w:rsid w:val="00005F36"/>
    <w:rsid w:val="00006576"/>
    <w:rsid w:val="00006C78"/>
    <w:rsid w:val="00007724"/>
    <w:rsid w:val="00007DD3"/>
    <w:rsid w:val="0001069B"/>
    <w:rsid w:val="00010908"/>
    <w:rsid w:val="00011109"/>
    <w:rsid w:val="000131A8"/>
    <w:rsid w:val="0001652A"/>
    <w:rsid w:val="00016E8A"/>
    <w:rsid w:val="00017B22"/>
    <w:rsid w:val="00017D02"/>
    <w:rsid w:val="00017EC3"/>
    <w:rsid w:val="00021321"/>
    <w:rsid w:val="00022598"/>
    <w:rsid w:val="00023928"/>
    <w:rsid w:val="00024863"/>
    <w:rsid w:val="00025E8F"/>
    <w:rsid w:val="000263B2"/>
    <w:rsid w:val="00026537"/>
    <w:rsid w:val="0002766D"/>
    <w:rsid w:val="0003042D"/>
    <w:rsid w:val="000309EA"/>
    <w:rsid w:val="0003107F"/>
    <w:rsid w:val="0003143F"/>
    <w:rsid w:val="0003146C"/>
    <w:rsid w:val="00031B16"/>
    <w:rsid w:val="00031CD2"/>
    <w:rsid w:val="00031FBA"/>
    <w:rsid w:val="0003208C"/>
    <w:rsid w:val="00033F6A"/>
    <w:rsid w:val="000345D9"/>
    <w:rsid w:val="0003506F"/>
    <w:rsid w:val="0003539F"/>
    <w:rsid w:val="00035E3F"/>
    <w:rsid w:val="00035EB4"/>
    <w:rsid w:val="00037F61"/>
    <w:rsid w:val="00037FAD"/>
    <w:rsid w:val="000414C6"/>
    <w:rsid w:val="00042B21"/>
    <w:rsid w:val="00042B4B"/>
    <w:rsid w:val="00047633"/>
    <w:rsid w:val="00050000"/>
    <w:rsid w:val="00050019"/>
    <w:rsid w:val="0005028C"/>
    <w:rsid w:val="00051635"/>
    <w:rsid w:val="00051662"/>
    <w:rsid w:val="00051B42"/>
    <w:rsid w:val="00051F50"/>
    <w:rsid w:val="00052999"/>
    <w:rsid w:val="00053530"/>
    <w:rsid w:val="00054CBA"/>
    <w:rsid w:val="00055558"/>
    <w:rsid w:val="00056D32"/>
    <w:rsid w:val="000570F0"/>
    <w:rsid w:val="00057CC8"/>
    <w:rsid w:val="000603EE"/>
    <w:rsid w:val="000629CA"/>
    <w:rsid w:val="00063BFE"/>
    <w:rsid w:val="000643CB"/>
    <w:rsid w:val="00064A4B"/>
    <w:rsid w:val="00064B07"/>
    <w:rsid w:val="000652AB"/>
    <w:rsid w:val="000654D9"/>
    <w:rsid w:val="00065502"/>
    <w:rsid w:val="00065609"/>
    <w:rsid w:val="00066357"/>
    <w:rsid w:val="00066383"/>
    <w:rsid w:val="0006643B"/>
    <w:rsid w:val="00066534"/>
    <w:rsid w:val="00070337"/>
    <w:rsid w:val="0007042E"/>
    <w:rsid w:val="000720F3"/>
    <w:rsid w:val="00072327"/>
    <w:rsid w:val="0007270F"/>
    <w:rsid w:val="00073CBD"/>
    <w:rsid w:val="0007539E"/>
    <w:rsid w:val="00075A4A"/>
    <w:rsid w:val="0007637D"/>
    <w:rsid w:val="00076C97"/>
    <w:rsid w:val="00077A60"/>
    <w:rsid w:val="00077D94"/>
    <w:rsid w:val="00080E3A"/>
    <w:rsid w:val="00080EF9"/>
    <w:rsid w:val="00081127"/>
    <w:rsid w:val="0008126C"/>
    <w:rsid w:val="000813CC"/>
    <w:rsid w:val="00082202"/>
    <w:rsid w:val="00082CEC"/>
    <w:rsid w:val="00084646"/>
    <w:rsid w:val="00085656"/>
    <w:rsid w:val="000857B1"/>
    <w:rsid w:val="00085943"/>
    <w:rsid w:val="000861B7"/>
    <w:rsid w:val="00086568"/>
    <w:rsid w:val="00086AC2"/>
    <w:rsid w:val="000876B4"/>
    <w:rsid w:val="00092B2D"/>
    <w:rsid w:val="00094E2F"/>
    <w:rsid w:val="00095FC9"/>
    <w:rsid w:val="00096113"/>
    <w:rsid w:val="0009716E"/>
    <w:rsid w:val="000A089F"/>
    <w:rsid w:val="000A0ED2"/>
    <w:rsid w:val="000A1D9E"/>
    <w:rsid w:val="000A4926"/>
    <w:rsid w:val="000A5107"/>
    <w:rsid w:val="000A6C5D"/>
    <w:rsid w:val="000A7804"/>
    <w:rsid w:val="000A7E19"/>
    <w:rsid w:val="000B0547"/>
    <w:rsid w:val="000B0CD7"/>
    <w:rsid w:val="000B2992"/>
    <w:rsid w:val="000B2BBF"/>
    <w:rsid w:val="000B3662"/>
    <w:rsid w:val="000B3CB0"/>
    <w:rsid w:val="000B4925"/>
    <w:rsid w:val="000B4DD4"/>
    <w:rsid w:val="000B5666"/>
    <w:rsid w:val="000B571D"/>
    <w:rsid w:val="000B6D1F"/>
    <w:rsid w:val="000B780C"/>
    <w:rsid w:val="000B7A7D"/>
    <w:rsid w:val="000C375C"/>
    <w:rsid w:val="000C377A"/>
    <w:rsid w:val="000C60F0"/>
    <w:rsid w:val="000C6438"/>
    <w:rsid w:val="000C6A0F"/>
    <w:rsid w:val="000D37F0"/>
    <w:rsid w:val="000D50A7"/>
    <w:rsid w:val="000D6885"/>
    <w:rsid w:val="000D6DA9"/>
    <w:rsid w:val="000E1698"/>
    <w:rsid w:val="000E1A84"/>
    <w:rsid w:val="000E2D93"/>
    <w:rsid w:val="000E355B"/>
    <w:rsid w:val="000E36A3"/>
    <w:rsid w:val="000E437B"/>
    <w:rsid w:val="000E4BB7"/>
    <w:rsid w:val="000E5540"/>
    <w:rsid w:val="000F04AA"/>
    <w:rsid w:val="000F0855"/>
    <w:rsid w:val="000F0B0A"/>
    <w:rsid w:val="000F2ABE"/>
    <w:rsid w:val="000F5C19"/>
    <w:rsid w:val="000F5FD1"/>
    <w:rsid w:val="000F6467"/>
    <w:rsid w:val="000F6D23"/>
    <w:rsid w:val="000F749D"/>
    <w:rsid w:val="001019DC"/>
    <w:rsid w:val="00101FFF"/>
    <w:rsid w:val="001024E3"/>
    <w:rsid w:val="001025DF"/>
    <w:rsid w:val="00102F75"/>
    <w:rsid w:val="00103737"/>
    <w:rsid w:val="0010414C"/>
    <w:rsid w:val="0010486B"/>
    <w:rsid w:val="001056BB"/>
    <w:rsid w:val="00105E22"/>
    <w:rsid w:val="00106DFC"/>
    <w:rsid w:val="00107BEF"/>
    <w:rsid w:val="001118EF"/>
    <w:rsid w:val="00111AA7"/>
    <w:rsid w:val="00112924"/>
    <w:rsid w:val="00112AB9"/>
    <w:rsid w:val="001141E5"/>
    <w:rsid w:val="00114575"/>
    <w:rsid w:val="001146D4"/>
    <w:rsid w:val="00114BF2"/>
    <w:rsid w:val="00114DF6"/>
    <w:rsid w:val="00115D2B"/>
    <w:rsid w:val="001168E9"/>
    <w:rsid w:val="0011724C"/>
    <w:rsid w:val="001200DA"/>
    <w:rsid w:val="00120A31"/>
    <w:rsid w:val="00120B5B"/>
    <w:rsid w:val="00122C25"/>
    <w:rsid w:val="00123EFF"/>
    <w:rsid w:val="00125466"/>
    <w:rsid w:val="001274CA"/>
    <w:rsid w:val="00132337"/>
    <w:rsid w:val="00132762"/>
    <w:rsid w:val="001330B6"/>
    <w:rsid w:val="00133A07"/>
    <w:rsid w:val="001346C4"/>
    <w:rsid w:val="00135F4D"/>
    <w:rsid w:val="0014020C"/>
    <w:rsid w:val="0014229A"/>
    <w:rsid w:val="001425B7"/>
    <w:rsid w:val="00143860"/>
    <w:rsid w:val="0014412C"/>
    <w:rsid w:val="00144867"/>
    <w:rsid w:val="00144CA5"/>
    <w:rsid w:val="00147272"/>
    <w:rsid w:val="00147553"/>
    <w:rsid w:val="00147CF0"/>
    <w:rsid w:val="00147FDE"/>
    <w:rsid w:val="00150E9C"/>
    <w:rsid w:val="00151724"/>
    <w:rsid w:val="0015249A"/>
    <w:rsid w:val="00152894"/>
    <w:rsid w:val="00153449"/>
    <w:rsid w:val="00153F3E"/>
    <w:rsid w:val="00154208"/>
    <w:rsid w:val="00154868"/>
    <w:rsid w:val="0015529E"/>
    <w:rsid w:val="00155CF3"/>
    <w:rsid w:val="001579B5"/>
    <w:rsid w:val="00160BDC"/>
    <w:rsid w:val="001616E8"/>
    <w:rsid w:val="0016220F"/>
    <w:rsid w:val="0016292F"/>
    <w:rsid w:val="00163047"/>
    <w:rsid w:val="00164892"/>
    <w:rsid w:val="00167148"/>
    <w:rsid w:val="00167CC7"/>
    <w:rsid w:val="00170F80"/>
    <w:rsid w:val="00172DEE"/>
    <w:rsid w:val="001731B7"/>
    <w:rsid w:val="001734B6"/>
    <w:rsid w:val="00173B97"/>
    <w:rsid w:val="001749B3"/>
    <w:rsid w:val="001760DC"/>
    <w:rsid w:val="0017675C"/>
    <w:rsid w:val="00176CE4"/>
    <w:rsid w:val="0017711E"/>
    <w:rsid w:val="001776CA"/>
    <w:rsid w:val="001802DB"/>
    <w:rsid w:val="0018089D"/>
    <w:rsid w:val="001813C0"/>
    <w:rsid w:val="0018145D"/>
    <w:rsid w:val="00181D82"/>
    <w:rsid w:val="00182A4C"/>
    <w:rsid w:val="0018329B"/>
    <w:rsid w:val="00183509"/>
    <w:rsid w:val="00183F1D"/>
    <w:rsid w:val="0018645F"/>
    <w:rsid w:val="0018750F"/>
    <w:rsid w:val="00190A3D"/>
    <w:rsid w:val="00190DBB"/>
    <w:rsid w:val="00190ECB"/>
    <w:rsid w:val="0019424F"/>
    <w:rsid w:val="0019668F"/>
    <w:rsid w:val="00196D85"/>
    <w:rsid w:val="00197E91"/>
    <w:rsid w:val="00199520"/>
    <w:rsid w:val="001A0EA7"/>
    <w:rsid w:val="001A1EEA"/>
    <w:rsid w:val="001A28CB"/>
    <w:rsid w:val="001A4576"/>
    <w:rsid w:val="001A484F"/>
    <w:rsid w:val="001A509B"/>
    <w:rsid w:val="001A5488"/>
    <w:rsid w:val="001A56AD"/>
    <w:rsid w:val="001A5A06"/>
    <w:rsid w:val="001A5C67"/>
    <w:rsid w:val="001A5D80"/>
    <w:rsid w:val="001A61AC"/>
    <w:rsid w:val="001A61BE"/>
    <w:rsid w:val="001A77C8"/>
    <w:rsid w:val="001B0B44"/>
    <w:rsid w:val="001B19CE"/>
    <w:rsid w:val="001B1F62"/>
    <w:rsid w:val="001B3431"/>
    <w:rsid w:val="001B34C3"/>
    <w:rsid w:val="001B42C2"/>
    <w:rsid w:val="001B4424"/>
    <w:rsid w:val="001B62AE"/>
    <w:rsid w:val="001B6347"/>
    <w:rsid w:val="001B7CE9"/>
    <w:rsid w:val="001C0635"/>
    <w:rsid w:val="001C09C3"/>
    <w:rsid w:val="001C1DFD"/>
    <w:rsid w:val="001C3282"/>
    <w:rsid w:val="001C4223"/>
    <w:rsid w:val="001C4A43"/>
    <w:rsid w:val="001C5681"/>
    <w:rsid w:val="001C5E68"/>
    <w:rsid w:val="001C7624"/>
    <w:rsid w:val="001C7701"/>
    <w:rsid w:val="001D05F1"/>
    <w:rsid w:val="001D0A28"/>
    <w:rsid w:val="001D1B9D"/>
    <w:rsid w:val="001D2989"/>
    <w:rsid w:val="001D31E5"/>
    <w:rsid w:val="001D36C6"/>
    <w:rsid w:val="001D3DDE"/>
    <w:rsid w:val="001D51D8"/>
    <w:rsid w:val="001D5687"/>
    <w:rsid w:val="001D7D9D"/>
    <w:rsid w:val="001E179C"/>
    <w:rsid w:val="001E1861"/>
    <w:rsid w:val="001E3024"/>
    <w:rsid w:val="001E317D"/>
    <w:rsid w:val="001E36E6"/>
    <w:rsid w:val="001E5E6D"/>
    <w:rsid w:val="001E666E"/>
    <w:rsid w:val="001F10F0"/>
    <w:rsid w:val="001F1236"/>
    <w:rsid w:val="001F1C1C"/>
    <w:rsid w:val="001F270B"/>
    <w:rsid w:val="001F2CE2"/>
    <w:rsid w:val="001F3282"/>
    <w:rsid w:val="001F42F2"/>
    <w:rsid w:val="001F4343"/>
    <w:rsid w:val="001F725A"/>
    <w:rsid w:val="00200C23"/>
    <w:rsid w:val="00201662"/>
    <w:rsid w:val="00202822"/>
    <w:rsid w:val="002042F0"/>
    <w:rsid w:val="00205D08"/>
    <w:rsid w:val="00206B9D"/>
    <w:rsid w:val="002070F6"/>
    <w:rsid w:val="0020739D"/>
    <w:rsid w:val="00207D43"/>
    <w:rsid w:val="00210CA9"/>
    <w:rsid w:val="00210E0E"/>
    <w:rsid w:val="002113C8"/>
    <w:rsid w:val="00211733"/>
    <w:rsid w:val="00212923"/>
    <w:rsid w:val="00212985"/>
    <w:rsid w:val="00212E70"/>
    <w:rsid w:val="00212F6A"/>
    <w:rsid w:val="00213F32"/>
    <w:rsid w:val="00213F83"/>
    <w:rsid w:val="002144C4"/>
    <w:rsid w:val="00215130"/>
    <w:rsid w:val="002162DB"/>
    <w:rsid w:val="0022195F"/>
    <w:rsid w:val="00222D7A"/>
    <w:rsid w:val="002232E9"/>
    <w:rsid w:val="00223AF2"/>
    <w:rsid w:val="00223C4E"/>
    <w:rsid w:val="002243A3"/>
    <w:rsid w:val="00224A00"/>
    <w:rsid w:val="002259E4"/>
    <w:rsid w:val="00226130"/>
    <w:rsid w:val="0022613F"/>
    <w:rsid w:val="00227583"/>
    <w:rsid w:val="00227967"/>
    <w:rsid w:val="00227C31"/>
    <w:rsid w:val="00230414"/>
    <w:rsid w:val="00230936"/>
    <w:rsid w:val="0023100E"/>
    <w:rsid w:val="002311E6"/>
    <w:rsid w:val="0023232D"/>
    <w:rsid w:val="00232F3F"/>
    <w:rsid w:val="002342F7"/>
    <w:rsid w:val="00234572"/>
    <w:rsid w:val="0023480C"/>
    <w:rsid w:val="00234C18"/>
    <w:rsid w:val="00234EDC"/>
    <w:rsid w:val="002371FC"/>
    <w:rsid w:val="002374D0"/>
    <w:rsid w:val="002378CC"/>
    <w:rsid w:val="002407AC"/>
    <w:rsid w:val="00240A6E"/>
    <w:rsid w:val="0024307C"/>
    <w:rsid w:val="00244280"/>
    <w:rsid w:val="002470AC"/>
    <w:rsid w:val="00247383"/>
    <w:rsid w:val="00250207"/>
    <w:rsid w:val="00251510"/>
    <w:rsid w:val="002515E1"/>
    <w:rsid w:val="00251724"/>
    <w:rsid w:val="00251CED"/>
    <w:rsid w:val="00252AE1"/>
    <w:rsid w:val="002535E5"/>
    <w:rsid w:val="00254041"/>
    <w:rsid w:val="00254AFD"/>
    <w:rsid w:val="00255D66"/>
    <w:rsid w:val="00256A58"/>
    <w:rsid w:val="00257077"/>
    <w:rsid w:val="002572F7"/>
    <w:rsid w:val="00257C5E"/>
    <w:rsid w:val="0026043E"/>
    <w:rsid w:val="0026070E"/>
    <w:rsid w:val="0026125A"/>
    <w:rsid w:val="002637D8"/>
    <w:rsid w:val="00265B13"/>
    <w:rsid w:val="00266997"/>
    <w:rsid w:val="0026780B"/>
    <w:rsid w:val="00270516"/>
    <w:rsid w:val="00270E3C"/>
    <w:rsid w:val="002716D4"/>
    <w:rsid w:val="00271C5B"/>
    <w:rsid w:val="00272449"/>
    <w:rsid w:val="002732B5"/>
    <w:rsid w:val="00273761"/>
    <w:rsid w:val="0027598D"/>
    <w:rsid w:val="00277E6F"/>
    <w:rsid w:val="00281D12"/>
    <w:rsid w:val="00281E07"/>
    <w:rsid w:val="00282B93"/>
    <w:rsid w:val="002856AF"/>
    <w:rsid w:val="002870BD"/>
    <w:rsid w:val="002879FA"/>
    <w:rsid w:val="002915BA"/>
    <w:rsid w:val="00294277"/>
    <w:rsid w:val="0029569F"/>
    <w:rsid w:val="00296BF5"/>
    <w:rsid w:val="002975D7"/>
    <w:rsid w:val="002A04EE"/>
    <w:rsid w:val="002A606B"/>
    <w:rsid w:val="002A6FC7"/>
    <w:rsid w:val="002B2B3A"/>
    <w:rsid w:val="002B3B91"/>
    <w:rsid w:val="002B4E74"/>
    <w:rsid w:val="002B611A"/>
    <w:rsid w:val="002B63A1"/>
    <w:rsid w:val="002B7A09"/>
    <w:rsid w:val="002C1C0D"/>
    <w:rsid w:val="002C25D6"/>
    <w:rsid w:val="002C2795"/>
    <w:rsid w:val="002C32F7"/>
    <w:rsid w:val="002C4B94"/>
    <w:rsid w:val="002C6A15"/>
    <w:rsid w:val="002D0EB9"/>
    <w:rsid w:val="002D0ED9"/>
    <w:rsid w:val="002D22DB"/>
    <w:rsid w:val="002D4525"/>
    <w:rsid w:val="002D506A"/>
    <w:rsid w:val="002D5144"/>
    <w:rsid w:val="002D5530"/>
    <w:rsid w:val="002D5BD9"/>
    <w:rsid w:val="002D61BB"/>
    <w:rsid w:val="002D6B9F"/>
    <w:rsid w:val="002D6C24"/>
    <w:rsid w:val="002D7BD8"/>
    <w:rsid w:val="002E01E4"/>
    <w:rsid w:val="002E1456"/>
    <w:rsid w:val="002E1954"/>
    <w:rsid w:val="002E25D3"/>
    <w:rsid w:val="002E2779"/>
    <w:rsid w:val="002E3D0D"/>
    <w:rsid w:val="002E55EA"/>
    <w:rsid w:val="002E58E2"/>
    <w:rsid w:val="002E5FCC"/>
    <w:rsid w:val="002E6549"/>
    <w:rsid w:val="002E712F"/>
    <w:rsid w:val="002E77BB"/>
    <w:rsid w:val="002F0C47"/>
    <w:rsid w:val="002F16C4"/>
    <w:rsid w:val="002F49A3"/>
    <w:rsid w:val="002F5475"/>
    <w:rsid w:val="002F5DEA"/>
    <w:rsid w:val="002F69DE"/>
    <w:rsid w:val="002F6CBF"/>
    <w:rsid w:val="002F6DAB"/>
    <w:rsid w:val="002F7807"/>
    <w:rsid w:val="0030090B"/>
    <w:rsid w:val="003015B5"/>
    <w:rsid w:val="00302D0A"/>
    <w:rsid w:val="00303330"/>
    <w:rsid w:val="00304044"/>
    <w:rsid w:val="0030481B"/>
    <w:rsid w:val="00304948"/>
    <w:rsid w:val="00304CC6"/>
    <w:rsid w:val="00305E28"/>
    <w:rsid w:val="00306569"/>
    <w:rsid w:val="00306EC9"/>
    <w:rsid w:val="00306EFF"/>
    <w:rsid w:val="003074A7"/>
    <w:rsid w:val="003108EB"/>
    <w:rsid w:val="00311472"/>
    <w:rsid w:val="00312EDE"/>
    <w:rsid w:val="003130C1"/>
    <w:rsid w:val="00314027"/>
    <w:rsid w:val="0031458B"/>
    <w:rsid w:val="003172D0"/>
    <w:rsid w:val="00317C88"/>
    <w:rsid w:val="00323655"/>
    <w:rsid w:val="003237CC"/>
    <w:rsid w:val="00323BB9"/>
    <w:rsid w:val="00323FB4"/>
    <w:rsid w:val="00324E72"/>
    <w:rsid w:val="003270B0"/>
    <w:rsid w:val="00327727"/>
    <w:rsid w:val="00327C9C"/>
    <w:rsid w:val="00330F7D"/>
    <w:rsid w:val="00330FA0"/>
    <w:rsid w:val="00332A8B"/>
    <w:rsid w:val="00332A9A"/>
    <w:rsid w:val="0033374D"/>
    <w:rsid w:val="0033533E"/>
    <w:rsid w:val="003363AB"/>
    <w:rsid w:val="0034016C"/>
    <w:rsid w:val="00340440"/>
    <w:rsid w:val="003406B7"/>
    <w:rsid w:val="00340DE1"/>
    <w:rsid w:val="003414ED"/>
    <w:rsid w:val="00342F2B"/>
    <w:rsid w:val="00345EE0"/>
    <w:rsid w:val="003463EC"/>
    <w:rsid w:val="00346B21"/>
    <w:rsid w:val="00346CF0"/>
    <w:rsid w:val="003472FC"/>
    <w:rsid w:val="0034781D"/>
    <w:rsid w:val="00347BF9"/>
    <w:rsid w:val="00347F59"/>
    <w:rsid w:val="00350B3E"/>
    <w:rsid w:val="003513E2"/>
    <w:rsid w:val="00351776"/>
    <w:rsid w:val="00352B6D"/>
    <w:rsid w:val="003571B1"/>
    <w:rsid w:val="0036014B"/>
    <w:rsid w:val="00361B9E"/>
    <w:rsid w:val="0036224C"/>
    <w:rsid w:val="003626A8"/>
    <w:rsid w:val="00362C99"/>
    <w:rsid w:val="003656A2"/>
    <w:rsid w:val="00365E18"/>
    <w:rsid w:val="003673E0"/>
    <w:rsid w:val="00370388"/>
    <w:rsid w:val="0037062C"/>
    <w:rsid w:val="003712DE"/>
    <w:rsid w:val="00374092"/>
    <w:rsid w:val="00374469"/>
    <w:rsid w:val="00376C0D"/>
    <w:rsid w:val="003773CA"/>
    <w:rsid w:val="00377F16"/>
    <w:rsid w:val="00380F4A"/>
    <w:rsid w:val="00381851"/>
    <w:rsid w:val="003826F6"/>
    <w:rsid w:val="00382701"/>
    <w:rsid w:val="00382895"/>
    <w:rsid w:val="00384152"/>
    <w:rsid w:val="00384C51"/>
    <w:rsid w:val="00390597"/>
    <w:rsid w:val="00390D8A"/>
    <w:rsid w:val="00390F84"/>
    <w:rsid w:val="00392400"/>
    <w:rsid w:val="00392AD6"/>
    <w:rsid w:val="00392F36"/>
    <w:rsid w:val="003938EC"/>
    <w:rsid w:val="00393DD8"/>
    <w:rsid w:val="003947BD"/>
    <w:rsid w:val="003958E4"/>
    <w:rsid w:val="00395EBE"/>
    <w:rsid w:val="003962BD"/>
    <w:rsid w:val="003963D5"/>
    <w:rsid w:val="00396ACD"/>
    <w:rsid w:val="00396DBD"/>
    <w:rsid w:val="00397522"/>
    <w:rsid w:val="00397829"/>
    <w:rsid w:val="003A1C8E"/>
    <w:rsid w:val="003A208F"/>
    <w:rsid w:val="003A2144"/>
    <w:rsid w:val="003A4146"/>
    <w:rsid w:val="003A451E"/>
    <w:rsid w:val="003A454C"/>
    <w:rsid w:val="003A5236"/>
    <w:rsid w:val="003A6907"/>
    <w:rsid w:val="003A7809"/>
    <w:rsid w:val="003A7D55"/>
    <w:rsid w:val="003B0C2F"/>
    <w:rsid w:val="003B1067"/>
    <w:rsid w:val="003B12C3"/>
    <w:rsid w:val="003B4895"/>
    <w:rsid w:val="003B6D1A"/>
    <w:rsid w:val="003C0319"/>
    <w:rsid w:val="003C1842"/>
    <w:rsid w:val="003C1EA8"/>
    <w:rsid w:val="003C26A6"/>
    <w:rsid w:val="003C27EE"/>
    <w:rsid w:val="003C3D85"/>
    <w:rsid w:val="003C4171"/>
    <w:rsid w:val="003C5841"/>
    <w:rsid w:val="003C6594"/>
    <w:rsid w:val="003D017D"/>
    <w:rsid w:val="003D1966"/>
    <w:rsid w:val="003D22C9"/>
    <w:rsid w:val="003D266F"/>
    <w:rsid w:val="003D2F96"/>
    <w:rsid w:val="003D3297"/>
    <w:rsid w:val="003D377F"/>
    <w:rsid w:val="003D3A96"/>
    <w:rsid w:val="003D57CE"/>
    <w:rsid w:val="003D60F7"/>
    <w:rsid w:val="003D62BC"/>
    <w:rsid w:val="003E0446"/>
    <w:rsid w:val="003E1371"/>
    <w:rsid w:val="003E32E9"/>
    <w:rsid w:val="003E3814"/>
    <w:rsid w:val="003E3B7C"/>
    <w:rsid w:val="003E4EEE"/>
    <w:rsid w:val="003E50CC"/>
    <w:rsid w:val="003E5BC9"/>
    <w:rsid w:val="003E7B08"/>
    <w:rsid w:val="003E7CB1"/>
    <w:rsid w:val="003F0423"/>
    <w:rsid w:val="003F04F1"/>
    <w:rsid w:val="003F0B22"/>
    <w:rsid w:val="003F0FD8"/>
    <w:rsid w:val="003F1EF5"/>
    <w:rsid w:val="003F2785"/>
    <w:rsid w:val="003F2EDF"/>
    <w:rsid w:val="003F324E"/>
    <w:rsid w:val="003F3EB9"/>
    <w:rsid w:val="003F3F21"/>
    <w:rsid w:val="003F7802"/>
    <w:rsid w:val="00400396"/>
    <w:rsid w:val="004004A4"/>
    <w:rsid w:val="004004D7"/>
    <w:rsid w:val="004006F6"/>
    <w:rsid w:val="00401367"/>
    <w:rsid w:val="0040196F"/>
    <w:rsid w:val="00401E14"/>
    <w:rsid w:val="00402340"/>
    <w:rsid w:val="00402590"/>
    <w:rsid w:val="00403015"/>
    <w:rsid w:val="0040415D"/>
    <w:rsid w:val="00404599"/>
    <w:rsid w:val="004051A0"/>
    <w:rsid w:val="00405428"/>
    <w:rsid w:val="0040678A"/>
    <w:rsid w:val="004072B2"/>
    <w:rsid w:val="00407E14"/>
    <w:rsid w:val="00410CD3"/>
    <w:rsid w:val="00410CE5"/>
    <w:rsid w:val="00411902"/>
    <w:rsid w:val="004123E2"/>
    <w:rsid w:val="00413B9A"/>
    <w:rsid w:val="00413E1F"/>
    <w:rsid w:val="00414340"/>
    <w:rsid w:val="004163CA"/>
    <w:rsid w:val="00416672"/>
    <w:rsid w:val="004172BC"/>
    <w:rsid w:val="00417B32"/>
    <w:rsid w:val="004200C9"/>
    <w:rsid w:val="00420420"/>
    <w:rsid w:val="00420B65"/>
    <w:rsid w:val="00421A60"/>
    <w:rsid w:val="00422F78"/>
    <w:rsid w:val="004246DF"/>
    <w:rsid w:val="00424E09"/>
    <w:rsid w:val="00425131"/>
    <w:rsid w:val="00425B57"/>
    <w:rsid w:val="00426220"/>
    <w:rsid w:val="00426A99"/>
    <w:rsid w:val="00427CEC"/>
    <w:rsid w:val="004300B0"/>
    <w:rsid w:val="00430A80"/>
    <w:rsid w:val="00433B39"/>
    <w:rsid w:val="0043491C"/>
    <w:rsid w:val="00435CB4"/>
    <w:rsid w:val="00436117"/>
    <w:rsid w:val="0043707D"/>
    <w:rsid w:val="00437AA5"/>
    <w:rsid w:val="00440DA8"/>
    <w:rsid w:val="004412FA"/>
    <w:rsid w:val="0044213A"/>
    <w:rsid w:val="00442B08"/>
    <w:rsid w:val="00443D38"/>
    <w:rsid w:val="004453B2"/>
    <w:rsid w:val="00445E3E"/>
    <w:rsid w:val="00446135"/>
    <w:rsid w:val="00452D12"/>
    <w:rsid w:val="004533DB"/>
    <w:rsid w:val="004560B1"/>
    <w:rsid w:val="0045674E"/>
    <w:rsid w:val="00457E1E"/>
    <w:rsid w:val="004613E9"/>
    <w:rsid w:val="00461743"/>
    <w:rsid w:val="00461D05"/>
    <w:rsid w:val="0046357E"/>
    <w:rsid w:val="004637D6"/>
    <w:rsid w:val="0046522C"/>
    <w:rsid w:val="0046584C"/>
    <w:rsid w:val="00466191"/>
    <w:rsid w:val="004670AA"/>
    <w:rsid w:val="00467DBE"/>
    <w:rsid w:val="00470289"/>
    <w:rsid w:val="004703F6"/>
    <w:rsid w:val="00470AC8"/>
    <w:rsid w:val="0047163B"/>
    <w:rsid w:val="0047167C"/>
    <w:rsid w:val="004743DA"/>
    <w:rsid w:val="00474676"/>
    <w:rsid w:val="004756BA"/>
    <w:rsid w:val="00475B9D"/>
    <w:rsid w:val="004760E2"/>
    <w:rsid w:val="00477B57"/>
    <w:rsid w:val="004837CF"/>
    <w:rsid w:val="00484F61"/>
    <w:rsid w:val="0048511C"/>
    <w:rsid w:val="004851C0"/>
    <w:rsid w:val="00485253"/>
    <w:rsid w:val="00487CAA"/>
    <w:rsid w:val="004905BB"/>
    <w:rsid w:val="0049098A"/>
    <w:rsid w:val="00491B7D"/>
    <w:rsid w:val="00492396"/>
    <w:rsid w:val="00492913"/>
    <w:rsid w:val="00492D67"/>
    <w:rsid w:val="004949AF"/>
    <w:rsid w:val="0049579F"/>
    <w:rsid w:val="00495C8B"/>
    <w:rsid w:val="00496482"/>
    <w:rsid w:val="00496C72"/>
    <w:rsid w:val="004975EE"/>
    <w:rsid w:val="004A0BA4"/>
    <w:rsid w:val="004A17E7"/>
    <w:rsid w:val="004A19EC"/>
    <w:rsid w:val="004A1DAA"/>
    <w:rsid w:val="004A2E58"/>
    <w:rsid w:val="004A3A6F"/>
    <w:rsid w:val="004A4A1E"/>
    <w:rsid w:val="004A5DF8"/>
    <w:rsid w:val="004A5EA8"/>
    <w:rsid w:val="004A714C"/>
    <w:rsid w:val="004B0063"/>
    <w:rsid w:val="004B1E15"/>
    <w:rsid w:val="004B248A"/>
    <w:rsid w:val="004B284A"/>
    <w:rsid w:val="004B2ABD"/>
    <w:rsid w:val="004B4B54"/>
    <w:rsid w:val="004B72C5"/>
    <w:rsid w:val="004B795D"/>
    <w:rsid w:val="004B7DFC"/>
    <w:rsid w:val="004C1965"/>
    <w:rsid w:val="004C1DD0"/>
    <w:rsid w:val="004C4BDF"/>
    <w:rsid w:val="004C69FA"/>
    <w:rsid w:val="004C7564"/>
    <w:rsid w:val="004C788C"/>
    <w:rsid w:val="004C78DF"/>
    <w:rsid w:val="004C7BB5"/>
    <w:rsid w:val="004D01CA"/>
    <w:rsid w:val="004D0DF1"/>
    <w:rsid w:val="004D1CA1"/>
    <w:rsid w:val="004D2A72"/>
    <w:rsid w:val="004D6105"/>
    <w:rsid w:val="004D63F0"/>
    <w:rsid w:val="004E19F9"/>
    <w:rsid w:val="004E1B9D"/>
    <w:rsid w:val="004E1D60"/>
    <w:rsid w:val="004E3377"/>
    <w:rsid w:val="004E3E33"/>
    <w:rsid w:val="004E4806"/>
    <w:rsid w:val="004E51A7"/>
    <w:rsid w:val="004E6048"/>
    <w:rsid w:val="004E7B68"/>
    <w:rsid w:val="004F02E0"/>
    <w:rsid w:val="004F0319"/>
    <w:rsid w:val="004F1036"/>
    <w:rsid w:val="004F1188"/>
    <w:rsid w:val="004F6E1C"/>
    <w:rsid w:val="00500EA9"/>
    <w:rsid w:val="005024FC"/>
    <w:rsid w:val="0050661C"/>
    <w:rsid w:val="00511BEE"/>
    <w:rsid w:val="00511FBF"/>
    <w:rsid w:val="0051228B"/>
    <w:rsid w:val="00512CE5"/>
    <w:rsid w:val="00515D60"/>
    <w:rsid w:val="005164AF"/>
    <w:rsid w:val="0051694A"/>
    <w:rsid w:val="005170CE"/>
    <w:rsid w:val="00517117"/>
    <w:rsid w:val="00517205"/>
    <w:rsid w:val="005172ED"/>
    <w:rsid w:val="00517B8E"/>
    <w:rsid w:val="0052075D"/>
    <w:rsid w:val="005208C7"/>
    <w:rsid w:val="00521C3B"/>
    <w:rsid w:val="00523351"/>
    <w:rsid w:val="00523B90"/>
    <w:rsid w:val="00523BD0"/>
    <w:rsid w:val="00524543"/>
    <w:rsid w:val="00524AE8"/>
    <w:rsid w:val="00525351"/>
    <w:rsid w:val="00525AE1"/>
    <w:rsid w:val="005266F8"/>
    <w:rsid w:val="00526DA9"/>
    <w:rsid w:val="0052797F"/>
    <w:rsid w:val="0053051D"/>
    <w:rsid w:val="005313E4"/>
    <w:rsid w:val="00533C6A"/>
    <w:rsid w:val="005345EA"/>
    <w:rsid w:val="005351E2"/>
    <w:rsid w:val="005355A6"/>
    <w:rsid w:val="00536B00"/>
    <w:rsid w:val="005417E2"/>
    <w:rsid w:val="00541874"/>
    <w:rsid w:val="00542487"/>
    <w:rsid w:val="005427B6"/>
    <w:rsid w:val="00542F51"/>
    <w:rsid w:val="00544722"/>
    <w:rsid w:val="005451D5"/>
    <w:rsid w:val="005451F9"/>
    <w:rsid w:val="00545359"/>
    <w:rsid w:val="0054552A"/>
    <w:rsid w:val="005457A1"/>
    <w:rsid w:val="00545AC3"/>
    <w:rsid w:val="00545BEC"/>
    <w:rsid w:val="0054606E"/>
    <w:rsid w:val="0054670D"/>
    <w:rsid w:val="005470BE"/>
    <w:rsid w:val="00550F03"/>
    <w:rsid w:val="00550F06"/>
    <w:rsid w:val="0055140B"/>
    <w:rsid w:val="005518AA"/>
    <w:rsid w:val="0055352F"/>
    <w:rsid w:val="00554ABE"/>
    <w:rsid w:val="00554AF2"/>
    <w:rsid w:val="00554B6D"/>
    <w:rsid w:val="00554BBD"/>
    <w:rsid w:val="00555880"/>
    <w:rsid w:val="005562E3"/>
    <w:rsid w:val="00556614"/>
    <w:rsid w:val="00557BB6"/>
    <w:rsid w:val="00557CD6"/>
    <w:rsid w:val="005609C9"/>
    <w:rsid w:val="00560E0B"/>
    <w:rsid w:val="0056482C"/>
    <w:rsid w:val="00565563"/>
    <w:rsid w:val="00566213"/>
    <w:rsid w:val="00567036"/>
    <w:rsid w:val="005716EF"/>
    <w:rsid w:val="00571926"/>
    <w:rsid w:val="0057198F"/>
    <w:rsid w:val="005723C9"/>
    <w:rsid w:val="00573799"/>
    <w:rsid w:val="00574882"/>
    <w:rsid w:val="0057617C"/>
    <w:rsid w:val="005804F7"/>
    <w:rsid w:val="00580AFA"/>
    <w:rsid w:val="00581885"/>
    <w:rsid w:val="00582149"/>
    <w:rsid w:val="00582810"/>
    <w:rsid w:val="0058340F"/>
    <w:rsid w:val="00583A47"/>
    <w:rsid w:val="0058505E"/>
    <w:rsid w:val="005857CF"/>
    <w:rsid w:val="00585A96"/>
    <w:rsid w:val="0058674E"/>
    <w:rsid w:val="005868AE"/>
    <w:rsid w:val="00587FD7"/>
    <w:rsid w:val="005916C7"/>
    <w:rsid w:val="00594589"/>
    <w:rsid w:val="00595010"/>
    <w:rsid w:val="00595540"/>
    <w:rsid w:val="00595C0A"/>
    <w:rsid w:val="00595E49"/>
    <w:rsid w:val="0059734F"/>
    <w:rsid w:val="005A0303"/>
    <w:rsid w:val="005A0754"/>
    <w:rsid w:val="005A093B"/>
    <w:rsid w:val="005A1250"/>
    <w:rsid w:val="005A1A2A"/>
    <w:rsid w:val="005A1D3B"/>
    <w:rsid w:val="005A321E"/>
    <w:rsid w:val="005A4C1B"/>
    <w:rsid w:val="005A4EB6"/>
    <w:rsid w:val="005A4FED"/>
    <w:rsid w:val="005A579A"/>
    <w:rsid w:val="005A61F4"/>
    <w:rsid w:val="005A620B"/>
    <w:rsid w:val="005B2C74"/>
    <w:rsid w:val="005B31F4"/>
    <w:rsid w:val="005B3ACF"/>
    <w:rsid w:val="005B419E"/>
    <w:rsid w:val="005B4A19"/>
    <w:rsid w:val="005B4E37"/>
    <w:rsid w:val="005B4F39"/>
    <w:rsid w:val="005B53BD"/>
    <w:rsid w:val="005B5749"/>
    <w:rsid w:val="005B5FA6"/>
    <w:rsid w:val="005B6625"/>
    <w:rsid w:val="005B790B"/>
    <w:rsid w:val="005B7E35"/>
    <w:rsid w:val="005C3256"/>
    <w:rsid w:val="005C370D"/>
    <w:rsid w:val="005C3AAC"/>
    <w:rsid w:val="005C4CA8"/>
    <w:rsid w:val="005C5369"/>
    <w:rsid w:val="005C5B73"/>
    <w:rsid w:val="005C7490"/>
    <w:rsid w:val="005D1131"/>
    <w:rsid w:val="005D118E"/>
    <w:rsid w:val="005D1589"/>
    <w:rsid w:val="005D1E48"/>
    <w:rsid w:val="005D201F"/>
    <w:rsid w:val="005D3D73"/>
    <w:rsid w:val="005D3FA6"/>
    <w:rsid w:val="005D541E"/>
    <w:rsid w:val="005D6AF3"/>
    <w:rsid w:val="005D7F78"/>
    <w:rsid w:val="005E0232"/>
    <w:rsid w:val="005E0290"/>
    <w:rsid w:val="005E044B"/>
    <w:rsid w:val="005E07A1"/>
    <w:rsid w:val="005E1232"/>
    <w:rsid w:val="005E1BCD"/>
    <w:rsid w:val="005E1DEE"/>
    <w:rsid w:val="005E1E16"/>
    <w:rsid w:val="005E24C3"/>
    <w:rsid w:val="005E3BD8"/>
    <w:rsid w:val="005E4F5E"/>
    <w:rsid w:val="005E5005"/>
    <w:rsid w:val="005E5694"/>
    <w:rsid w:val="005E5716"/>
    <w:rsid w:val="005E6429"/>
    <w:rsid w:val="005E64AD"/>
    <w:rsid w:val="005E6DA7"/>
    <w:rsid w:val="005E7D43"/>
    <w:rsid w:val="005F2A90"/>
    <w:rsid w:val="005F50E0"/>
    <w:rsid w:val="005F510B"/>
    <w:rsid w:val="00600FDE"/>
    <w:rsid w:val="006024C5"/>
    <w:rsid w:val="006026A1"/>
    <w:rsid w:val="0060356F"/>
    <w:rsid w:val="006049AC"/>
    <w:rsid w:val="00606ECC"/>
    <w:rsid w:val="0060741A"/>
    <w:rsid w:val="00610455"/>
    <w:rsid w:val="00610812"/>
    <w:rsid w:val="006116D2"/>
    <w:rsid w:val="006121A8"/>
    <w:rsid w:val="006127EA"/>
    <w:rsid w:val="00616229"/>
    <w:rsid w:val="006172B8"/>
    <w:rsid w:val="00617A40"/>
    <w:rsid w:val="00620225"/>
    <w:rsid w:val="00620679"/>
    <w:rsid w:val="00620C7C"/>
    <w:rsid w:val="00621A4E"/>
    <w:rsid w:val="00631B97"/>
    <w:rsid w:val="00632A1E"/>
    <w:rsid w:val="00635BA6"/>
    <w:rsid w:val="00636FFD"/>
    <w:rsid w:val="00637300"/>
    <w:rsid w:val="00640630"/>
    <w:rsid w:val="00640913"/>
    <w:rsid w:val="00640D2A"/>
    <w:rsid w:val="00642B41"/>
    <w:rsid w:val="0064385F"/>
    <w:rsid w:val="006439FC"/>
    <w:rsid w:val="00644B69"/>
    <w:rsid w:val="00646514"/>
    <w:rsid w:val="00650414"/>
    <w:rsid w:val="00651B5E"/>
    <w:rsid w:val="0065239D"/>
    <w:rsid w:val="0065263F"/>
    <w:rsid w:val="00652D09"/>
    <w:rsid w:val="00654B0B"/>
    <w:rsid w:val="00654CFC"/>
    <w:rsid w:val="00655179"/>
    <w:rsid w:val="0065755A"/>
    <w:rsid w:val="00657A9B"/>
    <w:rsid w:val="006611F0"/>
    <w:rsid w:val="006621C4"/>
    <w:rsid w:val="0066246E"/>
    <w:rsid w:val="00662D9C"/>
    <w:rsid w:val="00663376"/>
    <w:rsid w:val="006654AB"/>
    <w:rsid w:val="0066575D"/>
    <w:rsid w:val="00665F44"/>
    <w:rsid w:val="00666AE2"/>
    <w:rsid w:val="0067192A"/>
    <w:rsid w:val="00672B1F"/>
    <w:rsid w:val="00672EBB"/>
    <w:rsid w:val="00672F65"/>
    <w:rsid w:val="006730E5"/>
    <w:rsid w:val="00673257"/>
    <w:rsid w:val="00673D9A"/>
    <w:rsid w:val="006753FA"/>
    <w:rsid w:val="006763EF"/>
    <w:rsid w:val="00680411"/>
    <w:rsid w:val="00680870"/>
    <w:rsid w:val="00680B14"/>
    <w:rsid w:val="00680C17"/>
    <w:rsid w:val="006810C8"/>
    <w:rsid w:val="00681372"/>
    <w:rsid w:val="006814D2"/>
    <w:rsid w:val="00681A1C"/>
    <w:rsid w:val="00683139"/>
    <w:rsid w:val="00683545"/>
    <w:rsid w:val="006836BE"/>
    <w:rsid w:val="006844B0"/>
    <w:rsid w:val="006845A0"/>
    <w:rsid w:val="006858C9"/>
    <w:rsid w:val="00690092"/>
    <w:rsid w:val="00690D07"/>
    <w:rsid w:val="00691CFB"/>
    <w:rsid w:val="006927EB"/>
    <w:rsid w:val="006929A3"/>
    <w:rsid w:val="0069341A"/>
    <w:rsid w:val="00693430"/>
    <w:rsid w:val="006936F7"/>
    <w:rsid w:val="0069516D"/>
    <w:rsid w:val="00697C85"/>
    <w:rsid w:val="006A1393"/>
    <w:rsid w:val="006A2408"/>
    <w:rsid w:val="006A243A"/>
    <w:rsid w:val="006A284A"/>
    <w:rsid w:val="006A2E45"/>
    <w:rsid w:val="006A6868"/>
    <w:rsid w:val="006A6947"/>
    <w:rsid w:val="006A76E2"/>
    <w:rsid w:val="006A7D36"/>
    <w:rsid w:val="006A7EC6"/>
    <w:rsid w:val="006B3900"/>
    <w:rsid w:val="006B3C16"/>
    <w:rsid w:val="006B41DA"/>
    <w:rsid w:val="006B55F4"/>
    <w:rsid w:val="006B577C"/>
    <w:rsid w:val="006B6696"/>
    <w:rsid w:val="006B66BC"/>
    <w:rsid w:val="006B6E48"/>
    <w:rsid w:val="006C014A"/>
    <w:rsid w:val="006C01AD"/>
    <w:rsid w:val="006C0D53"/>
    <w:rsid w:val="006C1716"/>
    <w:rsid w:val="006C1942"/>
    <w:rsid w:val="006C3110"/>
    <w:rsid w:val="006C4388"/>
    <w:rsid w:val="006C476D"/>
    <w:rsid w:val="006C4881"/>
    <w:rsid w:val="006C4A1B"/>
    <w:rsid w:val="006C5D71"/>
    <w:rsid w:val="006C67B7"/>
    <w:rsid w:val="006D096E"/>
    <w:rsid w:val="006D0CCF"/>
    <w:rsid w:val="006D0F5E"/>
    <w:rsid w:val="006D24D4"/>
    <w:rsid w:val="006D2B35"/>
    <w:rsid w:val="006D2D55"/>
    <w:rsid w:val="006D39DA"/>
    <w:rsid w:val="006D4C9D"/>
    <w:rsid w:val="006D5D9A"/>
    <w:rsid w:val="006D5DA2"/>
    <w:rsid w:val="006D6026"/>
    <w:rsid w:val="006D6CC9"/>
    <w:rsid w:val="006E13D6"/>
    <w:rsid w:val="006E1C3D"/>
    <w:rsid w:val="006E2A43"/>
    <w:rsid w:val="006E2A69"/>
    <w:rsid w:val="006E2DC0"/>
    <w:rsid w:val="006E5EEA"/>
    <w:rsid w:val="006E68F0"/>
    <w:rsid w:val="006E7B6B"/>
    <w:rsid w:val="006E7FE4"/>
    <w:rsid w:val="006F0883"/>
    <w:rsid w:val="006F0EE8"/>
    <w:rsid w:val="006F11A1"/>
    <w:rsid w:val="006F1372"/>
    <w:rsid w:val="006F2A48"/>
    <w:rsid w:val="006F38E0"/>
    <w:rsid w:val="006F4F06"/>
    <w:rsid w:val="006F5993"/>
    <w:rsid w:val="006F6084"/>
    <w:rsid w:val="006F60CD"/>
    <w:rsid w:val="006F6D97"/>
    <w:rsid w:val="006F787D"/>
    <w:rsid w:val="006F7EFE"/>
    <w:rsid w:val="00703E5A"/>
    <w:rsid w:val="00703E7D"/>
    <w:rsid w:val="00703E98"/>
    <w:rsid w:val="00705FF5"/>
    <w:rsid w:val="00706372"/>
    <w:rsid w:val="00707970"/>
    <w:rsid w:val="00710643"/>
    <w:rsid w:val="00711878"/>
    <w:rsid w:val="00712963"/>
    <w:rsid w:val="00713F8E"/>
    <w:rsid w:val="0072054D"/>
    <w:rsid w:val="007214DD"/>
    <w:rsid w:val="00721F38"/>
    <w:rsid w:val="0072242E"/>
    <w:rsid w:val="00722908"/>
    <w:rsid w:val="00723F0A"/>
    <w:rsid w:val="00724A6E"/>
    <w:rsid w:val="00724A84"/>
    <w:rsid w:val="00725717"/>
    <w:rsid w:val="00725ED5"/>
    <w:rsid w:val="00726CBF"/>
    <w:rsid w:val="00727AC9"/>
    <w:rsid w:val="00727CA6"/>
    <w:rsid w:val="007299CC"/>
    <w:rsid w:val="00730715"/>
    <w:rsid w:val="007310F7"/>
    <w:rsid w:val="0073360D"/>
    <w:rsid w:val="00733751"/>
    <w:rsid w:val="00735B8E"/>
    <w:rsid w:val="00735E95"/>
    <w:rsid w:val="00736B3A"/>
    <w:rsid w:val="007376CB"/>
    <w:rsid w:val="00740733"/>
    <w:rsid w:val="0074154C"/>
    <w:rsid w:val="00742DB4"/>
    <w:rsid w:val="007430E9"/>
    <w:rsid w:val="00743607"/>
    <w:rsid w:val="00743B4F"/>
    <w:rsid w:val="007455C2"/>
    <w:rsid w:val="00745842"/>
    <w:rsid w:val="007459E9"/>
    <w:rsid w:val="00746A97"/>
    <w:rsid w:val="00746D83"/>
    <w:rsid w:val="007509B3"/>
    <w:rsid w:val="0075183E"/>
    <w:rsid w:val="0075186F"/>
    <w:rsid w:val="00751E4A"/>
    <w:rsid w:val="007526E4"/>
    <w:rsid w:val="00752858"/>
    <w:rsid w:val="007532FC"/>
    <w:rsid w:val="00753AA9"/>
    <w:rsid w:val="00755345"/>
    <w:rsid w:val="0075565C"/>
    <w:rsid w:val="00755CDB"/>
    <w:rsid w:val="007560A6"/>
    <w:rsid w:val="00765E4C"/>
    <w:rsid w:val="007666CC"/>
    <w:rsid w:val="00766891"/>
    <w:rsid w:val="00770611"/>
    <w:rsid w:val="00771854"/>
    <w:rsid w:val="00771DD4"/>
    <w:rsid w:val="00771F45"/>
    <w:rsid w:val="00771FC1"/>
    <w:rsid w:val="00772877"/>
    <w:rsid w:val="00772E9B"/>
    <w:rsid w:val="00773BB9"/>
    <w:rsid w:val="007749CE"/>
    <w:rsid w:val="00774F56"/>
    <w:rsid w:val="00775B11"/>
    <w:rsid w:val="00776D88"/>
    <w:rsid w:val="007772B6"/>
    <w:rsid w:val="007773CC"/>
    <w:rsid w:val="007808A2"/>
    <w:rsid w:val="00781619"/>
    <w:rsid w:val="007823EA"/>
    <w:rsid w:val="00784DE7"/>
    <w:rsid w:val="0078553E"/>
    <w:rsid w:val="00785A9D"/>
    <w:rsid w:val="00786040"/>
    <w:rsid w:val="00786089"/>
    <w:rsid w:val="00787F8E"/>
    <w:rsid w:val="007902EA"/>
    <w:rsid w:val="0079040F"/>
    <w:rsid w:val="0079088C"/>
    <w:rsid w:val="00790AA0"/>
    <w:rsid w:val="0079114F"/>
    <w:rsid w:val="00791D95"/>
    <w:rsid w:val="00794C19"/>
    <w:rsid w:val="007958D5"/>
    <w:rsid w:val="007971AD"/>
    <w:rsid w:val="007976FC"/>
    <w:rsid w:val="007979E7"/>
    <w:rsid w:val="00797BDF"/>
    <w:rsid w:val="00797EEA"/>
    <w:rsid w:val="00797F53"/>
    <w:rsid w:val="007A0201"/>
    <w:rsid w:val="007A0962"/>
    <w:rsid w:val="007A0E5D"/>
    <w:rsid w:val="007A2B82"/>
    <w:rsid w:val="007A3EC0"/>
    <w:rsid w:val="007A441D"/>
    <w:rsid w:val="007A44CD"/>
    <w:rsid w:val="007A6171"/>
    <w:rsid w:val="007A64D1"/>
    <w:rsid w:val="007A6BAD"/>
    <w:rsid w:val="007A6FB9"/>
    <w:rsid w:val="007A770A"/>
    <w:rsid w:val="007A7E84"/>
    <w:rsid w:val="007A7F56"/>
    <w:rsid w:val="007B0B60"/>
    <w:rsid w:val="007B0FD7"/>
    <w:rsid w:val="007B12F9"/>
    <w:rsid w:val="007B1923"/>
    <w:rsid w:val="007B22B4"/>
    <w:rsid w:val="007B2B3D"/>
    <w:rsid w:val="007B347F"/>
    <w:rsid w:val="007B4174"/>
    <w:rsid w:val="007B4DEE"/>
    <w:rsid w:val="007B4E44"/>
    <w:rsid w:val="007B6457"/>
    <w:rsid w:val="007C06BA"/>
    <w:rsid w:val="007C0AB9"/>
    <w:rsid w:val="007C0D34"/>
    <w:rsid w:val="007C0FDD"/>
    <w:rsid w:val="007C22CC"/>
    <w:rsid w:val="007C3908"/>
    <w:rsid w:val="007C546F"/>
    <w:rsid w:val="007C5670"/>
    <w:rsid w:val="007C6565"/>
    <w:rsid w:val="007C687F"/>
    <w:rsid w:val="007C7C71"/>
    <w:rsid w:val="007D0861"/>
    <w:rsid w:val="007D0DDF"/>
    <w:rsid w:val="007D1D0E"/>
    <w:rsid w:val="007D5F26"/>
    <w:rsid w:val="007D7FA9"/>
    <w:rsid w:val="007E010B"/>
    <w:rsid w:val="007E07E2"/>
    <w:rsid w:val="007E1F24"/>
    <w:rsid w:val="007E21BF"/>
    <w:rsid w:val="007E2B1A"/>
    <w:rsid w:val="007E2D4E"/>
    <w:rsid w:val="007E4FA6"/>
    <w:rsid w:val="007E5322"/>
    <w:rsid w:val="007E5621"/>
    <w:rsid w:val="007E70E6"/>
    <w:rsid w:val="007E766B"/>
    <w:rsid w:val="007F1ADD"/>
    <w:rsid w:val="007F1E2C"/>
    <w:rsid w:val="007F22FA"/>
    <w:rsid w:val="007F2A11"/>
    <w:rsid w:val="007F693D"/>
    <w:rsid w:val="007F6CF8"/>
    <w:rsid w:val="007F77A8"/>
    <w:rsid w:val="00800740"/>
    <w:rsid w:val="008019F6"/>
    <w:rsid w:val="00801F47"/>
    <w:rsid w:val="00802675"/>
    <w:rsid w:val="00802FC2"/>
    <w:rsid w:val="008031B5"/>
    <w:rsid w:val="00803F9F"/>
    <w:rsid w:val="0080480B"/>
    <w:rsid w:val="008057A3"/>
    <w:rsid w:val="00805A4D"/>
    <w:rsid w:val="0080733B"/>
    <w:rsid w:val="008077D5"/>
    <w:rsid w:val="00807EA7"/>
    <w:rsid w:val="00811083"/>
    <w:rsid w:val="008110C3"/>
    <w:rsid w:val="00812881"/>
    <w:rsid w:val="00812A49"/>
    <w:rsid w:val="00812DBD"/>
    <w:rsid w:val="00812F4A"/>
    <w:rsid w:val="00813331"/>
    <w:rsid w:val="008140A6"/>
    <w:rsid w:val="0081426B"/>
    <w:rsid w:val="00814518"/>
    <w:rsid w:val="00815DE8"/>
    <w:rsid w:val="008163CB"/>
    <w:rsid w:val="00816A32"/>
    <w:rsid w:val="00820AD0"/>
    <w:rsid w:val="00822C7D"/>
    <w:rsid w:val="00824264"/>
    <w:rsid w:val="00824505"/>
    <w:rsid w:val="0083008D"/>
    <w:rsid w:val="0083113A"/>
    <w:rsid w:val="00831C9A"/>
    <w:rsid w:val="008328EE"/>
    <w:rsid w:val="00832930"/>
    <w:rsid w:val="00832AF7"/>
    <w:rsid w:val="00832F8A"/>
    <w:rsid w:val="00833078"/>
    <w:rsid w:val="00834B3D"/>
    <w:rsid w:val="00834B9F"/>
    <w:rsid w:val="008377DF"/>
    <w:rsid w:val="00837D1D"/>
    <w:rsid w:val="0084071E"/>
    <w:rsid w:val="00840983"/>
    <w:rsid w:val="00841460"/>
    <w:rsid w:val="00841AB4"/>
    <w:rsid w:val="0084443C"/>
    <w:rsid w:val="00845159"/>
    <w:rsid w:val="00845513"/>
    <w:rsid w:val="00845CF6"/>
    <w:rsid w:val="00846198"/>
    <w:rsid w:val="00846632"/>
    <w:rsid w:val="008474F3"/>
    <w:rsid w:val="00850FC5"/>
    <w:rsid w:val="008512FD"/>
    <w:rsid w:val="00851A27"/>
    <w:rsid w:val="00852903"/>
    <w:rsid w:val="008535FB"/>
    <w:rsid w:val="0085720E"/>
    <w:rsid w:val="008572F8"/>
    <w:rsid w:val="00860DE1"/>
    <w:rsid w:val="00862902"/>
    <w:rsid w:val="00862EE6"/>
    <w:rsid w:val="00863C7E"/>
    <w:rsid w:val="00863EF7"/>
    <w:rsid w:val="00864852"/>
    <w:rsid w:val="00864944"/>
    <w:rsid w:val="008657AD"/>
    <w:rsid w:val="008704D7"/>
    <w:rsid w:val="00871E1A"/>
    <w:rsid w:val="008722B4"/>
    <w:rsid w:val="008744AC"/>
    <w:rsid w:val="008746C7"/>
    <w:rsid w:val="00874CDE"/>
    <w:rsid w:val="00875C42"/>
    <w:rsid w:val="00876F68"/>
    <w:rsid w:val="00877C2F"/>
    <w:rsid w:val="00880D96"/>
    <w:rsid w:val="00881C47"/>
    <w:rsid w:val="008827D6"/>
    <w:rsid w:val="00883FA9"/>
    <w:rsid w:val="00885DDA"/>
    <w:rsid w:val="00885EA4"/>
    <w:rsid w:val="00885FFB"/>
    <w:rsid w:val="0089099B"/>
    <w:rsid w:val="0089252E"/>
    <w:rsid w:val="008925AB"/>
    <w:rsid w:val="00893B20"/>
    <w:rsid w:val="00894130"/>
    <w:rsid w:val="00894227"/>
    <w:rsid w:val="0089602E"/>
    <w:rsid w:val="008A098C"/>
    <w:rsid w:val="008A16DE"/>
    <w:rsid w:val="008A17A9"/>
    <w:rsid w:val="008A2259"/>
    <w:rsid w:val="008A2ACC"/>
    <w:rsid w:val="008A2BE4"/>
    <w:rsid w:val="008A336D"/>
    <w:rsid w:val="008A3ED2"/>
    <w:rsid w:val="008A4301"/>
    <w:rsid w:val="008A467D"/>
    <w:rsid w:val="008A4A50"/>
    <w:rsid w:val="008A5570"/>
    <w:rsid w:val="008A5F56"/>
    <w:rsid w:val="008A6881"/>
    <w:rsid w:val="008B045F"/>
    <w:rsid w:val="008B1573"/>
    <w:rsid w:val="008B2876"/>
    <w:rsid w:val="008B2EC3"/>
    <w:rsid w:val="008B2FBB"/>
    <w:rsid w:val="008B33CA"/>
    <w:rsid w:val="008B5EFF"/>
    <w:rsid w:val="008B725C"/>
    <w:rsid w:val="008C0F0F"/>
    <w:rsid w:val="008C170D"/>
    <w:rsid w:val="008C2266"/>
    <w:rsid w:val="008C258D"/>
    <w:rsid w:val="008C4624"/>
    <w:rsid w:val="008C7170"/>
    <w:rsid w:val="008C7D51"/>
    <w:rsid w:val="008D018D"/>
    <w:rsid w:val="008D088F"/>
    <w:rsid w:val="008D1C45"/>
    <w:rsid w:val="008D1E0B"/>
    <w:rsid w:val="008D2CBC"/>
    <w:rsid w:val="008D5A30"/>
    <w:rsid w:val="008D5EA5"/>
    <w:rsid w:val="008D78F1"/>
    <w:rsid w:val="008D7A9A"/>
    <w:rsid w:val="008E1D25"/>
    <w:rsid w:val="008E1F2C"/>
    <w:rsid w:val="008E260A"/>
    <w:rsid w:val="008E2694"/>
    <w:rsid w:val="008E4775"/>
    <w:rsid w:val="008E57A3"/>
    <w:rsid w:val="008E64C7"/>
    <w:rsid w:val="008E6C9F"/>
    <w:rsid w:val="008E76E9"/>
    <w:rsid w:val="008E778E"/>
    <w:rsid w:val="008E7D3A"/>
    <w:rsid w:val="008F2DE8"/>
    <w:rsid w:val="008F4A70"/>
    <w:rsid w:val="008F4D73"/>
    <w:rsid w:val="008F51B1"/>
    <w:rsid w:val="008F6611"/>
    <w:rsid w:val="008F66D1"/>
    <w:rsid w:val="008F7C81"/>
    <w:rsid w:val="008FEE10"/>
    <w:rsid w:val="009009F9"/>
    <w:rsid w:val="0090191B"/>
    <w:rsid w:val="00901CD9"/>
    <w:rsid w:val="009022A9"/>
    <w:rsid w:val="00902489"/>
    <w:rsid w:val="00902618"/>
    <w:rsid w:val="00903A6F"/>
    <w:rsid w:val="00904BAC"/>
    <w:rsid w:val="00905AD8"/>
    <w:rsid w:val="0090686F"/>
    <w:rsid w:val="00907970"/>
    <w:rsid w:val="00907B57"/>
    <w:rsid w:val="0091178F"/>
    <w:rsid w:val="00915040"/>
    <w:rsid w:val="0091779C"/>
    <w:rsid w:val="0092114E"/>
    <w:rsid w:val="0092167A"/>
    <w:rsid w:val="00921CB1"/>
    <w:rsid w:val="00922C72"/>
    <w:rsid w:val="00923C7F"/>
    <w:rsid w:val="00924F67"/>
    <w:rsid w:val="00925B83"/>
    <w:rsid w:val="00925DE4"/>
    <w:rsid w:val="00927431"/>
    <w:rsid w:val="00927A0E"/>
    <w:rsid w:val="0092D9BB"/>
    <w:rsid w:val="00930091"/>
    <w:rsid w:val="009313BF"/>
    <w:rsid w:val="00932463"/>
    <w:rsid w:val="009333CB"/>
    <w:rsid w:val="00933DEE"/>
    <w:rsid w:val="00934758"/>
    <w:rsid w:val="00934ACF"/>
    <w:rsid w:val="00934BEE"/>
    <w:rsid w:val="009351B4"/>
    <w:rsid w:val="0093581E"/>
    <w:rsid w:val="009373E3"/>
    <w:rsid w:val="00937C6E"/>
    <w:rsid w:val="00940731"/>
    <w:rsid w:val="009418F3"/>
    <w:rsid w:val="00941C45"/>
    <w:rsid w:val="009425DF"/>
    <w:rsid w:val="009428D0"/>
    <w:rsid w:val="00942BC1"/>
    <w:rsid w:val="009430DF"/>
    <w:rsid w:val="00943749"/>
    <w:rsid w:val="0094464D"/>
    <w:rsid w:val="00944688"/>
    <w:rsid w:val="0094591A"/>
    <w:rsid w:val="00945D9D"/>
    <w:rsid w:val="0094661A"/>
    <w:rsid w:val="00950DC2"/>
    <w:rsid w:val="0095160A"/>
    <w:rsid w:val="0095203C"/>
    <w:rsid w:val="0095247C"/>
    <w:rsid w:val="009531E1"/>
    <w:rsid w:val="00953E0B"/>
    <w:rsid w:val="0095434D"/>
    <w:rsid w:val="0095479B"/>
    <w:rsid w:val="0095671D"/>
    <w:rsid w:val="00957BB5"/>
    <w:rsid w:val="00960000"/>
    <w:rsid w:val="00960E45"/>
    <w:rsid w:val="009610C2"/>
    <w:rsid w:val="00961E64"/>
    <w:rsid w:val="009629EA"/>
    <w:rsid w:val="00963C88"/>
    <w:rsid w:val="009659A7"/>
    <w:rsid w:val="00965C27"/>
    <w:rsid w:val="00965CDD"/>
    <w:rsid w:val="0096620C"/>
    <w:rsid w:val="009662AB"/>
    <w:rsid w:val="0096691F"/>
    <w:rsid w:val="009669F4"/>
    <w:rsid w:val="00967014"/>
    <w:rsid w:val="009673B2"/>
    <w:rsid w:val="00967438"/>
    <w:rsid w:val="00967C67"/>
    <w:rsid w:val="00970A2C"/>
    <w:rsid w:val="00970BB9"/>
    <w:rsid w:val="00970D4E"/>
    <w:rsid w:val="00970E0A"/>
    <w:rsid w:val="00970E3D"/>
    <w:rsid w:val="00970E78"/>
    <w:rsid w:val="00970FDD"/>
    <w:rsid w:val="009716F5"/>
    <w:rsid w:val="00973601"/>
    <w:rsid w:val="009740C3"/>
    <w:rsid w:val="009747F7"/>
    <w:rsid w:val="00975EAE"/>
    <w:rsid w:val="00976513"/>
    <w:rsid w:val="009770B5"/>
    <w:rsid w:val="00977FB7"/>
    <w:rsid w:val="00980CF1"/>
    <w:rsid w:val="0098109D"/>
    <w:rsid w:val="0098121F"/>
    <w:rsid w:val="009821C2"/>
    <w:rsid w:val="009827AF"/>
    <w:rsid w:val="009834E1"/>
    <w:rsid w:val="0098351C"/>
    <w:rsid w:val="00983A14"/>
    <w:rsid w:val="00984B12"/>
    <w:rsid w:val="009858C8"/>
    <w:rsid w:val="009858F2"/>
    <w:rsid w:val="009863D0"/>
    <w:rsid w:val="00986EB9"/>
    <w:rsid w:val="009875CB"/>
    <w:rsid w:val="00987DD8"/>
    <w:rsid w:val="00990168"/>
    <w:rsid w:val="009910DE"/>
    <w:rsid w:val="0099139C"/>
    <w:rsid w:val="00991D5C"/>
    <w:rsid w:val="009929CF"/>
    <w:rsid w:val="00992BFD"/>
    <w:rsid w:val="00992DA6"/>
    <w:rsid w:val="00992FA0"/>
    <w:rsid w:val="009941A8"/>
    <w:rsid w:val="009944D3"/>
    <w:rsid w:val="00994866"/>
    <w:rsid w:val="009957C5"/>
    <w:rsid w:val="00996347"/>
    <w:rsid w:val="00996B69"/>
    <w:rsid w:val="00996DAF"/>
    <w:rsid w:val="009977E2"/>
    <w:rsid w:val="00997912"/>
    <w:rsid w:val="009A1E74"/>
    <w:rsid w:val="009A4CCD"/>
    <w:rsid w:val="009A4E85"/>
    <w:rsid w:val="009A4FB3"/>
    <w:rsid w:val="009A5BBD"/>
    <w:rsid w:val="009A5CD6"/>
    <w:rsid w:val="009A6B94"/>
    <w:rsid w:val="009A6DCC"/>
    <w:rsid w:val="009B288C"/>
    <w:rsid w:val="009B2FA1"/>
    <w:rsid w:val="009B4275"/>
    <w:rsid w:val="009B5C5C"/>
    <w:rsid w:val="009B68D1"/>
    <w:rsid w:val="009B6AD1"/>
    <w:rsid w:val="009C0A6C"/>
    <w:rsid w:val="009C1970"/>
    <w:rsid w:val="009C201D"/>
    <w:rsid w:val="009C38D5"/>
    <w:rsid w:val="009C3D23"/>
    <w:rsid w:val="009C7EE3"/>
    <w:rsid w:val="009D03FE"/>
    <w:rsid w:val="009D0AE9"/>
    <w:rsid w:val="009D3232"/>
    <w:rsid w:val="009D34B0"/>
    <w:rsid w:val="009D47E8"/>
    <w:rsid w:val="009D5A46"/>
    <w:rsid w:val="009D60A4"/>
    <w:rsid w:val="009D6D37"/>
    <w:rsid w:val="009D7365"/>
    <w:rsid w:val="009E00C9"/>
    <w:rsid w:val="009E15B6"/>
    <w:rsid w:val="009E192B"/>
    <w:rsid w:val="009E2792"/>
    <w:rsid w:val="009E3075"/>
    <w:rsid w:val="009E3118"/>
    <w:rsid w:val="009E34D8"/>
    <w:rsid w:val="009E49BB"/>
    <w:rsid w:val="009E6BE3"/>
    <w:rsid w:val="009F0F47"/>
    <w:rsid w:val="009F20FF"/>
    <w:rsid w:val="009F2FF0"/>
    <w:rsid w:val="009F3E38"/>
    <w:rsid w:val="009F5E7F"/>
    <w:rsid w:val="009F6A40"/>
    <w:rsid w:val="009F7020"/>
    <w:rsid w:val="00A01048"/>
    <w:rsid w:val="00A012E7"/>
    <w:rsid w:val="00A017AA"/>
    <w:rsid w:val="00A01921"/>
    <w:rsid w:val="00A01BE9"/>
    <w:rsid w:val="00A02C17"/>
    <w:rsid w:val="00A02CA7"/>
    <w:rsid w:val="00A02E58"/>
    <w:rsid w:val="00A03552"/>
    <w:rsid w:val="00A0364F"/>
    <w:rsid w:val="00A038D5"/>
    <w:rsid w:val="00A03FDB"/>
    <w:rsid w:val="00A042EE"/>
    <w:rsid w:val="00A054C7"/>
    <w:rsid w:val="00A064E5"/>
    <w:rsid w:val="00A06CB6"/>
    <w:rsid w:val="00A07121"/>
    <w:rsid w:val="00A1219D"/>
    <w:rsid w:val="00A13BDC"/>
    <w:rsid w:val="00A142A4"/>
    <w:rsid w:val="00A156B8"/>
    <w:rsid w:val="00A15C50"/>
    <w:rsid w:val="00A166EC"/>
    <w:rsid w:val="00A1781D"/>
    <w:rsid w:val="00A17848"/>
    <w:rsid w:val="00A200E7"/>
    <w:rsid w:val="00A20B7F"/>
    <w:rsid w:val="00A215AF"/>
    <w:rsid w:val="00A21E62"/>
    <w:rsid w:val="00A221FB"/>
    <w:rsid w:val="00A22390"/>
    <w:rsid w:val="00A22B56"/>
    <w:rsid w:val="00A2327C"/>
    <w:rsid w:val="00A24F03"/>
    <w:rsid w:val="00A2646D"/>
    <w:rsid w:val="00A2647C"/>
    <w:rsid w:val="00A26D48"/>
    <w:rsid w:val="00A278B2"/>
    <w:rsid w:val="00A3052F"/>
    <w:rsid w:val="00A30946"/>
    <w:rsid w:val="00A30B2E"/>
    <w:rsid w:val="00A30C58"/>
    <w:rsid w:val="00A31070"/>
    <w:rsid w:val="00A31A8A"/>
    <w:rsid w:val="00A31F48"/>
    <w:rsid w:val="00A32075"/>
    <w:rsid w:val="00A32A7A"/>
    <w:rsid w:val="00A32AA5"/>
    <w:rsid w:val="00A334AB"/>
    <w:rsid w:val="00A3356F"/>
    <w:rsid w:val="00A36D06"/>
    <w:rsid w:val="00A36EC3"/>
    <w:rsid w:val="00A37F5E"/>
    <w:rsid w:val="00A41494"/>
    <w:rsid w:val="00A44ECB"/>
    <w:rsid w:val="00A46DA9"/>
    <w:rsid w:val="00A4758E"/>
    <w:rsid w:val="00A476F4"/>
    <w:rsid w:val="00A5198D"/>
    <w:rsid w:val="00A51E88"/>
    <w:rsid w:val="00A521CF"/>
    <w:rsid w:val="00A52AA4"/>
    <w:rsid w:val="00A55688"/>
    <w:rsid w:val="00A55902"/>
    <w:rsid w:val="00A56145"/>
    <w:rsid w:val="00A563AE"/>
    <w:rsid w:val="00A565C7"/>
    <w:rsid w:val="00A56915"/>
    <w:rsid w:val="00A57133"/>
    <w:rsid w:val="00A60A64"/>
    <w:rsid w:val="00A61A16"/>
    <w:rsid w:val="00A61CE7"/>
    <w:rsid w:val="00A623F2"/>
    <w:rsid w:val="00A62A04"/>
    <w:rsid w:val="00A62C3D"/>
    <w:rsid w:val="00A63C6D"/>
    <w:rsid w:val="00A63F4A"/>
    <w:rsid w:val="00A649A4"/>
    <w:rsid w:val="00A64A6B"/>
    <w:rsid w:val="00A6579F"/>
    <w:rsid w:val="00A65F85"/>
    <w:rsid w:val="00A660C1"/>
    <w:rsid w:val="00A670B9"/>
    <w:rsid w:val="00A7006A"/>
    <w:rsid w:val="00A708A3"/>
    <w:rsid w:val="00A727C6"/>
    <w:rsid w:val="00A74432"/>
    <w:rsid w:val="00A80465"/>
    <w:rsid w:val="00A80BFE"/>
    <w:rsid w:val="00A810F6"/>
    <w:rsid w:val="00A81246"/>
    <w:rsid w:val="00A82BD2"/>
    <w:rsid w:val="00A83E68"/>
    <w:rsid w:val="00A83F26"/>
    <w:rsid w:val="00A900D4"/>
    <w:rsid w:val="00A90B80"/>
    <w:rsid w:val="00A91044"/>
    <w:rsid w:val="00A91EE3"/>
    <w:rsid w:val="00A930B3"/>
    <w:rsid w:val="00A93152"/>
    <w:rsid w:val="00A93334"/>
    <w:rsid w:val="00A93AFF"/>
    <w:rsid w:val="00A941D6"/>
    <w:rsid w:val="00A94609"/>
    <w:rsid w:val="00A94AF2"/>
    <w:rsid w:val="00A94D3B"/>
    <w:rsid w:val="00A953AC"/>
    <w:rsid w:val="00AA04C3"/>
    <w:rsid w:val="00AA0A69"/>
    <w:rsid w:val="00AA1229"/>
    <w:rsid w:val="00AA1442"/>
    <w:rsid w:val="00AA1C33"/>
    <w:rsid w:val="00AA3434"/>
    <w:rsid w:val="00AA3BDA"/>
    <w:rsid w:val="00AA3D0C"/>
    <w:rsid w:val="00AA4BB1"/>
    <w:rsid w:val="00AA626E"/>
    <w:rsid w:val="00AA6C09"/>
    <w:rsid w:val="00AA70EF"/>
    <w:rsid w:val="00AA7766"/>
    <w:rsid w:val="00AB02E0"/>
    <w:rsid w:val="00AB32E3"/>
    <w:rsid w:val="00AB36F1"/>
    <w:rsid w:val="00AB4CCF"/>
    <w:rsid w:val="00AB4D28"/>
    <w:rsid w:val="00AB510F"/>
    <w:rsid w:val="00AB5B92"/>
    <w:rsid w:val="00AB61FD"/>
    <w:rsid w:val="00AB6514"/>
    <w:rsid w:val="00AC019D"/>
    <w:rsid w:val="00AC12C8"/>
    <w:rsid w:val="00AC1441"/>
    <w:rsid w:val="00AC14F3"/>
    <w:rsid w:val="00AC1958"/>
    <w:rsid w:val="00AC2440"/>
    <w:rsid w:val="00AC4544"/>
    <w:rsid w:val="00AC471A"/>
    <w:rsid w:val="00AC4C39"/>
    <w:rsid w:val="00AC5A13"/>
    <w:rsid w:val="00AC6590"/>
    <w:rsid w:val="00AD2B2E"/>
    <w:rsid w:val="00AD2BE3"/>
    <w:rsid w:val="00AD2D04"/>
    <w:rsid w:val="00AD2F1B"/>
    <w:rsid w:val="00AD347F"/>
    <w:rsid w:val="00AD36BC"/>
    <w:rsid w:val="00AD437C"/>
    <w:rsid w:val="00AD4DD1"/>
    <w:rsid w:val="00AD5B01"/>
    <w:rsid w:val="00AD5BF4"/>
    <w:rsid w:val="00AD5F61"/>
    <w:rsid w:val="00AD6180"/>
    <w:rsid w:val="00AD6323"/>
    <w:rsid w:val="00AD69CF"/>
    <w:rsid w:val="00AD72C5"/>
    <w:rsid w:val="00AD7CDF"/>
    <w:rsid w:val="00AE1D40"/>
    <w:rsid w:val="00AE1FCE"/>
    <w:rsid w:val="00AE201F"/>
    <w:rsid w:val="00AE255A"/>
    <w:rsid w:val="00AE279B"/>
    <w:rsid w:val="00AE29DD"/>
    <w:rsid w:val="00AE4528"/>
    <w:rsid w:val="00AE4795"/>
    <w:rsid w:val="00AE594F"/>
    <w:rsid w:val="00AE5C54"/>
    <w:rsid w:val="00AE6553"/>
    <w:rsid w:val="00AE68A1"/>
    <w:rsid w:val="00AE6ED2"/>
    <w:rsid w:val="00AF2376"/>
    <w:rsid w:val="00AF23FE"/>
    <w:rsid w:val="00AF37E4"/>
    <w:rsid w:val="00AF5869"/>
    <w:rsid w:val="00B00316"/>
    <w:rsid w:val="00B0048C"/>
    <w:rsid w:val="00B005DF"/>
    <w:rsid w:val="00B01465"/>
    <w:rsid w:val="00B01CFB"/>
    <w:rsid w:val="00B0206B"/>
    <w:rsid w:val="00B051C6"/>
    <w:rsid w:val="00B0629E"/>
    <w:rsid w:val="00B063CE"/>
    <w:rsid w:val="00B07513"/>
    <w:rsid w:val="00B11314"/>
    <w:rsid w:val="00B117F1"/>
    <w:rsid w:val="00B12E7A"/>
    <w:rsid w:val="00B13FD8"/>
    <w:rsid w:val="00B1428E"/>
    <w:rsid w:val="00B14588"/>
    <w:rsid w:val="00B14CAD"/>
    <w:rsid w:val="00B14EF0"/>
    <w:rsid w:val="00B154F0"/>
    <w:rsid w:val="00B15CFF"/>
    <w:rsid w:val="00B1632D"/>
    <w:rsid w:val="00B168D8"/>
    <w:rsid w:val="00B20A49"/>
    <w:rsid w:val="00B20D63"/>
    <w:rsid w:val="00B2115E"/>
    <w:rsid w:val="00B2151F"/>
    <w:rsid w:val="00B2191C"/>
    <w:rsid w:val="00B22CAB"/>
    <w:rsid w:val="00B22E3E"/>
    <w:rsid w:val="00B234CB"/>
    <w:rsid w:val="00B23C68"/>
    <w:rsid w:val="00B23E2B"/>
    <w:rsid w:val="00B25136"/>
    <w:rsid w:val="00B251A8"/>
    <w:rsid w:val="00B252C1"/>
    <w:rsid w:val="00B26023"/>
    <w:rsid w:val="00B303E5"/>
    <w:rsid w:val="00B32057"/>
    <w:rsid w:val="00B32AD8"/>
    <w:rsid w:val="00B331D0"/>
    <w:rsid w:val="00B33274"/>
    <w:rsid w:val="00B3529F"/>
    <w:rsid w:val="00B37895"/>
    <w:rsid w:val="00B41101"/>
    <w:rsid w:val="00B43B26"/>
    <w:rsid w:val="00B44FA3"/>
    <w:rsid w:val="00B469BB"/>
    <w:rsid w:val="00B504B7"/>
    <w:rsid w:val="00B5088D"/>
    <w:rsid w:val="00B50F46"/>
    <w:rsid w:val="00B513F8"/>
    <w:rsid w:val="00B51DA6"/>
    <w:rsid w:val="00B527E5"/>
    <w:rsid w:val="00B536FE"/>
    <w:rsid w:val="00B53DE8"/>
    <w:rsid w:val="00B548D9"/>
    <w:rsid w:val="00B54AF7"/>
    <w:rsid w:val="00B54DE7"/>
    <w:rsid w:val="00B553CF"/>
    <w:rsid w:val="00B55A5D"/>
    <w:rsid w:val="00B55FFA"/>
    <w:rsid w:val="00B56D79"/>
    <w:rsid w:val="00B5727E"/>
    <w:rsid w:val="00B576F6"/>
    <w:rsid w:val="00B6132B"/>
    <w:rsid w:val="00B63CC4"/>
    <w:rsid w:val="00B645AB"/>
    <w:rsid w:val="00B64FD0"/>
    <w:rsid w:val="00B65DDF"/>
    <w:rsid w:val="00B6636A"/>
    <w:rsid w:val="00B66EF3"/>
    <w:rsid w:val="00B67576"/>
    <w:rsid w:val="00B702B0"/>
    <w:rsid w:val="00B70861"/>
    <w:rsid w:val="00B71230"/>
    <w:rsid w:val="00B7125B"/>
    <w:rsid w:val="00B71D7A"/>
    <w:rsid w:val="00B71EA9"/>
    <w:rsid w:val="00B71FA2"/>
    <w:rsid w:val="00B72770"/>
    <w:rsid w:val="00B73CE5"/>
    <w:rsid w:val="00B74267"/>
    <w:rsid w:val="00B749DA"/>
    <w:rsid w:val="00B75994"/>
    <w:rsid w:val="00B763A4"/>
    <w:rsid w:val="00B76634"/>
    <w:rsid w:val="00B77004"/>
    <w:rsid w:val="00B77933"/>
    <w:rsid w:val="00B81BF0"/>
    <w:rsid w:val="00B8251B"/>
    <w:rsid w:val="00B82F12"/>
    <w:rsid w:val="00B83292"/>
    <w:rsid w:val="00B84F86"/>
    <w:rsid w:val="00B85133"/>
    <w:rsid w:val="00B86E08"/>
    <w:rsid w:val="00B872C4"/>
    <w:rsid w:val="00B91D19"/>
    <w:rsid w:val="00B9333C"/>
    <w:rsid w:val="00B946F8"/>
    <w:rsid w:val="00B95D93"/>
    <w:rsid w:val="00B968AD"/>
    <w:rsid w:val="00B972BF"/>
    <w:rsid w:val="00B97B2F"/>
    <w:rsid w:val="00BA086A"/>
    <w:rsid w:val="00BA1503"/>
    <w:rsid w:val="00BA160D"/>
    <w:rsid w:val="00BA2463"/>
    <w:rsid w:val="00BA2882"/>
    <w:rsid w:val="00BA2A80"/>
    <w:rsid w:val="00BA3D5B"/>
    <w:rsid w:val="00BA4FDA"/>
    <w:rsid w:val="00BA6B09"/>
    <w:rsid w:val="00BA770B"/>
    <w:rsid w:val="00BB0858"/>
    <w:rsid w:val="00BB0B8E"/>
    <w:rsid w:val="00BB0C9F"/>
    <w:rsid w:val="00BB1A51"/>
    <w:rsid w:val="00BB1D13"/>
    <w:rsid w:val="00BB2887"/>
    <w:rsid w:val="00BB3520"/>
    <w:rsid w:val="00BB3B60"/>
    <w:rsid w:val="00BB4668"/>
    <w:rsid w:val="00BB563E"/>
    <w:rsid w:val="00BB5FD3"/>
    <w:rsid w:val="00BB6293"/>
    <w:rsid w:val="00BC1C72"/>
    <w:rsid w:val="00BC2009"/>
    <w:rsid w:val="00BC2C3A"/>
    <w:rsid w:val="00BC2C57"/>
    <w:rsid w:val="00BC4249"/>
    <w:rsid w:val="00BC4273"/>
    <w:rsid w:val="00BC4948"/>
    <w:rsid w:val="00BC5012"/>
    <w:rsid w:val="00BC5532"/>
    <w:rsid w:val="00BC58C9"/>
    <w:rsid w:val="00BC5FDF"/>
    <w:rsid w:val="00BC612C"/>
    <w:rsid w:val="00BC65DE"/>
    <w:rsid w:val="00BC6881"/>
    <w:rsid w:val="00BD1493"/>
    <w:rsid w:val="00BD336E"/>
    <w:rsid w:val="00BD4997"/>
    <w:rsid w:val="00BD5BF0"/>
    <w:rsid w:val="00BD5C0B"/>
    <w:rsid w:val="00BD6727"/>
    <w:rsid w:val="00BD6B3A"/>
    <w:rsid w:val="00BD728F"/>
    <w:rsid w:val="00BE04F8"/>
    <w:rsid w:val="00BE0BDF"/>
    <w:rsid w:val="00BE3F90"/>
    <w:rsid w:val="00BE570D"/>
    <w:rsid w:val="00BE5DB7"/>
    <w:rsid w:val="00BE75CF"/>
    <w:rsid w:val="00BE7A0E"/>
    <w:rsid w:val="00BF0444"/>
    <w:rsid w:val="00BF0719"/>
    <w:rsid w:val="00BF0B1C"/>
    <w:rsid w:val="00BF0C8F"/>
    <w:rsid w:val="00BF1479"/>
    <w:rsid w:val="00BF2711"/>
    <w:rsid w:val="00BF3020"/>
    <w:rsid w:val="00BF3394"/>
    <w:rsid w:val="00BF5CF9"/>
    <w:rsid w:val="00BF7AEB"/>
    <w:rsid w:val="00C00B18"/>
    <w:rsid w:val="00C01AF2"/>
    <w:rsid w:val="00C01D6B"/>
    <w:rsid w:val="00C022EA"/>
    <w:rsid w:val="00C05572"/>
    <w:rsid w:val="00C05E2F"/>
    <w:rsid w:val="00C065F7"/>
    <w:rsid w:val="00C06804"/>
    <w:rsid w:val="00C10436"/>
    <w:rsid w:val="00C10A69"/>
    <w:rsid w:val="00C10B0E"/>
    <w:rsid w:val="00C123F4"/>
    <w:rsid w:val="00C1268B"/>
    <w:rsid w:val="00C12DDB"/>
    <w:rsid w:val="00C13077"/>
    <w:rsid w:val="00C135B4"/>
    <w:rsid w:val="00C13A59"/>
    <w:rsid w:val="00C17D06"/>
    <w:rsid w:val="00C2056A"/>
    <w:rsid w:val="00C2359E"/>
    <w:rsid w:val="00C23713"/>
    <w:rsid w:val="00C24964"/>
    <w:rsid w:val="00C258DC"/>
    <w:rsid w:val="00C26AAC"/>
    <w:rsid w:val="00C30BD7"/>
    <w:rsid w:val="00C31C48"/>
    <w:rsid w:val="00C333F2"/>
    <w:rsid w:val="00C35A67"/>
    <w:rsid w:val="00C3626D"/>
    <w:rsid w:val="00C3731F"/>
    <w:rsid w:val="00C37DEA"/>
    <w:rsid w:val="00C4022B"/>
    <w:rsid w:val="00C407C6"/>
    <w:rsid w:val="00C41392"/>
    <w:rsid w:val="00C414FA"/>
    <w:rsid w:val="00C41762"/>
    <w:rsid w:val="00C42C6D"/>
    <w:rsid w:val="00C45AF5"/>
    <w:rsid w:val="00C46567"/>
    <w:rsid w:val="00C4698E"/>
    <w:rsid w:val="00C47ACA"/>
    <w:rsid w:val="00C50734"/>
    <w:rsid w:val="00C536E2"/>
    <w:rsid w:val="00C54195"/>
    <w:rsid w:val="00C5427A"/>
    <w:rsid w:val="00C55120"/>
    <w:rsid w:val="00C56318"/>
    <w:rsid w:val="00C56DF6"/>
    <w:rsid w:val="00C57E27"/>
    <w:rsid w:val="00C61730"/>
    <w:rsid w:val="00C625E7"/>
    <w:rsid w:val="00C6316C"/>
    <w:rsid w:val="00C63317"/>
    <w:rsid w:val="00C63952"/>
    <w:rsid w:val="00C63C38"/>
    <w:rsid w:val="00C640DD"/>
    <w:rsid w:val="00C6465F"/>
    <w:rsid w:val="00C647FD"/>
    <w:rsid w:val="00C64901"/>
    <w:rsid w:val="00C64B04"/>
    <w:rsid w:val="00C655D5"/>
    <w:rsid w:val="00C65A71"/>
    <w:rsid w:val="00C671F9"/>
    <w:rsid w:val="00C70FBB"/>
    <w:rsid w:val="00C70FFB"/>
    <w:rsid w:val="00C739E6"/>
    <w:rsid w:val="00C73DAC"/>
    <w:rsid w:val="00C762E9"/>
    <w:rsid w:val="00C7671F"/>
    <w:rsid w:val="00C8120D"/>
    <w:rsid w:val="00C81515"/>
    <w:rsid w:val="00C81BC5"/>
    <w:rsid w:val="00C8210D"/>
    <w:rsid w:val="00C82660"/>
    <w:rsid w:val="00C83782"/>
    <w:rsid w:val="00C83920"/>
    <w:rsid w:val="00C83B6A"/>
    <w:rsid w:val="00C83E92"/>
    <w:rsid w:val="00C8437E"/>
    <w:rsid w:val="00C844AB"/>
    <w:rsid w:val="00C84642"/>
    <w:rsid w:val="00C851AC"/>
    <w:rsid w:val="00C8547E"/>
    <w:rsid w:val="00C85792"/>
    <w:rsid w:val="00C85970"/>
    <w:rsid w:val="00C85C85"/>
    <w:rsid w:val="00C868F1"/>
    <w:rsid w:val="00C86BE9"/>
    <w:rsid w:val="00C91AC0"/>
    <w:rsid w:val="00C9215D"/>
    <w:rsid w:val="00C93305"/>
    <w:rsid w:val="00C934CF"/>
    <w:rsid w:val="00C967AD"/>
    <w:rsid w:val="00C96AF6"/>
    <w:rsid w:val="00C970E2"/>
    <w:rsid w:val="00CA001E"/>
    <w:rsid w:val="00CA0237"/>
    <w:rsid w:val="00CA052E"/>
    <w:rsid w:val="00CA09F0"/>
    <w:rsid w:val="00CA0C94"/>
    <w:rsid w:val="00CA0D93"/>
    <w:rsid w:val="00CA1348"/>
    <w:rsid w:val="00CA3D14"/>
    <w:rsid w:val="00CA4388"/>
    <w:rsid w:val="00CA5604"/>
    <w:rsid w:val="00CA5828"/>
    <w:rsid w:val="00CA61D1"/>
    <w:rsid w:val="00CA6D7C"/>
    <w:rsid w:val="00CA7287"/>
    <w:rsid w:val="00CA7E80"/>
    <w:rsid w:val="00CB1C0C"/>
    <w:rsid w:val="00CB2E77"/>
    <w:rsid w:val="00CB3599"/>
    <w:rsid w:val="00CB3FC9"/>
    <w:rsid w:val="00CB4269"/>
    <w:rsid w:val="00CB45B1"/>
    <w:rsid w:val="00CB45C1"/>
    <w:rsid w:val="00CB4E9F"/>
    <w:rsid w:val="00CB6EEA"/>
    <w:rsid w:val="00CB7660"/>
    <w:rsid w:val="00CC032B"/>
    <w:rsid w:val="00CC074A"/>
    <w:rsid w:val="00CC0AAF"/>
    <w:rsid w:val="00CC0B9E"/>
    <w:rsid w:val="00CC10B5"/>
    <w:rsid w:val="00CC14EF"/>
    <w:rsid w:val="00CC16EB"/>
    <w:rsid w:val="00CC1F2E"/>
    <w:rsid w:val="00CC376B"/>
    <w:rsid w:val="00CC61B5"/>
    <w:rsid w:val="00CC6BDD"/>
    <w:rsid w:val="00CD16AA"/>
    <w:rsid w:val="00CD25A8"/>
    <w:rsid w:val="00CD2913"/>
    <w:rsid w:val="00CD40AE"/>
    <w:rsid w:val="00CD529C"/>
    <w:rsid w:val="00CD595A"/>
    <w:rsid w:val="00CD5F7F"/>
    <w:rsid w:val="00CD6576"/>
    <w:rsid w:val="00CE02FC"/>
    <w:rsid w:val="00CE0304"/>
    <w:rsid w:val="00CE141E"/>
    <w:rsid w:val="00CE2C33"/>
    <w:rsid w:val="00CE2E0D"/>
    <w:rsid w:val="00CE3C39"/>
    <w:rsid w:val="00CE4066"/>
    <w:rsid w:val="00CE5E58"/>
    <w:rsid w:val="00CE7141"/>
    <w:rsid w:val="00CE715A"/>
    <w:rsid w:val="00CE7376"/>
    <w:rsid w:val="00CE7BDD"/>
    <w:rsid w:val="00CF0834"/>
    <w:rsid w:val="00CF401A"/>
    <w:rsid w:val="00CF653F"/>
    <w:rsid w:val="00D000BD"/>
    <w:rsid w:val="00D00219"/>
    <w:rsid w:val="00D01480"/>
    <w:rsid w:val="00D019A6"/>
    <w:rsid w:val="00D02FAE"/>
    <w:rsid w:val="00D046F5"/>
    <w:rsid w:val="00D04CE8"/>
    <w:rsid w:val="00D05855"/>
    <w:rsid w:val="00D10720"/>
    <w:rsid w:val="00D10FCF"/>
    <w:rsid w:val="00D12B5B"/>
    <w:rsid w:val="00D135B3"/>
    <w:rsid w:val="00D136C9"/>
    <w:rsid w:val="00D142EF"/>
    <w:rsid w:val="00D163B1"/>
    <w:rsid w:val="00D16F3C"/>
    <w:rsid w:val="00D17123"/>
    <w:rsid w:val="00D174CC"/>
    <w:rsid w:val="00D20D67"/>
    <w:rsid w:val="00D21655"/>
    <w:rsid w:val="00D238AD"/>
    <w:rsid w:val="00D24404"/>
    <w:rsid w:val="00D24EA5"/>
    <w:rsid w:val="00D252CD"/>
    <w:rsid w:val="00D258F9"/>
    <w:rsid w:val="00D3075C"/>
    <w:rsid w:val="00D311D3"/>
    <w:rsid w:val="00D31B32"/>
    <w:rsid w:val="00D31B5C"/>
    <w:rsid w:val="00D31CC4"/>
    <w:rsid w:val="00D31D76"/>
    <w:rsid w:val="00D329F1"/>
    <w:rsid w:val="00D33214"/>
    <w:rsid w:val="00D333F0"/>
    <w:rsid w:val="00D334DB"/>
    <w:rsid w:val="00D3357C"/>
    <w:rsid w:val="00D33736"/>
    <w:rsid w:val="00D3385D"/>
    <w:rsid w:val="00D33D43"/>
    <w:rsid w:val="00D34953"/>
    <w:rsid w:val="00D350CB"/>
    <w:rsid w:val="00D371C3"/>
    <w:rsid w:val="00D37233"/>
    <w:rsid w:val="00D37A08"/>
    <w:rsid w:val="00D44DA5"/>
    <w:rsid w:val="00D45367"/>
    <w:rsid w:val="00D45B9C"/>
    <w:rsid w:val="00D47048"/>
    <w:rsid w:val="00D5039D"/>
    <w:rsid w:val="00D50420"/>
    <w:rsid w:val="00D51A78"/>
    <w:rsid w:val="00D53A57"/>
    <w:rsid w:val="00D54DA1"/>
    <w:rsid w:val="00D56762"/>
    <w:rsid w:val="00D57234"/>
    <w:rsid w:val="00D601CE"/>
    <w:rsid w:val="00D6036D"/>
    <w:rsid w:val="00D6175E"/>
    <w:rsid w:val="00D62121"/>
    <w:rsid w:val="00D62226"/>
    <w:rsid w:val="00D638B3"/>
    <w:rsid w:val="00D65A57"/>
    <w:rsid w:val="00D65DFE"/>
    <w:rsid w:val="00D65FCD"/>
    <w:rsid w:val="00D70FE6"/>
    <w:rsid w:val="00D711E1"/>
    <w:rsid w:val="00D7205A"/>
    <w:rsid w:val="00D72384"/>
    <w:rsid w:val="00D727E4"/>
    <w:rsid w:val="00D72F19"/>
    <w:rsid w:val="00D73245"/>
    <w:rsid w:val="00D75542"/>
    <w:rsid w:val="00D75579"/>
    <w:rsid w:val="00D76BF6"/>
    <w:rsid w:val="00D77046"/>
    <w:rsid w:val="00D808BA"/>
    <w:rsid w:val="00D80C4B"/>
    <w:rsid w:val="00D81783"/>
    <w:rsid w:val="00D81EDE"/>
    <w:rsid w:val="00D83462"/>
    <w:rsid w:val="00D84884"/>
    <w:rsid w:val="00D86547"/>
    <w:rsid w:val="00D866BF"/>
    <w:rsid w:val="00D87397"/>
    <w:rsid w:val="00D87409"/>
    <w:rsid w:val="00D910E5"/>
    <w:rsid w:val="00D94921"/>
    <w:rsid w:val="00D95023"/>
    <w:rsid w:val="00D95191"/>
    <w:rsid w:val="00DA1661"/>
    <w:rsid w:val="00DA2736"/>
    <w:rsid w:val="00DA3A9E"/>
    <w:rsid w:val="00DA43CB"/>
    <w:rsid w:val="00DA577A"/>
    <w:rsid w:val="00DA5AA1"/>
    <w:rsid w:val="00DA5DF0"/>
    <w:rsid w:val="00DA60CF"/>
    <w:rsid w:val="00DA66AF"/>
    <w:rsid w:val="00DA66E0"/>
    <w:rsid w:val="00DA6B59"/>
    <w:rsid w:val="00DA6C88"/>
    <w:rsid w:val="00DA6E73"/>
    <w:rsid w:val="00DA7E2C"/>
    <w:rsid w:val="00DB0078"/>
    <w:rsid w:val="00DB0395"/>
    <w:rsid w:val="00DB1D6A"/>
    <w:rsid w:val="00DB35A0"/>
    <w:rsid w:val="00DB3ED5"/>
    <w:rsid w:val="00DB4477"/>
    <w:rsid w:val="00DB4855"/>
    <w:rsid w:val="00DB4B20"/>
    <w:rsid w:val="00DB5A6E"/>
    <w:rsid w:val="00DB613F"/>
    <w:rsid w:val="00DB6BDA"/>
    <w:rsid w:val="00DB6C3B"/>
    <w:rsid w:val="00DC047F"/>
    <w:rsid w:val="00DC119D"/>
    <w:rsid w:val="00DC322F"/>
    <w:rsid w:val="00DC3F71"/>
    <w:rsid w:val="00DC471C"/>
    <w:rsid w:val="00DC5256"/>
    <w:rsid w:val="00DC552F"/>
    <w:rsid w:val="00DC597B"/>
    <w:rsid w:val="00DC5D21"/>
    <w:rsid w:val="00DC78A2"/>
    <w:rsid w:val="00DD02A8"/>
    <w:rsid w:val="00DD1196"/>
    <w:rsid w:val="00DD1CDE"/>
    <w:rsid w:val="00DD1F50"/>
    <w:rsid w:val="00DD2953"/>
    <w:rsid w:val="00DD2E09"/>
    <w:rsid w:val="00DD345D"/>
    <w:rsid w:val="00DD389D"/>
    <w:rsid w:val="00DD6182"/>
    <w:rsid w:val="00DD6729"/>
    <w:rsid w:val="00DD7650"/>
    <w:rsid w:val="00DD7A2B"/>
    <w:rsid w:val="00DD7C74"/>
    <w:rsid w:val="00DE1233"/>
    <w:rsid w:val="00DE255F"/>
    <w:rsid w:val="00DE27AC"/>
    <w:rsid w:val="00DE3975"/>
    <w:rsid w:val="00DE4B18"/>
    <w:rsid w:val="00DE6664"/>
    <w:rsid w:val="00DE6A94"/>
    <w:rsid w:val="00DE7864"/>
    <w:rsid w:val="00DF05E4"/>
    <w:rsid w:val="00DF1124"/>
    <w:rsid w:val="00DF40A1"/>
    <w:rsid w:val="00DF5EAC"/>
    <w:rsid w:val="00DF5EC2"/>
    <w:rsid w:val="00DF609F"/>
    <w:rsid w:val="00DF7451"/>
    <w:rsid w:val="00E007A4"/>
    <w:rsid w:val="00E00A45"/>
    <w:rsid w:val="00E0189A"/>
    <w:rsid w:val="00E01A5A"/>
    <w:rsid w:val="00E01E32"/>
    <w:rsid w:val="00E03115"/>
    <w:rsid w:val="00E03742"/>
    <w:rsid w:val="00E037C3"/>
    <w:rsid w:val="00E0413D"/>
    <w:rsid w:val="00E05778"/>
    <w:rsid w:val="00E0686D"/>
    <w:rsid w:val="00E07235"/>
    <w:rsid w:val="00E10B0C"/>
    <w:rsid w:val="00E10E12"/>
    <w:rsid w:val="00E11D3A"/>
    <w:rsid w:val="00E13241"/>
    <w:rsid w:val="00E137BA"/>
    <w:rsid w:val="00E13F49"/>
    <w:rsid w:val="00E1450E"/>
    <w:rsid w:val="00E14D73"/>
    <w:rsid w:val="00E14F4F"/>
    <w:rsid w:val="00E1674B"/>
    <w:rsid w:val="00E174F8"/>
    <w:rsid w:val="00E20EDD"/>
    <w:rsid w:val="00E2127C"/>
    <w:rsid w:val="00E21655"/>
    <w:rsid w:val="00E220A8"/>
    <w:rsid w:val="00E22A5C"/>
    <w:rsid w:val="00E23602"/>
    <w:rsid w:val="00E239EE"/>
    <w:rsid w:val="00E247EC"/>
    <w:rsid w:val="00E3196E"/>
    <w:rsid w:val="00E33C9F"/>
    <w:rsid w:val="00E3432E"/>
    <w:rsid w:val="00E356FA"/>
    <w:rsid w:val="00E3576B"/>
    <w:rsid w:val="00E35DEE"/>
    <w:rsid w:val="00E36A7D"/>
    <w:rsid w:val="00E37EF9"/>
    <w:rsid w:val="00E401D1"/>
    <w:rsid w:val="00E408FE"/>
    <w:rsid w:val="00E4169B"/>
    <w:rsid w:val="00E4184B"/>
    <w:rsid w:val="00E42CBE"/>
    <w:rsid w:val="00E42DDD"/>
    <w:rsid w:val="00E43439"/>
    <w:rsid w:val="00E4360D"/>
    <w:rsid w:val="00E43A0F"/>
    <w:rsid w:val="00E43E62"/>
    <w:rsid w:val="00E4466F"/>
    <w:rsid w:val="00E449A6"/>
    <w:rsid w:val="00E455BB"/>
    <w:rsid w:val="00E456DB"/>
    <w:rsid w:val="00E462CC"/>
    <w:rsid w:val="00E47499"/>
    <w:rsid w:val="00E47734"/>
    <w:rsid w:val="00E51AE5"/>
    <w:rsid w:val="00E5265C"/>
    <w:rsid w:val="00E52E72"/>
    <w:rsid w:val="00E53037"/>
    <w:rsid w:val="00E5372D"/>
    <w:rsid w:val="00E53B92"/>
    <w:rsid w:val="00E53F9E"/>
    <w:rsid w:val="00E55126"/>
    <w:rsid w:val="00E56AE4"/>
    <w:rsid w:val="00E56E9B"/>
    <w:rsid w:val="00E5772E"/>
    <w:rsid w:val="00E6001D"/>
    <w:rsid w:val="00E60376"/>
    <w:rsid w:val="00E607E6"/>
    <w:rsid w:val="00E60BB1"/>
    <w:rsid w:val="00E6139F"/>
    <w:rsid w:val="00E62B1D"/>
    <w:rsid w:val="00E62B74"/>
    <w:rsid w:val="00E637FB"/>
    <w:rsid w:val="00E63CB8"/>
    <w:rsid w:val="00E6504B"/>
    <w:rsid w:val="00E6622D"/>
    <w:rsid w:val="00E668F0"/>
    <w:rsid w:val="00E66DFF"/>
    <w:rsid w:val="00E705BF"/>
    <w:rsid w:val="00E710D3"/>
    <w:rsid w:val="00E72F9B"/>
    <w:rsid w:val="00E74F08"/>
    <w:rsid w:val="00E77AA2"/>
    <w:rsid w:val="00E77EB0"/>
    <w:rsid w:val="00E823F9"/>
    <w:rsid w:val="00E840CF"/>
    <w:rsid w:val="00E841FE"/>
    <w:rsid w:val="00E8491F"/>
    <w:rsid w:val="00E84C8B"/>
    <w:rsid w:val="00E84E25"/>
    <w:rsid w:val="00E84FC6"/>
    <w:rsid w:val="00E85B3D"/>
    <w:rsid w:val="00E85EF0"/>
    <w:rsid w:val="00E86CDC"/>
    <w:rsid w:val="00E878BE"/>
    <w:rsid w:val="00E90028"/>
    <w:rsid w:val="00E9009B"/>
    <w:rsid w:val="00E90757"/>
    <w:rsid w:val="00E91045"/>
    <w:rsid w:val="00E91733"/>
    <w:rsid w:val="00E928AB"/>
    <w:rsid w:val="00E92D1F"/>
    <w:rsid w:val="00E93145"/>
    <w:rsid w:val="00E93801"/>
    <w:rsid w:val="00E9526E"/>
    <w:rsid w:val="00E955E0"/>
    <w:rsid w:val="00E95C66"/>
    <w:rsid w:val="00E979AB"/>
    <w:rsid w:val="00EA0D67"/>
    <w:rsid w:val="00EA2CAA"/>
    <w:rsid w:val="00EA43FE"/>
    <w:rsid w:val="00EA4B6A"/>
    <w:rsid w:val="00EA524B"/>
    <w:rsid w:val="00EA5406"/>
    <w:rsid w:val="00EA57AA"/>
    <w:rsid w:val="00EA798D"/>
    <w:rsid w:val="00EB0CC9"/>
    <w:rsid w:val="00EB15BA"/>
    <w:rsid w:val="00EB15D1"/>
    <w:rsid w:val="00EB21FA"/>
    <w:rsid w:val="00EB2701"/>
    <w:rsid w:val="00EB2D24"/>
    <w:rsid w:val="00EB4A86"/>
    <w:rsid w:val="00EB6D39"/>
    <w:rsid w:val="00EB700A"/>
    <w:rsid w:val="00EB770D"/>
    <w:rsid w:val="00EB78D0"/>
    <w:rsid w:val="00EC007C"/>
    <w:rsid w:val="00EC0B97"/>
    <w:rsid w:val="00EC0C5E"/>
    <w:rsid w:val="00EC1B2F"/>
    <w:rsid w:val="00EC1E46"/>
    <w:rsid w:val="00EC2AF4"/>
    <w:rsid w:val="00EC2FD3"/>
    <w:rsid w:val="00EC39BC"/>
    <w:rsid w:val="00EC46F9"/>
    <w:rsid w:val="00EC49B1"/>
    <w:rsid w:val="00EC4CDA"/>
    <w:rsid w:val="00EC5111"/>
    <w:rsid w:val="00EC57BA"/>
    <w:rsid w:val="00EC5C2D"/>
    <w:rsid w:val="00EC79C5"/>
    <w:rsid w:val="00ED0389"/>
    <w:rsid w:val="00ED1A83"/>
    <w:rsid w:val="00ED3084"/>
    <w:rsid w:val="00ED37BF"/>
    <w:rsid w:val="00ED3A85"/>
    <w:rsid w:val="00ED5D1C"/>
    <w:rsid w:val="00ED5E73"/>
    <w:rsid w:val="00ED6754"/>
    <w:rsid w:val="00ED6852"/>
    <w:rsid w:val="00ED6C57"/>
    <w:rsid w:val="00ED75F0"/>
    <w:rsid w:val="00ED7B56"/>
    <w:rsid w:val="00EE083B"/>
    <w:rsid w:val="00EE140B"/>
    <w:rsid w:val="00EE1655"/>
    <w:rsid w:val="00EE1FA4"/>
    <w:rsid w:val="00EE356A"/>
    <w:rsid w:val="00EE478A"/>
    <w:rsid w:val="00EE785B"/>
    <w:rsid w:val="00EE7908"/>
    <w:rsid w:val="00EF1925"/>
    <w:rsid w:val="00EF238B"/>
    <w:rsid w:val="00EF2688"/>
    <w:rsid w:val="00EF3D1D"/>
    <w:rsid w:val="00EF425B"/>
    <w:rsid w:val="00EF4BDE"/>
    <w:rsid w:val="00EF4C14"/>
    <w:rsid w:val="00EF74BA"/>
    <w:rsid w:val="00F00B3C"/>
    <w:rsid w:val="00F00CAF"/>
    <w:rsid w:val="00F00E57"/>
    <w:rsid w:val="00F01912"/>
    <w:rsid w:val="00F02419"/>
    <w:rsid w:val="00F025B7"/>
    <w:rsid w:val="00F026B9"/>
    <w:rsid w:val="00F0450C"/>
    <w:rsid w:val="00F06794"/>
    <w:rsid w:val="00F06F7C"/>
    <w:rsid w:val="00F109C0"/>
    <w:rsid w:val="00F1216A"/>
    <w:rsid w:val="00F12965"/>
    <w:rsid w:val="00F129D8"/>
    <w:rsid w:val="00F12A52"/>
    <w:rsid w:val="00F1369E"/>
    <w:rsid w:val="00F14067"/>
    <w:rsid w:val="00F14443"/>
    <w:rsid w:val="00F1523B"/>
    <w:rsid w:val="00F15787"/>
    <w:rsid w:val="00F16B1B"/>
    <w:rsid w:val="00F16B20"/>
    <w:rsid w:val="00F1728F"/>
    <w:rsid w:val="00F174E7"/>
    <w:rsid w:val="00F21E28"/>
    <w:rsid w:val="00F22ADA"/>
    <w:rsid w:val="00F24B62"/>
    <w:rsid w:val="00F25197"/>
    <w:rsid w:val="00F26220"/>
    <w:rsid w:val="00F26CD2"/>
    <w:rsid w:val="00F27F0D"/>
    <w:rsid w:val="00F30713"/>
    <w:rsid w:val="00F31114"/>
    <w:rsid w:val="00F31E95"/>
    <w:rsid w:val="00F34080"/>
    <w:rsid w:val="00F346F8"/>
    <w:rsid w:val="00F348C8"/>
    <w:rsid w:val="00F407F7"/>
    <w:rsid w:val="00F40C69"/>
    <w:rsid w:val="00F41DD7"/>
    <w:rsid w:val="00F41E71"/>
    <w:rsid w:val="00F4200A"/>
    <w:rsid w:val="00F42C6D"/>
    <w:rsid w:val="00F4384A"/>
    <w:rsid w:val="00F441FC"/>
    <w:rsid w:val="00F444BB"/>
    <w:rsid w:val="00F44CC2"/>
    <w:rsid w:val="00F45D01"/>
    <w:rsid w:val="00F474B9"/>
    <w:rsid w:val="00F47C40"/>
    <w:rsid w:val="00F47CA8"/>
    <w:rsid w:val="00F50D04"/>
    <w:rsid w:val="00F52D5E"/>
    <w:rsid w:val="00F5383A"/>
    <w:rsid w:val="00F53B3E"/>
    <w:rsid w:val="00F54527"/>
    <w:rsid w:val="00F5473B"/>
    <w:rsid w:val="00F5714C"/>
    <w:rsid w:val="00F60651"/>
    <w:rsid w:val="00F607BA"/>
    <w:rsid w:val="00F61A13"/>
    <w:rsid w:val="00F62C17"/>
    <w:rsid w:val="00F6418F"/>
    <w:rsid w:val="00F6442E"/>
    <w:rsid w:val="00F6452F"/>
    <w:rsid w:val="00F712AD"/>
    <w:rsid w:val="00F7349B"/>
    <w:rsid w:val="00F73E10"/>
    <w:rsid w:val="00F744F0"/>
    <w:rsid w:val="00F74CAB"/>
    <w:rsid w:val="00F75199"/>
    <w:rsid w:val="00F75449"/>
    <w:rsid w:val="00F76756"/>
    <w:rsid w:val="00F77909"/>
    <w:rsid w:val="00F8053F"/>
    <w:rsid w:val="00F80BC2"/>
    <w:rsid w:val="00F80CD0"/>
    <w:rsid w:val="00F80FB0"/>
    <w:rsid w:val="00F81077"/>
    <w:rsid w:val="00F83566"/>
    <w:rsid w:val="00F84072"/>
    <w:rsid w:val="00F85465"/>
    <w:rsid w:val="00F8572E"/>
    <w:rsid w:val="00F85BCA"/>
    <w:rsid w:val="00F8616F"/>
    <w:rsid w:val="00F87B71"/>
    <w:rsid w:val="00F9017D"/>
    <w:rsid w:val="00F90D79"/>
    <w:rsid w:val="00F910B1"/>
    <w:rsid w:val="00F9308A"/>
    <w:rsid w:val="00F93402"/>
    <w:rsid w:val="00F9342A"/>
    <w:rsid w:val="00F936F6"/>
    <w:rsid w:val="00F96542"/>
    <w:rsid w:val="00F970AA"/>
    <w:rsid w:val="00FA0742"/>
    <w:rsid w:val="00FA1681"/>
    <w:rsid w:val="00FA1FE4"/>
    <w:rsid w:val="00FA2BBD"/>
    <w:rsid w:val="00FA4FAA"/>
    <w:rsid w:val="00FA5306"/>
    <w:rsid w:val="00FA5A0D"/>
    <w:rsid w:val="00FA5BD6"/>
    <w:rsid w:val="00FA5D60"/>
    <w:rsid w:val="00FA6DE4"/>
    <w:rsid w:val="00FA7106"/>
    <w:rsid w:val="00FB0F5B"/>
    <w:rsid w:val="00FB1920"/>
    <w:rsid w:val="00FB286E"/>
    <w:rsid w:val="00FB29E3"/>
    <w:rsid w:val="00FB2AA0"/>
    <w:rsid w:val="00FB2BDF"/>
    <w:rsid w:val="00FB2DAB"/>
    <w:rsid w:val="00FB2F49"/>
    <w:rsid w:val="00FB4D57"/>
    <w:rsid w:val="00FB5EA0"/>
    <w:rsid w:val="00FB62C5"/>
    <w:rsid w:val="00FB65A0"/>
    <w:rsid w:val="00FC0310"/>
    <w:rsid w:val="00FC09E8"/>
    <w:rsid w:val="00FC0DB3"/>
    <w:rsid w:val="00FC136E"/>
    <w:rsid w:val="00FC1595"/>
    <w:rsid w:val="00FC1F3E"/>
    <w:rsid w:val="00FC2396"/>
    <w:rsid w:val="00FC30E3"/>
    <w:rsid w:val="00FC355A"/>
    <w:rsid w:val="00FC37FA"/>
    <w:rsid w:val="00FC3949"/>
    <w:rsid w:val="00FC4D10"/>
    <w:rsid w:val="00FC5ABE"/>
    <w:rsid w:val="00FC5B2C"/>
    <w:rsid w:val="00FC654B"/>
    <w:rsid w:val="00FC6977"/>
    <w:rsid w:val="00FC6A8F"/>
    <w:rsid w:val="00FC6AA4"/>
    <w:rsid w:val="00FC74F6"/>
    <w:rsid w:val="00FC7836"/>
    <w:rsid w:val="00FD257C"/>
    <w:rsid w:val="00FD4200"/>
    <w:rsid w:val="00FD44C1"/>
    <w:rsid w:val="00FD59A9"/>
    <w:rsid w:val="00FD6591"/>
    <w:rsid w:val="00FE014F"/>
    <w:rsid w:val="00FE0348"/>
    <w:rsid w:val="00FE06B4"/>
    <w:rsid w:val="00FE0769"/>
    <w:rsid w:val="00FE0BC7"/>
    <w:rsid w:val="00FE16F2"/>
    <w:rsid w:val="00FE1E8E"/>
    <w:rsid w:val="00FE27FD"/>
    <w:rsid w:val="00FE2C18"/>
    <w:rsid w:val="00FE33C4"/>
    <w:rsid w:val="00FE4B2A"/>
    <w:rsid w:val="00FE5725"/>
    <w:rsid w:val="00FE6223"/>
    <w:rsid w:val="00FE706B"/>
    <w:rsid w:val="00FE75FE"/>
    <w:rsid w:val="00FF06D3"/>
    <w:rsid w:val="00FF0B69"/>
    <w:rsid w:val="00FF1300"/>
    <w:rsid w:val="00FF1B67"/>
    <w:rsid w:val="00FF2B72"/>
    <w:rsid w:val="00FF357A"/>
    <w:rsid w:val="00FF3A3F"/>
    <w:rsid w:val="00FF49F3"/>
    <w:rsid w:val="00FF5A86"/>
    <w:rsid w:val="00FF6A77"/>
    <w:rsid w:val="00FF7F61"/>
    <w:rsid w:val="0126DEB4"/>
    <w:rsid w:val="01415630"/>
    <w:rsid w:val="01650D69"/>
    <w:rsid w:val="01A94B11"/>
    <w:rsid w:val="01C45107"/>
    <w:rsid w:val="01CD352D"/>
    <w:rsid w:val="026F36D7"/>
    <w:rsid w:val="03533BAD"/>
    <w:rsid w:val="035C29B5"/>
    <w:rsid w:val="03D48BF8"/>
    <w:rsid w:val="03FABAA8"/>
    <w:rsid w:val="0432034D"/>
    <w:rsid w:val="047B270F"/>
    <w:rsid w:val="04B9E91C"/>
    <w:rsid w:val="04C6050A"/>
    <w:rsid w:val="052D9A7C"/>
    <w:rsid w:val="0581E9FB"/>
    <w:rsid w:val="0605AFF3"/>
    <w:rsid w:val="067C2991"/>
    <w:rsid w:val="06C766A0"/>
    <w:rsid w:val="06D65764"/>
    <w:rsid w:val="06E18761"/>
    <w:rsid w:val="0774FB9D"/>
    <w:rsid w:val="077C492C"/>
    <w:rsid w:val="07B9A656"/>
    <w:rsid w:val="07E7E841"/>
    <w:rsid w:val="0800BA77"/>
    <w:rsid w:val="0861D8E1"/>
    <w:rsid w:val="08694A79"/>
    <w:rsid w:val="086DEC1D"/>
    <w:rsid w:val="08A1EC65"/>
    <w:rsid w:val="08CC7975"/>
    <w:rsid w:val="08CD5D95"/>
    <w:rsid w:val="08D0C241"/>
    <w:rsid w:val="08E982F1"/>
    <w:rsid w:val="08F094C7"/>
    <w:rsid w:val="08F11C9F"/>
    <w:rsid w:val="092697AB"/>
    <w:rsid w:val="09E37DA8"/>
    <w:rsid w:val="09EF3F70"/>
    <w:rsid w:val="0A55BE03"/>
    <w:rsid w:val="0A6B866C"/>
    <w:rsid w:val="0B054E6C"/>
    <w:rsid w:val="0B111148"/>
    <w:rsid w:val="0B3A3BF5"/>
    <w:rsid w:val="0B73B4CC"/>
    <w:rsid w:val="0B7F0DAC"/>
    <w:rsid w:val="0B8C020D"/>
    <w:rsid w:val="0B8F2CD4"/>
    <w:rsid w:val="0B97C744"/>
    <w:rsid w:val="0BDC4696"/>
    <w:rsid w:val="0C6BBBCB"/>
    <w:rsid w:val="0C706F30"/>
    <w:rsid w:val="0CAF5A01"/>
    <w:rsid w:val="0CB85F6A"/>
    <w:rsid w:val="0CF10383"/>
    <w:rsid w:val="0D1BD841"/>
    <w:rsid w:val="0D938174"/>
    <w:rsid w:val="0DEAF9B9"/>
    <w:rsid w:val="0E081A73"/>
    <w:rsid w:val="0E7D95C9"/>
    <w:rsid w:val="0EA8D8EE"/>
    <w:rsid w:val="0EACD742"/>
    <w:rsid w:val="0F1B74A1"/>
    <w:rsid w:val="0F272C5F"/>
    <w:rsid w:val="0F4EA51E"/>
    <w:rsid w:val="0F596374"/>
    <w:rsid w:val="0F8F50CC"/>
    <w:rsid w:val="0F946397"/>
    <w:rsid w:val="103A29EB"/>
    <w:rsid w:val="106FA74E"/>
    <w:rsid w:val="10EA792A"/>
    <w:rsid w:val="11BB3178"/>
    <w:rsid w:val="120B77AF"/>
    <w:rsid w:val="126A7724"/>
    <w:rsid w:val="12BEBDD6"/>
    <w:rsid w:val="131072E9"/>
    <w:rsid w:val="134FD0AB"/>
    <w:rsid w:val="135E3A17"/>
    <w:rsid w:val="136023CF"/>
    <w:rsid w:val="136BDBC7"/>
    <w:rsid w:val="137F2616"/>
    <w:rsid w:val="13A108ED"/>
    <w:rsid w:val="13B92B88"/>
    <w:rsid w:val="13BDACFA"/>
    <w:rsid w:val="13C33B1E"/>
    <w:rsid w:val="13CF81A1"/>
    <w:rsid w:val="13F9AEC8"/>
    <w:rsid w:val="13FAEA20"/>
    <w:rsid w:val="14A2C3C7"/>
    <w:rsid w:val="14E64272"/>
    <w:rsid w:val="14F761B9"/>
    <w:rsid w:val="150D7B4F"/>
    <w:rsid w:val="15598CB7"/>
    <w:rsid w:val="15605E66"/>
    <w:rsid w:val="1580208D"/>
    <w:rsid w:val="15EB0E47"/>
    <w:rsid w:val="15F65E98"/>
    <w:rsid w:val="165FE892"/>
    <w:rsid w:val="17006963"/>
    <w:rsid w:val="1781B046"/>
    <w:rsid w:val="1853A40C"/>
    <w:rsid w:val="189321AD"/>
    <w:rsid w:val="18A59E77"/>
    <w:rsid w:val="18A85F7D"/>
    <w:rsid w:val="18DEFD12"/>
    <w:rsid w:val="18F12D18"/>
    <w:rsid w:val="18FB5493"/>
    <w:rsid w:val="191640DA"/>
    <w:rsid w:val="1952E1F0"/>
    <w:rsid w:val="19701E79"/>
    <w:rsid w:val="199C1AEA"/>
    <w:rsid w:val="19A4BC0E"/>
    <w:rsid w:val="19DE520D"/>
    <w:rsid w:val="1A51D343"/>
    <w:rsid w:val="1A5DF9B2"/>
    <w:rsid w:val="1A8358CC"/>
    <w:rsid w:val="1AB534F3"/>
    <w:rsid w:val="1AB8C002"/>
    <w:rsid w:val="1AC9CFBB"/>
    <w:rsid w:val="1ACD817D"/>
    <w:rsid w:val="1B10CB68"/>
    <w:rsid w:val="1B3E1ED8"/>
    <w:rsid w:val="1B69D42F"/>
    <w:rsid w:val="1BC7D28B"/>
    <w:rsid w:val="1BCCCB8A"/>
    <w:rsid w:val="1C5294C4"/>
    <w:rsid w:val="1C64D5D3"/>
    <w:rsid w:val="1CBFB0B6"/>
    <w:rsid w:val="1CC6775C"/>
    <w:rsid w:val="1D296A13"/>
    <w:rsid w:val="1D3F105E"/>
    <w:rsid w:val="1D6D8BF2"/>
    <w:rsid w:val="1DBC2307"/>
    <w:rsid w:val="1DDE6DD3"/>
    <w:rsid w:val="1DF0AD4F"/>
    <w:rsid w:val="1E2E8D49"/>
    <w:rsid w:val="1E30ECF2"/>
    <w:rsid w:val="1E3920D5"/>
    <w:rsid w:val="1E8558B9"/>
    <w:rsid w:val="1EA7B9D0"/>
    <w:rsid w:val="1ED834F3"/>
    <w:rsid w:val="1F182B87"/>
    <w:rsid w:val="1F1BBBFB"/>
    <w:rsid w:val="1FCA5219"/>
    <w:rsid w:val="201A9567"/>
    <w:rsid w:val="202E62D4"/>
    <w:rsid w:val="2077C35A"/>
    <w:rsid w:val="207FDDC2"/>
    <w:rsid w:val="2083E286"/>
    <w:rsid w:val="20BBBC20"/>
    <w:rsid w:val="20C13692"/>
    <w:rsid w:val="21362260"/>
    <w:rsid w:val="2158DA48"/>
    <w:rsid w:val="217B55EA"/>
    <w:rsid w:val="21C06176"/>
    <w:rsid w:val="21E46D56"/>
    <w:rsid w:val="21F52AD1"/>
    <w:rsid w:val="222AC71C"/>
    <w:rsid w:val="22403A34"/>
    <w:rsid w:val="22F031B8"/>
    <w:rsid w:val="22FF8142"/>
    <w:rsid w:val="2314D631"/>
    <w:rsid w:val="2324100D"/>
    <w:rsid w:val="23AF7C36"/>
    <w:rsid w:val="23C5EE81"/>
    <w:rsid w:val="23ED6537"/>
    <w:rsid w:val="240C2AAF"/>
    <w:rsid w:val="241B5948"/>
    <w:rsid w:val="246FA27A"/>
    <w:rsid w:val="24AEF590"/>
    <w:rsid w:val="24C8BEE0"/>
    <w:rsid w:val="258E276D"/>
    <w:rsid w:val="259F4F55"/>
    <w:rsid w:val="25B74CB8"/>
    <w:rsid w:val="25B99415"/>
    <w:rsid w:val="25DF08AF"/>
    <w:rsid w:val="25F708C7"/>
    <w:rsid w:val="26205C87"/>
    <w:rsid w:val="262378FB"/>
    <w:rsid w:val="2667249D"/>
    <w:rsid w:val="26738B71"/>
    <w:rsid w:val="267AB8F4"/>
    <w:rsid w:val="2698A4FB"/>
    <w:rsid w:val="26992992"/>
    <w:rsid w:val="26BA2025"/>
    <w:rsid w:val="26CF5F8E"/>
    <w:rsid w:val="2712FDDE"/>
    <w:rsid w:val="27318BFB"/>
    <w:rsid w:val="2737BD46"/>
    <w:rsid w:val="27E86303"/>
    <w:rsid w:val="284028C7"/>
    <w:rsid w:val="285E4189"/>
    <w:rsid w:val="29374F39"/>
    <w:rsid w:val="2983A381"/>
    <w:rsid w:val="29DC0008"/>
    <w:rsid w:val="29EA6A2A"/>
    <w:rsid w:val="2A53FB9B"/>
    <w:rsid w:val="2A56956E"/>
    <w:rsid w:val="2A62D0D8"/>
    <w:rsid w:val="2A854D8B"/>
    <w:rsid w:val="2B010422"/>
    <w:rsid w:val="2B4D2F80"/>
    <w:rsid w:val="2BAF239E"/>
    <w:rsid w:val="2BC4BC83"/>
    <w:rsid w:val="2BCBAD1F"/>
    <w:rsid w:val="2C15DE08"/>
    <w:rsid w:val="2C3EA665"/>
    <w:rsid w:val="2CC88137"/>
    <w:rsid w:val="2CCB931C"/>
    <w:rsid w:val="2D069F90"/>
    <w:rsid w:val="2D4A05AF"/>
    <w:rsid w:val="2D7B3111"/>
    <w:rsid w:val="2D9AB0FD"/>
    <w:rsid w:val="2DF81B46"/>
    <w:rsid w:val="2E091741"/>
    <w:rsid w:val="2E49BB23"/>
    <w:rsid w:val="2E91446F"/>
    <w:rsid w:val="2EC5797C"/>
    <w:rsid w:val="2ED17901"/>
    <w:rsid w:val="2F297188"/>
    <w:rsid w:val="2FBF53F3"/>
    <w:rsid w:val="302CD07B"/>
    <w:rsid w:val="30BB6185"/>
    <w:rsid w:val="318DE24B"/>
    <w:rsid w:val="31EAA4AA"/>
    <w:rsid w:val="320C9F04"/>
    <w:rsid w:val="3229CF9F"/>
    <w:rsid w:val="3235665E"/>
    <w:rsid w:val="3266E8CF"/>
    <w:rsid w:val="32960571"/>
    <w:rsid w:val="32C94BE0"/>
    <w:rsid w:val="32CC3510"/>
    <w:rsid w:val="32EE6876"/>
    <w:rsid w:val="32F228A7"/>
    <w:rsid w:val="32F3412A"/>
    <w:rsid w:val="33425BAE"/>
    <w:rsid w:val="3354E0C8"/>
    <w:rsid w:val="335BC2D6"/>
    <w:rsid w:val="3364F134"/>
    <w:rsid w:val="338F7070"/>
    <w:rsid w:val="33D92440"/>
    <w:rsid w:val="33DDD01C"/>
    <w:rsid w:val="3411CC32"/>
    <w:rsid w:val="347D58E2"/>
    <w:rsid w:val="34B962F3"/>
    <w:rsid w:val="35227C3A"/>
    <w:rsid w:val="3630A710"/>
    <w:rsid w:val="366C422D"/>
    <w:rsid w:val="36AA2C6D"/>
    <w:rsid w:val="36B0E796"/>
    <w:rsid w:val="36C9832F"/>
    <w:rsid w:val="36DE7D55"/>
    <w:rsid w:val="37194E4E"/>
    <w:rsid w:val="3733B4D3"/>
    <w:rsid w:val="3790D16B"/>
    <w:rsid w:val="37CDECF9"/>
    <w:rsid w:val="37D1FFBC"/>
    <w:rsid w:val="3816ED86"/>
    <w:rsid w:val="3825B4FC"/>
    <w:rsid w:val="3857CF15"/>
    <w:rsid w:val="3877CF6D"/>
    <w:rsid w:val="387DF3E9"/>
    <w:rsid w:val="389276B4"/>
    <w:rsid w:val="3932AC28"/>
    <w:rsid w:val="395429EB"/>
    <w:rsid w:val="3963A243"/>
    <w:rsid w:val="397FE233"/>
    <w:rsid w:val="3A0EF125"/>
    <w:rsid w:val="3A2096B5"/>
    <w:rsid w:val="3A4BB8D6"/>
    <w:rsid w:val="3AA80A36"/>
    <w:rsid w:val="3AAA0DE4"/>
    <w:rsid w:val="3AB350C0"/>
    <w:rsid w:val="3B306554"/>
    <w:rsid w:val="3B6B6C38"/>
    <w:rsid w:val="3B7BB89B"/>
    <w:rsid w:val="3B85A2A5"/>
    <w:rsid w:val="3B897584"/>
    <w:rsid w:val="3B9EEE07"/>
    <w:rsid w:val="3BDDD532"/>
    <w:rsid w:val="3BF31EFB"/>
    <w:rsid w:val="3BF71092"/>
    <w:rsid w:val="3BF89900"/>
    <w:rsid w:val="3C81579E"/>
    <w:rsid w:val="3CA8815D"/>
    <w:rsid w:val="3D20291A"/>
    <w:rsid w:val="3D3C84C2"/>
    <w:rsid w:val="3D618E97"/>
    <w:rsid w:val="3D8F01DD"/>
    <w:rsid w:val="3DD3FADE"/>
    <w:rsid w:val="3DD41C54"/>
    <w:rsid w:val="3DD878D7"/>
    <w:rsid w:val="3DE83530"/>
    <w:rsid w:val="3E2EB361"/>
    <w:rsid w:val="3E5D18C4"/>
    <w:rsid w:val="3E60DDA7"/>
    <w:rsid w:val="3E914CF2"/>
    <w:rsid w:val="3F205AE2"/>
    <w:rsid w:val="3F6609D5"/>
    <w:rsid w:val="3F6CFB7F"/>
    <w:rsid w:val="400243D8"/>
    <w:rsid w:val="40ABDB0B"/>
    <w:rsid w:val="417EBD9E"/>
    <w:rsid w:val="41CA41FA"/>
    <w:rsid w:val="41CD00A0"/>
    <w:rsid w:val="421177B6"/>
    <w:rsid w:val="42546FF7"/>
    <w:rsid w:val="425A58D2"/>
    <w:rsid w:val="42E75D30"/>
    <w:rsid w:val="42EEC16D"/>
    <w:rsid w:val="4304EE3A"/>
    <w:rsid w:val="436ED558"/>
    <w:rsid w:val="43AFF1F6"/>
    <w:rsid w:val="43B44F32"/>
    <w:rsid w:val="43E907A7"/>
    <w:rsid w:val="44310228"/>
    <w:rsid w:val="45BB5696"/>
    <w:rsid w:val="45CF1E8C"/>
    <w:rsid w:val="460BB386"/>
    <w:rsid w:val="463E4716"/>
    <w:rsid w:val="46522EC1"/>
    <w:rsid w:val="46688790"/>
    <w:rsid w:val="46E8E048"/>
    <w:rsid w:val="472A753D"/>
    <w:rsid w:val="47506CB7"/>
    <w:rsid w:val="478AFF57"/>
    <w:rsid w:val="47D216E1"/>
    <w:rsid w:val="47D2CF9F"/>
    <w:rsid w:val="47E1AACC"/>
    <w:rsid w:val="484A6FFE"/>
    <w:rsid w:val="48C1E923"/>
    <w:rsid w:val="490BCEF0"/>
    <w:rsid w:val="4930D09E"/>
    <w:rsid w:val="49BF5583"/>
    <w:rsid w:val="49DE9DAE"/>
    <w:rsid w:val="49E533E9"/>
    <w:rsid w:val="4AD946B8"/>
    <w:rsid w:val="4AF9D7E0"/>
    <w:rsid w:val="4B63E172"/>
    <w:rsid w:val="4B7E8AC6"/>
    <w:rsid w:val="4B881A9F"/>
    <w:rsid w:val="4C59F309"/>
    <w:rsid w:val="4C814569"/>
    <w:rsid w:val="4C9E6B3B"/>
    <w:rsid w:val="4CB879AA"/>
    <w:rsid w:val="4CBEF40A"/>
    <w:rsid w:val="4D6A338C"/>
    <w:rsid w:val="4D83E0BA"/>
    <w:rsid w:val="4DD9F425"/>
    <w:rsid w:val="4E50B1BB"/>
    <w:rsid w:val="4E5512DE"/>
    <w:rsid w:val="4E81D354"/>
    <w:rsid w:val="4E948551"/>
    <w:rsid w:val="4ED6BD98"/>
    <w:rsid w:val="4EF188D8"/>
    <w:rsid w:val="4F028B9C"/>
    <w:rsid w:val="4F19E330"/>
    <w:rsid w:val="4F4465A3"/>
    <w:rsid w:val="4FA2251A"/>
    <w:rsid w:val="4FC9A175"/>
    <w:rsid w:val="501DA8A5"/>
    <w:rsid w:val="503E2A05"/>
    <w:rsid w:val="506DF43C"/>
    <w:rsid w:val="516B05DE"/>
    <w:rsid w:val="5172BC5A"/>
    <w:rsid w:val="51853F79"/>
    <w:rsid w:val="52253B9E"/>
    <w:rsid w:val="525450CB"/>
    <w:rsid w:val="52603BFF"/>
    <w:rsid w:val="52717078"/>
    <w:rsid w:val="52750A0D"/>
    <w:rsid w:val="52828CFC"/>
    <w:rsid w:val="52A43C64"/>
    <w:rsid w:val="52C6780D"/>
    <w:rsid w:val="52CD772C"/>
    <w:rsid w:val="52EA2752"/>
    <w:rsid w:val="52F5DFB3"/>
    <w:rsid w:val="5340789A"/>
    <w:rsid w:val="53CAD64A"/>
    <w:rsid w:val="53F2AFA4"/>
    <w:rsid w:val="54655BCD"/>
    <w:rsid w:val="547B3D52"/>
    <w:rsid w:val="5494B6D4"/>
    <w:rsid w:val="553B2BDE"/>
    <w:rsid w:val="555B5382"/>
    <w:rsid w:val="55815C4F"/>
    <w:rsid w:val="55A854D0"/>
    <w:rsid w:val="563BEC81"/>
    <w:rsid w:val="5683B1B0"/>
    <w:rsid w:val="570FBC52"/>
    <w:rsid w:val="57386994"/>
    <w:rsid w:val="57B8B6BB"/>
    <w:rsid w:val="57C9D6EA"/>
    <w:rsid w:val="5826076E"/>
    <w:rsid w:val="5839FCE9"/>
    <w:rsid w:val="585CD57F"/>
    <w:rsid w:val="590FDE64"/>
    <w:rsid w:val="59328D1C"/>
    <w:rsid w:val="5942270C"/>
    <w:rsid w:val="597C8723"/>
    <w:rsid w:val="59ACD56A"/>
    <w:rsid w:val="59D36002"/>
    <w:rsid w:val="5A0070A3"/>
    <w:rsid w:val="5A050294"/>
    <w:rsid w:val="5A136129"/>
    <w:rsid w:val="5A3E149C"/>
    <w:rsid w:val="5AB81C01"/>
    <w:rsid w:val="5B1442A5"/>
    <w:rsid w:val="5B28AE18"/>
    <w:rsid w:val="5B60E709"/>
    <w:rsid w:val="5B6D61C5"/>
    <w:rsid w:val="5B73D9DD"/>
    <w:rsid w:val="5B9665E9"/>
    <w:rsid w:val="5B9FBBA9"/>
    <w:rsid w:val="5BB0F02C"/>
    <w:rsid w:val="5BB8F817"/>
    <w:rsid w:val="5BC5E59D"/>
    <w:rsid w:val="5BD9B86E"/>
    <w:rsid w:val="5BE7F2B3"/>
    <w:rsid w:val="5C20DC02"/>
    <w:rsid w:val="5CA1B5A5"/>
    <w:rsid w:val="5D08C379"/>
    <w:rsid w:val="5D10D530"/>
    <w:rsid w:val="5D1B6ED5"/>
    <w:rsid w:val="5D91D72A"/>
    <w:rsid w:val="5DB02235"/>
    <w:rsid w:val="5DB143D1"/>
    <w:rsid w:val="5DB31DF5"/>
    <w:rsid w:val="5E533724"/>
    <w:rsid w:val="5E5E463B"/>
    <w:rsid w:val="5E7B51F6"/>
    <w:rsid w:val="5E8610A7"/>
    <w:rsid w:val="5EB06C9B"/>
    <w:rsid w:val="5EC1D93A"/>
    <w:rsid w:val="5EF57AE7"/>
    <w:rsid w:val="5F661BC3"/>
    <w:rsid w:val="5F798CF9"/>
    <w:rsid w:val="5FF614A3"/>
    <w:rsid w:val="600A8868"/>
    <w:rsid w:val="6085C1C7"/>
    <w:rsid w:val="60C06B52"/>
    <w:rsid w:val="60D3592C"/>
    <w:rsid w:val="6189F34C"/>
    <w:rsid w:val="61D5F2D9"/>
    <w:rsid w:val="623A6C49"/>
    <w:rsid w:val="62BD7DEF"/>
    <w:rsid w:val="62C1948C"/>
    <w:rsid w:val="62E99846"/>
    <w:rsid w:val="6359777C"/>
    <w:rsid w:val="63BA8ED8"/>
    <w:rsid w:val="6474AF9F"/>
    <w:rsid w:val="64F18937"/>
    <w:rsid w:val="6584948B"/>
    <w:rsid w:val="660C7C80"/>
    <w:rsid w:val="6615E690"/>
    <w:rsid w:val="665B2C35"/>
    <w:rsid w:val="6666A757"/>
    <w:rsid w:val="66682609"/>
    <w:rsid w:val="66859992"/>
    <w:rsid w:val="66A6929F"/>
    <w:rsid w:val="66FDBD1F"/>
    <w:rsid w:val="670EAD48"/>
    <w:rsid w:val="67386927"/>
    <w:rsid w:val="677B7E01"/>
    <w:rsid w:val="67D6E220"/>
    <w:rsid w:val="67E0A333"/>
    <w:rsid w:val="67E43E5F"/>
    <w:rsid w:val="682534EC"/>
    <w:rsid w:val="684989DC"/>
    <w:rsid w:val="685F2180"/>
    <w:rsid w:val="68A0268C"/>
    <w:rsid w:val="68E1FCD3"/>
    <w:rsid w:val="6907C074"/>
    <w:rsid w:val="6929C3B9"/>
    <w:rsid w:val="69AC4D15"/>
    <w:rsid w:val="69F835BC"/>
    <w:rsid w:val="6A1AFB90"/>
    <w:rsid w:val="6A342D08"/>
    <w:rsid w:val="6A86A119"/>
    <w:rsid w:val="6AAC5373"/>
    <w:rsid w:val="6B0C57D3"/>
    <w:rsid w:val="6B18CC2D"/>
    <w:rsid w:val="6BB28791"/>
    <w:rsid w:val="6BDDEE38"/>
    <w:rsid w:val="6BEE0238"/>
    <w:rsid w:val="6C55D684"/>
    <w:rsid w:val="6CE2653B"/>
    <w:rsid w:val="6D2F2325"/>
    <w:rsid w:val="6D3A392F"/>
    <w:rsid w:val="6D4E8CF2"/>
    <w:rsid w:val="6D7B7DD1"/>
    <w:rsid w:val="6D8937B4"/>
    <w:rsid w:val="6DC99058"/>
    <w:rsid w:val="6DE348B0"/>
    <w:rsid w:val="6DE44BFA"/>
    <w:rsid w:val="6DEDE15D"/>
    <w:rsid w:val="6DF2C71A"/>
    <w:rsid w:val="6E0E7039"/>
    <w:rsid w:val="6E4D5490"/>
    <w:rsid w:val="6E528D32"/>
    <w:rsid w:val="6E67EF5F"/>
    <w:rsid w:val="6E940E34"/>
    <w:rsid w:val="6EC1F584"/>
    <w:rsid w:val="6F047139"/>
    <w:rsid w:val="6F1BCDB5"/>
    <w:rsid w:val="6F6C93A7"/>
    <w:rsid w:val="6FAEEB2C"/>
    <w:rsid w:val="6FDA552B"/>
    <w:rsid w:val="6FDA6F5C"/>
    <w:rsid w:val="6FE92C45"/>
    <w:rsid w:val="6FEDDD3C"/>
    <w:rsid w:val="70217F87"/>
    <w:rsid w:val="7024B4F4"/>
    <w:rsid w:val="70B400C0"/>
    <w:rsid w:val="70D29483"/>
    <w:rsid w:val="70E52E1C"/>
    <w:rsid w:val="710DEDB5"/>
    <w:rsid w:val="71304029"/>
    <w:rsid w:val="71363BBD"/>
    <w:rsid w:val="71A53AAE"/>
    <w:rsid w:val="71BF2D2D"/>
    <w:rsid w:val="71DD00AE"/>
    <w:rsid w:val="71E3B81F"/>
    <w:rsid w:val="7233DF02"/>
    <w:rsid w:val="725A65CD"/>
    <w:rsid w:val="7288B058"/>
    <w:rsid w:val="731C19DF"/>
    <w:rsid w:val="73AA964A"/>
    <w:rsid w:val="73AEEAF8"/>
    <w:rsid w:val="73B1D547"/>
    <w:rsid w:val="73B91DDE"/>
    <w:rsid w:val="73E6BF3F"/>
    <w:rsid w:val="73E6EFC8"/>
    <w:rsid w:val="74019027"/>
    <w:rsid w:val="74026A1F"/>
    <w:rsid w:val="7416D437"/>
    <w:rsid w:val="74607503"/>
    <w:rsid w:val="74762D05"/>
    <w:rsid w:val="747737AD"/>
    <w:rsid w:val="74942D18"/>
    <w:rsid w:val="74D488A2"/>
    <w:rsid w:val="74EE1C71"/>
    <w:rsid w:val="751225BC"/>
    <w:rsid w:val="756EDF1E"/>
    <w:rsid w:val="75C8ACA7"/>
    <w:rsid w:val="75CCA480"/>
    <w:rsid w:val="76546078"/>
    <w:rsid w:val="76763047"/>
    <w:rsid w:val="768D91D5"/>
    <w:rsid w:val="76A2692D"/>
    <w:rsid w:val="76D20864"/>
    <w:rsid w:val="76FDFC9C"/>
    <w:rsid w:val="7700F0D8"/>
    <w:rsid w:val="775DF9DE"/>
    <w:rsid w:val="7778DFF3"/>
    <w:rsid w:val="7847D8F8"/>
    <w:rsid w:val="78896E9F"/>
    <w:rsid w:val="78DA0A47"/>
    <w:rsid w:val="79181B8C"/>
    <w:rsid w:val="79E1CAA9"/>
    <w:rsid w:val="7A5A5A19"/>
    <w:rsid w:val="7A75DAA8"/>
    <w:rsid w:val="7AAE46AC"/>
    <w:rsid w:val="7ABC4E8C"/>
    <w:rsid w:val="7AE7A8B1"/>
    <w:rsid w:val="7B24CF0F"/>
    <w:rsid w:val="7B4EDB38"/>
    <w:rsid w:val="7B815F10"/>
    <w:rsid w:val="7B9AD572"/>
    <w:rsid w:val="7BC5C28E"/>
    <w:rsid w:val="7BD7101D"/>
    <w:rsid w:val="7C1E647B"/>
    <w:rsid w:val="7C213D9D"/>
    <w:rsid w:val="7C716208"/>
    <w:rsid w:val="7CDB03F1"/>
    <w:rsid w:val="7D40B281"/>
    <w:rsid w:val="7D806C8A"/>
    <w:rsid w:val="7D821E50"/>
    <w:rsid w:val="7D9D47DD"/>
    <w:rsid w:val="7DECF4AF"/>
    <w:rsid w:val="7E120F71"/>
    <w:rsid w:val="7E370CDF"/>
    <w:rsid w:val="7EC3607A"/>
    <w:rsid w:val="7EC9A7FF"/>
    <w:rsid w:val="7EE0B846"/>
    <w:rsid w:val="7F3A414D"/>
    <w:rsid w:val="7F3BA9A9"/>
    <w:rsid w:val="7F4966FC"/>
    <w:rsid w:val="7F55DDD5"/>
    <w:rsid w:val="7F5C19E0"/>
    <w:rsid w:val="7F72206E"/>
    <w:rsid w:val="7FB0E7DB"/>
    <w:rsid w:val="7FF080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65222A48-D2AF-468A-AC12-027E2744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0F84"/>
    <w:rPr>
      <w:sz w:val="16"/>
      <w:szCs w:val="16"/>
    </w:rPr>
  </w:style>
  <w:style w:type="paragraph" w:styleId="CommentText">
    <w:name w:val="annotation text"/>
    <w:basedOn w:val="Normal"/>
    <w:link w:val="CommentTextChar"/>
    <w:uiPriority w:val="99"/>
    <w:unhideWhenUsed/>
    <w:rsid w:val="00390F84"/>
    <w:rPr>
      <w:sz w:val="20"/>
      <w:szCs w:val="20"/>
    </w:rPr>
  </w:style>
  <w:style w:type="character" w:customStyle="1" w:styleId="CommentTextChar">
    <w:name w:val="Comment Text Char"/>
    <w:basedOn w:val="DefaultParagraphFont"/>
    <w:link w:val="CommentText"/>
    <w:uiPriority w:val="99"/>
    <w:rsid w:val="00390F84"/>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F84"/>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C86BE9"/>
    <w:rPr>
      <w:b/>
      <w:bCs/>
    </w:rPr>
  </w:style>
  <w:style w:type="character" w:customStyle="1" w:styleId="CommentSubjectChar">
    <w:name w:val="Comment Subject Char"/>
    <w:basedOn w:val="CommentTextChar"/>
    <w:link w:val="CommentSubject"/>
    <w:uiPriority w:val="99"/>
    <w:semiHidden/>
    <w:rsid w:val="00C86BE9"/>
    <w:rPr>
      <w:rFonts w:ascii="Times New Roman" w:hAnsi="Times New Roman" w:cs="Times New Roman"/>
      <w:b/>
      <w:bCs/>
      <w:sz w:val="20"/>
      <w:szCs w:val="20"/>
      <w:lang w:val="en-GB"/>
    </w:rPr>
  </w:style>
  <w:style w:type="paragraph" w:styleId="ListBullet">
    <w:name w:val="List Bullet"/>
    <w:basedOn w:val="Normal"/>
    <w:uiPriority w:val="99"/>
    <w:semiHidden/>
    <w:unhideWhenUsed/>
    <w:rsid w:val="00C934CF"/>
    <w:pPr>
      <w:numPr>
        <w:numId w:val="1"/>
      </w:numPr>
      <w:contextualSpacing/>
    </w:pPr>
  </w:style>
  <w:style w:type="paragraph" w:styleId="ListBullet2">
    <w:name w:val="List Bullet 2"/>
    <w:basedOn w:val="Normal"/>
    <w:uiPriority w:val="99"/>
    <w:semiHidden/>
    <w:unhideWhenUsed/>
    <w:rsid w:val="00C934CF"/>
    <w:pPr>
      <w:numPr>
        <w:numId w:val="2"/>
      </w:numPr>
      <w:contextualSpacing/>
    </w:pPr>
  </w:style>
  <w:style w:type="paragraph" w:styleId="ListBullet3">
    <w:name w:val="List Bullet 3"/>
    <w:basedOn w:val="Normal"/>
    <w:uiPriority w:val="99"/>
    <w:semiHidden/>
    <w:unhideWhenUsed/>
    <w:rsid w:val="00C934CF"/>
    <w:pPr>
      <w:numPr>
        <w:numId w:val="3"/>
      </w:numPr>
      <w:contextualSpacing/>
    </w:pPr>
  </w:style>
  <w:style w:type="paragraph" w:styleId="ListBullet4">
    <w:name w:val="List Bullet 4"/>
    <w:basedOn w:val="Normal"/>
    <w:uiPriority w:val="99"/>
    <w:semiHidden/>
    <w:unhideWhenUsed/>
    <w:rsid w:val="00C934CF"/>
    <w:pPr>
      <w:numPr>
        <w:numId w:val="4"/>
      </w:numPr>
      <w:contextualSpacing/>
    </w:pPr>
  </w:style>
  <w:style w:type="paragraph" w:styleId="Caption">
    <w:name w:val="caption"/>
    <w:basedOn w:val="Normal"/>
    <w:next w:val="Normal"/>
    <w:uiPriority w:val="35"/>
    <w:semiHidden/>
    <w:unhideWhenUsed/>
    <w:qFormat/>
    <w:rsid w:val="000E1A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E1A84"/>
    <w:pPr>
      <w:spacing w:after="0"/>
    </w:pPr>
  </w:style>
  <w:style w:type="paragraph" w:styleId="ListNumber">
    <w:name w:val="List Number"/>
    <w:basedOn w:val="Normal"/>
    <w:uiPriority w:val="99"/>
    <w:semiHidden/>
    <w:unhideWhenUsed/>
    <w:rsid w:val="000E1A84"/>
    <w:pPr>
      <w:numPr>
        <w:numId w:val="5"/>
      </w:numPr>
      <w:contextualSpacing/>
    </w:pPr>
  </w:style>
  <w:style w:type="paragraph" w:styleId="ListNumber2">
    <w:name w:val="List Number 2"/>
    <w:basedOn w:val="Normal"/>
    <w:uiPriority w:val="99"/>
    <w:semiHidden/>
    <w:unhideWhenUsed/>
    <w:rsid w:val="000E1A84"/>
    <w:pPr>
      <w:numPr>
        <w:numId w:val="6"/>
      </w:numPr>
      <w:contextualSpacing/>
    </w:pPr>
  </w:style>
  <w:style w:type="paragraph" w:styleId="ListNumber3">
    <w:name w:val="List Number 3"/>
    <w:basedOn w:val="Normal"/>
    <w:uiPriority w:val="99"/>
    <w:semiHidden/>
    <w:unhideWhenUsed/>
    <w:rsid w:val="000E1A84"/>
    <w:pPr>
      <w:numPr>
        <w:numId w:val="7"/>
      </w:numPr>
      <w:contextualSpacing/>
    </w:pPr>
  </w:style>
  <w:style w:type="paragraph" w:styleId="ListNumber4">
    <w:name w:val="List Number 4"/>
    <w:basedOn w:val="Normal"/>
    <w:uiPriority w:val="99"/>
    <w:semiHidden/>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en-GB"/>
    </w:rPr>
  </w:style>
  <w:style w:type="paragraph" w:customStyle="1" w:styleId="oj-normal">
    <w:name w:val="oj-normal"/>
    <w:basedOn w:val="Normal"/>
    <w:rsid w:val="00A74432"/>
    <w:pPr>
      <w:spacing w:before="100" w:beforeAutospacing="1" w:after="100" w:afterAutospacing="1"/>
      <w:jc w:val="left"/>
    </w:pPr>
    <w:rPr>
      <w:rFonts w:eastAsia="Times New Roman"/>
      <w:szCs w:val="24"/>
      <w:lang w:val="en-IE"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uiPriority w:val="20"/>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pf0">
    <w:name w:val="pf0"/>
    <w:basedOn w:val="Normal"/>
    <w:rsid w:val="007F6CF8"/>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7F6CF8"/>
    <w:rPr>
      <w:rFonts w:ascii="Segoe UI" w:hAnsi="Segoe UI" w:cs="Segoe UI" w:hint="default"/>
      <w:i/>
      <w:iCs/>
      <w:sz w:val="18"/>
      <w:szCs w:val="18"/>
    </w:rPr>
  </w:style>
  <w:style w:type="character" w:customStyle="1" w:styleId="cf11">
    <w:name w:val="cf11"/>
    <w:basedOn w:val="DefaultParagraphFont"/>
    <w:rsid w:val="007F6CF8"/>
    <w:rPr>
      <w:rFonts w:ascii="Segoe UI" w:hAnsi="Segoe UI" w:cs="Segoe UI" w:hint="default"/>
      <w:i/>
      <w:iCs/>
      <w:sz w:val="18"/>
      <w:szCs w:val="18"/>
      <w:u w:val="single"/>
    </w:rPr>
  </w:style>
  <w:style w:type="character" w:customStyle="1" w:styleId="HeaderChar">
    <w:name w:val="Header Char"/>
    <w:basedOn w:val="DefaultParagraphFont"/>
    <w:link w:val="Header"/>
    <w:uiPriority w:val="99"/>
    <w:rsid w:val="007A0201"/>
    <w:rPr>
      <w:rFonts w:ascii="Times New Roman" w:hAnsi="Times New Roman" w:cs="Times New Roman"/>
      <w:sz w:val="24"/>
      <w:lang w:val="en-GB"/>
    </w:rPr>
  </w:style>
  <w:style w:type="character" w:customStyle="1" w:styleId="FooterChar">
    <w:name w:val="Footer Char"/>
    <w:basedOn w:val="DefaultParagraphFont"/>
    <w:link w:val="Footer"/>
    <w:uiPriority w:val="99"/>
    <w:rsid w:val="007A020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A020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A0201"/>
    <w:pPr>
      <w:spacing w:before="0"/>
      <w:jc w:val="right"/>
    </w:pPr>
    <w:rPr>
      <w:sz w:val="28"/>
    </w:rPr>
  </w:style>
  <w:style w:type="paragraph" w:customStyle="1" w:styleId="FooterSensitivity">
    <w:name w:val="Footer Sensitivity"/>
    <w:basedOn w:val="Normal"/>
    <w:rsid w:val="007A020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A0201"/>
    <w:pPr>
      <w:tabs>
        <w:tab w:val="center" w:pos="4535"/>
        <w:tab w:val="right" w:pos="9071"/>
      </w:tabs>
      <w:spacing w:before="0"/>
    </w:pPr>
  </w:style>
  <w:style w:type="paragraph" w:customStyle="1" w:styleId="HeaderLandscape">
    <w:name w:val="HeaderLandscape"/>
    <w:basedOn w:val="Normal"/>
    <w:rsid w:val="007A0201"/>
    <w:pPr>
      <w:tabs>
        <w:tab w:val="center" w:pos="7285"/>
        <w:tab w:val="right" w:pos="14003"/>
      </w:tabs>
      <w:spacing w:before="0"/>
    </w:pPr>
  </w:style>
  <w:style w:type="paragraph" w:styleId="Footer">
    <w:name w:val="footer"/>
    <w:basedOn w:val="Normal"/>
    <w:link w:val="FooterChar"/>
    <w:uiPriority w:val="99"/>
    <w:unhideWhenUsed/>
    <w:rsid w:val="007A020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A020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095">
      <w:bodyDiv w:val="1"/>
      <w:marLeft w:val="0"/>
      <w:marRight w:val="0"/>
      <w:marTop w:val="0"/>
      <w:marBottom w:val="0"/>
      <w:divBdr>
        <w:top w:val="none" w:sz="0" w:space="0" w:color="auto"/>
        <w:left w:val="none" w:sz="0" w:space="0" w:color="auto"/>
        <w:bottom w:val="none" w:sz="0" w:space="0" w:color="auto"/>
        <w:right w:val="none" w:sz="0" w:space="0" w:color="auto"/>
      </w:divBdr>
    </w:div>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562639303">
      <w:bodyDiv w:val="1"/>
      <w:marLeft w:val="0"/>
      <w:marRight w:val="0"/>
      <w:marTop w:val="0"/>
      <w:marBottom w:val="0"/>
      <w:divBdr>
        <w:top w:val="none" w:sz="0" w:space="0" w:color="auto"/>
        <w:left w:val="none" w:sz="0" w:space="0" w:color="auto"/>
        <w:bottom w:val="none" w:sz="0" w:space="0" w:color="auto"/>
        <w:right w:val="none" w:sz="0" w:space="0" w:color="auto"/>
      </w:divBdr>
    </w:div>
    <w:div w:id="576285290">
      <w:bodyDiv w:val="1"/>
      <w:marLeft w:val="0"/>
      <w:marRight w:val="0"/>
      <w:marTop w:val="0"/>
      <w:marBottom w:val="0"/>
      <w:divBdr>
        <w:top w:val="none" w:sz="0" w:space="0" w:color="auto"/>
        <w:left w:val="none" w:sz="0" w:space="0" w:color="auto"/>
        <w:bottom w:val="none" w:sz="0" w:space="0" w:color="auto"/>
        <w:right w:val="none" w:sz="0" w:space="0" w:color="auto"/>
      </w:divBdr>
    </w:div>
    <w:div w:id="817261186">
      <w:bodyDiv w:val="1"/>
      <w:marLeft w:val="0"/>
      <w:marRight w:val="0"/>
      <w:marTop w:val="0"/>
      <w:marBottom w:val="0"/>
      <w:divBdr>
        <w:top w:val="none" w:sz="0" w:space="0" w:color="auto"/>
        <w:left w:val="none" w:sz="0" w:space="0" w:color="auto"/>
        <w:bottom w:val="none" w:sz="0" w:space="0" w:color="auto"/>
        <w:right w:val="none" w:sz="0" w:space="0" w:color="auto"/>
      </w:divBdr>
    </w:div>
    <w:div w:id="855271819">
      <w:bodyDiv w:val="1"/>
      <w:marLeft w:val="0"/>
      <w:marRight w:val="0"/>
      <w:marTop w:val="0"/>
      <w:marBottom w:val="0"/>
      <w:divBdr>
        <w:top w:val="none" w:sz="0" w:space="0" w:color="auto"/>
        <w:left w:val="none" w:sz="0" w:space="0" w:color="auto"/>
        <w:bottom w:val="none" w:sz="0" w:space="0" w:color="auto"/>
        <w:right w:val="none" w:sz="0" w:space="0" w:color="auto"/>
      </w:divBdr>
      <w:divsChild>
        <w:div w:id="2040936191">
          <w:marLeft w:val="0"/>
          <w:marRight w:val="0"/>
          <w:marTop w:val="0"/>
          <w:marBottom w:val="0"/>
          <w:divBdr>
            <w:top w:val="none" w:sz="0" w:space="0" w:color="auto"/>
            <w:left w:val="none" w:sz="0" w:space="0" w:color="auto"/>
            <w:bottom w:val="none" w:sz="0" w:space="0" w:color="auto"/>
            <w:right w:val="none" w:sz="0" w:space="0" w:color="auto"/>
          </w:divBdr>
          <w:divsChild>
            <w:div w:id="4084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6407">
      <w:bodyDiv w:val="1"/>
      <w:marLeft w:val="0"/>
      <w:marRight w:val="0"/>
      <w:marTop w:val="0"/>
      <w:marBottom w:val="0"/>
      <w:divBdr>
        <w:top w:val="none" w:sz="0" w:space="0" w:color="auto"/>
        <w:left w:val="none" w:sz="0" w:space="0" w:color="auto"/>
        <w:bottom w:val="none" w:sz="0" w:space="0" w:color="auto"/>
        <w:right w:val="none" w:sz="0" w:space="0" w:color="auto"/>
      </w:divBdr>
    </w:div>
    <w:div w:id="1359813613">
      <w:bodyDiv w:val="1"/>
      <w:marLeft w:val="0"/>
      <w:marRight w:val="0"/>
      <w:marTop w:val="0"/>
      <w:marBottom w:val="0"/>
      <w:divBdr>
        <w:top w:val="none" w:sz="0" w:space="0" w:color="auto"/>
        <w:left w:val="none" w:sz="0" w:space="0" w:color="auto"/>
        <w:bottom w:val="none" w:sz="0" w:space="0" w:color="auto"/>
        <w:right w:val="none" w:sz="0" w:space="0" w:color="auto"/>
      </w:divBdr>
      <w:divsChild>
        <w:div w:id="2057006467">
          <w:marLeft w:val="0"/>
          <w:marRight w:val="0"/>
          <w:marTop w:val="0"/>
          <w:marBottom w:val="0"/>
          <w:divBdr>
            <w:top w:val="none" w:sz="0" w:space="0" w:color="auto"/>
            <w:left w:val="none" w:sz="0" w:space="0" w:color="auto"/>
            <w:bottom w:val="none" w:sz="0" w:space="0" w:color="auto"/>
            <w:right w:val="none" w:sz="0" w:space="0" w:color="auto"/>
          </w:divBdr>
          <w:divsChild>
            <w:div w:id="2207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77561293">
      <w:bodyDiv w:val="1"/>
      <w:marLeft w:val="0"/>
      <w:marRight w:val="0"/>
      <w:marTop w:val="0"/>
      <w:marBottom w:val="0"/>
      <w:divBdr>
        <w:top w:val="none" w:sz="0" w:space="0" w:color="auto"/>
        <w:left w:val="none" w:sz="0" w:space="0" w:color="auto"/>
        <w:bottom w:val="none" w:sz="0" w:space="0" w:color="auto"/>
        <w:right w:val="none" w:sz="0" w:space="0" w:color="auto"/>
      </w:divBdr>
    </w:div>
    <w:div w:id="1979724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053/oj" TargetMode="External"/><Relationship Id="rId13" Type="http://schemas.openxmlformats.org/officeDocument/2006/relationships/hyperlink" Target="http://data.europa.eu/eli/reg/2026/249/oj" TargetMode="External"/><Relationship Id="rId18" Type="http://schemas.openxmlformats.org/officeDocument/2006/relationships/hyperlink" Target="http://data.europa.eu/eli/reg/2017/2403/oj" TargetMode="External"/><Relationship Id="rId3" Type="http://schemas.openxmlformats.org/officeDocument/2006/relationships/hyperlink" Target="http://data.europa.eu/eli/dir/2008/56/oj" TargetMode="External"/><Relationship Id="rId7" Type="http://schemas.openxmlformats.org/officeDocument/2006/relationships/hyperlink" Target="https://doi.org/10.17895/ices.advice.27202689.v2" TargetMode="External"/><Relationship Id="rId12" Type="http://schemas.openxmlformats.org/officeDocument/2006/relationships/hyperlink" Target="http://data.europa.eu/eli/reg/2021/56/oj" TargetMode="External"/><Relationship Id="rId17" Type="http://schemas.openxmlformats.org/officeDocument/2006/relationships/hyperlink" Target="http://data.europa.eu/eli/reg/2017/2107/oj" TargetMode="External"/><Relationship Id="rId2" Type="http://schemas.openxmlformats.org/officeDocument/2006/relationships/hyperlink" Target="http://data.europa.eu/eli/reg/2013/1380/oj" TargetMode="External"/><Relationship Id="rId16" Type="http://schemas.openxmlformats.org/officeDocument/2006/relationships/hyperlink" Target="http://data.europa.eu/eli/reg/2023/2053/oj"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reg/2025/669/oj" TargetMode="External"/><Relationship Id="rId11" Type="http://schemas.openxmlformats.org/officeDocument/2006/relationships/hyperlink" Target="http://data.europa.eu/eli/reg/2017/2403/oj" TargetMode="External"/><Relationship Id="rId5" Type="http://schemas.openxmlformats.org/officeDocument/2006/relationships/hyperlink" Target="https://oceans-and-fisheries.ec.europa.eu/fisheries/international-agreements/northern-agreements_en" TargetMode="External"/><Relationship Id="rId15" Type="http://schemas.openxmlformats.org/officeDocument/2006/relationships/hyperlink" Target="http://data.europa.eu/eli/dec/1987/277/oj" TargetMode="External"/><Relationship Id="rId10" Type="http://schemas.openxmlformats.org/officeDocument/2006/relationships/hyperlink" Target="http://data.europa.eu/eli/reg/2017/2107/oj" TargetMode="External"/><Relationship Id="rId19" Type="http://schemas.openxmlformats.org/officeDocument/2006/relationships/hyperlink" Target="http://data.europa.eu/eli/reg/2021/56/oj" TargetMode="External"/><Relationship Id="rId4" Type="http://schemas.openxmlformats.org/officeDocument/2006/relationships/hyperlink" Target="http://data.europa.eu/eli/agree_internation/2021/689(1)/oj" TargetMode="External"/><Relationship Id="rId9" Type="http://schemas.openxmlformats.org/officeDocument/2006/relationships/hyperlink" Target="http://data.europa.eu/eli/reg/2009/1224/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BD448EA8-4B94-4FD1-8CF3-66F640DD14E1}">
    <t:Anchor>
      <t:Comment id="492294757"/>
    </t:Anchor>
    <t:History>
      <t:Event time="2026-01-29T13:10:36.119Z" id="{674B5137-CC8E-4EC7-A834-B4816E6587B8}">
        <t:Attribution userId="S::Christoph.PRIEBE@ec.europa.eu::cde14492-9735-4653-bc79-6cabf6311fb6" userName="PRIEBE Christoph (MARE)" userProvider="AD"/>
        <t:Anchor>
          <t:Comment id="492294757"/>
        </t:Anchor>
        <t:Create/>
      </t:Event>
      <t:Event time="2026-01-29T13:10:36.119Z" id="{F81FC067-D4D4-44D7-9682-4F0F53FA1450}">
        <t:Attribution userId="S::Christoph.PRIEBE@ec.europa.eu::cde14492-9735-4653-bc79-6cabf6311fb6" userName="PRIEBE Christoph (MARE)" userProvider="AD"/>
        <t:Anchor>
          <t:Comment id="492294757"/>
        </t:Anchor>
        <t:Assign userId="S::Christoph.PRIEBE@ec.europa.eu::cde14492-9735-4653-bc79-6cabf6311fb6" userName="PRIEBE Christoph (MARE)" userProvider="AD"/>
      </t:Event>
      <t:Event time="2026-01-29T13:10:36.119Z" id="{6ECF5D1B-AF8F-4482-B597-C52F14708656}">
        <t:Attribution userId="S::Christoph.PRIEBE@ec.europa.eu::cde14492-9735-4653-bc79-6cabf6311fb6" userName="PRIEBE Christoph (MARE)" userProvider="AD"/>
        <t:Anchor>
          <t:Comment id="492294757"/>
        </t:Anchor>
        <t:SetTitle title="@PRIEBE Christoph (MARE) Test 2"/>
      </t:Event>
    </t:History>
  </t:Task>
  <t:Task id="{A02FEBCF-D403-4E74-8B41-3582A14C5163}">
    <t:Anchor>
      <t:Comment id="1882580136"/>
    </t:Anchor>
    <t:History>
      <t:Event time="2026-01-29T13:34:14.6Z" id="{E4039336-4668-4CC5-A70A-754A497E467D}">
        <t:Attribution userId="S::Christoph.PRIEBE@ec.europa.eu::cde14492-9735-4653-bc79-6cabf6311fb6" userName="PRIEBE Christoph (MARE)" userProvider="AD"/>
        <t:Anchor>
          <t:Comment id="601047765"/>
        </t:Anchor>
        <t:Create/>
      </t:Event>
      <t:Event time="2026-01-29T13:34:14.6Z" id="{16099C4A-21A0-42BA-8118-7CF0B95220FE}">
        <t:Attribution userId="S::Christoph.PRIEBE@ec.europa.eu::cde14492-9735-4653-bc79-6cabf6311fb6" userName="PRIEBE Christoph (MARE)" userProvider="AD"/>
        <t:Anchor>
          <t:Comment id="601047765"/>
        </t:Anchor>
        <t:Assign userId="S::xose.tubio@ec.europa.eu::2e3fca28-ec97-4c1e-a844-4edebb6f19b2" userName="TUBIO Xose (MARE)" userProvider="AD"/>
      </t:Event>
      <t:Event time="2026-01-29T13:34:14.6Z" id="{95A1BF7D-5751-4165-A689-6CE35CEC6AD5}">
        <t:Attribution userId="S::Christoph.PRIEBE@ec.europa.eu::cde14492-9735-4653-bc79-6cabf6311fb6" userName="PRIEBE Christoph (MARE)" userProvider="AD"/>
        <t:Anchor>
          <t:Comment id="601047765"/>
        </t:Anchor>
        <t:SetTitle title="@TUBIO Xose (MARE) "/>
      </t:Event>
    </t:History>
  </t:Task>
  <t:Task id="{F9DFFA44-3CA0-4709-AA3D-F2F774B6545B}">
    <t:Anchor>
      <t:Comment id="1377254955"/>
    </t:Anchor>
    <t:History>
      <t:Event time="2026-01-29T14:27:14.35Z" id="{216C113F-3B05-4E07-9FE1-67F22151EBB9}">
        <t:Attribution userId="S::Christoph.PRIEBE@ec.europa.eu::cde14492-9735-4653-bc79-6cabf6311fb6" userName="PRIEBE Christoph (MARE)" userProvider="AD"/>
        <t:Anchor>
          <t:Comment id="1377254955"/>
        </t:Anchor>
        <t:Create/>
      </t:Event>
      <t:Event time="2026-01-29T14:27:14.35Z" id="{83B6DB95-4616-40F8-8B57-A69CD52ED357}">
        <t:Attribution userId="S::Christoph.PRIEBE@ec.europa.eu::cde14492-9735-4653-bc79-6cabf6311fb6" userName="PRIEBE Christoph (MARE)" userProvider="AD"/>
        <t:Anchor>
          <t:Comment id="1377254955"/>
        </t:Anchor>
        <t:Assign userId="S::Christoph.PRIEBE@ec.europa.eu::cde14492-9735-4653-bc79-6cabf6311fb6" userName="PRIEBE Christoph (MARE)" userProvider="AD"/>
      </t:Event>
      <t:Event time="2026-01-29T14:27:14.35Z" id="{2CA88C11-3CF4-4B87-BE96-65B1CD02D088}">
        <t:Attribution userId="S::Christoph.PRIEBE@ec.europa.eu::cde14492-9735-4653-bc79-6cabf6311fb6" userName="PRIEBE Christoph (MARE)" userProvider="AD"/>
        <t:Anchor>
          <t:Comment id="1377254955"/>
        </t:Anchor>
        <t:SetTitle title="@PRIEBE Christoph (MARE) Test 5, in Desktop app"/>
      </t:Event>
    </t:History>
  </t:Task>
  <t:Task id="{899BB084-BA4D-4A89-AE02-2D7E9C8BE5B9}">
    <t:Anchor>
      <t:Comment id="1650850571"/>
    </t:Anchor>
    <t:History>
      <t:Event time="2026-01-29T14:02:33.202Z" id="{0B037177-EA8E-490B-BDCE-B73B750DF228}">
        <t:Attribution userId="S::Christoph.PRIEBE@ec.europa.eu::cde14492-9735-4653-bc79-6cabf6311fb6" userName="PRIEBE Christoph (MARE)" userProvider="AD"/>
        <t:Anchor>
          <t:Comment id="1650850571"/>
        </t:Anchor>
        <t:Create/>
      </t:Event>
      <t:Event time="2026-01-29T14:02:33.202Z" id="{32214359-3164-4D67-AB4D-B8149B6BB927}">
        <t:Attribution userId="S::Christoph.PRIEBE@ec.europa.eu::cde14492-9735-4653-bc79-6cabf6311fb6" userName="PRIEBE Christoph (MARE)" userProvider="AD"/>
        <t:Anchor>
          <t:Comment id="1650850571"/>
        </t:Anchor>
        <t:Assign userId="S::Christoph.PRIEBE@ec.europa.eu::cde14492-9735-4653-bc79-6cabf6311fb6" userName="PRIEBE Christoph (MARE)" userProvider="AD"/>
      </t:Event>
      <t:Event time="2026-01-29T14:02:33.202Z" id="{7E3B278D-D0D4-4046-913C-FD228DA66479}">
        <t:Attribution userId="S::Christoph.PRIEBE@ec.europa.eu::cde14492-9735-4653-bc79-6cabf6311fb6" userName="PRIEBE Christoph (MARE)" userProvider="AD"/>
        <t:Anchor>
          <t:Comment id="1650850571"/>
        </t:Anchor>
        <t:SetTitle title="@PRIEBE Christoph (MARE) Test"/>
      </t:Event>
    </t:History>
  </t:Task>
  <t:Task id="{000100A5-04CA-40D1-B5B5-2786BCB01083}">
    <t:Anchor>
      <t:Comment id="761113679"/>
    </t:Anchor>
    <t:History>
      <t:Event time="2026-01-29T14:00:03.617Z" id="{83226CB4-2714-44C6-A3EC-D1A881431AE2}">
        <t:Attribution userId="S::christoph.priebe@ec.europa.eu::cde14492-9735-4653-bc79-6cabf6311fb6" userName="PRIEBE Christoph (MARE)" userProvider="AD"/>
        <t:Anchor>
          <t:Comment id="761113679"/>
        </t:Anchor>
        <t:Create/>
      </t:Event>
      <t:Event time="2026-01-29T14:00:03.617Z" id="{2FE501C2-177F-456B-A25A-BB1654F69EDC}">
        <t:Attribution userId="S::christoph.priebe@ec.europa.eu::cde14492-9735-4653-bc79-6cabf6311fb6" userName="PRIEBE Christoph (MARE)" userProvider="AD"/>
        <t:Anchor>
          <t:Comment id="761113679"/>
        </t:Anchor>
        <t:Assign userId="S::Christoph.PRIEBE@ec.europa.eu::cde14492-9735-4653-bc79-6cabf6311fb6" userName="PRIEBE Christoph (MARE)" userProvider="AD"/>
      </t:Event>
      <t:Event time="2026-01-29T14:00:03.617Z" id="{7AAC0796-ECF7-4C86-AEA7-F5BFE692A8C9}">
        <t:Attribution userId="S::christoph.priebe@ec.europa.eu::cde14492-9735-4653-bc79-6cabf6311fb6" userName="PRIEBE Christoph (MARE)" userProvider="AD"/>
        <t:Anchor>
          <t:Comment id="761113679"/>
        </t:Anchor>
        <t:SetTitle title="@PRIEBE Christoph (MARE) Test"/>
      </t:Event>
    </t:History>
  </t:Task>
  <t:Task id="{FE3188F2-103B-4A4E-B78D-06B7A273A207}">
    <t:Anchor>
      <t:Comment id="624658599"/>
    </t:Anchor>
    <t:History>
      <t:Event time="2026-01-29T14:04:30.564Z" id="{55FC2DD6-7B79-43A4-910B-78A4E304DD9C}">
        <t:Attribution userId="S::christoph.priebe@ec.europa.eu::cde14492-9735-4653-bc79-6cabf6311fb6" userName="PRIEBE Christoph (MARE)" userProvider="AD"/>
        <t:Anchor>
          <t:Comment id="624658599"/>
        </t:Anchor>
        <t:Create/>
      </t:Event>
      <t:Event time="2026-01-29T14:04:30.564Z" id="{A9015B4A-8C58-4FFA-A3A6-07C6B20967E6}">
        <t:Attribution userId="S::christoph.priebe@ec.europa.eu::cde14492-9735-4653-bc79-6cabf6311fb6" userName="PRIEBE Christoph (MARE)" userProvider="AD"/>
        <t:Anchor>
          <t:Comment id="624658599"/>
        </t:Anchor>
        <t:Assign userId="S::Christoph.PRIEBE@ec.europa.eu::cde14492-9735-4653-bc79-6cabf6311fb6" userName="PRIEBE Christoph (MARE)" userProvider="AD"/>
      </t:Event>
      <t:Event time="2026-01-29T14:04:30.564Z" id="{F1167F95-DA38-4C76-A06E-48CDF998EF6A}">
        <t:Attribution userId="S::christoph.priebe@ec.europa.eu::cde14492-9735-4653-bc79-6cabf6311fb6" userName="PRIEBE Christoph (MARE)" userProvider="AD"/>
        <t:Anchor>
          <t:Comment id="624658599"/>
        </t:Anchor>
        <t:SetTitle title="@PRIEBE Christoph (MARE) Test 2"/>
      </t:Event>
    </t:History>
  </t:Task>
  <t:Task id="{541063C2-FC24-486E-ACDF-48E337E1055F}">
    <t:Anchor>
      <t:Comment id="676493209"/>
    </t:Anchor>
    <t:History>
      <t:Event time="2026-01-29T14:19:37.119Z" id="{CEF0F4E9-2C46-4931-BF8B-AE3D067FEAFD}">
        <t:Attribution userId="S::Christoph.PRIEBE@ec.europa.eu::cde14492-9735-4653-bc79-6cabf6311fb6" userName="PRIEBE Christoph (MARE)" userProvider="AD"/>
        <t:Anchor>
          <t:Comment id="676493209"/>
        </t:Anchor>
        <t:Create/>
      </t:Event>
      <t:Event time="2026-01-29T14:19:37.119Z" id="{7FE7B64A-3C0B-4359-9D53-F9D914D8C5FA}">
        <t:Attribution userId="S::Christoph.PRIEBE@ec.europa.eu::cde14492-9735-4653-bc79-6cabf6311fb6" userName="PRIEBE Christoph (MARE)" userProvider="AD"/>
        <t:Anchor>
          <t:Comment id="676493209"/>
        </t:Anchor>
        <t:Assign userId="S::Christoph.PRIEBE@ec.europa.eu::cde14492-9735-4653-bc79-6cabf6311fb6" userName="PRIEBE Christoph (MARE)" userProvider="AD"/>
      </t:Event>
      <t:Event time="2026-01-29T14:19:37.119Z" id="{C138E252-8B6F-4B0D-B9DE-614784E2AE03}">
        <t:Attribution userId="S::Christoph.PRIEBE@ec.europa.eu::cde14492-9735-4653-bc79-6cabf6311fb6" userName="PRIEBE Christoph (MARE)" userProvider="AD"/>
        <t:Anchor>
          <t:Comment id="676493209"/>
        </t:Anchor>
        <t:SetTitle title="@PRIEBE Christoph (MARE) Test 4, in Desktop ap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bb8512-91eb-4bfd-be42-d6f021407e9a">
      <Terms xmlns="http://schemas.microsoft.com/office/infopath/2007/PartnerControls"/>
    </lcf76f155ced4ddcb4097134ff3c332f>
    <TaxCatchAll xmlns="144c03d0-0f03-451f-9d46-5279004462a4" xsi:nil="true"/>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77342CD-A585-484E-B907-431553523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 ds:uri="f7bb8512-91eb-4bfd-be42-d6f021407e9a"/>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4.xml><?xml version="1.0" encoding="utf-8"?>
<ds:datastoreItem xmlns:ds="http://schemas.openxmlformats.org/officeDocument/2006/customXml" ds:itemID="{C04E275F-47EA-49F4-B17E-3A3707E43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173</TotalTime>
  <Pages>14</Pages>
  <Words>5237</Words>
  <Characters>29857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35024</CharactersWithSpaces>
  <SharedDoc>false</SharedDoc>
  <HLinks>
    <vt:vector size="96" baseType="variant">
      <vt:variant>
        <vt:i4>6029402</vt:i4>
      </vt:variant>
      <vt:variant>
        <vt:i4>39</vt:i4>
      </vt:variant>
      <vt:variant>
        <vt:i4>0</vt:i4>
      </vt:variant>
      <vt:variant>
        <vt:i4>5</vt:i4>
      </vt:variant>
      <vt:variant>
        <vt:lpwstr>http://data.europa.eu/eli/reg/2021/56/oj</vt:lpwstr>
      </vt:variant>
      <vt:variant>
        <vt:lpwstr/>
      </vt:variant>
      <vt:variant>
        <vt:i4>7143529</vt:i4>
      </vt:variant>
      <vt:variant>
        <vt:i4>36</vt:i4>
      </vt:variant>
      <vt:variant>
        <vt:i4>0</vt:i4>
      </vt:variant>
      <vt:variant>
        <vt:i4>5</vt:i4>
      </vt:variant>
      <vt:variant>
        <vt:lpwstr>http://data.europa.eu/eli/reg/2017/2107/oj</vt:lpwstr>
      </vt:variant>
      <vt:variant>
        <vt:lpwstr/>
      </vt:variant>
      <vt:variant>
        <vt:i4>7077999</vt:i4>
      </vt:variant>
      <vt:variant>
        <vt:i4>33</vt:i4>
      </vt:variant>
      <vt:variant>
        <vt:i4>0</vt:i4>
      </vt:variant>
      <vt:variant>
        <vt:i4>5</vt:i4>
      </vt:variant>
      <vt:variant>
        <vt:lpwstr>http://data.europa.eu/eli/reg/2023/2053/oj</vt:lpwstr>
      </vt:variant>
      <vt:variant>
        <vt:lpwstr/>
      </vt:variant>
      <vt:variant>
        <vt:i4>4784128</vt:i4>
      </vt:variant>
      <vt:variant>
        <vt:i4>30</vt:i4>
      </vt:variant>
      <vt:variant>
        <vt:i4>0</vt:i4>
      </vt:variant>
      <vt:variant>
        <vt:i4>5</vt:i4>
      </vt:variant>
      <vt:variant>
        <vt:lpwstr>http://data.europa.eu/eli/dec/1987/277/oj</vt:lpwstr>
      </vt:variant>
      <vt:variant>
        <vt:lpwstr/>
      </vt:variant>
      <vt:variant>
        <vt:i4>1114175</vt:i4>
      </vt:variant>
      <vt:variant>
        <vt:i4>27</vt:i4>
      </vt:variant>
      <vt:variant>
        <vt:i4>0</vt:i4>
      </vt:variant>
      <vt:variant>
        <vt:i4>5</vt:i4>
      </vt:variant>
      <vt:variant>
        <vt:lpwstr>http://data.europa.eu/eli/agree_internation/2021/689(1)/oj</vt:lpwstr>
      </vt:variant>
      <vt:variant>
        <vt:lpwstr/>
      </vt:variant>
      <vt:variant>
        <vt:i4>6029402</vt:i4>
      </vt:variant>
      <vt:variant>
        <vt:i4>24</vt:i4>
      </vt:variant>
      <vt:variant>
        <vt:i4>0</vt:i4>
      </vt:variant>
      <vt:variant>
        <vt:i4>5</vt:i4>
      </vt:variant>
      <vt:variant>
        <vt:lpwstr>http://data.europa.eu/eli/reg/2021/56/oj</vt:lpwstr>
      </vt:variant>
      <vt:variant>
        <vt:lpwstr/>
      </vt:variant>
      <vt:variant>
        <vt:i4>7143529</vt:i4>
      </vt:variant>
      <vt:variant>
        <vt:i4>21</vt:i4>
      </vt:variant>
      <vt:variant>
        <vt:i4>0</vt:i4>
      </vt:variant>
      <vt:variant>
        <vt:i4>5</vt:i4>
      </vt:variant>
      <vt:variant>
        <vt:lpwstr>http://data.europa.eu/eli/reg/2017/2107/oj</vt:lpwstr>
      </vt:variant>
      <vt:variant>
        <vt:lpwstr/>
      </vt:variant>
      <vt:variant>
        <vt:i4>6422632</vt:i4>
      </vt:variant>
      <vt:variant>
        <vt:i4>18</vt:i4>
      </vt:variant>
      <vt:variant>
        <vt:i4>0</vt:i4>
      </vt:variant>
      <vt:variant>
        <vt:i4>5</vt:i4>
      </vt:variant>
      <vt:variant>
        <vt:lpwstr>http://data.europa.eu/eli/reg/2009/1224/oj</vt:lpwstr>
      </vt:variant>
      <vt:variant>
        <vt:lpwstr/>
      </vt:variant>
      <vt:variant>
        <vt:i4>7077999</vt:i4>
      </vt:variant>
      <vt:variant>
        <vt:i4>15</vt:i4>
      </vt:variant>
      <vt:variant>
        <vt:i4>0</vt:i4>
      </vt:variant>
      <vt:variant>
        <vt:i4>5</vt:i4>
      </vt:variant>
      <vt:variant>
        <vt:lpwstr>http://data.europa.eu/eli/reg/2023/2053/oj</vt:lpwstr>
      </vt:variant>
      <vt:variant>
        <vt:lpwstr/>
      </vt:variant>
      <vt:variant>
        <vt:i4>6094927</vt:i4>
      </vt:variant>
      <vt:variant>
        <vt:i4>12</vt:i4>
      </vt:variant>
      <vt:variant>
        <vt:i4>0</vt:i4>
      </vt:variant>
      <vt:variant>
        <vt:i4>5</vt:i4>
      </vt:variant>
      <vt:variant>
        <vt:lpwstr>https://doi.org/10.17895/ices.advice.27202689.v2</vt:lpwstr>
      </vt:variant>
      <vt:variant>
        <vt:lpwstr/>
      </vt:variant>
      <vt:variant>
        <vt:i4>4653084</vt:i4>
      </vt:variant>
      <vt:variant>
        <vt:i4>9</vt:i4>
      </vt:variant>
      <vt:variant>
        <vt:i4>0</vt:i4>
      </vt:variant>
      <vt:variant>
        <vt:i4>5</vt:i4>
      </vt:variant>
      <vt:variant>
        <vt:lpwstr>http://data.europa.eu/eli/reg/2025/202/oj</vt:lpwstr>
      </vt:variant>
      <vt:variant>
        <vt:lpwstr/>
      </vt:variant>
      <vt:variant>
        <vt:i4>1114175</vt:i4>
      </vt:variant>
      <vt:variant>
        <vt:i4>6</vt:i4>
      </vt:variant>
      <vt:variant>
        <vt:i4>0</vt:i4>
      </vt:variant>
      <vt:variant>
        <vt:i4>5</vt:i4>
      </vt:variant>
      <vt:variant>
        <vt:lpwstr>http://data.europa.eu/eli/agree_internation/2021/689(1)/oj</vt:lpwstr>
      </vt:variant>
      <vt:variant>
        <vt:lpwstr/>
      </vt:variant>
      <vt:variant>
        <vt:i4>5832795</vt:i4>
      </vt:variant>
      <vt:variant>
        <vt:i4>3</vt:i4>
      </vt:variant>
      <vt:variant>
        <vt:i4>0</vt:i4>
      </vt:variant>
      <vt:variant>
        <vt:i4>5</vt:i4>
      </vt:variant>
      <vt:variant>
        <vt:lpwstr>http://data.europa.eu/eli/dir/2008/56/oj</vt:lpwstr>
      </vt:variant>
      <vt:variant>
        <vt:lpwstr/>
      </vt:variant>
      <vt:variant>
        <vt:i4>6422636</vt:i4>
      </vt:variant>
      <vt:variant>
        <vt:i4>0</vt:i4>
      </vt:variant>
      <vt:variant>
        <vt:i4>0</vt:i4>
      </vt:variant>
      <vt:variant>
        <vt:i4>5</vt:i4>
      </vt:variant>
      <vt:variant>
        <vt:lpwstr>http://data.europa.eu/eli/reg/2013/1380/oj</vt:lpwstr>
      </vt:variant>
      <vt:variant>
        <vt:lpwstr/>
      </vt:variant>
      <vt:variant>
        <vt:i4>8126584</vt:i4>
      </vt:variant>
      <vt:variant>
        <vt:i4>3</vt:i4>
      </vt:variant>
      <vt:variant>
        <vt:i4>0</vt:i4>
      </vt:variant>
      <vt:variant>
        <vt:i4>5</vt:i4>
      </vt:variant>
      <vt:variant>
        <vt:lpwstr>https://doi.org/10.17895/ices.pub.30286864</vt:lpwstr>
      </vt:variant>
      <vt:variant>
        <vt:lpwstr/>
      </vt:variant>
      <vt:variant>
        <vt:i4>7602231</vt:i4>
      </vt:variant>
      <vt:variant>
        <vt:i4>0</vt:i4>
      </vt:variant>
      <vt:variant>
        <vt:i4>0</vt:i4>
      </vt:variant>
      <vt:variant>
        <vt:i4>5</vt:i4>
      </vt:variant>
      <vt:variant>
        <vt:lpwstr>https://www.marinespecies.org/aphia.php?p=taxdetails&amp;id=125581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31</cp:revision>
  <cp:lastPrinted>2026-02-24T12:17:00Z</cp:lastPrinted>
  <dcterms:created xsi:type="dcterms:W3CDTF">2026-02-24T17:53:00Z</dcterms:created>
  <dcterms:modified xsi:type="dcterms:W3CDTF">2026-02-28T18:45:00Z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0x010100BAD999D84E12C74482EA5120F5227F6F00217DECAAC21D6B43958DFE68658C192E</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