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2895" w:rsidRPr="008B4A25" w:rsidRDefault="004807D7" w:rsidP="004807D7">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AFEAE4B-0098-4863-853D-94D80393328F" style="width:455.25pt;height:357.75pt">
            <v:imagedata r:id="rId11" o:title=""/>
          </v:shape>
        </w:pict>
      </w:r>
    </w:p>
    <w:p w:rsidR="00382895" w:rsidRPr="008B4A25" w:rsidRDefault="00382895" w:rsidP="00440DA8">
      <w:pPr>
        <w:rPr>
          <w:noProof/>
        </w:rPr>
        <w:sectPr w:rsidR="00382895" w:rsidRPr="008B4A25" w:rsidSect="004807D7">
          <w:footerReference w:type="even" r:id="rId12"/>
          <w:footerReference w:type="default" r:id="rId13"/>
          <w:pgSz w:w="11907" w:h="16839"/>
          <w:pgMar w:top="1134" w:right="1417" w:bottom="1134" w:left="1417" w:header="709" w:footer="709" w:gutter="0"/>
          <w:pgNumType w:start="0"/>
          <w:cols w:space="720"/>
          <w:docGrid w:linePitch="360"/>
        </w:sectPr>
      </w:pPr>
    </w:p>
    <w:p w:rsidR="00382895" w:rsidRPr="008B4A25" w:rsidRDefault="00382895" w:rsidP="00440DA8">
      <w:pPr>
        <w:pStyle w:val="Exposdesmotifstitre"/>
        <w:rPr>
          <w:noProof/>
        </w:rPr>
      </w:pPr>
      <w:bookmarkStart w:id="0" w:name="_GoBack"/>
      <w:bookmarkEnd w:id="0"/>
      <w:r w:rsidRPr="008B4A25">
        <w:rPr>
          <w:noProof/>
        </w:rPr>
        <w:lastRenderedPageBreak/>
        <w:t>EXPUNERE DE MOTIVE</w:t>
      </w:r>
    </w:p>
    <w:p w:rsidR="00382895" w:rsidRPr="008B4A25" w:rsidRDefault="57386994" w:rsidP="00440DA8">
      <w:pPr>
        <w:pStyle w:val="ManualHeading1"/>
        <w:rPr>
          <w:noProof/>
        </w:rPr>
      </w:pPr>
      <w:r w:rsidRPr="008B4A25">
        <w:rPr>
          <w:noProof/>
        </w:rPr>
        <w:t>1.</w:t>
      </w:r>
      <w:r w:rsidRPr="008B4A25">
        <w:rPr>
          <w:noProof/>
        </w:rPr>
        <w:tab/>
        <w:t>CONTEXTUL PROPUNERII</w:t>
      </w:r>
    </w:p>
    <w:p w:rsidR="00382895" w:rsidRPr="008B4A25" w:rsidRDefault="51853F79" w:rsidP="00440DA8">
      <w:pPr>
        <w:pStyle w:val="ManualHeading2"/>
        <w:rPr>
          <w:rFonts w:eastAsia="Arial Unicode MS"/>
          <w:noProof/>
        </w:rPr>
      </w:pPr>
      <w:r w:rsidRPr="008B4A25">
        <w:rPr>
          <w:noProof/>
          <w:color w:val="000000"/>
          <w:bdr w:val="nil"/>
        </w:rPr>
        <w:t>•</w:t>
      </w:r>
      <w:r w:rsidRPr="008B4A25">
        <w:rPr>
          <w:noProof/>
        </w:rPr>
        <w:tab/>
        <w:t>Motivele și obiectivele propunerii</w:t>
      </w:r>
    </w:p>
    <w:p w:rsidR="00063BFE" w:rsidRPr="008B4A25" w:rsidRDefault="00063BFE" w:rsidP="00440DA8">
      <w:pPr>
        <w:pBdr>
          <w:top w:val="nil"/>
          <w:left w:val="nil"/>
          <w:bottom w:val="nil"/>
          <w:right w:val="nil"/>
          <w:between w:val="nil"/>
          <w:bar w:val="nil"/>
        </w:pBdr>
        <w:spacing w:before="0" w:after="240"/>
        <w:rPr>
          <w:noProof/>
        </w:rPr>
      </w:pPr>
      <w:r w:rsidRPr="008B4A25">
        <w:rPr>
          <w:noProof/>
        </w:rPr>
        <w:t>Regulamentul (UE) 2026/249 al Consiliului</w:t>
      </w:r>
      <w:r w:rsidRPr="008B4A25">
        <w:rPr>
          <w:rStyle w:val="FootnoteReference"/>
          <w:noProof/>
        </w:rPr>
        <w:footnoteReference w:id="2"/>
      </w:r>
      <w:r w:rsidRPr="008B4A25">
        <w:rPr>
          <w:noProof/>
        </w:rPr>
        <w:t xml:space="preserve"> stabilește, pentru anii 2026, 2027 și 2028, posibilitățile de pescuit pentru anumite stocuri de pește, aplicabile în apele UE și, pentru navele de pescuit ale UE, în anumite ape din afara UE. Propunerea modifică aceste posibilități de pescuit pentru a ține seama de cele mai recente avize științifice și de alte evoluții. </w:t>
      </w:r>
    </w:p>
    <w:p w:rsidR="00382895" w:rsidRPr="008B4A25" w:rsidRDefault="00382895" w:rsidP="00440DA8">
      <w:pPr>
        <w:pStyle w:val="ManualHeading2"/>
        <w:rPr>
          <w:rFonts w:eastAsia="Arial Unicode MS"/>
          <w:noProof/>
          <w:color w:val="000000"/>
          <w:u w:color="000000"/>
          <w:bdr w:val="nil"/>
        </w:rPr>
      </w:pPr>
      <w:r w:rsidRPr="008B4A25">
        <w:rPr>
          <w:noProof/>
          <w:color w:val="000000"/>
          <w:u w:color="000000"/>
          <w:bdr w:val="nil"/>
        </w:rPr>
        <w:t>•</w:t>
      </w:r>
      <w:r w:rsidRPr="008B4A25">
        <w:rPr>
          <w:noProof/>
        </w:rPr>
        <w:tab/>
        <w:t>Coerența cu dispozițiile de politică deja existente în domeniul de politică vizat</w:t>
      </w:r>
    </w:p>
    <w:p w:rsidR="008A4A50" w:rsidRPr="008B4A25" w:rsidRDefault="00382895" w:rsidP="00FE5725">
      <w:pPr>
        <w:rPr>
          <w:noProof/>
        </w:rPr>
      </w:pPr>
      <w:r w:rsidRPr="008B4A25">
        <w:rPr>
          <w:noProof/>
        </w:rPr>
        <w:t>Măsurile propuse sunt coerente cu obiectivele stabilite în Regulamentul (UE) nr. 1380/2013</w:t>
      </w:r>
      <w:r w:rsidRPr="008B4A25">
        <w:rPr>
          <w:rStyle w:val="FootnoteReference"/>
          <w:noProof/>
        </w:rPr>
        <w:footnoteReference w:id="3"/>
      </w:r>
      <w:r w:rsidRPr="008B4A25">
        <w:rPr>
          <w:noProof/>
        </w:rPr>
        <w:t xml:space="preserve"> al Parlamentului European și al Consiliului privind politica comună în domeniul pescuitului (PCP) (denumit în continuare „regulamentul de bază”), care trebuie aplicate, printre altele, la stabilirea posibilităților de pescuit, și anume cu privire la limitele capturilor și ale efortului de pescuit. Unul dintre obiectivele PCP este de a reface stocurile la niveluri care pot asigura captura maximă durabilă (MSY) și de a le menține la nivelurile respective. Scopul este de a garanta că activitățile de pescuit din UE sunt sustenabile atât din punct de vedere ecologic, cât și din punct de vedere economic și social.</w:t>
      </w:r>
    </w:p>
    <w:p w:rsidR="00382895" w:rsidRPr="008B4A25" w:rsidRDefault="00382895" w:rsidP="00440DA8">
      <w:pPr>
        <w:pStyle w:val="ManualHeading2"/>
        <w:rPr>
          <w:rFonts w:eastAsia="Arial Unicode MS"/>
          <w:noProof/>
        </w:rPr>
      </w:pPr>
      <w:r w:rsidRPr="008B4A25">
        <w:rPr>
          <w:noProof/>
          <w:color w:val="000000"/>
          <w:u w:color="000000"/>
          <w:bdr w:val="nil"/>
        </w:rPr>
        <w:t>•</w:t>
      </w:r>
      <w:r w:rsidRPr="008B4A25">
        <w:rPr>
          <w:noProof/>
        </w:rPr>
        <w:tab/>
        <w:t>Coerența cu alte politici ale Uniunii</w:t>
      </w:r>
    </w:p>
    <w:p w:rsidR="00D20D67" w:rsidRPr="008B4A25" w:rsidRDefault="00D20D67" w:rsidP="00D20D67">
      <w:pPr>
        <w:spacing w:before="0" w:after="240"/>
        <w:rPr>
          <w:noProof/>
        </w:rPr>
      </w:pPr>
      <w:r w:rsidRPr="008B4A25">
        <w:rPr>
          <w:noProof/>
        </w:rPr>
        <w:t>Măsurile propuse sunt coerente cu alte politici ale UE, în special cu Directiva 2008/56/CE a Parlamentului European și a Consiliului</w:t>
      </w:r>
      <w:r w:rsidRPr="008B4A25">
        <w:rPr>
          <w:rStyle w:val="FootnoteReference"/>
          <w:noProof/>
        </w:rPr>
        <w:footnoteReference w:id="4"/>
      </w:r>
      <w:r w:rsidRPr="008B4A25">
        <w:rPr>
          <w:noProof/>
        </w:rPr>
        <w:t xml:space="preserve"> (Directiva-cadru „Strategia pentru mediul marin”), și urmăresc să contribuie la atingerea unei stări ecologice bune, în special în ceea ce privește descriptorul 3, care impune ca populațiile tuturor peștilor și crustaceelor exploatate comercial să se încadreze în limite biologice de siguranță.</w:t>
      </w:r>
    </w:p>
    <w:p w:rsidR="00382895" w:rsidRPr="008B4A25" w:rsidRDefault="00382895" w:rsidP="00440DA8">
      <w:pPr>
        <w:pStyle w:val="ManualHeading1"/>
        <w:rPr>
          <w:noProof/>
        </w:rPr>
      </w:pPr>
      <w:r w:rsidRPr="008B4A25">
        <w:rPr>
          <w:noProof/>
        </w:rPr>
        <w:t>2.</w:t>
      </w:r>
      <w:r w:rsidRPr="008B4A25">
        <w:rPr>
          <w:noProof/>
        </w:rPr>
        <w:tab/>
        <w:t>TEMEI JURIDIC, SUBSIDIARITATE ȘI PROPORȚIONALITATE</w:t>
      </w:r>
    </w:p>
    <w:p w:rsidR="00382895" w:rsidRPr="008B4A25" w:rsidRDefault="00382895" w:rsidP="00440DA8">
      <w:pPr>
        <w:pStyle w:val="ManualHeading2"/>
        <w:rPr>
          <w:rFonts w:eastAsia="Arial Unicode MS"/>
          <w:noProof/>
          <w:u w:color="000000"/>
          <w:bdr w:val="nil"/>
        </w:rPr>
      </w:pPr>
      <w:r w:rsidRPr="008B4A25">
        <w:rPr>
          <w:noProof/>
          <w:u w:color="000000"/>
          <w:bdr w:val="nil"/>
        </w:rPr>
        <w:t>•</w:t>
      </w:r>
      <w:r w:rsidRPr="008B4A25">
        <w:rPr>
          <w:noProof/>
        </w:rPr>
        <w:tab/>
      </w:r>
      <w:r w:rsidRPr="008B4A25">
        <w:rPr>
          <w:noProof/>
          <w:u w:color="000000"/>
          <w:bdr w:val="nil"/>
        </w:rPr>
        <w:t>Temeiul juridic</w:t>
      </w:r>
    </w:p>
    <w:p w:rsidR="00382895" w:rsidRPr="008B4A25" w:rsidRDefault="00382895" w:rsidP="00440DA8">
      <w:pPr>
        <w:rPr>
          <w:noProof/>
        </w:rPr>
      </w:pPr>
      <w:r w:rsidRPr="008B4A25">
        <w:rPr>
          <w:noProof/>
        </w:rPr>
        <w:t xml:space="preserve">Temeiul juridic al propunerii îl constituie articolul 43 alineatul (3) din Tratatul privind funcționarea Uniunii Europene (TFUE). </w:t>
      </w:r>
    </w:p>
    <w:p w:rsidR="00382895" w:rsidRPr="008B4A25" w:rsidRDefault="00382895" w:rsidP="00440DA8">
      <w:pPr>
        <w:pStyle w:val="ManualHeading2"/>
        <w:rPr>
          <w:rFonts w:eastAsia="Arial Unicode MS"/>
          <w:noProof/>
          <w:u w:color="000000"/>
          <w:bdr w:val="nil"/>
        </w:rPr>
      </w:pPr>
      <w:r w:rsidRPr="008B4A25">
        <w:rPr>
          <w:noProof/>
          <w:u w:color="000000"/>
          <w:bdr w:val="nil"/>
        </w:rPr>
        <w:t>•</w:t>
      </w:r>
      <w:r w:rsidRPr="008B4A25">
        <w:rPr>
          <w:noProof/>
        </w:rPr>
        <w:tab/>
      </w:r>
      <w:r w:rsidRPr="008B4A25">
        <w:rPr>
          <w:noProof/>
          <w:u w:color="000000"/>
          <w:bdr w:val="nil"/>
        </w:rPr>
        <w:t xml:space="preserve">Subsidiaritatea </w:t>
      </w:r>
    </w:p>
    <w:p w:rsidR="00382895" w:rsidRPr="008B4A25" w:rsidRDefault="00A94AF2" w:rsidP="00440DA8">
      <w:pPr>
        <w:rPr>
          <w:rFonts w:eastAsia="Arial Unicode MS"/>
          <w:noProof/>
        </w:rPr>
      </w:pPr>
      <w:r w:rsidRPr="008B4A25">
        <w:rPr>
          <w:noProof/>
        </w:rPr>
        <w:t>Propunerea intră în sfera competenței exclusive a UE, în conformitate cu articolul 3 alineatul (1) litera (d) din TFUE. În consecință, principiul subsidiarității nu se aplică.</w:t>
      </w:r>
    </w:p>
    <w:p w:rsidR="00382895" w:rsidRPr="008B4A25" w:rsidRDefault="00382895" w:rsidP="00440DA8">
      <w:pPr>
        <w:pStyle w:val="ManualHeading2"/>
        <w:rPr>
          <w:rFonts w:eastAsia="Arial Unicode MS"/>
          <w:noProof/>
          <w:u w:color="000000"/>
          <w:bdr w:val="nil"/>
        </w:rPr>
      </w:pPr>
      <w:r w:rsidRPr="008B4A25">
        <w:rPr>
          <w:noProof/>
          <w:u w:color="000000"/>
          <w:bdr w:val="nil"/>
        </w:rPr>
        <w:lastRenderedPageBreak/>
        <w:t>•</w:t>
      </w:r>
      <w:r w:rsidRPr="008B4A25">
        <w:rPr>
          <w:noProof/>
        </w:rPr>
        <w:tab/>
      </w:r>
      <w:r w:rsidRPr="008B4A25">
        <w:rPr>
          <w:noProof/>
          <w:u w:color="000000"/>
          <w:bdr w:val="nil"/>
        </w:rPr>
        <w:t>Proporționalitatea</w:t>
      </w:r>
    </w:p>
    <w:p w:rsidR="00D20D67" w:rsidRPr="008B4A25" w:rsidRDefault="00D20D67" w:rsidP="008A4A50">
      <w:pPr>
        <w:spacing w:before="0" w:after="240"/>
        <w:rPr>
          <w:noProof/>
        </w:rPr>
      </w:pPr>
      <w:r w:rsidRPr="008B4A25">
        <w:rPr>
          <w:noProof/>
        </w:rPr>
        <w:t>Propunerea repartizează posibilități de pescuit statelor membre în conformitate cu obiectivele și normele stabilite în regulamentul de bază, precum și cu rezultatul consultărilor multilaterale sau bilaterale cu țările din afara UE, inclusiv în contextul organizațiilor regionale de gestionare a pescuitului (ORGP). În consecință, posibilitățile de pescuit trebuie stabilite pe baza celor mai bune avize științifice disponibile, ținând seama de considerentele biologice și socioeconomice, în cazul pescuitului mixt, acolo unde este posibil.</w:t>
      </w:r>
    </w:p>
    <w:p w:rsidR="00D20D67" w:rsidRPr="008B4A25" w:rsidRDefault="00D20D67" w:rsidP="00A156B8">
      <w:pPr>
        <w:spacing w:before="0" w:after="240"/>
        <w:rPr>
          <w:noProof/>
        </w:rPr>
      </w:pPr>
      <w:r w:rsidRPr="008B4A25">
        <w:rPr>
          <w:noProof/>
        </w:rPr>
        <w:t>În temeiul articolului 16 alineatele (6) și (7) și al articolului 17 din regulamentul de bază, statele membre trebuie să decidă modul în care posibilitățile de pescuit pe care le au la dispoziție pot fi repartizate navelor care le arborează pavilionul, în conformitate cu anumite criterii stabilite la articolele respective. Prin urmare, statele membre pot exercita marja de apreciere necesară atunci când distribuie cotele repartizate, în funcție de modelul socioeconomic preferat pentru utilizarea posibilităților de pescuit pe care le au la dispoziție.</w:t>
      </w:r>
    </w:p>
    <w:p w:rsidR="00382895" w:rsidRPr="008B4A25" w:rsidRDefault="00382895" w:rsidP="00440DA8">
      <w:pPr>
        <w:pStyle w:val="ManualHeading2"/>
        <w:rPr>
          <w:rFonts w:eastAsia="Arial Unicode MS"/>
          <w:noProof/>
          <w:u w:color="000000"/>
          <w:bdr w:val="nil"/>
        </w:rPr>
      </w:pPr>
      <w:r w:rsidRPr="008B4A25">
        <w:rPr>
          <w:noProof/>
          <w:u w:color="000000"/>
          <w:bdr w:val="nil"/>
        </w:rPr>
        <w:t>•</w:t>
      </w:r>
      <w:r w:rsidRPr="008B4A25">
        <w:rPr>
          <w:noProof/>
        </w:rPr>
        <w:tab/>
      </w:r>
      <w:r w:rsidRPr="008B4A25">
        <w:rPr>
          <w:noProof/>
          <w:u w:color="000000"/>
          <w:bdr w:val="nil"/>
        </w:rPr>
        <w:t>Alegerea instrumentului</w:t>
      </w:r>
    </w:p>
    <w:p w:rsidR="00382895" w:rsidRPr="008B4A25" w:rsidRDefault="00302D0A" w:rsidP="00440DA8">
      <w:pPr>
        <w:rPr>
          <w:rFonts w:eastAsia="Arial Unicode MS"/>
          <w:noProof/>
        </w:rPr>
      </w:pPr>
      <w:r w:rsidRPr="008B4A25">
        <w:rPr>
          <w:noProof/>
        </w:rPr>
        <w:t>Având în vedere că propunerea modifică un regulament existent, cel mai adecvat instrument juridic este un regulament.</w:t>
      </w:r>
    </w:p>
    <w:p w:rsidR="00382895" w:rsidRPr="008B4A25" w:rsidRDefault="00382895" w:rsidP="00440DA8">
      <w:pPr>
        <w:pStyle w:val="ManualHeading1"/>
        <w:rPr>
          <w:noProof/>
        </w:rPr>
      </w:pPr>
      <w:r w:rsidRPr="008B4A25">
        <w:rPr>
          <w:noProof/>
        </w:rPr>
        <w:t>3.</w:t>
      </w:r>
      <w:r w:rsidRPr="008B4A25">
        <w:rPr>
          <w:noProof/>
        </w:rPr>
        <w:tab/>
        <w:t xml:space="preserve">REZULTATELE EVALUĂRILOR </w:t>
      </w:r>
      <w:r w:rsidRPr="008B4A25">
        <w:rPr>
          <w:i/>
          <w:iCs/>
          <w:noProof/>
        </w:rPr>
        <w:t>EX POST</w:t>
      </w:r>
      <w:r w:rsidRPr="008B4A25">
        <w:rPr>
          <w:noProof/>
        </w:rPr>
        <w:t>, ALE CONSULTĂRILOR CU PĂRȚILE INTERESATE ȘI ALE EVALUĂRILOR IMPACTULUI</w:t>
      </w:r>
    </w:p>
    <w:p w:rsidR="00382895" w:rsidRPr="008B4A25" w:rsidRDefault="00382895" w:rsidP="00440DA8">
      <w:pPr>
        <w:pStyle w:val="ManualHeading2"/>
        <w:rPr>
          <w:rFonts w:eastAsia="Arial Unicode MS"/>
          <w:noProof/>
          <w:u w:color="000000"/>
          <w:bdr w:val="nil"/>
        </w:rPr>
      </w:pPr>
      <w:r w:rsidRPr="008B4A25">
        <w:rPr>
          <w:noProof/>
          <w:u w:color="000000"/>
          <w:bdr w:val="nil"/>
        </w:rPr>
        <w:t>•</w:t>
      </w:r>
      <w:r w:rsidRPr="008B4A25">
        <w:rPr>
          <w:noProof/>
        </w:rPr>
        <w:tab/>
      </w:r>
      <w:r w:rsidRPr="008B4A25">
        <w:rPr>
          <w:noProof/>
          <w:u w:color="000000"/>
          <w:bdr w:val="nil"/>
        </w:rPr>
        <w:t xml:space="preserve">Evaluările </w:t>
      </w:r>
      <w:r w:rsidRPr="008B4A25">
        <w:rPr>
          <w:i/>
          <w:iCs/>
          <w:noProof/>
          <w:u w:color="000000"/>
          <w:bdr w:val="nil"/>
        </w:rPr>
        <w:t>ex post</w:t>
      </w:r>
      <w:r w:rsidRPr="008B4A25">
        <w:rPr>
          <w:noProof/>
          <w:u w:color="000000"/>
          <w:bdr w:val="nil"/>
        </w:rPr>
        <w:t>/verificarea adecvării legislației existente</w:t>
      </w:r>
    </w:p>
    <w:p w:rsidR="00382895" w:rsidRPr="008B4A25" w:rsidRDefault="00382895" w:rsidP="00440DA8">
      <w:pPr>
        <w:pBdr>
          <w:top w:val="nil"/>
          <w:left w:val="nil"/>
          <w:bottom w:val="nil"/>
          <w:right w:val="nil"/>
          <w:between w:val="nil"/>
          <w:bar w:val="nil"/>
        </w:pBdr>
        <w:spacing w:before="0" w:after="240"/>
        <w:rPr>
          <w:rFonts w:eastAsia="Arial Unicode MS"/>
          <w:noProof/>
        </w:rPr>
      </w:pPr>
      <w:r w:rsidRPr="008B4A25">
        <w:rPr>
          <w:noProof/>
        </w:rPr>
        <w:t>Nu se aplică.</w:t>
      </w:r>
    </w:p>
    <w:p w:rsidR="00382895" w:rsidRPr="008B4A25" w:rsidRDefault="00382895" w:rsidP="00440DA8">
      <w:pPr>
        <w:pStyle w:val="ManualHeading2"/>
        <w:rPr>
          <w:rFonts w:eastAsia="Arial Unicode MS"/>
          <w:noProof/>
          <w:u w:color="000000"/>
          <w:bdr w:val="nil"/>
        </w:rPr>
      </w:pPr>
      <w:r w:rsidRPr="008B4A25">
        <w:rPr>
          <w:noProof/>
          <w:u w:color="000000"/>
          <w:bdr w:val="nil"/>
        </w:rPr>
        <w:t>•</w:t>
      </w:r>
      <w:r w:rsidRPr="008B4A25">
        <w:rPr>
          <w:noProof/>
        </w:rPr>
        <w:tab/>
      </w:r>
      <w:r w:rsidRPr="008B4A25">
        <w:rPr>
          <w:noProof/>
          <w:u w:color="000000"/>
          <w:bdr w:val="nil"/>
        </w:rPr>
        <w:t>Consultările cu părțile interesate</w:t>
      </w:r>
    </w:p>
    <w:p w:rsidR="008A4A50" w:rsidRPr="008B4A25" w:rsidRDefault="00790AA0" w:rsidP="00440DA8">
      <w:pPr>
        <w:rPr>
          <w:noProof/>
        </w:rPr>
      </w:pPr>
      <w:r w:rsidRPr="008B4A25">
        <w:rPr>
          <w:noProof/>
        </w:rPr>
        <w:t>Comisia a consultat părțile interesate, în special prin intermediul consiliilor consultative, pe baza comunicării sale anuale intitulate „Pescuitul sustenabil în UE:</w:t>
      </w:r>
      <w:r w:rsidRPr="008B4A25">
        <w:rPr>
          <w:iCs/>
          <w:noProof/>
        </w:rPr>
        <w:t xml:space="preserve"> </w:t>
      </w:r>
      <w:r w:rsidRPr="008B4A25">
        <w:rPr>
          <w:noProof/>
        </w:rPr>
        <w:t>situația actuală și orientări pentru 2026” [COM(2025) 296 final].</w:t>
      </w:r>
    </w:p>
    <w:p w:rsidR="00AD72C5" w:rsidRPr="008B4A25" w:rsidRDefault="008A4A50" w:rsidP="00440DA8">
      <w:pPr>
        <w:rPr>
          <w:noProof/>
        </w:rPr>
      </w:pPr>
      <w:r w:rsidRPr="008B4A25">
        <w:rPr>
          <w:noProof/>
        </w:rPr>
        <w:t>Răspunsurile la comunicarea anuală susmenționată prezintă punctele de vedere ale părților interesate cu privire la evaluarea de către Comisie a situației resurselor și cu privire la răspunsul adecvat în materie de gestionare. Comisia a luat în considerare aceste răspunsuri la formularea propunerii.</w:t>
      </w:r>
    </w:p>
    <w:p w:rsidR="00382895" w:rsidRPr="008B4A25" w:rsidRDefault="00382895" w:rsidP="00440DA8">
      <w:pPr>
        <w:pStyle w:val="ManualHeading2"/>
        <w:rPr>
          <w:rFonts w:eastAsia="Arial Unicode MS"/>
          <w:noProof/>
          <w:u w:color="000000"/>
          <w:bdr w:val="nil"/>
        </w:rPr>
      </w:pPr>
      <w:r w:rsidRPr="008B4A25">
        <w:rPr>
          <w:noProof/>
          <w:u w:color="000000"/>
          <w:bdr w:val="nil"/>
        </w:rPr>
        <w:t>•</w:t>
      </w:r>
      <w:r w:rsidRPr="008B4A25">
        <w:rPr>
          <w:noProof/>
        </w:rPr>
        <w:tab/>
      </w:r>
      <w:r w:rsidRPr="008B4A25">
        <w:rPr>
          <w:noProof/>
          <w:u w:color="000000"/>
          <w:bdr w:val="nil"/>
        </w:rPr>
        <w:t>Obținerea și utilizarea cunoștințelor de specialitate</w:t>
      </w:r>
    </w:p>
    <w:p w:rsidR="008A4A50" w:rsidRPr="008B4A25" w:rsidRDefault="00FE5725" w:rsidP="00FE5725">
      <w:pPr>
        <w:rPr>
          <w:noProof/>
        </w:rPr>
      </w:pPr>
      <w:r w:rsidRPr="008B4A25">
        <w:rPr>
          <w:noProof/>
        </w:rPr>
        <w:t xml:space="preserve">Grupurile de experți și organismele decizionale ale Consiliului Internațional pentru Explorarea Apelor Maritime (ICES) au elaborat un cadru pentru avizele științifice ale ICES. Acest cadru se bazează pe cele mai bune cunoștințe științifice disponibile și este evaluat </w:t>
      </w:r>
      <w:r w:rsidRPr="008B4A25">
        <w:rPr>
          <w:i/>
          <w:iCs/>
          <w:noProof/>
        </w:rPr>
        <w:t>inter pares</w:t>
      </w:r>
      <w:r w:rsidRPr="008B4A25">
        <w:rPr>
          <w:noProof/>
        </w:rPr>
        <w:t xml:space="preserve"> de către experți independenți. Avizele științifice ale ICES sunt emise pe baza acestui cadru, cu scopul de a permite implementarea obiectivelor și normelor regulamentului de bază, conform solicitărilor Comisiei.</w:t>
      </w:r>
    </w:p>
    <w:p w:rsidR="00382895" w:rsidRPr="008B4A25" w:rsidRDefault="00382895" w:rsidP="00440DA8">
      <w:pPr>
        <w:pStyle w:val="ManualHeading2"/>
        <w:rPr>
          <w:rFonts w:eastAsia="Arial Unicode MS"/>
          <w:noProof/>
          <w:u w:color="000000"/>
          <w:bdr w:val="nil"/>
        </w:rPr>
      </w:pPr>
      <w:r w:rsidRPr="008B4A25">
        <w:rPr>
          <w:noProof/>
          <w:u w:color="000000"/>
          <w:bdr w:val="nil"/>
        </w:rPr>
        <w:t>•</w:t>
      </w:r>
      <w:r w:rsidRPr="008B4A25">
        <w:rPr>
          <w:noProof/>
        </w:rPr>
        <w:tab/>
      </w:r>
      <w:r w:rsidRPr="008B4A25">
        <w:rPr>
          <w:noProof/>
          <w:u w:color="000000"/>
          <w:bdr w:val="nil"/>
        </w:rPr>
        <w:t>Evaluarea impactului</w:t>
      </w:r>
    </w:p>
    <w:p w:rsidR="0075565C" w:rsidRPr="008B4A25" w:rsidRDefault="68A0268C" w:rsidP="00440DA8">
      <w:pPr>
        <w:rPr>
          <w:noProof/>
        </w:rPr>
      </w:pPr>
      <w:r w:rsidRPr="008B4A25">
        <w:rPr>
          <w:noProof/>
        </w:rPr>
        <w:t>Domeniul de aplicare al propunerii este circumscris de articolul 43 alineatul (3) din TFUE.</w:t>
      </w:r>
    </w:p>
    <w:p w:rsidR="00A156B8" w:rsidRPr="008B4A25" w:rsidRDefault="00A156B8" w:rsidP="00A156B8">
      <w:pPr>
        <w:spacing w:before="0" w:after="240"/>
        <w:rPr>
          <w:noProof/>
        </w:rPr>
      </w:pPr>
      <w:r w:rsidRPr="008B4A25">
        <w:rPr>
          <w:noProof/>
        </w:rPr>
        <w:t xml:space="preserve">Prezenta propunere urmărește evitarea abordărilor pe termen scurt în favoarea sustenabilității pe termen lung. Aceasta ține seama de inițiativele părților interesate și ale consiliilor consultative, în cazul în care acestea au fost evaluate pozitiv de ICES. Propunerea Comisiei de reformă a PCP s-a bazat pe o evaluare a impactului [SEC(2011) 891] care a susținut că, </w:t>
      </w:r>
      <w:r w:rsidRPr="008B4A25">
        <w:rPr>
          <w:noProof/>
        </w:rPr>
        <w:lastRenderedPageBreak/>
        <w:t>deși realizarea obiectivului privind MSY este o condiție necesară pentru sustenabilitatea ecologică, economică și socială, cele trei obiective nu pot fi atinse separat.</w:t>
      </w:r>
    </w:p>
    <w:p w:rsidR="00A156B8" w:rsidRPr="008B4A25" w:rsidRDefault="00A156B8" w:rsidP="00A156B8">
      <w:pPr>
        <w:pBdr>
          <w:top w:val="nil"/>
          <w:left w:val="nil"/>
          <w:bottom w:val="nil"/>
          <w:right w:val="nil"/>
          <w:between w:val="nil"/>
          <w:bar w:val="nil"/>
        </w:pBdr>
        <w:spacing w:before="0" w:after="240"/>
        <w:rPr>
          <w:noProof/>
        </w:rPr>
      </w:pPr>
      <w:r w:rsidRPr="008B4A25">
        <w:rPr>
          <w:noProof/>
        </w:rPr>
        <w:t>În ceea ce privește posibilitățile de pescuit pentru stocurile ORGP și pentru stocurile gestionate în comun cu țări din afara UE, prezenta propunere implementează, în esență, măsuri convenite la nivel internațional. Orice aspecte relevante pentru evaluarea potențialelor efecte ale posibilităților de pescuit sunt abordate în faza de pregătire și în faza de desfășurare a negocierilor internaționale în cadrul cărora posibilitățile de pescuit ale UE sunt convenite cu țări din afara UE.</w:t>
      </w:r>
    </w:p>
    <w:p w:rsidR="00382895" w:rsidRPr="008B4A25" w:rsidRDefault="00382895" w:rsidP="00440DA8">
      <w:pPr>
        <w:pStyle w:val="ManualHeading2"/>
        <w:rPr>
          <w:rFonts w:eastAsia="Arial Unicode MS"/>
          <w:noProof/>
          <w:u w:color="000000"/>
          <w:bdr w:val="nil"/>
        </w:rPr>
      </w:pPr>
      <w:r w:rsidRPr="008B4A25">
        <w:rPr>
          <w:noProof/>
          <w:u w:color="000000"/>
          <w:bdr w:val="nil"/>
        </w:rPr>
        <w:t>•</w:t>
      </w:r>
      <w:r w:rsidRPr="008B4A25">
        <w:rPr>
          <w:noProof/>
        </w:rPr>
        <w:tab/>
      </w:r>
      <w:r w:rsidRPr="008B4A25">
        <w:rPr>
          <w:noProof/>
          <w:u w:color="000000"/>
          <w:bdr w:val="nil"/>
        </w:rPr>
        <w:t>Adecvarea reglementărilor și simplificarea</w:t>
      </w:r>
    </w:p>
    <w:p w:rsidR="00382895" w:rsidRPr="008B4A25" w:rsidRDefault="00FB2BDF" w:rsidP="00440DA8">
      <w:pPr>
        <w:rPr>
          <w:rFonts w:eastAsia="Arial Unicode MS"/>
          <w:noProof/>
        </w:rPr>
      </w:pPr>
      <w:r w:rsidRPr="008B4A25">
        <w:rPr>
          <w:noProof/>
        </w:rPr>
        <w:t>Nu se aplică.</w:t>
      </w:r>
    </w:p>
    <w:p w:rsidR="00382895" w:rsidRPr="008B4A25" w:rsidRDefault="00382895" w:rsidP="00440DA8">
      <w:pPr>
        <w:pStyle w:val="ManualHeading2"/>
        <w:rPr>
          <w:rFonts w:eastAsia="Arial Unicode MS"/>
          <w:noProof/>
          <w:u w:color="000000"/>
          <w:bdr w:val="nil"/>
        </w:rPr>
      </w:pPr>
      <w:r w:rsidRPr="008B4A25">
        <w:rPr>
          <w:noProof/>
          <w:u w:color="000000"/>
          <w:bdr w:val="nil"/>
        </w:rPr>
        <w:t>•</w:t>
      </w:r>
      <w:r w:rsidRPr="008B4A25">
        <w:rPr>
          <w:noProof/>
        </w:rPr>
        <w:tab/>
      </w:r>
      <w:r w:rsidRPr="008B4A25">
        <w:rPr>
          <w:noProof/>
          <w:u w:color="000000"/>
          <w:bdr w:val="nil"/>
        </w:rPr>
        <w:t>Drepturile fundamentale</w:t>
      </w:r>
    </w:p>
    <w:p w:rsidR="00382895" w:rsidRPr="008B4A25" w:rsidRDefault="00A156B8" w:rsidP="00440DA8">
      <w:pPr>
        <w:pBdr>
          <w:top w:val="nil"/>
          <w:left w:val="nil"/>
          <w:bottom w:val="nil"/>
          <w:right w:val="nil"/>
          <w:between w:val="nil"/>
          <w:bar w:val="nil"/>
        </w:pBdr>
        <w:spacing w:before="0" w:after="240"/>
        <w:rPr>
          <w:rFonts w:eastAsia="Arial Unicode MS"/>
          <w:noProof/>
        </w:rPr>
      </w:pPr>
      <w:r w:rsidRPr="008B4A25">
        <w:rPr>
          <w:noProof/>
        </w:rPr>
        <w:t>Propunerea respectă drepturile fundamentale, în special pe cele prevăzute în Carta drepturilor fundamentale a Uniunii Europene.</w:t>
      </w:r>
    </w:p>
    <w:p w:rsidR="00382895" w:rsidRPr="008B4A25" w:rsidRDefault="00382895" w:rsidP="00440DA8">
      <w:pPr>
        <w:pStyle w:val="ManualHeading1"/>
        <w:rPr>
          <w:noProof/>
        </w:rPr>
      </w:pPr>
      <w:r w:rsidRPr="008B4A25">
        <w:rPr>
          <w:noProof/>
        </w:rPr>
        <w:t>4.</w:t>
      </w:r>
      <w:r w:rsidRPr="008B4A25">
        <w:rPr>
          <w:noProof/>
        </w:rPr>
        <w:tab/>
        <w:t>IMPLICAȚII BUGETARE</w:t>
      </w:r>
    </w:p>
    <w:p w:rsidR="00382895" w:rsidRPr="008B4A25" w:rsidRDefault="00382895" w:rsidP="00440DA8">
      <w:pPr>
        <w:rPr>
          <w:rFonts w:eastAsia="Arial Unicode MS"/>
          <w:noProof/>
        </w:rPr>
      </w:pPr>
      <w:r w:rsidRPr="008B4A25">
        <w:rPr>
          <w:noProof/>
        </w:rPr>
        <w:t>Măsurile propuse nu vor avea implicații bugetare.</w:t>
      </w:r>
    </w:p>
    <w:p w:rsidR="00304948" w:rsidRPr="008B4A25" w:rsidRDefault="00382895" w:rsidP="00440DA8">
      <w:pPr>
        <w:pStyle w:val="ManualHeading1"/>
        <w:rPr>
          <w:noProof/>
        </w:rPr>
      </w:pPr>
      <w:r w:rsidRPr="008B4A25">
        <w:rPr>
          <w:noProof/>
        </w:rPr>
        <w:t>5.</w:t>
      </w:r>
      <w:r w:rsidRPr="008B4A25">
        <w:rPr>
          <w:noProof/>
        </w:rPr>
        <w:tab/>
        <w:t>ALTE ELEMENTE</w:t>
      </w:r>
    </w:p>
    <w:p w:rsidR="007666CC" w:rsidRPr="008B4A25" w:rsidRDefault="00AD72C5" w:rsidP="00440DA8">
      <w:pPr>
        <w:pStyle w:val="Text1"/>
        <w:ind w:left="0"/>
        <w:rPr>
          <w:rFonts w:eastAsia="Arial Unicode MS"/>
          <w:b/>
          <w:noProof/>
          <w:u w:color="000000"/>
          <w:bdr w:val="nil"/>
        </w:rPr>
      </w:pPr>
      <w:r w:rsidRPr="008B4A25">
        <w:rPr>
          <w:b/>
          <w:noProof/>
          <w:u w:color="000000"/>
          <w:bdr w:val="nil"/>
        </w:rPr>
        <w:t>•</w:t>
      </w:r>
      <w:r w:rsidRPr="008B4A25">
        <w:rPr>
          <w:noProof/>
        </w:rPr>
        <w:tab/>
      </w:r>
      <w:r w:rsidRPr="008B4A25">
        <w:rPr>
          <w:b/>
          <w:noProof/>
          <w:u w:color="000000"/>
          <w:bdr w:val="nil"/>
        </w:rPr>
        <w:t xml:space="preserve">Explicarea detaliată a dispozițiilor specifice ale propunerii </w:t>
      </w:r>
    </w:p>
    <w:p w:rsidR="00E14D73" w:rsidRPr="008B4A25" w:rsidRDefault="00AD72C5" w:rsidP="00440DA8">
      <w:pPr>
        <w:pStyle w:val="Text1"/>
        <w:ind w:left="0"/>
        <w:rPr>
          <w:rFonts w:eastAsia="Arial Unicode MS"/>
          <w:noProof/>
          <w:u w:color="000000"/>
          <w:bdr w:val="nil"/>
        </w:rPr>
      </w:pPr>
      <w:r w:rsidRPr="008B4A25">
        <w:rPr>
          <w:noProof/>
          <w:u w:color="000000"/>
          <w:bdr w:val="nil"/>
        </w:rPr>
        <w:t xml:space="preserve">Propunerea urmărește să modifice Regulamentul (UE) 2026/249 al Consiliului, după cum se precizează în continuare. </w:t>
      </w:r>
    </w:p>
    <w:p w:rsidR="007749CE" w:rsidRPr="008B4A25" w:rsidRDefault="007749CE" w:rsidP="007749CE">
      <w:pPr>
        <w:pBdr>
          <w:top w:val="nil"/>
          <w:left w:val="nil"/>
          <w:bottom w:val="nil"/>
          <w:right w:val="nil"/>
          <w:between w:val="nil"/>
          <w:bar w:val="nil"/>
        </w:pBdr>
        <w:spacing w:before="240" w:after="240"/>
        <w:rPr>
          <w:b/>
          <w:bCs/>
          <w:noProof/>
        </w:rPr>
      </w:pPr>
      <w:r w:rsidRPr="008B4A25">
        <w:rPr>
          <w:b/>
          <w:noProof/>
        </w:rPr>
        <w:t>Măsuri de remediere convenite cu Regatul Unit</w:t>
      </w:r>
    </w:p>
    <w:p w:rsidR="00997912" w:rsidRPr="008B4A25" w:rsidRDefault="00997912" w:rsidP="00997912">
      <w:pPr>
        <w:pBdr>
          <w:top w:val="nil"/>
          <w:left w:val="nil"/>
          <w:bottom w:val="nil"/>
          <w:right w:val="nil"/>
          <w:between w:val="nil"/>
          <w:bar w:val="nil"/>
        </w:pBdr>
        <w:spacing w:before="240" w:after="240"/>
        <w:rPr>
          <w:noProof/>
        </w:rPr>
      </w:pPr>
      <w:r w:rsidRPr="008B4A25">
        <w:rPr>
          <w:noProof/>
        </w:rPr>
        <w:t>În 2025, Uniunea și Regatul Unit au organizat consultări bilaterale cu privire la stabilirea unui număr mare de capturi totale admisibile (TAC) pentru 2026, inclusiv a anumitor măsuri legate funcțional de TAC-urile respective, pentru stocurile enumerate în anexa 35 la Acordul comercial și de cooperare dintre Uniunea Europeană și Comunitatea Europeană a Energiei Atomice, pe de o parte, și Regatul Unit al Marii Britanii și Irlandei de Nord, pe de altă parte</w:t>
      </w:r>
      <w:r w:rsidRPr="008B4A25">
        <w:rPr>
          <w:rStyle w:val="FootnoteReference"/>
          <w:noProof/>
        </w:rPr>
        <w:footnoteReference w:id="5"/>
      </w:r>
      <w:r w:rsidRPr="008B4A25">
        <w:rPr>
          <w:noProof/>
        </w:rPr>
        <w:t xml:space="preserve"> (denumit în continuare „Acordul comercial și de cooperare”). Rezultatul consultărilor a fost consemnat într-un proces-verbal</w:t>
      </w:r>
      <w:r w:rsidRPr="008B4A25">
        <w:rPr>
          <w:rStyle w:val="FootnoteReference"/>
          <w:noProof/>
        </w:rPr>
        <w:footnoteReference w:id="6"/>
      </w:r>
      <w:r w:rsidRPr="008B4A25">
        <w:rPr>
          <w:noProof/>
        </w:rPr>
        <w:t xml:space="preserve"> semnat de șefii delegațiilor la 10 decembrie 2025. </w:t>
      </w:r>
    </w:p>
    <w:p w:rsidR="00997912" w:rsidRPr="008B4A25" w:rsidRDefault="00997912" w:rsidP="00997912">
      <w:pPr>
        <w:pBdr>
          <w:top w:val="nil"/>
          <w:left w:val="nil"/>
          <w:bottom w:val="nil"/>
          <w:right w:val="nil"/>
          <w:between w:val="nil"/>
          <w:bar w:val="nil"/>
        </w:pBdr>
        <w:spacing w:before="240" w:after="240"/>
        <w:rPr>
          <w:noProof/>
        </w:rPr>
      </w:pPr>
      <w:r w:rsidRPr="008B4A25">
        <w:rPr>
          <w:noProof/>
        </w:rPr>
        <w:t xml:space="preserve">Astfel cum s-a consemnat în procesul-verbal, șefii delegațiilor au convenit să recomande autorităților lor respective ca măsurile de remediere pentru cod, eglefin și merlan în Marea Celtică și în Marea Irlandei și pentru limbă-de-mare și cambulă de Baltica în Canalul Mânecii să înceapă să se aplice, în principiu, nu mai târziu de 1 iunie 2026, de către ambele părți, pentru a asigura condiții de concurență echitabile, întrucât stocurile în cauză sunt gestionate în comun. Acest lucru ar fi condiționat de notificarea de către părți a finalizării procedurilor lor interne necesare pentru adoptarea măsurilor de remediere respective, având în vedere că, în Regatul Unit, pot fi necesare proceduri legislative pentru intrarea în vigoare a unora dintre măsurile în cauză. Regatul Unit a informat serviciile Comisiei că procedurile sale interne </w:t>
      </w:r>
      <w:r w:rsidRPr="008B4A25">
        <w:rPr>
          <w:noProof/>
        </w:rPr>
        <w:lastRenderedPageBreak/>
        <w:t xml:space="preserve">pentru adoptarea unora dintre respectivele măsuri de remediere în dreptul Regatului Unit nu au fost încă finalizate. </w:t>
      </w:r>
    </w:p>
    <w:p w:rsidR="00073CBD" w:rsidRPr="008B4A25" w:rsidRDefault="00997912" w:rsidP="00997912">
      <w:pPr>
        <w:pBdr>
          <w:top w:val="nil"/>
          <w:left w:val="nil"/>
          <w:bottom w:val="nil"/>
          <w:right w:val="nil"/>
          <w:between w:val="nil"/>
          <w:bar w:val="nil"/>
        </w:pBdr>
        <w:spacing w:before="240" w:after="240"/>
        <w:rPr>
          <w:noProof/>
        </w:rPr>
      </w:pPr>
      <w:r w:rsidRPr="008B4A25">
        <w:rPr>
          <w:noProof/>
        </w:rPr>
        <w:t xml:space="preserve">Măsurile de remediere convenite pentru cod, eglefin și merlan în Marea Celtică vor intra în vigoare la 1 iunie, astfel cum se prevede în prezent la articolul 62 alineatul (2) litera (d) din Regulamentul 2026/249. </w:t>
      </w:r>
    </w:p>
    <w:p w:rsidR="00997912" w:rsidRPr="008B4A25" w:rsidRDefault="00997912" w:rsidP="00997912">
      <w:pPr>
        <w:pBdr>
          <w:top w:val="nil"/>
          <w:left w:val="nil"/>
          <w:bottom w:val="nil"/>
          <w:right w:val="nil"/>
          <w:between w:val="nil"/>
          <w:bar w:val="nil"/>
        </w:pBdr>
        <w:spacing w:before="240" w:after="240"/>
        <w:rPr>
          <w:noProof/>
        </w:rPr>
      </w:pPr>
      <w:r w:rsidRPr="008B4A25">
        <w:rPr>
          <w:noProof/>
        </w:rPr>
        <w:t xml:space="preserve">Măsurile de remediere convenite pentru cod și merlan în Marea Irlandei și pentru limbă-de-mare și cambulă de Baltica în Canalul Mânecii vor intra în vigoare în apele UE și ale Regatului Unit după ce Regatul Unit va fi notificat data finalizării procedurilor sale interne pentru adoptarea măsurilor relevante. În așteptarea unor informații mai concrete din partea Regatului Unit cu privire la finalizarea preconizată a procedurilor sale interne relevante </w:t>
      </w:r>
      <w:bookmarkStart w:id="1" w:name="_Hlk222903465"/>
      <w:r w:rsidRPr="008B4A25">
        <w:rPr>
          <w:noProof/>
        </w:rPr>
        <w:t>pentru adoptarea măsurilor,</w:t>
      </w:r>
      <w:bookmarkEnd w:id="1"/>
      <w:r w:rsidRPr="008B4A25">
        <w:rPr>
          <w:noProof/>
        </w:rPr>
        <w:t xml:space="preserve"> data de începere a aplicării măsurilor de remediere pentru cod și merlan în Marea Irlandei și pentru limbă-de-mare și cambulă de Baltica în Canalul Mânecii este marcată cu „pm” (</w:t>
      </w:r>
      <w:r w:rsidRPr="008B4A25">
        <w:rPr>
          <w:i/>
          <w:iCs/>
          <w:noProof/>
        </w:rPr>
        <w:t>pro memoria</w:t>
      </w:r>
      <w:r w:rsidRPr="008B4A25">
        <w:rPr>
          <w:noProof/>
        </w:rPr>
        <w:t>) în prezenta propunere. De îndată ce informațiile respective vor fi primite din partea Regatului Unit, serviciile Comisiei vor actualiza propunerea prin intermediul unui document neoficial care va propune o dată de începere a aplicării măsurilor respective la 1 iunie 2026 sau după această dată, aceasta fiind data de începere a aplicării stabilită prin Regulamentul (UE) 2026/249.</w:t>
      </w:r>
    </w:p>
    <w:p w:rsidR="00D62121" w:rsidRPr="008B4A25" w:rsidRDefault="00D62121" w:rsidP="000F5FD1">
      <w:pPr>
        <w:pBdr>
          <w:top w:val="nil"/>
          <w:left w:val="nil"/>
          <w:bottom w:val="nil"/>
          <w:right w:val="nil"/>
          <w:between w:val="nil"/>
          <w:bar w:val="nil"/>
        </w:pBdr>
        <w:spacing w:before="240" w:after="240"/>
        <w:rPr>
          <w:b/>
          <w:bCs/>
          <w:noProof/>
        </w:rPr>
      </w:pPr>
      <w:r w:rsidRPr="008B4A25">
        <w:rPr>
          <w:b/>
          <w:noProof/>
        </w:rPr>
        <w:t>Uva din Marea Nordului</w:t>
      </w:r>
    </w:p>
    <w:p w:rsidR="00D62121" w:rsidRPr="008B4A25" w:rsidRDefault="00D62121" w:rsidP="00440DA8">
      <w:pPr>
        <w:rPr>
          <w:noProof/>
        </w:rPr>
      </w:pPr>
      <w:r w:rsidRPr="008B4A25">
        <w:rPr>
          <w:noProof/>
        </w:rPr>
        <w:t>Regulamentul (UE) 2026/249 a marcat provizoriu cu „urmează să se stabilească” capturile totale admisibile (TAC) pentru uvă și capturile accidentale asociate (</w:t>
      </w:r>
      <w:r w:rsidRPr="008B4A25">
        <w:rPr>
          <w:i/>
          <w:noProof/>
        </w:rPr>
        <w:t>Ammodytes</w:t>
      </w:r>
      <w:r w:rsidRPr="008B4A25">
        <w:rPr>
          <w:noProof/>
        </w:rPr>
        <w:t xml:space="preserve"> spp.) din apele Regatului Unit și din apele UE din subzona 4 a Consiliului Internațional pentru Explorarea Apelor Maritime („ICES”), din apele Regatului Unit din diviziunea ICES 2a (Marea Nordului) și din apele UE din diviziunea 3a (Skagerrak și Kattegat) pentru 2026, în așteptarea publicării de către ICES a avizului științific pentru stocul relevant pentru 2026. </w:t>
      </w:r>
    </w:p>
    <w:p w:rsidR="00AA1229" w:rsidRPr="008B4A25" w:rsidRDefault="70E52E1C" w:rsidP="00440DA8">
      <w:pPr>
        <w:rPr>
          <w:noProof/>
        </w:rPr>
      </w:pPr>
      <w:r w:rsidRPr="008B4A25">
        <w:rPr>
          <w:noProof/>
        </w:rPr>
        <w:t>La 27 februarie 2026, ICES a publicat avizul științific pentru uvă din subzona 4 și diviziunea 3a ale ICES pentru 2026. În urma publicării avizului respectiv, UE va organiza consultări bilaterale cu Regatul Unit cu privire la nivelul respectivei TAC pentru 2026 în conformitate cu articolul 498 alineatele (2), (4) și (6) din Acordul comercial și de cooperare. În așteptarea rezultatului consultărilor bilaterale respective, textul considerentului relevant din Regulamentul (UE) 2025/669 al Consiliului</w:t>
      </w:r>
      <w:r w:rsidRPr="008B4A25">
        <w:rPr>
          <w:rStyle w:val="FootnoteReference"/>
          <w:noProof/>
        </w:rPr>
        <w:footnoteReference w:id="7"/>
      </w:r>
      <w:r w:rsidRPr="008B4A25">
        <w:rPr>
          <w:noProof/>
        </w:rPr>
        <w:t xml:space="preserve"> este inclus între paranteze pătrate, iar TAC pentru uvă și capturile accidentale asociate din subzona 4 și din diviziunile 2a și 3a ale ICES pentru 2026 este marcată cu „pm” (</w:t>
      </w:r>
      <w:r w:rsidRPr="008B4A25">
        <w:rPr>
          <w:i/>
          <w:iCs/>
          <w:noProof/>
        </w:rPr>
        <w:t>pro memoria</w:t>
      </w:r>
      <w:r w:rsidRPr="008B4A25">
        <w:rPr>
          <w:noProof/>
        </w:rPr>
        <w:t>) în prezenta propunere. De îndată ce se va cunoaște rezultatul respectivelor consultări bilaterale, serviciile Comisiei vor actualiza propunerea prin intermediul unui document neoficial care va propune această TAC pentru 2026 la nivelul convenit cu Regatul Unit.</w:t>
      </w:r>
    </w:p>
    <w:p w:rsidR="00DA577A" w:rsidRPr="008B4A25" w:rsidRDefault="00DA577A" w:rsidP="00DA577A">
      <w:pPr>
        <w:pBdr>
          <w:top w:val="nil"/>
          <w:left w:val="nil"/>
          <w:bottom w:val="nil"/>
          <w:right w:val="nil"/>
          <w:between w:val="nil"/>
          <w:bar w:val="nil"/>
        </w:pBdr>
        <w:spacing w:before="240" w:after="240"/>
        <w:rPr>
          <w:b/>
          <w:noProof/>
        </w:rPr>
      </w:pPr>
      <w:r w:rsidRPr="008B4A25">
        <w:rPr>
          <w:b/>
          <w:noProof/>
        </w:rPr>
        <w:t>Macrou în Atlanticul de Nord-Est</w:t>
      </w:r>
    </w:p>
    <w:p w:rsidR="009E15B6" w:rsidRPr="008B4A25" w:rsidRDefault="009E15B6" w:rsidP="009E15B6">
      <w:pPr>
        <w:pBdr>
          <w:top w:val="nil"/>
          <w:left w:val="nil"/>
          <w:bottom w:val="nil"/>
          <w:right w:val="nil"/>
          <w:between w:val="nil"/>
          <w:bar w:val="nil"/>
        </w:pBdr>
        <w:spacing w:before="240" w:after="240"/>
        <w:rPr>
          <w:noProof/>
        </w:rPr>
      </w:pPr>
      <w:r w:rsidRPr="008B4A25">
        <w:rPr>
          <w:noProof/>
        </w:rPr>
        <w:t>Macroul (</w:t>
      </w:r>
      <w:r w:rsidRPr="008B4A25">
        <w:rPr>
          <w:i/>
          <w:noProof/>
        </w:rPr>
        <w:t>Scomber scombrus</w:t>
      </w:r>
      <w:r w:rsidRPr="008B4A25">
        <w:rPr>
          <w:noProof/>
        </w:rPr>
        <w:t xml:space="preserve">) din Atlanticul de Nord-Est face obiectul consultărilor anuale ale statelor de coastă cu privire la gestionarea stocului respectiv și este un stoc gestionat, de asemenea, de Comisia pentru pescuit în Atlanticul de Nord-Est (CPANE). </w:t>
      </w:r>
    </w:p>
    <w:p w:rsidR="009E15B6" w:rsidRPr="008B4A25" w:rsidRDefault="20BBBC20" w:rsidP="0126DEB4">
      <w:pPr>
        <w:pBdr>
          <w:top w:val="nil"/>
          <w:left w:val="nil"/>
          <w:bottom w:val="nil"/>
          <w:right w:val="nil"/>
          <w:between w:val="nil"/>
          <w:bar w:val="nil"/>
        </w:pBdr>
        <w:spacing w:before="240" w:after="240"/>
        <w:rPr>
          <w:noProof/>
        </w:rPr>
      </w:pPr>
      <w:r w:rsidRPr="008B4A25">
        <w:rPr>
          <w:noProof/>
        </w:rPr>
        <w:lastRenderedPageBreak/>
        <w:t>Având în vedere că, în decembrie 2025, consultările statelor de coastă dintre UE, Insulele Feroe, Groenlanda, Islanda, Norvegia și Regatul Unit erau încă în curs de desfășurare, iar CPANE nu a adoptat o recomandare de stabilire a TAC pentru macrou în cadrul reuniunii sale anuale din 11 și 14 noiembrie 2025, Regulamentul (UE) 2026/249 stabilește cote provizorii ale UE pentru macrou pentru prima jumătate a anului 2026. Având în vedere caracterul sezonier al pescuitului de macrou, cotele provizorii ale UE sunt stabilite la 90 % din nivelul recomandat de ICES</w:t>
      </w:r>
      <w:r w:rsidRPr="008B4A25">
        <w:rPr>
          <w:rStyle w:val="FootnoteReference"/>
          <w:noProof/>
        </w:rPr>
        <w:footnoteReference w:id="8"/>
      </w:r>
      <w:r w:rsidRPr="008B4A25">
        <w:rPr>
          <w:noProof/>
        </w:rPr>
        <w:t xml:space="preserve"> și în conformitate cu abordarea aplicată începând din 2021</w:t>
      </w:r>
      <w:r w:rsidRPr="008B4A25">
        <w:rPr>
          <w:rStyle w:val="FootnoteReference"/>
          <w:noProof/>
        </w:rPr>
        <w:footnoteReference w:id="9"/>
      </w:r>
      <w:r w:rsidRPr="008B4A25">
        <w:rPr>
          <w:noProof/>
        </w:rPr>
        <w:t>.</w:t>
      </w:r>
    </w:p>
    <w:p w:rsidR="29DC0008" w:rsidRPr="008B4A25" w:rsidRDefault="29DC0008" w:rsidP="0126DEB4">
      <w:pPr>
        <w:pBdr>
          <w:top w:val="nil"/>
          <w:left w:val="nil"/>
          <w:bottom w:val="nil"/>
          <w:right w:val="nil"/>
          <w:between w:val="nil"/>
          <w:bar w:val="nil"/>
        </w:pBdr>
        <w:spacing w:before="240" w:after="240"/>
        <w:rPr>
          <w:noProof/>
        </w:rPr>
      </w:pPr>
      <w:r w:rsidRPr="008B4A25">
        <w:rPr>
          <w:noProof/>
        </w:rPr>
        <w:t>Ținând seama de consultările bilaterale și multilaterale privind gestionarea stocului de macrou și înainte de expirarea cotelor provizorii ale UE la 30 iunie 2026, Consiliul ar trebui să stabilească cotele UE pentru macrou pentru 2026, respectând în același timp dispozițiile Acordului comercial și de cooperare. Cotele sunt marcate cu „pm” în prezenta propunere, dar serviciile Comisiei vor actualiza în curând prezenta propunere prin intermediul unui document neoficial care va propune cotele UE respective pentru 2026.</w:t>
      </w:r>
    </w:p>
    <w:p w:rsidR="000F5FD1" w:rsidRPr="008B4A25" w:rsidRDefault="000F5FD1" w:rsidP="000F5FD1">
      <w:pPr>
        <w:pBdr>
          <w:top w:val="nil"/>
          <w:left w:val="nil"/>
          <w:bottom w:val="nil"/>
          <w:right w:val="nil"/>
          <w:between w:val="nil"/>
          <w:bar w:val="nil"/>
        </w:pBdr>
        <w:spacing w:before="240" w:after="240"/>
        <w:rPr>
          <w:b/>
          <w:noProof/>
        </w:rPr>
      </w:pPr>
      <w:r w:rsidRPr="008B4A25">
        <w:rPr>
          <w:b/>
          <w:noProof/>
        </w:rPr>
        <w:t>Accesul la heringul atlantico-scandinav și la putasu</w:t>
      </w:r>
    </w:p>
    <w:p w:rsidR="000F5FD1" w:rsidRPr="008B4A25" w:rsidRDefault="000F5FD1" w:rsidP="000F5FD1">
      <w:pPr>
        <w:pBdr>
          <w:top w:val="nil"/>
          <w:left w:val="nil"/>
          <w:bottom w:val="nil"/>
          <w:right w:val="nil"/>
          <w:between w:val="nil"/>
          <w:bar w:val="nil"/>
        </w:pBdr>
        <w:spacing w:before="240" w:after="240"/>
        <w:rPr>
          <w:noProof/>
        </w:rPr>
      </w:pPr>
      <w:r w:rsidRPr="008B4A25">
        <w:rPr>
          <w:noProof/>
        </w:rPr>
        <w:t>Întrucât consultările bilaterale dintre UE și Norvegia cu privire la accesul la apele lor respective pentru pescuitul de hering (</w:t>
      </w:r>
      <w:r w:rsidRPr="008B4A25">
        <w:rPr>
          <w:i/>
          <w:iCs/>
          <w:noProof/>
        </w:rPr>
        <w:t>Clupea harengus</w:t>
      </w:r>
      <w:r w:rsidRPr="008B4A25">
        <w:rPr>
          <w:noProof/>
        </w:rPr>
        <w:t>) („hering atlantico-scandinav”) și de putasu (</w:t>
      </w:r>
      <w:r w:rsidRPr="008B4A25">
        <w:rPr>
          <w:i/>
          <w:iCs/>
          <w:noProof/>
        </w:rPr>
        <w:t>Micromesistius poutassou</w:t>
      </w:r>
      <w:r w:rsidRPr="008B4A25">
        <w:rPr>
          <w:noProof/>
        </w:rPr>
        <w:t xml:space="preserve">) în Atlanticul de Nord-Est nu fuseseră încheiate la momentul adoptării Regulamentului (UE) 2026/249, nivelurile de acces corespunzătoare pentru 2026 au fost marcate cu „urmează să se stabilească” în regulamentul respectiv. </w:t>
      </w:r>
    </w:p>
    <w:p w:rsidR="000F5FD1" w:rsidRPr="008B4A25" w:rsidRDefault="000F5FD1" w:rsidP="005B4A19">
      <w:pPr>
        <w:rPr>
          <w:noProof/>
        </w:rPr>
      </w:pPr>
      <w:r w:rsidRPr="008B4A25">
        <w:rPr>
          <w:noProof/>
        </w:rPr>
        <w:t>În așteptarea rezultatului respectivelor consultări bilaterale, nivelurile de acces sunt marcate cu „pm” în prezenta propunere. De îndată ce se va cunoaște rezultatul consultărilor, serviciile Comisiei vor actualiza propunerea prin intermediul unui document neoficial care va propune respectivele niveluri de acces pentru 2026 la nivelul convenit cu Norvegia.</w:t>
      </w:r>
    </w:p>
    <w:p w:rsidR="00735B8E" w:rsidRPr="008B4A25" w:rsidRDefault="00735B8E" w:rsidP="00735B8E">
      <w:pPr>
        <w:pBdr>
          <w:top w:val="nil"/>
          <w:left w:val="nil"/>
          <w:bottom w:val="nil"/>
          <w:right w:val="nil"/>
          <w:between w:val="nil"/>
          <w:bar w:val="nil"/>
        </w:pBdr>
        <w:spacing w:before="240" w:after="240"/>
        <w:rPr>
          <w:b/>
          <w:noProof/>
        </w:rPr>
      </w:pPr>
      <w:r w:rsidRPr="008B4A25">
        <w:rPr>
          <w:b/>
          <w:noProof/>
        </w:rPr>
        <w:t>Codul din Arctica de Nord-Est</w:t>
      </w:r>
    </w:p>
    <w:p w:rsidR="008474F3" w:rsidRPr="008B4A25" w:rsidRDefault="008474F3" w:rsidP="00735B8E">
      <w:pPr>
        <w:pBdr>
          <w:top w:val="nil"/>
          <w:left w:val="nil"/>
          <w:bottom w:val="nil"/>
          <w:right w:val="nil"/>
          <w:between w:val="nil"/>
          <w:bar w:val="nil"/>
        </w:pBdr>
        <w:spacing w:before="240" w:after="240"/>
        <w:rPr>
          <w:noProof/>
        </w:rPr>
      </w:pPr>
      <w:r w:rsidRPr="008B4A25">
        <w:rPr>
          <w:noProof/>
        </w:rPr>
        <w:t>Regulamentul (UE) 2026/249 stabilește o cotă provizorie a UE pentru cod (</w:t>
      </w:r>
      <w:r w:rsidRPr="008B4A25">
        <w:rPr>
          <w:i/>
          <w:iCs/>
          <w:noProof/>
        </w:rPr>
        <w:t>Gadus morhua</w:t>
      </w:r>
      <w:r w:rsidRPr="008B4A25">
        <w:rPr>
          <w:noProof/>
        </w:rPr>
        <w:t>) în apele arhipelagului Svalbard și în apele internaționale din subzona ICES 1 și diviziunea ICES 2b (Arctica de Nord-Est) pentru perioada 1 ianuarie-30 iunie 2026, în așteptarea stabilirii unei TAC de referință pentru codul din Arctica de Nord-Est pentru 2026.</w:t>
      </w:r>
    </w:p>
    <w:p w:rsidR="00735B8E" w:rsidRPr="008B4A25" w:rsidRDefault="23C5EE81" w:rsidP="40ABDB0B">
      <w:pPr>
        <w:pBdr>
          <w:top w:val="nil"/>
          <w:left w:val="nil"/>
          <w:bottom w:val="nil"/>
          <w:right w:val="nil"/>
          <w:between w:val="nil"/>
          <w:bar w:val="nil"/>
        </w:pBdr>
        <w:spacing w:before="240" w:after="240"/>
        <w:rPr>
          <w:noProof/>
        </w:rPr>
      </w:pPr>
      <w:r w:rsidRPr="008B4A25">
        <w:rPr>
          <w:noProof/>
        </w:rPr>
        <w:t xml:space="preserve">În urma stabilirii acestei TAC de referință pentru 2026, ar trebui stabilită cota definitivă a UE pentru cod în apele arhipelagului Svalbard și în apele internaționale din subzona ICES 1 și diviziunea ICES 2b pentru 2026. Prin urmare, se propune stabilirea respectivei cote definitive a UE pentru 2026 pe baza TAC de referință pentru 2026 și pe baza cotei istorice a UE pentru cod din Arctica de Nord-Est. </w:t>
      </w:r>
    </w:p>
    <w:p w:rsidR="00D87409" w:rsidRPr="008B4A25" w:rsidRDefault="00D87409" w:rsidP="00500EA9">
      <w:pPr>
        <w:pBdr>
          <w:top w:val="nil"/>
          <w:left w:val="nil"/>
          <w:bottom w:val="nil"/>
          <w:right w:val="nil"/>
          <w:between w:val="nil"/>
          <w:bar w:val="nil"/>
        </w:pBdr>
        <w:spacing w:before="240" w:after="240"/>
        <w:rPr>
          <w:b/>
          <w:noProof/>
        </w:rPr>
      </w:pPr>
      <w:r w:rsidRPr="008B4A25">
        <w:rPr>
          <w:b/>
          <w:noProof/>
        </w:rPr>
        <w:t>ICCAT</w:t>
      </w:r>
    </w:p>
    <w:p w:rsidR="00FF7F61" w:rsidRPr="008B4A25" w:rsidRDefault="00D87409" w:rsidP="00D87409">
      <w:pPr>
        <w:pBdr>
          <w:top w:val="nil"/>
          <w:left w:val="nil"/>
          <w:bottom w:val="nil"/>
          <w:right w:val="nil"/>
          <w:between w:val="nil"/>
          <w:bar w:val="nil"/>
        </w:pBdr>
        <w:spacing w:before="0" w:after="240"/>
        <w:rPr>
          <w:noProof/>
        </w:rPr>
      </w:pPr>
      <w:r w:rsidRPr="008B4A25">
        <w:rPr>
          <w:noProof/>
        </w:rPr>
        <w:t>Limitele efortului de pescuit pentru navele din UE care pescuiesc ton roșu (</w:t>
      </w:r>
      <w:r w:rsidRPr="008B4A25">
        <w:rPr>
          <w:i/>
          <w:iCs/>
          <w:noProof/>
        </w:rPr>
        <w:t>Thunnus thynnus</w:t>
      </w:r>
      <w:r w:rsidRPr="008B4A25">
        <w:rPr>
          <w:noProof/>
        </w:rPr>
        <w:t xml:space="preserve">) într-o parte din zona Convenției Comisiei Internaționale pentru Conservarea Tonului din Oceanul Atlantic (ICCAT), la est de 45°V, inclusiv în Marea Mediterană, precum și volumul </w:t>
      </w:r>
      <w:r w:rsidRPr="008B4A25">
        <w:rPr>
          <w:noProof/>
        </w:rPr>
        <w:lastRenderedPageBreak/>
        <w:t>maxim al intrărilor și capacitatea maximă a fermelor piscicole de ton roșu ale UE din zona respectivă se bazează pe informațiile furnizate în planurile anuale menționate la articolele 11, 13 și 15 din Regulamentul (UE) 2023/2053 al Parlamentului European și al Consiliului</w:t>
      </w:r>
      <w:r w:rsidRPr="008B4A25">
        <w:rPr>
          <w:rStyle w:val="FootnoteReference"/>
          <w:noProof/>
        </w:rPr>
        <w:footnoteReference w:id="10"/>
      </w:r>
      <w:r w:rsidRPr="008B4A25">
        <w:rPr>
          <w:noProof/>
        </w:rPr>
        <w:t>. Statele membre trebuie să transmită planurile respective Comisiei până la data de 31 ianuarie a fiecărui an, în temeiul articolului 16 alineatul (1) din Regulamentul (UE) 2023/2053. Planurile respective sunt apoi compilate de Comisie și constituie baza pentru stabilirea unui plan anual al UE, care este transmis Secretariatului ICCAT spre dezbatere și aprobare de către ICCAT, în conformitate cu articolul 16 alineatul (2) din Regulamentul (UE) 2023/2053. În așteptarea prezentării și aprobării planului anual al UE de către ICCAT, textul considerentului relevant din Regulamentul (UE) 2025/669 este inclus între paranteze pătrate, iar limitele efortului de pescuit al UE, precum și volumul maxim al intrărilor și capacitatea maximă de creștere ale UE pentru 2026 sunt marcate cu „pm” în prezenta propunere. De îndată ce planul anual al UE va fi aprobat de ICCAT, serviciile Comisiei vor actualiza propunerea prin intermediul unui document neoficial care va propune limitele respective ale efortului de pescuit, precum și volumul maxim al intrărilor și capacitatea maximă de creștere pentru 2026.</w:t>
      </w:r>
    </w:p>
    <w:p w:rsidR="00C2056A" w:rsidRPr="008B4A25" w:rsidRDefault="00CB3599" w:rsidP="5DB31DF5">
      <w:pPr>
        <w:pBdr>
          <w:top w:val="nil"/>
          <w:left w:val="nil"/>
          <w:bottom w:val="nil"/>
          <w:right w:val="nil"/>
          <w:between w:val="nil"/>
          <w:bar w:val="nil"/>
        </w:pBdr>
        <w:rPr>
          <w:noProof/>
        </w:rPr>
      </w:pPr>
      <w:r w:rsidRPr="008B4A25">
        <w:rPr>
          <w:noProof/>
        </w:rPr>
        <w:t>În plus, în temeiul articolului 8 din Regulamentul (UE) 2023/2053, statele membre pot solicita transferul a maximum 5 % din cota lor anuală de ton roșu în zona Convenției ICCAT, la est de 45°V, din anul precedent într-un anumit an. În cazul în care statele membre formulează o astfel de cerere, ele trebuie să prezinte Comisiei un plan anual de pescuit revizuit. Pe baza unor astfel de planuri anuale de pescuit revizuite, Comisia va prezenta un plan anual revizuit al UE Secretariatului ICCAT, spre dezbatere și aprobare de către ICCAT, în conformitate cu articolul 11 alineatul (5) din Regulamentul (UE) 2023/2053. În așteptarea: (i) posibilei includeri de către Comisie a unei cereri de reportare a cotei UE din 2025 în 2026 în planul anual al UE și a aprobării de către ICCAT a unor astfel de revizuiri ale planului anual al UE; și (ii) a disponibilității datelor privind utilizarea cotelor de către statele membre pentru stocul respectiv în anul precedent, textul considerentului relevant din Regulamentul (UE) 2025/669 este inclus între paranteze pătrate, iar TAC pentru tonul roșu în Oceanul Atlantic, la est de 45° V, pentru 2026, este marcată cu „pm” în prezenta propunere.</w:t>
      </w:r>
      <w:r w:rsidR="008B4A25">
        <w:rPr>
          <w:noProof/>
        </w:rPr>
        <w:t xml:space="preserve"> </w:t>
      </w:r>
      <w:r w:rsidRPr="008B4A25">
        <w:rPr>
          <w:noProof/>
        </w:rPr>
        <w:t>De îndată ce planul anual al UE va fi aprobat de ICCAT, iar datele privind utilizarea cotelor de către statele membre vor deveni disponibile, serviciile Comisiei vor actualiza propunerea prin intermediul unui document neoficial care va propune modificarea în consecință a cotelor statelor membre respective pentru stocul respectiv pentru 2026. La calcularea cotelor modificate ale statelor membre, se va ține seama atât de subexploatarea stocurilor, cât și de pescuitul excesiv practicat de statele membre în anul precedent. În cazul pescuitului excesiv, deducerile cotelor trebuie să se aplice în conformitate cu procedurile prevăzute la articolul 105 și la articolul 107a din Regulamentul (CE) nr. 1224/2009 al Consiliului</w:t>
      </w:r>
      <w:r w:rsidRPr="008B4A25">
        <w:rPr>
          <w:rStyle w:val="FootnoteReference"/>
          <w:noProof/>
        </w:rPr>
        <w:footnoteReference w:id="11"/>
      </w:r>
      <w:r w:rsidRPr="008B4A25">
        <w:rPr>
          <w:noProof/>
        </w:rPr>
        <w:t>.</w:t>
      </w:r>
    </w:p>
    <w:p w:rsidR="00CB3599" w:rsidRPr="008B4A25" w:rsidRDefault="3D3C84C2" w:rsidP="0126DEB4">
      <w:pPr>
        <w:pBdr>
          <w:top w:val="nil"/>
          <w:left w:val="nil"/>
          <w:bottom w:val="nil"/>
          <w:right w:val="nil"/>
          <w:between w:val="nil"/>
          <w:bar w:val="nil"/>
        </w:pBdr>
        <w:spacing w:before="240" w:after="240"/>
        <w:rPr>
          <w:noProof/>
        </w:rPr>
      </w:pPr>
      <w:r w:rsidRPr="008B4A25">
        <w:rPr>
          <w:noProof/>
        </w:rPr>
        <w:lastRenderedPageBreak/>
        <w:t>În plus, în temeiul articolelor 8a, 17b și 18b din Regulamentul (UE) 2017/2107 al Parlamentului European și al Consiliului</w:t>
      </w:r>
      <w:r w:rsidRPr="008B4A25">
        <w:rPr>
          <w:rStyle w:val="FootnoteReference"/>
          <w:noProof/>
        </w:rPr>
        <w:footnoteReference w:id="12"/>
      </w:r>
      <w:r w:rsidRPr="008B4A25">
        <w:rPr>
          <w:noProof/>
        </w:rPr>
        <w:t>, cota anuală a unui stat membru pentru: (i) tonul obez (</w:t>
      </w:r>
      <w:r w:rsidRPr="008B4A25">
        <w:rPr>
          <w:i/>
          <w:iCs/>
          <w:noProof/>
        </w:rPr>
        <w:t>Thunnus obesus</w:t>
      </w:r>
      <w:r w:rsidRPr="008B4A25">
        <w:rPr>
          <w:noProof/>
        </w:rPr>
        <w:t>) în zona Convenției ICCAT; (ii) tonul alb (</w:t>
      </w:r>
      <w:r w:rsidRPr="008B4A25">
        <w:rPr>
          <w:i/>
          <w:iCs/>
          <w:noProof/>
        </w:rPr>
        <w:t>Thunnus alalunga</w:t>
      </w:r>
      <w:r w:rsidRPr="008B4A25">
        <w:rPr>
          <w:noProof/>
        </w:rPr>
        <w:t>) în zona Convenției ICCAT, atât la nord de 5° N, cât și la sud de 5° N; și (iii) peștele-spadă (</w:t>
      </w:r>
      <w:r w:rsidRPr="008B4A25">
        <w:rPr>
          <w:i/>
          <w:iCs/>
          <w:noProof/>
        </w:rPr>
        <w:t>Xiphias gladius</w:t>
      </w:r>
      <w:r w:rsidRPr="008B4A25">
        <w:rPr>
          <w:noProof/>
        </w:rPr>
        <w:t>) în zona Convenției ICCAT, atât la nord de 5° N, cât și la sud de 5° N, poate fi transferată din penultimul an către un anumit an, în conformitate cu recomandările ICCAT relevante. Prin urmare, se propune modificarea în consecință a cotelor statelor membre respective pentru stocurile respective pentru 2026. La calcularea cotelor modificate ale statelor membre, se va ține seama atât de subexploatarea stocurilor, cât și de pescuitul excesiv practicat de statele membre în penultimul an. În cazul pescuitului excesiv, deducerile cotelor trebuie să se aplice în conformitate cu procedurile prevăzute la articolul 105 și la articolul 107a din Regulamentul (CE) nr. 1224/2009.</w:t>
      </w:r>
    </w:p>
    <w:p w:rsidR="00D21655" w:rsidRPr="008B4A25" w:rsidRDefault="00D21655" w:rsidP="00440DA8">
      <w:pPr>
        <w:pBdr>
          <w:top w:val="nil"/>
          <w:left w:val="nil"/>
          <w:bottom w:val="nil"/>
          <w:right w:val="nil"/>
          <w:between w:val="nil"/>
          <w:bar w:val="nil"/>
        </w:pBdr>
        <w:spacing w:before="240" w:after="240"/>
        <w:rPr>
          <w:b/>
          <w:bCs/>
          <w:noProof/>
        </w:rPr>
      </w:pPr>
      <w:r w:rsidRPr="008B4A25">
        <w:rPr>
          <w:b/>
          <w:noProof/>
        </w:rPr>
        <w:t>SPRFMO</w:t>
      </w:r>
    </w:p>
    <w:p w:rsidR="00A7006A" w:rsidRPr="008B4A25" w:rsidRDefault="009C38D5" w:rsidP="00440DA8">
      <w:pPr>
        <w:pBdr>
          <w:top w:val="nil"/>
          <w:left w:val="nil"/>
          <w:bottom w:val="nil"/>
          <w:right w:val="nil"/>
          <w:between w:val="nil"/>
          <w:bar w:val="nil"/>
        </w:pBdr>
        <w:spacing w:before="240" w:after="240"/>
        <w:rPr>
          <w:noProof/>
        </w:rPr>
      </w:pPr>
      <w:r w:rsidRPr="008B4A25">
        <w:rPr>
          <w:noProof/>
        </w:rPr>
        <w:t xml:space="preserve">În Regulamentul (UE) 2026/249, TAC-urile din zona Convenției Organizației Regionale de Gestionare a Pescuitului în Pacificul de Sud (SPRFMO) sunt fixate provizoriu la zero, iar măsurile legate funcțional de TAC-uri sunt menținute temporar, în așteptarea rezultatului reuniunii anuale a SPRFMO din 2026, care a avut loc în perioada 2 – 6 martie 2026. </w:t>
      </w:r>
    </w:p>
    <w:p w:rsidR="007532FC" w:rsidRPr="008B4A25" w:rsidRDefault="007532FC" w:rsidP="00440DA8">
      <w:pPr>
        <w:pBdr>
          <w:top w:val="nil"/>
          <w:left w:val="nil"/>
          <w:bottom w:val="nil"/>
          <w:right w:val="nil"/>
          <w:between w:val="nil"/>
          <w:bar w:val="nil"/>
        </w:pBdr>
        <w:spacing w:before="240" w:after="240"/>
        <w:rPr>
          <w:noProof/>
        </w:rPr>
      </w:pPr>
      <w:r w:rsidRPr="008B4A25">
        <w:rPr>
          <w:noProof/>
        </w:rPr>
        <w:t xml:space="preserve">În așteptarea rezultatului reuniunii anuale respective, textul considerentului relevant </w:t>
      </w:r>
      <w:bookmarkStart w:id="2" w:name="_Hlk187917578"/>
      <w:r w:rsidRPr="008B4A25">
        <w:rPr>
          <w:noProof/>
        </w:rPr>
        <w:t>din</w:t>
      </w:r>
      <w:bookmarkEnd w:id="2"/>
      <w:r w:rsidRPr="008B4A25">
        <w:rPr>
          <w:noProof/>
        </w:rPr>
        <w:t xml:space="preserve"> Regulamentul (UE) 2025/669 este inclus între paranteze pătrate, iar TAC-urile din zona Convenției SPRFMO sunt marcate cu „pm” în prezenta propunere. De îndată ce se va cunoaște rezultatul respectivei reuniuni anuale, serviciile Comisiei vor actualiza propunerea prin intermediul unui document neoficial care va propune TAC-urile respective pentru 2026 la nivelul convenit în cadrul SPRFMO.</w:t>
      </w:r>
    </w:p>
    <w:p w:rsidR="000F5FD1" w:rsidRPr="008B4A25" w:rsidRDefault="000F5FD1" w:rsidP="000F5FD1">
      <w:pPr>
        <w:pBdr>
          <w:top w:val="nil"/>
          <w:left w:val="nil"/>
          <w:bottom w:val="nil"/>
          <w:right w:val="nil"/>
          <w:between w:val="nil"/>
          <w:bar w:val="nil"/>
        </w:pBdr>
        <w:spacing w:before="240" w:after="240"/>
        <w:rPr>
          <w:b/>
          <w:noProof/>
        </w:rPr>
      </w:pPr>
      <w:r w:rsidRPr="008B4A25">
        <w:rPr>
          <w:b/>
          <w:noProof/>
        </w:rPr>
        <w:t>NPFC</w:t>
      </w:r>
    </w:p>
    <w:p w:rsidR="000F5FD1" w:rsidRPr="008B4A25" w:rsidRDefault="000F5FD1" w:rsidP="000F5FD1">
      <w:pPr>
        <w:pBdr>
          <w:top w:val="nil"/>
          <w:left w:val="nil"/>
          <w:bottom w:val="nil"/>
          <w:right w:val="nil"/>
          <w:between w:val="nil"/>
          <w:bar w:val="nil"/>
        </w:pBdr>
        <w:spacing w:before="240" w:after="240"/>
        <w:rPr>
          <w:noProof/>
        </w:rPr>
      </w:pPr>
      <w:r w:rsidRPr="008B4A25">
        <w:rPr>
          <w:noProof/>
        </w:rPr>
        <w:t>În așteptarea rezultatului celei de a 10-a sesiuni a Comisiei pentru pescuit în Pacificul de Nord (NPFC), care va avea loc în perioada 14-17 aprilie 2026, Regulamentul (UE) 2026/249 a stabilit provizoriu la zero posibilitățile de pescuit pentru macroul de Pacific (</w:t>
      </w:r>
      <w:r w:rsidRPr="008B4A25">
        <w:rPr>
          <w:i/>
          <w:iCs/>
          <w:noProof/>
        </w:rPr>
        <w:t>Scomber japonicus</w:t>
      </w:r>
      <w:r w:rsidRPr="008B4A25">
        <w:rPr>
          <w:noProof/>
        </w:rPr>
        <w:t xml:space="preserve">) în zona Convenției NPFC pentru perioada 1 iunie 2026-31 mai 2027. </w:t>
      </w:r>
    </w:p>
    <w:p w:rsidR="000F5FD1" w:rsidRPr="008B4A25" w:rsidRDefault="000F5FD1" w:rsidP="00440DA8">
      <w:pPr>
        <w:pBdr>
          <w:top w:val="nil"/>
          <w:left w:val="nil"/>
          <w:bottom w:val="nil"/>
          <w:right w:val="nil"/>
          <w:between w:val="nil"/>
          <w:bar w:val="nil"/>
        </w:pBdr>
        <w:spacing w:before="240" w:after="240"/>
        <w:rPr>
          <w:noProof/>
        </w:rPr>
      </w:pPr>
      <w:r w:rsidRPr="008B4A25">
        <w:rPr>
          <w:noProof/>
        </w:rPr>
        <w:t>Respectivele posibilități de pescuit ar trebui marcate cu „urmează să se stabilească”. Scopul este de a permite începerea pescuitului de macrou de Pacific de la 1 iunie 2026, în urma încheierii sesiunii NPFC, pentru navele de pescuit ale UE cărora li s-a eliberat o autorizație de pescuit în conformitate cu articolele 20-22 din Regulamentul (UE) 2017/2403 al Parlamentului European și al Consiliului</w:t>
      </w:r>
      <w:r w:rsidRPr="008B4A25">
        <w:rPr>
          <w:rStyle w:val="FootnoteReference"/>
          <w:noProof/>
        </w:rPr>
        <w:footnoteReference w:id="13"/>
      </w:r>
      <w:r w:rsidRPr="008B4A25">
        <w:rPr>
          <w:noProof/>
        </w:rPr>
        <w:t>.</w:t>
      </w:r>
    </w:p>
    <w:p w:rsidR="000F5FD1" w:rsidRPr="008B4A25" w:rsidRDefault="000F5FD1" w:rsidP="008B4A25">
      <w:pPr>
        <w:keepNext/>
        <w:keepLines/>
        <w:pBdr>
          <w:top w:val="nil"/>
          <w:left w:val="nil"/>
          <w:bottom w:val="nil"/>
          <w:right w:val="nil"/>
          <w:between w:val="nil"/>
          <w:bar w:val="nil"/>
        </w:pBdr>
        <w:spacing w:before="240" w:after="240"/>
        <w:rPr>
          <w:b/>
          <w:bCs/>
          <w:noProof/>
        </w:rPr>
      </w:pPr>
      <w:r w:rsidRPr="008B4A25">
        <w:rPr>
          <w:b/>
          <w:noProof/>
        </w:rPr>
        <w:lastRenderedPageBreak/>
        <w:t>CITT</w:t>
      </w:r>
    </w:p>
    <w:p w:rsidR="000F5FD1" w:rsidRPr="008B4A25" w:rsidRDefault="000F5FD1" w:rsidP="000F5FD1">
      <w:pPr>
        <w:spacing w:before="240" w:after="240"/>
        <w:rPr>
          <w:noProof/>
        </w:rPr>
      </w:pPr>
      <w:r w:rsidRPr="008B4A25">
        <w:rPr>
          <w:noProof/>
        </w:rPr>
        <w:t>Regulamentul (UE) 2026/249 a stabilit două grupuri de perioade de interzicere a activităților de pescuit pentru navele de pescuit cu plasă-pungă din UE în zona Convenției Comisiei interamericane pentru tonul tropical (CITT) pentru 2026, în cursul cărora navelor respective li se interzice pescuitul de ton cu aripioare galbene (</w:t>
      </w:r>
      <w:r w:rsidRPr="008B4A25">
        <w:rPr>
          <w:i/>
          <w:iCs/>
          <w:noProof/>
        </w:rPr>
        <w:t>Thunnus albacares</w:t>
      </w:r>
      <w:r w:rsidRPr="008B4A25">
        <w:rPr>
          <w:noProof/>
        </w:rPr>
        <w:t>), de ton obez sau de ton dungat (</w:t>
      </w:r>
      <w:r w:rsidRPr="008B4A25">
        <w:rPr>
          <w:i/>
          <w:iCs/>
          <w:noProof/>
        </w:rPr>
        <w:t>Katsuwonus pelamis</w:t>
      </w:r>
      <w:r w:rsidRPr="008B4A25">
        <w:rPr>
          <w:noProof/>
        </w:rPr>
        <w:t xml:space="preserve">). Regulamentul respectiv a stabilit, de asemenea, prelungiri ale respectivelor perioade de interzicere a activităților de pescuit pentru navele ale căror capturi anuale de ton obez în zona Convenției CITT în cursul anului precedent au depășit anumite niveluri. </w:t>
      </w:r>
    </w:p>
    <w:p w:rsidR="0066246E" w:rsidRPr="008B4A25" w:rsidRDefault="000F5FD1" w:rsidP="0066246E">
      <w:pPr>
        <w:spacing w:before="240" w:after="240"/>
        <w:rPr>
          <w:noProof/>
        </w:rPr>
      </w:pPr>
      <w:r w:rsidRPr="008B4A25">
        <w:rPr>
          <w:noProof/>
        </w:rPr>
        <w:t xml:space="preserve">În conformitate cu măsurile adoptate de CITT în cadrul reuniunilor sale anuale din 2021, 2024 și 2025, dispozițiile respective ar trebui modificate astfel încât primul grup de perioade de interzicere a activităților de pescuit să se aplice în întreaga zonă a Convenției CITT, în timp ce al doilea grup de perioade de interzicere a activităților de pescuit să se aplice în continuare numai într-o anumită zonă. În plus, dispozițiile respective ar trebui modificate astfel încât prelungirile perioadelor de interzicere a activităților de pescuit pentru navele de pescuit cu plasă-pungă din UE, pe baza capturilor lor de ton obez în zona Convenției CITT din anul precedent, să se aplice numai primului grup de perioade de interzicere a activităților de pescuit și, prin urmare, să nu se mai aplice celui de al doilea grup de perioade de interzicere a activităților de pescuit. </w:t>
      </w:r>
    </w:p>
    <w:p w:rsidR="000F5FD1" w:rsidRPr="008B4A25" w:rsidRDefault="000F5FD1" w:rsidP="000F5FD1">
      <w:pPr>
        <w:spacing w:before="0" w:after="0"/>
        <w:rPr>
          <w:noProof/>
        </w:rPr>
      </w:pPr>
      <w:r w:rsidRPr="008B4A25">
        <w:rPr>
          <w:noProof/>
        </w:rPr>
        <w:t>La 20 ianuarie 2021, Parlamentul European și Consiliul au adoptat Regulamentul (UE) 2021/56</w:t>
      </w:r>
      <w:r w:rsidRPr="008B4A25">
        <w:rPr>
          <w:rStyle w:val="FootnoteReference"/>
          <w:noProof/>
        </w:rPr>
        <w:footnoteReference w:id="14"/>
      </w:r>
      <w:r w:rsidRPr="008B4A25">
        <w:rPr>
          <w:noProof/>
        </w:rPr>
        <w:t xml:space="preserve"> de punere în aplicare în dreptul UE a anumitor măsuri de gestionare, conservare și control aplicabile în zona Convenției CITT. Articolul 8 din regulamentul respectiv stabilește măsuri pentru rechinii cu înotătoare albe (</w:t>
      </w:r>
      <w:r w:rsidRPr="008B4A25">
        <w:rPr>
          <w:i/>
          <w:iCs/>
          <w:noProof/>
        </w:rPr>
        <w:t>Carcharhinus longimanus</w:t>
      </w:r>
      <w:r w:rsidRPr="008B4A25">
        <w:rPr>
          <w:noProof/>
        </w:rPr>
        <w:t xml:space="preserve">). Articolul 40 din Regulamentul (UE) 2026/249 se suprapune cu Regulamentul (UE) 2021/56 în ceea ce privește acest subiect și impune cerințe care sunt deja abordate în dreptul Uniunii. Prin urmare, este adecvat să se elimine articolul 40 din Regulamentul (UE) 2026/249. </w:t>
      </w:r>
    </w:p>
    <w:p w:rsidR="000E4BB7" w:rsidRPr="008B4A25" w:rsidRDefault="000E4BB7" w:rsidP="00FF1B67">
      <w:pPr>
        <w:pBdr>
          <w:top w:val="nil"/>
          <w:left w:val="nil"/>
          <w:bottom w:val="nil"/>
          <w:right w:val="nil"/>
          <w:between w:val="nil"/>
          <w:bar w:val="nil"/>
        </w:pBdr>
        <w:spacing w:before="240" w:after="240"/>
        <w:rPr>
          <w:b/>
          <w:bCs/>
          <w:noProof/>
        </w:rPr>
      </w:pPr>
      <w:r w:rsidRPr="008B4A25">
        <w:rPr>
          <w:b/>
          <w:noProof/>
        </w:rPr>
        <w:t>Limba-de-mare în apele iberice</w:t>
      </w:r>
    </w:p>
    <w:p w:rsidR="00135F4D" w:rsidRPr="008B4A25" w:rsidRDefault="007C22CC" w:rsidP="00CA6D7C">
      <w:pPr>
        <w:pBdr>
          <w:top w:val="nil"/>
          <w:left w:val="nil"/>
          <w:bottom w:val="nil"/>
          <w:right w:val="nil"/>
          <w:between w:val="nil"/>
          <w:bar w:val="nil"/>
        </w:pBdr>
        <w:spacing w:before="240" w:after="240"/>
        <w:rPr>
          <w:noProof/>
        </w:rPr>
      </w:pPr>
      <w:r w:rsidRPr="008B4A25">
        <w:rPr>
          <w:noProof/>
        </w:rPr>
        <w:t>Regulamentul (UE) 2026/249 stabilește o TAC pentru limba-de-mare în diviziunile ICES 8c, 8d și 8e (sudul Golfului Biscaya), în subzonele 9 și 10 și în apele UE ale Comitetului pentru pescuit în zona central-estică a Atlanticului (CECAF) 34.1.1 (apele iberice) pentru 2026 și pentru 2027. Potrivit ICES, există trei specii principale de limbă-de-mare capturate în zona respectivă: limba-de-mare comună (</w:t>
      </w:r>
      <w:r w:rsidRPr="008B4A25">
        <w:rPr>
          <w:i/>
          <w:iCs/>
          <w:noProof/>
        </w:rPr>
        <w:t>Solea solea</w:t>
      </w:r>
      <w:r w:rsidRPr="008B4A25">
        <w:rPr>
          <w:noProof/>
        </w:rPr>
        <w:t>), limba-de-mare senegaleză (</w:t>
      </w:r>
      <w:r w:rsidRPr="008B4A25">
        <w:rPr>
          <w:i/>
          <w:iCs/>
          <w:noProof/>
        </w:rPr>
        <w:t>Solea senegalensis</w:t>
      </w:r>
      <w:r w:rsidRPr="008B4A25">
        <w:rPr>
          <w:noProof/>
        </w:rPr>
        <w:t>) și limba-de-nisip (</w:t>
      </w:r>
      <w:r w:rsidRPr="008B4A25">
        <w:rPr>
          <w:i/>
          <w:iCs/>
          <w:noProof/>
        </w:rPr>
        <w:t>Pegusa lascaris</w:t>
      </w:r>
      <w:r w:rsidRPr="008B4A25">
        <w:rPr>
          <w:noProof/>
        </w:rPr>
        <w:t>). Denumirea științifică menționată în TAC este „</w:t>
      </w:r>
      <w:r w:rsidRPr="008B4A25">
        <w:rPr>
          <w:i/>
          <w:iCs/>
          <w:noProof/>
        </w:rPr>
        <w:t>Solea</w:t>
      </w:r>
      <w:r w:rsidRPr="008B4A25">
        <w:rPr>
          <w:noProof/>
        </w:rPr>
        <w:t xml:space="preserve"> spp.”, care nu include limba-de-nisip, deoarece aceasta nu aparține genului </w:t>
      </w:r>
      <w:r w:rsidRPr="008B4A25">
        <w:rPr>
          <w:i/>
          <w:noProof/>
        </w:rPr>
        <w:t>Solea</w:t>
      </w:r>
      <w:r w:rsidRPr="008B4A25">
        <w:rPr>
          <w:noProof/>
        </w:rPr>
        <w:t xml:space="preserve">. Cu toate acestea, limba-de-nisip a fost menționată anterior de oamenii de știință ca </w:t>
      </w:r>
      <w:r w:rsidRPr="008B4A25">
        <w:rPr>
          <w:i/>
          <w:iCs/>
          <w:noProof/>
        </w:rPr>
        <w:t>Solea lascaris</w:t>
      </w:r>
      <w:r w:rsidRPr="008B4A25">
        <w:rPr>
          <w:noProof/>
        </w:rPr>
        <w:t xml:space="preserve"> și, prin urmare, a fost considerată anterior ca aparținând genului </w:t>
      </w:r>
      <w:r w:rsidRPr="008B4A25">
        <w:rPr>
          <w:i/>
          <w:iCs/>
          <w:noProof/>
        </w:rPr>
        <w:t>Solea</w:t>
      </w:r>
      <w:r w:rsidRPr="008B4A25">
        <w:rPr>
          <w:noProof/>
        </w:rPr>
        <w:t>.</w:t>
      </w:r>
    </w:p>
    <w:p w:rsidR="00011109" w:rsidRPr="008B4A25" w:rsidRDefault="0066246E" w:rsidP="00CA6D7C">
      <w:pPr>
        <w:pBdr>
          <w:top w:val="nil"/>
          <w:left w:val="nil"/>
          <w:bottom w:val="nil"/>
          <w:right w:val="nil"/>
          <w:between w:val="nil"/>
          <w:bar w:val="nil"/>
        </w:pBdr>
        <w:spacing w:before="240" w:after="240"/>
        <w:rPr>
          <w:noProof/>
        </w:rPr>
      </w:pPr>
      <w:r w:rsidRPr="008B4A25">
        <w:rPr>
          <w:noProof/>
        </w:rPr>
        <w:t xml:space="preserve">Comisia a propus nivelul TAC pentru 2026 și 2027 în conformitate cu avizul pentru limba-de-mare comună și ținând seama de cotele capturilor din cele trei specii de limbă-de-mare (49 % pentru limba-de-mare comună și 51 % pentru limba-de-mare senegaleză și limba-de-nisip). În plus, unul dintre cele două state membre în cauză a notificat debarcări de limbă-de-nisip în </w:t>
      </w:r>
      <w:r w:rsidRPr="008B4A25">
        <w:rPr>
          <w:noProof/>
        </w:rPr>
        <w:lastRenderedPageBreak/>
        <w:t xml:space="preserve">cadrul TAC. Cu toate acestea, celălalt stat membru în cauză nu a notificat debarcări de limbă-de-nisip în cadrul TAC. </w:t>
      </w:r>
    </w:p>
    <w:p w:rsidR="002B3B91" w:rsidRPr="008B4A25" w:rsidRDefault="00A83E68" w:rsidP="00CA6D7C">
      <w:pPr>
        <w:pBdr>
          <w:top w:val="nil"/>
          <w:left w:val="nil"/>
          <w:bottom w:val="nil"/>
          <w:right w:val="nil"/>
          <w:between w:val="nil"/>
          <w:bar w:val="nil"/>
        </w:pBdr>
        <w:spacing w:before="240" w:after="240"/>
        <w:rPr>
          <w:noProof/>
        </w:rPr>
      </w:pPr>
      <w:r w:rsidRPr="008B4A25">
        <w:rPr>
          <w:noProof/>
        </w:rPr>
        <w:t>Prin urmare, pentru a oferi securitate juridică, denumirea științifică menționată în TAC pentru limba-de-mare din diviziunile ICES 8c, 8d și 8e ar trebui modificată. Având în vedere cele de mai sus, se propune înlocuirea denumirii științifice „</w:t>
      </w:r>
      <w:r w:rsidRPr="008B4A25">
        <w:rPr>
          <w:i/>
          <w:iCs/>
          <w:noProof/>
        </w:rPr>
        <w:t>Solea</w:t>
      </w:r>
      <w:r w:rsidRPr="008B4A25">
        <w:rPr>
          <w:noProof/>
        </w:rPr>
        <w:t xml:space="preserve"> spp.” cu „</w:t>
      </w:r>
      <w:r w:rsidRPr="008B4A25">
        <w:rPr>
          <w:i/>
          <w:iCs/>
          <w:noProof/>
        </w:rPr>
        <w:t>Solea</w:t>
      </w:r>
      <w:r w:rsidRPr="008B4A25">
        <w:rPr>
          <w:noProof/>
        </w:rPr>
        <w:t xml:space="preserve"> spp. și </w:t>
      </w:r>
      <w:r w:rsidRPr="008B4A25">
        <w:rPr>
          <w:i/>
          <w:iCs/>
          <w:noProof/>
        </w:rPr>
        <w:t>Pegusa lascaris</w:t>
      </w:r>
      <w:r w:rsidRPr="008B4A25">
        <w:rPr>
          <w:noProof/>
        </w:rPr>
        <w:t>” pentru a include și limba-de-nisip.</w:t>
      </w:r>
    </w:p>
    <w:p w:rsidR="000F5FD1" w:rsidRPr="008B4A25" w:rsidRDefault="000F5FD1" w:rsidP="000F5FD1">
      <w:pPr>
        <w:pBdr>
          <w:top w:val="nil"/>
          <w:left w:val="nil"/>
          <w:bottom w:val="nil"/>
          <w:right w:val="nil"/>
          <w:between w:val="nil"/>
          <w:bar w:val="nil"/>
        </w:pBdr>
        <w:spacing w:before="240" w:after="240"/>
        <w:rPr>
          <w:b/>
          <w:bCs/>
          <w:noProof/>
        </w:rPr>
      </w:pPr>
      <w:r w:rsidRPr="008B4A25">
        <w:rPr>
          <w:b/>
          <w:noProof/>
        </w:rPr>
        <w:t xml:space="preserve">Hering în Skagerrak-Kattegat și Marea Nordului </w:t>
      </w:r>
    </w:p>
    <w:p w:rsidR="000F5FD1" w:rsidRPr="008B4A25" w:rsidRDefault="000F5FD1" w:rsidP="000F5FD1">
      <w:pPr>
        <w:pBdr>
          <w:top w:val="nil"/>
          <w:left w:val="nil"/>
          <w:bottom w:val="nil"/>
          <w:right w:val="nil"/>
          <w:between w:val="nil"/>
          <w:bar w:val="nil"/>
        </w:pBdr>
        <w:spacing w:before="240" w:after="240"/>
        <w:rPr>
          <w:noProof/>
        </w:rPr>
      </w:pPr>
      <w:r w:rsidRPr="008B4A25">
        <w:rPr>
          <w:noProof/>
        </w:rPr>
        <w:t xml:space="preserve">Regulamentul (UE) 2026/249 stabilește TAC-uri pentru hering în apele UE, apele Regatului Unit și în apele norvegiene din subzona ICES 4 la nord de 53° 30'N (Marea Nordului) și din diviziunea ICES 3a (Skagerrak-Kattegat). Regulamentul stabilește, de asemenea, o cantitate de 250 de tone care poate fi pescuită de Norvegia în apele norvegiene și ale UE din Skagerrak-Kattegat în cadrul cotei norvegiene pentru hering în Skagerrak-Kattegat, în conformitate cu rezultatul consultărilor bilaterale dintre UE și Norvegia. </w:t>
      </w:r>
    </w:p>
    <w:p w:rsidR="00306569" w:rsidRPr="008B4A25" w:rsidRDefault="000F5FD1" w:rsidP="000F5FD1">
      <w:pPr>
        <w:spacing w:before="0" w:after="0"/>
        <w:rPr>
          <w:noProof/>
        </w:rPr>
      </w:pPr>
      <w:r w:rsidRPr="008B4A25">
        <w:rPr>
          <w:noProof/>
        </w:rPr>
        <w:t xml:space="preserve">Cu toate acestea, Norvegia nu stabilește o cotă separată pentru hering în Skagerrak-Kattegat, ci o cotă unică pentru hering atât în Marea Nordului, cât și în Skagerrak-Kattegat. În consecință, cantitatea care poate fi pescuită de Norvegia în apele norvegiene și ale UE din Skagerrak-Kattegat ar trebui stabilită în cadrul cotei norvegiene pentru hering în Marea Nordului. </w:t>
      </w:r>
      <w:r w:rsidRPr="008B4A25">
        <w:rPr>
          <w:noProof/>
        </w:rPr>
        <w:br w:type="page"/>
      </w:r>
    </w:p>
    <w:p w:rsidR="009141B9" w:rsidRDefault="00F628C3">
      <w:pPr>
        <w:pStyle w:val="Rfrenceinterinstitutionnelle"/>
        <w:rPr>
          <w:noProof/>
        </w:rPr>
      </w:pPr>
      <w:r>
        <w:rPr>
          <w:noProof/>
        </w:rPr>
        <w:lastRenderedPageBreak/>
        <w:t>2026/0069 (NLE)</w:t>
      </w:r>
    </w:p>
    <w:p w:rsidR="000E5540" w:rsidRPr="008B4A25" w:rsidRDefault="00D16F81" w:rsidP="00D16F81">
      <w:pPr>
        <w:pStyle w:val="Statut"/>
        <w:rPr>
          <w:noProof/>
        </w:rPr>
      </w:pPr>
      <w:r w:rsidRPr="008B4A25">
        <w:rPr>
          <w:noProof/>
        </w:rPr>
        <w:t>Propunere de</w:t>
      </w:r>
    </w:p>
    <w:p w:rsidR="00382895" w:rsidRPr="008B4A25" w:rsidRDefault="00D16F81" w:rsidP="00D16F81">
      <w:pPr>
        <w:pStyle w:val="Typedudocument"/>
        <w:rPr>
          <w:noProof/>
        </w:rPr>
      </w:pPr>
      <w:r w:rsidRPr="008B4A25">
        <w:rPr>
          <w:noProof/>
        </w:rPr>
        <w:t>REGULAMENT AL CONSILIULUI</w:t>
      </w:r>
    </w:p>
    <w:p w:rsidR="00382895" w:rsidRPr="008B4A25" w:rsidRDefault="00D16F81" w:rsidP="00D16F81">
      <w:pPr>
        <w:pStyle w:val="Titreobjet"/>
        <w:rPr>
          <w:noProof/>
        </w:rPr>
      </w:pPr>
      <w:r w:rsidRPr="008B4A25">
        <w:rPr>
          <w:noProof/>
        </w:rPr>
        <w:t>de modificare a Regulamentului (UE) 2026/249 de stabilire, pentru anii 2026, 2027 și 2028, a posibilităților de pescuit pentru anumite stocuri de pește, aplicabile în apele Uniunii și, pentru navele de pescuit din Uniune, în anumite ape din afara Uniunii</w:t>
      </w:r>
    </w:p>
    <w:p w:rsidR="00382895" w:rsidRPr="008B4A25" w:rsidRDefault="00382895" w:rsidP="00440DA8">
      <w:pPr>
        <w:pStyle w:val="Institutionquiagit"/>
        <w:rPr>
          <w:noProof/>
        </w:rPr>
      </w:pPr>
      <w:r w:rsidRPr="008B4A25">
        <w:rPr>
          <w:noProof/>
        </w:rPr>
        <w:t>CONSILIUL UNIUNII EUROPENE,</w:t>
      </w:r>
    </w:p>
    <w:p w:rsidR="00382895" w:rsidRPr="008B4A25" w:rsidRDefault="00382895" w:rsidP="00440DA8">
      <w:pPr>
        <w:rPr>
          <w:noProof/>
        </w:rPr>
      </w:pPr>
      <w:r w:rsidRPr="008B4A25">
        <w:rPr>
          <w:noProof/>
        </w:rPr>
        <w:t>având în vedere Tratatul privind funcționarea Uniunii Europene, în special articolul 43 alineatul (3),</w:t>
      </w:r>
    </w:p>
    <w:p w:rsidR="00382895" w:rsidRPr="008B4A25" w:rsidRDefault="00382895" w:rsidP="00440DA8">
      <w:pPr>
        <w:rPr>
          <w:noProof/>
        </w:rPr>
      </w:pPr>
      <w:r w:rsidRPr="008B4A25">
        <w:rPr>
          <w:noProof/>
        </w:rPr>
        <w:t>având în vedere propunerea Comisiei Europene,</w:t>
      </w:r>
    </w:p>
    <w:p w:rsidR="00382895" w:rsidRPr="008B4A25" w:rsidRDefault="00382895" w:rsidP="00440DA8">
      <w:pPr>
        <w:rPr>
          <w:noProof/>
        </w:rPr>
      </w:pPr>
      <w:r w:rsidRPr="008B4A25">
        <w:rPr>
          <w:noProof/>
        </w:rPr>
        <w:t>întrucât:</w:t>
      </w:r>
    </w:p>
    <w:p w:rsidR="000C6438" w:rsidRPr="008B4A25" w:rsidRDefault="725A65CD" w:rsidP="00923C7F">
      <w:pPr>
        <w:pStyle w:val="ManualConsidrant"/>
        <w:rPr>
          <w:noProof/>
        </w:rPr>
      </w:pPr>
      <w:r>
        <w:rPr>
          <w:noProof/>
        </w:rPr>
        <w:t>(1)</w:t>
      </w:r>
      <w:r>
        <w:rPr>
          <w:noProof/>
        </w:rPr>
        <w:tab/>
      </w:r>
      <w:r w:rsidRPr="008B4A25">
        <w:rPr>
          <w:noProof/>
        </w:rPr>
        <w:t>Regulamentul (UE) 2026/249 al Consiliului</w:t>
      </w:r>
      <w:r w:rsidRPr="008B4A25">
        <w:rPr>
          <w:rStyle w:val="FootnoteReference"/>
          <w:noProof/>
        </w:rPr>
        <w:footnoteReference w:id="15"/>
      </w:r>
      <w:r w:rsidRPr="008B4A25">
        <w:rPr>
          <w:noProof/>
        </w:rPr>
        <w:t xml:space="preserve"> stabilește, pentru anii 2026, 2027 și 2028, posibilitățile de pescuit pentru anumite stocuri de pește, aplicabile în apele Uniunii și, pentru navele de pescuit ale Uniunii, în anumite ape din afara Uniunii. Respectivele posibilități de pescuit, inclusiv anumite măsuri legate funcțional de acestea, ar trebui să fie modificate pentru a ține seama de publicarea avizelor științifice, precum și de rezultatele consultărilor cu țările terțe și ale reuniunilor organizațiilor regionale de gestionare a pescuitului (ORGP).</w:t>
      </w:r>
    </w:p>
    <w:p w:rsidR="000F5FD1" w:rsidRPr="008B4A25" w:rsidRDefault="007749CE" w:rsidP="003626A8">
      <w:pPr>
        <w:pStyle w:val="ManualConsidrant"/>
        <w:rPr>
          <w:noProof/>
        </w:rPr>
      </w:pPr>
      <w:r>
        <w:rPr>
          <w:noProof/>
        </w:rPr>
        <w:t>(2)</w:t>
      </w:r>
      <w:r>
        <w:rPr>
          <w:noProof/>
        </w:rPr>
        <w:tab/>
      </w:r>
      <w:bookmarkStart w:id="3" w:name="_Hlk220322504"/>
      <w:r w:rsidRPr="008B4A25">
        <w:rPr>
          <w:i/>
          <w:noProof/>
        </w:rPr>
        <w:t>[Considerentul și dispozițiile relevante vor fi actualizate după ce vor fi primite informații mai concrete din partea Regatului Unit cu privire la finalizarea procedurilor sale interne relevante.]</w:t>
      </w:r>
      <w:r w:rsidRPr="008B4A25">
        <w:rPr>
          <w:noProof/>
        </w:rPr>
        <w:t xml:space="preserve"> [În 2025, Uniunea și Regatul Unit au organizat consultări bilaterale cu privire la stabilirea unui număr mare de capturi totale admisibile (TAC) pentru 2026, inclusiv a anumitor măsuri legate funcțional de TAC-urile respective, pentru stocurile enumerate în anexa 35 la Acordul comercial și de cooperare dintre Uniunea Europeană și Comunitatea Europeană a Energiei Atomice, pe de o parte, și Regatul Unit al Marii Britanii și Irlandei de Nord, pe de altă parte</w:t>
      </w:r>
      <w:r w:rsidRPr="008B4A25">
        <w:rPr>
          <w:rStyle w:val="FootnoteReference"/>
          <w:noProof/>
        </w:rPr>
        <w:footnoteReference w:id="16"/>
      </w:r>
      <w:r w:rsidRPr="008B4A25">
        <w:rPr>
          <w:noProof/>
        </w:rPr>
        <w:t xml:space="preserve"> (denumit în continuare „Acordul comercial și de cooperare”). Rezultatul consultărilor respective a fost consemnat într-un proces-verbal semnat de șefii delegațiilor la 10 decembrie 2025. Astfel cum s-a consemnat în procesul-verbal, șefii delegațiilor au convenit să recomande autorităților lor respective ca măsurile de remediere pentru cod, eglefin și merlan în Marea Celtică și în Marea Irlandei și pentru limbă-de-mare și cambulă de Baltica în Canalul Mânecii să înceapă să se aplice, în principiu, nu mai târziu de 1 iunie 2026, de către ambele părți, pentru a asigura condiții de concurență echitabile, întrucât stocurile în cauză sunt gestionate în comun. Acest lucru ar fi </w:t>
      </w:r>
      <w:r w:rsidRPr="008B4A25">
        <w:rPr>
          <w:noProof/>
        </w:rPr>
        <w:lastRenderedPageBreak/>
        <w:t>condiționat de notificarea de către părți a finalizării procedurilor lor interne necesare pentru adoptarea măsurilor de remediere respective. Data de începere a aplicării măsurilor de remediere convenite pentru cod și merlan în Marea Irlandei și pentru limbă-de-mare și cambulă de Baltica în Canalul Mânecii ar trebui modificată în urma primirii informațiilor din partea Regatului Unit cu privire la finalizarea preconizată a procedurilor sale interne relevante pentru adoptarea măsurilor.]</w:t>
      </w:r>
    </w:p>
    <w:p w:rsidR="00E21655" w:rsidRPr="008B4A25" w:rsidRDefault="092697AB" w:rsidP="5DB31DF5">
      <w:pPr>
        <w:pStyle w:val="ManualConsidrant"/>
        <w:rPr>
          <w:noProof/>
        </w:rPr>
      </w:pPr>
      <w:r>
        <w:rPr>
          <w:noProof/>
        </w:rPr>
        <w:t>(3)</w:t>
      </w:r>
      <w:r>
        <w:rPr>
          <w:noProof/>
        </w:rPr>
        <w:tab/>
      </w:r>
      <w:r w:rsidRPr="008B4A25">
        <w:rPr>
          <w:i/>
          <w:noProof/>
        </w:rPr>
        <w:t>[Considerentul și dispozițiile relevante vor fi actualizate după încheierea consultărilor dintre Uniune și Regatul Unit.]</w:t>
      </w:r>
      <w:bookmarkEnd w:id="3"/>
      <w:r w:rsidRPr="008B4A25">
        <w:rPr>
          <w:i/>
          <w:noProof/>
        </w:rPr>
        <w:t xml:space="preserve"> </w:t>
      </w:r>
      <w:r w:rsidRPr="008B4A25">
        <w:rPr>
          <w:noProof/>
        </w:rPr>
        <w:t>[La 6 martie 2025, Uniunea și Regatul Unit au desfășurat consultări bilaterale în conformitate cu articolul 498 alineatele (2), (4) și (6) din Acordul comercial și de cooperare cu privire la nivelul TAC pentru uvă și capturile accidentale asociate (</w:t>
      </w:r>
      <w:r w:rsidRPr="008B4A25">
        <w:rPr>
          <w:i/>
          <w:iCs/>
          <w:noProof/>
        </w:rPr>
        <w:t>Ammodytes</w:t>
      </w:r>
      <w:r w:rsidRPr="008B4A25">
        <w:rPr>
          <w:noProof/>
        </w:rPr>
        <w:t xml:space="preserve"> spp.) din apele Regatului Unit și din apele Uniunii din subzona 4 a Consiliului Internațional pentru Explorarea Apelor Maritime („ICES”), din apele Regatului Unit din diviziunea ICES 2a și din apele Uniunii din diviziunea 3a. Uniunea a participat la respectivele consultări pe baza poziției Uniunii aprobate de Consiliu la 4 martie 2025. Rezultatul consultărilor respective a fost consemnat într-un proces-verbal semnat la 12 martie 2025. Prin urmare, TAC respectivă trebuie stabilită la nivelul convenit cu Regatul Unit.]</w:t>
      </w:r>
    </w:p>
    <w:p w:rsidR="007F6CF8" w:rsidRPr="008B4A25" w:rsidRDefault="0092167A" w:rsidP="002C6A15">
      <w:pPr>
        <w:pStyle w:val="ManualConsidrant"/>
        <w:rPr>
          <w:noProof/>
        </w:rPr>
      </w:pPr>
      <w:r>
        <w:rPr>
          <w:noProof/>
        </w:rPr>
        <w:t>(4)</w:t>
      </w:r>
      <w:r>
        <w:rPr>
          <w:noProof/>
        </w:rPr>
        <w:tab/>
      </w:r>
      <w:r w:rsidRPr="008B4A25">
        <w:rPr>
          <w:i/>
          <w:noProof/>
        </w:rPr>
        <w:t>[Considerentul și dispozițiile relevante vor fi actualizate.]</w:t>
      </w:r>
      <w:r w:rsidRPr="008B4A25">
        <w:rPr>
          <w:noProof/>
        </w:rPr>
        <w:t xml:space="preserve"> [Regulamentul (UE) 2026/249 stabilește cote provizorii ale Uniunii pentru macrou în Atlanticul de Nord-Est pentru prima jumătate a anului 2026. Cotele Uniunii pentru macrou pentru 2026 trebuie stabilite înainte de expirarea cotelor provizorii ale Uniunii la 30 iunie 2026, respectând în același timp dispozițiile Acordului comercial și de cooperare.]</w:t>
      </w:r>
    </w:p>
    <w:p w:rsidR="000F5FD1" w:rsidRPr="008B4A25" w:rsidRDefault="000F5FD1" w:rsidP="00BA2882">
      <w:pPr>
        <w:pStyle w:val="ManualConsidrant"/>
        <w:rPr>
          <w:noProof/>
        </w:rPr>
      </w:pPr>
      <w:r>
        <w:rPr>
          <w:noProof/>
        </w:rPr>
        <w:t>(5)</w:t>
      </w:r>
      <w:r>
        <w:rPr>
          <w:noProof/>
        </w:rPr>
        <w:tab/>
      </w:r>
      <w:r w:rsidRPr="008B4A25">
        <w:rPr>
          <w:i/>
          <w:noProof/>
        </w:rPr>
        <w:t xml:space="preserve">[Considerentul și dispozițiile relevante vor fi actualizate după încheierea consultărilor dintre Uniune și Norvegia.] </w:t>
      </w:r>
      <w:r w:rsidRPr="008B4A25">
        <w:rPr>
          <w:noProof/>
        </w:rPr>
        <w:t>[Uniunea și Norvegia organizează consultări cu privire la accesul la apele lor respective privind pescuitul pentru hering (</w:t>
      </w:r>
      <w:r w:rsidRPr="008B4A25">
        <w:rPr>
          <w:i/>
          <w:noProof/>
        </w:rPr>
        <w:t>Clupea harengus</w:t>
      </w:r>
      <w:r w:rsidRPr="008B4A25">
        <w:rPr>
          <w:noProof/>
        </w:rPr>
        <w:t>) („hering atlantico-scandinav”) și putasu (</w:t>
      </w:r>
      <w:r w:rsidRPr="008B4A25">
        <w:rPr>
          <w:i/>
          <w:iCs/>
          <w:noProof/>
        </w:rPr>
        <w:t>Micromesistius poutassou</w:t>
      </w:r>
      <w:r w:rsidRPr="008B4A25">
        <w:rPr>
          <w:noProof/>
        </w:rPr>
        <w:t>) în Atlanticul de Nord-Est pentru 2026. Respectivele niveluri de acces trebuie stabilite în conformitate cu rezultatul acestor consultări bilaterale.]</w:t>
      </w:r>
    </w:p>
    <w:p w:rsidR="005B31F4" w:rsidRPr="008B4A25" w:rsidRDefault="005B31F4" w:rsidP="005B31F4">
      <w:pPr>
        <w:pStyle w:val="ManualConsidrant"/>
        <w:rPr>
          <w:noProof/>
        </w:rPr>
      </w:pPr>
      <w:r>
        <w:rPr>
          <w:noProof/>
        </w:rPr>
        <w:t>(6)</w:t>
      </w:r>
      <w:r>
        <w:rPr>
          <w:noProof/>
        </w:rPr>
        <w:tab/>
      </w:r>
      <w:r w:rsidRPr="008B4A25">
        <w:rPr>
          <w:noProof/>
        </w:rPr>
        <w:t>În urma stabilirii unei TAC de referință pentru cod în Arctica de Nord-Est pentru 2026, cota definitivă a Uniunii pentru cod în apele arhipelagului Svalbard și în apele internaționale din subzona ICES 1 și diviziunea ICES 2b pentru 2026 trebuie stabilită pe baza respectivei TAC de referință pentru 2026 și pe baza cotei istorice a Uniunii pentru cod în Arctica de Nord-Est. Cota respectivă a Uniunii trebuie să fie repartizată statelor membre în conformitate cu Decizia 87/277/CEE a Consiliului</w:t>
      </w:r>
      <w:r w:rsidRPr="008B4A25">
        <w:rPr>
          <w:rStyle w:val="FootnoteReference"/>
          <w:noProof/>
        </w:rPr>
        <w:footnoteReference w:id="17"/>
      </w:r>
      <w:r w:rsidRPr="008B4A25">
        <w:rPr>
          <w:noProof/>
        </w:rPr>
        <w:t>, sub rezerva adaptărilor necesare ca urmare a retragerii Regatului Unit din Uniune, astfel cum se prevede în tabelul E din anexa 36 la Acordul comercial și de cooperare.</w:t>
      </w:r>
    </w:p>
    <w:p w:rsidR="00E21655" w:rsidRPr="008B4A25" w:rsidRDefault="54655BCD" w:rsidP="00AD6180">
      <w:pPr>
        <w:pStyle w:val="ManualConsidrant"/>
        <w:rPr>
          <w:noProof/>
        </w:rPr>
      </w:pPr>
      <w:r>
        <w:rPr>
          <w:noProof/>
        </w:rPr>
        <w:t>(7)</w:t>
      </w:r>
      <w:r>
        <w:rPr>
          <w:noProof/>
        </w:rPr>
        <w:tab/>
      </w:r>
      <w:r w:rsidRPr="008B4A25">
        <w:rPr>
          <w:i/>
          <w:noProof/>
        </w:rPr>
        <w:t xml:space="preserve">[Considerentul și dispozițiile relevante vor fi actualizate după aprobarea de către ICCAT a planului anual al Uniunii.] </w:t>
      </w:r>
      <w:r w:rsidRPr="008B4A25">
        <w:rPr>
          <w:noProof/>
        </w:rPr>
        <w:t>[Limitele efortului de pescuit pentru navele Uniunii care pescuiesc ton roșu (</w:t>
      </w:r>
      <w:r w:rsidRPr="008B4A25">
        <w:rPr>
          <w:i/>
          <w:iCs/>
          <w:noProof/>
        </w:rPr>
        <w:t>Thunnus thynnus</w:t>
      </w:r>
      <w:r w:rsidRPr="008B4A25">
        <w:rPr>
          <w:noProof/>
        </w:rPr>
        <w:t xml:space="preserve">) în zona Convenției Comisiei Internaționale pentru Conservarea Tonului din Oceanul Atlantic (ICCAT), la est de 45°V, precum și volumul maxim al intrărilor și capacitatea maximă a fermelor piscicole de ton roșu ale Uniunii din zona respectivă se bazează pe informațiile furnizate în planurile anuale menționate la articolele 11, 13 și 15 din Regulamentul </w:t>
      </w:r>
      <w:r w:rsidRPr="008B4A25">
        <w:rPr>
          <w:noProof/>
        </w:rPr>
        <w:lastRenderedPageBreak/>
        <w:t>(UE) 2023/2053 al Parlamentului European și al Consiliului</w:t>
      </w:r>
      <w:r w:rsidRPr="008B4A25">
        <w:rPr>
          <w:rStyle w:val="FootnoteReference"/>
          <w:noProof/>
        </w:rPr>
        <w:footnoteReference w:id="18"/>
      </w:r>
      <w:r w:rsidRPr="008B4A25">
        <w:rPr>
          <w:noProof/>
        </w:rPr>
        <w:t xml:space="preserve">. Statele membre trebuie să transmită planurile respective Comisiei până la data de 31 ianuarie a fiecărui an, în temeiul articolului 16 alineatul (1) din Regulamentul (UE) 2023/2053. Planurile respective sunt apoi compilate de Comisie și constituie baza pentru stabilirea unui plan anual al Uniunii, care este transmis Secretariatului ICCAT spre dezbatere și aprobare de către ICCAT, în conformitate cu articolul 16 alineatul (2) din Regulamentul (UE) 2023/2053. Planul anual al Uniunii pentru 2025 a fost aprobat de ICCAT la 5 martie 2025. </w:t>
      </w:r>
      <w:bookmarkStart w:id="4" w:name="_Hlk188565494"/>
      <w:r w:rsidRPr="008B4A25">
        <w:rPr>
          <w:noProof/>
        </w:rPr>
        <w:t>Limitele efortului de pescuit al Uniunii, precum și volumul maxim al intrărilor și capacitatea maximă de creștere ale Uniunii pentru 2025</w:t>
      </w:r>
      <w:bookmarkEnd w:id="4"/>
      <w:r w:rsidRPr="008B4A25">
        <w:rPr>
          <w:noProof/>
        </w:rPr>
        <w:t xml:space="preserve"> trebuie să fie, așadar, modificate în conformitate cu planul anual respectiv.]</w:t>
      </w:r>
    </w:p>
    <w:p w:rsidR="006621C4" w:rsidRPr="008B4A25" w:rsidRDefault="54655BCD" w:rsidP="00C2056A">
      <w:pPr>
        <w:pStyle w:val="ManualConsidrant"/>
        <w:rPr>
          <w:noProof/>
        </w:rPr>
      </w:pPr>
      <w:r>
        <w:rPr>
          <w:noProof/>
        </w:rPr>
        <w:t>(8)</w:t>
      </w:r>
      <w:r>
        <w:rPr>
          <w:noProof/>
        </w:rPr>
        <w:tab/>
      </w:r>
      <w:r w:rsidRPr="008B4A25">
        <w:rPr>
          <w:i/>
          <w:noProof/>
        </w:rPr>
        <w:t>[Considerentul și dispozițiile relevante vor fi actualizate după aprobarea de către ICCAT a planului anual al Uniunii și după ce vor deveni disponibile date privind utilizarea cotei de către statele membre în anul precedent.]</w:t>
      </w:r>
      <w:r w:rsidRPr="008B4A25">
        <w:rPr>
          <w:noProof/>
        </w:rPr>
        <w:t xml:space="preserve"> [În conformitate cu articolul 8 din Regulamentul (UE) 2023/2053, anumite state membre au inclus în planurile lor anuale de pescuit prezentate Comisiei cereri pentru transferarea a 5 % din cota lor anuală de ton roșu în zona Convenției ICCAT, la est de 45°V, din anul 2024 în anul 2025. Pe baza cererilor respective, Comisia a inclus în planul anual al Uniunii pentru 2025 o cerere de reportare a cotei UE pentru stocul respectiv din 2024 în 2025. Prin urmare, în urma aprobării planului anual al Uniunii, cotele respectivelor state membre pentru tonul roșu în zona Convenției ICCAT, la est de 45° V, pentru 2025, trebuie modificate în consecință.]</w:t>
      </w:r>
    </w:p>
    <w:p w:rsidR="00A57133" w:rsidRPr="008B4A25" w:rsidRDefault="00A57133" w:rsidP="00A57133">
      <w:pPr>
        <w:pStyle w:val="ManualConsidrant"/>
        <w:rPr>
          <w:noProof/>
        </w:rPr>
      </w:pPr>
      <w:r>
        <w:rPr>
          <w:noProof/>
        </w:rPr>
        <w:t>(9)</w:t>
      </w:r>
      <w:r>
        <w:rPr>
          <w:noProof/>
        </w:rPr>
        <w:tab/>
      </w:r>
      <w:r w:rsidRPr="008B4A25">
        <w:rPr>
          <w:noProof/>
        </w:rPr>
        <w:t>În conformitate cu articolele 8a, 17b și 18b din Regulamentul (UE) 2017/2107 al Parlamentului European și al Consiliului</w:t>
      </w:r>
      <w:r w:rsidRPr="008B4A25">
        <w:rPr>
          <w:rStyle w:val="FootnoteReference"/>
          <w:noProof/>
        </w:rPr>
        <w:footnoteReference w:id="19"/>
      </w:r>
      <w:r w:rsidRPr="008B4A25">
        <w:rPr>
          <w:noProof/>
        </w:rPr>
        <w:t>, cotele anuale ale anumitor state membre pentru tonul obez (</w:t>
      </w:r>
      <w:r w:rsidRPr="008B4A25">
        <w:rPr>
          <w:i/>
          <w:iCs/>
          <w:noProof/>
        </w:rPr>
        <w:t>Thunnus obesus</w:t>
      </w:r>
      <w:r w:rsidRPr="008B4A25">
        <w:rPr>
          <w:noProof/>
        </w:rPr>
        <w:t>) din zona Convenției ICCAT, pentru tonul alb (</w:t>
      </w:r>
      <w:r w:rsidRPr="008B4A25">
        <w:rPr>
          <w:i/>
          <w:iCs/>
          <w:noProof/>
        </w:rPr>
        <w:t>Thunnus alalunga</w:t>
      </w:r>
      <w:r w:rsidRPr="008B4A25">
        <w:rPr>
          <w:noProof/>
        </w:rPr>
        <w:t>) din zona Convenției ICCAT, atât la nord de 5°N, cât și la sud de 5°N, și pentru peștele-spadă (</w:t>
      </w:r>
      <w:r w:rsidRPr="008B4A25">
        <w:rPr>
          <w:i/>
          <w:iCs/>
          <w:noProof/>
        </w:rPr>
        <w:t>Xiphias gladius</w:t>
      </w:r>
      <w:r w:rsidRPr="008B4A25">
        <w:rPr>
          <w:noProof/>
        </w:rPr>
        <w:t>) din zona Convenției ICCAT, atât la nord de 5°N, cât și la sud de 5°N, au fost transferate din anul 2024 în anul 2026, în conformitate cu recomandările ICCAT relevante. Prin urmare, cotele respectivelor state membre pentru stocurile respective pentru 2026 trebuie să fie modificate în consecință.</w:t>
      </w:r>
    </w:p>
    <w:p w:rsidR="18A85F7D" w:rsidRPr="008B4A25" w:rsidRDefault="008B2FBB" w:rsidP="00C647FD">
      <w:pPr>
        <w:pStyle w:val="ManualConsidrant"/>
        <w:rPr>
          <w:noProof/>
        </w:rPr>
      </w:pPr>
      <w:r>
        <w:rPr>
          <w:noProof/>
        </w:rPr>
        <w:t>(10)</w:t>
      </w:r>
      <w:r>
        <w:rPr>
          <w:noProof/>
        </w:rPr>
        <w:tab/>
      </w:r>
      <w:r w:rsidRPr="008B4A25">
        <w:rPr>
          <w:i/>
          <w:noProof/>
        </w:rPr>
        <w:t>[Considerentul și dispozițiile relevante vor fi actualizate după reuniunea anuală a SPRFMO.]</w:t>
      </w:r>
      <w:r w:rsidRPr="008B4A25">
        <w:rPr>
          <w:noProof/>
        </w:rPr>
        <w:t xml:space="preserve"> [Cu ocazia celei de a 13-a reuniuni anuale ale sale din 2025, Organizația Regională de Gestionare a Pescuitului în Pacificul de Sud (SPRFMO) a adoptat limite de captură pentru stavrid (</w:t>
      </w:r>
      <w:r w:rsidRPr="008B4A25">
        <w:rPr>
          <w:i/>
          <w:iCs/>
          <w:noProof/>
        </w:rPr>
        <w:t>Trachurus murphyi</w:t>
      </w:r>
      <w:r w:rsidRPr="008B4A25">
        <w:rPr>
          <w:noProof/>
        </w:rPr>
        <w:t>) și a menținut pescuitul de explorare pentru peștele-dințos (</w:t>
      </w:r>
      <w:r w:rsidRPr="008B4A25">
        <w:rPr>
          <w:i/>
          <w:iCs/>
          <w:noProof/>
        </w:rPr>
        <w:t>Dissostichus</w:t>
      </w:r>
      <w:r w:rsidRPr="008B4A25">
        <w:rPr>
          <w:noProof/>
        </w:rPr>
        <w:t xml:space="preserve"> spp.). În plus, SPRFMO a menținut și a modificat măsurile legate funcțional de limitele respective. Prin urmare, este necesar ca rezultatele respective ale reuniunii SPRFMO să fie transpuse în dreptul Uniunii.]</w:t>
      </w:r>
    </w:p>
    <w:p w:rsidR="000F5FD1" w:rsidRPr="008B4A25" w:rsidRDefault="00807EA7" w:rsidP="00807EA7">
      <w:pPr>
        <w:pStyle w:val="ManualConsidrant"/>
        <w:rPr>
          <w:noProof/>
        </w:rPr>
      </w:pPr>
      <w:r>
        <w:rPr>
          <w:noProof/>
        </w:rPr>
        <w:lastRenderedPageBreak/>
        <w:t>(11)</w:t>
      </w:r>
      <w:r>
        <w:rPr>
          <w:noProof/>
        </w:rPr>
        <w:tab/>
      </w:r>
      <w:r w:rsidRPr="008B4A25">
        <w:rPr>
          <w:noProof/>
        </w:rPr>
        <w:t>În așteptarea rezultatului celei de a 10-a sesiuni a Comisiei pentru pescuit în Pacificul de Nord (NPFC), posibilitățile de pescuit pentru macroul de Pacific (</w:t>
      </w:r>
      <w:r w:rsidRPr="008B4A25">
        <w:rPr>
          <w:i/>
          <w:iCs/>
          <w:noProof/>
        </w:rPr>
        <w:t>Scomber japonicus</w:t>
      </w:r>
      <w:r w:rsidRPr="008B4A25">
        <w:rPr>
          <w:noProof/>
        </w:rPr>
        <w:t>) în zona Convenției NPFC pentru perioada 1 iunie 2026-31 mai 2027 trebuie marcate cu „urmează să se stabilească”, pentru a permite începerea pescuitului de macrou de Pacific de la 1 iunie 2026, pentru navele de pescuit ale Uniunii cărora li s-a eliberat o autorizație de pescuit în conformitate cu articolele 20-22 din Regulamentul (UE) 2017/2403 al Parlamentului European și al Consiliului</w:t>
      </w:r>
      <w:r w:rsidRPr="008B4A25">
        <w:rPr>
          <w:rStyle w:val="FootnoteReference"/>
          <w:noProof/>
        </w:rPr>
        <w:footnoteReference w:id="20"/>
      </w:r>
      <w:r w:rsidRPr="008B4A25">
        <w:rPr>
          <w:noProof/>
        </w:rPr>
        <w:t>.</w:t>
      </w:r>
    </w:p>
    <w:p w:rsidR="000F5FD1" w:rsidRPr="008B4A25" w:rsidRDefault="00807EA7" w:rsidP="00D51A78">
      <w:pPr>
        <w:pStyle w:val="ManualConsidrant"/>
        <w:rPr>
          <w:noProof/>
        </w:rPr>
      </w:pPr>
      <w:r>
        <w:rPr>
          <w:noProof/>
        </w:rPr>
        <w:t>(12)</w:t>
      </w:r>
      <w:r>
        <w:rPr>
          <w:noProof/>
        </w:rPr>
        <w:tab/>
      </w:r>
      <w:r w:rsidRPr="008B4A25">
        <w:rPr>
          <w:noProof/>
        </w:rPr>
        <w:t>Cele două grupuri de perioade de interzicere a activităților de pescuit pentru navele de pescuit cu plasă-pungă din UE în zona Convenției Comisiei interamericane pentru tonul tropical (CITT), stabilite prin Regulamentul (UE) 2026/249, în cursul cărora navelor respective li se interzice pescuitul de ton cu aripioare galbene (</w:t>
      </w:r>
      <w:r w:rsidRPr="008B4A25">
        <w:rPr>
          <w:i/>
          <w:iCs/>
          <w:noProof/>
        </w:rPr>
        <w:t>Thunnus albacares</w:t>
      </w:r>
      <w:r w:rsidRPr="008B4A25">
        <w:rPr>
          <w:noProof/>
        </w:rPr>
        <w:t>), de ton obez sau de ton dungat (</w:t>
      </w:r>
      <w:r w:rsidRPr="008B4A25">
        <w:rPr>
          <w:i/>
          <w:iCs/>
          <w:noProof/>
        </w:rPr>
        <w:t>Katsuwonus pelamis</w:t>
      </w:r>
      <w:r w:rsidRPr="008B4A25">
        <w:rPr>
          <w:noProof/>
        </w:rPr>
        <w:t>), trebuie să fie modificate în conformitate cu măsurile adoptate de CITT. Primul grup de perioade de interzicere a activităților de pescuit trebuie modificat pentru a se aplica în întreaga zonă a Convenției CITT, în timp ce al doilea grup de perioade de interzicere a activităților de pescuit trebuie să se aplice în continuare numai într-o anumită zonă.</w:t>
      </w:r>
      <w:r w:rsidR="008B4A25">
        <w:rPr>
          <w:noProof/>
        </w:rPr>
        <w:t xml:space="preserve"> </w:t>
      </w:r>
      <w:r w:rsidRPr="008B4A25">
        <w:rPr>
          <w:noProof/>
        </w:rPr>
        <w:t xml:space="preserve">În plus, prelungirile perioadelor de interzicere a activităților de pescuit pentru navele de pescuit cu plasă-pungă ale Uniunii, pe baza capturilor lor de ton obez în zona Convenției CITT din anul precedent, trebuie să se aplice numai primului grup de perioade de interzicere a activităților de pescuit și, prin urmare, nu se mai aplică celui de al doilea grup de perioade de interzicere a activităților de pescuit. </w:t>
      </w:r>
    </w:p>
    <w:p w:rsidR="00807EA7" w:rsidRPr="008B4A25" w:rsidRDefault="00807EA7" w:rsidP="00807EA7">
      <w:pPr>
        <w:pStyle w:val="ManualConsidrant"/>
        <w:rPr>
          <w:noProof/>
        </w:rPr>
      </w:pPr>
      <w:r>
        <w:rPr>
          <w:noProof/>
        </w:rPr>
        <w:t>(13)</w:t>
      </w:r>
      <w:r>
        <w:rPr>
          <w:noProof/>
        </w:rPr>
        <w:tab/>
      </w:r>
      <w:r w:rsidRPr="008B4A25">
        <w:rPr>
          <w:noProof/>
        </w:rPr>
        <w:t>La 20 ianuarie 2021, Parlamentul European și Consiliul au adoptat Regulamentul (UE) 2021/56</w:t>
      </w:r>
      <w:r w:rsidRPr="008B4A25">
        <w:rPr>
          <w:rStyle w:val="FootnoteReference"/>
          <w:noProof/>
        </w:rPr>
        <w:footnoteReference w:id="21"/>
      </w:r>
      <w:r w:rsidRPr="008B4A25">
        <w:rPr>
          <w:noProof/>
        </w:rPr>
        <w:t xml:space="preserve"> de punere în aplicare în dreptul Uniunii a anumitor măsuri de gestionare, conservare și control aplicabile în zona Convenției CITT. Articolul 8 din regulamentul respectiv stabilește măsuri pentru rechinii cu înotătoare albe (</w:t>
      </w:r>
      <w:r w:rsidRPr="008B4A25">
        <w:rPr>
          <w:i/>
          <w:iCs/>
          <w:noProof/>
        </w:rPr>
        <w:t>Carcharhinus longimanus</w:t>
      </w:r>
      <w:r w:rsidRPr="008B4A25">
        <w:rPr>
          <w:noProof/>
        </w:rPr>
        <w:t xml:space="preserve">). Articolul 40 din Regulamentul (UE) 2026/249 se suprapune cu Regulamentul (UE) 2021/56 în ceea ce privește acest subiect și impune cerințe care sunt deja abordate în dreptul Uniunii. Prin urmare, este adecvat să se elimine articolul 40 din Regulamentul (UE) 2026/249. </w:t>
      </w:r>
    </w:p>
    <w:p w:rsidR="0034781D" w:rsidRPr="008B4A25" w:rsidRDefault="0034781D" w:rsidP="00F06F7C">
      <w:pPr>
        <w:pStyle w:val="ManualConsidrant"/>
        <w:rPr>
          <w:noProof/>
        </w:rPr>
      </w:pPr>
      <w:r>
        <w:rPr>
          <w:noProof/>
        </w:rPr>
        <w:t>(14)</w:t>
      </w:r>
      <w:r>
        <w:rPr>
          <w:noProof/>
        </w:rPr>
        <w:tab/>
      </w:r>
      <w:r w:rsidRPr="008B4A25">
        <w:rPr>
          <w:noProof/>
        </w:rPr>
        <w:t>Regulamentul (UE) 2026/249 stabilește o TAC pentru limba-de-mare în diviziunile ICES 8c, 8d și 8e, în subzonele 9 și 10 și în apele UE ale Comitetului pentru pescuit în zona central-estică a Atlanticului (CECAF) 34.1.1 pentru 2026 și pentru 2027. Potrivit ICES, există trei specii principale de limbă-de-mare capturate în zona respectivă: limba-de-mare comună (</w:t>
      </w:r>
      <w:r w:rsidRPr="008B4A25">
        <w:rPr>
          <w:i/>
          <w:iCs/>
          <w:noProof/>
        </w:rPr>
        <w:t>Solea solea</w:t>
      </w:r>
      <w:r w:rsidRPr="008B4A25">
        <w:rPr>
          <w:noProof/>
        </w:rPr>
        <w:t>), limba-de-mare senegaleză (</w:t>
      </w:r>
      <w:r w:rsidRPr="008B4A25">
        <w:rPr>
          <w:i/>
          <w:iCs/>
          <w:noProof/>
        </w:rPr>
        <w:t>Solea senegalensis</w:t>
      </w:r>
      <w:r w:rsidRPr="008B4A25">
        <w:rPr>
          <w:noProof/>
        </w:rPr>
        <w:t>) și limba-de-nisip (</w:t>
      </w:r>
      <w:r w:rsidRPr="008B4A25">
        <w:rPr>
          <w:i/>
          <w:iCs/>
          <w:noProof/>
        </w:rPr>
        <w:t>Pegusa lascaris</w:t>
      </w:r>
      <w:r w:rsidRPr="008B4A25">
        <w:rPr>
          <w:noProof/>
        </w:rPr>
        <w:t>). Denumirea științifică menționată în TAC este „</w:t>
      </w:r>
      <w:r w:rsidRPr="008B4A25">
        <w:rPr>
          <w:i/>
          <w:iCs/>
          <w:noProof/>
        </w:rPr>
        <w:t>Solea</w:t>
      </w:r>
      <w:r w:rsidRPr="008B4A25">
        <w:rPr>
          <w:noProof/>
        </w:rPr>
        <w:t xml:space="preserve"> spp.”, care nu include limba-de-nisip. Cu toate acestea, s-a considerat anterior că limba-de-nisip aparține genului </w:t>
      </w:r>
      <w:r w:rsidRPr="008B4A25">
        <w:rPr>
          <w:i/>
          <w:iCs/>
          <w:noProof/>
        </w:rPr>
        <w:t>Solea</w:t>
      </w:r>
      <w:r w:rsidRPr="008B4A25">
        <w:rPr>
          <w:noProof/>
        </w:rPr>
        <w:t>. Pentru a asigura securitatea juridică, denumirea științifică menționată în TAC trebuie înlocuită cu „</w:t>
      </w:r>
      <w:r w:rsidRPr="008B4A25">
        <w:rPr>
          <w:i/>
          <w:iCs/>
          <w:noProof/>
        </w:rPr>
        <w:t>Solea</w:t>
      </w:r>
      <w:r w:rsidRPr="008B4A25">
        <w:rPr>
          <w:noProof/>
        </w:rPr>
        <w:t xml:space="preserve"> spp. și </w:t>
      </w:r>
      <w:r w:rsidRPr="008B4A25">
        <w:rPr>
          <w:i/>
          <w:iCs/>
          <w:noProof/>
        </w:rPr>
        <w:t>Pegusa lascaris</w:t>
      </w:r>
      <w:r w:rsidRPr="008B4A25">
        <w:rPr>
          <w:noProof/>
        </w:rPr>
        <w:t xml:space="preserve">” pentru a acoperi și limba-de-nisip. </w:t>
      </w:r>
    </w:p>
    <w:p w:rsidR="00C8120D" w:rsidRPr="008B4A25" w:rsidRDefault="5B28AE18" w:rsidP="00F06F7C">
      <w:pPr>
        <w:pStyle w:val="ManualConsidrant"/>
        <w:rPr>
          <w:noProof/>
        </w:rPr>
      </w:pPr>
      <w:r>
        <w:rPr>
          <w:noProof/>
        </w:rPr>
        <w:t>(15)</w:t>
      </w:r>
      <w:r>
        <w:rPr>
          <w:noProof/>
        </w:rPr>
        <w:tab/>
      </w:r>
      <w:r w:rsidRPr="008B4A25">
        <w:rPr>
          <w:noProof/>
        </w:rPr>
        <w:t>Prin urmare, Regulamentul (UE) 2026/249 trebuie modificat în consecință.</w:t>
      </w:r>
    </w:p>
    <w:p w:rsidR="00E52E72" w:rsidRPr="008B4A25" w:rsidRDefault="00E52E72" w:rsidP="00E52E72">
      <w:pPr>
        <w:pStyle w:val="ManualConsidrant"/>
        <w:rPr>
          <w:noProof/>
        </w:rPr>
      </w:pPr>
      <w:r>
        <w:rPr>
          <w:noProof/>
        </w:rPr>
        <w:lastRenderedPageBreak/>
        <w:t>(16)</w:t>
      </w:r>
      <w:r>
        <w:rPr>
          <w:noProof/>
        </w:rPr>
        <w:tab/>
      </w:r>
      <w:r w:rsidRPr="008B4A25">
        <w:rPr>
          <w:noProof/>
        </w:rPr>
        <w:t>Pentru a menține perioadele de raportare pentru TAC modificate prin prezentul regulament, care se aplică de la 1 ianuarie 2026, TAC modificate trebuie să se aplice retroactiv de la data respectivă. O astfel de aplicare retroactivă nu afectează principiul securității juridice și al protecției încrederii legitime, întrucât TAC în cauză sunt menținute sau au crescut.</w:t>
      </w:r>
    </w:p>
    <w:p w:rsidR="003B4895" w:rsidRPr="008B4A25" w:rsidRDefault="00E52E72" w:rsidP="00E52E72">
      <w:pPr>
        <w:pStyle w:val="ManualConsidrant"/>
        <w:rPr>
          <w:noProof/>
        </w:rPr>
      </w:pPr>
      <w:r>
        <w:rPr>
          <w:noProof/>
        </w:rPr>
        <w:t>(17)</w:t>
      </w:r>
      <w:r>
        <w:rPr>
          <w:noProof/>
        </w:rPr>
        <w:tab/>
      </w:r>
      <w:r w:rsidRPr="008B4A25">
        <w:rPr>
          <w:noProof/>
        </w:rPr>
        <w:t xml:space="preserve">Dată fiind nevoia urgentă de a se evita întreruperea activităților de pescuit, prezentul regulament trebuie să intre în vigoare la data publicării în </w:t>
      </w:r>
      <w:r w:rsidRPr="008B4A25">
        <w:rPr>
          <w:i/>
          <w:iCs/>
          <w:noProof/>
        </w:rPr>
        <w:t>Jurnalul Oficial al Uniunii Europene</w:t>
      </w:r>
      <w:r w:rsidRPr="008B4A25">
        <w:rPr>
          <w:noProof/>
        </w:rPr>
        <w:t>,</w:t>
      </w:r>
    </w:p>
    <w:p w:rsidR="0075565C" w:rsidRPr="008B4A25" w:rsidRDefault="0075565C" w:rsidP="00440DA8">
      <w:pPr>
        <w:rPr>
          <w:noProof/>
        </w:rPr>
      </w:pPr>
    </w:p>
    <w:p w:rsidR="00382895" w:rsidRPr="008B4A25" w:rsidRDefault="00382895" w:rsidP="00440DA8">
      <w:pPr>
        <w:pStyle w:val="Formuledadoption"/>
        <w:rPr>
          <w:noProof/>
        </w:rPr>
      </w:pPr>
      <w:r w:rsidRPr="008B4A25">
        <w:rPr>
          <w:noProof/>
        </w:rPr>
        <w:t>ADOPTĂ PREZENTUL REGULAMENT:</w:t>
      </w:r>
    </w:p>
    <w:p w:rsidR="0075565C" w:rsidRPr="008B4A25" w:rsidRDefault="0075565C" w:rsidP="00440DA8">
      <w:pPr>
        <w:pStyle w:val="Titrearticle"/>
        <w:rPr>
          <w:noProof/>
        </w:rPr>
      </w:pPr>
      <w:r w:rsidRPr="008B4A25">
        <w:rPr>
          <w:noProof/>
        </w:rPr>
        <w:t xml:space="preserve">Articolul 1 </w:t>
      </w:r>
      <w:r w:rsidRPr="008B4A25">
        <w:rPr>
          <w:noProof/>
        </w:rPr>
        <w:br/>
      </w:r>
      <w:r w:rsidRPr="008B4A25">
        <w:rPr>
          <w:b/>
          <w:i w:val="0"/>
          <w:noProof/>
        </w:rPr>
        <w:t>Modificarea Regulamentului (UE) 2026/249</w:t>
      </w:r>
    </w:p>
    <w:p w:rsidR="74026A1F" w:rsidRPr="008B4A25" w:rsidRDefault="00EF4C14" w:rsidP="00440DA8">
      <w:pPr>
        <w:rPr>
          <w:noProof/>
        </w:rPr>
      </w:pPr>
      <w:r w:rsidRPr="008B4A25">
        <w:rPr>
          <w:noProof/>
        </w:rPr>
        <w:t>Regulamentul (UE) 2026/249 se modifică după cum urmează:</w:t>
      </w:r>
    </w:p>
    <w:p w:rsidR="00807EA7" w:rsidRPr="008B4A25" w:rsidRDefault="00E60BB1" w:rsidP="00807EA7">
      <w:pPr>
        <w:pStyle w:val="Point0"/>
        <w:rPr>
          <w:noProof/>
        </w:rPr>
      </w:pPr>
      <w:r w:rsidRPr="008B4A25">
        <w:rPr>
          <w:noProof/>
        </w:rPr>
        <w:t>1.</w:t>
      </w:r>
      <w:r w:rsidRPr="008B4A25">
        <w:rPr>
          <w:noProof/>
        </w:rPr>
        <w:tab/>
        <w:t>Articolul 37 se modifică după cum urmează:</w:t>
      </w:r>
      <w:r w:rsidR="008B4A25">
        <w:rPr>
          <w:noProof/>
        </w:rPr>
        <w:t xml:space="preserve"> </w:t>
      </w:r>
    </w:p>
    <w:p w:rsidR="00807EA7" w:rsidRPr="008B4A25" w:rsidRDefault="00807EA7" w:rsidP="00807EA7">
      <w:pPr>
        <w:pStyle w:val="Point1"/>
        <w:rPr>
          <w:noProof/>
        </w:rPr>
      </w:pPr>
      <w:r w:rsidRPr="008B4A25">
        <w:rPr>
          <w:noProof/>
        </w:rPr>
        <w:t>(a)</w:t>
      </w:r>
      <w:r w:rsidRPr="008B4A25">
        <w:rPr>
          <w:noProof/>
        </w:rPr>
        <w:tab/>
        <w:t>la alineatul (1), litera (a) se înlocuiește cu următorul text:</w:t>
      </w:r>
    </w:p>
    <w:p w:rsidR="00807EA7" w:rsidRPr="008B4A25" w:rsidRDefault="00881C47" w:rsidP="00807EA7">
      <w:pPr>
        <w:pStyle w:val="Point1"/>
        <w:ind w:left="2160" w:hanging="740"/>
        <w:rPr>
          <w:noProof/>
        </w:rPr>
      </w:pPr>
      <w:r w:rsidRPr="008B4A25">
        <w:rPr>
          <w:noProof/>
        </w:rPr>
        <w:t>„(a)</w:t>
      </w:r>
      <w:r w:rsidRPr="008B4A25">
        <w:rPr>
          <w:noProof/>
        </w:rPr>
        <w:tab/>
        <w:t>fie de la 6 august 2026 ora 00.00 până la 8 octombrie 2026 ora 24.00, fie de la 9 noiembrie 2026 ora 00.00 până la 11 ianuarie 2027 ora 24.00, în zona Convenției CITT; și”;</w:t>
      </w:r>
    </w:p>
    <w:p w:rsidR="00807EA7" w:rsidRPr="008B4A25" w:rsidRDefault="00807EA7" w:rsidP="00807EA7">
      <w:pPr>
        <w:pStyle w:val="Point1"/>
        <w:rPr>
          <w:noProof/>
        </w:rPr>
      </w:pPr>
      <w:r w:rsidRPr="008B4A25">
        <w:rPr>
          <w:noProof/>
        </w:rPr>
        <w:t xml:space="preserve">(b) </w:t>
      </w:r>
      <w:r w:rsidRPr="008B4A25">
        <w:rPr>
          <w:noProof/>
        </w:rPr>
        <w:tab/>
        <w:t>la alineatul (6), teza introductivă se înlocuiește cu următorul text:</w:t>
      </w:r>
    </w:p>
    <w:p w:rsidR="00807EA7" w:rsidRPr="008B4A25" w:rsidRDefault="00881C47" w:rsidP="00807EA7">
      <w:pPr>
        <w:pStyle w:val="Point0"/>
        <w:ind w:left="1417" w:firstLine="23"/>
        <w:rPr>
          <w:noProof/>
        </w:rPr>
      </w:pPr>
      <w:r w:rsidRPr="008B4A25">
        <w:rPr>
          <w:noProof/>
        </w:rPr>
        <w:t>„Perioadele de interzicere a pescuitului menționate la alineatul (1) litera (a) se prelungesc pentru navele de pescuit cu plasă-pungă din Uniune, pe baza capturilor de ton obez în zona Convenției CITT din anul precedent, după cum urmează:”;</w:t>
      </w:r>
    </w:p>
    <w:p w:rsidR="00807EA7" w:rsidRPr="008B4A25" w:rsidRDefault="00807EA7" w:rsidP="00807EA7">
      <w:pPr>
        <w:pStyle w:val="Point1"/>
        <w:rPr>
          <w:noProof/>
        </w:rPr>
      </w:pPr>
      <w:r w:rsidRPr="008B4A25">
        <w:rPr>
          <w:noProof/>
        </w:rPr>
        <w:t>(c)</w:t>
      </w:r>
      <w:r w:rsidRPr="008B4A25">
        <w:rPr>
          <w:noProof/>
        </w:rPr>
        <w:tab/>
        <w:t>alineatul (7) se înlocuiește cu următorul text:</w:t>
      </w:r>
    </w:p>
    <w:p w:rsidR="00807EA7" w:rsidRPr="008B4A25" w:rsidRDefault="00881C47" w:rsidP="00807EA7">
      <w:pPr>
        <w:pStyle w:val="Point0"/>
        <w:ind w:left="2160" w:hanging="720"/>
        <w:rPr>
          <w:noProof/>
        </w:rPr>
      </w:pPr>
      <w:r w:rsidRPr="008B4A25">
        <w:rPr>
          <w:noProof/>
        </w:rPr>
        <w:t>„(7)</w:t>
      </w:r>
      <w:r w:rsidRPr="008B4A25">
        <w:rPr>
          <w:noProof/>
        </w:rPr>
        <w:tab/>
        <w:t>Prelungirile perioadelor de interzicere a pescuitului menționate la alineatul (6) se aplică după cum urmează:</w:t>
      </w:r>
    </w:p>
    <w:p w:rsidR="00807EA7" w:rsidRPr="008B4A25" w:rsidRDefault="00807EA7" w:rsidP="00807EA7">
      <w:pPr>
        <w:pStyle w:val="Point0"/>
        <w:ind w:left="2880" w:hanging="720"/>
        <w:rPr>
          <w:noProof/>
        </w:rPr>
      </w:pPr>
      <w:r w:rsidRPr="008B4A25">
        <w:rPr>
          <w:noProof/>
        </w:rPr>
        <w:t>(a)</w:t>
      </w:r>
      <w:r w:rsidRPr="008B4A25">
        <w:rPr>
          <w:noProof/>
        </w:rPr>
        <w:tab/>
        <w:t>pentru perioada de interzicere a pescuitului care începe la 6 august 2026 ora 00.00, zilele suplimentare se adaugă înainte de începutul respectivei perioade de interzicere a pescuitului; și</w:t>
      </w:r>
    </w:p>
    <w:p w:rsidR="00807EA7" w:rsidRPr="008B4A25" w:rsidRDefault="00807EA7" w:rsidP="00881C47">
      <w:pPr>
        <w:pStyle w:val="Point0"/>
        <w:ind w:left="2880" w:hanging="720"/>
        <w:rPr>
          <w:noProof/>
        </w:rPr>
      </w:pPr>
      <w:r w:rsidRPr="008B4A25">
        <w:rPr>
          <w:noProof/>
        </w:rPr>
        <w:t>(b)</w:t>
      </w:r>
      <w:r w:rsidRPr="008B4A25">
        <w:rPr>
          <w:noProof/>
        </w:rPr>
        <w:tab/>
        <w:t>pentru perioada de interzicere a pescuitului care începe la 9 noiembrie 2026 ora 00.00, zilele suplimentare se adaugă după sfârșitul respectivei perioade de interzicere a pescuitului.”</w:t>
      </w:r>
    </w:p>
    <w:p w:rsidR="00E52E72" w:rsidRPr="008B4A25" w:rsidRDefault="00807EA7" w:rsidP="00E52E72">
      <w:pPr>
        <w:pStyle w:val="Point0"/>
        <w:rPr>
          <w:noProof/>
        </w:rPr>
      </w:pPr>
      <w:r w:rsidRPr="008B4A25">
        <w:rPr>
          <w:noProof/>
        </w:rPr>
        <w:t>2.</w:t>
      </w:r>
      <w:r w:rsidRPr="008B4A25">
        <w:rPr>
          <w:noProof/>
        </w:rPr>
        <w:tab/>
        <w:t>Articolul 40 se elimină.</w:t>
      </w:r>
    </w:p>
    <w:p w:rsidR="007C687F" w:rsidRPr="008B4A25" w:rsidRDefault="00807EA7" w:rsidP="00E52E72">
      <w:pPr>
        <w:pStyle w:val="Point0"/>
        <w:rPr>
          <w:noProof/>
        </w:rPr>
      </w:pPr>
      <w:r w:rsidRPr="008B4A25">
        <w:rPr>
          <w:noProof/>
        </w:rPr>
        <w:t xml:space="preserve">3. </w:t>
      </w:r>
      <w:r w:rsidRPr="008B4A25">
        <w:rPr>
          <w:noProof/>
        </w:rPr>
        <w:tab/>
        <w:t>Articolul 62 se modifică după cum urmează:</w:t>
      </w:r>
      <w:r w:rsidR="008B4A25">
        <w:rPr>
          <w:noProof/>
        </w:rPr>
        <w:t xml:space="preserve"> </w:t>
      </w:r>
    </w:p>
    <w:p w:rsidR="00807EA7" w:rsidRPr="008B4A25" w:rsidRDefault="00807EA7" w:rsidP="00807EA7">
      <w:pPr>
        <w:pStyle w:val="Point1"/>
        <w:rPr>
          <w:noProof/>
        </w:rPr>
      </w:pPr>
      <w:r w:rsidRPr="008B4A25">
        <w:rPr>
          <w:noProof/>
        </w:rPr>
        <w:t xml:space="preserve">(a) </w:t>
      </w:r>
      <w:r w:rsidRPr="008B4A25">
        <w:rPr>
          <w:noProof/>
        </w:rPr>
        <w:tab/>
        <w:t>la alineatul (2), litera (d) se înlocuiește cu următorul text:</w:t>
      </w:r>
    </w:p>
    <w:p w:rsidR="00807EA7" w:rsidRPr="008B4A25" w:rsidRDefault="00881C47" w:rsidP="00807EA7">
      <w:pPr>
        <w:pStyle w:val="Point1"/>
        <w:ind w:left="2157" w:hanging="740"/>
        <w:rPr>
          <w:noProof/>
        </w:rPr>
      </w:pPr>
      <w:r w:rsidRPr="008B4A25">
        <w:rPr>
          <w:noProof/>
        </w:rPr>
        <w:t>„(d)</w:t>
      </w:r>
      <w:r w:rsidRPr="008B4A25">
        <w:rPr>
          <w:noProof/>
        </w:rPr>
        <w:tab/>
        <w:t xml:space="preserve">articolul 19 alineatele (1)-(2) și (4)-(6) se aplică de la 1 iunie 2026 la 31 decembrie 2026;”; </w:t>
      </w:r>
    </w:p>
    <w:p w:rsidR="00807EA7" w:rsidRPr="008B4A25" w:rsidRDefault="00807EA7" w:rsidP="00807EA7">
      <w:pPr>
        <w:pStyle w:val="Point1"/>
        <w:rPr>
          <w:noProof/>
        </w:rPr>
      </w:pPr>
      <w:r w:rsidRPr="008B4A25">
        <w:rPr>
          <w:noProof/>
        </w:rPr>
        <w:t>(b)</w:t>
      </w:r>
      <w:r w:rsidRPr="008B4A25">
        <w:rPr>
          <w:noProof/>
        </w:rPr>
        <w:tab/>
        <w:t>la alineatul (2), se introduc următoarele litere (da) și (db):</w:t>
      </w:r>
    </w:p>
    <w:p w:rsidR="00807EA7" w:rsidRPr="008B4A25" w:rsidRDefault="00881C47" w:rsidP="00807EA7">
      <w:pPr>
        <w:pStyle w:val="Point1"/>
        <w:ind w:left="2157" w:hanging="740"/>
        <w:rPr>
          <w:noProof/>
        </w:rPr>
      </w:pPr>
      <w:r w:rsidRPr="008B4A25">
        <w:rPr>
          <w:noProof/>
        </w:rPr>
        <w:t>„(da)</w:t>
      </w:r>
      <w:r w:rsidRPr="008B4A25">
        <w:rPr>
          <w:noProof/>
        </w:rPr>
        <w:tab/>
        <w:t>articolul 19 alineatul (3) se aplică de la pm 2026 până la 31 decembrie 2026;</w:t>
      </w:r>
    </w:p>
    <w:p w:rsidR="00A563AE" w:rsidRPr="008B4A25" w:rsidRDefault="00807EA7">
      <w:pPr>
        <w:pStyle w:val="Point1"/>
        <w:ind w:firstLine="0"/>
        <w:rPr>
          <w:noProof/>
        </w:rPr>
      </w:pPr>
      <w:r w:rsidRPr="008B4A25">
        <w:rPr>
          <w:noProof/>
        </w:rPr>
        <w:t xml:space="preserve"> (db) </w:t>
      </w:r>
      <w:r w:rsidRPr="008B4A25">
        <w:rPr>
          <w:noProof/>
        </w:rPr>
        <w:tab/>
        <w:t>articolul 20 se aplică de la pm 2026 la 31 decembrie 2026;”;</w:t>
      </w:r>
    </w:p>
    <w:p w:rsidR="00E52E72" w:rsidRPr="008B4A25" w:rsidRDefault="00A563AE" w:rsidP="00881C47">
      <w:pPr>
        <w:pStyle w:val="Point1"/>
        <w:rPr>
          <w:noProof/>
        </w:rPr>
      </w:pPr>
      <w:r w:rsidRPr="008B4A25">
        <w:rPr>
          <w:noProof/>
        </w:rPr>
        <w:lastRenderedPageBreak/>
        <w:t>(c)</w:t>
      </w:r>
      <w:r w:rsidRPr="008B4A25">
        <w:rPr>
          <w:noProof/>
        </w:rPr>
        <w:tab/>
        <w:t>la alineatul (2), litera (k) se elimină; și</w:t>
      </w:r>
    </w:p>
    <w:p w:rsidR="00E52E72" w:rsidRPr="008B4A25" w:rsidRDefault="00E52E72" w:rsidP="00E52E72">
      <w:pPr>
        <w:pStyle w:val="Point1"/>
        <w:rPr>
          <w:noProof/>
        </w:rPr>
      </w:pPr>
      <w:r w:rsidRPr="008B4A25">
        <w:rPr>
          <w:noProof/>
        </w:rPr>
        <w:t>(d)</w:t>
      </w:r>
      <w:r w:rsidRPr="008B4A25">
        <w:rPr>
          <w:noProof/>
        </w:rPr>
        <w:tab/>
        <w:t>la alineatul (3), „40” se elimină.</w:t>
      </w:r>
    </w:p>
    <w:p w:rsidR="00554BBD" w:rsidRPr="008B4A25" w:rsidRDefault="00807EA7" w:rsidP="00B2115E">
      <w:pPr>
        <w:pStyle w:val="Point0"/>
        <w:rPr>
          <w:noProof/>
        </w:rPr>
      </w:pPr>
      <w:r w:rsidRPr="008B4A25">
        <w:rPr>
          <w:noProof/>
        </w:rPr>
        <w:t>4.</w:t>
      </w:r>
      <w:r w:rsidRPr="008B4A25">
        <w:rPr>
          <w:noProof/>
        </w:rPr>
        <w:tab/>
        <w:t xml:space="preserve">Anexa IA, părțile A și B, și anexele IB, ID, IH, IM și VI se modifică în conformitate cu anexa la prezentul regulament. </w:t>
      </w:r>
    </w:p>
    <w:p w:rsidR="000C6438" w:rsidRPr="008B4A25" w:rsidRDefault="000C6438" w:rsidP="00440DA8">
      <w:pPr>
        <w:pStyle w:val="Titrearticle"/>
        <w:rPr>
          <w:noProof/>
        </w:rPr>
      </w:pPr>
      <w:r w:rsidRPr="008B4A25">
        <w:rPr>
          <w:noProof/>
        </w:rPr>
        <w:t xml:space="preserve">Articolul 2 </w:t>
      </w:r>
      <w:r w:rsidRPr="008B4A25">
        <w:rPr>
          <w:noProof/>
        </w:rPr>
        <w:br/>
      </w:r>
      <w:r w:rsidRPr="008B4A25">
        <w:rPr>
          <w:b/>
          <w:i w:val="0"/>
          <w:noProof/>
        </w:rPr>
        <w:t>Intrarea în vigoare și aplicarea</w:t>
      </w:r>
    </w:p>
    <w:p w:rsidR="008704D7" w:rsidRPr="008B4A25" w:rsidRDefault="008704D7" w:rsidP="00440DA8">
      <w:pPr>
        <w:rPr>
          <w:noProof/>
        </w:rPr>
      </w:pPr>
      <w:r w:rsidRPr="008B4A25">
        <w:rPr>
          <w:noProof/>
        </w:rPr>
        <w:t xml:space="preserve">Prezentul regulament intră în vigoare la data publicării în </w:t>
      </w:r>
      <w:r w:rsidRPr="008B4A25">
        <w:rPr>
          <w:i/>
          <w:iCs/>
          <w:noProof/>
        </w:rPr>
        <w:t>Jurnalul Oficial al Uniunii Europene</w:t>
      </w:r>
      <w:r w:rsidRPr="008B4A25">
        <w:rPr>
          <w:noProof/>
        </w:rPr>
        <w:t>.</w:t>
      </w:r>
    </w:p>
    <w:p w:rsidR="008704D7" w:rsidRPr="008B4A25" w:rsidRDefault="008704D7" w:rsidP="00440DA8">
      <w:pPr>
        <w:rPr>
          <w:noProof/>
        </w:rPr>
      </w:pPr>
      <w:r w:rsidRPr="008B4A25">
        <w:rPr>
          <w:noProof/>
        </w:rPr>
        <w:t>Se aplică de la 1 ianuarie 2026.</w:t>
      </w:r>
    </w:p>
    <w:p w:rsidR="008704D7" w:rsidRPr="008B4A25" w:rsidRDefault="00382895" w:rsidP="00440DA8">
      <w:pPr>
        <w:pStyle w:val="Applicationdirecte"/>
        <w:rPr>
          <w:noProof/>
        </w:rPr>
      </w:pPr>
      <w:r w:rsidRPr="008B4A25">
        <w:rPr>
          <w:noProof/>
        </w:rPr>
        <w:t>Prezentul regulament este obligatoriu în toate elementele sale și se aplică direct în toate statele membre.</w:t>
      </w:r>
    </w:p>
    <w:p w:rsidR="00382895" w:rsidRPr="008B4A25" w:rsidRDefault="00D16F81" w:rsidP="00685380">
      <w:pPr>
        <w:pStyle w:val="Fait"/>
        <w:rPr>
          <w:noProof/>
        </w:rPr>
      </w:pPr>
      <w:r>
        <w:rPr>
          <w:noProof/>
        </w:rPr>
        <w:t>Adoptat la Bruxelles,</w:t>
      </w:r>
    </w:p>
    <w:p w:rsidR="00382895" w:rsidRPr="008B4A25" w:rsidRDefault="00382895" w:rsidP="00685380">
      <w:pPr>
        <w:pStyle w:val="Institutionquisigne"/>
        <w:rPr>
          <w:noProof/>
        </w:rPr>
      </w:pPr>
      <w:r w:rsidRPr="008B4A25">
        <w:rPr>
          <w:noProof/>
        </w:rPr>
        <w:tab/>
        <w:t>Pentru Consiliu</w:t>
      </w:r>
    </w:p>
    <w:p w:rsidR="00382895" w:rsidRPr="008B4A25" w:rsidRDefault="00382895" w:rsidP="00440DA8">
      <w:pPr>
        <w:pStyle w:val="Personnequisigne"/>
        <w:rPr>
          <w:noProof/>
        </w:rPr>
      </w:pPr>
      <w:r w:rsidRPr="008B4A25">
        <w:rPr>
          <w:noProof/>
        </w:rPr>
        <w:tab/>
        <w:t>Președintele</w:t>
      </w:r>
    </w:p>
    <w:sectPr w:rsidR="00382895" w:rsidRPr="008B4A25" w:rsidSect="004807D7">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78B2" w:rsidRPr="008B4A25" w:rsidRDefault="00A278B2" w:rsidP="00382895">
      <w:pPr>
        <w:spacing w:before="0" w:after="0"/>
      </w:pPr>
      <w:r w:rsidRPr="008B4A25">
        <w:separator/>
      </w:r>
    </w:p>
  </w:endnote>
  <w:endnote w:type="continuationSeparator" w:id="0">
    <w:p w:rsidR="00A278B2" w:rsidRPr="008B4A25" w:rsidRDefault="00A278B2" w:rsidP="00382895">
      <w:pPr>
        <w:spacing w:before="0" w:after="0"/>
      </w:pPr>
      <w:r w:rsidRPr="008B4A25">
        <w:continuationSeparator/>
      </w:r>
    </w:p>
  </w:endnote>
  <w:endnote w:type="continuationNotice" w:id="1">
    <w:p w:rsidR="00A278B2" w:rsidRPr="008B4A25" w:rsidRDefault="00A278B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7D7" w:rsidRPr="004807D7" w:rsidRDefault="004807D7" w:rsidP="004807D7">
    <w:pPr>
      <w:pStyle w:val="Footer"/>
      <w:rPr>
        <w:rFonts w:ascii="Arial" w:hAnsi="Arial" w:cs="Arial"/>
        <w:b/>
        <w:sz w:val="48"/>
      </w:rPr>
    </w:pPr>
    <w:r w:rsidRPr="004807D7">
      <w:rPr>
        <w:rFonts w:ascii="Arial" w:hAnsi="Arial" w:cs="Arial"/>
        <w:b/>
        <w:sz w:val="48"/>
      </w:rPr>
      <w:t>RO</w:t>
    </w:r>
    <w:r w:rsidRPr="004807D7">
      <w:rPr>
        <w:rFonts w:ascii="Arial" w:hAnsi="Arial" w:cs="Arial"/>
        <w:b/>
        <w:sz w:val="48"/>
      </w:rPr>
      <w:tab/>
    </w:r>
    <w:r w:rsidRPr="004807D7">
      <w:rPr>
        <w:rFonts w:ascii="Arial" w:hAnsi="Arial" w:cs="Arial"/>
        <w:b/>
        <w:sz w:val="48"/>
      </w:rPr>
      <w:tab/>
    </w:r>
    <w:r w:rsidRPr="004807D7">
      <w:tab/>
    </w:r>
    <w:r w:rsidRPr="004807D7">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7D7" w:rsidRPr="004807D7" w:rsidRDefault="004807D7" w:rsidP="004807D7">
    <w:pPr>
      <w:pStyle w:val="Footer"/>
      <w:rPr>
        <w:rFonts w:ascii="Arial" w:hAnsi="Arial" w:cs="Arial"/>
        <w:b/>
        <w:sz w:val="48"/>
      </w:rPr>
    </w:pPr>
    <w:r w:rsidRPr="004807D7">
      <w:rPr>
        <w:rFonts w:ascii="Arial" w:hAnsi="Arial" w:cs="Arial"/>
        <w:b/>
        <w:sz w:val="48"/>
      </w:rPr>
      <w:t>RO</w:t>
    </w:r>
    <w:r w:rsidRPr="004807D7">
      <w:rPr>
        <w:rFonts w:ascii="Arial" w:hAnsi="Arial" w:cs="Arial"/>
        <w:b/>
        <w:sz w:val="48"/>
      </w:rPr>
      <w:tab/>
    </w:r>
    <w:r w:rsidRPr="004807D7">
      <w:rPr>
        <w:rFonts w:ascii="Arial" w:hAnsi="Arial" w:cs="Arial"/>
        <w:b/>
        <w:sz w:val="48"/>
      </w:rPr>
      <w:tab/>
    </w:r>
    <w:r w:rsidRPr="004807D7">
      <w:tab/>
    </w:r>
    <w:r w:rsidRPr="004807D7">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7D7" w:rsidRDefault="004807D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7D7" w:rsidRPr="004807D7" w:rsidRDefault="004807D7" w:rsidP="004807D7">
    <w:pPr>
      <w:pStyle w:val="Footer"/>
      <w:rPr>
        <w:rFonts w:ascii="Arial" w:hAnsi="Arial" w:cs="Arial"/>
        <w:b/>
        <w:sz w:val="48"/>
      </w:rPr>
    </w:pPr>
    <w:r w:rsidRPr="004807D7">
      <w:rPr>
        <w:rFonts w:ascii="Arial" w:hAnsi="Arial" w:cs="Arial"/>
        <w:b/>
        <w:sz w:val="48"/>
      </w:rPr>
      <w:t>RO</w:t>
    </w:r>
    <w:r w:rsidRPr="004807D7">
      <w:rPr>
        <w:rFonts w:ascii="Arial" w:hAnsi="Arial" w:cs="Arial"/>
        <w:b/>
        <w:sz w:val="48"/>
      </w:rPr>
      <w:tab/>
    </w:r>
    <w:r>
      <w:fldChar w:fldCharType="begin"/>
    </w:r>
    <w:r>
      <w:instrText xml:space="preserve"> PAGE  \* MERGEFORMAT </w:instrText>
    </w:r>
    <w:r>
      <w:fldChar w:fldCharType="separate"/>
    </w:r>
    <w:r w:rsidR="00685380">
      <w:rPr>
        <w:noProof/>
      </w:rPr>
      <w:t>15</w:t>
    </w:r>
    <w:r>
      <w:fldChar w:fldCharType="end"/>
    </w:r>
    <w:r>
      <w:tab/>
    </w:r>
    <w:r w:rsidRPr="004807D7">
      <w:tab/>
    </w:r>
    <w:r w:rsidRPr="004807D7">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7D7" w:rsidRDefault="004807D7" w:rsidP="004807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78B2" w:rsidRPr="008B4A25" w:rsidRDefault="00A278B2" w:rsidP="00382895">
      <w:pPr>
        <w:spacing w:before="0" w:after="0"/>
      </w:pPr>
      <w:r w:rsidRPr="008B4A25">
        <w:separator/>
      </w:r>
    </w:p>
  </w:footnote>
  <w:footnote w:type="continuationSeparator" w:id="0">
    <w:p w:rsidR="00A278B2" w:rsidRPr="008B4A25" w:rsidRDefault="00A278B2" w:rsidP="00382895">
      <w:pPr>
        <w:spacing w:before="0" w:after="0"/>
      </w:pPr>
      <w:r w:rsidRPr="008B4A25">
        <w:continuationSeparator/>
      </w:r>
    </w:p>
  </w:footnote>
  <w:footnote w:type="continuationNotice" w:id="1">
    <w:p w:rsidR="00A278B2" w:rsidRPr="008B4A25" w:rsidRDefault="00A278B2">
      <w:pPr>
        <w:spacing w:before="0" w:after="0"/>
      </w:pPr>
    </w:p>
  </w:footnote>
  <w:footnote w:id="2">
    <w:p w:rsidR="00AE279B" w:rsidRPr="008B4A25" w:rsidRDefault="00AE279B" w:rsidP="00A56915">
      <w:pPr>
        <w:pStyle w:val="FootnoteText"/>
      </w:pPr>
      <w:r w:rsidRPr="008B4A25">
        <w:rPr>
          <w:rStyle w:val="FootnoteReference"/>
        </w:rPr>
        <w:footnoteRef/>
      </w:r>
      <w:r w:rsidRPr="008B4A25">
        <w:tab/>
        <w:t>Regulamentul (UE) 2026/249 al Consiliului din 26 ianuarie 2026 de stabilire, pentru anii 2026, 2027 și 2028, a posibilităților de pescuit pentru anumite stocuri de pește, aplicabile în apele Uniunii și, pentru navele de pescuit din Uniune, în anumite ape din afara Uniunii, și de modificare a Regulamentului (UE) 2025/202 (JO</w:t>
      </w:r>
      <w:r w:rsidR="008B4A25">
        <w:t> </w:t>
      </w:r>
      <w:r w:rsidRPr="008B4A25">
        <w:t xml:space="preserve">L, 2026/249, 30.1.2026, ELI: </w:t>
      </w:r>
      <w:hyperlink r:id="rId1" w:history="1">
        <w:r w:rsidRPr="008B4A25">
          <w:rPr>
            <w:rStyle w:val="Hyperlink"/>
          </w:rPr>
          <w:t>http://data.europa.eu/eli/reg/2026/249/oj</w:t>
        </w:r>
      </w:hyperlink>
      <w:r w:rsidRPr="008B4A25">
        <w:t xml:space="preserve">). </w:t>
      </w:r>
    </w:p>
  </w:footnote>
  <w:footnote w:id="3">
    <w:p w:rsidR="008F51B1" w:rsidRPr="008B4A25" w:rsidRDefault="008F51B1" w:rsidP="008F51B1">
      <w:pPr>
        <w:pStyle w:val="FootnoteText"/>
      </w:pPr>
      <w:r w:rsidRPr="008B4A25">
        <w:rPr>
          <w:rStyle w:val="FootnoteReference"/>
        </w:rPr>
        <w:footnoteRef/>
      </w:r>
      <w:r w:rsidRPr="008B4A25">
        <w:tab/>
        <w:t>Regulamentul (UE) nr. 1380/2013 al Parlamentului European și al Consiliului din 11 decembrie 2013 privind politica comună în domeniul pescuitului, de modificare a Regulamentelor (CE) nr. 1954/2003 și (CE) nr. 1224/2009 ale Consiliului și de abrogare a Regulamentelor (CE) nr. 2371/2002 și (CE) nr. 639/2004 ale Consiliului și a Deciziei 2004/585/CE a Consiliului (JO</w:t>
      </w:r>
      <w:r w:rsidR="008B4A25">
        <w:t> </w:t>
      </w:r>
      <w:r w:rsidRPr="008B4A25">
        <w:t xml:space="preserve">L 354, 28.12.2013, p. 22, ELI: </w:t>
      </w:r>
      <w:hyperlink r:id="rId2" w:history="1">
        <w:r w:rsidRPr="008B4A25">
          <w:rPr>
            <w:rStyle w:val="Hyperlink"/>
          </w:rPr>
          <w:t>http://data.europa.eu/eli/reg/2013/1380/oj</w:t>
        </w:r>
      </w:hyperlink>
      <w:r w:rsidRPr="008B4A25">
        <w:t>).</w:t>
      </w:r>
    </w:p>
  </w:footnote>
  <w:footnote w:id="4">
    <w:p w:rsidR="00D20D67" w:rsidRPr="008B4A25" w:rsidRDefault="00D20D67" w:rsidP="00D20D67">
      <w:pPr>
        <w:pStyle w:val="FootnoteText"/>
      </w:pPr>
      <w:r w:rsidRPr="008B4A25">
        <w:rPr>
          <w:rStyle w:val="FootnoteReference"/>
        </w:rPr>
        <w:footnoteRef/>
      </w:r>
      <w:r w:rsidRPr="008B4A25">
        <w:tab/>
        <w:t xml:space="preserve">Directiva 2008/56/CE a Parlamentului European și a Consiliului din 17 iunie 2008 de instituire a unui cadru de acțiune comunitară în domeniul politicii privind mediul marin (Directiva-cadru „Strategia pentru mediul marin”) (JO L 164, 25.6.2008, p. 19, ELI: </w:t>
      </w:r>
      <w:hyperlink r:id="rId3" w:history="1">
        <w:r w:rsidRPr="008B4A25">
          <w:rPr>
            <w:rStyle w:val="Hyperlink"/>
          </w:rPr>
          <w:t>http://data.europa.eu/eli/dir/2008/56/oj</w:t>
        </w:r>
      </w:hyperlink>
      <w:r w:rsidRPr="008B4A25">
        <w:t xml:space="preserve">). </w:t>
      </w:r>
    </w:p>
  </w:footnote>
  <w:footnote w:id="5">
    <w:p w:rsidR="00997912" w:rsidRPr="008B4A25" w:rsidRDefault="00997912" w:rsidP="00997912">
      <w:pPr>
        <w:pStyle w:val="FootnoteText"/>
      </w:pPr>
      <w:r w:rsidRPr="008B4A25">
        <w:rPr>
          <w:rStyle w:val="FootnoteReference"/>
        </w:rPr>
        <w:footnoteRef/>
      </w:r>
      <w:r w:rsidRPr="008B4A25">
        <w:tab/>
        <w:t>Acordul comercial și de cooperare dintre Uniunea Europeană și Comunitatea Europeană a Energiei Atomice, pe de o parte, și Regatul Unit al Marii Britanii și Irlandei de Nord, pe de altă parte (JO</w:t>
      </w:r>
      <w:r w:rsidR="008B4A25">
        <w:t> </w:t>
      </w:r>
      <w:r w:rsidRPr="008B4A25">
        <w:t xml:space="preserve">L 149, 30.4.2021, p. 10, ELI: </w:t>
      </w:r>
      <w:hyperlink r:id="rId4" w:history="1">
        <w:r w:rsidRPr="008B4A25">
          <w:rPr>
            <w:rStyle w:val="Hyperlink"/>
          </w:rPr>
          <w:t>http://data.europa.eu/eli/agree_internation/2021/689(1)/oj</w:t>
        </w:r>
      </w:hyperlink>
      <w:r w:rsidRPr="008B4A25">
        <w:t>).</w:t>
      </w:r>
    </w:p>
  </w:footnote>
  <w:footnote w:id="6">
    <w:p w:rsidR="00541874" w:rsidRPr="008B4A25" w:rsidRDefault="00541874" w:rsidP="00541874">
      <w:pPr>
        <w:pStyle w:val="FootnoteText"/>
      </w:pPr>
      <w:r w:rsidRPr="008B4A25">
        <w:rPr>
          <w:rStyle w:val="FootnoteReference"/>
        </w:rPr>
        <w:footnoteRef/>
      </w:r>
      <w:r w:rsidRPr="008B4A25">
        <w:tab/>
      </w:r>
      <w:hyperlink r:id="rId5" w:history="1">
        <w:r w:rsidRPr="008B4A25">
          <w:rPr>
            <w:rStyle w:val="Hyperlink"/>
          </w:rPr>
          <w:t>https://oceans-and-fisheries.ec.europa.eu/fisheries/international-agreements/northern-agreements_en</w:t>
        </w:r>
      </w:hyperlink>
      <w:r w:rsidR="008B4A25">
        <w:t>.</w:t>
      </w:r>
    </w:p>
  </w:footnote>
  <w:footnote w:id="7">
    <w:p w:rsidR="002113C8" w:rsidRPr="008B4A25" w:rsidRDefault="002113C8" w:rsidP="00443D38">
      <w:pPr>
        <w:pStyle w:val="FootnoteText"/>
      </w:pPr>
      <w:r w:rsidRPr="008B4A25">
        <w:rPr>
          <w:rStyle w:val="FootnoteReference"/>
        </w:rPr>
        <w:footnoteRef/>
      </w:r>
      <w:r w:rsidRPr="008B4A25">
        <w:tab/>
        <w:t>Regulamentul (UE) 2025/669 al Consiliului din 31 martie 2025 de modificare a Regulamentului (UE) 2025/202 de stabilire, pentru anii 2025 și 2026, a posibilităților de pescuit pentru anumite stocuri de pește, aplicabile în apele Uniunii și, pentru navele de pescuit din Uniune, în anumite ape din afara Uniunii (JO</w:t>
      </w:r>
      <w:r w:rsidR="008B4A25">
        <w:t> </w:t>
      </w:r>
      <w:r w:rsidRPr="008B4A25">
        <w:t xml:space="preserve">L, 2025/669, 1.4.2025, ELI: </w:t>
      </w:r>
      <w:hyperlink r:id="rId6" w:history="1">
        <w:r w:rsidRPr="008B4A25">
          <w:rPr>
            <w:rStyle w:val="Hyperlink"/>
          </w:rPr>
          <w:t>http://data.europa.eu/eli/reg/2025/669/oj</w:t>
        </w:r>
      </w:hyperlink>
      <w:r w:rsidRPr="008B4A25">
        <w:t>).</w:t>
      </w:r>
    </w:p>
  </w:footnote>
  <w:footnote w:id="8">
    <w:p w:rsidR="007459E9" w:rsidRPr="008B4A25" w:rsidRDefault="007459E9" w:rsidP="007459E9">
      <w:pPr>
        <w:pStyle w:val="FootnoteText"/>
      </w:pPr>
      <w:r w:rsidRPr="008B4A25">
        <w:rPr>
          <w:rStyle w:val="FootnoteReference"/>
        </w:rPr>
        <w:footnoteRef/>
      </w:r>
      <w:r w:rsidRPr="008B4A25">
        <w:tab/>
      </w:r>
      <w:hyperlink r:id="rId7" w:history="1">
        <w:r w:rsidRPr="008B4A25">
          <w:rPr>
            <w:rStyle w:val="Hyperlink"/>
          </w:rPr>
          <w:t>https://doi.org/10.17895/ices.advice.27202689.v2</w:t>
        </w:r>
      </w:hyperlink>
      <w:r w:rsidRPr="008B4A25">
        <w:t xml:space="preserve">. </w:t>
      </w:r>
    </w:p>
  </w:footnote>
  <w:footnote w:id="9">
    <w:p w:rsidR="00361B9E" w:rsidRPr="008B4A25" w:rsidRDefault="00361B9E" w:rsidP="00361B9E">
      <w:pPr>
        <w:pStyle w:val="FootnoteText"/>
      </w:pPr>
      <w:r w:rsidRPr="008B4A25">
        <w:rPr>
          <w:rStyle w:val="FootnoteReference"/>
        </w:rPr>
        <w:footnoteRef/>
      </w:r>
      <w:r w:rsidRPr="008B4A25">
        <w:tab/>
        <w:t>Abordare bazată pe o cotă comună UE-Regatul Unit de 49,29 % din TAC pentru macrou, după aplicarea transferurilor de cote care rezultă din punerea în aplicare a tabelelor B și, respectiv, F din anexa 36 la Acordul comercial și de cooperare.</w:t>
      </w:r>
    </w:p>
  </w:footnote>
  <w:footnote w:id="10">
    <w:p w:rsidR="00B25136" w:rsidRPr="008B4A25" w:rsidRDefault="00B25136" w:rsidP="00B25136">
      <w:pPr>
        <w:pStyle w:val="FootnoteText"/>
      </w:pPr>
      <w:r w:rsidRPr="008B4A25">
        <w:rPr>
          <w:rStyle w:val="FootnoteReference"/>
        </w:rPr>
        <w:footnoteRef/>
      </w:r>
      <w:r w:rsidRPr="008B4A25">
        <w:tab/>
        <w:t>Regulamentul (UE) 2023/2053 al Parlamentului European și al Consiliului din 13 septembrie 2023 privind stabilirea unui plan multianual de gestionare pentru tonul roșu din Oceanul Atlantic de Est și din Marea Mediterană, de modificare a Regulamentelor (CE) nr. 1936/2001, (UE) 2017/2107 și (UE) 2019/833 și de abrogare a Regulamentului (UE) 2016/1627 (JO</w:t>
      </w:r>
      <w:r w:rsidR="008B4A25">
        <w:t> </w:t>
      </w:r>
      <w:r w:rsidRPr="008B4A25">
        <w:t xml:space="preserve">L 238, 27.9.2023, p. 1, ELI: </w:t>
      </w:r>
      <w:hyperlink r:id="rId8" w:history="1">
        <w:r w:rsidRPr="008B4A25">
          <w:rPr>
            <w:rStyle w:val="Hyperlink"/>
          </w:rPr>
          <w:t>http://data.europa.eu/eli/reg/2023/2053/oj</w:t>
        </w:r>
      </w:hyperlink>
      <w:r w:rsidRPr="008B4A25">
        <w:t>).</w:t>
      </w:r>
    </w:p>
  </w:footnote>
  <w:footnote w:id="11">
    <w:p w:rsidR="00922C72" w:rsidRPr="008B4A25" w:rsidRDefault="00922C72" w:rsidP="00922C72">
      <w:pPr>
        <w:pStyle w:val="FootnoteText"/>
      </w:pPr>
      <w:r w:rsidRPr="008B4A25">
        <w:rPr>
          <w:rStyle w:val="FootnoteReference"/>
        </w:rPr>
        <w:footnoteRef/>
      </w:r>
      <w:r w:rsidRPr="008B4A25">
        <w:tab/>
        <w:t>Regulamentul (CE) nr. 1224/2009 al Consiliului din 20 noiembrie 2009 de stabilire a unui sistem comunitar de control pentru asigurarea respectării normelor politicii comune în domeniul pescuitului, de modificare a Regulamentelor (CE) nr. 847/96, (CE) nr. 2371/2002, (CE) nr. 811/2004, (CE) nr. 768/2005, (CE) nr. 2115/2005, (CE) nr. 2166/2005, (CE) nr. 388/2006, (CE) nr. 509/2007, (CE) nr. 676/2007, (CE) nr. 1098/2007, (CE) nr. 1300/2008, (CE) nr. 1342/2008 și de abrogare a Regulamentelor (CEE) nr. 2847/93, (CE) nr. 1627/94 și (CE) nr. 1966/2006 (JO</w:t>
      </w:r>
      <w:r w:rsidR="008B4A25">
        <w:t> </w:t>
      </w:r>
      <w:r w:rsidRPr="008B4A25">
        <w:t xml:space="preserve">L 343, 22.12.2009, p. 1, ELI: </w:t>
      </w:r>
      <w:hyperlink r:id="rId9">
        <w:r w:rsidRPr="008B4A25">
          <w:rPr>
            <w:rStyle w:val="Hyperlink"/>
          </w:rPr>
          <w:t>http://data.europa.eu/eli/reg/2009/1224/oj</w:t>
        </w:r>
      </w:hyperlink>
      <w:r w:rsidRPr="008B4A25">
        <w:t>).</w:t>
      </w:r>
    </w:p>
  </w:footnote>
  <w:footnote w:id="12">
    <w:p w:rsidR="00B25136" w:rsidRPr="008B4A25" w:rsidRDefault="00B25136" w:rsidP="00B25136">
      <w:pPr>
        <w:pStyle w:val="FootnoteText"/>
      </w:pPr>
      <w:r w:rsidRPr="008B4A25">
        <w:rPr>
          <w:rStyle w:val="FootnoteReference"/>
        </w:rPr>
        <w:footnoteRef/>
      </w:r>
      <w:r w:rsidRPr="008B4A25">
        <w:tab/>
        <w:t xml:space="preserve">Regulamentul (UE) 2017/2107 al Parlamentului European și al Consiliului din 15 noiembrie 2017 de stabilire a măsurilor de gestionare, conservare și control aplicabile în zona Convenției Comisiei Internaționale pentru Conservarea Tonului din Oceanul Atlantic (ICCAT) și de modificare a Regulamentelor (CE) nr. 1936/2001, (CE) nr. 1984/2003 și (CE) nr. 520/2007 ale Consiliului (JO L 315, 30.11.2017, p. 1, ELI: </w:t>
      </w:r>
      <w:hyperlink r:id="rId10">
        <w:r w:rsidRPr="008B4A25">
          <w:rPr>
            <w:rStyle w:val="Hyperlink"/>
          </w:rPr>
          <w:t>http://data.europa.eu/eli/reg/2017/2107/oj</w:t>
        </w:r>
      </w:hyperlink>
      <w:r w:rsidRPr="008B4A25">
        <w:t>).</w:t>
      </w:r>
    </w:p>
  </w:footnote>
  <w:footnote w:id="13">
    <w:p w:rsidR="000F5FD1" w:rsidRPr="008B4A25" w:rsidRDefault="000F5FD1" w:rsidP="000F5FD1">
      <w:pPr>
        <w:pStyle w:val="FootnoteText"/>
        <w:rPr>
          <w:rStyle w:val="FootnoteReference"/>
          <w:vertAlign w:val="baseline"/>
        </w:rPr>
      </w:pPr>
      <w:r w:rsidRPr="008B4A25">
        <w:rPr>
          <w:rStyle w:val="FootnoteReference"/>
        </w:rPr>
        <w:footnoteRef/>
      </w:r>
      <w:r w:rsidRPr="008B4A25">
        <w:tab/>
        <w:t>Regulamentul (UE) 2017/2403 al Parlamentului European și al Consiliului din 12 decembrie 2017 privind gestionarea sustenabilă a flotelor de pescuit externe și de abrogare a Regulamentului (CE) nr. 1006/2008 al Consiliului (JO</w:t>
      </w:r>
      <w:r w:rsidR="008B4A25">
        <w:t> </w:t>
      </w:r>
      <w:r w:rsidRPr="008B4A25">
        <w:t xml:space="preserve">L 347, 28.12.2017, p. 81, ELI: </w:t>
      </w:r>
      <w:hyperlink r:id="rId11">
        <w:r w:rsidRPr="008B4A25">
          <w:rPr>
            <w:rStyle w:val="Hyperlink"/>
          </w:rPr>
          <w:t>http://data.europa.eu/eli/reg/2017/2403/oj</w:t>
        </w:r>
      </w:hyperlink>
      <w:r w:rsidRPr="008B4A25">
        <w:t xml:space="preserve">). </w:t>
      </w:r>
    </w:p>
  </w:footnote>
  <w:footnote w:id="14">
    <w:p w:rsidR="000F5FD1" w:rsidRPr="008B4A25" w:rsidRDefault="000F5FD1" w:rsidP="000F5FD1">
      <w:pPr>
        <w:pStyle w:val="FootnoteText"/>
      </w:pPr>
      <w:r w:rsidRPr="008B4A25">
        <w:rPr>
          <w:rStyle w:val="FootnoteReference"/>
        </w:rPr>
        <w:footnoteRef/>
      </w:r>
      <w:r w:rsidRPr="008B4A25">
        <w:tab/>
        <w:t>Regulamentul (UE) 2021/56 al Parlamentului European și al Consiliului din 20 ianuarie 2021 de stabilire a măsurilor de gestionare, conservare și control aplicabile în zona Convenției Comisiei interamericane pentru tonul tropical și de modificare a Regulamentului (CE) nr. 520/2007 al Consiliului (JO</w:t>
      </w:r>
      <w:r w:rsidR="008B4A25">
        <w:t> </w:t>
      </w:r>
      <w:r w:rsidRPr="008B4A25">
        <w:t xml:space="preserve">L 24, 26.1.2021, p. 1, ELI: </w:t>
      </w:r>
      <w:hyperlink r:id="rId12" w:history="1">
        <w:r w:rsidRPr="008B4A25">
          <w:rPr>
            <w:rStyle w:val="Hyperlink"/>
          </w:rPr>
          <w:t>http://data.europa.eu/eli/reg/2021/56/oj</w:t>
        </w:r>
      </w:hyperlink>
      <w:r w:rsidRPr="008B4A25">
        <w:t xml:space="preserve">). </w:t>
      </w:r>
    </w:p>
  </w:footnote>
  <w:footnote w:id="15">
    <w:p w:rsidR="00A200E7" w:rsidRPr="008B4A25" w:rsidRDefault="00A200E7" w:rsidP="00A200E7">
      <w:pPr>
        <w:pStyle w:val="FootnoteText"/>
      </w:pPr>
      <w:r w:rsidRPr="008B4A25">
        <w:rPr>
          <w:rStyle w:val="FootnoteReference"/>
        </w:rPr>
        <w:footnoteRef/>
      </w:r>
      <w:r w:rsidRPr="008B4A25">
        <w:tab/>
        <w:t>Regulamentul (UE) 2026/249 al Consiliului din 26 ianuarie 2026 de stabilire, pentru anii 2026, 2027 și 2028, a posibilităților de pescuit pentru anumite stocuri de pește, aplicabile în apele Uniunii și, pentru navele de pescuit din Uniune, în anumite ape din afara Uniunii, și de modificare a Regulamentului (UE) 2025/202 (JO</w:t>
      </w:r>
      <w:r w:rsidR="008B4A25">
        <w:t> </w:t>
      </w:r>
      <w:r w:rsidRPr="008B4A25">
        <w:t xml:space="preserve">L, 2026/249, 30.1.2026, ELI: </w:t>
      </w:r>
      <w:hyperlink r:id="rId13" w:history="1">
        <w:r w:rsidRPr="008B4A25">
          <w:rPr>
            <w:rStyle w:val="Hyperlink"/>
          </w:rPr>
          <w:t>http://data.europa.eu/eli/reg/2026/249/oj</w:t>
        </w:r>
      </w:hyperlink>
      <w:r w:rsidRPr="008B4A25">
        <w:t xml:space="preserve">). </w:t>
      </w:r>
    </w:p>
  </w:footnote>
  <w:footnote w:id="16">
    <w:p w:rsidR="007749CE" w:rsidRPr="008B4A25" w:rsidRDefault="007749CE" w:rsidP="007749CE">
      <w:pPr>
        <w:pStyle w:val="FootnoteText"/>
      </w:pPr>
      <w:r w:rsidRPr="008B4A25">
        <w:rPr>
          <w:rStyle w:val="FootnoteReference"/>
        </w:rPr>
        <w:footnoteRef/>
      </w:r>
      <w:r w:rsidRPr="008B4A25">
        <w:tab/>
        <w:t>Acordul comercial și de cooperare dintre Uniunea Europeană și Comunitatea Europeană a Energiei Atomice, pe de o parte, și Regatul Unit al Marii Britanii și Irlandei de Nord, pe de altă parte (JO</w:t>
      </w:r>
      <w:r w:rsidR="008B4A25">
        <w:t> </w:t>
      </w:r>
      <w:r w:rsidRPr="008B4A25">
        <w:t xml:space="preserve">L 149, 30.4.2021, p. 10, ELI: </w:t>
      </w:r>
      <w:hyperlink r:id="rId14" w:history="1">
        <w:r w:rsidRPr="008B4A25">
          <w:rPr>
            <w:rStyle w:val="Hyperlink"/>
          </w:rPr>
          <w:t>http://data.europa.eu/eli/agree_internation/2021/689(1)/oj</w:t>
        </w:r>
      </w:hyperlink>
      <w:r w:rsidRPr="008B4A25">
        <w:t>).</w:t>
      </w:r>
    </w:p>
  </w:footnote>
  <w:footnote w:id="17">
    <w:p w:rsidR="005B31F4" w:rsidRPr="008B4A25" w:rsidRDefault="005B31F4" w:rsidP="005B31F4">
      <w:pPr>
        <w:pStyle w:val="FootnoteText"/>
      </w:pPr>
      <w:r w:rsidRPr="008B4A25">
        <w:rPr>
          <w:rStyle w:val="FootnoteReference"/>
        </w:rPr>
        <w:footnoteRef/>
      </w:r>
      <w:r w:rsidRPr="008B4A25">
        <w:tab/>
        <w:t xml:space="preserve">Decizia 87/277/CEE a Consiliului din 18 mai 1987 privind repartizarea posibilităților de captură a codului în regiunea Spitzberg și a Insulei Urșilor și în diviziunea 3M, definită de Convenția NAFO (JO L 135, 23.5.1987, p. 29, ELI: </w:t>
      </w:r>
      <w:hyperlink r:id="rId15" w:history="1">
        <w:r w:rsidRPr="008B4A25">
          <w:rPr>
            <w:rStyle w:val="Hyperlink"/>
          </w:rPr>
          <w:t>http://data.europa.eu/eli/dec/1987/277/oj</w:t>
        </w:r>
      </w:hyperlink>
      <w:r w:rsidRPr="008B4A25">
        <w:t>).</w:t>
      </w:r>
    </w:p>
  </w:footnote>
  <w:footnote w:id="18">
    <w:p w:rsidR="00E21655" w:rsidRPr="008B4A25" w:rsidRDefault="00E21655" w:rsidP="00E21655">
      <w:pPr>
        <w:pStyle w:val="FootnoteText"/>
      </w:pPr>
      <w:r w:rsidRPr="008B4A25">
        <w:rPr>
          <w:rStyle w:val="FootnoteReference"/>
        </w:rPr>
        <w:footnoteRef/>
      </w:r>
      <w:r w:rsidRPr="008B4A25">
        <w:tab/>
        <w:t>Regulamentul (UE) 2023/2053 al Parlamentului European și al Consiliului din 13 septembrie 2023 privind stabilirea unui plan multianual de gestionare pentru tonul roșu din Oceanul Atlantic de Est și din Marea Mediterană, de modificare a Regulamentelor (CE) nr. 1936/2001, (UE) 2017/2107 și (UE) 2019/833 și de abrogare a Regulamentului (UE) 2016/1627 (JO</w:t>
      </w:r>
      <w:r w:rsidR="008B4A25">
        <w:t> </w:t>
      </w:r>
      <w:r w:rsidRPr="008B4A25">
        <w:t xml:space="preserve">L 238, 27.9.2023, p. 1, ELI: </w:t>
      </w:r>
      <w:hyperlink r:id="rId16" w:history="1">
        <w:r w:rsidRPr="008B4A25">
          <w:rPr>
            <w:rStyle w:val="Hyperlink"/>
          </w:rPr>
          <w:t>http://data.europa.eu/eli/reg/2023/2053/oj</w:t>
        </w:r>
      </w:hyperlink>
      <w:r w:rsidRPr="008B4A25">
        <w:t>).</w:t>
      </w:r>
    </w:p>
  </w:footnote>
  <w:footnote w:id="19">
    <w:p w:rsidR="00B25136" w:rsidRPr="008B4A25" w:rsidRDefault="00B25136" w:rsidP="00B25136">
      <w:pPr>
        <w:pStyle w:val="FootnoteText"/>
      </w:pPr>
      <w:r w:rsidRPr="008B4A25">
        <w:rPr>
          <w:rStyle w:val="FootnoteReference"/>
        </w:rPr>
        <w:footnoteRef/>
      </w:r>
      <w:r w:rsidRPr="008B4A25">
        <w:tab/>
        <w:t xml:space="preserve">Regulamentul (UE) 2017/2107 al Parlamentului European și al Consiliului din 15 noiembrie 2017 de stabilire a măsurilor de gestionare, conservare și control aplicabile în zona Convenției Comisiei Internaționale pentru Conservarea Tonului din Oceanul Atlantic (ICCAT) și de modificare a Regulamentelor (CE) nr. 1936/2001, (CE) nr. 1984/2003 și (CE) nr. 520/2007 ale Consiliului (JO L 315, 30.11.2017, p. 1, ELI: </w:t>
      </w:r>
      <w:hyperlink r:id="rId17" w:history="1">
        <w:r w:rsidRPr="008B4A25">
          <w:rPr>
            <w:rStyle w:val="Hyperlink"/>
          </w:rPr>
          <w:t>http://data.europa.eu/eli/reg/2017/2107/oj</w:t>
        </w:r>
      </w:hyperlink>
      <w:r w:rsidRPr="008B4A25">
        <w:t>).</w:t>
      </w:r>
    </w:p>
  </w:footnote>
  <w:footnote w:id="20">
    <w:p w:rsidR="00807EA7" w:rsidRPr="008B4A25" w:rsidRDefault="00807EA7" w:rsidP="00807EA7">
      <w:pPr>
        <w:pStyle w:val="FootnoteText"/>
        <w:rPr>
          <w:rStyle w:val="FootnoteReference"/>
          <w:vertAlign w:val="baseline"/>
        </w:rPr>
      </w:pPr>
      <w:r w:rsidRPr="008B4A25">
        <w:rPr>
          <w:rStyle w:val="FootnoteReference"/>
        </w:rPr>
        <w:footnoteRef/>
      </w:r>
      <w:r w:rsidRPr="008B4A25">
        <w:tab/>
        <w:t>Regulamentul (UE) 2017/2403 al Parlamentului European și al Consiliului din 12 decembrie 2017 privind gestionarea sustenabilă a flotelor de pescuit externe și de abrogare a Regulamentului (CE) nr. 1006/2008 al Consiliului (JO</w:t>
      </w:r>
      <w:r w:rsidR="008B4A25">
        <w:t> </w:t>
      </w:r>
      <w:r w:rsidRPr="008B4A25">
        <w:t xml:space="preserve">L 347, 28.12.2017, p. 81, ELI: </w:t>
      </w:r>
      <w:hyperlink r:id="rId18">
        <w:r w:rsidRPr="008B4A25">
          <w:rPr>
            <w:rStyle w:val="Hyperlink"/>
          </w:rPr>
          <w:t>http://data.europa.eu/eli/reg/2017/2403/oj</w:t>
        </w:r>
      </w:hyperlink>
      <w:r w:rsidRPr="008B4A25">
        <w:t>).</w:t>
      </w:r>
    </w:p>
  </w:footnote>
  <w:footnote w:id="21">
    <w:p w:rsidR="00807EA7" w:rsidRPr="00634D05" w:rsidRDefault="00807EA7" w:rsidP="00807EA7">
      <w:pPr>
        <w:pStyle w:val="FootnoteText"/>
      </w:pPr>
      <w:r w:rsidRPr="008B4A25">
        <w:rPr>
          <w:rStyle w:val="FootnoteReference"/>
        </w:rPr>
        <w:footnoteRef/>
      </w:r>
      <w:r w:rsidRPr="008B4A25">
        <w:tab/>
        <w:t>Regulamentul (UE) 2021/56 al Parlamentului European și al Consiliului din 20 ianuarie 2021 de stabilire a măsurilor de gestionare, conservare și control aplicabile în zona Convenției Comisiei interamericane pentru tonul tropical și de modificare a Regulamentului (CE) nr. 520/2007 al Consiliului (JO</w:t>
      </w:r>
      <w:r w:rsidR="008B4A25">
        <w:t> </w:t>
      </w:r>
      <w:r w:rsidRPr="008B4A25">
        <w:t xml:space="preserve">L 24, 26.1.2021, p. 1, ELI: </w:t>
      </w:r>
      <w:hyperlink r:id="rId19" w:history="1">
        <w:r w:rsidRPr="008B4A25">
          <w:rPr>
            <w:rStyle w:val="Hyperlink"/>
          </w:rPr>
          <w:t>http://data.europa.eu/eli/reg/2021/56/oj</w:t>
        </w:r>
      </w:hyperlink>
      <w:r w:rsidRPr="008B4A25">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7D7" w:rsidRDefault="004807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7D7" w:rsidRDefault="004807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4366EE6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E12CDC3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080E818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32FC4724"/>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000C1D0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5025E3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9D2ADF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A454CEF4"/>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22"/>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QCDateTime" w:val="2026-03-11 16:34:5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6AFEAE4B-0098-4863-853D-94D80393328F"/>
    <w:docVar w:name="LW_COVERPAGE_TYPE" w:val="1"/>
    <w:docVar w:name="LW_CROSSREFERENCE" w:val="&lt;UNUSED&gt;"/>
    <w:docVar w:name="LW_DocType" w:val="COM"/>
    <w:docVar w:name="LW_EMISSION" w:val="3.3.2026"/>
    <w:docVar w:name="LW_EMISSION_ISODATE" w:val="2026-03-03"/>
    <w:docVar w:name="LW_EMISSION_LOCATION" w:val="BRX"/>
    <w:docVar w:name="LW_EMISSION_PREFIX" w:val="Bruxelles, "/>
    <w:docVar w:name="LW_EMISSION_SUFFIX" w:val=" "/>
    <w:docVar w:name="LW_ID_DOCMODEL" w:val="SJ-016"/>
    <w:docVar w:name="LW_ID_DOCSIGNATURE" w:val="SJ-016"/>
    <w:docVar w:name="LW_ID_DOCSTRUCTURE" w:val="COM/PL/ORG"/>
    <w:docVar w:name="LW_ID_DOCTYPE" w:val="SJ-016"/>
    <w:docVar w:name="LW_ID_EXP.MOTIFS.NEW" w:val="EM_PL_"/>
    <w:docVar w:name="LW_ID_STATUT" w:val="SJ-016"/>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69"/>
    <w:docVar w:name="LW_REF.II.NEW.CP_YEAR" w:val="2026"/>
    <w:docVar w:name="LW_REF.INST.NEW" w:val="COM"/>
    <w:docVar w:name="LW_REF.INST.NEW_ADOPTED" w:val="final"/>
    <w:docVar w:name="LW_REF.INST.NEW_TEXT" w:val="(2026) 10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Regulamentului (UE) 2026/249 de stabilire, pentru anii 2026, 2027 \u537?i 2028, a posibilit\u259?\u539?ilor de pescuit pentru anumite stocuri de pe\u537?te, aplicabile în apele Uniunii \u537?i, pentru navele de pescuit din Uniune, în anumite ape din afara Uniunii"/>
    <w:docVar w:name="LW_TYPE.DOC.CP" w:val="REGULAMENT AL CONSILIULUI"/>
    <w:docVar w:name="LwApiVersions" w:val="LW4CoDe 1.24.5.0; LW 9.2, Build 20251112"/>
  </w:docVars>
  <w:rsids>
    <w:rsidRoot w:val="00382895"/>
    <w:rsid w:val="0000001D"/>
    <w:rsid w:val="00002057"/>
    <w:rsid w:val="000037C8"/>
    <w:rsid w:val="00003839"/>
    <w:rsid w:val="00003D49"/>
    <w:rsid w:val="00004914"/>
    <w:rsid w:val="00005460"/>
    <w:rsid w:val="00005F36"/>
    <w:rsid w:val="00006576"/>
    <w:rsid w:val="00006C78"/>
    <w:rsid w:val="00007724"/>
    <w:rsid w:val="00007DD3"/>
    <w:rsid w:val="0001069B"/>
    <w:rsid w:val="00010908"/>
    <w:rsid w:val="00011109"/>
    <w:rsid w:val="000131A8"/>
    <w:rsid w:val="0001652A"/>
    <w:rsid w:val="00016E8A"/>
    <w:rsid w:val="00017B22"/>
    <w:rsid w:val="00017D02"/>
    <w:rsid w:val="00017EC3"/>
    <w:rsid w:val="00021321"/>
    <w:rsid w:val="00022598"/>
    <w:rsid w:val="00023928"/>
    <w:rsid w:val="00024863"/>
    <w:rsid w:val="00025E8F"/>
    <w:rsid w:val="000263B2"/>
    <w:rsid w:val="00026537"/>
    <w:rsid w:val="0002766D"/>
    <w:rsid w:val="0003042D"/>
    <w:rsid w:val="000309EA"/>
    <w:rsid w:val="0003107F"/>
    <w:rsid w:val="0003143F"/>
    <w:rsid w:val="0003146C"/>
    <w:rsid w:val="000316CA"/>
    <w:rsid w:val="00031B16"/>
    <w:rsid w:val="00031CD2"/>
    <w:rsid w:val="00031FBA"/>
    <w:rsid w:val="0003208C"/>
    <w:rsid w:val="00033F6A"/>
    <w:rsid w:val="000345D9"/>
    <w:rsid w:val="0003506F"/>
    <w:rsid w:val="0003539F"/>
    <w:rsid w:val="00035E3F"/>
    <w:rsid w:val="00035EB4"/>
    <w:rsid w:val="00037F61"/>
    <w:rsid w:val="00037FAD"/>
    <w:rsid w:val="000414C6"/>
    <w:rsid w:val="00042B21"/>
    <w:rsid w:val="00042B4B"/>
    <w:rsid w:val="00047633"/>
    <w:rsid w:val="00050000"/>
    <w:rsid w:val="00050019"/>
    <w:rsid w:val="0005028C"/>
    <w:rsid w:val="00051635"/>
    <w:rsid w:val="00051662"/>
    <w:rsid w:val="00051B42"/>
    <w:rsid w:val="00051F50"/>
    <w:rsid w:val="00052999"/>
    <w:rsid w:val="00053530"/>
    <w:rsid w:val="00054CBA"/>
    <w:rsid w:val="00055558"/>
    <w:rsid w:val="00056D32"/>
    <w:rsid w:val="000570F0"/>
    <w:rsid w:val="00057CC8"/>
    <w:rsid w:val="000603EE"/>
    <w:rsid w:val="000629CA"/>
    <w:rsid w:val="00063BFE"/>
    <w:rsid w:val="000643CB"/>
    <w:rsid w:val="00064A4B"/>
    <w:rsid w:val="00064B07"/>
    <w:rsid w:val="000652AB"/>
    <w:rsid w:val="000654D9"/>
    <w:rsid w:val="00065502"/>
    <w:rsid w:val="00065609"/>
    <w:rsid w:val="00066357"/>
    <w:rsid w:val="00066383"/>
    <w:rsid w:val="0006643B"/>
    <w:rsid w:val="00066534"/>
    <w:rsid w:val="00070337"/>
    <w:rsid w:val="000720F3"/>
    <w:rsid w:val="00072327"/>
    <w:rsid w:val="0007270F"/>
    <w:rsid w:val="00073CBD"/>
    <w:rsid w:val="0007539E"/>
    <w:rsid w:val="00075A4A"/>
    <w:rsid w:val="0007637D"/>
    <w:rsid w:val="00076C97"/>
    <w:rsid w:val="00077A60"/>
    <w:rsid w:val="00077D94"/>
    <w:rsid w:val="00080E3A"/>
    <w:rsid w:val="00080EF9"/>
    <w:rsid w:val="00081127"/>
    <w:rsid w:val="0008126C"/>
    <w:rsid w:val="000813CC"/>
    <w:rsid w:val="00082202"/>
    <w:rsid w:val="00082CEC"/>
    <w:rsid w:val="00084646"/>
    <w:rsid w:val="00085656"/>
    <w:rsid w:val="000857B1"/>
    <w:rsid w:val="00085943"/>
    <w:rsid w:val="000861B7"/>
    <w:rsid w:val="00086568"/>
    <w:rsid w:val="00086AC2"/>
    <w:rsid w:val="000876B4"/>
    <w:rsid w:val="00092B2D"/>
    <w:rsid w:val="00094E2F"/>
    <w:rsid w:val="00095FC9"/>
    <w:rsid w:val="00096113"/>
    <w:rsid w:val="0009716E"/>
    <w:rsid w:val="000A089F"/>
    <w:rsid w:val="000A0ED2"/>
    <w:rsid w:val="000A1D9E"/>
    <w:rsid w:val="000A4926"/>
    <w:rsid w:val="000A5107"/>
    <w:rsid w:val="000A6C5D"/>
    <w:rsid w:val="000A7804"/>
    <w:rsid w:val="000A7E19"/>
    <w:rsid w:val="000B0547"/>
    <w:rsid w:val="000B0CD7"/>
    <w:rsid w:val="000B2992"/>
    <w:rsid w:val="000B2BBF"/>
    <w:rsid w:val="000B3662"/>
    <w:rsid w:val="000B3CB0"/>
    <w:rsid w:val="000B4925"/>
    <w:rsid w:val="000B4DD4"/>
    <w:rsid w:val="000B5666"/>
    <w:rsid w:val="000B571D"/>
    <w:rsid w:val="000B6D1F"/>
    <w:rsid w:val="000B780C"/>
    <w:rsid w:val="000B7A7D"/>
    <w:rsid w:val="000C375C"/>
    <w:rsid w:val="000C377A"/>
    <w:rsid w:val="000C60F0"/>
    <w:rsid w:val="000C6438"/>
    <w:rsid w:val="000C6A0F"/>
    <w:rsid w:val="000D37F0"/>
    <w:rsid w:val="000D50A7"/>
    <w:rsid w:val="000D6885"/>
    <w:rsid w:val="000D6DA9"/>
    <w:rsid w:val="000E1698"/>
    <w:rsid w:val="000E1A84"/>
    <w:rsid w:val="000E2D93"/>
    <w:rsid w:val="000E355B"/>
    <w:rsid w:val="000E36A3"/>
    <w:rsid w:val="000E437B"/>
    <w:rsid w:val="000E4BB7"/>
    <w:rsid w:val="000E5540"/>
    <w:rsid w:val="000F04AA"/>
    <w:rsid w:val="000F0855"/>
    <w:rsid w:val="000F0B0A"/>
    <w:rsid w:val="000F2ABE"/>
    <w:rsid w:val="000F5C19"/>
    <w:rsid w:val="000F5FD1"/>
    <w:rsid w:val="000F6467"/>
    <w:rsid w:val="000F6D23"/>
    <w:rsid w:val="000F749D"/>
    <w:rsid w:val="001019DC"/>
    <w:rsid w:val="00101FFF"/>
    <w:rsid w:val="001024E3"/>
    <w:rsid w:val="001025DF"/>
    <w:rsid w:val="00102F75"/>
    <w:rsid w:val="00103737"/>
    <w:rsid w:val="0010414C"/>
    <w:rsid w:val="0010486B"/>
    <w:rsid w:val="001056BB"/>
    <w:rsid w:val="00105E22"/>
    <w:rsid w:val="00106DFC"/>
    <w:rsid w:val="00107BEF"/>
    <w:rsid w:val="001118EF"/>
    <w:rsid w:val="00111AA7"/>
    <w:rsid w:val="00112924"/>
    <w:rsid w:val="00112AB9"/>
    <w:rsid w:val="001141E5"/>
    <w:rsid w:val="00114575"/>
    <w:rsid w:val="001146D4"/>
    <w:rsid w:val="00114BF2"/>
    <w:rsid w:val="00114DF6"/>
    <w:rsid w:val="00115D2B"/>
    <w:rsid w:val="001168E9"/>
    <w:rsid w:val="0011724C"/>
    <w:rsid w:val="001200DA"/>
    <w:rsid w:val="00120A31"/>
    <w:rsid w:val="00120B5B"/>
    <w:rsid w:val="00122C25"/>
    <w:rsid w:val="00123EFF"/>
    <w:rsid w:val="00125466"/>
    <w:rsid w:val="001274CA"/>
    <w:rsid w:val="00132337"/>
    <w:rsid w:val="00132762"/>
    <w:rsid w:val="001330B6"/>
    <w:rsid w:val="00133A07"/>
    <w:rsid w:val="001346C4"/>
    <w:rsid w:val="00135F4D"/>
    <w:rsid w:val="0014020C"/>
    <w:rsid w:val="0014229A"/>
    <w:rsid w:val="001425B7"/>
    <w:rsid w:val="00143860"/>
    <w:rsid w:val="0014412C"/>
    <w:rsid w:val="00144867"/>
    <w:rsid w:val="00144CA5"/>
    <w:rsid w:val="00147272"/>
    <w:rsid w:val="00147553"/>
    <w:rsid w:val="00147CF0"/>
    <w:rsid w:val="00147FDE"/>
    <w:rsid w:val="00150E9C"/>
    <w:rsid w:val="00151724"/>
    <w:rsid w:val="0015249A"/>
    <w:rsid w:val="00152894"/>
    <w:rsid w:val="00153449"/>
    <w:rsid w:val="00153F3E"/>
    <w:rsid w:val="00154208"/>
    <w:rsid w:val="00154868"/>
    <w:rsid w:val="0015529E"/>
    <w:rsid w:val="00155CF3"/>
    <w:rsid w:val="001579B5"/>
    <w:rsid w:val="00160BDC"/>
    <w:rsid w:val="001616E8"/>
    <w:rsid w:val="0016220F"/>
    <w:rsid w:val="0016292F"/>
    <w:rsid w:val="00163047"/>
    <w:rsid w:val="00164892"/>
    <w:rsid w:val="001650A8"/>
    <w:rsid w:val="00167148"/>
    <w:rsid w:val="00167CC7"/>
    <w:rsid w:val="00170F80"/>
    <w:rsid w:val="00172DEE"/>
    <w:rsid w:val="001731B7"/>
    <w:rsid w:val="001734B6"/>
    <w:rsid w:val="00173B97"/>
    <w:rsid w:val="001749B3"/>
    <w:rsid w:val="001760DC"/>
    <w:rsid w:val="0017675C"/>
    <w:rsid w:val="00176CE4"/>
    <w:rsid w:val="0017711E"/>
    <w:rsid w:val="001776CA"/>
    <w:rsid w:val="001802DB"/>
    <w:rsid w:val="0018089D"/>
    <w:rsid w:val="001813C0"/>
    <w:rsid w:val="0018145D"/>
    <w:rsid w:val="00181D82"/>
    <w:rsid w:val="00182A4C"/>
    <w:rsid w:val="0018329B"/>
    <w:rsid w:val="00183509"/>
    <w:rsid w:val="00183F1D"/>
    <w:rsid w:val="0018645F"/>
    <w:rsid w:val="0018750F"/>
    <w:rsid w:val="00190A3D"/>
    <w:rsid w:val="00190DBB"/>
    <w:rsid w:val="00190ECB"/>
    <w:rsid w:val="0019424F"/>
    <w:rsid w:val="0019668F"/>
    <w:rsid w:val="00196D85"/>
    <w:rsid w:val="00197E91"/>
    <w:rsid w:val="00199520"/>
    <w:rsid w:val="001A0EA7"/>
    <w:rsid w:val="001A1EEA"/>
    <w:rsid w:val="001A28CB"/>
    <w:rsid w:val="001A4576"/>
    <w:rsid w:val="001A484F"/>
    <w:rsid w:val="001A509B"/>
    <w:rsid w:val="001A5488"/>
    <w:rsid w:val="001A56AD"/>
    <w:rsid w:val="001A5A06"/>
    <w:rsid w:val="001A5C67"/>
    <w:rsid w:val="001A5D80"/>
    <w:rsid w:val="001A61AC"/>
    <w:rsid w:val="001A61BE"/>
    <w:rsid w:val="001A6FEC"/>
    <w:rsid w:val="001A77C8"/>
    <w:rsid w:val="001B0B44"/>
    <w:rsid w:val="001B19CE"/>
    <w:rsid w:val="001B1F62"/>
    <w:rsid w:val="001B3431"/>
    <w:rsid w:val="001B34C3"/>
    <w:rsid w:val="001B42C2"/>
    <w:rsid w:val="001B4424"/>
    <w:rsid w:val="001B62AE"/>
    <w:rsid w:val="001B6347"/>
    <w:rsid w:val="001B7CE9"/>
    <w:rsid w:val="001C0635"/>
    <w:rsid w:val="001C09C3"/>
    <w:rsid w:val="001C1DFD"/>
    <w:rsid w:val="001C3282"/>
    <w:rsid w:val="001C4223"/>
    <w:rsid w:val="001C4A43"/>
    <w:rsid w:val="001C5681"/>
    <w:rsid w:val="001C5E68"/>
    <w:rsid w:val="001C7624"/>
    <w:rsid w:val="001C7701"/>
    <w:rsid w:val="001D05F1"/>
    <w:rsid w:val="001D0A28"/>
    <w:rsid w:val="001D1B9D"/>
    <w:rsid w:val="001D2989"/>
    <w:rsid w:val="001D31E5"/>
    <w:rsid w:val="001D36C6"/>
    <w:rsid w:val="001D3DDE"/>
    <w:rsid w:val="001D51D8"/>
    <w:rsid w:val="001D5687"/>
    <w:rsid w:val="001D7D9D"/>
    <w:rsid w:val="001E179C"/>
    <w:rsid w:val="001E1861"/>
    <w:rsid w:val="001E3024"/>
    <w:rsid w:val="001E317D"/>
    <w:rsid w:val="001E36E6"/>
    <w:rsid w:val="001E5E6D"/>
    <w:rsid w:val="001E666E"/>
    <w:rsid w:val="001E6F15"/>
    <w:rsid w:val="001F10F0"/>
    <w:rsid w:val="001F1236"/>
    <w:rsid w:val="001F1C1C"/>
    <w:rsid w:val="001F270B"/>
    <w:rsid w:val="001F2CE2"/>
    <w:rsid w:val="001F3282"/>
    <w:rsid w:val="001F42F2"/>
    <w:rsid w:val="001F4343"/>
    <w:rsid w:val="001F725A"/>
    <w:rsid w:val="00200C23"/>
    <w:rsid w:val="00201662"/>
    <w:rsid w:val="00202822"/>
    <w:rsid w:val="002042F0"/>
    <w:rsid w:val="00205D08"/>
    <w:rsid w:val="00206B9D"/>
    <w:rsid w:val="002070F6"/>
    <w:rsid w:val="0020739D"/>
    <w:rsid w:val="00207D43"/>
    <w:rsid w:val="00210CA9"/>
    <w:rsid w:val="00210E0E"/>
    <w:rsid w:val="002113C8"/>
    <w:rsid w:val="00211733"/>
    <w:rsid w:val="00212923"/>
    <w:rsid w:val="00212985"/>
    <w:rsid w:val="00212E70"/>
    <w:rsid w:val="00212F6A"/>
    <w:rsid w:val="00213F32"/>
    <w:rsid w:val="00213F83"/>
    <w:rsid w:val="002144C4"/>
    <w:rsid w:val="00215130"/>
    <w:rsid w:val="002162DB"/>
    <w:rsid w:val="0022195F"/>
    <w:rsid w:val="00222D7A"/>
    <w:rsid w:val="002232E9"/>
    <w:rsid w:val="00223AF2"/>
    <w:rsid w:val="00223C4E"/>
    <w:rsid w:val="002243A3"/>
    <w:rsid w:val="00224A00"/>
    <w:rsid w:val="002259E4"/>
    <w:rsid w:val="00226130"/>
    <w:rsid w:val="0022613F"/>
    <w:rsid w:val="00227583"/>
    <w:rsid w:val="00227967"/>
    <w:rsid w:val="00227C31"/>
    <w:rsid w:val="00230414"/>
    <w:rsid w:val="00230936"/>
    <w:rsid w:val="0023100E"/>
    <w:rsid w:val="002311E6"/>
    <w:rsid w:val="0023232D"/>
    <w:rsid w:val="00232F3F"/>
    <w:rsid w:val="002342F7"/>
    <w:rsid w:val="00234572"/>
    <w:rsid w:val="0023480C"/>
    <w:rsid w:val="00234C18"/>
    <w:rsid w:val="00234EDC"/>
    <w:rsid w:val="002371FC"/>
    <w:rsid w:val="002374D0"/>
    <w:rsid w:val="002378CC"/>
    <w:rsid w:val="002407AC"/>
    <w:rsid w:val="00240A6E"/>
    <w:rsid w:val="0024307C"/>
    <w:rsid w:val="00244280"/>
    <w:rsid w:val="002470AC"/>
    <w:rsid w:val="00247383"/>
    <w:rsid w:val="00250207"/>
    <w:rsid w:val="00251510"/>
    <w:rsid w:val="002515E1"/>
    <w:rsid w:val="00251724"/>
    <w:rsid w:val="00251CED"/>
    <w:rsid w:val="00252AE1"/>
    <w:rsid w:val="002535E5"/>
    <w:rsid w:val="00254041"/>
    <w:rsid w:val="00254AFD"/>
    <w:rsid w:val="00255D66"/>
    <w:rsid w:val="00256A58"/>
    <w:rsid w:val="00257077"/>
    <w:rsid w:val="002572F7"/>
    <w:rsid w:val="00257C5E"/>
    <w:rsid w:val="0026043E"/>
    <w:rsid w:val="0026070E"/>
    <w:rsid w:val="0026125A"/>
    <w:rsid w:val="002637D8"/>
    <w:rsid w:val="00265B13"/>
    <w:rsid w:val="00266997"/>
    <w:rsid w:val="0026780B"/>
    <w:rsid w:val="00270516"/>
    <w:rsid w:val="00270E3C"/>
    <w:rsid w:val="002716D4"/>
    <w:rsid w:val="00271C5B"/>
    <w:rsid w:val="00272449"/>
    <w:rsid w:val="002732B5"/>
    <w:rsid w:val="00273761"/>
    <w:rsid w:val="0027598D"/>
    <w:rsid w:val="00277E6F"/>
    <w:rsid w:val="00281D12"/>
    <w:rsid w:val="00281E07"/>
    <w:rsid w:val="00282B93"/>
    <w:rsid w:val="002851B2"/>
    <w:rsid w:val="002856AF"/>
    <w:rsid w:val="002870BD"/>
    <w:rsid w:val="002879FA"/>
    <w:rsid w:val="002915BA"/>
    <w:rsid w:val="00294277"/>
    <w:rsid w:val="0029569F"/>
    <w:rsid w:val="00296BF5"/>
    <w:rsid w:val="002975D7"/>
    <w:rsid w:val="002A04EE"/>
    <w:rsid w:val="002A606B"/>
    <w:rsid w:val="002A6FC7"/>
    <w:rsid w:val="002B2B3A"/>
    <w:rsid w:val="002B3B91"/>
    <w:rsid w:val="002B4E74"/>
    <w:rsid w:val="002B611A"/>
    <w:rsid w:val="002B63A1"/>
    <w:rsid w:val="002B7A09"/>
    <w:rsid w:val="002C1C0D"/>
    <w:rsid w:val="002C25D6"/>
    <w:rsid w:val="002C2795"/>
    <w:rsid w:val="002C32F7"/>
    <w:rsid w:val="002C4B94"/>
    <w:rsid w:val="002C6A15"/>
    <w:rsid w:val="002C7D7E"/>
    <w:rsid w:val="002D0EB9"/>
    <w:rsid w:val="002D0ED9"/>
    <w:rsid w:val="002D22DB"/>
    <w:rsid w:val="002D4525"/>
    <w:rsid w:val="002D506A"/>
    <w:rsid w:val="002D5144"/>
    <w:rsid w:val="002D5530"/>
    <w:rsid w:val="002D5BD9"/>
    <w:rsid w:val="002D61BB"/>
    <w:rsid w:val="002D6B9F"/>
    <w:rsid w:val="002D6C24"/>
    <w:rsid w:val="002D7BD8"/>
    <w:rsid w:val="002E01E4"/>
    <w:rsid w:val="002E1456"/>
    <w:rsid w:val="002E1954"/>
    <w:rsid w:val="002E25D3"/>
    <w:rsid w:val="002E2779"/>
    <w:rsid w:val="002E3D0D"/>
    <w:rsid w:val="002E55EA"/>
    <w:rsid w:val="002E58E2"/>
    <w:rsid w:val="002E5FCC"/>
    <w:rsid w:val="002E6549"/>
    <w:rsid w:val="002E70B3"/>
    <w:rsid w:val="002E712F"/>
    <w:rsid w:val="002E77BB"/>
    <w:rsid w:val="002F0C47"/>
    <w:rsid w:val="002F16C4"/>
    <w:rsid w:val="002F49A3"/>
    <w:rsid w:val="002F5475"/>
    <w:rsid w:val="002F5DEA"/>
    <w:rsid w:val="002F69DE"/>
    <w:rsid w:val="002F6CBF"/>
    <w:rsid w:val="002F6DAB"/>
    <w:rsid w:val="002F7807"/>
    <w:rsid w:val="0030090B"/>
    <w:rsid w:val="003015B5"/>
    <w:rsid w:val="00302D0A"/>
    <w:rsid w:val="00303330"/>
    <w:rsid w:val="00304044"/>
    <w:rsid w:val="0030481B"/>
    <w:rsid w:val="00304948"/>
    <w:rsid w:val="00304CC6"/>
    <w:rsid w:val="00305E28"/>
    <w:rsid w:val="00306569"/>
    <w:rsid w:val="00306EC9"/>
    <w:rsid w:val="00306EFF"/>
    <w:rsid w:val="003074A7"/>
    <w:rsid w:val="003108EB"/>
    <w:rsid w:val="00311472"/>
    <w:rsid w:val="00312EDE"/>
    <w:rsid w:val="003130C1"/>
    <w:rsid w:val="00314027"/>
    <w:rsid w:val="0031458B"/>
    <w:rsid w:val="003172D0"/>
    <w:rsid w:val="00317C88"/>
    <w:rsid w:val="00323655"/>
    <w:rsid w:val="003237CC"/>
    <w:rsid w:val="00323BB9"/>
    <w:rsid w:val="00323FB4"/>
    <w:rsid w:val="00324E72"/>
    <w:rsid w:val="003270B0"/>
    <w:rsid w:val="00327727"/>
    <w:rsid w:val="00327C9C"/>
    <w:rsid w:val="00330F7D"/>
    <w:rsid w:val="00330FA0"/>
    <w:rsid w:val="00332A8B"/>
    <w:rsid w:val="00332A9A"/>
    <w:rsid w:val="0033374D"/>
    <w:rsid w:val="0033533E"/>
    <w:rsid w:val="003363AB"/>
    <w:rsid w:val="0034016C"/>
    <w:rsid w:val="00340440"/>
    <w:rsid w:val="003406B7"/>
    <w:rsid w:val="00340DE1"/>
    <w:rsid w:val="003414ED"/>
    <w:rsid w:val="00342F2B"/>
    <w:rsid w:val="00345EE0"/>
    <w:rsid w:val="003463EC"/>
    <w:rsid w:val="00346B21"/>
    <w:rsid w:val="00346CF0"/>
    <w:rsid w:val="003472FC"/>
    <w:rsid w:val="0034781D"/>
    <w:rsid w:val="00347BF9"/>
    <w:rsid w:val="00347F59"/>
    <w:rsid w:val="00350B3E"/>
    <w:rsid w:val="003513E2"/>
    <w:rsid w:val="00351776"/>
    <w:rsid w:val="00352B6D"/>
    <w:rsid w:val="003571B1"/>
    <w:rsid w:val="0036014B"/>
    <w:rsid w:val="00361B9E"/>
    <w:rsid w:val="0036224C"/>
    <w:rsid w:val="003626A8"/>
    <w:rsid w:val="00362C99"/>
    <w:rsid w:val="003656A2"/>
    <w:rsid w:val="00365E18"/>
    <w:rsid w:val="003673E0"/>
    <w:rsid w:val="00370388"/>
    <w:rsid w:val="0037062C"/>
    <w:rsid w:val="003712DE"/>
    <w:rsid w:val="00374092"/>
    <w:rsid w:val="00374469"/>
    <w:rsid w:val="00376C0D"/>
    <w:rsid w:val="003773CA"/>
    <w:rsid w:val="00377F16"/>
    <w:rsid w:val="00380F4A"/>
    <w:rsid w:val="00381851"/>
    <w:rsid w:val="003826F6"/>
    <w:rsid w:val="00382701"/>
    <w:rsid w:val="00382895"/>
    <w:rsid w:val="00384152"/>
    <w:rsid w:val="00384C51"/>
    <w:rsid w:val="00390597"/>
    <w:rsid w:val="00390D8A"/>
    <w:rsid w:val="00390F84"/>
    <w:rsid w:val="00392400"/>
    <w:rsid w:val="00392AD6"/>
    <w:rsid w:val="00392F36"/>
    <w:rsid w:val="003938EC"/>
    <w:rsid w:val="00393DD8"/>
    <w:rsid w:val="003947BD"/>
    <w:rsid w:val="003958E4"/>
    <w:rsid w:val="00395EBE"/>
    <w:rsid w:val="003962BD"/>
    <w:rsid w:val="003963D5"/>
    <w:rsid w:val="00396ACD"/>
    <w:rsid w:val="00396DBD"/>
    <w:rsid w:val="00397522"/>
    <w:rsid w:val="00397829"/>
    <w:rsid w:val="003A1C8E"/>
    <w:rsid w:val="003A208F"/>
    <w:rsid w:val="003A2144"/>
    <w:rsid w:val="003A4146"/>
    <w:rsid w:val="003A451E"/>
    <w:rsid w:val="003A454C"/>
    <w:rsid w:val="003A5236"/>
    <w:rsid w:val="003A6907"/>
    <w:rsid w:val="003A7809"/>
    <w:rsid w:val="003A7D55"/>
    <w:rsid w:val="003B0C2F"/>
    <w:rsid w:val="003B1067"/>
    <w:rsid w:val="003B12C3"/>
    <w:rsid w:val="003B4895"/>
    <w:rsid w:val="003B6D1A"/>
    <w:rsid w:val="003C0319"/>
    <w:rsid w:val="003C1842"/>
    <w:rsid w:val="003C1EA8"/>
    <w:rsid w:val="003C26A6"/>
    <w:rsid w:val="003C27EE"/>
    <w:rsid w:val="003C3D85"/>
    <w:rsid w:val="003C4171"/>
    <w:rsid w:val="003C5841"/>
    <w:rsid w:val="003C6594"/>
    <w:rsid w:val="003D017D"/>
    <w:rsid w:val="003D1966"/>
    <w:rsid w:val="003D22C9"/>
    <w:rsid w:val="003D266F"/>
    <w:rsid w:val="003D2F96"/>
    <w:rsid w:val="003D3297"/>
    <w:rsid w:val="003D377F"/>
    <w:rsid w:val="003D3A96"/>
    <w:rsid w:val="003D57CE"/>
    <w:rsid w:val="003D60F7"/>
    <w:rsid w:val="003D62BC"/>
    <w:rsid w:val="003E0446"/>
    <w:rsid w:val="003E1371"/>
    <w:rsid w:val="003E32E9"/>
    <w:rsid w:val="003E3814"/>
    <w:rsid w:val="003E3B7C"/>
    <w:rsid w:val="003E4EEE"/>
    <w:rsid w:val="003E50CC"/>
    <w:rsid w:val="003E5BC9"/>
    <w:rsid w:val="003E7B08"/>
    <w:rsid w:val="003E7CB1"/>
    <w:rsid w:val="003F0423"/>
    <w:rsid w:val="003F04F1"/>
    <w:rsid w:val="003F0B22"/>
    <w:rsid w:val="003F0FD8"/>
    <w:rsid w:val="003F1EF5"/>
    <w:rsid w:val="003F2785"/>
    <w:rsid w:val="003F2EDF"/>
    <w:rsid w:val="003F324E"/>
    <w:rsid w:val="003F3EB9"/>
    <w:rsid w:val="003F3F21"/>
    <w:rsid w:val="003F7802"/>
    <w:rsid w:val="00400396"/>
    <w:rsid w:val="004004A4"/>
    <w:rsid w:val="004004D7"/>
    <w:rsid w:val="004006F6"/>
    <w:rsid w:val="00401367"/>
    <w:rsid w:val="0040196F"/>
    <w:rsid w:val="00401E14"/>
    <w:rsid w:val="00402340"/>
    <w:rsid w:val="00402590"/>
    <w:rsid w:val="00403015"/>
    <w:rsid w:val="0040415D"/>
    <w:rsid w:val="00404599"/>
    <w:rsid w:val="004051A0"/>
    <w:rsid w:val="00405428"/>
    <w:rsid w:val="0040678A"/>
    <w:rsid w:val="004072B2"/>
    <w:rsid w:val="00407E14"/>
    <w:rsid w:val="00410CD3"/>
    <w:rsid w:val="00410CE5"/>
    <w:rsid w:val="00411902"/>
    <w:rsid w:val="004123E2"/>
    <w:rsid w:val="00413B9A"/>
    <w:rsid w:val="00413E1F"/>
    <w:rsid w:val="00414340"/>
    <w:rsid w:val="004163CA"/>
    <w:rsid w:val="00416672"/>
    <w:rsid w:val="004172BC"/>
    <w:rsid w:val="00417B32"/>
    <w:rsid w:val="004200C9"/>
    <w:rsid w:val="00420420"/>
    <w:rsid w:val="00420B65"/>
    <w:rsid w:val="00421A60"/>
    <w:rsid w:val="00422F78"/>
    <w:rsid w:val="004246DF"/>
    <w:rsid w:val="00424E09"/>
    <w:rsid w:val="00425131"/>
    <w:rsid w:val="00425B57"/>
    <w:rsid w:val="00426220"/>
    <w:rsid w:val="00426A99"/>
    <w:rsid w:val="00427CEC"/>
    <w:rsid w:val="004300B0"/>
    <w:rsid w:val="00430A80"/>
    <w:rsid w:val="00433B39"/>
    <w:rsid w:val="0043491C"/>
    <w:rsid w:val="00435CB4"/>
    <w:rsid w:val="00436117"/>
    <w:rsid w:val="0043707D"/>
    <w:rsid w:val="00437AA5"/>
    <w:rsid w:val="00440DA8"/>
    <w:rsid w:val="004412FA"/>
    <w:rsid w:val="0044213A"/>
    <w:rsid w:val="00442B08"/>
    <w:rsid w:val="00443D38"/>
    <w:rsid w:val="004453B2"/>
    <w:rsid w:val="00445E3E"/>
    <w:rsid w:val="00446135"/>
    <w:rsid w:val="00452D12"/>
    <w:rsid w:val="004533DB"/>
    <w:rsid w:val="004560B1"/>
    <w:rsid w:val="0045674E"/>
    <w:rsid w:val="00457E1E"/>
    <w:rsid w:val="004613E9"/>
    <w:rsid w:val="00461743"/>
    <w:rsid w:val="00461D05"/>
    <w:rsid w:val="0046357E"/>
    <w:rsid w:val="004637D6"/>
    <w:rsid w:val="0046522C"/>
    <w:rsid w:val="0046584C"/>
    <w:rsid w:val="00466191"/>
    <w:rsid w:val="004670AA"/>
    <w:rsid w:val="00467DBE"/>
    <w:rsid w:val="00470289"/>
    <w:rsid w:val="004703F6"/>
    <w:rsid w:val="00470AC8"/>
    <w:rsid w:val="0047163B"/>
    <w:rsid w:val="0047167C"/>
    <w:rsid w:val="004743DA"/>
    <w:rsid w:val="00474676"/>
    <w:rsid w:val="004756BA"/>
    <w:rsid w:val="00475B9D"/>
    <w:rsid w:val="004760E2"/>
    <w:rsid w:val="00477B57"/>
    <w:rsid w:val="004807D7"/>
    <w:rsid w:val="004837CF"/>
    <w:rsid w:val="00484F61"/>
    <w:rsid w:val="0048511C"/>
    <w:rsid w:val="004851C0"/>
    <w:rsid w:val="00485253"/>
    <w:rsid w:val="00487CAA"/>
    <w:rsid w:val="004905BB"/>
    <w:rsid w:val="0049098A"/>
    <w:rsid w:val="00491B7D"/>
    <w:rsid w:val="00492396"/>
    <w:rsid w:val="00492913"/>
    <w:rsid w:val="00492D67"/>
    <w:rsid w:val="004949AF"/>
    <w:rsid w:val="0049579F"/>
    <w:rsid w:val="00495C8B"/>
    <w:rsid w:val="00496482"/>
    <w:rsid w:val="00496C72"/>
    <w:rsid w:val="004975EE"/>
    <w:rsid w:val="004A0BA4"/>
    <w:rsid w:val="004A17E7"/>
    <w:rsid w:val="004A19EC"/>
    <w:rsid w:val="004A1DAA"/>
    <w:rsid w:val="004A2E58"/>
    <w:rsid w:val="004A3A6F"/>
    <w:rsid w:val="004A4A1E"/>
    <w:rsid w:val="004A5DF8"/>
    <w:rsid w:val="004A5EA8"/>
    <w:rsid w:val="004A714C"/>
    <w:rsid w:val="004B0063"/>
    <w:rsid w:val="004B1E15"/>
    <w:rsid w:val="004B248A"/>
    <w:rsid w:val="004B284A"/>
    <w:rsid w:val="004B2ABD"/>
    <w:rsid w:val="004B4B54"/>
    <w:rsid w:val="004B72C5"/>
    <w:rsid w:val="004B795D"/>
    <w:rsid w:val="004B7DFC"/>
    <w:rsid w:val="004C1965"/>
    <w:rsid w:val="004C1DD0"/>
    <w:rsid w:val="004C4BDF"/>
    <w:rsid w:val="004C69FA"/>
    <w:rsid w:val="004C7564"/>
    <w:rsid w:val="004C788C"/>
    <w:rsid w:val="004C78DF"/>
    <w:rsid w:val="004C7BB5"/>
    <w:rsid w:val="004D01CA"/>
    <w:rsid w:val="004D0DF1"/>
    <w:rsid w:val="004D1CA1"/>
    <w:rsid w:val="004D2A72"/>
    <w:rsid w:val="004D6105"/>
    <w:rsid w:val="004D63F0"/>
    <w:rsid w:val="004E19F9"/>
    <w:rsid w:val="004E1B9D"/>
    <w:rsid w:val="004E1D60"/>
    <w:rsid w:val="004E3377"/>
    <w:rsid w:val="004E3E33"/>
    <w:rsid w:val="004E4806"/>
    <w:rsid w:val="004E51A7"/>
    <w:rsid w:val="004E6048"/>
    <w:rsid w:val="004E7B68"/>
    <w:rsid w:val="004F02E0"/>
    <w:rsid w:val="004F0319"/>
    <w:rsid w:val="004F1036"/>
    <w:rsid w:val="004F1188"/>
    <w:rsid w:val="004F6E1C"/>
    <w:rsid w:val="00500EA9"/>
    <w:rsid w:val="005024FC"/>
    <w:rsid w:val="0050661C"/>
    <w:rsid w:val="00511FBF"/>
    <w:rsid w:val="0051228B"/>
    <w:rsid w:val="00512CE5"/>
    <w:rsid w:val="00515D60"/>
    <w:rsid w:val="005164AF"/>
    <w:rsid w:val="0051694A"/>
    <w:rsid w:val="005170CE"/>
    <w:rsid w:val="00517117"/>
    <w:rsid w:val="00517205"/>
    <w:rsid w:val="005172ED"/>
    <w:rsid w:val="00517B8E"/>
    <w:rsid w:val="0052075D"/>
    <w:rsid w:val="005208C7"/>
    <w:rsid w:val="00521C3B"/>
    <w:rsid w:val="00523351"/>
    <w:rsid w:val="00523B90"/>
    <w:rsid w:val="00523BD0"/>
    <w:rsid w:val="00524543"/>
    <w:rsid w:val="00524AE8"/>
    <w:rsid w:val="00525351"/>
    <w:rsid w:val="00525AE1"/>
    <w:rsid w:val="005266F8"/>
    <w:rsid w:val="00526DA9"/>
    <w:rsid w:val="0052797F"/>
    <w:rsid w:val="0053051D"/>
    <w:rsid w:val="005313E4"/>
    <w:rsid w:val="00533C6A"/>
    <w:rsid w:val="005345EA"/>
    <w:rsid w:val="005351E2"/>
    <w:rsid w:val="005355A6"/>
    <w:rsid w:val="00536B00"/>
    <w:rsid w:val="005417E2"/>
    <w:rsid w:val="00541874"/>
    <w:rsid w:val="00542487"/>
    <w:rsid w:val="005427B6"/>
    <w:rsid w:val="00542F51"/>
    <w:rsid w:val="00544722"/>
    <w:rsid w:val="005451D5"/>
    <w:rsid w:val="005451F9"/>
    <w:rsid w:val="00545359"/>
    <w:rsid w:val="0054552A"/>
    <w:rsid w:val="005457A1"/>
    <w:rsid w:val="00545AC3"/>
    <w:rsid w:val="00545BEC"/>
    <w:rsid w:val="0054606E"/>
    <w:rsid w:val="0054670D"/>
    <w:rsid w:val="005470BE"/>
    <w:rsid w:val="00550F03"/>
    <w:rsid w:val="00550F06"/>
    <w:rsid w:val="0055140B"/>
    <w:rsid w:val="005518AA"/>
    <w:rsid w:val="0055352F"/>
    <w:rsid w:val="00554ABE"/>
    <w:rsid w:val="00554AF2"/>
    <w:rsid w:val="00554B6D"/>
    <w:rsid w:val="00554BBD"/>
    <w:rsid w:val="00555880"/>
    <w:rsid w:val="005562E3"/>
    <w:rsid w:val="00556614"/>
    <w:rsid w:val="00557BB6"/>
    <w:rsid w:val="00557CD6"/>
    <w:rsid w:val="005609C9"/>
    <w:rsid w:val="00560E0B"/>
    <w:rsid w:val="0056482C"/>
    <w:rsid w:val="00565563"/>
    <w:rsid w:val="00566213"/>
    <w:rsid w:val="00567036"/>
    <w:rsid w:val="005716EF"/>
    <w:rsid w:val="00571926"/>
    <w:rsid w:val="0057198F"/>
    <w:rsid w:val="005723C9"/>
    <w:rsid w:val="00573799"/>
    <w:rsid w:val="00574882"/>
    <w:rsid w:val="0057617C"/>
    <w:rsid w:val="005804F7"/>
    <w:rsid w:val="00580AFA"/>
    <w:rsid w:val="00581885"/>
    <w:rsid w:val="00582149"/>
    <w:rsid w:val="00582810"/>
    <w:rsid w:val="0058340F"/>
    <w:rsid w:val="00583A47"/>
    <w:rsid w:val="0058505E"/>
    <w:rsid w:val="005857CF"/>
    <w:rsid w:val="00585A96"/>
    <w:rsid w:val="0058674E"/>
    <w:rsid w:val="005868AE"/>
    <w:rsid w:val="00587FD7"/>
    <w:rsid w:val="005916C7"/>
    <w:rsid w:val="00594589"/>
    <w:rsid w:val="00595010"/>
    <w:rsid w:val="00595540"/>
    <w:rsid w:val="00595C0A"/>
    <w:rsid w:val="00595E49"/>
    <w:rsid w:val="0059734F"/>
    <w:rsid w:val="005A0303"/>
    <w:rsid w:val="005A0754"/>
    <w:rsid w:val="005A093B"/>
    <w:rsid w:val="005A1250"/>
    <w:rsid w:val="005A1A2A"/>
    <w:rsid w:val="005A1D3B"/>
    <w:rsid w:val="005A321E"/>
    <w:rsid w:val="005A4C1B"/>
    <w:rsid w:val="005A4EB6"/>
    <w:rsid w:val="005A4FED"/>
    <w:rsid w:val="005A579A"/>
    <w:rsid w:val="005A61F4"/>
    <w:rsid w:val="005A620B"/>
    <w:rsid w:val="005B2C74"/>
    <w:rsid w:val="005B31F4"/>
    <w:rsid w:val="005B3ACF"/>
    <w:rsid w:val="005B419E"/>
    <w:rsid w:val="005B4A19"/>
    <w:rsid w:val="005B4E37"/>
    <w:rsid w:val="005B4F39"/>
    <w:rsid w:val="005B53BD"/>
    <w:rsid w:val="005B5749"/>
    <w:rsid w:val="005B5FA6"/>
    <w:rsid w:val="005B6625"/>
    <w:rsid w:val="005B790B"/>
    <w:rsid w:val="005B7E35"/>
    <w:rsid w:val="005C3256"/>
    <w:rsid w:val="005C370D"/>
    <w:rsid w:val="005C3AAC"/>
    <w:rsid w:val="005C4CA8"/>
    <w:rsid w:val="005C5369"/>
    <w:rsid w:val="005C5B73"/>
    <w:rsid w:val="005C7490"/>
    <w:rsid w:val="005D1131"/>
    <w:rsid w:val="005D118E"/>
    <w:rsid w:val="005D1589"/>
    <w:rsid w:val="005D1E48"/>
    <w:rsid w:val="005D201F"/>
    <w:rsid w:val="005D3D73"/>
    <w:rsid w:val="005D3FA6"/>
    <w:rsid w:val="005D541E"/>
    <w:rsid w:val="005D6AF3"/>
    <w:rsid w:val="005D7F78"/>
    <w:rsid w:val="005E0232"/>
    <w:rsid w:val="005E0290"/>
    <w:rsid w:val="005E044B"/>
    <w:rsid w:val="005E07A1"/>
    <w:rsid w:val="005E1232"/>
    <w:rsid w:val="005E1BCD"/>
    <w:rsid w:val="005E1DEE"/>
    <w:rsid w:val="005E1E16"/>
    <w:rsid w:val="005E24C3"/>
    <w:rsid w:val="005E3BD8"/>
    <w:rsid w:val="005E4F5E"/>
    <w:rsid w:val="005E5005"/>
    <w:rsid w:val="005E5694"/>
    <w:rsid w:val="005E5716"/>
    <w:rsid w:val="005E6429"/>
    <w:rsid w:val="005E64AD"/>
    <w:rsid w:val="005E6DA7"/>
    <w:rsid w:val="005E7D43"/>
    <w:rsid w:val="005F2A90"/>
    <w:rsid w:val="005F50E0"/>
    <w:rsid w:val="005F510B"/>
    <w:rsid w:val="00600FDE"/>
    <w:rsid w:val="006024C5"/>
    <w:rsid w:val="006026A1"/>
    <w:rsid w:val="0060356F"/>
    <w:rsid w:val="006049AC"/>
    <w:rsid w:val="00606ECC"/>
    <w:rsid w:val="0060741A"/>
    <w:rsid w:val="00610455"/>
    <w:rsid w:val="00610812"/>
    <w:rsid w:val="006116D2"/>
    <w:rsid w:val="006121A8"/>
    <w:rsid w:val="006127EA"/>
    <w:rsid w:val="00616229"/>
    <w:rsid w:val="006172B8"/>
    <w:rsid w:val="00617A40"/>
    <w:rsid w:val="00620225"/>
    <w:rsid w:val="00620679"/>
    <w:rsid w:val="00620C7C"/>
    <w:rsid w:val="00621A4E"/>
    <w:rsid w:val="00625508"/>
    <w:rsid w:val="00631B97"/>
    <w:rsid w:val="00632A1E"/>
    <w:rsid w:val="00635BA6"/>
    <w:rsid w:val="00636FFD"/>
    <w:rsid w:val="00637300"/>
    <w:rsid w:val="00640630"/>
    <w:rsid w:val="00640913"/>
    <w:rsid w:val="00640D2A"/>
    <w:rsid w:val="00642B41"/>
    <w:rsid w:val="0064385F"/>
    <w:rsid w:val="006439FC"/>
    <w:rsid w:val="00644B69"/>
    <w:rsid w:val="00646514"/>
    <w:rsid w:val="00650414"/>
    <w:rsid w:val="00651B5E"/>
    <w:rsid w:val="0065239D"/>
    <w:rsid w:val="0065263F"/>
    <w:rsid w:val="00652D09"/>
    <w:rsid w:val="00654B0B"/>
    <w:rsid w:val="00654CFC"/>
    <w:rsid w:val="00655179"/>
    <w:rsid w:val="0065755A"/>
    <w:rsid w:val="00657A9B"/>
    <w:rsid w:val="006611F0"/>
    <w:rsid w:val="006621C4"/>
    <w:rsid w:val="0066246E"/>
    <w:rsid w:val="00662D9C"/>
    <w:rsid w:val="00663376"/>
    <w:rsid w:val="006654AB"/>
    <w:rsid w:val="0066575D"/>
    <w:rsid w:val="00665F44"/>
    <w:rsid w:val="00666AE2"/>
    <w:rsid w:val="0067192A"/>
    <w:rsid w:val="00672B1F"/>
    <w:rsid w:val="00672EBB"/>
    <w:rsid w:val="00672F65"/>
    <w:rsid w:val="006730E5"/>
    <w:rsid w:val="00673257"/>
    <w:rsid w:val="00673D9A"/>
    <w:rsid w:val="006753FA"/>
    <w:rsid w:val="006763EF"/>
    <w:rsid w:val="00680411"/>
    <w:rsid w:val="00680870"/>
    <w:rsid w:val="00680B14"/>
    <w:rsid w:val="00680C17"/>
    <w:rsid w:val="006810C8"/>
    <w:rsid w:val="00681372"/>
    <w:rsid w:val="006814D2"/>
    <w:rsid w:val="00681A1C"/>
    <w:rsid w:val="00683139"/>
    <w:rsid w:val="00683545"/>
    <w:rsid w:val="006836BE"/>
    <w:rsid w:val="006844B0"/>
    <w:rsid w:val="006845A0"/>
    <w:rsid w:val="00685380"/>
    <w:rsid w:val="006858C9"/>
    <w:rsid w:val="00690092"/>
    <w:rsid w:val="00690D07"/>
    <w:rsid w:val="00691CFB"/>
    <w:rsid w:val="006924B2"/>
    <w:rsid w:val="006927EB"/>
    <w:rsid w:val="006929A3"/>
    <w:rsid w:val="0069341A"/>
    <w:rsid w:val="00693430"/>
    <w:rsid w:val="006936F7"/>
    <w:rsid w:val="0069516D"/>
    <w:rsid w:val="00697C85"/>
    <w:rsid w:val="006A1393"/>
    <w:rsid w:val="006A2408"/>
    <w:rsid w:val="006A243A"/>
    <w:rsid w:val="006A284A"/>
    <w:rsid w:val="006A2DF8"/>
    <w:rsid w:val="006A2E45"/>
    <w:rsid w:val="006A6868"/>
    <w:rsid w:val="006A6947"/>
    <w:rsid w:val="006A76E2"/>
    <w:rsid w:val="006A7D36"/>
    <w:rsid w:val="006A7EC6"/>
    <w:rsid w:val="006B3900"/>
    <w:rsid w:val="006B3C16"/>
    <w:rsid w:val="006B41DA"/>
    <w:rsid w:val="006B55F4"/>
    <w:rsid w:val="006B577C"/>
    <w:rsid w:val="006B6696"/>
    <w:rsid w:val="006B66BC"/>
    <w:rsid w:val="006B6E48"/>
    <w:rsid w:val="006C014A"/>
    <w:rsid w:val="006C01AD"/>
    <w:rsid w:val="006C0D53"/>
    <w:rsid w:val="006C1716"/>
    <w:rsid w:val="006C1942"/>
    <w:rsid w:val="006C3110"/>
    <w:rsid w:val="006C4388"/>
    <w:rsid w:val="006C476D"/>
    <w:rsid w:val="006C4881"/>
    <w:rsid w:val="006C4A1B"/>
    <w:rsid w:val="006C5D71"/>
    <w:rsid w:val="006C67B7"/>
    <w:rsid w:val="006D096E"/>
    <w:rsid w:val="006D0CCF"/>
    <w:rsid w:val="006D0F5E"/>
    <w:rsid w:val="006D24D4"/>
    <w:rsid w:val="006D2B35"/>
    <w:rsid w:val="006D2D55"/>
    <w:rsid w:val="006D39DA"/>
    <w:rsid w:val="006D4C9D"/>
    <w:rsid w:val="006D5D9A"/>
    <w:rsid w:val="006D5DA2"/>
    <w:rsid w:val="006D6026"/>
    <w:rsid w:val="006D6CC9"/>
    <w:rsid w:val="006E13D6"/>
    <w:rsid w:val="006E1C3D"/>
    <w:rsid w:val="006E2A43"/>
    <w:rsid w:val="006E2A69"/>
    <w:rsid w:val="006E2DC0"/>
    <w:rsid w:val="006E5EEA"/>
    <w:rsid w:val="006E68F0"/>
    <w:rsid w:val="006E7B6B"/>
    <w:rsid w:val="006E7FE4"/>
    <w:rsid w:val="006F0883"/>
    <w:rsid w:val="006F0EE8"/>
    <w:rsid w:val="006F11A1"/>
    <w:rsid w:val="006F1372"/>
    <w:rsid w:val="006F2A48"/>
    <w:rsid w:val="006F38E0"/>
    <w:rsid w:val="006F4F06"/>
    <w:rsid w:val="006F5993"/>
    <w:rsid w:val="006F6084"/>
    <w:rsid w:val="006F60CD"/>
    <w:rsid w:val="006F6D97"/>
    <w:rsid w:val="006F787D"/>
    <w:rsid w:val="006F7EFE"/>
    <w:rsid w:val="00703E5A"/>
    <w:rsid w:val="00703E7D"/>
    <w:rsid w:val="00703E98"/>
    <w:rsid w:val="00705FF5"/>
    <w:rsid w:val="00706372"/>
    <w:rsid w:val="00707970"/>
    <w:rsid w:val="00710643"/>
    <w:rsid w:val="00711878"/>
    <w:rsid w:val="00712963"/>
    <w:rsid w:val="00713F8E"/>
    <w:rsid w:val="0072054D"/>
    <w:rsid w:val="007214DD"/>
    <w:rsid w:val="00721F38"/>
    <w:rsid w:val="0072242E"/>
    <w:rsid w:val="00722908"/>
    <w:rsid w:val="00723F0A"/>
    <w:rsid w:val="00724A6E"/>
    <w:rsid w:val="00724A84"/>
    <w:rsid w:val="00725717"/>
    <w:rsid w:val="00725ED5"/>
    <w:rsid w:val="00726CBF"/>
    <w:rsid w:val="00727AC9"/>
    <w:rsid w:val="00727CA6"/>
    <w:rsid w:val="007299CC"/>
    <w:rsid w:val="00730715"/>
    <w:rsid w:val="007310F7"/>
    <w:rsid w:val="0073360D"/>
    <w:rsid w:val="00733751"/>
    <w:rsid w:val="00735B8E"/>
    <w:rsid w:val="00735E95"/>
    <w:rsid w:val="00736B3A"/>
    <w:rsid w:val="007376CB"/>
    <w:rsid w:val="00740733"/>
    <w:rsid w:val="0074154C"/>
    <w:rsid w:val="00742DB4"/>
    <w:rsid w:val="007430E9"/>
    <w:rsid w:val="00743607"/>
    <w:rsid w:val="00743B4F"/>
    <w:rsid w:val="007455C2"/>
    <w:rsid w:val="00745842"/>
    <w:rsid w:val="007459E9"/>
    <w:rsid w:val="00746A97"/>
    <w:rsid w:val="00746D83"/>
    <w:rsid w:val="007509B3"/>
    <w:rsid w:val="0075183E"/>
    <w:rsid w:val="0075186F"/>
    <w:rsid w:val="00751E4A"/>
    <w:rsid w:val="007526E4"/>
    <w:rsid w:val="00752858"/>
    <w:rsid w:val="007532FC"/>
    <w:rsid w:val="00753AA9"/>
    <w:rsid w:val="00755345"/>
    <w:rsid w:val="0075565C"/>
    <w:rsid w:val="00755CDB"/>
    <w:rsid w:val="007560A6"/>
    <w:rsid w:val="00765E4C"/>
    <w:rsid w:val="007666CC"/>
    <w:rsid w:val="00766891"/>
    <w:rsid w:val="00770611"/>
    <w:rsid w:val="00771854"/>
    <w:rsid w:val="00771DD4"/>
    <w:rsid w:val="00771F45"/>
    <w:rsid w:val="00771FC1"/>
    <w:rsid w:val="00772877"/>
    <w:rsid w:val="00772E9B"/>
    <w:rsid w:val="00773BB9"/>
    <w:rsid w:val="007749CE"/>
    <w:rsid w:val="00774F56"/>
    <w:rsid w:val="00775B11"/>
    <w:rsid w:val="00776D88"/>
    <w:rsid w:val="007772B6"/>
    <w:rsid w:val="007773CC"/>
    <w:rsid w:val="007808A2"/>
    <w:rsid w:val="00781619"/>
    <w:rsid w:val="007823EA"/>
    <w:rsid w:val="00784DE7"/>
    <w:rsid w:val="0078553E"/>
    <w:rsid w:val="00785A9D"/>
    <w:rsid w:val="00786040"/>
    <w:rsid w:val="00786089"/>
    <w:rsid w:val="00787F8E"/>
    <w:rsid w:val="007902EA"/>
    <w:rsid w:val="0079040F"/>
    <w:rsid w:val="0079088C"/>
    <w:rsid w:val="00790AA0"/>
    <w:rsid w:val="0079114F"/>
    <w:rsid w:val="00791D95"/>
    <w:rsid w:val="00794C19"/>
    <w:rsid w:val="007958D5"/>
    <w:rsid w:val="007971AD"/>
    <w:rsid w:val="007976FC"/>
    <w:rsid w:val="007979E7"/>
    <w:rsid w:val="00797BDF"/>
    <w:rsid w:val="00797EEA"/>
    <w:rsid w:val="00797F53"/>
    <w:rsid w:val="007A0962"/>
    <w:rsid w:val="007A0E5D"/>
    <w:rsid w:val="007A2B82"/>
    <w:rsid w:val="007A3EC0"/>
    <w:rsid w:val="007A441D"/>
    <w:rsid w:val="007A44CD"/>
    <w:rsid w:val="007A6171"/>
    <w:rsid w:val="007A64D1"/>
    <w:rsid w:val="007A6BAD"/>
    <w:rsid w:val="007A6FB9"/>
    <w:rsid w:val="007A770A"/>
    <w:rsid w:val="007A7E84"/>
    <w:rsid w:val="007A7F56"/>
    <w:rsid w:val="007B0B60"/>
    <w:rsid w:val="007B0FD7"/>
    <w:rsid w:val="007B12F9"/>
    <w:rsid w:val="007B1923"/>
    <w:rsid w:val="007B22B4"/>
    <w:rsid w:val="007B2B3D"/>
    <w:rsid w:val="007B347F"/>
    <w:rsid w:val="007B4174"/>
    <w:rsid w:val="007B4DEE"/>
    <w:rsid w:val="007B4E44"/>
    <w:rsid w:val="007B6457"/>
    <w:rsid w:val="007C06BA"/>
    <w:rsid w:val="007C0AB9"/>
    <w:rsid w:val="007C0D34"/>
    <w:rsid w:val="007C0FDD"/>
    <w:rsid w:val="007C22CC"/>
    <w:rsid w:val="007C3908"/>
    <w:rsid w:val="007C546F"/>
    <w:rsid w:val="007C5670"/>
    <w:rsid w:val="007C6565"/>
    <w:rsid w:val="007C687F"/>
    <w:rsid w:val="007C7C71"/>
    <w:rsid w:val="007D0861"/>
    <w:rsid w:val="007D0DDF"/>
    <w:rsid w:val="007D1D0E"/>
    <w:rsid w:val="007D5F26"/>
    <w:rsid w:val="007D7FA9"/>
    <w:rsid w:val="007E010B"/>
    <w:rsid w:val="007E07E2"/>
    <w:rsid w:val="007E1F24"/>
    <w:rsid w:val="007E21BF"/>
    <w:rsid w:val="007E2B1A"/>
    <w:rsid w:val="007E2D4E"/>
    <w:rsid w:val="007E2F79"/>
    <w:rsid w:val="007E4FA6"/>
    <w:rsid w:val="007E5322"/>
    <w:rsid w:val="007E5621"/>
    <w:rsid w:val="007E70E6"/>
    <w:rsid w:val="007E766B"/>
    <w:rsid w:val="007F1ADD"/>
    <w:rsid w:val="007F1E2C"/>
    <w:rsid w:val="007F22FA"/>
    <w:rsid w:val="007F2A11"/>
    <w:rsid w:val="007F693D"/>
    <w:rsid w:val="007F6CF8"/>
    <w:rsid w:val="007F77A8"/>
    <w:rsid w:val="00800740"/>
    <w:rsid w:val="008019F6"/>
    <w:rsid w:val="00801F47"/>
    <w:rsid w:val="00802675"/>
    <w:rsid w:val="00802FC2"/>
    <w:rsid w:val="008031B5"/>
    <w:rsid w:val="00803F9F"/>
    <w:rsid w:val="0080480B"/>
    <w:rsid w:val="008057A3"/>
    <w:rsid w:val="00805A4D"/>
    <w:rsid w:val="0080733B"/>
    <w:rsid w:val="008077D5"/>
    <w:rsid w:val="00807EA7"/>
    <w:rsid w:val="00811083"/>
    <w:rsid w:val="008110C3"/>
    <w:rsid w:val="00812881"/>
    <w:rsid w:val="00812A49"/>
    <w:rsid w:val="00812DBD"/>
    <w:rsid w:val="00812F4A"/>
    <w:rsid w:val="00813331"/>
    <w:rsid w:val="008140A6"/>
    <w:rsid w:val="0081426B"/>
    <w:rsid w:val="00814518"/>
    <w:rsid w:val="00815DE8"/>
    <w:rsid w:val="008163CB"/>
    <w:rsid w:val="00816A32"/>
    <w:rsid w:val="00820AD0"/>
    <w:rsid w:val="00822C7D"/>
    <w:rsid w:val="00824264"/>
    <w:rsid w:val="00824505"/>
    <w:rsid w:val="0083008D"/>
    <w:rsid w:val="0083113A"/>
    <w:rsid w:val="00831C9A"/>
    <w:rsid w:val="008328EE"/>
    <w:rsid w:val="00832930"/>
    <w:rsid w:val="00832AF7"/>
    <w:rsid w:val="00832F8A"/>
    <w:rsid w:val="00833078"/>
    <w:rsid w:val="00834B3D"/>
    <w:rsid w:val="00834B9F"/>
    <w:rsid w:val="008377DF"/>
    <w:rsid w:val="00837D1D"/>
    <w:rsid w:val="0084071E"/>
    <w:rsid w:val="00840983"/>
    <w:rsid w:val="00841460"/>
    <w:rsid w:val="00841AB4"/>
    <w:rsid w:val="0084443C"/>
    <w:rsid w:val="00845159"/>
    <w:rsid w:val="00845513"/>
    <w:rsid w:val="00845CF6"/>
    <w:rsid w:val="00846198"/>
    <w:rsid w:val="00846632"/>
    <w:rsid w:val="008474F3"/>
    <w:rsid w:val="00850FC5"/>
    <w:rsid w:val="008512FD"/>
    <w:rsid w:val="00851A27"/>
    <w:rsid w:val="00852903"/>
    <w:rsid w:val="008535FB"/>
    <w:rsid w:val="0085720E"/>
    <w:rsid w:val="008572F8"/>
    <w:rsid w:val="00860DE1"/>
    <w:rsid w:val="00862902"/>
    <w:rsid w:val="00862EE6"/>
    <w:rsid w:val="00863C7E"/>
    <w:rsid w:val="00863EF7"/>
    <w:rsid w:val="00864852"/>
    <w:rsid w:val="008657AD"/>
    <w:rsid w:val="008704D7"/>
    <w:rsid w:val="00871E1A"/>
    <w:rsid w:val="008722B4"/>
    <w:rsid w:val="008744AC"/>
    <w:rsid w:val="008746C7"/>
    <w:rsid w:val="00874CDE"/>
    <w:rsid w:val="00875C42"/>
    <w:rsid w:val="00876F68"/>
    <w:rsid w:val="00877C2F"/>
    <w:rsid w:val="00880D96"/>
    <w:rsid w:val="00881C47"/>
    <w:rsid w:val="008827D6"/>
    <w:rsid w:val="00883FA9"/>
    <w:rsid w:val="00885DDA"/>
    <w:rsid w:val="00885EA4"/>
    <w:rsid w:val="00885FFB"/>
    <w:rsid w:val="0089099B"/>
    <w:rsid w:val="0089252E"/>
    <w:rsid w:val="008925AB"/>
    <w:rsid w:val="00893B20"/>
    <w:rsid w:val="00894130"/>
    <w:rsid w:val="00894227"/>
    <w:rsid w:val="0089602E"/>
    <w:rsid w:val="008A098C"/>
    <w:rsid w:val="008A16DE"/>
    <w:rsid w:val="008A17A9"/>
    <w:rsid w:val="008A2259"/>
    <w:rsid w:val="008A2ACC"/>
    <w:rsid w:val="008A2BE4"/>
    <w:rsid w:val="008A336D"/>
    <w:rsid w:val="008A3ED2"/>
    <w:rsid w:val="008A4301"/>
    <w:rsid w:val="008A467D"/>
    <w:rsid w:val="008A4A50"/>
    <w:rsid w:val="008A5570"/>
    <w:rsid w:val="008A5F56"/>
    <w:rsid w:val="008A6881"/>
    <w:rsid w:val="008B045F"/>
    <w:rsid w:val="008B1573"/>
    <w:rsid w:val="008B2876"/>
    <w:rsid w:val="008B2EC3"/>
    <w:rsid w:val="008B2FBB"/>
    <w:rsid w:val="008B33CA"/>
    <w:rsid w:val="008B4455"/>
    <w:rsid w:val="008B4A25"/>
    <w:rsid w:val="008B5EFF"/>
    <w:rsid w:val="008B725C"/>
    <w:rsid w:val="008C0F0F"/>
    <w:rsid w:val="008C170D"/>
    <w:rsid w:val="008C2266"/>
    <w:rsid w:val="008C258D"/>
    <w:rsid w:val="008C4624"/>
    <w:rsid w:val="008C7170"/>
    <w:rsid w:val="008C7D51"/>
    <w:rsid w:val="008D018D"/>
    <w:rsid w:val="008D088F"/>
    <w:rsid w:val="008D1C45"/>
    <w:rsid w:val="008D1E0B"/>
    <w:rsid w:val="008D2CBC"/>
    <w:rsid w:val="008D5A30"/>
    <w:rsid w:val="008D5EA5"/>
    <w:rsid w:val="008D78F1"/>
    <w:rsid w:val="008D7A9A"/>
    <w:rsid w:val="008E1D25"/>
    <w:rsid w:val="008E1F2C"/>
    <w:rsid w:val="008E260A"/>
    <w:rsid w:val="008E2694"/>
    <w:rsid w:val="008E4775"/>
    <w:rsid w:val="008E57A3"/>
    <w:rsid w:val="008E64C7"/>
    <w:rsid w:val="008E6C9F"/>
    <w:rsid w:val="008E76E9"/>
    <w:rsid w:val="008E778E"/>
    <w:rsid w:val="008E7D3A"/>
    <w:rsid w:val="008F2DE8"/>
    <w:rsid w:val="008F4A70"/>
    <w:rsid w:val="008F4D73"/>
    <w:rsid w:val="008F51B1"/>
    <w:rsid w:val="008F6611"/>
    <w:rsid w:val="008F66D1"/>
    <w:rsid w:val="008F7C81"/>
    <w:rsid w:val="008FEE10"/>
    <w:rsid w:val="009009F9"/>
    <w:rsid w:val="0090191B"/>
    <w:rsid w:val="00901CD9"/>
    <w:rsid w:val="009022A9"/>
    <w:rsid w:val="00902489"/>
    <w:rsid w:val="00902618"/>
    <w:rsid w:val="00903A6F"/>
    <w:rsid w:val="00904BAC"/>
    <w:rsid w:val="00905AD8"/>
    <w:rsid w:val="0090686F"/>
    <w:rsid w:val="00907970"/>
    <w:rsid w:val="00907B57"/>
    <w:rsid w:val="0091178F"/>
    <w:rsid w:val="009141B9"/>
    <w:rsid w:val="00915040"/>
    <w:rsid w:val="0091779C"/>
    <w:rsid w:val="0092114E"/>
    <w:rsid w:val="0092167A"/>
    <w:rsid w:val="00921CB1"/>
    <w:rsid w:val="00922C72"/>
    <w:rsid w:val="00923C7F"/>
    <w:rsid w:val="00924F67"/>
    <w:rsid w:val="00925B83"/>
    <w:rsid w:val="00925DE4"/>
    <w:rsid w:val="00927431"/>
    <w:rsid w:val="00927A0E"/>
    <w:rsid w:val="0092D9BB"/>
    <w:rsid w:val="00930091"/>
    <w:rsid w:val="00931159"/>
    <w:rsid w:val="009313BF"/>
    <w:rsid w:val="00932463"/>
    <w:rsid w:val="009333CB"/>
    <w:rsid w:val="00933DEE"/>
    <w:rsid w:val="00934758"/>
    <w:rsid w:val="00934ACF"/>
    <w:rsid w:val="00934BEE"/>
    <w:rsid w:val="009351B4"/>
    <w:rsid w:val="0093581E"/>
    <w:rsid w:val="009373E3"/>
    <w:rsid w:val="00937C6E"/>
    <w:rsid w:val="00940731"/>
    <w:rsid w:val="009418F3"/>
    <w:rsid w:val="00941C45"/>
    <w:rsid w:val="009425DF"/>
    <w:rsid w:val="009428D0"/>
    <w:rsid w:val="00942BC1"/>
    <w:rsid w:val="009430DF"/>
    <w:rsid w:val="00943749"/>
    <w:rsid w:val="0094464D"/>
    <w:rsid w:val="00944688"/>
    <w:rsid w:val="0094591A"/>
    <w:rsid w:val="00945D9D"/>
    <w:rsid w:val="0094661A"/>
    <w:rsid w:val="00950DC2"/>
    <w:rsid w:val="0095160A"/>
    <w:rsid w:val="0095203C"/>
    <w:rsid w:val="0095247C"/>
    <w:rsid w:val="009531E1"/>
    <w:rsid w:val="00953E0B"/>
    <w:rsid w:val="0095434D"/>
    <w:rsid w:val="0095479B"/>
    <w:rsid w:val="0095671D"/>
    <w:rsid w:val="00957BB5"/>
    <w:rsid w:val="00960000"/>
    <w:rsid w:val="00960E45"/>
    <w:rsid w:val="009610C2"/>
    <w:rsid w:val="00961E64"/>
    <w:rsid w:val="009629EA"/>
    <w:rsid w:val="00963C88"/>
    <w:rsid w:val="009659A7"/>
    <w:rsid w:val="00965C27"/>
    <w:rsid w:val="00965CDD"/>
    <w:rsid w:val="0096620C"/>
    <w:rsid w:val="009662AB"/>
    <w:rsid w:val="0096691F"/>
    <w:rsid w:val="009669F4"/>
    <w:rsid w:val="00967014"/>
    <w:rsid w:val="009673B2"/>
    <w:rsid w:val="00967438"/>
    <w:rsid w:val="00967C67"/>
    <w:rsid w:val="00970A2C"/>
    <w:rsid w:val="00970BB9"/>
    <w:rsid w:val="00970D4E"/>
    <w:rsid w:val="00970E0A"/>
    <w:rsid w:val="00970E3D"/>
    <w:rsid w:val="00970E78"/>
    <w:rsid w:val="00970FDD"/>
    <w:rsid w:val="009716F5"/>
    <w:rsid w:val="00973601"/>
    <w:rsid w:val="009740C3"/>
    <w:rsid w:val="009747F7"/>
    <w:rsid w:val="00975EAE"/>
    <w:rsid w:val="00976513"/>
    <w:rsid w:val="009770B5"/>
    <w:rsid w:val="00977FB7"/>
    <w:rsid w:val="00980CF1"/>
    <w:rsid w:val="0098109D"/>
    <w:rsid w:val="0098121F"/>
    <w:rsid w:val="009821C2"/>
    <w:rsid w:val="009827AF"/>
    <w:rsid w:val="009834E1"/>
    <w:rsid w:val="0098351C"/>
    <w:rsid w:val="00983A14"/>
    <w:rsid w:val="00984B12"/>
    <w:rsid w:val="009858C8"/>
    <w:rsid w:val="009858F2"/>
    <w:rsid w:val="009863D0"/>
    <w:rsid w:val="00986EB9"/>
    <w:rsid w:val="009875CB"/>
    <w:rsid w:val="00987DD8"/>
    <w:rsid w:val="00990168"/>
    <w:rsid w:val="009910DE"/>
    <w:rsid w:val="0099139C"/>
    <w:rsid w:val="00991D5C"/>
    <w:rsid w:val="009929CF"/>
    <w:rsid w:val="00992BFD"/>
    <w:rsid w:val="00992DA6"/>
    <w:rsid w:val="00992FA0"/>
    <w:rsid w:val="009941A8"/>
    <w:rsid w:val="009944D3"/>
    <w:rsid w:val="00994866"/>
    <w:rsid w:val="009957C5"/>
    <w:rsid w:val="00996347"/>
    <w:rsid w:val="00996B69"/>
    <w:rsid w:val="00996DAF"/>
    <w:rsid w:val="009977E2"/>
    <w:rsid w:val="00997912"/>
    <w:rsid w:val="009A1E74"/>
    <w:rsid w:val="009A4CCD"/>
    <w:rsid w:val="009A4E85"/>
    <w:rsid w:val="009A4FB3"/>
    <w:rsid w:val="009A5BBD"/>
    <w:rsid w:val="009A5CD6"/>
    <w:rsid w:val="009A6B94"/>
    <w:rsid w:val="009A6DCC"/>
    <w:rsid w:val="009B288C"/>
    <w:rsid w:val="009B2FA1"/>
    <w:rsid w:val="009B4275"/>
    <w:rsid w:val="009B5C5C"/>
    <w:rsid w:val="009B68D1"/>
    <w:rsid w:val="009B6AD1"/>
    <w:rsid w:val="009C0A6C"/>
    <w:rsid w:val="009C0D87"/>
    <w:rsid w:val="009C1970"/>
    <w:rsid w:val="009C201D"/>
    <w:rsid w:val="009C38D5"/>
    <w:rsid w:val="009C3D23"/>
    <w:rsid w:val="009C7EE3"/>
    <w:rsid w:val="009D03FE"/>
    <w:rsid w:val="009D0AE9"/>
    <w:rsid w:val="009D3232"/>
    <w:rsid w:val="009D34B0"/>
    <w:rsid w:val="009D47E8"/>
    <w:rsid w:val="009D5A46"/>
    <w:rsid w:val="009D60A4"/>
    <w:rsid w:val="009D6D37"/>
    <w:rsid w:val="009D7365"/>
    <w:rsid w:val="009E00C9"/>
    <w:rsid w:val="009E15B6"/>
    <w:rsid w:val="009E192B"/>
    <w:rsid w:val="009E2792"/>
    <w:rsid w:val="009E3075"/>
    <w:rsid w:val="009E3118"/>
    <w:rsid w:val="009E34D8"/>
    <w:rsid w:val="009E49BB"/>
    <w:rsid w:val="009E5E19"/>
    <w:rsid w:val="009E6BE3"/>
    <w:rsid w:val="009F0F47"/>
    <w:rsid w:val="009F20FF"/>
    <w:rsid w:val="009F2FF0"/>
    <w:rsid w:val="009F3E38"/>
    <w:rsid w:val="009F5E7F"/>
    <w:rsid w:val="009F6A40"/>
    <w:rsid w:val="009F7020"/>
    <w:rsid w:val="00A01048"/>
    <w:rsid w:val="00A012E7"/>
    <w:rsid w:val="00A017AA"/>
    <w:rsid w:val="00A01921"/>
    <w:rsid w:val="00A01BE9"/>
    <w:rsid w:val="00A02C17"/>
    <w:rsid w:val="00A02CA7"/>
    <w:rsid w:val="00A02E58"/>
    <w:rsid w:val="00A03552"/>
    <w:rsid w:val="00A0364F"/>
    <w:rsid w:val="00A038D5"/>
    <w:rsid w:val="00A03FDB"/>
    <w:rsid w:val="00A042EE"/>
    <w:rsid w:val="00A054C7"/>
    <w:rsid w:val="00A064E5"/>
    <w:rsid w:val="00A06CB6"/>
    <w:rsid w:val="00A07121"/>
    <w:rsid w:val="00A1219D"/>
    <w:rsid w:val="00A13BDC"/>
    <w:rsid w:val="00A142A4"/>
    <w:rsid w:val="00A156B8"/>
    <w:rsid w:val="00A15C50"/>
    <w:rsid w:val="00A166EC"/>
    <w:rsid w:val="00A1781D"/>
    <w:rsid w:val="00A17848"/>
    <w:rsid w:val="00A200E7"/>
    <w:rsid w:val="00A20B7F"/>
    <w:rsid w:val="00A215AF"/>
    <w:rsid w:val="00A21E62"/>
    <w:rsid w:val="00A221FB"/>
    <w:rsid w:val="00A22390"/>
    <w:rsid w:val="00A22B56"/>
    <w:rsid w:val="00A2327C"/>
    <w:rsid w:val="00A24F03"/>
    <w:rsid w:val="00A2646D"/>
    <w:rsid w:val="00A2647C"/>
    <w:rsid w:val="00A26D48"/>
    <w:rsid w:val="00A278B2"/>
    <w:rsid w:val="00A3052F"/>
    <w:rsid w:val="00A30946"/>
    <w:rsid w:val="00A30B2E"/>
    <w:rsid w:val="00A30C58"/>
    <w:rsid w:val="00A31070"/>
    <w:rsid w:val="00A31A8A"/>
    <w:rsid w:val="00A31F48"/>
    <w:rsid w:val="00A32075"/>
    <w:rsid w:val="00A32A7A"/>
    <w:rsid w:val="00A32AA5"/>
    <w:rsid w:val="00A334AB"/>
    <w:rsid w:val="00A3356F"/>
    <w:rsid w:val="00A36D06"/>
    <w:rsid w:val="00A36EC3"/>
    <w:rsid w:val="00A37F5E"/>
    <w:rsid w:val="00A41494"/>
    <w:rsid w:val="00A44ECB"/>
    <w:rsid w:val="00A46DA9"/>
    <w:rsid w:val="00A4758E"/>
    <w:rsid w:val="00A476F4"/>
    <w:rsid w:val="00A5198D"/>
    <w:rsid w:val="00A51E88"/>
    <w:rsid w:val="00A521CF"/>
    <w:rsid w:val="00A52AA4"/>
    <w:rsid w:val="00A55688"/>
    <w:rsid w:val="00A55902"/>
    <w:rsid w:val="00A56145"/>
    <w:rsid w:val="00A563AE"/>
    <w:rsid w:val="00A565C7"/>
    <w:rsid w:val="00A56915"/>
    <w:rsid w:val="00A57133"/>
    <w:rsid w:val="00A60A64"/>
    <w:rsid w:val="00A61A16"/>
    <w:rsid w:val="00A61CE7"/>
    <w:rsid w:val="00A623F2"/>
    <w:rsid w:val="00A62A04"/>
    <w:rsid w:val="00A62C3D"/>
    <w:rsid w:val="00A63C6D"/>
    <w:rsid w:val="00A63F4A"/>
    <w:rsid w:val="00A649A4"/>
    <w:rsid w:val="00A64A6B"/>
    <w:rsid w:val="00A6579F"/>
    <w:rsid w:val="00A65F85"/>
    <w:rsid w:val="00A660C1"/>
    <w:rsid w:val="00A670B9"/>
    <w:rsid w:val="00A7006A"/>
    <w:rsid w:val="00A708A3"/>
    <w:rsid w:val="00A727C6"/>
    <w:rsid w:val="00A74432"/>
    <w:rsid w:val="00A80465"/>
    <w:rsid w:val="00A80BFE"/>
    <w:rsid w:val="00A810F6"/>
    <w:rsid w:val="00A81246"/>
    <w:rsid w:val="00A82BD2"/>
    <w:rsid w:val="00A83E68"/>
    <w:rsid w:val="00A83F26"/>
    <w:rsid w:val="00A900D4"/>
    <w:rsid w:val="00A90B80"/>
    <w:rsid w:val="00A91044"/>
    <w:rsid w:val="00A91EE3"/>
    <w:rsid w:val="00A930B3"/>
    <w:rsid w:val="00A93152"/>
    <w:rsid w:val="00A93334"/>
    <w:rsid w:val="00A93AFF"/>
    <w:rsid w:val="00A941D6"/>
    <w:rsid w:val="00A94609"/>
    <w:rsid w:val="00A94AF2"/>
    <w:rsid w:val="00A94D3B"/>
    <w:rsid w:val="00A953AC"/>
    <w:rsid w:val="00AA04C3"/>
    <w:rsid w:val="00AA0A69"/>
    <w:rsid w:val="00AA1229"/>
    <w:rsid w:val="00AA1442"/>
    <w:rsid w:val="00AA1C33"/>
    <w:rsid w:val="00AA3434"/>
    <w:rsid w:val="00AA3BDA"/>
    <w:rsid w:val="00AA3D0C"/>
    <w:rsid w:val="00AA4BB1"/>
    <w:rsid w:val="00AA626E"/>
    <w:rsid w:val="00AA6C09"/>
    <w:rsid w:val="00AA70EF"/>
    <w:rsid w:val="00AA7766"/>
    <w:rsid w:val="00AB02E0"/>
    <w:rsid w:val="00AB32E3"/>
    <w:rsid w:val="00AB36F1"/>
    <w:rsid w:val="00AB4CCF"/>
    <w:rsid w:val="00AB4D28"/>
    <w:rsid w:val="00AB510F"/>
    <w:rsid w:val="00AB5B92"/>
    <w:rsid w:val="00AB61FD"/>
    <w:rsid w:val="00AB6514"/>
    <w:rsid w:val="00AC019D"/>
    <w:rsid w:val="00AC12C8"/>
    <w:rsid w:val="00AC1441"/>
    <w:rsid w:val="00AC14F3"/>
    <w:rsid w:val="00AC1958"/>
    <w:rsid w:val="00AC2440"/>
    <w:rsid w:val="00AC4544"/>
    <w:rsid w:val="00AC471A"/>
    <w:rsid w:val="00AC4C39"/>
    <w:rsid w:val="00AC5A13"/>
    <w:rsid w:val="00AC6590"/>
    <w:rsid w:val="00AD2B2E"/>
    <w:rsid w:val="00AD2BE3"/>
    <w:rsid w:val="00AD2D04"/>
    <w:rsid w:val="00AD2F1B"/>
    <w:rsid w:val="00AD347F"/>
    <w:rsid w:val="00AD36BC"/>
    <w:rsid w:val="00AD437C"/>
    <w:rsid w:val="00AD4DD1"/>
    <w:rsid w:val="00AD5B01"/>
    <w:rsid w:val="00AD5BF4"/>
    <w:rsid w:val="00AD5F61"/>
    <w:rsid w:val="00AD6180"/>
    <w:rsid w:val="00AD6323"/>
    <w:rsid w:val="00AD69CF"/>
    <w:rsid w:val="00AD72C5"/>
    <w:rsid w:val="00AD7CDF"/>
    <w:rsid w:val="00AE1D40"/>
    <w:rsid w:val="00AE1FCE"/>
    <w:rsid w:val="00AE201F"/>
    <w:rsid w:val="00AE255A"/>
    <w:rsid w:val="00AE279B"/>
    <w:rsid w:val="00AE29DD"/>
    <w:rsid w:val="00AE4528"/>
    <w:rsid w:val="00AE4795"/>
    <w:rsid w:val="00AE594F"/>
    <w:rsid w:val="00AE5C54"/>
    <w:rsid w:val="00AE6553"/>
    <w:rsid w:val="00AE68A1"/>
    <w:rsid w:val="00AE6ED2"/>
    <w:rsid w:val="00AF2376"/>
    <w:rsid w:val="00AF23FE"/>
    <w:rsid w:val="00AF37E4"/>
    <w:rsid w:val="00AF5869"/>
    <w:rsid w:val="00B00316"/>
    <w:rsid w:val="00B0048C"/>
    <w:rsid w:val="00B005DF"/>
    <w:rsid w:val="00B01465"/>
    <w:rsid w:val="00B01CFB"/>
    <w:rsid w:val="00B0206B"/>
    <w:rsid w:val="00B051C6"/>
    <w:rsid w:val="00B0629E"/>
    <w:rsid w:val="00B063CE"/>
    <w:rsid w:val="00B07513"/>
    <w:rsid w:val="00B11314"/>
    <w:rsid w:val="00B117F1"/>
    <w:rsid w:val="00B12E7A"/>
    <w:rsid w:val="00B13FD8"/>
    <w:rsid w:val="00B1428E"/>
    <w:rsid w:val="00B14588"/>
    <w:rsid w:val="00B14CAD"/>
    <w:rsid w:val="00B14EF0"/>
    <w:rsid w:val="00B154F0"/>
    <w:rsid w:val="00B15CFF"/>
    <w:rsid w:val="00B1632D"/>
    <w:rsid w:val="00B168D8"/>
    <w:rsid w:val="00B20A49"/>
    <w:rsid w:val="00B20D63"/>
    <w:rsid w:val="00B2115E"/>
    <w:rsid w:val="00B2151F"/>
    <w:rsid w:val="00B2191C"/>
    <w:rsid w:val="00B22CAB"/>
    <w:rsid w:val="00B22E3E"/>
    <w:rsid w:val="00B234CB"/>
    <w:rsid w:val="00B23C68"/>
    <w:rsid w:val="00B23E2B"/>
    <w:rsid w:val="00B25136"/>
    <w:rsid w:val="00B251A8"/>
    <w:rsid w:val="00B252C1"/>
    <w:rsid w:val="00B26023"/>
    <w:rsid w:val="00B303E5"/>
    <w:rsid w:val="00B32057"/>
    <w:rsid w:val="00B32AD8"/>
    <w:rsid w:val="00B331D0"/>
    <w:rsid w:val="00B33274"/>
    <w:rsid w:val="00B3529F"/>
    <w:rsid w:val="00B37895"/>
    <w:rsid w:val="00B41101"/>
    <w:rsid w:val="00B43B26"/>
    <w:rsid w:val="00B44FA3"/>
    <w:rsid w:val="00B469BB"/>
    <w:rsid w:val="00B504B7"/>
    <w:rsid w:val="00B5088D"/>
    <w:rsid w:val="00B50F46"/>
    <w:rsid w:val="00B513F8"/>
    <w:rsid w:val="00B51DA6"/>
    <w:rsid w:val="00B527E5"/>
    <w:rsid w:val="00B536FE"/>
    <w:rsid w:val="00B53DE8"/>
    <w:rsid w:val="00B548D9"/>
    <w:rsid w:val="00B54AF7"/>
    <w:rsid w:val="00B54DE7"/>
    <w:rsid w:val="00B553CF"/>
    <w:rsid w:val="00B55A5D"/>
    <w:rsid w:val="00B55FFA"/>
    <w:rsid w:val="00B56D79"/>
    <w:rsid w:val="00B5727E"/>
    <w:rsid w:val="00B576F6"/>
    <w:rsid w:val="00B6132B"/>
    <w:rsid w:val="00B63CC4"/>
    <w:rsid w:val="00B645AB"/>
    <w:rsid w:val="00B64FD0"/>
    <w:rsid w:val="00B65DDF"/>
    <w:rsid w:val="00B6636A"/>
    <w:rsid w:val="00B66EF3"/>
    <w:rsid w:val="00B67576"/>
    <w:rsid w:val="00B702B0"/>
    <w:rsid w:val="00B70861"/>
    <w:rsid w:val="00B71230"/>
    <w:rsid w:val="00B7125B"/>
    <w:rsid w:val="00B71D7A"/>
    <w:rsid w:val="00B71EA9"/>
    <w:rsid w:val="00B71FA2"/>
    <w:rsid w:val="00B72770"/>
    <w:rsid w:val="00B73CE5"/>
    <w:rsid w:val="00B74267"/>
    <w:rsid w:val="00B749DA"/>
    <w:rsid w:val="00B75994"/>
    <w:rsid w:val="00B763A4"/>
    <w:rsid w:val="00B76634"/>
    <w:rsid w:val="00B77004"/>
    <w:rsid w:val="00B77933"/>
    <w:rsid w:val="00B81BF0"/>
    <w:rsid w:val="00B8251B"/>
    <w:rsid w:val="00B82F12"/>
    <w:rsid w:val="00B83292"/>
    <w:rsid w:val="00B84F86"/>
    <w:rsid w:val="00B85133"/>
    <w:rsid w:val="00B86E08"/>
    <w:rsid w:val="00B872C4"/>
    <w:rsid w:val="00B91D19"/>
    <w:rsid w:val="00B9333C"/>
    <w:rsid w:val="00B946F8"/>
    <w:rsid w:val="00B95D93"/>
    <w:rsid w:val="00B968AD"/>
    <w:rsid w:val="00B972BF"/>
    <w:rsid w:val="00B97B2F"/>
    <w:rsid w:val="00BA086A"/>
    <w:rsid w:val="00BA1503"/>
    <w:rsid w:val="00BA160D"/>
    <w:rsid w:val="00BA2463"/>
    <w:rsid w:val="00BA2882"/>
    <w:rsid w:val="00BA2A80"/>
    <w:rsid w:val="00BA3D5B"/>
    <w:rsid w:val="00BA4FDA"/>
    <w:rsid w:val="00BA6B09"/>
    <w:rsid w:val="00BA770B"/>
    <w:rsid w:val="00BB0858"/>
    <w:rsid w:val="00BB0B8E"/>
    <w:rsid w:val="00BB0C9F"/>
    <w:rsid w:val="00BB1A51"/>
    <w:rsid w:val="00BB1D13"/>
    <w:rsid w:val="00BB2887"/>
    <w:rsid w:val="00BB3520"/>
    <w:rsid w:val="00BB3B60"/>
    <w:rsid w:val="00BB4668"/>
    <w:rsid w:val="00BB563E"/>
    <w:rsid w:val="00BB5FD3"/>
    <w:rsid w:val="00BB6293"/>
    <w:rsid w:val="00BC1C72"/>
    <w:rsid w:val="00BC2009"/>
    <w:rsid w:val="00BC2C3A"/>
    <w:rsid w:val="00BC2C57"/>
    <w:rsid w:val="00BC4249"/>
    <w:rsid w:val="00BC4273"/>
    <w:rsid w:val="00BC4948"/>
    <w:rsid w:val="00BC5012"/>
    <w:rsid w:val="00BC5532"/>
    <w:rsid w:val="00BC58C9"/>
    <w:rsid w:val="00BC5FDF"/>
    <w:rsid w:val="00BC612C"/>
    <w:rsid w:val="00BC65DE"/>
    <w:rsid w:val="00BC6881"/>
    <w:rsid w:val="00BD1493"/>
    <w:rsid w:val="00BD336E"/>
    <w:rsid w:val="00BD4997"/>
    <w:rsid w:val="00BD5BF0"/>
    <w:rsid w:val="00BD5C0B"/>
    <w:rsid w:val="00BD6727"/>
    <w:rsid w:val="00BD6B3A"/>
    <w:rsid w:val="00BD728F"/>
    <w:rsid w:val="00BE04F8"/>
    <w:rsid w:val="00BE0BDF"/>
    <w:rsid w:val="00BE3F90"/>
    <w:rsid w:val="00BE570D"/>
    <w:rsid w:val="00BE5DB7"/>
    <w:rsid w:val="00BE75CF"/>
    <w:rsid w:val="00BE7A0E"/>
    <w:rsid w:val="00BF0444"/>
    <w:rsid w:val="00BF0719"/>
    <w:rsid w:val="00BF0B1C"/>
    <w:rsid w:val="00BF0C8F"/>
    <w:rsid w:val="00BF1479"/>
    <w:rsid w:val="00BF2711"/>
    <w:rsid w:val="00BF3020"/>
    <w:rsid w:val="00BF5CF9"/>
    <w:rsid w:val="00BF7AEB"/>
    <w:rsid w:val="00C00B18"/>
    <w:rsid w:val="00C01AF2"/>
    <w:rsid w:val="00C01D6B"/>
    <w:rsid w:val="00C022EA"/>
    <w:rsid w:val="00C05572"/>
    <w:rsid w:val="00C05E2F"/>
    <w:rsid w:val="00C065F7"/>
    <w:rsid w:val="00C06804"/>
    <w:rsid w:val="00C10436"/>
    <w:rsid w:val="00C10A69"/>
    <w:rsid w:val="00C10B0E"/>
    <w:rsid w:val="00C123F4"/>
    <w:rsid w:val="00C124CA"/>
    <w:rsid w:val="00C1268B"/>
    <w:rsid w:val="00C12DDB"/>
    <w:rsid w:val="00C13077"/>
    <w:rsid w:val="00C135B4"/>
    <w:rsid w:val="00C13A59"/>
    <w:rsid w:val="00C17D06"/>
    <w:rsid w:val="00C2056A"/>
    <w:rsid w:val="00C2359E"/>
    <w:rsid w:val="00C23713"/>
    <w:rsid w:val="00C24964"/>
    <w:rsid w:val="00C258DC"/>
    <w:rsid w:val="00C26AAC"/>
    <w:rsid w:val="00C30BD7"/>
    <w:rsid w:val="00C31C48"/>
    <w:rsid w:val="00C333F2"/>
    <w:rsid w:val="00C35A67"/>
    <w:rsid w:val="00C3626D"/>
    <w:rsid w:val="00C3731F"/>
    <w:rsid w:val="00C37DEA"/>
    <w:rsid w:val="00C4022B"/>
    <w:rsid w:val="00C407C6"/>
    <w:rsid w:val="00C41392"/>
    <w:rsid w:val="00C414FA"/>
    <w:rsid w:val="00C41762"/>
    <w:rsid w:val="00C42C6D"/>
    <w:rsid w:val="00C45AF5"/>
    <w:rsid w:val="00C46567"/>
    <w:rsid w:val="00C4698E"/>
    <w:rsid w:val="00C47ACA"/>
    <w:rsid w:val="00C50734"/>
    <w:rsid w:val="00C536E2"/>
    <w:rsid w:val="00C54195"/>
    <w:rsid w:val="00C5427A"/>
    <w:rsid w:val="00C55120"/>
    <w:rsid w:val="00C56318"/>
    <w:rsid w:val="00C56DF6"/>
    <w:rsid w:val="00C57E27"/>
    <w:rsid w:val="00C61730"/>
    <w:rsid w:val="00C625E7"/>
    <w:rsid w:val="00C6316C"/>
    <w:rsid w:val="00C63317"/>
    <w:rsid w:val="00C63952"/>
    <w:rsid w:val="00C63C38"/>
    <w:rsid w:val="00C640DD"/>
    <w:rsid w:val="00C6465F"/>
    <w:rsid w:val="00C647FD"/>
    <w:rsid w:val="00C64901"/>
    <w:rsid w:val="00C64B04"/>
    <w:rsid w:val="00C655D5"/>
    <w:rsid w:val="00C65A71"/>
    <w:rsid w:val="00C671F9"/>
    <w:rsid w:val="00C70FBB"/>
    <w:rsid w:val="00C70FFB"/>
    <w:rsid w:val="00C739E6"/>
    <w:rsid w:val="00C73DAC"/>
    <w:rsid w:val="00C762E9"/>
    <w:rsid w:val="00C7671F"/>
    <w:rsid w:val="00C8120D"/>
    <w:rsid w:val="00C81515"/>
    <w:rsid w:val="00C81BC5"/>
    <w:rsid w:val="00C8210D"/>
    <w:rsid w:val="00C82660"/>
    <w:rsid w:val="00C83782"/>
    <w:rsid w:val="00C83920"/>
    <w:rsid w:val="00C83B6A"/>
    <w:rsid w:val="00C83E92"/>
    <w:rsid w:val="00C8437E"/>
    <w:rsid w:val="00C844AB"/>
    <w:rsid w:val="00C84642"/>
    <w:rsid w:val="00C851AC"/>
    <w:rsid w:val="00C8547E"/>
    <w:rsid w:val="00C85792"/>
    <w:rsid w:val="00C85970"/>
    <w:rsid w:val="00C85C85"/>
    <w:rsid w:val="00C868F1"/>
    <w:rsid w:val="00C86BE9"/>
    <w:rsid w:val="00C91AC0"/>
    <w:rsid w:val="00C9215D"/>
    <w:rsid w:val="00C93305"/>
    <w:rsid w:val="00C934CF"/>
    <w:rsid w:val="00C967AD"/>
    <w:rsid w:val="00C96AF6"/>
    <w:rsid w:val="00C970E2"/>
    <w:rsid w:val="00CA001E"/>
    <w:rsid w:val="00CA0237"/>
    <w:rsid w:val="00CA052E"/>
    <w:rsid w:val="00CA09F0"/>
    <w:rsid w:val="00CA0C94"/>
    <w:rsid w:val="00CA0D93"/>
    <w:rsid w:val="00CA1348"/>
    <w:rsid w:val="00CA3D14"/>
    <w:rsid w:val="00CA4388"/>
    <w:rsid w:val="00CA5604"/>
    <w:rsid w:val="00CA5828"/>
    <w:rsid w:val="00CA61D1"/>
    <w:rsid w:val="00CA6D7C"/>
    <w:rsid w:val="00CA7287"/>
    <w:rsid w:val="00CA7E80"/>
    <w:rsid w:val="00CB1C0C"/>
    <w:rsid w:val="00CB2E77"/>
    <w:rsid w:val="00CB3599"/>
    <w:rsid w:val="00CB3FC9"/>
    <w:rsid w:val="00CB4269"/>
    <w:rsid w:val="00CB45B1"/>
    <w:rsid w:val="00CB45C1"/>
    <w:rsid w:val="00CB4E9F"/>
    <w:rsid w:val="00CB6EEA"/>
    <w:rsid w:val="00CB7660"/>
    <w:rsid w:val="00CC032B"/>
    <w:rsid w:val="00CC074A"/>
    <w:rsid w:val="00CC0AAF"/>
    <w:rsid w:val="00CC0B9E"/>
    <w:rsid w:val="00CC10B5"/>
    <w:rsid w:val="00CC14EF"/>
    <w:rsid w:val="00CC16EB"/>
    <w:rsid w:val="00CC1F2E"/>
    <w:rsid w:val="00CC376B"/>
    <w:rsid w:val="00CC61B5"/>
    <w:rsid w:val="00CC6BDD"/>
    <w:rsid w:val="00CD16AA"/>
    <w:rsid w:val="00CD25A8"/>
    <w:rsid w:val="00CD2913"/>
    <w:rsid w:val="00CD40AE"/>
    <w:rsid w:val="00CD529C"/>
    <w:rsid w:val="00CD595A"/>
    <w:rsid w:val="00CD5F7F"/>
    <w:rsid w:val="00CD6576"/>
    <w:rsid w:val="00CE02FC"/>
    <w:rsid w:val="00CE0304"/>
    <w:rsid w:val="00CE141E"/>
    <w:rsid w:val="00CE2C33"/>
    <w:rsid w:val="00CE2E0D"/>
    <w:rsid w:val="00CE3C39"/>
    <w:rsid w:val="00CE4066"/>
    <w:rsid w:val="00CE5E58"/>
    <w:rsid w:val="00CE7141"/>
    <w:rsid w:val="00CE715A"/>
    <w:rsid w:val="00CE7376"/>
    <w:rsid w:val="00CE7BDD"/>
    <w:rsid w:val="00CF0834"/>
    <w:rsid w:val="00CF401A"/>
    <w:rsid w:val="00CF653F"/>
    <w:rsid w:val="00D000BD"/>
    <w:rsid w:val="00D01480"/>
    <w:rsid w:val="00D019A6"/>
    <w:rsid w:val="00D02FAE"/>
    <w:rsid w:val="00D046F5"/>
    <w:rsid w:val="00D04CE8"/>
    <w:rsid w:val="00D05855"/>
    <w:rsid w:val="00D10720"/>
    <w:rsid w:val="00D10FCF"/>
    <w:rsid w:val="00D12B5B"/>
    <w:rsid w:val="00D135B3"/>
    <w:rsid w:val="00D136C9"/>
    <w:rsid w:val="00D142EF"/>
    <w:rsid w:val="00D163B1"/>
    <w:rsid w:val="00D16F3C"/>
    <w:rsid w:val="00D16F81"/>
    <w:rsid w:val="00D17123"/>
    <w:rsid w:val="00D174CC"/>
    <w:rsid w:val="00D20D67"/>
    <w:rsid w:val="00D21655"/>
    <w:rsid w:val="00D238AD"/>
    <w:rsid w:val="00D24404"/>
    <w:rsid w:val="00D24EA5"/>
    <w:rsid w:val="00D252CD"/>
    <w:rsid w:val="00D258F9"/>
    <w:rsid w:val="00D3075C"/>
    <w:rsid w:val="00D311D3"/>
    <w:rsid w:val="00D31B32"/>
    <w:rsid w:val="00D31B5C"/>
    <w:rsid w:val="00D31CC4"/>
    <w:rsid w:val="00D31D76"/>
    <w:rsid w:val="00D329F1"/>
    <w:rsid w:val="00D33214"/>
    <w:rsid w:val="00D333F0"/>
    <w:rsid w:val="00D334DB"/>
    <w:rsid w:val="00D3357C"/>
    <w:rsid w:val="00D33736"/>
    <w:rsid w:val="00D3385D"/>
    <w:rsid w:val="00D33D43"/>
    <w:rsid w:val="00D34953"/>
    <w:rsid w:val="00D350CB"/>
    <w:rsid w:val="00D371C3"/>
    <w:rsid w:val="00D37233"/>
    <w:rsid w:val="00D37A08"/>
    <w:rsid w:val="00D44DA5"/>
    <w:rsid w:val="00D45367"/>
    <w:rsid w:val="00D45B9C"/>
    <w:rsid w:val="00D47048"/>
    <w:rsid w:val="00D5039D"/>
    <w:rsid w:val="00D50420"/>
    <w:rsid w:val="00D51A78"/>
    <w:rsid w:val="00D53A57"/>
    <w:rsid w:val="00D54DA1"/>
    <w:rsid w:val="00D56762"/>
    <w:rsid w:val="00D57234"/>
    <w:rsid w:val="00D601CE"/>
    <w:rsid w:val="00D6036D"/>
    <w:rsid w:val="00D6175E"/>
    <w:rsid w:val="00D62121"/>
    <w:rsid w:val="00D62226"/>
    <w:rsid w:val="00D638B3"/>
    <w:rsid w:val="00D65A57"/>
    <w:rsid w:val="00D65DFE"/>
    <w:rsid w:val="00D65FCD"/>
    <w:rsid w:val="00D70FE6"/>
    <w:rsid w:val="00D711E1"/>
    <w:rsid w:val="00D7205A"/>
    <w:rsid w:val="00D72384"/>
    <w:rsid w:val="00D727E4"/>
    <w:rsid w:val="00D72F19"/>
    <w:rsid w:val="00D73245"/>
    <w:rsid w:val="00D75542"/>
    <w:rsid w:val="00D75579"/>
    <w:rsid w:val="00D76BF6"/>
    <w:rsid w:val="00D77046"/>
    <w:rsid w:val="00D808BA"/>
    <w:rsid w:val="00D80C4B"/>
    <w:rsid w:val="00D81783"/>
    <w:rsid w:val="00D81EDE"/>
    <w:rsid w:val="00D83462"/>
    <w:rsid w:val="00D84884"/>
    <w:rsid w:val="00D86547"/>
    <w:rsid w:val="00D866BF"/>
    <w:rsid w:val="00D87397"/>
    <w:rsid w:val="00D87409"/>
    <w:rsid w:val="00D910E5"/>
    <w:rsid w:val="00D94921"/>
    <w:rsid w:val="00D95023"/>
    <w:rsid w:val="00D95173"/>
    <w:rsid w:val="00D95191"/>
    <w:rsid w:val="00DA1661"/>
    <w:rsid w:val="00DA2736"/>
    <w:rsid w:val="00DA3A9E"/>
    <w:rsid w:val="00DA43CB"/>
    <w:rsid w:val="00DA577A"/>
    <w:rsid w:val="00DA5AA1"/>
    <w:rsid w:val="00DA5DF0"/>
    <w:rsid w:val="00DA60CF"/>
    <w:rsid w:val="00DA66AF"/>
    <w:rsid w:val="00DA66E0"/>
    <w:rsid w:val="00DA6B59"/>
    <w:rsid w:val="00DA6C88"/>
    <w:rsid w:val="00DA6E73"/>
    <w:rsid w:val="00DA7E2C"/>
    <w:rsid w:val="00DB0078"/>
    <w:rsid w:val="00DB0395"/>
    <w:rsid w:val="00DB1D6A"/>
    <w:rsid w:val="00DB35A0"/>
    <w:rsid w:val="00DB3ED5"/>
    <w:rsid w:val="00DB4477"/>
    <w:rsid w:val="00DB4855"/>
    <w:rsid w:val="00DB4B20"/>
    <w:rsid w:val="00DB5A6E"/>
    <w:rsid w:val="00DB613F"/>
    <w:rsid w:val="00DB6BDA"/>
    <w:rsid w:val="00DB6C3B"/>
    <w:rsid w:val="00DC047F"/>
    <w:rsid w:val="00DC119D"/>
    <w:rsid w:val="00DC322F"/>
    <w:rsid w:val="00DC3F71"/>
    <w:rsid w:val="00DC471C"/>
    <w:rsid w:val="00DC5256"/>
    <w:rsid w:val="00DC552F"/>
    <w:rsid w:val="00DC597B"/>
    <w:rsid w:val="00DC5D21"/>
    <w:rsid w:val="00DC78A2"/>
    <w:rsid w:val="00DD02A8"/>
    <w:rsid w:val="00DD1196"/>
    <w:rsid w:val="00DD1CDE"/>
    <w:rsid w:val="00DD1F50"/>
    <w:rsid w:val="00DD2953"/>
    <w:rsid w:val="00DD2E09"/>
    <w:rsid w:val="00DD345D"/>
    <w:rsid w:val="00DD389D"/>
    <w:rsid w:val="00DD6182"/>
    <w:rsid w:val="00DD6729"/>
    <w:rsid w:val="00DD7650"/>
    <w:rsid w:val="00DD7A2B"/>
    <w:rsid w:val="00DD7C74"/>
    <w:rsid w:val="00DE1233"/>
    <w:rsid w:val="00DE255F"/>
    <w:rsid w:val="00DE27AC"/>
    <w:rsid w:val="00DE3975"/>
    <w:rsid w:val="00DE4B18"/>
    <w:rsid w:val="00DE52FC"/>
    <w:rsid w:val="00DE6664"/>
    <w:rsid w:val="00DE6A94"/>
    <w:rsid w:val="00DE7864"/>
    <w:rsid w:val="00DF05E4"/>
    <w:rsid w:val="00DF1124"/>
    <w:rsid w:val="00DF40A1"/>
    <w:rsid w:val="00DF5EAC"/>
    <w:rsid w:val="00DF5EC2"/>
    <w:rsid w:val="00DF609F"/>
    <w:rsid w:val="00DF7451"/>
    <w:rsid w:val="00E007A4"/>
    <w:rsid w:val="00E00A45"/>
    <w:rsid w:val="00E0189A"/>
    <w:rsid w:val="00E01A5A"/>
    <w:rsid w:val="00E01E32"/>
    <w:rsid w:val="00E03115"/>
    <w:rsid w:val="00E03742"/>
    <w:rsid w:val="00E037C3"/>
    <w:rsid w:val="00E0413D"/>
    <w:rsid w:val="00E05778"/>
    <w:rsid w:val="00E0686D"/>
    <w:rsid w:val="00E07235"/>
    <w:rsid w:val="00E10B0C"/>
    <w:rsid w:val="00E10E12"/>
    <w:rsid w:val="00E11D3A"/>
    <w:rsid w:val="00E13241"/>
    <w:rsid w:val="00E137BA"/>
    <w:rsid w:val="00E13F49"/>
    <w:rsid w:val="00E1450E"/>
    <w:rsid w:val="00E14D73"/>
    <w:rsid w:val="00E14F4F"/>
    <w:rsid w:val="00E1674B"/>
    <w:rsid w:val="00E174F8"/>
    <w:rsid w:val="00E20EDD"/>
    <w:rsid w:val="00E2127C"/>
    <w:rsid w:val="00E21655"/>
    <w:rsid w:val="00E220A8"/>
    <w:rsid w:val="00E22A5C"/>
    <w:rsid w:val="00E23602"/>
    <w:rsid w:val="00E239EE"/>
    <w:rsid w:val="00E247EC"/>
    <w:rsid w:val="00E3196E"/>
    <w:rsid w:val="00E33C9F"/>
    <w:rsid w:val="00E3432E"/>
    <w:rsid w:val="00E356FA"/>
    <w:rsid w:val="00E3576B"/>
    <w:rsid w:val="00E35DEE"/>
    <w:rsid w:val="00E36A7D"/>
    <w:rsid w:val="00E37EF9"/>
    <w:rsid w:val="00E401D1"/>
    <w:rsid w:val="00E408FE"/>
    <w:rsid w:val="00E4169B"/>
    <w:rsid w:val="00E4184B"/>
    <w:rsid w:val="00E42CBE"/>
    <w:rsid w:val="00E42DDD"/>
    <w:rsid w:val="00E43439"/>
    <w:rsid w:val="00E4360D"/>
    <w:rsid w:val="00E43A0F"/>
    <w:rsid w:val="00E43E62"/>
    <w:rsid w:val="00E4466F"/>
    <w:rsid w:val="00E449A6"/>
    <w:rsid w:val="00E455BB"/>
    <w:rsid w:val="00E456DB"/>
    <w:rsid w:val="00E462CC"/>
    <w:rsid w:val="00E47499"/>
    <w:rsid w:val="00E47734"/>
    <w:rsid w:val="00E51AE5"/>
    <w:rsid w:val="00E5265C"/>
    <w:rsid w:val="00E52E72"/>
    <w:rsid w:val="00E53037"/>
    <w:rsid w:val="00E5372D"/>
    <w:rsid w:val="00E53B92"/>
    <w:rsid w:val="00E53F9E"/>
    <w:rsid w:val="00E55126"/>
    <w:rsid w:val="00E56AE4"/>
    <w:rsid w:val="00E56E9B"/>
    <w:rsid w:val="00E5772E"/>
    <w:rsid w:val="00E6001D"/>
    <w:rsid w:val="00E60376"/>
    <w:rsid w:val="00E607E6"/>
    <w:rsid w:val="00E60BB1"/>
    <w:rsid w:val="00E6139F"/>
    <w:rsid w:val="00E62B1D"/>
    <w:rsid w:val="00E62B74"/>
    <w:rsid w:val="00E637FB"/>
    <w:rsid w:val="00E63CB8"/>
    <w:rsid w:val="00E6504B"/>
    <w:rsid w:val="00E6622D"/>
    <w:rsid w:val="00E668F0"/>
    <w:rsid w:val="00E66DFF"/>
    <w:rsid w:val="00E705BF"/>
    <w:rsid w:val="00E710D3"/>
    <w:rsid w:val="00E72F9B"/>
    <w:rsid w:val="00E74F08"/>
    <w:rsid w:val="00E77AA2"/>
    <w:rsid w:val="00E77EB0"/>
    <w:rsid w:val="00E823F9"/>
    <w:rsid w:val="00E840CF"/>
    <w:rsid w:val="00E841FE"/>
    <w:rsid w:val="00E8491F"/>
    <w:rsid w:val="00E84C8B"/>
    <w:rsid w:val="00E84E25"/>
    <w:rsid w:val="00E84FC6"/>
    <w:rsid w:val="00E85B3D"/>
    <w:rsid w:val="00E85EF0"/>
    <w:rsid w:val="00E86CDC"/>
    <w:rsid w:val="00E878BE"/>
    <w:rsid w:val="00E90028"/>
    <w:rsid w:val="00E9009B"/>
    <w:rsid w:val="00E90757"/>
    <w:rsid w:val="00E91045"/>
    <w:rsid w:val="00E91733"/>
    <w:rsid w:val="00E928AB"/>
    <w:rsid w:val="00E92D1F"/>
    <w:rsid w:val="00E93145"/>
    <w:rsid w:val="00E93801"/>
    <w:rsid w:val="00E9526E"/>
    <w:rsid w:val="00E955E0"/>
    <w:rsid w:val="00E95C66"/>
    <w:rsid w:val="00E979AB"/>
    <w:rsid w:val="00EA0D67"/>
    <w:rsid w:val="00EA2CAA"/>
    <w:rsid w:val="00EA43FE"/>
    <w:rsid w:val="00EA4B6A"/>
    <w:rsid w:val="00EA524B"/>
    <w:rsid w:val="00EA5406"/>
    <w:rsid w:val="00EA57AA"/>
    <w:rsid w:val="00EA798D"/>
    <w:rsid w:val="00EB0CC9"/>
    <w:rsid w:val="00EB15BA"/>
    <w:rsid w:val="00EB15D1"/>
    <w:rsid w:val="00EB21FA"/>
    <w:rsid w:val="00EB2701"/>
    <w:rsid w:val="00EB2D24"/>
    <w:rsid w:val="00EB4A86"/>
    <w:rsid w:val="00EB6D39"/>
    <w:rsid w:val="00EB700A"/>
    <w:rsid w:val="00EB770D"/>
    <w:rsid w:val="00EB78D0"/>
    <w:rsid w:val="00EC007C"/>
    <w:rsid w:val="00EC0B97"/>
    <w:rsid w:val="00EC0C5E"/>
    <w:rsid w:val="00EC1B2F"/>
    <w:rsid w:val="00EC1E46"/>
    <w:rsid w:val="00EC2AF4"/>
    <w:rsid w:val="00EC2FD3"/>
    <w:rsid w:val="00EC39BC"/>
    <w:rsid w:val="00EC46F9"/>
    <w:rsid w:val="00EC49B1"/>
    <w:rsid w:val="00EC4CDA"/>
    <w:rsid w:val="00EC5111"/>
    <w:rsid w:val="00EC57BA"/>
    <w:rsid w:val="00EC5C2D"/>
    <w:rsid w:val="00EC79C5"/>
    <w:rsid w:val="00ED0389"/>
    <w:rsid w:val="00ED1A83"/>
    <w:rsid w:val="00ED3084"/>
    <w:rsid w:val="00ED37BF"/>
    <w:rsid w:val="00ED3A85"/>
    <w:rsid w:val="00ED5D1C"/>
    <w:rsid w:val="00ED5E73"/>
    <w:rsid w:val="00ED6754"/>
    <w:rsid w:val="00ED6852"/>
    <w:rsid w:val="00ED6C57"/>
    <w:rsid w:val="00ED75F0"/>
    <w:rsid w:val="00ED7B56"/>
    <w:rsid w:val="00EE083B"/>
    <w:rsid w:val="00EE140B"/>
    <w:rsid w:val="00EE1655"/>
    <w:rsid w:val="00EE1FA4"/>
    <w:rsid w:val="00EE356A"/>
    <w:rsid w:val="00EE478A"/>
    <w:rsid w:val="00EE785B"/>
    <w:rsid w:val="00EE7908"/>
    <w:rsid w:val="00EF1925"/>
    <w:rsid w:val="00EF238B"/>
    <w:rsid w:val="00EF2688"/>
    <w:rsid w:val="00EF3D1D"/>
    <w:rsid w:val="00EF425B"/>
    <w:rsid w:val="00EF4BDE"/>
    <w:rsid w:val="00EF4C14"/>
    <w:rsid w:val="00EF74BA"/>
    <w:rsid w:val="00F00B3C"/>
    <w:rsid w:val="00F00CAF"/>
    <w:rsid w:val="00F00E57"/>
    <w:rsid w:val="00F01912"/>
    <w:rsid w:val="00F02419"/>
    <w:rsid w:val="00F025B7"/>
    <w:rsid w:val="00F026B9"/>
    <w:rsid w:val="00F0450C"/>
    <w:rsid w:val="00F06794"/>
    <w:rsid w:val="00F06F7C"/>
    <w:rsid w:val="00F109C0"/>
    <w:rsid w:val="00F1216A"/>
    <w:rsid w:val="00F12965"/>
    <w:rsid w:val="00F129D8"/>
    <w:rsid w:val="00F12A52"/>
    <w:rsid w:val="00F1369E"/>
    <w:rsid w:val="00F14067"/>
    <w:rsid w:val="00F14443"/>
    <w:rsid w:val="00F1523B"/>
    <w:rsid w:val="00F15787"/>
    <w:rsid w:val="00F16B1B"/>
    <w:rsid w:val="00F16B20"/>
    <w:rsid w:val="00F1728F"/>
    <w:rsid w:val="00F174E7"/>
    <w:rsid w:val="00F21E28"/>
    <w:rsid w:val="00F22ADA"/>
    <w:rsid w:val="00F24B62"/>
    <w:rsid w:val="00F25197"/>
    <w:rsid w:val="00F26220"/>
    <w:rsid w:val="00F26CD2"/>
    <w:rsid w:val="00F27F0D"/>
    <w:rsid w:val="00F30713"/>
    <w:rsid w:val="00F31114"/>
    <w:rsid w:val="00F31E95"/>
    <w:rsid w:val="00F34080"/>
    <w:rsid w:val="00F346F8"/>
    <w:rsid w:val="00F348C8"/>
    <w:rsid w:val="00F407F7"/>
    <w:rsid w:val="00F40C69"/>
    <w:rsid w:val="00F41DD7"/>
    <w:rsid w:val="00F41E71"/>
    <w:rsid w:val="00F4200A"/>
    <w:rsid w:val="00F42C6D"/>
    <w:rsid w:val="00F4384A"/>
    <w:rsid w:val="00F441FC"/>
    <w:rsid w:val="00F444BB"/>
    <w:rsid w:val="00F44CC2"/>
    <w:rsid w:val="00F45D01"/>
    <w:rsid w:val="00F474B9"/>
    <w:rsid w:val="00F47C40"/>
    <w:rsid w:val="00F47CA8"/>
    <w:rsid w:val="00F50D04"/>
    <w:rsid w:val="00F52D5E"/>
    <w:rsid w:val="00F5383A"/>
    <w:rsid w:val="00F53B3E"/>
    <w:rsid w:val="00F54527"/>
    <w:rsid w:val="00F5473B"/>
    <w:rsid w:val="00F5714C"/>
    <w:rsid w:val="00F60651"/>
    <w:rsid w:val="00F607BA"/>
    <w:rsid w:val="00F61A13"/>
    <w:rsid w:val="00F62C17"/>
    <w:rsid w:val="00F6418F"/>
    <w:rsid w:val="00F6442E"/>
    <w:rsid w:val="00F6452F"/>
    <w:rsid w:val="00F712AD"/>
    <w:rsid w:val="00F7349B"/>
    <w:rsid w:val="00F73E10"/>
    <w:rsid w:val="00F744F0"/>
    <w:rsid w:val="00F74CAB"/>
    <w:rsid w:val="00F75199"/>
    <w:rsid w:val="00F75449"/>
    <w:rsid w:val="00F76756"/>
    <w:rsid w:val="00F77909"/>
    <w:rsid w:val="00F8053F"/>
    <w:rsid w:val="00F80BC2"/>
    <w:rsid w:val="00F80CD0"/>
    <w:rsid w:val="00F80FB0"/>
    <w:rsid w:val="00F81077"/>
    <w:rsid w:val="00F83566"/>
    <w:rsid w:val="00F84072"/>
    <w:rsid w:val="00F85465"/>
    <w:rsid w:val="00F8572E"/>
    <w:rsid w:val="00F85BCA"/>
    <w:rsid w:val="00F8616F"/>
    <w:rsid w:val="00F87B71"/>
    <w:rsid w:val="00F9017D"/>
    <w:rsid w:val="00F90D79"/>
    <w:rsid w:val="00F910B1"/>
    <w:rsid w:val="00F9308A"/>
    <w:rsid w:val="00F93402"/>
    <w:rsid w:val="00F9342A"/>
    <w:rsid w:val="00F936F6"/>
    <w:rsid w:val="00F96542"/>
    <w:rsid w:val="00F970AA"/>
    <w:rsid w:val="00FA0742"/>
    <w:rsid w:val="00FA1681"/>
    <w:rsid w:val="00FA1FE4"/>
    <w:rsid w:val="00FA2BBD"/>
    <w:rsid w:val="00FA4FAA"/>
    <w:rsid w:val="00FA5306"/>
    <w:rsid w:val="00FA5A0D"/>
    <w:rsid w:val="00FA5BD6"/>
    <w:rsid w:val="00FA5D60"/>
    <w:rsid w:val="00FA6DE4"/>
    <w:rsid w:val="00FA7106"/>
    <w:rsid w:val="00FB0F5B"/>
    <w:rsid w:val="00FB1920"/>
    <w:rsid w:val="00FB286E"/>
    <w:rsid w:val="00FB29E3"/>
    <w:rsid w:val="00FB2AA0"/>
    <w:rsid w:val="00FB2BDF"/>
    <w:rsid w:val="00FB2DAB"/>
    <w:rsid w:val="00FB2F49"/>
    <w:rsid w:val="00FB4D57"/>
    <w:rsid w:val="00FB5EA0"/>
    <w:rsid w:val="00FB62C5"/>
    <w:rsid w:val="00FB65A0"/>
    <w:rsid w:val="00FC0310"/>
    <w:rsid w:val="00FC09E8"/>
    <w:rsid w:val="00FC0DB3"/>
    <w:rsid w:val="00FC136E"/>
    <w:rsid w:val="00FC1595"/>
    <w:rsid w:val="00FC1F3E"/>
    <w:rsid w:val="00FC2396"/>
    <w:rsid w:val="00FC30E3"/>
    <w:rsid w:val="00FC355A"/>
    <w:rsid w:val="00FC37FA"/>
    <w:rsid w:val="00FC3949"/>
    <w:rsid w:val="00FC4D10"/>
    <w:rsid w:val="00FC5ABE"/>
    <w:rsid w:val="00FC5B2C"/>
    <w:rsid w:val="00FC654B"/>
    <w:rsid w:val="00FC6977"/>
    <w:rsid w:val="00FC6A8F"/>
    <w:rsid w:val="00FC6AA4"/>
    <w:rsid w:val="00FC74F6"/>
    <w:rsid w:val="00FC7836"/>
    <w:rsid w:val="00FD257C"/>
    <w:rsid w:val="00FD4200"/>
    <w:rsid w:val="00FD44C1"/>
    <w:rsid w:val="00FD59A9"/>
    <w:rsid w:val="00FD6591"/>
    <w:rsid w:val="00FE014F"/>
    <w:rsid w:val="00FE0348"/>
    <w:rsid w:val="00FE06B4"/>
    <w:rsid w:val="00FE0769"/>
    <w:rsid w:val="00FE0BC7"/>
    <w:rsid w:val="00FE16F2"/>
    <w:rsid w:val="00FE1E8E"/>
    <w:rsid w:val="00FE27FD"/>
    <w:rsid w:val="00FE2C18"/>
    <w:rsid w:val="00FE33C4"/>
    <w:rsid w:val="00FE4B2A"/>
    <w:rsid w:val="00FE5725"/>
    <w:rsid w:val="00FE6223"/>
    <w:rsid w:val="00FE706B"/>
    <w:rsid w:val="00FE75FE"/>
    <w:rsid w:val="00FF06D3"/>
    <w:rsid w:val="00FF0B69"/>
    <w:rsid w:val="00FF1300"/>
    <w:rsid w:val="00FF1B67"/>
    <w:rsid w:val="00FF2B72"/>
    <w:rsid w:val="00FF357A"/>
    <w:rsid w:val="00FF3A3F"/>
    <w:rsid w:val="00FF49F3"/>
    <w:rsid w:val="00FF5A86"/>
    <w:rsid w:val="00FF6A77"/>
    <w:rsid w:val="00FF7F61"/>
    <w:rsid w:val="0126DEB4"/>
    <w:rsid w:val="01415630"/>
    <w:rsid w:val="01650D69"/>
    <w:rsid w:val="01A94B11"/>
    <w:rsid w:val="01C45107"/>
    <w:rsid w:val="01CD352D"/>
    <w:rsid w:val="026F36D7"/>
    <w:rsid w:val="03533BAD"/>
    <w:rsid w:val="035C29B5"/>
    <w:rsid w:val="03D48BF8"/>
    <w:rsid w:val="03FABAA8"/>
    <w:rsid w:val="0432034D"/>
    <w:rsid w:val="047B270F"/>
    <w:rsid w:val="04B9E91C"/>
    <w:rsid w:val="04C6050A"/>
    <w:rsid w:val="052D9A7C"/>
    <w:rsid w:val="0581E9FB"/>
    <w:rsid w:val="0605AFF3"/>
    <w:rsid w:val="067C2991"/>
    <w:rsid w:val="06C766A0"/>
    <w:rsid w:val="06D65764"/>
    <w:rsid w:val="06E18761"/>
    <w:rsid w:val="0774FB9D"/>
    <w:rsid w:val="077C492C"/>
    <w:rsid w:val="07B9A656"/>
    <w:rsid w:val="07E7E841"/>
    <w:rsid w:val="0800BA77"/>
    <w:rsid w:val="0861D8E1"/>
    <w:rsid w:val="08694A79"/>
    <w:rsid w:val="086DEC1D"/>
    <w:rsid w:val="08A1EC65"/>
    <w:rsid w:val="08CC7975"/>
    <w:rsid w:val="08CD5D95"/>
    <w:rsid w:val="08D0C241"/>
    <w:rsid w:val="08E982F1"/>
    <w:rsid w:val="08F094C7"/>
    <w:rsid w:val="08F11C9F"/>
    <w:rsid w:val="092697AB"/>
    <w:rsid w:val="09E37DA8"/>
    <w:rsid w:val="09EF3F70"/>
    <w:rsid w:val="0A55BE03"/>
    <w:rsid w:val="0A6B866C"/>
    <w:rsid w:val="0B054E6C"/>
    <w:rsid w:val="0B111148"/>
    <w:rsid w:val="0B3A3BF5"/>
    <w:rsid w:val="0B73B4CC"/>
    <w:rsid w:val="0B7F0DAC"/>
    <w:rsid w:val="0B8C020D"/>
    <w:rsid w:val="0B8F2CD4"/>
    <w:rsid w:val="0B97C744"/>
    <w:rsid w:val="0BDC4696"/>
    <w:rsid w:val="0C6BBBCB"/>
    <w:rsid w:val="0C706F30"/>
    <w:rsid w:val="0CAF5A01"/>
    <w:rsid w:val="0CB85F6A"/>
    <w:rsid w:val="0CF10383"/>
    <w:rsid w:val="0D1BD841"/>
    <w:rsid w:val="0D938174"/>
    <w:rsid w:val="0DEAF9B9"/>
    <w:rsid w:val="0E081A73"/>
    <w:rsid w:val="0E7D95C9"/>
    <w:rsid w:val="0EA8D8EE"/>
    <w:rsid w:val="0EACD742"/>
    <w:rsid w:val="0F1B74A1"/>
    <w:rsid w:val="0F272C5F"/>
    <w:rsid w:val="0F4EA51E"/>
    <w:rsid w:val="0F596374"/>
    <w:rsid w:val="0F8F50CC"/>
    <w:rsid w:val="0F946397"/>
    <w:rsid w:val="103A29EB"/>
    <w:rsid w:val="106FA74E"/>
    <w:rsid w:val="10EA792A"/>
    <w:rsid w:val="11BB3178"/>
    <w:rsid w:val="120B77AF"/>
    <w:rsid w:val="126A7724"/>
    <w:rsid w:val="12BEBDD6"/>
    <w:rsid w:val="131072E9"/>
    <w:rsid w:val="134FD0AB"/>
    <w:rsid w:val="135E3A17"/>
    <w:rsid w:val="136023CF"/>
    <w:rsid w:val="136BDBC7"/>
    <w:rsid w:val="137F2616"/>
    <w:rsid w:val="13A108ED"/>
    <w:rsid w:val="13B92B88"/>
    <w:rsid w:val="13BDACFA"/>
    <w:rsid w:val="13C33B1E"/>
    <w:rsid w:val="13CF81A1"/>
    <w:rsid w:val="13F9AEC8"/>
    <w:rsid w:val="13FAEA20"/>
    <w:rsid w:val="14A2C3C7"/>
    <w:rsid w:val="14E64272"/>
    <w:rsid w:val="14F761B9"/>
    <w:rsid w:val="150D7B4F"/>
    <w:rsid w:val="15598CB7"/>
    <w:rsid w:val="15605E66"/>
    <w:rsid w:val="1580208D"/>
    <w:rsid w:val="15EB0E47"/>
    <w:rsid w:val="15F65E98"/>
    <w:rsid w:val="165FE892"/>
    <w:rsid w:val="17006963"/>
    <w:rsid w:val="1781B046"/>
    <w:rsid w:val="1853A40C"/>
    <w:rsid w:val="189321AD"/>
    <w:rsid w:val="18A59E77"/>
    <w:rsid w:val="18A85F7D"/>
    <w:rsid w:val="18DEFD12"/>
    <w:rsid w:val="18F12D18"/>
    <w:rsid w:val="18FB5493"/>
    <w:rsid w:val="191640DA"/>
    <w:rsid w:val="1952E1F0"/>
    <w:rsid w:val="19701E79"/>
    <w:rsid w:val="199C1AEA"/>
    <w:rsid w:val="19A4BC0E"/>
    <w:rsid w:val="19DE520D"/>
    <w:rsid w:val="1A51D343"/>
    <w:rsid w:val="1A5DF9B2"/>
    <w:rsid w:val="1A8358CC"/>
    <w:rsid w:val="1AB534F3"/>
    <w:rsid w:val="1AB8C002"/>
    <w:rsid w:val="1AC9CFBB"/>
    <w:rsid w:val="1ACD817D"/>
    <w:rsid w:val="1B10CB68"/>
    <w:rsid w:val="1B3E1ED8"/>
    <w:rsid w:val="1B69D42F"/>
    <w:rsid w:val="1BC7D28B"/>
    <w:rsid w:val="1BCCCB8A"/>
    <w:rsid w:val="1C5294C4"/>
    <w:rsid w:val="1C64D5D3"/>
    <w:rsid w:val="1CBFB0B6"/>
    <w:rsid w:val="1CC6775C"/>
    <w:rsid w:val="1D296A13"/>
    <w:rsid w:val="1D3F105E"/>
    <w:rsid w:val="1D6D8BF2"/>
    <w:rsid w:val="1DBC2307"/>
    <w:rsid w:val="1DDE6DD3"/>
    <w:rsid w:val="1DF0AD4F"/>
    <w:rsid w:val="1E2E8D49"/>
    <w:rsid w:val="1E30ECF2"/>
    <w:rsid w:val="1E3920D5"/>
    <w:rsid w:val="1E8558B9"/>
    <w:rsid w:val="1EA7B9D0"/>
    <w:rsid w:val="1ED834F3"/>
    <w:rsid w:val="1F182B87"/>
    <w:rsid w:val="1F1BBBFB"/>
    <w:rsid w:val="1FCA5219"/>
    <w:rsid w:val="201A9567"/>
    <w:rsid w:val="202E62D4"/>
    <w:rsid w:val="2077C35A"/>
    <w:rsid w:val="207FDDC2"/>
    <w:rsid w:val="2083E286"/>
    <w:rsid w:val="20BBBC20"/>
    <w:rsid w:val="20C13692"/>
    <w:rsid w:val="21362260"/>
    <w:rsid w:val="2158DA48"/>
    <w:rsid w:val="217B55EA"/>
    <w:rsid w:val="21C06176"/>
    <w:rsid w:val="21E46D56"/>
    <w:rsid w:val="21F52AD1"/>
    <w:rsid w:val="222AC71C"/>
    <w:rsid w:val="22403A34"/>
    <w:rsid w:val="22F031B8"/>
    <w:rsid w:val="22FF8142"/>
    <w:rsid w:val="2314D631"/>
    <w:rsid w:val="2324100D"/>
    <w:rsid w:val="23AF7C36"/>
    <w:rsid w:val="23C5EE81"/>
    <w:rsid w:val="23ED6537"/>
    <w:rsid w:val="240C2AAF"/>
    <w:rsid w:val="241B5948"/>
    <w:rsid w:val="246FA27A"/>
    <w:rsid w:val="24AEF590"/>
    <w:rsid w:val="24C8BEE0"/>
    <w:rsid w:val="258E276D"/>
    <w:rsid w:val="259F4F55"/>
    <w:rsid w:val="25B74CB8"/>
    <w:rsid w:val="25B99415"/>
    <w:rsid w:val="25DF08AF"/>
    <w:rsid w:val="25F708C7"/>
    <w:rsid w:val="26205C87"/>
    <w:rsid w:val="262378FB"/>
    <w:rsid w:val="2667249D"/>
    <w:rsid w:val="26738B71"/>
    <w:rsid w:val="267AB8F4"/>
    <w:rsid w:val="2698A4FB"/>
    <w:rsid w:val="26992992"/>
    <w:rsid w:val="26BA2025"/>
    <w:rsid w:val="26CF5F8E"/>
    <w:rsid w:val="2712FDDE"/>
    <w:rsid w:val="27318BFB"/>
    <w:rsid w:val="2737BD46"/>
    <w:rsid w:val="27E86303"/>
    <w:rsid w:val="284028C7"/>
    <w:rsid w:val="285E4189"/>
    <w:rsid w:val="29374F39"/>
    <w:rsid w:val="2983A381"/>
    <w:rsid w:val="29DC0008"/>
    <w:rsid w:val="29EA6A2A"/>
    <w:rsid w:val="2A53FB9B"/>
    <w:rsid w:val="2A56956E"/>
    <w:rsid w:val="2A62D0D8"/>
    <w:rsid w:val="2A854D8B"/>
    <w:rsid w:val="2B010422"/>
    <w:rsid w:val="2B4D2F80"/>
    <w:rsid w:val="2BAF239E"/>
    <w:rsid w:val="2BC4BC83"/>
    <w:rsid w:val="2BCBAD1F"/>
    <w:rsid w:val="2C15DE08"/>
    <w:rsid w:val="2C3EA665"/>
    <w:rsid w:val="2CC88137"/>
    <w:rsid w:val="2CCB931C"/>
    <w:rsid w:val="2D069F90"/>
    <w:rsid w:val="2D4A05AF"/>
    <w:rsid w:val="2D7B3111"/>
    <w:rsid w:val="2D9AB0FD"/>
    <w:rsid w:val="2DF81B46"/>
    <w:rsid w:val="2E091741"/>
    <w:rsid w:val="2E49BB23"/>
    <w:rsid w:val="2E91446F"/>
    <w:rsid w:val="2EC5797C"/>
    <w:rsid w:val="2ED17901"/>
    <w:rsid w:val="2F297188"/>
    <w:rsid w:val="2FBF53F3"/>
    <w:rsid w:val="302CD07B"/>
    <w:rsid w:val="30BB6185"/>
    <w:rsid w:val="318DE24B"/>
    <w:rsid w:val="31EAA4AA"/>
    <w:rsid w:val="320C9F04"/>
    <w:rsid w:val="3229CF9F"/>
    <w:rsid w:val="3235665E"/>
    <w:rsid w:val="3266E8CF"/>
    <w:rsid w:val="32960571"/>
    <w:rsid w:val="32C94BE0"/>
    <w:rsid w:val="32CC3510"/>
    <w:rsid w:val="32EE6876"/>
    <w:rsid w:val="32F228A7"/>
    <w:rsid w:val="32F3412A"/>
    <w:rsid w:val="33425BAE"/>
    <w:rsid w:val="3354E0C8"/>
    <w:rsid w:val="335BC2D6"/>
    <w:rsid w:val="3364F134"/>
    <w:rsid w:val="338F7070"/>
    <w:rsid w:val="33D92440"/>
    <w:rsid w:val="33DDD01C"/>
    <w:rsid w:val="3411CC32"/>
    <w:rsid w:val="347D58E2"/>
    <w:rsid w:val="34B962F3"/>
    <w:rsid w:val="35227C3A"/>
    <w:rsid w:val="3630A710"/>
    <w:rsid w:val="366C422D"/>
    <w:rsid w:val="36AA2C6D"/>
    <w:rsid w:val="36B0E796"/>
    <w:rsid w:val="36C9832F"/>
    <w:rsid w:val="36DE7D55"/>
    <w:rsid w:val="37194E4E"/>
    <w:rsid w:val="3733B4D3"/>
    <w:rsid w:val="3790D16B"/>
    <w:rsid w:val="37CDECF9"/>
    <w:rsid w:val="37D1FFBC"/>
    <w:rsid w:val="3816ED86"/>
    <w:rsid w:val="3825B4FC"/>
    <w:rsid w:val="3857CF15"/>
    <w:rsid w:val="3877CF6D"/>
    <w:rsid w:val="387DF3E9"/>
    <w:rsid w:val="389276B4"/>
    <w:rsid w:val="3932AC28"/>
    <w:rsid w:val="395429EB"/>
    <w:rsid w:val="3963A243"/>
    <w:rsid w:val="397FE233"/>
    <w:rsid w:val="3A0EF125"/>
    <w:rsid w:val="3A2096B5"/>
    <w:rsid w:val="3A4BB8D6"/>
    <w:rsid w:val="3AA80A36"/>
    <w:rsid w:val="3AAA0DE4"/>
    <w:rsid w:val="3AB350C0"/>
    <w:rsid w:val="3B306554"/>
    <w:rsid w:val="3B6B6C38"/>
    <w:rsid w:val="3B7BB89B"/>
    <w:rsid w:val="3B85A2A5"/>
    <w:rsid w:val="3B897584"/>
    <w:rsid w:val="3B9EEE07"/>
    <w:rsid w:val="3BDDD532"/>
    <w:rsid w:val="3BF31EFB"/>
    <w:rsid w:val="3BF71092"/>
    <w:rsid w:val="3BF89900"/>
    <w:rsid w:val="3C81579E"/>
    <w:rsid w:val="3CA8815D"/>
    <w:rsid w:val="3D20291A"/>
    <w:rsid w:val="3D3C84C2"/>
    <w:rsid w:val="3D618E97"/>
    <w:rsid w:val="3D8F01DD"/>
    <w:rsid w:val="3DD3FADE"/>
    <w:rsid w:val="3DD41C54"/>
    <w:rsid w:val="3DD878D7"/>
    <w:rsid w:val="3DE83530"/>
    <w:rsid w:val="3E2EB361"/>
    <w:rsid w:val="3E5D18C4"/>
    <w:rsid w:val="3E60DDA7"/>
    <w:rsid w:val="3E914CF2"/>
    <w:rsid w:val="3F205AE2"/>
    <w:rsid w:val="3F6609D5"/>
    <w:rsid w:val="3F6CFB7F"/>
    <w:rsid w:val="400243D8"/>
    <w:rsid w:val="40ABDB0B"/>
    <w:rsid w:val="417EBD9E"/>
    <w:rsid w:val="41CA41FA"/>
    <w:rsid w:val="41CD00A0"/>
    <w:rsid w:val="421177B6"/>
    <w:rsid w:val="42546FF7"/>
    <w:rsid w:val="425A58D2"/>
    <w:rsid w:val="42E75D30"/>
    <w:rsid w:val="42EEC16D"/>
    <w:rsid w:val="4304EE3A"/>
    <w:rsid w:val="436ED558"/>
    <w:rsid w:val="43AFF1F6"/>
    <w:rsid w:val="43B44F32"/>
    <w:rsid w:val="43E907A7"/>
    <w:rsid w:val="44310228"/>
    <w:rsid w:val="45BB5696"/>
    <w:rsid w:val="45CF1E8C"/>
    <w:rsid w:val="460BB386"/>
    <w:rsid w:val="463E4716"/>
    <w:rsid w:val="46522EC1"/>
    <w:rsid w:val="46688790"/>
    <w:rsid w:val="46E8E048"/>
    <w:rsid w:val="472A753D"/>
    <w:rsid w:val="47506CB7"/>
    <w:rsid w:val="478AFF57"/>
    <w:rsid w:val="47D216E1"/>
    <w:rsid w:val="47D2CF9F"/>
    <w:rsid w:val="47E1AACC"/>
    <w:rsid w:val="484A6FFE"/>
    <w:rsid w:val="48C1E923"/>
    <w:rsid w:val="490BCEF0"/>
    <w:rsid w:val="4930D09E"/>
    <w:rsid w:val="49BF5583"/>
    <w:rsid w:val="49DE9DAE"/>
    <w:rsid w:val="49E533E9"/>
    <w:rsid w:val="4AD946B8"/>
    <w:rsid w:val="4AF9D7E0"/>
    <w:rsid w:val="4B63E172"/>
    <w:rsid w:val="4B7E8AC6"/>
    <w:rsid w:val="4B881A9F"/>
    <w:rsid w:val="4C59F309"/>
    <w:rsid w:val="4C814569"/>
    <w:rsid w:val="4C9E6B3B"/>
    <w:rsid w:val="4CB879AA"/>
    <w:rsid w:val="4CBEF40A"/>
    <w:rsid w:val="4D6A338C"/>
    <w:rsid w:val="4D83E0BA"/>
    <w:rsid w:val="4DD9F425"/>
    <w:rsid w:val="4E50B1BB"/>
    <w:rsid w:val="4E5512DE"/>
    <w:rsid w:val="4E81D354"/>
    <w:rsid w:val="4E948551"/>
    <w:rsid w:val="4ED6BD98"/>
    <w:rsid w:val="4EF188D8"/>
    <w:rsid w:val="4F028B9C"/>
    <w:rsid w:val="4F19E330"/>
    <w:rsid w:val="4F4465A3"/>
    <w:rsid w:val="4FA2251A"/>
    <w:rsid w:val="4FC9A175"/>
    <w:rsid w:val="501DA8A5"/>
    <w:rsid w:val="503E2A05"/>
    <w:rsid w:val="506DF43C"/>
    <w:rsid w:val="516B05DE"/>
    <w:rsid w:val="5172BC5A"/>
    <w:rsid w:val="51853F79"/>
    <w:rsid w:val="52253B9E"/>
    <w:rsid w:val="525450CB"/>
    <w:rsid w:val="52603BFF"/>
    <w:rsid w:val="52717078"/>
    <w:rsid w:val="52750A0D"/>
    <w:rsid w:val="52828CFC"/>
    <w:rsid w:val="52A43C64"/>
    <w:rsid w:val="52C6780D"/>
    <w:rsid w:val="52CD772C"/>
    <w:rsid w:val="52EA2752"/>
    <w:rsid w:val="52F5DFB3"/>
    <w:rsid w:val="5340789A"/>
    <w:rsid w:val="53CAD64A"/>
    <w:rsid w:val="53F2AFA4"/>
    <w:rsid w:val="54655BCD"/>
    <w:rsid w:val="547B3D52"/>
    <w:rsid w:val="5494B6D4"/>
    <w:rsid w:val="553B2BDE"/>
    <w:rsid w:val="555B5382"/>
    <w:rsid w:val="55815C4F"/>
    <w:rsid w:val="55A854D0"/>
    <w:rsid w:val="563BEC81"/>
    <w:rsid w:val="5683B1B0"/>
    <w:rsid w:val="570FBC52"/>
    <w:rsid w:val="57386994"/>
    <w:rsid w:val="57B8B6BB"/>
    <w:rsid w:val="57C9D6EA"/>
    <w:rsid w:val="5826076E"/>
    <w:rsid w:val="5839FCE9"/>
    <w:rsid w:val="585CD57F"/>
    <w:rsid w:val="590FDE64"/>
    <w:rsid w:val="59328D1C"/>
    <w:rsid w:val="5942270C"/>
    <w:rsid w:val="597C8723"/>
    <w:rsid w:val="59ACD56A"/>
    <w:rsid w:val="59D36002"/>
    <w:rsid w:val="5A0070A3"/>
    <w:rsid w:val="5A050294"/>
    <w:rsid w:val="5A136129"/>
    <w:rsid w:val="5A3E149C"/>
    <w:rsid w:val="5AB81C01"/>
    <w:rsid w:val="5B1442A5"/>
    <w:rsid w:val="5B28AE18"/>
    <w:rsid w:val="5B60E709"/>
    <w:rsid w:val="5B6D61C5"/>
    <w:rsid w:val="5B73D9DD"/>
    <w:rsid w:val="5B9665E9"/>
    <w:rsid w:val="5B9FBBA9"/>
    <w:rsid w:val="5BB0F02C"/>
    <w:rsid w:val="5BB8F817"/>
    <w:rsid w:val="5BC5E59D"/>
    <w:rsid w:val="5BD9B86E"/>
    <w:rsid w:val="5BE7F2B3"/>
    <w:rsid w:val="5C20DC02"/>
    <w:rsid w:val="5CA1B5A5"/>
    <w:rsid w:val="5D08C379"/>
    <w:rsid w:val="5D10D530"/>
    <w:rsid w:val="5D1B6ED5"/>
    <w:rsid w:val="5D91D72A"/>
    <w:rsid w:val="5DB02235"/>
    <w:rsid w:val="5DB143D1"/>
    <w:rsid w:val="5DB31DF5"/>
    <w:rsid w:val="5E533724"/>
    <w:rsid w:val="5E5E463B"/>
    <w:rsid w:val="5E7B51F6"/>
    <w:rsid w:val="5E8610A7"/>
    <w:rsid w:val="5EB06C9B"/>
    <w:rsid w:val="5EC1D93A"/>
    <w:rsid w:val="5EF57AE7"/>
    <w:rsid w:val="5F661BC3"/>
    <w:rsid w:val="5F798CF9"/>
    <w:rsid w:val="5FF614A3"/>
    <w:rsid w:val="600A8868"/>
    <w:rsid w:val="6085C1C7"/>
    <w:rsid w:val="60C06B52"/>
    <w:rsid w:val="60D3592C"/>
    <w:rsid w:val="6189F34C"/>
    <w:rsid w:val="61D5F2D9"/>
    <w:rsid w:val="623A6C49"/>
    <w:rsid w:val="62BD7DEF"/>
    <w:rsid w:val="62C1948C"/>
    <w:rsid w:val="62E99846"/>
    <w:rsid w:val="6359777C"/>
    <w:rsid w:val="63BA8ED8"/>
    <w:rsid w:val="6474AF9F"/>
    <w:rsid w:val="64F18937"/>
    <w:rsid w:val="6584948B"/>
    <w:rsid w:val="660C7C80"/>
    <w:rsid w:val="6615E690"/>
    <w:rsid w:val="665B2C35"/>
    <w:rsid w:val="6666A757"/>
    <w:rsid w:val="66682609"/>
    <w:rsid w:val="66859992"/>
    <w:rsid w:val="66A6929F"/>
    <w:rsid w:val="66FDBD1F"/>
    <w:rsid w:val="670EAD48"/>
    <w:rsid w:val="67386927"/>
    <w:rsid w:val="677B7E01"/>
    <w:rsid w:val="67D6E220"/>
    <w:rsid w:val="67E0A333"/>
    <w:rsid w:val="67E43E5F"/>
    <w:rsid w:val="682534EC"/>
    <w:rsid w:val="684989DC"/>
    <w:rsid w:val="685F2180"/>
    <w:rsid w:val="68A0268C"/>
    <w:rsid w:val="68E1FCD3"/>
    <w:rsid w:val="6907C074"/>
    <w:rsid w:val="6929C3B9"/>
    <w:rsid w:val="69AC4D15"/>
    <w:rsid w:val="69F835BC"/>
    <w:rsid w:val="6A1AFB90"/>
    <w:rsid w:val="6A342D08"/>
    <w:rsid w:val="6A86A119"/>
    <w:rsid w:val="6AAC5373"/>
    <w:rsid w:val="6B0C57D3"/>
    <w:rsid w:val="6B18CC2D"/>
    <w:rsid w:val="6BB28791"/>
    <w:rsid w:val="6BDDEE38"/>
    <w:rsid w:val="6BEE0238"/>
    <w:rsid w:val="6C55D684"/>
    <w:rsid w:val="6CE2653B"/>
    <w:rsid w:val="6D2F2325"/>
    <w:rsid w:val="6D3A392F"/>
    <w:rsid w:val="6D4E8CF2"/>
    <w:rsid w:val="6D7B7DD1"/>
    <w:rsid w:val="6D8937B4"/>
    <w:rsid w:val="6DC99058"/>
    <w:rsid w:val="6DE348B0"/>
    <w:rsid w:val="6DE44BFA"/>
    <w:rsid w:val="6DEDE15D"/>
    <w:rsid w:val="6DF2C71A"/>
    <w:rsid w:val="6E0E7039"/>
    <w:rsid w:val="6E4D5490"/>
    <w:rsid w:val="6E528D32"/>
    <w:rsid w:val="6E67EF5F"/>
    <w:rsid w:val="6E940E34"/>
    <w:rsid w:val="6EC1F584"/>
    <w:rsid w:val="6F047139"/>
    <w:rsid w:val="6F1BCDB5"/>
    <w:rsid w:val="6F6C93A7"/>
    <w:rsid w:val="6FAEEB2C"/>
    <w:rsid w:val="6FDA552B"/>
    <w:rsid w:val="6FDA6F5C"/>
    <w:rsid w:val="6FE92C45"/>
    <w:rsid w:val="6FEDDD3C"/>
    <w:rsid w:val="70217F87"/>
    <w:rsid w:val="7024B4F4"/>
    <w:rsid w:val="70B400C0"/>
    <w:rsid w:val="70D29483"/>
    <w:rsid w:val="70E52E1C"/>
    <w:rsid w:val="710DEDB5"/>
    <w:rsid w:val="71304029"/>
    <w:rsid w:val="71363BBD"/>
    <w:rsid w:val="71A53AAE"/>
    <w:rsid w:val="71BF2D2D"/>
    <w:rsid w:val="71DD00AE"/>
    <w:rsid w:val="71E3B81F"/>
    <w:rsid w:val="7233DF02"/>
    <w:rsid w:val="725A65CD"/>
    <w:rsid w:val="7288B058"/>
    <w:rsid w:val="731C19DF"/>
    <w:rsid w:val="73AA964A"/>
    <w:rsid w:val="73AEEAF8"/>
    <w:rsid w:val="73B1D547"/>
    <w:rsid w:val="73B91DDE"/>
    <w:rsid w:val="73E6BF3F"/>
    <w:rsid w:val="73E6EFC8"/>
    <w:rsid w:val="74019027"/>
    <w:rsid w:val="74026A1F"/>
    <w:rsid w:val="7416D437"/>
    <w:rsid w:val="74607503"/>
    <w:rsid w:val="74762D05"/>
    <w:rsid w:val="747737AD"/>
    <w:rsid w:val="74942D18"/>
    <w:rsid w:val="74D488A2"/>
    <w:rsid w:val="74EE1C71"/>
    <w:rsid w:val="751225BC"/>
    <w:rsid w:val="756EDF1E"/>
    <w:rsid w:val="75C8ACA7"/>
    <w:rsid w:val="75CCA480"/>
    <w:rsid w:val="76546078"/>
    <w:rsid w:val="76763047"/>
    <w:rsid w:val="768D91D5"/>
    <w:rsid w:val="76A2692D"/>
    <w:rsid w:val="76D20864"/>
    <w:rsid w:val="76FDFC9C"/>
    <w:rsid w:val="7700F0D8"/>
    <w:rsid w:val="775DF9DE"/>
    <w:rsid w:val="7778DFF3"/>
    <w:rsid w:val="7847D8F8"/>
    <w:rsid w:val="78896E9F"/>
    <w:rsid w:val="78DA0A47"/>
    <w:rsid w:val="79181B8C"/>
    <w:rsid w:val="79E1CAA9"/>
    <w:rsid w:val="7A5A5A19"/>
    <w:rsid w:val="7A75DAA8"/>
    <w:rsid w:val="7AAE46AC"/>
    <w:rsid w:val="7ABC4E8C"/>
    <w:rsid w:val="7AE7A8B1"/>
    <w:rsid w:val="7B24CF0F"/>
    <w:rsid w:val="7B4EDB38"/>
    <w:rsid w:val="7B815F10"/>
    <w:rsid w:val="7B9AD572"/>
    <w:rsid w:val="7BC5C28E"/>
    <w:rsid w:val="7BD7101D"/>
    <w:rsid w:val="7C1E647B"/>
    <w:rsid w:val="7C213D9D"/>
    <w:rsid w:val="7C716208"/>
    <w:rsid w:val="7CDB03F1"/>
    <w:rsid w:val="7D40B281"/>
    <w:rsid w:val="7D806C8A"/>
    <w:rsid w:val="7D821E50"/>
    <w:rsid w:val="7D9D47DD"/>
    <w:rsid w:val="7DECF4AF"/>
    <w:rsid w:val="7E120F71"/>
    <w:rsid w:val="7E370CDF"/>
    <w:rsid w:val="7EC3607A"/>
    <w:rsid w:val="7EC9A7FF"/>
    <w:rsid w:val="7EE0B846"/>
    <w:rsid w:val="7F3A414D"/>
    <w:rsid w:val="7F3BA9A9"/>
    <w:rsid w:val="7F4966FC"/>
    <w:rsid w:val="7F55DDD5"/>
    <w:rsid w:val="7F5C19E0"/>
    <w:rsid w:val="7F72206E"/>
    <w:rsid w:val="7FB0E7DB"/>
    <w:rsid w:val="7FF0804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65222A48-D2AF-468A-AC12-027E2744F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90F84"/>
    <w:rPr>
      <w:sz w:val="16"/>
      <w:szCs w:val="16"/>
    </w:rPr>
  </w:style>
  <w:style w:type="paragraph" w:styleId="CommentText">
    <w:name w:val="annotation text"/>
    <w:basedOn w:val="Normal"/>
    <w:link w:val="CommentTextChar"/>
    <w:uiPriority w:val="99"/>
    <w:unhideWhenUsed/>
    <w:rsid w:val="00390F84"/>
    <w:rPr>
      <w:sz w:val="20"/>
      <w:szCs w:val="20"/>
    </w:rPr>
  </w:style>
  <w:style w:type="character" w:customStyle="1" w:styleId="CommentTextChar">
    <w:name w:val="Comment Text Char"/>
    <w:basedOn w:val="DefaultParagraphFont"/>
    <w:link w:val="CommentText"/>
    <w:uiPriority w:val="99"/>
    <w:rsid w:val="00390F84"/>
    <w:rPr>
      <w:rFonts w:ascii="Times New Roman" w:hAnsi="Times New Roman" w:cs="Times New Roman"/>
      <w:sz w:val="20"/>
      <w:szCs w:val="20"/>
      <w:lang w:val="ro-RO"/>
    </w:rPr>
  </w:style>
  <w:style w:type="paragraph" w:styleId="BalloonText">
    <w:name w:val="Balloon Text"/>
    <w:basedOn w:val="Normal"/>
    <w:link w:val="BalloonTextChar"/>
    <w:uiPriority w:val="99"/>
    <w:semiHidden/>
    <w:unhideWhenUsed/>
    <w:rsid w:val="00390F84"/>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0F84"/>
    <w:rPr>
      <w:rFonts w:ascii="Segoe UI" w:hAnsi="Segoe UI" w:cs="Segoe UI"/>
      <w:sz w:val="18"/>
      <w:szCs w:val="18"/>
      <w:lang w:val="ro-RO"/>
    </w:rPr>
  </w:style>
  <w:style w:type="paragraph" w:styleId="CommentSubject">
    <w:name w:val="annotation subject"/>
    <w:basedOn w:val="CommentText"/>
    <w:next w:val="CommentText"/>
    <w:link w:val="CommentSubjectChar"/>
    <w:uiPriority w:val="99"/>
    <w:semiHidden/>
    <w:unhideWhenUsed/>
    <w:rsid w:val="00C86BE9"/>
    <w:rPr>
      <w:b/>
      <w:bCs/>
    </w:rPr>
  </w:style>
  <w:style w:type="character" w:customStyle="1" w:styleId="CommentSubjectChar">
    <w:name w:val="Comment Subject Char"/>
    <w:basedOn w:val="CommentTextChar"/>
    <w:link w:val="CommentSubject"/>
    <w:uiPriority w:val="99"/>
    <w:semiHidden/>
    <w:rsid w:val="00C86BE9"/>
    <w:rPr>
      <w:rFonts w:ascii="Times New Roman" w:hAnsi="Times New Roman" w:cs="Times New Roman"/>
      <w:b/>
      <w:bCs/>
      <w:sz w:val="20"/>
      <w:szCs w:val="20"/>
      <w:lang w:val="ro-RO"/>
    </w:rPr>
  </w:style>
  <w:style w:type="paragraph" w:styleId="ListBullet">
    <w:name w:val="List Bullet"/>
    <w:basedOn w:val="Normal"/>
    <w:uiPriority w:val="99"/>
    <w:semiHidden/>
    <w:unhideWhenUsed/>
    <w:rsid w:val="00C934CF"/>
    <w:pPr>
      <w:numPr>
        <w:numId w:val="1"/>
      </w:numPr>
      <w:contextualSpacing/>
    </w:pPr>
  </w:style>
  <w:style w:type="paragraph" w:styleId="ListBullet2">
    <w:name w:val="List Bullet 2"/>
    <w:basedOn w:val="Normal"/>
    <w:uiPriority w:val="99"/>
    <w:semiHidden/>
    <w:unhideWhenUsed/>
    <w:rsid w:val="00C934CF"/>
    <w:pPr>
      <w:numPr>
        <w:numId w:val="2"/>
      </w:numPr>
      <w:contextualSpacing/>
    </w:pPr>
  </w:style>
  <w:style w:type="paragraph" w:styleId="ListBullet3">
    <w:name w:val="List Bullet 3"/>
    <w:basedOn w:val="Normal"/>
    <w:uiPriority w:val="99"/>
    <w:semiHidden/>
    <w:unhideWhenUsed/>
    <w:rsid w:val="00C934CF"/>
    <w:pPr>
      <w:numPr>
        <w:numId w:val="3"/>
      </w:numPr>
      <w:contextualSpacing/>
    </w:pPr>
  </w:style>
  <w:style w:type="paragraph" w:styleId="ListBullet4">
    <w:name w:val="List Bullet 4"/>
    <w:basedOn w:val="Normal"/>
    <w:uiPriority w:val="99"/>
    <w:semiHidden/>
    <w:unhideWhenUsed/>
    <w:rsid w:val="00C934CF"/>
    <w:pPr>
      <w:numPr>
        <w:numId w:val="4"/>
      </w:numPr>
      <w:contextualSpacing/>
    </w:pPr>
  </w:style>
  <w:style w:type="paragraph" w:styleId="Caption">
    <w:name w:val="caption"/>
    <w:basedOn w:val="Normal"/>
    <w:next w:val="Normal"/>
    <w:uiPriority w:val="35"/>
    <w:semiHidden/>
    <w:unhideWhenUsed/>
    <w:qFormat/>
    <w:rsid w:val="000E1A84"/>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0E1A84"/>
    <w:pPr>
      <w:spacing w:after="0"/>
    </w:pPr>
  </w:style>
  <w:style w:type="paragraph" w:styleId="ListNumber">
    <w:name w:val="List Number"/>
    <w:basedOn w:val="Normal"/>
    <w:uiPriority w:val="99"/>
    <w:semiHidden/>
    <w:unhideWhenUsed/>
    <w:rsid w:val="000E1A84"/>
    <w:pPr>
      <w:numPr>
        <w:numId w:val="5"/>
      </w:numPr>
      <w:contextualSpacing/>
    </w:pPr>
  </w:style>
  <w:style w:type="paragraph" w:styleId="ListNumber2">
    <w:name w:val="List Number 2"/>
    <w:basedOn w:val="Normal"/>
    <w:uiPriority w:val="99"/>
    <w:semiHidden/>
    <w:unhideWhenUsed/>
    <w:rsid w:val="000E1A84"/>
    <w:pPr>
      <w:numPr>
        <w:numId w:val="6"/>
      </w:numPr>
      <w:contextualSpacing/>
    </w:pPr>
  </w:style>
  <w:style w:type="paragraph" w:styleId="ListNumber3">
    <w:name w:val="List Number 3"/>
    <w:basedOn w:val="Normal"/>
    <w:uiPriority w:val="99"/>
    <w:semiHidden/>
    <w:unhideWhenUsed/>
    <w:rsid w:val="000E1A84"/>
    <w:pPr>
      <w:numPr>
        <w:numId w:val="7"/>
      </w:numPr>
      <w:contextualSpacing/>
    </w:pPr>
  </w:style>
  <w:style w:type="paragraph" w:styleId="ListNumber4">
    <w:name w:val="List Number 4"/>
    <w:basedOn w:val="Normal"/>
    <w:uiPriority w:val="99"/>
    <w:semiHidden/>
    <w:unhideWhenUsed/>
    <w:rsid w:val="000E1A84"/>
    <w:pPr>
      <w:numPr>
        <w:numId w:val="8"/>
      </w:numPr>
      <w:contextualSpacing/>
    </w:pPr>
  </w:style>
  <w:style w:type="character" w:styleId="Hyperlink">
    <w:name w:val="Hyperlink"/>
    <w:basedOn w:val="DefaultParagraphFont"/>
    <w:uiPriority w:val="99"/>
    <w:unhideWhenUsed/>
    <w:rsid w:val="00FC74F6"/>
    <w:rPr>
      <w:color w:val="0000FF" w:themeColor="hyperlink"/>
      <w:u w:val="single"/>
    </w:rPr>
  </w:style>
  <w:style w:type="paragraph" w:styleId="Revision">
    <w:name w:val="Revision"/>
    <w:hidden/>
    <w:uiPriority w:val="99"/>
    <w:semiHidden/>
    <w:rsid w:val="00A900D4"/>
    <w:pPr>
      <w:spacing w:after="0" w:line="240" w:lineRule="auto"/>
    </w:pPr>
    <w:rPr>
      <w:rFonts w:ascii="Times New Roman" w:hAnsi="Times New Roman" w:cs="Times New Roman"/>
      <w:sz w:val="24"/>
    </w:rPr>
  </w:style>
  <w:style w:type="character" w:styleId="FollowedHyperlink">
    <w:name w:val="FollowedHyperlink"/>
    <w:basedOn w:val="DefaultParagraphFont"/>
    <w:uiPriority w:val="99"/>
    <w:semiHidden/>
    <w:unhideWhenUsed/>
    <w:rsid w:val="006116D2"/>
    <w:rPr>
      <w:color w:val="800080" w:themeColor="followedHyperlink"/>
      <w:u w:val="single"/>
    </w:rPr>
  </w:style>
  <w:style w:type="paragraph" w:styleId="ListParagraph">
    <w:name w:val="List Paragraph"/>
    <w:aliases w:val="F5 List Paragraph,Dot pt,List Paragraph1,No Spacing1,List Paragraph Char Char Char,Indicator Text,Numbered Para 1,Colorful List - Accent 11,Bullet Points,List Paragraph2,MAIN CONTENT,Normal numbered,List Paragraph12,Recommendatio"/>
    <w:basedOn w:val="Normal"/>
    <w:link w:val="ListParagraphChar"/>
    <w:uiPriority w:val="34"/>
    <w:qFormat/>
    <w:rsid w:val="00A90B80"/>
    <w:pPr>
      <w:ind w:left="720"/>
      <w:contextualSpacing/>
    </w:pPr>
  </w:style>
  <w:style w:type="character" w:customStyle="1" w:styleId="Mention1">
    <w:name w:val="Mention1"/>
    <w:basedOn w:val="DefaultParagraphFont"/>
    <w:uiPriority w:val="99"/>
    <w:unhideWhenUsed/>
    <w:rPr>
      <w:color w:val="2B579A"/>
      <w:shd w:val="clear" w:color="auto" w:fill="E6E6E6"/>
    </w:rPr>
  </w:style>
  <w:style w:type="character" w:customStyle="1" w:styleId="ListParagraphChar">
    <w:name w:val="List Paragraph Char"/>
    <w:aliases w:val="F5 List Paragraph Char,Dot pt Char,List Paragraph1 Char,No Spacing1 Char,List Paragraph Char Char Char Char,Indicator Text Char,Numbered Para 1 Char,Colorful List - Accent 11 Char,Bullet Points Char,List Paragraph2 Char"/>
    <w:basedOn w:val="DefaultParagraphFont"/>
    <w:link w:val="ListParagraph"/>
    <w:uiPriority w:val="34"/>
    <w:qFormat/>
    <w:locked/>
    <w:rsid w:val="00A91044"/>
    <w:rPr>
      <w:rFonts w:ascii="Times New Roman" w:hAnsi="Times New Roman" w:cs="Times New Roman"/>
      <w:sz w:val="24"/>
      <w:lang w:val="ro-RO"/>
    </w:rPr>
  </w:style>
  <w:style w:type="paragraph" w:customStyle="1" w:styleId="oj-normal">
    <w:name w:val="oj-normal"/>
    <w:basedOn w:val="Normal"/>
    <w:rsid w:val="00A74432"/>
    <w:pPr>
      <w:spacing w:before="100" w:beforeAutospacing="1" w:after="100" w:afterAutospacing="1"/>
      <w:jc w:val="left"/>
    </w:pPr>
    <w:rPr>
      <w:rFonts w:eastAsia="Times New Roman"/>
      <w:szCs w:val="24"/>
      <w:lang w:eastAsia="en-IE"/>
    </w:rPr>
  </w:style>
  <w:style w:type="character" w:customStyle="1" w:styleId="UnresolvedMention1">
    <w:name w:val="Unresolved Mention1"/>
    <w:basedOn w:val="DefaultParagraphFont"/>
    <w:uiPriority w:val="99"/>
    <w:semiHidden/>
    <w:unhideWhenUsed/>
    <w:rsid w:val="00E607E6"/>
    <w:rPr>
      <w:color w:val="605E5C"/>
      <w:shd w:val="clear" w:color="auto" w:fill="E1DFDD"/>
    </w:rPr>
  </w:style>
  <w:style w:type="character" w:customStyle="1" w:styleId="UnresolvedMention">
    <w:name w:val="Unresolved Mention"/>
    <w:basedOn w:val="DefaultParagraphFont"/>
    <w:uiPriority w:val="99"/>
    <w:semiHidden/>
    <w:unhideWhenUsed/>
    <w:rsid w:val="007C6565"/>
    <w:rPr>
      <w:color w:val="605E5C"/>
      <w:shd w:val="clear" w:color="auto" w:fill="E1DFDD"/>
    </w:rPr>
  </w:style>
  <w:style w:type="character" w:customStyle="1" w:styleId="Mention">
    <w:name w:val="Mention"/>
    <w:basedOn w:val="DefaultParagraphFont"/>
    <w:uiPriority w:val="99"/>
    <w:unhideWhenUsed/>
    <w:rsid w:val="002F7807"/>
    <w:rPr>
      <w:color w:val="2B579A"/>
      <w:shd w:val="clear" w:color="auto" w:fill="E1DFDD"/>
    </w:rPr>
  </w:style>
  <w:style w:type="character" w:styleId="Emphasis">
    <w:name w:val="Emphasis"/>
    <w:basedOn w:val="DefaultParagraphFont"/>
    <w:uiPriority w:val="20"/>
    <w:qFormat/>
    <w:rsid w:val="008F51B1"/>
    <w:rPr>
      <w:i/>
      <w:iCs/>
    </w:rPr>
  </w:style>
  <w:style w:type="paragraph" w:customStyle="1" w:styleId="ManualNumPar110">
    <w:name w:val="Manual NumPar 110"/>
    <w:basedOn w:val="Normal"/>
    <w:next w:val="Text1"/>
    <w:rsid w:val="00F7349B"/>
    <w:pPr>
      <w:ind w:left="850" w:hanging="850"/>
    </w:pPr>
  </w:style>
  <w:style w:type="paragraph" w:customStyle="1" w:styleId="pf0">
    <w:name w:val="pf0"/>
    <w:basedOn w:val="Normal"/>
    <w:rsid w:val="007F6CF8"/>
    <w:pPr>
      <w:spacing w:before="100" w:beforeAutospacing="1" w:after="100" w:afterAutospacing="1"/>
      <w:jc w:val="left"/>
    </w:pPr>
    <w:rPr>
      <w:rFonts w:eastAsia="Times New Roman"/>
      <w:szCs w:val="24"/>
      <w:lang w:eastAsia="en-IE"/>
    </w:rPr>
  </w:style>
  <w:style w:type="character" w:customStyle="1" w:styleId="cf01">
    <w:name w:val="cf01"/>
    <w:basedOn w:val="DefaultParagraphFont"/>
    <w:rsid w:val="007F6CF8"/>
    <w:rPr>
      <w:rFonts w:ascii="Segoe UI" w:hAnsi="Segoe UI" w:cs="Segoe UI" w:hint="default"/>
      <w:i/>
      <w:iCs/>
      <w:sz w:val="18"/>
      <w:szCs w:val="18"/>
    </w:rPr>
  </w:style>
  <w:style w:type="character" w:customStyle="1" w:styleId="cf11">
    <w:name w:val="cf11"/>
    <w:basedOn w:val="DefaultParagraphFont"/>
    <w:rsid w:val="007F6CF8"/>
    <w:rPr>
      <w:rFonts w:ascii="Segoe UI" w:hAnsi="Segoe UI" w:cs="Segoe UI" w:hint="default"/>
      <w:i/>
      <w:iCs/>
      <w:sz w:val="18"/>
      <w:szCs w:val="18"/>
      <w:u w:val="single"/>
    </w:rPr>
  </w:style>
  <w:style w:type="character" w:customStyle="1" w:styleId="HeaderChar">
    <w:name w:val="Header Char"/>
    <w:basedOn w:val="DefaultParagraphFont"/>
    <w:link w:val="Header"/>
    <w:uiPriority w:val="99"/>
    <w:rsid w:val="004807D7"/>
    <w:rPr>
      <w:rFonts w:ascii="Times New Roman" w:hAnsi="Times New Roman" w:cs="Times New Roman"/>
      <w:sz w:val="24"/>
      <w:lang w:val="ro-RO"/>
    </w:rPr>
  </w:style>
  <w:style w:type="character" w:customStyle="1" w:styleId="FooterChar">
    <w:name w:val="Footer Char"/>
    <w:basedOn w:val="DefaultParagraphFont"/>
    <w:link w:val="Footer"/>
    <w:uiPriority w:val="99"/>
    <w:rsid w:val="004807D7"/>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807D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807D7"/>
    <w:pPr>
      <w:spacing w:before="0"/>
      <w:jc w:val="right"/>
    </w:pPr>
    <w:rPr>
      <w:sz w:val="28"/>
    </w:rPr>
  </w:style>
  <w:style w:type="paragraph" w:customStyle="1" w:styleId="FooterSensitivity">
    <w:name w:val="Footer Sensitivity"/>
    <w:basedOn w:val="Normal"/>
    <w:rsid w:val="004807D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807D7"/>
    <w:pPr>
      <w:tabs>
        <w:tab w:val="center" w:pos="4535"/>
        <w:tab w:val="right" w:pos="9071"/>
      </w:tabs>
      <w:spacing w:before="0"/>
    </w:pPr>
  </w:style>
  <w:style w:type="paragraph" w:customStyle="1" w:styleId="HeaderLandscape">
    <w:name w:val="HeaderLandscape"/>
    <w:basedOn w:val="Normal"/>
    <w:rsid w:val="004807D7"/>
    <w:pPr>
      <w:tabs>
        <w:tab w:val="center" w:pos="7285"/>
        <w:tab w:val="right" w:pos="14003"/>
      </w:tabs>
      <w:spacing w:before="0"/>
    </w:pPr>
  </w:style>
  <w:style w:type="paragraph" w:styleId="Footer">
    <w:name w:val="footer"/>
    <w:basedOn w:val="Normal"/>
    <w:link w:val="FooterChar"/>
    <w:uiPriority w:val="99"/>
    <w:unhideWhenUsed/>
    <w:rsid w:val="004807D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807D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5095">
      <w:bodyDiv w:val="1"/>
      <w:marLeft w:val="0"/>
      <w:marRight w:val="0"/>
      <w:marTop w:val="0"/>
      <w:marBottom w:val="0"/>
      <w:divBdr>
        <w:top w:val="none" w:sz="0" w:space="0" w:color="auto"/>
        <w:left w:val="none" w:sz="0" w:space="0" w:color="auto"/>
        <w:bottom w:val="none" w:sz="0" w:space="0" w:color="auto"/>
        <w:right w:val="none" w:sz="0" w:space="0" w:color="auto"/>
      </w:divBdr>
    </w:div>
    <w:div w:id="537934857">
      <w:bodyDiv w:val="1"/>
      <w:marLeft w:val="0"/>
      <w:marRight w:val="0"/>
      <w:marTop w:val="0"/>
      <w:marBottom w:val="0"/>
      <w:divBdr>
        <w:top w:val="none" w:sz="0" w:space="0" w:color="auto"/>
        <w:left w:val="none" w:sz="0" w:space="0" w:color="auto"/>
        <w:bottom w:val="none" w:sz="0" w:space="0" w:color="auto"/>
        <w:right w:val="none" w:sz="0" w:space="0" w:color="auto"/>
      </w:divBdr>
    </w:div>
    <w:div w:id="562639303">
      <w:bodyDiv w:val="1"/>
      <w:marLeft w:val="0"/>
      <w:marRight w:val="0"/>
      <w:marTop w:val="0"/>
      <w:marBottom w:val="0"/>
      <w:divBdr>
        <w:top w:val="none" w:sz="0" w:space="0" w:color="auto"/>
        <w:left w:val="none" w:sz="0" w:space="0" w:color="auto"/>
        <w:bottom w:val="none" w:sz="0" w:space="0" w:color="auto"/>
        <w:right w:val="none" w:sz="0" w:space="0" w:color="auto"/>
      </w:divBdr>
    </w:div>
    <w:div w:id="576285290">
      <w:bodyDiv w:val="1"/>
      <w:marLeft w:val="0"/>
      <w:marRight w:val="0"/>
      <w:marTop w:val="0"/>
      <w:marBottom w:val="0"/>
      <w:divBdr>
        <w:top w:val="none" w:sz="0" w:space="0" w:color="auto"/>
        <w:left w:val="none" w:sz="0" w:space="0" w:color="auto"/>
        <w:bottom w:val="none" w:sz="0" w:space="0" w:color="auto"/>
        <w:right w:val="none" w:sz="0" w:space="0" w:color="auto"/>
      </w:divBdr>
    </w:div>
    <w:div w:id="817261186">
      <w:bodyDiv w:val="1"/>
      <w:marLeft w:val="0"/>
      <w:marRight w:val="0"/>
      <w:marTop w:val="0"/>
      <w:marBottom w:val="0"/>
      <w:divBdr>
        <w:top w:val="none" w:sz="0" w:space="0" w:color="auto"/>
        <w:left w:val="none" w:sz="0" w:space="0" w:color="auto"/>
        <w:bottom w:val="none" w:sz="0" w:space="0" w:color="auto"/>
        <w:right w:val="none" w:sz="0" w:space="0" w:color="auto"/>
      </w:divBdr>
    </w:div>
    <w:div w:id="855271819">
      <w:bodyDiv w:val="1"/>
      <w:marLeft w:val="0"/>
      <w:marRight w:val="0"/>
      <w:marTop w:val="0"/>
      <w:marBottom w:val="0"/>
      <w:divBdr>
        <w:top w:val="none" w:sz="0" w:space="0" w:color="auto"/>
        <w:left w:val="none" w:sz="0" w:space="0" w:color="auto"/>
        <w:bottom w:val="none" w:sz="0" w:space="0" w:color="auto"/>
        <w:right w:val="none" w:sz="0" w:space="0" w:color="auto"/>
      </w:divBdr>
      <w:divsChild>
        <w:div w:id="2040936191">
          <w:marLeft w:val="0"/>
          <w:marRight w:val="0"/>
          <w:marTop w:val="0"/>
          <w:marBottom w:val="0"/>
          <w:divBdr>
            <w:top w:val="none" w:sz="0" w:space="0" w:color="auto"/>
            <w:left w:val="none" w:sz="0" w:space="0" w:color="auto"/>
            <w:bottom w:val="none" w:sz="0" w:space="0" w:color="auto"/>
            <w:right w:val="none" w:sz="0" w:space="0" w:color="auto"/>
          </w:divBdr>
          <w:divsChild>
            <w:div w:id="408423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276407">
      <w:bodyDiv w:val="1"/>
      <w:marLeft w:val="0"/>
      <w:marRight w:val="0"/>
      <w:marTop w:val="0"/>
      <w:marBottom w:val="0"/>
      <w:divBdr>
        <w:top w:val="none" w:sz="0" w:space="0" w:color="auto"/>
        <w:left w:val="none" w:sz="0" w:space="0" w:color="auto"/>
        <w:bottom w:val="none" w:sz="0" w:space="0" w:color="auto"/>
        <w:right w:val="none" w:sz="0" w:space="0" w:color="auto"/>
      </w:divBdr>
    </w:div>
    <w:div w:id="1359813613">
      <w:bodyDiv w:val="1"/>
      <w:marLeft w:val="0"/>
      <w:marRight w:val="0"/>
      <w:marTop w:val="0"/>
      <w:marBottom w:val="0"/>
      <w:divBdr>
        <w:top w:val="none" w:sz="0" w:space="0" w:color="auto"/>
        <w:left w:val="none" w:sz="0" w:space="0" w:color="auto"/>
        <w:bottom w:val="none" w:sz="0" w:space="0" w:color="auto"/>
        <w:right w:val="none" w:sz="0" w:space="0" w:color="auto"/>
      </w:divBdr>
      <w:divsChild>
        <w:div w:id="2057006467">
          <w:marLeft w:val="0"/>
          <w:marRight w:val="0"/>
          <w:marTop w:val="0"/>
          <w:marBottom w:val="0"/>
          <w:divBdr>
            <w:top w:val="none" w:sz="0" w:space="0" w:color="auto"/>
            <w:left w:val="none" w:sz="0" w:space="0" w:color="auto"/>
            <w:bottom w:val="none" w:sz="0" w:space="0" w:color="auto"/>
            <w:right w:val="none" w:sz="0" w:space="0" w:color="auto"/>
          </w:divBdr>
          <w:divsChild>
            <w:div w:id="22079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906643">
      <w:bodyDiv w:val="1"/>
      <w:marLeft w:val="0"/>
      <w:marRight w:val="0"/>
      <w:marTop w:val="0"/>
      <w:marBottom w:val="0"/>
      <w:divBdr>
        <w:top w:val="none" w:sz="0" w:space="0" w:color="auto"/>
        <w:left w:val="none" w:sz="0" w:space="0" w:color="auto"/>
        <w:bottom w:val="none" w:sz="0" w:space="0" w:color="auto"/>
        <w:right w:val="none" w:sz="0" w:space="0" w:color="auto"/>
      </w:divBdr>
    </w:div>
    <w:div w:id="1562986687">
      <w:bodyDiv w:val="1"/>
      <w:marLeft w:val="0"/>
      <w:marRight w:val="0"/>
      <w:marTop w:val="0"/>
      <w:marBottom w:val="0"/>
      <w:divBdr>
        <w:top w:val="none" w:sz="0" w:space="0" w:color="auto"/>
        <w:left w:val="none" w:sz="0" w:space="0" w:color="auto"/>
        <w:bottom w:val="none" w:sz="0" w:space="0" w:color="auto"/>
        <w:right w:val="none" w:sz="0" w:space="0" w:color="auto"/>
      </w:divBdr>
    </w:div>
    <w:div w:id="1762096412">
      <w:bodyDiv w:val="1"/>
      <w:marLeft w:val="0"/>
      <w:marRight w:val="0"/>
      <w:marTop w:val="0"/>
      <w:marBottom w:val="0"/>
      <w:divBdr>
        <w:top w:val="none" w:sz="0" w:space="0" w:color="auto"/>
        <w:left w:val="none" w:sz="0" w:space="0" w:color="auto"/>
        <w:bottom w:val="none" w:sz="0" w:space="0" w:color="auto"/>
        <w:right w:val="none" w:sz="0" w:space="0" w:color="auto"/>
      </w:divBdr>
    </w:div>
    <w:div w:id="1977561293">
      <w:bodyDiv w:val="1"/>
      <w:marLeft w:val="0"/>
      <w:marRight w:val="0"/>
      <w:marTop w:val="0"/>
      <w:marBottom w:val="0"/>
      <w:divBdr>
        <w:top w:val="none" w:sz="0" w:space="0" w:color="auto"/>
        <w:left w:val="none" w:sz="0" w:space="0" w:color="auto"/>
        <w:bottom w:val="none" w:sz="0" w:space="0" w:color="auto"/>
        <w:right w:val="none" w:sz="0" w:space="0" w:color="auto"/>
      </w:divBdr>
    </w:div>
    <w:div w:id="19797244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3/2053/oj" TargetMode="External"/><Relationship Id="rId13" Type="http://schemas.openxmlformats.org/officeDocument/2006/relationships/hyperlink" Target="http://data.europa.eu/eli/reg/2026/249/oj" TargetMode="External"/><Relationship Id="rId18" Type="http://schemas.openxmlformats.org/officeDocument/2006/relationships/hyperlink" Target="http://data.europa.eu/eli/reg/2017/2403/oj" TargetMode="External"/><Relationship Id="rId3" Type="http://schemas.openxmlformats.org/officeDocument/2006/relationships/hyperlink" Target="http://data.europa.eu/eli/dir/2008/56/oj" TargetMode="External"/><Relationship Id="rId7" Type="http://schemas.openxmlformats.org/officeDocument/2006/relationships/hyperlink" Target="https://doi.org/10.17895/ices.advice.27202689.v2" TargetMode="External"/><Relationship Id="rId12" Type="http://schemas.openxmlformats.org/officeDocument/2006/relationships/hyperlink" Target="http://data.europa.eu/eli/reg/2021/56/oj" TargetMode="External"/><Relationship Id="rId17" Type="http://schemas.openxmlformats.org/officeDocument/2006/relationships/hyperlink" Target="http://data.europa.eu/eli/reg/2017/2107/oj" TargetMode="External"/><Relationship Id="rId2" Type="http://schemas.openxmlformats.org/officeDocument/2006/relationships/hyperlink" Target="http://data.europa.eu/eli/reg/2013/1380/oj" TargetMode="External"/><Relationship Id="rId16" Type="http://schemas.openxmlformats.org/officeDocument/2006/relationships/hyperlink" Target="http://data.europa.eu/eli/reg/2023/2053/oj" TargetMode="External"/><Relationship Id="rId1" Type="http://schemas.openxmlformats.org/officeDocument/2006/relationships/hyperlink" Target="http://data.europa.eu/eli/reg/2026/249/oj" TargetMode="External"/><Relationship Id="rId6" Type="http://schemas.openxmlformats.org/officeDocument/2006/relationships/hyperlink" Target="http://data.europa.eu/eli/reg/2025/669/oj" TargetMode="External"/><Relationship Id="rId11" Type="http://schemas.openxmlformats.org/officeDocument/2006/relationships/hyperlink" Target="http://data.europa.eu/eli/reg/2017/2403/oj" TargetMode="External"/><Relationship Id="rId5" Type="http://schemas.openxmlformats.org/officeDocument/2006/relationships/hyperlink" Target="https://oceans-and-fisheries.ec.europa.eu/fisheries/international-agreements/northern-agreements_en" TargetMode="External"/><Relationship Id="rId15" Type="http://schemas.openxmlformats.org/officeDocument/2006/relationships/hyperlink" Target="http://data.europa.eu/eli/dec/1987/277/oj" TargetMode="External"/><Relationship Id="rId10" Type="http://schemas.openxmlformats.org/officeDocument/2006/relationships/hyperlink" Target="http://data.europa.eu/eli/reg/2017/2107/oj" TargetMode="External"/><Relationship Id="rId19" Type="http://schemas.openxmlformats.org/officeDocument/2006/relationships/hyperlink" Target="http://data.europa.eu/eli/reg/2021/56/oj" TargetMode="External"/><Relationship Id="rId4" Type="http://schemas.openxmlformats.org/officeDocument/2006/relationships/hyperlink" Target="http://data.europa.eu/eli/agree_internation/2021/689(1)/oj" TargetMode="External"/><Relationship Id="rId9" Type="http://schemas.openxmlformats.org/officeDocument/2006/relationships/hyperlink" Target="http://data.europa.eu/eli/reg/2009/1224/oj" TargetMode="External"/><Relationship Id="rId14" Type="http://schemas.openxmlformats.org/officeDocument/2006/relationships/hyperlink" Target="http://data.europa.eu/eli/agree_internation/2021/689(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BD448EA8-4B94-4FD1-8CF3-66F640DD14E1}">
    <t:Anchor>
      <t:Comment id="492294757"/>
    </t:Anchor>
    <t:History>
      <t:Event time="2026-01-29T13:10:36.119Z" id="{674B5137-CC8E-4EC7-A834-B4816E6587B8}">
        <t:Attribution userId="S::Christoph.PRIEBE@ec.europa.eu::cde14492-9735-4653-bc79-6cabf6311fb6" userName="PRIEBE Christoph (MARE)" userProvider="AD"/>
        <t:Anchor>
          <t:Comment id="492294757"/>
        </t:Anchor>
        <t:Create/>
      </t:Event>
      <t:Event time="2026-01-29T13:10:36.119Z" id="{F81FC067-D4D4-44D7-9682-4F0F53FA1450}">
        <t:Attribution userId="S::Christoph.PRIEBE@ec.europa.eu::cde14492-9735-4653-bc79-6cabf6311fb6" userName="PRIEBE Christoph (MARE)" userProvider="AD"/>
        <t:Anchor>
          <t:Comment id="492294757"/>
        </t:Anchor>
        <t:Assign userId="S::Christoph.PRIEBE@ec.europa.eu::cde14492-9735-4653-bc79-6cabf6311fb6" userName="PRIEBE Christoph (MARE)" userProvider="AD"/>
      </t:Event>
      <t:Event time="2026-01-29T13:10:36.119Z" id="{6ECF5D1B-AF8F-4482-B597-C52F14708656}">
        <t:Attribution userId="S::Christoph.PRIEBE@ec.europa.eu::cde14492-9735-4653-bc79-6cabf6311fb6" userName="PRIEBE Christoph (MARE)" userProvider="AD"/>
        <t:Anchor>
          <t:Comment id="492294757"/>
        </t:Anchor>
        <t:SetTitle title="@PRIEBE Christoph (MARE) Test 2"/>
      </t:Event>
    </t:History>
  </t:Task>
  <t:Task id="{A02FEBCF-D403-4E74-8B41-3582A14C5163}">
    <t:Anchor>
      <t:Comment id="1882580136"/>
    </t:Anchor>
    <t:History>
      <t:Event time="2026-01-29T13:34:14.6Z" id="{E4039336-4668-4CC5-A70A-754A497E467D}">
        <t:Attribution userId="S::Christoph.PRIEBE@ec.europa.eu::cde14492-9735-4653-bc79-6cabf6311fb6" userName="PRIEBE Christoph (MARE)" userProvider="AD"/>
        <t:Anchor>
          <t:Comment id="601047765"/>
        </t:Anchor>
        <t:Create/>
      </t:Event>
      <t:Event time="2026-01-29T13:34:14.6Z" id="{16099C4A-21A0-42BA-8118-7CF0B95220FE}">
        <t:Attribution userId="S::Christoph.PRIEBE@ec.europa.eu::cde14492-9735-4653-bc79-6cabf6311fb6" userName="PRIEBE Christoph (MARE)" userProvider="AD"/>
        <t:Anchor>
          <t:Comment id="601047765"/>
        </t:Anchor>
        <t:Assign userId="S::xose.tubio@ec.europa.eu::2e3fca28-ec97-4c1e-a844-4edebb6f19b2" userName="TUBIO Xose (MARE)" userProvider="AD"/>
      </t:Event>
      <t:Event time="2026-01-29T13:34:14.6Z" id="{95A1BF7D-5751-4165-A689-6CE35CEC6AD5}">
        <t:Attribution userId="S::Christoph.PRIEBE@ec.europa.eu::cde14492-9735-4653-bc79-6cabf6311fb6" userName="PRIEBE Christoph (MARE)" userProvider="AD"/>
        <t:Anchor>
          <t:Comment id="601047765"/>
        </t:Anchor>
        <t:SetTitle title="@TUBIO Xose (MARE) "/>
      </t:Event>
    </t:History>
  </t:Task>
  <t:Task id="{F9DFFA44-3CA0-4709-AA3D-F2F774B6545B}">
    <t:Anchor>
      <t:Comment id="1377254955"/>
    </t:Anchor>
    <t:History>
      <t:Event time="2026-01-29T14:27:14.35Z" id="{216C113F-3B05-4E07-9FE1-67F22151EBB9}">
        <t:Attribution userId="S::Christoph.PRIEBE@ec.europa.eu::cde14492-9735-4653-bc79-6cabf6311fb6" userName="PRIEBE Christoph (MARE)" userProvider="AD"/>
        <t:Anchor>
          <t:Comment id="1377254955"/>
        </t:Anchor>
        <t:Create/>
      </t:Event>
      <t:Event time="2026-01-29T14:27:14.35Z" id="{83B6DB95-4616-40F8-8B57-A69CD52ED357}">
        <t:Attribution userId="S::Christoph.PRIEBE@ec.europa.eu::cde14492-9735-4653-bc79-6cabf6311fb6" userName="PRIEBE Christoph (MARE)" userProvider="AD"/>
        <t:Anchor>
          <t:Comment id="1377254955"/>
        </t:Anchor>
        <t:Assign userId="S::Christoph.PRIEBE@ec.europa.eu::cde14492-9735-4653-bc79-6cabf6311fb6" userName="PRIEBE Christoph (MARE)" userProvider="AD"/>
      </t:Event>
      <t:Event time="2026-01-29T14:27:14.35Z" id="{2CA88C11-3CF4-4B87-BE96-65B1CD02D088}">
        <t:Attribution userId="S::Christoph.PRIEBE@ec.europa.eu::cde14492-9735-4653-bc79-6cabf6311fb6" userName="PRIEBE Christoph (MARE)" userProvider="AD"/>
        <t:Anchor>
          <t:Comment id="1377254955"/>
        </t:Anchor>
        <t:SetTitle title="@PRIEBE Christoph (MARE) Test 5, in Desktop app"/>
      </t:Event>
    </t:History>
  </t:Task>
  <t:Task id="{899BB084-BA4D-4A89-AE02-2D7E9C8BE5B9}">
    <t:Anchor>
      <t:Comment id="1650850571"/>
    </t:Anchor>
    <t:History>
      <t:Event time="2026-01-29T14:02:33.202Z" id="{0B037177-EA8E-490B-BDCE-B73B750DF228}">
        <t:Attribution userId="S::Christoph.PRIEBE@ec.europa.eu::cde14492-9735-4653-bc79-6cabf6311fb6" userName="PRIEBE Christoph (MARE)" userProvider="AD"/>
        <t:Anchor>
          <t:Comment id="1650850571"/>
        </t:Anchor>
        <t:Create/>
      </t:Event>
      <t:Event time="2026-01-29T14:02:33.202Z" id="{32214359-3164-4D67-AB4D-B8149B6BB927}">
        <t:Attribution userId="S::Christoph.PRIEBE@ec.europa.eu::cde14492-9735-4653-bc79-6cabf6311fb6" userName="PRIEBE Christoph (MARE)" userProvider="AD"/>
        <t:Anchor>
          <t:Comment id="1650850571"/>
        </t:Anchor>
        <t:Assign userId="S::Christoph.PRIEBE@ec.europa.eu::cde14492-9735-4653-bc79-6cabf6311fb6" userName="PRIEBE Christoph (MARE)" userProvider="AD"/>
      </t:Event>
      <t:Event time="2026-01-29T14:02:33.202Z" id="{7E3B278D-D0D4-4046-913C-FD228DA66479}">
        <t:Attribution userId="S::Christoph.PRIEBE@ec.europa.eu::cde14492-9735-4653-bc79-6cabf6311fb6" userName="PRIEBE Christoph (MARE)" userProvider="AD"/>
        <t:Anchor>
          <t:Comment id="1650850571"/>
        </t:Anchor>
        <t:SetTitle title="@PRIEBE Christoph (MARE) Test"/>
      </t:Event>
    </t:History>
  </t:Task>
  <t:Task id="{000100A5-04CA-40D1-B5B5-2786BCB01083}">
    <t:Anchor>
      <t:Comment id="761113679"/>
    </t:Anchor>
    <t:History>
      <t:Event time="2026-01-29T14:00:03.617Z" id="{83226CB4-2714-44C6-A3EC-D1A881431AE2}">
        <t:Attribution userId="S::christoph.priebe@ec.europa.eu::cde14492-9735-4653-bc79-6cabf6311fb6" userName="PRIEBE Christoph (MARE)" userProvider="AD"/>
        <t:Anchor>
          <t:Comment id="761113679"/>
        </t:Anchor>
        <t:Create/>
      </t:Event>
      <t:Event time="2026-01-29T14:00:03.617Z" id="{2FE501C2-177F-456B-A25A-BB1654F69EDC}">
        <t:Attribution userId="S::christoph.priebe@ec.europa.eu::cde14492-9735-4653-bc79-6cabf6311fb6" userName="PRIEBE Christoph (MARE)" userProvider="AD"/>
        <t:Anchor>
          <t:Comment id="761113679"/>
        </t:Anchor>
        <t:Assign userId="S::Christoph.PRIEBE@ec.europa.eu::cde14492-9735-4653-bc79-6cabf6311fb6" userName="PRIEBE Christoph (MARE)" userProvider="AD"/>
      </t:Event>
      <t:Event time="2026-01-29T14:00:03.617Z" id="{7AAC0796-ECF7-4C86-AEA7-F5BFE692A8C9}">
        <t:Attribution userId="S::christoph.priebe@ec.europa.eu::cde14492-9735-4653-bc79-6cabf6311fb6" userName="PRIEBE Christoph (MARE)" userProvider="AD"/>
        <t:Anchor>
          <t:Comment id="761113679"/>
        </t:Anchor>
        <t:SetTitle title="@PRIEBE Christoph (MARE) Test"/>
      </t:Event>
    </t:History>
  </t:Task>
  <t:Task id="{FE3188F2-103B-4A4E-B78D-06B7A273A207}">
    <t:Anchor>
      <t:Comment id="624658599"/>
    </t:Anchor>
    <t:History>
      <t:Event time="2026-01-29T14:04:30.564Z" id="{55FC2DD6-7B79-43A4-910B-78A4E304DD9C}">
        <t:Attribution userId="S::christoph.priebe@ec.europa.eu::cde14492-9735-4653-bc79-6cabf6311fb6" userName="PRIEBE Christoph (MARE)" userProvider="AD"/>
        <t:Anchor>
          <t:Comment id="624658599"/>
        </t:Anchor>
        <t:Create/>
      </t:Event>
      <t:Event time="2026-01-29T14:04:30.564Z" id="{A9015B4A-8C58-4FFA-A3A6-07C6B20967E6}">
        <t:Attribution userId="S::christoph.priebe@ec.europa.eu::cde14492-9735-4653-bc79-6cabf6311fb6" userName="PRIEBE Christoph (MARE)" userProvider="AD"/>
        <t:Anchor>
          <t:Comment id="624658599"/>
        </t:Anchor>
        <t:Assign userId="S::Christoph.PRIEBE@ec.europa.eu::cde14492-9735-4653-bc79-6cabf6311fb6" userName="PRIEBE Christoph (MARE)" userProvider="AD"/>
      </t:Event>
      <t:Event time="2026-01-29T14:04:30.564Z" id="{F1167F95-DA38-4C76-A06E-48CDF998EF6A}">
        <t:Attribution userId="S::christoph.priebe@ec.europa.eu::cde14492-9735-4653-bc79-6cabf6311fb6" userName="PRIEBE Christoph (MARE)" userProvider="AD"/>
        <t:Anchor>
          <t:Comment id="624658599"/>
        </t:Anchor>
        <t:SetTitle title="@PRIEBE Christoph (MARE) Test 2"/>
      </t:Event>
    </t:History>
  </t:Task>
  <t:Task id="{541063C2-FC24-486E-ACDF-48E337E1055F}">
    <t:Anchor>
      <t:Comment id="676493209"/>
    </t:Anchor>
    <t:History>
      <t:Event time="2026-01-29T14:19:37.119Z" id="{CEF0F4E9-2C46-4931-BF8B-AE3D067FEAFD}">
        <t:Attribution userId="S::Christoph.PRIEBE@ec.europa.eu::cde14492-9735-4653-bc79-6cabf6311fb6" userName="PRIEBE Christoph (MARE)" userProvider="AD"/>
        <t:Anchor>
          <t:Comment id="676493209"/>
        </t:Anchor>
        <t:Create/>
      </t:Event>
      <t:Event time="2026-01-29T14:19:37.119Z" id="{7FE7B64A-3C0B-4359-9D53-F9D914D8C5FA}">
        <t:Attribution userId="S::Christoph.PRIEBE@ec.europa.eu::cde14492-9735-4653-bc79-6cabf6311fb6" userName="PRIEBE Christoph (MARE)" userProvider="AD"/>
        <t:Anchor>
          <t:Comment id="676493209"/>
        </t:Anchor>
        <t:Assign userId="S::Christoph.PRIEBE@ec.europa.eu::cde14492-9735-4653-bc79-6cabf6311fb6" userName="PRIEBE Christoph (MARE)" userProvider="AD"/>
      </t:Event>
      <t:Event time="2026-01-29T14:19:37.119Z" id="{C138E252-8B6F-4B0D-B9DE-614784E2AE03}">
        <t:Attribution userId="S::Christoph.PRIEBE@ec.europa.eu::cde14492-9735-4653-bc79-6cabf6311fb6" userName="PRIEBE Christoph (MARE)" userProvider="AD"/>
        <t:Anchor>
          <t:Comment id="676493209"/>
        </t:Anchor>
        <t:SetTitle title="@PRIEBE Christoph (MARE) Test 4, in Desktop app"/>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7bb8512-91eb-4bfd-be42-d6f021407e9a">
      <Terms xmlns="http://schemas.microsoft.com/office/infopath/2007/PartnerControls"/>
    </lcf76f155ced4ddcb4097134ff3c332f>
    <TaxCatchAll xmlns="144c03d0-0f03-451f-9d46-5279004462a4" xsi:nil="true"/>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B77342CD-A585-484E-B907-4315535234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4FB236-A787-4BCA-8EB5-0DA2A7110AAD}">
  <ds:schemaRefs>
    <ds:schemaRef ds:uri="http://schemas.microsoft.com/office/2006/metadata/properties"/>
    <ds:schemaRef ds:uri="http://schemas.microsoft.com/office/infopath/2007/PartnerControls"/>
    <ds:schemaRef ds:uri="f7bb8512-91eb-4bfd-be42-d6f021407e9a"/>
    <ds:schemaRef ds:uri="144c03d0-0f03-451f-9d46-5279004462a4"/>
    <ds:schemaRef ds:uri="http://schemas.microsoft.com/sharepoint/v3/fields"/>
  </ds:schemaRefs>
</ds:datastoreItem>
</file>

<file path=customXml/itemProps3.xml><?xml version="1.0" encoding="utf-8"?>
<ds:datastoreItem xmlns:ds="http://schemas.openxmlformats.org/officeDocument/2006/customXml" ds:itemID="{03FEF8E6-6D22-4A69-B51D-B96C2B73A0AB}">
  <ds:schemaRefs>
    <ds:schemaRef ds:uri="http://schemas.microsoft.com/sharepoint/v3/contenttype/forms"/>
  </ds:schemaRefs>
</ds:datastoreItem>
</file>

<file path=customXml/itemProps4.xml><?xml version="1.0" encoding="utf-8"?>
<ds:datastoreItem xmlns:ds="http://schemas.openxmlformats.org/officeDocument/2006/customXml" ds:itemID="{4F853ED1-7ED7-4586-90A5-67E57D8E5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183</TotalTime>
  <Pages>16</Pages>
  <Words>5934</Words>
  <Characters>33828</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39683</CharactersWithSpaces>
  <SharedDoc>false</SharedDoc>
  <HLinks>
    <vt:vector size="96" baseType="variant">
      <vt:variant>
        <vt:i4>6029402</vt:i4>
      </vt:variant>
      <vt:variant>
        <vt:i4>39</vt:i4>
      </vt:variant>
      <vt:variant>
        <vt:i4>0</vt:i4>
      </vt:variant>
      <vt:variant>
        <vt:i4>5</vt:i4>
      </vt:variant>
      <vt:variant>
        <vt:lpwstr>http://data.europa.eu/eli/reg/2021/56/oj</vt:lpwstr>
      </vt:variant>
      <vt:variant>
        <vt:lpwstr/>
      </vt:variant>
      <vt:variant>
        <vt:i4>7143529</vt:i4>
      </vt:variant>
      <vt:variant>
        <vt:i4>36</vt:i4>
      </vt:variant>
      <vt:variant>
        <vt:i4>0</vt:i4>
      </vt:variant>
      <vt:variant>
        <vt:i4>5</vt:i4>
      </vt:variant>
      <vt:variant>
        <vt:lpwstr>http://data.europa.eu/eli/reg/2017/2107/oj</vt:lpwstr>
      </vt:variant>
      <vt:variant>
        <vt:lpwstr/>
      </vt:variant>
      <vt:variant>
        <vt:i4>7077999</vt:i4>
      </vt:variant>
      <vt:variant>
        <vt:i4>33</vt:i4>
      </vt:variant>
      <vt:variant>
        <vt:i4>0</vt:i4>
      </vt:variant>
      <vt:variant>
        <vt:i4>5</vt:i4>
      </vt:variant>
      <vt:variant>
        <vt:lpwstr>http://data.europa.eu/eli/reg/2023/2053/oj</vt:lpwstr>
      </vt:variant>
      <vt:variant>
        <vt:lpwstr/>
      </vt:variant>
      <vt:variant>
        <vt:i4>4784128</vt:i4>
      </vt:variant>
      <vt:variant>
        <vt:i4>30</vt:i4>
      </vt:variant>
      <vt:variant>
        <vt:i4>0</vt:i4>
      </vt:variant>
      <vt:variant>
        <vt:i4>5</vt:i4>
      </vt:variant>
      <vt:variant>
        <vt:lpwstr>http://data.europa.eu/eli/dec/1987/277/oj</vt:lpwstr>
      </vt:variant>
      <vt:variant>
        <vt:lpwstr/>
      </vt:variant>
      <vt:variant>
        <vt:i4>1114175</vt:i4>
      </vt:variant>
      <vt:variant>
        <vt:i4>27</vt:i4>
      </vt:variant>
      <vt:variant>
        <vt:i4>0</vt:i4>
      </vt:variant>
      <vt:variant>
        <vt:i4>5</vt:i4>
      </vt:variant>
      <vt:variant>
        <vt:lpwstr>http://data.europa.eu/eli/agree_internation/2021/689(1)/oj</vt:lpwstr>
      </vt:variant>
      <vt:variant>
        <vt:lpwstr/>
      </vt:variant>
      <vt:variant>
        <vt:i4>6029402</vt:i4>
      </vt:variant>
      <vt:variant>
        <vt:i4>24</vt:i4>
      </vt:variant>
      <vt:variant>
        <vt:i4>0</vt:i4>
      </vt:variant>
      <vt:variant>
        <vt:i4>5</vt:i4>
      </vt:variant>
      <vt:variant>
        <vt:lpwstr>http://data.europa.eu/eli/reg/2021/56/oj</vt:lpwstr>
      </vt:variant>
      <vt:variant>
        <vt:lpwstr/>
      </vt:variant>
      <vt:variant>
        <vt:i4>7143529</vt:i4>
      </vt:variant>
      <vt:variant>
        <vt:i4>21</vt:i4>
      </vt:variant>
      <vt:variant>
        <vt:i4>0</vt:i4>
      </vt:variant>
      <vt:variant>
        <vt:i4>5</vt:i4>
      </vt:variant>
      <vt:variant>
        <vt:lpwstr>http://data.europa.eu/eli/reg/2017/2107/oj</vt:lpwstr>
      </vt:variant>
      <vt:variant>
        <vt:lpwstr/>
      </vt:variant>
      <vt:variant>
        <vt:i4>6422632</vt:i4>
      </vt:variant>
      <vt:variant>
        <vt:i4>18</vt:i4>
      </vt:variant>
      <vt:variant>
        <vt:i4>0</vt:i4>
      </vt:variant>
      <vt:variant>
        <vt:i4>5</vt:i4>
      </vt:variant>
      <vt:variant>
        <vt:lpwstr>http://data.europa.eu/eli/reg/2009/1224/oj</vt:lpwstr>
      </vt:variant>
      <vt:variant>
        <vt:lpwstr/>
      </vt:variant>
      <vt:variant>
        <vt:i4>7077999</vt:i4>
      </vt:variant>
      <vt:variant>
        <vt:i4>15</vt:i4>
      </vt:variant>
      <vt:variant>
        <vt:i4>0</vt:i4>
      </vt:variant>
      <vt:variant>
        <vt:i4>5</vt:i4>
      </vt:variant>
      <vt:variant>
        <vt:lpwstr>http://data.europa.eu/eli/reg/2023/2053/oj</vt:lpwstr>
      </vt:variant>
      <vt:variant>
        <vt:lpwstr/>
      </vt:variant>
      <vt:variant>
        <vt:i4>6094927</vt:i4>
      </vt:variant>
      <vt:variant>
        <vt:i4>12</vt:i4>
      </vt:variant>
      <vt:variant>
        <vt:i4>0</vt:i4>
      </vt:variant>
      <vt:variant>
        <vt:i4>5</vt:i4>
      </vt:variant>
      <vt:variant>
        <vt:lpwstr>https://doi.org/10.17895/ices.advice.27202689.v2</vt:lpwstr>
      </vt:variant>
      <vt:variant>
        <vt:lpwstr/>
      </vt:variant>
      <vt:variant>
        <vt:i4>4653084</vt:i4>
      </vt:variant>
      <vt:variant>
        <vt:i4>9</vt:i4>
      </vt:variant>
      <vt:variant>
        <vt:i4>0</vt:i4>
      </vt:variant>
      <vt:variant>
        <vt:i4>5</vt:i4>
      </vt:variant>
      <vt:variant>
        <vt:lpwstr>http://data.europa.eu/eli/reg/2025/202/oj</vt:lpwstr>
      </vt:variant>
      <vt:variant>
        <vt:lpwstr/>
      </vt:variant>
      <vt:variant>
        <vt:i4>1114175</vt:i4>
      </vt:variant>
      <vt:variant>
        <vt:i4>6</vt:i4>
      </vt:variant>
      <vt:variant>
        <vt:i4>0</vt:i4>
      </vt:variant>
      <vt:variant>
        <vt:i4>5</vt:i4>
      </vt:variant>
      <vt:variant>
        <vt:lpwstr>http://data.europa.eu/eli/agree_internation/2021/689(1)/oj</vt:lpwstr>
      </vt:variant>
      <vt:variant>
        <vt:lpwstr/>
      </vt:variant>
      <vt:variant>
        <vt:i4>5832795</vt:i4>
      </vt:variant>
      <vt:variant>
        <vt:i4>3</vt:i4>
      </vt:variant>
      <vt:variant>
        <vt:i4>0</vt:i4>
      </vt:variant>
      <vt:variant>
        <vt:i4>5</vt:i4>
      </vt:variant>
      <vt:variant>
        <vt:lpwstr>http://data.europa.eu/eli/dir/2008/56/oj</vt:lpwstr>
      </vt:variant>
      <vt:variant>
        <vt:lpwstr/>
      </vt:variant>
      <vt:variant>
        <vt:i4>6422636</vt:i4>
      </vt:variant>
      <vt:variant>
        <vt:i4>0</vt:i4>
      </vt:variant>
      <vt:variant>
        <vt:i4>0</vt:i4>
      </vt:variant>
      <vt:variant>
        <vt:i4>5</vt:i4>
      </vt:variant>
      <vt:variant>
        <vt:lpwstr>http://data.europa.eu/eli/reg/2013/1380/oj</vt:lpwstr>
      </vt:variant>
      <vt:variant>
        <vt:lpwstr/>
      </vt:variant>
      <vt:variant>
        <vt:i4>8126584</vt:i4>
      </vt:variant>
      <vt:variant>
        <vt:i4>3</vt:i4>
      </vt:variant>
      <vt:variant>
        <vt:i4>0</vt:i4>
      </vt:variant>
      <vt:variant>
        <vt:i4>5</vt:i4>
      </vt:variant>
      <vt:variant>
        <vt:lpwstr>https://doi.org/10.17895/ices.pub.30286864</vt:lpwstr>
      </vt:variant>
      <vt:variant>
        <vt:lpwstr/>
      </vt:variant>
      <vt:variant>
        <vt:i4>7602231</vt:i4>
      </vt:variant>
      <vt:variant>
        <vt:i4>0</vt:i4>
      </vt:variant>
      <vt:variant>
        <vt:i4>0</vt:i4>
      </vt:variant>
      <vt:variant>
        <vt:i4>5</vt:i4>
      </vt:variant>
      <vt:variant>
        <vt:lpwstr>https://www.marinespecies.org/aphia.php?p=taxdetails&amp;id=125581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EC CoDe</cp:lastModifiedBy>
  <cp:revision>40</cp:revision>
  <cp:lastPrinted>2026-02-24T12:17:00Z</cp:lastPrinted>
  <dcterms:created xsi:type="dcterms:W3CDTF">2026-02-24T17:53:00Z</dcterms:created>
  <dcterms:modified xsi:type="dcterms:W3CDTF">2026-03-11T15:34:00Z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8.0, Build 20220128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SJ-016</vt:lpwstr>
  </property>
  <property fmtid="{D5CDD505-2E9C-101B-9397-08002B2CF9AE}" pid="10" name="ContentTypeId">
    <vt:lpwstr>0x010100BAD999D84E12C74482EA5120F5227F6F00217DECAAC21D6B43958DFE68658C192E</vt:lpwstr>
  </property>
  <property fmtid="{D5CDD505-2E9C-101B-9397-08002B2CF9AE}" pid="11" name="_CopySource">
    <vt:lpwstr>COM proposal for 1st amendment to Atlantic FOs 2023 regulation Main text.docx</vt:lpwstr>
  </property>
  <property fmtid="{D5CDD505-2E9C-101B-9397-08002B2CF9AE}" pid="12" name="MSIP_Label_6bd9ddd1-4d20-43f6-abfa-fc3c07406f94_Enabled">
    <vt:lpwstr>true</vt:lpwstr>
  </property>
  <property fmtid="{D5CDD505-2E9C-101B-9397-08002B2CF9AE}" pid="13" name="MSIP_Label_6bd9ddd1-4d20-43f6-abfa-fc3c07406f94_SetDate">
    <vt:lpwstr>2023-02-10T16:03:48Z</vt:lpwstr>
  </property>
  <property fmtid="{D5CDD505-2E9C-101B-9397-08002B2CF9AE}" pid="14" name="MSIP_Label_6bd9ddd1-4d20-43f6-abfa-fc3c07406f94_Method">
    <vt:lpwstr>Privileged</vt:lpwstr>
  </property>
  <property fmtid="{D5CDD505-2E9C-101B-9397-08002B2CF9AE}" pid="15" name="MSIP_Label_6bd9ddd1-4d20-43f6-abfa-fc3c07406f94_Name">
    <vt:lpwstr>Commission Use</vt:lpwstr>
  </property>
  <property fmtid="{D5CDD505-2E9C-101B-9397-08002B2CF9AE}" pid="16" name="MSIP_Label_6bd9ddd1-4d20-43f6-abfa-fc3c07406f94_SiteId">
    <vt:lpwstr>b24c8b06-522c-46fe-9080-70926f8dddb1</vt:lpwstr>
  </property>
  <property fmtid="{D5CDD505-2E9C-101B-9397-08002B2CF9AE}" pid="17" name="MSIP_Label_6bd9ddd1-4d20-43f6-abfa-fc3c07406f94_ActionId">
    <vt:lpwstr>314e5bd8-c561-4bcd-977c-67a948bc7790</vt:lpwstr>
  </property>
  <property fmtid="{D5CDD505-2E9C-101B-9397-08002B2CF9AE}" pid="18" name="MSIP_Label_6bd9ddd1-4d20-43f6-abfa-fc3c07406f94_ContentBits">
    <vt:lpwstr>0</vt:lpwstr>
  </property>
  <property fmtid="{D5CDD505-2E9C-101B-9397-08002B2CF9AE}" pid="19" name="MediaServiceImageTags">
    <vt:lpwstr/>
  </property>
  <property fmtid="{D5CDD505-2E9C-101B-9397-08002B2CF9AE}" pid="20" name="DQCStatus">
    <vt:lpwstr>Green (DQC version 03)</vt:lpwstr>
  </property>
</Properties>
</file>