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Default="00B237F0" w:rsidP="00B237F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BC74C8-959B-44FF-8B09-361C90816D03" style="width:455.25pt;height:342.75pt">
            <v:imagedata r:id="rId8" o:title=""/>
          </v:shape>
        </w:pict>
      </w:r>
    </w:p>
    <w:p w:rsidR="001A62D7" w:rsidRDefault="001A62D7" w:rsidP="001A62D7">
      <w:pPr>
        <w:rPr>
          <w:noProof/>
        </w:rPr>
        <w:sectPr w:rsidR="001A62D7" w:rsidSect="00B237F0">
          <w:footerReference w:type="even" r:id="rId9"/>
          <w:footerReference w:type="default" r:id="rId10"/>
          <w:pgSz w:w="11907" w:h="16839"/>
          <w:pgMar w:top="1134" w:right="1417" w:bottom="1134" w:left="1417" w:header="709" w:footer="709" w:gutter="0"/>
          <w:pgNumType w:start="0"/>
          <w:cols w:space="720"/>
          <w:docGrid w:linePitch="360"/>
        </w:sectPr>
      </w:pPr>
    </w:p>
    <w:p w:rsidR="001A62D7" w:rsidRDefault="001A62D7" w:rsidP="001A62D7">
      <w:pPr>
        <w:pStyle w:val="Exposdesmotifstitre"/>
        <w:rPr>
          <w:noProof/>
        </w:rPr>
      </w:pPr>
      <w:bookmarkStart w:id="0" w:name="_GoBack"/>
      <w:bookmarkEnd w:id="0"/>
      <w:r w:rsidRPr="006F770D">
        <w:rPr>
          <w:noProof/>
        </w:rPr>
        <w:lastRenderedPageBreak/>
        <w:t>EXPLANATORY MEMORANDUM</w:t>
      </w:r>
    </w:p>
    <w:p w:rsidR="001A62D7" w:rsidRPr="006F770D" w:rsidRDefault="001A62D7" w:rsidP="001A62D7">
      <w:pPr>
        <w:pStyle w:val="ManualHeading1"/>
        <w:rPr>
          <w:noProof/>
        </w:rPr>
      </w:pPr>
      <w:r w:rsidRPr="006F770D">
        <w:rPr>
          <w:noProof/>
        </w:rPr>
        <w:t>CONTEXT OF THE PROPOSAL</w:t>
      </w:r>
    </w:p>
    <w:p w:rsidR="001A62D7" w:rsidRDefault="001A62D7" w:rsidP="00AE7D04">
      <w:pPr>
        <w:pStyle w:val="ManualNumPar1"/>
        <w:rPr>
          <w:noProof/>
        </w:rPr>
      </w:pPr>
      <w:r>
        <w:rPr>
          <w:noProof/>
        </w:rPr>
        <w:t>1.</w:t>
      </w:r>
      <w:r>
        <w:rPr>
          <w:noProof/>
        </w:rPr>
        <w:tab/>
      </w:r>
      <w:r w:rsidRPr="008D462D">
        <w:rPr>
          <w:noProof/>
        </w:rPr>
        <w:t xml:space="preserve">The rules applicable to financial contributions from the European Globalisation Adjustment Fund </w:t>
      </w:r>
      <w:r>
        <w:rPr>
          <w:noProof/>
        </w:rPr>
        <w:t xml:space="preserve">for Displaced Workers </w:t>
      </w:r>
      <w:r w:rsidRPr="008D462D">
        <w:rPr>
          <w:noProof/>
        </w:rPr>
        <w:t xml:space="preserve">(EGF) are laid down in </w:t>
      </w:r>
      <w:r w:rsidRPr="00B6657B">
        <w:rPr>
          <w:noProof/>
        </w:rPr>
        <w:t>Regulation (EU) 2021/691</w:t>
      </w:r>
      <w:r>
        <w:rPr>
          <w:noProof/>
        </w:rPr>
        <w:t xml:space="preserve"> </w:t>
      </w:r>
      <w:r w:rsidRPr="00B6657B">
        <w:rPr>
          <w:noProof/>
        </w:rPr>
        <w:t>of the European Parliament and of the Council of 28 April 2021 on the European Globalisation Adjustment Fund for Displaced Workers (EGF) and repealing Regulation (EU) No 1309/2013</w:t>
      </w:r>
      <w:r w:rsidRPr="00B6657B">
        <w:rPr>
          <w:rStyle w:val="FootnoteReference"/>
          <w:noProof/>
        </w:rPr>
        <w:footnoteReference w:id="1"/>
      </w:r>
      <w:r w:rsidRPr="008D462D">
        <w:rPr>
          <w:noProof/>
        </w:rPr>
        <w:t>.</w:t>
      </w:r>
    </w:p>
    <w:p w:rsidR="001A62D7" w:rsidRDefault="001A62D7" w:rsidP="00AE7D04">
      <w:pPr>
        <w:pStyle w:val="ManualNumPar1"/>
        <w:rPr>
          <w:noProof/>
        </w:rPr>
      </w:pPr>
      <w:r>
        <w:rPr>
          <w:noProof/>
        </w:rPr>
        <w:t>2.</w:t>
      </w:r>
      <w:r>
        <w:rPr>
          <w:noProof/>
        </w:rPr>
        <w:tab/>
        <w:t xml:space="preserve">On </w:t>
      </w:r>
      <w:r w:rsidR="00E4314A">
        <w:rPr>
          <w:noProof/>
        </w:rPr>
        <w:t>15 September 2025</w:t>
      </w:r>
      <w:r>
        <w:rPr>
          <w:noProof/>
        </w:rPr>
        <w:t xml:space="preserve">, </w:t>
      </w:r>
      <w:r w:rsidR="00E4314A">
        <w:rPr>
          <w:noProof/>
        </w:rPr>
        <w:t>Austria</w:t>
      </w:r>
      <w:r>
        <w:rPr>
          <w:noProof/>
        </w:rPr>
        <w:t xml:space="preserve"> </w:t>
      </w:r>
      <w:r w:rsidRPr="008D462D">
        <w:rPr>
          <w:noProof/>
        </w:rPr>
        <w:t xml:space="preserve">submitted </w:t>
      </w:r>
      <w:r>
        <w:rPr>
          <w:noProof/>
        </w:rPr>
        <w:t xml:space="preserve">an </w:t>
      </w:r>
      <w:r w:rsidRPr="008D462D">
        <w:rPr>
          <w:noProof/>
        </w:rPr>
        <w:t>application EGF/</w:t>
      </w:r>
      <w:r w:rsidR="00E4314A">
        <w:rPr>
          <w:noProof/>
        </w:rPr>
        <w:t>2025</w:t>
      </w:r>
      <w:r w:rsidRPr="008D462D">
        <w:rPr>
          <w:noProof/>
        </w:rPr>
        <w:t>/</w:t>
      </w:r>
      <w:r w:rsidR="00E4314A">
        <w:rPr>
          <w:noProof/>
        </w:rPr>
        <w:t>005</w:t>
      </w:r>
      <w:r>
        <w:rPr>
          <w:noProof/>
        </w:rPr>
        <w:t> </w:t>
      </w:r>
      <w:r w:rsidR="00E4314A">
        <w:rPr>
          <w:noProof/>
        </w:rPr>
        <w:t>AT</w:t>
      </w:r>
      <w:r w:rsidRPr="008D462D">
        <w:rPr>
          <w:noProof/>
        </w:rPr>
        <w:t>/</w:t>
      </w:r>
      <w:r w:rsidR="00E4314A">
        <w:rPr>
          <w:noProof/>
        </w:rPr>
        <w:t>KTM</w:t>
      </w:r>
      <w:r w:rsidRPr="008D462D">
        <w:rPr>
          <w:noProof/>
        </w:rPr>
        <w:t xml:space="preserve"> for a financial contribution from the EGF, following</w:t>
      </w:r>
      <w:r>
        <w:rPr>
          <w:noProof/>
        </w:rPr>
        <w:t xml:space="preserve"> displacements </w:t>
      </w:r>
      <w:r w:rsidR="008E0E29">
        <w:rPr>
          <w:noProof/>
        </w:rPr>
        <w:t>in</w:t>
      </w:r>
      <w:r w:rsidR="00E34517">
        <w:rPr>
          <w:noProof/>
          <w:color w:val="FFFFFF" w:themeColor="background1"/>
          <w:u w:val="single"/>
        </w:rPr>
        <w:t xml:space="preserve"> </w:t>
      </w:r>
      <w:r w:rsidR="00E4314A">
        <w:rPr>
          <w:noProof/>
        </w:rPr>
        <w:t>KTM</w:t>
      </w:r>
      <w:r w:rsidR="00E34517">
        <w:rPr>
          <w:noProof/>
        </w:rPr>
        <w:t xml:space="preserve"> </w:t>
      </w:r>
      <w:r>
        <w:rPr>
          <w:noProof/>
        </w:rPr>
        <w:t xml:space="preserve">in </w:t>
      </w:r>
      <w:r w:rsidR="00E34517">
        <w:rPr>
          <w:noProof/>
        </w:rPr>
        <w:t>Austria</w:t>
      </w:r>
      <w:r>
        <w:rPr>
          <w:noProof/>
        </w:rPr>
        <w:t>.</w:t>
      </w:r>
    </w:p>
    <w:p w:rsidR="001A62D7" w:rsidRPr="00B1325C" w:rsidRDefault="001A62D7" w:rsidP="00AE7D04">
      <w:pPr>
        <w:pStyle w:val="ManualNumPar1"/>
        <w:rPr>
          <w:noProof/>
        </w:rPr>
      </w:pPr>
      <w:r>
        <w:rPr>
          <w:noProof/>
        </w:rPr>
        <w:t>3.</w:t>
      </w:r>
      <w:r>
        <w:rPr>
          <w:noProof/>
        </w:rPr>
        <w:tab/>
      </w:r>
      <w:r w:rsidRPr="00B1325C">
        <w:rPr>
          <w:noProof/>
        </w:rPr>
        <w:t xml:space="preserve">Following its assessment of this application, the Commission has concluded, in accordance with all applicable provisions of </w:t>
      </w:r>
      <w:r>
        <w:rPr>
          <w:noProof/>
        </w:rPr>
        <w:t>Regulation (EU) 2021/691</w:t>
      </w:r>
      <w:r w:rsidRPr="00B1325C">
        <w:rPr>
          <w:noProof/>
        </w:rPr>
        <w:t>, that the conditions for awarding a financial contribution from the EGF</w:t>
      </w:r>
      <w:r>
        <w:rPr>
          <w:noProof/>
        </w:rPr>
        <w:t xml:space="preserve"> are met. </w:t>
      </w:r>
    </w:p>
    <w:p w:rsidR="001A62D7" w:rsidRPr="006F770D" w:rsidRDefault="001A62D7" w:rsidP="001A62D7">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8D462D" w:rsidTr="008D3AFF">
        <w:tc>
          <w:tcPr>
            <w:tcW w:w="4908" w:type="dxa"/>
            <w:shd w:val="clear" w:color="auto" w:fill="auto"/>
          </w:tcPr>
          <w:p w:rsidR="001A62D7" w:rsidRPr="008D462D" w:rsidRDefault="001A62D7" w:rsidP="001D5990">
            <w:pPr>
              <w:spacing w:before="60" w:after="60"/>
              <w:jc w:val="left"/>
              <w:rPr>
                <w:rFonts w:eastAsia="Calibri"/>
                <w:noProof/>
              </w:rPr>
            </w:pPr>
            <w:r w:rsidRPr="008D462D">
              <w:rPr>
                <w:noProof/>
              </w:rPr>
              <w:t>EGF application</w:t>
            </w:r>
          </w:p>
        </w:tc>
        <w:tc>
          <w:tcPr>
            <w:tcW w:w="4379" w:type="dxa"/>
            <w:shd w:val="clear" w:color="auto" w:fill="auto"/>
          </w:tcPr>
          <w:p w:rsidR="001A62D7" w:rsidRPr="008D462D" w:rsidRDefault="001A62D7" w:rsidP="001D5990">
            <w:pPr>
              <w:spacing w:before="60" w:after="60"/>
              <w:ind w:rightChars="192" w:right="461"/>
              <w:jc w:val="left"/>
              <w:rPr>
                <w:rFonts w:eastAsia="Calibri"/>
                <w:noProof/>
              </w:rPr>
            </w:pPr>
            <w:r w:rsidRPr="008D462D">
              <w:rPr>
                <w:noProof/>
              </w:rPr>
              <w:t>EGF/</w:t>
            </w:r>
            <w:r w:rsidR="00204C13">
              <w:rPr>
                <w:noProof/>
              </w:rPr>
              <w:t>2025</w:t>
            </w:r>
            <w:r w:rsidRPr="008D462D">
              <w:rPr>
                <w:noProof/>
              </w:rPr>
              <w:t>/</w:t>
            </w:r>
            <w:r w:rsidR="00204C13">
              <w:rPr>
                <w:noProof/>
              </w:rPr>
              <w:t>005</w:t>
            </w:r>
            <w:r w:rsidRPr="008D462D">
              <w:rPr>
                <w:noProof/>
              </w:rPr>
              <w:t xml:space="preserve"> </w:t>
            </w:r>
            <w:r w:rsidR="00204C13">
              <w:rPr>
                <w:noProof/>
              </w:rPr>
              <w:t>AT</w:t>
            </w:r>
            <w:r w:rsidRPr="008D462D">
              <w:rPr>
                <w:noProof/>
              </w:rPr>
              <w:t>/</w:t>
            </w:r>
            <w:r w:rsidR="00204C13">
              <w:rPr>
                <w:noProof/>
              </w:rPr>
              <w:t>KTM</w:t>
            </w:r>
          </w:p>
        </w:tc>
      </w:tr>
      <w:tr w:rsidR="001A62D7" w:rsidRPr="008D462D" w:rsidTr="008D3AFF">
        <w:tc>
          <w:tcPr>
            <w:tcW w:w="4908" w:type="dxa"/>
            <w:shd w:val="clear" w:color="auto" w:fill="auto"/>
          </w:tcPr>
          <w:p w:rsidR="001A62D7" w:rsidRPr="008D462D" w:rsidRDefault="001A62D7" w:rsidP="001D5990">
            <w:pPr>
              <w:spacing w:before="60" w:after="60"/>
              <w:jc w:val="left"/>
              <w:rPr>
                <w:rFonts w:eastAsia="Calibri"/>
                <w:noProof/>
              </w:rPr>
            </w:pPr>
            <w:r>
              <w:rPr>
                <w:rFonts w:eastAsia="Calibri"/>
                <w:noProof/>
              </w:rPr>
              <w:t>Member State</w:t>
            </w:r>
          </w:p>
        </w:tc>
        <w:tc>
          <w:tcPr>
            <w:tcW w:w="4379" w:type="dxa"/>
            <w:shd w:val="clear" w:color="auto" w:fill="auto"/>
          </w:tcPr>
          <w:p w:rsidR="001A62D7" w:rsidRPr="008D462D" w:rsidRDefault="00204C13" w:rsidP="001D5990">
            <w:pPr>
              <w:spacing w:before="60" w:after="60"/>
              <w:ind w:rightChars="192" w:right="461"/>
              <w:jc w:val="left"/>
              <w:rPr>
                <w:rFonts w:eastAsia="Calibri"/>
                <w:noProof/>
              </w:rPr>
            </w:pPr>
            <w:r>
              <w:rPr>
                <w:noProof/>
              </w:rPr>
              <w:t>Austria</w:t>
            </w:r>
          </w:p>
        </w:tc>
      </w:tr>
      <w:tr w:rsidR="001A62D7" w:rsidRPr="009429ED" w:rsidTr="008D3AFF">
        <w:tc>
          <w:tcPr>
            <w:tcW w:w="4908" w:type="dxa"/>
            <w:tcBorders>
              <w:bottom w:val="single"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Reg</w:t>
            </w:r>
            <w:r>
              <w:rPr>
                <w:rFonts w:eastAsia="Calibri"/>
                <w:noProof/>
              </w:rPr>
              <w:t>ion(s) concerned (NUTS</w:t>
            </w:r>
            <w:r w:rsidRPr="006927AB">
              <w:rPr>
                <w:rStyle w:val="FootnoteReference"/>
                <w:noProof/>
              </w:rPr>
              <w:footnoteReference w:id="2"/>
            </w:r>
            <w:r>
              <w:rPr>
                <w:rFonts w:eastAsia="Calibri"/>
                <w:noProof/>
              </w:rPr>
              <w:t xml:space="preserve"> level 2)</w:t>
            </w:r>
          </w:p>
        </w:tc>
        <w:tc>
          <w:tcPr>
            <w:tcW w:w="4379" w:type="dxa"/>
            <w:tcBorders>
              <w:bottom w:val="single" w:sz="4" w:space="0" w:color="auto"/>
            </w:tcBorders>
            <w:shd w:val="clear" w:color="auto" w:fill="auto"/>
          </w:tcPr>
          <w:p w:rsidR="001A62D7" w:rsidRPr="009429ED" w:rsidRDefault="003E323E" w:rsidP="001D5990">
            <w:pPr>
              <w:spacing w:before="0" w:after="0"/>
              <w:ind w:rightChars="192" w:right="461"/>
              <w:jc w:val="left"/>
              <w:rPr>
                <w:noProof/>
                <w:szCs w:val="24"/>
              </w:rPr>
            </w:pPr>
            <w:r>
              <w:rPr>
                <w:noProof/>
                <w:szCs w:val="24"/>
              </w:rPr>
              <w:t>Upper Austria</w:t>
            </w:r>
            <w:r w:rsidR="001A62D7" w:rsidRPr="002E20C9">
              <w:rPr>
                <w:noProof/>
                <w:szCs w:val="24"/>
              </w:rPr>
              <w:t xml:space="preserve"> (</w:t>
            </w:r>
            <w:r>
              <w:rPr>
                <w:noProof/>
                <w:szCs w:val="24"/>
              </w:rPr>
              <w:t>AT31</w:t>
            </w:r>
            <w:r w:rsidR="001A62D7" w:rsidRPr="002E20C9">
              <w:rPr>
                <w:noProof/>
                <w:szCs w:val="24"/>
              </w:rPr>
              <w:t>)</w:t>
            </w:r>
          </w:p>
        </w:tc>
      </w:tr>
      <w:tr w:rsidR="001A62D7" w:rsidRPr="008D462D" w:rsidTr="008D3AFF">
        <w:tc>
          <w:tcPr>
            <w:tcW w:w="4908" w:type="dxa"/>
            <w:tcBorders>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w:t>
            </w:r>
            <w:r>
              <w:rPr>
                <w:rFonts w:eastAsia="Calibri"/>
                <w:noProof/>
              </w:rPr>
              <w:t>f submission of the application</w:t>
            </w:r>
          </w:p>
        </w:tc>
        <w:tc>
          <w:tcPr>
            <w:tcW w:w="4379" w:type="dxa"/>
            <w:tcBorders>
              <w:bottom w:val="dotted" w:sz="4" w:space="0" w:color="auto"/>
            </w:tcBorders>
            <w:shd w:val="clear" w:color="auto" w:fill="auto"/>
          </w:tcPr>
          <w:p w:rsidR="001A62D7" w:rsidRPr="008D462D" w:rsidRDefault="00204C13" w:rsidP="001D5990">
            <w:pPr>
              <w:spacing w:before="60" w:after="60"/>
              <w:ind w:rightChars="192" w:right="461"/>
              <w:jc w:val="left"/>
              <w:rPr>
                <w:rFonts w:eastAsia="Calibri"/>
                <w:noProof/>
              </w:rPr>
            </w:pPr>
            <w:r>
              <w:rPr>
                <w:noProof/>
              </w:rPr>
              <w:t>15 September 2025</w:t>
            </w:r>
          </w:p>
        </w:tc>
      </w:tr>
      <w:tr w:rsidR="001A62D7" w:rsidRPr="008D462D" w:rsidTr="008D3AFF">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acknowledgemen</w:t>
            </w:r>
            <w:r>
              <w:rPr>
                <w:rFonts w:eastAsia="Calibri"/>
                <w:noProof/>
              </w:rPr>
              <w:t>t of receipt of the application</w:t>
            </w:r>
          </w:p>
        </w:tc>
        <w:tc>
          <w:tcPr>
            <w:tcW w:w="4379" w:type="dxa"/>
            <w:tcBorders>
              <w:top w:val="dotted" w:sz="4" w:space="0" w:color="auto"/>
              <w:bottom w:val="dotted" w:sz="4" w:space="0" w:color="auto"/>
            </w:tcBorders>
            <w:shd w:val="clear" w:color="auto" w:fill="auto"/>
          </w:tcPr>
          <w:p w:rsidR="001A62D7" w:rsidRPr="008D462D" w:rsidRDefault="00204C13" w:rsidP="001D5990">
            <w:pPr>
              <w:spacing w:before="60" w:after="60"/>
              <w:ind w:rightChars="192" w:right="461"/>
              <w:jc w:val="left"/>
              <w:rPr>
                <w:rFonts w:eastAsia="Calibri"/>
                <w:noProof/>
              </w:rPr>
            </w:pPr>
            <w:r>
              <w:rPr>
                <w:noProof/>
              </w:rPr>
              <w:t>15 September 2025</w:t>
            </w:r>
          </w:p>
        </w:tc>
      </w:tr>
      <w:tr w:rsidR="001A62D7" w:rsidRPr="008D462D" w:rsidTr="008D3AFF">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Date of req</w:t>
            </w:r>
            <w:r>
              <w:rPr>
                <w:rFonts w:eastAsia="Calibri"/>
                <w:noProof/>
              </w:rPr>
              <w:t>uest for additional information</w:t>
            </w:r>
          </w:p>
        </w:tc>
        <w:tc>
          <w:tcPr>
            <w:tcW w:w="4379" w:type="dxa"/>
            <w:tcBorders>
              <w:top w:val="dotted" w:sz="4" w:space="0" w:color="auto"/>
              <w:bottom w:val="dotted" w:sz="4" w:space="0" w:color="auto"/>
            </w:tcBorders>
            <w:shd w:val="clear" w:color="auto" w:fill="auto"/>
          </w:tcPr>
          <w:p w:rsidR="001A62D7" w:rsidRPr="008D462D" w:rsidRDefault="00804C62" w:rsidP="001D5990">
            <w:pPr>
              <w:spacing w:before="60" w:after="60"/>
              <w:ind w:rightChars="192" w:right="461"/>
              <w:jc w:val="left"/>
              <w:rPr>
                <w:rFonts w:eastAsia="Calibri"/>
                <w:noProof/>
              </w:rPr>
            </w:pPr>
            <w:r>
              <w:rPr>
                <w:noProof/>
              </w:rPr>
              <w:t>2</w:t>
            </w:r>
            <w:r w:rsidR="00982E88">
              <w:rPr>
                <w:noProof/>
              </w:rPr>
              <w:t>8</w:t>
            </w:r>
            <w:r>
              <w:rPr>
                <w:noProof/>
              </w:rPr>
              <w:t xml:space="preserve"> October 2025</w:t>
            </w:r>
          </w:p>
        </w:tc>
      </w:tr>
      <w:tr w:rsidR="001A62D7" w:rsidRPr="008D462D" w:rsidTr="008D3AFF">
        <w:tc>
          <w:tcPr>
            <w:tcW w:w="4908" w:type="dxa"/>
            <w:tcBorders>
              <w:top w:val="dotted" w:sz="4" w:space="0" w:color="auto"/>
              <w:bottom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w:t>
            </w:r>
            <w:r>
              <w:rPr>
                <w:rFonts w:eastAsia="Calibri"/>
                <w:noProof/>
              </w:rPr>
              <w:t xml:space="preserve"> for</w:t>
            </w:r>
            <w:r w:rsidRPr="008D462D">
              <w:rPr>
                <w:rFonts w:eastAsia="Calibri"/>
                <w:noProof/>
              </w:rPr>
              <w:t xml:space="preserve"> provisio</w:t>
            </w:r>
            <w:r>
              <w:rPr>
                <w:rFonts w:eastAsia="Calibri"/>
                <w:noProof/>
              </w:rPr>
              <w:t>n of the additional information</w:t>
            </w:r>
          </w:p>
        </w:tc>
        <w:tc>
          <w:tcPr>
            <w:tcW w:w="4379" w:type="dxa"/>
            <w:tcBorders>
              <w:top w:val="dotted" w:sz="4" w:space="0" w:color="auto"/>
              <w:bottom w:val="dotted" w:sz="4" w:space="0" w:color="auto"/>
            </w:tcBorders>
            <w:shd w:val="clear" w:color="auto" w:fill="auto"/>
          </w:tcPr>
          <w:p w:rsidR="001A62D7" w:rsidRPr="008D462D" w:rsidRDefault="00E94002" w:rsidP="001D5990">
            <w:pPr>
              <w:spacing w:before="60" w:after="60"/>
              <w:ind w:rightChars="192" w:right="461"/>
              <w:jc w:val="left"/>
              <w:rPr>
                <w:rFonts w:eastAsia="Calibri"/>
                <w:noProof/>
              </w:rPr>
            </w:pPr>
            <w:r>
              <w:rPr>
                <w:noProof/>
              </w:rPr>
              <w:t>18 November 2025</w:t>
            </w:r>
          </w:p>
        </w:tc>
      </w:tr>
      <w:tr w:rsidR="001A62D7" w:rsidRPr="008D462D" w:rsidTr="008D3AFF">
        <w:tc>
          <w:tcPr>
            <w:tcW w:w="4908" w:type="dxa"/>
            <w:tcBorders>
              <w:top w:val="dotted" w:sz="4" w:space="0" w:color="auto"/>
            </w:tcBorders>
            <w:shd w:val="clear" w:color="auto" w:fill="auto"/>
          </w:tcPr>
          <w:p w:rsidR="001A62D7" w:rsidRPr="008D462D" w:rsidRDefault="001A62D7" w:rsidP="001D5990">
            <w:pPr>
              <w:spacing w:before="60" w:after="60"/>
              <w:jc w:val="left"/>
              <w:rPr>
                <w:rFonts w:eastAsia="Calibri"/>
                <w:noProof/>
              </w:rPr>
            </w:pPr>
            <w:r w:rsidRPr="008D462D">
              <w:rPr>
                <w:rFonts w:eastAsia="Calibri"/>
                <w:noProof/>
              </w:rPr>
              <w:t>Deadline for the completion of the a</w:t>
            </w:r>
            <w:r>
              <w:rPr>
                <w:rFonts w:eastAsia="Calibri"/>
                <w:noProof/>
              </w:rPr>
              <w:t>ssessment</w:t>
            </w:r>
          </w:p>
        </w:tc>
        <w:tc>
          <w:tcPr>
            <w:tcW w:w="4379" w:type="dxa"/>
            <w:tcBorders>
              <w:top w:val="dotted" w:sz="4" w:space="0" w:color="auto"/>
            </w:tcBorders>
            <w:shd w:val="clear" w:color="auto" w:fill="auto"/>
          </w:tcPr>
          <w:p w:rsidR="001A62D7" w:rsidRPr="008D462D" w:rsidRDefault="00E94002" w:rsidP="001D5990">
            <w:pPr>
              <w:spacing w:before="60" w:after="60"/>
              <w:ind w:rightChars="192" w:right="461"/>
              <w:jc w:val="left"/>
              <w:rPr>
                <w:rFonts w:eastAsia="Calibri"/>
                <w:noProof/>
              </w:rPr>
            </w:pPr>
            <w:r>
              <w:rPr>
                <w:noProof/>
              </w:rPr>
              <w:t>6 February 2026</w:t>
            </w:r>
          </w:p>
        </w:tc>
      </w:tr>
      <w:tr w:rsidR="001A62D7" w:rsidRPr="008D462D" w:rsidTr="008D3AFF">
        <w:tc>
          <w:tcPr>
            <w:tcW w:w="4908" w:type="dxa"/>
            <w:shd w:val="clear" w:color="auto" w:fill="auto"/>
          </w:tcPr>
          <w:p w:rsidR="001A62D7" w:rsidRPr="008D462D" w:rsidRDefault="001A62D7" w:rsidP="001D5990">
            <w:pPr>
              <w:spacing w:before="60" w:after="60"/>
              <w:jc w:val="left"/>
              <w:rPr>
                <w:rFonts w:eastAsia="Calibri"/>
                <w:noProof/>
              </w:rPr>
            </w:pPr>
            <w:r>
              <w:rPr>
                <w:rFonts w:eastAsia="Calibri"/>
                <w:noProof/>
              </w:rPr>
              <w:t>Intervention criterion</w:t>
            </w:r>
          </w:p>
        </w:tc>
        <w:tc>
          <w:tcPr>
            <w:tcW w:w="4379" w:type="dxa"/>
            <w:shd w:val="clear" w:color="auto" w:fill="auto"/>
          </w:tcPr>
          <w:p w:rsidR="001A62D7" w:rsidRPr="008D462D" w:rsidRDefault="001A62D7" w:rsidP="001D5990">
            <w:pPr>
              <w:spacing w:before="60" w:after="60"/>
              <w:ind w:rightChars="192" w:right="461"/>
              <w:jc w:val="left"/>
              <w:rPr>
                <w:rFonts w:eastAsia="Calibri"/>
                <w:noProof/>
              </w:rPr>
            </w:pPr>
            <w:r w:rsidRPr="003E323E">
              <w:rPr>
                <w:rFonts w:eastAsia="Calibri"/>
                <w:noProof/>
              </w:rPr>
              <w:t>Article 4(2), point (a), of Regulation (EU) 2021/691</w:t>
            </w:r>
          </w:p>
        </w:tc>
      </w:tr>
      <w:tr w:rsidR="001A62D7" w:rsidRPr="008D462D" w:rsidTr="008D3AFF">
        <w:tc>
          <w:tcPr>
            <w:tcW w:w="4908" w:type="dxa"/>
            <w:tcBorders>
              <w:top w:val="single" w:sz="4" w:space="0" w:color="auto"/>
              <w:bottom w:val="single" w:sz="4" w:space="0" w:color="auto"/>
              <w:right w:val="single" w:sz="4" w:space="0" w:color="auto"/>
            </w:tcBorders>
            <w:shd w:val="clear" w:color="auto" w:fill="auto"/>
          </w:tcPr>
          <w:p w:rsidR="001A62D7" w:rsidRPr="006927AB" w:rsidRDefault="001A62D7" w:rsidP="001D5990">
            <w:pPr>
              <w:spacing w:before="60" w:after="60"/>
              <w:jc w:val="left"/>
              <w:rPr>
                <w:rFonts w:eastAsia="Calibri"/>
                <w:noProof/>
              </w:rPr>
            </w:pPr>
            <w:r w:rsidRPr="006927AB">
              <w:rPr>
                <w:noProof/>
              </w:rPr>
              <w:br w:type="page"/>
            </w:r>
            <w:r w:rsidRPr="006927AB">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1A62D7" w:rsidRPr="006927AB" w:rsidRDefault="00C13DC3" w:rsidP="001D5990">
            <w:pPr>
              <w:spacing w:before="60" w:after="60"/>
              <w:ind w:rightChars="192" w:right="461"/>
              <w:jc w:val="left"/>
              <w:rPr>
                <w:noProof/>
                <w:szCs w:val="24"/>
              </w:rPr>
            </w:pPr>
            <w:r>
              <w:rPr>
                <w:noProof/>
              </w:rPr>
              <w:t>KTM (KTM Gruppe</w:t>
            </w:r>
            <w:r w:rsidR="009D3A3A">
              <w:rPr>
                <w:rStyle w:val="FootnoteReference"/>
                <w:noProof/>
              </w:rPr>
              <w:footnoteReference w:id="3"/>
            </w:r>
            <w:r>
              <w:rPr>
                <w:noProof/>
              </w:rPr>
              <w:t>)</w:t>
            </w:r>
          </w:p>
        </w:tc>
      </w:tr>
      <w:tr w:rsidR="001A62D7" w:rsidRPr="003E323E" w:rsidTr="008D3AFF">
        <w:tc>
          <w:tcPr>
            <w:tcW w:w="4908" w:type="dxa"/>
            <w:shd w:val="clear" w:color="auto" w:fill="auto"/>
          </w:tcPr>
          <w:p w:rsidR="001A62D7" w:rsidRDefault="001A62D7" w:rsidP="001D5990">
            <w:pPr>
              <w:spacing w:before="60" w:after="60"/>
              <w:jc w:val="left"/>
              <w:rPr>
                <w:rFonts w:eastAsia="Calibri"/>
                <w:noProof/>
              </w:rPr>
            </w:pPr>
            <w:r>
              <w:rPr>
                <w:rFonts w:eastAsia="Calibri"/>
                <w:noProof/>
              </w:rPr>
              <w:t>Sector(s) of economic activity</w:t>
            </w:r>
          </w:p>
          <w:p w:rsidR="001A62D7" w:rsidRPr="008D462D" w:rsidRDefault="001A62D7" w:rsidP="001D5990">
            <w:pPr>
              <w:spacing w:before="60" w:after="60"/>
              <w:jc w:val="left"/>
              <w:rPr>
                <w:rFonts w:eastAsia="Calibri"/>
                <w:noProof/>
              </w:rPr>
            </w:pPr>
            <w:r w:rsidRPr="008D462D">
              <w:rPr>
                <w:rFonts w:eastAsia="Calibri"/>
                <w:noProof/>
              </w:rPr>
              <w:t>(NACE Rev</w:t>
            </w:r>
            <w:r>
              <w:rPr>
                <w:rFonts w:eastAsia="Calibri"/>
                <w:noProof/>
              </w:rPr>
              <w:t>ision</w:t>
            </w:r>
            <w:r w:rsidRPr="008D462D">
              <w:rPr>
                <w:rFonts w:eastAsia="Calibri"/>
                <w:noProof/>
              </w:rPr>
              <w:t xml:space="preserve"> 2 </w:t>
            </w:r>
            <w:r>
              <w:rPr>
                <w:rFonts w:eastAsia="Calibri"/>
                <w:noProof/>
              </w:rPr>
              <w:t>d</w:t>
            </w:r>
            <w:r w:rsidRPr="008D462D">
              <w:rPr>
                <w:rFonts w:eastAsia="Calibri"/>
                <w:noProof/>
              </w:rPr>
              <w:t>ivision)</w:t>
            </w:r>
            <w:r>
              <w:rPr>
                <w:rStyle w:val="FootnoteReference"/>
                <w:noProof/>
                <w:szCs w:val="24"/>
              </w:rPr>
              <w:footnoteReference w:id="4"/>
            </w:r>
          </w:p>
        </w:tc>
        <w:tc>
          <w:tcPr>
            <w:tcW w:w="4379" w:type="dxa"/>
            <w:shd w:val="clear" w:color="auto" w:fill="auto"/>
          </w:tcPr>
          <w:p w:rsidR="001A62D7" w:rsidRPr="00C13DC3" w:rsidRDefault="001A62D7" w:rsidP="001D5990">
            <w:pPr>
              <w:spacing w:before="60" w:after="60"/>
              <w:ind w:rightChars="192" w:right="461"/>
              <w:jc w:val="left"/>
              <w:rPr>
                <w:noProof/>
                <w:szCs w:val="24"/>
                <w:lang w:val="en-IE"/>
              </w:rPr>
            </w:pPr>
            <w:r w:rsidRPr="00C13DC3">
              <w:rPr>
                <w:noProof/>
                <w:szCs w:val="24"/>
                <w:lang w:val="en-IE"/>
              </w:rPr>
              <w:t xml:space="preserve">Division </w:t>
            </w:r>
            <w:r w:rsidR="00C13DC3">
              <w:rPr>
                <w:noProof/>
                <w:szCs w:val="24"/>
              </w:rPr>
              <w:t>30</w:t>
            </w:r>
            <w:r w:rsidRPr="00C13DC3">
              <w:rPr>
                <w:noProof/>
                <w:szCs w:val="24"/>
                <w:lang w:val="en-IE"/>
              </w:rPr>
              <w:t xml:space="preserve"> (</w:t>
            </w:r>
            <w:r w:rsidR="00C13DC3">
              <w:rPr>
                <w:noProof/>
                <w:szCs w:val="24"/>
              </w:rPr>
              <w:t>Manufacture of other transport equipment</w:t>
            </w:r>
            <w:r w:rsidRPr="00C13DC3">
              <w:rPr>
                <w:noProof/>
                <w:szCs w:val="24"/>
                <w:lang w:val="en-IE"/>
              </w:rPr>
              <w:t>)</w:t>
            </w:r>
          </w:p>
        </w:tc>
      </w:tr>
      <w:tr w:rsidR="008D3AFF" w:rsidRPr="008D462D" w:rsidTr="008D3AFF">
        <w:tc>
          <w:tcPr>
            <w:tcW w:w="4908" w:type="dxa"/>
            <w:tcBorders>
              <w:bottom w:val="single" w:sz="4" w:space="0" w:color="auto"/>
            </w:tcBorders>
            <w:shd w:val="clear" w:color="auto" w:fill="auto"/>
          </w:tcPr>
          <w:p w:rsidR="008D3AFF" w:rsidRPr="006927AB" w:rsidRDefault="008D3AFF" w:rsidP="001D5990">
            <w:pPr>
              <w:spacing w:before="60" w:after="60"/>
              <w:jc w:val="left"/>
              <w:rPr>
                <w:rFonts w:eastAsia="Calibri"/>
                <w:noProof/>
              </w:rPr>
            </w:pPr>
            <w:r>
              <w:rPr>
                <w:rFonts w:eastAsia="Calibri"/>
                <w:noProof/>
              </w:rPr>
              <w:t xml:space="preserve">Reference </w:t>
            </w:r>
            <w:r w:rsidRPr="00804C62">
              <w:rPr>
                <w:rFonts w:eastAsia="Calibri"/>
                <w:noProof/>
              </w:rPr>
              <w:t>period (four months</w:t>
            </w:r>
            <w:r>
              <w:rPr>
                <w:rFonts w:eastAsia="Calibri"/>
                <w:noProof/>
              </w:rPr>
              <w:t>):</w:t>
            </w:r>
          </w:p>
        </w:tc>
        <w:tc>
          <w:tcPr>
            <w:tcW w:w="4379" w:type="dxa"/>
            <w:tcBorders>
              <w:bottom w:val="single" w:sz="4" w:space="0" w:color="auto"/>
            </w:tcBorders>
            <w:shd w:val="clear" w:color="auto" w:fill="auto"/>
          </w:tcPr>
          <w:p w:rsidR="008D3AFF" w:rsidRPr="006927AB" w:rsidRDefault="008D3AFF" w:rsidP="001D5990">
            <w:pPr>
              <w:spacing w:before="60" w:after="60"/>
              <w:ind w:rightChars="192" w:right="461"/>
              <w:jc w:val="left"/>
              <w:rPr>
                <w:rFonts w:eastAsia="Calibri"/>
                <w:noProof/>
              </w:rPr>
            </w:pPr>
            <w:r>
              <w:rPr>
                <w:noProof/>
              </w:rPr>
              <w:t>25 February 2025</w:t>
            </w:r>
            <w:r w:rsidRPr="008D462D">
              <w:rPr>
                <w:rFonts w:eastAsia="Calibri"/>
                <w:noProof/>
              </w:rPr>
              <w:t xml:space="preserve"> </w:t>
            </w:r>
            <w:r>
              <w:rPr>
                <w:rFonts w:eastAsia="Calibri"/>
                <w:noProof/>
              </w:rPr>
              <w:t>–</w:t>
            </w:r>
            <w:r w:rsidRPr="008D462D">
              <w:rPr>
                <w:rFonts w:eastAsia="Calibri"/>
                <w:noProof/>
              </w:rPr>
              <w:t xml:space="preserve"> </w:t>
            </w:r>
            <w:r>
              <w:rPr>
                <w:noProof/>
              </w:rPr>
              <w:t>25 June 2025</w:t>
            </w:r>
          </w:p>
        </w:tc>
      </w:tr>
      <w:tr w:rsidR="008D3AFF" w:rsidRPr="008D462D" w:rsidTr="008D3AFF">
        <w:tc>
          <w:tcPr>
            <w:tcW w:w="4908" w:type="dxa"/>
            <w:tcBorders>
              <w:bottom w:val="dotted" w:sz="4" w:space="0" w:color="auto"/>
            </w:tcBorders>
            <w:shd w:val="clear" w:color="auto" w:fill="auto"/>
          </w:tcPr>
          <w:p w:rsidR="008D3AFF" w:rsidRPr="008D462D" w:rsidRDefault="008D3AFF" w:rsidP="001D5990">
            <w:pPr>
              <w:spacing w:before="60" w:after="60"/>
              <w:jc w:val="left"/>
              <w:rPr>
                <w:rFonts w:eastAsia="Calibri"/>
                <w:noProof/>
              </w:rPr>
            </w:pPr>
            <w:r w:rsidRPr="00E438FE">
              <w:rPr>
                <w:rFonts w:eastAsia="Calibri"/>
                <w:noProof/>
              </w:rPr>
              <w:t xml:space="preserve">Number of </w:t>
            </w:r>
            <w:r>
              <w:rPr>
                <w:rFonts w:eastAsia="Calibri"/>
                <w:noProof/>
              </w:rPr>
              <w:t>displacements</w:t>
            </w:r>
            <w:r w:rsidRPr="00E438FE">
              <w:rPr>
                <w:rFonts w:eastAsia="Calibri"/>
                <w:noProof/>
              </w:rPr>
              <w:t xml:space="preserve"> during the reference period (</w:t>
            </w:r>
            <w:r w:rsidRPr="00E438FE">
              <w:rPr>
                <w:rFonts w:eastAsia="Calibri"/>
                <w:i/>
                <w:noProof/>
              </w:rPr>
              <w:t>a</w:t>
            </w:r>
            <w:r w:rsidRPr="00E438FE">
              <w:rPr>
                <w:rFonts w:eastAsia="Calibri"/>
                <w:noProof/>
              </w:rPr>
              <w:t>)</w:t>
            </w:r>
          </w:p>
        </w:tc>
        <w:tc>
          <w:tcPr>
            <w:tcW w:w="4379" w:type="dxa"/>
            <w:tcBorders>
              <w:bottom w:val="dotted" w:sz="4" w:space="0" w:color="auto"/>
            </w:tcBorders>
            <w:shd w:val="clear" w:color="auto" w:fill="auto"/>
          </w:tcPr>
          <w:p w:rsidR="008D3AFF" w:rsidRPr="008D462D" w:rsidRDefault="008D3AFF" w:rsidP="001D5990">
            <w:pPr>
              <w:spacing w:before="60" w:after="60"/>
              <w:ind w:rightChars="192" w:right="461"/>
              <w:jc w:val="left"/>
              <w:rPr>
                <w:rFonts w:eastAsia="Calibri"/>
                <w:noProof/>
              </w:rPr>
            </w:pPr>
            <w:r>
              <w:rPr>
                <w:noProof/>
              </w:rPr>
              <w:t>233</w:t>
            </w:r>
          </w:p>
        </w:tc>
      </w:tr>
      <w:tr w:rsidR="008D3AFF" w:rsidRPr="00DF2488" w:rsidTr="008D3AFF">
        <w:tc>
          <w:tcPr>
            <w:tcW w:w="4908" w:type="dxa"/>
            <w:tcBorders>
              <w:top w:val="dotted" w:sz="4" w:space="0" w:color="auto"/>
              <w:bottom w:val="dotted" w:sz="4" w:space="0" w:color="auto"/>
            </w:tcBorders>
            <w:shd w:val="clear" w:color="auto" w:fill="auto"/>
          </w:tcPr>
          <w:p w:rsidR="008D3AFF" w:rsidRPr="00DF2488" w:rsidRDefault="008D3AFF" w:rsidP="001D5990">
            <w:pPr>
              <w:spacing w:before="60" w:after="60"/>
              <w:jc w:val="left"/>
              <w:rPr>
                <w:rFonts w:eastAsia="Calibri"/>
                <w:noProof/>
                <w:highlight w:val="magenta"/>
              </w:rPr>
            </w:pPr>
            <w:r w:rsidRPr="00E438FE">
              <w:rPr>
                <w:rFonts w:eastAsia="Calibri"/>
                <w:noProof/>
              </w:rPr>
              <w:t xml:space="preserve">Number of </w:t>
            </w:r>
            <w:r>
              <w:rPr>
                <w:rFonts w:eastAsia="Calibri"/>
                <w:noProof/>
              </w:rPr>
              <w:t>displacements</w:t>
            </w:r>
            <w:r w:rsidRPr="00E438FE">
              <w:rPr>
                <w:rFonts w:eastAsia="Calibri"/>
                <w:noProof/>
              </w:rPr>
              <w:t xml:space="preserve"> before or after the </w:t>
            </w:r>
            <w:r w:rsidRPr="00E438FE">
              <w:rPr>
                <w:rFonts w:eastAsia="Calibri"/>
                <w:noProof/>
              </w:rPr>
              <w:lastRenderedPageBreak/>
              <w:t>reference period (</w:t>
            </w:r>
            <w:r w:rsidRPr="00E438FE">
              <w:rPr>
                <w:rFonts w:eastAsia="Calibri"/>
                <w:i/>
                <w:noProof/>
              </w:rPr>
              <w:t>b</w:t>
            </w:r>
            <w:r w:rsidRPr="00E438FE">
              <w:rPr>
                <w:rFonts w:eastAsia="Calibri"/>
                <w:noProof/>
              </w:rPr>
              <w:t>)</w:t>
            </w:r>
          </w:p>
        </w:tc>
        <w:tc>
          <w:tcPr>
            <w:tcW w:w="4379" w:type="dxa"/>
            <w:tcBorders>
              <w:top w:val="dotted" w:sz="4" w:space="0" w:color="auto"/>
              <w:bottom w:val="dotted" w:sz="4" w:space="0" w:color="auto"/>
            </w:tcBorders>
            <w:shd w:val="clear" w:color="auto" w:fill="auto"/>
          </w:tcPr>
          <w:p w:rsidR="008D3AFF" w:rsidRPr="00DF2488" w:rsidRDefault="000F7763" w:rsidP="001D5990">
            <w:pPr>
              <w:spacing w:before="60" w:after="60"/>
              <w:ind w:rightChars="192" w:right="461"/>
              <w:jc w:val="left"/>
              <w:rPr>
                <w:rFonts w:eastAsia="Calibri"/>
                <w:noProof/>
                <w:highlight w:val="magenta"/>
              </w:rPr>
            </w:pPr>
            <w:r>
              <w:rPr>
                <w:noProof/>
              </w:rPr>
              <w:lastRenderedPageBreak/>
              <w:t>1 255</w:t>
            </w:r>
          </w:p>
        </w:tc>
      </w:tr>
      <w:tr w:rsidR="008D3AFF" w:rsidRPr="008D462D" w:rsidTr="008D3AFF">
        <w:tc>
          <w:tcPr>
            <w:tcW w:w="4908" w:type="dxa"/>
            <w:tcBorders>
              <w:top w:val="dotted" w:sz="4" w:space="0" w:color="auto"/>
              <w:bottom w:val="single" w:sz="4" w:space="0" w:color="auto"/>
            </w:tcBorders>
            <w:shd w:val="clear" w:color="auto" w:fill="auto"/>
          </w:tcPr>
          <w:p w:rsidR="008D3AFF" w:rsidRPr="00DF2488" w:rsidRDefault="008D3AFF" w:rsidP="001D5990">
            <w:pPr>
              <w:spacing w:before="60" w:after="60"/>
              <w:jc w:val="left"/>
              <w:rPr>
                <w:rFonts w:eastAsia="Calibri"/>
                <w:noProof/>
                <w:highlight w:val="magenta"/>
              </w:rPr>
            </w:pPr>
            <w:r w:rsidRPr="008D462D">
              <w:rPr>
                <w:rFonts w:eastAsia="Calibri"/>
                <w:noProof/>
              </w:rPr>
              <w:t xml:space="preserve">Total number of </w:t>
            </w:r>
            <w:r>
              <w:rPr>
                <w:rFonts w:eastAsia="Calibri"/>
                <w:noProof/>
              </w:rPr>
              <w:t>displacements</w:t>
            </w:r>
            <w:r w:rsidRPr="008D462D">
              <w:rPr>
                <w:rFonts w:eastAsia="Calibri"/>
                <w:noProof/>
              </w:rPr>
              <w:t xml:space="preserve"> </w:t>
            </w:r>
            <w:r w:rsidRPr="00E438FE">
              <w:rPr>
                <w:rFonts w:eastAsia="Calibri"/>
                <w:noProof/>
              </w:rPr>
              <w:t>(</w:t>
            </w:r>
            <w:r w:rsidRPr="00E438FE">
              <w:rPr>
                <w:rFonts w:eastAsia="Calibri"/>
                <w:i/>
                <w:noProof/>
              </w:rPr>
              <w:t>a</w:t>
            </w:r>
            <w:r w:rsidRPr="00E438FE">
              <w:rPr>
                <w:rFonts w:eastAsia="Calibri"/>
                <w:noProof/>
              </w:rPr>
              <w:t xml:space="preserve"> + </w:t>
            </w:r>
            <w:r w:rsidRPr="00E438FE">
              <w:rPr>
                <w:rFonts w:eastAsia="Calibri"/>
                <w:i/>
                <w:noProof/>
              </w:rPr>
              <w:t>b</w:t>
            </w:r>
            <w:r w:rsidRPr="00E438FE">
              <w:rPr>
                <w:rFonts w:eastAsia="Calibri"/>
                <w:noProof/>
              </w:rPr>
              <w:t>)</w:t>
            </w:r>
          </w:p>
        </w:tc>
        <w:tc>
          <w:tcPr>
            <w:tcW w:w="4379" w:type="dxa"/>
            <w:tcBorders>
              <w:top w:val="dotted" w:sz="4" w:space="0" w:color="auto"/>
              <w:bottom w:val="single" w:sz="4" w:space="0" w:color="auto"/>
            </w:tcBorders>
            <w:shd w:val="clear" w:color="auto" w:fill="auto"/>
          </w:tcPr>
          <w:p w:rsidR="008D3AFF" w:rsidRPr="008D462D" w:rsidRDefault="008D3AFF" w:rsidP="001D5990">
            <w:pPr>
              <w:spacing w:before="60" w:after="60"/>
              <w:ind w:rightChars="192" w:right="461"/>
              <w:jc w:val="left"/>
              <w:rPr>
                <w:rFonts w:eastAsia="Calibri"/>
                <w:noProof/>
              </w:rPr>
            </w:pPr>
            <w:r>
              <w:rPr>
                <w:noProof/>
              </w:rPr>
              <w:t>1 </w:t>
            </w:r>
            <w:r w:rsidR="000F7763">
              <w:rPr>
                <w:noProof/>
              </w:rPr>
              <w:t>488</w:t>
            </w:r>
          </w:p>
        </w:tc>
      </w:tr>
      <w:tr w:rsidR="008D3AFF" w:rsidRPr="008D462D" w:rsidTr="008D3AFF">
        <w:tc>
          <w:tcPr>
            <w:tcW w:w="4908" w:type="dxa"/>
            <w:tcBorders>
              <w:bottom w:val="dotted" w:sz="4" w:space="0" w:color="auto"/>
            </w:tcBorders>
            <w:shd w:val="clear" w:color="auto" w:fill="auto"/>
          </w:tcPr>
          <w:p w:rsidR="008D3AFF" w:rsidRPr="008D462D" w:rsidRDefault="008D3AFF" w:rsidP="001D5990">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shd w:val="clear" w:color="auto" w:fill="auto"/>
          </w:tcPr>
          <w:p w:rsidR="008D3AFF" w:rsidRPr="008D462D" w:rsidRDefault="008D3AFF" w:rsidP="001D5990">
            <w:pPr>
              <w:spacing w:before="60" w:after="60"/>
              <w:ind w:rightChars="192" w:right="461"/>
              <w:jc w:val="left"/>
              <w:rPr>
                <w:rFonts w:eastAsia="Calibri"/>
                <w:noProof/>
              </w:rPr>
            </w:pPr>
            <w:r>
              <w:rPr>
                <w:noProof/>
              </w:rPr>
              <w:t>1 </w:t>
            </w:r>
            <w:r w:rsidR="000F7763">
              <w:rPr>
                <w:noProof/>
              </w:rPr>
              <w:t>488</w:t>
            </w:r>
          </w:p>
        </w:tc>
      </w:tr>
      <w:tr w:rsidR="008D3AFF" w:rsidRPr="008D462D" w:rsidTr="008D3AFF">
        <w:tc>
          <w:tcPr>
            <w:tcW w:w="4908" w:type="dxa"/>
            <w:tcBorders>
              <w:top w:val="dotted" w:sz="4" w:space="0" w:color="auto"/>
              <w:bottom w:val="dotted" w:sz="4" w:space="0" w:color="auto"/>
            </w:tcBorders>
            <w:shd w:val="clear" w:color="auto" w:fill="auto"/>
          </w:tcPr>
          <w:p w:rsidR="008D3AFF" w:rsidRPr="008D462D" w:rsidRDefault="008D3AFF" w:rsidP="001D5990">
            <w:pPr>
              <w:spacing w:before="60" w:after="60"/>
              <w:jc w:val="left"/>
              <w:rPr>
                <w:rFonts w:eastAsia="Calibri"/>
                <w:noProof/>
              </w:rPr>
            </w:pPr>
            <w:r>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8D3AFF" w:rsidRPr="008D462D" w:rsidRDefault="000F7763" w:rsidP="001D5990">
            <w:pPr>
              <w:spacing w:before="60" w:after="60"/>
              <w:ind w:rightChars="192" w:right="461"/>
              <w:jc w:val="left"/>
              <w:rPr>
                <w:rFonts w:eastAsia="Calibri"/>
                <w:noProof/>
              </w:rPr>
            </w:pPr>
            <w:r>
              <w:rPr>
                <w:noProof/>
              </w:rPr>
              <w:t>42</w:t>
            </w:r>
            <w:r w:rsidR="008D3AFF">
              <w:rPr>
                <w:noProof/>
              </w:rPr>
              <w:t>0</w:t>
            </w:r>
          </w:p>
        </w:tc>
      </w:tr>
      <w:tr w:rsidR="008D3AFF" w:rsidRPr="008D462D" w:rsidTr="008D3AFF">
        <w:tc>
          <w:tcPr>
            <w:tcW w:w="4908" w:type="dxa"/>
            <w:tcBorders>
              <w:bottom w:val="dotted" w:sz="4" w:space="0" w:color="auto"/>
            </w:tcBorders>
            <w:shd w:val="clear" w:color="auto" w:fill="auto"/>
            <w:vAlign w:val="center"/>
          </w:tcPr>
          <w:p w:rsidR="008D3AFF" w:rsidRPr="008D462D" w:rsidRDefault="008D3AFF" w:rsidP="001D5990">
            <w:pPr>
              <w:spacing w:before="60" w:after="60"/>
              <w:jc w:val="left"/>
              <w:rPr>
                <w:rFonts w:eastAsia="Calibri"/>
                <w:noProof/>
              </w:rPr>
            </w:pPr>
            <w:r>
              <w:rPr>
                <w:noProof/>
              </w:rPr>
              <w:t xml:space="preserve">Budget </w:t>
            </w:r>
            <w:r w:rsidRPr="008D462D">
              <w:rPr>
                <w:noProof/>
              </w:rPr>
              <w:t>for personalised services (EUR)</w:t>
            </w:r>
          </w:p>
        </w:tc>
        <w:tc>
          <w:tcPr>
            <w:tcW w:w="4379" w:type="dxa"/>
            <w:tcBorders>
              <w:bottom w:val="dotted" w:sz="4" w:space="0" w:color="auto"/>
            </w:tcBorders>
            <w:shd w:val="clear" w:color="auto" w:fill="auto"/>
            <w:vAlign w:val="center"/>
          </w:tcPr>
          <w:p w:rsidR="008D3AFF" w:rsidRPr="008D462D" w:rsidRDefault="005A0230" w:rsidP="001D5990">
            <w:pPr>
              <w:spacing w:before="60" w:after="60"/>
              <w:ind w:rightChars="192" w:right="461"/>
              <w:jc w:val="left"/>
              <w:rPr>
                <w:rFonts w:eastAsia="Calibri"/>
                <w:noProof/>
              </w:rPr>
            </w:pPr>
            <w:r>
              <w:rPr>
                <w:noProof/>
              </w:rPr>
              <w:t>2</w:t>
            </w:r>
            <w:r w:rsidR="008D3AFF">
              <w:rPr>
                <w:noProof/>
              </w:rPr>
              <w:t> </w:t>
            </w:r>
            <w:r>
              <w:rPr>
                <w:noProof/>
              </w:rPr>
              <w:t>895 120</w:t>
            </w:r>
          </w:p>
        </w:tc>
      </w:tr>
      <w:tr w:rsidR="008D3AFF" w:rsidRPr="008D462D" w:rsidTr="008D3AFF">
        <w:tc>
          <w:tcPr>
            <w:tcW w:w="4908" w:type="dxa"/>
            <w:tcBorders>
              <w:top w:val="dotted" w:sz="4" w:space="0" w:color="auto"/>
              <w:bottom w:val="dotted" w:sz="4" w:space="0" w:color="auto"/>
            </w:tcBorders>
            <w:shd w:val="clear" w:color="auto" w:fill="auto"/>
            <w:vAlign w:val="center"/>
          </w:tcPr>
          <w:p w:rsidR="008D3AFF" w:rsidRPr="008D462D" w:rsidRDefault="008D3AFF" w:rsidP="001D5990">
            <w:pPr>
              <w:spacing w:before="0" w:after="0"/>
              <w:jc w:val="left"/>
              <w:rPr>
                <w:noProof/>
              </w:rPr>
            </w:pPr>
            <w:r>
              <w:rPr>
                <w:noProof/>
              </w:rPr>
              <w:t>Budget</w:t>
            </w:r>
            <w:r w:rsidRPr="008D462D">
              <w:rPr>
                <w:noProof/>
              </w:rPr>
              <w:t xml:space="preserve"> for implementing EGF</w:t>
            </w:r>
            <w:r>
              <w:rPr>
                <w:rStyle w:val="FootnoteReference"/>
                <w:noProof/>
              </w:rPr>
              <w:footnoteReference w:id="5"/>
            </w:r>
            <w:r w:rsidRPr="008D462D">
              <w:rPr>
                <w:noProof/>
              </w:rPr>
              <w:t xml:space="preserve"> (EUR)</w:t>
            </w:r>
          </w:p>
        </w:tc>
        <w:tc>
          <w:tcPr>
            <w:tcW w:w="4379" w:type="dxa"/>
            <w:tcBorders>
              <w:top w:val="dotted" w:sz="4" w:space="0" w:color="auto"/>
              <w:bottom w:val="dotted" w:sz="4" w:space="0" w:color="auto"/>
            </w:tcBorders>
            <w:shd w:val="clear" w:color="auto" w:fill="auto"/>
            <w:vAlign w:val="center"/>
          </w:tcPr>
          <w:p w:rsidR="008D3AFF" w:rsidRPr="008D462D" w:rsidRDefault="00D73296" w:rsidP="001D5990">
            <w:pPr>
              <w:spacing w:before="0" w:after="0"/>
              <w:ind w:rightChars="192" w:right="461"/>
              <w:jc w:val="left"/>
              <w:rPr>
                <w:noProof/>
              </w:rPr>
            </w:pPr>
            <w:r>
              <w:rPr>
                <w:noProof/>
              </w:rPr>
              <w:t>115</w:t>
            </w:r>
            <w:r w:rsidR="008D3AFF">
              <w:rPr>
                <w:noProof/>
              </w:rPr>
              <w:t> </w:t>
            </w:r>
            <w:r>
              <w:rPr>
                <w:noProof/>
              </w:rPr>
              <w:t>92</w:t>
            </w:r>
            <w:r w:rsidR="008D3AFF">
              <w:rPr>
                <w:noProof/>
              </w:rPr>
              <w:t>0</w:t>
            </w:r>
          </w:p>
        </w:tc>
      </w:tr>
      <w:tr w:rsidR="008D3AFF" w:rsidRPr="008D462D" w:rsidTr="008D3AFF">
        <w:tc>
          <w:tcPr>
            <w:tcW w:w="4908" w:type="dxa"/>
            <w:tcBorders>
              <w:top w:val="dotted" w:sz="4" w:space="0" w:color="auto"/>
              <w:bottom w:val="dotted" w:sz="4" w:space="0" w:color="auto"/>
            </w:tcBorders>
            <w:shd w:val="clear" w:color="auto" w:fill="auto"/>
            <w:vAlign w:val="center"/>
          </w:tcPr>
          <w:p w:rsidR="008D3AFF" w:rsidRPr="008D462D" w:rsidRDefault="008D3AFF" w:rsidP="001D5990">
            <w:pPr>
              <w:spacing w:before="0" w:after="0"/>
              <w:jc w:val="left"/>
              <w:rPr>
                <w:noProof/>
              </w:rPr>
            </w:pPr>
            <w:r w:rsidRPr="008D462D">
              <w:rPr>
                <w:noProof/>
              </w:rPr>
              <w:t>Total budget (EUR)</w:t>
            </w:r>
          </w:p>
        </w:tc>
        <w:tc>
          <w:tcPr>
            <w:tcW w:w="4379" w:type="dxa"/>
            <w:tcBorders>
              <w:top w:val="dotted" w:sz="4" w:space="0" w:color="auto"/>
              <w:bottom w:val="dotted" w:sz="4" w:space="0" w:color="auto"/>
            </w:tcBorders>
            <w:shd w:val="clear" w:color="auto" w:fill="auto"/>
            <w:vAlign w:val="center"/>
          </w:tcPr>
          <w:p w:rsidR="008D3AFF" w:rsidRPr="008D462D" w:rsidRDefault="00D73296" w:rsidP="001D5990">
            <w:pPr>
              <w:spacing w:before="0" w:after="0"/>
              <w:ind w:rightChars="192" w:right="461"/>
              <w:jc w:val="left"/>
              <w:rPr>
                <w:noProof/>
              </w:rPr>
            </w:pPr>
            <w:r>
              <w:rPr>
                <w:noProof/>
              </w:rPr>
              <w:t>3</w:t>
            </w:r>
            <w:r w:rsidR="008D3AFF">
              <w:rPr>
                <w:noProof/>
              </w:rPr>
              <w:t> </w:t>
            </w:r>
            <w:r>
              <w:rPr>
                <w:noProof/>
              </w:rPr>
              <w:t>011 040</w:t>
            </w:r>
          </w:p>
        </w:tc>
      </w:tr>
      <w:tr w:rsidR="008D3AFF" w:rsidRPr="008D462D" w:rsidTr="008D3AFF">
        <w:tc>
          <w:tcPr>
            <w:tcW w:w="4908" w:type="dxa"/>
            <w:tcBorders>
              <w:top w:val="dotted" w:sz="4" w:space="0" w:color="auto"/>
            </w:tcBorders>
            <w:shd w:val="clear" w:color="auto" w:fill="auto"/>
            <w:vAlign w:val="center"/>
          </w:tcPr>
          <w:p w:rsidR="008D3AFF" w:rsidRPr="008D462D" w:rsidRDefault="008D3AFF" w:rsidP="001D5990">
            <w:pPr>
              <w:spacing w:before="0" w:after="0"/>
              <w:jc w:val="left"/>
              <w:rPr>
                <w:noProof/>
              </w:rPr>
            </w:pPr>
            <w:r>
              <w:rPr>
                <w:noProof/>
              </w:rPr>
              <w:t>EGF contribution (60 %)</w:t>
            </w:r>
            <w:r w:rsidRPr="008D462D">
              <w:rPr>
                <w:noProof/>
              </w:rPr>
              <w:t xml:space="preserve"> (EUR)</w:t>
            </w:r>
          </w:p>
        </w:tc>
        <w:tc>
          <w:tcPr>
            <w:tcW w:w="4379" w:type="dxa"/>
            <w:tcBorders>
              <w:top w:val="dotted" w:sz="4" w:space="0" w:color="auto"/>
            </w:tcBorders>
            <w:shd w:val="clear" w:color="auto" w:fill="auto"/>
            <w:vAlign w:val="center"/>
          </w:tcPr>
          <w:p w:rsidR="008D3AFF" w:rsidRPr="008D462D" w:rsidRDefault="008D3AFF" w:rsidP="001D5990">
            <w:pPr>
              <w:spacing w:before="0" w:after="0"/>
              <w:ind w:rightChars="192" w:right="461"/>
              <w:jc w:val="left"/>
              <w:rPr>
                <w:noProof/>
              </w:rPr>
            </w:pPr>
            <w:r>
              <w:rPr>
                <w:noProof/>
              </w:rPr>
              <w:t>1 </w:t>
            </w:r>
            <w:r w:rsidR="005A0230">
              <w:rPr>
                <w:noProof/>
              </w:rPr>
              <w:t>806</w:t>
            </w:r>
            <w:r>
              <w:rPr>
                <w:noProof/>
              </w:rPr>
              <w:t> </w:t>
            </w:r>
            <w:r w:rsidR="005A0230">
              <w:rPr>
                <w:noProof/>
              </w:rPr>
              <w:t>624</w:t>
            </w:r>
          </w:p>
        </w:tc>
      </w:tr>
    </w:tbl>
    <w:p w:rsidR="001A62D7" w:rsidRDefault="001A62D7" w:rsidP="001A62D7">
      <w:pPr>
        <w:pStyle w:val="ManualHeading1"/>
        <w:rPr>
          <w:noProof/>
        </w:rPr>
      </w:pPr>
      <w:r>
        <w:rPr>
          <w:noProof/>
        </w:rPr>
        <w:t>ASSESSMENT OF THE APPLICATION</w:t>
      </w:r>
    </w:p>
    <w:p w:rsidR="001A62D7" w:rsidRPr="00A824FA" w:rsidRDefault="001A62D7" w:rsidP="001A62D7">
      <w:pPr>
        <w:pStyle w:val="ManualHeading2"/>
        <w:rPr>
          <w:noProof/>
        </w:rPr>
      </w:pPr>
      <w:r>
        <w:rPr>
          <w:noProof/>
        </w:rPr>
        <w:t>Procedure</w:t>
      </w:r>
    </w:p>
    <w:p w:rsidR="001A62D7" w:rsidRPr="006F770D" w:rsidRDefault="00903D85" w:rsidP="00AE7D04">
      <w:pPr>
        <w:pStyle w:val="ManualNumPar1"/>
        <w:rPr>
          <w:noProof/>
        </w:rPr>
      </w:pPr>
      <w:r>
        <w:rPr>
          <w:noProof/>
        </w:rPr>
        <w:t>4.</w:t>
      </w:r>
      <w:r>
        <w:rPr>
          <w:noProof/>
        </w:rPr>
        <w:tab/>
        <w:t>Austria</w:t>
      </w:r>
      <w:r w:rsidR="001A62D7">
        <w:rPr>
          <w:noProof/>
        </w:rPr>
        <w:t xml:space="preserve"> </w:t>
      </w:r>
      <w:r w:rsidR="001A62D7" w:rsidRPr="008D462D">
        <w:rPr>
          <w:noProof/>
        </w:rPr>
        <w:t>submitted application EGF/</w:t>
      </w:r>
      <w:r>
        <w:rPr>
          <w:noProof/>
        </w:rPr>
        <w:t>2025</w:t>
      </w:r>
      <w:r w:rsidR="001A62D7" w:rsidRPr="008D462D">
        <w:rPr>
          <w:noProof/>
        </w:rPr>
        <w:t>/</w:t>
      </w:r>
      <w:r>
        <w:rPr>
          <w:noProof/>
        </w:rPr>
        <w:t>005</w:t>
      </w:r>
      <w:r w:rsidR="001A62D7">
        <w:rPr>
          <w:noProof/>
        </w:rPr>
        <w:t> </w:t>
      </w:r>
      <w:r>
        <w:rPr>
          <w:noProof/>
        </w:rPr>
        <w:t>AT</w:t>
      </w:r>
      <w:r w:rsidR="001A62D7" w:rsidRPr="008D462D">
        <w:rPr>
          <w:noProof/>
        </w:rPr>
        <w:t>/</w:t>
      </w:r>
      <w:r>
        <w:rPr>
          <w:noProof/>
        </w:rPr>
        <w:t>KTM</w:t>
      </w:r>
      <w:r w:rsidR="001A62D7" w:rsidRPr="008D462D">
        <w:rPr>
          <w:noProof/>
        </w:rPr>
        <w:t xml:space="preserve"> within 12 weeks of the date on which the intervention </w:t>
      </w:r>
      <w:r w:rsidR="001A62D7" w:rsidRPr="00E34517">
        <w:rPr>
          <w:noProof/>
        </w:rPr>
        <w:t xml:space="preserve">criteria set out in Article 4 </w:t>
      </w:r>
      <w:r w:rsidR="001A62D7" w:rsidRPr="00E34517">
        <w:rPr>
          <w:rFonts w:eastAsia="Calibri"/>
          <w:noProof/>
        </w:rPr>
        <w:t>(2), point (a),</w:t>
      </w:r>
      <w:r w:rsidR="001A62D7" w:rsidRPr="00E34517">
        <w:rPr>
          <w:noProof/>
        </w:rPr>
        <w:t xml:space="preserve"> of Regulation (EU) 2021/691 were met, on </w:t>
      </w:r>
      <w:r w:rsidRPr="00E34517">
        <w:rPr>
          <w:noProof/>
        </w:rPr>
        <w:t>15 September 2025</w:t>
      </w:r>
      <w:r w:rsidR="001A62D7" w:rsidRPr="00E34517">
        <w:rPr>
          <w:noProof/>
        </w:rPr>
        <w:t xml:space="preserve">. The Commission acknowledged receipt of the application the same </w:t>
      </w:r>
      <w:r w:rsidR="001A62D7" w:rsidRPr="00F562D5">
        <w:rPr>
          <w:noProof/>
        </w:rPr>
        <w:t>date</w:t>
      </w:r>
      <w:r w:rsidR="00E34517" w:rsidRPr="00F562D5">
        <w:rPr>
          <w:noProof/>
        </w:rPr>
        <w:t xml:space="preserve">. The Commission was in possession of the translation of the application on </w:t>
      </w:r>
      <w:r w:rsidR="00F562D5" w:rsidRPr="00E766C3">
        <w:rPr>
          <w:noProof/>
        </w:rPr>
        <w:t>14 October 202</w:t>
      </w:r>
      <w:r w:rsidR="00F562D5" w:rsidRPr="00F562D5">
        <w:rPr>
          <w:noProof/>
        </w:rPr>
        <w:t>5</w:t>
      </w:r>
      <w:r w:rsidR="00F562D5" w:rsidRPr="00F562D5">
        <w:rPr>
          <w:noProof/>
          <w:color w:val="FFFFFF" w:themeColor="background1"/>
          <w:u w:val="single"/>
        </w:rPr>
        <w:t xml:space="preserve">5 </w:t>
      </w:r>
      <w:r w:rsidR="001A62D7" w:rsidRPr="00F562D5">
        <w:rPr>
          <w:noProof/>
        </w:rPr>
        <w:t xml:space="preserve">and requested additional information from </w:t>
      </w:r>
      <w:r w:rsidR="00E34517" w:rsidRPr="00F562D5">
        <w:rPr>
          <w:noProof/>
        </w:rPr>
        <w:t>Austria</w:t>
      </w:r>
      <w:r w:rsidR="001A62D7" w:rsidRPr="00F562D5">
        <w:rPr>
          <w:noProof/>
        </w:rPr>
        <w:t xml:space="preserve"> </w:t>
      </w:r>
      <w:r w:rsidR="00FF13C0">
        <w:rPr>
          <w:noProof/>
        </w:rPr>
        <w:t>by 28</w:t>
      </w:r>
      <w:r w:rsidR="00E34517" w:rsidRPr="00F562D5">
        <w:rPr>
          <w:noProof/>
        </w:rPr>
        <w:t xml:space="preserve"> October 2025</w:t>
      </w:r>
      <w:r w:rsidR="001A62D7" w:rsidRPr="00F562D5">
        <w:rPr>
          <w:noProof/>
        </w:rPr>
        <w:t>. Such additional information was provided within 15 working days</w:t>
      </w:r>
      <w:r w:rsidR="00E34517" w:rsidRPr="00F562D5">
        <w:rPr>
          <w:noProof/>
        </w:rPr>
        <w:t xml:space="preserve"> </w:t>
      </w:r>
      <w:r w:rsidR="001A62D7" w:rsidRPr="00F562D5">
        <w:rPr>
          <w:noProof/>
        </w:rPr>
        <w:t>of the request</w:t>
      </w:r>
      <w:r w:rsidR="00E34517" w:rsidRPr="00F562D5">
        <w:rPr>
          <w:noProof/>
        </w:rPr>
        <w:t xml:space="preserve">. </w:t>
      </w:r>
      <w:r w:rsidR="001A62D7" w:rsidRPr="00F562D5">
        <w:rPr>
          <w:noProof/>
        </w:rPr>
        <w:t>The deadline of 50 working days of the receipt of the complete application within which the Commission</w:t>
      </w:r>
      <w:r w:rsidR="001A62D7" w:rsidRPr="008D462D">
        <w:rPr>
          <w:noProof/>
        </w:rPr>
        <w:t xml:space="preserve"> should finalise its assessment of the application's compliance with the conditions for providing a financial contribution expires on </w:t>
      </w:r>
      <w:r w:rsidR="00E34517">
        <w:rPr>
          <w:noProof/>
        </w:rPr>
        <w:t>6 February 2026</w:t>
      </w:r>
      <w:r w:rsidR="001A62D7">
        <w:rPr>
          <w:noProof/>
        </w:rPr>
        <w:t>.</w:t>
      </w:r>
    </w:p>
    <w:p w:rsidR="001A62D7" w:rsidRDefault="001A62D7" w:rsidP="001A62D7">
      <w:pPr>
        <w:pStyle w:val="ManualHeading2"/>
        <w:rPr>
          <w:noProof/>
        </w:rPr>
      </w:pPr>
      <w:r w:rsidRPr="00A50D50">
        <w:rPr>
          <w:noProof/>
        </w:rPr>
        <w:t>Eligibility of the application</w:t>
      </w:r>
    </w:p>
    <w:p w:rsidR="001A62D7" w:rsidRDefault="001A62D7" w:rsidP="001A62D7">
      <w:pPr>
        <w:pStyle w:val="ManualHeading3"/>
        <w:rPr>
          <w:noProof/>
        </w:rPr>
      </w:pPr>
      <w:r w:rsidRPr="00A50D50">
        <w:rPr>
          <w:noProof/>
        </w:rPr>
        <w:t>Enterprises and beneficiaries concerned</w:t>
      </w:r>
    </w:p>
    <w:p w:rsidR="001A62D7" w:rsidRPr="00B2710F" w:rsidRDefault="001A62D7" w:rsidP="00AE7D04">
      <w:pPr>
        <w:pStyle w:val="ManualNumPar1"/>
        <w:rPr>
          <w:noProof/>
          <w:szCs w:val="24"/>
        </w:rPr>
      </w:pPr>
      <w:r>
        <w:rPr>
          <w:noProof/>
        </w:rPr>
        <w:t>5.</w:t>
      </w:r>
      <w:r>
        <w:rPr>
          <w:noProof/>
        </w:rPr>
        <w:tab/>
      </w:r>
      <w:r w:rsidRPr="000E61DB">
        <w:rPr>
          <w:noProof/>
        </w:rPr>
        <w:t>The application relates to</w:t>
      </w:r>
      <w:r>
        <w:rPr>
          <w:noProof/>
        </w:rPr>
        <w:t xml:space="preserve"> </w:t>
      </w:r>
      <w:r w:rsidR="00E34517">
        <w:rPr>
          <w:noProof/>
        </w:rPr>
        <w:t>233</w:t>
      </w:r>
      <w:r w:rsidRPr="000E61DB">
        <w:rPr>
          <w:noProof/>
        </w:rPr>
        <w:t xml:space="preserve"> </w:t>
      </w:r>
      <w:r>
        <w:rPr>
          <w:noProof/>
        </w:rPr>
        <w:t xml:space="preserve">displaced </w:t>
      </w:r>
      <w:r w:rsidRPr="000E61DB">
        <w:rPr>
          <w:noProof/>
        </w:rPr>
        <w:t xml:space="preserve">workers </w:t>
      </w:r>
      <w:r>
        <w:rPr>
          <w:noProof/>
        </w:rPr>
        <w:t>whose activity has ceased</w:t>
      </w:r>
      <w:r w:rsidRPr="000E61DB">
        <w:rPr>
          <w:noProof/>
        </w:rPr>
        <w:t xml:space="preserve"> </w:t>
      </w:r>
      <w:r w:rsidRPr="00081DBB">
        <w:rPr>
          <w:noProof/>
        </w:rPr>
        <w:t>in</w:t>
      </w:r>
      <w:r>
        <w:rPr>
          <w:noProof/>
        </w:rPr>
        <w:t xml:space="preserve"> </w:t>
      </w:r>
      <w:r w:rsidR="00E34517">
        <w:rPr>
          <w:noProof/>
        </w:rPr>
        <w:t xml:space="preserve">KTM (KTM Gruppe) </w:t>
      </w:r>
      <w:r w:rsidRPr="000E61DB">
        <w:rPr>
          <w:noProof/>
        </w:rPr>
        <w:t xml:space="preserve">in </w:t>
      </w:r>
      <w:r w:rsidRPr="00E34517">
        <w:rPr>
          <w:noProof/>
        </w:rPr>
        <w:t>the economic sector</w:t>
      </w:r>
      <w:r w:rsidR="00E34517" w:rsidRPr="00E34517">
        <w:rPr>
          <w:noProof/>
        </w:rPr>
        <w:t xml:space="preserve"> </w:t>
      </w:r>
      <w:r w:rsidRPr="00E34517">
        <w:rPr>
          <w:noProof/>
        </w:rPr>
        <w:t xml:space="preserve">classified under the NACE Revision 2 division </w:t>
      </w:r>
      <w:r w:rsidR="00E34517" w:rsidRPr="00E34517">
        <w:rPr>
          <w:noProof/>
          <w:szCs w:val="24"/>
        </w:rPr>
        <w:t>30</w:t>
      </w:r>
      <w:r w:rsidRPr="00E34517">
        <w:rPr>
          <w:noProof/>
          <w:szCs w:val="24"/>
        </w:rPr>
        <w:t xml:space="preserve"> (</w:t>
      </w:r>
      <w:r w:rsidR="00E34517" w:rsidRPr="00E34517">
        <w:rPr>
          <w:noProof/>
          <w:szCs w:val="24"/>
        </w:rPr>
        <w:t>Manufacture of other transport equipment</w:t>
      </w:r>
      <w:r w:rsidR="00FD72B5">
        <w:rPr>
          <w:noProof/>
          <w:szCs w:val="24"/>
        </w:rPr>
        <w:t>)</w:t>
      </w:r>
      <w:r w:rsidR="00E34517" w:rsidRPr="00E34517">
        <w:rPr>
          <w:noProof/>
          <w:szCs w:val="24"/>
        </w:rPr>
        <w:t>.</w:t>
      </w:r>
      <w:r w:rsidRPr="00E34517">
        <w:rPr>
          <w:noProof/>
        </w:rPr>
        <w:t xml:space="preserve"> The redundancies</w:t>
      </w:r>
      <w:r w:rsidR="00E34517" w:rsidRPr="00E34517">
        <w:rPr>
          <w:noProof/>
        </w:rPr>
        <w:t xml:space="preserve"> </w:t>
      </w:r>
      <w:r w:rsidRPr="00E34517">
        <w:rPr>
          <w:noProof/>
        </w:rPr>
        <w:t xml:space="preserve">made by the enterprise are located in the NUTS 2 region of </w:t>
      </w:r>
      <w:r w:rsidR="00E34517" w:rsidRPr="00E34517">
        <w:rPr>
          <w:noProof/>
          <w:szCs w:val="24"/>
        </w:rPr>
        <w:t>Upper</w:t>
      </w:r>
      <w:r w:rsidR="00E34517">
        <w:rPr>
          <w:noProof/>
          <w:szCs w:val="24"/>
        </w:rPr>
        <w:t xml:space="preserve"> Austria</w:t>
      </w:r>
      <w:r w:rsidRPr="00B2710F">
        <w:rPr>
          <w:noProof/>
          <w:szCs w:val="24"/>
        </w:rPr>
        <w:t xml:space="preserve"> (</w:t>
      </w:r>
      <w:r w:rsidR="00E34517">
        <w:rPr>
          <w:noProof/>
          <w:szCs w:val="24"/>
        </w:rPr>
        <w:t>AT31</w:t>
      </w:r>
      <w:r w:rsidRPr="00B2710F">
        <w:rPr>
          <w:noProof/>
          <w:szCs w:val="24"/>
        </w:rPr>
        <w:t>).</w:t>
      </w:r>
    </w:p>
    <w:p w:rsidR="001A62D7" w:rsidRDefault="001A62D7" w:rsidP="001A62D7">
      <w:pPr>
        <w:pStyle w:val="ManualHeading3"/>
        <w:rPr>
          <w:noProof/>
        </w:rPr>
      </w:pPr>
      <w:r w:rsidRPr="000625B3">
        <w:rPr>
          <w:noProof/>
        </w:rPr>
        <w:t>Intervention criteria</w:t>
      </w:r>
    </w:p>
    <w:p w:rsidR="001A62D7" w:rsidRDefault="008E0E29" w:rsidP="001A62D7">
      <w:pPr>
        <w:pStyle w:val="ManualNumPar1"/>
        <w:rPr>
          <w:noProof/>
        </w:rPr>
      </w:pPr>
      <w:r>
        <w:rPr>
          <w:noProof/>
        </w:rPr>
        <w:t>6.</w:t>
      </w:r>
      <w:r>
        <w:rPr>
          <w:noProof/>
        </w:rPr>
        <w:tab/>
        <w:t>Austria</w:t>
      </w:r>
      <w:r w:rsidR="001A62D7">
        <w:rPr>
          <w:noProof/>
        </w:rPr>
        <w:t xml:space="preserve"> </w:t>
      </w:r>
      <w:r w:rsidR="001A62D7" w:rsidRPr="008D462D">
        <w:rPr>
          <w:noProof/>
        </w:rPr>
        <w:t>submitted the application under the interven</w:t>
      </w:r>
      <w:r w:rsidR="001A62D7">
        <w:rPr>
          <w:noProof/>
        </w:rPr>
        <w:t>tion criteria</w:t>
      </w:r>
      <w:r w:rsidR="001A62D7" w:rsidRPr="008D462D">
        <w:rPr>
          <w:noProof/>
        </w:rPr>
        <w:t xml:space="preserve"> </w:t>
      </w:r>
      <w:r w:rsidR="001A62D7" w:rsidRPr="001B3907">
        <w:rPr>
          <w:noProof/>
        </w:rPr>
        <w:t xml:space="preserve">of </w:t>
      </w:r>
      <w:r w:rsidR="001A62D7" w:rsidRPr="001B3907">
        <w:rPr>
          <w:rFonts w:eastAsia="Calibri"/>
          <w:noProof/>
        </w:rPr>
        <w:t>Article 4(2), point (a),</w:t>
      </w:r>
      <w:r w:rsidR="001A62D7" w:rsidRPr="001B3907">
        <w:rPr>
          <w:noProof/>
        </w:rPr>
        <w:t xml:space="preserve"> of Regulation</w:t>
      </w:r>
      <w:r w:rsidR="001A62D7">
        <w:rPr>
          <w:noProof/>
        </w:rPr>
        <w:t xml:space="preserve"> (EU) 2021/691, which</w:t>
      </w:r>
      <w:r w:rsidR="001A62D7" w:rsidRPr="008D462D">
        <w:rPr>
          <w:noProof/>
        </w:rPr>
        <w:t xml:space="preserve"> requires </w:t>
      </w:r>
      <w:r w:rsidR="001A62D7">
        <w:rPr>
          <w:noProof/>
        </w:rPr>
        <w:t xml:space="preserve">the cessation of activity of </w:t>
      </w:r>
      <w:r w:rsidR="001A62D7" w:rsidRPr="008D462D">
        <w:rPr>
          <w:noProof/>
        </w:rPr>
        <w:t xml:space="preserve">at least </w:t>
      </w:r>
      <w:r w:rsidR="001A62D7">
        <w:rPr>
          <w:noProof/>
        </w:rPr>
        <w:t>2</w:t>
      </w:r>
      <w:r w:rsidR="001A62D7" w:rsidRPr="008D462D">
        <w:rPr>
          <w:noProof/>
        </w:rPr>
        <w:t xml:space="preserve">00 </w:t>
      </w:r>
      <w:r w:rsidR="001A62D7">
        <w:rPr>
          <w:noProof/>
        </w:rPr>
        <w:t xml:space="preserve">displaced </w:t>
      </w:r>
      <w:r w:rsidR="001A62D7" w:rsidRPr="000E61DB">
        <w:rPr>
          <w:noProof/>
        </w:rPr>
        <w:t xml:space="preserve">workers </w:t>
      </w:r>
      <w:r w:rsidR="001A62D7" w:rsidRPr="008D462D">
        <w:rPr>
          <w:noProof/>
        </w:rPr>
        <w:t xml:space="preserve">over a reference period of </w:t>
      </w:r>
      <w:r w:rsidR="001A62D7" w:rsidRPr="000374D7">
        <w:rPr>
          <w:noProof/>
        </w:rPr>
        <w:t>four months</w:t>
      </w:r>
      <w:r w:rsidR="001A62D7" w:rsidRPr="000374D7">
        <w:rPr>
          <w:noProof/>
          <w:lang w:val="en-IE"/>
        </w:rPr>
        <w:t xml:space="preserve"> in an enterprise in a Member State, including workers</w:t>
      </w:r>
      <w:r w:rsidR="001A62D7">
        <w:rPr>
          <w:noProof/>
          <w:lang w:val="en-IE"/>
        </w:rPr>
        <w:t xml:space="preserve"> displaced</w:t>
      </w:r>
      <w:r w:rsidR="001A62D7" w:rsidRPr="000374D7">
        <w:rPr>
          <w:noProof/>
          <w:lang w:val="en-IE"/>
        </w:rPr>
        <w:t xml:space="preserve"> </w:t>
      </w:r>
      <w:r w:rsidR="001A62D7">
        <w:rPr>
          <w:noProof/>
          <w:lang w:val="en-IE"/>
        </w:rPr>
        <w:t xml:space="preserve">in </w:t>
      </w:r>
      <w:r w:rsidR="001A62D7" w:rsidRPr="000374D7">
        <w:rPr>
          <w:noProof/>
          <w:lang w:val="en-IE"/>
        </w:rPr>
        <w:t>suppliers and downstream producers and / or self-employed persons whose activity has cease</w:t>
      </w:r>
      <w:r w:rsidR="001B3907">
        <w:rPr>
          <w:noProof/>
          <w:lang w:val="en-IE"/>
        </w:rPr>
        <w:t>d.</w:t>
      </w:r>
    </w:p>
    <w:p w:rsidR="001A62D7" w:rsidRPr="0086094C" w:rsidRDefault="001A62D7" w:rsidP="001A62D7">
      <w:pPr>
        <w:pStyle w:val="ManualNumPar1"/>
        <w:rPr>
          <w:noProof/>
        </w:rPr>
      </w:pPr>
      <w:r>
        <w:rPr>
          <w:noProof/>
        </w:rPr>
        <w:t>7.</w:t>
      </w:r>
      <w:r>
        <w:rPr>
          <w:noProof/>
        </w:rPr>
        <w:tab/>
      </w:r>
      <w:bookmarkStart w:id="1" w:name="_Ref372189348"/>
      <w:r w:rsidRPr="000E61DB">
        <w:rPr>
          <w:noProof/>
        </w:rPr>
        <w:t>The r</w:t>
      </w:r>
      <w:r>
        <w:rPr>
          <w:noProof/>
        </w:rPr>
        <w:t xml:space="preserve">eference </w:t>
      </w:r>
      <w:r w:rsidRPr="00E34517">
        <w:rPr>
          <w:noProof/>
        </w:rPr>
        <w:t xml:space="preserve">period of </w:t>
      </w:r>
      <w:r w:rsidRPr="00E34517">
        <w:rPr>
          <w:rFonts w:eastAsia="Calibri"/>
          <w:noProof/>
        </w:rPr>
        <w:t>four</w:t>
      </w:r>
      <w:r w:rsidRPr="00E34517">
        <w:rPr>
          <w:noProof/>
        </w:rPr>
        <w:t xml:space="preserve"> months for</w:t>
      </w:r>
      <w:r>
        <w:rPr>
          <w:noProof/>
        </w:rPr>
        <w:t xml:space="preserve"> the application run</w:t>
      </w:r>
      <w:r w:rsidRPr="000E61DB">
        <w:rPr>
          <w:noProof/>
        </w:rPr>
        <w:t xml:space="preserve">s from </w:t>
      </w:r>
      <w:r w:rsidR="001B3907">
        <w:rPr>
          <w:noProof/>
        </w:rPr>
        <w:t>25 February 2025</w:t>
      </w:r>
      <w:r w:rsidRPr="000E61DB">
        <w:rPr>
          <w:noProof/>
        </w:rPr>
        <w:t xml:space="preserve"> to </w:t>
      </w:r>
      <w:bookmarkEnd w:id="1"/>
      <w:r w:rsidR="001B3907">
        <w:rPr>
          <w:noProof/>
        </w:rPr>
        <w:t>25 June 2025</w:t>
      </w:r>
      <w:r>
        <w:rPr>
          <w:noProof/>
        </w:rPr>
        <w:t>.</w:t>
      </w:r>
    </w:p>
    <w:p w:rsidR="001A62D7" w:rsidRPr="000625B3" w:rsidRDefault="001A62D7" w:rsidP="00E34517">
      <w:pPr>
        <w:pStyle w:val="ManualNumPar1"/>
        <w:rPr>
          <w:noProof/>
        </w:rPr>
      </w:pPr>
      <w:r>
        <w:rPr>
          <w:noProof/>
        </w:rPr>
        <w:t>8.</w:t>
      </w:r>
      <w:r>
        <w:rPr>
          <w:noProof/>
        </w:rPr>
        <w:tab/>
      </w:r>
      <w:r w:rsidRPr="00890E02">
        <w:rPr>
          <w:noProof/>
        </w:rPr>
        <w:t>The</w:t>
      </w:r>
      <w:r>
        <w:rPr>
          <w:noProof/>
        </w:rPr>
        <w:t xml:space="preserve">re were </w:t>
      </w:r>
      <w:r w:rsidR="00E34517">
        <w:rPr>
          <w:noProof/>
        </w:rPr>
        <w:t>233</w:t>
      </w:r>
      <w:r w:rsidRPr="008D462D">
        <w:rPr>
          <w:noProof/>
        </w:rPr>
        <w:t xml:space="preserve"> </w:t>
      </w:r>
      <w:r>
        <w:rPr>
          <w:noProof/>
        </w:rPr>
        <w:t xml:space="preserve">displaced </w:t>
      </w:r>
      <w:r w:rsidRPr="008D462D">
        <w:rPr>
          <w:noProof/>
        </w:rPr>
        <w:t>workers</w:t>
      </w:r>
      <w:r>
        <w:rPr>
          <w:noProof/>
        </w:rPr>
        <w:t xml:space="preserve"> </w:t>
      </w:r>
      <w:r w:rsidRPr="008D462D">
        <w:rPr>
          <w:noProof/>
        </w:rPr>
        <w:t xml:space="preserve">in </w:t>
      </w:r>
      <w:r w:rsidR="00E34517">
        <w:rPr>
          <w:noProof/>
        </w:rPr>
        <w:t>KTM</w:t>
      </w:r>
      <w:r>
        <w:rPr>
          <w:noProof/>
        </w:rPr>
        <w:t xml:space="preserve"> </w:t>
      </w:r>
      <w:r w:rsidRPr="00890E02">
        <w:rPr>
          <w:noProof/>
        </w:rPr>
        <w:t>during the reference period</w:t>
      </w:r>
      <w:r w:rsidR="00E34517">
        <w:rPr>
          <w:noProof/>
        </w:rPr>
        <w:t>.</w:t>
      </w:r>
      <w:r w:rsidR="00E34517" w:rsidRPr="000625B3">
        <w:rPr>
          <w:noProof/>
        </w:rPr>
        <w:t xml:space="preserve"> </w:t>
      </w:r>
    </w:p>
    <w:p w:rsidR="001A62D7" w:rsidRPr="00BD440D" w:rsidRDefault="001A62D7" w:rsidP="001A62D7">
      <w:pPr>
        <w:pStyle w:val="ManualHeading3"/>
        <w:rPr>
          <w:noProof/>
        </w:rPr>
      </w:pPr>
      <w:r w:rsidRPr="00BD440D">
        <w:rPr>
          <w:noProof/>
        </w:rPr>
        <w:t xml:space="preserve">Calculation of </w:t>
      </w:r>
      <w:r>
        <w:rPr>
          <w:noProof/>
        </w:rPr>
        <w:t>displacements</w:t>
      </w:r>
      <w:r w:rsidRPr="00BD440D">
        <w:rPr>
          <w:noProof/>
        </w:rPr>
        <w:t xml:space="preserve"> and of cessation of activity</w:t>
      </w:r>
    </w:p>
    <w:p w:rsidR="001A62D7" w:rsidRPr="008D462D" w:rsidRDefault="001A62D7" w:rsidP="001B3907">
      <w:pPr>
        <w:pStyle w:val="ManualNumPar1"/>
        <w:rPr>
          <w:noProof/>
        </w:rPr>
      </w:pPr>
      <w:r>
        <w:rPr>
          <w:noProof/>
        </w:rPr>
        <w:t>9.</w:t>
      </w:r>
      <w:r>
        <w:rPr>
          <w:noProof/>
        </w:rPr>
        <w:tab/>
        <w:t>Pursuant to Article 6, first paragraph, point (a), in conjunction with Article 5, first paragraph of Regulation (EU) 2021/691,</w:t>
      </w:r>
      <w:r w:rsidRPr="00D53BB8" w:rsidDel="00991BDD">
        <w:rPr>
          <w:noProof/>
        </w:rPr>
        <w:t xml:space="preserve"> </w:t>
      </w:r>
      <w:r>
        <w:rPr>
          <w:noProof/>
        </w:rPr>
        <w:t>t</w:t>
      </w:r>
      <w:r w:rsidRPr="008D462D">
        <w:rPr>
          <w:noProof/>
        </w:rPr>
        <w:t xml:space="preserve">he </w:t>
      </w:r>
      <w:r w:rsidRPr="001D5AB0">
        <w:rPr>
          <w:noProof/>
        </w:rPr>
        <w:t xml:space="preserve">cessation of activities </w:t>
      </w:r>
      <w:r>
        <w:rPr>
          <w:noProof/>
        </w:rPr>
        <w:t xml:space="preserve">of the </w:t>
      </w:r>
      <w:r w:rsidR="001B3907">
        <w:rPr>
          <w:noProof/>
        </w:rPr>
        <w:t xml:space="preserve">233 </w:t>
      </w:r>
      <w:r>
        <w:rPr>
          <w:noProof/>
        </w:rPr>
        <w:t xml:space="preserve">displaced workers during the reference period </w:t>
      </w:r>
      <w:r w:rsidRPr="008D462D">
        <w:rPr>
          <w:noProof/>
        </w:rPr>
        <w:t>ha</w:t>
      </w:r>
      <w:r>
        <w:rPr>
          <w:noProof/>
        </w:rPr>
        <w:t>s</w:t>
      </w:r>
      <w:r w:rsidRPr="008D462D">
        <w:rPr>
          <w:noProof/>
        </w:rPr>
        <w:t xml:space="preserve"> been calculated as</w:t>
      </w:r>
      <w:r w:rsidR="001B3907">
        <w:rPr>
          <w:noProof/>
        </w:rPr>
        <w:t xml:space="preserve"> </w:t>
      </w:r>
      <w:r w:rsidRPr="008D462D">
        <w:rPr>
          <w:noProof/>
        </w:rPr>
        <w:t>from the date of the de facto termination of the contr</w:t>
      </w:r>
      <w:r>
        <w:rPr>
          <w:noProof/>
        </w:rPr>
        <w:t>act of employment or its expiry</w:t>
      </w:r>
      <w:r w:rsidRPr="008D462D">
        <w:rPr>
          <w:noProof/>
        </w:rPr>
        <w:t>.</w:t>
      </w:r>
    </w:p>
    <w:p w:rsidR="001A62D7" w:rsidRPr="00BD440D" w:rsidRDefault="001A62D7" w:rsidP="001A62D7">
      <w:pPr>
        <w:pStyle w:val="ManualHeading3"/>
        <w:rPr>
          <w:noProof/>
        </w:rPr>
      </w:pPr>
      <w:r>
        <w:rPr>
          <w:noProof/>
        </w:rPr>
        <w:lastRenderedPageBreak/>
        <w:t>Eligible beneficiaries</w:t>
      </w:r>
    </w:p>
    <w:p w:rsidR="001A62D7" w:rsidRDefault="001A62D7" w:rsidP="00AE7D04">
      <w:pPr>
        <w:pStyle w:val="ManualNumPar1"/>
        <w:rPr>
          <w:noProof/>
        </w:rPr>
      </w:pPr>
      <w:r>
        <w:rPr>
          <w:noProof/>
        </w:rPr>
        <w:t>10.</w:t>
      </w:r>
      <w:r>
        <w:rPr>
          <w:noProof/>
        </w:rPr>
        <w:tab/>
      </w:r>
      <w:r w:rsidRPr="006001AF">
        <w:rPr>
          <w:noProof/>
        </w:rPr>
        <w:t xml:space="preserve">In addition to the </w:t>
      </w:r>
      <w:r>
        <w:rPr>
          <w:noProof/>
        </w:rPr>
        <w:t xml:space="preserve">workers </w:t>
      </w:r>
      <w:r w:rsidRPr="006001AF">
        <w:rPr>
          <w:noProof/>
        </w:rPr>
        <w:t xml:space="preserve">already referred to, the eligible beneficiaries include </w:t>
      </w:r>
      <w:r w:rsidR="000F7763">
        <w:rPr>
          <w:noProof/>
        </w:rPr>
        <w:t>1 255</w:t>
      </w:r>
      <w:r w:rsidR="000F7763" w:rsidRPr="006001AF">
        <w:rPr>
          <w:noProof/>
        </w:rPr>
        <w:t xml:space="preserve"> </w:t>
      </w:r>
      <w:r>
        <w:rPr>
          <w:noProof/>
        </w:rPr>
        <w:t xml:space="preserve">displaced </w:t>
      </w:r>
      <w:r w:rsidRPr="006001AF">
        <w:rPr>
          <w:noProof/>
        </w:rPr>
        <w:t>workers</w:t>
      </w:r>
      <w:r>
        <w:rPr>
          <w:noProof/>
        </w:rPr>
        <w:t xml:space="preserve"> whose activity ceased </w:t>
      </w:r>
      <w:r w:rsidRPr="006001AF">
        <w:rPr>
          <w:noProof/>
        </w:rPr>
        <w:t xml:space="preserve">before or after the reference period </w:t>
      </w:r>
      <w:r w:rsidRPr="001B3907">
        <w:rPr>
          <w:noProof/>
        </w:rPr>
        <w:t>of four months. All these workers ceased their activity within the six months before the start</w:t>
      </w:r>
      <w:r>
        <w:rPr>
          <w:noProof/>
        </w:rPr>
        <w:t xml:space="preserve"> of the reference period </w:t>
      </w:r>
      <w:r w:rsidRPr="006001AF">
        <w:rPr>
          <w:noProof/>
        </w:rPr>
        <w:t xml:space="preserve">on </w:t>
      </w:r>
      <w:r w:rsidR="001B3907">
        <w:rPr>
          <w:noProof/>
        </w:rPr>
        <w:t>25 February 2025</w:t>
      </w:r>
      <w:r>
        <w:rPr>
          <w:noProof/>
        </w:rPr>
        <w:t xml:space="preserve"> and/or between the end of the reference period and the day before the adoption of this proposal, pursuant to Article 6, first paragraph, point (b), of Regulation (EU) 2021/691,</w:t>
      </w:r>
      <w:r w:rsidRPr="00BD1C02">
        <w:rPr>
          <w:noProof/>
        </w:rPr>
        <w:t xml:space="preserve"> </w:t>
      </w:r>
      <w:r>
        <w:rPr>
          <w:noProof/>
        </w:rPr>
        <w:t>as required by Article 6, second paragraph, of Regulation (EU) 2021/691</w:t>
      </w:r>
      <w:r w:rsidRPr="006001AF">
        <w:rPr>
          <w:noProof/>
        </w:rPr>
        <w:t xml:space="preserve">. A clear causal link can be established with the event that triggered the </w:t>
      </w:r>
      <w:r>
        <w:rPr>
          <w:noProof/>
        </w:rPr>
        <w:t>cessations of activity of the displaced workers during the reference period as required by Article 6, second paragraph, of Regulation (EU) 2021/691.</w:t>
      </w:r>
    </w:p>
    <w:p w:rsidR="001A62D7" w:rsidRPr="007D613D" w:rsidRDefault="001A62D7" w:rsidP="00AE7D04">
      <w:pPr>
        <w:pStyle w:val="ManualNumPar1"/>
        <w:rPr>
          <w:noProof/>
        </w:rPr>
      </w:pPr>
      <w:r>
        <w:rPr>
          <w:noProof/>
        </w:rPr>
        <w:t>11.</w:t>
      </w:r>
      <w:r>
        <w:rPr>
          <w:noProof/>
        </w:rPr>
        <w:tab/>
        <w:t xml:space="preserve">The total number of eligible beneficiaries is </w:t>
      </w:r>
      <w:r w:rsidR="001B3907">
        <w:rPr>
          <w:noProof/>
        </w:rPr>
        <w:t>1</w:t>
      </w:r>
      <w:r w:rsidR="00956E59">
        <w:rPr>
          <w:noProof/>
        </w:rPr>
        <w:t> </w:t>
      </w:r>
      <w:r w:rsidR="000F7763">
        <w:rPr>
          <w:noProof/>
        </w:rPr>
        <w:t>488</w:t>
      </w:r>
      <w:r>
        <w:rPr>
          <w:noProof/>
        </w:rPr>
        <w:t>.</w:t>
      </w:r>
    </w:p>
    <w:p w:rsidR="001A62D7" w:rsidRPr="009843DD" w:rsidRDefault="001A62D7" w:rsidP="001A62D7">
      <w:pPr>
        <w:pStyle w:val="ManualHeading3"/>
        <w:rPr>
          <w:noProof/>
        </w:rPr>
      </w:pPr>
      <w:r>
        <w:rPr>
          <w:noProof/>
        </w:rPr>
        <w:t>Description of the e</w:t>
      </w:r>
      <w:r w:rsidRPr="009843DD">
        <w:rPr>
          <w:noProof/>
        </w:rPr>
        <w:t xml:space="preserve">vents </w:t>
      </w:r>
      <w:r>
        <w:rPr>
          <w:noProof/>
        </w:rPr>
        <w:t>that led to the displacements</w:t>
      </w:r>
      <w:r w:rsidRPr="009843DD">
        <w:rPr>
          <w:noProof/>
        </w:rPr>
        <w:t xml:space="preserve"> and cessation of activity</w:t>
      </w:r>
    </w:p>
    <w:p w:rsidR="004B3046" w:rsidRDefault="004B3046" w:rsidP="004B3046">
      <w:pPr>
        <w:pStyle w:val="ManualNumPar1"/>
        <w:rPr>
          <w:noProof/>
        </w:rPr>
      </w:pPr>
      <w:r>
        <w:rPr>
          <w:noProof/>
        </w:rPr>
        <w:t>12.</w:t>
      </w:r>
      <w:r>
        <w:rPr>
          <w:noProof/>
        </w:rPr>
        <w:tab/>
        <w:t>The events giving rise to these displacements are the insolvency proceedings of KTM Gruppe.</w:t>
      </w:r>
    </w:p>
    <w:p w:rsidR="00B57600" w:rsidRDefault="00B57600" w:rsidP="004B3046">
      <w:pPr>
        <w:pStyle w:val="ManualNumPar1"/>
        <w:rPr>
          <w:noProof/>
        </w:rPr>
      </w:pPr>
      <w:r>
        <w:rPr>
          <w:noProof/>
        </w:rPr>
        <w:t>13.</w:t>
      </w:r>
      <w:r>
        <w:rPr>
          <w:noProof/>
        </w:rPr>
        <w:tab/>
      </w:r>
      <w:r w:rsidRPr="00B57600">
        <w:rPr>
          <w:noProof/>
        </w:rPr>
        <w:t>KTM was the largest subsidiary of Pierer Mobility AG (90</w:t>
      </w:r>
      <w:r w:rsidR="004D51E6">
        <w:rPr>
          <w:noProof/>
        </w:rPr>
        <w:t> </w:t>
      </w:r>
      <w:r w:rsidRPr="00B57600">
        <w:rPr>
          <w:noProof/>
        </w:rPr>
        <w:t>% of Pierer’s turnover). As a motorcycle producer, KTM developed into being the largest motorcycle producer in the European Union (since 2012).</w:t>
      </w:r>
      <w:r>
        <w:rPr>
          <w:noProof/>
        </w:rPr>
        <w:t xml:space="preserve"> KTM is headquartered in Mattighofen in the district of Braunau in Upper Austria</w:t>
      </w:r>
      <w:r w:rsidR="00803184">
        <w:rPr>
          <w:noProof/>
        </w:rPr>
        <w:t>.</w:t>
      </w:r>
    </w:p>
    <w:p w:rsidR="00B57600" w:rsidRDefault="00B57600" w:rsidP="004B3046">
      <w:pPr>
        <w:pStyle w:val="ManualNumPar1"/>
        <w:rPr>
          <w:noProof/>
        </w:rPr>
      </w:pPr>
      <w:r>
        <w:rPr>
          <w:noProof/>
        </w:rPr>
        <w:t>14.</w:t>
      </w:r>
      <w:r>
        <w:rPr>
          <w:noProof/>
        </w:rPr>
        <w:tab/>
        <w:t xml:space="preserve">In December 2023, Pierer announced the offshoring of production to China and India, </w:t>
      </w:r>
      <w:r w:rsidR="00062E4B">
        <w:rPr>
          <w:noProof/>
        </w:rPr>
        <w:t xml:space="preserve">leading to a first wave of dismissals </w:t>
      </w:r>
      <w:r>
        <w:rPr>
          <w:noProof/>
        </w:rPr>
        <w:t>cutting 300 jobs at the Mattighofen plant. This was primarily due to the far lower labour costs in these countries.</w:t>
      </w:r>
      <w:r w:rsidR="004D51E6">
        <w:rPr>
          <w:noProof/>
        </w:rPr>
        <w:t xml:space="preserve"> </w:t>
      </w:r>
      <w:r w:rsidR="00F04356">
        <w:rPr>
          <w:noProof/>
        </w:rPr>
        <w:t>O</w:t>
      </w:r>
      <w:r w:rsidR="004D51E6">
        <w:rPr>
          <w:noProof/>
        </w:rPr>
        <w:t xml:space="preserve">ther factors included the proximity to growth markets, </w:t>
      </w:r>
      <w:r w:rsidR="00D67EFA">
        <w:rPr>
          <w:noProof/>
        </w:rPr>
        <w:t>as</w:t>
      </w:r>
      <w:r w:rsidR="004D51E6">
        <w:rPr>
          <w:noProof/>
        </w:rPr>
        <w:t xml:space="preserve"> demand in Europe was dwindling, as well as less stringent labour restrictions, allowing to more flexibl</w:t>
      </w:r>
      <w:r w:rsidR="00FD72B5">
        <w:rPr>
          <w:noProof/>
        </w:rPr>
        <w:t>y</w:t>
      </w:r>
      <w:r w:rsidR="004D51E6">
        <w:rPr>
          <w:noProof/>
        </w:rPr>
        <w:t xml:space="preserve"> adjust production levels to market developments.</w:t>
      </w:r>
    </w:p>
    <w:p w:rsidR="00803184" w:rsidRPr="00803184" w:rsidRDefault="00803184" w:rsidP="00803184">
      <w:pPr>
        <w:pStyle w:val="ManualNumPar1"/>
        <w:rPr>
          <w:noProof/>
        </w:rPr>
      </w:pPr>
      <w:r>
        <w:rPr>
          <w:noProof/>
        </w:rPr>
        <w:t>15.</w:t>
      </w:r>
      <w:r>
        <w:rPr>
          <w:noProof/>
        </w:rPr>
        <w:tab/>
      </w:r>
      <w:r w:rsidRPr="00803184">
        <w:rPr>
          <w:noProof/>
        </w:rPr>
        <w:t>During 2024, the company slid into a major crisis: sales dropped by 29,4 %, resulting in excessive inventory (265 000 motorcycles in stock) and a loss of EUR 1,1 billion. KTM’s debt reached EUR 1,642 billion. KTM began massive cost reductions, including laying off over 500 employees.</w:t>
      </w:r>
    </w:p>
    <w:p w:rsidR="007A142C" w:rsidRDefault="008D440E" w:rsidP="007A142C">
      <w:pPr>
        <w:pStyle w:val="ManualNumPar1"/>
        <w:rPr>
          <w:noProof/>
        </w:rPr>
      </w:pPr>
      <w:r>
        <w:rPr>
          <w:noProof/>
        </w:rPr>
        <w:t>16.</w:t>
      </w:r>
      <w:r>
        <w:rPr>
          <w:noProof/>
        </w:rPr>
        <w:tab/>
      </w:r>
      <w:r w:rsidRPr="008D440E">
        <w:rPr>
          <w:noProof/>
        </w:rPr>
        <w:t>Despite efforts to relocate production to India, insolvency proceedings were inevitable</w:t>
      </w:r>
      <w:r w:rsidR="00B16A3D">
        <w:rPr>
          <w:noProof/>
        </w:rPr>
        <w:t>. R</w:t>
      </w:r>
      <w:r w:rsidR="00B16A3D" w:rsidRPr="00B16A3D">
        <w:rPr>
          <w:noProof/>
        </w:rPr>
        <w:t>estructuring proce</w:t>
      </w:r>
      <w:r w:rsidR="00B16A3D">
        <w:rPr>
          <w:noProof/>
        </w:rPr>
        <w:t>edings</w:t>
      </w:r>
      <w:r w:rsidR="00B16A3D" w:rsidRPr="00B16A3D">
        <w:rPr>
          <w:noProof/>
        </w:rPr>
        <w:t xml:space="preserve"> began for Pierer, with a restructuring plan drafted for KTM and its affiliates.</w:t>
      </w:r>
      <w:r w:rsidR="00B16A3D">
        <w:rPr>
          <w:noProof/>
        </w:rPr>
        <w:t xml:space="preserve"> O</w:t>
      </w:r>
      <w:r w:rsidRPr="008D440E">
        <w:rPr>
          <w:noProof/>
        </w:rPr>
        <w:t>n 29 November 2024, KTM filed for insolvency.</w:t>
      </w:r>
      <w:r w:rsidR="00B16A3D" w:rsidRPr="00B16A3D">
        <w:rPr>
          <w:noProof/>
        </w:rPr>
        <w:t xml:space="preserve"> KTM had its first production shutdown from December 2024 to March 2025.</w:t>
      </w:r>
      <w:r w:rsidR="00B16A3D">
        <w:rPr>
          <w:noProof/>
        </w:rPr>
        <w:t xml:space="preserve"> </w:t>
      </w:r>
      <w:r w:rsidR="00B16A3D" w:rsidRPr="00B16A3D">
        <w:rPr>
          <w:noProof/>
        </w:rPr>
        <w:t>Over 750 additional employees were made redundant</w:t>
      </w:r>
      <w:r w:rsidR="007A142C">
        <w:rPr>
          <w:noProof/>
        </w:rPr>
        <w:t xml:space="preserve">. </w:t>
      </w:r>
      <w:r w:rsidR="00B16A3D" w:rsidRPr="00B16A3D">
        <w:rPr>
          <w:noProof/>
        </w:rPr>
        <w:t>On 25 February 2025, creditors approved a restructuring plan</w:t>
      </w:r>
      <w:r w:rsidR="00803184">
        <w:rPr>
          <w:noProof/>
        </w:rPr>
        <w:t xml:space="preserve"> that </w:t>
      </w:r>
      <w:r w:rsidR="00803184" w:rsidRPr="00B16A3D">
        <w:rPr>
          <w:noProof/>
        </w:rPr>
        <w:t>offer</w:t>
      </w:r>
      <w:r w:rsidR="00803184">
        <w:rPr>
          <w:noProof/>
        </w:rPr>
        <w:t>ed</w:t>
      </w:r>
      <w:r w:rsidR="00B16A3D" w:rsidRPr="00B16A3D">
        <w:rPr>
          <w:noProof/>
        </w:rPr>
        <w:t xml:space="preserve"> them</w:t>
      </w:r>
      <w:r w:rsidR="00803184">
        <w:rPr>
          <w:noProof/>
        </w:rPr>
        <w:t xml:space="preserve"> a quota of</w:t>
      </w:r>
      <w:r w:rsidR="00B16A3D" w:rsidRPr="00B16A3D">
        <w:rPr>
          <w:noProof/>
        </w:rPr>
        <w:t xml:space="preserve"> 30% of what was owed</w:t>
      </w:r>
      <w:r w:rsidR="00803184">
        <w:rPr>
          <w:noProof/>
        </w:rPr>
        <w:t xml:space="preserve">. However, an investor was needed to </w:t>
      </w:r>
      <w:r w:rsidR="007A142C">
        <w:rPr>
          <w:noProof/>
        </w:rPr>
        <w:t xml:space="preserve">take over KTM and to </w:t>
      </w:r>
      <w:r w:rsidR="00803184">
        <w:rPr>
          <w:noProof/>
        </w:rPr>
        <w:t>pay the quota.</w:t>
      </w:r>
      <w:r w:rsidR="007A142C">
        <w:rPr>
          <w:noProof/>
        </w:rPr>
        <w:t xml:space="preserve"> </w:t>
      </w:r>
    </w:p>
    <w:p w:rsidR="007A142C" w:rsidRDefault="007A142C" w:rsidP="007A142C">
      <w:pPr>
        <w:pStyle w:val="ManualNumPar1"/>
        <w:rPr>
          <w:noProof/>
        </w:rPr>
      </w:pPr>
      <w:r>
        <w:rPr>
          <w:noProof/>
        </w:rPr>
        <w:t>17.</w:t>
      </w:r>
      <w:r>
        <w:rPr>
          <w:noProof/>
        </w:rPr>
        <w:tab/>
      </w:r>
      <w:r w:rsidRPr="007A142C">
        <w:rPr>
          <w:noProof/>
        </w:rPr>
        <w:t>At the time of the creditors’ meeting, the KTM Group insolvency proceedings were the largest ever in Upper Austria.</w:t>
      </w:r>
    </w:p>
    <w:p w:rsidR="007A142C" w:rsidRPr="007A142C" w:rsidRDefault="007A142C" w:rsidP="007A142C">
      <w:pPr>
        <w:pStyle w:val="ManualNumPar1"/>
        <w:rPr>
          <w:noProof/>
        </w:rPr>
      </w:pPr>
      <w:r>
        <w:rPr>
          <w:noProof/>
        </w:rPr>
        <w:t>18.</w:t>
      </w:r>
      <w:r>
        <w:rPr>
          <w:noProof/>
        </w:rPr>
        <w:tab/>
      </w:r>
      <w:r w:rsidRPr="007A142C">
        <w:rPr>
          <w:noProof/>
        </w:rPr>
        <w:t>On 17 March 2025, production resumed with a one-shift rhythm (instead of full production capacity)</w:t>
      </w:r>
      <w:r>
        <w:rPr>
          <w:noProof/>
        </w:rPr>
        <w:t xml:space="preserve">. </w:t>
      </w:r>
      <w:r w:rsidRPr="007A142C">
        <w:rPr>
          <w:noProof/>
        </w:rPr>
        <w:t>Remaining staff worked reduced hours with pay cuts to help manage costs</w:t>
      </w:r>
      <w:r>
        <w:rPr>
          <w:noProof/>
        </w:rPr>
        <w:t>.</w:t>
      </w:r>
      <w:r w:rsidRPr="007A142C">
        <w:rPr>
          <w:noProof/>
        </w:rPr>
        <w:t xml:space="preserve"> </w:t>
      </w:r>
      <w:r w:rsidR="00D45DF7">
        <w:rPr>
          <w:noProof/>
        </w:rPr>
        <w:t xml:space="preserve">Further redundancies were inevitable. </w:t>
      </w:r>
      <w:r>
        <w:rPr>
          <w:noProof/>
        </w:rPr>
        <w:t>O</w:t>
      </w:r>
      <w:r w:rsidRPr="007A142C">
        <w:rPr>
          <w:noProof/>
        </w:rPr>
        <w:t>n 28 April</w:t>
      </w:r>
      <w:r>
        <w:rPr>
          <w:noProof/>
        </w:rPr>
        <w:t xml:space="preserve"> 2025,</w:t>
      </w:r>
      <w:r w:rsidRPr="007A142C">
        <w:rPr>
          <w:noProof/>
        </w:rPr>
        <w:t xml:space="preserve"> production had to be stopped again due to continuing supply shortages of parts and components.</w:t>
      </w:r>
    </w:p>
    <w:p w:rsidR="00B57600" w:rsidRPr="00B57600" w:rsidRDefault="007A142C" w:rsidP="007A142C">
      <w:pPr>
        <w:pStyle w:val="ManualNumPar1"/>
        <w:rPr>
          <w:noProof/>
        </w:rPr>
      </w:pPr>
      <w:r>
        <w:rPr>
          <w:noProof/>
        </w:rPr>
        <w:t>19.</w:t>
      </w:r>
      <w:r>
        <w:rPr>
          <w:noProof/>
        </w:rPr>
        <w:tab/>
        <w:t xml:space="preserve">An investor was finally found. </w:t>
      </w:r>
      <w:r w:rsidRPr="007A142C">
        <w:rPr>
          <w:noProof/>
        </w:rPr>
        <w:t xml:space="preserve">Bajaj Auto International Holdings B.V. provided the necessary resources to ensure the continuation of KTM on 22 May 2025. </w:t>
      </w:r>
      <w:r>
        <w:rPr>
          <w:noProof/>
        </w:rPr>
        <w:t>The p</w:t>
      </w:r>
      <w:r w:rsidRPr="007A142C">
        <w:rPr>
          <w:noProof/>
        </w:rPr>
        <w:t xml:space="preserve">ayment of the </w:t>
      </w:r>
      <w:r>
        <w:rPr>
          <w:noProof/>
        </w:rPr>
        <w:t xml:space="preserve">agreed </w:t>
      </w:r>
      <w:r w:rsidRPr="007A142C">
        <w:rPr>
          <w:noProof/>
        </w:rPr>
        <w:t>quota</w:t>
      </w:r>
      <w:r>
        <w:rPr>
          <w:noProof/>
        </w:rPr>
        <w:t xml:space="preserve"> to the creditors</w:t>
      </w:r>
      <w:r w:rsidRPr="007A142C">
        <w:rPr>
          <w:noProof/>
        </w:rPr>
        <w:t xml:space="preserve"> warded off the threat of KTM</w:t>
      </w:r>
      <w:r>
        <w:rPr>
          <w:noProof/>
        </w:rPr>
        <w:t>’</w:t>
      </w:r>
      <w:r w:rsidRPr="007A142C">
        <w:rPr>
          <w:noProof/>
        </w:rPr>
        <w:t>s bankruptcy and the risk of the company being closed for good.</w:t>
      </w:r>
      <w:r>
        <w:rPr>
          <w:noProof/>
        </w:rPr>
        <w:t xml:space="preserve"> Production could </w:t>
      </w:r>
      <w:r>
        <w:rPr>
          <w:noProof/>
        </w:rPr>
        <w:lastRenderedPageBreak/>
        <w:t>resume on 28 July 2025</w:t>
      </w:r>
      <w:r w:rsidR="00D67EFA">
        <w:rPr>
          <w:noProof/>
        </w:rPr>
        <w:t>, while continuing austerity measures and focusing on cost-efficiency</w:t>
      </w:r>
      <w:r>
        <w:rPr>
          <w:noProof/>
        </w:rPr>
        <w:t>.</w:t>
      </w:r>
    </w:p>
    <w:p w:rsidR="001A62D7" w:rsidRPr="00EF5C5A" w:rsidRDefault="001A62D7" w:rsidP="001A62D7">
      <w:pPr>
        <w:pStyle w:val="ManualHeading3"/>
        <w:tabs>
          <w:tab w:val="clear" w:pos="850"/>
          <w:tab w:val="left" w:pos="0"/>
        </w:tabs>
        <w:ind w:left="0" w:firstLine="0"/>
        <w:rPr>
          <w:noProof/>
        </w:rPr>
      </w:pPr>
      <w:r w:rsidRPr="00EF5C5A">
        <w:rPr>
          <w:noProof/>
        </w:rPr>
        <w:t xml:space="preserve">Expected impact of the </w:t>
      </w:r>
      <w:r>
        <w:rPr>
          <w:noProof/>
        </w:rPr>
        <w:t xml:space="preserve">displacements </w:t>
      </w:r>
      <w:r w:rsidRPr="00EF5C5A">
        <w:rPr>
          <w:noProof/>
        </w:rPr>
        <w:t>as regards the local, regional or national economy and employment</w:t>
      </w:r>
    </w:p>
    <w:p w:rsidR="0053218A" w:rsidRPr="007A142C" w:rsidRDefault="0053218A" w:rsidP="0053218A">
      <w:pPr>
        <w:pStyle w:val="ManualNumPar1"/>
        <w:rPr>
          <w:noProof/>
        </w:rPr>
      </w:pPr>
      <w:r>
        <w:rPr>
          <w:noProof/>
        </w:rPr>
        <w:t>20.</w:t>
      </w:r>
      <w:r>
        <w:rPr>
          <w:noProof/>
        </w:rPr>
        <w:tab/>
        <w:t>The insolvency of KTM hit the region around the Mattighofen headquarters hard. Employing over 4</w:t>
      </w:r>
      <w:r w:rsidR="00956E59">
        <w:rPr>
          <w:noProof/>
        </w:rPr>
        <w:t> </w:t>
      </w:r>
      <w:r>
        <w:rPr>
          <w:noProof/>
        </w:rPr>
        <w:t xml:space="preserve">000 </w:t>
      </w:r>
      <w:r w:rsidRPr="007A142C">
        <w:rPr>
          <w:noProof/>
        </w:rPr>
        <w:t xml:space="preserve">staff directly in Upper Austria, the company </w:t>
      </w:r>
      <w:r w:rsidR="00850C3F" w:rsidRPr="007A142C">
        <w:rPr>
          <w:noProof/>
        </w:rPr>
        <w:t>i</w:t>
      </w:r>
      <w:r w:rsidRPr="007A142C">
        <w:rPr>
          <w:noProof/>
        </w:rPr>
        <w:t xml:space="preserve">s not only a significant employer, but also the economic backbone of many suppliers and service providers. </w:t>
      </w:r>
      <w:r w:rsidR="007A142C" w:rsidRPr="007A142C">
        <w:rPr>
          <w:noProof/>
        </w:rPr>
        <w:t>The</w:t>
      </w:r>
      <w:r w:rsidRPr="007A142C">
        <w:rPr>
          <w:noProof/>
        </w:rPr>
        <w:t xml:space="preserve"> insolvency hit the regional economy </w:t>
      </w:r>
      <w:r w:rsidR="007A142C" w:rsidRPr="007A142C">
        <w:rPr>
          <w:noProof/>
        </w:rPr>
        <w:t xml:space="preserve">hard </w:t>
      </w:r>
      <w:r w:rsidRPr="007A142C">
        <w:rPr>
          <w:noProof/>
        </w:rPr>
        <w:t>and caused serious disruption.</w:t>
      </w:r>
    </w:p>
    <w:p w:rsidR="00850C3F" w:rsidRPr="00850C3F" w:rsidRDefault="00786CCA" w:rsidP="00850C3F">
      <w:pPr>
        <w:pStyle w:val="ManualNumPar1"/>
        <w:rPr>
          <w:noProof/>
        </w:rPr>
      </w:pPr>
      <w:r>
        <w:rPr>
          <w:noProof/>
        </w:rPr>
        <w:t>21.</w:t>
      </w:r>
      <w:r>
        <w:rPr>
          <w:noProof/>
        </w:rPr>
        <w:tab/>
        <w:t>Consequently</w:t>
      </w:r>
      <w:r w:rsidR="00850C3F">
        <w:rPr>
          <w:noProof/>
        </w:rPr>
        <w:t>,</w:t>
      </w:r>
      <w:r w:rsidR="00850C3F" w:rsidRPr="00850C3F">
        <w:rPr>
          <w:noProof/>
        </w:rPr>
        <w:t xml:space="preserve"> unemployment</w:t>
      </w:r>
      <w:r w:rsidR="00850C3F">
        <w:rPr>
          <w:noProof/>
        </w:rPr>
        <w:t xml:space="preserve"> in the Braunau district</w:t>
      </w:r>
      <w:r w:rsidR="00850C3F" w:rsidRPr="00850C3F">
        <w:rPr>
          <w:noProof/>
        </w:rPr>
        <w:t xml:space="preserve"> rose by 39.8% </w:t>
      </w:r>
      <w:r w:rsidR="00FD72B5" w:rsidRPr="00850C3F">
        <w:rPr>
          <w:noProof/>
        </w:rPr>
        <w:t>in October 2024</w:t>
      </w:r>
      <w:r w:rsidR="00FD72B5">
        <w:rPr>
          <w:noProof/>
        </w:rPr>
        <w:t xml:space="preserve"> </w:t>
      </w:r>
      <w:r w:rsidR="00850C3F" w:rsidRPr="00850C3F">
        <w:rPr>
          <w:noProof/>
        </w:rPr>
        <w:t xml:space="preserve">and </w:t>
      </w:r>
      <w:r w:rsidR="00FD72B5">
        <w:rPr>
          <w:noProof/>
        </w:rPr>
        <w:t xml:space="preserve">by </w:t>
      </w:r>
      <w:r w:rsidR="00850C3F" w:rsidRPr="00850C3F">
        <w:rPr>
          <w:noProof/>
        </w:rPr>
        <w:t xml:space="preserve">37.1% </w:t>
      </w:r>
      <w:r w:rsidR="00FD72B5">
        <w:rPr>
          <w:noProof/>
        </w:rPr>
        <w:t>in</w:t>
      </w:r>
      <w:r w:rsidR="00850C3F" w:rsidRPr="00850C3F">
        <w:rPr>
          <w:noProof/>
        </w:rPr>
        <w:t xml:space="preserve"> November 2024</w:t>
      </w:r>
      <w:r w:rsidR="00850C3F">
        <w:rPr>
          <w:noProof/>
        </w:rPr>
        <w:t>,</w:t>
      </w:r>
      <w:r w:rsidR="00850C3F" w:rsidRPr="00850C3F">
        <w:rPr>
          <w:noProof/>
        </w:rPr>
        <w:t xml:space="preserve"> compared to the same months of the previous year.</w:t>
      </w:r>
    </w:p>
    <w:p w:rsidR="00956E59" w:rsidRDefault="00956E59" w:rsidP="00956E59">
      <w:pPr>
        <w:pStyle w:val="ManualNumPar1"/>
        <w:rPr>
          <w:noProof/>
        </w:rPr>
      </w:pPr>
      <w:r>
        <w:rPr>
          <w:noProof/>
        </w:rPr>
        <w:t>22.</w:t>
      </w:r>
      <w:r>
        <w:rPr>
          <w:noProof/>
        </w:rPr>
        <w:tab/>
      </w:r>
      <w:r w:rsidRPr="00956E59">
        <w:rPr>
          <w:noProof/>
        </w:rPr>
        <w:t>In March 2025, this led to an all-time high unemployment in the Braunau district which represented the highest unemployment level of all labour market districts in Austria. Unemployment remained consistently high across 2025.</w:t>
      </w:r>
    </w:p>
    <w:p w:rsidR="001A62D7" w:rsidRDefault="001A62D7" w:rsidP="00FD72B5">
      <w:pPr>
        <w:pStyle w:val="ManualHeading2"/>
        <w:tabs>
          <w:tab w:val="clear" w:pos="850"/>
          <w:tab w:val="left" w:pos="0"/>
        </w:tabs>
        <w:ind w:left="0" w:firstLine="0"/>
        <w:rPr>
          <w:noProof/>
        </w:rPr>
      </w:pPr>
      <w:r w:rsidRPr="001B069C">
        <w:rPr>
          <w:noProof/>
        </w:rPr>
        <w:t>Application of the EU Quality Framework for anticipation of change and restructuring</w:t>
      </w:r>
      <w:r w:rsidR="00FD72B5">
        <w:rPr>
          <w:noProof/>
        </w:rPr>
        <w:t xml:space="preserve"> </w:t>
      </w:r>
      <w:r w:rsidRPr="001B069C">
        <w:rPr>
          <w:noProof/>
        </w:rPr>
        <w:t>(QFR)</w:t>
      </w:r>
    </w:p>
    <w:p w:rsidR="00D06962" w:rsidRDefault="00E34517" w:rsidP="008A5C12">
      <w:pPr>
        <w:pStyle w:val="ManualNumPar1"/>
        <w:rPr>
          <w:noProof/>
        </w:rPr>
      </w:pPr>
      <w:r>
        <w:rPr>
          <w:noProof/>
        </w:rPr>
        <w:t>23.</w:t>
      </w:r>
      <w:r>
        <w:rPr>
          <w:noProof/>
        </w:rPr>
        <w:tab/>
        <w:t>Austria</w:t>
      </w:r>
      <w:r w:rsidR="001A62D7">
        <w:rPr>
          <w:noProof/>
        </w:rPr>
        <w:t xml:space="preserve"> </w:t>
      </w:r>
      <w:r w:rsidR="001A62D7" w:rsidRPr="001B069C">
        <w:rPr>
          <w:noProof/>
        </w:rPr>
        <w:t>has described how the recommendations set out in the EU Quality Framework for anticipation of change and restructuring have been taken into account</w:t>
      </w:r>
      <w:r w:rsidR="005D57AF">
        <w:rPr>
          <w:noProof/>
        </w:rPr>
        <w:t>.</w:t>
      </w:r>
      <w:r w:rsidR="001A62D7">
        <w:rPr>
          <w:noProof/>
        </w:rPr>
        <w:t xml:space="preserve"> </w:t>
      </w:r>
      <w:r w:rsidR="00210498">
        <w:rPr>
          <w:noProof/>
        </w:rPr>
        <w:t xml:space="preserve">In Austria, companies making redundancies are not required, either by law or by collective agreement, to set up or participate in an employment programme or other measures to support the impacted workers. </w:t>
      </w:r>
      <w:r w:rsidR="00F34040">
        <w:rPr>
          <w:noProof/>
        </w:rPr>
        <w:t>However, t</w:t>
      </w:r>
      <w:r w:rsidR="00210498">
        <w:rPr>
          <w:noProof/>
        </w:rPr>
        <w:t xml:space="preserve">he </w:t>
      </w:r>
      <w:r w:rsidR="00F34040">
        <w:rPr>
          <w:noProof/>
        </w:rPr>
        <w:t>enterprise</w:t>
      </w:r>
      <w:r w:rsidR="00210498">
        <w:rPr>
          <w:noProof/>
        </w:rPr>
        <w:t xml:space="preserve"> concerned may voluntarily co-finance </w:t>
      </w:r>
      <w:r w:rsidR="000F1636">
        <w:rPr>
          <w:noProof/>
        </w:rPr>
        <w:t xml:space="preserve">a labour foundation responsible for </w:t>
      </w:r>
      <w:r w:rsidR="00210498">
        <w:rPr>
          <w:noProof/>
        </w:rPr>
        <w:t>the measures in an employment programme</w:t>
      </w:r>
      <w:r w:rsidR="008A5C12">
        <w:rPr>
          <w:rStyle w:val="FootnoteReference"/>
          <w:noProof/>
        </w:rPr>
        <w:footnoteReference w:id="6"/>
      </w:r>
      <w:r w:rsidR="00210498">
        <w:rPr>
          <w:noProof/>
        </w:rPr>
        <w:t>.</w:t>
      </w:r>
    </w:p>
    <w:p w:rsidR="000302C2" w:rsidRPr="000302C2" w:rsidRDefault="00210498" w:rsidP="000302C2">
      <w:pPr>
        <w:pStyle w:val="ManualNumPar1"/>
        <w:rPr>
          <w:noProof/>
        </w:rPr>
      </w:pPr>
      <w:r>
        <w:rPr>
          <w:noProof/>
        </w:rPr>
        <w:t>24.</w:t>
      </w:r>
      <w:r>
        <w:rPr>
          <w:noProof/>
        </w:rPr>
        <w:tab/>
        <w:t>KTM AG was in insolvency proceedings during the period in question and was therefore unable to contribute</w:t>
      </w:r>
      <w:r w:rsidR="00F34040">
        <w:rPr>
          <w:noProof/>
        </w:rPr>
        <w:t xml:space="preserve"> to a </w:t>
      </w:r>
      <w:r w:rsidR="00D67EFA">
        <w:rPr>
          <w:noProof/>
        </w:rPr>
        <w:t xml:space="preserve">labour </w:t>
      </w:r>
      <w:r w:rsidR="00F34040">
        <w:rPr>
          <w:noProof/>
        </w:rPr>
        <w:t>foundation</w:t>
      </w:r>
      <w:r>
        <w:rPr>
          <w:noProof/>
        </w:rPr>
        <w:t>.</w:t>
      </w:r>
    </w:p>
    <w:p w:rsidR="001A62D7" w:rsidRPr="00AE1620" w:rsidRDefault="001A62D7" w:rsidP="00AE7D04">
      <w:pPr>
        <w:pStyle w:val="ManualNumPar1"/>
        <w:rPr>
          <w:noProof/>
        </w:rPr>
      </w:pPr>
      <w:r>
        <w:rPr>
          <w:noProof/>
        </w:rPr>
        <w:t>25.</w:t>
      </w:r>
      <w:r>
        <w:rPr>
          <w:noProof/>
        </w:rPr>
        <w:tab/>
      </w:r>
      <w:r w:rsidRPr="006C785D">
        <w:rPr>
          <w:noProof/>
        </w:rPr>
        <w:t>Regarding the activities undertaken to assist the displaced workers</w:t>
      </w:r>
      <w:r>
        <w:rPr>
          <w:noProof/>
        </w:rPr>
        <w:t>,</w:t>
      </w:r>
      <w:r w:rsidRPr="009610D2">
        <w:rPr>
          <w:noProof/>
        </w:rPr>
        <w:t xml:space="preserve"> </w:t>
      </w:r>
      <w:r w:rsidR="00E34517">
        <w:rPr>
          <w:noProof/>
        </w:rPr>
        <w:t>Austria</w:t>
      </w:r>
      <w:r w:rsidRPr="00C96520">
        <w:rPr>
          <w:noProof/>
        </w:rPr>
        <w:t xml:space="preserve"> has </w:t>
      </w:r>
      <w:r>
        <w:rPr>
          <w:noProof/>
        </w:rPr>
        <w:t>reported</w:t>
      </w:r>
      <w:r w:rsidRPr="00C96520">
        <w:rPr>
          <w:noProof/>
        </w:rPr>
        <w:t xml:space="preserve"> that </w:t>
      </w:r>
      <w:r w:rsidR="00210498">
        <w:rPr>
          <w:noProof/>
        </w:rPr>
        <w:t>i</w:t>
      </w:r>
      <w:r w:rsidR="00210498" w:rsidRPr="00210498">
        <w:rPr>
          <w:noProof/>
        </w:rPr>
        <w:t>mmediately after the notification of KT</w:t>
      </w:r>
      <w:r w:rsidR="00210498">
        <w:rPr>
          <w:noProof/>
        </w:rPr>
        <w:t>M</w:t>
      </w:r>
      <w:r w:rsidR="00210498" w:rsidRPr="00210498">
        <w:rPr>
          <w:noProof/>
        </w:rPr>
        <w:t xml:space="preserve">’s insolvency application, the Upper Austria </w:t>
      </w:r>
      <w:r w:rsidR="00210498">
        <w:rPr>
          <w:noProof/>
        </w:rPr>
        <w:t>Public Employment</w:t>
      </w:r>
      <w:r w:rsidR="00210498" w:rsidRPr="00210498">
        <w:rPr>
          <w:noProof/>
        </w:rPr>
        <w:t xml:space="preserve"> Service started providing advice to the affected workers, and</w:t>
      </w:r>
      <w:r w:rsidR="00210498">
        <w:rPr>
          <w:noProof/>
        </w:rPr>
        <w:t>,</w:t>
      </w:r>
      <w:r w:rsidR="00210498" w:rsidRPr="00210498">
        <w:rPr>
          <w:noProof/>
        </w:rPr>
        <w:t xml:space="preserve"> </w:t>
      </w:r>
      <w:r w:rsidR="00210498">
        <w:rPr>
          <w:noProof/>
        </w:rPr>
        <w:t>together with the</w:t>
      </w:r>
      <w:r w:rsidR="00210498" w:rsidRPr="00210498">
        <w:rPr>
          <w:noProof/>
        </w:rPr>
        <w:t xml:space="preserve"> Province of Upper Austria</w:t>
      </w:r>
      <w:r w:rsidR="00210498">
        <w:rPr>
          <w:noProof/>
        </w:rPr>
        <w:t>,</w:t>
      </w:r>
      <w:r w:rsidR="00210498" w:rsidRPr="00210498">
        <w:rPr>
          <w:noProof/>
        </w:rPr>
        <w:t xml:space="preserve"> decided to </w:t>
      </w:r>
      <w:r w:rsidR="00F34040">
        <w:rPr>
          <w:noProof/>
        </w:rPr>
        <w:t>voluntarily set-up and</w:t>
      </w:r>
      <w:r w:rsidR="00210498">
        <w:rPr>
          <w:noProof/>
        </w:rPr>
        <w:t xml:space="preserve"> </w:t>
      </w:r>
      <w:r w:rsidR="00210498" w:rsidRPr="00210498">
        <w:rPr>
          <w:noProof/>
        </w:rPr>
        <w:t xml:space="preserve">pre-finance an insolvency </w:t>
      </w:r>
      <w:r w:rsidR="00A643E5">
        <w:rPr>
          <w:noProof/>
        </w:rPr>
        <w:t>foundation</w:t>
      </w:r>
      <w:r w:rsidR="00210498" w:rsidRPr="00210498">
        <w:rPr>
          <w:noProof/>
        </w:rPr>
        <w:t xml:space="preserve"> </w:t>
      </w:r>
      <w:r w:rsidR="00F34040">
        <w:rPr>
          <w:noProof/>
        </w:rPr>
        <w:t>and</w:t>
      </w:r>
      <w:r w:rsidR="00210498" w:rsidRPr="00210498">
        <w:rPr>
          <w:noProof/>
        </w:rPr>
        <w:t xml:space="preserve"> </w:t>
      </w:r>
      <w:r w:rsidR="00F34040">
        <w:rPr>
          <w:noProof/>
        </w:rPr>
        <w:t>apply for EGF assistance.</w:t>
      </w:r>
    </w:p>
    <w:p w:rsidR="001A62D7" w:rsidRDefault="001A62D7" w:rsidP="001A62D7">
      <w:pPr>
        <w:pStyle w:val="ManualHeading3"/>
        <w:rPr>
          <w:noProof/>
        </w:rPr>
      </w:pPr>
      <w:r w:rsidRPr="00EC1BA4">
        <w:rPr>
          <w:noProof/>
        </w:rPr>
        <w:t>Complementarity with actions funded by national or Union funds</w:t>
      </w:r>
    </w:p>
    <w:p w:rsidR="001A62D7" w:rsidRDefault="001B3907" w:rsidP="00AE7D04">
      <w:pPr>
        <w:pStyle w:val="ManualNumPar1"/>
        <w:rPr>
          <w:noProof/>
        </w:rPr>
      </w:pPr>
      <w:r>
        <w:rPr>
          <w:noProof/>
        </w:rPr>
        <w:t>26.</w:t>
      </w:r>
      <w:r>
        <w:rPr>
          <w:noProof/>
        </w:rPr>
        <w:tab/>
        <w:t>Austria</w:t>
      </w:r>
      <w:r w:rsidR="001A62D7">
        <w:rPr>
          <w:noProof/>
        </w:rPr>
        <w:t xml:space="preserve"> has confirmed that the measures described </w:t>
      </w:r>
      <w:r w:rsidR="001A62D7" w:rsidRPr="003D0D69">
        <w:rPr>
          <w:noProof/>
        </w:rPr>
        <w:t>below</w:t>
      </w:r>
      <w:r w:rsidR="001A62D7">
        <w:rPr>
          <w:noProof/>
        </w:rPr>
        <w:t xml:space="preserve"> receiving a financial contribution from the EGF will not also receive financial contributions from other Union financial instruments.</w:t>
      </w:r>
    </w:p>
    <w:p w:rsidR="001A62D7" w:rsidRPr="001535C9" w:rsidRDefault="001A62D7" w:rsidP="00AE7D04">
      <w:pPr>
        <w:pStyle w:val="ManualNumPar1"/>
        <w:rPr>
          <w:noProof/>
        </w:rPr>
      </w:pPr>
      <w:r>
        <w:rPr>
          <w:noProof/>
        </w:rPr>
        <w:t>27.</w:t>
      </w:r>
      <w:r>
        <w:rPr>
          <w:noProof/>
        </w:rPr>
        <w:tab/>
        <w:t>T</w:t>
      </w:r>
      <w:r w:rsidRPr="001535C9">
        <w:rPr>
          <w:noProof/>
        </w:rPr>
        <w:t xml:space="preserve">he </w:t>
      </w:r>
      <w:r>
        <w:rPr>
          <w:noProof/>
        </w:rPr>
        <w:t>coordinated package of personalised services complements actions funded by other national funds</w:t>
      </w:r>
      <w:r w:rsidRPr="006F0687">
        <w:rPr>
          <w:noProof/>
        </w:rPr>
        <w:t>.</w:t>
      </w:r>
    </w:p>
    <w:p w:rsidR="001A62D7" w:rsidRDefault="001A62D7" w:rsidP="001A62D7">
      <w:pPr>
        <w:pStyle w:val="ManualHeading3"/>
        <w:tabs>
          <w:tab w:val="clear" w:pos="850"/>
          <w:tab w:val="left" w:pos="0"/>
        </w:tabs>
        <w:ind w:left="0" w:firstLine="0"/>
        <w:rPr>
          <w:noProof/>
          <w:u w:val="single"/>
        </w:rPr>
      </w:pPr>
      <w:r w:rsidRPr="00A144B7">
        <w:rPr>
          <w:noProof/>
        </w:rPr>
        <w:t>Procedures for consulting the targeted beneficiaries or their representatives or the social partners as well as local and regional authorities</w:t>
      </w:r>
    </w:p>
    <w:p w:rsidR="002B2961" w:rsidRDefault="001B3907" w:rsidP="004F3E46">
      <w:pPr>
        <w:pStyle w:val="ManualNumPar1"/>
        <w:rPr>
          <w:noProof/>
        </w:rPr>
      </w:pPr>
      <w:r>
        <w:rPr>
          <w:noProof/>
        </w:rPr>
        <w:t>28.</w:t>
      </w:r>
      <w:r>
        <w:rPr>
          <w:noProof/>
        </w:rPr>
        <w:tab/>
        <w:t>Austria</w:t>
      </w:r>
      <w:r w:rsidR="001A62D7">
        <w:rPr>
          <w:noProof/>
        </w:rPr>
        <w:t xml:space="preserve"> has indicated that the co-ordinated package of personalised services has been drawn up in consultation with </w:t>
      </w:r>
      <w:r w:rsidR="004F3E46" w:rsidRPr="008D3AFF">
        <w:rPr>
          <w:noProof/>
        </w:rPr>
        <w:t>the social partners</w:t>
      </w:r>
      <w:r w:rsidR="001A62D7" w:rsidRPr="008D3AFF">
        <w:rPr>
          <w:noProof/>
        </w:rPr>
        <w:t xml:space="preserve">, in compliance with Article 7(4) of </w:t>
      </w:r>
      <w:r w:rsidR="001A62D7" w:rsidRPr="008D3AFF">
        <w:rPr>
          <w:noProof/>
        </w:rPr>
        <w:lastRenderedPageBreak/>
        <w:t xml:space="preserve">Regulation (EU) 2021/691. </w:t>
      </w:r>
      <w:r w:rsidR="002B2961" w:rsidRPr="008D3AFF">
        <w:rPr>
          <w:noProof/>
        </w:rPr>
        <w:t>KTM’s insolvency petition was filed on 29 November 2024</w:t>
      </w:r>
      <w:r w:rsidR="008D3AFF" w:rsidRPr="008D3AFF">
        <w:rPr>
          <w:noProof/>
        </w:rPr>
        <w:t>.</w:t>
      </w:r>
      <w:r w:rsidR="002B2961" w:rsidRPr="008D3AFF">
        <w:rPr>
          <w:noProof/>
        </w:rPr>
        <w:t xml:space="preserve"> On </w:t>
      </w:r>
      <w:r w:rsidR="009E45CA">
        <w:rPr>
          <w:noProof/>
        </w:rPr>
        <w:t xml:space="preserve">5 </w:t>
      </w:r>
      <w:r w:rsidR="002B2961" w:rsidRPr="008D3AFF">
        <w:rPr>
          <w:noProof/>
        </w:rPr>
        <w:t>December 2024,</w:t>
      </w:r>
      <w:r w:rsidR="002B2961" w:rsidRPr="002B2961">
        <w:rPr>
          <w:noProof/>
        </w:rPr>
        <w:t xml:space="preserve"> the first coordination meeting with representatives of the </w:t>
      </w:r>
      <w:r w:rsidR="002B2961">
        <w:rPr>
          <w:noProof/>
        </w:rPr>
        <w:t>Province</w:t>
      </w:r>
      <w:r w:rsidR="002B2961" w:rsidRPr="002B2961">
        <w:rPr>
          <w:noProof/>
        </w:rPr>
        <w:t xml:space="preserve"> of Upper Austria and the social partners regarding the establishment of an insolvency foundation took place.</w:t>
      </w:r>
    </w:p>
    <w:p w:rsidR="00983C14" w:rsidRDefault="00983C14" w:rsidP="004F3E46">
      <w:pPr>
        <w:pStyle w:val="ManualNumPar1"/>
        <w:rPr>
          <w:noProof/>
        </w:rPr>
      </w:pPr>
      <w:r>
        <w:rPr>
          <w:noProof/>
        </w:rPr>
        <w:t>29.</w:t>
      </w:r>
      <w:r>
        <w:rPr>
          <w:noProof/>
        </w:rPr>
        <w:tab/>
      </w:r>
      <w:r w:rsidRPr="00983C14">
        <w:rPr>
          <w:noProof/>
        </w:rPr>
        <w:t>As part of the recognition procedure of the insolvency foundation carried out by the Upper Austria Public Employment Service, the social partners, as representatives of the local economy and the workers concerned</w:t>
      </w:r>
      <w:r w:rsidR="00364309">
        <w:rPr>
          <w:noProof/>
        </w:rPr>
        <w:t>,</w:t>
      </w:r>
      <w:r w:rsidRPr="00983C14">
        <w:rPr>
          <w:noProof/>
        </w:rPr>
        <w:t xml:space="preserve"> were consulted</w:t>
      </w:r>
      <w:r w:rsidRPr="002F659F">
        <w:rPr>
          <w:rStyle w:val="FootnoteReference"/>
          <w:noProof/>
        </w:rPr>
        <w:footnoteReference w:id="7"/>
      </w:r>
      <w:r w:rsidRPr="00983C14">
        <w:rPr>
          <w:noProof/>
        </w:rPr>
        <w:t>. All actors approved the establishment of the insolvency foundation. The social partners were subsequently informed of the application to the EGF by the Upper Austria Labour Market Service.</w:t>
      </w:r>
    </w:p>
    <w:p w:rsidR="004F3E46" w:rsidRDefault="00983C14" w:rsidP="004F3E46">
      <w:pPr>
        <w:pStyle w:val="ManualNumPar1"/>
        <w:rPr>
          <w:noProof/>
        </w:rPr>
      </w:pPr>
      <w:r>
        <w:rPr>
          <w:noProof/>
        </w:rPr>
        <w:t>30.</w:t>
      </w:r>
      <w:r>
        <w:rPr>
          <w:noProof/>
        </w:rPr>
        <w:tab/>
        <w:t xml:space="preserve">Participation in the insolvency foundation is on a voluntary basis for the workers affected. </w:t>
      </w:r>
      <w:r w:rsidR="00D254CA">
        <w:rPr>
          <w:noProof/>
        </w:rPr>
        <w:t>Measures are geared at those that need comprehensive, in-depth assistance.</w:t>
      </w:r>
    </w:p>
    <w:p w:rsidR="001A62D7" w:rsidRDefault="001A62D7" w:rsidP="004F3E46">
      <w:pPr>
        <w:pStyle w:val="ManualHeading2"/>
        <w:ind w:left="0" w:firstLine="0"/>
        <w:rPr>
          <w:noProof/>
        </w:rPr>
      </w:pPr>
      <w:r w:rsidRPr="00EF5C5A">
        <w:rPr>
          <w:noProof/>
        </w:rPr>
        <w:t xml:space="preserve">Targeted beneficiaries and proposed </w:t>
      </w:r>
      <w:r>
        <w:rPr>
          <w:noProof/>
        </w:rPr>
        <w:t>measures</w:t>
      </w:r>
    </w:p>
    <w:p w:rsidR="001A62D7" w:rsidRPr="00EF5C5A" w:rsidRDefault="001A62D7" w:rsidP="001A62D7">
      <w:pPr>
        <w:pStyle w:val="ManualHeading3"/>
        <w:rPr>
          <w:noProof/>
        </w:rPr>
      </w:pPr>
      <w:r w:rsidRPr="00EF5C5A">
        <w:rPr>
          <w:noProof/>
        </w:rPr>
        <w:t>Targeted beneficiaries</w:t>
      </w:r>
    </w:p>
    <w:p w:rsidR="001A62D7" w:rsidRDefault="001A62D7" w:rsidP="00AE7D04">
      <w:pPr>
        <w:pStyle w:val="ManualNumPar1"/>
        <w:rPr>
          <w:noProof/>
        </w:rPr>
      </w:pPr>
      <w:r>
        <w:rPr>
          <w:noProof/>
        </w:rPr>
        <w:t>31.</w:t>
      </w:r>
      <w:r>
        <w:rPr>
          <w:noProof/>
        </w:rPr>
        <w:tab/>
        <w:t xml:space="preserve">The estimated number of </w:t>
      </w:r>
      <w:r w:rsidRPr="003E3994">
        <w:rPr>
          <w:noProof/>
        </w:rPr>
        <w:t>displaced workers</w:t>
      </w:r>
      <w:r>
        <w:rPr>
          <w:noProof/>
        </w:rPr>
        <w:t xml:space="preserve"> expected to participate in the measures is </w:t>
      </w:r>
      <w:r w:rsidR="000F7763">
        <w:rPr>
          <w:noProof/>
        </w:rPr>
        <w:t>420</w:t>
      </w:r>
      <w:r>
        <w:rPr>
          <w:noProof/>
        </w:rPr>
        <w:t xml:space="preserve">. Pursuant to Article 8(7), point (f), of Regulation (EU) 2021/691, the provided breakdown of these </w:t>
      </w:r>
      <w:r w:rsidRPr="003E3994">
        <w:rPr>
          <w:noProof/>
        </w:rPr>
        <w:t>workers</w:t>
      </w:r>
      <w:r w:rsidR="001B3907">
        <w:rPr>
          <w:noProof/>
        </w:rPr>
        <w:t xml:space="preserve"> </w:t>
      </w:r>
      <w:r>
        <w:rPr>
          <w:noProof/>
        </w:rPr>
        <w:t>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Tr="001D5990">
        <w:trPr>
          <w:jc w:val="center"/>
        </w:trPr>
        <w:tc>
          <w:tcPr>
            <w:tcW w:w="3559"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 xml:space="preserve">Number of </w:t>
            </w:r>
            <w:r>
              <w:rPr>
                <w:noProof/>
              </w:rPr>
              <w:br/>
              <w:t>expected beneficiaries</w:t>
            </w:r>
          </w:p>
        </w:tc>
      </w:tr>
      <w:tr w:rsidR="001A62D7" w:rsidTr="001D5990">
        <w:trPr>
          <w:jc w:val="center"/>
        </w:trPr>
        <w:tc>
          <w:tcPr>
            <w:tcW w:w="1496" w:type="dxa"/>
            <w:tcBorders>
              <w:top w:val="single" w:sz="4" w:space="0" w:color="auto"/>
              <w:left w:val="nil"/>
              <w:right w:val="nil"/>
            </w:tcBorders>
            <w:hideMark/>
          </w:tcPr>
          <w:p w:rsidR="001A62D7" w:rsidRDefault="001A62D7" w:rsidP="001D5990">
            <w:pPr>
              <w:spacing w:before="60" w:after="60"/>
              <w:rPr>
                <w:noProof/>
              </w:rPr>
            </w:pPr>
            <w:r>
              <w:rPr>
                <w:noProof/>
              </w:rPr>
              <w:t>Gender:</w:t>
            </w:r>
          </w:p>
        </w:tc>
        <w:tc>
          <w:tcPr>
            <w:tcW w:w="2063" w:type="dxa"/>
            <w:tcBorders>
              <w:top w:val="single" w:sz="4" w:space="0" w:color="auto"/>
              <w:left w:val="nil"/>
              <w:right w:val="nil"/>
            </w:tcBorders>
            <w:hideMark/>
          </w:tcPr>
          <w:p w:rsidR="001A62D7" w:rsidRDefault="001A62D7" w:rsidP="001D5990">
            <w:pPr>
              <w:spacing w:before="60" w:after="60"/>
              <w:rPr>
                <w:noProof/>
              </w:rPr>
            </w:pPr>
            <w:r>
              <w:rPr>
                <w:noProof/>
              </w:rPr>
              <w:t>Men:</w:t>
            </w:r>
          </w:p>
        </w:tc>
        <w:tc>
          <w:tcPr>
            <w:tcW w:w="1176" w:type="dxa"/>
            <w:tcBorders>
              <w:top w:val="single" w:sz="4" w:space="0" w:color="auto"/>
              <w:left w:val="nil"/>
              <w:right w:val="nil"/>
            </w:tcBorders>
            <w:hideMark/>
          </w:tcPr>
          <w:p w:rsidR="001A62D7" w:rsidRDefault="000F7763" w:rsidP="001D5990">
            <w:pPr>
              <w:spacing w:before="60" w:after="60"/>
              <w:jc w:val="right"/>
              <w:rPr>
                <w:noProof/>
              </w:rPr>
            </w:pPr>
            <w:r>
              <w:rPr>
                <w:noProof/>
              </w:rPr>
              <w:t>279</w:t>
            </w:r>
          </w:p>
        </w:tc>
        <w:tc>
          <w:tcPr>
            <w:tcW w:w="1176" w:type="dxa"/>
            <w:tcBorders>
              <w:top w:val="single" w:sz="4" w:space="0" w:color="auto"/>
              <w:left w:val="nil"/>
              <w:right w:val="nil"/>
            </w:tcBorders>
            <w:hideMark/>
          </w:tcPr>
          <w:p w:rsidR="001A62D7" w:rsidRDefault="001A62D7" w:rsidP="001D5990">
            <w:pPr>
              <w:spacing w:before="60" w:after="60"/>
              <w:jc w:val="right"/>
              <w:rPr>
                <w:noProof/>
              </w:rPr>
            </w:pPr>
            <w:r>
              <w:rPr>
                <w:rFonts w:eastAsia="Calibri"/>
                <w:noProof/>
              </w:rPr>
              <w:t>(</w:t>
            </w:r>
            <w:r w:rsidR="00885CA2">
              <w:rPr>
                <w:noProof/>
              </w:rPr>
              <w:t>66,4</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rFonts w:eastAsia="Calibri"/>
                <w:noProof/>
              </w:rPr>
            </w:pPr>
            <w:r>
              <w:rPr>
                <w:rFonts w:eastAsia="Calibri"/>
                <w:noProof/>
              </w:rPr>
              <w:t>W</w:t>
            </w:r>
            <w:r>
              <w:rPr>
                <w:noProof/>
              </w:rPr>
              <w:t>omen:</w:t>
            </w:r>
          </w:p>
        </w:tc>
        <w:tc>
          <w:tcPr>
            <w:tcW w:w="1176" w:type="dxa"/>
          </w:tcPr>
          <w:p w:rsidR="001A62D7" w:rsidRDefault="000F7763" w:rsidP="001D5990">
            <w:pPr>
              <w:spacing w:before="60" w:after="60"/>
              <w:jc w:val="right"/>
              <w:rPr>
                <w:noProof/>
              </w:rPr>
            </w:pPr>
            <w:r>
              <w:rPr>
                <w:noProof/>
              </w:rPr>
              <w:t>141</w:t>
            </w:r>
          </w:p>
        </w:tc>
        <w:tc>
          <w:tcPr>
            <w:tcW w:w="1176" w:type="dxa"/>
          </w:tcPr>
          <w:p w:rsidR="001A62D7" w:rsidRDefault="001A62D7" w:rsidP="001D5990">
            <w:pPr>
              <w:spacing w:before="60" w:after="60"/>
              <w:jc w:val="right"/>
              <w:rPr>
                <w:rFonts w:eastAsia="Calibri"/>
                <w:noProof/>
              </w:rPr>
            </w:pPr>
            <w:r>
              <w:rPr>
                <w:rFonts w:eastAsia="Calibri"/>
                <w:noProof/>
              </w:rPr>
              <w:t>(</w:t>
            </w:r>
            <w:r w:rsidR="00885CA2">
              <w:rPr>
                <w:noProof/>
              </w:rPr>
              <w:t>33,6</w:t>
            </w:r>
            <w:r>
              <w:rPr>
                <w:rFonts w:eastAsia="Calibri"/>
                <w:noProof/>
              </w:rPr>
              <w:t> %)</w:t>
            </w:r>
          </w:p>
        </w:tc>
      </w:tr>
      <w:tr w:rsidR="001A62D7" w:rsidTr="001D5990">
        <w:trPr>
          <w:jc w:val="center"/>
        </w:trPr>
        <w:tc>
          <w:tcPr>
            <w:tcW w:w="1496" w:type="dxa"/>
            <w:tcBorders>
              <w:left w:val="nil"/>
              <w:bottom w:val="single" w:sz="4" w:space="0" w:color="auto"/>
              <w:right w:val="nil"/>
            </w:tcBorders>
          </w:tcPr>
          <w:p w:rsidR="001A62D7" w:rsidRDefault="001A62D7" w:rsidP="001D5990">
            <w:pPr>
              <w:spacing w:before="60" w:after="60"/>
              <w:rPr>
                <w:noProof/>
              </w:rPr>
            </w:pPr>
          </w:p>
        </w:tc>
        <w:tc>
          <w:tcPr>
            <w:tcW w:w="2063" w:type="dxa"/>
            <w:tcBorders>
              <w:left w:val="nil"/>
              <w:bottom w:val="single" w:sz="4" w:space="0" w:color="auto"/>
              <w:right w:val="nil"/>
            </w:tcBorders>
          </w:tcPr>
          <w:p w:rsidR="001A62D7" w:rsidRDefault="001A62D7" w:rsidP="001D5990">
            <w:pPr>
              <w:spacing w:before="60" w:after="60"/>
              <w:rPr>
                <w:noProof/>
              </w:rPr>
            </w:pPr>
            <w:r>
              <w:rPr>
                <w:rFonts w:eastAsia="Calibri"/>
                <w:noProof/>
              </w:rPr>
              <w:t>Non-binary</w:t>
            </w:r>
          </w:p>
        </w:tc>
        <w:tc>
          <w:tcPr>
            <w:tcW w:w="1176" w:type="dxa"/>
            <w:tcBorders>
              <w:bottom w:val="single" w:sz="4" w:space="0" w:color="auto"/>
            </w:tcBorders>
            <w:hideMark/>
          </w:tcPr>
          <w:p w:rsidR="001A62D7" w:rsidRDefault="00885CA2" w:rsidP="001D5990">
            <w:pPr>
              <w:spacing w:before="60" w:after="60"/>
              <w:jc w:val="right"/>
              <w:rPr>
                <w:noProof/>
              </w:rPr>
            </w:pPr>
            <w:r>
              <w:rPr>
                <w:noProof/>
              </w:rPr>
              <w:t>0</w:t>
            </w:r>
          </w:p>
        </w:tc>
        <w:tc>
          <w:tcPr>
            <w:tcW w:w="1176" w:type="dxa"/>
            <w:tcBorders>
              <w:bottom w:val="single" w:sz="4" w:space="0" w:color="auto"/>
            </w:tcBorders>
            <w:hideMark/>
          </w:tcPr>
          <w:p w:rsidR="001A62D7" w:rsidRDefault="001A62D7" w:rsidP="001D5990">
            <w:pPr>
              <w:spacing w:before="60" w:after="60"/>
              <w:jc w:val="right"/>
              <w:rPr>
                <w:noProof/>
              </w:rPr>
            </w:pPr>
            <w:r>
              <w:rPr>
                <w:rFonts w:eastAsia="Calibri"/>
                <w:noProof/>
              </w:rPr>
              <w:t>(</w:t>
            </w:r>
            <w:r w:rsidR="00885CA2">
              <w:rPr>
                <w:noProof/>
              </w:rPr>
              <w:t>0</w:t>
            </w:r>
            <w:r>
              <w:rPr>
                <w:rFonts w:eastAsia="Calibri"/>
                <w:noProof/>
              </w:rPr>
              <w:t> %)</w:t>
            </w:r>
          </w:p>
        </w:tc>
      </w:tr>
      <w:tr w:rsidR="001A62D7" w:rsidTr="001D5990">
        <w:trPr>
          <w:jc w:val="center"/>
        </w:trPr>
        <w:tc>
          <w:tcPr>
            <w:tcW w:w="1496" w:type="dxa"/>
            <w:tcBorders>
              <w:top w:val="single" w:sz="4" w:space="0" w:color="auto"/>
              <w:left w:val="nil"/>
              <w:bottom w:val="nil"/>
              <w:right w:val="nil"/>
            </w:tcBorders>
            <w:hideMark/>
          </w:tcPr>
          <w:p w:rsidR="001A62D7" w:rsidRDefault="001A62D7" w:rsidP="001D5990">
            <w:pPr>
              <w:spacing w:before="60" w:after="60"/>
              <w:rPr>
                <w:noProof/>
              </w:rPr>
            </w:pPr>
            <w:r>
              <w:rPr>
                <w:noProof/>
              </w:rPr>
              <w:t>Age group:</w:t>
            </w:r>
          </w:p>
        </w:tc>
        <w:tc>
          <w:tcPr>
            <w:tcW w:w="2063" w:type="dxa"/>
            <w:tcBorders>
              <w:top w:val="single" w:sz="4" w:space="0" w:color="auto"/>
              <w:left w:val="nil"/>
              <w:bottom w:val="nil"/>
              <w:right w:val="nil"/>
            </w:tcBorders>
            <w:hideMark/>
          </w:tcPr>
          <w:p w:rsidR="001A62D7" w:rsidRDefault="001A62D7" w:rsidP="001D5990">
            <w:pPr>
              <w:spacing w:before="60" w:after="60"/>
              <w:rPr>
                <w:noProof/>
              </w:rPr>
            </w:pPr>
            <w:r>
              <w:rPr>
                <w:noProof/>
              </w:rPr>
              <w:t>Below 30 years:</w:t>
            </w:r>
          </w:p>
        </w:tc>
        <w:tc>
          <w:tcPr>
            <w:tcW w:w="1176" w:type="dxa"/>
            <w:tcBorders>
              <w:top w:val="single" w:sz="4" w:space="0" w:color="auto"/>
            </w:tcBorders>
            <w:hideMark/>
          </w:tcPr>
          <w:p w:rsidR="001A62D7" w:rsidRDefault="000F7763" w:rsidP="001D5990">
            <w:pPr>
              <w:spacing w:before="60" w:after="60"/>
              <w:jc w:val="right"/>
              <w:rPr>
                <w:noProof/>
              </w:rPr>
            </w:pPr>
            <w:r>
              <w:rPr>
                <w:noProof/>
              </w:rPr>
              <w:t>67</w:t>
            </w:r>
          </w:p>
        </w:tc>
        <w:tc>
          <w:tcPr>
            <w:tcW w:w="1176" w:type="dxa"/>
            <w:tcBorders>
              <w:top w:val="single" w:sz="4" w:space="0" w:color="auto"/>
            </w:tcBorders>
            <w:hideMark/>
          </w:tcPr>
          <w:p w:rsidR="001A62D7" w:rsidRDefault="001A62D7" w:rsidP="001D5990">
            <w:pPr>
              <w:spacing w:before="60" w:after="60"/>
              <w:jc w:val="right"/>
              <w:rPr>
                <w:noProof/>
              </w:rPr>
            </w:pPr>
            <w:r>
              <w:rPr>
                <w:rFonts w:eastAsia="Calibri"/>
                <w:noProof/>
              </w:rPr>
              <w:t>(</w:t>
            </w:r>
            <w:r w:rsidR="00364309">
              <w:rPr>
                <w:noProof/>
              </w:rPr>
              <w:t>16</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rPr>
                <w:noProof/>
              </w:rPr>
            </w:pPr>
            <w:r>
              <w:rPr>
                <w:rFonts w:eastAsia="Calibri"/>
                <w:noProof/>
              </w:rPr>
              <w:t>30-54 years:</w:t>
            </w:r>
          </w:p>
        </w:tc>
        <w:tc>
          <w:tcPr>
            <w:tcW w:w="1176" w:type="dxa"/>
            <w:hideMark/>
          </w:tcPr>
          <w:p w:rsidR="001A62D7" w:rsidRDefault="000F7763" w:rsidP="001D5990">
            <w:pPr>
              <w:spacing w:before="60" w:after="60"/>
              <w:jc w:val="right"/>
              <w:rPr>
                <w:noProof/>
              </w:rPr>
            </w:pPr>
            <w:r>
              <w:rPr>
                <w:noProof/>
              </w:rPr>
              <w:t>311</w:t>
            </w:r>
          </w:p>
        </w:tc>
        <w:tc>
          <w:tcPr>
            <w:tcW w:w="1176" w:type="dxa"/>
            <w:hideMark/>
          </w:tcPr>
          <w:p w:rsidR="001A62D7" w:rsidRDefault="001A62D7" w:rsidP="001D5990">
            <w:pPr>
              <w:spacing w:before="60" w:after="60"/>
              <w:jc w:val="right"/>
              <w:rPr>
                <w:noProof/>
              </w:rPr>
            </w:pPr>
            <w:r>
              <w:rPr>
                <w:rFonts w:eastAsia="Calibri"/>
                <w:noProof/>
              </w:rPr>
              <w:t>(</w:t>
            </w:r>
            <w:r w:rsidR="00364309">
              <w:rPr>
                <w:noProof/>
              </w:rPr>
              <w:t>15</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jc w:val="left"/>
              <w:rPr>
                <w:noProof/>
              </w:rPr>
            </w:pPr>
            <w:r>
              <w:rPr>
                <w:noProof/>
              </w:rPr>
              <w:t>Over 54 years:</w:t>
            </w:r>
          </w:p>
        </w:tc>
        <w:tc>
          <w:tcPr>
            <w:tcW w:w="1176" w:type="dxa"/>
            <w:hideMark/>
          </w:tcPr>
          <w:p w:rsidR="001A62D7" w:rsidRDefault="00885CA2" w:rsidP="001D5990">
            <w:pPr>
              <w:spacing w:before="60" w:after="60"/>
              <w:jc w:val="right"/>
              <w:rPr>
                <w:noProof/>
              </w:rPr>
            </w:pPr>
            <w:r>
              <w:rPr>
                <w:noProof/>
              </w:rPr>
              <w:t>4</w:t>
            </w:r>
            <w:r w:rsidR="000F7763">
              <w:rPr>
                <w:noProof/>
              </w:rPr>
              <w:t>2</w:t>
            </w:r>
          </w:p>
        </w:tc>
        <w:tc>
          <w:tcPr>
            <w:tcW w:w="1176" w:type="dxa"/>
            <w:hideMark/>
          </w:tcPr>
          <w:p w:rsidR="001A62D7" w:rsidRDefault="001A62D7" w:rsidP="001D5990">
            <w:pPr>
              <w:spacing w:before="60" w:after="60"/>
              <w:jc w:val="right"/>
              <w:rPr>
                <w:noProof/>
              </w:rPr>
            </w:pPr>
            <w:r>
              <w:rPr>
                <w:rFonts w:eastAsia="Calibri"/>
                <w:noProof/>
              </w:rPr>
              <w:t>(</w:t>
            </w:r>
            <w:r w:rsidR="00885CA2">
              <w:rPr>
                <w:noProof/>
              </w:rPr>
              <w:t>1</w:t>
            </w:r>
            <w:r w:rsidR="00364309">
              <w:rPr>
                <w:noProof/>
              </w:rPr>
              <w:t>0</w:t>
            </w:r>
            <w:r>
              <w:rPr>
                <w:rFonts w:eastAsia="Calibri"/>
                <w:noProof/>
              </w:rPr>
              <w:t> %)</w:t>
            </w:r>
          </w:p>
        </w:tc>
      </w:tr>
      <w:tr w:rsidR="001A62D7" w:rsidTr="001D5990">
        <w:trPr>
          <w:jc w:val="center"/>
        </w:trPr>
        <w:tc>
          <w:tcPr>
            <w:tcW w:w="1496" w:type="dxa"/>
            <w:tcBorders>
              <w:top w:val="single" w:sz="4" w:space="0" w:color="auto"/>
              <w:left w:val="nil"/>
              <w:bottom w:val="nil"/>
              <w:right w:val="nil"/>
            </w:tcBorders>
          </w:tcPr>
          <w:p w:rsidR="001A62D7" w:rsidRDefault="001A62D7" w:rsidP="001D5990">
            <w:pPr>
              <w:spacing w:before="60" w:after="60"/>
              <w:rPr>
                <w:noProof/>
              </w:rPr>
            </w:pPr>
            <w:r>
              <w:rPr>
                <w:noProof/>
              </w:rPr>
              <w:t>Educational level</w:t>
            </w:r>
          </w:p>
        </w:tc>
        <w:tc>
          <w:tcPr>
            <w:tcW w:w="2063" w:type="dxa"/>
            <w:tcBorders>
              <w:top w:val="single" w:sz="4" w:space="0" w:color="auto"/>
              <w:left w:val="nil"/>
              <w:bottom w:val="nil"/>
              <w:right w:val="nil"/>
            </w:tcBorders>
          </w:tcPr>
          <w:p w:rsidR="001A62D7" w:rsidRDefault="001A62D7" w:rsidP="001D5990">
            <w:pPr>
              <w:spacing w:before="60" w:after="60"/>
              <w:rPr>
                <w:noProof/>
              </w:rPr>
            </w:pPr>
            <w:r>
              <w:rPr>
                <w:noProof/>
              </w:rPr>
              <w:t>Lower secondary education or less</w:t>
            </w:r>
            <w:r>
              <w:rPr>
                <w:rStyle w:val="FootnoteReference"/>
                <w:noProof/>
              </w:rPr>
              <w:footnoteReference w:id="8"/>
            </w:r>
            <w:r>
              <w:rPr>
                <w:noProof/>
              </w:rPr>
              <w:t xml:space="preserve"> </w:t>
            </w:r>
          </w:p>
        </w:tc>
        <w:tc>
          <w:tcPr>
            <w:tcW w:w="1176" w:type="dxa"/>
            <w:tcBorders>
              <w:top w:val="single" w:sz="4" w:space="0" w:color="auto"/>
              <w:left w:val="nil"/>
              <w:bottom w:val="nil"/>
              <w:right w:val="nil"/>
            </w:tcBorders>
          </w:tcPr>
          <w:p w:rsidR="001A62D7" w:rsidRDefault="000F7763" w:rsidP="001D5990">
            <w:pPr>
              <w:spacing w:before="60" w:after="60"/>
              <w:jc w:val="right"/>
              <w:rPr>
                <w:noProof/>
              </w:rPr>
            </w:pPr>
            <w:r>
              <w:rPr>
                <w:noProof/>
              </w:rPr>
              <w:t>90</w:t>
            </w:r>
          </w:p>
        </w:tc>
        <w:tc>
          <w:tcPr>
            <w:tcW w:w="1176" w:type="dxa"/>
            <w:tcBorders>
              <w:top w:val="single" w:sz="4" w:space="0" w:color="auto"/>
              <w:left w:val="nil"/>
              <w:bottom w:val="nil"/>
              <w:right w:val="nil"/>
            </w:tcBorders>
          </w:tcPr>
          <w:p w:rsidR="001A62D7" w:rsidRDefault="001A62D7" w:rsidP="001D5990">
            <w:pPr>
              <w:spacing w:before="60" w:after="60"/>
              <w:jc w:val="right"/>
              <w:rPr>
                <w:rFonts w:eastAsia="Calibri"/>
                <w:noProof/>
              </w:rPr>
            </w:pPr>
            <w:r>
              <w:rPr>
                <w:rFonts w:eastAsia="Calibri"/>
                <w:noProof/>
              </w:rPr>
              <w:t>(</w:t>
            </w:r>
            <w:r w:rsidR="00847BC1">
              <w:rPr>
                <w:noProof/>
              </w:rPr>
              <w:t>21</w:t>
            </w:r>
            <w:r w:rsidR="00885CA2">
              <w:rPr>
                <w:noProof/>
              </w:rPr>
              <w:t>,</w:t>
            </w:r>
            <w:r w:rsidR="00847BC1">
              <w:rPr>
                <w:noProof/>
              </w:rPr>
              <w:t>4</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noProof/>
              </w:rPr>
            </w:pPr>
            <w:r>
              <w:rPr>
                <w:noProof/>
              </w:rPr>
              <w:t>Upper secondary</w:t>
            </w:r>
            <w:r>
              <w:rPr>
                <w:rStyle w:val="FootnoteReference"/>
                <w:noProof/>
              </w:rPr>
              <w:footnoteReference w:id="9"/>
            </w:r>
            <w:r>
              <w:rPr>
                <w:noProof/>
              </w:rPr>
              <w:t xml:space="preserve"> or post-secondary education</w:t>
            </w:r>
            <w:r>
              <w:rPr>
                <w:rStyle w:val="FootnoteReference"/>
                <w:noProof/>
              </w:rPr>
              <w:footnoteReference w:id="10"/>
            </w:r>
          </w:p>
        </w:tc>
        <w:tc>
          <w:tcPr>
            <w:tcW w:w="1176" w:type="dxa"/>
            <w:tcBorders>
              <w:top w:val="nil"/>
              <w:left w:val="nil"/>
              <w:right w:val="nil"/>
            </w:tcBorders>
          </w:tcPr>
          <w:p w:rsidR="001A62D7" w:rsidRDefault="000F7763" w:rsidP="001D5990">
            <w:pPr>
              <w:spacing w:before="60" w:after="60"/>
              <w:jc w:val="right"/>
              <w:rPr>
                <w:noProof/>
              </w:rPr>
            </w:pPr>
            <w:r>
              <w:rPr>
                <w:noProof/>
              </w:rPr>
              <w:t>173</w:t>
            </w:r>
          </w:p>
        </w:tc>
        <w:tc>
          <w:tcPr>
            <w:tcW w:w="1176" w:type="dxa"/>
            <w:tcBorders>
              <w:top w:val="nil"/>
              <w:left w:val="nil"/>
              <w:right w:val="nil"/>
            </w:tcBorders>
          </w:tcPr>
          <w:p w:rsidR="001A62D7" w:rsidRDefault="001A62D7" w:rsidP="001D5990">
            <w:pPr>
              <w:spacing w:before="60" w:after="60"/>
              <w:jc w:val="right"/>
              <w:rPr>
                <w:rFonts w:eastAsia="Calibri"/>
                <w:noProof/>
              </w:rPr>
            </w:pPr>
            <w:r>
              <w:rPr>
                <w:rFonts w:eastAsia="Calibri"/>
                <w:noProof/>
              </w:rPr>
              <w:t>(</w:t>
            </w:r>
            <w:r w:rsidR="00885CA2">
              <w:rPr>
                <w:noProof/>
              </w:rPr>
              <w:t>4</w:t>
            </w:r>
            <w:r w:rsidR="00847BC1">
              <w:rPr>
                <w:noProof/>
              </w:rPr>
              <w:t>1</w:t>
            </w:r>
            <w:r w:rsidR="00885CA2">
              <w:rPr>
                <w:noProof/>
              </w:rPr>
              <w:t>,</w:t>
            </w:r>
            <w:r w:rsidR="00847BC1">
              <w:rPr>
                <w:noProof/>
              </w:rPr>
              <w:t>2</w:t>
            </w:r>
            <w:r>
              <w:rPr>
                <w:rFonts w:eastAsia="Calibri"/>
                <w:noProof/>
              </w:rPr>
              <w:t> %)</w:t>
            </w:r>
          </w:p>
        </w:tc>
      </w:tr>
      <w:tr w:rsidR="001A62D7" w:rsidTr="001D5990">
        <w:trPr>
          <w:jc w:val="center"/>
        </w:trPr>
        <w:tc>
          <w:tcPr>
            <w:tcW w:w="1496" w:type="dxa"/>
            <w:tcBorders>
              <w:top w:val="nil"/>
              <w:left w:val="nil"/>
              <w:bottom w:val="single" w:sz="4" w:space="0" w:color="auto"/>
              <w:right w:val="nil"/>
            </w:tcBorders>
          </w:tcPr>
          <w:p w:rsidR="001A62D7" w:rsidRDefault="001A62D7" w:rsidP="001D5990">
            <w:pPr>
              <w:spacing w:before="60" w:after="60"/>
              <w:rPr>
                <w:noProof/>
              </w:rPr>
            </w:pPr>
          </w:p>
        </w:tc>
        <w:tc>
          <w:tcPr>
            <w:tcW w:w="2063" w:type="dxa"/>
            <w:tcBorders>
              <w:top w:val="nil"/>
              <w:left w:val="nil"/>
              <w:bottom w:val="single" w:sz="4" w:space="0" w:color="auto"/>
              <w:right w:val="nil"/>
            </w:tcBorders>
          </w:tcPr>
          <w:p w:rsidR="001A62D7" w:rsidRDefault="001A62D7" w:rsidP="001D5990">
            <w:pPr>
              <w:spacing w:before="60" w:after="60"/>
              <w:rPr>
                <w:noProof/>
              </w:rPr>
            </w:pPr>
            <w:r>
              <w:rPr>
                <w:noProof/>
              </w:rPr>
              <w:t>Tertiary education</w:t>
            </w:r>
            <w:r>
              <w:rPr>
                <w:rStyle w:val="FootnoteReference"/>
                <w:noProof/>
              </w:rPr>
              <w:footnoteReference w:id="11"/>
            </w:r>
          </w:p>
        </w:tc>
        <w:tc>
          <w:tcPr>
            <w:tcW w:w="1176" w:type="dxa"/>
            <w:tcBorders>
              <w:top w:val="nil"/>
              <w:left w:val="nil"/>
              <w:bottom w:val="single" w:sz="4" w:space="0" w:color="auto"/>
              <w:right w:val="nil"/>
            </w:tcBorders>
          </w:tcPr>
          <w:p w:rsidR="001A62D7" w:rsidRDefault="000F7763" w:rsidP="001D5990">
            <w:pPr>
              <w:spacing w:before="60" w:after="60"/>
              <w:jc w:val="right"/>
              <w:rPr>
                <w:noProof/>
              </w:rPr>
            </w:pPr>
            <w:r>
              <w:rPr>
                <w:noProof/>
              </w:rPr>
              <w:t>157</w:t>
            </w:r>
          </w:p>
        </w:tc>
        <w:tc>
          <w:tcPr>
            <w:tcW w:w="1176" w:type="dxa"/>
            <w:tcBorders>
              <w:top w:val="nil"/>
              <w:left w:val="nil"/>
              <w:bottom w:val="single" w:sz="4" w:space="0" w:color="auto"/>
              <w:right w:val="nil"/>
            </w:tcBorders>
          </w:tcPr>
          <w:p w:rsidR="001A62D7" w:rsidRDefault="001A62D7" w:rsidP="001D5990">
            <w:pPr>
              <w:spacing w:before="60" w:after="60"/>
              <w:jc w:val="right"/>
              <w:rPr>
                <w:rFonts w:eastAsia="Calibri"/>
                <w:noProof/>
              </w:rPr>
            </w:pPr>
            <w:r>
              <w:rPr>
                <w:rFonts w:eastAsia="Calibri"/>
                <w:noProof/>
              </w:rPr>
              <w:t>(</w:t>
            </w:r>
            <w:r w:rsidR="00847BC1">
              <w:rPr>
                <w:rFonts w:eastAsia="Calibri"/>
                <w:noProof/>
              </w:rPr>
              <w:t>37,</w:t>
            </w:r>
            <w:r w:rsidR="00885CA2">
              <w:rPr>
                <w:noProof/>
              </w:rPr>
              <w:t>4</w:t>
            </w:r>
            <w:r>
              <w:rPr>
                <w:rFonts w:eastAsia="Calibri"/>
                <w:noProof/>
              </w:rPr>
              <w:t> %)</w:t>
            </w:r>
          </w:p>
        </w:tc>
      </w:tr>
    </w:tbl>
    <w:p w:rsidR="001A62D7" w:rsidRDefault="001A62D7" w:rsidP="001A62D7">
      <w:pPr>
        <w:pStyle w:val="ManualHeading3"/>
        <w:rPr>
          <w:noProof/>
          <w:u w:val="single"/>
        </w:rPr>
      </w:pPr>
      <w:r>
        <w:rPr>
          <w:noProof/>
        </w:rPr>
        <w:lastRenderedPageBreak/>
        <w:t>P</w:t>
      </w:r>
      <w:r w:rsidRPr="007F7A40">
        <w:rPr>
          <w:noProof/>
        </w:rPr>
        <w:t xml:space="preserve">roposed </w:t>
      </w:r>
      <w:r>
        <w:rPr>
          <w:noProof/>
        </w:rPr>
        <w:t>measures</w:t>
      </w:r>
    </w:p>
    <w:p w:rsidR="001A62D7" w:rsidRDefault="001A62D7" w:rsidP="00AE7D04">
      <w:pPr>
        <w:pStyle w:val="ManualNumPar1"/>
        <w:rPr>
          <w:noProof/>
        </w:rPr>
      </w:pPr>
      <w:r>
        <w:rPr>
          <w:noProof/>
        </w:rPr>
        <w:t>32.</w:t>
      </w:r>
      <w:r>
        <w:rPr>
          <w:noProof/>
        </w:rPr>
        <w:tab/>
      </w:r>
      <w:bookmarkStart w:id="2" w:name="_Ref372214239"/>
      <w:r>
        <w:rPr>
          <w:noProof/>
        </w:rPr>
        <w:t>Pursuant to Article 8(7), point (h) of Regulation (EU) 2021/691, t</w:t>
      </w:r>
      <w:r w:rsidRPr="00D53BB8">
        <w:rPr>
          <w:noProof/>
        </w:rPr>
        <w:t xml:space="preserve">he </w:t>
      </w:r>
      <w:r>
        <w:rPr>
          <w:noProof/>
        </w:rPr>
        <w:t xml:space="preserve">personalised coordinated package to be provided to </w:t>
      </w:r>
      <w:r w:rsidRPr="003E3994">
        <w:rPr>
          <w:noProof/>
        </w:rPr>
        <w:t>displaced workers</w:t>
      </w:r>
      <w:r>
        <w:rPr>
          <w:noProof/>
        </w:rPr>
        <w:t xml:space="preserve"> consists of the following measures: </w:t>
      </w:r>
      <w:bookmarkEnd w:id="2"/>
    </w:p>
    <w:p w:rsidR="00B543B5" w:rsidRDefault="005C27C7" w:rsidP="005B3182">
      <w:pPr>
        <w:pStyle w:val="Tiret1"/>
        <w:numPr>
          <w:ilvl w:val="0"/>
          <w:numId w:val="19"/>
        </w:numPr>
        <w:rPr>
          <w:noProof/>
        </w:rPr>
      </w:pPr>
      <w:r>
        <w:rPr>
          <w:noProof/>
          <w:u w:val="single"/>
        </w:rPr>
        <w:t>Case management</w:t>
      </w:r>
      <w:r w:rsidR="001A62D7">
        <w:rPr>
          <w:noProof/>
        </w:rPr>
        <w:t>:</w:t>
      </w:r>
      <w:r w:rsidR="00B543B5">
        <w:rPr>
          <w:noProof/>
        </w:rPr>
        <w:t xml:space="preserve"> This measure aims at offering highly individualised support by accompanying participants in the implementation of their individual action plan and documenting and assessing their individual training pathways.</w:t>
      </w:r>
    </w:p>
    <w:p w:rsidR="001A62D7" w:rsidRDefault="005C27C7" w:rsidP="001A150D">
      <w:pPr>
        <w:pStyle w:val="Tiret1"/>
        <w:rPr>
          <w:noProof/>
        </w:rPr>
      </w:pPr>
      <w:r w:rsidRPr="005C27C7">
        <w:rPr>
          <w:noProof/>
          <w:u w:val="single"/>
        </w:rPr>
        <w:t>Career guidance – career orientation</w:t>
      </w:r>
      <w:r w:rsidR="001A62D7">
        <w:rPr>
          <w:noProof/>
        </w:rPr>
        <w:t xml:space="preserve">: </w:t>
      </w:r>
      <w:r w:rsidR="00D949B3">
        <w:rPr>
          <w:noProof/>
        </w:rPr>
        <w:t>Th</w:t>
      </w:r>
      <w:r w:rsidR="00786CCA">
        <w:rPr>
          <w:noProof/>
        </w:rPr>
        <w:t>is</w:t>
      </w:r>
      <w:r w:rsidR="00D949B3">
        <w:rPr>
          <w:noProof/>
        </w:rPr>
        <w:t xml:space="preserve"> measure</w:t>
      </w:r>
      <w:r w:rsidR="001A150D">
        <w:rPr>
          <w:noProof/>
        </w:rPr>
        <w:t xml:space="preserve"> precede</w:t>
      </w:r>
      <w:r w:rsidR="00786CCA">
        <w:rPr>
          <w:noProof/>
        </w:rPr>
        <w:t>s</w:t>
      </w:r>
      <w:r w:rsidR="001A150D">
        <w:rPr>
          <w:noProof/>
        </w:rPr>
        <w:t xml:space="preserve"> the individual action plan and serves primarily</w:t>
      </w:r>
      <w:r w:rsidR="001A150D" w:rsidRPr="001A150D">
        <w:rPr>
          <w:noProof/>
        </w:rPr>
        <w:t xml:space="preserve"> to clarify career prospects based on participants’ interests, strengths and weaknesses</w:t>
      </w:r>
      <w:r w:rsidR="001A150D">
        <w:rPr>
          <w:noProof/>
        </w:rPr>
        <w:t xml:space="preserve">. </w:t>
      </w:r>
      <w:r w:rsidR="005871BA">
        <w:rPr>
          <w:noProof/>
        </w:rPr>
        <w:t>To</w:t>
      </w:r>
      <w:r w:rsidR="001A150D">
        <w:rPr>
          <w:noProof/>
        </w:rPr>
        <w:t xml:space="preserve"> set up an action plan, individual training objectives are identified, and training possibilities discussed. This is based on a thorough research of labour market trends and prospective job opportunities.</w:t>
      </w:r>
    </w:p>
    <w:p w:rsidR="005C27C7" w:rsidRDefault="005C27C7" w:rsidP="00D949B3">
      <w:pPr>
        <w:pStyle w:val="Tiret1"/>
        <w:rPr>
          <w:noProof/>
        </w:rPr>
      </w:pPr>
      <w:r w:rsidRPr="00D949B3">
        <w:rPr>
          <w:noProof/>
          <w:u w:val="single"/>
        </w:rPr>
        <w:t>Training and retraining</w:t>
      </w:r>
      <w:r>
        <w:rPr>
          <w:noProof/>
        </w:rPr>
        <w:t xml:space="preserve">: </w:t>
      </w:r>
      <w:r w:rsidR="001A150D">
        <w:rPr>
          <w:noProof/>
        </w:rPr>
        <w:t xml:space="preserve">In drawing up the action plan, particular attention will be paid to improving vocational skills. </w:t>
      </w:r>
      <w:r w:rsidR="00D949B3">
        <w:rPr>
          <w:noProof/>
        </w:rPr>
        <w:t xml:space="preserve">Therefore, </w:t>
      </w:r>
      <w:r w:rsidR="001A150D">
        <w:rPr>
          <w:noProof/>
        </w:rPr>
        <w:t xml:space="preserve">participants can follow training and retraining courses </w:t>
      </w:r>
      <w:r w:rsidR="00D949B3">
        <w:rPr>
          <w:noProof/>
        </w:rPr>
        <w:t xml:space="preserve">in line with labour market needs, enabling participants to find a new and sustainable job as quickly as possible. </w:t>
      </w:r>
    </w:p>
    <w:p w:rsidR="005C27C7" w:rsidRDefault="005C27C7" w:rsidP="005C27C7">
      <w:pPr>
        <w:pStyle w:val="Tiret1"/>
        <w:rPr>
          <w:noProof/>
        </w:rPr>
      </w:pPr>
      <w:r w:rsidRPr="005C27C7">
        <w:rPr>
          <w:noProof/>
          <w:u w:val="single"/>
        </w:rPr>
        <w:t>Pro-active job-search</w:t>
      </w:r>
      <w:r>
        <w:rPr>
          <w:noProof/>
        </w:rPr>
        <w:t xml:space="preserve">: </w:t>
      </w:r>
      <w:r w:rsidR="00D949B3" w:rsidRPr="00D949B3">
        <w:rPr>
          <w:noProof/>
        </w:rPr>
        <w:t>This m</w:t>
      </w:r>
      <w:r w:rsidR="00D949B3">
        <w:rPr>
          <w:noProof/>
        </w:rPr>
        <w:t>easure</w:t>
      </w:r>
      <w:r w:rsidR="00D949B3" w:rsidRPr="00D949B3">
        <w:rPr>
          <w:noProof/>
        </w:rPr>
        <w:t xml:space="preserve"> includes </w:t>
      </w:r>
      <w:r w:rsidR="00D949B3">
        <w:rPr>
          <w:noProof/>
        </w:rPr>
        <w:t xml:space="preserve">assistance with </w:t>
      </w:r>
      <w:r w:rsidR="00D949B3" w:rsidRPr="00D949B3">
        <w:rPr>
          <w:noProof/>
        </w:rPr>
        <w:t>preparing convincing applications, developing search strategies and individual and job-related application strategies, promoting initiative and motivation, dealing with rejection, strengthening resilience, etc.</w:t>
      </w:r>
    </w:p>
    <w:p w:rsidR="005C27C7" w:rsidRDefault="005C27C7" w:rsidP="005C27C7">
      <w:pPr>
        <w:pStyle w:val="Tiret1"/>
        <w:rPr>
          <w:noProof/>
        </w:rPr>
      </w:pPr>
      <w:r w:rsidRPr="005C27C7">
        <w:rPr>
          <w:noProof/>
          <w:u w:val="single"/>
        </w:rPr>
        <w:t>Training allowance – training-related subsidy</w:t>
      </w:r>
      <w:r>
        <w:rPr>
          <w:noProof/>
        </w:rPr>
        <w:t xml:space="preserve">: </w:t>
      </w:r>
      <w:r w:rsidR="00D949B3" w:rsidRPr="00D949B3">
        <w:rPr>
          <w:noProof/>
        </w:rPr>
        <w:t xml:space="preserve">A training allowance will be granted to each participant in the programme to cover the additional training-related expenses related to participation </w:t>
      </w:r>
      <w:r w:rsidR="00D949B3">
        <w:rPr>
          <w:noProof/>
        </w:rPr>
        <w:t>in the training measures</w:t>
      </w:r>
      <w:r w:rsidR="00D949B3" w:rsidRPr="00D949B3">
        <w:rPr>
          <w:noProof/>
        </w:rPr>
        <w:t>.</w:t>
      </w:r>
    </w:p>
    <w:p w:rsidR="001A62D7" w:rsidRPr="00C96520" w:rsidRDefault="00A6667C" w:rsidP="001A62D7">
      <w:pPr>
        <w:pStyle w:val="ManualNumPar1"/>
        <w:rPr>
          <w:noProof/>
        </w:rPr>
      </w:pPr>
      <w:r>
        <w:rPr>
          <w:noProof/>
        </w:rPr>
        <w:t>33.</w:t>
      </w:r>
      <w:r>
        <w:rPr>
          <w:noProof/>
        </w:rPr>
        <w:tab/>
      </w:r>
      <w:r>
        <w:rPr>
          <w:noProof/>
          <w:u w:val="single"/>
        </w:rPr>
        <w:t>Career guidance as well as training and retraining measures</w:t>
      </w:r>
      <w:r w:rsidR="001A62D7">
        <w:rPr>
          <w:noProof/>
        </w:rPr>
        <w:t xml:space="preserve"> </w:t>
      </w:r>
      <w:r w:rsidR="001A62D7" w:rsidRPr="00C946EF">
        <w:rPr>
          <w:noProof/>
        </w:rPr>
        <w:t>cate</w:t>
      </w:r>
      <w:r>
        <w:rPr>
          <w:noProof/>
        </w:rPr>
        <w:t>r</w:t>
      </w:r>
      <w:r w:rsidR="001A62D7" w:rsidRPr="00C946EF">
        <w:rPr>
          <w:noProof/>
        </w:rPr>
        <w:t xml:space="preserve"> for </w:t>
      </w:r>
      <w:r w:rsidR="001A62D7">
        <w:rPr>
          <w:noProof/>
        </w:rPr>
        <w:t>the dissemination of the skills required in the digital industrial age and in a resource-efficient economy, as required by Article 7(2)</w:t>
      </w:r>
      <w:r w:rsidR="001A62D7" w:rsidRPr="00C946EF">
        <w:rPr>
          <w:noProof/>
        </w:rPr>
        <w:t xml:space="preserve"> of </w:t>
      </w:r>
      <w:r w:rsidR="001A62D7">
        <w:rPr>
          <w:noProof/>
        </w:rPr>
        <w:t xml:space="preserve">Regulation (EU) 2021/691. </w:t>
      </w:r>
      <w:r w:rsidRPr="00A6667C">
        <w:rPr>
          <w:noProof/>
        </w:rPr>
        <w:t xml:space="preserve">In the context of career guidance, particular attention is drawn to the importance of </w:t>
      </w:r>
      <w:r>
        <w:rPr>
          <w:noProof/>
        </w:rPr>
        <w:t xml:space="preserve">career prospects in </w:t>
      </w:r>
      <w:r w:rsidRPr="00A6667C">
        <w:rPr>
          <w:noProof/>
        </w:rPr>
        <w:t>green jobs (employment in sectors such as renewable energy, sustainable construction and renovation, water and wastewater management)</w:t>
      </w:r>
      <w:r>
        <w:rPr>
          <w:noProof/>
        </w:rPr>
        <w:t xml:space="preserve">. </w:t>
      </w:r>
      <w:r w:rsidR="0097440D">
        <w:rPr>
          <w:noProof/>
        </w:rPr>
        <w:t>In training and retraining measures, when designing individual action plan</w:t>
      </w:r>
      <w:r w:rsidR="00896349">
        <w:rPr>
          <w:noProof/>
        </w:rPr>
        <w:t>s</w:t>
      </w:r>
      <w:r w:rsidR="0097440D">
        <w:rPr>
          <w:noProof/>
        </w:rPr>
        <w:t>, emphasis is put on digital skills, in particular</w:t>
      </w:r>
      <w:r w:rsidRPr="00A6667C">
        <w:rPr>
          <w:noProof/>
        </w:rPr>
        <w:t xml:space="preserve"> for those </w:t>
      </w:r>
      <w:r w:rsidR="0097440D">
        <w:rPr>
          <w:noProof/>
        </w:rPr>
        <w:t>participants without or with only very basic</w:t>
      </w:r>
      <w:r w:rsidRPr="00A6667C">
        <w:rPr>
          <w:noProof/>
        </w:rPr>
        <w:t xml:space="preserve"> </w:t>
      </w:r>
      <w:r w:rsidR="0097440D">
        <w:rPr>
          <w:noProof/>
        </w:rPr>
        <w:t>previous knowledge</w:t>
      </w:r>
      <w:r w:rsidRPr="00A6667C">
        <w:rPr>
          <w:noProof/>
        </w:rPr>
        <w:t>.</w:t>
      </w:r>
    </w:p>
    <w:p w:rsidR="001A62D7" w:rsidRPr="00C96520" w:rsidRDefault="001A62D7" w:rsidP="00AE7D04">
      <w:pPr>
        <w:pStyle w:val="ManualNumPar1"/>
        <w:rPr>
          <w:noProof/>
        </w:rPr>
      </w:pPr>
      <w:r>
        <w:rPr>
          <w:noProof/>
        </w:rPr>
        <w:t>34.</w:t>
      </w:r>
      <w:r>
        <w:rPr>
          <w:noProof/>
        </w:rPr>
        <w:tab/>
      </w:r>
      <w:bookmarkStart w:id="3" w:name="_Ref372214242"/>
      <w:r w:rsidRPr="00C96520">
        <w:rPr>
          <w:noProof/>
        </w:rPr>
        <w:t>The proposed</w:t>
      </w:r>
      <w:r>
        <w:rPr>
          <w:noProof/>
        </w:rPr>
        <w:t xml:space="preserve"> actions</w:t>
      </w:r>
      <w:r w:rsidRPr="00C96520">
        <w:rPr>
          <w:noProof/>
        </w:rPr>
        <w:t xml:space="preserve">, here described, </w:t>
      </w:r>
      <w:r>
        <w:rPr>
          <w:noProof/>
        </w:rPr>
        <w:t>constitute</w:t>
      </w:r>
      <w:r w:rsidRPr="00C96520">
        <w:rPr>
          <w:noProof/>
        </w:rPr>
        <w:t xml:space="preserve"> active labour market </w:t>
      </w:r>
      <w:r>
        <w:rPr>
          <w:noProof/>
        </w:rPr>
        <w:t xml:space="preserve">policy </w:t>
      </w:r>
      <w:r w:rsidRPr="00C96520">
        <w:rPr>
          <w:noProof/>
        </w:rPr>
        <w:t xml:space="preserve">measures within the eligible </w:t>
      </w:r>
      <w:r>
        <w:rPr>
          <w:noProof/>
        </w:rPr>
        <w:t>actions</w:t>
      </w:r>
      <w:r w:rsidRPr="00C96520">
        <w:rPr>
          <w:noProof/>
        </w:rPr>
        <w:t xml:space="preserve"> set out in Article 7 of </w:t>
      </w:r>
      <w:r>
        <w:rPr>
          <w:noProof/>
        </w:rPr>
        <w:t>Regulation (EU) 2021/691</w:t>
      </w:r>
      <w:r w:rsidRPr="00C96520">
        <w:rPr>
          <w:noProof/>
        </w:rPr>
        <w:t xml:space="preserve">. </w:t>
      </w:r>
      <w:r>
        <w:rPr>
          <w:noProof/>
        </w:rPr>
        <w:t>These actions</w:t>
      </w:r>
      <w:r w:rsidRPr="00C96520">
        <w:rPr>
          <w:noProof/>
        </w:rPr>
        <w:t xml:space="preserve"> do not substitute passive social protection measures. </w:t>
      </w:r>
    </w:p>
    <w:p w:rsidR="001A62D7" w:rsidRDefault="001B3907" w:rsidP="00AE7D04">
      <w:pPr>
        <w:pStyle w:val="ManualNumPar1"/>
        <w:rPr>
          <w:noProof/>
        </w:rPr>
      </w:pPr>
      <w:r>
        <w:rPr>
          <w:noProof/>
        </w:rPr>
        <w:t>35.</w:t>
      </w:r>
      <w:r>
        <w:rPr>
          <w:noProof/>
        </w:rPr>
        <w:tab/>
        <w:t>Austria</w:t>
      </w:r>
      <w:r w:rsidR="001A62D7">
        <w:rPr>
          <w:noProof/>
        </w:rPr>
        <w:t xml:space="preserve"> has provided the required information on measures that are mandatory for the enterprise concerned by virtue of national law or pursuant to collective agreements. In accordance with Article 9(1) of Regulation (EU) 2021/691, </w:t>
      </w:r>
      <w:r>
        <w:rPr>
          <w:noProof/>
        </w:rPr>
        <w:t>Austria</w:t>
      </w:r>
      <w:r w:rsidR="001A62D7">
        <w:rPr>
          <w:noProof/>
        </w:rPr>
        <w:t xml:space="preserve"> has confirmed that a financial contribution from the EGF will not replace such measures.</w:t>
      </w:r>
      <w:bookmarkEnd w:id="3"/>
    </w:p>
    <w:p w:rsidR="001A62D7" w:rsidRPr="002730E5" w:rsidRDefault="001A62D7" w:rsidP="001A62D7">
      <w:pPr>
        <w:pStyle w:val="ManualHeading3"/>
        <w:rPr>
          <w:noProof/>
        </w:rPr>
      </w:pPr>
      <w:r w:rsidRPr="002730E5">
        <w:rPr>
          <w:noProof/>
        </w:rPr>
        <w:t>Estimated budget</w:t>
      </w:r>
    </w:p>
    <w:p w:rsidR="001A62D7" w:rsidRDefault="001A62D7" w:rsidP="00AE7D04">
      <w:pPr>
        <w:pStyle w:val="ManualNumPar1"/>
        <w:rPr>
          <w:noProof/>
        </w:rPr>
      </w:pPr>
      <w:r>
        <w:rPr>
          <w:noProof/>
        </w:rPr>
        <w:t>36.</w:t>
      </w:r>
      <w:r>
        <w:rPr>
          <w:noProof/>
        </w:rPr>
        <w:tab/>
        <w:t xml:space="preserve">The estimated total </w:t>
      </w:r>
      <w:r w:rsidRPr="001D5468">
        <w:rPr>
          <w:noProof/>
        </w:rPr>
        <w:t>costs are EUR </w:t>
      </w:r>
      <w:r w:rsidR="007E4D4B" w:rsidRPr="00401AEF">
        <w:rPr>
          <w:noProof/>
        </w:rPr>
        <w:t>3</w:t>
      </w:r>
      <w:r w:rsidR="00F2725D" w:rsidRPr="001D5468">
        <w:rPr>
          <w:noProof/>
        </w:rPr>
        <w:t> </w:t>
      </w:r>
      <w:r w:rsidR="007E4D4B" w:rsidRPr="00401AEF">
        <w:rPr>
          <w:noProof/>
        </w:rPr>
        <w:t>011</w:t>
      </w:r>
      <w:r w:rsidR="00F2725D" w:rsidRPr="001D5468">
        <w:rPr>
          <w:noProof/>
        </w:rPr>
        <w:t> </w:t>
      </w:r>
      <w:r w:rsidR="007E4D4B" w:rsidRPr="00401AEF">
        <w:rPr>
          <w:noProof/>
        </w:rPr>
        <w:t>04</w:t>
      </w:r>
      <w:r w:rsidR="00F2725D" w:rsidRPr="001D5468">
        <w:rPr>
          <w:noProof/>
        </w:rPr>
        <w:t>0</w:t>
      </w:r>
      <w:r w:rsidRPr="001D5468">
        <w:rPr>
          <w:noProof/>
        </w:rPr>
        <w:t>, comprising expenditure for personalised services of EUR </w:t>
      </w:r>
      <w:r w:rsidR="009D7AF5" w:rsidRPr="00401AEF">
        <w:rPr>
          <w:noProof/>
        </w:rPr>
        <w:t>2</w:t>
      </w:r>
      <w:r w:rsidR="00F2725D" w:rsidRPr="001D5468">
        <w:rPr>
          <w:noProof/>
        </w:rPr>
        <w:t> </w:t>
      </w:r>
      <w:r w:rsidR="009D7AF5" w:rsidRPr="00401AEF">
        <w:rPr>
          <w:noProof/>
        </w:rPr>
        <w:t>895</w:t>
      </w:r>
      <w:r w:rsidR="00F2725D" w:rsidRPr="001D5468">
        <w:rPr>
          <w:noProof/>
        </w:rPr>
        <w:t> </w:t>
      </w:r>
      <w:r w:rsidR="009D7AF5" w:rsidRPr="00401AEF">
        <w:rPr>
          <w:noProof/>
        </w:rPr>
        <w:t>12</w:t>
      </w:r>
      <w:r w:rsidR="00F2725D" w:rsidRPr="001D5468">
        <w:rPr>
          <w:noProof/>
        </w:rPr>
        <w:t>0</w:t>
      </w:r>
      <w:r w:rsidRPr="001D5468">
        <w:rPr>
          <w:rFonts w:eastAsia="Calibri"/>
          <w:noProof/>
        </w:rPr>
        <w:t xml:space="preserve"> </w:t>
      </w:r>
      <w:r w:rsidRPr="001D5468">
        <w:rPr>
          <w:noProof/>
        </w:rPr>
        <w:t>and</w:t>
      </w:r>
      <w:r>
        <w:rPr>
          <w:noProof/>
        </w:rPr>
        <w:t xml:space="preserve"> expenditure for preparatory, management, information and publicity, control and reporting activities of EUR </w:t>
      </w:r>
      <w:r w:rsidR="00114FDE">
        <w:rPr>
          <w:noProof/>
        </w:rPr>
        <w:t>115</w:t>
      </w:r>
      <w:r w:rsidR="00F2725D">
        <w:rPr>
          <w:noProof/>
        </w:rPr>
        <w:t> </w:t>
      </w:r>
      <w:r w:rsidR="00114FDE">
        <w:rPr>
          <w:noProof/>
        </w:rPr>
        <w:t>920</w:t>
      </w:r>
      <w:r>
        <w:rPr>
          <w:noProof/>
        </w:rPr>
        <w:t>.</w:t>
      </w:r>
    </w:p>
    <w:p w:rsidR="001A62D7" w:rsidRDefault="001A62D7" w:rsidP="00AE7D04">
      <w:pPr>
        <w:pStyle w:val="ManualNumPar1"/>
        <w:rPr>
          <w:noProof/>
        </w:rPr>
      </w:pPr>
      <w:r>
        <w:rPr>
          <w:noProof/>
        </w:rPr>
        <w:lastRenderedPageBreak/>
        <w:t>37.</w:t>
      </w:r>
      <w:r>
        <w:rPr>
          <w:noProof/>
        </w:rPr>
        <w:tab/>
      </w:r>
      <w:bookmarkStart w:id="4" w:name="_Ref372550770"/>
      <w:r>
        <w:rPr>
          <w:noProof/>
        </w:rPr>
        <w:t xml:space="preserve">The total financial contribution requested from the </w:t>
      </w:r>
      <w:r w:rsidRPr="007E4D4B">
        <w:rPr>
          <w:noProof/>
        </w:rPr>
        <w:t>EGF is EUR </w:t>
      </w:r>
      <w:r w:rsidR="00F2725D" w:rsidRPr="007E4D4B">
        <w:rPr>
          <w:noProof/>
        </w:rPr>
        <w:t>1 </w:t>
      </w:r>
      <w:r w:rsidR="007E4D4B" w:rsidRPr="00401AEF">
        <w:rPr>
          <w:noProof/>
        </w:rPr>
        <w:t>806</w:t>
      </w:r>
      <w:r w:rsidR="007E4D4B" w:rsidRPr="007E4D4B">
        <w:rPr>
          <w:noProof/>
        </w:rPr>
        <w:t> </w:t>
      </w:r>
      <w:r w:rsidR="007E4D4B" w:rsidRPr="00401AEF">
        <w:rPr>
          <w:noProof/>
        </w:rPr>
        <w:t>624</w:t>
      </w:r>
      <w:r>
        <w:rPr>
          <w:noProof/>
        </w:rPr>
        <w:t xml:space="preserve"> (</w:t>
      </w:r>
      <w:r w:rsidR="001B3907">
        <w:rPr>
          <w:noProof/>
        </w:rPr>
        <w:t>60</w:t>
      </w:r>
      <w:r>
        <w:rPr>
          <w:noProof/>
        </w:rPr>
        <w:t> % of total costs).</w:t>
      </w:r>
      <w:bookmarkEnd w:id="4"/>
    </w:p>
    <w:p w:rsidR="001A62D7" w:rsidRPr="007F59AB" w:rsidRDefault="001A62D7" w:rsidP="00AE7D04">
      <w:pPr>
        <w:pStyle w:val="ManualNumPar1"/>
        <w:rPr>
          <w:noProof/>
        </w:rPr>
      </w:pPr>
      <w:r>
        <w:rPr>
          <w:noProof/>
        </w:rPr>
        <w:t>38.</w:t>
      </w:r>
      <w:r>
        <w:rPr>
          <w:noProof/>
        </w:rPr>
        <w:tab/>
      </w:r>
      <w:r w:rsidRPr="00281459">
        <w:rPr>
          <w:noProof/>
        </w:rPr>
        <w:t>Pursuant to Article 8(7), point (m),</w:t>
      </w:r>
      <w:r>
        <w:rPr>
          <w:noProof/>
        </w:rPr>
        <w:t xml:space="preserve"> of Regulation (EU) 2021/691,</w:t>
      </w:r>
      <w:r w:rsidRPr="00281459">
        <w:rPr>
          <w:noProof/>
        </w:rPr>
        <w:t xml:space="preserve"> </w:t>
      </w:r>
      <w:r w:rsidR="001B3907">
        <w:rPr>
          <w:noProof/>
        </w:rPr>
        <w:t>Austria</w:t>
      </w:r>
      <w:r w:rsidRPr="00281459">
        <w:rPr>
          <w:noProof/>
        </w:rPr>
        <w:t xml:space="preserve"> has specified that the </w:t>
      </w:r>
      <w:r w:rsidRPr="00C20132">
        <w:rPr>
          <w:noProof/>
        </w:rPr>
        <w:t xml:space="preserve">national pre-financing </w:t>
      </w:r>
      <w:r w:rsidR="004C3F75">
        <w:rPr>
          <w:noProof/>
        </w:rPr>
        <w:t xml:space="preserve">is shared </w:t>
      </w:r>
      <w:r w:rsidR="005733AC">
        <w:rPr>
          <w:noProof/>
        </w:rPr>
        <w:t xml:space="preserve">equally </w:t>
      </w:r>
      <w:r w:rsidR="004C3F75">
        <w:rPr>
          <w:noProof/>
        </w:rPr>
        <w:t xml:space="preserve">by the government of Upper Austria and the Austrian Public Employment Service (Arbeitsmarktservice). The </w:t>
      </w:r>
      <w:r w:rsidRPr="00C20132">
        <w:rPr>
          <w:noProof/>
        </w:rPr>
        <w:t xml:space="preserve">co-funding </w:t>
      </w:r>
      <w:r>
        <w:rPr>
          <w:noProof/>
        </w:rPr>
        <w:t xml:space="preserve">is provided by </w:t>
      </w:r>
      <w:r w:rsidR="00660555">
        <w:rPr>
          <w:noProof/>
        </w:rPr>
        <w:t>the Austrian Public Employment Service (Arbeitsmarktservice)</w:t>
      </w:r>
      <w:r>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6E2470" w:rsidTr="001D5990">
        <w:tc>
          <w:tcPr>
            <w:tcW w:w="4644" w:type="dxa"/>
            <w:shd w:val="clear" w:color="auto" w:fill="auto"/>
            <w:vAlign w:val="center"/>
          </w:tcPr>
          <w:p w:rsidR="001A62D7" w:rsidRPr="006E2470" w:rsidRDefault="001A62D7" w:rsidP="001D5990">
            <w:pPr>
              <w:spacing w:before="60" w:after="60"/>
              <w:jc w:val="center"/>
              <w:rPr>
                <w:rFonts w:eastAsia="Times New Roman"/>
                <w:noProof/>
                <w:sz w:val="22"/>
              </w:rPr>
            </w:pPr>
            <w:bookmarkStart w:id="5" w:name="_Hlk216665707"/>
            <w:r>
              <w:rPr>
                <w:rFonts w:eastAsia="Times New Roman"/>
                <w:noProof/>
                <w:sz w:val="22"/>
              </w:rPr>
              <w:t>Measures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number of participants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cost per participant</w:t>
            </w:r>
            <w:r w:rsidRPr="006E2470">
              <w:rPr>
                <w:rFonts w:eastAsia="Times New Roman"/>
                <w:noProof/>
                <w:sz w:val="22"/>
              </w:rPr>
              <w:br/>
            </w:r>
            <w:r w:rsidRPr="006E2470">
              <w:rPr>
                <w:rFonts w:eastAsia="Times New Roman"/>
                <w:i/>
                <w:noProof/>
                <w:sz w:val="22"/>
              </w:rPr>
              <w:t>(EUR)</w:t>
            </w:r>
            <w:r>
              <w:rPr>
                <w:rStyle w:val="FootnoteReference"/>
                <w:rFonts w:eastAsia="Times New Roman"/>
                <w:i/>
                <w:noProof/>
                <w:sz w:val="22"/>
              </w:rPr>
              <w:footnoteReference w:id="12"/>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total costs</w:t>
            </w:r>
          </w:p>
          <w:p w:rsidR="001A62D7" w:rsidRPr="006E2470" w:rsidRDefault="001A62D7" w:rsidP="001D5990">
            <w:pPr>
              <w:spacing w:before="60" w:after="60"/>
              <w:jc w:val="center"/>
              <w:rPr>
                <w:rFonts w:eastAsia="Times New Roman"/>
                <w:noProof/>
                <w:sz w:val="22"/>
              </w:rPr>
            </w:pPr>
            <w:r w:rsidRPr="006E2470">
              <w:rPr>
                <w:rFonts w:eastAsia="Times New Roman"/>
                <w:i/>
                <w:noProof/>
                <w:sz w:val="22"/>
              </w:rPr>
              <w:t>(EUR)</w:t>
            </w:r>
            <w:r>
              <w:rPr>
                <w:rStyle w:val="FootnoteReference"/>
                <w:rFonts w:eastAsia="Times New Roman"/>
                <w:i/>
                <w:noProof/>
                <w:sz w:val="22"/>
              </w:rPr>
              <w:footnoteReference w:id="13"/>
            </w:r>
            <w:r w:rsidRPr="006E2470">
              <w:rPr>
                <w:rFonts w:eastAsia="Times New Roman"/>
                <w:i/>
                <w:noProof/>
                <w:sz w:val="22"/>
              </w:rPr>
              <w:t xml:space="preserve"> </w:t>
            </w:r>
          </w:p>
        </w:tc>
      </w:tr>
      <w:tr w:rsidR="001A62D7" w:rsidRPr="006E2470" w:rsidTr="001D5990">
        <w:tc>
          <w:tcPr>
            <w:tcW w:w="9288" w:type="dxa"/>
            <w:gridSpan w:val="4"/>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Personalised services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(a)</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190173" w:rsidP="001D5990">
            <w:pPr>
              <w:spacing w:before="60" w:after="60"/>
              <w:jc w:val="left"/>
              <w:rPr>
                <w:noProof/>
              </w:rPr>
            </w:pPr>
            <w:r>
              <w:rPr>
                <w:noProof/>
              </w:rPr>
              <w:t>Case Management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14FDE" w:rsidP="001D5990">
            <w:pPr>
              <w:spacing w:before="60" w:after="60"/>
              <w:jc w:val="center"/>
              <w:rPr>
                <w:noProof/>
              </w:rPr>
            </w:pPr>
            <w:r>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90173" w:rsidP="001D5990">
            <w:pPr>
              <w:spacing w:before="60" w:after="60"/>
              <w:jc w:val="center"/>
              <w:rPr>
                <w:noProof/>
              </w:rPr>
            </w:pPr>
            <w:r>
              <w:rPr>
                <w:noProof/>
              </w:rPr>
              <w:t>920</w:t>
            </w:r>
          </w:p>
        </w:tc>
        <w:tc>
          <w:tcPr>
            <w:tcW w:w="1548" w:type="dxa"/>
            <w:tcBorders>
              <w:top w:val="single" w:sz="4" w:space="0" w:color="auto"/>
              <w:left w:val="single" w:sz="4" w:space="0" w:color="auto"/>
              <w:bottom w:val="single" w:sz="4" w:space="0" w:color="auto"/>
              <w:right w:val="nil"/>
            </w:tcBorders>
            <w:vAlign w:val="center"/>
            <w:hideMark/>
          </w:tcPr>
          <w:p w:rsidR="001A62D7" w:rsidRDefault="00114FDE" w:rsidP="001D5990">
            <w:pPr>
              <w:spacing w:before="60" w:after="60"/>
              <w:jc w:val="center"/>
              <w:rPr>
                <w:noProof/>
              </w:rPr>
            </w:pPr>
            <w:r>
              <w:rPr>
                <w:noProof/>
              </w:rPr>
              <w:t>386</w:t>
            </w:r>
            <w:r w:rsidR="00190173">
              <w:rPr>
                <w:noProof/>
              </w:rPr>
              <w:t> </w:t>
            </w:r>
            <w:r>
              <w:rPr>
                <w:noProof/>
              </w:rPr>
              <w:t>4</w:t>
            </w:r>
            <w:r w:rsidR="00190173">
              <w:rPr>
                <w:noProof/>
              </w:rPr>
              <w:t>00</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83D" w:rsidRDefault="00FF383D" w:rsidP="001D5990">
            <w:pPr>
              <w:spacing w:before="60" w:after="60"/>
              <w:jc w:val="left"/>
              <w:rPr>
                <w:noProof/>
                <w:lang w:val="de-DE"/>
              </w:rPr>
            </w:pPr>
            <w:r w:rsidRPr="00FF383D">
              <w:rPr>
                <w:noProof/>
                <w:lang w:val="de-DE"/>
              </w:rPr>
              <w:t>Career guidance – career orien</w:t>
            </w:r>
            <w:r>
              <w:rPr>
                <w:noProof/>
                <w:lang w:val="de-DE"/>
              </w:rPr>
              <w:t>tation (</w:t>
            </w:r>
            <w:r w:rsidR="00190173" w:rsidRPr="00FF383D">
              <w:rPr>
                <w:noProof/>
                <w:lang w:val="de-DE"/>
              </w:rPr>
              <w:t xml:space="preserve">Berufsberatung </w:t>
            </w:r>
            <w:r>
              <w:rPr>
                <w:noProof/>
                <w:lang w:val="de-DE"/>
              </w:rPr>
              <w:t>–</w:t>
            </w:r>
            <w:r w:rsidR="00190173" w:rsidRPr="00FF383D">
              <w:rPr>
                <w:noProof/>
                <w:lang w:val="de-DE"/>
              </w:rPr>
              <w:t xml:space="preserve"> Berufsorientierung</w:t>
            </w:r>
            <w:r>
              <w:rPr>
                <w:noProof/>
                <w:lang w:val="de-DE"/>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14FDE" w:rsidP="001D5990">
            <w:pPr>
              <w:spacing w:before="60" w:after="60"/>
              <w:jc w:val="center"/>
              <w:rPr>
                <w:noProof/>
              </w:rPr>
            </w:pPr>
            <w:r>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90173" w:rsidP="001D5990">
            <w:pPr>
              <w:spacing w:before="60" w:after="60"/>
              <w:jc w:val="center"/>
              <w:rPr>
                <w:noProof/>
              </w:rPr>
            </w:pPr>
            <w:r>
              <w:rPr>
                <w:noProof/>
              </w:rPr>
              <w:t>1 000</w:t>
            </w:r>
          </w:p>
        </w:tc>
        <w:tc>
          <w:tcPr>
            <w:tcW w:w="1548" w:type="dxa"/>
            <w:tcBorders>
              <w:top w:val="single" w:sz="4" w:space="0" w:color="auto"/>
              <w:left w:val="single" w:sz="4" w:space="0" w:color="auto"/>
              <w:bottom w:val="single" w:sz="4" w:space="0" w:color="auto"/>
              <w:right w:val="nil"/>
            </w:tcBorders>
            <w:vAlign w:val="center"/>
            <w:hideMark/>
          </w:tcPr>
          <w:p w:rsidR="001A62D7" w:rsidRDefault="00114FDE" w:rsidP="001D5990">
            <w:pPr>
              <w:spacing w:before="60" w:after="60"/>
              <w:jc w:val="center"/>
              <w:rPr>
                <w:noProof/>
              </w:rPr>
            </w:pPr>
            <w:r>
              <w:rPr>
                <w:noProof/>
              </w:rPr>
              <w:t>420 </w:t>
            </w:r>
            <w:r w:rsidR="00190173">
              <w:rPr>
                <w:noProof/>
              </w:rPr>
              <w:t>000</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83D" w:rsidRDefault="00FF383D" w:rsidP="001D5990">
            <w:pPr>
              <w:spacing w:before="60" w:after="60"/>
              <w:jc w:val="left"/>
              <w:rPr>
                <w:noProof/>
                <w:lang w:val="de-DE"/>
              </w:rPr>
            </w:pPr>
            <w:r w:rsidRPr="00FF383D">
              <w:rPr>
                <w:noProof/>
                <w:lang w:val="de-DE"/>
              </w:rPr>
              <w:t>Training and retraining (</w:t>
            </w:r>
            <w:r w:rsidR="00190173" w:rsidRPr="00FF383D">
              <w:rPr>
                <w:noProof/>
                <w:lang w:val="de-DE"/>
              </w:rPr>
              <w:t>Aus- und Weiterbildung</w:t>
            </w:r>
            <w:r>
              <w:rPr>
                <w:noProof/>
                <w:lang w:val="de-DE"/>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14FDE" w:rsidP="001D5990">
            <w:pPr>
              <w:spacing w:before="60" w:after="60"/>
              <w:jc w:val="center"/>
              <w:rPr>
                <w:noProof/>
              </w:rPr>
            </w:pPr>
            <w:r>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90173" w:rsidP="001D5990">
            <w:pPr>
              <w:spacing w:before="60" w:after="60"/>
              <w:jc w:val="center"/>
              <w:rPr>
                <w:noProof/>
              </w:rPr>
            </w:pPr>
            <w:r>
              <w:rPr>
                <w:noProof/>
              </w:rPr>
              <w:t>3 436</w:t>
            </w:r>
          </w:p>
        </w:tc>
        <w:tc>
          <w:tcPr>
            <w:tcW w:w="1548" w:type="dxa"/>
            <w:tcBorders>
              <w:top w:val="single" w:sz="4" w:space="0" w:color="auto"/>
              <w:left w:val="single" w:sz="4" w:space="0" w:color="auto"/>
              <w:bottom w:val="single" w:sz="4" w:space="0" w:color="auto"/>
              <w:right w:val="nil"/>
            </w:tcBorders>
            <w:vAlign w:val="center"/>
            <w:hideMark/>
          </w:tcPr>
          <w:p w:rsidR="001A62D7" w:rsidRDefault="00114FDE" w:rsidP="001D5990">
            <w:pPr>
              <w:spacing w:before="60" w:after="60"/>
              <w:jc w:val="center"/>
              <w:rPr>
                <w:noProof/>
              </w:rPr>
            </w:pPr>
            <w:r>
              <w:rPr>
                <w:noProof/>
              </w:rPr>
              <w:t>1 030</w:t>
            </w:r>
            <w:r w:rsidR="00190173">
              <w:rPr>
                <w:noProof/>
              </w:rPr>
              <w:t> </w:t>
            </w:r>
            <w:r>
              <w:rPr>
                <w:noProof/>
              </w:rPr>
              <w:t>800</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Default="00FF383D" w:rsidP="001D5990">
            <w:pPr>
              <w:spacing w:before="60" w:after="60"/>
              <w:jc w:val="left"/>
              <w:rPr>
                <w:noProof/>
              </w:rPr>
            </w:pPr>
            <w:r>
              <w:rPr>
                <w:noProof/>
              </w:rPr>
              <w:t>Pro-active job-search (</w:t>
            </w:r>
            <w:r w:rsidR="00190173">
              <w:rPr>
                <w:noProof/>
              </w:rPr>
              <w:t>Aktive Arbeitssuche</w:t>
            </w:r>
            <w:r>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14FDE" w:rsidP="001D5990">
            <w:pPr>
              <w:spacing w:before="60" w:after="60"/>
              <w:jc w:val="center"/>
              <w:rPr>
                <w:noProof/>
              </w:rPr>
            </w:pPr>
            <w:r>
              <w:rPr>
                <w:noProof/>
              </w:rPr>
              <w:t>12</w:t>
            </w:r>
            <w:r w:rsidR="00190173">
              <w:rPr>
                <w:noProof/>
              </w:rPr>
              <w:t>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90173" w:rsidP="001D5990">
            <w:pPr>
              <w:spacing w:before="60" w:after="60"/>
              <w:jc w:val="center"/>
              <w:rPr>
                <w:noProof/>
              </w:rPr>
            </w:pPr>
            <w:r>
              <w:rPr>
                <w:noProof/>
              </w:rPr>
              <w:t>500</w:t>
            </w:r>
          </w:p>
        </w:tc>
        <w:tc>
          <w:tcPr>
            <w:tcW w:w="1548" w:type="dxa"/>
            <w:tcBorders>
              <w:top w:val="single" w:sz="4" w:space="0" w:color="auto"/>
              <w:left w:val="single" w:sz="4" w:space="0" w:color="auto"/>
              <w:bottom w:val="single" w:sz="4" w:space="0" w:color="auto"/>
              <w:right w:val="nil"/>
            </w:tcBorders>
            <w:vAlign w:val="center"/>
            <w:hideMark/>
          </w:tcPr>
          <w:p w:rsidR="001A62D7" w:rsidRDefault="00114FDE" w:rsidP="001D5990">
            <w:pPr>
              <w:spacing w:before="60" w:after="60"/>
              <w:jc w:val="center"/>
              <w:rPr>
                <w:noProof/>
              </w:rPr>
            </w:pPr>
            <w:r>
              <w:rPr>
                <w:noProof/>
              </w:rPr>
              <w:t>6</w:t>
            </w:r>
            <w:r w:rsidR="00305565">
              <w:rPr>
                <w:noProof/>
              </w:rPr>
              <w:t>0</w:t>
            </w:r>
            <w:r w:rsidR="00190173">
              <w:rPr>
                <w:noProof/>
              </w:rPr>
              <w:t> 000</w:t>
            </w:r>
          </w:p>
        </w:tc>
      </w:tr>
      <w:tr w:rsidR="001A62D7" w:rsidRPr="006E2470" w:rsidTr="001D5990">
        <w:trPr>
          <w:trHeight w:val="398"/>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(a):</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161451" w:rsidP="001D5990">
            <w:pPr>
              <w:spacing w:before="60" w:after="60"/>
              <w:jc w:val="center"/>
              <w:rPr>
                <w:rFonts w:eastAsia="Times New Roman"/>
                <w:noProof/>
                <w:sz w:val="22"/>
              </w:rPr>
            </w:pPr>
            <w:r>
              <w:rPr>
                <w:noProof/>
              </w:rPr>
              <w:t>1 </w:t>
            </w:r>
            <w:r w:rsidR="007E4D4B">
              <w:rPr>
                <w:noProof/>
              </w:rPr>
              <w:t>8</w:t>
            </w:r>
            <w:r w:rsidR="00305565">
              <w:rPr>
                <w:noProof/>
              </w:rPr>
              <w:t>9</w:t>
            </w:r>
            <w:r w:rsidR="007E4D4B">
              <w:rPr>
                <w:noProof/>
              </w:rPr>
              <w:t>7</w:t>
            </w:r>
            <w:r>
              <w:rPr>
                <w:noProof/>
              </w:rPr>
              <w:t> </w:t>
            </w:r>
            <w:r w:rsidR="00305565">
              <w:rPr>
                <w:noProof/>
              </w:rPr>
              <w:t>2</w:t>
            </w:r>
            <w:r w:rsidR="007E4D4B">
              <w:rPr>
                <w:noProof/>
              </w:rPr>
              <w:t>0</w:t>
            </w:r>
            <w:r w:rsidR="00305565">
              <w:rPr>
                <w:noProof/>
              </w:rPr>
              <w:t>0</w:t>
            </w:r>
          </w:p>
        </w:tc>
      </w:tr>
      <w:tr w:rsidR="001A62D7" w:rsidRPr="006E2470" w:rsidTr="001D5990">
        <w:trPr>
          <w:trHeight w:val="397"/>
        </w:trPr>
        <w:tc>
          <w:tcPr>
            <w:tcW w:w="4644" w:type="dxa"/>
            <w:vMerge/>
            <w:shd w:val="clear" w:color="auto" w:fill="auto"/>
            <w:vAlign w:val="center"/>
          </w:tcPr>
          <w:p w:rsidR="001A62D7" w:rsidRPr="006E247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161451">
              <w:rPr>
                <w:noProof/>
              </w:rPr>
              <w:t>65,</w:t>
            </w:r>
            <w:r w:rsidR="001D5468">
              <w:rPr>
                <w:noProof/>
              </w:rPr>
              <w:t>53</w:t>
            </w:r>
            <w:r>
              <w:rPr>
                <w:noProof/>
              </w:rPr>
              <w:t> </w:t>
            </w:r>
            <w:r w:rsidRPr="006E2470">
              <w:rPr>
                <w:rFonts w:eastAsia="Times New Roman"/>
                <w:noProof/>
                <w:sz w:val="22"/>
              </w:rPr>
              <w:t>%)</w:t>
            </w:r>
          </w:p>
        </w:tc>
      </w:tr>
      <w:tr w:rsidR="001A62D7" w:rsidRPr="006E2470" w:rsidTr="001D5990">
        <w:tc>
          <w:tcPr>
            <w:tcW w:w="9288" w:type="dxa"/>
            <w:gridSpan w:val="4"/>
            <w:shd w:val="clear" w:color="auto" w:fill="auto"/>
            <w:vAlign w:val="center"/>
          </w:tcPr>
          <w:p w:rsidR="001A62D7" w:rsidRPr="006E2470" w:rsidRDefault="001A62D7" w:rsidP="001D5990">
            <w:pPr>
              <w:spacing w:before="60" w:after="60"/>
              <w:jc w:val="left"/>
              <w:rPr>
                <w:noProof/>
                <w:sz w:val="22"/>
              </w:rPr>
            </w:pPr>
            <w:r w:rsidRPr="006E2470">
              <w:rPr>
                <w:rFonts w:eastAsia="Times New Roman"/>
                <w:noProof/>
                <w:sz w:val="22"/>
              </w:rPr>
              <w:t>Allowances and incentives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(b)</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F383D" w:rsidRDefault="00FF383D" w:rsidP="001D5990">
            <w:pPr>
              <w:spacing w:before="60" w:after="60"/>
              <w:jc w:val="left"/>
              <w:rPr>
                <w:noProof/>
                <w:lang w:val="de-DE"/>
              </w:rPr>
            </w:pPr>
            <w:r w:rsidRPr="00FF383D">
              <w:rPr>
                <w:noProof/>
                <w:lang w:val="de-DE"/>
              </w:rPr>
              <w:t xml:space="preserve">Training allowance </w:t>
            </w:r>
            <w:r>
              <w:rPr>
                <w:noProof/>
                <w:lang w:val="de-DE"/>
              </w:rPr>
              <w:t>– training-related subsidy (</w:t>
            </w:r>
            <w:r w:rsidR="00190173" w:rsidRPr="00FF383D">
              <w:rPr>
                <w:noProof/>
                <w:lang w:val="de-DE"/>
              </w:rPr>
              <w:t>Ausbildungsbeihilfe – Ausbildungsbedingter Zuschuss</w:t>
            </w:r>
            <w:r>
              <w:rPr>
                <w:noProof/>
                <w:lang w:val="de-DE"/>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114FDE" w:rsidP="001D5990">
            <w:pPr>
              <w:spacing w:before="60" w:after="60"/>
              <w:jc w:val="center"/>
              <w:rPr>
                <w:noProof/>
              </w:rPr>
            </w:pPr>
            <w:r>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305565" w:rsidP="001D5990">
            <w:pPr>
              <w:spacing w:before="60" w:after="60"/>
              <w:jc w:val="center"/>
              <w:rPr>
                <w:noProof/>
              </w:rPr>
            </w:pPr>
            <w:r>
              <w:rPr>
                <w:noProof/>
              </w:rPr>
              <w:t>2</w:t>
            </w:r>
            <w:r w:rsidR="00190173">
              <w:rPr>
                <w:noProof/>
              </w:rPr>
              <w:t> </w:t>
            </w:r>
            <w:r w:rsidR="00114FDE">
              <w:rPr>
                <w:noProof/>
              </w:rPr>
              <w:t>376</w:t>
            </w:r>
          </w:p>
        </w:tc>
        <w:tc>
          <w:tcPr>
            <w:tcW w:w="1548" w:type="dxa"/>
            <w:tcBorders>
              <w:top w:val="single" w:sz="4" w:space="0" w:color="auto"/>
              <w:left w:val="single" w:sz="4" w:space="0" w:color="auto"/>
              <w:bottom w:val="single" w:sz="4" w:space="0" w:color="auto"/>
              <w:right w:val="nil"/>
            </w:tcBorders>
            <w:vAlign w:val="center"/>
            <w:hideMark/>
          </w:tcPr>
          <w:p w:rsidR="001A62D7" w:rsidRDefault="00114FDE" w:rsidP="001D5990">
            <w:pPr>
              <w:spacing w:before="60" w:after="60"/>
              <w:jc w:val="center"/>
              <w:rPr>
                <w:noProof/>
              </w:rPr>
            </w:pPr>
            <w:r>
              <w:rPr>
                <w:noProof/>
              </w:rPr>
              <w:t>997 92</w:t>
            </w:r>
            <w:r w:rsidR="00190173">
              <w:rPr>
                <w:noProof/>
              </w:rPr>
              <w:t>0</w:t>
            </w:r>
          </w:p>
        </w:tc>
      </w:tr>
      <w:tr w:rsidR="001A62D7" w:rsidRPr="006E2470" w:rsidTr="001D5990">
        <w:trPr>
          <w:trHeight w:val="203"/>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(b):</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t>Percentage of the package of personalised services:</w:t>
            </w:r>
          </w:p>
        </w:tc>
        <w:tc>
          <w:tcPr>
            <w:tcW w:w="3096" w:type="dxa"/>
            <w:gridSpan w:val="2"/>
            <w:vMerge w:val="restart"/>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1A62D7" w:rsidRPr="006E2470" w:rsidRDefault="00114FDE" w:rsidP="001D5990">
            <w:pPr>
              <w:spacing w:before="60" w:after="60"/>
              <w:jc w:val="center"/>
              <w:rPr>
                <w:rFonts w:eastAsia="Times New Roman"/>
                <w:noProof/>
                <w:sz w:val="22"/>
              </w:rPr>
            </w:pPr>
            <w:r>
              <w:rPr>
                <w:noProof/>
              </w:rPr>
              <w:t>997 920</w:t>
            </w:r>
          </w:p>
        </w:tc>
      </w:tr>
      <w:tr w:rsidR="001A62D7" w:rsidRPr="006E2470" w:rsidTr="001D5990">
        <w:trPr>
          <w:trHeight w:val="202"/>
        </w:trPr>
        <w:tc>
          <w:tcPr>
            <w:tcW w:w="4644" w:type="dxa"/>
            <w:vMerge/>
            <w:shd w:val="clear" w:color="auto" w:fill="auto"/>
            <w:vAlign w:val="center"/>
          </w:tcPr>
          <w:p w:rsidR="001A62D7" w:rsidRPr="006E2470"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161451">
              <w:rPr>
                <w:rFonts w:eastAsia="Times New Roman"/>
                <w:noProof/>
              </w:rPr>
              <w:t>34,</w:t>
            </w:r>
            <w:r w:rsidR="001D5468">
              <w:rPr>
                <w:rFonts w:eastAsia="Times New Roman"/>
                <w:noProof/>
              </w:rPr>
              <w:t>47</w:t>
            </w:r>
            <w:r>
              <w:rPr>
                <w:noProof/>
              </w:rPr>
              <w:t> </w:t>
            </w:r>
            <w:r w:rsidRPr="006E2470">
              <w:rPr>
                <w:rFonts w:eastAsia="Times New Roman"/>
                <w:noProof/>
                <w:sz w:val="22"/>
              </w:rPr>
              <w:t>%)</w:t>
            </w:r>
          </w:p>
        </w:tc>
      </w:tr>
      <w:tr w:rsidR="001A62D7" w:rsidRPr="006E2470" w:rsidTr="001D5990">
        <w:tc>
          <w:tcPr>
            <w:tcW w:w="9288" w:type="dxa"/>
            <w:gridSpan w:val="4"/>
            <w:shd w:val="clear" w:color="auto" w:fill="auto"/>
            <w:vAlign w:val="center"/>
          </w:tcPr>
          <w:p w:rsidR="001A62D7" w:rsidRPr="006E2470" w:rsidRDefault="001A62D7" w:rsidP="001D5990">
            <w:pPr>
              <w:spacing w:before="60" w:after="60"/>
              <w:jc w:val="left"/>
              <w:rPr>
                <w:rFonts w:eastAsia="Times New Roman"/>
                <w:noProof/>
                <w:sz w:val="22"/>
              </w:rPr>
            </w:pPr>
            <w:r>
              <w:rPr>
                <w:rFonts w:eastAsia="Times New Roman"/>
                <w:noProof/>
                <w:sz w:val="22"/>
              </w:rPr>
              <w:t xml:space="preserve">Activities </w:t>
            </w:r>
            <w:r w:rsidRPr="006E2470">
              <w:rPr>
                <w:rFonts w:eastAsia="Times New Roman"/>
                <w:noProof/>
                <w:sz w:val="22"/>
              </w:rPr>
              <w:t>under Article</w:t>
            </w:r>
            <w:r>
              <w:rPr>
                <w:rFonts w:eastAsia="Times New Roman"/>
                <w:noProof/>
                <w:sz w:val="22"/>
              </w:rPr>
              <w:t> 7(5</w:t>
            </w:r>
            <w:r w:rsidRPr="006E2470">
              <w:rPr>
                <w:rFonts w:eastAsia="Times New Roman"/>
                <w:noProof/>
                <w:sz w:val="22"/>
              </w:rPr>
              <w:t xml:space="preserve">) of </w:t>
            </w:r>
            <w:r>
              <w:rPr>
                <w:rFonts w:eastAsia="Times New Roman"/>
                <w:noProof/>
                <w:sz w:val="22"/>
              </w:rPr>
              <w:t>Regulation (EU) 2021/691</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1. Preparatory activities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99782D" w:rsidP="001D5990">
            <w:pPr>
              <w:spacing w:before="60" w:after="60"/>
              <w:jc w:val="center"/>
              <w:rPr>
                <w:rFonts w:eastAsia="Times New Roman"/>
                <w:noProof/>
                <w:sz w:val="22"/>
              </w:rPr>
            </w:pPr>
            <w:r>
              <w:rPr>
                <w:noProof/>
              </w:rPr>
              <w:t>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2. Management</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7E4D4B" w:rsidP="001D5990">
            <w:pPr>
              <w:spacing w:before="60" w:after="60"/>
              <w:jc w:val="center"/>
              <w:rPr>
                <w:rFonts w:eastAsia="Times New Roman"/>
                <w:noProof/>
                <w:sz w:val="22"/>
              </w:rPr>
            </w:pPr>
            <w:r>
              <w:rPr>
                <w:noProof/>
              </w:rPr>
              <w:t>115</w:t>
            </w:r>
            <w:r w:rsidR="0099782D">
              <w:rPr>
                <w:noProof/>
              </w:rPr>
              <w:t> </w:t>
            </w:r>
            <w:r>
              <w:rPr>
                <w:noProof/>
              </w:rPr>
              <w:t>92</w:t>
            </w:r>
            <w:r w:rsidR="0099782D">
              <w:rPr>
                <w:noProof/>
              </w:rPr>
              <w:t>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3. Information and publicity</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99782D" w:rsidP="001D5990">
            <w:pPr>
              <w:spacing w:before="60" w:after="60"/>
              <w:jc w:val="center"/>
              <w:rPr>
                <w:rFonts w:eastAsia="Times New Roman"/>
                <w:noProof/>
                <w:sz w:val="22"/>
              </w:rPr>
            </w:pPr>
            <w:r>
              <w:rPr>
                <w:noProof/>
              </w:rPr>
              <w:t>0</w:t>
            </w:r>
          </w:p>
        </w:tc>
      </w:tr>
      <w:tr w:rsidR="001A62D7" w:rsidRPr="006E2470" w:rsidTr="001D5990">
        <w:tc>
          <w:tcPr>
            <w:tcW w:w="4644" w:type="dxa"/>
            <w:shd w:val="clear" w:color="auto" w:fill="auto"/>
          </w:tcPr>
          <w:p w:rsidR="001A62D7" w:rsidRPr="006E2470" w:rsidRDefault="001A62D7" w:rsidP="001D5990">
            <w:pPr>
              <w:spacing w:before="60" w:after="60"/>
              <w:ind w:left="284"/>
              <w:jc w:val="left"/>
              <w:rPr>
                <w:rFonts w:eastAsia="Times New Roman"/>
                <w:noProof/>
                <w:sz w:val="22"/>
              </w:rPr>
            </w:pPr>
            <w:r w:rsidRPr="006E2470">
              <w:rPr>
                <w:rFonts w:eastAsia="Times New Roman"/>
                <w:noProof/>
                <w:sz w:val="22"/>
              </w:rPr>
              <w:t>4. Control and reporting</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tcBorders>
              <w:bottom w:val="single" w:sz="4" w:space="0" w:color="auto"/>
            </w:tcBorders>
            <w:shd w:val="clear" w:color="auto" w:fill="auto"/>
          </w:tcPr>
          <w:p w:rsidR="001A62D7" w:rsidRPr="006E2470" w:rsidRDefault="0099782D" w:rsidP="001D5990">
            <w:pPr>
              <w:spacing w:before="60" w:after="60"/>
              <w:jc w:val="center"/>
              <w:rPr>
                <w:rFonts w:eastAsia="Times New Roman"/>
                <w:noProof/>
                <w:sz w:val="22"/>
              </w:rPr>
            </w:pPr>
            <w:r>
              <w:rPr>
                <w:noProof/>
              </w:rPr>
              <w:t>0</w:t>
            </w:r>
          </w:p>
        </w:tc>
      </w:tr>
      <w:tr w:rsidR="001A62D7" w:rsidRPr="006E2470" w:rsidTr="001D5990">
        <w:trPr>
          <w:trHeight w:val="203"/>
        </w:trPr>
        <w:tc>
          <w:tcPr>
            <w:tcW w:w="4644" w:type="dxa"/>
            <w:vMerge w:val="restart"/>
            <w:shd w:val="clear" w:color="auto" w:fill="auto"/>
            <w:vAlign w:val="center"/>
          </w:tcPr>
          <w:p w:rsidR="001A62D7" w:rsidRPr="006E2470" w:rsidRDefault="001A62D7" w:rsidP="001D5990">
            <w:pPr>
              <w:spacing w:before="60" w:after="60"/>
              <w:jc w:val="right"/>
              <w:rPr>
                <w:rFonts w:eastAsia="Times New Roman"/>
                <w:noProof/>
                <w:sz w:val="22"/>
              </w:rPr>
            </w:pPr>
            <w:r w:rsidRPr="006E2470">
              <w:rPr>
                <w:rFonts w:eastAsia="Times New Roman"/>
                <w:noProof/>
                <w:sz w:val="22"/>
              </w:rPr>
              <w:t>Sub-total (c):</w:t>
            </w:r>
          </w:p>
          <w:p w:rsidR="001A62D7" w:rsidRPr="006E2470" w:rsidRDefault="001A62D7" w:rsidP="001D5990">
            <w:pPr>
              <w:spacing w:before="60" w:after="60"/>
              <w:jc w:val="right"/>
              <w:rPr>
                <w:rFonts w:eastAsia="Times New Roman"/>
                <w:noProof/>
                <w:sz w:val="22"/>
              </w:rPr>
            </w:pPr>
            <w:r w:rsidRPr="006E2470">
              <w:rPr>
                <w:rFonts w:eastAsia="Times New Roman"/>
                <w:noProof/>
                <w:sz w:val="22"/>
              </w:rPr>
              <w:lastRenderedPageBreak/>
              <w:t>Percentage of the total costs :</w:t>
            </w:r>
          </w:p>
        </w:tc>
        <w:tc>
          <w:tcPr>
            <w:tcW w:w="3096" w:type="dxa"/>
            <w:gridSpan w:val="2"/>
            <w:vMerge w:val="restart"/>
            <w:shd w:val="clear" w:color="auto" w:fill="D9D9D9"/>
            <w:vAlign w:val="center"/>
          </w:tcPr>
          <w:p w:rsidR="001A62D7" w:rsidRPr="006E2470" w:rsidRDefault="001A62D7" w:rsidP="001D5990">
            <w:pPr>
              <w:spacing w:before="0" w:after="0"/>
              <w:jc w:val="center"/>
              <w:rPr>
                <w:rFonts w:eastAsia="Times New Roman"/>
                <w:noProof/>
                <w:sz w:val="22"/>
              </w:rPr>
            </w:pPr>
            <w:r w:rsidRPr="006E2470">
              <w:rPr>
                <w:rFonts w:eastAsia="Times New Roman"/>
                <w:noProof/>
                <w:sz w:val="22"/>
              </w:rPr>
              <w:lastRenderedPageBreak/>
              <w:t>–</w:t>
            </w:r>
          </w:p>
        </w:tc>
        <w:tc>
          <w:tcPr>
            <w:tcW w:w="1548" w:type="dxa"/>
            <w:tcBorders>
              <w:bottom w:val="nil"/>
            </w:tcBorders>
            <w:shd w:val="clear" w:color="auto" w:fill="auto"/>
            <w:vAlign w:val="center"/>
          </w:tcPr>
          <w:p w:rsidR="001A62D7" w:rsidRPr="006E2470" w:rsidRDefault="007E4D4B" w:rsidP="001D5990">
            <w:pPr>
              <w:spacing w:before="60" w:after="60"/>
              <w:jc w:val="center"/>
              <w:rPr>
                <w:rFonts w:eastAsia="Times New Roman"/>
                <w:noProof/>
                <w:sz w:val="22"/>
              </w:rPr>
            </w:pPr>
            <w:r>
              <w:rPr>
                <w:noProof/>
              </w:rPr>
              <w:t>115</w:t>
            </w:r>
            <w:r w:rsidR="00F2725D">
              <w:rPr>
                <w:noProof/>
              </w:rPr>
              <w:t> </w:t>
            </w:r>
            <w:r>
              <w:rPr>
                <w:noProof/>
              </w:rPr>
              <w:t>92</w:t>
            </w:r>
            <w:r w:rsidR="00F2725D">
              <w:rPr>
                <w:noProof/>
              </w:rPr>
              <w:t>0</w:t>
            </w:r>
          </w:p>
        </w:tc>
      </w:tr>
      <w:tr w:rsidR="001A62D7" w:rsidRPr="006E2470" w:rsidTr="001D5990">
        <w:trPr>
          <w:trHeight w:val="202"/>
        </w:trPr>
        <w:tc>
          <w:tcPr>
            <w:tcW w:w="4644" w:type="dxa"/>
            <w:vMerge/>
            <w:shd w:val="clear" w:color="auto" w:fill="auto"/>
          </w:tcPr>
          <w:p w:rsidR="001A62D7" w:rsidRPr="006E2470"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6E2470"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r w:rsidR="0008758B">
              <w:rPr>
                <w:noProof/>
              </w:rPr>
              <w:t>3,</w:t>
            </w:r>
            <w:r w:rsidR="001D5468">
              <w:rPr>
                <w:noProof/>
              </w:rPr>
              <w:t>85</w:t>
            </w:r>
            <w:r>
              <w:rPr>
                <w:noProof/>
              </w:rPr>
              <w:t> </w:t>
            </w:r>
            <w:r w:rsidRPr="006E2470">
              <w:rPr>
                <w:rFonts w:eastAsia="Times New Roman"/>
                <w:noProof/>
                <w:sz w:val="22"/>
              </w:rPr>
              <w:t>%)</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Total costs (a + b + c):</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7E4D4B" w:rsidP="001D5990">
            <w:pPr>
              <w:spacing w:before="60" w:after="60"/>
              <w:jc w:val="center"/>
              <w:rPr>
                <w:noProof/>
                <w:sz w:val="22"/>
              </w:rPr>
            </w:pPr>
            <w:r>
              <w:rPr>
                <w:noProof/>
              </w:rPr>
              <w:t>3</w:t>
            </w:r>
            <w:r w:rsidR="00F2725D">
              <w:rPr>
                <w:noProof/>
              </w:rPr>
              <w:t> </w:t>
            </w:r>
            <w:r>
              <w:rPr>
                <w:noProof/>
              </w:rPr>
              <w:t>011</w:t>
            </w:r>
            <w:r w:rsidR="00F2725D">
              <w:rPr>
                <w:noProof/>
              </w:rPr>
              <w:t> </w:t>
            </w:r>
            <w:r>
              <w:rPr>
                <w:noProof/>
              </w:rPr>
              <w:t>04</w:t>
            </w:r>
            <w:r w:rsidR="00F2725D">
              <w:rPr>
                <w:noProof/>
              </w:rPr>
              <w:t>0</w:t>
            </w:r>
          </w:p>
        </w:tc>
      </w:tr>
      <w:tr w:rsidR="001A62D7" w:rsidRPr="006E2470" w:rsidTr="001D5990">
        <w:tc>
          <w:tcPr>
            <w:tcW w:w="4644" w:type="dxa"/>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EGF contribution (</w:t>
            </w:r>
            <w:r w:rsidR="001B3907">
              <w:rPr>
                <w:noProof/>
              </w:rPr>
              <w:t>60</w:t>
            </w:r>
            <w:r>
              <w:rPr>
                <w:rFonts w:eastAsia="Times New Roman"/>
                <w:noProof/>
                <w:sz w:val="22"/>
              </w:rPr>
              <w:t> </w:t>
            </w:r>
            <w:r w:rsidRPr="006E2470">
              <w:rPr>
                <w:rFonts w:eastAsia="Times New Roman"/>
                <w:noProof/>
                <w:sz w:val="22"/>
              </w:rPr>
              <w:t>% of total costs)</w:t>
            </w:r>
          </w:p>
        </w:tc>
        <w:tc>
          <w:tcPr>
            <w:tcW w:w="3096" w:type="dxa"/>
            <w:gridSpan w:val="2"/>
            <w:shd w:val="clear" w:color="auto" w:fill="D9D9D9"/>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1A62D7" w:rsidRPr="006E2470" w:rsidRDefault="00F2725D" w:rsidP="001D5990">
            <w:pPr>
              <w:spacing w:before="60" w:after="60"/>
              <w:jc w:val="center"/>
              <w:rPr>
                <w:rFonts w:eastAsia="Times New Roman"/>
                <w:noProof/>
                <w:sz w:val="22"/>
              </w:rPr>
            </w:pPr>
            <w:r>
              <w:rPr>
                <w:noProof/>
              </w:rPr>
              <w:t>1 </w:t>
            </w:r>
            <w:r w:rsidR="007E4D4B">
              <w:rPr>
                <w:noProof/>
              </w:rPr>
              <w:t>806 624</w:t>
            </w:r>
          </w:p>
        </w:tc>
      </w:tr>
    </w:tbl>
    <w:bookmarkEnd w:id="5"/>
    <w:p w:rsidR="001A62D7" w:rsidRDefault="001A62D7" w:rsidP="00AE7D04">
      <w:pPr>
        <w:pStyle w:val="ManualNumPar1"/>
        <w:rPr>
          <w:noProof/>
          <w:szCs w:val="20"/>
        </w:rPr>
      </w:pPr>
      <w:r>
        <w:rPr>
          <w:noProof/>
        </w:rPr>
        <w:t>39.</w:t>
      </w:r>
      <w:r>
        <w:rPr>
          <w:noProof/>
        </w:rPr>
        <w:tab/>
        <w:t xml:space="preserve">The costs of the measures identified in the table above as measures under Article 7(2), second subparagraph, point (b), of Regulation (EU) 2021/691 do not exceed 35 % of the total costs for the coordinated package of personalised services. </w:t>
      </w:r>
      <w:r w:rsidR="001B3907">
        <w:rPr>
          <w:noProof/>
        </w:rPr>
        <w:t>Austria</w:t>
      </w:r>
      <w:r>
        <w:rPr>
          <w:noProof/>
        </w:rPr>
        <w:t xml:space="preserve"> confirmed that these measures are conditional on the active participation of the targeted beneficiaries in job-search or training activities.</w:t>
      </w:r>
    </w:p>
    <w:p w:rsidR="001A62D7" w:rsidRPr="002730E5" w:rsidRDefault="001A62D7" w:rsidP="001A62D7">
      <w:pPr>
        <w:pStyle w:val="ManualHeading3"/>
        <w:rPr>
          <w:noProof/>
        </w:rPr>
      </w:pPr>
      <w:r w:rsidRPr="002730E5">
        <w:rPr>
          <w:noProof/>
        </w:rPr>
        <w:t>Period of eligibility of expenditure</w:t>
      </w:r>
    </w:p>
    <w:p w:rsidR="001A62D7" w:rsidRPr="003740B7" w:rsidRDefault="002779F6" w:rsidP="00AE7D04">
      <w:pPr>
        <w:pStyle w:val="ManualNumPar1"/>
        <w:rPr>
          <w:noProof/>
        </w:rPr>
      </w:pPr>
      <w:r>
        <w:rPr>
          <w:noProof/>
        </w:rPr>
        <w:t>40.</w:t>
      </w:r>
      <w:r>
        <w:rPr>
          <w:noProof/>
        </w:rPr>
        <w:tab/>
      </w:r>
      <w:r w:rsidRPr="003740B7">
        <w:rPr>
          <w:noProof/>
        </w:rPr>
        <w:t>Austria</w:t>
      </w:r>
      <w:r w:rsidR="001A62D7" w:rsidRPr="003740B7">
        <w:rPr>
          <w:noProof/>
        </w:rPr>
        <w:t xml:space="preserve"> started providing the personalised services to the targeted beneficiaries on </w:t>
      </w:r>
      <w:r w:rsidR="00861B69" w:rsidRPr="003740B7">
        <w:rPr>
          <w:noProof/>
        </w:rPr>
        <w:t>1 March 2025</w:t>
      </w:r>
      <w:r w:rsidR="001A62D7" w:rsidRPr="003740B7">
        <w:rPr>
          <w:noProof/>
        </w:rPr>
        <w:t xml:space="preserve">. The expenditure on the measures will therefore be eligible for a financial contribution from the EGF from </w:t>
      </w:r>
      <w:r w:rsidR="003740B7" w:rsidRPr="003740B7">
        <w:rPr>
          <w:noProof/>
        </w:rPr>
        <w:t>1 March 2025</w:t>
      </w:r>
      <w:r w:rsidR="001A62D7" w:rsidRPr="003740B7">
        <w:rPr>
          <w:noProof/>
        </w:rPr>
        <w:t xml:space="preserve"> until 24 months after the date of the entry into force of the Financing Decision.</w:t>
      </w:r>
    </w:p>
    <w:p w:rsidR="001A62D7" w:rsidRPr="003740B7" w:rsidRDefault="002779F6" w:rsidP="00AE7D04">
      <w:pPr>
        <w:pStyle w:val="ManualNumPar1"/>
        <w:rPr>
          <w:noProof/>
        </w:rPr>
      </w:pPr>
      <w:r>
        <w:rPr>
          <w:noProof/>
        </w:rPr>
        <w:t>41.</w:t>
      </w:r>
      <w:r>
        <w:rPr>
          <w:noProof/>
        </w:rPr>
        <w:tab/>
      </w:r>
      <w:r w:rsidRPr="003740B7">
        <w:rPr>
          <w:noProof/>
        </w:rPr>
        <w:t>Austria</w:t>
      </w:r>
      <w:r w:rsidR="001A62D7" w:rsidRPr="003740B7">
        <w:rPr>
          <w:noProof/>
        </w:rPr>
        <w:t xml:space="preserve"> started incurring the administrative expenditure to implement the EGF on </w:t>
      </w:r>
      <w:r w:rsidR="003740B7" w:rsidRPr="003740B7">
        <w:rPr>
          <w:noProof/>
        </w:rPr>
        <w:t>1</w:t>
      </w:r>
      <w:r w:rsidR="0058279B">
        <w:rPr>
          <w:noProof/>
        </w:rPr>
        <w:t xml:space="preserve"> </w:t>
      </w:r>
      <w:r w:rsidR="003740B7" w:rsidRPr="003740B7">
        <w:rPr>
          <w:noProof/>
        </w:rPr>
        <w:t>March 2025</w:t>
      </w:r>
      <w:r w:rsidR="001A62D7" w:rsidRPr="003740B7">
        <w:rPr>
          <w:noProof/>
        </w:rPr>
        <w:t xml:space="preserve">. The expenditure for preparatory, management, information and publicity, control and reporting activities shall therefore be eligible for a financial contribution from the EGF from </w:t>
      </w:r>
      <w:r w:rsidR="003740B7" w:rsidRPr="003740B7">
        <w:rPr>
          <w:noProof/>
        </w:rPr>
        <w:t>1 March 2025</w:t>
      </w:r>
      <w:r w:rsidR="001A62D7" w:rsidRPr="003740B7">
        <w:rPr>
          <w:noProof/>
        </w:rPr>
        <w:t xml:space="preserve"> until 31 months after the date of the entry into force of the Financing Decision.</w:t>
      </w:r>
    </w:p>
    <w:p w:rsidR="001A62D7" w:rsidRPr="00441C9E" w:rsidRDefault="001A62D7" w:rsidP="001A62D7">
      <w:pPr>
        <w:pStyle w:val="ManualHeading2"/>
        <w:rPr>
          <w:noProof/>
        </w:rPr>
      </w:pPr>
      <w:r w:rsidRPr="00441C9E">
        <w:rPr>
          <w:noProof/>
        </w:rPr>
        <w:t>Management and control systems</w:t>
      </w:r>
    </w:p>
    <w:p w:rsidR="001A62D7" w:rsidRDefault="001A62D7" w:rsidP="00E507DA">
      <w:pPr>
        <w:pStyle w:val="ManualNumPar1"/>
        <w:rPr>
          <w:noProof/>
        </w:rPr>
      </w:pPr>
      <w:r>
        <w:rPr>
          <w:noProof/>
        </w:rPr>
        <w:t>42.</w:t>
      </w:r>
      <w:r>
        <w:rPr>
          <w:noProof/>
        </w:rPr>
        <w:tab/>
        <w:t xml:space="preserve">The application contains a description of the management and control system required under Article 23 of Regulation (EU) 2021/691, which specifies the responsibilities of the bodies involved. </w:t>
      </w:r>
      <w:r w:rsidR="002779F6">
        <w:rPr>
          <w:noProof/>
        </w:rPr>
        <w:t>Austria</w:t>
      </w:r>
      <w:r>
        <w:rPr>
          <w:noProof/>
        </w:rPr>
        <w:t xml:space="preserve"> has notified the Commission that </w:t>
      </w:r>
      <w:r w:rsidR="00383A69">
        <w:rPr>
          <w:noProof/>
        </w:rPr>
        <w:t xml:space="preserve">by administrative agreement between the Austrian </w:t>
      </w:r>
      <w:r w:rsidR="00383A69" w:rsidRPr="00383A69">
        <w:rPr>
          <w:noProof/>
        </w:rPr>
        <w:t>Federal Ministry of Labour, Social Affairs, Health, Care and Consumer Protection</w:t>
      </w:r>
      <w:r w:rsidR="00383A69">
        <w:rPr>
          <w:noProof/>
        </w:rPr>
        <w:t xml:space="preserve"> (</w:t>
      </w:r>
      <w:r w:rsidR="00E507DA">
        <w:rPr>
          <w:noProof/>
        </w:rPr>
        <w:t>unit</w:t>
      </w:r>
      <w:r w:rsidR="00383A69">
        <w:rPr>
          <w:noProof/>
        </w:rPr>
        <w:t xml:space="preserve"> </w:t>
      </w:r>
      <w:r w:rsidR="00383A69" w:rsidRPr="00383A69">
        <w:rPr>
          <w:noProof/>
        </w:rPr>
        <w:t>IX/A/3</w:t>
      </w:r>
      <w:r w:rsidR="00383A69">
        <w:rPr>
          <w:noProof/>
        </w:rPr>
        <w:t xml:space="preserve">) as the Austrian EGF managing authority, </w:t>
      </w:r>
      <w:r w:rsidR="00AF00A3">
        <w:rPr>
          <w:noProof/>
        </w:rPr>
        <w:t xml:space="preserve">and Upper Austria, </w:t>
      </w:r>
      <w:r>
        <w:rPr>
          <w:noProof/>
        </w:rPr>
        <w:t xml:space="preserve">the financial contribution will be </w:t>
      </w:r>
      <w:r w:rsidR="00383A69">
        <w:rPr>
          <w:noProof/>
        </w:rPr>
        <w:t xml:space="preserve">managed by the </w:t>
      </w:r>
      <w:r w:rsidR="00E507DA">
        <w:rPr>
          <w:noProof/>
        </w:rPr>
        <w:t xml:space="preserve">Upper Austria </w:t>
      </w:r>
      <w:r w:rsidR="00E507DA" w:rsidRPr="00E507DA">
        <w:rPr>
          <w:noProof/>
        </w:rPr>
        <w:t>Department for Economy and Research</w:t>
      </w:r>
      <w:r w:rsidR="00E507DA">
        <w:rPr>
          <w:noProof/>
        </w:rPr>
        <w:t xml:space="preserve">. </w:t>
      </w:r>
      <w:bookmarkStart w:id="6" w:name="_Hlk216665390"/>
      <w:r w:rsidR="00E507DA">
        <w:rPr>
          <w:noProof/>
        </w:rPr>
        <w:t xml:space="preserve">The first level control function has been contracted out to </w:t>
      </w:r>
      <w:r w:rsidR="00E507DA" w:rsidRPr="00E507DA">
        <w:rPr>
          <w:noProof/>
        </w:rPr>
        <w:t>Public Management &amp; Consulting GmbH</w:t>
      </w:r>
      <w:r w:rsidR="00E507DA">
        <w:rPr>
          <w:noProof/>
        </w:rPr>
        <w:t xml:space="preserve">, Vienna. The </w:t>
      </w:r>
      <w:r w:rsidR="00CC6E46">
        <w:rPr>
          <w:noProof/>
        </w:rPr>
        <w:t xml:space="preserve">function of the audit authority is </w:t>
      </w:r>
      <w:r w:rsidR="00CC6E46" w:rsidRPr="00CC6E46">
        <w:rPr>
          <w:noProof/>
        </w:rPr>
        <w:t xml:space="preserve">performed by </w:t>
      </w:r>
      <w:r w:rsidR="00CC6E46">
        <w:rPr>
          <w:noProof/>
        </w:rPr>
        <w:t>the same</w:t>
      </w:r>
      <w:r w:rsidR="00CC6E46" w:rsidRPr="00CC6E46">
        <w:rPr>
          <w:noProof/>
        </w:rPr>
        <w:t xml:space="preserve"> department within the </w:t>
      </w:r>
      <w:r w:rsidR="00CC6E46">
        <w:rPr>
          <w:noProof/>
        </w:rPr>
        <w:t xml:space="preserve">Upper Austria Directorate for Regional Planning, Economic and Rural Development that also acts as the Upper Austria audit authority for the European Fund for Regional Development as well as the Just Transition Fund. The audit authority thus </w:t>
      </w:r>
      <w:r w:rsidR="00CC6E46" w:rsidRPr="00CC6E46">
        <w:rPr>
          <w:noProof/>
        </w:rPr>
        <w:t xml:space="preserve">operates separately </w:t>
      </w:r>
      <w:r w:rsidR="00CC6E46">
        <w:rPr>
          <w:noProof/>
        </w:rPr>
        <w:t xml:space="preserve">and independently </w:t>
      </w:r>
      <w:r w:rsidR="00CC6E46" w:rsidRPr="00CC6E46">
        <w:rPr>
          <w:noProof/>
        </w:rPr>
        <w:t xml:space="preserve">from </w:t>
      </w:r>
      <w:r w:rsidR="00A90F14">
        <w:rPr>
          <w:noProof/>
        </w:rPr>
        <w:t>the Department for Economy and Research</w:t>
      </w:r>
      <w:r w:rsidR="00CC6E46">
        <w:rPr>
          <w:noProof/>
        </w:rPr>
        <w:t xml:space="preserve"> </w:t>
      </w:r>
      <w:r w:rsidR="00CC6E46" w:rsidRPr="00CC6E46">
        <w:rPr>
          <w:noProof/>
        </w:rPr>
        <w:t>to ensure adequate separation of duties.</w:t>
      </w:r>
      <w:bookmarkEnd w:id="6"/>
    </w:p>
    <w:p w:rsidR="001A62D7" w:rsidRDefault="001A62D7" w:rsidP="001A62D7">
      <w:pPr>
        <w:pStyle w:val="ManualHeading2"/>
        <w:rPr>
          <w:noProof/>
        </w:rPr>
      </w:pPr>
      <w:r w:rsidRPr="00A144B7">
        <w:rPr>
          <w:noProof/>
        </w:rPr>
        <w:t>Commitments provided by the Member State concerned</w:t>
      </w:r>
    </w:p>
    <w:p w:rsidR="001A62D7" w:rsidRDefault="002779F6" w:rsidP="00AE7D04">
      <w:pPr>
        <w:pStyle w:val="ManualNumPar1"/>
        <w:rPr>
          <w:noProof/>
        </w:rPr>
      </w:pPr>
      <w:r>
        <w:rPr>
          <w:noProof/>
        </w:rPr>
        <w:t>43.</w:t>
      </w:r>
      <w:r>
        <w:rPr>
          <w:noProof/>
        </w:rPr>
        <w:tab/>
        <w:t>Austria</w:t>
      </w:r>
      <w:r w:rsidR="001A62D7">
        <w:rPr>
          <w:noProof/>
        </w:rPr>
        <w:t xml:space="preserve"> has provided all necessary assurances regarding the following: </w:t>
      </w:r>
    </w:p>
    <w:p w:rsidR="001A62D7" w:rsidRDefault="001A62D7" w:rsidP="001A62D7">
      <w:pPr>
        <w:pStyle w:val="Tiret1"/>
        <w:rPr>
          <w:noProof/>
        </w:rPr>
      </w:pPr>
      <w:r>
        <w:rPr>
          <w:noProof/>
        </w:rPr>
        <w:t>the principles of equality of treatment and non-discrimination will be respected in access to the proposed measures and their implementation,</w:t>
      </w:r>
    </w:p>
    <w:p w:rsidR="001A62D7" w:rsidRDefault="001A62D7" w:rsidP="001A62D7">
      <w:pPr>
        <w:pStyle w:val="Tiret1"/>
        <w:rPr>
          <w:noProof/>
        </w:rPr>
      </w:pPr>
      <w:r>
        <w:rPr>
          <w:noProof/>
        </w:rPr>
        <w:t>the requirements laid down in national and EU legislation concerning collective redundancies have been complied with,</w:t>
      </w:r>
    </w:p>
    <w:p w:rsidR="001A62D7" w:rsidRDefault="001A62D7" w:rsidP="001A62D7">
      <w:pPr>
        <w:pStyle w:val="Tiret1"/>
        <w:rPr>
          <w:noProof/>
        </w:rPr>
      </w:pPr>
      <w:r>
        <w:rPr>
          <w:noProof/>
        </w:rPr>
        <w:t>any double financing will be prevented,</w:t>
      </w:r>
    </w:p>
    <w:p w:rsidR="001A62D7" w:rsidRDefault="001A62D7" w:rsidP="001A62D7">
      <w:pPr>
        <w:pStyle w:val="Tiret1"/>
        <w:rPr>
          <w:noProof/>
        </w:rPr>
      </w:pPr>
      <w:r>
        <w:rPr>
          <w:noProof/>
        </w:rPr>
        <w:t>the financial contribution from the EGF will comply with the procedural and material Union rules on State aid.</w:t>
      </w:r>
    </w:p>
    <w:p w:rsidR="001A62D7" w:rsidRPr="006F770D" w:rsidRDefault="001A62D7" w:rsidP="001A62D7">
      <w:pPr>
        <w:pStyle w:val="ManualHeading1"/>
        <w:rPr>
          <w:noProof/>
        </w:rPr>
      </w:pPr>
      <w:r>
        <w:rPr>
          <w:noProof/>
        </w:rPr>
        <w:lastRenderedPageBreak/>
        <w:t>BUDGETARY IMPLICATION</w:t>
      </w:r>
    </w:p>
    <w:p w:rsidR="001A62D7" w:rsidRDefault="001A62D7" w:rsidP="001A62D7">
      <w:pPr>
        <w:pStyle w:val="ManualHeading2"/>
        <w:rPr>
          <w:noProof/>
        </w:rPr>
      </w:pPr>
      <w:r w:rsidRPr="00FD7C2F">
        <w:rPr>
          <w:noProof/>
        </w:rPr>
        <w:t>Budgetary proposal</w:t>
      </w:r>
    </w:p>
    <w:p w:rsidR="001A62D7" w:rsidRPr="0096300F" w:rsidRDefault="001A62D7" w:rsidP="00AE7D04">
      <w:pPr>
        <w:pStyle w:val="ManualNumPar1"/>
        <w:rPr>
          <w:noProof/>
        </w:rPr>
      </w:pPr>
      <w:r>
        <w:rPr>
          <w:noProof/>
        </w:rPr>
        <w:t>44.</w:t>
      </w:r>
      <w:r>
        <w:rPr>
          <w:noProof/>
        </w:rPr>
        <w:tab/>
        <w:t xml:space="preserve">The EGF shall not exceed a maximum annual amount of </w:t>
      </w:r>
      <w:r w:rsidRPr="00B43DF2">
        <w:rPr>
          <w:noProof/>
        </w:rPr>
        <w:t>EUR </w:t>
      </w:r>
      <w:r>
        <w:rPr>
          <w:noProof/>
        </w:rPr>
        <w:t>30</w:t>
      </w:r>
      <w:r w:rsidRPr="00B43DF2">
        <w:rPr>
          <w:noProof/>
        </w:rPr>
        <w:t xml:space="preserve"> million </w:t>
      </w:r>
      <w:r w:rsidRPr="0089670E">
        <w:rPr>
          <w:noProof/>
        </w:rPr>
        <w:t>(in 2018 prices)</w:t>
      </w:r>
      <w:r>
        <w:rPr>
          <w:noProof/>
        </w:rPr>
        <w:t xml:space="preserve">, as laid down in Article 8 of </w:t>
      </w:r>
      <w:r w:rsidRPr="0089670E">
        <w:rPr>
          <w:noProof/>
        </w:rPr>
        <w:t>Council Regulation (EU, Euratom) 2020/2093 of 17 December 2020 laying down the multiannual financial framework for the years 2021 to 2027</w:t>
      </w:r>
      <w:r>
        <w:rPr>
          <w:rStyle w:val="FootnoteReference"/>
          <w:noProof/>
        </w:rPr>
        <w:footnoteReference w:id="14"/>
      </w:r>
      <w:r>
        <w:rPr>
          <w:noProof/>
        </w:rPr>
        <w:t xml:space="preserve"> amended by Council Regulation (EU, Euratom) 2024/765 of 29 February 2024</w:t>
      </w:r>
      <w:r>
        <w:rPr>
          <w:rStyle w:val="FootnoteReference"/>
          <w:noProof/>
        </w:rPr>
        <w:footnoteReference w:id="15"/>
      </w:r>
      <w:r w:rsidRPr="00B43DF2">
        <w:rPr>
          <w:noProof/>
        </w:rPr>
        <w:t>.</w:t>
      </w:r>
    </w:p>
    <w:p w:rsidR="001A62D7" w:rsidRDefault="001A62D7" w:rsidP="00AE7D04">
      <w:pPr>
        <w:pStyle w:val="ManualNumPar1"/>
        <w:rPr>
          <w:rFonts w:eastAsia="Calibri"/>
          <w:noProof/>
        </w:rPr>
      </w:pPr>
      <w:r>
        <w:rPr>
          <w:noProof/>
        </w:rPr>
        <w:t>45.</w:t>
      </w:r>
      <w:r>
        <w:rPr>
          <w:noProof/>
        </w:rPr>
        <w:tab/>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3501B8">
        <w:rPr>
          <w:noProof/>
        </w:rPr>
        <w:t>1 </w:t>
      </w:r>
      <w:r w:rsidR="007E4D4B">
        <w:rPr>
          <w:noProof/>
        </w:rPr>
        <w:t>806 624</w:t>
      </w:r>
      <w:r>
        <w:rPr>
          <w:rFonts w:eastAsia="Calibri"/>
          <w:noProof/>
        </w:rPr>
        <w:t xml:space="preserve">, representing </w:t>
      </w:r>
      <w:r w:rsidR="002779F6">
        <w:rPr>
          <w:noProof/>
        </w:rPr>
        <w:t>60</w:t>
      </w:r>
      <w:r>
        <w:rPr>
          <w:rFonts w:eastAsia="Calibri"/>
          <w:noProof/>
        </w:rPr>
        <w:t> % of the total costs of the proposed measures,</w:t>
      </w:r>
      <w:r>
        <w:rPr>
          <w:noProof/>
        </w:rPr>
        <w:t xml:space="preserve"> </w:t>
      </w:r>
      <w:r>
        <w:rPr>
          <w:rFonts w:eastAsia="Calibri"/>
          <w:noProof/>
        </w:rPr>
        <w:t>in order to provide a financial contribution for the application.</w:t>
      </w:r>
    </w:p>
    <w:p w:rsidR="001A62D7" w:rsidRPr="00C370E1" w:rsidRDefault="001A62D7" w:rsidP="00AE7D04">
      <w:pPr>
        <w:pStyle w:val="ManualNumPar1"/>
        <w:rPr>
          <w:rFonts w:eastAsia="Times New Roman"/>
          <w:noProof/>
        </w:rPr>
      </w:pPr>
      <w:r>
        <w:rPr>
          <w:noProof/>
        </w:rPr>
        <w:t>46.</w:t>
      </w:r>
      <w:r>
        <w:rPr>
          <w:noProof/>
        </w:rPr>
        <w:tab/>
        <w:t xml:space="preserve">The proposed decision to mobilise the EGF will be taken jointly by the European Parliament and the Council pursuant to Article 15(1), first subparagraph, second sentence, of Regulation (EU) 2021/691 and, as laid down in point 9 of the </w:t>
      </w:r>
      <w:r w:rsidRPr="00E544E0">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6"/>
      </w:r>
      <w:r>
        <w:rPr>
          <w:noProof/>
        </w:rPr>
        <w:t>.</w:t>
      </w:r>
    </w:p>
    <w:p w:rsidR="001A62D7" w:rsidRDefault="001A62D7" w:rsidP="001A62D7">
      <w:pPr>
        <w:pStyle w:val="ManualHeading2"/>
        <w:rPr>
          <w:noProof/>
        </w:rPr>
      </w:pPr>
      <w:r w:rsidRPr="00C850D7">
        <w:rPr>
          <w:noProof/>
        </w:rPr>
        <w:t>Related acts</w:t>
      </w:r>
    </w:p>
    <w:p w:rsidR="001A62D7" w:rsidRPr="00E544E0" w:rsidRDefault="001A62D7" w:rsidP="00AE7D04">
      <w:pPr>
        <w:pStyle w:val="ManualNumPar1"/>
        <w:rPr>
          <w:noProof/>
        </w:rPr>
      </w:pPr>
      <w:r>
        <w:rPr>
          <w:noProof/>
        </w:rPr>
        <w:t>47.</w:t>
      </w:r>
      <w:r>
        <w:rPr>
          <w:noProof/>
        </w:rPr>
        <w:tab/>
        <w:t>At the same time as it presents this proposal for a decision to mobilise the EGF, the Commission will present to the European Parliament and to the Council a proposal to transfer to the relevant budgetary line the amount of EUR </w:t>
      </w:r>
      <w:r w:rsidR="003501B8">
        <w:rPr>
          <w:noProof/>
        </w:rPr>
        <w:t>1 </w:t>
      </w:r>
      <w:r w:rsidR="007E4D4B">
        <w:rPr>
          <w:noProof/>
        </w:rPr>
        <w:t>806 624</w:t>
      </w:r>
      <w:r>
        <w:rPr>
          <w:noProof/>
        </w:rPr>
        <w:t>.</w:t>
      </w:r>
    </w:p>
    <w:p w:rsidR="001A62D7" w:rsidRPr="00BB42D9" w:rsidRDefault="001A62D7" w:rsidP="00AE7D04">
      <w:pPr>
        <w:pStyle w:val="ManualNumPar1"/>
        <w:rPr>
          <w:noProof/>
        </w:rPr>
      </w:pPr>
      <w:r>
        <w:rPr>
          <w:noProof/>
        </w:rPr>
        <w:t>48.</w:t>
      </w:r>
      <w:r>
        <w:rPr>
          <w:noProof/>
        </w:rPr>
        <w:tab/>
        <w:t xml:space="preserve">At the same time as it adopted this proposal for a decision to mobilise the EGF, the Commission adopted a decision on a financial contribution </w:t>
      </w:r>
      <w:r w:rsidRPr="00E90B72">
        <w:rPr>
          <w:noProof/>
        </w:rPr>
        <w:t>that constitutes a financing decision within the mea</w:t>
      </w:r>
      <w:r>
        <w:rPr>
          <w:noProof/>
        </w:rPr>
        <w:t>ning</w:t>
      </w:r>
      <w:r w:rsidRPr="00E90B72">
        <w:rPr>
          <w:noProof/>
        </w:rPr>
        <w:t xml:space="preserve"> of Article 110 of </w:t>
      </w:r>
      <w:r w:rsidRPr="00B54269">
        <w:rPr>
          <w:noProof/>
        </w:rPr>
        <w:t>Regulation (EU, Euratom) 2024/2509</w:t>
      </w:r>
      <w:r>
        <w:rPr>
          <w:rStyle w:val="FootnoteReference"/>
          <w:noProof/>
        </w:rPr>
        <w:footnoteReference w:id="17"/>
      </w:r>
      <w:r>
        <w:rPr>
          <w:noProof/>
        </w:rPr>
        <w:t>. T</w:t>
      </w:r>
      <w:r w:rsidRPr="00853BB7">
        <w:rPr>
          <w:noProof/>
        </w:rPr>
        <w:t xml:space="preserve">hat </w:t>
      </w:r>
      <w:r>
        <w:rPr>
          <w:noProof/>
        </w:rPr>
        <w:t xml:space="preserve">financing </w:t>
      </w:r>
      <w:r w:rsidRPr="00853BB7">
        <w:rPr>
          <w:noProof/>
        </w:rPr>
        <w:t xml:space="preserve">decision </w:t>
      </w:r>
      <w:r>
        <w:rPr>
          <w:noProof/>
        </w:rPr>
        <w:t>will enter into force on the date on which the Commission is notified of the approval of the budgetary transfer by the European Parliament and the Council pursuant to Article 15(2), first subparagraph, of Regulation (EU) 2021/691.</w:t>
      </w:r>
    </w:p>
    <w:p w:rsidR="001A62D7" w:rsidRPr="00A9097A" w:rsidRDefault="001A62D7" w:rsidP="001A62D7">
      <w:pPr>
        <w:rPr>
          <w:noProof/>
        </w:rPr>
        <w:sectPr w:rsidR="001A62D7" w:rsidRPr="00A9097A" w:rsidSect="00B237F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D17109" w:rsidRDefault="00A16F02">
      <w:pPr>
        <w:pStyle w:val="Rfrenceinterinstitutionnelle"/>
        <w:rPr>
          <w:noProof/>
        </w:rPr>
      </w:pPr>
      <w:r>
        <w:rPr>
          <w:noProof/>
        </w:rPr>
        <w:lastRenderedPageBreak/>
        <w:t>2026/0037 (BUD)</w:t>
      </w:r>
    </w:p>
    <w:p w:rsidR="001A62D7" w:rsidRPr="00A9097A" w:rsidRDefault="007E3C51" w:rsidP="007E3C51">
      <w:pPr>
        <w:pStyle w:val="Statut"/>
        <w:rPr>
          <w:noProof/>
        </w:rPr>
      </w:pPr>
      <w:r w:rsidRPr="007E3C51">
        <w:rPr>
          <w:noProof/>
        </w:rPr>
        <w:t>Proposal for a</w:t>
      </w:r>
    </w:p>
    <w:p w:rsidR="001A62D7" w:rsidRPr="00A9097A" w:rsidRDefault="007E3C51" w:rsidP="007E3C51">
      <w:pPr>
        <w:pStyle w:val="Typedudocument"/>
        <w:rPr>
          <w:noProof/>
        </w:rPr>
      </w:pPr>
      <w:r w:rsidRPr="007E3C51">
        <w:rPr>
          <w:noProof/>
        </w:rPr>
        <w:t>DECISION OF THE EUROPEAN PARLIAMENT AND OF THE COUNCIL</w:t>
      </w:r>
    </w:p>
    <w:p w:rsidR="001A62D7" w:rsidRPr="00A9097A" w:rsidRDefault="007E3C51" w:rsidP="007E3C51">
      <w:pPr>
        <w:pStyle w:val="Titreobjet"/>
        <w:rPr>
          <w:noProof/>
        </w:rPr>
      </w:pPr>
      <w:r w:rsidRPr="007E3C51">
        <w:rPr>
          <w:noProof/>
        </w:rPr>
        <w:t>on the mobilisation of the European Globalisation Adjustment Fund for Displaced Workers following an application from Austria – EGF/2025/005 AT/KTM</w:t>
      </w:r>
    </w:p>
    <w:p w:rsidR="001A62D7" w:rsidRDefault="001A62D7" w:rsidP="001A62D7">
      <w:pPr>
        <w:pStyle w:val="Institutionquiagit"/>
        <w:rPr>
          <w:noProof/>
        </w:rPr>
      </w:pPr>
      <w:r>
        <w:rPr>
          <w:noProof/>
        </w:rPr>
        <w:t>THE EUROPEAN PARLIAMENT AND THE COUNCIL OF THE EUROPEAN UNION,</w:t>
      </w:r>
    </w:p>
    <w:p w:rsidR="001A62D7" w:rsidRDefault="001A62D7" w:rsidP="001A62D7">
      <w:pPr>
        <w:rPr>
          <w:noProof/>
        </w:rPr>
      </w:pPr>
      <w:r>
        <w:rPr>
          <w:noProof/>
        </w:rPr>
        <w:t>Having regard to the Treaty on the Functioning of the European Union,</w:t>
      </w:r>
    </w:p>
    <w:p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18"/>
      </w:r>
      <w:r w:rsidRPr="00973296">
        <w:rPr>
          <w:noProof/>
        </w:rPr>
        <w:t>, and in particular Article 15(1)</w:t>
      </w:r>
      <w:r>
        <w:rPr>
          <w:noProof/>
        </w:rPr>
        <w:t>, first subparagraph,</w:t>
      </w:r>
      <w:r w:rsidRPr="00973296">
        <w:rPr>
          <w:noProof/>
        </w:rPr>
        <w:t xml:space="preserve"> thereof,</w:t>
      </w:r>
    </w:p>
    <w:p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9"/>
      </w:r>
      <w:r>
        <w:rPr>
          <w:noProof/>
        </w:rPr>
        <w:t xml:space="preserve">, </w:t>
      </w:r>
      <w:r w:rsidRPr="006C1641">
        <w:rPr>
          <w:noProof/>
        </w:rPr>
        <w:t xml:space="preserve">and in particular point </w:t>
      </w:r>
      <w:r>
        <w:rPr>
          <w:noProof/>
        </w:rPr>
        <w:t>9</w:t>
      </w:r>
      <w:r w:rsidRPr="006C1641">
        <w:rPr>
          <w:noProof/>
        </w:rPr>
        <w:t xml:space="preserve"> thereof,</w:t>
      </w:r>
    </w:p>
    <w:p w:rsidR="001A62D7" w:rsidRDefault="001A62D7" w:rsidP="001A62D7">
      <w:pPr>
        <w:rPr>
          <w:noProof/>
        </w:rPr>
      </w:pPr>
      <w:r>
        <w:rPr>
          <w:noProof/>
        </w:rPr>
        <w:t>Having regard to the proposal from the European Commission,</w:t>
      </w:r>
    </w:p>
    <w:p w:rsidR="001A62D7" w:rsidRDefault="001A62D7" w:rsidP="001A62D7">
      <w:pPr>
        <w:rPr>
          <w:noProof/>
        </w:rPr>
      </w:pPr>
      <w:r>
        <w:rPr>
          <w:noProof/>
        </w:rPr>
        <w:t>Whereas:</w:t>
      </w:r>
    </w:p>
    <w:p w:rsidR="001A62D7" w:rsidRDefault="001A62D7" w:rsidP="00AE7D04">
      <w:pPr>
        <w:pStyle w:val="ManualConsidrant"/>
        <w:rPr>
          <w:noProof/>
        </w:rPr>
      </w:pPr>
      <w:r>
        <w:rPr>
          <w:noProof/>
        </w:rPr>
        <w:t>(1)</w:t>
      </w:r>
      <w:r>
        <w:rPr>
          <w:noProof/>
        </w:rPr>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Default="001A62D7" w:rsidP="00AE7D04">
      <w:pPr>
        <w:pStyle w:val="ManualConsidrant"/>
        <w:rPr>
          <w:noProof/>
        </w:rPr>
      </w:pPr>
      <w:r>
        <w:rPr>
          <w:noProof/>
        </w:rPr>
        <w:t>(2)</w:t>
      </w:r>
      <w:r>
        <w:rPr>
          <w:noProof/>
        </w:rPr>
        <w:tab/>
      </w:r>
      <w:r w:rsidRPr="008D462D">
        <w:rPr>
          <w:noProof/>
        </w:rPr>
        <w:t xml:space="preserve">The EGF </w:t>
      </w:r>
      <w:r>
        <w:rPr>
          <w:noProof/>
        </w:rPr>
        <w:t>is</w:t>
      </w:r>
      <w:r w:rsidRPr="008D462D">
        <w:rPr>
          <w:noProof/>
        </w:rPr>
        <w:t xml:space="preserve"> not </w:t>
      </w:r>
      <w:r>
        <w:rPr>
          <w:noProof/>
        </w:rPr>
        <w:t xml:space="preserve">to </w:t>
      </w:r>
      <w:r w:rsidRPr="008D462D">
        <w:rPr>
          <w:noProof/>
        </w:rPr>
        <w:t xml:space="preserve">exceed a maximum annual amount of </w:t>
      </w:r>
      <w:r w:rsidRPr="00B43DF2">
        <w:rPr>
          <w:noProof/>
        </w:rPr>
        <w:t>EUR </w:t>
      </w:r>
      <w:r>
        <w:rPr>
          <w:noProof/>
        </w:rPr>
        <w:t>30</w:t>
      </w:r>
      <w:r w:rsidRPr="00B43DF2">
        <w:rPr>
          <w:noProof/>
        </w:rPr>
        <w:t xml:space="preserve"> million </w:t>
      </w:r>
      <w:r w:rsidRPr="00270F9D">
        <w:rPr>
          <w:noProof/>
        </w:rPr>
        <w:t>(in 2018 prices), as laid down in Article 8 of Council Reg</w:t>
      </w:r>
      <w:r>
        <w:rPr>
          <w:noProof/>
        </w:rPr>
        <w:t>ulation (EU, Euratom) 2020/2093</w:t>
      </w:r>
      <w:r w:rsidRPr="008D462D">
        <w:rPr>
          <w:rStyle w:val="FootnoteReference"/>
          <w:noProof/>
        </w:rPr>
        <w:footnoteReference w:id="20"/>
      </w:r>
      <w:r>
        <w:rPr>
          <w:noProof/>
        </w:rPr>
        <w:t xml:space="preserve"> amended by Council Regulation (EU, Euratom) 2024/765</w:t>
      </w:r>
      <w:r>
        <w:rPr>
          <w:rStyle w:val="FootnoteReference"/>
          <w:noProof/>
        </w:rPr>
        <w:footnoteReference w:id="21"/>
      </w:r>
      <w:r>
        <w:rPr>
          <w:noProof/>
        </w:rPr>
        <w:t>, and Article 16 of Regulation (EU) 2021/691</w:t>
      </w:r>
      <w:r w:rsidRPr="00D53BB8">
        <w:rPr>
          <w:noProof/>
        </w:rPr>
        <w:t>.</w:t>
      </w:r>
    </w:p>
    <w:p w:rsidR="001A62D7" w:rsidRPr="001D4700" w:rsidRDefault="001A62D7" w:rsidP="00AE7D04">
      <w:pPr>
        <w:pStyle w:val="ManualConsidrant"/>
        <w:rPr>
          <w:noProof/>
        </w:rPr>
      </w:pPr>
      <w:r>
        <w:rPr>
          <w:noProof/>
        </w:rPr>
        <w:t>(3)</w:t>
      </w:r>
      <w:r>
        <w:rPr>
          <w:noProof/>
        </w:rPr>
        <w:tab/>
        <w:t xml:space="preserve">On </w:t>
      </w:r>
      <w:r w:rsidR="003501B8">
        <w:rPr>
          <w:noProof/>
        </w:rPr>
        <w:t>15 September 2025</w:t>
      </w:r>
      <w:r>
        <w:rPr>
          <w:noProof/>
        </w:rPr>
        <w:t xml:space="preserve">, </w:t>
      </w:r>
      <w:r w:rsidR="002779F6">
        <w:rPr>
          <w:noProof/>
        </w:rPr>
        <w:t>Austria</w:t>
      </w:r>
      <w:r>
        <w:rPr>
          <w:noProof/>
        </w:rPr>
        <w:t xml:space="preserve"> </w:t>
      </w:r>
      <w:r w:rsidRPr="008D462D">
        <w:rPr>
          <w:noProof/>
        </w:rPr>
        <w:t xml:space="preserve">submitted </w:t>
      </w:r>
      <w:r>
        <w:rPr>
          <w:noProof/>
        </w:rPr>
        <w:t xml:space="preserve">an </w:t>
      </w:r>
      <w:r w:rsidRPr="008D462D">
        <w:rPr>
          <w:noProof/>
        </w:rPr>
        <w:t xml:space="preserve">application </w:t>
      </w:r>
      <w:r>
        <w:rPr>
          <w:noProof/>
        </w:rPr>
        <w:t xml:space="preserve">to mobilise </w:t>
      </w:r>
      <w:r w:rsidRPr="008D462D">
        <w:rPr>
          <w:noProof/>
        </w:rPr>
        <w:t>the EGF</w:t>
      </w:r>
      <w:r>
        <w:rPr>
          <w:noProof/>
        </w:rPr>
        <w:t xml:space="preserve"> in accordance with Article 8(1) of Regulation (EU) 2021/691</w:t>
      </w:r>
      <w:r w:rsidRPr="008D462D">
        <w:rPr>
          <w:noProof/>
        </w:rPr>
        <w:t xml:space="preserve">, </w:t>
      </w:r>
      <w:r>
        <w:rPr>
          <w:noProof/>
        </w:rPr>
        <w:t>in respect of</w:t>
      </w:r>
      <w:r w:rsidRPr="008D462D">
        <w:rPr>
          <w:noProof/>
        </w:rPr>
        <w:t xml:space="preserve"> </w:t>
      </w:r>
      <w:r>
        <w:rPr>
          <w:noProof/>
        </w:rPr>
        <w:t>worker</w:t>
      </w:r>
      <w:r w:rsidR="00BA0237">
        <w:rPr>
          <w:noProof/>
        </w:rPr>
        <w:t>s’</w:t>
      </w:r>
      <w:r>
        <w:rPr>
          <w:noProof/>
        </w:rPr>
        <w:t xml:space="preserve"> displacement</w:t>
      </w:r>
      <w:r w:rsidR="003501B8">
        <w:rPr>
          <w:noProof/>
        </w:rPr>
        <w:t xml:space="preserve">s </w:t>
      </w:r>
      <w:r w:rsidRPr="009429ED">
        <w:rPr>
          <w:noProof/>
        </w:rPr>
        <w:t>in</w:t>
      </w:r>
      <w:r>
        <w:rPr>
          <w:noProof/>
        </w:rPr>
        <w:t xml:space="preserve"> </w:t>
      </w:r>
      <w:r w:rsidR="003501B8">
        <w:rPr>
          <w:noProof/>
        </w:rPr>
        <w:t>KTM (KTM Gruppe)</w:t>
      </w:r>
      <w:r>
        <w:rPr>
          <w:noProof/>
        </w:rPr>
        <w:t xml:space="preserve"> in </w:t>
      </w:r>
      <w:r w:rsidR="003501B8" w:rsidRPr="003501B8">
        <w:rPr>
          <w:noProof/>
        </w:rPr>
        <w:t>Austria</w:t>
      </w:r>
      <w:r w:rsidRPr="003501B8">
        <w:rPr>
          <w:noProof/>
        </w:rPr>
        <w:t xml:space="preserve">. It was supplemented by additional information provided in accordance with Article 8(5) of Regulation (EU) 2021/691. That application </w:t>
      </w:r>
      <w:r w:rsidRPr="003501B8">
        <w:rPr>
          <w:iCs/>
          <w:noProof/>
        </w:rPr>
        <w:t xml:space="preserve">is considered to comply </w:t>
      </w:r>
      <w:r w:rsidRPr="003501B8">
        <w:rPr>
          <w:noProof/>
        </w:rPr>
        <w:t xml:space="preserve">with the conditions for </w:t>
      </w:r>
      <w:r w:rsidRPr="003501B8">
        <w:rPr>
          <w:iCs/>
          <w:noProof/>
        </w:rPr>
        <w:t>providing</w:t>
      </w:r>
      <w:r w:rsidRPr="001D4700">
        <w:rPr>
          <w:iCs/>
          <w:noProof/>
        </w:rPr>
        <w:t xml:space="preserve"> </w:t>
      </w:r>
      <w:r w:rsidRPr="001D4700">
        <w:rPr>
          <w:noProof/>
        </w:rPr>
        <w:t xml:space="preserve">a financial contribution from the EGF as laid down in Article 13 of Regulation (EU) 2021/691, </w:t>
      </w:r>
      <w:r w:rsidRPr="001D4700">
        <w:rPr>
          <w:iCs/>
          <w:noProof/>
        </w:rPr>
        <w:t>on the basis of the assessment made by the Commission in the Proposal for a mobilisation decision of the European Parliament and of the Council</w:t>
      </w:r>
      <w:r>
        <w:rPr>
          <w:rStyle w:val="FootnoteReference"/>
          <w:iCs/>
          <w:noProof/>
        </w:rPr>
        <w:footnoteReference w:id="22"/>
      </w:r>
      <w:r w:rsidRPr="001D4700">
        <w:rPr>
          <w:iCs/>
          <w:noProof/>
        </w:rPr>
        <w:t xml:space="preserve">. </w:t>
      </w:r>
    </w:p>
    <w:p w:rsidR="001A62D7" w:rsidRDefault="001A62D7" w:rsidP="00AE7D04">
      <w:pPr>
        <w:pStyle w:val="ManualConsidrant"/>
        <w:rPr>
          <w:noProof/>
        </w:rPr>
      </w:pPr>
      <w:r>
        <w:rPr>
          <w:noProof/>
        </w:rPr>
        <w:lastRenderedPageBreak/>
        <w:t>(4)</w:t>
      </w:r>
      <w:r>
        <w:rPr>
          <w:noProof/>
        </w:rPr>
        <w:tab/>
        <w:t>The EGF should, therefore, be mobilised in order to provide a financial contribution of EUR </w:t>
      </w:r>
      <w:r w:rsidR="003501B8">
        <w:rPr>
          <w:noProof/>
        </w:rPr>
        <w:t>1 </w:t>
      </w:r>
      <w:r w:rsidR="007E4D4B">
        <w:rPr>
          <w:noProof/>
        </w:rPr>
        <w:t xml:space="preserve">806 624 </w:t>
      </w:r>
      <w:r>
        <w:rPr>
          <w:noProof/>
        </w:rPr>
        <w:t xml:space="preserve">in respect of the application submitted by </w:t>
      </w:r>
      <w:r w:rsidR="002779F6">
        <w:rPr>
          <w:noProof/>
        </w:rPr>
        <w:t>Austria</w:t>
      </w:r>
      <w:r>
        <w:rPr>
          <w:noProof/>
        </w:rPr>
        <w:t>.</w:t>
      </w:r>
    </w:p>
    <w:p w:rsidR="001A62D7" w:rsidRDefault="001A62D7" w:rsidP="00AE7D04">
      <w:pPr>
        <w:pStyle w:val="ManualConsidrant"/>
        <w:rPr>
          <w:noProof/>
        </w:rPr>
      </w:pPr>
      <w:r>
        <w:rPr>
          <w:noProof/>
        </w:rPr>
        <w:t>(5)</w:t>
      </w:r>
      <w:r>
        <w:rPr>
          <w:noProof/>
        </w:rPr>
        <w:tab/>
      </w:r>
      <w:r w:rsidRPr="00370985">
        <w:rPr>
          <w:noProof/>
        </w:rPr>
        <w:t xml:space="preserve">In order to minimise the time taken to mobilise the EGF, this </w:t>
      </w:r>
      <w:r w:rsidR="00BA0237">
        <w:rPr>
          <w:noProof/>
        </w:rPr>
        <w:t>D</w:t>
      </w:r>
      <w:r w:rsidRPr="00370985">
        <w:rPr>
          <w:noProof/>
        </w:rPr>
        <w:t>ecision should apply from the date of its adoption</w:t>
      </w:r>
      <w:r>
        <w:rPr>
          <w:noProof/>
        </w:rPr>
        <w:t>,</w:t>
      </w:r>
    </w:p>
    <w:p w:rsidR="001A62D7" w:rsidRDefault="001A62D7" w:rsidP="001A62D7">
      <w:pPr>
        <w:pStyle w:val="Formuledadoption"/>
        <w:rPr>
          <w:noProof/>
        </w:rPr>
      </w:pPr>
      <w:r>
        <w:rPr>
          <w:noProof/>
        </w:rPr>
        <w:t xml:space="preserve">HAVE ADOPTED THIS DECISION: </w:t>
      </w:r>
    </w:p>
    <w:p w:rsidR="001A62D7" w:rsidRDefault="001A62D7" w:rsidP="001A62D7">
      <w:pPr>
        <w:pStyle w:val="Titrearticle"/>
        <w:rPr>
          <w:noProof/>
        </w:rPr>
      </w:pPr>
      <w:r>
        <w:rPr>
          <w:noProof/>
        </w:rPr>
        <w:t>Article 1</w:t>
      </w:r>
    </w:p>
    <w:p w:rsidR="001A62D7" w:rsidRDefault="001A62D7" w:rsidP="001A62D7">
      <w:pPr>
        <w:rPr>
          <w:noProof/>
        </w:rPr>
      </w:pPr>
      <w:r>
        <w:rPr>
          <w:noProof/>
        </w:rPr>
        <w:t xml:space="preserve">For the general budget of the Union for the financial year </w:t>
      </w:r>
      <w:r w:rsidR="002779F6">
        <w:rPr>
          <w:noProof/>
        </w:rPr>
        <w:t>2026</w:t>
      </w:r>
      <w:r>
        <w:rPr>
          <w:noProof/>
        </w:rPr>
        <w:t>, the European Globalisation Adjustment Fund for Displaced Workers shall be mobilised to provide the amount of EUR </w:t>
      </w:r>
      <w:r w:rsidR="003501B8">
        <w:rPr>
          <w:noProof/>
        </w:rPr>
        <w:t>1 </w:t>
      </w:r>
      <w:r w:rsidR="007E4D4B">
        <w:rPr>
          <w:noProof/>
        </w:rPr>
        <w:t>806 624</w:t>
      </w:r>
      <w:r>
        <w:rPr>
          <w:noProof/>
        </w:rPr>
        <w:t xml:space="preserve"> in commitment and payment appropriations.</w:t>
      </w:r>
    </w:p>
    <w:p w:rsidR="001A62D7" w:rsidRDefault="001A62D7" w:rsidP="00977AD1">
      <w:pPr>
        <w:pStyle w:val="Titrearticle"/>
        <w:rPr>
          <w:noProof/>
        </w:rPr>
      </w:pPr>
      <w:r>
        <w:rPr>
          <w:noProof/>
        </w:rPr>
        <w:t>Article 2</w:t>
      </w:r>
    </w:p>
    <w:p w:rsidR="001A62D7" w:rsidRDefault="001A62D7" w:rsidP="001A62D7">
      <w:pPr>
        <w:keepNext/>
        <w:keepLines/>
        <w:rPr>
          <w:noProof/>
        </w:rPr>
      </w:pPr>
      <w:r w:rsidRPr="001B05DF">
        <w:rPr>
          <w:noProof/>
        </w:rPr>
        <w:t xml:space="preserve">This Decision shall enter into force on </w:t>
      </w:r>
      <w:r>
        <w:rPr>
          <w:noProof/>
        </w:rPr>
        <w:t xml:space="preserve">the day of its </w:t>
      </w:r>
      <w:r w:rsidRPr="00370985">
        <w:rPr>
          <w:noProof/>
        </w:rPr>
        <w:t>publication in the Officia</w:t>
      </w:r>
      <w:r>
        <w:rPr>
          <w:noProof/>
        </w:rPr>
        <w:t xml:space="preserve">l Journal of the European Union. </w:t>
      </w:r>
      <w:r w:rsidRPr="00FE2101">
        <w:rPr>
          <w:noProof/>
        </w:rPr>
        <w:t xml:space="preserve">It shall apply from </w:t>
      </w:r>
      <w:r w:rsidRPr="00855ED0">
        <w:rPr>
          <w:noProof/>
          <w:color w:val="FF0000"/>
        </w:rPr>
        <w:t>[</w:t>
      </w:r>
      <w:r w:rsidRPr="00855ED0">
        <w:rPr>
          <w:i/>
          <w:noProof/>
          <w:color w:val="FF0000"/>
        </w:rPr>
        <w:t>the date of its adoption</w:t>
      </w:r>
      <w:r w:rsidRPr="00855ED0">
        <w:rPr>
          <w:noProof/>
          <w:color w:val="FF0000"/>
        </w:rPr>
        <w:t>]</w:t>
      </w:r>
      <w:r w:rsidR="00281AE4">
        <w:rPr>
          <w:rStyle w:val="FootnoteReference"/>
          <w:noProof/>
          <w:color w:val="FF0000"/>
        </w:rPr>
        <w:footnoteReference w:customMarkFollows="1" w:id="23"/>
        <w:t>*</w:t>
      </w:r>
      <w:r w:rsidR="00281AE4" w:rsidRPr="00B10303">
        <w:rPr>
          <w:rStyle w:val="CommentReference"/>
          <w:rFonts w:eastAsia="Times New Roman"/>
          <w:noProof/>
          <w:lang w:val="en-IE" w:eastAsia="en-GB"/>
        </w:rPr>
        <w:t xml:space="preserve"> </w:t>
      </w:r>
      <w:r w:rsidRPr="00FE2101">
        <w:rPr>
          <w:noProof/>
        </w:rPr>
        <w:t>.</w:t>
      </w:r>
    </w:p>
    <w:p w:rsidR="001A62D7" w:rsidRDefault="007E3C51" w:rsidP="00977AD1">
      <w:pPr>
        <w:pStyle w:val="Fait"/>
        <w:rPr>
          <w:noProof/>
        </w:rPr>
      </w:pPr>
      <w:r>
        <w:rPr>
          <w:noProof/>
        </w:rPr>
        <w:t>Done at Brussels,</w:t>
      </w:r>
    </w:p>
    <w:p w:rsidR="001A62D7" w:rsidRDefault="001A62D7" w:rsidP="00977AD1">
      <w:pPr>
        <w:pStyle w:val="Institutionquisigne"/>
        <w:rPr>
          <w:noProof/>
        </w:rPr>
      </w:pPr>
      <w:r>
        <w:rPr>
          <w:noProof/>
        </w:rPr>
        <w:t>For the European Parliament</w:t>
      </w:r>
      <w:r>
        <w:rPr>
          <w:noProof/>
        </w:rPr>
        <w:tab/>
        <w:t>For the Council</w:t>
      </w:r>
    </w:p>
    <w:p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B237F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F28" w:rsidRDefault="00BA5F28" w:rsidP="001A62D7">
      <w:pPr>
        <w:spacing w:before="0" w:after="0"/>
      </w:pPr>
      <w:r>
        <w:separator/>
      </w:r>
    </w:p>
  </w:endnote>
  <w:endnote w:type="continuationSeparator" w:id="0">
    <w:p w:rsidR="00BA5F28" w:rsidRDefault="00BA5F28"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Pr="00B237F0" w:rsidRDefault="00B237F0" w:rsidP="00B237F0">
    <w:pPr>
      <w:pStyle w:val="Footer"/>
      <w:rPr>
        <w:rFonts w:ascii="Arial" w:hAnsi="Arial" w:cs="Arial"/>
        <w:b/>
        <w:sz w:val="48"/>
      </w:rPr>
    </w:pPr>
    <w:r w:rsidRPr="00B237F0">
      <w:rPr>
        <w:rFonts w:ascii="Arial" w:hAnsi="Arial" w:cs="Arial"/>
        <w:b/>
        <w:sz w:val="48"/>
      </w:rPr>
      <w:t>EN</w:t>
    </w:r>
    <w:r w:rsidRPr="00B237F0">
      <w:rPr>
        <w:rFonts w:ascii="Arial" w:hAnsi="Arial" w:cs="Arial"/>
        <w:b/>
        <w:sz w:val="48"/>
      </w:rPr>
      <w:tab/>
    </w:r>
    <w:r w:rsidRPr="00B237F0">
      <w:rPr>
        <w:rFonts w:ascii="Arial" w:hAnsi="Arial" w:cs="Arial"/>
        <w:b/>
        <w:sz w:val="48"/>
      </w:rPr>
      <w:tab/>
    </w:r>
    <w:r w:rsidRPr="00B237F0">
      <w:tab/>
    </w:r>
    <w:r w:rsidRPr="00B237F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Pr="00B237F0" w:rsidRDefault="00B237F0" w:rsidP="00B237F0">
    <w:pPr>
      <w:pStyle w:val="Footer"/>
      <w:rPr>
        <w:rFonts w:ascii="Arial" w:hAnsi="Arial" w:cs="Arial"/>
        <w:b/>
        <w:sz w:val="48"/>
      </w:rPr>
    </w:pPr>
    <w:r w:rsidRPr="00B237F0">
      <w:rPr>
        <w:rFonts w:ascii="Arial" w:hAnsi="Arial" w:cs="Arial"/>
        <w:b/>
        <w:sz w:val="48"/>
      </w:rPr>
      <w:t>EN</w:t>
    </w:r>
    <w:r w:rsidRPr="00B237F0">
      <w:rPr>
        <w:rFonts w:ascii="Arial" w:hAnsi="Arial" w:cs="Arial"/>
        <w:b/>
        <w:sz w:val="48"/>
      </w:rPr>
      <w:tab/>
    </w:r>
    <w:r w:rsidRPr="00B237F0">
      <w:rPr>
        <w:rFonts w:ascii="Arial" w:hAnsi="Arial" w:cs="Arial"/>
        <w:b/>
        <w:sz w:val="48"/>
      </w:rPr>
      <w:tab/>
    </w:r>
    <w:r w:rsidRPr="00B237F0">
      <w:tab/>
    </w:r>
    <w:r w:rsidRPr="00B237F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Default="00B237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Pr="00B237F0" w:rsidRDefault="00B237F0" w:rsidP="00B237F0">
    <w:pPr>
      <w:pStyle w:val="Footer"/>
      <w:rPr>
        <w:rFonts w:ascii="Arial" w:hAnsi="Arial" w:cs="Arial"/>
        <w:b/>
        <w:sz w:val="48"/>
      </w:rPr>
    </w:pPr>
    <w:r w:rsidRPr="00B237F0">
      <w:rPr>
        <w:rFonts w:ascii="Arial" w:hAnsi="Arial" w:cs="Arial"/>
        <w:b/>
        <w:sz w:val="48"/>
      </w:rPr>
      <w:t>EN</w:t>
    </w:r>
    <w:r w:rsidRPr="00B237F0">
      <w:rPr>
        <w:rFonts w:ascii="Arial" w:hAnsi="Arial" w:cs="Arial"/>
        <w:b/>
        <w:sz w:val="48"/>
      </w:rPr>
      <w:tab/>
    </w:r>
    <w:r>
      <w:fldChar w:fldCharType="begin"/>
    </w:r>
    <w:r>
      <w:instrText xml:space="preserve"> PAGE  \* MERGEFORMAT </w:instrText>
    </w:r>
    <w:r>
      <w:fldChar w:fldCharType="separate"/>
    </w:r>
    <w:r w:rsidR="00977AD1">
      <w:rPr>
        <w:noProof/>
      </w:rPr>
      <w:t>11</w:t>
    </w:r>
    <w:r>
      <w:fldChar w:fldCharType="end"/>
    </w:r>
    <w:r>
      <w:tab/>
    </w:r>
    <w:r w:rsidRPr="00B237F0">
      <w:tab/>
    </w:r>
    <w:r w:rsidRPr="00B237F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Default="00B237F0" w:rsidP="00B2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F28" w:rsidRDefault="00BA5F28" w:rsidP="001A62D7">
      <w:pPr>
        <w:spacing w:before="0" w:after="0"/>
      </w:pPr>
      <w:r>
        <w:separator/>
      </w:r>
    </w:p>
  </w:footnote>
  <w:footnote w:type="continuationSeparator" w:id="0">
    <w:p w:rsidR="00BA5F28" w:rsidRDefault="00BA5F28" w:rsidP="001A62D7">
      <w:pPr>
        <w:spacing w:before="0" w:after="0"/>
      </w:pPr>
      <w:r>
        <w:continuationSeparator/>
      </w:r>
    </w:p>
  </w:footnote>
  <w:footnote w:id="1">
    <w:p w:rsidR="001A62D7" w:rsidRPr="00BE109D" w:rsidRDefault="001A62D7" w:rsidP="001A62D7">
      <w:pPr>
        <w:pStyle w:val="FootnoteText"/>
      </w:pPr>
      <w:r w:rsidRPr="00872F86">
        <w:rPr>
          <w:rStyle w:val="FootnoteReference"/>
        </w:rPr>
        <w:footnoteRef/>
      </w:r>
      <w:r w:rsidRPr="00BE109D">
        <w:tab/>
      </w:r>
      <w:r w:rsidRPr="00295349">
        <w:t>OJ L 153, 3.5.2021, p. 48</w:t>
      </w:r>
      <w:r w:rsidRPr="00BE109D">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9D3A3A" w:rsidRPr="009D3A3A" w:rsidRDefault="009D3A3A">
      <w:pPr>
        <w:pStyle w:val="FootnoteText"/>
        <w:rPr>
          <w:lang w:val="en-IE"/>
        </w:rPr>
      </w:pPr>
      <w:r w:rsidRPr="002F659F">
        <w:rPr>
          <w:rStyle w:val="FootnoteReference"/>
        </w:rPr>
        <w:footnoteRef/>
      </w:r>
      <w:r w:rsidR="002F659F">
        <w:tab/>
      </w:r>
      <w:r w:rsidRPr="009D3A3A">
        <w:rPr>
          <w:lang w:val="en-IE"/>
        </w:rPr>
        <w:t>KTM Gr</w:t>
      </w:r>
      <w:r>
        <w:rPr>
          <w:lang w:val="en-IE"/>
        </w:rPr>
        <w:t>up</w:t>
      </w:r>
      <w:r w:rsidRPr="009D3A3A">
        <w:rPr>
          <w:lang w:val="en-IE"/>
        </w:rPr>
        <w:t>p</w:t>
      </w:r>
      <w:r>
        <w:rPr>
          <w:lang w:val="en-IE"/>
        </w:rPr>
        <w:t>e</w:t>
      </w:r>
      <w:r w:rsidRPr="009D3A3A">
        <w:rPr>
          <w:lang w:val="en-IE"/>
        </w:rPr>
        <w:t xml:space="preserve"> consists of KTM AG, KTM Components GmbH (including Vöcklabrucker Metallgießerei GmbH) and KTM R&amp;D GmbH</w:t>
      </w:r>
      <w:r>
        <w:rPr>
          <w:lang w:val="en-IE"/>
        </w:rPr>
        <w:t>.</w:t>
      </w:r>
    </w:p>
  </w:footnote>
  <w:footnote w:id="4">
    <w:p w:rsidR="001A62D7" w:rsidRPr="00A50D50" w:rsidRDefault="001A62D7" w:rsidP="001A62D7">
      <w:pPr>
        <w:pStyle w:val="FootnoteText"/>
      </w:pPr>
      <w:r w:rsidRPr="009B1FDB">
        <w:rPr>
          <w:rStyle w:val="FootnoteReference"/>
        </w:rPr>
        <w:footnoteRef/>
      </w:r>
      <w:r>
        <w:tab/>
      </w:r>
      <w:r w:rsidRPr="00A50D50">
        <w:t>OJ L 393, 30.12.2006, p. 1.</w:t>
      </w:r>
    </w:p>
  </w:footnote>
  <w:footnote w:id="5">
    <w:p w:rsidR="008D3AFF" w:rsidRPr="00A50D50" w:rsidRDefault="008D3AFF"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6">
    <w:p w:rsidR="008A5C12" w:rsidRPr="008A5C12" w:rsidRDefault="008A5C12">
      <w:pPr>
        <w:pStyle w:val="FootnoteText"/>
      </w:pPr>
      <w:r w:rsidRPr="002F659F">
        <w:rPr>
          <w:rStyle w:val="FootnoteReference"/>
        </w:rPr>
        <w:footnoteRef/>
      </w:r>
      <w:r w:rsidR="002F659F">
        <w:tab/>
      </w:r>
      <w:r w:rsidRPr="008A5C12">
        <w:t>An employment programme is a personalised package of measures for workers made redundant. It is commonly initiated by the enterprise that makes the staff redundant and takes the legal form of a labour foundation (Arbeitsstiftung) in accordance with Section 18 of the Austrian Unemployment Insurance Act. In case of insolvency, public authorities can set up such a foundation in the form of an insolvency foundation (Insolvenzstiftung).</w:t>
      </w:r>
    </w:p>
  </w:footnote>
  <w:footnote w:id="7">
    <w:p w:rsidR="00983C14" w:rsidRPr="00AE15F8" w:rsidRDefault="00983C14" w:rsidP="00983C14">
      <w:pPr>
        <w:pStyle w:val="FootnoteText"/>
        <w:rPr>
          <w:lang w:val="en-IE"/>
        </w:rPr>
      </w:pPr>
      <w:r w:rsidRPr="002F659F">
        <w:rPr>
          <w:rStyle w:val="FootnoteReference"/>
        </w:rPr>
        <w:footnoteRef/>
      </w:r>
      <w:r w:rsidR="002F659F">
        <w:tab/>
      </w:r>
      <w:r>
        <w:rPr>
          <w:lang w:val="en-IE"/>
        </w:rPr>
        <w:t>T</w:t>
      </w:r>
      <w:r w:rsidRPr="00AE15F8">
        <w:rPr>
          <w:lang w:val="en-IE"/>
        </w:rPr>
        <w:t>he Upper Austria Chamber of Commerce on 6 February 2025, and the Private Employees Trade Union (GPA) and the Production Workers Trade Union (PROGE) on 7 February 2025</w:t>
      </w:r>
      <w:r>
        <w:rPr>
          <w:lang w:val="en-IE"/>
        </w:rPr>
        <w:t>.</w:t>
      </w:r>
    </w:p>
  </w:footnote>
  <w:footnote w:id="8">
    <w:p w:rsidR="001A62D7" w:rsidRPr="00A31F0E" w:rsidRDefault="001A62D7" w:rsidP="001A62D7">
      <w:pPr>
        <w:pStyle w:val="FootnoteText"/>
      </w:pPr>
      <w:r>
        <w:rPr>
          <w:rStyle w:val="FootnoteReference"/>
        </w:rPr>
        <w:footnoteRef/>
      </w:r>
      <w:r w:rsidRPr="007244BC">
        <w:tab/>
      </w:r>
      <w:r>
        <w:t>ISCED 0-2</w:t>
      </w:r>
    </w:p>
  </w:footnote>
  <w:footnote w:id="9">
    <w:p w:rsidR="001A62D7" w:rsidRPr="00A31F0E" w:rsidRDefault="001A62D7" w:rsidP="001A62D7">
      <w:pPr>
        <w:pStyle w:val="FootnoteText"/>
      </w:pPr>
      <w:r>
        <w:rPr>
          <w:rStyle w:val="FootnoteReference"/>
        </w:rPr>
        <w:footnoteRef/>
      </w:r>
      <w:r w:rsidRPr="007244BC">
        <w:tab/>
        <w:t>ISCED 3</w:t>
      </w:r>
    </w:p>
  </w:footnote>
  <w:footnote w:id="10">
    <w:p w:rsidR="001A62D7" w:rsidRPr="00A31F0E" w:rsidRDefault="001A62D7" w:rsidP="001A62D7">
      <w:pPr>
        <w:pStyle w:val="FootnoteText"/>
      </w:pPr>
      <w:r>
        <w:rPr>
          <w:rStyle w:val="FootnoteReference"/>
        </w:rPr>
        <w:footnoteRef/>
      </w:r>
      <w:r w:rsidRPr="007244BC">
        <w:tab/>
        <w:t>ISCED 4</w:t>
      </w:r>
    </w:p>
  </w:footnote>
  <w:footnote w:id="11">
    <w:p w:rsidR="001A62D7" w:rsidRPr="00A31F0E" w:rsidRDefault="001A62D7" w:rsidP="001A62D7">
      <w:pPr>
        <w:pStyle w:val="FootnoteText"/>
      </w:pPr>
      <w:r>
        <w:rPr>
          <w:rStyle w:val="FootnoteReference"/>
        </w:rPr>
        <w:footnoteRef/>
      </w:r>
      <w:r w:rsidRPr="007244BC">
        <w:tab/>
        <w:t>ISCED 5-8</w:t>
      </w:r>
    </w:p>
  </w:footnote>
  <w:footnote w:id="12">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rsidR="00AF00A3">
        <w:t xml:space="preserve"> Austria.</w:t>
      </w:r>
    </w:p>
  </w:footnote>
  <w:footnote w:id="13">
    <w:p w:rsidR="001A62D7" w:rsidRPr="002060F6" w:rsidRDefault="001A62D7" w:rsidP="001A62D7">
      <w:pPr>
        <w:pStyle w:val="FootnoteText"/>
      </w:pPr>
      <w:r>
        <w:rPr>
          <w:rStyle w:val="FootnoteReference"/>
        </w:rPr>
        <w:footnoteRef/>
      </w:r>
      <w:r w:rsidRPr="007244BC">
        <w:tab/>
        <w:t>Totals do not tally due to rounding.</w:t>
      </w:r>
    </w:p>
  </w:footnote>
  <w:footnote w:id="14">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p>
  </w:footnote>
  <w:footnote w:id="15">
    <w:p w:rsidR="001A62D7" w:rsidRPr="00D67EFA" w:rsidRDefault="001A62D7" w:rsidP="001A62D7">
      <w:pPr>
        <w:pStyle w:val="FootnoteText"/>
        <w:rPr>
          <w:lang w:val="it-IT"/>
        </w:rPr>
      </w:pPr>
      <w:r>
        <w:rPr>
          <w:rStyle w:val="FootnoteReference"/>
        </w:rPr>
        <w:footnoteRef/>
      </w:r>
      <w:r w:rsidRPr="00D67EFA">
        <w:rPr>
          <w:lang w:val="it-IT"/>
        </w:rPr>
        <w:tab/>
        <w:t>OJ L</w:t>
      </w:r>
      <w:r w:rsidR="00842DE2" w:rsidRPr="00D67EFA">
        <w:rPr>
          <w:lang w:val="it-IT"/>
        </w:rPr>
        <w:t>,</w:t>
      </w:r>
      <w:r w:rsidRPr="00D67EFA">
        <w:rPr>
          <w:lang w:val="it-IT"/>
        </w:rPr>
        <w:t> 2024/765, 29.2.2024,</w:t>
      </w:r>
      <w:r w:rsidR="00C054F9" w:rsidRPr="00D67EFA">
        <w:rPr>
          <w:lang w:val="it-IT"/>
        </w:rPr>
        <w:t xml:space="preserve"> ELI: http://data.europa.eu/eli/reg/2024/765/oj</w:t>
      </w:r>
      <w:r w:rsidRPr="00D67EFA">
        <w:rPr>
          <w:lang w:val="it-IT"/>
        </w:rPr>
        <w:t xml:space="preserve">. </w:t>
      </w:r>
    </w:p>
  </w:footnote>
  <w:footnote w:id="16">
    <w:p w:rsidR="001A62D7" w:rsidRDefault="001A62D7" w:rsidP="001A62D7">
      <w:pPr>
        <w:pStyle w:val="FootnoteText"/>
        <w:rPr>
          <w:lang w:val="pl-PL"/>
        </w:rPr>
      </w:pPr>
      <w:r>
        <w:rPr>
          <w:rStyle w:val="FootnoteReference"/>
        </w:rPr>
        <w:footnoteRef/>
      </w:r>
      <w:r>
        <w:rPr>
          <w:lang w:val="pl-PL"/>
        </w:rPr>
        <w:tab/>
        <w:t>OJ L 433 I, 22.12.2020, p. 28.</w:t>
      </w:r>
    </w:p>
  </w:footnote>
  <w:footnote w:id="17">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C054F9">
        <w:t xml:space="preserve">, </w:t>
      </w:r>
      <w:r w:rsidR="00C054F9" w:rsidRPr="00C054F9">
        <w:t>ELI: http://data.europa.eu/eli/reg/2024/2509/oj</w:t>
      </w:r>
      <w:r w:rsidRPr="00B54269">
        <w:t>.</w:t>
      </w:r>
    </w:p>
  </w:footnote>
  <w:footnote w:id="18">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p>
  </w:footnote>
  <w:footnote w:id="19">
    <w:p w:rsidR="001A62D7" w:rsidRPr="00973296" w:rsidRDefault="001A62D7" w:rsidP="001A62D7">
      <w:pPr>
        <w:pStyle w:val="FootnoteText"/>
      </w:pPr>
      <w:r>
        <w:rPr>
          <w:rStyle w:val="FootnoteReference"/>
        </w:rPr>
        <w:footnoteRef/>
      </w:r>
      <w:r w:rsidRPr="00973296">
        <w:tab/>
        <w:t>OJ L 433</w:t>
      </w:r>
      <w:r>
        <w:t xml:space="preserve"> I</w:t>
      </w:r>
      <w:r w:rsidRPr="00973296">
        <w:t xml:space="preserve">, 22.12.2020, p. </w:t>
      </w:r>
      <w:r>
        <w:t>28</w:t>
      </w:r>
    </w:p>
  </w:footnote>
  <w:footnote w:id="20">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p>
  </w:footnote>
  <w:footnote w:id="21">
    <w:p w:rsidR="001A62D7" w:rsidRPr="0026649F" w:rsidRDefault="001A62D7" w:rsidP="001A62D7">
      <w:pPr>
        <w:pStyle w:val="FootnoteText"/>
        <w:rPr>
          <w:lang w:val="de-DE"/>
        </w:rPr>
      </w:pPr>
      <w:r>
        <w:rPr>
          <w:rStyle w:val="FootnoteReference"/>
        </w:rPr>
        <w:footnoteRef/>
      </w:r>
      <w:r w:rsidRPr="0026649F">
        <w:rPr>
          <w:lang w:val="de-DE"/>
        </w:rPr>
        <w:tab/>
        <w:t>OJ L</w:t>
      </w:r>
      <w:r w:rsidR="00842DE2" w:rsidRPr="0026649F">
        <w:rPr>
          <w:lang w:val="de-DE"/>
        </w:rPr>
        <w:t>,</w:t>
      </w:r>
      <w:r w:rsidRPr="0026649F">
        <w:rPr>
          <w:lang w:val="de-DE"/>
        </w:rPr>
        <w:t> 2024/765, 29.2.2024</w:t>
      </w:r>
      <w:r w:rsidR="00EF01DB" w:rsidRPr="0026649F">
        <w:rPr>
          <w:lang w:val="de-DE"/>
        </w:rPr>
        <w:t xml:space="preserve">, </w:t>
      </w:r>
      <w:r w:rsidR="00EF01DB" w:rsidRPr="00D67EFA">
        <w:rPr>
          <w:lang w:val="de-DE"/>
        </w:rPr>
        <w:t>ELI: http://data.europa.eu/eli/reg/2024/765/oj</w:t>
      </w:r>
      <w:r w:rsidRPr="0026649F">
        <w:rPr>
          <w:lang w:val="de-DE"/>
        </w:rPr>
        <w:t>.</w:t>
      </w:r>
    </w:p>
  </w:footnote>
  <w:footnote w:id="22">
    <w:p w:rsidR="001A62D7" w:rsidRPr="0097092E" w:rsidRDefault="001A62D7" w:rsidP="001A62D7">
      <w:pPr>
        <w:pStyle w:val="FootnoteText"/>
      </w:pPr>
      <w:r>
        <w:rPr>
          <w:rStyle w:val="FootnoteReference"/>
        </w:rPr>
        <w:footnoteRef/>
      </w:r>
      <w:r w:rsidRPr="0097092E">
        <w:rPr>
          <w:lang w:val="en-IE"/>
        </w:rPr>
        <w:tab/>
      </w:r>
      <w:r w:rsidR="0079444C">
        <w:rPr>
          <w:lang w:val="en-IE"/>
        </w:rPr>
        <w:t>COM(2026) 10</w:t>
      </w:r>
    </w:p>
  </w:footnote>
  <w:footnote w:id="23">
    <w:p w:rsidR="00281AE4" w:rsidRPr="00281AE4" w:rsidRDefault="00281AE4">
      <w:pPr>
        <w:pStyle w:val="FootnoteText"/>
        <w:rPr>
          <w:lang w:val="en-IE"/>
        </w:rPr>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Default="00B23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F0" w:rsidRDefault="00B23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3 17:14: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CBC74C8-959B-44FF-8B09-361C90816D03"/>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37"/>
    <w:docVar w:name="LW_REF.II.NEW.CP_YEAR" w:val="2026"/>
    <w:docVar w:name="LW_REF.INST.NEW" w:val="COM"/>
    <w:docVar w:name="LW_REF.INST.NEW_ADOPTED" w:val="final"/>
    <w:docVar w:name="LW_REF.INST.NEW_TEXT" w:val="(2026) 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Austria \u8211? EGF/2025/005 AT/KTM"/>
    <w:docVar w:name="LW_TYPE.DOC.CP" w:val="DECISION OF THE EUROPEAN PARLIAMENT AND OF THE COUNCIL"/>
    <w:docVar w:name="LwApiVersions" w:val="LW4CoDe 1.24.5.0; LW 9.2, Build 20251112"/>
  </w:docVars>
  <w:rsids>
    <w:rsidRoot w:val="001A62D7"/>
    <w:rsid w:val="000171AE"/>
    <w:rsid w:val="00025E0F"/>
    <w:rsid w:val="000302C2"/>
    <w:rsid w:val="0003773A"/>
    <w:rsid w:val="00046473"/>
    <w:rsid w:val="000522BA"/>
    <w:rsid w:val="00052B81"/>
    <w:rsid w:val="00057A61"/>
    <w:rsid w:val="000609C3"/>
    <w:rsid w:val="00062E4B"/>
    <w:rsid w:val="0008758B"/>
    <w:rsid w:val="000B5F8F"/>
    <w:rsid w:val="000D35B3"/>
    <w:rsid w:val="000F1636"/>
    <w:rsid w:val="000F548B"/>
    <w:rsid w:val="000F75AA"/>
    <w:rsid w:val="000F7763"/>
    <w:rsid w:val="001065F5"/>
    <w:rsid w:val="00114FDE"/>
    <w:rsid w:val="001238EF"/>
    <w:rsid w:val="00130BB0"/>
    <w:rsid w:val="00135049"/>
    <w:rsid w:val="00145BF5"/>
    <w:rsid w:val="00161451"/>
    <w:rsid w:val="00190173"/>
    <w:rsid w:val="00197613"/>
    <w:rsid w:val="001A150D"/>
    <w:rsid w:val="001A62D7"/>
    <w:rsid w:val="001B3907"/>
    <w:rsid w:val="001B739F"/>
    <w:rsid w:val="001C74EC"/>
    <w:rsid w:val="001D3672"/>
    <w:rsid w:val="001D5468"/>
    <w:rsid w:val="001E4CDA"/>
    <w:rsid w:val="001F6EFC"/>
    <w:rsid w:val="00204C13"/>
    <w:rsid w:val="00210498"/>
    <w:rsid w:val="00211BB7"/>
    <w:rsid w:val="00212DD8"/>
    <w:rsid w:val="0022114D"/>
    <w:rsid w:val="0022295A"/>
    <w:rsid w:val="00232357"/>
    <w:rsid w:val="00233DC7"/>
    <w:rsid w:val="00236E41"/>
    <w:rsid w:val="00240422"/>
    <w:rsid w:val="00241826"/>
    <w:rsid w:val="00247779"/>
    <w:rsid w:val="00256AA7"/>
    <w:rsid w:val="0026649F"/>
    <w:rsid w:val="002779F6"/>
    <w:rsid w:val="00281AE4"/>
    <w:rsid w:val="00285BEE"/>
    <w:rsid w:val="0029533F"/>
    <w:rsid w:val="002B2961"/>
    <w:rsid w:val="002B30AF"/>
    <w:rsid w:val="002B62A0"/>
    <w:rsid w:val="002C52BC"/>
    <w:rsid w:val="002C667E"/>
    <w:rsid w:val="002F659F"/>
    <w:rsid w:val="0030174B"/>
    <w:rsid w:val="00305565"/>
    <w:rsid w:val="0033344A"/>
    <w:rsid w:val="003501B8"/>
    <w:rsid w:val="00364309"/>
    <w:rsid w:val="003740B7"/>
    <w:rsid w:val="00383A69"/>
    <w:rsid w:val="003C0CC9"/>
    <w:rsid w:val="003D3D6D"/>
    <w:rsid w:val="003D51DA"/>
    <w:rsid w:val="003E323E"/>
    <w:rsid w:val="003F1F35"/>
    <w:rsid w:val="00401AEF"/>
    <w:rsid w:val="0042648E"/>
    <w:rsid w:val="00443B2E"/>
    <w:rsid w:val="004530AD"/>
    <w:rsid w:val="00467284"/>
    <w:rsid w:val="00473C01"/>
    <w:rsid w:val="00476AFE"/>
    <w:rsid w:val="00480C63"/>
    <w:rsid w:val="004936D2"/>
    <w:rsid w:val="004A0B30"/>
    <w:rsid w:val="004A104B"/>
    <w:rsid w:val="004B3046"/>
    <w:rsid w:val="004C3F75"/>
    <w:rsid w:val="004D3EAA"/>
    <w:rsid w:val="004D51E6"/>
    <w:rsid w:val="004F3E46"/>
    <w:rsid w:val="004F5528"/>
    <w:rsid w:val="0053218A"/>
    <w:rsid w:val="00532962"/>
    <w:rsid w:val="00546FB3"/>
    <w:rsid w:val="00566973"/>
    <w:rsid w:val="005733AC"/>
    <w:rsid w:val="00574B3A"/>
    <w:rsid w:val="0058279B"/>
    <w:rsid w:val="005871BA"/>
    <w:rsid w:val="005A0230"/>
    <w:rsid w:val="005B1EB6"/>
    <w:rsid w:val="005B3182"/>
    <w:rsid w:val="005B5E5A"/>
    <w:rsid w:val="005C095A"/>
    <w:rsid w:val="005C27C7"/>
    <w:rsid w:val="005D57AF"/>
    <w:rsid w:val="005E047F"/>
    <w:rsid w:val="005E22E3"/>
    <w:rsid w:val="006031FD"/>
    <w:rsid w:val="00604272"/>
    <w:rsid w:val="00605200"/>
    <w:rsid w:val="00612C6C"/>
    <w:rsid w:val="00613827"/>
    <w:rsid w:val="00660555"/>
    <w:rsid w:val="006610FB"/>
    <w:rsid w:val="00670D5E"/>
    <w:rsid w:val="00670F7C"/>
    <w:rsid w:val="00683F71"/>
    <w:rsid w:val="006F7468"/>
    <w:rsid w:val="00731699"/>
    <w:rsid w:val="007606F4"/>
    <w:rsid w:val="00773331"/>
    <w:rsid w:val="00776083"/>
    <w:rsid w:val="00786CCA"/>
    <w:rsid w:val="00791927"/>
    <w:rsid w:val="007932EF"/>
    <w:rsid w:val="0079444C"/>
    <w:rsid w:val="007A0C2F"/>
    <w:rsid w:val="007A142C"/>
    <w:rsid w:val="007C0A93"/>
    <w:rsid w:val="007C116C"/>
    <w:rsid w:val="007C446F"/>
    <w:rsid w:val="007D1950"/>
    <w:rsid w:val="007E05B0"/>
    <w:rsid w:val="007E3C51"/>
    <w:rsid w:val="007E4D4B"/>
    <w:rsid w:val="00803184"/>
    <w:rsid w:val="00804C62"/>
    <w:rsid w:val="00833953"/>
    <w:rsid w:val="00842DE2"/>
    <w:rsid w:val="008436F1"/>
    <w:rsid w:val="00847BC1"/>
    <w:rsid w:val="00850C3F"/>
    <w:rsid w:val="00855D21"/>
    <w:rsid w:val="00861B69"/>
    <w:rsid w:val="00874D22"/>
    <w:rsid w:val="0087767A"/>
    <w:rsid w:val="00883718"/>
    <w:rsid w:val="00885CA2"/>
    <w:rsid w:val="00896349"/>
    <w:rsid w:val="008A2914"/>
    <w:rsid w:val="008A5C12"/>
    <w:rsid w:val="008B3DA3"/>
    <w:rsid w:val="008C08DB"/>
    <w:rsid w:val="008D2433"/>
    <w:rsid w:val="008D3AFF"/>
    <w:rsid w:val="008D440E"/>
    <w:rsid w:val="008E0E29"/>
    <w:rsid w:val="008E4D8E"/>
    <w:rsid w:val="008E7A30"/>
    <w:rsid w:val="008F7DCD"/>
    <w:rsid w:val="00903301"/>
    <w:rsid w:val="00903D85"/>
    <w:rsid w:val="00956E59"/>
    <w:rsid w:val="00971782"/>
    <w:rsid w:val="0097440D"/>
    <w:rsid w:val="00977AD1"/>
    <w:rsid w:val="00982E88"/>
    <w:rsid w:val="00982EAC"/>
    <w:rsid w:val="00983C14"/>
    <w:rsid w:val="009959AD"/>
    <w:rsid w:val="0099782D"/>
    <w:rsid w:val="009A476A"/>
    <w:rsid w:val="009B74F9"/>
    <w:rsid w:val="009D3A3A"/>
    <w:rsid w:val="009D7AF5"/>
    <w:rsid w:val="009E45CA"/>
    <w:rsid w:val="009F2427"/>
    <w:rsid w:val="00A00BB5"/>
    <w:rsid w:val="00A11209"/>
    <w:rsid w:val="00A16F02"/>
    <w:rsid w:val="00A270E0"/>
    <w:rsid w:val="00A61DE9"/>
    <w:rsid w:val="00A643E5"/>
    <w:rsid w:val="00A6667C"/>
    <w:rsid w:val="00A748C9"/>
    <w:rsid w:val="00A90F14"/>
    <w:rsid w:val="00AC0CB3"/>
    <w:rsid w:val="00AD632E"/>
    <w:rsid w:val="00AE15F8"/>
    <w:rsid w:val="00AE7D04"/>
    <w:rsid w:val="00AF00A3"/>
    <w:rsid w:val="00B0476A"/>
    <w:rsid w:val="00B10303"/>
    <w:rsid w:val="00B16A3D"/>
    <w:rsid w:val="00B237F0"/>
    <w:rsid w:val="00B543B5"/>
    <w:rsid w:val="00B57600"/>
    <w:rsid w:val="00B760C7"/>
    <w:rsid w:val="00B83D1B"/>
    <w:rsid w:val="00BA0237"/>
    <w:rsid w:val="00BA5F28"/>
    <w:rsid w:val="00BD6391"/>
    <w:rsid w:val="00BE4337"/>
    <w:rsid w:val="00BF149D"/>
    <w:rsid w:val="00C054F9"/>
    <w:rsid w:val="00C12301"/>
    <w:rsid w:val="00C13DC3"/>
    <w:rsid w:val="00C2027B"/>
    <w:rsid w:val="00C22CCB"/>
    <w:rsid w:val="00C37157"/>
    <w:rsid w:val="00CA7EE1"/>
    <w:rsid w:val="00CC6E46"/>
    <w:rsid w:val="00CF0783"/>
    <w:rsid w:val="00D06962"/>
    <w:rsid w:val="00D17109"/>
    <w:rsid w:val="00D20381"/>
    <w:rsid w:val="00D254CA"/>
    <w:rsid w:val="00D26709"/>
    <w:rsid w:val="00D3172A"/>
    <w:rsid w:val="00D45DF7"/>
    <w:rsid w:val="00D51A37"/>
    <w:rsid w:val="00D54D1D"/>
    <w:rsid w:val="00D54F1D"/>
    <w:rsid w:val="00D67EFA"/>
    <w:rsid w:val="00D73296"/>
    <w:rsid w:val="00D77298"/>
    <w:rsid w:val="00D949B3"/>
    <w:rsid w:val="00DA4E04"/>
    <w:rsid w:val="00DB0A33"/>
    <w:rsid w:val="00DB0A63"/>
    <w:rsid w:val="00DC00FF"/>
    <w:rsid w:val="00E076E3"/>
    <w:rsid w:val="00E1163B"/>
    <w:rsid w:val="00E263F7"/>
    <w:rsid w:val="00E34517"/>
    <w:rsid w:val="00E346FB"/>
    <w:rsid w:val="00E4314A"/>
    <w:rsid w:val="00E435D1"/>
    <w:rsid w:val="00E45EB9"/>
    <w:rsid w:val="00E507DA"/>
    <w:rsid w:val="00E6146B"/>
    <w:rsid w:val="00E766C3"/>
    <w:rsid w:val="00E87E7D"/>
    <w:rsid w:val="00E9145F"/>
    <w:rsid w:val="00E94002"/>
    <w:rsid w:val="00ED7C03"/>
    <w:rsid w:val="00EF01DB"/>
    <w:rsid w:val="00F04356"/>
    <w:rsid w:val="00F04468"/>
    <w:rsid w:val="00F16CA1"/>
    <w:rsid w:val="00F24149"/>
    <w:rsid w:val="00F2725D"/>
    <w:rsid w:val="00F34040"/>
    <w:rsid w:val="00F562D5"/>
    <w:rsid w:val="00F90BC1"/>
    <w:rsid w:val="00FA5322"/>
    <w:rsid w:val="00FB320C"/>
    <w:rsid w:val="00FC38F8"/>
    <w:rsid w:val="00FD72B5"/>
    <w:rsid w:val="00FF13C0"/>
    <w:rsid w:val="00FF383D"/>
    <w:rsid w:val="00FF4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B237F0"/>
    <w:rPr>
      <w:rFonts w:ascii="Times New Roman" w:hAnsi="Times New Roman" w:cs="Times New Roman"/>
      <w:sz w:val="24"/>
      <w:lang w:val="en-GB"/>
    </w:rPr>
  </w:style>
  <w:style w:type="character" w:customStyle="1" w:styleId="FooterChar">
    <w:name w:val="Footer Char"/>
    <w:basedOn w:val="DefaultParagraphFont"/>
    <w:link w:val="Footer"/>
    <w:uiPriority w:val="99"/>
    <w:rsid w:val="00B237F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37F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37F0"/>
    <w:pPr>
      <w:spacing w:before="0"/>
      <w:jc w:val="right"/>
    </w:pPr>
    <w:rPr>
      <w:sz w:val="28"/>
    </w:rPr>
  </w:style>
  <w:style w:type="paragraph" w:customStyle="1" w:styleId="FooterSensitivity">
    <w:name w:val="Footer Sensitivity"/>
    <w:basedOn w:val="Normal"/>
    <w:rsid w:val="00B237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237F0"/>
    <w:pPr>
      <w:tabs>
        <w:tab w:val="center" w:pos="4535"/>
        <w:tab w:val="right" w:pos="9071"/>
      </w:tabs>
      <w:spacing w:before="0"/>
    </w:pPr>
  </w:style>
  <w:style w:type="paragraph" w:customStyle="1" w:styleId="HeaderLandscape">
    <w:name w:val="HeaderLandscape"/>
    <w:basedOn w:val="Normal"/>
    <w:rsid w:val="00B237F0"/>
    <w:pPr>
      <w:tabs>
        <w:tab w:val="center" w:pos="7285"/>
        <w:tab w:val="right" w:pos="14003"/>
      </w:tabs>
      <w:spacing w:before="0"/>
    </w:pPr>
  </w:style>
  <w:style w:type="paragraph" w:styleId="Footer">
    <w:name w:val="footer"/>
    <w:basedOn w:val="Normal"/>
    <w:link w:val="FooterChar"/>
    <w:uiPriority w:val="99"/>
    <w:unhideWhenUsed/>
    <w:rsid w:val="00B237F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37F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AF702-4858-4988-90C5-3589874E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12</Pages>
  <Words>3710</Words>
  <Characters>21149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2026-01-28T10:45:00Z</dcterms:created>
  <dcterms:modified xsi:type="dcterms:W3CDTF">2026-02-03T16:14:00Z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