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DD39B9" w:rsidRDefault="000E165D" w:rsidP="000E165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DF7659-FB03-40E6-93B8-818816D9F2C4" style="width:455.25pt;height:342.75pt">
            <v:imagedata r:id="rId8" o:title=""/>
          </v:shape>
        </w:pict>
      </w:r>
    </w:p>
    <w:p w:rsidR="001A62D7" w:rsidRPr="00DD39B9" w:rsidRDefault="001A62D7" w:rsidP="001A62D7">
      <w:pPr>
        <w:rPr>
          <w:noProof/>
        </w:rPr>
        <w:sectPr w:rsidR="001A62D7" w:rsidRPr="00DD39B9" w:rsidSect="000E165D">
          <w:footerReference w:type="even" r:id="rId9"/>
          <w:footerReference w:type="default" r:id="rId10"/>
          <w:pgSz w:w="11907" w:h="16839"/>
          <w:pgMar w:top="1134" w:right="1417" w:bottom="1134" w:left="1417" w:header="709" w:footer="709" w:gutter="0"/>
          <w:pgNumType w:start="0"/>
          <w:cols w:space="720"/>
          <w:docGrid w:linePitch="360"/>
        </w:sectPr>
      </w:pPr>
    </w:p>
    <w:p w:rsidR="001A62D7" w:rsidRPr="00DD39B9" w:rsidRDefault="001A62D7" w:rsidP="001A62D7">
      <w:pPr>
        <w:pStyle w:val="Exposdesmotifstitre"/>
        <w:rPr>
          <w:noProof/>
        </w:rPr>
      </w:pPr>
      <w:bookmarkStart w:id="0" w:name="_GoBack"/>
      <w:bookmarkEnd w:id="0"/>
      <w:r w:rsidRPr="00DD39B9">
        <w:rPr>
          <w:noProof/>
        </w:rPr>
        <w:lastRenderedPageBreak/>
        <w:t>EXPUNERE DE MOTIVE</w:t>
      </w:r>
    </w:p>
    <w:p w:rsidR="001A62D7" w:rsidRPr="00DD39B9" w:rsidRDefault="001A62D7" w:rsidP="001A62D7">
      <w:pPr>
        <w:pStyle w:val="ManualHeading1"/>
        <w:rPr>
          <w:noProof/>
        </w:rPr>
      </w:pPr>
      <w:r w:rsidRPr="00DD39B9">
        <w:rPr>
          <w:noProof/>
        </w:rPr>
        <w:t>CONTEXTUL PROPUNERII</w:t>
      </w:r>
    </w:p>
    <w:p w:rsidR="001A62D7" w:rsidRPr="00DD39B9" w:rsidRDefault="001A62D7" w:rsidP="00AE7D04">
      <w:pPr>
        <w:pStyle w:val="ManualNumPar1"/>
        <w:rPr>
          <w:noProof/>
        </w:rPr>
      </w:pPr>
      <w:r>
        <w:rPr>
          <w:noProof/>
        </w:rPr>
        <w:t>1.</w:t>
      </w:r>
      <w:r>
        <w:rPr>
          <w:noProof/>
        </w:rPr>
        <w:tab/>
      </w:r>
      <w:r w:rsidRPr="00DD39B9">
        <w:rPr>
          <w:noProof/>
        </w:rPr>
        <w:t>Normele aplicabile contribuțiilor financiare din partea Fondului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sidRPr="00DD39B9">
        <w:rPr>
          <w:rStyle w:val="FootnoteReference"/>
          <w:noProof/>
        </w:rPr>
        <w:footnoteReference w:id="1"/>
      </w:r>
      <w:r w:rsidRPr="00DD39B9">
        <w:rPr>
          <w:noProof/>
        </w:rPr>
        <w:t>.</w:t>
      </w:r>
    </w:p>
    <w:p w:rsidR="001A62D7" w:rsidRPr="00DD39B9" w:rsidRDefault="001A62D7" w:rsidP="00AE7D04">
      <w:pPr>
        <w:pStyle w:val="ManualNumPar1"/>
        <w:rPr>
          <w:noProof/>
        </w:rPr>
      </w:pPr>
      <w:r>
        <w:rPr>
          <w:noProof/>
        </w:rPr>
        <w:t>2.</w:t>
      </w:r>
      <w:r>
        <w:rPr>
          <w:noProof/>
        </w:rPr>
        <w:tab/>
      </w:r>
      <w:r w:rsidRPr="00DD39B9">
        <w:rPr>
          <w:noProof/>
        </w:rPr>
        <w:t>La 15 septembrie 2025, Austria a depus cererea EGF/2025/005 AT/KTM pentru a obține o contribuție financiară din partea FEG, ca urmare a disponibilizărilor de la KTM din Austria.</w:t>
      </w:r>
    </w:p>
    <w:p w:rsidR="001A62D7" w:rsidRPr="00DD39B9" w:rsidRDefault="001A62D7" w:rsidP="00AE7D04">
      <w:pPr>
        <w:pStyle w:val="ManualNumPar1"/>
        <w:rPr>
          <w:noProof/>
        </w:rPr>
      </w:pPr>
      <w:r>
        <w:rPr>
          <w:noProof/>
        </w:rPr>
        <w:t>3.</w:t>
      </w:r>
      <w:r>
        <w:rPr>
          <w:noProof/>
        </w:rPr>
        <w:tab/>
      </w:r>
      <w:r w:rsidRPr="00DD39B9">
        <w:rPr>
          <w:noProof/>
        </w:rPr>
        <w:t xml:space="preserve">După evaluarea acestei cereri, Comisia a concluzionat, în conformitate cu toate dispozițiile aplicabile ale Regulamentului (UE) 2021/691, că sunt îndeplinite condițiile pentru acordarea unei contribuții financiare din partea FEG. </w:t>
      </w:r>
    </w:p>
    <w:p w:rsidR="001A62D7" w:rsidRPr="00DD39B9" w:rsidRDefault="001A62D7" w:rsidP="001A62D7">
      <w:pPr>
        <w:pStyle w:val="ManualHeading1"/>
        <w:rPr>
          <w:noProof/>
        </w:rPr>
      </w:pPr>
      <w:r w:rsidRPr="00DD39B9">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DD39B9" w:rsidTr="008D3AFF">
        <w:tc>
          <w:tcPr>
            <w:tcW w:w="4908" w:type="dxa"/>
            <w:shd w:val="clear" w:color="auto" w:fill="auto"/>
          </w:tcPr>
          <w:p w:rsidR="001A62D7" w:rsidRPr="00DD39B9" w:rsidRDefault="001A62D7" w:rsidP="001D5990">
            <w:pPr>
              <w:spacing w:before="60" w:after="60"/>
              <w:jc w:val="left"/>
              <w:rPr>
                <w:rFonts w:eastAsia="Calibri"/>
                <w:noProof/>
              </w:rPr>
            </w:pPr>
            <w:r w:rsidRPr="00DD39B9">
              <w:rPr>
                <w:noProof/>
              </w:rPr>
              <w:t>Cererea FEG</w:t>
            </w:r>
          </w:p>
        </w:tc>
        <w:tc>
          <w:tcPr>
            <w:tcW w:w="4379" w:type="dxa"/>
            <w:shd w:val="clear" w:color="auto" w:fill="auto"/>
          </w:tcPr>
          <w:p w:rsidR="001A62D7" w:rsidRPr="00DD39B9" w:rsidRDefault="001A62D7" w:rsidP="001D5990">
            <w:pPr>
              <w:spacing w:before="60" w:after="60"/>
              <w:ind w:rightChars="192" w:right="461"/>
              <w:jc w:val="left"/>
              <w:rPr>
                <w:rFonts w:eastAsia="Calibri"/>
                <w:noProof/>
              </w:rPr>
            </w:pPr>
            <w:r w:rsidRPr="00DD39B9">
              <w:rPr>
                <w:noProof/>
              </w:rPr>
              <w:t>EGF/2025/005 AT/KTM</w:t>
            </w:r>
          </w:p>
        </w:tc>
      </w:tr>
      <w:tr w:rsidR="001A62D7" w:rsidRPr="00DD39B9" w:rsidTr="008D3AFF">
        <w:tc>
          <w:tcPr>
            <w:tcW w:w="4908" w:type="dxa"/>
            <w:shd w:val="clear" w:color="auto" w:fill="auto"/>
          </w:tcPr>
          <w:p w:rsidR="001A62D7" w:rsidRPr="00DD39B9" w:rsidRDefault="001A62D7" w:rsidP="001D5990">
            <w:pPr>
              <w:spacing w:before="60" w:after="60"/>
              <w:jc w:val="left"/>
              <w:rPr>
                <w:rFonts w:eastAsia="Calibri"/>
                <w:noProof/>
              </w:rPr>
            </w:pPr>
            <w:r w:rsidRPr="00DD39B9">
              <w:rPr>
                <w:noProof/>
              </w:rPr>
              <w:t>Stat membru</w:t>
            </w:r>
          </w:p>
        </w:tc>
        <w:tc>
          <w:tcPr>
            <w:tcW w:w="4379" w:type="dxa"/>
            <w:shd w:val="clear" w:color="auto" w:fill="auto"/>
          </w:tcPr>
          <w:p w:rsidR="001A62D7" w:rsidRPr="00DD39B9" w:rsidRDefault="00204C13" w:rsidP="001D5990">
            <w:pPr>
              <w:spacing w:before="60" w:after="60"/>
              <w:ind w:rightChars="192" w:right="461"/>
              <w:jc w:val="left"/>
              <w:rPr>
                <w:rFonts w:eastAsia="Calibri"/>
                <w:noProof/>
              </w:rPr>
            </w:pPr>
            <w:r w:rsidRPr="00DD39B9">
              <w:rPr>
                <w:noProof/>
              </w:rPr>
              <w:t>Austria</w:t>
            </w:r>
          </w:p>
        </w:tc>
      </w:tr>
      <w:tr w:rsidR="001A62D7" w:rsidRPr="00DD39B9" w:rsidTr="008D3AFF">
        <w:tc>
          <w:tcPr>
            <w:tcW w:w="4908" w:type="dxa"/>
            <w:tcBorders>
              <w:bottom w:val="single" w:sz="4" w:space="0" w:color="auto"/>
            </w:tcBorders>
            <w:shd w:val="clear" w:color="auto" w:fill="auto"/>
          </w:tcPr>
          <w:p w:rsidR="001A62D7" w:rsidRPr="00DD39B9" w:rsidRDefault="001A62D7" w:rsidP="001D5990">
            <w:pPr>
              <w:spacing w:before="60" w:after="60"/>
              <w:jc w:val="left"/>
              <w:rPr>
                <w:rFonts w:eastAsia="Calibri"/>
                <w:noProof/>
              </w:rPr>
            </w:pPr>
            <w:r w:rsidRPr="00DD39B9">
              <w:rPr>
                <w:noProof/>
              </w:rPr>
              <w:t>Regiunea sau regiunile vizate (nivel NUTS 2</w:t>
            </w:r>
            <w:r w:rsidRPr="00DD39B9">
              <w:rPr>
                <w:rStyle w:val="FootnoteReference"/>
                <w:noProof/>
              </w:rPr>
              <w:footnoteReference w:id="2"/>
            </w:r>
            <w:r w:rsidRPr="00DD39B9">
              <w:rPr>
                <w:noProof/>
              </w:rPr>
              <w:t>)</w:t>
            </w:r>
          </w:p>
        </w:tc>
        <w:tc>
          <w:tcPr>
            <w:tcW w:w="4379" w:type="dxa"/>
            <w:tcBorders>
              <w:bottom w:val="single" w:sz="4" w:space="0" w:color="auto"/>
            </w:tcBorders>
            <w:shd w:val="clear" w:color="auto" w:fill="auto"/>
          </w:tcPr>
          <w:p w:rsidR="001A62D7" w:rsidRPr="00DD39B9" w:rsidRDefault="003E323E" w:rsidP="001D5990">
            <w:pPr>
              <w:spacing w:before="0" w:after="0"/>
              <w:ind w:rightChars="192" w:right="461"/>
              <w:jc w:val="left"/>
              <w:rPr>
                <w:noProof/>
                <w:szCs w:val="24"/>
              </w:rPr>
            </w:pPr>
            <w:r w:rsidRPr="00DD39B9">
              <w:rPr>
                <w:noProof/>
              </w:rPr>
              <w:t>Austria Superioară (AT31)</w:t>
            </w:r>
          </w:p>
        </w:tc>
      </w:tr>
      <w:tr w:rsidR="001A62D7" w:rsidRPr="00DD39B9" w:rsidTr="008D3AFF">
        <w:tc>
          <w:tcPr>
            <w:tcW w:w="4908" w:type="dxa"/>
            <w:tcBorders>
              <w:bottom w:val="dotted" w:sz="4" w:space="0" w:color="auto"/>
            </w:tcBorders>
            <w:shd w:val="clear" w:color="auto" w:fill="auto"/>
          </w:tcPr>
          <w:p w:rsidR="001A62D7" w:rsidRPr="00DD39B9" w:rsidRDefault="001A62D7" w:rsidP="001D5990">
            <w:pPr>
              <w:spacing w:before="60" w:after="60"/>
              <w:jc w:val="left"/>
              <w:rPr>
                <w:rFonts w:eastAsia="Calibri"/>
                <w:noProof/>
              </w:rPr>
            </w:pPr>
            <w:r w:rsidRPr="00DD39B9">
              <w:rPr>
                <w:noProof/>
              </w:rPr>
              <w:t>Data depunerii cererii</w:t>
            </w:r>
          </w:p>
        </w:tc>
        <w:tc>
          <w:tcPr>
            <w:tcW w:w="4379" w:type="dxa"/>
            <w:tcBorders>
              <w:bottom w:val="dotted" w:sz="4" w:space="0" w:color="auto"/>
            </w:tcBorders>
            <w:shd w:val="clear" w:color="auto" w:fill="auto"/>
          </w:tcPr>
          <w:p w:rsidR="001A62D7" w:rsidRPr="00DD39B9" w:rsidRDefault="00204C13" w:rsidP="001D5990">
            <w:pPr>
              <w:spacing w:before="60" w:after="60"/>
              <w:ind w:rightChars="192" w:right="461"/>
              <w:jc w:val="left"/>
              <w:rPr>
                <w:rFonts w:eastAsia="Calibri"/>
                <w:noProof/>
              </w:rPr>
            </w:pPr>
            <w:r w:rsidRPr="00DD39B9">
              <w:rPr>
                <w:noProof/>
              </w:rPr>
              <w:t>15 septembrie 2025</w:t>
            </w:r>
          </w:p>
        </w:tc>
      </w:tr>
      <w:tr w:rsidR="001A62D7" w:rsidRPr="00DD39B9" w:rsidTr="008D3AFF">
        <w:tc>
          <w:tcPr>
            <w:tcW w:w="4908" w:type="dxa"/>
            <w:tcBorders>
              <w:top w:val="dotted" w:sz="4" w:space="0" w:color="auto"/>
              <w:bottom w:val="dotted" w:sz="4" w:space="0" w:color="auto"/>
            </w:tcBorders>
            <w:shd w:val="clear" w:color="auto" w:fill="auto"/>
          </w:tcPr>
          <w:p w:rsidR="001A62D7" w:rsidRPr="00DD39B9" w:rsidRDefault="001A62D7" w:rsidP="001D5990">
            <w:pPr>
              <w:spacing w:before="60" w:after="60"/>
              <w:jc w:val="left"/>
              <w:rPr>
                <w:rFonts w:eastAsia="Calibri"/>
                <w:noProof/>
              </w:rPr>
            </w:pPr>
            <w:r w:rsidRPr="00DD39B9">
              <w:rPr>
                <w:noProof/>
              </w:rPr>
              <w:t>Data confirmării primirii cererii</w:t>
            </w:r>
          </w:p>
        </w:tc>
        <w:tc>
          <w:tcPr>
            <w:tcW w:w="4379" w:type="dxa"/>
            <w:tcBorders>
              <w:top w:val="dotted" w:sz="4" w:space="0" w:color="auto"/>
              <w:bottom w:val="dotted" w:sz="4" w:space="0" w:color="auto"/>
            </w:tcBorders>
            <w:shd w:val="clear" w:color="auto" w:fill="auto"/>
          </w:tcPr>
          <w:p w:rsidR="001A62D7" w:rsidRPr="00DD39B9" w:rsidRDefault="00204C13" w:rsidP="001D5990">
            <w:pPr>
              <w:spacing w:before="60" w:after="60"/>
              <w:ind w:rightChars="192" w:right="461"/>
              <w:jc w:val="left"/>
              <w:rPr>
                <w:rFonts w:eastAsia="Calibri"/>
                <w:noProof/>
              </w:rPr>
            </w:pPr>
            <w:r w:rsidRPr="00DD39B9">
              <w:rPr>
                <w:noProof/>
              </w:rPr>
              <w:t>15 septembrie 2025</w:t>
            </w:r>
          </w:p>
        </w:tc>
      </w:tr>
      <w:tr w:rsidR="001A62D7" w:rsidRPr="00DD39B9" w:rsidTr="008D3AFF">
        <w:tc>
          <w:tcPr>
            <w:tcW w:w="4908" w:type="dxa"/>
            <w:tcBorders>
              <w:top w:val="dotted" w:sz="4" w:space="0" w:color="auto"/>
              <w:bottom w:val="dotted" w:sz="4" w:space="0" w:color="auto"/>
            </w:tcBorders>
            <w:shd w:val="clear" w:color="auto" w:fill="auto"/>
          </w:tcPr>
          <w:p w:rsidR="001A62D7" w:rsidRPr="00DD39B9" w:rsidRDefault="001A62D7" w:rsidP="001D5990">
            <w:pPr>
              <w:spacing w:before="60" w:after="60"/>
              <w:jc w:val="left"/>
              <w:rPr>
                <w:rFonts w:eastAsia="Calibri"/>
                <w:noProof/>
              </w:rPr>
            </w:pPr>
            <w:r w:rsidRPr="00DD39B9">
              <w:rPr>
                <w:noProof/>
              </w:rPr>
              <w:t>Data cererii de informații suplimentare</w:t>
            </w:r>
          </w:p>
        </w:tc>
        <w:tc>
          <w:tcPr>
            <w:tcW w:w="4379" w:type="dxa"/>
            <w:tcBorders>
              <w:top w:val="dotted" w:sz="4" w:space="0" w:color="auto"/>
              <w:bottom w:val="dotted" w:sz="4" w:space="0" w:color="auto"/>
            </w:tcBorders>
            <w:shd w:val="clear" w:color="auto" w:fill="auto"/>
          </w:tcPr>
          <w:p w:rsidR="001A62D7" w:rsidRPr="00DD39B9" w:rsidRDefault="00804C62" w:rsidP="001D5990">
            <w:pPr>
              <w:spacing w:before="60" w:after="60"/>
              <w:ind w:rightChars="192" w:right="461"/>
              <w:jc w:val="left"/>
              <w:rPr>
                <w:rFonts w:eastAsia="Calibri"/>
                <w:noProof/>
              </w:rPr>
            </w:pPr>
            <w:r w:rsidRPr="00DD39B9">
              <w:rPr>
                <w:noProof/>
              </w:rPr>
              <w:t>28 octombrie 2025</w:t>
            </w:r>
          </w:p>
        </w:tc>
      </w:tr>
      <w:tr w:rsidR="001A62D7" w:rsidRPr="00DD39B9" w:rsidTr="008D3AFF">
        <w:tc>
          <w:tcPr>
            <w:tcW w:w="4908" w:type="dxa"/>
            <w:tcBorders>
              <w:top w:val="dotted" w:sz="4" w:space="0" w:color="auto"/>
              <w:bottom w:val="dotted" w:sz="4" w:space="0" w:color="auto"/>
            </w:tcBorders>
            <w:shd w:val="clear" w:color="auto" w:fill="auto"/>
          </w:tcPr>
          <w:p w:rsidR="001A62D7" w:rsidRPr="00DD39B9" w:rsidRDefault="001A62D7" w:rsidP="001D5990">
            <w:pPr>
              <w:spacing w:before="60" w:after="60"/>
              <w:jc w:val="left"/>
              <w:rPr>
                <w:rFonts w:eastAsia="Calibri"/>
                <w:noProof/>
              </w:rPr>
            </w:pPr>
            <w:r w:rsidRPr="00DD39B9">
              <w:rPr>
                <w:noProof/>
              </w:rPr>
              <w:t>Termenul pentru furnizarea informațiilor suplimentare</w:t>
            </w:r>
          </w:p>
        </w:tc>
        <w:tc>
          <w:tcPr>
            <w:tcW w:w="4379" w:type="dxa"/>
            <w:tcBorders>
              <w:top w:val="dotted" w:sz="4" w:space="0" w:color="auto"/>
              <w:bottom w:val="dotted" w:sz="4" w:space="0" w:color="auto"/>
            </w:tcBorders>
            <w:shd w:val="clear" w:color="auto" w:fill="auto"/>
          </w:tcPr>
          <w:p w:rsidR="001A62D7" w:rsidRPr="00DD39B9" w:rsidRDefault="00E94002" w:rsidP="001D5990">
            <w:pPr>
              <w:spacing w:before="60" w:after="60"/>
              <w:ind w:rightChars="192" w:right="461"/>
              <w:jc w:val="left"/>
              <w:rPr>
                <w:rFonts w:eastAsia="Calibri"/>
                <w:noProof/>
              </w:rPr>
            </w:pPr>
            <w:r w:rsidRPr="00DD39B9">
              <w:rPr>
                <w:noProof/>
              </w:rPr>
              <w:t>18 noiembrie 2025</w:t>
            </w:r>
          </w:p>
        </w:tc>
      </w:tr>
      <w:tr w:rsidR="001A62D7" w:rsidRPr="00DD39B9" w:rsidTr="008D3AFF">
        <w:tc>
          <w:tcPr>
            <w:tcW w:w="4908" w:type="dxa"/>
            <w:tcBorders>
              <w:top w:val="dotted" w:sz="4" w:space="0" w:color="auto"/>
            </w:tcBorders>
            <w:shd w:val="clear" w:color="auto" w:fill="auto"/>
          </w:tcPr>
          <w:p w:rsidR="001A62D7" w:rsidRPr="00DD39B9" w:rsidRDefault="001A62D7" w:rsidP="001D5990">
            <w:pPr>
              <w:spacing w:before="60" w:after="60"/>
              <w:jc w:val="left"/>
              <w:rPr>
                <w:rFonts w:eastAsia="Calibri"/>
                <w:noProof/>
              </w:rPr>
            </w:pPr>
            <w:r w:rsidRPr="00DD39B9">
              <w:rPr>
                <w:noProof/>
              </w:rPr>
              <w:t>Termenul pentru finalizarea evaluării</w:t>
            </w:r>
          </w:p>
        </w:tc>
        <w:tc>
          <w:tcPr>
            <w:tcW w:w="4379" w:type="dxa"/>
            <w:tcBorders>
              <w:top w:val="dotted" w:sz="4" w:space="0" w:color="auto"/>
            </w:tcBorders>
            <w:shd w:val="clear" w:color="auto" w:fill="auto"/>
          </w:tcPr>
          <w:p w:rsidR="001A62D7" w:rsidRPr="00DD39B9" w:rsidRDefault="00E94002" w:rsidP="001D5990">
            <w:pPr>
              <w:spacing w:before="60" w:after="60"/>
              <w:ind w:rightChars="192" w:right="461"/>
              <w:jc w:val="left"/>
              <w:rPr>
                <w:rFonts w:eastAsia="Calibri"/>
                <w:noProof/>
              </w:rPr>
            </w:pPr>
            <w:r w:rsidRPr="00DD39B9">
              <w:rPr>
                <w:noProof/>
              </w:rPr>
              <w:t>6 februarie 2026</w:t>
            </w:r>
          </w:p>
        </w:tc>
      </w:tr>
      <w:tr w:rsidR="001A62D7" w:rsidRPr="00DD39B9" w:rsidTr="008D3AFF">
        <w:tc>
          <w:tcPr>
            <w:tcW w:w="4908" w:type="dxa"/>
            <w:shd w:val="clear" w:color="auto" w:fill="auto"/>
          </w:tcPr>
          <w:p w:rsidR="001A62D7" w:rsidRPr="00DD39B9" w:rsidRDefault="001A62D7" w:rsidP="001D5990">
            <w:pPr>
              <w:spacing w:before="60" w:after="60"/>
              <w:jc w:val="left"/>
              <w:rPr>
                <w:rFonts w:eastAsia="Calibri"/>
                <w:noProof/>
              </w:rPr>
            </w:pPr>
            <w:r w:rsidRPr="00DD39B9">
              <w:rPr>
                <w:noProof/>
              </w:rPr>
              <w:t>Criteriul de intervenție</w:t>
            </w:r>
          </w:p>
        </w:tc>
        <w:tc>
          <w:tcPr>
            <w:tcW w:w="4379" w:type="dxa"/>
            <w:shd w:val="clear" w:color="auto" w:fill="auto"/>
          </w:tcPr>
          <w:p w:rsidR="001A62D7" w:rsidRPr="00DD39B9" w:rsidRDefault="001A62D7" w:rsidP="001D5990">
            <w:pPr>
              <w:spacing w:before="60" w:after="60"/>
              <w:ind w:rightChars="192" w:right="461"/>
              <w:jc w:val="left"/>
              <w:rPr>
                <w:rFonts w:eastAsia="Calibri"/>
                <w:noProof/>
              </w:rPr>
            </w:pPr>
            <w:r w:rsidRPr="00DD39B9">
              <w:rPr>
                <w:noProof/>
              </w:rPr>
              <w:t>Articolul 4 alineatul (2) litera (a) din Regulamentul (UE) 2021/691</w:t>
            </w:r>
          </w:p>
        </w:tc>
      </w:tr>
      <w:tr w:rsidR="001A62D7" w:rsidRPr="00DD39B9" w:rsidTr="008D3AFF">
        <w:tc>
          <w:tcPr>
            <w:tcW w:w="4908" w:type="dxa"/>
            <w:tcBorders>
              <w:top w:val="single" w:sz="4" w:space="0" w:color="auto"/>
              <w:bottom w:val="single" w:sz="4" w:space="0" w:color="auto"/>
              <w:right w:val="single" w:sz="4" w:space="0" w:color="auto"/>
            </w:tcBorders>
            <w:shd w:val="clear" w:color="auto" w:fill="auto"/>
          </w:tcPr>
          <w:p w:rsidR="001A62D7" w:rsidRPr="00DD39B9" w:rsidRDefault="001A62D7" w:rsidP="001D5990">
            <w:pPr>
              <w:spacing w:before="60" w:after="60"/>
              <w:jc w:val="left"/>
              <w:rPr>
                <w:rFonts w:eastAsia="Calibri"/>
                <w:noProof/>
              </w:rPr>
            </w:pPr>
            <w:r w:rsidRPr="00DD39B9">
              <w:rPr>
                <w:noProof/>
              </w:rPr>
              <w:br w:type="page"/>
              <w:t>Întreprinderea principală</w:t>
            </w:r>
          </w:p>
        </w:tc>
        <w:tc>
          <w:tcPr>
            <w:tcW w:w="4379" w:type="dxa"/>
            <w:tcBorders>
              <w:top w:val="single" w:sz="4" w:space="0" w:color="auto"/>
              <w:left w:val="single" w:sz="4" w:space="0" w:color="auto"/>
              <w:bottom w:val="single" w:sz="4" w:space="0" w:color="auto"/>
            </w:tcBorders>
            <w:shd w:val="clear" w:color="auto" w:fill="auto"/>
          </w:tcPr>
          <w:p w:rsidR="001A62D7" w:rsidRPr="00DD39B9" w:rsidRDefault="00C13DC3" w:rsidP="001D5990">
            <w:pPr>
              <w:spacing w:before="60" w:after="60"/>
              <w:ind w:rightChars="192" w:right="461"/>
              <w:jc w:val="left"/>
              <w:rPr>
                <w:noProof/>
                <w:szCs w:val="24"/>
              </w:rPr>
            </w:pPr>
            <w:r w:rsidRPr="00DD39B9">
              <w:rPr>
                <w:noProof/>
              </w:rPr>
              <w:t>KTM (KTM Gruppe</w:t>
            </w:r>
            <w:r w:rsidRPr="00DD39B9">
              <w:rPr>
                <w:rStyle w:val="FootnoteReference"/>
                <w:noProof/>
              </w:rPr>
              <w:footnoteReference w:id="3"/>
            </w:r>
            <w:r w:rsidRPr="00DD39B9">
              <w:rPr>
                <w:noProof/>
              </w:rPr>
              <w:t>)</w:t>
            </w:r>
          </w:p>
        </w:tc>
      </w:tr>
      <w:tr w:rsidR="001A62D7" w:rsidRPr="00DD39B9" w:rsidTr="008D3AFF">
        <w:tc>
          <w:tcPr>
            <w:tcW w:w="4908" w:type="dxa"/>
            <w:shd w:val="clear" w:color="auto" w:fill="auto"/>
          </w:tcPr>
          <w:p w:rsidR="001A62D7" w:rsidRPr="00DD39B9" w:rsidRDefault="001A62D7" w:rsidP="001D5990">
            <w:pPr>
              <w:spacing w:before="60" w:after="60"/>
              <w:jc w:val="left"/>
              <w:rPr>
                <w:rFonts w:eastAsia="Calibri"/>
                <w:noProof/>
              </w:rPr>
            </w:pPr>
            <w:r w:rsidRPr="00DD39B9">
              <w:rPr>
                <w:noProof/>
              </w:rPr>
              <w:t>Sectorul (sectoarele) de activitate economică</w:t>
            </w:r>
          </w:p>
          <w:p w:rsidR="001A62D7" w:rsidRPr="00DD39B9" w:rsidRDefault="001A62D7" w:rsidP="001D5990">
            <w:pPr>
              <w:spacing w:before="60" w:after="60"/>
              <w:jc w:val="left"/>
              <w:rPr>
                <w:rFonts w:eastAsia="Calibri"/>
                <w:noProof/>
              </w:rPr>
            </w:pPr>
            <w:r w:rsidRPr="00DD39B9">
              <w:rPr>
                <w:noProof/>
              </w:rPr>
              <w:t>(Diviziunea NACE Rev. 2)</w:t>
            </w:r>
            <w:r w:rsidRPr="00DD39B9">
              <w:rPr>
                <w:rStyle w:val="FootnoteReference"/>
                <w:noProof/>
                <w:szCs w:val="24"/>
              </w:rPr>
              <w:footnoteReference w:id="4"/>
            </w:r>
          </w:p>
        </w:tc>
        <w:tc>
          <w:tcPr>
            <w:tcW w:w="4379" w:type="dxa"/>
            <w:shd w:val="clear" w:color="auto" w:fill="auto"/>
          </w:tcPr>
          <w:p w:rsidR="001A62D7" w:rsidRPr="00DD39B9" w:rsidRDefault="001A62D7" w:rsidP="001D5990">
            <w:pPr>
              <w:spacing w:before="60" w:after="60"/>
              <w:ind w:rightChars="192" w:right="461"/>
              <w:jc w:val="left"/>
              <w:rPr>
                <w:noProof/>
                <w:szCs w:val="24"/>
              </w:rPr>
            </w:pPr>
            <w:r w:rsidRPr="00DD39B9">
              <w:rPr>
                <w:noProof/>
              </w:rPr>
              <w:t>Diviziunea 30 (Fabricarea altor echipamente de transport)</w:t>
            </w:r>
          </w:p>
        </w:tc>
      </w:tr>
      <w:tr w:rsidR="008D3AFF" w:rsidRPr="00DD39B9" w:rsidTr="008D3AFF">
        <w:tc>
          <w:tcPr>
            <w:tcW w:w="4908" w:type="dxa"/>
            <w:tcBorders>
              <w:bottom w:val="single" w:sz="4" w:space="0" w:color="auto"/>
            </w:tcBorders>
            <w:shd w:val="clear" w:color="auto" w:fill="auto"/>
          </w:tcPr>
          <w:p w:rsidR="008D3AFF" w:rsidRPr="00DD39B9" w:rsidRDefault="008D3AFF" w:rsidP="001D5990">
            <w:pPr>
              <w:spacing w:before="60" w:after="60"/>
              <w:jc w:val="left"/>
              <w:rPr>
                <w:rFonts w:eastAsia="Calibri"/>
                <w:noProof/>
              </w:rPr>
            </w:pPr>
            <w:r w:rsidRPr="00DD39B9">
              <w:rPr>
                <w:noProof/>
              </w:rPr>
              <w:t>Perioada de referință (patru luni):</w:t>
            </w:r>
          </w:p>
        </w:tc>
        <w:tc>
          <w:tcPr>
            <w:tcW w:w="4379" w:type="dxa"/>
            <w:tcBorders>
              <w:bottom w:val="single" w:sz="4" w:space="0" w:color="auto"/>
            </w:tcBorders>
            <w:shd w:val="clear" w:color="auto" w:fill="auto"/>
          </w:tcPr>
          <w:p w:rsidR="008D3AFF" w:rsidRPr="00DD39B9" w:rsidRDefault="008D3AFF" w:rsidP="001D5990">
            <w:pPr>
              <w:spacing w:before="60" w:after="60"/>
              <w:ind w:rightChars="192" w:right="461"/>
              <w:jc w:val="left"/>
              <w:rPr>
                <w:rFonts w:eastAsia="Calibri"/>
                <w:noProof/>
              </w:rPr>
            </w:pPr>
            <w:r w:rsidRPr="00DD39B9">
              <w:rPr>
                <w:noProof/>
              </w:rPr>
              <w:t>25 februarie 2025 – 25 iunie 2025</w:t>
            </w:r>
          </w:p>
        </w:tc>
      </w:tr>
      <w:tr w:rsidR="008D3AFF" w:rsidRPr="00DD39B9" w:rsidTr="008D3AFF">
        <w:tc>
          <w:tcPr>
            <w:tcW w:w="4908" w:type="dxa"/>
            <w:tcBorders>
              <w:bottom w:val="dotted" w:sz="4" w:space="0" w:color="auto"/>
            </w:tcBorders>
            <w:shd w:val="clear" w:color="auto" w:fill="auto"/>
          </w:tcPr>
          <w:p w:rsidR="008D3AFF" w:rsidRPr="00DD39B9" w:rsidRDefault="008D3AFF" w:rsidP="001D5990">
            <w:pPr>
              <w:spacing w:before="60" w:after="60"/>
              <w:jc w:val="left"/>
              <w:rPr>
                <w:rFonts w:eastAsia="Calibri"/>
                <w:noProof/>
              </w:rPr>
            </w:pPr>
            <w:r w:rsidRPr="00DD39B9">
              <w:rPr>
                <w:noProof/>
              </w:rPr>
              <w:t>Numărul de disponibilizări în perioada de referință (</w:t>
            </w:r>
            <w:r w:rsidRPr="00DD39B9">
              <w:rPr>
                <w:i/>
                <w:noProof/>
              </w:rPr>
              <w:t>a</w:t>
            </w:r>
            <w:r w:rsidRPr="00DD39B9">
              <w:rPr>
                <w:noProof/>
              </w:rPr>
              <w:t>)</w:t>
            </w:r>
          </w:p>
        </w:tc>
        <w:tc>
          <w:tcPr>
            <w:tcW w:w="4379" w:type="dxa"/>
            <w:tcBorders>
              <w:bottom w:val="dotted" w:sz="4" w:space="0" w:color="auto"/>
            </w:tcBorders>
            <w:shd w:val="clear" w:color="auto" w:fill="auto"/>
          </w:tcPr>
          <w:p w:rsidR="008D3AFF" w:rsidRPr="00DD39B9" w:rsidRDefault="008D3AFF" w:rsidP="001D5990">
            <w:pPr>
              <w:spacing w:before="60" w:after="60"/>
              <w:ind w:rightChars="192" w:right="461"/>
              <w:jc w:val="left"/>
              <w:rPr>
                <w:rFonts w:eastAsia="Calibri"/>
                <w:noProof/>
              </w:rPr>
            </w:pPr>
            <w:r w:rsidRPr="00DD39B9">
              <w:rPr>
                <w:noProof/>
              </w:rPr>
              <w:t>233</w:t>
            </w:r>
          </w:p>
        </w:tc>
      </w:tr>
      <w:tr w:rsidR="008D3AFF" w:rsidRPr="00DD39B9" w:rsidTr="008D3AFF">
        <w:tc>
          <w:tcPr>
            <w:tcW w:w="4908" w:type="dxa"/>
            <w:tcBorders>
              <w:top w:val="dotted" w:sz="4" w:space="0" w:color="auto"/>
              <w:bottom w:val="dotted" w:sz="4" w:space="0" w:color="auto"/>
            </w:tcBorders>
            <w:shd w:val="clear" w:color="auto" w:fill="auto"/>
          </w:tcPr>
          <w:p w:rsidR="008D3AFF" w:rsidRPr="00DD39B9" w:rsidRDefault="008D3AFF" w:rsidP="001D5990">
            <w:pPr>
              <w:spacing w:before="60" w:after="60"/>
              <w:jc w:val="left"/>
              <w:rPr>
                <w:rFonts w:eastAsia="Calibri"/>
                <w:noProof/>
                <w:highlight w:val="magenta"/>
              </w:rPr>
            </w:pPr>
            <w:r w:rsidRPr="00DD39B9">
              <w:rPr>
                <w:noProof/>
              </w:rPr>
              <w:t>Numărul de disponibilizări înainte sau după perioada de referință (</w:t>
            </w:r>
            <w:r w:rsidRPr="00DD39B9">
              <w:rPr>
                <w:i/>
                <w:noProof/>
              </w:rPr>
              <w:t>b</w:t>
            </w:r>
            <w:r w:rsidRPr="00DD39B9">
              <w:rPr>
                <w:noProof/>
              </w:rPr>
              <w:t>)</w:t>
            </w:r>
          </w:p>
        </w:tc>
        <w:tc>
          <w:tcPr>
            <w:tcW w:w="4379" w:type="dxa"/>
            <w:tcBorders>
              <w:top w:val="dotted" w:sz="4" w:space="0" w:color="auto"/>
              <w:bottom w:val="dotted" w:sz="4" w:space="0" w:color="auto"/>
            </w:tcBorders>
            <w:shd w:val="clear" w:color="auto" w:fill="auto"/>
          </w:tcPr>
          <w:p w:rsidR="008D3AFF" w:rsidRPr="00DD39B9" w:rsidRDefault="000F7763" w:rsidP="001D5990">
            <w:pPr>
              <w:spacing w:before="60" w:after="60"/>
              <w:ind w:rightChars="192" w:right="461"/>
              <w:jc w:val="left"/>
              <w:rPr>
                <w:rFonts w:eastAsia="Calibri"/>
                <w:noProof/>
                <w:highlight w:val="magenta"/>
              </w:rPr>
            </w:pPr>
            <w:r w:rsidRPr="00DD39B9">
              <w:rPr>
                <w:noProof/>
              </w:rPr>
              <w:t>1 255</w:t>
            </w:r>
          </w:p>
        </w:tc>
      </w:tr>
      <w:tr w:rsidR="008D3AFF" w:rsidRPr="00DD39B9" w:rsidTr="008D3AFF">
        <w:tc>
          <w:tcPr>
            <w:tcW w:w="4908" w:type="dxa"/>
            <w:tcBorders>
              <w:top w:val="dotted" w:sz="4" w:space="0" w:color="auto"/>
              <w:bottom w:val="single" w:sz="4" w:space="0" w:color="auto"/>
            </w:tcBorders>
            <w:shd w:val="clear" w:color="auto" w:fill="auto"/>
          </w:tcPr>
          <w:p w:rsidR="008D3AFF" w:rsidRPr="00DD39B9" w:rsidRDefault="008D3AFF" w:rsidP="001D5990">
            <w:pPr>
              <w:spacing w:before="60" w:after="60"/>
              <w:jc w:val="left"/>
              <w:rPr>
                <w:rFonts w:eastAsia="Calibri"/>
                <w:noProof/>
                <w:highlight w:val="magenta"/>
              </w:rPr>
            </w:pPr>
            <w:r w:rsidRPr="00DD39B9">
              <w:rPr>
                <w:noProof/>
              </w:rPr>
              <w:lastRenderedPageBreak/>
              <w:t>Numărul total de disponibilizări (</w:t>
            </w:r>
            <w:r w:rsidRPr="00DD39B9">
              <w:rPr>
                <w:i/>
                <w:noProof/>
              </w:rPr>
              <w:t>a</w:t>
            </w:r>
            <w:r w:rsidRPr="00DD39B9">
              <w:rPr>
                <w:noProof/>
              </w:rPr>
              <w:t xml:space="preserve"> + </w:t>
            </w:r>
            <w:r w:rsidRPr="00DD39B9">
              <w:rPr>
                <w:i/>
                <w:noProof/>
              </w:rPr>
              <w:t>b</w:t>
            </w:r>
            <w:r w:rsidRPr="00DD39B9">
              <w:rPr>
                <w:noProof/>
              </w:rPr>
              <w:t>)</w:t>
            </w:r>
          </w:p>
        </w:tc>
        <w:tc>
          <w:tcPr>
            <w:tcW w:w="4379" w:type="dxa"/>
            <w:tcBorders>
              <w:top w:val="dotted" w:sz="4" w:space="0" w:color="auto"/>
              <w:bottom w:val="single" w:sz="4" w:space="0" w:color="auto"/>
            </w:tcBorders>
            <w:shd w:val="clear" w:color="auto" w:fill="auto"/>
          </w:tcPr>
          <w:p w:rsidR="008D3AFF" w:rsidRPr="00DD39B9" w:rsidRDefault="008D3AFF" w:rsidP="001D5990">
            <w:pPr>
              <w:spacing w:before="60" w:after="60"/>
              <w:ind w:rightChars="192" w:right="461"/>
              <w:jc w:val="left"/>
              <w:rPr>
                <w:rFonts w:eastAsia="Calibri"/>
                <w:noProof/>
              </w:rPr>
            </w:pPr>
            <w:r w:rsidRPr="00DD39B9">
              <w:rPr>
                <w:noProof/>
              </w:rPr>
              <w:t>1 488</w:t>
            </w:r>
          </w:p>
        </w:tc>
      </w:tr>
      <w:tr w:rsidR="008D3AFF" w:rsidRPr="00DD39B9" w:rsidTr="008D3AFF">
        <w:tc>
          <w:tcPr>
            <w:tcW w:w="4908" w:type="dxa"/>
            <w:tcBorders>
              <w:bottom w:val="dotted" w:sz="4" w:space="0" w:color="auto"/>
            </w:tcBorders>
            <w:shd w:val="clear" w:color="auto" w:fill="auto"/>
          </w:tcPr>
          <w:p w:rsidR="008D3AFF" w:rsidRPr="00DD39B9" w:rsidRDefault="008D3AFF" w:rsidP="001D5990">
            <w:pPr>
              <w:spacing w:before="60" w:after="60"/>
              <w:jc w:val="left"/>
              <w:rPr>
                <w:rFonts w:eastAsia="Calibri"/>
                <w:noProof/>
              </w:rPr>
            </w:pPr>
            <w:r w:rsidRPr="00DD39B9">
              <w:rPr>
                <w:noProof/>
              </w:rPr>
              <w:t>Numărul total de beneficiari eligibili</w:t>
            </w:r>
          </w:p>
        </w:tc>
        <w:tc>
          <w:tcPr>
            <w:tcW w:w="4379" w:type="dxa"/>
            <w:tcBorders>
              <w:bottom w:val="dotted" w:sz="4" w:space="0" w:color="auto"/>
            </w:tcBorders>
            <w:shd w:val="clear" w:color="auto" w:fill="auto"/>
          </w:tcPr>
          <w:p w:rsidR="008D3AFF" w:rsidRPr="00DD39B9" w:rsidRDefault="008D3AFF" w:rsidP="001D5990">
            <w:pPr>
              <w:spacing w:before="60" w:after="60"/>
              <w:ind w:rightChars="192" w:right="461"/>
              <w:jc w:val="left"/>
              <w:rPr>
                <w:rFonts w:eastAsia="Calibri"/>
                <w:noProof/>
              </w:rPr>
            </w:pPr>
            <w:r w:rsidRPr="00DD39B9">
              <w:rPr>
                <w:noProof/>
              </w:rPr>
              <w:t>1 488</w:t>
            </w:r>
          </w:p>
        </w:tc>
      </w:tr>
      <w:tr w:rsidR="008D3AFF" w:rsidRPr="00DD39B9" w:rsidTr="008D3AFF">
        <w:tc>
          <w:tcPr>
            <w:tcW w:w="4908" w:type="dxa"/>
            <w:tcBorders>
              <w:top w:val="dotted" w:sz="4" w:space="0" w:color="auto"/>
              <w:bottom w:val="dotted" w:sz="4" w:space="0" w:color="auto"/>
            </w:tcBorders>
            <w:shd w:val="clear" w:color="auto" w:fill="auto"/>
          </w:tcPr>
          <w:p w:rsidR="008D3AFF" w:rsidRPr="00DD39B9" w:rsidRDefault="008D3AFF" w:rsidP="001D5990">
            <w:pPr>
              <w:spacing w:before="60" w:after="60"/>
              <w:jc w:val="left"/>
              <w:rPr>
                <w:rFonts w:eastAsia="Calibri"/>
                <w:noProof/>
              </w:rPr>
            </w:pPr>
            <w:r w:rsidRPr="00DD39B9">
              <w:rPr>
                <w:noProof/>
              </w:rPr>
              <w:t>Numărul total de beneficiari vizați</w:t>
            </w:r>
          </w:p>
        </w:tc>
        <w:tc>
          <w:tcPr>
            <w:tcW w:w="4379" w:type="dxa"/>
            <w:tcBorders>
              <w:top w:val="dotted" w:sz="4" w:space="0" w:color="auto"/>
              <w:bottom w:val="dotted" w:sz="4" w:space="0" w:color="auto"/>
            </w:tcBorders>
            <w:shd w:val="clear" w:color="auto" w:fill="auto"/>
          </w:tcPr>
          <w:p w:rsidR="008D3AFF" w:rsidRPr="00DD39B9" w:rsidRDefault="000F7763" w:rsidP="001D5990">
            <w:pPr>
              <w:spacing w:before="60" w:after="60"/>
              <w:ind w:rightChars="192" w:right="461"/>
              <w:jc w:val="left"/>
              <w:rPr>
                <w:rFonts w:eastAsia="Calibri"/>
                <w:noProof/>
              </w:rPr>
            </w:pPr>
            <w:r w:rsidRPr="00DD39B9">
              <w:rPr>
                <w:noProof/>
              </w:rPr>
              <w:t>420</w:t>
            </w:r>
          </w:p>
        </w:tc>
      </w:tr>
      <w:tr w:rsidR="008D3AFF" w:rsidRPr="00DD39B9" w:rsidTr="008D3AFF">
        <w:tc>
          <w:tcPr>
            <w:tcW w:w="4908" w:type="dxa"/>
            <w:tcBorders>
              <w:bottom w:val="dotted" w:sz="4" w:space="0" w:color="auto"/>
            </w:tcBorders>
            <w:shd w:val="clear" w:color="auto" w:fill="auto"/>
            <w:vAlign w:val="center"/>
          </w:tcPr>
          <w:p w:rsidR="008D3AFF" w:rsidRPr="00DD39B9" w:rsidRDefault="008D3AFF" w:rsidP="001D5990">
            <w:pPr>
              <w:spacing w:before="60" w:after="60"/>
              <w:jc w:val="left"/>
              <w:rPr>
                <w:rFonts w:eastAsia="Calibri"/>
                <w:noProof/>
              </w:rPr>
            </w:pPr>
            <w:r w:rsidRPr="00DD39B9">
              <w:rPr>
                <w:noProof/>
              </w:rPr>
              <w:t>Bugetul pentru servicii personalizate (EUR)</w:t>
            </w:r>
          </w:p>
        </w:tc>
        <w:tc>
          <w:tcPr>
            <w:tcW w:w="4379" w:type="dxa"/>
            <w:tcBorders>
              <w:bottom w:val="dotted" w:sz="4" w:space="0" w:color="auto"/>
            </w:tcBorders>
            <w:shd w:val="clear" w:color="auto" w:fill="auto"/>
            <w:vAlign w:val="center"/>
          </w:tcPr>
          <w:p w:rsidR="008D3AFF" w:rsidRPr="00DD39B9" w:rsidRDefault="005A0230" w:rsidP="001D5990">
            <w:pPr>
              <w:spacing w:before="60" w:after="60"/>
              <w:ind w:rightChars="192" w:right="461"/>
              <w:jc w:val="left"/>
              <w:rPr>
                <w:rFonts w:eastAsia="Calibri"/>
                <w:noProof/>
              </w:rPr>
            </w:pPr>
            <w:r w:rsidRPr="00DD39B9">
              <w:rPr>
                <w:noProof/>
              </w:rPr>
              <w:t>2 895 120</w:t>
            </w:r>
          </w:p>
        </w:tc>
      </w:tr>
      <w:tr w:rsidR="008D3AFF" w:rsidRPr="00DD39B9" w:rsidTr="008D3AFF">
        <w:tc>
          <w:tcPr>
            <w:tcW w:w="4908" w:type="dxa"/>
            <w:tcBorders>
              <w:top w:val="dotted" w:sz="4" w:space="0" w:color="auto"/>
              <w:bottom w:val="dotted" w:sz="4" w:space="0" w:color="auto"/>
            </w:tcBorders>
            <w:shd w:val="clear" w:color="auto" w:fill="auto"/>
            <w:vAlign w:val="center"/>
          </w:tcPr>
          <w:p w:rsidR="008D3AFF" w:rsidRPr="00DD39B9" w:rsidRDefault="008D3AFF" w:rsidP="001D5990">
            <w:pPr>
              <w:spacing w:before="0" w:after="0"/>
              <w:jc w:val="left"/>
              <w:rPr>
                <w:noProof/>
              </w:rPr>
            </w:pPr>
            <w:r w:rsidRPr="00DD39B9">
              <w:rPr>
                <w:noProof/>
              </w:rPr>
              <w:t>Bugetul pentru implementarea FEG</w:t>
            </w:r>
            <w:r w:rsidRPr="00DD39B9">
              <w:rPr>
                <w:rStyle w:val="FootnoteReference"/>
                <w:noProof/>
              </w:rPr>
              <w:footnoteReference w:id="5"/>
            </w:r>
            <w:r w:rsidRPr="00DD39B9">
              <w:rPr>
                <w:noProof/>
              </w:rPr>
              <w:t xml:space="preserve"> (EUR)</w:t>
            </w:r>
          </w:p>
        </w:tc>
        <w:tc>
          <w:tcPr>
            <w:tcW w:w="4379" w:type="dxa"/>
            <w:tcBorders>
              <w:top w:val="dotted" w:sz="4" w:space="0" w:color="auto"/>
              <w:bottom w:val="dotted" w:sz="4" w:space="0" w:color="auto"/>
            </w:tcBorders>
            <w:shd w:val="clear" w:color="auto" w:fill="auto"/>
            <w:vAlign w:val="center"/>
          </w:tcPr>
          <w:p w:rsidR="008D3AFF" w:rsidRPr="00DD39B9" w:rsidRDefault="00D73296" w:rsidP="001D5990">
            <w:pPr>
              <w:spacing w:before="0" w:after="0"/>
              <w:ind w:rightChars="192" w:right="461"/>
              <w:jc w:val="left"/>
              <w:rPr>
                <w:noProof/>
              </w:rPr>
            </w:pPr>
            <w:r w:rsidRPr="00DD39B9">
              <w:rPr>
                <w:noProof/>
              </w:rPr>
              <w:t>115 920</w:t>
            </w:r>
          </w:p>
        </w:tc>
      </w:tr>
      <w:tr w:rsidR="008D3AFF" w:rsidRPr="00DD39B9" w:rsidTr="008D3AFF">
        <w:tc>
          <w:tcPr>
            <w:tcW w:w="4908" w:type="dxa"/>
            <w:tcBorders>
              <w:top w:val="dotted" w:sz="4" w:space="0" w:color="auto"/>
              <w:bottom w:val="dotted" w:sz="4" w:space="0" w:color="auto"/>
            </w:tcBorders>
            <w:shd w:val="clear" w:color="auto" w:fill="auto"/>
            <w:vAlign w:val="center"/>
          </w:tcPr>
          <w:p w:rsidR="008D3AFF" w:rsidRPr="00DD39B9" w:rsidRDefault="008D3AFF" w:rsidP="001D5990">
            <w:pPr>
              <w:spacing w:before="0" w:after="0"/>
              <w:jc w:val="left"/>
              <w:rPr>
                <w:noProof/>
              </w:rPr>
            </w:pPr>
            <w:r w:rsidRPr="00DD39B9">
              <w:rPr>
                <w:noProof/>
              </w:rPr>
              <w:t>Bugetul total (EUR)</w:t>
            </w:r>
          </w:p>
        </w:tc>
        <w:tc>
          <w:tcPr>
            <w:tcW w:w="4379" w:type="dxa"/>
            <w:tcBorders>
              <w:top w:val="dotted" w:sz="4" w:space="0" w:color="auto"/>
              <w:bottom w:val="dotted" w:sz="4" w:space="0" w:color="auto"/>
            </w:tcBorders>
            <w:shd w:val="clear" w:color="auto" w:fill="auto"/>
            <w:vAlign w:val="center"/>
          </w:tcPr>
          <w:p w:rsidR="008D3AFF" w:rsidRPr="00DD39B9" w:rsidRDefault="00D73296" w:rsidP="001D5990">
            <w:pPr>
              <w:spacing w:before="0" w:after="0"/>
              <w:ind w:rightChars="192" w:right="461"/>
              <w:jc w:val="left"/>
              <w:rPr>
                <w:noProof/>
              </w:rPr>
            </w:pPr>
            <w:r w:rsidRPr="00DD39B9">
              <w:rPr>
                <w:noProof/>
              </w:rPr>
              <w:t>3 011 040</w:t>
            </w:r>
          </w:p>
        </w:tc>
      </w:tr>
      <w:tr w:rsidR="008D3AFF" w:rsidRPr="00DD39B9" w:rsidTr="008D3AFF">
        <w:tc>
          <w:tcPr>
            <w:tcW w:w="4908" w:type="dxa"/>
            <w:tcBorders>
              <w:top w:val="dotted" w:sz="4" w:space="0" w:color="auto"/>
            </w:tcBorders>
            <w:shd w:val="clear" w:color="auto" w:fill="auto"/>
            <w:vAlign w:val="center"/>
          </w:tcPr>
          <w:p w:rsidR="008D3AFF" w:rsidRPr="00DD39B9" w:rsidRDefault="008D3AFF" w:rsidP="001D5990">
            <w:pPr>
              <w:spacing w:before="0" w:after="0"/>
              <w:jc w:val="left"/>
              <w:rPr>
                <w:noProof/>
              </w:rPr>
            </w:pPr>
            <w:r w:rsidRPr="00DD39B9">
              <w:rPr>
                <w:noProof/>
              </w:rPr>
              <w:t>Contribuția FEG (60 %) (EUR)</w:t>
            </w:r>
          </w:p>
        </w:tc>
        <w:tc>
          <w:tcPr>
            <w:tcW w:w="4379" w:type="dxa"/>
            <w:tcBorders>
              <w:top w:val="dotted" w:sz="4" w:space="0" w:color="auto"/>
            </w:tcBorders>
            <w:shd w:val="clear" w:color="auto" w:fill="auto"/>
            <w:vAlign w:val="center"/>
          </w:tcPr>
          <w:p w:rsidR="008D3AFF" w:rsidRPr="00DD39B9" w:rsidRDefault="008D3AFF" w:rsidP="001D5990">
            <w:pPr>
              <w:spacing w:before="0" w:after="0"/>
              <w:ind w:rightChars="192" w:right="461"/>
              <w:jc w:val="left"/>
              <w:rPr>
                <w:noProof/>
              </w:rPr>
            </w:pPr>
            <w:r w:rsidRPr="00DD39B9">
              <w:rPr>
                <w:noProof/>
              </w:rPr>
              <w:t>1 806 624</w:t>
            </w:r>
          </w:p>
        </w:tc>
      </w:tr>
    </w:tbl>
    <w:p w:rsidR="001A62D7" w:rsidRPr="00DD39B9" w:rsidRDefault="001A62D7" w:rsidP="001A62D7">
      <w:pPr>
        <w:pStyle w:val="ManualHeading1"/>
        <w:rPr>
          <w:noProof/>
        </w:rPr>
      </w:pPr>
      <w:r w:rsidRPr="00DD39B9">
        <w:rPr>
          <w:noProof/>
        </w:rPr>
        <w:t>EVALUAREA CERERII</w:t>
      </w:r>
    </w:p>
    <w:p w:rsidR="001A62D7" w:rsidRPr="00DD39B9" w:rsidRDefault="001A62D7" w:rsidP="001A62D7">
      <w:pPr>
        <w:pStyle w:val="ManualHeading2"/>
        <w:rPr>
          <w:noProof/>
        </w:rPr>
      </w:pPr>
      <w:r w:rsidRPr="00DD39B9">
        <w:rPr>
          <w:noProof/>
        </w:rPr>
        <w:t>Procedura</w:t>
      </w:r>
    </w:p>
    <w:p w:rsidR="001A62D7" w:rsidRPr="00DD39B9" w:rsidRDefault="00903D85" w:rsidP="00AE7D04">
      <w:pPr>
        <w:pStyle w:val="ManualNumPar1"/>
        <w:rPr>
          <w:noProof/>
        </w:rPr>
      </w:pPr>
      <w:r>
        <w:rPr>
          <w:noProof/>
        </w:rPr>
        <w:t>4.</w:t>
      </w:r>
      <w:r>
        <w:rPr>
          <w:noProof/>
        </w:rPr>
        <w:tab/>
      </w:r>
      <w:r w:rsidRPr="00DD39B9">
        <w:rPr>
          <w:noProof/>
        </w:rPr>
        <w:t>La 15 septembrie 2025, Austria a depus cererea EGF/2025/005 AT/KTM, încadrându-se în termenul de 12 săptămâni de la data la care au fost îndeplinite criteriile de intervenție stabilite la articolul 4 alineatul (2) litera (a) din Regulamentul (UE) 2021/691. Comisia a confirmat primirea cererii la aceeași dată. Comisia a intrat în posesia traducerii cererii la 14 octombrie 2025 și a solicitat Austriei informații suplimentare până la 28 octombrie 2025. Aceste informații suplimentare au fost furnizate în termen de 15 zile lucrătoare de la data cererii. Termenul de 50 de zile lucrătoare de la data primirii cererii complete, în cursul căruia Comisia trebuie să finalizeze evaluarea conformității cererii cu condițiile de acordare a unei contribuții financiare, expiră la 6 februarie 2026.</w:t>
      </w:r>
    </w:p>
    <w:p w:rsidR="001A62D7" w:rsidRPr="00DD39B9" w:rsidRDefault="001A62D7" w:rsidP="001A62D7">
      <w:pPr>
        <w:pStyle w:val="ManualHeading2"/>
        <w:rPr>
          <w:noProof/>
        </w:rPr>
      </w:pPr>
      <w:r w:rsidRPr="00DD39B9">
        <w:rPr>
          <w:noProof/>
        </w:rPr>
        <w:t>Eligibilitatea cererii</w:t>
      </w:r>
    </w:p>
    <w:p w:rsidR="001A62D7" w:rsidRPr="00DD39B9" w:rsidRDefault="001A62D7" w:rsidP="001A62D7">
      <w:pPr>
        <w:pStyle w:val="ManualHeading3"/>
        <w:rPr>
          <w:noProof/>
        </w:rPr>
      </w:pPr>
      <w:r w:rsidRPr="00DD39B9">
        <w:rPr>
          <w:noProof/>
        </w:rPr>
        <w:t>Întreprinderile și beneficiarii vizați</w:t>
      </w:r>
    </w:p>
    <w:p w:rsidR="001A62D7" w:rsidRPr="00DD39B9" w:rsidRDefault="001A62D7" w:rsidP="00AE7D04">
      <w:pPr>
        <w:pStyle w:val="ManualNumPar1"/>
        <w:rPr>
          <w:noProof/>
          <w:szCs w:val="24"/>
        </w:rPr>
      </w:pPr>
      <w:r>
        <w:rPr>
          <w:noProof/>
        </w:rPr>
        <w:t>5.</w:t>
      </w:r>
      <w:r>
        <w:rPr>
          <w:noProof/>
        </w:rPr>
        <w:tab/>
      </w:r>
      <w:r w:rsidRPr="00DD39B9">
        <w:rPr>
          <w:noProof/>
        </w:rPr>
        <w:t>Cererea se referă la 233 de lucrători disponibilizați a căror activitate a încetat la KTM (KTM Gruppe), în sectorul economic încadrat la diviziunea 30 din NACE Rev. 2 (Fabricarea altor echipamente de transport). Concedierile efectuate de întreprinderea în cauză au avut loc în regiunea de nivel NUTS 2 Austria Superioară (AT31).</w:t>
      </w:r>
    </w:p>
    <w:p w:rsidR="001A62D7" w:rsidRPr="00DD39B9" w:rsidRDefault="001A62D7" w:rsidP="001A62D7">
      <w:pPr>
        <w:pStyle w:val="ManualHeading3"/>
        <w:rPr>
          <w:noProof/>
        </w:rPr>
      </w:pPr>
      <w:r w:rsidRPr="00DD39B9">
        <w:rPr>
          <w:noProof/>
        </w:rPr>
        <w:t>Criteriile de intervenție</w:t>
      </w:r>
    </w:p>
    <w:p w:rsidR="001A62D7" w:rsidRPr="00DD39B9" w:rsidRDefault="008E0E29" w:rsidP="001A62D7">
      <w:pPr>
        <w:pStyle w:val="ManualNumPar1"/>
        <w:rPr>
          <w:noProof/>
        </w:rPr>
      </w:pPr>
      <w:r>
        <w:rPr>
          <w:noProof/>
        </w:rPr>
        <w:t>6.</w:t>
      </w:r>
      <w:r>
        <w:rPr>
          <w:noProof/>
        </w:rPr>
        <w:tab/>
      </w:r>
      <w:r w:rsidRPr="00DD39B9">
        <w:rPr>
          <w:noProof/>
        </w:rPr>
        <w:t>Austria a depus cererea în temeiul criteriilor de intervenție prevăzute la articolul 4 alineatul (2) litera (a) din Regulamentul (UE) 2021/691, care prevede drept condiție încetarea activității a cel puțin 200 de lucrători disponibilizați, într-o perioadă de referință de patru luni, într-o întreprindere dintr-un stat membru, inclusiv lucrători disponibilizați de furnizorii și producătorii din aval și/sau lucrători independenți a căror activitate a încetat.</w:t>
      </w:r>
    </w:p>
    <w:p w:rsidR="001A62D7" w:rsidRPr="00DD39B9" w:rsidRDefault="001A62D7" w:rsidP="001A62D7">
      <w:pPr>
        <w:pStyle w:val="ManualNumPar1"/>
        <w:rPr>
          <w:noProof/>
        </w:rPr>
      </w:pPr>
      <w:r>
        <w:rPr>
          <w:noProof/>
        </w:rPr>
        <w:t>7.</w:t>
      </w:r>
      <w:r>
        <w:rPr>
          <w:noProof/>
        </w:rPr>
        <w:tab/>
      </w:r>
      <w:bookmarkStart w:id="1" w:name="_Ref372189348"/>
      <w:r w:rsidRPr="00DD39B9">
        <w:rPr>
          <w:noProof/>
        </w:rPr>
        <w:t xml:space="preserve">Perioada de referință de patru luni pentru cerere este cuprinsă între 25 februarie 2025 și </w:t>
      </w:r>
      <w:bookmarkEnd w:id="1"/>
      <w:r w:rsidRPr="00DD39B9">
        <w:rPr>
          <w:noProof/>
        </w:rPr>
        <w:t>25 iunie 2025.</w:t>
      </w:r>
    </w:p>
    <w:p w:rsidR="001A62D7" w:rsidRPr="00DD39B9" w:rsidRDefault="001A62D7" w:rsidP="00E34517">
      <w:pPr>
        <w:pStyle w:val="ManualNumPar1"/>
        <w:rPr>
          <w:noProof/>
        </w:rPr>
      </w:pPr>
      <w:r>
        <w:rPr>
          <w:noProof/>
        </w:rPr>
        <w:t>8.</w:t>
      </w:r>
      <w:r>
        <w:rPr>
          <w:noProof/>
        </w:rPr>
        <w:tab/>
      </w:r>
      <w:r w:rsidRPr="00DD39B9">
        <w:rPr>
          <w:noProof/>
        </w:rPr>
        <w:t xml:space="preserve">În perioada de referință, KTM a disponibilizat 233 de lucrători. </w:t>
      </w:r>
    </w:p>
    <w:p w:rsidR="001A62D7" w:rsidRPr="00DD39B9" w:rsidRDefault="001A62D7" w:rsidP="001A62D7">
      <w:pPr>
        <w:pStyle w:val="ManualHeading3"/>
        <w:rPr>
          <w:noProof/>
        </w:rPr>
      </w:pPr>
      <w:r w:rsidRPr="00DD39B9">
        <w:rPr>
          <w:noProof/>
        </w:rPr>
        <w:t>Calcularea disponibilizărilor și a cazurilor de încetare a activității</w:t>
      </w:r>
    </w:p>
    <w:p w:rsidR="001A62D7" w:rsidRPr="00DD39B9" w:rsidRDefault="001A62D7" w:rsidP="001B3907">
      <w:pPr>
        <w:pStyle w:val="ManualNumPar1"/>
        <w:rPr>
          <w:noProof/>
        </w:rPr>
      </w:pPr>
      <w:r>
        <w:rPr>
          <w:noProof/>
        </w:rPr>
        <w:t>9.</w:t>
      </w:r>
      <w:r>
        <w:rPr>
          <w:noProof/>
        </w:rPr>
        <w:tab/>
      </w:r>
      <w:r w:rsidRPr="00DD39B9">
        <w:rPr>
          <w:noProof/>
        </w:rPr>
        <w:t>În temeiul articolului 6 primul paragraf litera (a) coroborat cu articolul 5 primul paragraf din Regulamentul (UE) 2021/691, încetarea activității celor 233 de lucrători disponibilizați în cursul perioadei de referință a fost calculată de la data încetării de facto a contractului de muncă sau de la data expirării acestuia.</w:t>
      </w:r>
    </w:p>
    <w:p w:rsidR="001A62D7" w:rsidRPr="00DD39B9" w:rsidRDefault="001A62D7" w:rsidP="001A62D7">
      <w:pPr>
        <w:pStyle w:val="ManualHeading3"/>
        <w:rPr>
          <w:noProof/>
        </w:rPr>
      </w:pPr>
      <w:r w:rsidRPr="00DD39B9">
        <w:rPr>
          <w:noProof/>
        </w:rPr>
        <w:lastRenderedPageBreak/>
        <w:t>Beneficiari eligibili</w:t>
      </w:r>
    </w:p>
    <w:p w:rsidR="001A62D7" w:rsidRPr="00DD39B9" w:rsidRDefault="001A62D7" w:rsidP="00AE7D04">
      <w:pPr>
        <w:pStyle w:val="ManualNumPar1"/>
        <w:rPr>
          <w:noProof/>
        </w:rPr>
      </w:pPr>
      <w:r>
        <w:rPr>
          <w:noProof/>
        </w:rPr>
        <w:t>10.</w:t>
      </w:r>
      <w:r>
        <w:rPr>
          <w:noProof/>
        </w:rPr>
        <w:tab/>
      </w:r>
      <w:r w:rsidRPr="00DD39B9">
        <w:rPr>
          <w:noProof/>
        </w:rPr>
        <w:t>Pe lângă lucrătorii deja menționați, printre beneficiarii eligibili se numără 1 255 de lucrători disponibilizați a căror activitate a încetat înainte sau după perioada de referință de patru luni. Toți acești lucrători și-au încetat activitatea în cele șase luni anterioare începerii perioadei de referință, la 25 februarie 2025 și/sau între sfârșitul perioadei de referință și ziua anterioară adoptării prezentei propuneri, în conformitate cu articolul 6 primul paragraf litera (b) din Regulamentul (UE) 2021/691, astfel cum se prevede la articolul 6 al doilea paragraf din Regulamentul (UE) 2021/691. Se poate stabili o legătură de cauzalitate clară cu evenimentul care a declanșat încetarea activității lucrătorilor disponibilizați în perioada de referință, astfel cum se prevede la articolul 6 al doilea paragraf din Regulamentul (UE) 2021/691.</w:t>
      </w:r>
    </w:p>
    <w:p w:rsidR="001A62D7" w:rsidRPr="00DD39B9" w:rsidRDefault="001A62D7" w:rsidP="00AE7D04">
      <w:pPr>
        <w:pStyle w:val="ManualNumPar1"/>
        <w:rPr>
          <w:noProof/>
        </w:rPr>
      </w:pPr>
      <w:r>
        <w:rPr>
          <w:noProof/>
        </w:rPr>
        <w:t>11.</w:t>
      </w:r>
      <w:r>
        <w:rPr>
          <w:noProof/>
        </w:rPr>
        <w:tab/>
      </w:r>
      <w:r w:rsidRPr="00DD39B9">
        <w:rPr>
          <w:noProof/>
        </w:rPr>
        <w:t>Numărul total de beneficiari eligibili este de 1 488.</w:t>
      </w:r>
    </w:p>
    <w:p w:rsidR="001A62D7" w:rsidRPr="00DD39B9" w:rsidRDefault="001A62D7" w:rsidP="001A62D7">
      <w:pPr>
        <w:pStyle w:val="ManualHeading3"/>
        <w:rPr>
          <w:noProof/>
        </w:rPr>
      </w:pPr>
      <w:r w:rsidRPr="00DD39B9">
        <w:rPr>
          <w:noProof/>
        </w:rPr>
        <w:t>Descrierea evenimentelor care au determinat disponibilizările și încetarea activității</w:t>
      </w:r>
    </w:p>
    <w:p w:rsidR="004B3046" w:rsidRPr="00DD39B9" w:rsidRDefault="004B3046" w:rsidP="004B3046">
      <w:pPr>
        <w:pStyle w:val="ManualNumPar1"/>
        <w:rPr>
          <w:noProof/>
        </w:rPr>
      </w:pPr>
      <w:r>
        <w:rPr>
          <w:noProof/>
        </w:rPr>
        <w:t>12.</w:t>
      </w:r>
      <w:r>
        <w:rPr>
          <w:noProof/>
        </w:rPr>
        <w:tab/>
      </w:r>
      <w:r w:rsidRPr="00DD39B9">
        <w:rPr>
          <w:noProof/>
        </w:rPr>
        <w:t>Evenimentele care au condus la aceste disponibilizări sunt procedurile de insolvență ale KTM Gruppe.</w:t>
      </w:r>
    </w:p>
    <w:p w:rsidR="00B57600" w:rsidRPr="00DD39B9" w:rsidRDefault="00B57600" w:rsidP="004B3046">
      <w:pPr>
        <w:pStyle w:val="ManualNumPar1"/>
        <w:rPr>
          <w:noProof/>
        </w:rPr>
      </w:pPr>
      <w:r>
        <w:rPr>
          <w:noProof/>
        </w:rPr>
        <w:t>13.</w:t>
      </w:r>
      <w:r>
        <w:rPr>
          <w:noProof/>
        </w:rPr>
        <w:tab/>
      </w:r>
      <w:r w:rsidRPr="00DD39B9">
        <w:rPr>
          <w:noProof/>
        </w:rPr>
        <w:t>KTM era cea mai mare filială a Pierer Mobility AG (90 % din cifra de afaceri a Pierer). În calitate de producător de motociclete, KTM s-a transformat în cel mai mare producător de motociclete din Uniunea Europeană (din 2012). KTM are sediul la Mattighofen, în districtul Braunau din Austria Superioară.</w:t>
      </w:r>
    </w:p>
    <w:p w:rsidR="00B57600" w:rsidRPr="00DD39B9" w:rsidRDefault="00B57600" w:rsidP="004B3046">
      <w:pPr>
        <w:pStyle w:val="ManualNumPar1"/>
        <w:rPr>
          <w:noProof/>
        </w:rPr>
      </w:pPr>
      <w:r>
        <w:rPr>
          <w:noProof/>
        </w:rPr>
        <w:t>14.</w:t>
      </w:r>
      <w:r>
        <w:rPr>
          <w:noProof/>
        </w:rPr>
        <w:tab/>
      </w:r>
      <w:r w:rsidRPr="00DD39B9">
        <w:rPr>
          <w:noProof/>
        </w:rPr>
        <w:t>În decembrie 2023, Pierer a anunțat delocalizarea producției în China și India, ceea ce a dus la un prim val de concedieri care au redus cu 300 locurile de muncă la fabrica Mattighofen. Acest lucru s-a datorat în principal costurilor cu forța de muncă mult mai scăzute din aceste țări. Printre alți factori s-au numărat proximitatea față de piețele de creștere, întrucât cererea în Europa era în scădere, precum și restricțiile mai puțin stricte privind forța de muncă, care permit o ajustare mai flexibilă a nivelurilor de producție la evoluțiile pieței.</w:t>
      </w:r>
    </w:p>
    <w:p w:rsidR="00803184" w:rsidRPr="00DD39B9" w:rsidRDefault="00803184" w:rsidP="00803184">
      <w:pPr>
        <w:pStyle w:val="ManualNumPar1"/>
        <w:rPr>
          <w:noProof/>
        </w:rPr>
      </w:pPr>
      <w:r>
        <w:rPr>
          <w:noProof/>
        </w:rPr>
        <w:t>15.</w:t>
      </w:r>
      <w:r>
        <w:rPr>
          <w:noProof/>
        </w:rPr>
        <w:tab/>
      </w:r>
      <w:r w:rsidRPr="00DD39B9">
        <w:rPr>
          <w:noProof/>
        </w:rPr>
        <w:t>În cursul anului 2024, întreprinderea a intrat într-o criză majoră: vânzările au scăzut cu 29,4 %, ceea ce a dus la un stoc excesiv (265 000 de motociclete în stoc) și la o pierdere de 1,1 miliarde EUR. Datoria KTM a ajuns la 1,642 miliarde EUR. KTM a început reduceri masive ale costurilor, inclusiv disponibilizarea a peste 500 de angajați.</w:t>
      </w:r>
    </w:p>
    <w:p w:rsidR="007A142C" w:rsidRPr="00DD39B9" w:rsidRDefault="008D440E" w:rsidP="007A142C">
      <w:pPr>
        <w:pStyle w:val="ManualNumPar1"/>
        <w:rPr>
          <w:noProof/>
        </w:rPr>
      </w:pPr>
      <w:r>
        <w:rPr>
          <w:noProof/>
        </w:rPr>
        <w:t>16.</w:t>
      </w:r>
      <w:r>
        <w:rPr>
          <w:noProof/>
        </w:rPr>
        <w:tab/>
      </w:r>
      <w:r w:rsidRPr="00DD39B9">
        <w:rPr>
          <w:noProof/>
        </w:rPr>
        <w:t xml:space="preserve">În pofida eforturilor de a transfera producția în India, procedurile de insolvență au fost inevitabile. Procedura de restructurare a început pentru Pierer, cu un plan de restructurare elaborat pentru KTM și entitățile sale afiliate. La 29 noiembrie 2024, KTM a formulat o cerere de deschidere a procedurii de insolvență. KTM și-a încetat prima producție din decembrie 2024 până în martie 2025. Peste 750 de angajați suplimentari au fost concediați. La 25 februarie 2025, creditorii au aprobat un plan de restructurare care le oferea o cotă de 30 % din suma datorată. Cu toate acestea, era necesar ca un investitor să preia KTM și să plătească cota. </w:t>
      </w:r>
    </w:p>
    <w:p w:rsidR="007A142C" w:rsidRPr="00DD39B9" w:rsidRDefault="007A142C" w:rsidP="007A142C">
      <w:pPr>
        <w:pStyle w:val="ManualNumPar1"/>
        <w:rPr>
          <w:noProof/>
        </w:rPr>
      </w:pPr>
      <w:r>
        <w:rPr>
          <w:noProof/>
        </w:rPr>
        <w:t>17.</w:t>
      </w:r>
      <w:r>
        <w:rPr>
          <w:noProof/>
        </w:rPr>
        <w:tab/>
      </w:r>
      <w:r w:rsidRPr="00DD39B9">
        <w:rPr>
          <w:noProof/>
        </w:rPr>
        <w:t>La momentul adunării creditorilor, procedura de insolvență a grupului KTM era cea mai mare din Austria Superioară.</w:t>
      </w:r>
    </w:p>
    <w:p w:rsidR="007A142C" w:rsidRPr="00DD39B9" w:rsidRDefault="007A142C" w:rsidP="007A142C">
      <w:pPr>
        <w:pStyle w:val="ManualNumPar1"/>
        <w:rPr>
          <w:noProof/>
        </w:rPr>
      </w:pPr>
      <w:r>
        <w:rPr>
          <w:noProof/>
        </w:rPr>
        <w:t>18.</w:t>
      </w:r>
      <w:r>
        <w:rPr>
          <w:noProof/>
        </w:rPr>
        <w:tab/>
      </w:r>
      <w:r w:rsidRPr="00DD39B9">
        <w:rPr>
          <w:noProof/>
        </w:rPr>
        <w:t>La 17 martie 2025, producția a fost reluată cu o singură echipă (în loc de o capacitate totală de producție). Restul personalului a lucrat cu program redus de ore, cu salariu redus, pentru a contribui la gestionarea costurilor. Alte concedieri au fost inevitabile. La 28 aprilie 2025, producția a trebuit să fie oprită din nou din cauza deficitelor continue de aprovizionare cu piese și componente.</w:t>
      </w:r>
    </w:p>
    <w:p w:rsidR="00B57600" w:rsidRPr="00DD39B9" w:rsidRDefault="007A142C" w:rsidP="007A142C">
      <w:pPr>
        <w:pStyle w:val="ManualNumPar1"/>
        <w:rPr>
          <w:noProof/>
        </w:rPr>
      </w:pPr>
      <w:r>
        <w:rPr>
          <w:noProof/>
        </w:rPr>
        <w:lastRenderedPageBreak/>
        <w:t>19.</w:t>
      </w:r>
      <w:r>
        <w:rPr>
          <w:noProof/>
        </w:rPr>
        <w:tab/>
      </w:r>
      <w:r w:rsidRPr="00DD39B9">
        <w:rPr>
          <w:noProof/>
        </w:rPr>
        <w:t>În cele din urmă, a fost găsit un investitor. Bajaj Auto International Holdings B.V. a furnizat resursele necesare pentru a asigura continuarea KTM la 22 mai 2025. Plata cotei convenite către creditori a contracarat amenințarea falimentului KTM și riscul ca societatea să fie închisă definitiv. Producția ar putea fi reluată la 28 iulie 2025, continuând în același timp măsurile de austeritate și punând accentul pe eficiența din punctul de vedere al costurilor.</w:t>
      </w:r>
    </w:p>
    <w:p w:rsidR="001A62D7" w:rsidRPr="00DD39B9" w:rsidRDefault="001A62D7" w:rsidP="001A62D7">
      <w:pPr>
        <w:pStyle w:val="ManualHeading3"/>
        <w:tabs>
          <w:tab w:val="clear" w:pos="850"/>
          <w:tab w:val="left" w:pos="0"/>
        </w:tabs>
        <w:ind w:left="0" w:firstLine="0"/>
        <w:rPr>
          <w:noProof/>
        </w:rPr>
      </w:pPr>
      <w:r w:rsidRPr="00DD39B9">
        <w:rPr>
          <w:noProof/>
        </w:rPr>
        <w:t>Impactul preconizat al disponibilizărilor asupra economiei și a ocupării forței de muncă la nivel local, regional sau național</w:t>
      </w:r>
    </w:p>
    <w:p w:rsidR="0053218A" w:rsidRPr="00DD39B9" w:rsidRDefault="0053218A" w:rsidP="0053218A">
      <w:pPr>
        <w:pStyle w:val="ManualNumPar1"/>
        <w:rPr>
          <w:noProof/>
        </w:rPr>
      </w:pPr>
      <w:r>
        <w:rPr>
          <w:noProof/>
        </w:rPr>
        <w:t>20.</w:t>
      </w:r>
      <w:r>
        <w:rPr>
          <w:noProof/>
        </w:rPr>
        <w:tab/>
      </w:r>
      <w:r w:rsidRPr="00DD39B9">
        <w:rPr>
          <w:noProof/>
        </w:rPr>
        <w:t>Insolvența KTM a lovit puternic regiunea din jurul sediului Mattighofen. Având peste 4 000 de angajați direct în Austria Superioară, societatea nu este doar un angajator important, ci și coloana vertebrală economică a multor furnizori și prestatori de servicii. Insolvența a afectat puternic economia regională și a cauzat perturbări grave.</w:t>
      </w:r>
    </w:p>
    <w:p w:rsidR="00850C3F" w:rsidRPr="00DD39B9" w:rsidRDefault="00786CCA" w:rsidP="00850C3F">
      <w:pPr>
        <w:pStyle w:val="ManualNumPar1"/>
        <w:rPr>
          <w:noProof/>
        </w:rPr>
      </w:pPr>
      <w:r>
        <w:rPr>
          <w:noProof/>
        </w:rPr>
        <w:t>21.</w:t>
      </w:r>
      <w:r>
        <w:rPr>
          <w:noProof/>
        </w:rPr>
        <w:tab/>
      </w:r>
      <w:r w:rsidRPr="00DD39B9">
        <w:rPr>
          <w:noProof/>
        </w:rPr>
        <w:t>În consecință, șomajul în districtul Braunau a crescut cu 39,8 % în octombrie 2024 și cu 37,1 % în noiembrie 2024, comparativ cu aceleași luni ale anului precedent.</w:t>
      </w:r>
    </w:p>
    <w:p w:rsidR="00956E59" w:rsidRPr="00DD39B9" w:rsidRDefault="00956E59" w:rsidP="00956E59">
      <w:pPr>
        <w:pStyle w:val="ManualNumPar1"/>
        <w:rPr>
          <w:noProof/>
        </w:rPr>
      </w:pPr>
      <w:r>
        <w:rPr>
          <w:noProof/>
        </w:rPr>
        <w:t>22.</w:t>
      </w:r>
      <w:r>
        <w:rPr>
          <w:noProof/>
        </w:rPr>
        <w:tab/>
      </w:r>
      <w:r w:rsidRPr="00DD39B9">
        <w:rPr>
          <w:noProof/>
        </w:rPr>
        <w:t>În martie 2025, acest lucru a condus la un nivel record al șomajului în districtul Braunau, care a reprezentat cel mai ridicat nivel al șomajului din toate districtele pieței forței de muncă din Austria. Rata șomajului a rămas în mod constant ridicată în 2025.</w:t>
      </w:r>
    </w:p>
    <w:p w:rsidR="001A62D7" w:rsidRPr="00DD39B9" w:rsidRDefault="001A62D7" w:rsidP="00FD72B5">
      <w:pPr>
        <w:pStyle w:val="ManualHeading2"/>
        <w:tabs>
          <w:tab w:val="clear" w:pos="850"/>
          <w:tab w:val="left" w:pos="0"/>
        </w:tabs>
        <w:ind w:left="0" w:firstLine="0"/>
        <w:rPr>
          <w:noProof/>
        </w:rPr>
      </w:pPr>
      <w:r w:rsidRPr="00DD39B9">
        <w:rPr>
          <w:noProof/>
        </w:rPr>
        <w:t>Aplicarea Cadrului de calitate al UE pentru anticiparea schimbărilor și restructurare (QFR)</w:t>
      </w:r>
    </w:p>
    <w:p w:rsidR="00D06962" w:rsidRPr="00DD39B9" w:rsidRDefault="00E34517" w:rsidP="008A5C12">
      <w:pPr>
        <w:pStyle w:val="ManualNumPar1"/>
        <w:rPr>
          <w:noProof/>
        </w:rPr>
      </w:pPr>
      <w:r>
        <w:rPr>
          <w:noProof/>
        </w:rPr>
        <w:t>23.</w:t>
      </w:r>
      <w:r>
        <w:rPr>
          <w:noProof/>
        </w:rPr>
        <w:tab/>
      </w:r>
      <w:r w:rsidRPr="00DD39B9">
        <w:rPr>
          <w:noProof/>
        </w:rPr>
        <w:t>Austria a descris modul în care au fost luate în considerare recomandările prevăzute în Cadrul de calitate al UE pentru anticiparea schimbărilor și a restructurării. În Austria, întreprinderile care efectuează concedieri nu sunt obligate, nici prin lege, nici prin contracte colective de muncă, să instituie sau să participe la un program de ocupare a forței de muncă sau la alte măsuri de sprijinire a lucrătorilor afectați. Cu toate acestea, întreprinderea în cauză poate cofinanța în mod voluntar o fundație pentru plasarea forței de muncă responsabilă de măsurile din cadrul unui program de ocupare a forței de muncă</w:t>
      </w:r>
      <w:r w:rsidRPr="00DD39B9">
        <w:rPr>
          <w:rStyle w:val="FootnoteReference"/>
          <w:noProof/>
        </w:rPr>
        <w:footnoteReference w:id="6"/>
      </w:r>
      <w:r w:rsidRPr="00DD39B9">
        <w:rPr>
          <w:noProof/>
        </w:rPr>
        <w:t>.</w:t>
      </w:r>
    </w:p>
    <w:p w:rsidR="000302C2" w:rsidRPr="00DD39B9" w:rsidRDefault="00210498" w:rsidP="000302C2">
      <w:pPr>
        <w:pStyle w:val="ManualNumPar1"/>
        <w:rPr>
          <w:noProof/>
        </w:rPr>
      </w:pPr>
      <w:r>
        <w:rPr>
          <w:noProof/>
        </w:rPr>
        <w:t>24.</w:t>
      </w:r>
      <w:r>
        <w:rPr>
          <w:noProof/>
        </w:rPr>
        <w:tab/>
      </w:r>
      <w:r w:rsidRPr="00DD39B9">
        <w:rPr>
          <w:noProof/>
        </w:rPr>
        <w:t>KTM AG se afla în procedură de insolvență în perioada în cauză și, prin urmare, nu a putut contribui la o fundație pentru plasarea forței de muncă.</w:t>
      </w:r>
    </w:p>
    <w:p w:rsidR="001A62D7" w:rsidRPr="00DD39B9" w:rsidRDefault="001A62D7" w:rsidP="00AE7D04">
      <w:pPr>
        <w:pStyle w:val="ManualNumPar1"/>
        <w:rPr>
          <w:noProof/>
        </w:rPr>
      </w:pPr>
      <w:r>
        <w:rPr>
          <w:noProof/>
        </w:rPr>
        <w:t>25.</w:t>
      </w:r>
      <w:r>
        <w:rPr>
          <w:noProof/>
        </w:rPr>
        <w:tab/>
      </w:r>
      <w:r w:rsidRPr="00DD39B9">
        <w:rPr>
          <w:noProof/>
        </w:rPr>
        <w:t>În ceea ce privește activitățile întreprinse pentru a sprijini lucrătorii disponibilizați, Austria a raportat că, imediat după notificarea cererii de insolvență a KTM, Serviciul public de ocupare a forței de muncă din Austria Superioară a început să ofere consiliere lucrătorilor afectați și, împreună cu provincia Austria Superioară, a decis să înființeze și să prefinanțeze în mod voluntar o fundație pentru insolvență și să solicite asistență din partea FEG.</w:t>
      </w:r>
    </w:p>
    <w:p w:rsidR="001A62D7" w:rsidRPr="00DD39B9" w:rsidRDefault="001A62D7" w:rsidP="001A62D7">
      <w:pPr>
        <w:pStyle w:val="ManualHeading3"/>
        <w:rPr>
          <w:noProof/>
        </w:rPr>
      </w:pPr>
      <w:r w:rsidRPr="00DD39B9">
        <w:rPr>
          <w:noProof/>
        </w:rPr>
        <w:t>Complementaritatea cu acțiuni finanțate din fonduri naționale sau din fonduri ale Uniunii</w:t>
      </w:r>
    </w:p>
    <w:p w:rsidR="001A62D7" w:rsidRPr="00DD39B9" w:rsidRDefault="001B3907" w:rsidP="00AE7D04">
      <w:pPr>
        <w:pStyle w:val="ManualNumPar1"/>
        <w:rPr>
          <w:noProof/>
        </w:rPr>
      </w:pPr>
      <w:r>
        <w:rPr>
          <w:noProof/>
        </w:rPr>
        <w:t>26.</w:t>
      </w:r>
      <w:r>
        <w:rPr>
          <w:noProof/>
        </w:rPr>
        <w:tab/>
      </w:r>
      <w:r w:rsidRPr="00DD39B9">
        <w:rPr>
          <w:noProof/>
        </w:rPr>
        <w:t>Austria a confirmat faptul că măsurile descrise mai jos care primesc o contribuție financiară din partea FEG nu vor beneficia și de contribuții financiare din partea altor instrumente financiare ale Uniunii.</w:t>
      </w:r>
    </w:p>
    <w:p w:rsidR="001A62D7" w:rsidRPr="00DD39B9" w:rsidRDefault="001A62D7" w:rsidP="00AE7D04">
      <w:pPr>
        <w:pStyle w:val="ManualNumPar1"/>
        <w:rPr>
          <w:noProof/>
        </w:rPr>
      </w:pPr>
      <w:r>
        <w:rPr>
          <w:noProof/>
        </w:rPr>
        <w:lastRenderedPageBreak/>
        <w:t>27.</w:t>
      </w:r>
      <w:r>
        <w:rPr>
          <w:noProof/>
        </w:rPr>
        <w:tab/>
      </w:r>
      <w:r w:rsidRPr="00DD39B9">
        <w:rPr>
          <w:noProof/>
        </w:rPr>
        <w:t>Pachetul coordonat de servicii personalizate completează acțiunile finanțate prin alte fonduri naționale.</w:t>
      </w:r>
    </w:p>
    <w:p w:rsidR="001A62D7" w:rsidRPr="00DD39B9" w:rsidRDefault="001A62D7" w:rsidP="001A62D7">
      <w:pPr>
        <w:pStyle w:val="ManualHeading3"/>
        <w:tabs>
          <w:tab w:val="clear" w:pos="850"/>
          <w:tab w:val="left" w:pos="0"/>
        </w:tabs>
        <w:ind w:left="0" w:firstLine="0"/>
        <w:rPr>
          <w:noProof/>
          <w:u w:val="single"/>
        </w:rPr>
      </w:pPr>
      <w:r w:rsidRPr="00DD39B9">
        <w:rPr>
          <w:noProof/>
        </w:rPr>
        <w:t>Proceduri de consultare a beneficiarilor vizați sau a reprezentanților acestora ori a partenerilor sociali, precum și a autorităților locale și regionale</w:t>
      </w:r>
    </w:p>
    <w:p w:rsidR="002B2961" w:rsidRPr="00DD39B9" w:rsidRDefault="001B3907" w:rsidP="004F3E46">
      <w:pPr>
        <w:pStyle w:val="ManualNumPar1"/>
        <w:rPr>
          <w:noProof/>
        </w:rPr>
      </w:pPr>
      <w:r>
        <w:rPr>
          <w:noProof/>
        </w:rPr>
        <w:t>28.</w:t>
      </w:r>
      <w:r>
        <w:rPr>
          <w:noProof/>
        </w:rPr>
        <w:tab/>
      </w:r>
      <w:r w:rsidRPr="00DD39B9">
        <w:rPr>
          <w:noProof/>
        </w:rPr>
        <w:t>Austria a indicat că pachetul coordonat de servicii personalizate a fost elaborat în consultare cu partenerii sociali, în conformitate cu articolul 7 alineatul (4) din Regulamentul (UE) 2021/691. Cererea de insolvență formulată de KTM a fost depusă la 29 noiembrie 2024. La 5 decembrie 2024, a avut loc prima reuniune de coordonare cu reprezentanții provinciei Austria Superioară și cu partenerii sociali cu privire la înființarea unei fundații pentru insolvență.</w:t>
      </w:r>
    </w:p>
    <w:p w:rsidR="00983C14" w:rsidRPr="00DD39B9" w:rsidRDefault="00983C14" w:rsidP="004F3E46">
      <w:pPr>
        <w:pStyle w:val="ManualNumPar1"/>
        <w:rPr>
          <w:noProof/>
        </w:rPr>
      </w:pPr>
      <w:r>
        <w:rPr>
          <w:noProof/>
        </w:rPr>
        <w:t>29.</w:t>
      </w:r>
      <w:r>
        <w:rPr>
          <w:noProof/>
        </w:rPr>
        <w:tab/>
      </w:r>
      <w:r w:rsidRPr="00DD39B9">
        <w:rPr>
          <w:noProof/>
        </w:rPr>
        <w:t>În cadrul procedurii de recunoaștere a fundației pentru insolvență desfășurate de serviciul public de ocupare a forței de muncă din Austria Superioară, au fost consultați partenerii sociali, în calitate de reprezentanți ai economiei locale și lucrătorii în cauză</w:t>
      </w:r>
      <w:r w:rsidRPr="00DD39B9">
        <w:rPr>
          <w:rStyle w:val="FootnoteReference"/>
          <w:noProof/>
        </w:rPr>
        <w:footnoteReference w:id="7"/>
      </w:r>
      <w:r w:rsidRPr="00DD39B9">
        <w:rPr>
          <w:noProof/>
        </w:rPr>
        <w:t>. Toți actorii au aprobat înființarea fundației pentru insolvență. Partenerii sociali au fost informați ulterior cu privire la cererea de mobilizare a FEG de către Serviciul privind piața muncii din Austria Superioară.</w:t>
      </w:r>
    </w:p>
    <w:p w:rsidR="004F3E46" w:rsidRPr="00DD39B9" w:rsidRDefault="00983C14" w:rsidP="004F3E46">
      <w:pPr>
        <w:pStyle w:val="ManualNumPar1"/>
        <w:rPr>
          <w:noProof/>
        </w:rPr>
      </w:pPr>
      <w:r>
        <w:rPr>
          <w:noProof/>
        </w:rPr>
        <w:t>30.</w:t>
      </w:r>
      <w:r>
        <w:rPr>
          <w:noProof/>
        </w:rPr>
        <w:tab/>
      </w:r>
      <w:r w:rsidRPr="00DD39B9">
        <w:rPr>
          <w:noProof/>
        </w:rPr>
        <w:t>Participarea la fundația pentru insolvență este voluntară pentru lucrătorii afectați. Măsurile sunt orientate către cei care au nevoie de asistență cuprinzătoare și aprofundată.</w:t>
      </w:r>
    </w:p>
    <w:p w:rsidR="001A62D7" w:rsidRPr="00DD39B9" w:rsidRDefault="001A62D7" w:rsidP="004F3E46">
      <w:pPr>
        <w:pStyle w:val="ManualHeading2"/>
        <w:ind w:left="0" w:firstLine="0"/>
        <w:rPr>
          <w:noProof/>
        </w:rPr>
      </w:pPr>
      <w:r w:rsidRPr="00DD39B9">
        <w:rPr>
          <w:noProof/>
        </w:rPr>
        <w:t>Beneficiarii vizați și măsurile propuse</w:t>
      </w:r>
    </w:p>
    <w:p w:rsidR="001A62D7" w:rsidRPr="00DD39B9" w:rsidRDefault="001A62D7" w:rsidP="001A62D7">
      <w:pPr>
        <w:pStyle w:val="ManualHeading3"/>
        <w:rPr>
          <w:noProof/>
        </w:rPr>
      </w:pPr>
      <w:r w:rsidRPr="00DD39B9">
        <w:rPr>
          <w:noProof/>
        </w:rPr>
        <w:t>Beneficiarii vizați</w:t>
      </w:r>
    </w:p>
    <w:p w:rsidR="001A62D7" w:rsidRPr="00DD39B9" w:rsidRDefault="001A62D7" w:rsidP="00AE7D04">
      <w:pPr>
        <w:pStyle w:val="ManualNumPar1"/>
        <w:rPr>
          <w:noProof/>
        </w:rPr>
      </w:pPr>
      <w:r>
        <w:rPr>
          <w:noProof/>
        </w:rPr>
        <w:t>31.</w:t>
      </w:r>
      <w:r>
        <w:rPr>
          <w:noProof/>
        </w:rPr>
        <w:tab/>
      </w:r>
      <w:r w:rsidRPr="00DD39B9">
        <w:rPr>
          <w:noProof/>
        </w:rPr>
        <w:t>Se estimează că numărul lucrătorilor disponibilizați care vor beneficia de măsuri va fi de 420. În conformitate cu articolul 8 alineatul (7) litera (f) din Regulamentul (UE) 2021/691, defalcarea acestor lucrători în funcție de gen, grupă de vârstă și nivel de studii este următoarea:</w:t>
      </w:r>
    </w:p>
    <w:tbl>
      <w:tblPr>
        <w:tblW w:w="0" w:type="auto"/>
        <w:jc w:val="center"/>
        <w:tblLook w:val="04A0" w:firstRow="1" w:lastRow="0" w:firstColumn="1" w:lastColumn="0" w:noHBand="0" w:noVBand="1"/>
      </w:tblPr>
      <w:tblGrid>
        <w:gridCol w:w="1496"/>
        <w:gridCol w:w="2063"/>
        <w:gridCol w:w="1176"/>
        <w:gridCol w:w="1176"/>
      </w:tblGrid>
      <w:tr w:rsidR="001A62D7" w:rsidRPr="00DD39B9" w:rsidTr="001D5990">
        <w:trPr>
          <w:jc w:val="center"/>
        </w:trPr>
        <w:tc>
          <w:tcPr>
            <w:tcW w:w="3559" w:type="dxa"/>
            <w:gridSpan w:val="2"/>
            <w:tcBorders>
              <w:top w:val="single" w:sz="4" w:space="0" w:color="auto"/>
              <w:left w:val="nil"/>
              <w:bottom w:val="single" w:sz="4" w:space="0" w:color="auto"/>
              <w:right w:val="nil"/>
            </w:tcBorders>
            <w:hideMark/>
          </w:tcPr>
          <w:p w:rsidR="001A62D7" w:rsidRPr="00DD39B9" w:rsidRDefault="001A62D7" w:rsidP="001D5990">
            <w:pPr>
              <w:spacing w:before="60" w:after="60"/>
              <w:jc w:val="center"/>
              <w:rPr>
                <w:noProof/>
              </w:rPr>
            </w:pPr>
            <w:r w:rsidRPr="00DD39B9">
              <w:rPr>
                <w:noProof/>
              </w:rPr>
              <w:t>Categorie</w:t>
            </w:r>
          </w:p>
        </w:tc>
        <w:tc>
          <w:tcPr>
            <w:tcW w:w="2352" w:type="dxa"/>
            <w:gridSpan w:val="2"/>
            <w:tcBorders>
              <w:top w:val="single" w:sz="4" w:space="0" w:color="auto"/>
              <w:left w:val="nil"/>
              <w:bottom w:val="single" w:sz="4" w:space="0" w:color="auto"/>
              <w:right w:val="nil"/>
            </w:tcBorders>
            <w:hideMark/>
          </w:tcPr>
          <w:p w:rsidR="001A62D7" w:rsidRPr="00DD39B9" w:rsidRDefault="001A62D7" w:rsidP="001D5990">
            <w:pPr>
              <w:spacing w:before="60" w:after="60"/>
              <w:jc w:val="center"/>
              <w:rPr>
                <w:noProof/>
              </w:rPr>
            </w:pPr>
            <w:r w:rsidRPr="00DD39B9">
              <w:rPr>
                <w:noProof/>
              </w:rPr>
              <w:t xml:space="preserve">Numărul </w:t>
            </w:r>
            <w:r w:rsidRPr="00DD39B9">
              <w:rPr>
                <w:noProof/>
              </w:rPr>
              <w:br/>
              <w:t>beneficiarilor preconizați</w:t>
            </w:r>
          </w:p>
        </w:tc>
      </w:tr>
      <w:tr w:rsidR="001A62D7" w:rsidRPr="00DD39B9" w:rsidTr="001D5990">
        <w:trPr>
          <w:jc w:val="center"/>
        </w:trPr>
        <w:tc>
          <w:tcPr>
            <w:tcW w:w="1496" w:type="dxa"/>
            <w:tcBorders>
              <w:top w:val="single" w:sz="4" w:space="0" w:color="auto"/>
              <w:left w:val="nil"/>
              <w:right w:val="nil"/>
            </w:tcBorders>
            <w:hideMark/>
          </w:tcPr>
          <w:p w:rsidR="001A62D7" w:rsidRPr="00DD39B9" w:rsidRDefault="001A62D7" w:rsidP="001D5990">
            <w:pPr>
              <w:spacing w:before="60" w:after="60"/>
              <w:rPr>
                <w:noProof/>
              </w:rPr>
            </w:pPr>
            <w:r w:rsidRPr="00DD39B9">
              <w:rPr>
                <w:noProof/>
              </w:rPr>
              <w:t>Gen:</w:t>
            </w:r>
          </w:p>
        </w:tc>
        <w:tc>
          <w:tcPr>
            <w:tcW w:w="2063" w:type="dxa"/>
            <w:tcBorders>
              <w:top w:val="single" w:sz="4" w:space="0" w:color="auto"/>
              <w:left w:val="nil"/>
              <w:right w:val="nil"/>
            </w:tcBorders>
            <w:hideMark/>
          </w:tcPr>
          <w:p w:rsidR="001A62D7" w:rsidRPr="00DD39B9" w:rsidRDefault="001A62D7" w:rsidP="001D5990">
            <w:pPr>
              <w:spacing w:before="60" w:after="60"/>
              <w:rPr>
                <w:noProof/>
              </w:rPr>
            </w:pPr>
            <w:r w:rsidRPr="00DD39B9">
              <w:rPr>
                <w:noProof/>
              </w:rPr>
              <w:t>Bărbați:</w:t>
            </w:r>
          </w:p>
        </w:tc>
        <w:tc>
          <w:tcPr>
            <w:tcW w:w="1176" w:type="dxa"/>
            <w:tcBorders>
              <w:top w:val="single" w:sz="4" w:space="0" w:color="auto"/>
              <w:left w:val="nil"/>
              <w:right w:val="nil"/>
            </w:tcBorders>
            <w:hideMark/>
          </w:tcPr>
          <w:p w:rsidR="001A62D7" w:rsidRPr="00DD39B9" w:rsidRDefault="000F7763" w:rsidP="001D5990">
            <w:pPr>
              <w:spacing w:before="60" w:after="60"/>
              <w:jc w:val="right"/>
              <w:rPr>
                <w:noProof/>
              </w:rPr>
            </w:pPr>
            <w:r w:rsidRPr="00DD39B9">
              <w:rPr>
                <w:noProof/>
              </w:rPr>
              <w:t>279</w:t>
            </w:r>
          </w:p>
        </w:tc>
        <w:tc>
          <w:tcPr>
            <w:tcW w:w="1176" w:type="dxa"/>
            <w:tcBorders>
              <w:top w:val="single" w:sz="4" w:space="0" w:color="auto"/>
              <w:left w:val="nil"/>
              <w:right w:val="nil"/>
            </w:tcBorders>
            <w:hideMark/>
          </w:tcPr>
          <w:p w:rsidR="001A62D7" w:rsidRPr="00DD39B9" w:rsidRDefault="001A62D7" w:rsidP="001D5990">
            <w:pPr>
              <w:spacing w:before="60" w:after="60"/>
              <w:jc w:val="right"/>
              <w:rPr>
                <w:noProof/>
              </w:rPr>
            </w:pPr>
            <w:r w:rsidRPr="00DD39B9">
              <w:rPr>
                <w:noProof/>
              </w:rPr>
              <w:t>(66,4 %)</w:t>
            </w:r>
          </w:p>
        </w:tc>
      </w:tr>
      <w:tr w:rsidR="001A62D7" w:rsidRPr="00DD39B9" w:rsidTr="001D5990">
        <w:trPr>
          <w:jc w:val="center"/>
        </w:trPr>
        <w:tc>
          <w:tcPr>
            <w:tcW w:w="1496" w:type="dxa"/>
            <w:tcBorders>
              <w:top w:val="nil"/>
              <w:left w:val="nil"/>
              <w:right w:val="nil"/>
            </w:tcBorders>
          </w:tcPr>
          <w:p w:rsidR="001A62D7" w:rsidRPr="00DD39B9" w:rsidRDefault="001A62D7" w:rsidP="001D5990">
            <w:pPr>
              <w:spacing w:before="60" w:after="60"/>
              <w:rPr>
                <w:noProof/>
              </w:rPr>
            </w:pPr>
          </w:p>
        </w:tc>
        <w:tc>
          <w:tcPr>
            <w:tcW w:w="2063" w:type="dxa"/>
            <w:tcBorders>
              <w:top w:val="nil"/>
              <w:left w:val="nil"/>
              <w:right w:val="nil"/>
            </w:tcBorders>
          </w:tcPr>
          <w:p w:rsidR="001A62D7" w:rsidRPr="00DD39B9" w:rsidRDefault="001A62D7" w:rsidP="001D5990">
            <w:pPr>
              <w:spacing w:before="60" w:after="60"/>
              <w:rPr>
                <w:rFonts w:eastAsia="Calibri"/>
                <w:noProof/>
              </w:rPr>
            </w:pPr>
            <w:r w:rsidRPr="00DD39B9">
              <w:rPr>
                <w:noProof/>
              </w:rPr>
              <w:t>Femei:</w:t>
            </w:r>
          </w:p>
        </w:tc>
        <w:tc>
          <w:tcPr>
            <w:tcW w:w="1176" w:type="dxa"/>
          </w:tcPr>
          <w:p w:rsidR="001A62D7" w:rsidRPr="00DD39B9" w:rsidRDefault="000F7763" w:rsidP="001D5990">
            <w:pPr>
              <w:spacing w:before="60" w:after="60"/>
              <w:jc w:val="right"/>
              <w:rPr>
                <w:noProof/>
              </w:rPr>
            </w:pPr>
            <w:r w:rsidRPr="00DD39B9">
              <w:rPr>
                <w:noProof/>
              </w:rPr>
              <w:t>141</w:t>
            </w:r>
          </w:p>
        </w:tc>
        <w:tc>
          <w:tcPr>
            <w:tcW w:w="1176" w:type="dxa"/>
          </w:tcPr>
          <w:p w:rsidR="001A62D7" w:rsidRPr="00DD39B9" w:rsidRDefault="001A62D7" w:rsidP="001D5990">
            <w:pPr>
              <w:spacing w:before="60" w:after="60"/>
              <w:jc w:val="right"/>
              <w:rPr>
                <w:rFonts w:eastAsia="Calibri"/>
                <w:noProof/>
              </w:rPr>
            </w:pPr>
            <w:r w:rsidRPr="00DD39B9">
              <w:rPr>
                <w:noProof/>
              </w:rPr>
              <w:t>(33,6 %)</w:t>
            </w:r>
          </w:p>
        </w:tc>
      </w:tr>
      <w:tr w:rsidR="001A62D7" w:rsidRPr="00DD39B9" w:rsidTr="001D5990">
        <w:trPr>
          <w:jc w:val="center"/>
        </w:trPr>
        <w:tc>
          <w:tcPr>
            <w:tcW w:w="1496" w:type="dxa"/>
            <w:tcBorders>
              <w:left w:val="nil"/>
              <w:bottom w:val="single" w:sz="4" w:space="0" w:color="auto"/>
              <w:right w:val="nil"/>
            </w:tcBorders>
          </w:tcPr>
          <w:p w:rsidR="001A62D7" w:rsidRPr="00DD39B9" w:rsidRDefault="001A62D7" w:rsidP="001D5990">
            <w:pPr>
              <w:spacing w:before="60" w:after="60"/>
              <w:rPr>
                <w:noProof/>
              </w:rPr>
            </w:pPr>
          </w:p>
        </w:tc>
        <w:tc>
          <w:tcPr>
            <w:tcW w:w="2063" w:type="dxa"/>
            <w:tcBorders>
              <w:left w:val="nil"/>
              <w:bottom w:val="single" w:sz="4" w:space="0" w:color="auto"/>
              <w:right w:val="nil"/>
            </w:tcBorders>
          </w:tcPr>
          <w:p w:rsidR="001A62D7" w:rsidRPr="00DD39B9" w:rsidRDefault="001A62D7" w:rsidP="001D5990">
            <w:pPr>
              <w:spacing w:before="60" w:after="60"/>
              <w:rPr>
                <w:noProof/>
              </w:rPr>
            </w:pPr>
            <w:r w:rsidRPr="00DD39B9">
              <w:rPr>
                <w:noProof/>
              </w:rPr>
              <w:t>Persoane non-binare</w:t>
            </w:r>
          </w:p>
        </w:tc>
        <w:tc>
          <w:tcPr>
            <w:tcW w:w="1176" w:type="dxa"/>
            <w:tcBorders>
              <w:bottom w:val="single" w:sz="4" w:space="0" w:color="auto"/>
            </w:tcBorders>
            <w:hideMark/>
          </w:tcPr>
          <w:p w:rsidR="001A62D7" w:rsidRPr="00DD39B9" w:rsidRDefault="00885CA2" w:rsidP="001D5990">
            <w:pPr>
              <w:spacing w:before="60" w:after="60"/>
              <w:jc w:val="right"/>
              <w:rPr>
                <w:noProof/>
              </w:rPr>
            </w:pPr>
            <w:r w:rsidRPr="00DD39B9">
              <w:rPr>
                <w:noProof/>
              </w:rPr>
              <w:t>0</w:t>
            </w:r>
          </w:p>
        </w:tc>
        <w:tc>
          <w:tcPr>
            <w:tcW w:w="1176" w:type="dxa"/>
            <w:tcBorders>
              <w:bottom w:val="single" w:sz="4" w:space="0" w:color="auto"/>
            </w:tcBorders>
            <w:hideMark/>
          </w:tcPr>
          <w:p w:rsidR="001A62D7" w:rsidRPr="00DD39B9" w:rsidRDefault="001A62D7" w:rsidP="001D5990">
            <w:pPr>
              <w:spacing w:before="60" w:after="60"/>
              <w:jc w:val="right"/>
              <w:rPr>
                <w:noProof/>
              </w:rPr>
            </w:pPr>
            <w:r w:rsidRPr="00DD39B9">
              <w:rPr>
                <w:noProof/>
              </w:rPr>
              <w:t>(0 %)</w:t>
            </w:r>
          </w:p>
        </w:tc>
      </w:tr>
      <w:tr w:rsidR="001A62D7" w:rsidRPr="00DD39B9" w:rsidTr="001D5990">
        <w:trPr>
          <w:jc w:val="center"/>
        </w:trPr>
        <w:tc>
          <w:tcPr>
            <w:tcW w:w="1496" w:type="dxa"/>
            <w:tcBorders>
              <w:top w:val="single" w:sz="4" w:space="0" w:color="auto"/>
              <w:left w:val="nil"/>
              <w:bottom w:val="nil"/>
              <w:right w:val="nil"/>
            </w:tcBorders>
            <w:hideMark/>
          </w:tcPr>
          <w:p w:rsidR="001A62D7" w:rsidRPr="00DD39B9" w:rsidRDefault="001A62D7" w:rsidP="001D5990">
            <w:pPr>
              <w:spacing w:before="60" w:after="60"/>
              <w:rPr>
                <w:noProof/>
              </w:rPr>
            </w:pPr>
            <w:r w:rsidRPr="00DD39B9">
              <w:rPr>
                <w:noProof/>
              </w:rPr>
              <w:t>Grupa de vârstă:</w:t>
            </w:r>
          </w:p>
        </w:tc>
        <w:tc>
          <w:tcPr>
            <w:tcW w:w="2063" w:type="dxa"/>
            <w:tcBorders>
              <w:top w:val="single" w:sz="4" w:space="0" w:color="auto"/>
              <w:left w:val="nil"/>
              <w:bottom w:val="nil"/>
              <w:right w:val="nil"/>
            </w:tcBorders>
            <w:hideMark/>
          </w:tcPr>
          <w:p w:rsidR="001A62D7" w:rsidRPr="00DD39B9" w:rsidRDefault="001A62D7" w:rsidP="001D5990">
            <w:pPr>
              <w:spacing w:before="60" w:after="60"/>
              <w:rPr>
                <w:noProof/>
              </w:rPr>
            </w:pPr>
            <w:r w:rsidRPr="00DD39B9">
              <w:rPr>
                <w:noProof/>
              </w:rPr>
              <w:t>Sub 30 de ani:</w:t>
            </w:r>
          </w:p>
        </w:tc>
        <w:tc>
          <w:tcPr>
            <w:tcW w:w="1176" w:type="dxa"/>
            <w:tcBorders>
              <w:top w:val="single" w:sz="4" w:space="0" w:color="auto"/>
            </w:tcBorders>
            <w:hideMark/>
          </w:tcPr>
          <w:p w:rsidR="001A62D7" w:rsidRPr="00DD39B9" w:rsidRDefault="000F7763" w:rsidP="001D5990">
            <w:pPr>
              <w:spacing w:before="60" w:after="60"/>
              <w:jc w:val="right"/>
              <w:rPr>
                <w:noProof/>
              </w:rPr>
            </w:pPr>
            <w:r w:rsidRPr="00DD39B9">
              <w:rPr>
                <w:noProof/>
              </w:rPr>
              <w:t>67</w:t>
            </w:r>
          </w:p>
        </w:tc>
        <w:tc>
          <w:tcPr>
            <w:tcW w:w="1176" w:type="dxa"/>
            <w:tcBorders>
              <w:top w:val="single" w:sz="4" w:space="0" w:color="auto"/>
            </w:tcBorders>
            <w:hideMark/>
          </w:tcPr>
          <w:p w:rsidR="001A62D7" w:rsidRPr="00DD39B9" w:rsidRDefault="001A62D7" w:rsidP="001D5990">
            <w:pPr>
              <w:spacing w:before="60" w:after="60"/>
              <w:jc w:val="right"/>
              <w:rPr>
                <w:noProof/>
              </w:rPr>
            </w:pPr>
            <w:r w:rsidRPr="00DD39B9">
              <w:rPr>
                <w:noProof/>
              </w:rPr>
              <w:t>(16 %)</w:t>
            </w:r>
          </w:p>
        </w:tc>
      </w:tr>
      <w:tr w:rsidR="001A62D7" w:rsidRPr="00DD39B9" w:rsidTr="001D5990">
        <w:trPr>
          <w:jc w:val="center"/>
        </w:trPr>
        <w:tc>
          <w:tcPr>
            <w:tcW w:w="1496" w:type="dxa"/>
          </w:tcPr>
          <w:p w:rsidR="001A62D7" w:rsidRPr="00DD39B9" w:rsidRDefault="001A62D7" w:rsidP="001D5990">
            <w:pPr>
              <w:spacing w:before="60" w:after="60"/>
              <w:rPr>
                <w:noProof/>
              </w:rPr>
            </w:pPr>
          </w:p>
        </w:tc>
        <w:tc>
          <w:tcPr>
            <w:tcW w:w="2063" w:type="dxa"/>
            <w:hideMark/>
          </w:tcPr>
          <w:p w:rsidR="001A62D7" w:rsidRPr="00DD39B9" w:rsidRDefault="001A62D7" w:rsidP="001D5990">
            <w:pPr>
              <w:spacing w:before="60" w:after="60"/>
              <w:rPr>
                <w:noProof/>
              </w:rPr>
            </w:pPr>
            <w:r w:rsidRPr="00DD39B9">
              <w:rPr>
                <w:noProof/>
              </w:rPr>
              <w:t>30-54 de ani:</w:t>
            </w:r>
          </w:p>
        </w:tc>
        <w:tc>
          <w:tcPr>
            <w:tcW w:w="1176" w:type="dxa"/>
            <w:hideMark/>
          </w:tcPr>
          <w:p w:rsidR="001A62D7" w:rsidRPr="00DD39B9" w:rsidRDefault="000F7763" w:rsidP="001D5990">
            <w:pPr>
              <w:spacing w:before="60" w:after="60"/>
              <w:jc w:val="right"/>
              <w:rPr>
                <w:noProof/>
              </w:rPr>
            </w:pPr>
            <w:r w:rsidRPr="00DD39B9">
              <w:rPr>
                <w:noProof/>
              </w:rPr>
              <w:t>311</w:t>
            </w:r>
          </w:p>
        </w:tc>
        <w:tc>
          <w:tcPr>
            <w:tcW w:w="1176" w:type="dxa"/>
            <w:hideMark/>
          </w:tcPr>
          <w:p w:rsidR="001A62D7" w:rsidRPr="00DD39B9" w:rsidRDefault="001A62D7" w:rsidP="001D5990">
            <w:pPr>
              <w:spacing w:before="60" w:after="60"/>
              <w:jc w:val="right"/>
              <w:rPr>
                <w:noProof/>
              </w:rPr>
            </w:pPr>
            <w:r w:rsidRPr="00DD39B9">
              <w:rPr>
                <w:noProof/>
              </w:rPr>
              <w:t>(15 %)</w:t>
            </w:r>
          </w:p>
        </w:tc>
      </w:tr>
      <w:tr w:rsidR="001A62D7" w:rsidRPr="00DD39B9" w:rsidTr="001D5990">
        <w:trPr>
          <w:jc w:val="center"/>
        </w:trPr>
        <w:tc>
          <w:tcPr>
            <w:tcW w:w="1496" w:type="dxa"/>
          </w:tcPr>
          <w:p w:rsidR="001A62D7" w:rsidRPr="00DD39B9" w:rsidRDefault="001A62D7" w:rsidP="001D5990">
            <w:pPr>
              <w:spacing w:before="60" w:after="60"/>
              <w:rPr>
                <w:noProof/>
              </w:rPr>
            </w:pPr>
          </w:p>
        </w:tc>
        <w:tc>
          <w:tcPr>
            <w:tcW w:w="2063" w:type="dxa"/>
            <w:hideMark/>
          </w:tcPr>
          <w:p w:rsidR="001A62D7" w:rsidRPr="00DD39B9" w:rsidRDefault="001A62D7" w:rsidP="001D5990">
            <w:pPr>
              <w:spacing w:before="60" w:after="60"/>
              <w:jc w:val="left"/>
              <w:rPr>
                <w:noProof/>
              </w:rPr>
            </w:pPr>
            <w:r w:rsidRPr="00DD39B9">
              <w:rPr>
                <w:noProof/>
              </w:rPr>
              <w:t>Peste 54 de ani:</w:t>
            </w:r>
          </w:p>
        </w:tc>
        <w:tc>
          <w:tcPr>
            <w:tcW w:w="1176" w:type="dxa"/>
            <w:hideMark/>
          </w:tcPr>
          <w:p w:rsidR="001A62D7" w:rsidRPr="00DD39B9" w:rsidRDefault="00885CA2" w:rsidP="001D5990">
            <w:pPr>
              <w:spacing w:before="60" w:after="60"/>
              <w:jc w:val="right"/>
              <w:rPr>
                <w:noProof/>
              </w:rPr>
            </w:pPr>
            <w:r w:rsidRPr="00DD39B9">
              <w:rPr>
                <w:noProof/>
              </w:rPr>
              <w:t>42</w:t>
            </w:r>
          </w:p>
        </w:tc>
        <w:tc>
          <w:tcPr>
            <w:tcW w:w="1176" w:type="dxa"/>
            <w:hideMark/>
          </w:tcPr>
          <w:p w:rsidR="001A62D7" w:rsidRPr="00DD39B9" w:rsidRDefault="001A62D7" w:rsidP="001D5990">
            <w:pPr>
              <w:spacing w:before="60" w:after="60"/>
              <w:jc w:val="right"/>
              <w:rPr>
                <w:noProof/>
              </w:rPr>
            </w:pPr>
            <w:r w:rsidRPr="00DD39B9">
              <w:rPr>
                <w:noProof/>
              </w:rPr>
              <w:t>(10 %)</w:t>
            </w:r>
          </w:p>
        </w:tc>
      </w:tr>
      <w:tr w:rsidR="001A62D7" w:rsidRPr="00DD39B9" w:rsidTr="001D5990">
        <w:trPr>
          <w:jc w:val="center"/>
        </w:trPr>
        <w:tc>
          <w:tcPr>
            <w:tcW w:w="1496" w:type="dxa"/>
            <w:tcBorders>
              <w:top w:val="single" w:sz="4" w:space="0" w:color="auto"/>
              <w:left w:val="nil"/>
              <w:bottom w:val="nil"/>
              <w:right w:val="nil"/>
            </w:tcBorders>
          </w:tcPr>
          <w:p w:rsidR="001A62D7" w:rsidRPr="00DD39B9" w:rsidRDefault="001A62D7" w:rsidP="001D5990">
            <w:pPr>
              <w:spacing w:before="60" w:after="60"/>
              <w:rPr>
                <w:noProof/>
              </w:rPr>
            </w:pPr>
            <w:r w:rsidRPr="00DD39B9">
              <w:rPr>
                <w:noProof/>
              </w:rPr>
              <w:t>Nivelul de instruire</w:t>
            </w:r>
          </w:p>
        </w:tc>
        <w:tc>
          <w:tcPr>
            <w:tcW w:w="2063" w:type="dxa"/>
            <w:tcBorders>
              <w:top w:val="single" w:sz="4" w:space="0" w:color="auto"/>
              <w:left w:val="nil"/>
              <w:bottom w:val="nil"/>
              <w:right w:val="nil"/>
            </w:tcBorders>
          </w:tcPr>
          <w:p w:rsidR="001A62D7" w:rsidRPr="00DD39B9" w:rsidRDefault="001A62D7" w:rsidP="001D5990">
            <w:pPr>
              <w:spacing w:before="60" w:after="60"/>
              <w:rPr>
                <w:noProof/>
              </w:rPr>
            </w:pPr>
            <w:r w:rsidRPr="00DD39B9">
              <w:rPr>
                <w:noProof/>
              </w:rPr>
              <w:t>Învățământ secundar inferior sau sub acest nivel</w:t>
            </w:r>
            <w:r w:rsidRPr="00DD39B9">
              <w:rPr>
                <w:rStyle w:val="FootnoteReference"/>
                <w:noProof/>
              </w:rPr>
              <w:footnoteReference w:id="8"/>
            </w:r>
            <w:r w:rsidRPr="00DD39B9">
              <w:rPr>
                <w:noProof/>
              </w:rPr>
              <w:t xml:space="preserve"> </w:t>
            </w:r>
          </w:p>
        </w:tc>
        <w:tc>
          <w:tcPr>
            <w:tcW w:w="1176" w:type="dxa"/>
            <w:tcBorders>
              <w:top w:val="single" w:sz="4" w:space="0" w:color="auto"/>
              <w:left w:val="nil"/>
              <w:bottom w:val="nil"/>
              <w:right w:val="nil"/>
            </w:tcBorders>
          </w:tcPr>
          <w:p w:rsidR="001A62D7" w:rsidRPr="00DD39B9" w:rsidRDefault="000F7763" w:rsidP="001D5990">
            <w:pPr>
              <w:spacing w:before="60" w:after="60"/>
              <w:jc w:val="right"/>
              <w:rPr>
                <w:noProof/>
              </w:rPr>
            </w:pPr>
            <w:r w:rsidRPr="00DD39B9">
              <w:rPr>
                <w:noProof/>
              </w:rPr>
              <w:t>90</w:t>
            </w:r>
          </w:p>
        </w:tc>
        <w:tc>
          <w:tcPr>
            <w:tcW w:w="1176" w:type="dxa"/>
            <w:tcBorders>
              <w:top w:val="single" w:sz="4" w:space="0" w:color="auto"/>
              <w:left w:val="nil"/>
              <w:bottom w:val="nil"/>
              <w:right w:val="nil"/>
            </w:tcBorders>
          </w:tcPr>
          <w:p w:rsidR="001A62D7" w:rsidRPr="00DD39B9" w:rsidRDefault="001A62D7" w:rsidP="001D5990">
            <w:pPr>
              <w:spacing w:before="60" w:after="60"/>
              <w:jc w:val="right"/>
              <w:rPr>
                <w:rFonts w:eastAsia="Calibri"/>
                <w:noProof/>
              </w:rPr>
            </w:pPr>
            <w:r w:rsidRPr="00DD39B9">
              <w:rPr>
                <w:noProof/>
              </w:rPr>
              <w:t>(21,4 %)</w:t>
            </w:r>
          </w:p>
        </w:tc>
      </w:tr>
      <w:tr w:rsidR="001A62D7" w:rsidRPr="00DD39B9" w:rsidTr="001D5990">
        <w:trPr>
          <w:jc w:val="center"/>
        </w:trPr>
        <w:tc>
          <w:tcPr>
            <w:tcW w:w="1496" w:type="dxa"/>
            <w:tcBorders>
              <w:top w:val="nil"/>
              <w:left w:val="nil"/>
              <w:right w:val="nil"/>
            </w:tcBorders>
          </w:tcPr>
          <w:p w:rsidR="001A62D7" w:rsidRPr="00DD39B9" w:rsidRDefault="001A62D7" w:rsidP="001D5990">
            <w:pPr>
              <w:spacing w:before="60" w:after="60"/>
              <w:rPr>
                <w:noProof/>
              </w:rPr>
            </w:pPr>
          </w:p>
        </w:tc>
        <w:tc>
          <w:tcPr>
            <w:tcW w:w="2063" w:type="dxa"/>
            <w:tcBorders>
              <w:top w:val="nil"/>
              <w:left w:val="nil"/>
              <w:right w:val="nil"/>
            </w:tcBorders>
          </w:tcPr>
          <w:p w:rsidR="001A62D7" w:rsidRPr="00DD39B9" w:rsidRDefault="001A62D7" w:rsidP="001D5990">
            <w:pPr>
              <w:spacing w:before="60" w:after="60"/>
              <w:rPr>
                <w:noProof/>
              </w:rPr>
            </w:pPr>
            <w:r w:rsidRPr="00DD39B9">
              <w:rPr>
                <w:noProof/>
              </w:rPr>
              <w:t>Învățământ liceal</w:t>
            </w:r>
            <w:r w:rsidRPr="00DD39B9">
              <w:rPr>
                <w:rStyle w:val="FootnoteReference"/>
                <w:noProof/>
              </w:rPr>
              <w:footnoteReference w:id="9"/>
            </w:r>
            <w:r w:rsidRPr="00DD39B9">
              <w:rPr>
                <w:noProof/>
              </w:rPr>
              <w:t xml:space="preserve"> sau postliceal</w:t>
            </w:r>
            <w:r w:rsidRPr="00DD39B9">
              <w:rPr>
                <w:rStyle w:val="FootnoteReference"/>
                <w:noProof/>
              </w:rPr>
              <w:footnoteReference w:id="10"/>
            </w:r>
          </w:p>
        </w:tc>
        <w:tc>
          <w:tcPr>
            <w:tcW w:w="1176" w:type="dxa"/>
            <w:tcBorders>
              <w:top w:val="nil"/>
              <w:left w:val="nil"/>
              <w:right w:val="nil"/>
            </w:tcBorders>
          </w:tcPr>
          <w:p w:rsidR="001A62D7" w:rsidRPr="00DD39B9" w:rsidRDefault="000F7763" w:rsidP="001D5990">
            <w:pPr>
              <w:spacing w:before="60" w:after="60"/>
              <w:jc w:val="right"/>
              <w:rPr>
                <w:noProof/>
              </w:rPr>
            </w:pPr>
            <w:r w:rsidRPr="00DD39B9">
              <w:rPr>
                <w:noProof/>
              </w:rPr>
              <w:t>173</w:t>
            </w:r>
          </w:p>
        </w:tc>
        <w:tc>
          <w:tcPr>
            <w:tcW w:w="1176" w:type="dxa"/>
            <w:tcBorders>
              <w:top w:val="nil"/>
              <w:left w:val="nil"/>
              <w:right w:val="nil"/>
            </w:tcBorders>
          </w:tcPr>
          <w:p w:rsidR="001A62D7" w:rsidRPr="00DD39B9" w:rsidRDefault="001A62D7" w:rsidP="001D5990">
            <w:pPr>
              <w:spacing w:before="60" w:after="60"/>
              <w:jc w:val="right"/>
              <w:rPr>
                <w:rFonts w:eastAsia="Calibri"/>
                <w:noProof/>
              </w:rPr>
            </w:pPr>
            <w:r w:rsidRPr="00DD39B9">
              <w:rPr>
                <w:noProof/>
              </w:rPr>
              <w:t>(41,2 %)</w:t>
            </w:r>
          </w:p>
        </w:tc>
      </w:tr>
      <w:tr w:rsidR="001A62D7" w:rsidRPr="00DD39B9" w:rsidTr="001D5990">
        <w:trPr>
          <w:jc w:val="center"/>
        </w:trPr>
        <w:tc>
          <w:tcPr>
            <w:tcW w:w="1496" w:type="dxa"/>
            <w:tcBorders>
              <w:top w:val="nil"/>
              <w:left w:val="nil"/>
              <w:bottom w:val="single" w:sz="4" w:space="0" w:color="auto"/>
              <w:right w:val="nil"/>
            </w:tcBorders>
          </w:tcPr>
          <w:p w:rsidR="001A62D7" w:rsidRPr="00DD39B9" w:rsidRDefault="001A62D7" w:rsidP="001D5990">
            <w:pPr>
              <w:spacing w:before="60" w:after="60"/>
              <w:rPr>
                <w:noProof/>
              </w:rPr>
            </w:pPr>
          </w:p>
        </w:tc>
        <w:tc>
          <w:tcPr>
            <w:tcW w:w="2063" w:type="dxa"/>
            <w:tcBorders>
              <w:top w:val="nil"/>
              <w:left w:val="nil"/>
              <w:bottom w:val="single" w:sz="4" w:space="0" w:color="auto"/>
              <w:right w:val="nil"/>
            </w:tcBorders>
          </w:tcPr>
          <w:p w:rsidR="001A62D7" w:rsidRPr="00DD39B9" w:rsidRDefault="001A62D7" w:rsidP="001D5990">
            <w:pPr>
              <w:spacing w:before="60" w:after="60"/>
              <w:rPr>
                <w:noProof/>
              </w:rPr>
            </w:pPr>
            <w:r w:rsidRPr="00DD39B9">
              <w:rPr>
                <w:noProof/>
              </w:rPr>
              <w:t>Învățământ terțiar</w:t>
            </w:r>
            <w:r w:rsidRPr="00DD39B9">
              <w:rPr>
                <w:rStyle w:val="FootnoteReference"/>
                <w:noProof/>
              </w:rPr>
              <w:footnoteReference w:id="11"/>
            </w:r>
          </w:p>
        </w:tc>
        <w:tc>
          <w:tcPr>
            <w:tcW w:w="1176" w:type="dxa"/>
            <w:tcBorders>
              <w:top w:val="nil"/>
              <w:left w:val="nil"/>
              <w:bottom w:val="single" w:sz="4" w:space="0" w:color="auto"/>
              <w:right w:val="nil"/>
            </w:tcBorders>
          </w:tcPr>
          <w:p w:rsidR="001A62D7" w:rsidRPr="00DD39B9" w:rsidRDefault="000F7763" w:rsidP="001D5990">
            <w:pPr>
              <w:spacing w:before="60" w:after="60"/>
              <w:jc w:val="right"/>
              <w:rPr>
                <w:noProof/>
              </w:rPr>
            </w:pPr>
            <w:r w:rsidRPr="00DD39B9">
              <w:rPr>
                <w:noProof/>
              </w:rPr>
              <w:t>157</w:t>
            </w:r>
          </w:p>
        </w:tc>
        <w:tc>
          <w:tcPr>
            <w:tcW w:w="1176" w:type="dxa"/>
            <w:tcBorders>
              <w:top w:val="nil"/>
              <w:left w:val="nil"/>
              <w:bottom w:val="single" w:sz="4" w:space="0" w:color="auto"/>
              <w:right w:val="nil"/>
            </w:tcBorders>
          </w:tcPr>
          <w:p w:rsidR="001A62D7" w:rsidRPr="00DD39B9" w:rsidRDefault="001A62D7" w:rsidP="001D5990">
            <w:pPr>
              <w:spacing w:before="60" w:after="60"/>
              <w:jc w:val="right"/>
              <w:rPr>
                <w:rFonts w:eastAsia="Calibri"/>
                <w:noProof/>
              </w:rPr>
            </w:pPr>
            <w:r w:rsidRPr="00DD39B9">
              <w:rPr>
                <w:noProof/>
              </w:rPr>
              <w:t>(37,4 %)</w:t>
            </w:r>
          </w:p>
        </w:tc>
      </w:tr>
    </w:tbl>
    <w:p w:rsidR="001A62D7" w:rsidRPr="00DD39B9" w:rsidRDefault="001A62D7" w:rsidP="001A62D7">
      <w:pPr>
        <w:pStyle w:val="ManualHeading3"/>
        <w:rPr>
          <w:noProof/>
          <w:u w:val="single"/>
        </w:rPr>
      </w:pPr>
      <w:r w:rsidRPr="00DD39B9">
        <w:rPr>
          <w:noProof/>
        </w:rPr>
        <w:t>Măsurile propuse</w:t>
      </w:r>
    </w:p>
    <w:p w:rsidR="001A62D7" w:rsidRPr="00DD39B9" w:rsidRDefault="001A62D7" w:rsidP="00AE7D04">
      <w:pPr>
        <w:pStyle w:val="ManualNumPar1"/>
        <w:rPr>
          <w:noProof/>
        </w:rPr>
      </w:pPr>
      <w:r>
        <w:rPr>
          <w:noProof/>
        </w:rPr>
        <w:t>32.</w:t>
      </w:r>
      <w:r>
        <w:rPr>
          <w:noProof/>
        </w:rPr>
        <w:tab/>
      </w:r>
      <w:bookmarkStart w:id="2" w:name="_Ref372214239"/>
      <w:r w:rsidRPr="00DD39B9">
        <w:rPr>
          <w:noProof/>
        </w:rPr>
        <w:t xml:space="preserve">În conformitate cu articolul 8 alineatul (7) litera (h) din Regulamentul (UE) 2021/691, pachetul coordonat personalizat care urmează să fie pus la dispoziția lucrătorilor disponibilizați constă în următoarele măsuri: </w:t>
      </w:r>
      <w:bookmarkEnd w:id="2"/>
    </w:p>
    <w:p w:rsidR="00B543B5" w:rsidRPr="00DD39B9" w:rsidRDefault="005C27C7" w:rsidP="005B3182">
      <w:pPr>
        <w:pStyle w:val="Tiret1"/>
        <w:numPr>
          <w:ilvl w:val="0"/>
          <w:numId w:val="19"/>
        </w:numPr>
        <w:rPr>
          <w:noProof/>
        </w:rPr>
      </w:pPr>
      <w:r w:rsidRPr="00DD39B9">
        <w:rPr>
          <w:noProof/>
          <w:u w:val="single"/>
        </w:rPr>
        <w:t>Administrarea cauzei</w:t>
      </w:r>
      <w:r w:rsidRPr="00DD39B9">
        <w:rPr>
          <w:noProof/>
        </w:rPr>
        <w:t>: Această măsură urmărește să ofere un sprijin extrem de individualizat prin însoțirea participanților la punerea în aplicare a planului lor individual de acțiune și prin documentarea și evaluarea parcursurilor lor individuale de formare.</w:t>
      </w:r>
    </w:p>
    <w:p w:rsidR="001A62D7" w:rsidRPr="00DD39B9" w:rsidRDefault="005C27C7" w:rsidP="001A150D">
      <w:pPr>
        <w:pStyle w:val="Tiret1"/>
        <w:rPr>
          <w:noProof/>
        </w:rPr>
      </w:pPr>
      <w:r w:rsidRPr="00DD39B9">
        <w:rPr>
          <w:noProof/>
          <w:u w:val="single"/>
        </w:rPr>
        <w:t>Orientare profesională – orientare în carieră</w:t>
      </w:r>
      <w:r w:rsidRPr="00DD39B9">
        <w:rPr>
          <w:noProof/>
        </w:rPr>
        <w:t>: Această măsură precede planul de acțiune individual și servește în primul rând la clarificarea perspectivelor de carieră pe baza intereselor, punctelor forte și punctelor slabe ale participanților. Pentru a elabora un plan de acțiune, sunt identificate obiective individuale de formare și sunt discutate posibilitățile de formare. Aceasta se bazează pe o cercetare aprofundată a tendințelor de pe piața muncii și a perspectivelor de angajare.</w:t>
      </w:r>
    </w:p>
    <w:p w:rsidR="005C27C7" w:rsidRPr="00DD39B9" w:rsidRDefault="005C27C7" w:rsidP="00D949B3">
      <w:pPr>
        <w:pStyle w:val="Tiret1"/>
        <w:rPr>
          <w:noProof/>
        </w:rPr>
      </w:pPr>
      <w:r w:rsidRPr="00DD39B9">
        <w:rPr>
          <w:noProof/>
          <w:u w:val="single"/>
        </w:rPr>
        <w:t>Formare și recalificare</w:t>
      </w:r>
      <w:r w:rsidRPr="00DD39B9">
        <w:rPr>
          <w:noProof/>
        </w:rPr>
        <w:t xml:space="preserve">: La elaborarea planului de acțiune, se va acorda o atenție deosebită îmbunătățirii competențelor profesionale. Prin urmare, participanții pot urma cursuri de formare și recalificare în conformitate cu nevoile pieței muncii, permițându-le să își găsească un loc de muncă nou și durabil cât mai curând posibil. </w:t>
      </w:r>
    </w:p>
    <w:p w:rsidR="005C27C7" w:rsidRPr="00DD39B9" w:rsidRDefault="005C27C7" w:rsidP="005C27C7">
      <w:pPr>
        <w:pStyle w:val="Tiret1"/>
        <w:rPr>
          <w:noProof/>
        </w:rPr>
      </w:pPr>
      <w:r w:rsidRPr="00DD39B9">
        <w:rPr>
          <w:noProof/>
          <w:u w:val="single"/>
        </w:rPr>
        <w:t>Căutarea proactivă a unui loc de muncă</w:t>
      </w:r>
      <w:r w:rsidRPr="00DD39B9">
        <w:rPr>
          <w:noProof/>
        </w:rPr>
        <w:t>: Această măsură include asistență pentru pregătirea unor cereri convingătoare, elaborarea unor strategii de căutare și a unor strategii de depunere a cererilor individuale și a cererilor legate de locul de muncă, promovarea inițiativei și a motivației, abordarea respingerii, consolidarea rezilienței etc.</w:t>
      </w:r>
    </w:p>
    <w:p w:rsidR="005C27C7" w:rsidRPr="00DD39B9" w:rsidRDefault="005C27C7" w:rsidP="005C27C7">
      <w:pPr>
        <w:pStyle w:val="Tiret1"/>
        <w:rPr>
          <w:noProof/>
        </w:rPr>
      </w:pPr>
      <w:r w:rsidRPr="00DD39B9">
        <w:rPr>
          <w:noProof/>
          <w:u w:val="single"/>
        </w:rPr>
        <w:t>Indemnizație pentru formare – subvenție pentru formare</w:t>
      </w:r>
      <w:r w:rsidRPr="00DD39B9">
        <w:rPr>
          <w:noProof/>
        </w:rPr>
        <w:t>: Se va acorda o indemnizație de formare fiecărui participant la program pentru a acoperi cheltuielile suplimentare aferente formării pentru participarea la măsurile de formare.</w:t>
      </w:r>
    </w:p>
    <w:p w:rsidR="001A62D7" w:rsidRPr="00DD39B9" w:rsidRDefault="00A6667C" w:rsidP="001A62D7">
      <w:pPr>
        <w:pStyle w:val="ManualNumPar1"/>
        <w:rPr>
          <w:noProof/>
        </w:rPr>
      </w:pPr>
      <w:r>
        <w:rPr>
          <w:noProof/>
        </w:rPr>
        <w:t>33.</w:t>
      </w:r>
      <w:r>
        <w:rPr>
          <w:noProof/>
        </w:rPr>
        <w:tab/>
      </w:r>
      <w:r w:rsidRPr="00DD39B9">
        <w:rPr>
          <w:noProof/>
          <w:u w:val="single"/>
        </w:rPr>
        <w:t>Orientarea profesională, precum și măsurile de formare și recalificare</w:t>
      </w:r>
      <w:r w:rsidRPr="00DD39B9">
        <w:rPr>
          <w:noProof/>
        </w:rPr>
        <w:t xml:space="preserve"> permit diseminarea competențelor necesare în era industrială digitală și într-o economie eficientă din punctul de vedere al utilizării resurselor, astfel cum se prevede la articolul 7 alineatul (2) din Regulamentul (UE) 2021/691. În contextul orientării profesionale, se atrage atenția în special asupra importanței perspectivelor de carieră în locuri de muncă ecologice (ocuparea forței de muncă în sectoare precum energia din surse regenerabile, construcțiile și renovarea sustenabile, gestionarea apei și a apelor uzate). În cadrul măsurilor de formare și recalificare, atunci când se elaborează planuri de acțiune individuale, se pune accentul pe competențele digitale, </w:t>
      </w:r>
      <w:r w:rsidRPr="00DD39B9">
        <w:rPr>
          <w:noProof/>
        </w:rPr>
        <w:lastRenderedPageBreak/>
        <w:t>în special pentru participanții care nu au sau au doar cunoștințe anterioare foarte elementare.</w:t>
      </w:r>
    </w:p>
    <w:p w:rsidR="001A62D7" w:rsidRPr="00DD39B9" w:rsidRDefault="001A62D7" w:rsidP="00AE7D04">
      <w:pPr>
        <w:pStyle w:val="ManualNumPar1"/>
        <w:rPr>
          <w:noProof/>
        </w:rPr>
      </w:pPr>
      <w:r>
        <w:rPr>
          <w:noProof/>
        </w:rPr>
        <w:t>34.</w:t>
      </w:r>
      <w:r>
        <w:rPr>
          <w:noProof/>
        </w:rPr>
        <w:tab/>
      </w:r>
      <w:bookmarkStart w:id="3" w:name="_Ref372214242"/>
      <w:r w:rsidRPr="00DD39B9">
        <w:rPr>
          <w:noProof/>
        </w:rPr>
        <w:t xml:space="preserve">Acțiunile propuse, descrise în prezentul document, constituie măsuri active de ocupare a forței de muncă ce se încadrează la acțiunile eligibile prevăzute la articolul 7 din Regulamentul (UE) 2021/691. Aceste acțiuni nu înlocuiesc măsurile pasive de protecție socială. </w:t>
      </w:r>
    </w:p>
    <w:p w:rsidR="001A62D7" w:rsidRPr="00DD39B9" w:rsidRDefault="001B3907" w:rsidP="00AE7D04">
      <w:pPr>
        <w:pStyle w:val="ManualNumPar1"/>
        <w:rPr>
          <w:noProof/>
        </w:rPr>
      </w:pPr>
      <w:r>
        <w:rPr>
          <w:noProof/>
        </w:rPr>
        <w:t>35.</w:t>
      </w:r>
      <w:r>
        <w:rPr>
          <w:noProof/>
        </w:rPr>
        <w:tab/>
      </w:r>
      <w:r w:rsidRPr="00DD39B9">
        <w:rPr>
          <w:noProof/>
        </w:rPr>
        <w:t>Austria a furnizat informațiile necesare privind măsurile de care este responsabilă întreprinderea vizată în temeiul legislației naționale sau al contractelor colective de muncă. În conformitate cu articolul 9 alineatul (1) din Regulamentul (UE) 2021/691, Austria a confirmat că măsurile respective nu vor fi înlocuite cu o contribuție financiară din partea FEG.</w:t>
      </w:r>
      <w:bookmarkEnd w:id="3"/>
    </w:p>
    <w:p w:rsidR="001A62D7" w:rsidRPr="00DD39B9" w:rsidRDefault="001A62D7" w:rsidP="001A62D7">
      <w:pPr>
        <w:pStyle w:val="ManualHeading3"/>
        <w:rPr>
          <w:noProof/>
        </w:rPr>
      </w:pPr>
      <w:r w:rsidRPr="00DD39B9">
        <w:rPr>
          <w:noProof/>
        </w:rPr>
        <w:t>Buget estimat</w:t>
      </w:r>
    </w:p>
    <w:p w:rsidR="001A62D7" w:rsidRPr="00DD39B9" w:rsidRDefault="001A62D7" w:rsidP="00AE7D04">
      <w:pPr>
        <w:pStyle w:val="ManualNumPar1"/>
        <w:rPr>
          <w:noProof/>
        </w:rPr>
      </w:pPr>
      <w:r>
        <w:rPr>
          <w:noProof/>
        </w:rPr>
        <w:t>36.</w:t>
      </w:r>
      <w:r>
        <w:rPr>
          <w:noProof/>
        </w:rPr>
        <w:tab/>
      </w:r>
      <w:r w:rsidRPr="00DD39B9">
        <w:rPr>
          <w:noProof/>
        </w:rPr>
        <w:t>Costurile totale estimate sunt de 3 011 040 EUR, incluzând cheltuieli pentru servicii personalizate de 2 895 120 EUR și cheltuieli pentru activitățile de pregătire, gestionare, informare și publicitate, control și raportare de 115 920 EUR.</w:t>
      </w:r>
    </w:p>
    <w:p w:rsidR="001A62D7" w:rsidRPr="00DD39B9" w:rsidRDefault="001A62D7" w:rsidP="00AE7D04">
      <w:pPr>
        <w:pStyle w:val="ManualNumPar1"/>
        <w:rPr>
          <w:noProof/>
        </w:rPr>
      </w:pPr>
      <w:r>
        <w:rPr>
          <w:noProof/>
        </w:rPr>
        <w:t>37.</w:t>
      </w:r>
      <w:r>
        <w:rPr>
          <w:noProof/>
        </w:rPr>
        <w:tab/>
      </w:r>
      <w:bookmarkStart w:id="4" w:name="_Ref372550770"/>
      <w:r w:rsidRPr="00DD39B9">
        <w:rPr>
          <w:noProof/>
        </w:rPr>
        <w:t>Contribuția financiară totală solicitată din partea FEG este de 1 806 624 EUR (60 % din totalul costurilor).</w:t>
      </w:r>
      <w:bookmarkEnd w:id="4"/>
    </w:p>
    <w:p w:rsidR="001A62D7" w:rsidRPr="00DD39B9" w:rsidRDefault="001A62D7" w:rsidP="00AE7D04">
      <w:pPr>
        <w:pStyle w:val="ManualNumPar1"/>
        <w:rPr>
          <w:noProof/>
        </w:rPr>
      </w:pPr>
      <w:r>
        <w:rPr>
          <w:noProof/>
        </w:rPr>
        <w:t>38.</w:t>
      </w:r>
      <w:r>
        <w:rPr>
          <w:noProof/>
        </w:rPr>
        <w:tab/>
      </w:r>
      <w:r w:rsidRPr="00DD39B9">
        <w:rPr>
          <w:noProof/>
        </w:rPr>
        <w:t>În conformitate cu articolul 8 alineatul (7) litera (m) din Regulamentul (UE) 2021/691, Austria a precizat că prefinanțarea națională este partajată în mod egal de guvernul provinciei Austria superioară și de Serviciul public austriac de ocupare a forței de muncă (Arbeitsmarktservice). Cofinanțarea este asigurată de Serviciul public austriac de ocupare a forței de muncă (Arbeitsmarktservice).</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DD39B9" w:rsidTr="001D5990">
        <w:tc>
          <w:tcPr>
            <w:tcW w:w="4644" w:type="dxa"/>
            <w:shd w:val="clear" w:color="auto" w:fill="auto"/>
            <w:vAlign w:val="center"/>
          </w:tcPr>
          <w:p w:rsidR="001A62D7" w:rsidRPr="00DD39B9" w:rsidRDefault="001A62D7" w:rsidP="001D5990">
            <w:pPr>
              <w:spacing w:before="60" w:after="60"/>
              <w:jc w:val="center"/>
              <w:rPr>
                <w:rFonts w:eastAsia="Times New Roman"/>
                <w:noProof/>
                <w:sz w:val="22"/>
              </w:rPr>
            </w:pPr>
            <w:bookmarkStart w:id="5" w:name="_Hlk216665707"/>
            <w:r w:rsidRPr="00DD39B9">
              <w:rPr>
                <w:noProof/>
                <w:sz w:val="22"/>
              </w:rPr>
              <w:t>Măsuri</w:t>
            </w:r>
          </w:p>
        </w:tc>
        <w:tc>
          <w:tcPr>
            <w:tcW w:w="1548" w:type="dxa"/>
            <w:shd w:val="clear" w:color="auto" w:fill="auto"/>
            <w:vAlign w:val="center"/>
          </w:tcPr>
          <w:p w:rsidR="001A62D7" w:rsidRPr="00DD39B9" w:rsidRDefault="001A62D7" w:rsidP="001D5990">
            <w:pPr>
              <w:spacing w:before="60" w:after="60"/>
              <w:jc w:val="center"/>
              <w:rPr>
                <w:rFonts w:eastAsia="Times New Roman"/>
                <w:noProof/>
                <w:sz w:val="22"/>
              </w:rPr>
            </w:pPr>
            <w:r w:rsidRPr="00DD39B9">
              <w:rPr>
                <w:noProof/>
                <w:sz w:val="22"/>
              </w:rPr>
              <w:t>Numărul de participanți estimat</w:t>
            </w:r>
          </w:p>
        </w:tc>
        <w:tc>
          <w:tcPr>
            <w:tcW w:w="1548" w:type="dxa"/>
            <w:shd w:val="clear" w:color="auto" w:fill="auto"/>
            <w:vAlign w:val="center"/>
          </w:tcPr>
          <w:p w:rsidR="001A62D7" w:rsidRPr="00DD39B9" w:rsidRDefault="001A62D7" w:rsidP="001D5990">
            <w:pPr>
              <w:spacing w:before="60" w:after="60"/>
              <w:jc w:val="center"/>
              <w:rPr>
                <w:rFonts w:eastAsia="Times New Roman"/>
                <w:noProof/>
                <w:sz w:val="22"/>
              </w:rPr>
            </w:pPr>
            <w:r w:rsidRPr="00DD39B9">
              <w:rPr>
                <w:noProof/>
                <w:sz w:val="22"/>
              </w:rPr>
              <w:t>Costul estimat per participant</w:t>
            </w:r>
            <w:r w:rsidRPr="00DD39B9">
              <w:rPr>
                <w:noProof/>
              </w:rPr>
              <w:t xml:space="preserve"> </w:t>
            </w:r>
            <w:r w:rsidRPr="00DD39B9">
              <w:rPr>
                <w:noProof/>
              </w:rPr>
              <w:br/>
            </w:r>
            <w:r w:rsidRPr="00DD39B9">
              <w:rPr>
                <w:i/>
                <w:noProof/>
                <w:sz w:val="22"/>
              </w:rPr>
              <w:t>(EUR)</w:t>
            </w:r>
            <w:r w:rsidRPr="00DD39B9">
              <w:rPr>
                <w:rStyle w:val="FootnoteReference"/>
                <w:rFonts w:eastAsia="Times New Roman"/>
                <w:i/>
                <w:noProof/>
                <w:sz w:val="22"/>
              </w:rPr>
              <w:footnoteReference w:id="12"/>
            </w:r>
          </w:p>
        </w:tc>
        <w:tc>
          <w:tcPr>
            <w:tcW w:w="1548" w:type="dxa"/>
            <w:shd w:val="clear" w:color="auto" w:fill="auto"/>
            <w:vAlign w:val="center"/>
          </w:tcPr>
          <w:p w:rsidR="001A62D7" w:rsidRPr="00DD39B9" w:rsidRDefault="001A62D7" w:rsidP="001D5990">
            <w:pPr>
              <w:spacing w:before="60" w:after="60"/>
              <w:jc w:val="center"/>
              <w:rPr>
                <w:rFonts w:eastAsia="Times New Roman"/>
                <w:noProof/>
                <w:sz w:val="22"/>
              </w:rPr>
            </w:pPr>
            <w:r w:rsidRPr="00DD39B9">
              <w:rPr>
                <w:noProof/>
                <w:sz w:val="22"/>
              </w:rPr>
              <w:t>Costuri totale estimate</w:t>
            </w:r>
          </w:p>
          <w:p w:rsidR="001A62D7" w:rsidRPr="00DD39B9" w:rsidRDefault="001A62D7" w:rsidP="001D5990">
            <w:pPr>
              <w:spacing w:before="60" w:after="60"/>
              <w:jc w:val="center"/>
              <w:rPr>
                <w:rFonts w:eastAsia="Times New Roman"/>
                <w:noProof/>
                <w:sz w:val="22"/>
              </w:rPr>
            </w:pPr>
            <w:r w:rsidRPr="00DD39B9">
              <w:rPr>
                <w:i/>
                <w:noProof/>
                <w:sz w:val="22"/>
              </w:rPr>
              <w:t>(EUR)</w:t>
            </w:r>
            <w:r w:rsidRPr="00DD39B9">
              <w:rPr>
                <w:rStyle w:val="FootnoteReference"/>
                <w:rFonts w:eastAsia="Times New Roman"/>
                <w:i/>
                <w:noProof/>
                <w:sz w:val="22"/>
              </w:rPr>
              <w:footnoteReference w:id="13"/>
            </w:r>
            <w:r w:rsidRPr="00DD39B9">
              <w:rPr>
                <w:i/>
                <w:noProof/>
                <w:sz w:val="22"/>
              </w:rPr>
              <w:t xml:space="preserve"> </w:t>
            </w:r>
          </w:p>
        </w:tc>
      </w:tr>
      <w:tr w:rsidR="001A62D7" w:rsidRPr="00DD39B9" w:rsidTr="001D5990">
        <w:tc>
          <w:tcPr>
            <w:tcW w:w="9288" w:type="dxa"/>
            <w:gridSpan w:val="4"/>
            <w:shd w:val="clear" w:color="auto" w:fill="auto"/>
          </w:tcPr>
          <w:p w:rsidR="001A62D7" w:rsidRPr="00DD39B9" w:rsidRDefault="001A62D7" w:rsidP="001D5990">
            <w:pPr>
              <w:spacing w:before="60" w:after="60"/>
              <w:jc w:val="left"/>
              <w:rPr>
                <w:rFonts w:eastAsia="Times New Roman"/>
                <w:noProof/>
                <w:sz w:val="22"/>
              </w:rPr>
            </w:pPr>
            <w:r w:rsidRPr="00DD39B9">
              <w:rPr>
                <w:noProof/>
              </w:rPr>
              <w:t>Servicii personalizate [măsuri în temeiul articolului 7 alineatul (2) al doilea paragraf litera (a) din Regulamentul (UE) 2021/691]</w:t>
            </w:r>
          </w:p>
        </w:tc>
      </w:tr>
      <w:tr w:rsidR="001A62D7" w:rsidRPr="00DD39B9"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D39B9" w:rsidRDefault="00190173" w:rsidP="001D5990">
            <w:pPr>
              <w:spacing w:before="60" w:after="60"/>
              <w:jc w:val="left"/>
              <w:rPr>
                <w:noProof/>
              </w:rPr>
            </w:pPr>
            <w:r w:rsidRPr="00DD39B9">
              <w:rPr>
                <w:noProof/>
              </w:rPr>
              <w:t>Gestionarea cazurilor</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D39B9" w:rsidRDefault="00114FDE" w:rsidP="001D5990">
            <w:pPr>
              <w:spacing w:before="60" w:after="60"/>
              <w:jc w:val="center"/>
              <w:rPr>
                <w:noProof/>
              </w:rPr>
            </w:pPr>
            <w:r w:rsidRPr="00DD39B9">
              <w:rPr>
                <w:noProof/>
              </w:rPr>
              <w:t>420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D39B9" w:rsidRDefault="00190173" w:rsidP="001D5990">
            <w:pPr>
              <w:spacing w:before="60" w:after="60"/>
              <w:jc w:val="center"/>
              <w:rPr>
                <w:noProof/>
              </w:rPr>
            </w:pPr>
            <w:r w:rsidRPr="00DD39B9">
              <w:rPr>
                <w:noProof/>
              </w:rPr>
              <w:t>920</w:t>
            </w:r>
          </w:p>
        </w:tc>
        <w:tc>
          <w:tcPr>
            <w:tcW w:w="1548" w:type="dxa"/>
            <w:tcBorders>
              <w:top w:val="single" w:sz="4" w:space="0" w:color="auto"/>
              <w:left w:val="single" w:sz="4" w:space="0" w:color="auto"/>
              <w:bottom w:val="single" w:sz="4" w:space="0" w:color="auto"/>
              <w:right w:val="nil"/>
            </w:tcBorders>
            <w:vAlign w:val="center"/>
            <w:hideMark/>
          </w:tcPr>
          <w:p w:rsidR="001A62D7" w:rsidRPr="00DD39B9" w:rsidRDefault="00114FDE" w:rsidP="001D5990">
            <w:pPr>
              <w:spacing w:before="60" w:after="60"/>
              <w:jc w:val="center"/>
              <w:rPr>
                <w:noProof/>
              </w:rPr>
            </w:pPr>
            <w:r w:rsidRPr="00DD39B9">
              <w:rPr>
                <w:noProof/>
              </w:rPr>
              <w:t>386 400</w:t>
            </w:r>
          </w:p>
        </w:tc>
      </w:tr>
      <w:tr w:rsidR="001A62D7" w:rsidRPr="00DD39B9"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D39B9" w:rsidRDefault="00FF383D" w:rsidP="001D5990">
            <w:pPr>
              <w:spacing w:before="60" w:after="60"/>
              <w:jc w:val="left"/>
              <w:rPr>
                <w:noProof/>
              </w:rPr>
            </w:pPr>
            <w:r w:rsidRPr="00DD39B9">
              <w:rPr>
                <w:noProof/>
              </w:rPr>
              <w:t>Orientare profesională – orientare în carieră (Berufsberatung – Berufsorientierung)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D39B9" w:rsidRDefault="00114FDE" w:rsidP="001D5990">
            <w:pPr>
              <w:spacing w:before="60" w:after="60"/>
              <w:jc w:val="center"/>
              <w:rPr>
                <w:noProof/>
              </w:rPr>
            </w:pPr>
            <w:r w:rsidRPr="00DD39B9">
              <w:rPr>
                <w:noProof/>
              </w:rPr>
              <w:t>420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D39B9" w:rsidRDefault="00190173" w:rsidP="001D5990">
            <w:pPr>
              <w:spacing w:before="60" w:after="60"/>
              <w:jc w:val="center"/>
              <w:rPr>
                <w:noProof/>
              </w:rPr>
            </w:pPr>
            <w:r w:rsidRPr="00DD39B9">
              <w:rPr>
                <w:noProof/>
              </w:rPr>
              <w:t>1 000</w:t>
            </w:r>
          </w:p>
        </w:tc>
        <w:tc>
          <w:tcPr>
            <w:tcW w:w="1548" w:type="dxa"/>
            <w:tcBorders>
              <w:top w:val="single" w:sz="4" w:space="0" w:color="auto"/>
              <w:left w:val="single" w:sz="4" w:space="0" w:color="auto"/>
              <w:bottom w:val="single" w:sz="4" w:space="0" w:color="auto"/>
              <w:right w:val="nil"/>
            </w:tcBorders>
            <w:vAlign w:val="center"/>
            <w:hideMark/>
          </w:tcPr>
          <w:p w:rsidR="001A62D7" w:rsidRPr="00DD39B9" w:rsidRDefault="00114FDE" w:rsidP="001D5990">
            <w:pPr>
              <w:spacing w:before="60" w:after="60"/>
              <w:jc w:val="center"/>
              <w:rPr>
                <w:noProof/>
              </w:rPr>
            </w:pPr>
            <w:r w:rsidRPr="00DD39B9">
              <w:rPr>
                <w:noProof/>
              </w:rPr>
              <w:t>420 000</w:t>
            </w:r>
          </w:p>
        </w:tc>
      </w:tr>
      <w:tr w:rsidR="001A62D7" w:rsidRPr="00DD39B9"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D39B9" w:rsidRDefault="00FF383D" w:rsidP="001D5990">
            <w:pPr>
              <w:spacing w:before="60" w:after="60"/>
              <w:jc w:val="left"/>
              <w:rPr>
                <w:noProof/>
              </w:rPr>
            </w:pPr>
            <w:r w:rsidRPr="00DD39B9">
              <w:rPr>
                <w:noProof/>
              </w:rPr>
              <w:t>Formare și recalificare (Aus- und Weiterbildung)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D39B9" w:rsidRDefault="00114FDE" w:rsidP="001D5990">
            <w:pPr>
              <w:spacing w:before="60" w:after="60"/>
              <w:jc w:val="center"/>
              <w:rPr>
                <w:noProof/>
              </w:rPr>
            </w:pPr>
            <w:r w:rsidRPr="00DD39B9">
              <w:rPr>
                <w:noProof/>
              </w:rPr>
              <w:t>300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D39B9" w:rsidRDefault="00190173" w:rsidP="001D5990">
            <w:pPr>
              <w:spacing w:before="60" w:after="60"/>
              <w:jc w:val="center"/>
              <w:rPr>
                <w:noProof/>
              </w:rPr>
            </w:pPr>
            <w:r w:rsidRPr="00DD39B9">
              <w:rPr>
                <w:noProof/>
              </w:rPr>
              <w:t>3 436</w:t>
            </w:r>
          </w:p>
        </w:tc>
        <w:tc>
          <w:tcPr>
            <w:tcW w:w="1548" w:type="dxa"/>
            <w:tcBorders>
              <w:top w:val="single" w:sz="4" w:space="0" w:color="auto"/>
              <w:left w:val="single" w:sz="4" w:space="0" w:color="auto"/>
              <w:bottom w:val="single" w:sz="4" w:space="0" w:color="auto"/>
              <w:right w:val="nil"/>
            </w:tcBorders>
            <w:vAlign w:val="center"/>
            <w:hideMark/>
          </w:tcPr>
          <w:p w:rsidR="001A62D7" w:rsidRPr="00DD39B9" w:rsidRDefault="00114FDE" w:rsidP="001D5990">
            <w:pPr>
              <w:spacing w:before="60" w:after="60"/>
              <w:jc w:val="center"/>
              <w:rPr>
                <w:noProof/>
              </w:rPr>
            </w:pPr>
            <w:r w:rsidRPr="00DD39B9">
              <w:rPr>
                <w:noProof/>
              </w:rPr>
              <w:t>1 030 800</w:t>
            </w:r>
          </w:p>
        </w:tc>
      </w:tr>
      <w:tr w:rsidR="001A62D7" w:rsidRPr="00DD39B9"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D39B9" w:rsidRDefault="00FF383D" w:rsidP="001D5990">
            <w:pPr>
              <w:spacing w:before="60" w:after="60"/>
              <w:jc w:val="left"/>
              <w:rPr>
                <w:noProof/>
              </w:rPr>
            </w:pPr>
            <w:r w:rsidRPr="00DD39B9">
              <w:rPr>
                <w:noProof/>
              </w:rPr>
              <w:t>Căutarea proactivă a unui loc de muncă (Aktive Arbeitssuche)</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D39B9" w:rsidRDefault="00114FDE" w:rsidP="001D5990">
            <w:pPr>
              <w:spacing w:before="60" w:after="60"/>
              <w:jc w:val="center"/>
              <w:rPr>
                <w:noProof/>
              </w:rPr>
            </w:pPr>
            <w:r w:rsidRPr="00DD39B9">
              <w:rPr>
                <w:noProof/>
              </w:rPr>
              <w:t>120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D39B9" w:rsidRDefault="00190173" w:rsidP="001D5990">
            <w:pPr>
              <w:spacing w:before="60" w:after="60"/>
              <w:jc w:val="center"/>
              <w:rPr>
                <w:noProof/>
              </w:rPr>
            </w:pPr>
            <w:r w:rsidRPr="00DD39B9">
              <w:rPr>
                <w:noProof/>
              </w:rPr>
              <w:t>500</w:t>
            </w:r>
          </w:p>
        </w:tc>
        <w:tc>
          <w:tcPr>
            <w:tcW w:w="1548" w:type="dxa"/>
            <w:tcBorders>
              <w:top w:val="single" w:sz="4" w:space="0" w:color="auto"/>
              <w:left w:val="single" w:sz="4" w:space="0" w:color="auto"/>
              <w:bottom w:val="single" w:sz="4" w:space="0" w:color="auto"/>
              <w:right w:val="nil"/>
            </w:tcBorders>
            <w:vAlign w:val="center"/>
            <w:hideMark/>
          </w:tcPr>
          <w:p w:rsidR="001A62D7" w:rsidRPr="00DD39B9" w:rsidRDefault="00114FDE" w:rsidP="001D5990">
            <w:pPr>
              <w:spacing w:before="60" w:after="60"/>
              <w:jc w:val="center"/>
              <w:rPr>
                <w:noProof/>
              </w:rPr>
            </w:pPr>
            <w:r w:rsidRPr="00DD39B9">
              <w:rPr>
                <w:noProof/>
              </w:rPr>
              <w:t>60 000</w:t>
            </w:r>
          </w:p>
        </w:tc>
      </w:tr>
      <w:tr w:rsidR="001A62D7" w:rsidRPr="00DD39B9" w:rsidTr="001D5990">
        <w:trPr>
          <w:trHeight w:val="398"/>
        </w:trPr>
        <w:tc>
          <w:tcPr>
            <w:tcW w:w="4644" w:type="dxa"/>
            <w:vMerge w:val="restart"/>
            <w:shd w:val="clear" w:color="auto" w:fill="auto"/>
            <w:vAlign w:val="center"/>
          </w:tcPr>
          <w:p w:rsidR="001A62D7" w:rsidRPr="00DD39B9" w:rsidRDefault="001A62D7" w:rsidP="001D5990">
            <w:pPr>
              <w:spacing w:before="60" w:after="60"/>
              <w:jc w:val="right"/>
              <w:rPr>
                <w:rFonts w:eastAsia="Times New Roman"/>
                <w:noProof/>
                <w:sz w:val="22"/>
              </w:rPr>
            </w:pPr>
            <w:r w:rsidRPr="00DD39B9">
              <w:rPr>
                <w:noProof/>
                <w:sz w:val="22"/>
              </w:rPr>
              <w:t>Subtotal (a):</w:t>
            </w:r>
          </w:p>
          <w:p w:rsidR="001A62D7" w:rsidRPr="00DD39B9" w:rsidRDefault="001A62D7" w:rsidP="001D5990">
            <w:pPr>
              <w:spacing w:before="60" w:after="60"/>
              <w:jc w:val="right"/>
              <w:rPr>
                <w:rFonts w:eastAsia="Times New Roman"/>
                <w:noProof/>
                <w:sz w:val="22"/>
              </w:rPr>
            </w:pPr>
            <w:r w:rsidRPr="00DD39B9">
              <w:rPr>
                <w:noProof/>
                <w:sz w:val="22"/>
              </w:rPr>
              <w:t xml:space="preserve">Procentaj din pachetul de servicii personalizate </w:t>
            </w:r>
          </w:p>
        </w:tc>
        <w:tc>
          <w:tcPr>
            <w:tcW w:w="3096" w:type="dxa"/>
            <w:gridSpan w:val="2"/>
            <w:vMerge w:val="restart"/>
            <w:shd w:val="clear" w:color="auto" w:fill="D9D9D9"/>
            <w:vAlign w:val="center"/>
          </w:tcPr>
          <w:p w:rsidR="001A62D7" w:rsidRPr="00DD39B9" w:rsidRDefault="001A62D7" w:rsidP="001D5990">
            <w:pPr>
              <w:spacing w:before="60" w:after="60"/>
              <w:jc w:val="center"/>
              <w:rPr>
                <w:rFonts w:eastAsia="Times New Roman"/>
                <w:noProof/>
                <w:sz w:val="22"/>
              </w:rPr>
            </w:pPr>
            <w:r w:rsidRPr="00DD39B9">
              <w:rPr>
                <w:noProof/>
                <w:sz w:val="22"/>
              </w:rPr>
              <w:t>–</w:t>
            </w:r>
          </w:p>
        </w:tc>
        <w:tc>
          <w:tcPr>
            <w:tcW w:w="1548" w:type="dxa"/>
            <w:tcBorders>
              <w:bottom w:val="nil"/>
            </w:tcBorders>
            <w:shd w:val="clear" w:color="auto" w:fill="auto"/>
            <w:vAlign w:val="center"/>
          </w:tcPr>
          <w:p w:rsidR="001A62D7" w:rsidRPr="00DD39B9" w:rsidRDefault="00161451" w:rsidP="001D5990">
            <w:pPr>
              <w:spacing w:before="60" w:after="60"/>
              <w:jc w:val="center"/>
              <w:rPr>
                <w:rFonts w:eastAsia="Times New Roman"/>
                <w:noProof/>
                <w:sz w:val="22"/>
              </w:rPr>
            </w:pPr>
            <w:r w:rsidRPr="00DD39B9">
              <w:rPr>
                <w:noProof/>
              </w:rPr>
              <w:t>1 897 200</w:t>
            </w:r>
          </w:p>
        </w:tc>
      </w:tr>
      <w:tr w:rsidR="001A62D7" w:rsidRPr="00DD39B9" w:rsidTr="001D5990">
        <w:trPr>
          <w:trHeight w:val="397"/>
        </w:trPr>
        <w:tc>
          <w:tcPr>
            <w:tcW w:w="4644" w:type="dxa"/>
            <w:vMerge/>
            <w:shd w:val="clear" w:color="auto" w:fill="auto"/>
            <w:vAlign w:val="center"/>
          </w:tcPr>
          <w:p w:rsidR="001A62D7" w:rsidRPr="00DD39B9"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DD39B9"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DD39B9" w:rsidRDefault="001A62D7" w:rsidP="001D5990">
            <w:pPr>
              <w:spacing w:before="60" w:after="60"/>
              <w:jc w:val="center"/>
              <w:rPr>
                <w:rFonts w:eastAsia="Times New Roman"/>
                <w:noProof/>
                <w:sz w:val="22"/>
              </w:rPr>
            </w:pPr>
            <w:r w:rsidRPr="00DD39B9">
              <w:rPr>
                <w:noProof/>
                <w:sz w:val="22"/>
              </w:rPr>
              <w:t>(</w:t>
            </w:r>
            <w:r w:rsidRPr="00DD39B9">
              <w:rPr>
                <w:noProof/>
              </w:rPr>
              <w:t xml:space="preserve">65,53 </w:t>
            </w:r>
            <w:r w:rsidRPr="00DD39B9">
              <w:rPr>
                <w:noProof/>
                <w:sz w:val="22"/>
              </w:rPr>
              <w:t>%)</w:t>
            </w:r>
          </w:p>
        </w:tc>
      </w:tr>
      <w:tr w:rsidR="001A62D7" w:rsidRPr="00DD39B9" w:rsidTr="001D5990">
        <w:tc>
          <w:tcPr>
            <w:tcW w:w="9288" w:type="dxa"/>
            <w:gridSpan w:val="4"/>
            <w:shd w:val="clear" w:color="auto" w:fill="auto"/>
            <w:vAlign w:val="center"/>
          </w:tcPr>
          <w:p w:rsidR="001A62D7" w:rsidRPr="00DD39B9" w:rsidRDefault="001A62D7" w:rsidP="001D5990">
            <w:pPr>
              <w:spacing w:before="60" w:after="60"/>
              <w:jc w:val="left"/>
              <w:rPr>
                <w:noProof/>
                <w:sz w:val="22"/>
              </w:rPr>
            </w:pPr>
            <w:r w:rsidRPr="00DD39B9">
              <w:rPr>
                <w:noProof/>
              </w:rPr>
              <w:lastRenderedPageBreak/>
              <w:t>Alocații și stimulente [măsuri în temeiul articolului 7 alineatul (2) al doilea paragraf litera (b) din Regulamentul (UE) 2021/691]</w:t>
            </w:r>
          </w:p>
        </w:tc>
      </w:tr>
      <w:tr w:rsidR="001A62D7" w:rsidRPr="00DD39B9"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D39B9" w:rsidRDefault="00FF383D" w:rsidP="001D5990">
            <w:pPr>
              <w:spacing w:before="60" w:after="60"/>
              <w:jc w:val="left"/>
              <w:rPr>
                <w:noProof/>
              </w:rPr>
            </w:pPr>
            <w:r w:rsidRPr="00DD39B9">
              <w:rPr>
                <w:noProof/>
              </w:rPr>
              <w:t>Alocație pentru formare – subvenție pentru formare (Ausbildungsbeihilfe – Ausbildungsbedingter Zuschuss)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D39B9" w:rsidRDefault="00114FDE" w:rsidP="001D5990">
            <w:pPr>
              <w:spacing w:before="60" w:after="60"/>
              <w:jc w:val="center"/>
              <w:rPr>
                <w:noProof/>
              </w:rPr>
            </w:pPr>
            <w:r w:rsidRPr="00DD39B9">
              <w:rPr>
                <w:noProof/>
              </w:rPr>
              <w:t>420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DD39B9" w:rsidRDefault="00305565" w:rsidP="001D5990">
            <w:pPr>
              <w:spacing w:before="60" w:after="60"/>
              <w:jc w:val="center"/>
              <w:rPr>
                <w:noProof/>
              </w:rPr>
            </w:pPr>
            <w:r w:rsidRPr="00DD39B9">
              <w:rPr>
                <w:noProof/>
              </w:rPr>
              <w:t>2 376</w:t>
            </w:r>
          </w:p>
        </w:tc>
        <w:tc>
          <w:tcPr>
            <w:tcW w:w="1548" w:type="dxa"/>
            <w:tcBorders>
              <w:top w:val="single" w:sz="4" w:space="0" w:color="auto"/>
              <w:left w:val="single" w:sz="4" w:space="0" w:color="auto"/>
              <w:bottom w:val="single" w:sz="4" w:space="0" w:color="auto"/>
              <w:right w:val="nil"/>
            </w:tcBorders>
            <w:vAlign w:val="center"/>
            <w:hideMark/>
          </w:tcPr>
          <w:p w:rsidR="001A62D7" w:rsidRPr="00DD39B9" w:rsidRDefault="00114FDE" w:rsidP="001D5990">
            <w:pPr>
              <w:spacing w:before="60" w:after="60"/>
              <w:jc w:val="center"/>
              <w:rPr>
                <w:noProof/>
              </w:rPr>
            </w:pPr>
            <w:r w:rsidRPr="00DD39B9">
              <w:rPr>
                <w:noProof/>
              </w:rPr>
              <w:t>997 920</w:t>
            </w:r>
          </w:p>
        </w:tc>
      </w:tr>
      <w:tr w:rsidR="001A62D7" w:rsidRPr="00DD39B9" w:rsidTr="001D5990">
        <w:trPr>
          <w:trHeight w:val="203"/>
        </w:trPr>
        <w:tc>
          <w:tcPr>
            <w:tcW w:w="4644" w:type="dxa"/>
            <w:vMerge w:val="restart"/>
            <w:shd w:val="clear" w:color="auto" w:fill="auto"/>
            <w:vAlign w:val="center"/>
          </w:tcPr>
          <w:p w:rsidR="001A62D7" w:rsidRPr="00DD39B9" w:rsidRDefault="001A62D7" w:rsidP="001D5990">
            <w:pPr>
              <w:spacing w:before="60" w:after="60"/>
              <w:jc w:val="right"/>
              <w:rPr>
                <w:rFonts w:eastAsia="Times New Roman"/>
                <w:noProof/>
                <w:sz w:val="22"/>
              </w:rPr>
            </w:pPr>
            <w:r w:rsidRPr="00DD39B9">
              <w:rPr>
                <w:noProof/>
                <w:sz w:val="22"/>
              </w:rPr>
              <w:t>Subtotal (b):</w:t>
            </w:r>
          </w:p>
          <w:p w:rsidR="001A62D7" w:rsidRPr="00DD39B9" w:rsidRDefault="001A62D7" w:rsidP="001D5990">
            <w:pPr>
              <w:spacing w:before="60" w:after="60"/>
              <w:jc w:val="right"/>
              <w:rPr>
                <w:rFonts w:eastAsia="Times New Roman"/>
                <w:noProof/>
                <w:sz w:val="22"/>
              </w:rPr>
            </w:pPr>
            <w:r w:rsidRPr="00DD39B9">
              <w:rPr>
                <w:noProof/>
                <w:sz w:val="22"/>
              </w:rPr>
              <w:t>Procentaj din pachetul de servicii personalizate:</w:t>
            </w:r>
          </w:p>
        </w:tc>
        <w:tc>
          <w:tcPr>
            <w:tcW w:w="3096" w:type="dxa"/>
            <w:gridSpan w:val="2"/>
            <w:vMerge w:val="restart"/>
            <w:shd w:val="clear" w:color="auto" w:fill="D9D9D9"/>
            <w:vAlign w:val="center"/>
          </w:tcPr>
          <w:p w:rsidR="001A62D7" w:rsidRPr="00DD39B9" w:rsidRDefault="001A62D7" w:rsidP="001D5990">
            <w:pPr>
              <w:spacing w:before="60" w:after="60"/>
              <w:jc w:val="center"/>
              <w:rPr>
                <w:rFonts w:eastAsia="Times New Roman"/>
                <w:noProof/>
                <w:sz w:val="22"/>
              </w:rPr>
            </w:pPr>
            <w:r w:rsidRPr="00DD39B9">
              <w:rPr>
                <w:noProof/>
                <w:sz w:val="22"/>
              </w:rPr>
              <w:t>–</w:t>
            </w:r>
          </w:p>
        </w:tc>
        <w:tc>
          <w:tcPr>
            <w:tcW w:w="1548" w:type="dxa"/>
            <w:tcBorders>
              <w:bottom w:val="nil"/>
            </w:tcBorders>
            <w:shd w:val="clear" w:color="auto" w:fill="auto"/>
            <w:vAlign w:val="center"/>
          </w:tcPr>
          <w:p w:rsidR="001A62D7" w:rsidRPr="00DD39B9" w:rsidRDefault="00114FDE" w:rsidP="001D5990">
            <w:pPr>
              <w:spacing w:before="60" w:after="60"/>
              <w:jc w:val="center"/>
              <w:rPr>
                <w:rFonts w:eastAsia="Times New Roman"/>
                <w:noProof/>
                <w:sz w:val="22"/>
              </w:rPr>
            </w:pPr>
            <w:r w:rsidRPr="00DD39B9">
              <w:rPr>
                <w:noProof/>
              </w:rPr>
              <w:t>997 920</w:t>
            </w:r>
          </w:p>
        </w:tc>
      </w:tr>
      <w:tr w:rsidR="001A62D7" w:rsidRPr="00DD39B9" w:rsidTr="001D5990">
        <w:trPr>
          <w:trHeight w:val="202"/>
        </w:trPr>
        <w:tc>
          <w:tcPr>
            <w:tcW w:w="4644" w:type="dxa"/>
            <w:vMerge/>
            <w:shd w:val="clear" w:color="auto" w:fill="auto"/>
            <w:vAlign w:val="center"/>
          </w:tcPr>
          <w:p w:rsidR="001A62D7" w:rsidRPr="00DD39B9"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DD39B9"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DD39B9" w:rsidRDefault="001A62D7" w:rsidP="001D5990">
            <w:pPr>
              <w:spacing w:before="60" w:after="60"/>
              <w:jc w:val="center"/>
              <w:rPr>
                <w:rFonts w:eastAsia="Times New Roman"/>
                <w:noProof/>
                <w:sz w:val="22"/>
              </w:rPr>
            </w:pPr>
            <w:r w:rsidRPr="00DD39B9">
              <w:rPr>
                <w:noProof/>
                <w:sz w:val="22"/>
              </w:rPr>
              <w:t>(</w:t>
            </w:r>
            <w:r w:rsidRPr="00DD39B9">
              <w:rPr>
                <w:noProof/>
              </w:rPr>
              <w:t xml:space="preserve">34,47 </w:t>
            </w:r>
            <w:r w:rsidRPr="00DD39B9">
              <w:rPr>
                <w:noProof/>
                <w:sz w:val="22"/>
              </w:rPr>
              <w:t>%)</w:t>
            </w:r>
          </w:p>
        </w:tc>
      </w:tr>
      <w:tr w:rsidR="001A62D7" w:rsidRPr="00DD39B9" w:rsidTr="001D5990">
        <w:tc>
          <w:tcPr>
            <w:tcW w:w="9288" w:type="dxa"/>
            <w:gridSpan w:val="4"/>
            <w:shd w:val="clear" w:color="auto" w:fill="auto"/>
            <w:vAlign w:val="center"/>
          </w:tcPr>
          <w:p w:rsidR="001A62D7" w:rsidRPr="00DD39B9" w:rsidRDefault="001A62D7" w:rsidP="001D5990">
            <w:pPr>
              <w:spacing w:before="60" w:after="60"/>
              <w:jc w:val="left"/>
              <w:rPr>
                <w:rFonts w:eastAsia="Times New Roman"/>
                <w:noProof/>
                <w:sz w:val="22"/>
              </w:rPr>
            </w:pPr>
            <w:r w:rsidRPr="00DD39B9">
              <w:rPr>
                <w:noProof/>
                <w:sz w:val="22"/>
              </w:rPr>
              <w:t>Activități în temeiul articolului 7 alineatul (5) din Regulamentul (UE) 2021/691</w:t>
            </w:r>
          </w:p>
        </w:tc>
      </w:tr>
      <w:tr w:rsidR="001A62D7" w:rsidRPr="00DD39B9" w:rsidTr="001D5990">
        <w:tc>
          <w:tcPr>
            <w:tcW w:w="4644" w:type="dxa"/>
            <w:shd w:val="clear" w:color="auto" w:fill="auto"/>
          </w:tcPr>
          <w:p w:rsidR="001A62D7" w:rsidRPr="00DD39B9" w:rsidRDefault="001A62D7" w:rsidP="001D5990">
            <w:pPr>
              <w:spacing w:before="60" w:after="60"/>
              <w:ind w:left="284"/>
              <w:jc w:val="left"/>
              <w:rPr>
                <w:rFonts w:eastAsia="Times New Roman"/>
                <w:noProof/>
                <w:sz w:val="22"/>
              </w:rPr>
            </w:pPr>
            <w:r w:rsidRPr="00DD39B9">
              <w:rPr>
                <w:noProof/>
                <w:sz w:val="22"/>
              </w:rPr>
              <w:t>1. Activități de pregătire</w:t>
            </w:r>
          </w:p>
        </w:tc>
        <w:tc>
          <w:tcPr>
            <w:tcW w:w="3096" w:type="dxa"/>
            <w:gridSpan w:val="2"/>
            <w:shd w:val="clear" w:color="auto" w:fill="D9D9D9"/>
            <w:vAlign w:val="center"/>
          </w:tcPr>
          <w:p w:rsidR="001A62D7" w:rsidRPr="00DD39B9" w:rsidRDefault="001A62D7" w:rsidP="001D5990">
            <w:pPr>
              <w:spacing w:before="60" w:after="60"/>
              <w:jc w:val="center"/>
              <w:rPr>
                <w:rFonts w:eastAsia="Times New Roman"/>
                <w:noProof/>
                <w:sz w:val="22"/>
              </w:rPr>
            </w:pPr>
            <w:r w:rsidRPr="00DD39B9">
              <w:rPr>
                <w:noProof/>
                <w:sz w:val="22"/>
              </w:rPr>
              <w:t>–</w:t>
            </w:r>
          </w:p>
        </w:tc>
        <w:tc>
          <w:tcPr>
            <w:tcW w:w="1548" w:type="dxa"/>
            <w:shd w:val="clear" w:color="auto" w:fill="auto"/>
          </w:tcPr>
          <w:p w:rsidR="001A62D7" w:rsidRPr="00DD39B9" w:rsidRDefault="0099782D" w:rsidP="001D5990">
            <w:pPr>
              <w:spacing w:before="60" w:after="60"/>
              <w:jc w:val="center"/>
              <w:rPr>
                <w:rFonts w:eastAsia="Times New Roman"/>
                <w:noProof/>
                <w:sz w:val="22"/>
              </w:rPr>
            </w:pPr>
            <w:r w:rsidRPr="00DD39B9">
              <w:rPr>
                <w:noProof/>
              </w:rPr>
              <w:t>0</w:t>
            </w:r>
          </w:p>
        </w:tc>
      </w:tr>
      <w:tr w:rsidR="001A62D7" w:rsidRPr="00DD39B9" w:rsidTr="001D5990">
        <w:tc>
          <w:tcPr>
            <w:tcW w:w="4644" w:type="dxa"/>
            <w:shd w:val="clear" w:color="auto" w:fill="auto"/>
          </w:tcPr>
          <w:p w:rsidR="001A62D7" w:rsidRPr="00DD39B9" w:rsidRDefault="001A62D7" w:rsidP="001D5990">
            <w:pPr>
              <w:spacing w:before="60" w:after="60"/>
              <w:ind w:left="284"/>
              <w:jc w:val="left"/>
              <w:rPr>
                <w:rFonts w:eastAsia="Times New Roman"/>
                <w:noProof/>
                <w:sz w:val="22"/>
              </w:rPr>
            </w:pPr>
            <w:r w:rsidRPr="00DD39B9">
              <w:rPr>
                <w:noProof/>
                <w:sz w:val="22"/>
              </w:rPr>
              <w:t>2. Gestionare</w:t>
            </w:r>
          </w:p>
        </w:tc>
        <w:tc>
          <w:tcPr>
            <w:tcW w:w="3096" w:type="dxa"/>
            <w:gridSpan w:val="2"/>
            <w:shd w:val="clear" w:color="auto" w:fill="D9D9D9"/>
            <w:vAlign w:val="center"/>
          </w:tcPr>
          <w:p w:rsidR="001A62D7" w:rsidRPr="00DD39B9" w:rsidRDefault="001A62D7" w:rsidP="001D5990">
            <w:pPr>
              <w:spacing w:before="60" w:after="60"/>
              <w:jc w:val="center"/>
              <w:rPr>
                <w:rFonts w:eastAsia="Times New Roman"/>
                <w:noProof/>
                <w:sz w:val="22"/>
              </w:rPr>
            </w:pPr>
            <w:r w:rsidRPr="00DD39B9">
              <w:rPr>
                <w:noProof/>
                <w:sz w:val="22"/>
              </w:rPr>
              <w:t>–</w:t>
            </w:r>
          </w:p>
        </w:tc>
        <w:tc>
          <w:tcPr>
            <w:tcW w:w="1548" w:type="dxa"/>
            <w:shd w:val="clear" w:color="auto" w:fill="auto"/>
          </w:tcPr>
          <w:p w:rsidR="001A62D7" w:rsidRPr="00DD39B9" w:rsidRDefault="007E4D4B" w:rsidP="001D5990">
            <w:pPr>
              <w:spacing w:before="60" w:after="60"/>
              <w:jc w:val="center"/>
              <w:rPr>
                <w:rFonts w:eastAsia="Times New Roman"/>
                <w:noProof/>
                <w:sz w:val="22"/>
              </w:rPr>
            </w:pPr>
            <w:r w:rsidRPr="00DD39B9">
              <w:rPr>
                <w:noProof/>
              </w:rPr>
              <w:t>115 920</w:t>
            </w:r>
          </w:p>
        </w:tc>
      </w:tr>
      <w:tr w:rsidR="001A62D7" w:rsidRPr="00DD39B9" w:rsidTr="001D5990">
        <w:tc>
          <w:tcPr>
            <w:tcW w:w="4644" w:type="dxa"/>
            <w:shd w:val="clear" w:color="auto" w:fill="auto"/>
          </w:tcPr>
          <w:p w:rsidR="001A62D7" w:rsidRPr="00DD39B9" w:rsidRDefault="001A62D7" w:rsidP="001D5990">
            <w:pPr>
              <w:spacing w:before="60" w:after="60"/>
              <w:ind w:left="284"/>
              <w:jc w:val="left"/>
              <w:rPr>
                <w:rFonts w:eastAsia="Times New Roman"/>
                <w:noProof/>
                <w:sz w:val="22"/>
              </w:rPr>
            </w:pPr>
            <w:r w:rsidRPr="00DD39B9">
              <w:rPr>
                <w:noProof/>
                <w:sz w:val="22"/>
              </w:rPr>
              <w:t>3. Informare și publicitate</w:t>
            </w:r>
          </w:p>
        </w:tc>
        <w:tc>
          <w:tcPr>
            <w:tcW w:w="3096" w:type="dxa"/>
            <w:gridSpan w:val="2"/>
            <w:shd w:val="clear" w:color="auto" w:fill="D9D9D9"/>
            <w:vAlign w:val="center"/>
          </w:tcPr>
          <w:p w:rsidR="001A62D7" w:rsidRPr="00DD39B9" w:rsidRDefault="001A62D7" w:rsidP="001D5990">
            <w:pPr>
              <w:spacing w:before="60" w:after="60"/>
              <w:jc w:val="center"/>
              <w:rPr>
                <w:rFonts w:eastAsia="Times New Roman"/>
                <w:noProof/>
                <w:sz w:val="22"/>
              </w:rPr>
            </w:pPr>
            <w:r w:rsidRPr="00DD39B9">
              <w:rPr>
                <w:noProof/>
                <w:sz w:val="22"/>
              </w:rPr>
              <w:t>–</w:t>
            </w:r>
          </w:p>
        </w:tc>
        <w:tc>
          <w:tcPr>
            <w:tcW w:w="1548" w:type="dxa"/>
            <w:shd w:val="clear" w:color="auto" w:fill="auto"/>
          </w:tcPr>
          <w:p w:rsidR="001A62D7" w:rsidRPr="00DD39B9" w:rsidRDefault="0099782D" w:rsidP="001D5990">
            <w:pPr>
              <w:spacing w:before="60" w:after="60"/>
              <w:jc w:val="center"/>
              <w:rPr>
                <w:rFonts w:eastAsia="Times New Roman"/>
                <w:noProof/>
                <w:sz w:val="22"/>
              </w:rPr>
            </w:pPr>
            <w:r w:rsidRPr="00DD39B9">
              <w:rPr>
                <w:noProof/>
              </w:rPr>
              <w:t>0</w:t>
            </w:r>
          </w:p>
        </w:tc>
      </w:tr>
      <w:tr w:rsidR="001A62D7" w:rsidRPr="00DD39B9" w:rsidTr="001D5990">
        <w:tc>
          <w:tcPr>
            <w:tcW w:w="4644" w:type="dxa"/>
            <w:shd w:val="clear" w:color="auto" w:fill="auto"/>
          </w:tcPr>
          <w:p w:rsidR="001A62D7" w:rsidRPr="00DD39B9" w:rsidRDefault="001A62D7" w:rsidP="001D5990">
            <w:pPr>
              <w:spacing w:before="60" w:after="60"/>
              <w:ind w:left="284"/>
              <w:jc w:val="left"/>
              <w:rPr>
                <w:rFonts w:eastAsia="Times New Roman"/>
                <w:noProof/>
                <w:sz w:val="22"/>
              </w:rPr>
            </w:pPr>
            <w:r w:rsidRPr="00DD39B9">
              <w:rPr>
                <w:noProof/>
                <w:sz w:val="22"/>
              </w:rPr>
              <w:t>4. Control și raportare</w:t>
            </w:r>
          </w:p>
        </w:tc>
        <w:tc>
          <w:tcPr>
            <w:tcW w:w="3096" w:type="dxa"/>
            <w:gridSpan w:val="2"/>
            <w:shd w:val="clear" w:color="auto" w:fill="D9D9D9"/>
            <w:vAlign w:val="center"/>
          </w:tcPr>
          <w:p w:rsidR="001A62D7" w:rsidRPr="00DD39B9" w:rsidRDefault="001A62D7" w:rsidP="001D5990">
            <w:pPr>
              <w:spacing w:before="60" w:after="60"/>
              <w:jc w:val="center"/>
              <w:rPr>
                <w:rFonts w:eastAsia="Times New Roman"/>
                <w:noProof/>
                <w:sz w:val="22"/>
              </w:rPr>
            </w:pPr>
            <w:r w:rsidRPr="00DD39B9">
              <w:rPr>
                <w:noProof/>
                <w:sz w:val="22"/>
              </w:rPr>
              <w:t>–</w:t>
            </w:r>
          </w:p>
        </w:tc>
        <w:tc>
          <w:tcPr>
            <w:tcW w:w="1548" w:type="dxa"/>
            <w:tcBorders>
              <w:bottom w:val="single" w:sz="4" w:space="0" w:color="auto"/>
            </w:tcBorders>
            <w:shd w:val="clear" w:color="auto" w:fill="auto"/>
          </w:tcPr>
          <w:p w:rsidR="001A62D7" w:rsidRPr="00DD39B9" w:rsidRDefault="0099782D" w:rsidP="001D5990">
            <w:pPr>
              <w:spacing w:before="60" w:after="60"/>
              <w:jc w:val="center"/>
              <w:rPr>
                <w:rFonts w:eastAsia="Times New Roman"/>
                <w:noProof/>
                <w:sz w:val="22"/>
              </w:rPr>
            </w:pPr>
            <w:r w:rsidRPr="00DD39B9">
              <w:rPr>
                <w:noProof/>
              </w:rPr>
              <w:t>0</w:t>
            </w:r>
          </w:p>
        </w:tc>
      </w:tr>
      <w:tr w:rsidR="001A62D7" w:rsidRPr="00DD39B9" w:rsidTr="001D5990">
        <w:trPr>
          <w:trHeight w:val="203"/>
        </w:trPr>
        <w:tc>
          <w:tcPr>
            <w:tcW w:w="4644" w:type="dxa"/>
            <w:vMerge w:val="restart"/>
            <w:shd w:val="clear" w:color="auto" w:fill="auto"/>
            <w:vAlign w:val="center"/>
          </w:tcPr>
          <w:p w:rsidR="001A62D7" w:rsidRPr="00DD39B9" w:rsidRDefault="001A62D7" w:rsidP="001D5990">
            <w:pPr>
              <w:spacing w:before="60" w:after="60"/>
              <w:jc w:val="right"/>
              <w:rPr>
                <w:rFonts w:eastAsia="Times New Roman"/>
                <w:noProof/>
                <w:sz w:val="22"/>
              </w:rPr>
            </w:pPr>
            <w:r w:rsidRPr="00DD39B9">
              <w:rPr>
                <w:noProof/>
                <w:sz w:val="22"/>
              </w:rPr>
              <w:t>Subtotal (c):</w:t>
            </w:r>
          </w:p>
          <w:p w:rsidR="001A62D7" w:rsidRPr="00DD39B9" w:rsidRDefault="001A62D7" w:rsidP="001D5990">
            <w:pPr>
              <w:spacing w:before="60" w:after="60"/>
              <w:jc w:val="right"/>
              <w:rPr>
                <w:rFonts w:eastAsia="Times New Roman"/>
                <w:noProof/>
                <w:sz w:val="22"/>
              </w:rPr>
            </w:pPr>
            <w:r w:rsidRPr="00DD39B9">
              <w:rPr>
                <w:noProof/>
                <w:sz w:val="22"/>
              </w:rPr>
              <w:t>Procentaj din costurile totale:</w:t>
            </w:r>
          </w:p>
        </w:tc>
        <w:tc>
          <w:tcPr>
            <w:tcW w:w="3096" w:type="dxa"/>
            <w:gridSpan w:val="2"/>
            <w:vMerge w:val="restart"/>
            <w:shd w:val="clear" w:color="auto" w:fill="D9D9D9"/>
            <w:vAlign w:val="center"/>
          </w:tcPr>
          <w:p w:rsidR="001A62D7" w:rsidRPr="00DD39B9" w:rsidRDefault="001A62D7" w:rsidP="001D5990">
            <w:pPr>
              <w:spacing w:before="0" w:after="0"/>
              <w:jc w:val="center"/>
              <w:rPr>
                <w:rFonts w:eastAsia="Times New Roman"/>
                <w:noProof/>
                <w:sz w:val="22"/>
              </w:rPr>
            </w:pPr>
            <w:r w:rsidRPr="00DD39B9">
              <w:rPr>
                <w:noProof/>
                <w:sz w:val="22"/>
              </w:rPr>
              <w:t>–</w:t>
            </w:r>
          </w:p>
        </w:tc>
        <w:tc>
          <w:tcPr>
            <w:tcW w:w="1548" w:type="dxa"/>
            <w:tcBorders>
              <w:bottom w:val="nil"/>
            </w:tcBorders>
            <w:shd w:val="clear" w:color="auto" w:fill="auto"/>
            <w:vAlign w:val="center"/>
          </w:tcPr>
          <w:p w:rsidR="001A62D7" w:rsidRPr="00DD39B9" w:rsidRDefault="007E4D4B" w:rsidP="001D5990">
            <w:pPr>
              <w:spacing w:before="60" w:after="60"/>
              <w:jc w:val="center"/>
              <w:rPr>
                <w:rFonts w:eastAsia="Times New Roman"/>
                <w:noProof/>
                <w:sz w:val="22"/>
              </w:rPr>
            </w:pPr>
            <w:r w:rsidRPr="00DD39B9">
              <w:rPr>
                <w:noProof/>
              </w:rPr>
              <w:t>115 920</w:t>
            </w:r>
          </w:p>
        </w:tc>
      </w:tr>
      <w:tr w:rsidR="001A62D7" w:rsidRPr="00DD39B9" w:rsidTr="001D5990">
        <w:trPr>
          <w:trHeight w:val="202"/>
        </w:trPr>
        <w:tc>
          <w:tcPr>
            <w:tcW w:w="4644" w:type="dxa"/>
            <w:vMerge/>
            <w:shd w:val="clear" w:color="auto" w:fill="auto"/>
          </w:tcPr>
          <w:p w:rsidR="001A62D7" w:rsidRPr="00DD39B9"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DD39B9"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DD39B9" w:rsidRDefault="001A62D7" w:rsidP="001D5990">
            <w:pPr>
              <w:spacing w:before="60" w:after="60"/>
              <w:jc w:val="center"/>
              <w:rPr>
                <w:rFonts w:eastAsia="Times New Roman"/>
                <w:noProof/>
                <w:sz w:val="22"/>
              </w:rPr>
            </w:pPr>
            <w:r w:rsidRPr="00DD39B9">
              <w:rPr>
                <w:noProof/>
                <w:sz w:val="22"/>
              </w:rPr>
              <w:t>(</w:t>
            </w:r>
            <w:r w:rsidRPr="00DD39B9">
              <w:rPr>
                <w:noProof/>
              </w:rPr>
              <w:t xml:space="preserve">3,85 </w:t>
            </w:r>
            <w:r w:rsidRPr="00DD39B9">
              <w:rPr>
                <w:noProof/>
                <w:sz w:val="22"/>
              </w:rPr>
              <w:t>%)</w:t>
            </w:r>
          </w:p>
        </w:tc>
      </w:tr>
      <w:tr w:rsidR="001A62D7" w:rsidRPr="00DD39B9" w:rsidTr="001D5990">
        <w:tc>
          <w:tcPr>
            <w:tcW w:w="4644" w:type="dxa"/>
            <w:shd w:val="clear" w:color="auto" w:fill="auto"/>
          </w:tcPr>
          <w:p w:rsidR="001A62D7" w:rsidRPr="00DD39B9" w:rsidRDefault="001A62D7" w:rsidP="001D5990">
            <w:pPr>
              <w:spacing w:before="60" w:after="60"/>
              <w:jc w:val="left"/>
              <w:rPr>
                <w:rFonts w:eastAsia="Times New Roman"/>
                <w:noProof/>
                <w:sz w:val="22"/>
              </w:rPr>
            </w:pPr>
            <w:r w:rsidRPr="00DD39B9">
              <w:rPr>
                <w:noProof/>
                <w:sz w:val="22"/>
              </w:rPr>
              <w:t>Costuri totale (a + b + c):</w:t>
            </w:r>
          </w:p>
        </w:tc>
        <w:tc>
          <w:tcPr>
            <w:tcW w:w="3096" w:type="dxa"/>
            <w:gridSpan w:val="2"/>
            <w:shd w:val="clear" w:color="auto" w:fill="D9D9D9"/>
            <w:vAlign w:val="center"/>
          </w:tcPr>
          <w:p w:rsidR="001A62D7" w:rsidRPr="00DD39B9" w:rsidRDefault="001A62D7" w:rsidP="001D5990">
            <w:pPr>
              <w:spacing w:before="60" w:after="60"/>
              <w:jc w:val="center"/>
              <w:rPr>
                <w:rFonts w:eastAsia="Times New Roman"/>
                <w:noProof/>
                <w:sz w:val="22"/>
              </w:rPr>
            </w:pPr>
            <w:r w:rsidRPr="00DD39B9">
              <w:rPr>
                <w:noProof/>
                <w:sz w:val="22"/>
              </w:rPr>
              <w:t>–</w:t>
            </w:r>
          </w:p>
        </w:tc>
        <w:tc>
          <w:tcPr>
            <w:tcW w:w="1548" w:type="dxa"/>
            <w:shd w:val="clear" w:color="auto" w:fill="auto"/>
          </w:tcPr>
          <w:p w:rsidR="001A62D7" w:rsidRPr="00DD39B9" w:rsidRDefault="007E4D4B" w:rsidP="001D5990">
            <w:pPr>
              <w:spacing w:before="60" w:after="60"/>
              <w:jc w:val="center"/>
              <w:rPr>
                <w:noProof/>
                <w:sz w:val="22"/>
              </w:rPr>
            </w:pPr>
            <w:r w:rsidRPr="00DD39B9">
              <w:rPr>
                <w:noProof/>
              </w:rPr>
              <w:t>3 011 040</w:t>
            </w:r>
          </w:p>
        </w:tc>
      </w:tr>
      <w:tr w:rsidR="001A62D7" w:rsidRPr="00DD39B9" w:rsidTr="001D5990">
        <w:tc>
          <w:tcPr>
            <w:tcW w:w="4644" w:type="dxa"/>
            <w:shd w:val="clear" w:color="auto" w:fill="auto"/>
          </w:tcPr>
          <w:p w:rsidR="001A62D7" w:rsidRPr="00DD39B9" w:rsidRDefault="001A62D7" w:rsidP="001D5990">
            <w:pPr>
              <w:spacing w:before="60" w:after="60"/>
              <w:jc w:val="left"/>
              <w:rPr>
                <w:rFonts w:eastAsia="Times New Roman"/>
                <w:noProof/>
                <w:sz w:val="22"/>
              </w:rPr>
            </w:pPr>
            <w:r w:rsidRPr="00DD39B9">
              <w:rPr>
                <w:noProof/>
              </w:rPr>
              <w:t>Contribuția din partea FEG (60 % din costurile totale)</w:t>
            </w:r>
          </w:p>
        </w:tc>
        <w:tc>
          <w:tcPr>
            <w:tcW w:w="3096" w:type="dxa"/>
            <w:gridSpan w:val="2"/>
            <w:shd w:val="clear" w:color="auto" w:fill="D9D9D9"/>
            <w:vAlign w:val="center"/>
          </w:tcPr>
          <w:p w:rsidR="001A62D7" w:rsidRPr="00DD39B9" w:rsidRDefault="001A62D7" w:rsidP="001D5990">
            <w:pPr>
              <w:spacing w:before="60" w:after="60"/>
              <w:jc w:val="center"/>
              <w:rPr>
                <w:rFonts w:eastAsia="Times New Roman"/>
                <w:noProof/>
                <w:sz w:val="22"/>
              </w:rPr>
            </w:pPr>
            <w:r w:rsidRPr="00DD39B9">
              <w:rPr>
                <w:noProof/>
                <w:sz w:val="22"/>
              </w:rPr>
              <w:t>–</w:t>
            </w:r>
          </w:p>
        </w:tc>
        <w:tc>
          <w:tcPr>
            <w:tcW w:w="1548" w:type="dxa"/>
            <w:shd w:val="clear" w:color="auto" w:fill="auto"/>
          </w:tcPr>
          <w:p w:rsidR="001A62D7" w:rsidRPr="00DD39B9" w:rsidRDefault="00F2725D" w:rsidP="001D5990">
            <w:pPr>
              <w:spacing w:before="60" w:after="60"/>
              <w:jc w:val="center"/>
              <w:rPr>
                <w:rFonts w:eastAsia="Times New Roman"/>
                <w:noProof/>
                <w:sz w:val="22"/>
              </w:rPr>
            </w:pPr>
            <w:r w:rsidRPr="00DD39B9">
              <w:rPr>
                <w:noProof/>
              </w:rPr>
              <w:t>1 806 624</w:t>
            </w:r>
          </w:p>
        </w:tc>
      </w:tr>
    </w:tbl>
    <w:bookmarkEnd w:id="5"/>
    <w:p w:rsidR="001A62D7" w:rsidRPr="00DD39B9" w:rsidRDefault="001A62D7" w:rsidP="00AE7D04">
      <w:pPr>
        <w:pStyle w:val="ManualNumPar1"/>
        <w:rPr>
          <w:noProof/>
          <w:szCs w:val="20"/>
        </w:rPr>
      </w:pPr>
      <w:r>
        <w:rPr>
          <w:noProof/>
        </w:rPr>
        <w:t>39.</w:t>
      </w:r>
      <w:r>
        <w:rPr>
          <w:noProof/>
        </w:rPr>
        <w:tab/>
      </w:r>
      <w:r w:rsidRPr="00DD39B9">
        <w:rPr>
          <w:noProof/>
        </w:rPr>
        <w:t>Costurile măsurilor identificate în tabelul de mai sus ca măsuri adoptate în temeiul articolului 7 alineatul (2) al doilea paragraf litera (b) din Regulamentul (UE) 2021/691 nu depășesc 35 % din costurile totale ale pachetului coordonat de servicii personalizate. Austria a confirmat că aceste măsuri sunt condiționate de participarea activă a beneficiarilor vizați la activități de căutare a unui loc de muncă sau de formare.</w:t>
      </w:r>
    </w:p>
    <w:p w:rsidR="001A62D7" w:rsidRPr="00DD39B9" w:rsidRDefault="001A62D7" w:rsidP="001A62D7">
      <w:pPr>
        <w:pStyle w:val="ManualHeading3"/>
        <w:rPr>
          <w:noProof/>
        </w:rPr>
      </w:pPr>
      <w:r w:rsidRPr="00DD39B9">
        <w:rPr>
          <w:noProof/>
        </w:rPr>
        <w:t>Perioada de eligibilitate a cheltuielilor</w:t>
      </w:r>
    </w:p>
    <w:p w:rsidR="001A62D7" w:rsidRPr="00DD39B9" w:rsidRDefault="002779F6" w:rsidP="00AE7D04">
      <w:pPr>
        <w:pStyle w:val="ManualNumPar1"/>
        <w:rPr>
          <w:noProof/>
        </w:rPr>
      </w:pPr>
      <w:r>
        <w:rPr>
          <w:noProof/>
        </w:rPr>
        <w:t>40.</w:t>
      </w:r>
      <w:r>
        <w:rPr>
          <w:noProof/>
        </w:rPr>
        <w:tab/>
      </w:r>
      <w:r w:rsidRPr="00DD39B9">
        <w:rPr>
          <w:noProof/>
        </w:rPr>
        <w:t>Austria a început prestarea serviciilor personalizate către beneficiarii vizați la 1 martie 2025. Prin urmare, cheltuielile aferente măsurilor vor fi eligibile pentru o contribuție financiară din FEG de la 1 martie 2025, pentru o perioadă de 24 de luni de la data intrării în vigoare a deciziei de finanțare.</w:t>
      </w:r>
    </w:p>
    <w:p w:rsidR="001A62D7" w:rsidRPr="00DD39B9" w:rsidRDefault="002779F6" w:rsidP="00AE7D04">
      <w:pPr>
        <w:pStyle w:val="ManualNumPar1"/>
        <w:rPr>
          <w:noProof/>
        </w:rPr>
      </w:pPr>
      <w:r>
        <w:rPr>
          <w:noProof/>
        </w:rPr>
        <w:t>41.</w:t>
      </w:r>
      <w:r>
        <w:rPr>
          <w:noProof/>
        </w:rPr>
        <w:tab/>
      </w:r>
      <w:r w:rsidRPr="00DD39B9">
        <w:rPr>
          <w:noProof/>
        </w:rPr>
        <w:t>Austria a început plata cheltuielilor administrative pentru punerea în aplicare a FEG la 1 martie 2025. Prin urmare, cheltuielile pentru activitățile de pregătire, gestionare, informare și publicitate, control și raportare sunt eligibile pentru o contribuție financiară din FEG începând cu 1 martie 2025, pentru o perioadă de 31 de luni de la data intrării în vigoare a deciziei de finanțare.</w:t>
      </w:r>
    </w:p>
    <w:p w:rsidR="001A62D7" w:rsidRPr="00DD39B9" w:rsidRDefault="001A62D7" w:rsidP="001A62D7">
      <w:pPr>
        <w:pStyle w:val="ManualHeading2"/>
        <w:rPr>
          <w:noProof/>
        </w:rPr>
      </w:pPr>
      <w:r w:rsidRPr="00DD39B9">
        <w:rPr>
          <w:noProof/>
        </w:rPr>
        <w:t>Sisteme de gestionare și control</w:t>
      </w:r>
    </w:p>
    <w:p w:rsidR="001A62D7" w:rsidRPr="00DD39B9" w:rsidRDefault="001A62D7" w:rsidP="00E507DA">
      <w:pPr>
        <w:pStyle w:val="ManualNumPar1"/>
        <w:rPr>
          <w:noProof/>
        </w:rPr>
      </w:pPr>
      <w:r>
        <w:rPr>
          <w:noProof/>
        </w:rPr>
        <w:t>42.</w:t>
      </w:r>
      <w:r>
        <w:rPr>
          <w:noProof/>
        </w:rPr>
        <w:tab/>
      </w:r>
      <w:r w:rsidRPr="00DD39B9">
        <w:rPr>
          <w:noProof/>
        </w:rPr>
        <w:t xml:space="preserve">Cererea conține o descriere a sistemului de gestionare și control prevăzut la articolul 23 din Regulamentul (UE) 2021/691, care precizează responsabilitățile organismelor implicate. Austria a notificat Comisiei faptul că, printr-un acord administrativ între Ministerul Federal al Muncii, Afacerilor Sociale, Sănătății, Îngrijirii și Protecției Consumatorilor din Austria (unitatea IX/A/3), în calitate de autoritate austriacă de gestionare a FEG, și Austria Superioară, contribuția financiară va fi gestionată de Ministerul Economiei și Cercetării din Austria Superioară. </w:t>
      </w:r>
      <w:bookmarkStart w:id="6" w:name="_Hlk216665390"/>
      <w:r w:rsidRPr="00DD39B9">
        <w:rPr>
          <w:noProof/>
        </w:rPr>
        <w:t xml:space="preserve">Funcția de control de prim nivel a fost externalizată către Public Management &amp; Consulting GmbH, Viena. </w:t>
      </w:r>
      <w:r w:rsidRPr="00DD39B9">
        <w:rPr>
          <w:noProof/>
        </w:rPr>
        <w:lastRenderedPageBreak/>
        <w:t>Funcția autorității de audit este îndeplinită de același departament din cadrul Direcției pentru planificare regională, dezvoltare economică și rurală din Austria Superioară, care acționează și ca autoritate de audit din Austria Superioară pentru Fondul european de dezvoltare regională, precum și pentru Fondul pentru o tranziție justă. Prin urmare, autoritatea de audit funcționează separat și independent de Ministerul Economiei și Cercetării pentru a asigura o separare adecvată a sarcinilor.</w:t>
      </w:r>
      <w:bookmarkEnd w:id="6"/>
    </w:p>
    <w:p w:rsidR="001A62D7" w:rsidRPr="00DD39B9" w:rsidRDefault="001A62D7" w:rsidP="001A62D7">
      <w:pPr>
        <w:pStyle w:val="ManualHeading2"/>
        <w:rPr>
          <w:noProof/>
        </w:rPr>
      </w:pPr>
      <w:r w:rsidRPr="00DD39B9">
        <w:rPr>
          <w:noProof/>
        </w:rPr>
        <w:t>Angajamentele asumate de statul membru în cauză</w:t>
      </w:r>
    </w:p>
    <w:p w:rsidR="001A62D7" w:rsidRPr="00DD39B9" w:rsidRDefault="002779F6" w:rsidP="00AE7D04">
      <w:pPr>
        <w:pStyle w:val="ManualNumPar1"/>
        <w:rPr>
          <w:noProof/>
        </w:rPr>
      </w:pPr>
      <w:r>
        <w:rPr>
          <w:noProof/>
        </w:rPr>
        <w:t>43.</w:t>
      </w:r>
      <w:r>
        <w:rPr>
          <w:noProof/>
        </w:rPr>
        <w:tab/>
      </w:r>
      <w:r w:rsidRPr="00DD39B9">
        <w:rPr>
          <w:noProof/>
        </w:rPr>
        <w:t xml:space="preserve">Austria a oferit toate garanțiile necesare cu privire la următoarele: </w:t>
      </w:r>
    </w:p>
    <w:p w:rsidR="001A62D7" w:rsidRPr="00DD39B9" w:rsidRDefault="001A62D7" w:rsidP="001A62D7">
      <w:pPr>
        <w:pStyle w:val="Tiret1"/>
        <w:rPr>
          <w:noProof/>
        </w:rPr>
      </w:pPr>
      <w:r w:rsidRPr="00DD39B9">
        <w:rPr>
          <w:noProof/>
        </w:rPr>
        <w:t>în contextul accesului la măsurile propuse și al punerii în aplicare a acestora, vor fi respectate principiul egalității de tratament și principiul nediscriminării,</w:t>
      </w:r>
    </w:p>
    <w:p w:rsidR="001A62D7" w:rsidRPr="00DD39B9" w:rsidRDefault="001A62D7" w:rsidP="001A62D7">
      <w:pPr>
        <w:pStyle w:val="Tiret1"/>
        <w:rPr>
          <w:noProof/>
        </w:rPr>
      </w:pPr>
      <w:r w:rsidRPr="00DD39B9">
        <w:rPr>
          <w:noProof/>
        </w:rPr>
        <w:t>au fost îndeplinite cerințele prevăzute de legislația națională și de legislația UE în ceea ce privește concedierile colective,</w:t>
      </w:r>
    </w:p>
    <w:p w:rsidR="001A62D7" w:rsidRPr="00DD39B9" w:rsidRDefault="001A62D7" w:rsidP="001A62D7">
      <w:pPr>
        <w:pStyle w:val="Tiret1"/>
        <w:rPr>
          <w:noProof/>
        </w:rPr>
      </w:pPr>
      <w:r w:rsidRPr="00DD39B9">
        <w:rPr>
          <w:noProof/>
        </w:rPr>
        <w:t>se va evita orice fel de dublă finanțare,</w:t>
      </w:r>
    </w:p>
    <w:p w:rsidR="001A62D7" w:rsidRPr="00DD39B9" w:rsidRDefault="001A62D7" w:rsidP="001A62D7">
      <w:pPr>
        <w:pStyle w:val="Tiret1"/>
        <w:rPr>
          <w:noProof/>
        </w:rPr>
      </w:pPr>
      <w:r w:rsidRPr="00DD39B9">
        <w:rPr>
          <w:noProof/>
        </w:rPr>
        <w:t>contribuția financiară din partea FEG va respecta normele procedurale și de fond ale Uniunii privind ajutoarele de stat.</w:t>
      </w:r>
    </w:p>
    <w:p w:rsidR="001A62D7" w:rsidRPr="00DD39B9" w:rsidRDefault="001A62D7" w:rsidP="001A62D7">
      <w:pPr>
        <w:pStyle w:val="ManualHeading1"/>
        <w:rPr>
          <w:noProof/>
        </w:rPr>
      </w:pPr>
      <w:r w:rsidRPr="00DD39B9">
        <w:rPr>
          <w:noProof/>
        </w:rPr>
        <w:t>IMPLICAȚII BUGETARE</w:t>
      </w:r>
    </w:p>
    <w:p w:rsidR="001A62D7" w:rsidRPr="00DD39B9" w:rsidRDefault="001A62D7" w:rsidP="001A62D7">
      <w:pPr>
        <w:pStyle w:val="ManualHeading2"/>
        <w:rPr>
          <w:noProof/>
        </w:rPr>
      </w:pPr>
      <w:r w:rsidRPr="00DD39B9">
        <w:rPr>
          <w:noProof/>
        </w:rPr>
        <w:t>Propunerea bugetară</w:t>
      </w:r>
    </w:p>
    <w:p w:rsidR="001A62D7" w:rsidRPr="00DD39B9" w:rsidRDefault="001A62D7" w:rsidP="00AE7D04">
      <w:pPr>
        <w:pStyle w:val="ManualNumPar1"/>
        <w:rPr>
          <w:noProof/>
        </w:rPr>
      </w:pPr>
      <w:r>
        <w:rPr>
          <w:noProof/>
        </w:rPr>
        <w:t>44.</w:t>
      </w:r>
      <w:r>
        <w:rPr>
          <w:noProof/>
        </w:rPr>
        <w:tab/>
      </w:r>
      <w:r w:rsidRPr="00DD39B9">
        <w:rPr>
          <w:noProof/>
        </w:rPr>
        <w:t>FEG nu trebuie să depășească un cuantum anual de maximum 30 de milioane EUR (la prețurile din 2018), astfel cum se prevede la articolul 8 din Regulamentul (UE, Euratom) 2020/2093 al Consiliului din 17 decembrie 2020 de stabilire a cadrului financiar multianual pentru perioada 2021-2027</w:t>
      </w:r>
      <w:r w:rsidRPr="00DD39B9">
        <w:rPr>
          <w:rStyle w:val="FootnoteReference"/>
          <w:noProof/>
        </w:rPr>
        <w:footnoteReference w:id="14"/>
      </w:r>
      <w:r w:rsidRPr="00DD39B9">
        <w:rPr>
          <w:noProof/>
        </w:rPr>
        <w:t xml:space="preserve"> modificat prin Regulamentul (UE, Euratom) 2024/765 al Consiliului din 29 februarie 2024</w:t>
      </w:r>
      <w:r w:rsidRPr="00DD39B9">
        <w:rPr>
          <w:rStyle w:val="FootnoteReference"/>
          <w:noProof/>
        </w:rPr>
        <w:footnoteReference w:id="15"/>
      </w:r>
      <w:r w:rsidRPr="00DD39B9">
        <w:rPr>
          <w:noProof/>
        </w:rPr>
        <w:t>.</w:t>
      </w:r>
    </w:p>
    <w:p w:rsidR="001A62D7" w:rsidRPr="00DD39B9" w:rsidRDefault="001A62D7" w:rsidP="00AE7D04">
      <w:pPr>
        <w:pStyle w:val="ManualNumPar1"/>
        <w:rPr>
          <w:rFonts w:eastAsia="Calibri"/>
          <w:noProof/>
        </w:rPr>
      </w:pPr>
      <w:r>
        <w:rPr>
          <w:noProof/>
        </w:rPr>
        <w:t>45.</w:t>
      </w:r>
      <w:r>
        <w:rPr>
          <w:noProof/>
        </w:rPr>
        <w:tab/>
      </w:r>
      <w:r w:rsidRPr="00DD39B9">
        <w:rPr>
          <w:noProof/>
        </w:rPr>
        <w:t>După examinarea cererii în conformitate cu condițiile stabilite la articolul 13 alineatele (1) și (2) din Regulamentul (UE) 2021/691 și luând în considerare numărul de beneficiari vizați, măsurile propuse și costurile estimate, Comisia propune mobilizarea FEG pentru suma de 1 806 624 EUR, reprezentând 60 % din costurile totale ale măsurilor propuse, cu scopul de a furniza o contribuție financiară ca răspuns la cerere.</w:t>
      </w:r>
    </w:p>
    <w:p w:rsidR="001A62D7" w:rsidRPr="00DD39B9" w:rsidRDefault="001A62D7" w:rsidP="00AE7D04">
      <w:pPr>
        <w:pStyle w:val="ManualNumPar1"/>
        <w:rPr>
          <w:rFonts w:eastAsia="Times New Roman"/>
          <w:noProof/>
        </w:rPr>
      </w:pPr>
      <w:r>
        <w:rPr>
          <w:noProof/>
        </w:rPr>
        <w:t>46.</w:t>
      </w:r>
      <w:r>
        <w:rPr>
          <w:noProof/>
        </w:rPr>
        <w:tab/>
      </w:r>
      <w:r w:rsidRPr="00DD39B9">
        <w:rPr>
          <w:noProof/>
        </w:rPr>
        <w:t>Decizia propusă privind mobilizarea FEG va fi adoptată în comun de Parlamentul European și de Consiliu, în conformitate cu articolul 15 alineatul (1) primul paragraf a doua teză din Regulamentul (UE) 2021/691 și astfel cum se prevede la punctul 9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DD39B9">
        <w:rPr>
          <w:rStyle w:val="FootnoteReference"/>
          <w:noProof/>
        </w:rPr>
        <w:footnoteReference w:id="16"/>
      </w:r>
      <w:r w:rsidRPr="00DD39B9">
        <w:rPr>
          <w:noProof/>
        </w:rPr>
        <w:t>.</w:t>
      </w:r>
    </w:p>
    <w:p w:rsidR="001A62D7" w:rsidRPr="00DD39B9" w:rsidRDefault="001A62D7" w:rsidP="001A62D7">
      <w:pPr>
        <w:pStyle w:val="ManualHeading2"/>
        <w:rPr>
          <w:noProof/>
        </w:rPr>
      </w:pPr>
      <w:r w:rsidRPr="00DD39B9">
        <w:rPr>
          <w:noProof/>
        </w:rPr>
        <w:t>Acte conexe</w:t>
      </w:r>
    </w:p>
    <w:p w:rsidR="001A62D7" w:rsidRPr="00DD39B9" w:rsidRDefault="001A62D7" w:rsidP="00AE7D04">
      <w:pPr>
        <w:pStyle w:val="ManualNumPar1"/>
        <w:rPr>
          <w:noProof/>
        </w:rPr>
      </w:pPr>
      <w:r>
        <w:rPr>
          <w:noProof/>
        </w:rPr>
        <w:t>47.</w:t>
      </w:r>
      <w:r>
        <w:rPr>
          <w:noProof/>
        </w:rPr>
        <w:tab/>
      </w:r>
      <w:r w:rsidRPr="00DD39B9">
        <w:rPr>
          <w:noProof/>
        </w:rPr>
        <w:t>În același timp cu prezentarea acestei propuneri de decizie privind mobilizarea FEG, Comisia va prezenta Parlamentului European și Consiliului o propunere de transfer al cuantumului de 1 806 624 EUR către linia bugetară relevantă.</w:t>
      </w:r>
    </w:p>
    <w:p w:rsidR="001A62D7" w:rsidRPr="00DD39B9" w:rsidRDefault="001A62D7" w:rsidP="00AE7D04">
      <w:pPr>
        <w:pStyle w:val="ManualNumPar1"/>
        <w:rPr>
          <w:noProof/>
        </w:rPr>
      </w:pPr>
      <w:r>
        <w:rPr>
          <w:noProof/>
        </w:rPr>
        <w:lastRenderedPageBreak/>
        <w:t>48.</w:t>
      </w:r>
      <w:r>
        <w:rPr>
          <w:noProof/>
        </w:rPr>
        <w:tab/>
      </w:r>
      <w:r w:rsidRPr="00DD39B9">
        <w:rPr>
          <w:noProof/>
        </w:rPr>
        <w:t>Concomitent cu adoptarea prezentei propuneri de decizie privind mobilizarea FEG, Comisia a adoptat o decizie privind o contribuție financiară, care constituie o decizie de finanțare în sensul articolului 110 din Regulamentul (UE, Euratom) 2024/2509</w:t>
      </w:r>
      <w:r w:rsidRPr="00DD39B9">
        <w:rPr>
          <w:rStyle w:val="FootnoteReference"/>
          <w:noProof/>
        </w:rPr>
        <w:footnoteReference w:id="17"/>
      </w:r>
      <w:r w:rsidRPr="00DD39B9">
        <w:rPr>
          <w:noProof/>
        </w:rPr>
        <w:t>. Respectiva decizie de finanțare va intra în vigoare la data la care Comisiei i se notifică aprobarea transferului bugetar de către Parlamentul European și Consiliu în conformitate cu articolul 15 alineatul (2) primul paragraf din Regulamentul (UE) 2021/691.</w:t>
      </w:r>
    </w:p>
    <w:p w:rsidR="001A62D7" w:rsidRPr="00DD39B9" w:rsidRDefault="001A62D7" w:rsidP="001A62D7">
      <w:pPr>
        <w:rPr>
          <w:noProof/>
        </w:rPr>
        <w:sectPr w:rsidR="001A62D7" w:rsidRPr="00DD39B9" w:rsidSect="000E165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687406" w:rsidRDefault="005B7BD2">
      <w:pPr>
        <w:pStyle w:val="Rfrenceinterinstitutionnelle"/>
        <w:rPr>
          <w:noProof/>
        </w:rPr>
      </w:pPr>
      <w:r>
        <w:rPr>
          <w:noProof/>
        </w:rPr>
        <w:lastRenderedPageBreak/>
        <w:t>2026/0037 (BUD)</w:t>
      </w:r>
    </w:p>
    <w:p w:rsidR="001A62D7" w:rsidRPr="00DD39B9" w:rsidRDefault="00991E24" w:rsidP="00991E24">
      <w:pPr>
        <w:pStyle w:val="Statut"/>
        <w:rPr>
          <w:noProof/>
        </w:rPr>
      </w:pPr>
      <w:r w:rsidRPr="00DD39B9">
        <w:rPr>
          <w:noProof/>
        </w:rPr>
        <w:t>Propunere de</w:t>
      </w:r>
    </w:p>
    <w:p w:rsidR="001A62D7" w:rsidRPr="00DD39B9" w:rsidRDefault="00991E24" w:rsidP="00991E24">
      <w:pPr>
        <w:pStyle w:val="Typedudocument"/>
        <w:rPr>
          <w:noProof/>
        </w:rPr>
      </w:pPr>
      <w:r w:rsidRPr="00DD39B9">
        <w:rPr>
          <w:noProof/>
        </w:rPr>
        <w:t>DECIZIE A PARLAMENTULUI EUROPEAN ȘI A CONSILIULUI</w:t>
      </w:r>
    </w:p>
    <w:p w:rsidR="001A62D7" w:rsidRPr="00DD39B9" w:rsidRDefault="00991E24" w:rsidP="00991E24">
      <w:pPr>
        <w:pStyle w:val="Titreobjet"/>
        <w:rPr>
          <w:noProof/>
        </w:rPr>
      </w:pPr>
      <w:r w:rsidRPr="00DD39B9">
        <w:rPr>
          <w:noProof/>
        </w:rPr>
        <w:t>privind mobilizarea Fondului european de ajustare la globalizare pentru lucrătorii disponibilizați în urma unei cereri din partea Austriei – EGF/2025/005 AT/KTM</w:t>
      </w:r>
    </w:p>
    <w:p w:rsidR="001A62D7" w:rsidRPr="00DD39B9" w:rsidRDefault="001A62D7" w:rsidP="001A62D7">
      <w:pPr>
        <w:pStyle w:val="Institutionquiagit"/>
        <w:rPr>
          <w:noProof/>
        </w:rPr>
      </w:pPr>
      <w:r w:rsidRPr="00DD39B9">
        <w:rPr>
          <w:noProof/>
        </w:rPr>
        <w:t>PARLAMENTUL EUROPEAN ȘI CONSILIUL UNIUNII EUROPENE,</w:t>
      </w:r>
    </w:p>
    <w:p w:rsidR="001A62D7" w:rsidRPr="00DD39B9" w:rsidRDefault="001A62D7" w:rsidP="001A62D7">
      <w:pPr>
        <w:rPr>
          <w:noProof/>
        </w:rPr>
      </w:pPr>
      <w:r w:rsidRPr="00DD39B9">
        <w:rPr>
          <w:noProof/>
        </w:rPr>
        <w:t>având în vedere Tratatul privind funcționarea Uniunii Europene,</w:t>
      </w:r>
    </w:p>
    <w:p w:rsidR="001A62D7" w:rsidRPr="00DD39B9" w:rsidRDefault="001A62D7" w:rsidP="001A62D7">
      <w:pPr>
        <w:rPr>
          <w:noProof/>
        </w:rPr>
      </w:pPr>
      <w:r w:rsidRPr="00DD39B9">
        <w:rPr>
          <w:noProof/>
        </w:rPr>
        <w:t>având în vedere Regulamentul (UE) 2021/691 al Parlamentului European și al Consiliului din 28 aprilie 2021 privind Fondul european de ajustare la globalizare pentru lucrătorii disponibilizați (FEG) și de abrogare a Regulamentului (UE) nr. 1309/2013</w:t>
      </w:r>
      <w:r w:rsidRPr="00DD39B9">
        <w:rPr>
          <w:rStyle w:val="FootnoteReference"/>
          <w:noProof/>
        </w:rPr>
        <w:footnoteReference w:id="18"/>
      </w:r>
      <w:r w:rsidRPr="00DD39B9">
        <w:rPr>
          <w:noProof/>
        </w:rPr>
        <w:t>, în special articolul 15 alineatul (1) primul paragraf,</w:t>
      </w:r>
    </w:p>
    <w:p w:rsidR="001A62D7" w:rsidRPr="00DD39B9" w:rsidRDefault="001A62D7" w:rsidP="001A62D7">
      <w:pPr>
        <w:rPr>
          <w:noProof/>
        </w:rPr>
      </w:pPr>
      <w:r w:rsidRPr="00DD39B9">
        <w:rPr>
          <w:noProof/>
        </w:rPr>
        <w:t>având în vedere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DD39B9">
        <w:rPr>
          <w:rStyle w:val="FootnoteReference"/>
          <w:noProof/>
        </w:rPr>
        <w:footnoteReference w:id="19"/>
      </w:r>
      <w:r w:rsidRPr="00DD39B9">
        <w:rPr>
          <w:noProof/>
        </w:rPr>
        <w:t>, în special punctul 9,</w:t>
      </w:r>
    </w:p>
    <w:p w:rsidR="001A62D7" w:rsidRPr="00DD39B9" w:rsidRDefault="001A62D7" w:rsidP="001A62D7">
      <w:pPr>
        <w:rPr>
          <w:noProof/>
        </w:rPr>
      </w:pPr>
      <w:r w:rsidRPr="00DD39B9">
        <w:rPr>
          <w:noProof/>
        </w:rPr>
        <w:t>având în vedere propunerea Comisiei Europene,</w:t>
      </w:r>
    </w:p>
    <w:p w:rsidR="001A62D7" w:rsidRPr="00DD39B9" w:rsidRDefault="001A62D7" w:rsidP="001A62D7">
      <w:pPr>
        <w:rPr>
          <w:noProof/>
        </w:rPr>
      </w:pPr>
      <w:r w:rsidRPr="00DD39B9">
        <w:rPr>
          <w:noProof/>
        </w:rPr>
        <w:t>întrucât:</w:t>
      </w:r>
    </w:p>
    <w:p w:rsidR="001A62D7" w:rsidRPr="00DD39B9" w:rsidRDefault="001A62D7" w:rsidP="00AE7D04">
      <w:pPr>
        <w:pStyle w:val="ManualConsidrant"/>
        <w:rPr>
          <w:noProof/>
        </w:rPr>
      </w:pPr>
      <w:r>
        <w:rPr>
          <w:noProof/>
        </w:rPr>
        <w:t>(1)</w:t>
      </w:r>
      <w:r>
        <w:rPr>
          <w:noProof/>
        </w:rPr>
        <w:tab/>
      </w:r>
      <w:r w:rsidRPr="00DD39B9">
        <w:rPr>
          <w:noProof/>
        </w:rPr>
        <w:t xml:space="preserve">Fondul european de ajustare la globalizare pentru lucrătorii disponibilizați (FEG) urmărește să demonstreze solidaritatea și să promoveze locuri de muncă decente și sustenabile în Uniune, oferind sprijin lucrătorilor concediați și lucrătorilor independenți a căror activitate a încetat în cazul unor evenimente majore de restructurare și ajutându-i să revină cât mai curând posibil la locuri de muncă decente și sustenabile. </w:t>
      </w:r>
    </w:p>
    <w:p w:rsidR="001A62D7" w:rsidRPr="00DD39B9" w:rsidRDefault="001A62D7" w:rsidP="00AE7D04">
      <w:pPr>
        <w:pStyle w:val="ManualConsidrant"/>
        <w:rPr>
          <w:noProof/>
        </w:rPr>
      </w:pPr>
      <w:r>
        <w:rPr>
          <w:noProof/>
        </w:rPr>
        <w:t>(2)</w:t>
      </w:r>
      <w:r>
        <w:rPr>
          <w:noProof/>
        </w:rPr>
        <w:tab/>
      </w:r>
      <w:r w:rsidRPr="00DD39B9">
        <w:rPr>
          <w:noProof/>
        </w:rPr>
        <w:t>FEG nu trebuie să depășească un cuantum anual de maximum 30 de milioane EUR (la prețurile din 2018), astfel cum se prevede la articolul 8 din Regulamentul (UE, Euratom) 2020/2093 al Consiliului</w:t>
      </w:r>
      <w:r w:rsidRPr="00DD39B9">
        <w:rPr>
          <w:rStyle w:val="FootnoteReference"/>
          <w:noProof/>
        </w:rPr>
        <w:footnoteReference w:id="20"/>
      </w:r>
      <w:r w:rsidRPr="00DD39B9">
        <w:rPr>
          <w:noProof/>
        </w:rPr>
        <w:t>, modificat prin Regulamentul (UE, Euratom) 2024/765 al Consiliului</w:t>
      </w:r>
      <w:r w:rsidRPr="00DD39B9">
        <w:rPr>
          <w:rStyle w:val="FootnoteReference"/>
          <w:noProof/>
        </w:rPr>
        <w:footnoteReference w:id="21"/>
      </w:r>
      <w:r w:rsidRPr="00DD39B9">
        <w:rPr>
          <w:noProof/>
        </w:rPr>
        <w:t>, și la articolul 16 din Regulamentul (UE) 2021/691.</w:t>
      </w:r>
    </w:p>
    <w:p w:rsidR="001A62D7" w:rsidRPr="00DD39B9" w:rsidRDefault="001A62D7" w:rsidP="00AE7D04">
      <w:pPr>
        <w:pStyle w:val="ManualConsidrant"/>
        <w:rPr>
          <w:noProof/>
        </w:rPr>
      </w:pPr>
      <w:r>
        <w:rPr>
          <w:noProof/>
        </w:rPr>
        <w:t>(3)</w:t>
      </w:r>
      <w:r>
        <w:rPr>
          <w:noProof/>
        </w:rPr>
        <w:tab/>
      </w:r>
      <w:r w:rsidRPr="00DD39B9">
        <w:rPr>
          <w:noProof/>
        </w:rPr>
        <w:t xml:space="preserve">La 15 septembrie 2025, Austria a depus o cerere de mobilizare a FEG în conformitate cu articolul 8 alineatul (1) din Regulamentul (UE) 2021/691, referitoare la disponibilizările unor lucrători de la KTM (KTM Gruppe) din Austria. Cererea a fost completată cu informații suplimentare furnizate în conformitate cu articolul 8 alineatul (5) din Regulamentul (UE) 2021/691. Se consideră că cererea respectivă îndeplinește condițiile de acordare a unei contribuții financiare din FEG, astfel cum sunt prevăzute la articolul 13 din Regulamentul (UE) 2021/691, pe baza evaluării efectuate de </w:t>
      </w:r>
      <w:r w:rsidRPr="00DD39B9">
        <w:rPr>
          <w:noProof/>
        </w:rPr>
        <w:lastRenderedPageBreak/>
        <w:t>Comisie în propunerea de decizie de mobilizare a Parlamentului European și a Consiliului</w:t>
      </w:r>
      <w:r w:rsidRPr="00DD39B9">
        <w:rPr>
          <w:rStyle w:val="FootnoteReference"/>
          <w:iCs/>
          <w:noProof/>
        </w:rPr>
        <w:footnoteReference w:id="22"/>
      </w:r>
      <w:r w:rsidRPr="00DD39B9">
        <w:rPr>
          <w:noProof/>
        </w:rPr>
        <w:t xml:space="preserve">. </w:t>
      </w:r>
    </w:p>
    <w:p w:rsidR="001A62D7" w:rsidRPr="00DD39B9" w:rsidRDefault="001A62D7" w:rsidP="00AE7D04">
      <w:pPr>
        <w:pStyle w:val="ManualConsidrant"/>
        <w:rPr>
          <w:noProof/>
        </w:rPr>
      </w:pPr>
      <w:r>
        <w:rPr>
          <w:noProof/>
        </w:rPr>
        <w:t>(4)</w:t>
      </w:r>
      <w:r>
        <w:rPr>
          <w:noProof/>
        </w:rPr>
        <w:tab/>
      </w:r>
      <w:r w:rsidRPr="00DD39B9">
        <w:rPr>
          <w:noProof/>
        </w:rPr>
        <w:t>Prin urmare, este necesară mobilizarea FEG pentru a se furniza o contribuție financiară în valoare de 1 806 624 EUR ca urmare a cererii depuse de Austria.</w:t>
      </w:r>
    </w:p>
    <w:p w:rsidR="001A62D7" w:rsidRPr="00DD39B9" w:rsidRDefault="001A62D7" w:rsidP="00AE7D04">
      <w:pPr>
        <w:pStyle w:val="ManualConsidrant"/>
        <w:rPr>
          <w:noProof/>
        </w:rPr>
      </w:pPr>
      <w:r>
        <w:rPr>
          <w:noProof/>
        </w:rPr>
        <w:t>(5)</w:t>
      </w:r>
      <w:r>
        <w:rPr>
          <w:noProof/>
        </w:rPr>
        <w:tab/>
      </w:r>
      <w:r w:rsidRPr="00DD39B9">
        <w:rPr>
          <w:noProof/>
        </w:rPr>
        <w:t>Pentru a se reduce la minimum timpul necesar pentru mobilizarea FEG, prezenta decizie trebuie să se aplice de la data adoptării,</w:t>
      </w:r>
    </w:p>
    <w:p w:rsidR="001A62D7" w:rsidRPr="00DD39B9" w:rsidRDefault="001A62D7" w:rsidP="001A62D7">
      <w:pPr>
        <w:pStyle w:val="Formuledadoption"/>
        <w:rPr>
          <w:noProof/>
        </w:rPr>
      </w:pPr>
      <w:r w:rsidRPr="00DD39B9">
        <w:rPr>
          <w:noProof/>
        </w:rPr>
        <w:t xml:space="preserve">ADOPTĂ PREZENTA DECIZIE: </w:t>
      </w:r>
    </w:p>
    <w:p w:rsidR="001A62D7" w:rsidRPr="00DD39B9" w:rsidRDefault="001A62D7" w:rsidP="001A62D7">
      <w:pPr>
        <w:pStyle w:val="Titrearticle"/>
        <w:rPr>
          <w:noProof/>
        </w:rPr>
      </w:pPr>
      <w:r w:rsidRPr="00DD39B9">
        <w:rPr>
          <w:noProof/>
        </w:rPr>
        <w:t>Articolul 1</w:t>
      </w:r>
    </w:p>
    <w:p w:rsidR="001A62D7" w:rsidRPr="00DD39B9" w:rsidRDefault="001A62D7" w:rsidP="001A62D7">
      <w:pPr>
        <w:rPr>
          <w:noProof/>
        </w:rPr>
      </w:pPr>
      <w:r w:rsidRPr="00DD39B9">
        <w:rPr>
          <w:noProof/>
        </w:rPr>
        <w:t>În cadrul bugetului general al Uniunii aferent exercițiului financiar 2026, Fondul european de ajustare la globalizare pentru lucrătorii disponibilizați se mobilizează pentru a se furniza cuantumul de 1 806 624 EUR, sub formă de credite de angajament și de credite de plată.</w:t>
      </w:r>
    </w:p>
    <w:p w:rsidR="001A62D7" w:rsidRPr="00DD39B9" w:rsidRDefault="001A62D7" w:rsidP="00E677F4">
      <w:pPr>
        <w:pStyle w:val="Titrearticle"/>
        <w:rPr>
          <w:noProof/>
        </w:rPr>
      </w:pPr>
      <w:r w:rsidRPr="00DD39B9">
        <w:rPr>
          <w:noProof/>
        </w:rPr>
        <w:t>Articolul 2</w:t>
      </w:r>
    </w:p>
    <w:p w:rsidR="001A62D7" w:rsidRPr="00DD39B9" w:rsidRDefault="001A62D7" w:rsidP="001A62D7">
      <w:pPr>
        <w:keepNext/>
        <w:keepLines/>
        <w:rPr>
          <w:noProof/>
        </w:rPr>
      </w:pPr>
      <w:r w:rsidRPr="00DD39B9">
        <w:rPr>
          <w:noProof/>
        </w:rPr>
        <w:t xml:space="preserve">Prezenta decizie intră în vigoare la data publicării în Jurnalul Oficial al Uniunii Europene. Prezenta decizie se aplică de la </w:t>
      </w:r>
      <w:r w:rsidRPr="00DD39B9">
        <w:rPr>
          <w:noProof/>
          <w:color w:val="FF0000"/>
        </w:rPr>
        <w:t>[</w:t>
      </w:r>
      <w:r w:rsidRPr="00DD39B9">
        <w:rPr>
          <w:i/>
          <w:noProof/>
          <w:color w:val="FF0000"/>
        </w:rPr>
        <w:t>data adoptării</w:t>
      </w:r>
      <w:r w:rsidRPr="00DD39B9">
        <w:rPr>
          <w:noProof/>
          <w:color w:val="FF0000"/>
        </w:rPr>
        <w:t>]</w:t>
      </w:r>
      <w:r w:rsidRPr="00DD39B9">
        <w:rPr>
          <w:rStyle w:val="FootnoteReference"/>
          <w:noProof/>
          <w:color w:val="FF0000"/>
        </w:rPr>
        <w:footnoteReference w:customMarkFollows="1" w:id="23"/>
        <w:t>*</w:t>
      </w:r>
      <w:r w:rsidRPr="00DD39B9">
        <w:rPr>
          <w:noProof/>
        </w:rPr>
        <w:t>.</w:t>
      </w:r>
    </w:p>
    <w:p w:rsidR="001A62D7" w:rsidRPr="00DD39B9" w:rsidRDefault="00991E24" w:rsidP="00E677F4">
      <w:pPr>
        <w:pStyle w:val="Fait"/>
        <w:rPr>
          <w:noProof/>
        </w:rPr>
      </w:pPr>
      <w:r>
        <w:rPr>
          <w:noProof/>
        </w:rPr>
        <w:t>Adoptată la Bruxelles,</w:t>
      </w:r>
    </w:p>
    <w:p w:rsidR="001A62D7" w:rsidRPr="00DD39B9" w:rsidRDefault="001A62D7" w:rsidP="00E677F4">
      <w:pPr>
        <w:pStyle w:val="Institutionquisigne"/>
        <w:rPr>
          <w:noProof/>
        </w:rPr>
      </w:pPr>
      <w:r w:rsidRPr="00DD39B9">
        <w:rPr>
          <w:noProof/>
        </w:rPr>
        <w:t>Pentru Parlamentul European,</w:t>
      </w:r>
      <w:r w:rsidRPr="00DD39B9">
        <w:rPr>
          <w:noProof/>
        </w:rPr>
        <w:tab/>
        <w:t>Pentru Consiliu,</w:t>
      </w:r>
    </w:p>
    <w:p w:rsidR="001A62D7" w:rsidRPr="00DD39B9" w:rsidRDefault="001A62D7" w:rsidP="001A62D7">
      <w:pPr>
        <w:pStyle w:val="Personnequisigne"/>
        <w:rPr>
          <w:noProof/>
        </w:rPr>
      </w:pPr>
      <w:r w:rsidRPr="00DD39B9">
        <w:rPr>
          <w:noProof/>
        </w:rPr>
        <w:t>Președinta</w:t>
      </w:r>
      <w:r w:rsidRPr="00DD39B9">
        <w:rPr>
          <w:noProof/>
        </w:rPr>
        <w:tab/>
        <w:t xml:space="preserve">Președintele </w:t>
      </w:r>
      <w:r w:rsidRPr="00DD39B9">
        <w:rPr>
          <w:noProof/>
        </w:rPr>
        <w:br/>
      </w:r>
    </w:p>
    <w:sectPr w:rsidR="001A62D7" w:rsidRPr="00DD39B9" w:rsidSect="000E165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F28" w:rsidRPr="00DD39B9" w:rsidRDefault="00BA5F28" w:rsidP="001A62D7">
      <w:pPr>
        <w:spacing w:before="0" w:after="0"/>
      </w:pPr>
      <w:r w:rsidRPr="00DD39B9">
        <w:separator/>
      </w:r>
    </w:p>
  </w:endnote>
  <w:endnote w:type="continuationSeparator" w:id="0">
    <w:p w:rsidR="00BA5F28" w:rsidRPr="00DD39B9" w:rsidRDefault="00BA5F28" w:rsidP="001A62D7">
      <w:pPr>
        <w:spacing w:before="0" w:after="0"/>
      </w:pPr>
      <w:r w:rsidRPr="00DD39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65D" w:rsidRPr="000E165D" w:rsidRDefault="000E165D" w:rsidP="000E165D">
    <w:pPr>
      <w:pStyle w:val="Footer"/>
      <w:rPr>
        <w:rFonts w:ascii="Arial" w:hAnsi="Arial" w:cs="Arial"/>
        <w:b/>
        <w:sz w:val="48"/>
      </w:rPr>
    </w:pPr>
    <w:r w:rsidRPr="000E165D">
      <w:rPr>
        <w:rFonts w:ascii="Arial" w:hAnsi="Arial" w:cs="Arial"/>
        <w:b/>
        <w:sz w:val="48"/>
      </w:rPr>
      <w:t>RO</w:t>
    </w:r>
    <w:r w:rsidRPr="000E165D">
      <w:rPr>
        <w:rFonts w:ascii="Arial" w:hAnsi="Arial" w:cs="Arial"/>
        <w:b/>
        <w:sz w:val="48"/>
      </w:rPr>
      <w:tab/>
    </w:r>
    <w:r w:rsidRPr="000E165D">
      <w:rPr>
        <w:rFonts w:ascii="Arial" w:hAnsi="Arial" w:cs="Arial"/>
        <w:b/>
        <w:sz w:val="48"/>
      </w:rPr>
      <w:tab/>
    </w:r>
    <w:r w:rsidRPr="000E165D">
      <w:tab/>
    </w:r>
    <w:r w:rsidRPr="000E165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65D" w:rsidRPr="000E165D" w:rsidRDefault="000E165D" w:rsidP="000E165D">
    <w:pPr>
      <w:pStyle w:val="Footer"/>
      <w:rPr>
        <w:rFonts w:ascii="Arial" w:hAnsi="Arial" w:cs="Arial"/>
        <w:b/>
        <w:sz w:val="48"/>
      </w:rPr>
    </w:pPr>
    <w:r w:rsidRPr="000E165D">
      <w:rPr>
        <w:rFonts w:ascii="Arial" w:hAnsi="Arial" w:cs="Arial"/>
        <w:b/>
        <w:sz w:val="48"/>
      </w:rPr>
      <w:t>RO</w:t>
    </w:r>
    <w:r w:rsidRPr="000E165D">
      <w:rPr>
        <w:rFonts w:ascii="Arial" w:hAnsi="Arial" w:cs="Arial"/>
        <w:b/>
        <w:sz w:val="48"/>
      </w:rPr>
      <w:tab/>
    </w:r>
    <w:r w:rsidRPr="000E165D">
      <w:rPr>
        <w:rFonts w:ascii="Arial" w:hAnsi="Arial" w:cs="Arial"/>
        <w:b/>
        <w:sz w:val="48"/>
      </w:rPr>
      <w:tab/>
    </w:r>
    <w:r w:rsidRPr="000E165D">
      <w:tab/>
    </w:r>
    <w:r w:rsidRPr="000E165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65D" w:rsidRDefault="000E16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65D" w:rsidRPr="000E165D" w:rsidRDefault="000E165D" w:rsidP="000E165D">
    <w:pPr>
      <w:pStyle w:val="Footer"/>
      <w:rPr>
        <w:rFonts w:ascii="Arial" w:hAnsi="Arial" w:cs="Arial"/>
        <w:b/>
        <w:sz w:val="48"/>
      </w:rPr>
    </w:pPr>
    <w:r w:rsidRPr="000E165D">
      <w:rPr>
        <w:rFonts w:ascii="Arial" w:hAnsi="Arial" w:cs="Arial"/>
        <w:b/>
        <w:sz w:val="48"/>
      </w:rPr>
      <w:t>RO</w:t>
    </w:r>
    <w:r w:rsidRPr="000E165D">
      <w:rPr>
        <w:rFonts w:ascii="Arial" w:hAnsi="Arial" w:cs="Arial"/>
        <w:b/>
        <w:sz w:val="48"/>
      </w:rPr>
      <w:tab/>
    </w:r>
    <w:r>
      <w:fldChar w:fldCharType="begin"/>
    </w:r>
    <w:r>
      <w:instrText xml:space="preserve"> PAGE  \* MERGEFORMAT </w:instrText>
    </w:r>
    <w:r>
      <w:fldChar w:fldCharType="separate"/>
    </w:r>
    <w:r w:rsidR="00E677F4">
      <w:rPr>
        <w:noProof/>
      </w:rPr>
      <w:t>12</w:t>
    </w:r>
    <w:r>
      <w:fldChar w:fldCharType="end"/>
    </w:r>
    <w:r>
      <w:tab/>
    </w:r>
    <w:r w:rsidRPr="000E165D">
      <w:tab/>
    </w:r>
    <w:r w:rsidRPr="000E165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65D" w:rsidRDefault="000E165D" w:rsidP="000E1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F28" w:rsidRPr="00DD39B9" w:rsidRDefault="00BA5F28" w:rsidP="001A62D7">
      <w:pPr>
        <w:spacing w:before="0" w:after="0"/>
      </w:pPr>
      <w:r w:rsidRPr="00DD39B9">
        <w:separator/>
      </w:r>
    </w:p>
  </w:footnote>
  <w:footnote w:type="continuationSeparator" w:id="0">
    <w:p w:rsidR="00BA5F28" w:rsidRPr="00DD39B9" w:rsidRDefault="00BA5F28" w:rsidP="001A62D7">
      <w:pPr>
        <w:spacing w:before="0" w:after="0"/>
      </w:pPr>
      <w:r w:rsidRPr="00DD39B9">
        <w:continuationSeparator/>
      </w:r>
    </w:p>
  </w:footnote>
  <w:footnote w:id="1">
    <w:p w:rsidR="001A62D7" w:rsidRPr="00DD39B9" w:rsidRDefault="001A62D7" w:rsidP="001A62D7">
      <w:pPr>
        <w:pStyle w:val="FootnoteText"/>
      </w:pPr>
      <w:r w:rsidRPr="00DD39B9">
        <w:rPr>
          <w:rStyle w:val="FootnoteReference"/>
        </w:rPr>
        <w:footnoteRef/>
      </w:r>
      <w:r w:rsidRPr="00DD39B9">
        <w:tab/>
        <w:t>JO</w:t>
      </w:r>
      <w:r w:rsidR="00DD39B9">
        <w:t> </w:t>
      </w:r>
      <w:r w:rsidRPr="00DD39B9">
        <w:t>L 153, 3.5.2021, p. 48.</w:t>
      </w:r>
    </w:p>
  </w:footnote>
  <w:footnote w:id="2">
    <w:p w:rsidR="001A62D7" w:rsidRPr="00DD39B9" w:rsidRDefault="001A62D7" w:rsidP="001A62D7">
      <w:pPr>
        <w:pStyle w:val="FootnoteText"/>
      </w:pPr>
      <w:r w:rsidRPr="00DD39B9">
        <w:rPr>
          <w:rStyle w:val="FootnoteReference"/>
        </w:rPr>
        <w:footnoteRef/>
      </w:r>
      <w:r w:rsidRPr="00DD39B9">
        <w:tab/>
        <w:t>Regulamentul Delegat (UE) 2019/1755 al Comisiei din 8 august 2019 de modificare a anexelor la Regulamentul (CE) nr. 1059/2003 al Parlamentului European și al Consiliului privind instituirea unui nomenclator comun al unităților teritoriale de statistică (NUTS). JO</w:t>
      </w:r>
      <w:r w:rsidR="00DD39B9">
        <w:t> </w:t>
      </w:r>
      <w:r w:rsidRPr="00DD39B9">
        <w:t>L 270, 24.10.2019, p. 1–56.</w:t>
      </w:r>
    </w:p>
  </w:footnote>
  <w:footnote w:id="3">
    <w:p w:rsidR="009D3A3A" w:rsidRPr="00DD39B9" w:rsidRDefault="009D3A3A">
      <w:pPr>
        <w:pStyle w:val="FootnoteText"/>
      </w:pPr>
      <w:r w:rsidRPr="00DD39B9">
        <w:rPr>
          <w:rStyle w:val="FootnoteReference"/>
        </w:rPr>
        <w:footnoteRef/>
      </w:r>
      <w:r w:rsidRPr="00DD39B9">
        <w:tab/>
        <w:t>KTM Gruppe este formată din KTM AG, KTM Components GmbH (inclusiv Vöcklabrucker Metallgießerei GmbH) și KTM R&amp;D GmbH.</w:t>
      </w:r>
    </w:p>
  </w:footnote>
  <w:footnote w:id="4">
    <w:p w:rsidR="001A62D7" w:rsidRPr="00DD39B9" w:rsidRDefault="001A62D7" w:rsidP="001A62D7">
      <w:pPr>
        <w:pStyle w:val="FootnoteText"/>
      </w:pPr>
      <w:r w:rsidRPr="00DD39B9">
        <w:rPr>
          <w:rStyle w:val="FootnoteReference"/>
        </w:rPr>
        <w:footnoteRef/>
      </w:r>
      <w:r w:rsidRPr="00DD39B9">
        <w:tab/>
        <w:t>JO</w:t>
      </w:r>
      <w:r w:rsidR="00DD39B9">
        <w:t> </w:t>
      </w:r>
      <w:r w:rsidRPr="00DD39B9">
        <w:t>L 393, 30.12.2006, p. 1.</w:t>
      </w:r>
    </w:p>
  </w:footnote>
  <w:footnote w:id="5">
    <w:p w:rsidR="008D3AFF" w:rsidRPr="00DD39B9" w:rsidRDefault="008D3AFF" w:rsidP="001A62D7">
      <w:pPr>
        <w:pStyle w:val="FootnoteText"/>
      </w:pPr>
      <w:r w:rsidRPr="00DD39B9">
        <w:rPr>
          <w:rStyle w:val="FootnoteReference"/>
        </w:rPr>
        <w:footnoteRef/>
      </w:r>
      <w:r w:rsidRPr="00DD39B9">
        <w:tab/>
        <w:t>În conformitate cu articolul 7 alineatul (5) din Regulamentul (UE) 2021/691.</w:t>
      </w:r>
    </w:p>
  </w:footnote>
  <w:footnote w:id="6">
    <w:p w:rsidR="008A5C12" w:rsidRPr="00DD39B9" w:rsidRDefault="008A5C12">
      <w:pPr>
        <w:pStyle w:val="FootnoteText"/>
      </w:pPr>
      <w:r w:rsidRPr="00DD39B9">
        <w:rPr>
          <w:rStyle w:val="FootnoteReference"/>
        </w:rPr>
        <w:footnoteRef/>
      </w:r>
      <w:r w:rsidRPr="00DD39B9">
        <w:tab/>
        <w:t>Un program de ocupare a forței de muncă este un pachet personalizat de măsuri pentru lucrătorii concediați. Aceasta este inițiată în mod obișnuit de întreprinderea care disponibilizează personalul și ia forma juridică a unei fundații pentru plasarea forței de muncă (Arbeitsstiftung), în conformitate cu secțiunea 18 din Legea austriacă privind asigurările de șomaj. În caz de insolvență, autoritățile publice pot înființa o astfel de fundație sub forma unei fundații pentru insolvență (Insolvenzstiftung).</w:t>
      </w:r>
    </w:p>
  </w:footnote>
  <w:footnote w:id="7">
    <w:p w:rsidR="00983C14" w:rsidRPr="00DD39B9" w:rsidRDefault="00983C14" w:rsidP="00983C14">
      <w:pPr>
        <w:pStyle w:val="FootnoteText"/>
      </w:pPr>
      <w:r w:rsidRPr="00DD39B9">
        <w:rPr>
          <w:rStyle w:val="FootnoteReference"/>
        </w:rPr>
        <w:footnoteRef/>
      </w:r>
      <w:r w:rsidRPr="00DD39B9">
        <w:tab/>
        <w:t>Camera de Comerț din Austria Superioară, la 6 februarie 2025, și Sindicatul Lucrătorilor Privați (GPA) și Sindicatul Lucrătorilor din Producție (PROGE), la 7 februarie 2025.</w:t>
      </w:r>
    </w:p>
  </w:footnote>
  <w:footnote w:id="8">
    <w:p w:rsidR="001A62D7" w:rsidRPr="00DD39B9" w:rsidRDefault="001A62D7" w:rsidP="001A62D7">
      <w:pPr>
        <w:pStyle w:val="FootnoteText"/>
      </w:pPr>
      <w:r w:rsidRPr="00DD39B9">
        <w:rPr>
          <w:rStyle w:val="FootnoteReference"/>
        </w:rPr>
        <w:footnoteRef/>
      </w:r>
      <w:r w:rsidRPr="00DD39B9">
        <w:tab/>
        <w:t>ISCED 0-2</w:t>
      </w:r>
      <w:r w:rsidR="00DD39B9">
        <w:t>.</w:t>
      </w:r>
    </w:p>
  </w:footnote>
  <w:footnote w:id="9">
    <w:p w:rsidR="001A62D7" w:rsidRPr="00DD39B9" w:rsidRDefault="001A62D7" w:rsidP="001A62D7">
      <w:pPr>
        <w:pStyle w:val="FootnoteText"/>
      </w:pPr>
      <w:r w:rsidRPr="00DD39B9">
        <w:rPr>
          <w:rStyle w:val="FootnoteReference"/>
        </w:rPr>
        <w:footnoteRef/>
      </w:r>
      <w:r w:rsidRPr="00DD39B9">
        <w:tab/>
        <w:t>ISCED 3</w:t>
      </w:r>
      <w:r w:rsidR="00DD39B9">
        <w:t>.</w:t>
      </w:r>
    </w:p>
  </w:footnote>
  <w:footnote w:id="10">
    <w:p w:rsidR="001A62D7" w:rsidRPr="00DD39B9" w:rsidRDefault="001A62D7" w:rsidP="001A62D7">
      <w:pPr>
        <w:pStyle w:val="FootnoteText"/>
      </w:pPr>
      <w:r w:rsidRPr="00DD39B9">
        <w:rPr>
          <w:rStyle w:val="FootnoteReference"/>
        </w:rPr>
        <w:footnoteRef/>
      </w:r>
      <w:r w:rsidRPr="00DD39B9">
        <w:tab/>
        <w:t>ISCED 4</w:t>
      </w:r>
      <w:r w:rsidR="00DD39B9">
        <w:t>.</w:t>
      </w:r>
    </w:p>
  </w:footnote>
  <w:footnote w:id="11">
    <w:p w:rsidR="001A62D7" w:rsidRPr="00DD39B9" w:rsidRDefault="001A62D7" w:rsidP="001A62D7">
      <w:pPr>
        <w:pStyle w:val="FootnoteText"/>
      </w:pPr>
      <w:r w:rsidRPr="00DD39B9">
        <w:rPr>
          <w:rStyle w:val="FootnoteReference"/>
        </w:rPr>
        <w:footnoteRef/>
      </w:r>
      <w:r w:rsidRPr="00DD39B9">
        <w:tab/>
        <w:t>ISCED 5-8</w:t>
      </w:r>
      <w:r w:rsidR="00DD39B9">
        <w:t>.</w:t>
      </w:r>
    </w:p>
  </w:footnote>
  <w:footnote w:id="12">
    <w:p w:rsidR="001A62D7" w:rsidRPr="00DD39B9" w:rsidRDefault="001A62D7" w:rsidP="001A62D7">
      <w:pPr>
        <w:pStyle w:val="FootnoteText"/>
      </w:pPr>
      <w:r w:rsidRPr="00DD39B9">
        <w:rPr>
          <w:rStyle w:val="FootnoteReference"/>
        </w:rPr>
        <w:footnoteRef/>
      </w:r>
      <w:r w:rsidRPr="00DD39B9">
        <w:tab/>
        <w:t>Pentru a se evita zecimalele, costurile estimate per lucrător au fost rotunjite. Cu toate acestea, rotunjirile nu au niciun impact asupra costului total al fiecărei măsuri, care nu diferă de cel indicat în cererea prezentată de Austria.</w:t>
      </w:r>
    </w:p>
  </w:footnote>
  <w:footnote w:id="13">
    <w:p w:rsidR="001A62D7" w:rsidRPr="00DD39B9" w:rsidRDefault="001A62D7" w:rsidP="001A62D7">
      <w:pPr>
        <w:pStyle w:val="FootnoteText"/>
      </w:pPr>
      <w:r w:rsidRPr="00DD39B9">
        <w:rPr>
          <w:rStyle w:val="FootnoteReference"/>
        </w:rPr>
        <w:footnoteRef/>
      </w:r>
      <w:r w:rsidRPr="00DD39B9">
        <w:tab/>
        <w:t>Totalurile nu corespund exact din cauza rotunjirilor.</w:t>
      </w:r>
    </w:p>
  </w:footnote>
  <w:footnote w:id="14">
    <w:p w:rsidR="001A62D7" w:rsidRPr="00DD39B9" w:rsidRDefault="001A62D7" w:rsidP="001A62D7">
      <w:pPr>
        <w:pStyle w:val="FootnoteText"/>
      </w:pPr>
      <w:r w:rsidRPr="00DD39B9">
        <w:rPr>
          <w:rStyle w:val="FootnoteReference"/>
        </w:rPr>
        <w:footnoteRef/>
      </w:r>
      <w:r w:rsidRPr="00DD39B9">
        <w:tab/>
        <w:t>JO</w:t>
      </w:r>
      <w:r w:rsidR="00DD39B9">
        <w:t> </w:t>
      </w:r>
      <w:r w:rsidRPr="00DD39B9">
        <w:t>L 433 I, 22.12.2020, p. 11.</w:t>
      </w:r>
    </w:p>
  </w:footnote>
  <w:footnote w:id="15">
    <w:p w:rsidR="001A62D7" w:rsidRPr="00DD39B9" w:rsidRDefault="001A62D7" w:rsidP="001A62D7">
      <w:pPr>
        <w:pStyle w:val="FootnoteText"/>
      </w:pPr>
      <w:r w:rsidRPr="00DD39B9">
        <w:rPr>
          <w:rStyle w:val="FootnoteReference"/>
        </w:rPr>
        <w:footnoteRef/>
      </w:r>
      <w:r w:rsidRPr="00DD39B9">
        <w:tab/>
        <w:t>JO</w:t>
      </w:r>
      <w:r w:rsidR="00DD39B9">
        <w:t> </w:t>
      </w:r>
      <w:r w:rsidRPr="00DD39B9">
        <w:t xml:space="preserve">L, 2024/765, 29.2.2024, ELI: http://data.europa.eu/eli/reg/2024/765/oj. </w:t>
      </w:r>
    </w:p>
  </w:footnote>
  <w:footnote w:id="16">
    <w:p w:rsidR="001A62D7" w:rsidRPr="00DD39B9" w:rsidRDefault="001A62D7" w:rsidP="001A62D7">
      <w:pPr>
        <w:pStyle w:val="FootnoteText"/>
      </w:pPr>
      <w:r w:rsidRPr="00DD39B9">
        <w:rPr>
          <w:rStyle w:val="FootnoteReference"/>
        </w:rPr>
        <w:footnoteRef/>
      </w:r>
      <w:r w:rsidRPr="00DD39B9">
        <w:tab/>
        <w:t>JO</w:t>
      </w:r>
      <w:r w:rsidR="00DD39B9">
        <w:t> </w:t>
      </w:r>
      <w:r w:rsidRPr="00DD39B9">
        <w:t>L 433 I, 22.12.2020, p. 28.</w:t>
      </w:r>
    </w:p>
  </w:footnote>
  <w:footnote w:id="17">
    <w:p w:rsidR="001A62D7" w:rsidRPr="00DD39B9" w:rsidRDefault="001A62D7" w:rsidP="001A62D7">
      <w:pPr>
        <w:pStyle w:val="FootnoteText"/>
      </w:pPr>
      <w:r w:rsidRPr="00DD39B9">
        <w:rPr>
          <w:rStyle w:val="FootnoteReference"/>
        </w:rPr>
        <w:footnoteRef/>
      </w:r>
      <w:r w:rsidRPr="00DD39B9">
        <w:tab/>
        <w:t>Regulamentul (UE, Euratom) 2024/2509 al Parlamentului European și al Consiliului din 23 septembrie 2024 privind normele financiare aplicabile bugetului general al Uniunii (reformare) JO L, 2024/2509, 26.9.2024, ELI: http://data.europa.eu/eli/reg/2024/2509/oj.</w:t>
      </w:r>
    </w:p>
  </w:footnote>
  <w:footnote w:id="18">
    <w:p w:rsidR="001A62D7" w:rsidRPr="00DD39B9" w:rsidRDefault="001A62D7" w:rsidP="001A62D7">
      <w:pPr>
        <w:pStyle w:val="FootnoteText"/>
      </w:pPr>
      <w:r w:rsidRPr="00DD39B9">
        <w:rPr>
          <w:rStyle w:val="FootnoteReference"/>
        </w:rPr>
        <w:footnoteRef/>
      </w:r>
      <w:r w:rsidRPr="00DD39B9">
        <w:tab/>
        <w:t>JO</w:t>
      </w:r>
      <w:r w:rsidR="00DD39B9">
        <w:t> </w:t>
      </w:r>
      <w:r w:rsidRPr="00DD39B9">
        <w:t>L 153, 3.5.2021, p. 48.</w:t>
      </w:r>
    </w:p>
  </w:footnote>
  <w:footnote w:id="19">
    <w:p w:rsidR="001A62D7" w:rsidRPr="00DD39B9" w:rsidRDefault="001A62D7" w:rsidP="001A62D7">
      <w:pPr>
        <w:pStyle w:val="FootnoteText"/>
      </w:pPr>
      <w:r w:rsidRPr="00DD39B9">
        <w:rPr>
          <w:rStyle w:val="FootnoteReference"/>
        </w:rPr>
        <w:footnoteRef/>
      </w:r>
      <w:r w:rsidRPr="00DD39B9">
        <w:tab/>
        <w:t>JO</w:t>
      </w:r>
      <w:r w:rsidR="00DD39B9">
        <w:t> </w:t>
      </w:r>
      <w:r w:rsidRPr="00DD39B9">
        <w:t>L 433 I, 22.12.2020, p. 28.</w:t>
      </w:r>
    </w:p>
  </w:footnote>
  <w:footnote w:id="20">
    <w:p w:rsidR="001A62D7" w:rsidRPr="00DD39B9" w:rsidRDefault="001A62D7" w:rsidP="001A62D7">
      <w:pPr>
        <w:pStyle w:val="FootnoteText"/>
      </w:pPr>
      <w:r w:rsidRPr="00DD39B9">
        <w:rPr>
          <w:rStyle w:val="FootnoteReference"/>
        </w:rPr>
        <w:footnoteRef/>
      </w:r>
      <w:r w:rsidRPr="00DD39B9">
        <w:tab/>
        <w:t>Regulamentul (UE, Euratom) 2020/2093 al Consiliului din 17 decembrie 2020 de stabilire a cadrului financiar multianual pentru perioada 2021-2027 (JO</w:t>
      </w:r>
      <w:r w:rsidR="00DD39B9">
        <w:t> </w:t>
      </w:r>
      <w:r w:rsidRPr="00DD39B9">
        <w:t>L 433 I, 22.12.2020, p. 11).</w:t>
      </w:r>
    </w:p>
  </w:footnote>
  <w:footnote w:id="21">
    <w:p w:rsidR="001A62D7" w:rsidRPr="00DD39B9" w:rsidRDefault="001A62D7" w:rsidP="001A62D7">
      <w:pPr>
        <w:pStyle w:val="FootnoteText"/>
      </w:pPr>
      <w:r w:rsidRPr="00DD39B9">
        <w:rPr>
          <w:rStyle w:val="FootnoteReference"/>
        </w:rPr>
        <w:footnoteRef/>
      </w:r>
      <w:r w:rsidRPr="00DD39B9">
        <w:tab/>
        <w:t>JO</w:t>
      </w:r>
      <w:r w:rsidR="00DD39B9">
        <w:t> </w:t>
      </w:r>
      <w:r w:rsidRPr="00DD39B9">
        <w:t>L, 2024/765, 29.2.2024, ELI: http://data.europa.eu/eli/reg/2024/765/oj.</w:t>
      </w:r>
    </w:p>
  </w:footnote>
  <w:footnote w:id="22">
    <w:p w:rsidR="001A62D7" w:rsidRPr="00DD39B9" w:rsidRDefault="001A62D7" w:rsidP="001A62D7">
      <w:pPr>
        <w:pStyle w:val="FootnoteText"/>
      </w:pPr>
      <w:r w:rsidRPr="00DD39B9">
        <w:rPr>
          <w:rStyle w:val="FootnoteReference"/>
        </w:rPr>
        <w:footnoteRef/>
      </w:r>
      <w:r w:rsidRPr="00DD39B9">
        <w:tab/>
        <w:t>COM(2026) 10</w:t>
      </w:r>
      <w:r w:rsidR="00DD39B9">
        <w:t>.</w:t>
      </w:r>
    </w:p>
  </w:footnote>
  <w:footnote w:id="23">
    <w:p w:rsidR="00281AE4" w:rsidRPr="00991E24" w:rsidRDefault="00281AE4">
      <w:pPr>
        <w:pStyle w:val="FootnoteText"/>
      </w:pPr>
      <w:r w:rsidRPr="00DD39B9">
        <w:rPr>
          <w:rStyle w:val="FootnoteReference"/>
        </w:rPr>
        <w:t>*</w:t>
      </w:r>
      <w:r w:rsidRPr="00DD39B9">
        <w:tab/>
      </w:r>
      <w:r w:rsidRPr="00DD39B9">
        <w:rPr>
          <w:color w:val="FF0000"/>
        </w:rPr>
        <w:t>Data urmează să fie introdusă de către Parlament înainte de publicarea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65D" w:rsidRDefault="000E16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65D" w:rsidRDefault="000E1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3 17:14: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5DF7659-FB03-40E6-93B8-818816D9F2C4"/>
    <w:docVar w:name="LW_COVERPAGE_TYPE" w:val="1"/>
    <w:docVar w:name="LW_CreatedUtc" w:val="2025-02-03T12:09:04.7855178Z"/>
    <w:docVar w:name="LW_CROSSREFERENCE" w:val="&lt;UNUSED&gt;"/>
    <w:docVar w:name="LW_DocType" w:val="COM"/>
    <w:docVar w:name="LW_EMISSION" w:val="6.2.2026"/>
    <w:docVar w:name="LW_EMISSION_ISODATE" w:val="2026-02-06"/>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037"/>
    <w:docVar w:name="LW_REF.II.NEW.CP_YEAR" w:val="2026"/>
    <w:docVar w:name="LW_REF.INST.NEW" w:val="COM"/>
    <w:docVar w:name="LW_REF.INST.NEW_ADOPTED" w:val="final"/>
    <w:docVar w:name="LW_REF.INST.NEW_TEXT" w:val="(2026) 1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în urma unei cereri din partea Austriei \u8211? EGF/2025/005 AT/KTM"/>
    <w:docVar w:name="LW_TYPE.DOC.CP" w:val="DECIZIE A PARLAMENTULUI EUROPEAN \u536?I A CONSILIULUI"/>
    <w:docVar w:name="LwApiVersions" w:val="LW4CoDe 1.24.5.0; LW 9.2, Build 20251112"/>
  </w:docVars>
  <w:rsids>
    <w:rsidRoot w:val="001A62D7"/>
    <w:rsid w:val="000107E1"/>
    <w:rsid w:val="000171AE"/>
    <w:rsid w:val="00025E0F"/>
    <w:rsid w:val="000302C2"/>
    <w:rsid w:val="0003773A"/>
    <w:rsid w:val="00046473"/>
    <w:rsid w:val="000522BA"/>
    <w:rsid w:val="00052B81"/>
    <w:rsid w:val="00057A61"/>
    <w:rsid w:val="000609C3"/>
    <w:rsid w:val="00062E4B"/>
    <w:rsid w:val="0008758B"/>
    <w:rsid w:val="000B5F8F"/>
    <w:rsid w:val="000C35CC"/>
    <w:rsid w:val="000D35B3"/>
    <w:rsid w:val="000E165D"/>
    <w:rsid w:val="000F1636"/>
    <w:rsid w:val="000F548B"/>
    <w:rsid w:val="000F75AA"/>
    <w:rsid w:val="000F7763"/>
    <w:rsid w:val="001065F5"/>
    <w:rsid w:val="00114FDE"/>
    <w:rsid w:val="001238EF"/>
    <w:rsid w:val="00130BB0"/>
    <w:rsid w:val="00135049"/>
    <w:rsid w:val="00145BF5"/>
    <w:rsid w:val="00161451"/>
    <w:rsid w:val="00190173"/>
    <w:rsid w:val="00197613"/>
    <w:rsid w:val="001A150D"/>
    <w:rsid w:val="001A62D7"/>
    <w:rsid w:val="001B3907"/>
    <w:rsid w:val="001B739F"/>
    <w:rsid w:val="001C74EC"/>
    <w:rsid w:val="001D3672"/>
    <w:rsid w:val="001D5468"/>
    <w:rsid w:val="001E4CDA"/>
    <w:rsid w:val="001F6EFC"/>
    <w:rsid w:val="00204C13"/>
    <w:rsid w:val="00210498"/>
    <w:rsid w:val="00211BB7"/>
    <w:rsid w:val="00212DD8"/>
    <w:rsid w:val="0022114D"/>
    <w:rsid w:val="0022295A"/>
    <w:rsid w:val="00232357"/>
    <w:rsid w:val="00233DC7"/>
    <w:rsid w:val="00236E41"/>
    <w:rsid w:val="00240422"/>
    <w:rsid w:val="00241826"/>
    <w:rsid w:val="00247779"/>
    <w:rsid w:val="00256AA7"/>
    <w:rsid w:val="0026649F"/>
    <w:rsid w:val="002779F6"/>
    <w:rsid w:val="00281AE4"/>
    <w:rsid w:val="00285BEE"/>
    <w:rsid w:val="0029533F"/>
    <w:rsid w:val="002B2961"/>
    <w:rsid w:val="002B30AF"/>
    <w:rsid w:val="002B62A0"/>
    <w:rsid w:val="002C52BC"/>
    <w:rsid w:val="002C667E"/>
    <w:rsid w:val="002F659F"/>
    <w:rsid w:val="0030174B"/>
    <w:rsid w:val="00305565"/>
    <w:rsid w:val="00331EAF"/>
    <w:rsid w:val="0033344A"/>
    <w:rsid w:val="003501B8"/>
    <w:rsid w:val="00364117"/>
    <w:rsid w:val="00364309"/>
    <w:rsid w:val="00365591"/>
    <w:rsid w:val="003740B7"/>
    <w:rsid w:val="00383A69"/>
    <w:rsid w:val="003C0CC9"/>
    <w:rsid w:val="003D3D6D"/>
    <w:rsid w:val="003D51DA"/>
    <w:rsid w:val="003E323E"/>
    <w:rsid w:val="003F1F35"/>
    <w:rsid w:val="00401AEF"/>
    <w:rsid w:val="0042648E"/>
    <w:rsid w:val="00443B2E"/>
    <w:rsid w:val="004530AD"/>
    <w:rsid w:val="00467284"/>
    <w:rsid w:val="00473C01"/>
    <w:rsid w:val="00480C63"/>
    <w:rsid w:val="0049233E"/>
    <w:rsid w:val="004936D2"/>
    <w:rsid w:val="004A0B30"/>
    <w:rsid w:val="004A104B"/>
    <w:rsid w:val="004B3046"/>
    <w:rsid w:val="004C3F75"/>
    <w:rsid w:val="004D3EAA"/>
    <w:rsid w:val="004D51E6"/>
    <w:rsid w:val="004F3E46"/>
    <w:rsid w:val="004F5528"/>
    <w:rsid w:val="00513E1F"/>
    <w:rsid w:val="00521A3C"/>
    <w:rsid w:val="0053218A"/>
    <w:rsid w:val="00532962"/>
    <w:rsid w:val="00546FB3"/>
    <w:rsid w:val="00566973"/>
    <w:rsid w:val="005733AC"/>
    <w:rsid w:val="00574B3A"/>
    <w:rsid w:val="0058279B"/>
    <w:rsid w:val="005871BA"/>
    <w:rsid w:val="005A0230"/>
    <w:rsid w:val="005B044C"/>
    <w:rsid w:val="005B1EB6"/>
    <w:rsid w:val="005B3182"/>
    <w:rsid w:val="005B5E5A"/>
    <w:rsid w:val="005C095A"/>
    <w:rsid w:val="005C27C7"/>
    <w:rsid w:val="005D57AF"/>
    <w:rsid w:val="005E047F"/>
    <w:rsid w:val="005E22E3"/>
    <w:rsid w:val="006031FD"/>
    <w:rsid w:val="00604272"/>
    <w:rsid w:val="00605200"/>
    <w:rsid w:val="00612C6C"/>
    <w:rsid w:val="00613827"/>
    <w:rsid w:val="00660555"/>
    <w:rsid w:val="006610FB"/>
    <w:rsid w:val="00670D5E"/>
    <w:rsid w:val="00670F7C"/>
    <w:rsid w:val="00683F71"/>
    <w:rsid w:val="00687406"/>
    <w:rsid w:val="006F7468"/>
    <w:rsid w:val="00723238"/>
    <w:rsid w:val="00731699"/>
    <w:rsid w:val="007606F4"/>
    <w:rsid w:val="00773331"/>
    <w:rsid w:val="00776083"/>
    <w:rsid w:val="00786CCA"/>
    <w:rsid w:val="00791927"/>
    <w:rsid w:val="007932EF"/>
    <w:rsid w:val="0079444C"/>
    <w:rsid w:val="007A0474"/>
    <w:rsid w:val="007A0C2F"/>
    <w:rsid w:val="007A142C"/>
    <w:rsid w:val="007B106A"/>
    <w:rsid w:val="007C0A93"/>
    <w:rsid w:val="007C116C"/>
    <w:rsid w:val="007C446F"/>
    <w:rsid w:val="007D1950"/>
    <w:rsid w:val="007E05B0"/>
    <w:rsid w:val="007E3C51"/>
    <w:rsid w:val="007E4D4B"/>
    <w:rsid w:val="00803184"/>
    <w:rsid w:val="00804C62"/>
    <w:rsid w:val="00833953"/>
    <w:rsid w:val="00842DE2"/>
    <w:rsid w:val="008436F1"/>
    <w:rsid w:val="00847BC1"/>
    <w:rsid w:val="00850C3F"/>
    <w:rsid w:val="00861B69"/>
    <w:rsid w:val="008675B5"/>
    <w:rsid w:val="00874D22"/>
    <w:rsid w:val="0087767A"/>
    <w:rsid w:val="00883718"/>
    <w:rsid w:val="00885CA2"/>
    <w:rsid w:val="00896349"/>
    <w:rsid w:val="008A2914"/>
    <w:rsid w:val="008A5C12"/>
    <w:rsid w:val="008C08DB"/>
    <w:rsid w:val="008D2433"/>
    <w:rsid w:val="008D3AFF"/>
    <w:rsid w:val="008D440E"/>
    <w:rsid w:val="008E0E29"/>
    <w:rsid w:val="008E4D8E"/>
    <w:rsid w:val="008E7A30"/>
    <w:rsid w:val="008F5075"/>
    <w:rsid w:val="008F7DCD"/>
    <w:rsid w:val="00903301"/>
    <w:rsid w:val="00903D85"/>
    <w:rsid w:val="00956E59"/>
    <w:rsid w:val="00971782"/>
    <w:rsid w:val="0097440D"/>
    <w:rsid w:val="00982E88"/>
    <w:rsid w:val="00982EAC"/>
    <w:rsid w:val="00983C14"/>
    <w:rsid w:val="00991E24"/>
    <w:rsid w:val="009959AD"/>
    <w:rsid w:val="0099782D"/>
    <w:rsid w:val="009A476A"/>
    <w:rsid w:val="009B74F9"/>
    <w:rsid w:val="009D3A3A"/>
    <w:rsid w:val="009D7AF5"/>
    <w:rsid w:val="009E45CA"/>
    <w:rsid w:val="009F2427"/>
    <w:rsid w:val="00A00BB5"/>
    <w:rsid w:val="00A11209"/>
    <w:rsid w:val="00A270E0"/>
    <w:rsid w:val="00A61DE9"/>
    <w:rsid w:val="00A643E5"/>
    <w:rsid w:val="00A6667C"/>
    <w:rsid w:val="00A748C9"/>
    <w:rsid w:val="00A90F14"/>
    <w:rsid w:val="00AC0CB3"/>
    <w:rsid w:val="00AD632E"/>
    <w:rsid w:val="00AE15F8"/>
    <w:rsid w:val="00AE7D04"/>
    <w:rsid w:val="00AF00A3"/>
    <w:rsid w:val="00B0476A"/>
    <w:rsid w:val="00B10303"/>
    <w:rsid w:val="00B16A3D"/>
    <w:rsid w:val="00B20427"/>
    <w:rsid w:val="00B543B5"/>
    <w:rsid w:val="00B57600"/>
    <w:rsid w:val="00B760C7"/>
    <w:rsid w:val="00B83D1B"/>
    <w:rsid w:val="00BA0237"/>
    <w:rsid w:val="00BA5F28"/>
    <w:rsid w:val="00BD6391"/>
    <w:rsid w:val="00BE4337"/>
    <w:rsid w:val="00BF149D"/>
    <w:rsid w:val="00C054F9"/>
    <w:rsid w:val="00C12301"/>
    <w:rsid w:val="00C13DC3"/>
    <w:rsid w:val="00C2027B"/>
    <w:rsid w:val="00C22CCB"/>
    <w:rsid w:val="00C37157"/>
    <w:rsid w:val="00C42CD3"/>
    <w:rsid w:val="00CA7EE1"/>
    <w:rsid w:val="00CC6E46"/>
    <w:rsid w:val="00CF0783"/>
    <w:rsid w:val="00D06962"/>
    <w:rsid w:val="00D20381"/>
    <w:rsid w:val="00D254CA"/>
    <w:rsid w:val="00D26709"/>
    <w:rsid w:val="00D3172A"/>
    <w:rsid w:val="00D45DF7"/>
    <w:rsid w:val="00D51A37"/>
    <w:rsid w:val="00D54D1D"/>
    <w:rsid w:val="00D54F1D"/>
    <w:rsid w:val="00D67EFA"/>
    <w:rsid w:val="00D73296"/>
    <w:rsid w:val="00D77298"/>
    <w:rsid w:val="00D949B3"/>
    <w:rsid w:val="00DA4E04"/>
    <w:rsid w:val="00DB0A33"/>
    <w:rsid w:val="00DB0A63"/>
    <w:rsid w:val="00DB263F"/>
    <w:rsid w:val="00DC00FF"/>
    <w:rsid w:val="00DD39B9"/>
    <w:rsid w:val="00E076E3"/>
    <w:rsid w:val="00E1163B"/>
    <w:rsid w:val="00E263F7"/>
    <w:rsid w:val="00E34517"/>
    <w:rsid w:val="00E346FB"/>
    <w:rsid w:val="00E4314A"/>
    <w:rsid w:val="00E435D1"/>
    <w:rsid w:val="00E45EB9"/>
    <w:rsid w:val="00E507DA"/>
    <w:rsid w:val="00E6146B"/>
    <w:rsid w:val="00E677F4"/>
    <w:rsid w:val="00E766C3"/>
    <w:rsid w:val="00E87E7D"/>
    <w:rsid w:val="00E9145F"/>
    <w:rsid w:val="00E94002"/>
    <w:rsid w:val="00ED7C03"/>
    <w:rsid w:val="00EF01DB"/>
    <w:rsid w:val="00F04356"/>
    <w:rsid w:val="00F04468"/>
    <w:rsid w:val="00F16CA1"/>
    <w:rsid w:val="00F24149"/>
    <w:rsid w:val="00F2725D"/>
    <w:rsid w:val="00F34040"/>
    <w:rsid w:val="00F562D5"/>
    <w:rsid w:val="00F90BC1"/>
    <w:rsid w:val="00FA5322"/>
    <w:rsid w:val="00FB320C"/>
    <w:rsid w:val="00FC38F8"/>
    <w:rsid w:val="00FD72B5"/>
    <w:rsid w:val="00FF13C0"/>
    <w:rsid w:val="00FF383D"/>
    <w:rsid w:val="00FF4A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ro-RO"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ro-RO"/>
    </w:rPr>
  </w:style>
  <w:style w:type="character" w:customStyle="1" w:styleId="FooterCoverPageChar">
    <w:name w:val="Footer Cover Page Char"/>
    <w:link w:val="FooterCoverPage"/>
    <w:rsid w:val="001A62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ro-RO" w:eastAsia="en-GB"/>
    </w:rPr>
  </w:style>
  <w:style w:type="character" w:customStyle="1" w:styleId="FooterSensitivityChar">
    <w:name w:val="Footer Sensitivity Char"/>
    <w:rsid w:val="001A62D7"/>
    <w:rPr>
      <w:rFonts w:ascii="Times New Roman" w:hAnsi="Times New Roman" w:cs="Times New Roman"/>
      <w:b/>
      <w:sz w:val="32"/>
      <w:lang w:val="ro-RO"/>
    </w:rPr>
  </w:style>
  <w:style w:type="character" w:customStyle="1" w:styleId="HeaderSensitivityChar">
    <w:name w:val="Header Sensitivity Char"/>
    <w:rsid w:val="001A62D7"/>
    <w:rPr>
      <w:rFonts w:ascii="Times New Roman" w:hAnsi="Times New Roman" w:cs="Times New Roman"/>
      <w:b/>
      <w:sz w:val="32"/>
      <w:lang w:val="ro-RO"/>
    </w:rPr>
  </w:style>
  <w:style w:type="character" w:customStyle="1" w:styleId="HeaderSensitivityRightChar">
    <w:name w:val="Header Sensitivity Right Char"/>
    <w:rsid w:val="001A62D7"/>
    <w:rPr>
      <w:rFonts w:ascii="Times New Roman" w:hAnsi="Times New Roman" w:cs="Times New Roman"/>
      <w:sz w:val="28"/>
      <w:lang w:val="ro-RO"/>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0E165D"/>
    <w:rPr>
      <w:rFonts w:ascii="Times New Roman" w:hAnsi="Times New Roman" w:cs="Times New Roman"/>
      <w:sz w:val="24"/>
      <w:lang w:val="ro-RO"/>
    </w:rPr>
  </w:style>
  <w:style w:type="character" w:customStyle="1" w:styleId="FooterChar">
    <w:name w:val="Footer Char"/>
    <w:basedOn w:val="DefaultParagraphFont"/>
    <w:link w:val="Footer"/>
    <w:uiPriority w:val="99"/>
    <w:rsid w:val="000E165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E165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E165D"/>
    <w:pPr>
      <w:spacing w:before="0"/>
      <w:jc w:val="right"/>
    </w:pPr>
    <w:rPr>
      <w:sz w:val="28"/>
    </w:rPr>
  </w:style>
  <w:style w:type="paragraph" w:customStyle="1" w:styleId="FooterSensitivity">
    <w:name w:val="Footer Sensitivity"/>
    <w:basedOn w:val="Normal"/>
    <w:rsid w:val="000E16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E165D"/>
    <w:pPr>
      <w:tabs>
        <w:tab w:val="center" w:pos="4535"/>
        <w:tab w:val="right" w:pos="9071"/>
      </w:tabs>
      <w:spacing w:before="0"/>
    </w:pPr>
  </w:style>
  <w:style w:type="paragraph" w:customStyle="1" w:styleId="HeaderLandscape">
    <w:name w:val="HeaderLandscape"/>
    <w:basedOn w:val="Normal"/>
    <w:rsid w:val="000E165D"/>
    <w:pPr>
      <w:tabs>
        <w:tab w:val="center" w:pos="7285"/>
        <w:tab w:val="right" w:pos="14003"/>
      </w:tabs>
      <w:spacing w:before="0"/>
    </w:pPr>
  </w:style>
  <w:style w:type="paragraph" w:styleId="Footer">
    <w:name w:val="footer"/>
    <w:basedOn w:val="Normal"/>
    <w:link w:val="FooterChar"/>
    <w:uiPriority w:val="99"/>
    <w:unhideWhenUsed/>
    <w:rsid w:val="000E165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E165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DC218-4740-4943-85A7-00D888001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7</Pages>
  <Words>4041</Words>
  <Characters>23037</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2026-01-28T10:45:00Z</dcterms:created>
  <dcterms:modified xsi:type="dcterms:W3CDTF">2026-02-03T16:14:00Z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