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06FAC" w14:textId="18FBFF5A" w:rsidR="00A70A62" w:rsidRPr="00A64F36" w:rsidRDefault="008B0431" w:rsidP="008B0431">
      <w:pPr>
        <w:pStyle w:val="Pagedecouverture"/>
        <w:rPr>
          <w:noProof/>
        </w:rPr>
      </w:pPr>
      <w:bookmarkStart w:id="0" w:name="LW_BM_COVERPAGE"/>
      <w:r>
        <w:rPr>
          <w:noProof/>
        </w:rPr>
        <w:pict w14:anchorId="6E67F2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D2E95C-B1AB-433F-B3B3-1CFB3823D90F" style="width:455.25pt;height:327.75pt">
            <v:imagedata r:id="rId8" o:title=""/>
          </v:shape>
        </w:pict>
      </w:r>
    </w:p>
    <w:bookmarkEnd w:id="0"/>
    <w:p w14:paraId="18CBE1AF" w14:textId="77777777" w:rsidR="00A70A62" w:rsidRPr="00973910" w:rsidRDefault="00A70A62" w:rsidP="00A70A62">
      <w:pPr>
        <w:rPr>
          <w:rFonts w:ascii="Times New Roman" w:hAnsi="Times New Roman" w:cs="Times New Roman"/>
          <w:noProof/>
          <w:lang w:val="en-GB"/>
        </w:rPr>
        <w:sectPr w:rsidR="00A70A62" w:rsidRPr="00973910" w:rsidSect="008B043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C3A81C6" w14:textId="15724A46"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bookmarkStart w:id="1" w:name="_GoBack"/>
      <w:bookmarkEnd w:id="1"/>
      <w:r>
        <w:rPr>
          <w:rFonts w:ascii="Times New Roman" w:hAnsi="Times New Roman"/>
          <w:b/>
          <w:noProof/>
          <w:color w:val="0070C0"/>
        </w:rPr>
        <w:lastRenderedPageBreak/>
        <w:t>Introduction</w:t>
      </w:r>
    </w:p>
    <w:p w14:paraId="7B915A73" w14:textId="378B6DBF" w:rsidR="00A70A62" w:rsidRPr="00A64F36" w:rsidRDefault="00A70A62" w:rsidP="4F3BD43B">
      <w:pPr>
        <w:pStyle w:val="NormalWeb"/>
        <w:spacing w:before="0" w:beforeAutospacing="0" w:after="180" w:afterAutospacing="0"/>
        <w:jc w:val="both"/>
        <w:rPr>
          <w:noProof/>
        </w:rPr>
      </w:pPr>
      <w:r>
        <w:rPr>
          <w:noProof/>
        </w:rPr>
        <w:t xml:space="preserve">Avec </w:t>
      </w:r>
      <w:r>
        <w:rPr>
          <w:b/>
          <w:noProof/>
        </w:rPr>
        <w:t>la stratégie sur l’équité intergénérationnelle</w:t>
      </w:r>
      <w:r>
        <w:rPr>
          <w:noProof/>
        </w:rPr>
        <w:t>, la Commission européenne exprime son ambition de veiller à ce que les choix d’aujourd’hui contribuent aussi positivement aux possibilités qui seront offertes demain et à ce que les avantages et les responsabilités soient partagés équitablement entre les groupes d’âge. La présente stratégie vise à promouvoir des méthodes d’action qui combinent prospérité économique et bien-être, responsabilité environnementale, cohésion sociale et territoriale, viabilité budgétaire et participation démocratique. Elle a également pour objectif d’amplifier la voix des jeunes, qui sont l’avenir de l’Union européenne, et de garantir la solidarité entre les générations.</w:t>
      </w:r>
    </w:p>
    <w:p w14:paraId="1247DF99" w14:textId="10CFE97B" w:rsidR="00A70A62" w:rsidRPr="00A64F36" w:rsidRDefault="00A70A62" w:rsidP="471E3495">
      <w:pPr>
        <w:pStyle w:val="NormalWeb"/>
        <w:spacing w:before="0" w:beforeAutospacing="0" w:after="180" w:afterAutospacing="0"/>
        <w:jc w:val="both"/>
        <w:rPr>
          <w:noProof/>
        </w:rPr>
      </w:pPr>
      <w:r>
        <w:rPr>
          <w:b/>
          <w:noProof/>
        </w:rPr>
        <w:t>L’UE a atteint l’un des niveaux les plus avancés d’égalité des chances à l’échelle mondiale</w:t>
      </w:r>
      <w:r>
        <w:rPr>
          <w:noProof/>
        </w:rPr>
        <w:t>, à la faveur d’une économie de marché compétitive, de modèles sociaux solides et de services publics inclusifs et de qualité. Dans un monde marqué par une instabilité croissante et une accélération des transformations globales, dans lequel les tendances démographiques, technologiques, économiques, sociales, climatiques et environnementales à long terme transforment les modalités de création et de partage des perspectives, il est essentiel d’accorder une attention renouvelée à l’équité intergénérationnelle. Cela contribuera à garantir que les possibilités offertes aux jeunes, qui constituent le fondement de l’Europe à venir, continuent de s’élargir et que l’UE puisse assurer à ses citoyens un bien-être durable et inclusif.</w:t>
      </w:r>
    </w:p>
    <w:p w14:paraId="6A59A0C2" w14:textId="2CA0E26B" w:rsidR="00A70A62" w:rsidRPr="00A64F36" w:rsidRDefault="00A70A62" w:rsidP="0A5929DF">
      <w:pPr>
        <w:pStyle w:val="NormalWeb"/>
        <w:spacing w:before="0" w:beforeAutospacing="0" w:after="180" w:afterAutospacing="0"/>
        <w:jc w:val="both"/>
        <w:rPr>
          <w:noProof/>
        </w:rPr>
      </w:pPr>
      <w:r>
        <w:rPr>
          <w:b/>
          <w:noProof/>
        </w:rPr>
        <w:t>La présente stratégie est un projet de confiance et de coopération</w:t>
      </w:r>
      <w:r>
        <w:rPr>
          <w:noProof/>
        </w:rPr>
        <w:t>, élaboré au moyen d’un processus de co-conception</w:t>
      </w:r>
      <w:r>
        <w:rPr>
          <w:rStyle w:val="FootnoteReference"/>
          <w:noProof/>
          <w:lang w:val="en-GB"/>
        </w:rPr>
        <w:footnoteReference w:id="1"/>
      </w:r>
      <w:r>
        <w:rPr>
          <w:noProof/>
        </w:rPr>
        <w:t xml:space="preserve"> auquel a participé un panel de citoyens européens sur l’équité intergénérationnelle</w:t>
      </w:r>
      <w:r>
        <w:rPr>
          <w:rStyle w:val="FootnoteReference"/>
          <w:noProof/>
          <w:lang w:val="en-GB"/>
        </w:rPr>
        <w:footnoteReference w:id="2"/>
      </w:r>
      <w:r>
        <w:rPr>
          <w:noProof/>
        </w:rPr>
        <w:t>. Elle tient compte des idées et des recommandations des citoyens, des parties prenantes et des communautés dans l’ensemble de l’Europe. Des personnes de tout âge, de régions et d’horizons divers ont étudié ensemble comment équiper l’UE pour mieux faire face aux défis croissants et interconnectés pour un avenir meilleur.</w:t>
      </w:r>
    </w:p>
    <w:p w14:paraId="0B792AD1" w14:textId="331AEFC0" w:rsidR="00A70A62" w:rsidRPr="00A64F36" w:rsidRDefault="00A70A62" w:rsidP="0A5929DF">
      <w:pPr>
        <w:pStyle w:val="NormalWeb"/>
        <w:spacing w:before="0" w:beforeAutospacing="0" w:after="180" w:afterAutospacing="0"/>
        <w:jc w:val="both"/>
        <w:rPr>
          <w:noProof/>
        </w:rPr>
      </w:pPr>
      <w:r>
        <w:rPr>
          <w:b/>
          <w:noProof/>
        </w:rPr>
        <w:t>Lors du sommet de l’avenir des Nations unies de 2024</w:t>
      </w:r>
      <w:r>
        <w:rPr>
          <w:noProof/>
        </w:rPr>
        <w:t>, l’UE et ses États membres ont approuvé le pacte pour l’avenir et la déclaration sur les générations futures</w:t>
      </w:r>
      <w:r>
        <w:rPr>
          <w:rStyle w:val="FootnoteReference"/>
          <w:noProof/>
          <w:lang w:val="en-GB"/>
        </w:rPr>
        <w:footnoteReference w:id="3"/>
      </w:r>
      <w:r>
        <w:rPr>
          <w:noProof/>
        </w:rPr>
        <w:t xml:space="preserve">. Plus d’un tiers des États membres de l’UE mentionnent les générations futures dans leur constitution et/ou ont mis en place des cadres institutionnels spécifiques soulignant l’importance de protéger les perspectives des générations à venir. Cela est étroitement lié à la mise en œuvre du Programme 2030 et des objectifs de développement durable, qui représentent le schéma d’orientation partagé au niveau mondial en ce qui concerne la paix et la prospérité pour les populations et la planète, aujourd’hui et à l’avenir. </w:t>
      </w:r>
    </w:p>
    <w:p w14:paraId="6D1B6F76" w14:textId="2B6C5A2A" w:rsidR="00A64F36" w:rsidRPr="00A64F36" w:rsidRDefault="00A70A62" w:rsidP="1A30185C">
      <w:pPr>
        <w:pStyle w:val="NormalWeb"/>
        <w:spacing w:before="0" w:beforeAutospacing="0" w:after="180" w:afterAutospacing="0"/>
        <w:jc w:val="both"/>
        <w:rPr>
          <w:noProof/>
          <w:color w:val="000000" w:themeColor="text1"/>
        </w:rPr>
      </w:pPr>
      <w:r>
        <w:rPr>
          <w:b/>
          <w:noProof/>
        </w:rPr>
        <w:t>Par la présente stratégie, la Commission contribue à la ferme volonté de l’UE</w:t>
      </w:r>
      <w:r>
        <w:rPr>
          <w:noProof/>
        </w:rPr>
        <w:t xml:space="preserve"> de s’appuyer sur cette dynamique mondiale,</w:t>
      </w:r>
      <w:r>
        <w:rPr>
          <w:noProof/>
          <w:color w:val="000000" w:themeColor="text1"/>
        </w:rPr>
        <w:t xml:space="preserve"> guidée par l'idée que la préservation de la paix, des droits de l’homme et de la planète, tout en améliorant le bien-être des générations futures et en faisant progresser la solidarité entre les générations actuelles, fait partie de l’identité, des valeurs et des intérêts stratégiques à long terme de l’Europe</w:t>
      </w:r>
      <w:r>
        <w:rPr>
          <w:rStyle w:val="FootnoteReference"/>
          <w:noProof/>
          <w:color w:val="000000" w:themeColor="text1"/>
          <w:lang w:val="en-GB"/>
        </w:rPr>
        <w:footnoteReference w:id="4"/>
      </w:r>
      <w:r>
        <w:rPr>
          <w:noProof/>
        </w:rPr>
        <w:t>.</w:t>
      </w:r>
    </w:p>
    <w:p w14:paraId="37CA34E2" w14:textId="76CBC6AF" w:rsidR="00684B4D" w:rsidRPr="00A64F36" w:rsidRDefault="00A70A62" w:rsidP="1A30185C">
      <w:pPr>
        <w:pStyle w:val="NormalWeb"/>
        <w:spacing w:before="0" w:beforeAutospacing="0" w:after="180" w:afterAutospacing="0"/>
        <w:jc w:val="both"/>
        <w:rPr>
          <w:noProof/>
        </w:rPr>
      </w:pPr>
      <w:r>
        <w:rPr>
          <w:noProof/>
        </w:rPr>
        <w:t>Fondée sur la responsabilité à long terme, la solidarité intergénérationnelle et l’équité territoriale, la stratégie vise à contribuer également à rétablir la confiance dans les institutions publiques, à façonner un avenir durable et équitable et à faire en sorte que les progrès accomplis aujourd’hui renforcent les fondements de demain.</w:t>
      </w:r>
    </w:p>
    <w:p w14:paraId="1B789A19" w14:textId="77777777" w:rsidR="005E1550" w:rsidRPr="00375D18" w:rsidRDefault="005E1550" w:rsidP="1A30185C">
      <w:pPr>
        <w:pStyle w:val="NormalWeb"/>
        <w:spacing w:before="0" w:beforeAutospacing="0" w:after="180" w:afterAutospacing="0"/>
        <w:jc w:val="both"/>
        <w:rPr>
          <w:noProof/>
        </w:rPr>
      </w:pPr>
    </w:p>
    <w:p w14:paraId="4D585EF9" w14:textId="778A162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L’horizon des possibilités en pleine évolution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70A62" w:rsidRPr="00A64F36" w14:paraId="01B4BC90" w14:textId="77777777" w:rsidTr="1A16B2EB">
        <w:tc>
          <w:tcPr>
            <w:tcW w:w="9016" w:type="dxa"/>
            <w:shd w:val="clear" w:color="auto" w:fill="DAE9F7" w:themeFill="text2" w:themeFillTint="1A"/>
          </w:tcPr>
          <w:p w14:paraId="524043B5" w14:textId="77777777" w:rsidR="00A70A62" w:rsidRPr="00A64F36" w:rsidRDefault="00A70A62" w:rsidP="00234C09">
            <w:pPr>
              <w:jc w:val="both"/>
              <w:rPr>
                <w:rFonts w:ascii="Times New Roman" w:eastAsia="Times New Roman" w:hAnsi="Times New Roman" w:cs="Times New Roman"/>
                <w:b/>
                <w:bCs/>
                <w:noProof/>
                <w:color w:val="0070C0"/>
                <w:sz w:val="24"/>
                <w:szCs w:val="24"/>
              </w:rPr>
            </w:pPr>
          </w:p>
          <w:p w14:paraId="06725B03" w14:textId="77777777" w:rsidR="00A70A62" w:rsidRPr="00A64F36" w:rsidRDefault="00A70A62" w:rsidP="00234C09">
            <w:pPr>
              <w:jc w:val="both"/>
              <w:rPr>
                <w:rFonts w:ascii="Times New Roman" w:eastAsia="Times New Roman" w:hAnsi="Times New Roman" w:cs="Times New Roman"/>
                <w:b/>
                <w:bCs/>
                <w:noProof/>
                <w:color w:val="0070C0"/>
                <w:sz w:val="24"/>
                <w:szCs w:val="24"/>
              </w:rPr>
            </w:pPr>
            <w:r>
              <w:rPr>
                <w:rFonts w:ascii="Times New Roman" w:hAnsi="Times New Roman"/>
                <w:b/>
                <w:noProof/>
                <w:color w:val="0070C0"/>
                <w:sz w:val="24"/>
              </w:rPr>
              <w:t xml:space="preserve">Les </w:t>
            </w:r>
            <w:r>
              <w:rPr>
                <w:rFonts w:ascii="Times New Roman" w:hAnsi="Times New Roman"/>
                <w:b/>
                <w:i/>
                <w:noProof/>
                <w:color w:val="0070C0"/>
                <w:sz w:val="24"/>
              </w:rPr>
              <w:t>grandes tendances</w:t>
            </w:r>
            <w:r>
              <w:rPr>
                <w:rFonts w:ascii="Times New Roman" w:hAnsi="Times New Roman"/>
                <w:b/>
                <w:noProof/>
                <w:color w:val="0070C0"/>
                <w:sz w:val="24"/>
              </w:rPr>
              <w:t xml:space="preserve"> influant sur l’équilibre intergénérationnel</w:t>
            </w:r>
          </w:p>
          <w:p w14:paraId="6C1A36E9" w14:textId="0B893A8F" w:rsidR="00A70A62" w:rsidRPr="00A64F36" w:rsidRDefault="00A70A62" w:rsidP="00234C09">
            <w:pPr>
              <w:pStyle w:val="NormalWeb"/>
              <w:spacing w:after="180"/>
              <w:jc w:val="both"/>
              <w:rPr>
                <w:noProof/>
              </w:rPr>
            </w:pPr>
            <w:r>
              <w:rPr>
                <w:b/>
                <w:noProof/>
              </w:rPr>
              <w:t>Les jeunes Européens parviennent à l’âge adulte dans un contexte de transformation rapide, tout en étant confrontés à des défis fondamentaux.</w:t>
            </w:r>
            <w:r>
              <w:rPr>
                <w:noProof/>
              </w:rPr>
              <w:t xml:space="preserve"> L’évolution démographique et la migration, les transitions écologique et numérique et l’environnement géopolitique en mutation redéfinissent les modalités de création et de partage des perspectives entre les générations, y compris dans les domaines de l’éducation, de l’emploi et du logement</w:t>
            </w:r>
            <w:r>
              <w:rPr>
                <w:rStyle w:val="FootnoteReference"/>
                <w:noProof/>
              </w:rPr>
              <w:footnoteReference w:id="5"/>
            </w:r>
            <w:r>
              <w:rPr>
                <w:noProof/>
              </w:rPr>
              <w:t>. Ces changements ont des répercussions sur les citoyens à tous les stades de leur vie et créent un horizon commun de responsabilité offrant une occasion puissante de renouveler le modèle social, économique et démocratique de l’UE par des moyens qui profitent à la fois aux générations présentes et futures</w:t>
            </w:r>
            <w:r>
              <w:rPr>
                <w:rStyle w:val="FootnoteReference"/>
                <w:noProof/>
              </w:rPr>
              <w:footnoteReference w:id="6"/>
            </w:r>
            <w:r>
              <w:rPr>
                <w:noProof/>
              </w:rPr>
              <w:t>.</w:t>
            </w:r>
          </w:p>
          <w:p w14:paraId="44B98B05" w14:textId="3B5C9692" w:rsidR="00A70A62" w:rsidRPr="00A64F36" w:rsidRDefault="00A70A62" w:rsidP="00234C09">
            <w:pPr>
              <w:pStyle w:val="NormalWeb"/>
              <w:spacing w:after="180"/>
              <w:jc w:val="both"/>
              <w:rPr>
                <w:noProof/>
              </w:rPr>
            </w:pPr>
            <w:bookmarkStart w:id="2" w:name="_Hlk221891564"/>
            <w:r>
              <w:rPr>
                <w:b/>
                <w:noProof/>
              </w:rPr>
              <w:t>D’un point de vue intergénérationnel, la question centrale ne réside pas dans ces changements eux-mêmes</w:t>
            </w:r>
            <w:r>
              <w:rPr>
                <w:noProof/>
              </w:rPr>
              <w:t>, mais consiste à savoir si les choix que nous faisons aujourd’hui améliorent les chances des citoyens de réussir dans la vie et augmentent ou limitent les possibilités pour les générations futures. L’allongement de l’espérance de vie, le progrès technologique et la transition vers une économie d’utilisation des ressources durable et neutre pour le climat peuvent accroître la prospérité et le bien-être tout au long de la vie. Il sera nécessaire à cette fin de disposer d’une vision à long terme inscrite dans la loi, des investissements en amont, une aide à la participation active tout au long de la vie active et une équité continue entre les générations.</w:t>
            </w:r>
          </w:p>
          <w:bookmarkEnd w:id="2"/>
          <w:p w14:paraId="6E218182" w14:textId="63F83970" w:rsidR="00431CC3" w:rsidRPr="00A64F36" w:rsidRDefault="00431CC3" w:rsidP="00431CC3">
            <w:pPr>
              <w:pStyle w:val="NormalWeb"/>
              <w:spacing w:after="180"/>
              <w:jc w:val="both"/>
              <w:rPr>
                <w:noProof/>
              </w:rPr>
            </w:pPr>
            <w:r>
              <w:rPr>
                <w:b/>
                <w:noProof/>
              </w:rPr>
              <w:t>La transition démographique</w:t>
            </w:r>
            <w:r>
              <w:rPr>
                <w:noProof/>
              </w:rPr>
              <w:t xml:space="preserve"> est en train de transformer les sociétés, avec des conséquences sur l’accès des jeunes générations au logement, au travail et aux revenus, ainsi que sur les soins de longue durée et les soins de santé. Dans le même temps, le vieillissement actif, le transfert de connaissances intergénérationnel et une participation économique et sociale accrue peuvent favoriser des vies plus longues et plus saines. En investissant dans l’apprentissage tout au long de la vie, le travail flexible et les communautés adaptées aux personnes âgées, l’évolution démographique peut devenir un avantage pour toutes les générations.</w:t>
            </w:r>
          </w:p>
          <w:p w14:paraId="151CDA06" w14:textId="0ACDCBAB" w:rsidR="00A70A62" w:rsidRPr="00A64F36" w:rsidRDefault="00FF7A12" w:rsidP="00234C09">
            <w:pPr>
              <w:pStyle w:val="NormalWeb"/>
              <w:spacing w:after="180"/>
              <w:jc w:val="both"/>
              <w:rPr>
                <w:noProof/>
              </w:rPr>
            </w:pPr>
            <w:r>
              <w:rPr>
                <w:b/>
                <w:noProof/>
              </w:rPr>
              <w:t>Le climat et la nature</w:t>
            </w:r>
            <w:r>
              <w:rPr>
                <w:noProof/>
              </w:rPr>
              <w:t xml:space="preserve"> constituent un autre exemple clair. Agir résolument en faveur de la protection du climat et de l’environnement permet d’éviter des coûts beaucoup plus élevés pour les jeunes et les générations futures et constitue un investissement dans leur santé, leur sécurité et leurs conditions de vie, tout en apportant des avantages tangibles aux personnes de tout âge aujourd’hui grâce à des environnements plus propres, à l’amélioration de la santé publique, à la sécurité énergétique et la sécurité en eau, et à des communautés plus résilientes. En revanche, l’absence d’action aurait une incidence notable sur la prospérité des générations futures. Lorsqu’elle est gérée de manière inclusive, la transition écologique contribue à des emplois de qualité, à l’amélioration des conditions de vie et au caractère abordable des prix; en outre, elle renforce la résilience et la sécurité énergétique de l’UE. </w:t>
            </w:r>
          </w:p>
          <w:p w14:paraId="773685B7" w14:textId="607BB5EE" w:rsidR="00A70A62" w:rsidRPr="00A64F36" w:rsidRDefault="00A70A62" w:rsidP="00234C09">
            <w:pPr>
              <w:pStyle w:val="NormalWeb"/>
              <w:spacing w:after="180"/>
              <w:jc w:val="both"/>
              <w:rPr>
                <w:noProof/>
              </w:rPr>
            </w:pPr>
            <w:r>
              <w:rPr>
                <w:b/>
                <w:noProof/>
              </w:rPr>
              <w:t>La transition numérique, l’intelligence artificielle</w:t>
            </w:r>
            <w:r>
              <w:rPr>
                <w:noProof/>
              </w:rPr>
              <w:t xml:space="preserve"> </w:t>
            </w:r>
            <w:r>
              <w:rPr>
                <w:b/>
                <w:noProof/>
              </w:rPr>
              <w:t>et les technologies spatiales</w:t>
            </w:r>
            <w:r>
              <w:rPr>
                <w:noProof/>
              </w:rPr>
              <w:t xml:space="preserve"> transforment l’éducation, le travail, les modes de vie et la participation démocratique tout au long de la vie. Si ces transitions nécessitent une adaptation, elles élargissent également les possibilités. L’apprentissage tout au long de la vie, le perfectionnement et la reconversion professionnels ainsi que l’innovation centrée sur l’humain peuvent faire en sorte que le progrès technologique soit favorable à toutes les générations, donne aux jeunes les moyens de s’épanouir sur un marché du travail en mutation et favorise la participation et l’autonomie tout au long de la vie. </w:t>
            </w:r>
            <w:r>
              <w:rPr>
                <w:b/>
                <w:noProof/>
              </w:rPr>
              <w:t>L’évolution de la nature du travail</w:t>
            </w:r>
            <w:r>
              <w:rPr>
                <w:noProof/>
              </w:rPr>
              <w:t xml:space="preserve"> est en train de transformer l’emploi, les modèles de carrière et les structures organisationnelles et risque d’exacerber les inégalités si elle n’est pas gérée adéquatement, en exposant les jeunes à des carrières moins linéaires et plus incertaines.</w:t>
            </w:r>
          </w:p>
        </w:tc>
      </w:tr>
    </w:tbl>
    <w:p w14:paraId="62863817" w14:textId="140B0C75" w:rsidR="00621C87" w:rsidRPr="00A64F36" w:rsidRDefault="00621C87" w:rsidP="00621C87">
      <w:pPr>
        <w:pStyle w:val="NormalWeb"/>
        <w:spacing w:after="180"/>
        <w:jc w:val="both"/>
        <w:rPr>
          <w:noProof/>
        </w:rPr>
      </w:pPr>
      <w:r>
        <w:rPr>
          <w:b/>
          <w:noProof/>
        </w:rPr>
        <w:t>Dans le contexte de ces transformations</w:t>
      </w:r>
      <w:r>
        <w:rPr>
          <w:noProof/>
        </w:rPr>
        <w:t>, les choix opérés aujourd’hui en matière d’investissement, de finances publiques, de régimes fiscaux, de systèmes de retraite et de réglementation, qui influent sur le logement, l’éducation, la santé, les services de garde d’enfants et de soins de longue durée, le travail et la répartition des richesses, détermineront si les générations futures hériteront de contraintes croissantes ou d’une plus grande capacité d’agir</w:t>
      </w:r>
      <w:r>
        <w:rPr>
          <w:rStyle w:val="FootnoteReference"/>
          <w:noProof/>
        </w:rPr>
        <w:footnoteReference w:id="7"/>
      </w:r>
      <w:r>
        <w:rPr>
          <w:noProof/>
        </w:rPr>
        <w:t>.</w:t>
      </w:r>
    </w:p>
    <w:p w14:paraId="6804D0BC" w14:textId="108F6CFE" w:rsidR="00621C87" w:rsidRPr="00A64F36" w:rsidRDefault="00621C87" w:rsidP="00621C87">
      <w:pPr>
        <w:pStyle w:val="NormalWeb"/>
        <w:spacing w:before="240" w:beforeAutospacing="0" w:after="180" w:afterAutospacing="0"/>
        <w:jc w:val="both"/>
        <w:rPr>
          <w:noProof/>
        </w:rPr>
      </w:pPr>
      <w:r>
        <w:rPr>
          <w:b/>
          <w:noProof/>
        </w:rPr>
        <w:t>Une approche intergénérationnelle nécessite dès lors une détermination ancrée dans la responsabilité partagée et la solidarité</w:t>
      </w:r>
      <w:r>
        <w:rPr>
          <w:noProof/>
        </w:rPr>
        <w:t>, de sorte que toutes les générations, et en premier lieu les jeunes, ne soient pas simplement préparées pour l’avenir, mais équipées pour l’orienter, en s’appuyant sur l’expérience, la contribution et la solidarité de toutes les générations.</w:t>
      </w:r>
    </w:p>
    <w:p w14:paraId="0DB29630" w14:textId="41786B28" w:rsidR="00A70A62" w:rsidRPr="00A64F36" w:rsidRDefault="00A70A62" w:rsidP="00621C87">
      <w:pPr>
        <w:pStyle w:val="NormalWeb"/>
        <w:spacing w:before="240" w:beforeAutospacing="0" w:after="180" w:afterAutospacing="0"/>
        <w:jc w:val="both"/>
        <w:rPr>
          <w:noProof/>
        </w:rPr>
      </w:pPr>
      <w:r>
        <w:rPr>
          <w:b/>
          <w:noProof/>
        </w:rPr>
        <w:t>Les possibilités et les risques évoluent à mesure que les personnes traversent différentes étapes de leur vie</w:t>
      </w:r>
      <w:r>
        <w:rPr>
          <w:noProof/>
        </w:rPr>
        <w:t xml:space="preserve"> et, par conséquent, des écarts importants se creusent entre les générations en matière d’accès à l’éducation, à un environnement sûr, à un travail stable, au logement, aux soins, à la richesse et à la sécurité à long terme. Il est par conséquent nécessaire d'adopter une approche unificatrice qui rassemble les générations autour d’objectifs communs pour l’avenir. </w:t>
      </w:r>
    </w:p>
    <w:p w14:paraId="6CAA0BFA" w14:textId="49DA30F8" w:rsidR="00A70A62" w:rsidRPr="00A64F36" w:rsidRDefault="00A70A62" w:rsidP="1F2F85B8">
      <w:pPr>
        <w:pStyle w:val="NormalWeb"/>
        <w:spacing w:before="240" w:beforeAutospacing="0" w:after="180" w:afterAutospacing="0"/>
        <w:jc w:val="both"/>
        <w:rPr>
          <w:b/>
          <w:bCs/>
          <w:noProof/>
        </w:rPr>
      </w:pPr>
      <w:r>
        <w:rPr>
          <w:b/>
          <w:noProof/>
        </w:rPr>
        <w:t>Les enfants et les jeunes ont aujourd’hui accès à de plus en plus de possibilités d’apprendre, de voyager, de s’engager en tant que volontaires et de faire entendre leur voix</w:t>
      </w:r>
      <w:r>
        <w:rPr>
          <w:rStyle w:val="FootnoteReference"/>
          <w:b/>
          <w:bCs/>
          <w:noProof/>
        </w:rPr>
        <w:footnoteReference w:id="8"/>
      </w:r>
      <w:r>
        <w:rPr>
          <w:noProof/>
        </w:rPr>
        <w:t>. Cette génération, qui est la plus instruite et la mieux formée aux technologies numériques de l’histoire, se situe à l’avant-garde de l’innovation technologique</w:t>
      </w:r>
      <w:r>
        <w:rPr>
          <w:rStyle w:val="FootnoteReference"/>
          <w:noProof/>
        </w:rPr>
        <w:footnoteReference w:id="9"/>
      </w:r>
      <w:r>
        <w:rPr>
          <w:noProof/>
        </w:rPr>
        <w:t xml:space="preserve"> et son espérance de vie est estimée à 81,7 ans en 2024. Toutefois, à l’heure actuelle, les jeunes sont également plus exposés aux perturbations du marché du travail et aux nouvelles formes d’insécurité liées à la rapidité des évolutions technologiques et à l’expansion des formes de travail atypiques. Malgré leur niveau d’éducation globalement élevé, nombre d’entre eux suivent des parcours d’enseignement ou de formation qui ne correspondent pas toujours à l’évolution des besoins de compétences et aux secteurs émergents. Beaucoup sont exposés à une forte diminution des compétences de base. Cela peut compliquer les transitions entre l’éducation et un emploi stable, constituant ainsi un facteur de la fragmentation des trajectoires en début de carrière et du risque accru d’instabilité de l’emploi. Ces pressions économiques se conjuguent à de plus grands enjeux sociaux et psychologiques, y compris des niveaux élevés de stress, d’anxiété et de solitude chez les jeunes, ce qui témoigne de l’incertitude, de la pression financière et de l’intensification de la comparaison sociale dans les environnements numériques. L’accessibilité financière du logement représente également un défi, les jeunes ayant plus de difficulté à devenir propriétaires et à quitter le domicile de leurs parents, retardant ainsi leur passage à l’autonomie.</w:t>
      </w:r>
    </w:p>
    <w:p w14:paraId="5F710157" w14:textId="59811A52" w:rsidR="006C4AAF" w:rsidRPr="00A64F36" w:rsidRDefault="00A70A62" w:rsidP="1A16B2EB">
      <w:pPr>
        <w:pStyle w:val="NormalWeb"/>
        <w:spacing w:before="240" w:beforeAutospacing="0" w:after="180" w:afterAutospacing="0"/>
        <w:jc w:val="both"/>
        <w:rPr>
          <w:noProof/>
        </w:rPr>
      </w:pPr>
      <w:r>
        <w:rPr>
          <w:b/>
          <w:noProof/>
        </w:rPr>
        <w:t>Les personnes âgées sont également confrontées à un horizon de possibilités transformé</w:t>
      </w:r>
      <w:r>
        <w:rPr>
          <w:noProof/>
        </w:rPr>
        <w:t>, façonné par des vies plus longues et plus saines, mais aussi par des besoins plus importants en matière de soins de longue durée et des risques de pauvreté à un âge plus avancé. Leur capacité à rester actives, en sécurité et connectées varie fortement. Les inégalités accumulées tout au long de la vie se traduisent par un risque plus élevé de pauvreté et d’insécurité financière, surtout pour les femmes. De nombreuses personnes âgées souhaitent continuer à contribuer à la société et au marché du travail, mais sont freinées par la rapidité de la transition numérique</w:t>
      </w:r>
      <w:r>
        <w:rPr>
          <w:rStyle w:val="FootnoteReference"/>
          <w:noProof/>
          <w:lang w:val="en-GB"/>
        </w:rPr>
        <w:footnoteReference w:id="10"/>
      </w:r>
      <w:r>
        <w:rPr>
          <w:noProof/>
        </w:rPr>
        <w:t>, qui risque d’exclure les personnes disposant de compétences numériques moindres</w:t>
      </w:r>
      <w:r>
        <w:rPr>
          <w:rStyle w:val="FootnoteReference"/>
          <w:noProof/>
          <w:lang w:val="en-GB"/>
        </w:rPr>
        <w:footnoteReference w:id="11"/>
      </w:r>
      <w:r>
        <w:rPr>
          <w:noProof/>
        </w:rPr>
        <w:t>. L’âgisme est répandu: 52 % des citoyens de l’UE considèrent l’âge comme le plus grand désavantage pour les candidats à un emploi, les travailleurs âgés étant souvent perçus comme moins adaptables et moins compétents sur le plan numérique</w:t>
      </w:r>
      <w:r>
        <w:rPr>
          <w:rStyle w:val="FootnoteReference"/>
          <w:noProof/>
          <w:lang w:val="en-GB"/>
        </w:rPr>
        <w:footnoteReference w:id="12"/>
      </w:r>
      <w:r>
        <w:rPr>
          <w:noProof/>
        </w:rPr>
        <w:t>. Le manque de services et d’infrastructures de base, y compris le haut débit, a une incidence en particulier sur certains territoires ruraux dont l’âge moyen des habitants est plus élevé.</w:t>
      </w:r>
    </w:p>
    <w:p w14:paraId="34BA1920" w14:textId="2A480748" w:rsidR="00A70A62" w:rsidRPr="00A64F36" w:rsidRDefault="00647C05" w:rsidP="1A16B2EB">
      <w:pPr>
        <w:pStyle w:val="NormalWeb"/>
        <w:spacing w:before="240" w:beforeAutospacing="0" w:after="180" w:afterAutospacing="0"/>
        <w:jc w:val="both"/>
        <w:rPr>
          <w:noProof/>
        </w:rPr>
      </w:pPr>
      <w:r>
        <w:rPr>
          <w:b/>
          <w:noProof/>
        </w:rPr>
        <w:t>La sécurité économique à un âge avancé</w:t>
      </w:r>
      <w:r>
        <w:rPr>
          <w:noProof/>
        </w:rPr>
        <w:t xml:space="preserve"> dépend également de l’adéquation et de la viabilité des systèmes de retraite, qui jouent un rôle central dans la construction de l’équité intergénérationnelle en maintenant un équilibre entre la sécurité des revenus des personnes âgées et la résilience à long terme des finances publiques. Les disparités territoriales en matière de soins de santé, de soins de longue durée, de mobilité et d’accès à des installations pour la pratique régulière d’activités physiques influent également sur l’indépendance, le sentiment de solitude, les résultats de santé et la qualité de vie durant la vieillesse</w:t>
      </w:r>
      <w:r>
        <w:rPr>
          <w:rStyle w:val="FootnoteReference"/>
          <w:noProof/>
          <w:lang w:val="en-GB"/>
        </w:rPr>
        <w:footnoteReference w:id="13"/>
      </w:r>
      <w:r>
        <w:rPr>
          <w:noProof/>
        </w:rPr>
        <w:t>. Les futures personnes âgées vivront plus longtemps et auront dès lors besoin de services et d’aménagements à domicile pour continuer à vivre chez elles. Indépendamment de l’âge, l’activité physique contribue à améliorer le bien-être général et les fonctions cognitives.</w:t>
      </w:r>
    </w:p>
    <w:p w14:paraId="2CE656CD" w14:textId="284C2003" w:rsidR="00C81D7E" w:rsidRPr="00A64F36" w:rsidRDefault="00C81D7E" w:rsidP="00C81D7E">
      <w:pPr>
        <w:pStyle w:val="NormalWeb"/>
        <w:spacing w:before="240" w:beforeAutospacing="0" w:after="180" w:afterAutospacing="0"/>
        <w:jc w:val="both"/>
        <w:rPr>
          <w:noProof/>
        </w:rPr>
      </w:pPr>
      <w:r>
        <w:rPr>
          <w:b/>
          <w:noProof/>
        </w:rPr>
        <w:t>Le genre reste un facteur majeur d’inégalité des chances et de discrimination</w:t>
      </w:r>
      <w:r>
        <w:rPr>
          <w:noProof/>
        </w:rPr>
        <w:t xml:space="preserve">. En 2023, dans l’UE, les femmes gagnaient en moyenne </w:t>
      </w:r>
      <w:r>
        <w:rPr>
          <w:rStyle w:val="Strong"/>
          <w:b w:val="0"/>
          <w:noProof/>
        </w:rPr>
        <w:t>12 % de moins par heure</w:t>
      </w:r>
      <w:r>
        <w:rPr>
          <w:noProof/>
        </w:rPr>
        <w:t xml:space="preserve"> que les hommes et, en 2024, leur taux d’emploi était de </w:t>
      </w:r>
      <w:r>
        <w:rPr>
          <w:rStyle w:val="Strong"/>
          <w:b w:val="0"/>
          <w:noProof/>
        </w:rPr>
        <w:t>70,8 %</w:t>
      </w:r>
      <w:r>
        <w:rPr>
          <w:noProof/>
        </w:rPr>
        <w:t xml:space="preserve"> contre </w:t>
      </w:r>
      <w:r>
        <w:rPr>
          <w:rStyle w:val="Strong"/>
          <w:b w:val="0"/>
          <w:noProof/>
        </w:rPr>
        <w:t>80,8 % pour les hommes</w:t>
      </w:r>
      <w:r>
        <w:rPr>
          <w:rStyle w:val="FootnoteReference"/>
          <w:noProof/>
          <w:lang w:val="en-GB"/>
        </w:rPr>
        <w:footnoteReference w:id="14"/>
      </w:r>
      <w:r>
        <w:rPr>
          <w:noProof/>
        </w:rPr>
        <w:t xml:space="preserve">. Les femmes assument également la charge principale des responsabilités familiales. Nombre d’entre elles sont victimes de discrimination et de harcèlement sexuel, et environ une sur trois subit des violences physiques ou sexuelles, y compris au travail. Au fil du temps, ces inégalités en matière d’emploi, de rémunération et de responsabilités familiales s’accumulent, creusant les écarts entre les hommes et les femmes en ce qui concerne la sécurité des revenus, les retraites et l’indépendance économique plus tard dans la vie. </w:t>
      </w:r>
    </w:p>
    <w:p w14:paraId="1C8FB5AF" w14:textId="0B74D82D" w:rsidR="00EA0CC4" w:rsidRPr="00A64F36" w:rsidRDefault="00EA0CC4" w:rsidP="00EA0CC4">
      <w:pPr>
        <w:pStyle w:val="NormalWeb"/>
        <w:spacing w:before="240" w:beforeAutospacing="0" w:after="180" w:afterAutospacing="0"/>
        <w:jc w:val="both"/>
        <w:rPr>
          <w:noProof/>
        </w:rPr>
      </w:pPr>
      <w:r>
        <w:rPr>
          <w:b/>
          <w:noProof/>
        </w:rPr>
        <w:t>Les groupes défavorisés rencontrent des difficultés supplémentaires qui nécessitent une approche intersectionnelle.</w:t>
      </w:r>
      <w:r>
        <w:rPr>
          <w:noProof/>
        </w:rPr>
        <w:t xml:space="preserve"> En moyenne, plus d’un quart des inégalités de revenus marchands en Europe sont imputables à des facteurs hérités, tels que le statut socio-économique des parents</w:t>
      </w:r>
      <w:r>
        <w:rPr>
          <w:rStyle w:val="FootnoteReference"/>
          <w:noProof/>
          <w:lang w:val="en-GB"/>
        </w:rPr>
        <w:footnoteReference w:id="15"/>
      </w:r>
      <w:r>
        <w:rPr>
          <w:noProof/>
        </w:rPr>
        <w:t xml:space="preserve"> ou la situation géographique. Les jeunes en situation de handicap éprouvent souvent des difficultés lorsqu’ils parviennent à l’âge adulte en raison de la faiblesse des passerelles entre l’éducation et l’emploi. Les enfants restent exposés à un risque de pauvreté plus élevé que l’ensemble de la population. Les fractures territoriales, notamment dans les zones rurales et reculées, limitent l’accès à une formation, à un logement, à des transports et à une connectivité de qualité, aggravant la fuite des cerveaux et augmentant le taux de jeunes sans emploi qui ne suivent ni études ni formation.</w:t>
      </w:r>
    </w:p>
    <w:p w14:paraId="51160C0A" w14:textId="3CAEF33B" w:rsidR="00EA0CC4" w:rsidRPr="00A64F36" w:rsidRDefault="00EA0CC4" w:rsidP="00EA0CC4">
      <w:pPr>
        <w:pStyle w:val="NormalWeb"/>
        <w:spacing w:before="240" w:beforeAutospacing="0" w:after="180" w:afterAutospacing="0"/>
        <w:jc w:val="both"/>
        <w:rPr>
          <w:noProof/>
        </w:rPr>
      </w:pPr>
      <w:r>
        <w:rPr>
          <w:noProof/>
        </w:rPr>
        <w:t xml:space="preserve">Les </w:t>
      </w:r>
      <w:r>
        <w:rPr>
          <w:b/>
          <w:noProof/>
        </w:rPr>
        <w:t>obstacles structurels</w:t>
      </w:r>
      <w:r>
        <w:rPr>
          <w:noProof/>
        </w:rPr>
        <w:t xml:space="preserve"> dans l’éducation, la formation et l’emploi, la pauvreté, les coûts élevés du logement et l’accès aux services se superposent, sont souvent transmis d’une génération à l’autre et sont ressentis particulièrement par les personnes exposées à des discriminations, notamment les personnes issues de l’immigration, les Roms et les personnes LGBTIQ+. </w:t>
      </w:r>
    </w:p>
    <w:p w14:paraId="22954855" w14:textId="512B63E6" w:rsidR="006140DF" w:rsidRDefault="00A70A62" w:rsidP="00A70A62">
      <w:pPr>
        <w:pStyle w:val="NormalWeb"/>
        <w:jc w:val="both"/>
        <w:rPr>
          <w:noProof/>
        </w:rPr>
      </w:pPr>
      <w:r>
        <w:rPr>
          <w:b/>
          <w:noProof/>
        </w:rPr>
        <w:t>Une approche englobant tout le parcours de vie s’étend au-delà des générations actuelles.</w:t>
      </w:r>
      <w:r>
        <w:rPr>
          <w:noProof/>
        </w:rPr>
        <w:t xml:space="preserve"> En examinant les tendances démographiques, technologiques, environnementales, climatiques et socio-économiques à long terme, nous pouvons anticiper les possibilités et les risques auxquels les </w:t>
      </w:r>
      <w:r>
        <w:rPr>
          <w:b/>
          <w:noProof/>
        </w:rPr>
        <w:t>générations futures</w:t>
      </w:r>
      <w:r>
        <w:rPr>
          <w:noProof/>
        </w:rPr>
        <w:t xml:space="preserve"> feront face. Bien que ces générations ne puissent actuellement pas voter ou prendre la parole, leur horizon de possibilités sera façonné par les choix effectués aujourd’hui. Pour atteindre l’équité intergénérationnelle, il est donc nécessaire de combler les lacunes actuelles tout en créant un avenir dans lequel les personnes qui ne sont pas encore nées peuvent prospérer.</w:t>
      </w:r>
    </w:p>
    <w:p w14:paraId="77075192" w14:textId="77777777" w:rsidR="00024888" w:rsidRPr="00375D18" w:rsidRDefault="00024888" w:rsidP="00A70A62">
      <w:pPr>
        <w:pStyle w:val="NormalWeb"/>
        <w:jc w:val="both"/>
        <w:rPr>
          <w:noProof/>
        </w:rPr>
      </w:pPr>
    </w:p>
    <w:p w14:paraId="1E0A4C17" w14:textId="3D2CC071"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 xml:space="preserve">Que se passera-t-il si nous n’agissons pas? Le coût de l’inaction </w:t>
      </w:r>
    </w:p>
    <w:p w14:paraId="0C15CD13" w14:textId="1EB5F01C" w:rsidR="00A70A62" w:rsidRPr="00A64F36" w:rsidRDefault="00A70A62" w:rsidP="7EB3A829">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 xml:space="preserve">L’équité intergénérationnelle est un choix stratégique pour l’UE. </w:t>
      </w:r>
      <w:r>
        <w:rPr>
          <w:rFonts w:ascii="Times New Roman" w:hAnsi="Times New Roman"/>
          <w:noProof/>
        </w:rPr>
        <w:t>Les cycles électoraux se déploient souvent sur un temps court, ce qui incite davantage à privilégier des perspectives à court terme. Lorsque les politiques ne tiennent pas suffisamment compte de leurs incidences d’une génération à l’autre, les coûts économiques, environnementaux, sociaux et démocratiques s’accumulent graduellement. Rien que pour le changement climatique, l’inaction coûterait à l’UE une réduction de son PIB allant de 7 % à des pourcentages à deux chiffres d’ici la fin du siècle</w:t>
      </w:r>
      <w:r>
        <w:rPr>
          <w:rStyle w:val="FootnoteReference"/>
          <w:rFonts w:ascii="Times New Roman" w:eastAsiaTheme="minorEastAsia" w:hAnsi="Times New Roman" w:cs="Times New Roman"/>
          <w:noProof/>
          <w:lang w:eastAsia="en-GB"/>
        </w:rPr>
        <w:footnoteReference w:id="16"/>
      </w:r>
      <w:r>
        <w:rPr>
          <w:noProof/>
        </w:rPr>
        <w:t>.</w:t>
      </w:r>
      <w:r>
        <w:rPr>
          <w:rFonts w:ascii="Times New Roman" w:hAnsi="Times New Roman"/>
          <w:noProof/>
        </w:rPr>
        <w:t xml:space="preserve"> Les pertes économiques liées aux phénomènes climatiques continuent même de s’intensifier</w:t>
      </w:r>
      <w:r>
        <w:rPr>
          <w:rFonts w:ascii="Times New Roman" w:eastAsia="Times New Roman" w:hAnsi="Times New Roman" w:cs="Times New Roman"/>
          <w:noProof/>
          <w:vertAlign w:val="superscript"/>
        </w:rPr>
        <w:footnoteReference w:id="17"/>
      </w:r>
      <w:r>
        <w:rPr>
          <w:rFonts w:ascii="Times New Roman" w:hAnsi="Times New Roman"/>
          <w:noProof/>
        </w:rPr>
        <w:t>.</w:t>
      </w:r>
    </w:p>
    <w:p w14:paraId="3B6906A7" w14:textId="713F13C0" w:rsidR="00A70A62" w:rsidRPr="00A64F36" w:rsidRDefault="00A70A62" w:rsidP="00A70A62">
      <w:pPr>
        <w:pStyle w:val="NormalWeb"/>
        <w:jc w:val="both"/>
        <w:rPr>
          <w:noProof/>
        </w:rPr>
      </w:pPr>
      <w:r>
        <w:rPr>
          <w:b/>
          <w:noProof/>
        </w:rPr>
        <w:t>Lorsque les possibilités sont réparties de manière inégale entre les générations, les territoires</w:t>
      </w:r>
      <w:r>
        <w:rPr>
          <w:noProof/>
        </w:rPr>
        <w:t xml:space="preserve"> </w:t>
      </w:r>
      <w:r>
        <w:rPr>
          <w:b/>
          <w:noProof/>
        </w:rPr>
        <w:t>et les groupes sociaux,</w:t>
      </w:r>
      <w:r>
        <w:rPr>
          <w:noProof/>
        </w:rPr>
        <w:t xml:space="preserve"> le risque existe d’une concentration croissante des gains économiques. La mobilité sociale peut s’affaiblir, les inégalités se creuser et la confiance dans l’équité des perspectives d’avenir s’éroder. Moins de la moitié des Européens estiment avoir les mêmes chances d’avancer dans la vie, et seulement 38 % estiment que la plupart des événements de leur vie surviennent de manière équitable, ce qui met en évidence le sentiment croissant que la vie n’est pas juste</w:t>
      </w:r>
      <w:r>
        <w:rPr>
          <w:rStyle w:val="FootnoteReference"/>
          <w:noProof/>
          <w:lang w:val="en-GB"/>
        </w:rPr>
        <w:footnoteReference w:id="18"/>
      </w:r>
      <w:r>
        <w:rPr>
          <w:noProof/>
        </w:rPr>
        <w:t>. Cette perception souligne l’importance de lutter contre les disparités émergentes, qui mènent à la transmission de désavantages économiques d’une génération à l’autre, avant qu’elles ne deviennent structurelles.</w:t>
      </w:r>
      <w:r>
        <w:rPr>
          <w:b/>
          <w:noProof/>
        </w:rPr>
        <w:t xml:space="preserve"> </w:t>
      </w:r>
    </w:p>
    <w:p w14:paraId="473109B6" w14:textId="51E20E65" w:rsidR="00A70A62" w:rsidRPr="00B22CB0" w:rsidRDefault="00A70A62" w:rsidP="007D1A56">
      <w:pPr>
        <w:pStyle w:val="NormalWeb"/>
        <w:spacing w:before="0" w:beforeAutospacing="0" w:after="240" w:afterAutospacing="0"/>
        <w:jc w:val="both"/>
        <w:rPr>
          <w:rFonts w:eastAsia="Aptos"/>
          <w:noProof/>
        </w:rPr>
      </w:pPr>
      <w:r>
        <w:rPr>
          <w:b/>
          <w:noProof/>
        </w:rPr>
        <w:t>L’inaction peut également nuire à la résilience démocratique.</w:t>
      </w:r>
      <w:r>
        <w:rPr>
          <w:noProof/>
        </w:rPr>
        <w:t xml:space="preserve"> Lorsque les politiques sont perçues comme n’étant pas suffisamment adaptées au changement de génération, la confiance dans les institutions peut s’effriter. Tant que la confiance dans l’UE reste comparativement élevée, il est essentiel que nous nous appuyions sur cette confiance pour renforcer l’engagement des citoyens et la résilience démocratique. L’isolement social peut être corrélé avec une baisse de la participation civique et du taux de participation électorale, et avec un engagement politique globalement réduit</w:t>
      </w:r>
      <w:r>
        <w:rPr>
          <w:rStyle w:val="FootnoteReference"/>
          <w:noProof/>
        </w:rPr>
        <w:footnoteReference w:id="19"/>
      </w:r>
      <w:r>
        <w:rPr>
          <w:noProof/>
        </w:rPr>
        <w:t>. La désinformation peut éroder la confiance dans les institutions et les médias, mettre les élections en péril et limiter la capacité des citoyens à prendre des décisions éclairées</w:t>
      </w:r>
      <w:r>
        <w:rPr>
          <w:rStyle w:val="FootnoteReference"/>
          <w:rFonts w:eastAsia="Aptos"/>
          <w:noProof/>
          <w:lang w:val="en-GB"/>
        </w:rPr>
        <w:footnoteReference w:id="20"/>
      </w:r>
      <w:r>
        <w:rPr>
          <w:noProof/>
        </w:rPr>
        <w:t xml:space="preserve">. De ce fait, les sociétés sont de plus en plus exposées aux chocs, dépendent davantage d’actions réactives, et sont moins en mesure d’investir en toute confiance dans l’avenir. </w:t>
      </w:r>
    </w:p>
    <w:p w14:paraId="5121980A" w14:textId="25D92AC4" w:rsidR="006140DF" w:rsidRDefault="00A70A62" w:rsidP="007D1A56">
      <w:pPr>
        <w:pStyle w:val="NormalWeb"/>
        <w:spacing w:before="0" w:beforeAutospacing="0" w:after="240" w:afterAutospacing="0"/>
        <w:jc w:val="both"/>
        <w:rPr>
          <w:noProof/>
        </w:rPr>
      </w:pPr>
      <w:r>
        <w:rPr>
          <w:b/>
          <w:noProof/>
        </w:rPr>
        <w:t xml:space="preserve">Le coût de l’inaction en matière d’équité intergénérationnelle n’est donc pas seulement économique, il est également démocratique, social et environnemental. </w:t>
      </w:r>
      <w:r>
        <w:rPr>
          <w:noProof/>
        </w:rPr>
        <w:t>La nécessité de faire face aux pressions qui s’exercent actuellement sur le logement, les compétences, l’accès au marché du travail, les finances publiques, les ressources naturelles, le climat, les systèmes de soins et de protection sociale et l’accès aux services offre une véritable occasion de donner aux jeunes générations les moyens d’agir, tout en réaffirmant la solidarité et l’équité à tous les âges. L’équité intergénérationnelle n’est donc pas un objectif supplémentaire, mais une condition de la stabilité, de la légitimité ainsi que d’une croissance durable et propre pour les décennies à venir.</w:t>
      </w:r>
    </w:p>
    <w:p w14:paraId="7A4CD4CA" w14:textId="77777777" w:rsidR="00024888" w:rsidRPr="00375D18" w:rsidRDefault="00024888" w:rsidP="007D1A56">
      <w:pPr>
        <w:pStyle w:val="NormalWeb"/>
        <w:spacing w:before="0" w:beforeAutospacing="0" w:after="240" w:afterAutospacing="0"/>
        <w:jc w:val="both"/>
        <w:rPr>
          <w:noProof/>
        </w:rPr>
      </w:pPr>
    </w:p>
    <w:p w14:paraId="3E7271F1"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Jeter de nouvelles bases pour l’équité: un nouveau «contrat» intergénérationnel</w:t>
      </w:r>
    </w:p>
    <w:p w14:paraId="478A0729" w14:textId="684F2A0E" w:rsidR="00A70A62" w:rsidRPr="00A64F36" w:rsidRDefault="00A70A62" w:rsidP="00A70A62">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L’équité intergénérationnelle dépend du renforcement des fondements sur lesquels repose la solidarité entre les générations.</w:t>
      </w:r>
      <w:r>
        <w:rPr>
          <w:rFonts w:ascii="Times New Roman" w:hAnsi="Times New Roman"/>
          <w:noProof/>
        </w:rPr>
        <w:t xml:space="preserve"> La présente stratégie présente un nouveau «contrat» intergénérationnel, élaboré en réponse aux recommandations du panel de citoyens européens, faisant ressortir la nécessité d’élargir les possibilités au fil du temps, de lutter contre les disparités entre les territoires et de veiller à ce que les décisions soient prises dans une perspective à plus long terme. </w:t>
      </w:r>
      <w:r>
        <w:rPr>
          <w:rFonts w:ascii="Times New Roman" w:hAnsi="Times New Roman"/>
          <w:b/>
          <w:noProof/>
        </w:rPr>
        <w:t>Elle fournit un cadre commun pour concilier prévoyance, équité et responsabilité</w:t>
      </w:r>
      <w:r>
        <w:rPr>
          <w:rFonts w:ascii="Times New Roman" w:hAnsi="Times New Roman"/>
          <w:noProof/>
        </w:rPr>
        <w:t xml:space="preserve">, de sorte que les choix d’aujourd’hui renforcent les possibilités pour les générations tant actuelles que futures, </w:t>
      </w:r>
      <w:r>
        <w:rPr>
          <w:rFonts w:ascii="Times New Roman" w:hAnsi="Times New Roman"/>
          <w:b/>
          <w:noProof/>
        </w:rPr>
        <w:t>et pour consolider le tissu social de l’UE</w:t>
      </w:r>
      <w:r>
        <w:rPr>
          <w:rFonts w:ascii="Times New Roman" w:hAnsi="Times New Roman"/>
          <w:noProof/>
        </w:rPr>
        <w:t xml:space="preserve"> en réunissant les générations autour d’objectifs communs, d’une responsabilité partagée et d’un investissement collectif dans l’avenir. </w:t>
      </w:r>
    </w:p>
    <w:p w14:paraId="15419D38" w14:textId="2B4FAFBC" w:rsidR="00A70A62" w:rsidRPr="00A64F36" w:rsidRDefault="00A70A62" w:rsidP="00A70A62">
      <w:pPr>
        <w:pStyle w:val="NormalWeb"/>
        <w:jc w:val="both"/>
        <w:rPr>
          <w:bCs/>
          <w:noProof/>
        </w:rPr>
      </w:pPr>
      <w:r>
        <w:rPr>
          <w:b/>
          <w:noProof/>
          <w:color w:val="111111"/>
        </w:rPr>
        <w:t>Le nouveau «contrat» intergénérationnel s’appuie sur trois dimensions</w:t>
      </w:r>
      <w:r>
        <w:rPr>
          <w:b/>
          <w:noProof/>
        </w:rPr>
        <w:t xml:space="preserve">: </w:t>
      </w:r>
      <w:r>
        <w:rPr>
          <w:noProof/>
        </w:rPr>
        <w:t>1)</w:t>
      </w:r>
      <w:r>
        <w:rPr>
          <w:b/>
          <w:noProof/>
        </w:rPr>
        <w:t xml:space="preserve"> </w:t>
      </w:r>
      <w:r>
        <w:rPr>
          <w:i/>
          <w:noProof/>
        </w:rPr>
        <w:t>une élaboration équitable des politiques</w:t>
      </w:r>
      <w:r>
        <w:rPr>
          <w:noProof/>
        </w:rPr>
        <w:t xml:space="preserve">, qui intègre la réflexion à long terme et le point de vue des jeunes; 2) </w:t>
      </w:r>
      <w:r>
        <w:rPr>
          <w:i/>
          <w:noProof/>
        </w:rPr>
        <w:t>des possibilités équitables</w:t>
      </w:r>
      <w:r>
        <w:rPr>
          <w:noProof/>
        </w:rPr>
        <w:t xml:space="preserve"> réunissant les générations autour d’objectifs communs pour un avenir meilleur</w:t>
      </w:r>
      <w:r>
        <w:rPr>
          <w:i/>
          <w:noProof/>
        </w:rPr>
        <w:t xml:space="preserve"> </w:t>
      </w:r>
      <w:r>
        <w:rPr>
          <w:noProof/>
        </w:rPr>
        <w:t xml:space="preserve">et 3) </w:t>
      </w:r>
      <w:r>
        <w:rPr>
          <w:i/>
          <w:noProof/>
        </w:rPr>
        <w:t>des lieux équitables</w:t>
      </w:r>
      <w:r>
        <w:rPr>
          <w:noProof/>
        </w:rPr>
        <w:t xml:space="preserve"> qui favorisent l’équité intergénérationnelle entre les territoires. </w:t>
      </w:r>
    </w:p>
    <w:p w14:paraId="11392159" w14:textId="2B1591F2" w:rsidR="00A70A62" w:rsidRPr="00A64F36" w:rsidRDefault="00A70A62" w:rsidP="00A70A62">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Élaboration équitable des politiques: intégration de la réflexion à long terme et du point de vue des jeunes </w:t>
      </w:r>
    </w:p>
    <w:p w14:paraId="57C1090E" w14:textId="6D1DB7C5" w:rsidR="00A70A62" w:rsidRPr="00A64F36" w:rsidRDefault="00A70A62" w:rsidP="00A70A62">
      <w:pPr>
        <w:pStyle w:val="FootnoteText"/>
        <w:jc w:val="both"/>
        <w:rPr>
          <w:rFonts w:ascii="Times New Roman" w:eastAsia="Times New Roman" w:hAnsi="Times New Roman" w:cs="Times New Roman"/>
          <w:noProof/>
          <w:sz w:val="24"/>
          <w:szCs w:val="24"/>
        </w:rPr>
      </w:pPr>
      <w:bookmarkStart w:id="3" w:name="_Hlk216980148"/>
      <w:r>
        <w:rPr>
          <w:rFonts w:ascii="Times New Roman" w:hAnsi="Times New Roman"/>
          <w:b/>
          <w:noProof/>
          <w:sz w:val="24"/>
        </w:rPr>
        <w:t>Une</w:t>
      </w:r>
      <w:r>
        <w:rPr>
          <w:rFonts w:ascii="Times New Roman" w:hAnsi="Times New Roman"/>
          <w:b/>
          <w:i/>
          <w:noProof/>
          <w:sz w:val="24"/>
        </w:rPr>
        <w:t xml:space="preserve"> élaboration équitable des politiques</w:t>
      </w:r>
      <w:r>
        <w:rPr>
          <w:rFonts w:ascii="Times New Roman" w:hAnsi="Times New Roman"/>
          <w:b/>
          <w:noProof/>
          <w:sz w:val="24"/>
        </w:rPr>
        <w:t xml:space="preserve"> exige que les effets à long terme des décisions soient systématiquement pris en considération parallèlement aux objectifs à court terme.</w:t>
      </w:r>
      <w:r>
        <w:rPr>
          <w:rFonts w:ascii="Times New Roman" w:hAnsi="Times New Roman"/>
          <w:noProof/>
          <w:sz w:val="24"/>
        </w:rPr>
        <w:t xml:space="preserve"> Les lois, les budgets et les réformes déterminent les possibilités au fil du temps, et les choix effectués aujourd’hui peuvent entraîner des avantages, ou des coûts, durables pour les générations futures. L’adoption d’une perspective systémique à plus long terme contribue à garantir que les solutions à court terme ne génèrent pas ultérieurement de risques ou de charges évitables.</w:t>
      </w:r>
    </w:p>
    <w:p w14:paraId="238540FE"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4A1B211F" w14:textId="12B60808" w:rsidR="00A70A62" w:rsidRPr="00A64F36" w:rsidRDefault="00A70A62" w:rsidP="00A70A62">
      <w:pPr>
        <w:pStyle w:val="FootnoteText"/>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Cela implique des approches de gouvernance anticipées et reposant sur des observations factuelles.</w:t>
      </w:r>
      <w:r>
        <w:rPr>
          <w:rFonts w:ascii="Times New Roman" w:hAnsi="Times New Roman"/>
          <w:noProof/>
          <w:sz w:val="24"/>
        </w:rPr>
        <w:t xml:space="preserve"> Grâce à son programme pour une meilleure réglementation, l’UE est pionnière en matière de bonne gouvernance et de prise de décision anticipée</w:t>
      </w:r>
      <w:r>
        <w:rPr>
          <w:rStyle w:val="FootnoteReference"/>
          <w:rFonts w:ascii="Times New Roman" w:eastAsia="Times New Roman" w:hAnsi="Times New Roman" w:cs="Times New Roman"/>
          <w:noProof/>
          <w:kern w:val="0"/>
          <w:sz w:val="24"/>
          <w:szCs w:val="24"/>
          <w:lang w:eastAsia="en-GB"/>
        </w:rPr>
        <w:footnoteReference w:id="21"/>
      </w:r>
      <w:r>
        <w:rPr>
          <w:rFonts w:ascii="Times New Roman" w:hAnsi="Times New Roman"/>
          <w:noProof/>
          <w:sz w:val="24"/>
        </w:rPr>
        <w:t>. Elle utilise différents outils, tels que la prospective stratégique, les analyses d’impact et les consultations publiques pour rechercher, sur la base d’éléments probants, des compromis qui contribuent à anticiper les risques et à éclairer les choix stratégiques. Ces approches favorisent des politiques plus résilientes et plus judicieuses dans tous les secteurs.</w:t>
      </w:r>
    </w:p>
    <w:p w14:paraId="0DD27BBB"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5EE163C3" w14:textId="41097042" w:rsidR="00A70A62" w:rsidRPr="00A64F36" w:rsidRDefault="00A70A62" w:rsidP="00A70A62">
      <w:pPr>
        <w:pStyle w:val="FootnoteText"/>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Une élaboration équitable des politiques suppose également de veiller à ce que les points de vue des personnes les plus touchées par les décisions ayant une incidence à long terme soient pris en compte lors des discussions.</w:t>
      </w:r>
      <w:r>
        <w:rPr>
          <w:rFonts w:ascii="Times New Roman" w:hAnsi="Times New Roman"/>
          <w:noProof/>
          <w:sz w:val="24"/>
        </w:rPr>
        <w:t xml:space="preserve"> Cela signifie qu’il faut créer des possibilités significatives et proportionnées pour les jeunes de contribuer aux discussions préparant l’élaboration des politiques qui façonnent leur avenir.</w:t>
      </w:r>
    </w:p>
    <w:p w14:paraId="7319B85C" w14:textId="77777777" w:rsidR="00110939" w:rsidRPr="00A64F36" w:rsidRDefault="00110939" w:rsidP="00A70A62">
      <w:pPr>
        <w:pStyle w:val="FootnoteText"/>
        <w:jc w:val="both"/>
        <w:rPr>
          <w:rFonts w:ascii="Times New Roman" w:eastAsia="Times New Roman" w:hAnsi="Times New Roman" w:cs="Times New Roman"/>
          <w:noProof/>
          <w:kern w:val="0"/>
          <w:sz w:val="24"/>
          <w:szCs w:val="24"/>
          <w:lang w:eastAsia="en-GB"/>
          <w14:ligatures w14:val="none"/>
        </w:rPr>
      </w:pPr>
    </w:p>
    <w:p w14:paraId="4608A2B1" w14:textId="4D55D26F" w:rsidR="00A70A62" w:rsidRPr="00A64F36" w:rsidRDefault="00110939" w:rsidP="00A70A62">
      <w:pPr>
        <w:pStyle w:val="FootnoteText"/>
        <w:jc w:val="both"/>
        <w:rPr>
          <w:rFonts w:ascii="Times New Roman" w:eastAsia="Times New Roman" w:hAnsi="Times New Roman" w:cs="Times New Roman"/>
          <w:noProof/>
          <w:sz w:val="24"/>
          <w:szCs w:val="24"/>
        </w:rPr>
      </w:pPr>
      <w:r>
        <w:rPr>
          <w:rFonts w:ascii="Times New Roman" w:hAnsi="Times New Roman"/>
          <w:b/>
          <w:noProof/>
          <w:sz w:val="24"/>
        </w:rPr>
        <w:t>Les décisions prises aujourd’hui ont souvent des répercussions importantes sur les générations futures</w:t>
      </w:r>
      <w:r>
        <w:rPr>
          <w:rFonts w:ascii="Times New Roman" w:hAnsi="Times New Roman"/>
          <w:noProof/>
          <w:sz w:val="24"/>
        </w:rPr>
        <w:t>, que ce soit d’un point de vue économique, social ou environnemental. Les actions énumérées ci-dessous garantiront également que les considérations à long terme seront intégrées de manière cohérente dans la conception des politiques.</w:t>
      </w:r>
    </w:p>
    <w:p w14:paraId="1D4B4307" w14:textId="77777777" w:rsidR="00482FA8" w:rsidRPr="00A64F36" w:rsidRDefault="00482FA8" w:rsidP="00A70A62">
      <w:pPr>
        <w:pStyle w:val="FootnoteText"/>
        <w:jc w:val="both"/>
        <w:rPr>
          <w:rFonts w:ascii="Times New Roman" w:eastAsia="Times New Roman" w:hAnsi="Times New Roman" w:cs="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127D9FE" w14:textId="77777777" w:rsidTr="1A16B2EB">
        <w:tc>
          <w:tcPr>
            <w:tcW w:w="9016" w:type="dxa"/>
            <w:shd w:val="clear" w:color="auto" w:fill="DAE9F7" w:themeFill="text2" w:themeFillTint="1A"/>
          </w:tcPr>
          <w:bookmarkEnd w:id="3"/>
          <w:p w14:paraId="545645D4" w14:textId="18C9F679" w:rsidR="00A70A62" w:rsidRPr="00A64F36" w:rsidRDefault="00A70A62" w:rsidP="00234C09">
            <w:pPr>
              <w:jc w:val="both"/>
              <w:rPr>
                <w:rFonts w:ascii="Times New Roman" w:eastAsia="Times New Roman" w:hAnsi="Times New Roman" w:cs="Times New Roman"/>
                <w:b/>
                <w:bCs/>
                <w:noProof/>
                <w:color w:val="0070C0"/>
              </w:rPr>
            </w:pPr>
            <w:r>
              <w:rPr>
                <w:rFonts w:ascii="Times New Roman" w:hAnsi="Times New Roman"/>
                <w:b/>
                <w:noProof/>
                <w:color w:val="0070C0"/>
              </w:rPr>
              <w:t xml:space="preserve">Afin de soutenir </w:t>
            </w:r>
            <w:r>
              <w:rPr>
                <w:rFonts w:ascii="Times New Roman" w:hAnsi="Times New Roman"/>
                <w:b/>
                <w:i/>
                <w:noProof/>
                <w:color w:val="0070C0"/>
              </w:rPr>
              <w:t>une élaboration équitable des politiques</w:t>
            </w:r>
            <w:r>
              <w:rPr>
                <w:rFonts w:ascii="Times New Roman" w:hAnsi="Times New Roman"/>
                <w:b/>
                <w:noProof/>
                <w:color w:val="0070C0"/>
              </w:rPr>
              <w:t>, la Commission:</w:t>
            </w:r>
          </w:p>
          <w:p w14:paraId="0CC1B494" w14:textId="77777777" w:rsidR="00A70A62" w:rsidRPr="00A64F36" w:rsidRDefault="00A70A62" w:rsidP="00234C09">
            <w:pPr>
              <w:jc w:val="both"/>
              <w:rPr>
                <w:rFonts w:ascii="Times New Roman" w:eastAsia="Times New Roman" w:hAnsi="Times New Roman" w:cs="Times New Roman"/>
                <w:noProof/>
              </w:rPr>
            </w:pPr>
          </w:p>
          <w:p w14:paraId="7E394E14" w14:textId="3E493389" w:rsidR="00A70A62" w:rsidRPr="00A64F36" w:rsidRDefault="00B7369E" w:rsidP="00973910">
            <w:pPr>
              <w:pStyle w:val="ListParagraph"/>
              <w:numPr>
                <w:ilvl w:val="0"/>
                <w:numId w:val="4"/>
              </w:numPr>
              <w:jc w:val="both"/>
              <w:rPr>
                <w:rFonts w:ascii="Times New Roman" w:eastAsia="Times New Roman" w:hAnsi="Times New Roman" w:cs="Times New Roman"/>
                <w:noProof/>
              </w:rPr>
            </w:pPr>
            <w:r>
              <w:rPr>
                <w:rFonts w:ascii="Times New Roman" w:hAnsi="Times New Roman"/>
                <w:b/>
                <w:noProof/>
              </w:rPr>
              <w:t>soutiendra le développement d’une littératie des futurs dans les administrations publiques</w:t>
            </w:r>
            <w:r>
              <w:rPr>
                <w:rFonts w:ascii="Times New Roman" w:hAnsi="Times New Roman"/>
                <w:noProof/>
              </w:rPr>
              <w:t xml:space="preserve"> des États membres de l’UE en publiant un train de mesures multilingue sur l’élaboration de politiques orientées vers l’avenir;</w:t>
            </w:r>
          </w:p>
          <w:p w14:paraId="77755DEF" w14:textId="51D2B61A" w:rsidR="00A70A62" w:rsidRPr="00A64F36" w:rsidRDefault="00A70A62" w:rsidP="3434180E">
            <w:pPr>
              <w:pStyle w:val="ListParagraph"/>
              <w:numPr>
                <w:ilvl w:val="0"/>
                <w:numId w:val="4"/>
              </w:numPr>
              <w:jc w:val="both"/>
              <w:rPr>
                <w:rFonts w:ascii="Times New Roman" w:eastAsia="Times New Roman" w:hAnsi="Times New Roman" w:cs="Times New Roman"/>
                <w:b/>
                <w:bCs/>
                <w:noProof/>
              </w:rPr>
            </w:pPr>
            <w:r>
              <w:rPr>
                <w:rFonts w:ascii="Times New Roman" w:hAnsi="Times New Roman"/>
                <w:b/>
                <w:noProof/>
              </w:rPr>
              <w:t xml:space="preserve">renforcera le recours à la prospective stratégique dans l’élaboration des politiques, </w:t>
            </w:r>
            <w:r>
              <w:rPr>
                <w:rFonts w:ascii="Times New Roman" w:hAnsi="Times New Roman"/>
                <w:noProof/>
              </w:rPr>
              <w:t>par exemple en</w:t>
            </w:r>
            <w:r>
              <w:rPr>
                <w:rFonts w:ascii="Times New Roman" w:hAnsi="Times New Roman"/>
                <w:b/>
                <w:noProof/>
              </w:rPr>
              <w:t xml:space="preserve"> </w:t>
            </w:r>
            <w:r>
              <w:rPr>
                <w:rFonts w:ascii="Times New Roman" w:hAnsi="Times New Roman"/>
                <w:noProof/>
              </w:rPr>
              <w:t xml:space="preserve">soutenant </w:t>
            </w:r>
            <w:r>
              <w:rPr>
                <w:rFonts w:ascii="Times New Roman" w:hAnsi="Times New Roman"/>
                <w:i/>
                <w:noProof/>
              </w:rPr>
              <w:t>Futures Balance</w:t>
            </w:r>
            <w:bookmarkStart w:id="4" w:name="_Hlk221896465"/>
            <w:r>
              <w:rPr>
                <w:rFonts w:ascii="Times New Roman" w:hAnsi="Times New Roman"/>
                <w:noProof/>
              </w:rPr>
              <w:t>, un outil fondé sur l’IA destiné à analyser les politiques tournées vers l’avenir qui est en cours de mise au point, en partenariat avec le Beyond Lab de l’ONU;</w:t>
            </w:r>
          </w:p>
          <w:bookmarkEnd w:id="4"/>
          <w:p w14:paraId="6CA17FA6" w14:textId="0735E94C" w:rsidR="00A70A62" w:rsidRPr="00A64F36" w:rsidRDefault="203F7420" w:rsidP="00A70A62">
            <w:pPr>
              <w:pStyle w:val="ListParagraph"/>
              <w:numPr>
                <w:ilvl w:val="0"/>
                <w:numId w:val="4"/>
              </w:numPr>
              <w:jc w:val="both"/>
              <w:rPr>
                <w:rFonts w:ascii="Times New Roman" w:eastAsia="Times New Roman" w:hAnsi="Times New Roman" w:cs="Times New Roman"/>
                <w:b/>
                <w:bCs/>
                <w:noProof/>
              </w:rPr>
            </w:pPr>
            <w:r>
              <w:rPr>
                <w:rFonts w:ascii="Times New Roman" w:hAnsi="Times New Roman"/>
                <w:b/>
                <w:noProof/>
              </w:rPr>
              <w:t>poursuivra l’application systématique du «test jeunesse», notamment à travers les dialogues stratégiques en faveur de la jeunesse</w:t>
            </w:r>
            <w:r>
              <w:rPr>
                <w:rFonts w:ascii="Times New Roman" w:hAnsi="Times New Roman"/>
                <w:noProof/>
              </w:rPr>
              <w:t>, aux initiatives clés du programme</w:t>
            </w:r>
            <w:r>
              <w:rPr>
                <w:rFonts w:ascii="Times New Roman" w:hAnsi="Times New Roman"/>
                <w:b/>
                <w:noProof/>
              </w:rPr>
              <w:t xml:space="preserve"> </w:t>
            </w:r>
            <w:r>
              <w:rPr>
                <w:rFonts w:ascii="Times New Roman" w:hAnsi="Times New Roman"/>
                <w:noProof/>
              </w:rPr>
              <w:t>de travail de la Commission afin d’examiner l’incidence potentielle des nouvelles politiques sur les jeunes;</w:t>
            </w:r>
          </w:p>
          <w:p w14:paraId="32710376" w14:textId="3A43B33F" w:rsidR="73143E2C" w:rsidRPr="00B22CB0" w:rsidRDefault="7418F703" w:rsidP="7EB3A829">
            <w:pPr>
              <w:pStyle w:val="ListParagraph"/>
              <w:numPr>
                <w:ilvl w:val="0"/>
                <w:numId w:val="4"/>
              </w:numPr>
              <w:jc w:val="both"/>
              <w:rPr>
                <w:rFonts w:ascii="Times New Roman" w:hAnsi="Times New Roman" w:cs="Times New Roman"/>
                <w:noProof/>
              </w:rPr>
            </w:pPr>
            <w:r>
              <w:rPr>
                <w:rFonts w:ascii="Times New Roman" w:hAnsi="Times New Roman"/>
                <w:b/>
                <w:noProof/>
              </w:rPr>
              <w:t>chargera le Groupe européen d’éthique des sciences et des nouvelles technologies (GEE)</w:t>
            </w:r>
            <w:r>
              <w:rPr>
                <w:rFonts w:ascii="Times New Roman" w:hAnsi="Times New Roman"/>
                <w:noProof/>
              </w:rPr>
              <w:t xml:space="preserve"> de fournir des analyses et des recommandations sur l’avenir numérique équitable, l’IA et les biens publics numériques;</w:t>
            </w:r>
          </w:p>
          <w:p w14:paraId="0E23BBBC" w14:textId="6BE4F57A" w:rsidR="005240B9" w:rsidRPr="00A64F36" w:rsidRDefault="00A70A62" w:rsidP="005240B9">
            <w:pPr>
              <w:pStyle w:val="ListParagraph"/>
              <w:numPr>
                <w:ilvl w:val="0"/>
                <w:numId w:val="4"/>
              </w:numPr>
              <w:jc w:val="both"/>
              <w:rPr>
                <w:rFonts w:ascii="Times New Roman" w:eastAsia="Times New Roman" w:hAnsi="Times New Roman" w:cs="Times New Roman"/>
                <w:noProof/>
              </w:rPr>
            </w:pPr>
            <w:r>
              <w:rPr>
                <w:rFonts w:ascii="Times New Roman" w:hAnsi="Times New Roman"/>
                <w:b/>
                <w:noProof/>
                <w:color w:val="111111"/>
              </w:rPr>
              <w:t>publiera un rapport sur l’état d’avancement de la stratégie en faveur de l’équité intergénérationnelle</w:t>
            </w:r>
            <w:r>
              <w:rPr>
                <w:rFonts w:ascii="Times New Roman" w:hAnsi="Times New Roman"/>
                <w:noProof/>
                <w:color w:val="111111"/>
              </w:rPr>
              <w:t xml:space="preserve"> au début de l’année 2028 afin d’éclairer les contributions de l’UE au suivi, par l’ONU, de la déclaration sur les générations futures;</w:t>
            </w:r>
          </w:p>
          <w:p w14:paraId="7422433A" w14:textId="27E83807" w:rsidR="00A70A62" w:rsidRPr="00A64F36" w:rsidRDefault="00E01812" w:rsidP="00234C09">
            <w:pPr>
              <w:pStyle w:val="ListParagraph"/>
              <w:numPr>
                <w:ilvl w:val="0"/>
                <w:numId w:val="4"/>
              </w:numPr>
              <w:jc w:val="both"/>
              <w:rPr>
                <w:rFonts w:ascii="Times New Roman" w:eastAsia="Times New Roman" w:hAnsi="Times New Roman" w:cs="Times New Roman"/>
                <w:noProof/>
              </w:rPr>
            </w:pPr>
            <w:r>
              <w:rPr>
                <w:rFonts w:ascii="Times New Roman" w:hAnsi="Times New Roman"/>
                <w:b/>
                <w:noProof/>
              </w:rPr>
              <w:t>publiera une feuille de route sur la longévité</w:t>
            </w:r>
            <w:r>
              <w:rPr>
                <w:rFonts w:ascii="Times New Roman" w:hAnsi="Times New Roman"/>
                <w:noProof/>
              </w:rPr>
              <w:t xml:space="preserve">, destinée à recenser les enjeux spécifiques à chaque âge pour tous les groupes d’âge afin de recenser les possibilités stratégiques de façonner activement des vies plus longues, plus saines et financièrement sûres. </w:t>
            </w:r>
          </w:p>
          <w:p w14:paraId="1606779F" w14:textId="40F7F764" w:rsidR="00EA0CC4" w:rsidRPr="00A64F36" w:rsidRDefault="00EA0CC4" w:rsidP="00EA0CC4">
            <w:pPr>
              <w:pStyle w:val="ListParagraph"/>
              <w:jc w:val="both"/>
              <w:rPr>
                <w:rFonts w:ascii="Times New Roman" w:eastAsia="Times New Roman" w:hAnsi="Times New Roman" w:cs="Times New Roman"/>
                <w:noProof/>
              </w:rPr>
            </w:pPr>
          </w:p>
        </w:tc>
      </w:tr>
    </w:tbl>
    <w:p w14:paraId="62C93394" w14:textId="77777777" w:rsidR="00CE77D2" w:rsidRPr="00375D18" w:rsidRDefault="00CE77D2" w:rsidP="00A70A62">
      <w:pPr>
        <w:rPr>
          <w:rFonts w:ascii="Times New Roman" w:eastAsia="Times New Roman" w:hAnsi="Times New Roman" w:cs="Times New Roman"/>
          <w:noProof/>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14E9813E"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227371C" w14:textId="7C40F461" w:rsidR="00A70A62" w:rsidRPr="00A64F36" w:rsidRDefault="511A9A77" w:rsidP="00234C09">
            <w:pPr>
              <w:rPr>
                <w:rFonts w:ascii="Times New Roman" w:eastAsia="Times New Roman" w:hAnsi="Times New Roman" w:cs="Times New Roman"/>
                <w:b/>
                <w:bCs/>
                <w:noProof/>
                <w:color w:val="000000" w:themeColor="text1"/>
                <w:sz w:val="20"/>
                <w:szCs w:val="20"/>
              </w:rPr>
            </w:pPr>
            <w:r>
              <w:rPr>
                <w:rFonts w:ascii="Times New Roman" w:hAnsi="Times New Roman"/>
                <w:b/>
                <w:noProof/>
                <w:color w:val="000000" w:themeColor="text1"/>
                <w:sz w:val="20"/>
              </w:rPr>
              <w:t xml:space="preserve">Pratiques inspirantes dans les États membres de l’UE </w:t>
            </w:r>
          </w:p>
          <w:p w14:paraId="4579FF12" w14:textId="77777777" w:rsidR="00A70A62" w:rsidRPr="00A64F36" w:rsidRDefault="00A70A62" w:rsidP="00234C09">
            <w:pPr>
              <w:rPr>
                <w:rFonts w:ascii="Times New Roman" w:eastAsia="Times New Roman" w:hAnsi="Times New Roman" w:cs="Times New Roman"/>
                <w:b/>
                <w:bCs/>
                <w:noProof/>
                <w:color w:val="000000"/>
                <w:sz w:val="20"/>
                <w:szCs w:val="20"/>
              </w:rPr>
            </w:pPr>
          </w:p>
          <w:p w14:paraId="743B1D78" w14:textId="04D4A90E" w:rsidR="00A70A62" w:rsidRPr="00A64F36" w:rsidRDefault="00A70A62" w:rsidP="00A70A62">
            <w:pPr>
              <w:pStyle w:val="ListParagraph"/>
              <w:numPr>
                <w:ilvl w:val="0"/>
                <w:numId w:val="3"/>
              </w:numPr>
              <w:jc w:val="both"/>
              <w:rPr>
                <w:rFonts w:ascii="Times New Roman" w:eastAsia="Times New Roman" w:hAnsi="Times New Roman" w:cs="Times New Roman"/>
                <w:noProof/>
                <w:color w:val="000000"/>
                <w:sz w:val="20"/>
                <w:szCs w:val="20"/>
              </w:rPr>
            </w:pPr>
            <w:r>
              <w:rPr>
                <w:rFonts w:ascii="Times New Roman" w:hAnsi="Times New Roman"/>
                <w:b/>
                <w:noProof/>
                <w:color w:val="000000" w:themeColor="text1"/>
                <w:sz w:val="20"/>
              </w:rPr>
              <w:t>Des exemples d’institutionnalisation de la réflexion à long terme</w:t>
            </w:r>
            <w:r>
              <w:rPr>
                <w:rFonts w:ascii="Times New Roman" w:hAnsi="Times New Roman"/>
                <w:noProof/>
                <w:color w:val="000000" w:themeColor="text1"/>
                <w:sz w:val="20"/>
              </w:rPr>
              <w:t xml:space="preserve"> peuvent être trouvés dans de nombreux États membres de l’UE sous différentes formes: en Finlande (</w:t>
            </w:r>
            <w:r>
              <w:rPr>
                <w:rFonts w:ascii="Times New Roman" w:hAnsi="Times New Roman"/>
                <w:i/>
                <w:noProof/>
                <w:color w:val="000000" w:themeColor="text1"/>
                <w:sz w:val="20"/>
              </w:rPr>
              <w:t>Tulevaisuusvaliokunta</w:t>
            </w:r>
            <w:r>
              <w:rPr>
                <w:rStyle w:val="FootnoteReference"/>
                <w:rFonts w:ascii="Times New Roman" w:eastAsia="Times New Roman" w:hAnsi="Times New Roman" w:cs="Times New Roman"/>
                <w:noProof/>
                <w:color w:val="000000" w:themeColor="text1"/>
                <w:sz w:val="20"/>
                <w:szCs w:val="20"/>
              </w:rPr>
              <w:footnoteReference w:id="22"/>
            </w:r>
            <w:r>
              <w:rPr>
                <w:rFonts w:ascii="Times New Roman" w:hAnsi="Times New Roman"/>
                <w:noProof/>
                <w:color w:val="000000" w:themeColor="text1"/>
                <w:sz w:val="20"/>
              </w:rPr>
              <w:t>), en Espagne (</w:t>
            </w:r>
            <w:r>
              <w:rPr>
                <w:rFonts w:ascii="Times New Roman" w:hAnsi="Times New Roman"/>
                <w:i/>
                <w:noProof/>
                <w:color w:val="000000" w:themeColor="text1"/>
                <w:sz w:val="20"/>
              </w:rPr>
              <w:t>Oficina Nacional de Prospectiva y Estrategia</w:t>
            </w:r>
            <w:r>
              <w:rPr>
                <w:rStyle w:val="FootnoteReference"/>
                <w:rFonts w:ascii="Times New Roman" w:eastAsia="Times New Roman" w:hAnsi="Times New Roman" w:cs="Times New Roman"/>
                <w:i/>
                <w:iCs/>
                <w:noProof/>
                <w:color w:val="000000" w:themeColor="text1"/>
                <w:sz w:val="20"/>
                <w:szCs w:val="20"/>
              </w:rPr>
              <w:footnoteReference w:id="23"/>
            </w:r>
            <w:r>
              <w:rPr>
                <w:rFonts w:ascii="Times New Roman" w:hAnsi="Times New Roman"/>
                <w:noProof/>
                <w:color w:val="000000" w:themeColor="text1"/>
                <w:sz w:val="20"/>
              </w:rPr>
              <w:t>) et à Malte (</w:t>
            </w:r>
            <w:r>
              <w:rPr>
                <w:rFonts w:ascii="Times New Roman" w:hAnsi="Times New Roman"/>
                <w:i/>
                <w:noProof/>
                <w:color w:val="000000" w:themeColor="text1"/>
                <w:sz w:val="20"/>
              </w:rPr>
              <w:t>Guardian of Future Generations</w:t>
            </w:r>
            <w:r>
              <w:rPr>
                <w:rStyle w:val="FootnoteReference"/>
                <w:rFonts w:ascii="Times New Roman" w:eastAsia="Times New Roman" w:hAnsi="Times New Roman" w:cs="Times New Roman"/>
                <w:noProof/>
                <w:color w:val="000000" w:themeColor="text1"/>
                <w:sz w:val="20"/>
                <w:szCs w:val="20"/>
              </w:rPr>
              <w:footnoteReference w:id="24"/>
            </w:r>
            <w:r>
              <w:rPr>
                <w:rFonts w:ascii="Times New Roman" w:hAnsi="Times New Roman"/>
                <w:noProof/>
                <w:color w:val="000000" w:themeColor="text1"/>
                <w:sz w:val="20"/>
              </w:rPr>
              <w:t>).</w:t>
            </w:r>
          </w:p>
          <w:p w14:paraId="1AE66CD2" w14:textId="6D66201A" w:rsidR="00A70A62" w:rsidRPr="00A64F36" w:rsidRDefault="00A70A62" w:rsidP="00A70A62">
            <w:pPr>
              <w:numPr>
                <w:ilvl w:val="0"/>
                <w:numId w:val="3"/>
              </w:numPr>
              <w:jc w:val="both"/>
              <w:rPr>
                <w:rFonts w:ascii="Times New Roman" w:eastAsia="Times New Roman" w:hAnsi="Times New Roman" w:cs="Times New Roman"/>
                <w:noProof/>
                <w:sz w:val="20"/>
                <w:szCs w:val="20"/>
              </w:rPr>
            </w:pPr>
            <w:r>
              <w:rPr>
                <w:rFonts w:ascii="Times New Roman" w:hAnsi="Times New Roman"/>
                <w:b/>
                <w:noProof/>
                <w:sz w:val="20"/>
              </w:rPr>
              <w:t>De nombreux États membres de l’UE disposent d’analyses d’impact réglementaires spécifiques sur les jeunes</w:t>
            </w:r>
            <w:r>
              <w:rPr>
                <w:rFonts w:ascii="Times New Roman" w:hAnsi="Times New Roman"/>
                <w:noProof/>
                <w:sz w:val="20"/>
              </w:rPr>
              <w:t xml:space="preserve"> et/ou les générations futures: Autriche (</w:t>
            </w:r>
            <w:r>
              <w:rPr>
                <w:rFonts w:ascii="Times New Roman" w:hAnsi="Times New Roman"/>
                <w:i/>
                <w:noProof/>
                <w:sz w:val="20"/>
              </w:rPr>
              <w:t>Wirkungsorientierte Folgenabschätzung</w:t>
            </w:r>
            <w:r>
              <w:rPr>
                <w:rFonts w:ascii="Times New Roman" w:hAnsi="Times New Roman"/>
                <w:noProof/>
                <w:sz w:val="20"/>
              </w:rPr>
              <w:t>), Belgique/Flandre (</w:t>
            </w:r>
            <w:r>
              <w:rPr>
                <w:rFonts w:ascii="Times New Roman" w:hAnsi="Times New Roman"/>
                <w:i/>
                <w:noProof/>
                <w:sz w:val="20"/>
              </w:rPr>
              <w:t>JoKER</w:t>
            </w:r>
            <w:r>
              <w:rPr>
                <w:rFonts w:ascii="Times New Roman" w:hAnsi="Times New Roman"/>
                <w:noProof/>
                <w:sz w:val="20"/>
              </w:rPr>
              <w:t>), Finlande (</w:t>
            </w:r>
            <w:r>
              <w:rPr>
                <w:rFonts w:ascii="Times New Roman" w:hAnsi="Times New Roman"/>
                <w:i/>
                <w:noProof/>
                <w:sz w:val="20"/>
              </w:rPr>
              <w:t>Lapsivaikutusten arviointi</w:t>
            </w:r>
            <w:r>
              <w:rPr>
                <w:rFonts w:ascii="Times New Roman" w:hAnsi="Times New Roman"/>
                <w:noProof/>
                <w:sz w:val="20"/>
              </w:rPr>
              <w:t>), France (clause</w:t>
            </w:r>
            <w:r>
              <w:rPr>
                <w:rFonts w:ascii="Times New Roman" w:hAnsi="Times New Roman"/>
                <w:i/>
                <w:noProof/>
                <w:sz w:val="20"/>
              </w:rPr>
              <w:t xml:space="preserve"> </w:t>
            </w:r>
            <w:r>
              <w:rPr>
                <w:rFonts w:ascii="Times New Roman" w:hAnsi="Times New Roman"/>
                <w:noProof/>
                <w:sz w:val="20"/>
              </w:rPr>
              <w:t>d’impact jeunesse), Allemagne (</w:t>
            </w:r>
            <w:r>
              <w:rPr>
                <w:rFonts w:ascii="Times New Roman" w:hAnsi="Times New Roman"/>
                <w:i/>
                <w:noProof/>
                <w:sz w:val="20"/>
              </w:rPr>
              <w:t>Jugend-Check</w:t>
            </w:r>
            <w:r>
              <w:rPr>
                <w:rFonts w:ascii="Times New Roman" w:hAnsi="Times New Roman"/>
                <w:noProof/>
                <w:sz w:val="20"/>
              </w:rPr>
              <w:t>), Italie (</w:t>
            </w:r>
            <w:r>
              <w:rPr>
                <w:rFonts w:ascii="Times New Roman" w:hAnsi="Times New Roman"/>
                <w:i/>
                <w:noProof/>
                <w:sz w:val="20"/>
              </w:rPr>
              <w:t>Valutazione di Impatto Generazionale</w:t>
            </w:r>
            <w:r>
              <w:rPr>
                <w:rFonts w:ascii="Times New Roman" w:hAnsi="Times New Roman"/>
                <w:noProof/>
                <w:sz w:val="20"/>
              </w:rPr>
              <w:t>), Pays-Bas (</w:t>
            </w:r>
            <w:r>
              <w:rPr>
                <w:rFonts w:ascii="Times New Roman" w:hAnsi="Times New Roman"/>
                <w:i/>
                <w:noProof/>
                <w:sz w:val="20"/>
              </w:rPr>
              <w:t>Generatietoets</w:t>
            </w:r>
            <w:r>
              <w:rPr>
                <w:rFonts w:ascii="Times New Roman" w:hAnsi="Times New Roman"/>
                <w:noProof/>
                <w:sz w:val="20"/>
              </w:rPr>
              <w:t>) et Suède (</w:t>
            </w:r>
            <w:r>
              <w:rPr>
                <w:rFonts w:ascii="Times New Roman" w:hAnsi="Times New Roman"/>
                <w:i/>
                <w:noProof/>
                <w:sz w:val="20"/>
              </w:rPr>
              <w:t>Barnkonsekvensanalys</w:t>
            </w:r>
            <w:r>
              <w:rPr>
                <w:rFonts w:ascii="Times New Roman" w:hAnsi="Times New Roman"/>
                <w:noProof/>
                <w:sz w:val="20"/>
              </w:rPr>
              <w:t>).</w:t>
            </w:r>
          </w:p>
        </w:tc>
      </w:tr>
    </w:tbl>
    <w:p w14:paraId="5D0FEFE7" w14:textId="77777777" w:rsidR="00A70A62" w:rsidRPr="00375D18" w:rsidRDefault="00A70A62" w:rsidP="00A70A62">
      <w:pPr>
        <w:rPr>
          <w:rFonts w:ascii="Times New Roman" w:eastAsia="Times New Roman" w:hAnsi="Times New Roman" w:cs="Times New Roman"/>
          <w:noProof/>
          <w:sz w:val="20"/>
          <w:szCs w:val="20"/>
        </w:rPr>
      </w:pPr>
    </w:p>
    <w:p w14:paraId="64161BFF" w14:textId="3F5B812B" w:rsidR="00E8298A" w:rsidRPr="00A64F36" w:rsidRDefault="00E8298A" w:rsidP="00E8298A">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Des possibilités équitables: réunir les générations autour d’objectifs communs pour un avenir meilleur </w:t>
      </w:r>
    </w:p>
    <w:p w14:paraId="2FB3E75F" w14:textId="50F9B457" w:rsidR="00A70A62" w:rsidRPr="00A64F36" w:rsidRDefault="00A70A62" w:rsidP="105CA65C">
      <w:pPr>
        <w:pStyle w:val="NormalWeb"/>
        <w:spacing w:before="0" w:beforeAutospacing="0" w:after="180" w:afterAutospacing="0"/>
        <w:jc w:val="both"/>
        <w:rPr>
          <w:noProof/>
        </w:rPr>
      </w:pPr>
      <w:r>
        <w:rPr>
          <w:b/>
          <w:noProof/>
        </w:rPr>
        <w:t>Pour que les possibilités soient équitables, il faut que les enfants et les jeunes puissent construire leur vie sur des bases solides.</w:t>
      </w:r>
      <w:r>
        <w:rPr>
          <w:noProof/>
        </w:rPr>
        <w:t xml:space="preserve"> Les conditions du début de vie déterminent fortement les événements ultérieurs, tandis que les désavantages qui ne sont pas pris en compte à un stade précoce ont tendance à s’accumuler au fil du temps. Une approche intergénérationnelle accorde par conséquent la priorité à la prévention précoce, à une aide ciblée et à des transitions bien gérées vers l’âge adulte, et il est reconnu que des possibilités équitables sont créées tout au long de la vie.</w:t>
      </w:r>
    </w:p>
    <w:p w14:paraId="23BFEB2D" w14:textId="01EA711F" w:rsidR="00A70A62" w:rsidRPr="00A64F36" w:rsidRDefault="00A70A62" w:rsidP="1A16B2EB">
      <w:pPr>
        <w:pStyle w:val="NormalWeb"/>
        <w:spacing w:before="0" w:beforeAutospacing="0" w:after="180" w:afterAutospacing="0"/>
        <w:jc w:val="both"/>
        <w:rPr>
          <w:noProof/>
        </w:rPr>
      </w:pPr>
      <w:r>
        <w:rPr>
          <w:b/>
          <w:noProof/>
        </w:rPr>
        <w:t>Les politiques axées sur les enfants et les jeunes, notamment ceux issus de milieux défavorisés et/ou exposés à des discriminations, sont essentielles pour garantir l’équité entre les générations.</w:t>
      </w:r>
      <w:r>
        <w:rPr>
          <w:noProof/>
        </w:rPr>
        <w:t xml:space="preserve"> Elles concernent notamment l’investissement durable dans le développement de la petite enfance, l’éducation, la formation et les compétences, l’accès à la culture, la participation et les infrastructures, les activités récréatives, l’accès à la santé, l’accès au logement, aux transports et à d’autres services essentiels, ainsi qu’une aide ciblée à des moments charnières de la vie, tels que la fin de la scolarité, l’entrée sur le marché du travail et la constitution d’un ménage indépendant. Il s’agit également de promouvoir la culture financière, qui est essentielle pour donner aux jeunes les moyens de garantir leur indépendance financière et leur inclusion financière</w:t>
      </w:r>
      <w:r>
        <w:rPr>
          <w:rStyle w:val="FootnoteReference"/>
          <w:noProof/>
          <w:lang w:val="en-GB"/>
        </w:rPr>
        <w:footnoteReference w:id="25"/>
      </w:r>
      <w:r>
        <w:rPr>
          <w:noProof/>
        </w:rPr>
        <w:t>. Par la prise en compte des risques à un stade précoce et l’apport d’un soutien aux enfants dans le besoin</w:t>
      </w:r>
      <w:r>
        <w:rPr>
          <w:rStyle w:val="FootnoteReference"/>
          <w:noProof/>
          <w:lang w:val="en-GB"/>
        </w:rPr>
        <w:footnoteReference w:id="26"/>
      </w:r>
      <w:r>
        <w:rPr>
          <w:noProof/>
        </w:rPr>
        <w:t>, ces mesures contribuent à éviter l’enracinement des inégalités et à réduire la pression sur les systèmes sociaux à long terme. Pour être efficaces, ces mesures ne doivent pas se limiter à l’âge et tenir compte des besoins spécifiques des groupes vulnérables et défavorisés.</w:t>
      </w:r>
    </w:p>
    <w:p w14:paraId="14ADD1A7" w14:textId="1A02667D" w:rsidR="00A70A62" w:rsidRPr="00A64F36" w:rsidRDefault="00F9253C" w:rsidP="00E8298A">
      <w:pPr>
        <w:pStyle w:val="NormalWeb"/>
        <w:spacing w:before="0" w:beforeAutospacing="0" w:after="180" w:afterAutospacing="0"/>
        <w:jc w:val="both"/>
        <w:rPr>
          <w:noProof/>
        </w:rPr>
      </w:pPr>
      <w:r>
        <w:rPr>
          <w:b/>
          <w:noProof/>
        </w:rPr>
        <w:t>L’équité intergénérationnelle ne peut exister qu’en présence d’une répartition équitable de la richesse créée par la société.</w:t>
      </w:r>
      <w:r>
        <w:rPr>
          <w:noProof/>
        </w:rPr>
        <w:t xml:space="preserve"> Les inégalités dans la répartition des richesses et les différences en matière d'imposition des fortunes et des successions dans nos sociétés définissent la manière dont les risques et les possibilités sont transmis d’une génération à l’autre. Il est également essentiel d’éliminer les obstacles structurels qui entravent de manière disproportionnée les cohortes plus jeunes pour briser la transmission intergénérationnelle des désavantages, tout en veillant à ce que les personnes âgées puissent rester en sécurité, incluses et capables de contribuer à mesure qu’elles vieillissent. L’accessibilité financière du logement, l’accès à l’éducation et à la formation, la stabilité et le caractère gratifiant des filières d’emploi, la haute qualité des soins de santé, y compris des soins de santé mentale, et la capacité de combiner travail, apprentissage vie privée et familiale déterminent si les jeunes peuvent contribuer pleinement à la société et préparer leur avenir en toute confiance. Dans une large mesure, ces facteurs favorisent également le dialogue, l’engagement et des quartiers intergénérationnels. </w:t>
      </w:r>
    </w:p>
    <w:p w14:paraId="6B509EE6" w14:textId="6E96312D" w:rsidR="00A70A62" w:rsidRDefault="00A70A62" w:rsidP="00A70A62">
      <w:pPr>
        <w:pStyle w:val="NormalWeb"/>
        <w:spacing w:after="180"/>
        <w:jc w:val="both"/>
        <w:rPr>
          <w:noProof/>
        </w:rPr>
      </w:pPr>
      <w:r>
        <w:rPr>
          <w:b/>
          <w:noProof/>
        </w:rPr>
        <w:t>La mise en pratique de ces principes nécessite des mesures ciblées et fondées sur des données probantes.</w:t>
      </w:r>
      <w:r>
        <w:rPr>
          <w:noProof/>
        </w:rPr>
        <w:t xml:space="preserve"> Dans ce contexte, la stratégie est axée sur le renforcement de la base analytique pour l’équité intergénérationnelle grâce à l’établissement d’un </w:t>
      </w:r>
      <w:r>
        <w:rPr>
          <w:b/>
          <w:i/>
          <w:noProof/>
        </w:rPr>
        <w:t xml:space="preserve">indice d’équité intergénérationnelle </w:t>
      </w:r>
      <w:r>
        <w:rPr>
          <w:noProof/>
        </w:rPr>
        <w:t xml:space="preserve">spécifique. Ce dernier sera conçu pour mettre en évidence les inégalités des chances entre les générations actuelles et au fil du temps en surveillant des indicateurs étroitement liés à l’équité intergénérationnelle. La stratégie stimulera également l’engagement des citoyens en réunissant les générations autour d’objectifs communs, en renforçant le dialogue et la coopération intergénérationnels, en amplifiant la voix des enfants et des jeunes et en luttant contre l’âgisme en partageant les bonnes pratiques entre les États membres. </w:t>
      </w:r>
    </w:p>
    <w:p w14:paraId="4AD73B26" w14:textId="77777777" w:rsidR="008E1529" w:rsidRPr="00375D18" w:rsidRDefault="008E1529" w:rsidP="00A70A62">
      <w:pPr>
        <w:pStyle w:val="NormalWeb"/>
        <w:spacing w:after="180"/>
        <w:jc w:val="both"/>
        <w:rPr>
          <w:noProof/>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F66B9E5" w14:textId="77777777" w:rsidTr="0A5929DF">
        <w:tc>
          <w:tcPr>
            <w:tcW w:w="9016" w:type="dxa"/>
            <w:shd w:val="clear" w:color="auto" w:fill="DAE9F7" w:themeFill="text2" w:themeFillTint="1A"/>
          </w:tcPr>
          <w:p w14:paraId="0EECD658" w14:textId="77777777" w:rsidR="00A70A62" w:rsidRPr="00A64F36" w:rsidRDefault="00A70A62" w:rsidP="00234C09">
            <w:pPr>
              <w:jc w:val="both"/>
              <w:rPr>
                <w:rFonts w:ascii="Times New Roman" w:eastAsia="Times New Roman" w:hAnsi="Times New Roman" w:cs="Times New Roman"/>
                <w:b/>
                <w:bCs/>
                <w:noProof/>
              </w:rPr>
            </w:pPr>
            <w:r>
              <w:rPr>
                <w:rFonts w:ascii="Times New Roman" w:hAnsi="Times New Roman"/>
                <w:b/>
                <w:noProof/>
                <w:color w:val="0070C0"/>
              </w:rPr>
              <w:t>Afin de favoriser des</w:t>
            </w:r>
            <w:r>
              <w:rPr>
                <w:rFonts w:ascii="Times New Roman" w:hAnsi="Times New Roman"/>
                <w:b/>
                <w:i/>
                <w:noProof/>
                <w:color w:val="0070C0"/>
              </w:rPr>
              <w:t xml:space="preserve"> possibilités équitables</w:t>
            </w:r>
            <w:r>
              <w:rPr>
                <w:rFonts w:ascii="Times New Roman" w:hAnsi="Times New Roman"/>
                <w:b/>
                <w:noProof/>
                <w:color w:val="0070C0"/>
              </w:rPr>
              <w:t>, la Commission:</w:t>
            </w:r>
          </w:p>
          <w:p w14:paraId="2EE799F4" w14:textId="77777777" w:rsidR="00A70A62" w:rsidRPr="00A64F36" w:rsidRDefault="00A70A62" w:rsidP="00234C09">
            <w:pPr>
              <w:jc w:val="both"/>
              <w:rPr>
                <w:rFonts w:ascii="Times New Roman" w:eastAsia="Times New Roman" w:hAnsi="Times New Roman" w:cs="Times New Roman"/>
                <w:noProof/>
              </w:rPr>
            </w:pPr>
          </w:p>
          <w:p w14:paraId="0609F106" w14:textId="13147B1B"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établira un</w:t>
            </w:r>
            <w:r>
              <w:rPr>
                <w:rFonts w:ascii="Times New Roman" w:hAnsi="Times New Roman"/>
                <w:noProof/>
              </w:rPr>
              <w:t xml:space="preserve"> </w:t>
            </w:r>
            <w:r>
              <w:rPr>
                <w:rFonts w:ascii="Times New Roman" w:hAnsi="Times New Roman"/>
                <w:b/>
                <w:noProof/>
              </w:rPr>
              <w:t>indice d’équité intergénérationnelle</w:t>
            </w:r>
            <w:r>
              <w:rPr>
                <w:rFonts w:ascii="Times New Roman" w:hAnsi="Times New Roman"/>
                <w:noProof/>
              </w:rPr>
              <w:t xml:space="preserve"> afin de recenser les possibilités et les lacunes, d’éclairer les décisions stratégiques et de promouvoir l’équité entre les générations;</w:t>
            </w:r>
          </w:p>
          <w:p w14:paraId="46701C51" w14:textId="20469C2A" w:rsidR="00A70A62" w:rsidRPr="00A64F36" w:rsidRDefault="00C867A2" w:rsidP="00A70A62">
            <w:pPr>
              <w:pStyle w:val="ListParagraph"/>
              <w:numPr>
                <w:ilvl w:val="0"/>
                <w:numId w:val="1"/>
              </w:numPr>
              <w:jc w:val="both"/>
              <w:rPr>
                <w:rFonts w:ascii="Times New Roman" w:eastAsia="Times New Roman" w:hAnsi="Times New Roman" w:cs="Times New Roman"/>
                <w:b/>
                <w:bCs/>
                <w:noProof/>
              </w:rPr>
            </w:pPr>
            <w:r>
              <w:rPr>
                <w:rFonts w:ascii="Times New Roman" w:hAnsi="Times New Roman"/>
                <w:b/>
                <w:noProof/>
              </w:rPr>
              <w:t>soutiendra l’élaboration</w:t>
            </w:r>
            <w:r>
              <w:rPr>
                <w:rFonts w:ascii="Times New Roman" w:hAnsi="Times New Roman"/>
                <w:noProof/>
              </w:rPr>
              <w:t xml:space="preserve">, par le groupe de haut niveau sur la non-discrimination, l’égalité et la diversité, </w:t>
            </w:r>
            <w:r>
              <w:rPr>
                <w:rFonts w:ascii="Times New Roman" w:hAnsi="Times New Roman"/>
                <w:b/>
                <w:noProof/>
                <w:color w:val="111111"/>
              </w:rPr>
              <w:t>d’un recueil des meilleures pratiques dans le domaine de l’égalité entre les tranches d’âge</w:t>
            </w:r>
            <w:r>
              <w:rPr>
                <w:rFonts w:ascii="Times New Roman" w:hAnsi="Times New Roman"/>
                <w:noProof/>
              </w:rPr>
              <w:t xml:space="preserve"> qui s’appuiera sur</w:t>
            </w:r>
            <w:r>
              <w:rPr>
                <w:rFonts w:ascii="Times New Roman" w:hAnsi="Times New Roman"/>
                <w:noProof/>
                <w:color w:val="111111"/>
              </w:rPr>
              <w:t xml:space="preserve"> l’étude à paraître sur la discrimination fondée sur l’âge dans l’UE, qui donne un aperçu des mesures ou plans d’action nationaux concernant l’égalité en matière d’âge;</w:t>
            </w:r>
          </w:p>
          <w:p w14:paraId="55FB1E8D" w14:textId="56BA6099" w:rsidR="00A70A62" w:rsidRPr="00EC7FDD" w:rsidRDefault="009E287F"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encouragera les activités de recherche collaborative</w:t>
            </w:r>
            <w:r>
              <w:rPr>
                <w:rFonts w:ascii="Times New Roman" w:hAnsi="Times New Roman"/>
                <w:noProof/>
              </w:rPr>
              <w:t xml:space="preserve"> destinées à promouvoir l’équité intergénérationnelle dans le cadre d’«Horizon Europe»;</w:t>
            </w:r>
          </w:p>
          <w:p w14:paraId="1DCFD9DF" w14:textId="6C4C5AB5"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organisera un forum sur la démographie</w:t>
            </w:r>
            <w:r>
              <w:rPr>
                <w:rFonts w:ascii="Times New Roman" w:hAnsi="Times New Roman"/>
                <w:noProof/>
              </w:rPr>
              <w:t xml:space="preserve"> en tant que lieu d’échange et d’apprentissage mutuel sur la manière de faire face aux évolutions démographiques;</w:t>
            </w:r>
          </w:p>
          <w:p w14:paraId="49E600E6" w14:textId="5F363CC7" w:rsidR="00A70A62" w:rsidRPr="00A64F36" w:rsidRDefault="00A70A62" w:rsidP="00A70A62">
            <w:pPr>
              <w:pStyle w:val="ListParagraph"/>
              <w:numPr>
                <w:ilvl w:val="0"/>
                <w:numId w:val="1"/>
              </w:numPr>
              <w:jc w:val="both"/>
              <w:rPr>
                <w:rFonts w:ascii="Times New Roman" w:eastAsia="Times New Roman" w:hAnsi="Times New Roman" w:cs="Times New Roman"/>
                <w:b/>
                <w:bCs/>
                <w:noProof/>
                <w:color w:val="0070C0"/>
              </w:rPr>
            </w:pPr>
            <w:r>
              <w:rPr>
                <w:rFonts w:ascii="Times New Roman" w:hAnsi="Times New Roman"/>
                <w:b/>
                <w:noProof/>
              </w:rPr>
              <w:t>encouragera l’engagement des citoyens, en particulier des jeunes</w:t>
            </w:r>
            <w:r>
              <w:rPr>
                <w:rFonts w:ascii="Times New Roman" w:hAnsi="Times New Roman"/>
                <w:noProof/>
              </w:rPr>
              <w:t xml:space="preserve">, en soutenant les processus participatifs et consultatifs, notamment par les moyens suivants: </w:t>
            </w:r>
          </w:p>
          <w:p w14:paraId="17BD5CEF" w14:textId="6CFA8BFC" w:rsidR="00A70A62" w:rsidRPr="00A64F36" w:rsidRDefault="00774BD6" w:rsidP="00A70A62">
            <w:pPr>
              <w:pStyle w:val="ListParagraph"/>
              <w:numPr>
                <w:ilvl w:val="1"/>
                <w:numId w:val="1"/>
              </w:numPr>
              <w:jc w:val="both"/>
              <w:rPr>
                <w:rFonts w:ascii="Times New Roman" w:eastAsia="Times New Roman" w:hAnsi="Times New Roman" w:cs="Times New Roman"/>
                <w:noProof/>
                <w:color w:val="000000" w:themeColor="text1"/>
                <w:u w:val="single"/>
              </w:rPr>
            </w:pPr>
            <w:r>
              <w:rPr>
                <w:rFonts w:ascii="Times New Roman" w:hAnsi="Times New Roman"/>
                <w:noProof/>
              </w:rPr>
              <w:t xml:space="preserve">promotion des dialogues intergénérationnels, de la budgétisation participative, de la prospective participative, </w:t>
            </w:r>
            <w:r>
              <w:rPr>
                <w:rFonts w:ascii="Times New Roman" w:hAnsi="Times New Roman"/>
                <w:noProof/>
                <w:color w:val="000000" w:themeColor="text1"/>
              </w:rPr>
              <w:t>des panels de citoyens et d’outils innovants de technologie civique en ligne;</w:t>
            </w:r>
          </w:p>
          <w:p w14:paraId="56A30D72" w14:textId="4718A8FF" w:rsidR="00A70A62" w:rsidRPr="00A64F36" w:rsidRDefault="00A70A62" w:rsidP="00A70A62">
            <w:pPr>
              <w:pStyle w:val="ListParagraph"/>
              <w:numPr>
                <w:ilvl w:val="1"/>
                <w:numId w:val="1"/>
              </w:numPr>
              <w:jc w:val="both"/>
              <w:rPr>
                <w:rFonts w:ascii="Times New Roman" w:eastAsia="Times New Roman" w:hAnsi="Times New Roman" w:cs="Times New Roman"/>
                <w:noProof/>
                <w:u w:val="single"/>
              </w:rPr>
            </w:pPr>
            <w:r>
              <w:rPr>
                <w:rFonts w:ascii="Times New Roman" w:hAnsi="Times New Roman"/>
                <w:noProof/>
                <w:color w:val="000000" w:themeColor="text1"/>
              </w:rPr>
              <w:t>organisation de la Semaine européenne de la jeunesse 2026 consacrée à la solidarité</w:t>
            </w:r>
            <w:r>
              <w:rPr>
                <w:rFonts w:ascii="Times New Roman" w:hAnsi="Times New Roman"/>
                <w:noProof/>
              </w:rPr>
              <w:t xml:space="preserve"> et à l’équité;</w:t>
            </w:r>
          </w:p>
          <w:p w14:paraId="388D3384" w14:textId="18180931" w:rsidR="007D0886" w:rsidRPr="00A64F36" w:rsidRDefault="007D0886" w:rsidP="007D0886">
            <w:pPr>
              <w:pStyle w:val="ListParagraph"/>
              <w:numPr>
                <w:ilvl w:val="1"/>
                <w:numId w:val="1"/>
              </w:numPr>
              <w:jc w:val="both"/>
              <w:rPr>
                <w:rFonts w:ascii="Times New Roman" w:eastAsia="Times New Roman" w:hAnsi="Times New Roman" w:cs="Times New Roman"/>
                <w:noProof/>
                <w:sz w:val="24"/>
                <w:szCs w:val="24"/>
                <w:u w:val="single"/>
              </w:rPr>
            </w:pPr>
            <w:r>
              <w:rPr>
                <w:rFonts w:ascii="Times New Roman" w:hAnsi="Times New Roman"/>
                <w:noProof/>
              </w:rPr>
              <w:t xml:space="preserve">sensibilisation, en particulier aux alentours du 16 novembre, en tant que journée marquant l’équité intergénérationnelle; </w:t>
            </w:r>
          </w:p>
          <w:p w14:paraId="029DF9CE" w14:textId="6D256C5F" w:rsidR="00A70A62" w:rsidRPr="00A64F36" w:rsidRDefault="00A70A62" w:rsidP="00A70A62">
            <w:pPr>
              <w:pStyle w:val="ListParagraph"/>
              <w:numPr>
                <w:ilvl w:val="0"/>
                <w:numId w:val="1"/>
              </w:numPr>
              <w:jc w:val="both"/>
              <w:rPr>
                <w:rFonts w:ascii="Times New Roman" w:eastAsia="Times New Roman" w:hAnsi="Times New Roman" w:cs="Times New Roman"/>
                <w:noProof/>
              </w:rPr>
            </w:pPr>
            <w:r>
              <w:rPr>
                <w:rFonts w:ascii="Times New Roman" w:hAnsi="Times New Roman"/>
                <w:b/>
                <w:noProof/>
              </w:rPr>
              <w:t>renforcera la</w:t>
            </w:r>
            <w:r>
              <w:rPr>
                <w:rFonts w:ascii="Times New Roman" w:hAnsi="Times New Roman"/>
                <w:noProof/>
              </w:rPr>
              <w:t xml:space="preserve"> </w:t>
            </w:r>
            <w:r>
              <w:rPr>
                <w:rFonts w:ascii="Times New Roman" w:hAnsi="Times New Roman"/>
                <w:b/>
                <w:noProof/>
              </w:rPr>
              <w:t>dimension d’équité intergénérationnelle dans les politiques de l’UE concernant la jeunesse et le sport</w:t>
            </w:r>
            <w:r>
              <w:rPr>
                <w:rFonts w:ascii="Times New Roman" w:hAnsi="Times New Roman"/>
                <w:noProof/>
              </w:rPr>
              <w:t xml:space="preserve"> dans le cadre de la </w:t>
            </w:r>
            <w:r>
              <w:rPr>
                <w:rFonts w:ascii="Times New Roman" w:hAnsi="Times New Roman"/>
                <w:b/>
                <w:noProof/>
              </w:rPr>
              <w:t>stratégie de l’UE en faveur de la jeunesse pour l’après-2027</w:t>
            </w:r>
            <w:r>
              <w:rPr>
                <w:rFonts w:ascii="Times New Roman" w:hAnsi="Times New Roman"/>
                <w:noProof/>
              </w:rPr>
              <w:t xml:space="preserve"> et du </w:t>
            </w:r>
            <w:r>
              <w:rPr>
                <w:rFonts w:ascii="Times New Roman" w:hAnsi="Times New Roman"/>
                <w:b/>
                <w:noProof/>
              </w:rPr>
              <w:t>plan de travail de l’UE en faveur du sport</w:t>
            </w:r>
            <w:r>
              <w:rPr>
                <w:rFonts w:ascii="Times New Roman" w:hAnsi="Times New Roman"/>
                <w:noProof/>
              </w:rPr>
              <w:t>, et</w:t>
            </w:r>
            <w:r>
              <w:rPr>
                <w:rFonts w:ascii="Times New Roman" w:hAnsi="Times New Roman"/>
                <w:noProof/>
                <w:color w:val="111111"/>
              </w:rPr>
              <w:t xml:space="preserve"> </w:t>
            </w:r>
            <w:r>
              <w:rPr>
                <w:rFonts w:ascii="Times New Roman" w:hAnsi="Times New Roman"/>
                <w:b/>
                <w:noProof/>
                <w:color w:val="111111"/>
              </w:rPr>
              <w:t>favorisera la participation des enfants</w:t>
            </w:r>
            <w:r>
              <w:rPr>
                <w:rFonts w:ascii="Times New Roman" w:hAnsi="Times New Roman"/>
                <w:noProof/>
              </w:rPr>
              <w:t xml:space="preserve"> </w:t>
            </w:r>
            <w:r>
              <w:rPr>
                <w:rFonts w:ascii="Times New Roman" w:hAnsi="Times New Roman"/>
                <w:noProof/>
                <w:color w:val="111111"/>
              </w:rPr>
              <w:t>à l’élaboration des politiques de l’UE, en promouvant les droits de l’enfant dans toutes les politiques pertinentes de l’UE</w:t>
            </w:r>
            <w:r>
              <w:rPr>
                <w:rFonts w:ascii="Times New Roman" w:eastAsia="Times New Roman" w:hAnsi="Times New Roman" w:cs="Times New Roman"/>
                <w:noProof/>
                <w:color w:val="111111"/>
                <w:vertAlign w:val="superscript"/>
              </w:rPr>
              <w:footnoteReference w:id="27"/>
            </w:r>
            <w:r>
              <w:rPr>
                <w:rFonts w:ascii="Times New Roman" w:hAnsi="Times New Roman"/>
                <w:noProof/>
                <w:color w:val="111111"/>
              </w:rPr>
              <w:t xml:space="preserve"> et en s’appuyant sur la plateforme européenne de participation des enfants</w:t>
            </w:r>
            <w:r>
              <w:rPr>
                <w:rStyle w:val="FootnoteReference"/>
                <w:rFonts w:ascii="Times New Roman" w:eastAsia="Times New Roman" w:hAnsi="Times New Roman" w:cs="Times New Roman"/>
                <w:noProof/>
                <w:color w:val="111111"/>
              </w:rPr>
              <w:footnoteReference w:id="28"/>
            </w:r>
            <w:r>
              <w:rPr>
                <w:rFonts w:ascii="Times New Roman" w:hAnsi="Times New Roman"/>
                <w:noProof/>
                <w:color w:val="111111"/>
              </w:rPr>
              <w:t>.</w:t>
            </w:r>
          </w:p>
          <w:p w14:paraId="6490BB1A" w14:textId="62D93E40" w:rsidR="00A70A62" w:rsidRPr="00A64F36" w:rsidRDefault="00A70A62" w:rsidP="00234C09">
            <w:pPr>
              <w:jc w:val="both"/>
              <w:rPr>
                <w:rFonts w:ascii="Times New Roman" w:hAnsi="Times New Roman" w:cs="Times New Roman"/>
                <w:noProof/>
              </w:rPr>
            </w:pPr>
          </w:p>
        </w:tc>
      </w:tr>
    </w:tbl>
    <w:p w14:paraId="42F64AAD" w14:textId="77777777" w:rsidR="00A70A62" w:rsidRPr="00375D18" w:rsidRDefault="00A70A62" w:rsidP="00A70A62">
      <w:pPr>
        <w:rPr>
          <w:rFonts w:ascii="Times New Roman" w:eastAsia="Times New Roman" w:hAnsi="Times New Roman" w:cs="Times New Roman"/>
          <w:noProof/>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77E1D6E8" w14:textId="77777777" w:rsidTr="1A16B2EB">
        <w:tc>
          <w:tcPr>
            <w:tcW w:w="902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D9BA96F" w14:textId="6E763F88" w:rsidR="00A70A62" w:rsidRPr="00A64F36" w:rsidRDefault="7F999087" w:rsidP="00234C09">
            <w:pPr>
              <w:spacing w:line="276" w:lineRule="auto"/>
              <w:rPr>
                <w:rFonts w:ascii="Times New Roman" w:eastAsia="Times New Roman" w:hAnsi="Times New Roman" w:cs="Times New Roman"/>
                <w:b/>
                <w:bCs/>
                <w:noProof/>
                <w:color w:val="000000" w:themeColor="text1"/>
                <w:sz w:val="14"/>
                <w:szCs w:val="14"/>
              </w:rPr>
            </w:pPr>
            <w:r>
              <w:rPr>
                <w:rFonts w:ascii="Times New Roman" w:hAnsi="Times New Roman"/>
                <w:b/>
                <w:noProof/>
                <w:color w:val="000000" w:themeColor="text1"/>
                <w:sz w:val="20"/>
              </w:rPr>
              <w:t xml:space="preserve">Pratiques inspirantes dans les États membres de l’UE </w:t>
            </w:r>
          </w:p>
          <w:p w14:paraId="57BFF851" w14:textId="77777777" w:rsidR="00A70A62" w:rsidRPr="00A64F36" w:rsidRDefault="00A70A62" w:rsidP="00234C09">
            <w:pPr>
              <w:spacing w:line="276" w:lineRule="auto"/>
              <w:rPr>
                <w:rFonts w:ascii="Times New Roman" w:eastAsia="Times New Roman" w:hAnsi="Times New Roman" w:cs="Times New Roman"/>
                <w:b/>
                <w:bCs/>
                <w:noProof/>
                <w:color w:val="000000"/>
                <w:sz w:val="14"/>
                <w:szCs w:val="14"/>
              </w:rPr>
            </w:pPr>
          </w:p>
          <w:p w14:paraId="7AA611F7" w14:textId="2486159F"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14"/>
                <w:szCs w:val="14"/>
              </w:rPr>
            </w:pPr>
            <w:r>
              <w:rPr>
                <w:rFonts w:ascii="Times New Roman" w:hAnsi="Times New Roman"/>
                <w:b/>
                <w:noProof/>
                <w:color w:val="000000" w:themeColor="text1"/>
                <w:sz w:val="20"/>
              </w:rPr>
              <w:t>Aux Pays-Bas, le programme d’action «Promising Start»</w:t>
            </w:r>
            <w:r>
              <w:rPr>
                <w:rFonts w:ascii="Times New Roman" w:hAnsi="Times New Roman"/>
                <w:noProof/>
                <w:color w:val="000000" w:themeColor="text1"/>
                <w:sz w:val="20"/>
              </w:rPr>
              <w:t xml:space="preserve"> soutient les enfants et leurs parents au cours des 1 000 premiers jours après la naissance. </w:t>
            </w:r>
          </w:p>
          <w:p w14:paraId="1EAA6BF1" w14:textId="77777777" w:rsidR="002E586E"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Pr>
                <w:rFonts w:ascii="Times New Roman" w:hAnsi="Times New Roman"/>
                <w:b/>
                <w:noProof/>
                <w:color w:val="000000" w:themeColor="text1"/>
                <w:sz w:val="20"/>
              </w:rPr>
              <w:t>En Belgique, CALICO est un projet de logement financé par l’UE</w:t>
            </w:r>
            <w:r>
              <w:rPr>
                <w:rFonts w:ascii="Times New Roman" w:hAnsi="Times New Roman"/>
                <w:noProof/>
                <w:color w:val="000000" w:themeColor="text1"/>
                <w:sz w:val="20"/>
              </w:rPr>
              <w:t xml:space="preserve"> à Bruxelles qui favorise la solidarité intergénérationnelle, le logement des femmes et l’accès abordable à la propriété. </w:t>
            </w:r>
          </w:p>
          <w:p w14:paraId="21FCBCC0" w14:textId="2013477E" w:rsidR="00A70A62"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Pr>
                <w:rFonts w:ascii="Times New Roman" w:hAnsi="Times New Roman"/>
                <w:b/>
                <w:noProof/>
                <w:color w:val="000000" w:themeColor="text1"/>
                <w:sz w:val="20"/>
              </w:rPr>
              <w:t>En Pologne, les ateliers de jardinage «Together with Seniors»</w:t>
            </w:r>
            <w:r>
              <w:rPr>
                <w:rFonts w:ascii="Times New Roman" w:hAnsi="Times New Roman"/>
                <w:noProof/>
                <w:color w:val="000000" w:themeColor="text1"/>
                <w:sz w:val="20"/>
              </w:rPr>
              <w:t xml:space="preserve"> promeuvent les liens intergénérationnels et l’intégration communautaire dans le cadre d’un projet du corps européen de solidarité.</w:t>
            </w:r>
          </w:p>
        </w:tc>
      </w:tr>
    </w:tbl>
    <w:p w14:paraId="2DFE7539" w14:textId="77777777" w:rsidR="00A70A62" w:rsidRPr="00375D18" w:rsidRDefault="00A70A62" w:rsidP="00A70A62">
      <w:pPr>
        <w:rPr>
          <w:rFonts w:ascii="Times New Roman" w:eastAsia="Times New Roman" w:hAnsi="Times New Roman" w:cs="Times New Roman"/>
          <w:noProof/>
          <w:sz w:val="20"/>
          <w:szCs w:val="20"/>
        </w:rPr>
      </w:pPr>
    </w:p>
    <w:p w14:paraId="15E3D7C3" w14:textId="1B5A3BE9" w:rsidR="00A70A62" w:rsidRPr="00A64F36" w:rsidRDefault="00A70A62" w:rsidP="7EB3A829">
      <w:pPr>
        <w:pStyle w:val="Heading3"/>
        <w:numPr>
          <w:ilvl w:val="1"/>
          <w:numId w:val="2"/>
        </w:numPr>
        <w:tabs>
          <w:tab w:val="num" w:pos="360"/>
        </w:tabs>
        <w:ind w:left="0" w:firstLine="0"/>
        <w:jc w:val="both"/>
        <w:rPr>
          <w:rFonts w:ascii="Times New Roman" w:eastAsia="Times New Roman" w:hAnsi="Times New Roman" w:cs="Times New Roman"/>
          <w:b/>
          <w:bCs/>
          <w:noProof/>
          <w:color w:val="0070C0"/>
        </w:rPr>
      </w:pPr>
      <w:r>
        <w:rPr>
          <w:rFonts w:ascii="Times New Roman" w:hAnsi="Times New Roman"/>
          <w:b/>
          <w:noProof/>
          <w:color w:val="0070C0"/>
        </w:rPr>
        <w:t xml:space="preserve">Des lieux équitables: garantir l’équité intergénérationnelle entre les territoires </w:t>
      </w:r>
    </w:p>
    <w:p w14:paraId="60D91553" w14:textId="1187B465" w:rsidR="00A70A62" w:rsidRPr="00A64F36" w:rsidRDefault="00A70A62" w:rsidP="00A70A62">
      <w:pPr>
        <w:spacing w:line="240" w:lineRule="auto"/>
        <w:jc w:val="both"/>
        <w:rPr>
          <w:rStyle w:val="normaltextrun"/>
          <w:rFonts w:ascii="Times New Roman" w:eastAsia="Times New Roman" w:hAnsi="Times New Roman" w:cs="Times New Roman"/>
          <w:noProof/>
          <w:color w:val="0F4761" w:themeColor="accent1" w:themeShade="BF"/>
          <w:kern w:val="0"/>
          <w:sz w:val="28"/>
          <w:szCs w:val="28"/>
          <w14:ligatures w14:val="none"/>
        </w:rPr>
      </w:pPr>
      <w:r>
        <w:rPr>
          <w:rStyle w:val="normaltextrun"/>
          <w:rFonts w:ascii="Times New Roman" w:hAnsi="Times New Roman"/>
          <w:b/>
          <w:noProof/>
        </w:rPr>
        <w:t>L’équité intergénérationnelle est déterminée non seulement par l’âge, le sexe et le milieu socio-économique, mais aussi par le lieu.</w:t>
      </w:r>
      <w:r>
        <w:rPr>
          <w:rStyle w:val="normaltextrun"/>
          <w:rFonts w:ascii="Times New Roman" w:hAnsi="Times New Roman"/>
          <w:noProof/>
        </w:rPr>
        <w:t xml:space="preserve"> Le lieu de vie des personnes a une forte influence sur leur accès à l’éducation, à la culture, à l’emploi, au logement, aux services, aux infrastructures numériques, à la mobilité et aux possibilités de participation démocratique à la société. Les disparités territoriales (entre les zones urbaines et rurales, les régions transfrontalières et les quartiers défavorisés) peuvent amplifier les inégalités au fil du temps.</w:t>
      </w:r>
    </w:p>
    <w:p w14:paraId="031407EB" w14:textId="735EF121" w:rsidR="00A70A62" w:rsidRPr="00A64F36" w:rsidRDefault="00A70A62" w:rsidP="00A70A62">
      <w:pPr>
        <w:pStyle w:val="NormalWeb"/>
        <w:spacing w:after="180"/>
        <w:jc w:val="both"/>
        <w:rPr>
          <w:rStyle w:val="normaltextrun"/>
          <w:noProof/>
        </w:rPr>
      </w:pPr>
      <w:r>
        <w:rPr>
          <w:rStyle w:val="normaltextrun"/>
          <w:b/>
          <w:noProof/>
        </w:rPr>
        <w:t xml:space="preserve">Considérer l’équité intergénérationnelle d’un point de vue territorial consiste à faire en sorte que les différentes générations ne soient pas désavantagées pour des raisons géographiques. </w:t>
      </w:r>
      <w:r>
        <w:rPr>
          <w:rStyle w:val="normaltextrun"/>
          <w:noProof/>
        </w:rPr>
        <w:t>Cela nécessite des politiques qui tiennent compte des conditions locales et des effets sur le climat et investissent dans la capacité à long terme des territoires à favoriser les perspectives d’une génération à l’autre. L’accès à un logement abordable et durable, à des services publics de qualité, y compris des services sociaux et de soins, aux transports, à la connectivité numérique, à des infrastructures sociales ainsi qu’à des installations récréatives est fondamental pour que les personnes puissent rester, revenir dans leur communauté ou y construire leur avenir.</w:t>
      </w:r>
      <w:r>
        <w:rPr>
          <w:noProof/>
        </w:rPr>
        <w:t xml:space="preserve"> Parallèlement, la mobilité à des fins d’éducation et de formation et la </w:t>
      </w:r>
      <w:r>
        <w:rPr>
          <w:rStyle w:val="normaltextrun"/>
          <w:noProof/>
        </w:rPr>
        <w:t>libre circulation des travailleurs accroissent les possibilités, notamment pour les jeunes, en permettant le transfert de compétences et de connaissances et en soutenant une compétitivité et une croissance durables à long terme.</w:t>
      </w:r>
    </w:p>
    <w:p w14:paraId="32807207" w14:textId="0D5E1DDF" w:rsidR="00A70A62" w:rsidRPr="00A64F36" w:rsidRDefault="00A70A62" w:rsidP="00A70A62">
      <w:pPr>
        <w:pStyle w:val="NormalWeb"/>
        <w:spacing w:after="180"/>
        <w:jc w:val="both"/>
        <w:rPr>
          <w:rStyle w:val="normaltextrun"/>
          <w:noProof/>
        </w:rPr>
      </w:pPr>
      <w:r>
        <w:rPr>
          <w:rStyle w:val="normaltextrun"/>
          <w:b/>
          <w:noProof/>
        </w:rPr>
        <w:t>Le renforcement des liens intergénérationnels au niveau local contribue également à la résilience et à la cohésion sociale.</w:t>
      </w:r>
      <w:r>
        <w:rPr>
          <w:rStyle w:val="normaltextrun"/>
          <w:noProof/>
        </w:rPr>
        <w:t xml:space="preserve"> Les installations communautaires, les espaces publics partagés et les services locaux peuvent faciliter les interactions entre les groupes d’âge, réduire l’isolement et favoriser le soutien mutuel, en particulier dans les zones confrontées à l’évolution démographique ou à la transition économique. Améliorer</w:t>
      </w:r>
      <w:r>
        <w:rPr>
          <w:noProof/>
        </w:rPr>
        <w:t xml:space="preserve"> l’accès à la culture et la participation des citoyens à celle-ci favorise les valeurs communes et la cohésion sociale, en donnant à toutes les générations les moyens d’agir. </w:t>
      </w:r>
    </w:p>
    <w:p w14:paraId="04A33E1B" w14:textId="12B77732" w:rsidR="00A70A62" w:rsidRDefault="00A70A62" w:rsidP="00B45E14">
      <w:pPr>
        <w:pStyle w:val="NormalWeb"/>
        <w:spacing w:before="0" w:beforeAutospacing="0" w:after="180" w:afterAutospacing="0"/>
        <w:jc w:val="both"/>
        <w:rPr>
          <w:rStyle w:val="normaltextrun"/>
          <w:noProof/>
        </w:rPr>
      </w:pPr>
      <w:r>
        <w:rPr>
          <w:rStyle w:val="normaltextrun"/>
          <w:b/>
          <w:noProof/>
        </w:rPr>
        <w:t>Garantir des lieux équitables passe par des mesures ciblées et territorialisées, menées en collaboration avec les pouvoirs locaux et régionaux</w:t>
      </w:r>
      <w:r>
        <w:rPr>
          <w:rStyle w:val="normaltextrun"/>
          <w:noProof/>
        </w:rPr>
        <w:t>, qui multiplient les possibilités pour les jeunes générations, favorisent un vieillissement actif et en bonne santé au sein des communautés locales, encouragent l’échange d’expériences entre les territoires et promeuvent des initiatives qui renforcent les liens intergénérationnels au sein des communautés.</w:t>
      </w:r>
    </w:p>
    <w:p w14:paraId="5AD48253" w14:textId="77777777" w:rsidR="00375D18" w:rsidRPr="00A64F36" w:rsidRDefault="00375D18" w:rsidP="00B45E14">
      <w:pPr>
        <w:pStyle w:val="NormalWeb"/>
        <w:spacing w:before="0" w:beforeAutospacing="0" w:after="180" w:afterAutospacing="0"/>
        <w:jc w:val="both"/>
        <w:rPr>
          <w:rStyle w:val="normaltextrun"/>
          <w:noProof/>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32BD5889" w14:textId="77777777" w:rsidTr="7EB3A829">
        <w:tc>
          <w:tcPr>
            <w:tcW w:w="9016" w:type="dxa"/>
            <w:shd w:val="clear" w:color="auto" w:fill="DAE9F7" w:themeFill="text2" w:themeFillTint="1A"/>
          </w:tcPr>
          <w:p w14:paraId="059247D6" w14:textId="77777777" w:rsidR="00A70A62" w:rsidRPr="00A64F36" w:rsidRDefault="00A70A62" w:rsidP="00234C09">
            <w:pPr>
              <w:rPr>
                <w:rFonts w:ascii="Times New Roman" w:eastAsia="Times New Roman" w:hAnsi="Times New Roman" w:cs="Times New Roman"/>
                <w:b/>
                <w:bCs/>
                <w:noProof/>
                <w:color w:val="0070C0"/>
              </w:rPr>
            </w:pPr>
            <w:r>
              <w:rPr>
                <w:rFonts w:ascii="Times New Roman" w:hAnsi="Times New Roman"/>
                <w:b/>
                <w:noProof/>
                <w:color w:val="0070C0"/>
              </w:rPr>
              <w:t xml:space="preserve">Afin de promouvoir des </w:t>
            </w:r>
            <w:r>
              <w:rPr>
                <w:rFonts w:ascii="Times New Roman" w:hAnsi="Times New Roman"/>
                <w:b/>
                <w:i/>
                <w:noProof/>
                <w:color w:val="0070C0"/>
              </w:rPr>
              <w:t>lieux équitables</w:t>
            </w:r>
            <w:r>
              <w:rPr>
                <w:rFonts w:ascii="Times New Roman" w:hAnsi="Times New Roman"/>
                <w:b/>
                <w:noProof/>
                <w:color w:val="0070C0"/>
              </w:rPr>
              <w:t>, la Commission:</w:t>
            </w:r>
          </w:p>
          <w:p w14:paraId="57DA8ECB" w14:textId="77777777" w:rsidR="00A70A62" w:rsidRPr="00A64F36" w:rsidRDefault="00A70A62" w:rsidP="00234C09">
            <w:pPr>
              <w:spacing w:line="257" w:lineRule="auto"/>
              <w:rPr>
                <w:rFonts w:ascii="Times New Roman" w:eastAsia="Times New Roman" w:hAnsi="Times New Roman" w:cs="Times New Roman"/>
                <w:noProof/>
              </w:rPr>
            </w:pPr>
          </w:p>
          <w:p w14:paraId="76A4E878" w14:textId="6829E082" w:rsidR="00A70A62" w:rsidRPr="00A64F36" w:rsidRDefault="00A70A62"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bookmarkStart w:id="5" w:name="_Hlk221892338"/>
            <w:r>
              <w:rPr>
                <w:rFonts w:ascii="Times New Roman" w:hAnsi="Times New Roman"/>
                <w:b/>
                <w:noProof/>
                <w:color w:val="000000" w:themeColor="text1"/>
              </w:rPr>
              <w:t>lancera</w:t>
            </w:r>
            <w:r>
              <w:rPr>
                <w:rFonts w:ascii="Times New Roman" w:hAnsi="Times New Roman"/>
                <w:noProof/>
                <w:color w:val="000000" w:themeColor="text1"/>
              </w:rPr>
              <w:t xml:space="preserve"> </w:t>
            </w:r>
            <w:r>
              <w:rPr>
                <w:rFonts w:ascii="Times New Roman" w:hAnsi="Times New Roman"/>
                <w:b/>
                <w:i/>
                <w:noProof/>
                <w:color w:val="000000" w:themeColor="text1"/>
              </w:rPr>
              <w:t>l’initiative «Voices of the Future»</w:t>
            </w:r>
            <w:r>
              <w:rPr>
                <w:rFonts w:ascii="Times New Roman" w:hAnsi="Times New Roman"/>
                <w:noProof/>
                <w:color w:val="000000" w:themeColor="text1"/>
              </w:rPr>
              <w:t xml:space="preserve"> (annoncée dans le bouclier européen de la démocratie) avec le Comité des régions, en invitant les pouvoirs locaux et régionaux à s’engager dans le façonnement de l’avenir de leurs régions;</w:t>
            </w:r>
          </w:p>
          <w:bookmarkEnd w:id="5"/>
          <w:p w14:paraId="2EE05826" w14:textId="10D34A31" w:rsidR="00A70A62" w:rsidRPr="00A64F36" w:rsidRDefault="00A70A62" w:rsidP="00A70A62">
            <w:pPr>
              <w:pStyle w:val="ListParagraph"/>
              <w:numPr>
                <w:ilvl w:val="0"/>
                <w:numId w:val="6"/>
              </w:numPr>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encouragera l’inspiration, la connexion et l’assistance mutuelle</w:t>
            </w:r>
            <w:r>
              <w:rPr>
                <w:rFonts w:ascii="Times New Roman" w:hAnsi="Times New Roman"/>
                <w:noProof/>
                <w:color w:val="000000" w:themeColor="text1"/>
              </w:rPr>
              <w:t xml:space="preserve"> en </w:t>
            </w:r>
            <w:r>
              <w:rPr>
                <w:rFonts w:ascii="Times New Roman" w:hAnsi="Times New Roman"/>
                <w:i/>
                <w:noProof/>
                <w:color w:val="000000" w:themeColor="text1"/>
              </w:rPr>
              <w:t>établissant des partenariats intergénérationnels</w:t>
            </w:r>
            <w:r>
              <w:rPr>
                <w:rFonts w:ascii="Times New Roman" w:hAnsi="Times New Roman"/>
                <w:noProof/>
                <w:color w:val="000000" w:themeColor="text1"/>
              </w:rPr>
              <w:t xml:space="preserve"> avec les bibliothèques, les musées, les organisations sportives et les centres communautaires, ainsi que des programmes culturels, universitaires, créatifs et tournés vers l’avenir, tels que: </w:t>
            </w:r>
          </w:p>
          <w:p w14:paraId="4AB9CF66" w14:textId="2885B40D" w:rsidR="00432272" w:rsidRPr="00B22CB0" w:rsidRDefault="00432272" w:rsidP="00973910">
            <w:pPr>
              <w:pStyle w:val="ListParagraph"/>
              <w:numPr>
                <w:ilvl w:val="0"/>
                <w:numId w:val="12"/>
              </w:numPr>
              <w:jc w:val="both"/>
              <w:rPr>
                <w:rFonts w:ascii="Times New Roman" w:eastAsia="Times New Roman" w:hAnsi="Times New Roman" w:cs="Times New Roman"/>
                <w:noProof/>
                <w:color w:val="000000" w:themeColor="text1"/>
              </w:rPr>
            </w:pPr>
            <w:r>
              <w:rPr>
                <w:rFonts w:ascii="Times New Roman" w:hAnsi="Times New Roman"/>
                <w:noProof/>
                <w:color w:val="111111"/>
              </w:rPr>
              <w:t>la promotion de l’inclusion et des échanges culturels intergénérationnels</w:t>
            </w:r>
            <w:r>
              <w:rPr>
                <w:rFonts w:ascii="Times New Roman" w:hAnsi="Times New Roman"/>
                <w:noProof/>
              </w:rPr>
              <w:t xml:space="preserve"> conformément à la </w:t>
            </w:r>
            <w:r>
              <w:rPr>
                <w:rStyle w:val="Strong"/>
                <w:rFonts w:ascii="Times New Roman" w:hAnsi="Times New Roman"/>
                <w:b w:val="0"/>
                <w:noProof/>
              </w:rPr>
              <w:t>boussole culturelle pour l’Europe</w:t>
            </w:r>
            <w:r>
              <w:rPr>
                <w:rFonts w:ascii="Times New Roman" w:hAnsi="Times New Roman"/>
                <w:noProof/>
              </w:rPr>
              <w:t>;</w:t>
            </w:r>
          </w:p>
          <w:p w14:paraId="6FA27568" w14:textId="12694EED" w:rsidR="00A70A62" w:rsidRPr="00B22CB0" w:rsidRDefault="00A70A62" w:rsidP="00973910">
            <w:pPr>
              <w:pStyle w:val="ListParagraph"/>
              <w:numPr>
                <w:ilvl w:val="0"/>
                <w:numId w:val="12"/>
              </w:numPr>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la mise en avant de solutions de transport inclusives, accessibles et durables pour toutes les générations grâce à la Semaine européenne de la mobilité 2026;</w:t>
            </w:r>
          </w:p>
          <w:p w14:paraId="467EFB2F" w14:textId="0AC07376" w:rsidR="00A70A62" w:rsidRPr="00A64F36" w:rsidRDefault="00A70A62" w:rsidP="00973910">
            <w:pPr>
              <w:pStyle w:val="ListParagraph"/>
              <w:numPr>
                <w:ilvl w:val="0"/>
                <w:numId w:val="12"/>
              </w:numPr>
              <w:jc w:val="both"/>
              <w:rPr>
                <w:rFonts w:ascii="Times New Roman" w:eastAsia="Times New Roman" w:hAnsi="Times New Roman" w:cs="Times New Roman"/>
                <w:noProof/>
              </w:rPr>
            </w:pPr>
            <w:r>
              <w:rPr>
                <w:rFonts w:ascii="Times New Roman" w:hAnsi="Times New Roman"/>
                <w:noProof/>
              </w:rPr>
              <w:t>la promotion d’activités intergénérationnelles à travers le sport, en particulier les initiatives qui rassemblent les générations et facilitent l’accès au sport et à l’activité physique pour tous les âges, avec un prix européen du sport #BeActive pour la catégorie «across generations» (projets intergénérationnels);</w:t>
            </w:r>
          </w:p>
          <w:p w14:paraId="10772334" w14:textId="4FBB74F8" w:rsidR="00A70A62" w:rsidRPr="00A64F36" w:rsidRDefault="005F1423"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préservera et régénérera les espaces publics pour renforcer la cohésion sociale et la durabilité</w:t>
            </w:r>
            <w:r>
              <w:rPr>
                <w:rFonts w:ascii="Times New Roman" w:hAnsi="Times New Roman"/>
                <w:noProof/>
                <w:color w:val="000000" w:themeColor="text1"/>
              </w:rPr>
              <w:t xml:space="preserve"> grâce à l’initiative du nouveau Bauhaus européen et à ses activités menées par les acteurs locaux, ainsi qu’à la connaissance du rôle des espaces publics pour la résilience démocratique.</w:t>
            </w:r>
          </w:p>
          <w:p w14:paraId="7AB9534B" w14:textId="569F3669" w:rsidR="00A70A62" w:rsidRPr="00A64F36" w:rsidRDefault="00A70A62" w:rsidP="00234C09">
            <w:pPr>
              <w:rPr>
                <w:rFonts w:ascii="Times New Roman" w:eastAsia="Times New Roman" w:hAnsi="Times New Roman" w:cs="Times New Roman"/>
                <w:i/>
                <w:iCs/>
                <w:noProof/>
                <w:color w:val="111111"/>
              </w:rPr>
            </w:pPr>
          </w:p>
        </w:tc>
      </w:tr>
    </w:tbl>
    <w:p w14:paraId="24FA5604" w14:textId="77777777" w:rsidR="00A70A62" w:rsidRPr="00375D18" w:rsidRDefault="00A70A62" w:rsidP="00A70A62">
      <w:pPr>
        <w:pStyle w:val="NormalWeb"/>
        <w:spacing w:before="0" w:beforeAutospacing="0" w:after="210" w:afterAutospacing="0"/>
        <w:jc w:val="both"/>
        <w:rPr>
          <w:noProof/>
        </w:rPr>
      </w:pPr>
    </w:p>
    <w:tbl>
      <w:tblPr>
        <w:tblStyle w:val="TableGridLight"/>
        <w:tblW w:w="0" w:type="auto"/>
        <w:tblLook w:val="04A0" w:firstRow="1" w:lastRow="0" w:firstColumn="1" w:lastColumn="0" w:noHBand="0" w:noVBand="1"/>
      </w:tblPr>
      <w:tblGrid>
        <w:gridCol w:w="9016"/>
      </w:tblGrid>
      <w:tr w:rsidR="00A70A62" w:rsidRPr="00A64F36" w14:paraId="5B35FEA2"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2C28D8D" w14:textId="7CE5C007" w:rsidR="00A70A62" w:rsidRPr="00A64F36" w:rsidRDefault="34349891" w:rsidP="1A16B2EB">
            <w:pPr>
              <w:spacing w:line="276" w:lineRule="auto"/>
              <w:rPr>
                <w:rFonts w:ascii="Times New Roman" w:eastAsia="Times New Roman" w:hAnsi="Times New Roman" w:cs="Times New Roman"/>
                <w:b/>
                <w:bCs/>
                <w:noProof/>
                <w:sz w:val="20"/>
                <w:szCs w:val="20"/>
              </w:rPr>
            </w:pPr>
            <w:r>
              <w:rPr>
                <w:rFonts w:ascii="Times New Roman" w:hAnsi="Times New Roman"/>
                <w:b/>
                <w:noProof/>
                <w:sz w:val="20"/>
              </w:rPr>
              <w:t xml:space="preserve">Pratiques inspirantes dans les États membres de l’UE </w:t>
            </w:r>
          </w:p>
          <w:p w14:paraId="6CBD399B" w14:textId="77777777" w:rsidR="00A70A62" w:rsidRPr="00375D18" w:rsidRDefault="00A70A62" w:rsidP="00234C09">
            <w:pPr>
              <w:spacing w:line="276" w:lineRule="auto"/>
              <w:rPr>
                <w:rFonts w:ascii="Times New Roman" w:eastAsia="Times New Roman" w:hAnsi="Times New Roman" w:cs="Times New Roman"/>
                <w:b/>
                <w:bCs/>
                <w:noProof/>
                <w:sz w:val="20"/>
                <w:szCs w:val="20"/>
              </w:rPr>
            </w:pPr>
          </w:p>
          <w:p w14:paraId="3257D1EA"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Le projet paneuropéen «Phōnē – Giving Minority Languages a Voice»</w:t>
            </w:r>
            <w:r>
              <w:rPr>
                <w:rFonts w:ascii="Times New Roman" w:hAnsi="Times New Roman"/>
                <w:noProof/>
                <w:color w:val="000000" w:themeColor="text1"/>
                <w:sz w:val="20"/>
              </w:rPr>
              <w:t xml:space="preserve"> (Donner une voix aux langues minoritaires) est axé sur la promotion de la diversité culturelle et linguistique en mettant en relation les locuteurs de langues minoritaires dans toute l’Europe et en encourageant le récit oral intergénérationnel et les productions théâtrales communautaires.</w:t>
            </w:r>
          </w:p>
          <w:p w14:paraId="6E1CD958"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En Slovénie, le projet «The Pulse of European Literature - Utrip evropske literature»</w:t>
            </w:r>
            <w:r>
              <w:rPr>
                <w:rFonts w:ascii="Times New Roman" w:hAnsi="Times New Roman"/>
                <w:noProof/>
                <w:color w:val="000000" w:themeColor="text1"/>
                <w:sz w:val="20"/>
              </w:rPr>
              <w:t xml:space="preserve"> (Le pouls de la littérature européenne) traduit et promeut des œuvres européennes contemporaines afin de favoriser l’identité et l’inclusivité européennes, en faisant participer des publics de tous âges grâce à la collaboration intergénérationnelle et aux médias numériques.</w:t>
            </w:r>
          </w:p>
          <w:p w14:paraId="63CAEEEA" w14:textId="65831CB1"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Le programme paneuropéen des volontaires du patrimoine européen</w:t>
            </w:r>
            <w:r>
              <w:rPr>
                <w:rFonts w:ascii="Times New Roman" w:hAnsi="Times New Roman"/>
                <w:noProof/>
                <w:color w:val="000000" w:themeColor="text1"/>
                <w:sz w:val="20"/>
              </w:rPr>
              <w:t xml:space="preserve"> revitalise des sites du patrimoine au moyen de cours de formation intitulés «Traditional Crafts in Practice» (l’artisanat traditionnel en pratique), qui permettent de jeter un pont entre les générations et les cultures et de démontrer des pratiques durables en matière de patrimoine pour la résilience au changement climatique.</w:t>
            </w:r>
          </w:p>
          <w:p w14:paraId="7B3C8136" w14:textId="71F0A0E4" w:rsidR="00A70A62" w:rsidRPr="00A64F36" w:rsidRDefault="00A70A62" w:rsidP="00A70A62">
            <w:pPr>
              <w:numPr>
                <w:ilvl w:val="0"/>
                <w:numId w:val="3"/>
              </w:numPr>
              <w:spacing w:line="276" w:lineRule="auto"/>
              <w:jc w:val="both"/>
              <w:rPr>
                <w:rFonts w:ascii="Times New Roman" w:eastAsia="Times New Roman" w:hAnsi="Times New Roman" w:cs="Times New Roman"/>
                <w:noProof/>
                <w:color w:val="000000" w:themeColor="text1"/>
                <w:sz w:val="20"/>
                <w:szCs w:val="20"/>
              </w:rPr>
            </w:pPr>
            <w:r>
              <w:rPr>
                <w:rFonts w:ascii="Times New Roman" w:hAnsi="Times New Roman"/>
                <w:b/>
                <w:noProof/>
                <w:color w:val="000000" w:themeColor="text1"/>
                <w:sz w:val="20"/>
              </w:rPr>
              <w:t>En France, la «République des hyper voisins»</w:t>
            </w:r>
            <w:r>
              <w:rPr>
                <w:rFonts w:ascii="Times New Roman" w:hAnsi="Times New Roman"/>
                <w:noProof/>
                <w:color w:val="000000" w:themeColor="text1"/>
                <w:sz w:val="20"/>
              </w:rPr>
              <w:t xml:space="preserve"> regroupe des habitants d’un quartier de Paris pour organiser une fois par an un événement au cours duquel chacun est invité à tisser des liens avec ses voisins en partageant un repas dans la rue.</w:t>
            </w:r>
          </w:p>
        </w:tc>
      </w:tr>
    </w:tbl>
    <w:p w14:paraId="67D38B71" w14:textId="77777777" w:rsidR="007D1A56" w:rsidRPr="00375D18" w:rsidRDefault="007D1A56" w:rsidP="00B22CB0">
      <w:pPr>
        <w:rPr>
          <w:rFonts w:ascii="Times New Roman" w:hAnsi="Times New Roman" w:cs="Times New Roman"/>
          <w:noProof/>
        </w:rPr>
      </w:pPr>
    </w:p>
    <w:p w14:paraId="79ACBF2C" w14:textId="58FFC91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Intégrer l’équité intergénérationnelle dans l’ensemble des politiques de l’UE</w:t>
      </w:r>
    </w:p>
    <w:p w14:paraId="732EF20B" w14:textId="5F6BA845" w:rsidR="00A70A62"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L’équité intergénérationnelle n’est pas un nouveau domaine d’action.</w:t>
      </w:r>
      <w:r>
        <w:rPr>
          <w:rFonts w:ascii="Times New Roman" w:hAnsi="Times New Roman"/>
          <w:noProof/>
        </w:rPr>
        <w:t xml:space="preserve"> Elle est une invitation à examiner de plus près les conséquences à long terme des choix actuels et à veiller à ce que le coût, les risques ou les contraintes des décisions que nous prenons aujourd’hui ne soient pas transférés d’une génération à l’autre. </w:t>
      </w:r>
    </w:p>
    <w:p w14:paraId="43E14E37" w14:textId="7835BCED" w:rsidR="00E8298A" w:rsidRPr="00A64F36" w:rsidRDefault="0087013B" w:rsidP="00E8298A">
      <w:pPr>
        <w:spacing w:line="240" w:lineRule="auto"/>
        <w:jc w:val="both"/>
        <w:rPr>
          <w:rFonts w:ascii="Times New Roman" w:eastAsia="Times New Roman" w:hAnsi="Times New Roman" w:cs="Times New Roman"/>
          <w:noProof/>
        </w:rPr>
      </w:pPr>
      <w:r>
        <w:rPr>
          <w:rFonts w:ascii="Times New Roman" w:hAnsi="Times New Roman"/>
          <w:b/>
          <w:noProof/>
        </w:rPr>
        <w:t>L’intégration de l’équité intergénérationnelle dans l’élaboration des politiques est l’un des principaux objectifs de la présente stratégie.</w:t>
      </w:r>
      <w:r>
        <w:rPr>
          <w:rFonts w:ascii="Times New Roman" w:hAnsi="Times New Roman"/>
          <w:noProof/>
        </w:rPr>
        <w:t xml:space="preserve"> Si l’équité intergénérationnelle n’est pas systématiquement prise en compte dans la conception, la mise en œuvre et l’évaluation des politiques, elle ne peut être efficace. Elle ne devrait donc pas être traitée comme un volet stratégique distinct, mais comme un principe directeur sous-tendant l’ensemble de nos politiques et de nos dépenses. Elle nécessite entre autres choses que nous protégions les jeunes non seulement en les faisant bénéficier d’investissements intelligents, mais en veillant à ce qu’ils ne se retrouvent pas à devoir assurer le service des dettes du passé. Elle requiert des outils garantissant que les réformes que nous entamons aujourd’hui sont conçues en gardant à l’esprit leur incidence à long terme. Elle impose également de veiller à ce que les intérêts des personnes âgées soient intégrés dans l’élaboration des politiques. Cette approche transparaît dans le </w:t>
      </w:r>
      <w:r>
        <w:rPr>
          <w:rFonts w:ascii="Times New Roman" w:hAnsi="Times New Roman"/>
          <w:i/>
          <w:noProof/>
        </w:rPr>
        <w:t xml:space="preserve">cadre financier pluriannuel </w:t>
      </w:r>
      <w:r>
        <w:rPr>
          <w:rFonts w:ascii="Times New Roman" w:hAnsi="Times New Roman"/>
          <w:noProof/>
        </w:rPr>
        <w:t>(notamment par l’intermédiaire du Fonds social européen plus)</w:t>
      </w:r>
      <w:r>
        <w:rPr>
          <w:rStyle w:val="FootnoteReference"/>
          <w:rFonts w:ascii="Times New Roman" w:eastAsia="Times New Roman" w:hAnsi="Times New Roman" w:cs="Times New Roman"/>
          <w:noProof/>
        </w:rPr>
        <w:footnoteReference w:id="29"/>
      </w:r>
      <w:r>
        <w:rPr>
          <w:rFonts w:ascii="Times New Roman" w:hAnsi="Times New Roman"/>
          <w:i/>
          <w:noProof/>
        </w:rPr>
        <w:t xml:space="preserve"> </w:t>
      </w:r>
      <w:r>
        <w:rPr>
          <w:rFonts w:ascii="Times New Roman" w:hAnsi="Times New Roman"/>
          <w:noProof/>
        </w:rPr>
        <w:t xml:space="preserve">ou le </w:t>
      </w:r>
      <w:r>
        <w:rPr>
          <w:rFonts w:ascii="Times New Roman" w:hAnsi="Times New Roman"/>
          <w:i/>
          <w:noProof/>
        </w:rPr>
        <w:t>Semestre européen</w:t>
      </w:r>
      <w:r>
        <w:rPr>
          <w:rFonts w:ascii="Times New Roman" w:hAnsi="Times New Roman"/>
          <w:noProof/>
        </w:rPr>
        <w:t>, qui constitue le cadre pour la coordination des politiques économiques et de l’emploi dans l’UE, par l’adoption de réformes à long terme à la fois adéquates et durables. Dans ce cadre, la Commission européenne, en tant qu’employeur, peut montrer l’exemple en renforçant son engagement en faveur d’une tolérance zéro à l’égard de la discrimination fondée sur l’âge et en encourageant la collaboration intergénérationnelle sur le lieu de travail.</w:t>
      </w:r>
    </w:p>
    <w:p w14:paraId="406E9ED9" w14:textId="36DBE355" w:rsidR="00A70A62"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L’UE agit déjà dans de nombreux domaines avec l’idée d’avoir des effets significatifs à long terme.</w:t>
      </w:r>
      <w:r>
        <w:rPr>
          <w:rFonts w:ascii="Times New Roman" w:hAnsi="Times New Roman"/>
          <w:noProof/>
        </w:rPr>
        <w:t xml:space="preserve"> La présente section vise par conséquent mettre en évidence les domaines dans lesquels l’intégration d’une perspective intergénérationnelle apporte manifestement une valeur ajoutée, renforce la cohérence et soutient la durabilité et la légitimité de l’action de l’UE à la lumière de ses engagements en faveur du pacte pour l’avenir et de la déclaration sur les générations futures.</w:t>
      </w:r>
    </w:p>
    <w:p w14:paraId="6A8CAB10" w14:textId="638F1EA3" w:rsidR="00774BD6" w:rsidRPr="00A64F36" w:rsidRDefault="00774BD6" w:rsidP="00774BD6">
      <w:pPr>
        <w:spacing w:line="240" w:lineRule="auto"/>
        <w:jc w:val="both"/>
        <w:rPr>
          <w:rFonts w:ascii="Times New Roman" w:eastAsia="Times New Roman" w:hAnsi="Times New Roman" w:cs="Times New Roman"/>
          <w:b/>
          <w:bCs/>
          <w:noProof/>
          <w:color w:val="0070C0"/>
          <w:sz w:val="28"/>
          <w:szCs w:val="28"/>
        </w:rPr>
      </w:pPr>
      <w:r>
        <w:rPr>
          <w:rFonts w:ascii="Times New Roman" w:hAnsi="Times New Roman"/>
          <w:b/>
          <w:noProof/>
          <w:color w:val="0070C0"/>
          <w:sz w:val="28"/>
        </w:rPr>
        <w:t xml:space="preserve">… en renforçant la compétitivité sans épuisement des ressources </w:t>
      </w:r>
    </w:p>
    <w:p w14:paraId="318B7907" w14:textId="409DC057" w:rsidR="00774BD6" w:rsidRPr="00A64F36" w:rsidRDefault="00774BD6" w:rsidP="00774BD6">
      <w:pPr>
        <w:spacing w:line="240" w:lineRule="auto"/>
        <w:jc w:val="both"/>
        <w:rPr>
          <w:rFonts w:ascii="Times New Roman" w:eastAsia="Times New Roman" w:hAnsi="Times New Roman" w:cs="Times New Roman"/>
          <w:noProof/>
        </w:rPr>
      </w:pPr>
      <w:r>
        <w:rPr>
          <w:rFonts w:ascii="Times New Roman" w:hAnsi="Times New Roman"/>
          <w:b/>
          <w:noProof/>
        </w:rPr>
        <w:t>L’équité intergénérationnelle dépend de la capacité de l’Europe à rester compétitive, innovante et résiliente sur le plan économique au fil du temps.</w:t>
      </w:r>
      <w:r>
        <w:rPr>
          <w:rFonts w:ascii="Times New Roman" w:hAnsi="Times New Roman"/>
          <w:noProof/>
        </w:rPr>
        <w:t xml:space="preserve"> Pour préserver le bien-être des générations futures, il faut poursuivre la croissance d’une manière qui n’épuise pas les ressources dont dépend leur bien-être. Les investissements dans des industries tournées vers l’avenir créent des emplois de qualité en Europe, renforcent la compétitivité durable et favorisent une autonomie stratégique de premier plan et une économie vigoureuse et compétitive. L’adoption de politiques économiques et industrielles durables et à l’épreuve du temps qui stimulent les marchés concurrentiels est indispensable à des emplois de qualité et à des finances publiques viables. Les investissements dans les infrastructures et les entreprises innovantes sont tout aussi essentiels à l’élargissement des possibilités pour les générations actuelles et futures</w:t>
      </w:r>
      <w:r>
        <w:rPr>
          <w:rFonts w:ascii="Times New Roman" w:eastAsia="Times New Roman" w:hAnsi="Times New Roman" w:cs="Times New Roman"/>
          <w:noProof/>
          <w:vertAlign w:val="superscript"/>
        </w:rPr>
        <w:footnoteReference w:id="30"/>
      </w:r>
      <w:r>
        <w:rPr>
          <w:rFonts w:ascii="Times New Roman" w:hAnsi="Times New Roman"/>
          <w:noProof/>
        </w:rPr>
        <w:t xml:space="preserve">. En soutenant la productivité, l’autonomie stratégique et le développement d’industries tournées vers l’avenir, la compétitivité contribue à l’équité intergénérationnelle tout en veillant à ce que les générations futures héritent d’un capital solide, d’atouts sociaux et environnementaux, ainsi que d’une base économique solide et adaptable. </w:t>
      </w:r>
    </w:p>
    <w:p w14:paraId="70950B05" w14:textId="41EA1F67" w:rsidR="00765C68" w:rsidRPr="00A64F36" w:rsidRDefault="007D1A56" w:rsidP="00973910">
      <w:pPr>
        <w:keepNext/>
        <w:spacing w:line="240" w:lineRule="auto"/>
        <w:jc w:val="both"/>
        <w:rPr>
          <w:rFonts w:ascii="Times New Roman" w:eastAsia="Times New Roman" w:hAnsi="Times New Roman" w:cs="Times New Roman"/>
          <w:b/>
          <w:bCs/>
          <w:noProof/>
          <w:color w:val="0070C0"/>
          <w:sz w:val="28"/>
          <w:szCs w:val="28"/>
        </w:rPr>
      </w:pPr>
      <w:r>
        <w:rPr>
          <w:rFonts w:ascii="Times New Roman" w:hAnsi="Times New Roman"/>
          <w:b/>
          <w:noProof/>
          <w:color w:val="0070C0"/>
          <w:sz w:val="28"/>
        </w:rPr>
        <w:t>… en investissant dans le capital humain et en promouvant un modèle social européen fort</w:t>
      </w:r>
    </w:p>
    <w:p w14:paraId="49836F9B" w14:textId="626AA032" w:rsidR="007D1A56" w:rsidRPr="00A64F36" w:rsidRDefault="00A70A62" w:rsidP="00973910">
      <w:pPr>
        <w:keepNext/>
        <w:spacing w:line="240" w:lineRule="auto"/>
        <w:jc w:val="both"/>
        <w:rPr>
          <w:rFonts w:ascii="Times New Roman" w:eastAsia="Times New Roman" w:hAnsi="Times New Roman" w:cs="Times New Roman"/>
          <w:noProof/>
        </w:rPr>
      </w:pPr>
      <w:r>
        <w:rPr>
          <w:rFonts w:ascii="Times New Roman" w:hAnsi="Times New Roman"/>
          <w:b/>
          <w:noProof/>
        </w:rPr>
        <w:t>L’équité intergénérationnelle est forte lorsque les politiques renforcent la capacité des citoyens à participer, à s’adapter et à se projeter tout au long de leur vie.</w:t>
      </w:r>
      <w:r>
        <w:rPr>
          <w:rFonts w:ascii="Times New Roman" w:hAnsi="Times New Roman"/>
          <w:noProof/>
        </w:rPr>
        <w:t xml:space="preserve"> Cela passe par des systèmes solides de protection sociale et de soins, dans lesquels tout individu, à chaque étape de sa vie, peut compter sur un soutien si nécessaire</w:t>
      </w:r>
      <w:r>
        <w:rPr>
          <w:rStyle w:val="FootnoteReference"/>
          <w:rFonts w:ascii="Times New Roman" w:eastAsia="Times New Roman" w:hAnsi="Times New Roman" w:cs="Times New Roman"/>
          <w:noProof/>
        </w:rPr>
        <w:footnoteReference w:id="31"/>
      </w:r>
      <w:r>
        <w:rPr>
          <w:rFonts w:ascii="Times New Roman" w:hAnsi="Times New Roman"/>
          <w:noProof/>
        </w:rPr>
        <w:t xml:space="preserve">. </w:t>
      </w:r>
    </w:p>
    <w:p w14:paraId="7D819409" w14:textId="3E68975D" w:rsidR="00F170CB"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Les compétences et l’apprentissage tout au long de la vie</w:t>
      </w:r>
      <w:r>
        <w:rPr>
          <w:rFonts w:ascii="Times New Roman" w:hAnsi="Times New Roman"/>
          <w:noProof/>
        </w:rPr>
        <w:t xml:space="preserve"> sont fondamentaux pour garantir que toutes les générations puissent s’adapter aux changements économiques et technologiques, tout en permettant aux travailleurs âgés de rester actifs. Des initiatives de l’UE telles que l’</w:t>
      </w:r>
      <w:r>
        <w:rPr>
          <w:rFonts w:ascii="Times New Roman" w:hAnsi="Times New Roman"/>
          <w:i/>
          <w:noProof/>
        </w:rPr>
        <w:t>union des compétences</w:t>
      </w:r>
      <w:r>
        <w:rPr>
          <w:rFonts w:ascii="Times New Roman" w:hAnsi="Times New Roman"/>
          <w:noProof/>
        </w:rPr>
        <w:t xml:space="preserve"> et l’</w:t>
      </w:r>
      <w:r>
        <w:rPr>
          <w:rFonts w:ascii="Times New Roman" w:hAnsi="Times New Roman"/>
          <w:i/>
          <w:noProof/>
        </w:rPr>
        <w:t>espace européen de l’éducation</w:t>
      </w:r>
      <w:r>
        <w:rPr>
          <w:rFonts w:ascii="Times New Roman" w:hAnsi="Times New Roman"/>
          <w:noProof/>
        </w:rPr>
        <w:t xml:space="preserve"> aident les États membres à anticiper les besoins en compétences et à les satisfaire, à valoriser le perfectionnement et la reconversion professionnels afin de prolonger la durée de vie active, à combler le déficit de compétences numériques, à moderniser les systèmes d’éducation et de formation et, le cas échéant, à attirer des talents issus de pays tiers</w:t>
      </w:r>
      <w:r>
        <w:rPr>
          <w:rStyle w:val="FootnoteReference"/>
          <w:rFonts w:ascii="Times New Roman" w:eastAsia="Times New Roman" w:hAnsi="Times New Roman" w:cs="Times New Roman"/>
          <w:noProof/>
        </w:rPr>
        <w:footnoteReference w:id="32"/>
      </w:r>
      <w:r>
        <w:rPr>
          <w:rFonts w:ascii="Times New Roman" w:hAnsi="Times New Roman"/>
          <w:noProof/>
        </w:rPr>
        <w:t xml:space="preserve">. </w:t>
      </w:r>
      <w:bookmarkStart w:id="6" w:name="_Hlk221892494"/>
      <w:r>
        <w:rPr>
          <w:rFonts w:ascii="Times New Roman" w:hAnsi="Times New Roman"/>
          <w:noProof/>
        </w:rPr>
        <w:t>L’</w:t>
      </w:r>
      <w:r>
        <w:rPr>
          <w:rFonts w:ascii="Times New Roman" w:hAnsi="Times New Roman"/>
          <w:i/>
          <w:noProof/>
        </w:rPr>
        <w:t>initiative «Tapis bleu»</w:t>
      </w:r>
      <w:r>
        <w:rPr>
          <w:rFonts w:ascii="Times New Roman" w:hAnsi="Times New Roman"/>
          <w:noProof/>
        </w:rPr>
        <w:t xml:space="preserve">, lancée dans le cadre de la stratégie de l’UE en faveur des start-up et des scale-up, contribue à attirer et à retenir des professionnels, des étudiants et des chercheurs hautement qualifiés pour les inciter à </w:t>
      </w:r>
      <w:r>
        <w:rPr>
          <w:rFonts w:ascii="Times New Roman" w:hAnsi="Times New Roman"/>
          <w:i/>
          <w:noProof/>
        </w:rPr>
        <w:t>choisir l’Europe</w:t>
      </w:r>
      <w:r>
        <w:rPr>
          <w:rFonts w:ascii="Times New Roman" w:hAnsi="Times New Roman"/>
          <w:noProof/>
        </w:rPr>
        <w:t>.</w:t>
      </w:r>
    </w:p>
    <w:p w14:paraId="654DA2D6" w14:textId="412A320D" w:rsidR="007D1A56" w:rsidRPr="00A64F36" w:rsidRDefault="00774BD6" w:rsidP="21381609">
      <w:pPr>
        <w:spacing w:line="240" w:lineRule="auto"/>
        <w:jc w:val="both"/>
        <w:rPr>
          <w:rFonts w:ascii="Times New Roman" w:eastAsia="Times New Roman" w:hAnsi="Times New Roman" w:cs="Times New Roman"/>
          <w:noProof/>
        </w:rPr>
      </w:pPr>
      <w:r>
        <w:rPr>
          <w:rFonts w:ascii="Times New Roman" w:hAnsi="Times New Roman"/>
          <w:b/>
          <w:noProof/>
        </w:rPr>
        <w:t>Les politiques culturelles et sportives énergiques</w:t>
      </w:r>
      <w:r>
        <w:rPr>
          <w:rFonts w:ascii="Times New Roman" w:hAnsi="Times New Roman"/>
          <w:noProof/>
        </w:rPr>
        <w:t xml:space="preserve"> jouent un rôle central dans la promotion de l’équité intergénérationnelle, le renforcement de l’inclusion sociale et le soutien de la durabilité à long terme en favorisant la participation, la solidarité et les valeurs communes dans tous les groupes d’âge. </w:t>
      </w:r>
    </w:p>
    <w:bookmarkEnd w:id="6"/>
    <w:p w14:paraId="446887FF" w14:textId="55870EB9" w:rsidR="007D1A56" w:rsidRPr="00A64F36" w:rsidRDefault="007D1A56" w:rsidP="007D1A56">
      <w:pPr>
        <w:pStyle w:val="NormalWeb"/>
        <w:spacing w:after="180"/>
        <w:jc w:val="both"/>
        <w:rPr>
          <w:noProof/>
        </w:rPr>
      </w:pPr>
      <w:r>
        <w:rPr>
          <w:b/>
          <w:noProof/>
        </w:rPr>
        <w:t>Des programmes de l’UE tels qu’Erasmus+</w:t>
      </w:r>
      <w:r>
        <w:rPr>
          <w:noProof/>
        </w:rPr>
        <w:t xml:space="preserve"> favorisent le développement de compétences, la citoyenneté active et l’apprentissage tout au long de la vie pour tous les groupes d’âge, contribuent à encourager l’acquisition d’aptitudes sociales et interculturelles, l’esprit critique et l’éducation aux médias et (en particulier par l’intermédiaire du volet «jeunesse») promeuvent l’équité et l’apprentissage intergénérationnels. Le </w:t>
      </w:r>
      <w:r>
        <w:rPr>
          <w:i/>
          <w:noProof/>
        </w:rPr>
        <w:t>corps européen de solidarité</w:t>
      </w:r>
      <w:r>
        <w:rPr>
          <w:rStyle w:val="FootnoteReference"/>
          <w:noProof/>
        </w:rPr>
        <w:footnoteReference w:id="33"/>
      </w:r>
      <w:r>
        <w:rPr>
          <w:noProof/>
        </w:rPr>
        <w:t xml:space="preserve"> aide des équipes intergénérationnelles de volontaires aux niveaux local et régional à acquérir des aptitudes, des compétences clés et des valeurs européennes, contribuant ainsi à la solidarité et à l’équité intergénérationnelles.</w:t>
      </w:r>
    </w:p>
    <w:p w14:paraId="072EC5E9" w14:textId="2557FBCA" w:rsidR="00F026F7" w:rsidRPr="00A64F36"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L’accessibilité financière du logement</w:t>
      </w:r>
      <w:r>
        <w:rPr>
          <w:rFonts w:ascii="Times New Roman" w:hAnsi="Times New Roman"/>
          <w:noProof/>
        </w:rPr>
        <w:t xml:space="preserve"> est apparue comme un enjeu intergénérationnel particulièrement manifeste</w:t>
      </w:r>
      <w:r>
        <w:rPr>
          <w:rStyle w:val="FootnoteReference"/>
          <w:rFonts w:ascii="Times New Roman" w:eastAsia="Times New Roman" w:hAnsi="Times New Roman" w:cs="Times New Roman"/>
          <w:noProof/>
        </w:rPr>
        <w:footnoteReference w:id="34"/>
      </w:r>
      <w:r>
        <w:rPr>
          <w:rFonts w:ascii="Times New Roman" w:hAnsi="Times New Roman"/>
          <w:noProof/>
        </w:rPr>
        <w:t xml:space="preserve">. Les jeunes sont de plus en plus confrontés à des obstacles pour accéder à un logement social, bien connecté et abordable, tandis que de nombreuses personnes âgées vivent dans des conditions inadéquates ou de manière isolée. L’action de l’UE contribue à la résolution du problème au moyen d’investissements, de mesures de facilitation, de réformes déterminantes et d’initiatives ciblées qui améliorent l’accès à un logement abordable et adéquat, en complément des efforts déployés aux niveaux local, régional et national. </w:t>
      </w:r>
    </w:p>
    <w:p w14:paraId="6484CD73" w14:textId="3BDBD4DD" w:rsidR="006A4ECB" w:rsidRPr="00A64F36" w:rsidRDefault="00A70A62" w:rsidP="21381609">
      <w:pPr>
        <w:spacing w:line="240" w:lineRule="auto"/>
        <w:jc w:val="both"/>
        <w:rPr>
          <w:rFonts w:ascii="Times New Roman" w:eastAsia="Times New Roman" w:hAnsi="Times New Roman" w:cs="Times New Roman"/>
          <w:noProof/>
        </w:rPr>
      </w:pPr>
      <w:r>
        <w:rPr>
          <w:rFonts w:ascii="Times New Roman" w:hAnsi="Times New Roman"/>
          <w:b/>
          <w:noProof/>
        </w:rPr>
        <w:t>Le vieillissement de la population soulève également des questions intergénérationnelles concernant l’adéquation et la viabilité des retraites, des soins de santé et des soins de longue durée,</w:t>
      </w:r>
      <w:r>
        <w:rPr>
          <w:rFonts w:ascii="Times New Roman" w:hAnsi="Times New Roman"/>
          <w:noProof/>
        </w:rPr>
        <w:t xml:space="preserve"> l’équité intergénérationnelle consistant à trouver un équilibre entre l’adéquation et la viabilité budgétaire</w:t>
      </w:r>
      <w:r>
        <w:rPr>
          <w:rStyle w:val="FootnoteReference"/>
          <w:rFonts w:ascii="Times New Roman" w:eastAsia="Times New Roman" w:hAnsi="Times New Roman" w:cs="Times New Roman"/>
          <w:noProof/>
        </w:rPr>
        <w:footnoteReference w:id="35"/>
      </w:r>
      <w:r>
        <w:rPr>
          <w:rFonts w:ascii="Times New Roman" w:hAnsi="Times New Roman"/>
          <w:noProof/>
        </w:rPr>
        <w:t>. Pour relever les défis posés par les changements démographiques et les transformations du marché du travail, il y a lieu de prendre tout un ensemble de mesures comprenant, notamment, un renforcement des régimes de retraite complémentaire, afin d’assurer aux retraités un revenu supplémentaire pour leurs vieux jours</w:t>
      </w:r>
      <w:r>
        <w:rPr>
          <w:rStyle w:val="FootnoteReference"/>
          <w:rFonts w:ascii="Times New Roman" w:eastAsia="Times New Roman" w:hAnsi="Times New Roman" w:cs="Times New Roman"/>
          <w:noProof/>
          <w:lang w:val="en-GB"/>
        </w:rPr>
        <w:footnoteReference w:id="36"/>
      </w:r>
      <w:r>
        <w:rPr>
          <w:rFonts w:ascii="Times New Roman" w:hAnsi="Times New Roman"/>
          <w:noProof/>
        </w:rPr>
        <w:t>.</w:t>
      </w:r>
    </w:p>
    <w:p w14:paraId="657EB1B3" w14:textId="1B0CCBDD" w:rsidR="00A70A62" w:rsidRPr="00A64F36" w:rsidRDefault="007D1A56" w:rsidP="21381609">
      <w:pPr>
        <w:spacing w:line="240" w:lineRule="auto"/>
        <w:jc w:val="both"/>
        <w:rPr>
          <w:rFonts w:ascii="Times New Roman" w:eastAsia="Times New Roman" w:hAnsi="Times New Roman" w:cs="Times New Roman"/>
          <w:noProof/>
        </w:rPr>
      </w:pPr>
      <w:r>
        <w:rPr>
          <w:rFonts w:ascii="Times New Roman" w:hAnsi="Times New Roman"/>
          <w:noProof/>
        </w:rPr>
        <w:t xml:space="preserve">La </w:t>
      </w:r>
      <w:r>
        <w:rPr>
          <w:rFonts w:ascii="Times New Roman" w:hAnsi="Times New Roman"/>
          <w:b/>
          <w:noProof/>
        </w:rPr>
        <w:t>stratégie européenne pour une union de la préparation</w:t>
      </w:r>
      <w:r>
        <w:rPr>
          <w:rStyle w:val="FootnoteReference"/>
          <w:rFonts w:ascii="Times New Roman" w:eastAsia="Times New Roman" w:hAnsi="Times New Roman" w:cs="Times New Roman"/>
          <w:b/>
          <w:bCs/>
          <w:noProof/>
        </w:rPr>
        <w:footnoteReference w:id="37"/>
      </w:r>
      <w:r>
        <w:rPr>
          <w:rFonts w:ascii="Times New Roman" w:hAnsi="Times New Roman"/>
          <w:noProof/>
        </w:rPr>
        <w:t>, qui s’appuie sur le rapport Niinistö intitulé «Safer Together – A path towards a fully prepared Union» (Ensemble, plus en sécurité: Une voie vers une Europe pleinement préparée)</w:t>
      </w:r>
      <w:r>
        <w:rPr>
          <w:rStyle w:val="FootnoteReference"/>
          <w:rFonts w:ascii="Times New Roman" w:eastAsia="Times New Roman" w:hAnsi="Times New Roman" w:cs="Times New Roman"/>
          <w:noProof/>
        </w:rPr>
        <w:footnoteReference w:id="38"/>
      </w:r>
      <w:r>
        <w:rPr>
          <w:rFonts w:ascii="Times New Roman" w:hAnsi="Times New Roman"/>
          <w:noProof/>
        </w:rPr>
        <w:t>, préconise une approche de la préparation et de la sécurité englobant l’ensemble de la société et prévoit des actions ciblant les jeunes, les générations plus âgées et les personnes vulnérables</w:t>
      </w:r>
      <w:r>
        <w:rPr>
          <w:rFonts w:ascii="Times New Roman" w:eastAsia="Times New Roman" w:hAnsi="Times New Roman" w:cs="Times New Roman"/>
          <w:noProof/>
          <w:vertAlign w:val="superscript"/>
        </w:rPr>
        <w:footnoteReference w:id="39"/>
      </w:r>
      <w:r>
        <w:rPr>
          <w:rFonts w:ascii="Times New Roman" w:hAnsi="Times New Roman"/>
          <w:noProof/>
        </w:rPr>
        <w:t>.</w:t>
      </w:r>
    </w:p>
    <w:p w14:paraId="451255C4" w14:textId="4B338657" w:rsidR="009869ED" w:rsidRPr="00A64F36" w:rsidRDefault="00A17573" w:rsidP="009869ED">
      <w:pPr>
        <w:pStyle w:val="NormalWeb"/>
        <w:spacing w:before="0" w:beforeAutospacing="0" w:after="180" w:afterAutospacing="0"/>
        <w:jc w:val="both"/>
        <w:rPr>
          <w:noProof/>
        </w:rPr>
      </w:pPr>
      <w:r>
        <w:rPr>
          <w:b/>
          <w:noProof/>
          <w:color w:val="000000" w:themeColor="text1"/>
        </w:rPr>
        <w:t>Le</w:t>
      </w:r>
      <w:r>
        <w:rPr>
          <w:b/>
          <w:noProof/>
        </w:rPr>
        <w:t xml:space="preserve"> bouclier européen de la démocratie et la</w:t>
      </w:r>
      <w:r>
        <w:rPr>
          <w:noProof/>
        </w:rPr>
        <w:t xml:space="preserve"> </w:t>
      </w:r>
      <w:r>
        <w:rPr>
          <w:b/>
          <w:noProof/>
        </w:rPr>
        <w:t>stratégie de l’Union pour la société civile</w:t>
      </w:r>
      <w:r>
        <w:rPr>
          <w:noProof/>
        </w:rPr>
        <w:t xml:space="preserve"> visent à consolider la résilience démocratique en adoptant une approche englobant l’ensemble de la société, notamment en renforçant la participation civique et les liens intergénérationnels</w:t>
      </w:r>
      <w:r>
        <w:rPr>
          <w:rStyle w:val="FootnoteReference"/>
          <w:noProof/>
          <w:lang w:val="en-IE"/>
        </w:rPr>
        <w:footnoteReference w:id="40"/>
      </w:r>
      <w:r>
        <w:rPr>
          <w:noProof/>
        </w:rPr>
        <w:t>. Préserver l’intégrité du système démocratique actuel contribue à ce que les générations futures héritent d’un environnement politique fondé sur la transparence, la participation et la responsabilité, qui est une condition préalable essentielle à l’équité intergénérationnelle.</w:t>
      </w:r>
    </w:p>
    <w:p w14:paraId="6B45350E" w14:textId="3D2BC6CC" w:rsidR="00765C68" w:rsidRPr="00A64F36" w:rsidRDefault="009D2617" w:rsidP="009869ED">
      <w:pPr>
        <w:pStyle w:val="NormalWeb"/>
        <w:spacing w:before="0" w:beforeAutospacing="0" w:after="180" w:afterAutospacing="0"/>
        <w:jc w:val="both"/>
        <w:rPr>
          <w:b/>
          <w:bCs/>
          <w:noProof/>
          <w:color w:val="0070C0"/>
          <w:sz w:val="28"/>
          <w:szCs w:val="28"/>
        </w:rPr>
      </w:pPr>
      <w:r>
        <w:rPr>
          <w:b/>
          <w:noProof/>
          <w:color w:val="0070C0"/>
          <w:sz w:val="28"/>
        </w:rPr>
        <w:t>… en faisant progresser la double transition écologique et numérique dans les limites de la planète</w:t>
      </w:r>
    </w:p>
    <w:p w14:paraId="2A3098CE" w14:textId="1956A1D2" w:rsidR="007D1A56"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Les transitions écologique et numérique de l’UE ont des implications intergénérationnelles évidentes.</w:t>
      </w:r>
      <w:r>
        <w:rPr>
          <w:rFonts w:ascii="Times New Roman" w:hAnsi="Times New Roman"/>
          <w:noProof/>
        </w:rPr>
        <w:t xml:space="preserve"> Elles nécessitent de repenser la manière dont l’UE utilise les ressources, protège ses écosystèmes, équipe les travailleurs, les entreprises et les citoyens, assure sa compétitivité et respecte les limites écologiques dans lesquelles les générations futures doivent vivre. </w:t>
      </w:r>
    </w:p>
    <w:p w14:paraId="652473CE" w14:textId="25289B60" w:rsidR="00E8298A" w:rsidRPr="00A64F36"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Les politiques de l’UE en matière de climat et d’environnement sont au cœur de l’action de l’UE visant à préserver la planète pour ses habitants à venir.</w:t>
      </w:r>
      <w:r>
        <w:rPr>
          <w:rFonts w:ascii="Times New Roman" w:hAnsi="Times New Roman"/>
          <w:noProof/>
        </w:rPr>
        <w:t xml:space="preserve"> Les aspects intergénérationnels sont indissociables de la politique climatique, étant donné que tout retard dans l’adoption de mesures implique des coûts plus élevés pour les générations de demain. Les initiatives phares du </w:t>
      </w:r>
      <w:r>
        <w:rPr>
          <w:rFonts w:ascii="Times New Roman" w:hAnsi="Times New Roman"/>
          <w:i/>
          <w:noProof/>
        </w:rPr>
        <w:t>pacte vert pour l’Europe</w:t>
      </w:r>
      <w:r>
        <w:rPr>
          <w:rFonts w:ascii="Times New Roman" w:hAnsi="Times New Roman"/>
          <w:noProof/>
        </w:rPr>
        <w:t xml:space="preserve"> et du </w:t>
      </w:r>
      <w:r>
        <w:rPr>
          <w:rFonts w:ascii="Times New Roman" w:hAnsi="Times New Roman"/>
          <w:i/>
          <w:noProof/>
        </w:rPr>
        <w:t>pacte européen pour l’Océan</w:t>
      </w:r>
      <w:r>
        <w:rPr>
          <w:rFonts w:ascii="Times New Roman" w:hAnsi="Times New Roman"/>
          <w:noProof/>
        </w:rPr>
        <w:t xml:space="preserve"> visent à atteindre la neutralité climatique, à réduire les émissions et l’utilisation de ressources limitées, à diminuer la pollution, à accroître la circularité, à protéger la biodiversité et à soutenir les transitions écologiques dans tous les secteurs afin de bâtir une économie compétitive. Les moyens spatiaux détenus par l’UE, tels que </w:t>
      </w:r>
      <w:r>
        <w:rPr>
          <w:rFonts w:ascii="Times New Roman" w:hAnsi="Times New Roman"/>
          <w:i/>
          <w:noProof/>
        </w:rPr>
        <w:t>Copernicus</w:t>
      </w:r>
      <w:r>
        <w:rPr>
          <w:rFonts w:ascii="Times New Roman" w:hAnsi="Times New Roman"/>
          <w:noProof/>
        </w:rPr>
        <w:t xml:space="preserve"> et </w:t>
      </w:r>
      <w:r>
        <w:rPr>
          <w:rFonts w:ascii="Times New Roman" w:hAnsi="Times New Roman"/>
          <w:i/>
          <w:noProof/>
        </w:rPr>
        <w:t>Galileo</w:t>
      </w:r>
      <w:r>
        <w:rPr>
          <w:rFonts w:ascii="Times New Roman" w:hAnsi="Times New Roman"/>
          <w:noProof/>
        </w:rPr>
        <w:t xml:space="preserve">, fournissent des données avec des précisions incomparables et permettent un suivi et une prise de décision reposant sur des informations fiables. Le </w:t>
      </w:r>
      <w:r>
        <w:rPr>
          <w:rFonts w:ascii="Times New Roman" w:hAnsi="Times New Roman"/>
          <w:i/>
          <w:noProof/>
        </w:rPr>
        <w:t>pacte européen pour le climat</w:t>
      </w:r>
      <w:r>
        <w:rPr>
          <w:rFonts w:ascii="Times New Roman" w:hAnsi="Times New Roman"/>
          <w:noProof/>
        </w:rPr>
        <w:t xml:space="preserve"> rassemble des communautés, des particuliers et des organisations provenant de toute l’UE et issus de différentes générations afin d’échanger les bonnes pratiques, de mettre au point des solutions climatiques et de contribuer à la construction d’une Europe propre et prospère. La </w:t>
      </w:r>
      <w:r>
        <w:rPr>
          <w:rFonts w:ascii="Times New Roman" w:hAnsi="Times New Roman"/>
          <w:i/>
          <w:noProof/>
        </w:rPr>
        <w:t>stratégie européenne pour une union de la préparation</w:t>
      </w:r>
      <w:r>
        <w:rPr>
          <w:rFonts w:ascii="Times New Roman" w:hAnsi="Times New Roman"/>
          <w:noProof/>
        </w:rPr>
        <w:t xml:space="preserve"> appelle à consolider le volontariat et à renforcer la citoyenneté et les compétences en matière de préparation. Le </w:t>
      </w:r>
      <w:r>
        <w:rPr>
          <w:rFonts w:ascii="Times New Roman" w:hAnsi="Times New Roman"/>
          <w:i/>
          <w:noProof/>
        </w:rPr>
        <w:t>mécanisme pour une transition juste</w:t>
      </w:r>
      <w:r>
        <w:rPr>
          <w:rFonts w:ascii="Times New Roman" w:hAnsi="Times New Roman"/>
          <w:noProof/>
        </w:rPr>
        <w:t xml:space="preserve">, y compris le </w:t>
      </w:r>
      <w:r>
        <w:rPr>
          <w:rFonts w:ascii="Times New Roman" w:hAnsi="Times New Roman"/>
          <w:i/>
          <w:noProof/>
        </w:rPr>
        <w:t>Fonds</w:t>
      </w:r>
      <w:r>
        <w:rPr>
          <w:rFonts w:ascii="Times New Roman" w:hAnsi="Times New Roman"/>
          <w:noProof/>
        </w:rPr>
        <w:t xml:space="preserve"> et la </w:t>
      </w:r>
      <w:r>
        <w:rPr>
          <w:rFonts w:ascii="Times New Roman" w:hAnsi="Times New Roman"/>
          <w:i/>
          <w:noProof/>
        </w:rPr>
        <w:t>plateforme pour une transition juste</w:t>
      </w:r>
      <w:r>
        <w:rPr>
          <w:rFonts w:ascii="Times New Roman" w:hAnsi="Times New Roman"/>
          <w:noProof/>
        </w:rPr>
        <w:t xml:space="preserve">, ainsi que le </w:t>
      </w:r>
      <w:r>
        <w:rPr>
          <w:rFonts w:ascii="Times New Roman" w:hAnsi="Times New Roman"/>
          <w:i/>
          <w:noProof/>
        </w:rPr>
        <w:t>Fonds social pour le climat</w:t>
      </w:r>
      <w:r>
        <w:rPr>
          <w:rFonts w:ascii="Times New Roman" w:hAnsi="Times New Roman"/>
          <w:noProof/>
        </w:rPr>
        <w:t xml:space="preserve"> contribuent à prévenir de nouvelles inégalités en soutenant les régions, les communautés, les ménages vulnérables, les usagers des transports et les petites entreprises les plus touchés par la transition, en veillant à ce que la neutralité climatique ne laisse personne de côté</w:t>
      </w:r>
      <w:r>
        <w:rPr>
          <w:rStyle w:val="FootnoteReference"/>
          <w:noProof/>
        </w:rPr>
        <w:footnoteReference w:id="41"/>
      </w:r>
      <w:r>
        <w:rPr>
          <w:rFonts w:ascii="Times New Roman" w:hAnsi="Times New Roman"/>
          <w:noProof/>
        </w:rPr>
        <w:t xml:space="preserve">. Des initiatives telles que le </w:t>
      </w:r>
      <w:r>
        <w:rPr>
          <w:rFonts w:ascii="Times New Roman" w:hAnsi="Times New Roman"/>
          <w:i/>
          <w:noProof/>
        </w:rPr>
        <w:t>programme intergénérationnel bleu</w:t>
      </w:r>
      <w:r>
        <w:rPr>
          <w:rFonts w:ascii="Times New Roman" w:hAnsi="Times New Roman"/>
          <w:noProof/>
        </w:rPr>
        <w:t xml:space="preserve"> de l’</w:t>
      </w:r>
      <w:r>
        <w:rPr>
          <w:rFonts w:ascii="Times New Roman" w:hAnsi="Times New Roman"/>
          <w:i/>
          <w:noProof/>
        </w:rPr>
        <w:t>Alliance transatlantique pour la recherche et l’innovation océaniques</w:t>
      </w:r>
      <w:r>
        <w:rPr>
          <w:rFonts w:ascii="Times New Roman" w:hAnsi="Times New Roman"/>
          <w:noProof/>
        </w:rPr>
        <w:t xml:space="preserve"> et le </w:t>
      </w:r>
      <w:r>
        <w:rPr>
          <w:rFonts w:ascii="Times New Roman" w:hAnsi="Times New Roman"/>
          <w:i/>
          <w:noProof/>
        </w:rPr>
        <w:t>programme des ambassadeurs de la jeunesse de l’UE pour la bioéconomie</w:t>
      </w:r>
      <w:r>
        <w:rPr>
          <w:rFonts w:ascii="Times New Roman" w:hAnsi="Times New Roman"/>
          <w:noProof/>
        </w:rPr>
        <w:t xml:space="preserve"> donnent aux jeunes les moyens de participer aux discussions sur la politique à mener en ce qui concerne les océans et l’eau, les systèmes alimentaires durables et la bioéconomie. Au sein de la future plateforme européenne des acteurs de la résilience dans le domaine de l’eau, des sièges sont réservés aux représentants de la jeunesse, conformément à la </w:t>
      </w:r>
      <w:r>
        <w:rPr>
          <w:rFonts w:ascii="Times New Roman" w:hAnsi="Times New Roman"/>
          <w:i/>
          <w:noProof/>
        </w:rPr>
        <w:t>stratégie pour la résilience dans le domaine de l’eau</w:t>
      </w:r>
      <w:r>
        <w:rPr>
          <w:rFonts w:ascii="Times New Roman" w:hAnsi="Times New Roman"/>
          <w:noProof/>
        </w:rPr>
        <w:t xml:space="preserve">. </w:t>
      </w:r>
    </w:p>
    <w:p w14:paraId="230F9F33" w14:textId="484EDF4B" w:rsidR="00024888" w:rsidRDefault="00A70A62" w:rsidP="00A70A62">
      <w:pPr>
        <w:spacing w:line="240" w:lineRule="auto"/>
        <w:jc w:val="both"/>
        <w:rPr>
          <w:rFonts w:ascii="Times New Roman" w:eastAsia="Times New Roman" w:hAnsi="Times New Roman" w:cs="Times New Roman"/>
          <w:noProof/>
        </w:rPr>
      </w:pPr>
      <w:r>
        <w:rPr>
          <w:rFonts w:ascii="Times New Roman" w:hAnsi="Times New Roman"/>
          <w:b/>
          <w:noProof/>
        </w:rPr>
        <w:t>La transformation numérique et l’apparition de l’intelligence artificielle (IA)</w:t>
      </w:r>
      <w:r>
        <w:rPr>
          <w:rFonts w:ascii="Times New Roman" w:hAnsi="Times New Roman"/>
          <w:noProof/>
        </w:rPr>
        <w:t xml:space="preserve"> offrent à l’Europe des occasions évidentes d’améliorer le bien-être de ses citoyens, de favoriser l’innovation durable, de renforcer le système scientifique européen et d’accroître sa compétitivité. Les initiatives de l’UE en matière de transition numérique et de compétences y contribuent en promouvant l’habileté numérique, les transitions professionnelles équitables et l’utilisation responsable de l’IA d’une manière qui sera essentielle pour constituer la main-d’œuvre de demain. L'UE met également en place un écosystème favorable pour encourager l'innovation de rupture dans les nouvelles technologies telles que l'IA, la neurotechnologie</w:t>
      </w:r>
      <w:r>
        <w:rPr>
          <w:rFonts w:ascii="Times New Roman" w:hAnsi="Times New Roman"/>
          <w:noProof/>
          <w:vertAlign w:val="superscript"/>
        </w:rPr>
        <w:t xml:space="preserve"> </w:t>
      </w:r>
      <w:r>
        <w:rPr>
          <w:rFonts w:ascii="Times New Roman" w:hAnsi="Times New Roman"/>
          <w:noProof/>
        </w:rPr>
        <w:t>et la quantique, qui soit centrée sur l'humain, éthique et fondée sur le droit</w:t>
      </w:r>
      <w:r>
        <w:rPr>
          <w:rStyle w:val="FootnoteReference"/>
          <w:rFonts w:ascii="Times New Roman" w:eastAsia="Times New Roman" w:hAnsi="Times New Roman" w:cs="Times New Roman"/>
          <w:noProof/>
          <w:lang w:val="en-GB"/>
        </w:rPr>
        <w:footnoteReference w:id="42"/>
      </w:r>
      <w:r>
        <w:rPr>
          <w:rFonts w:ascii="Times New Roman" w:hAnsi="Times New Roman"/>
          <w:noProof/>
        </w:rPr>
        <w:t>. L’équité intergénérationnelle à l’ère numérique nécessite donc de garantir un large accès aux infrastructures numériques, un développement inclusif des compétences à tous les âges et en particulier pour les personnes âgées, ainsi qu’un déploiement de l’IA axé sur l’humain et des innovations qui élargissent les possibilités plutôt que d’aggraver les fractures</w:t>
      </w:r>
      <w:r>
        <w:rPr>
          <w:rStyle w:val="FootnoteReference"/>
          <w:rFonts w:ascii="Times New Roman" w:eastAsia="Times New Roman" w:hAnsi="Times New Roman" w:cs="Times New Roman"/>
          <w:noProof/>
        </w:rPr>
        <w:footnoteReference w:id="43"/>
      </w:r>
      <w:r>
        <w:rPr>
          <w:rFonts w:ascii="Times New Roman" w:hAnsi="Times New Roman"/>
          <w:noProof/>
        </w:rPr>
        <w:t xml:space="preserve">. Dans cette optique, la Commission a lancé un programme pilote de subventions modiques pour des projets d’apprentissage intergénérationnels concernant l’éducation aux médias. </w:t>
      </w:r>
    </w:p>
    <w:p w14:paraId="2AD3D7FC" w14:textId="5E955CA2" w:rsidR="004F3FD5" w:rsidRDefault="00A723B7" w:rsidP="00A70A62">
      <w:pPr>
        <w:spacing w:line="240" w:lineRule="auto"/>
        <w:jc w:val="both"/>
        <w:rPr>
          <w:rFonts w:ascii="Times New Roman" w:hAnsi="Times New Roman"/>
          <w:noProof/>
        </w:rPr>
      </w:pPr>
      <w:r>
        <w:rPr>
          <w:rFonts w:ascii="Times New Roman" w:hAnsi="Times New Roman"/>
          <w:noProof/>
        </w:rPr>
        <w:t>Les technologies spatiales sous-tendent l’accès aux services essentiels, la croissance économique et la résilience environnementale. Le domaine spatial devient de jour en jour plus encombré, ce qui accroît les risques pour nos moyens spatiaux et notre sécurité spatiale. Des initiatives telles que l’</w:t>
      </w:r>
      <w:r>
        <w:rPr>
          <w:rFonts w:ascii="Times New Roman" w:hAnsi="Times New Roman"/>
          <w:i/>
          <w:noProof/>
        </w:rPr>
        <w:t>acte législatif européen sur l’espace</w:t>
      </w:r>
      <w:r>
        <w:rPr>
          <w:rFonts w:ascii="Times New Roman" w:hAnsi="Times New Roman"/>
          <w:noProof/>
        </w:rPr>
        <w:t xml:space="preserve"> et la </w:t>
      </w:r>
      <w:r>
        <w:rPr>
          <w:rFonts w:ascii="Times New Roman" w:hAnsi="Times New Roman"/>
          <w:i/>
          <w:noProof/>
        </w:rPr>
        <w:t>vision pour l’économie spatiale européenne</w:t>
      </w:r>
      <w:r>
        <w:rPr>
          <w:rFonts w:ascii="Times New Roman" w:hAnsi="Times New Roman"/>
          <w:noProof/>
        </w:rPr>
        <w:t xml:space="preserve"> sont essentielles pour garantir un espace sûr, sécurisé et durable pour les générations futures.</w:t>
      </w:r>
    </w:p>
    <w:p w14:paraId="6B1A2A42" w14:textId="77777777" w:rsidR="00375D18" w:rsidRPr="00B22CB0" w:rsidRDefault="00375D18" w:rsidP="00A70A62">
      <w:pPr>
        <w:spacing w:line="240" w:lineRule="auto"/>
        <w:jc w:val="both"/>
        <w:rPr>
          <w:rFonts w:ascii="Times New Roman" w:eastAsia="Times New Roman" w:hAnsi="Times New Roman" w:cs="Times New Roman"/>
          <w:noProof/>
        </w:rPr>
      </w:pPr>
    </w:p>
    <w:p w14:paraId="32493403" w14:textId="39661659" w:rsidR="00765C68" w:rsidRPr="00A64F36" w:rsidRDefault="009D2617" w:rsidP="0A5929DF">
      <w:pPr>
        <w:pStyle w:val="NormalWeb"/>
        <w:spacing w:before="0" w:beforeAutospacing="0" w:after="180" w:afterAutospacing="0"/>
        <w:jc w:val="both"/>
        <w:rPr>
          <w:b/>
          <w:bCs/>
          <w:noProof/>
          <w:color w:val="0070C0"/>
          <w:sz w:val="28"/>
          <w:szCs w:val="28"/>
        </w:rPr>
      </w:pPr>
      <w:r>
        <w:rPr>
          <w:b/>
          <w:noProof/>
          <w:color w:val="0070C0"/>
          <w:sz w:val="28"/>
        </w:rPr>
        <w:t xml:space="preserve">… en obtenant des résultats grâce à une action locale et mondiale </w:t>
      </w:r>
    </w:p>
    <w:p w14:paraId="18F20A28" w14:textId="14D9276D" w:rsidR="00A70A62" w:rsidRPr="00A64F36" w:rsidRDefault="00A70A62" w:rsidP="0A5929DF">
      <w:pPr>
        <w:pStyle w:val="NormalWeb"/>
        <w:spacing w:before="0" w:beforeAutospacing="0" w:after="180" w:afterAutospacing="0"/>
        <w:jc w:val="both"/>
        <w:rPr>
          <w:noProof/>
        </w:rPr>
      </w:pPr>
      <w:r>
        <w:rPr>
          <w:b/>
          <w:noProof/>
        </w:rPr>
        <w:t>L’équité intergénérationnelle est particulièrement tangible lorsque l’accès aux moyens de subsistance, aux biens et aux possibilités est en jeu.</w:t>
      </w:r>
      <w:r>
        <w:rPr>
          <w:noProof/>
        </w:rPr>
        <w:t xml:space="preserve"> </w:t>
      </w:r>
      <w:r>
        <w:rPr>
          <w:b/>
          <w:noProof/>
        </w:rPr>
        <w:t>Dans l’agriculture, la pêche et les secteurs ruraux</w:t>
      </w:r>
      <w:r>
        <w:rPr>
          <w:noProof/>
        </w:rPr>
        <w:t>, le vieillissement de la main-d’œuvre et les barrières élevées à l’entrée menacent la viabilité à long terme. Les politiques de l’UE soutiennent le renouvellement des générations en améliorant l’accès à la terre et à la mer, au financement, à la formation et au transfert de connaissances, et en renforçant les zones rurales et côtières en tant que lieux où les jeunes peuvent bâtir un avenir viable</w:t>
      </w:r>
      <w:r>
        <w:rPr>
          <w:rStyle w:val="FootnoteReference"/>
          <w:noProof/>
        </w:rPr>
        <w:footnoteReference w:id="44"/>
      </w:r>
      <w:r>
        <w:rPr>
          <w:noProof/>
        </w:rPr>
        <w:t xml:space="preserve">. </w:t>
      </w:r>
    </w:p>
    <w:p w14:paraId="2798538E" w14:textId="44140FE3" w:rsidR="3E293728" w:rsidRPr="00A64F36" w:rsidRDefault="00A70A62" w:rsidP="3E293728">
      <w:pPr>
        <w:pStyle w:val="NormalWeb"/>
        <w:spacing w:after="180"/>
        <w:jc w:val="both"/>
        <w:rPr>
          <w:noProof/>
        </w:rPr>
      </w:pPr>
      <w:r>
        <w:rPr>
          <w:b/>
          <w:noProof/>
        </w:rPr>
        <w:t>Au niveau local et régional</w:t>
      </w:r>
      <w:r>
        <w:rPr>
          <w:noProof/>
        </w:rPr>
        <w:t>, des communautés fortes et connectées contribuent à traduire les politiques à long terme en expériences vécues, en favorisant la coopération entre les groupes d’âge, en améliorant l’inclusion et en réduisant l’isolement, en particulier dans des contextes d’évolution démographique</w:t>
      </w:r>
      <w:r>
        <w:rPr>
          <w:rStyle w:val="FootnoteReference"/>
          <w:noProof/>
        </w:rPr>
        <w:footnoteReference w:id="45"/>
      </w:r>
      <w:r>
        <w:rPr>
          <w:noProof/>
        </w:rPr>
        <w:t>, d’urbanisation</w:t>
      </w:r>
      <w:r>
        <w:rPr>
          <w:rStyle w:val="FootnoteReference"/>
          <w:noProof/>
        </w:rPr>
        <w:footnoteReference w:id="46"/>
      </w:r>
      <w:r>
        <w:rPr>
          <w:noProof/>
        </w:rPr>
        <w:t xml:space="preserve"> ou de désavantage territorial. L’accès aux services, la mobilité, les espaces publics partagés et les infrastructures sociales et culturelles locales influencent la capacité des personnes de différentes générations à participer pleinement à la vie économique, sociale et démocratique. L’action de l’UE, en particulier sous l’effet de la politique de cohésion et de la politique agricole, aide les autorités nationales, régionales et locales à renforcer la résilience au niveau communautaire grâce à des investissements territoriaux, à un développement urbain, côtier et rural inclusif</w:t>
      </w:r>
      <w:r>
        <w:rPr>
          <w:rStyle w:val="FootnoteReference"/>
          <w:noProof/>
        </w:rPr>
        <w:footnoteReference w:id="47"/>
      </w:r>
      <w:r>
        <w:rPr>
          <w:noProof/>
        </w:rPr>
        <w:t xml:space="preserve"> et à un meilleur accès aux services. Elle vise à garantir un </w:t>
      </w:r>
      <w:r>
        <w:rPr>
          <w:i/>
          <w:noProof/>
        </w:rPr>
        <w:t>droit de rester sur le territoire</w:t>
      </w:r>
      <w:r>
        <w:rPr>
          <w:noProof/>
        </w:rPr>
        <w:t xml:space="preserve"> et de prospérer dans les endroits que les citoyens appellent leur foyer.</w:t>
      </w:r>
    </w:p>
    <w:p w14:paraId="49E950F1" w14:textId="47E34E0A" w:rsidR="00036440" w:rsidRPr="00A64F36" w:rsidRDefault="00A70A62" w:rsidP="00036440">
      <w:pPr>
        <w:pStyle w:val="NormalWeb"/>
        <w:spacing w:before="0" w:beforeAutospacing="0" w:after="180" w:afterAutospacing="0"/>
        <w:jc w:val="both"/>
        <w:rPr>
          <w:noProof/>
        </w:rPr>
      </w:pPr>
      <w:r>
        <w:rPr>
          <w:b/>
          <w:noProof/>
        </w:rPr>
        <w:t>Au niveau mondial</w:t>
      </w:r>
      <w:r>
        <w:rPr>
          <w:noProof/>
        </w:rPr>
        <w:t>, l’approche de l’UE est ancrée dans des engagements multilatéraux récents. Au sommet de l’avenir de l’ONU, l’UE et ses États membres ont approuvé le pacte pour l’avenir et la déclaration sur les générations futures, qui soulignent l’importance du multilatéralisme et de la promotion d’un ordre international fondé sur des règles, articulé autour de l’ONU pour promouvoir la paix</w:t>
      </w:r>
      <w:r>
        <w:rPr>
          <w:rStyle w:val="FootnoteReference"/>
          <w:noProof/>
        </w:rPr>
        <w:footnoteReference w:id="48"/>
      </w:r>
      <w:r>
        <w:rPr>
          <w:noProof/>
        </w:rPr>
        <w:t>.</w:t>
      </w:r>
      <w:r>
        <w:rPr>
          <w:b/>
          <w:noProof/>
        </w:rPr>
        <w:t xml:space="preserve"> </w:t>
      </w:r>
      <w:bookmarkStart w:id="7" w:name="_Hlk219982338"/>
      <w:r>
        <w:rPr>
          <w:noProof/>
        </w:rPr>
        <w:t xml:space="preserve">Les derniers sondages ainsi que les panels de citoyens européens montrent que </w:t>
      </w:r>
      <w:r>
        <w:rPr>
          <w:i/>
          <w:noProof/>
        </w:rPr>
        <w:t>la sécurité et la défense</w:t>
      </w:r>
      <w:r>
        <w:rPr>
          <w:noProof/>
        </w:rPr>
        <w:t xml:space="preserve"> de l’UE figurent parmi les préoccupations les plus urgentes des Européens, en particulier des jeunes. Parvenir à une autonomie stratégique au sein de l’UE garantissant la sécurité et la paix de ses citoyens, dont la liberté d’action n’est pas réduite par l’instabilité, la dépendance et les conflits, est un investissement pour toutes les générations actuelles et futures.</w:t>
      </w:r>
      <w:r>
        <w:rPr>
          <w:b/>
          <w:noProof/>
        </w:rPr>
        <w:t xml:space="preserve"> </w:t>
      </w:r>
      <w:r>
        <w:rPr>
          <w:i/>
          <w:noProof/>
        </w:rPr>
        <w:t>«Global Gateway»</w:t>
      </w:r>
      <w:r>
        <w:rPr>
          <w:noProof/>
        </w:rPr>
        <w:t>, la stratégie d’investissement extérieur de l’UE, fait en sorte que les investissements à long terme contribuent à soutenir les objectifs de politique publique ancrés dans l’équité intergénérationnelle dans les pays partenaires, en promouvant les compétences locales, l’engagement des jeunes, l’enseignement et la formation techniques et professionnels (EFTP) et des emplois décents, en contribuant à des sociétés plus vertes et plus saines et en réduisant les inégalités multidimensionnelles. L’action de l’UE en faveur du climat à l’échelle mondiale vise à mobiliser la coopération internationale pour mettre en pratique l’accord de Paris et garantir aux générations futures un environnement durable.</w:t>
      </w:r>
    </w:p>
    <w:p w14:paraId="61B366A6" w14:textId="36F7359E" w:rsidR="007D1A56" w:rsidRPr="00A64F36" w:rsidRDefault="00A70A62" w:rsidP="1A16B2EB">
      <w:pPr>
        <w:pStyle w:val="NormalWeb"/>
        <w:spacing w:before="0" w:beforeAutospacing="0" w:after="180" w:afterAutospacing="0"/>
        <w:jc w:val="both"/>
        <w:rPr>
          <w:noProof/>
          <w:color w:val="000000" w:themeColor="text1"/>
        </w:rPr>
      </w:pPr>
      <w:r>
        <w:rPr>
          <w:b/>
          <w:noProof/>
          <w:color w:val="000000" w:themeColor="text1"/>
        </w:rPr>
        <w:t>Le renforcement des relations avec le</w:t>
      </w:r>
      <w:r>
        <w:rPr>
          <w:b/>
          <w:noProof/>
        </w:rPr>
        <w:t xml:space="preserve"> voisinage élargi de l’UE</w:t>
      </w:r>
      <w:r>
        <w:rPr>
          <w:noProof/>
        </w:rPr>
        <w:t xml:space="preserve"> et l’intensification de la préparation et des capacités en matière de défense à l’aide de l’instrument SAFE sont des investissements en faveur d’un avenir pacifique</w:t>
      </w:r>
      <w:bookmarkEnd w:id="7"/>
      <w:r>
        <w:rPr>
          <w:noProof/>
        </w:rPr>
        <w:t>.</w:t>
      </w:r>
      <w:r>
        <w:rPr>
          <w:b/>
          <w:noProof/>
        </w:rPr>
        <w:t xml:space="preserve"> </w:t>
      </w:r>
      <w:r>
        <w:rPr>
          <w:noProof/>
          <w:color w:val="000000" w:themeColor="text1"/>
        </w:rPr>
        <w:t>Les cadres de coopération tels que le</w:t>
      </w:r>
      <w:r>
        <w:rPr>
          <w:i/>
          <w:noProof/>
        </w:rPr>
        <w:t xml:space="preserve"> pacte pour la Méditerranée</w:t>
      </w:r>
      <w:r>
        <w:rPr>
          <w:noProof/>
        </w:rPr>
        <w:t xml:space="preserve"> </w:t>
      </w:r>
      <w:r>
        <w:rPr>
          <w:noProof/>
          <w:color w:val="000000" w:themeColor="text1"/>
        </w:rPr>
        <w:t>soutiennent</w:t>
      </w:r>
      <w:r>
        <w:rPr>
          <w:b/>
          <w:noProof/>
          <w:color w:val="000000" w:themeColor="text1"/>
        </w:rPr>
        <w:t xml:space="preserve"> </w:t>
      </w:r>
      <w:r>
        <w:rPr>
          <w:noProof/>
        </w:rPr>
        <w:t>les initiatives prises conjointement qui favorisent l’investissement dans les compétences, le développement économique, la résilience et la cohésion sociale dans l’ensemble de la région, en reconnaissant le rôle des citoyens, en particulier des jeunes, en tant que moteurs de l’innovation et de la prospé</w:t>
      </w:r>
      <w:r>
        <w:rPr>
          <w:noProof/>
          <w:color w:val="000000" w:themeColor="text1"/>
        </w:rPr>
        <w:t>rité</w:t>
      </w:r>
      <w:r>
        <w:rPr>
          <w:noProof/>
        </w:rPr>
        <w:t xml:space="preserve"> partagée.</w:t>
      </w:r>
      <w:r>
        <w:rPr>
          <w:noProof/>
          <w:color w:val="000000" w:themeColor="text1"/>
        </w:rPr>
        <w:t xml:space="preserve"> </w:t>
      </w:r>
    </w:p>
    <w:p w14:paraId="22467DCB" w14:textId="44D0C7CA" w:rsidR="007D1A56" w:rsidRPr="00A64F36" w:rsidRDefault="00A70A62" w:rsidP="1A16B2EB">
      <w:pPr>
        <w:pStyle w:val="NormalWeb"/>
        <w:spacing w:before="0" w:beforeAutospacing="0" w:after="180" w:afterAutospacing="0"/>
        <w:jc w:val="both"/>
        <w:rPr>
          <w:b/>
          <w:bCs/>
          <w:noProof/>
        </w:rPr>
      </w:pPr>
      <w:r>
        <w:rPr>
          <w:b/>
          <w:noProof/>
        </w:rPr>
        <w:t>L’élargissement de l’Union européenne</w:t>
      </w:r>
      <w:r>
        <w:rPr>
          <w:noProof/>
        </w:rPr>
        <w:t xml:space="preserve"> est également l’un des investissements à long terme les plus lourds de conséquences de l’UE. Un processus d’élargissement crédible, équitable et fondé sur le mérite de l’UE renforce la paix, la stabilité et les possibilités, et élargit les perspectives pour les jeunes, tant dans les États membres actuels que dans les pays candidats et les pays candidats potentiels. En ce sens, l’élargissement est un engagement tout aussi intergénérationnel que géopolitique. Conformément aux objectifs de la Commission, les pays candidats et les pays candidats potentiels seront invités à participer aux actions présentées dans la présente stratégie aux côtés des États membres de l’UE chaque fois que cela sera possible et réalisable.</w:t>
      </w:r>
    </w:p>
    <w:p w14:paraId="04194E46"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rPr>
      </w:pPr>
      <w:r>
        <w:rPr>
          <w:rFonts w:ascii="Times New Roman" w:hAnsi="Times New Roman"/>
          <w:b/>
          <w:noProof/>
          <w:color w:val="0070C0"/>
        </w:rPr>
        <w:t>Prochaines étapes: la collaboration pour une équité intergénérationnelle</w:t>
      </w:r>
    </w:p>
    <w:p w14:paraId="59DC785E" w14:textId="2E9D008B" w:rsidR="00A70A62" w:rsidRPr="00A64F36" w:rsidRDefault="00A70A62" w:rsidP="00A70A62">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L’équité intergénérationnelle n’est pas une politique unique, mais une manière d’élaborer des politiques qui tiennent systématiquement compte des incidences à long terme</w:t>
      </w:r>
      <w:r>
        <w:rPr>
          <w:rFonts w:ascii="Times New Roman" w:hAnsi="Times New Roman"/>
          <w:noProof/>
        </w:rPr>
        <w:t xml:space="preserve"> et tendent à ce que les décisions prises aujourd’hui ne compromettent pas le bien-être futur, mais l’améliorent. </w:t>
      </w:r>
    </w:p>
    <w:p w14:paraId="54695B27" w14:textId="77777777" w:rsidR="007D1A56" w:rsidRPr="00A64F36" w:rsidRDefault="00A70A62" w:rsidP="00A70A62">
      <w:pPr>
        <w:pStyle w:val="NormalWeb"/>
        <w:spacing w:after="180"/>
        <w:jc w:val="both"/>
        <w:rPr>
          <w:b/>
          <w:bCs/>
          <w:noProof/>
        </w:rPr>
      </w:pPr>
      <w:r>
        <w:rPr>
          <w:b/>
          <w:noProof/>
        </w:rPr>
        <w:t>Faire progresser l’équité intergénérationnelle nécessite des efforts délibérés et soutenus au fil du temps</w:t>
      </w:r>
      <w:r>
        <w:rPr>
          <w:noProof/>
        </w:rPr>
        <w:t>, plutôt qu’une réforme ponctuelle. Cela implique d’adopter des approches itératives, adaptatives et fondées sur la réflexion qui peuvent évoluer en fonction des besoins, des données disponibles et des circonstances, et qui sont intégrées dans les processus d’élaboration des politiques actuels.</w:t>
      </w:r>
      <w:r>
        <w:rPr>
          <w:b/>
          <w:noProof/>
        </w:rPr>
        <w:t xml:space="preserve"> </w:t>
      </w:r>
    </w:p>
    <w:p w14:paraId="514F823E" w14:textId="582A9DDA" w:rsidR="00A70A62" w:rsidRPr="00A64F36" w:rsidRDefault="00A70A62" w:rsidP="00A70A62">
      <w:pPr>
        <w:pStyle w:val="NormalWeb"/>
        <w:spacing w:after="180"/>
        <w:jc w:val="both"/>
        <w:rPr>
          <w:noProof/>
        </w:rPr>
      </w:pPr>
      <w:r>
        <w:rPr>
          <w:b/>
          <w:noProof/>
        </w:rPr>
        <w:t>Dans ce contexte, la Commission européenne peut montrer l’exemple</w:t>
      </w:r>
      <w:r>
        <w:rPr>
          <w:noProof/>
        </w:rPr>
        <w:t>, en appliquant les principes qu’elle promeut et en utilisant efficacement les outils existants pour mieux incorporer les considérations à long terme dans ses travaux. Les progrès dépendront de la coopération entre les institutions de l’UE et avec les États membres, ainsi que de l’engagement aux niveaux local et régional.</w:t>
      </w:r>
    </w:p>
    <w:p w14:paraId="724456DE" w14:textId="0DB3EC74" w:rsidR="00A70A62" w:rsidRPr="00A64F36" w:rsidRDefault="00A70A62" w:rsidP="00A70A62">
      <w:pPr>
        <w:pStyle w:val="NormalWeb"/>
        <w:spacing w:after="180"/>
        <w:jc w:val="both"/>
        <w:rPr>
          <w:noProof/>
        </w:rPr>
      </w:pPr>
      <w:r>
        <w:rPr>
          <w:b/>
          <w:noProof/>
        </w:rPr>
        <w:t>L’équité intergénérationnelle se retrouve déjà dans une série d’initiatives, de pratiques et de choix stratégiques de l’UE.</w:t>
      </w:r>
      <w:r>
        <w:rPr>
          <w:noProof/>
        </w:rPr>
        <w:t xml:space="preserve"> La présente stratégie s’appuie sur cette réalité en favorisant l’amélioration de la cohérence, de la visibilité et de l’échange d’expériences, et en encourageant la réflexion sur la manière dont les perspectives à long terme peuvent être renforcées dans les cadres existants. </w:t>
      </w:r>
    </w:p>
    <w:p w14:paraId="42C57464" w14:textId="188D5E9C" w:rsidR="00A70A62" w:rsidRPr="00A64F36" w:rsidRDefault="00A70A62" w:rsidP="00A70A62">
      <w:pPr>
        <w:pStyle w:val="NormalWeb"/>
        <w:spacing w:after="180"/>
        <w:jc w:val="both"/>
        <w:rPr>
          <w:noProof/>
        </w:rPr>
      </w:pPr>
      <w:r>
        <w:rPr>
          <w:b/>
          <w:noProof/>
        </w:rPr>
        <w:t xml:space="preserve">La Commission invite le Parlement européen et le Conseil de l’UE </w:t>
      </w:r>
      <w:r>
        <w:rPr>
          <w:noProof/>
        </w:rPr>
        <w:t>à se pencher, dans le cadre de leurs rôles respectifs, sur la manière dont les aspects intergénérationnels peuvent être davantage pris en considération dans l’élaboration des politiques. Les États membres de l’UE sont encouragés à continuer d’intégrer la réflexion à long terme dans la prise de décision publique, en fonction des contextes et compétences nationaux, et à faire mieux connaître les différents aspects de l’équité intergénérationnelle.</w:t>
      </w:r>
    </w:p>
    <w:p w14:paraId="335E54BA" w14:textId="29BF18AE" w:rsidR="00D52C02" w:rsidRPr="00A64F36" w:rsidRDefault="06D90A44" w:rsidP="001D5967">
      <w:pPr>
        <w:pStyle w:val="NormalWeb"/>
        <w:spacing w:after="180"/>
        <w:jc w:val="both"/>
        <w:rPr>
          <w:noProof/>
        </w:rPr>
      </w:pPr>
      <w:r>
        <w:rPr>
          <w:b/>
          <w:noProof/>
        </w:rPr>
        <w:t>En renforçant ces approches, l’UE peut passer de principes à des pratiques plus cohérentes</w:t>
      </w:r>
      <w:r>
        <w:rPr>
          <w:noProof/>
        </w:rPr>
        <w:t>, améliorant ainsi la capacité des politiques publiques à trouver un équilibre entre les besoins actuels et les responsabilités futures et à favoriser de meilleurs résultats pour les générations actuelles et futures.</w:t>
      </w:r>
    </w:p>
    <w:sectPr w:rsidR="00D52C02" w:rsidRPr="00A64F36" w:rsidSect="00A70A6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556B9" w14:textId="77777777" w:rsidR="00D41B13" w:rsidRDefault="00D41B13" w:rsidP="00A70A62">
      <w:pPr>
        <w:spacing w:after="0" w:line="240" w:lineRule="auto"/>
      </w:pPr>
      <w:r>
        <w:separator/>
      </w:r>
    </w:p>
  </w:endnote>
  <w:endnote w:type="continuationSeparator" w:id="0">
    <w:p w14:paraId="4119F7C8" w14:textId="77777777" w:rsidR="00D41B13" w:rsidRDefault="00D41B13" w:rsidP="00A70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71381" w14:textId="71D2AC00" w:rsidR="008B0431" w:rsidRPr="008B0431" w:rsidRDefault="008B0431" w:rsidP="008B0431">
    <w:pPr>
      <w:pStyle w:val="FooterCoverPage"/>
      <w:rPr>
        <w:rFonts w:ascii="Arial" w:hAnsi="Arial" w:cs="Arial"/>
        <w:b/>
        <w:sz w:val="48"/>
      </w:rPr>
    </w:pPr>
    <w:r w:rsidRPr="008B0431">
      <w:rPr>
        <w:rFonts w:ascii="Arial" w:hAnsi="Arial" w:cs="Arial"/>
        <w:b/>
        <w:sz w:val="48"/>
      </w:rPr>
      <w:t>FR</w:t>
    </w:r>
    <w:r w:rsidRPr="008B0431">
      <w:rPr>
        <w:rFonts w:ascii="Arial" w:hAnsi="Arial" w:cs="Arial"/>
        <w:b/>
        <w:sz w:val="48"/>
      </w:rPr>
      <w:tab/>
    </w:r>
    <w:r w:rsidRPr="008B0431">
      <w:rPr>
        <w:rFonts w:ascii="Arial" w:hAnsi="Arial" w:cs="Arial"/>
        <w:b/>
        <w:sz w:val="48"/>
      </w:rPr>
      <w:tab/>
    </w:r>
    <w:r w:rsidRPr="008B0431">
      <w:tab/>
    </w:r>
    <w:r w:rsidRPr="008B043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20365" w14:textId="1043BBF5" w:rsidR="008B0431" w:rsidRPr="008B0431" w:rsidRDefault="008B0431" w:rsidP="008B0431">
    <w:pPr>
      <w:pStyle w:val="FooterCoverPage"/>
      <w:rPr>
        <w:rFonts w:ascii="Arial" w:hAnsi="Arial" w:cs="Arial"/>
        <w:b/>
        <w:sz w:val="48"/>
      </w:rPr>
    </w:pPr>
    <w:r w:rsidRPr="008B0431">
      <w:rPr>
        <w:rFonts w:ascii="Arial" w:hAnsi="Arial" w:cs="Arial"/>
        <w:b/>
        <w:sz w:val="48"/>
      </w:rPr>
      <w:t>FR</w:t>
    </w:r>
    <w:r w:rsidRPr="008B0431">
      <w:rPr>
        <w:rFonts w:ascii="Arial" w:hAnsi="Arial" w:cs="Arial"/>
        <w:b/>
        <w:sz w:val="48"/>
      </w:rPr>
      <w:tab/>
    </w:r>
    <w:r w:rsidRPr="008B0431">
      <w:rPr>
        <w:rFonts w:ascii="Arial" w:hAnsi="Arial" w:cs="Arial"/>
        <w:b/>
        <w:sz w:val="48"/>
      </w:rPr>
      <w:tab/>
    </w:r>
    <w:r w:rsidRPr="008B0431">
      <w:tab/>
    </w:r>
    <w:r w:rsidRPr="008B043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FBF62" w14:textId="77777777" w:rsidR="008B0431" w:rsidRPr="008B0431" w:rsidRDefault="008B0431" w:rsidP="008B04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3BBB" w14:textId="77777777" w:rsidR="00A70A62" w:rsidRDefault="00A70A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5682747"/>
      <w:docPartObj>
        <w:docPartGallery w:val="Page Numbers (Bottom of Page)"/>
        <w:docPartUnique/>
      </w:docPartObj>
    </w:sdtPr>
    <w:sdtEndPr>
      <w:rPr>
        <w:noProof/>
      </w:rPr>
    </w:sdtEndPr>
    <w:sdtContent>
      <w:p w14:paraId="27732BDC" w14:textId="6812C305" w:rsidR="00A70A62" w:rsidRPr="00973910" w:rsidRDefault="00A70A62">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B0431">
          <w:rPr>
            <w:rFonts w:ascii="Times New Roman" w:hAnsi="Times New Roman" w:cs="Times New Roman"/>
            <w:noProof/>
          </w:rPr>
          <w:t>1</w:t>
        </w:r>
        <w:r>
          <w:rPr>
            <w:rFonts w:ascii="Times New Roman" w:hAnsi="Times New Roman" w:cs="Times New Roman"/>
          </w:rPr>
          <w:fldChar w:fldCharType="end"/>
        </w:r>
      </w:p>
    </w:sdtContent>
  </w:sdt>
  <w:p w14:paraId="08665005" w14:textId="77777777" w:rsidR="00A70A62" w:rsidRPr="00973910" w:rsidRDefault="00A70A62">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BC2EF" w14:textId="77777777" w:rsidR="00A70A62" w:rsidRDefault="00A70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CE41E" w14:textId="77777777" w:rsidR="00D41B13" w:rsidRDefault="00D41B13" w:rsidP="00A70A62">
      <w:pPr>
        <w:spacing w:after="0" w:line="240" w:lineRule="auto"/>
      </w:pPr>
      <w:r>
        <w:separator/>
      </w:r>
    </w:p>
  </w:footnote>
  <w:footnote w:type="continuationSeparator" w:id="0">
    <w:p w14:paraId="3096E85A" w14:textId="77777777" w:rsidR="00D41B13" w:rsidRDefault="00D41B13" w:rsidP="00A70A62">
      <w:pPr>
        <w:spacing w:after="0" w:line="240" w:lineRule="auto"/>
      </w:pPr>
      <w:r>
        <w:continuationSeparator/>
      </w:r>
    </w:p>
  </w:footnote>
  <w:footnote w:id="1">
    <w:p w14:paraId="541926E1"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 w:history="1">
        <w:r>
          <w:rPr>
            <w:rStyle w:val="Hyperlink"/>
            <w:rFonts w:ascii="Times New Roman" w:hAnsi="Times New Roman"/>
            <w:sz w:val="16"/>
          </w:rPr>
          <w:t>Documents d’appui pour l’élaboration de la stratégie</w:t>
        </w:r>
      </w:hyperlink>
      <w:r>
        <w:t>.</w:t>
      </w:r>
    </w:p>
  </w:footnote>
  <w:footnote w:id="2">
    <w:p w14:paraId="63F57681"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Panel de citoyens européens sur l’équité intergénérationnelle</w:t>
        </w:r>
      </w:hyperlink>
      <w:r>
        <w:t>.</w:t>
      </w:r>
    </w:p>
  </w:footnote>
  <w:footnote w:id="3">
    <w:p w14:paraId="5AD01ADD" w14:textId="77777777" w:rsidR="00A70A62" w:rsidRPr="008E7A92" w:rsidRDefault="00A70A62"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Style w:val="Hyperlink"/>
            <w:rFonts w:ascii="Times New Roman" w:hAnsi="Times New Roman"/>
            <w:sz w:val="16"/>
          </w:rPr>
          <w:t>Déclaration sur les générations futures – ONU</w:t>
        </w:r>
      </w:hyperlink>
      <w:r>
        <w:t>.</w:t>
      </w:r>
    </w:p>
  </w:footnote>
  <w:footnote w:id="4">
    <w:p w14:paraId="7CA36E9E" w14:textId="77777777" w:rsidR="00A70A62" w:rsidRPr="008E7A92" w:rsidRDefault="00A70A62" w:rsidP="00A64F36">
      <w:pPr>
        <w:pStyle w:val="FootnoteText"/>
        <w:jc w:val="both"/>
        <w:rPr>
          <w:rFonts w:ascii="Times New Roman" w:eastAsia="Times New Roman" w:hAnsi="Times New Roman" w:cs="Times New Roman"/>
          <w:color w:val="000000" w:themeColor="text1"/>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L’article 3, paragraphe 3, du traité sur l’Union européenne dispose que l’Union promeut la solidarité entre les générations, et la charte des droits fondamentaux souligne que la jouissance des droits fondamentaux entraîne une responsabilité à l’égard des générations futures. Parmi d’autres initiatives, des exemples clés tels que l’Année européenne du vieillissement actif (2012) et l’Année européenne de la jeunesse (2022) mettent en évidence l’accent mis par l’Union sur la cohésion intergénérationnelle. La communication de 2023 sur l’évolution démographique place l’équité entre les générations au cœur des choix en matière de politique, et le rapport de prospective stratégique de 2025 la désigne comme l’une des huit grandes priorités.</w:t>
      </w:r>
    </w:p>
  </w:footnote>
  <w:footnote w:id="5">
    <w:p w14:paraId="24D7978A" w14:textId="77777777"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Commission européenne a recensé et surveille 14 grandes tendances essentielles pour l’avenir de l’UE, au moyen de sa </w:t>
      </w:r>
      <w:hyperlink r:id="rId4" w:history="1">
        <w:r>
          <w:rPr>
            <w:rStyle w:val="Hyperlink"/>
            <w:rFonts w:ascii="Times New Roman" w:hAnsi="Times New Roman"/>
            <w:sz w:val="16"/>
          </w:rPr>
          <w:t>plateforme sur les grandes tendances</w:t>
        </w:r>
      </w:hyperlink>
      <w:r>
        <w:rPr>
          <w:rFonts w:ascii="Times New Roman" w:hAnsi="Times New Roman"/>
          <w:sz w:val="16"/>
        </w:rPr>
        <w:t>.</w:t>
      </w:r>
    </w:p>
  </w:footnote>
  <w:footnote w:id="6">
    <w:p w14:paraId="7DDD5196" w14:textId="63D76F21"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w:t>
      </w:r>
      <w:hyperlink r:id="rId5" w:history="1">
        <w:r>
          <w:rPr>
            <w:rStyle w:val="Hyperlink"/>
            <w:rFonts w:ascii="Times New Roman" w:hAnsi="Times New Roman"/>
            <w:sz w:val="16"/>
          </w:rPr>
          <w:t>rapport de prospective 2025 de l’ESPAS sur l’équité intergénérationnelle</w:t>
        </w:r>
      </w:hyperlink>
      <w:r>
        <w:rPr>
          <w:rFonts w:ascii="Times New Roman" w:hAnsi="Times New Roman"/>
          <w:sz w:val="16"/>
        </w:rPr>
        <w:t xml:space="preserve"> offre un aperçu clair des défis et des possibilités que génèrent les grandes tendances en matière d’équité intergénérationnelle.</w:t>
      </w:r>
    </w:p>
  </w:footnote>
  <w:footnote w:id="7">
    <w:p w14:paraId="1926BFA1" w14:textId="77777777" w:rsidR="00621C87" w:rsidRPr="008E7A92" w:rsidRDefault="00621C87" w:rsidP="00621C8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rapport de </w:t>
      </w:r>
      <w:hyperlink r:id="rId6" w:history="1">
        <w:r>
          <w:rPr>
            <w:rStyle w:val="Hyperlink"/>
            <w:rFonts w:ascii="Times New Roman" w:hAnsi="Times New Roman"/>
            <w:sz w:val="16"/>
          </w:rPr>
          <w:t>prospective stratégique 2025</w:t>
        </w:r>
      </w:hyperlink>
      <w:r>
        <w:rPr>
          <w:rFonts w:ascii="Times New Roman" w:hAnsi="Times New Roman"/>
          <w:sz w:val="16"/>
        </w:rPr>
        <w:t xml:space="preserve"> présente huit domaines principaux dans lesquels l'UE peut agir pour transformer les défis spécifiques à l'Europe en possibilités.</w:t>
      </w:r>
    </w:p>
  </w:footnote>
  <w:footnote w:id="8">
    <w:p w14:paraId="5FB020E4" w14:textId="40D7F640" w:rsidR="00A70A62" w:rsidRPr="008E7A92" w:rsidRDefault="00A70A62" w:rsidP="00A64F3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 w:history="1">
        <w:r>
          <w:rPr>
            <w:rStyle w:val="Hyperlink"/>
            <w:rFonts w:ascii="Times New Roman" w:hAnsi="Times New Roman"/>
            <w:sz w:val="16"/>
          </w:rPr>
          <w:t>Rapport relatif à la mise en œuvre de la stratégie de l’Union européenne en faveur de la jeunesse pour la période 2022-2024</w:t>
        </w:r>
      </w:hyperlink>
      <w:r>
        <w:rPr>
          <w:rFonts w:ascii="Times New Roman" w:hAnsi="Times New Roman"/>
          <w:sz w:val="16"/>
        </w:rPr>
        <w:t xml:space="preserve"> – Office des publications de l’Union européenne </w:t>
      </w:r>
    </w:p>
  </w:footnote>
  <w:footnote w:id="9">
    <w:p w14:paraId="02EAC32B" w14:textId="7F45E1E1"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Selon</w:t>
      </w:r>
      <w:r>
        <w:t xml:space="preserve"> </w:t>
      </w:r>
      <w:hyperlink r:id="rId8">
        <w:r>
          <w:rPr>
            <w:rStyle w:val="Hyperlink"/>
            <w:rFonts w:ascii="Times New Roman" w:hAnsi="Times New Roman"/>
            <w:sz w:val="16"/>
          </w:rPr>
          <w:t>Eurostat</w:t>
        </w:r>
      </w:hyperlink>
      <w:r>
        <w:rPr>
          <w:rFonts w:ascii="Times New Roman" w:hAnsi="Times New Roman"/>
          <w:sz w:val="16"/>
        </w:rPr>
        <w:t>, au moins 75 % des jeunes âgés de 16 à 29 ans possédaient au moins des compétences numériques de base en 2025.</w:t>
      </w:r>
    </w:p>
  </w:footnote>
  <w:footnote w:id="10">
    <w:p w14:paraId="20497E58" w14:textId="77777777"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 w:history="1">
        <w:r>
          <w:rPr>
            <w:rStyle w:val="Hyperlink"/>
            <w:rFonts w:ascii="Times New Roman" w:hAnsi="Times New Roman"/>
            <w:sz w:val="16"/>
          </w:rPr>
          <w:t>Compétences pour l’ère numérique – Statistiques expliquées – Eurostat</w:t>
        </w:r>
      </w:hyperlink>
      <w:r>
        <w:t>.</w:t>
      </w:r>
      <w:r>
        <w:rPr>
          <w:rFonts w:ascii="Times New Roman" w:hAnsi="Times New Roman"/>
          <w:sz w:val="16"/>
        </w:rPr>
        <w:t xml:space="preserve"> </w:t>
      </w:r>
    </w:p>
  </w:footnote>
  <w:footnote w:id="11">
    <w:p w14:paraId="3E80BBBA" w14:textId="4BB19FD5"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0" w:history="1">
        <w:r>
          <w:rPr>
            <w:rStyle w:val="Hyperlink"/>
            <w:rFonts w:ascii="Times New Roman" w:hAnsi="Times New Roman"/>
            <w:sz w:val="16"/>
          </w:rPr>
          <w:t>Compétences numériques en 2023:</w:t>
        </w:r>
      </w:hyperlink>
      <w:hyperlink r:id="rId11" w:history="1">
        <w:r>
          <w:rPr>
            <w:rStyle w:val="Hyperlink"/>
            <w:rFonts w:ascii="Times New Roman" w:hAnsi="Times New Roman"/>
            <w:sz w:val="16"/>
          </w:rPr>
          <w:t xml:space="preserve"> impact de l’enseignement et de l’âge</w:t>
        </w:r>
      </w:hyperlink>
    </w:p>
  </w:footnote>
  <w:footnote w:id="12">
    <w:p w14:paraId="491A7E6B" w14:textId="77777777" w:rsidR="006C4AAF" w:rsidRPr="008E7A92" w:rsidRDefault="006C4AAF"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2" w:history="1">
        <w:r>
          <w:rPr>
            <w:rStyle w:val="Hyperlink"/>
            <w:rFonts w:ascii="Times New Roman" w:hAnsi="Times New Roman"/>
            <w:sz w:val="16"/>
          </w:rPr>
          <w:t>Discrimination dans l’Union européenne – décembre 2023 – enquête Eurobaromètre</w:t>
        </w:r>
      </w:hyperlink>
      <w:r>
        <w:t>.</w:t>
      </w:r>
    </w:p>
  </w:footnote>
  <w:footnote w:id="13">
    <w:p w14:paraId="271DAEB5" w14:textId="770A2D49" w:rsidR="00A70A62" w:rsidRPr="008E7A92" w:rsidRDefault="00A70A62" w:rsidP="006140DF">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3" w:history="1">
        <w:r>
          <w:rPr>
            <w:rStyle w:val="Hyperlink"/>
            <w:rFonts w:ascii="Times New Roman" w:hAnsi="Times New Roman"/>
            <w:sz w:val="16"/>
          </w:rPr>
          <w:t>Statistiques sur le handicap – Besoins d’aide ou d’assistance des personnes âgées</w:t>
        </w:r>
      </w:hyperlink>
    </w:p>
  </w:footnote>
  <w:footnote w:id="14">
    <w:p w14:paraId="2E5E40B5" w14:textId="380ECDE4" w:rsidR="00C81D7E" w:rsidRPr="008E7A92" w:rsidRDefault="00C81D7E" w:rsidP="00C81D7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L’écart de rémunération entre les femmes et les hommes au sein de l’Union européenne – Commission européenne</w:t>
        </w:r>
      </w:hyperlink>
      <w:r>
        <w:rPr>
          <w:rFonts w:ascii="Times New Roman" w:hAnsi="Times New Roman"/>
          <w:sz w:val="16"/>
        </w:rPr>
        <w:t xml:space="preserve">; </w:t>
      </w:r>
      <w:hyperlink r:id="rId15" w:history="1">
        <w:r>
          <w:rPr>
            <w:rStyle w:val="Hyperlink"/>
            <w:rFonts w:ascii="Times New Roman" w:hAnsi="Times New Roman"/>
            <w:sz w:val="16"/>
          </w:rPr>
          <w:t>Écarts en matière d’emploi pour les femmes et les personnes en situation de handicap – Eurostat</w:t>
        </w:r>
      </w:hyperlink>
      <w:r>
        <w:t>.</w:t>
      </w:r>
    </w:p>
  </w:footnote>
  <w:footnote w:id="15">
    <w:p w14:paraId="55D8B7F2" w14:textId="77777777" w:rsidR="00EA0CC4" w:rsidRPr="008E7A92" w:rsidRDefault="00EA0CC4" w:rsidP="00EA0CC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w:t>
      </w:r>
      <w:r>
        <w:rPr>
          <w:rFonts w:ascii="Times New Roman" w:hAnsi="Times New Roman"/>
          <w:i/>
          <w:sz w:val="16"/>
        </w:rPr>
        <w:t>To Have and Have Not – How to Bridge the Gap in Opportunities</w:t>
      </w:r>
      <w:r>
        <w:rPr>
          <w:rFonts w:ascii="Times New Roman" w:hAnsi="Times New Roman"/>
          <w:sz w:val="16"/>
        </w:rPr>
        <w:t xml:space="preserve"> (Avoir ou ne pas avoir – Comment combler l’écart en matière de possibilités), éditions de l’OCDE, Paris, 2025,</w:t>
      </w:r>
      <w:r>
        <w:t xml:space="preserve"> </w:t>
      </w:r>
      <w:hyperlink r:id="rId16" w:history="1">
        <w:r>
          <w:rPr>
            <w:rStyle w:val="Hyperlink"/>
            <w:rFonts w:ascii="Times New Roman" w:hAnsi="Times New Roman"/>
            <w:sz w:val="16"/>
          </w:rPr>
          <w:t>https://doi.org/10.1787/dec143ad</w:t>
        </w:r>
      </w:hyperlink>
      <w:r>
        <w:rPr>
          <w:rFonts w:ascii="Times New Roman" w:hAnsi="Times New Roman"/>
          <w:sz w:val="16"/>
        </w:rPr>
        <w:t>.</w:t>
      </w:r>
    </w:p>
  </w:footnote>
  <w:footnote w:id="16">
    <w:p w14:paraId="0CF75170" w14:textId="1FF2B226" w:rsidR="7EB3A829" w:rsidRPr="008E7A92" w:rsidRDefault="7EB3A829" w:rsidP="00482FA8">
      <w:pPr>
        <w:spacing w:after="0" w:line="240" w:lineRule="auto"/>
        <w:jc w:val="both"/>
        <w:rPr>
          <w:rFonts w:ascii="Times New Roman" w:eastAsia="Aptos" w:hAnsi="Times New Roman" w:cs="Times New Roman"/>
          <w:sz w:val="16"/>
          <w:szCs w:val="16"/>
        </w:rPr>
      </w:pPr>
      <w:r>
        <w:rPr>
          <w:rStyle w:val="FootnoteReference"/>
          <w:rFonts w:ascii="Times New Roman" w:hAnsi="Times New Roman" w:cs="Times New Roman"/>
          <w:sz w:val="16"/>
          <w:szCs w:val="16"/>
          <w:lang w:val="en-GB"/>
        </w:rPr>
        <w:footnoteRef/>
      </w:r>
      <w:r>
        <w:rPr>
          <w:rFonts w:ascii="Times New Roman" w:hAnsi="Times New Roman"/>
          <w:sz w:val="16"/>
        </w:rPr>
        <w:t xml:space="preserve"> </w:t>
      </w:r>
      <w:hyperlink r:id="rId17" w:history="1">
        <w:r>
          <w:rPr>
            <w:rStyle w:val="Hyperlink"/>
            <w:rFonts w:ascii="Times New Roman" w:hAnsi="Times New Roman"/>
            <w:color w:val="467886"/>
            <w:sz w:val="16"/>
          </w:rPr>
          <w:t>Analyse d’impact accompagnant la communication sur l’objectif climatique pour 2040, SWD(2024) 63 final, partie 2/5, annexe 7, section 3</w:t>
        </w:r>
      </w:hyperlink>
      <w:r>
        <w:t>.</w:t>
      </w:r>
    </w:p>
  </w:footnote>
  <w:footnote w:id="17">
    <w:p w14:paraId="4C40BE9A" w14:textId="4B922764" w:rsidR="00036440" w:rsidRPr="00AE047D" w:rsidRDefault="00036440" w:rsidP="00036440">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8" w:history="1">
        <w:r>
          <w:rPr>
            <w:rStyle w:val="Hyperlink"/>
            <w:rFonts w:ascii="Times New Roman" w:hAnsi="Times New Roman"/>
            <w:sz w:val="16"/>
          </w:rPr>
          <w:t>Pertes économiques dues aux conditions météorologiques et climatiques extrêmes en Europe | Indicateurs | Agence européenne pour l’environnement (AEE)</w:t>
        </w:r>
      </w:hyperlink>
      <w:r>
        <w:rPr>
          <w:rFonts w:ascii="Times New Roman" w:hAnsi="Times New Roman"/>
          <w:sz w:val="16"/>
        </w:rPr>
        <w:t>. Sur les 822 milliards d’EUR de pertes économiques liées au climat enregistrées au cours des 45 dernières années, 25 % ne l’ont été qu’au cours des 4 dernières années.</w:t>
      </w:r>
    </w:p>
  </w:footnote>
  <w:footnote w:id="18">
    <w:p w14:paraId="4422BA9B" w14:textId="14F2C07F" w:rsidR="00A70A62" w:rsidRPr="008E7A92" w:rsidRDefault="00A70A62"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9" w:history="1">
        <w:r>
          <w:rPr>
            <w:rStyle w:val="Hyperlink"/>
            <w:rFonts w:ascii="Times New Roman" w:hAnsi="Times New Roman"/>
            <w:sz w:val="16"/>
          </w:rPr>
          <w:t>Équité, inégalités et mobilité intergénérationnelle – février 2023 – enquête Eurobaromètre</w:t>
        </w:r>
      </w:hyperlink>
      <w:r>
        <w:t>.</w:t>
      </w:r>
    </w:p>
  </w:footnote>
  <w:footnote w:id="19">
    <w:p w14:paraId="64FBD62E" w14:textId="0343D530" w:rsidR="002D2E4D" w:rsidRPr="00B22CB0" w:rsidRDefault="002D2E4D" w:rsidP="00482FA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0" w:history="1">
        <w:r>
          <w:rPr>
            <w:rStyle w:val="Hyperlink"/>
            <w:rFonts w:ascii="Times New Roman" w:hAnsi="Times New Roman"/>
            <w:sz w:val="16"/>
          </w:rPr>
          <w:t xml:space="preserve">Facteurs de risque et conséquences de la solitude – Centre commun de recherche: </w:t>
        </w:r>
      </w:hyperlink>
      <w:hyperlink r:id="rId21" w:history="1">
        <w:r>
          <w:rPr>
            <w:rStyle w:val="Hyperlink"/>
            <w:rFonts w:ascii="Times New Roman" w:hAnsi="Times New Roman"/>
            <w:sz w:val="16"/>
          </w:rPr>
          <w:t>Pôle scientifique de l’UE</w:t>
        </w:r>
      </w:hyperlink>
    </w:p>
  </w:footnote>
  <w:footnote w:id="20">
    <w:p w14:paraId="5A4F7200" w14:textId="40604A92" w:rsidR="00A64F36" w:rsidRPr="00B22CB0" w:rsidRDefault="00A64F36">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2" w:history="1">
        <w:r>
          <w:rPr>
            <w:rStyle w:val="Hyperlink"/>
            <w:rFonts w:ascii="Times New Roman" w:hAnsi="Times New Roman"/>
            <w:sz w:val="16"/>
          </w:rPr>
          <w:t xml:space="preserve">Code européen de bonnes pratiques contre la désinformation </w:t>
        </w:r>
      </w:hyperlink>
      <w:hyperlink r:id="rId23" w:history="1">
        <w:r>
          <w:rPr>
            <w:rStyle w:val="Hyperlink"/>
            <w:rFonts w:ascii="Times New Roman" w:hAnsi="Times New Roman"/>
            <w:sz w:val="16"/>
          </w:rPr>
          <w:t xml:space="preserve"> – Commission européenne</w:t>
        </w:r>
      </w:hyperlink>
      <w:r>
        <w:rPr>
          <w:rFonts w:ascii="Times New Roman" w:hAnsi="Times New Roman"/>
          <w:sz w:val="16"/>
        </w:rPr>
        <w:t>. 63 % des jeunes Européens ont à faire à de fausses informations plus d’une fois par semaine et 51 % des Européens pensent avoir été exposés à la désinformation en ligne.</w:t>
      </w:r>
    </w:p>
  </w:footnote>
  <w:footnote w:id="21">
    <w:p w14:paraId="0380CEB3" w14:textId="77777777" w:rsidR="00A70A62" w:rsidRPr="00B22CB0"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OCDE, </w:t>
      </w:r>
      <w:r>
        <w:rPr>
          <w:rFonts w:ascii="Times New Roman" w:hAnsi="Times New Roman"/>
          <w:i/>
          <w:sz w:val="16"/>
        </w:rPr>
        <w:t>Better Regulation Practices across the European Union 2025</w:t>
      </w:r>
      <w:r>
        <w:rPr>
          <w:rFonts w:ascii="Times New Roman" w:hAnsi="Times New Roman"/>
          <w:sz w:val="16"/>
        </w:rPr>
        <w:t xml:space="preserve"> (Meilleures pratiques de réglementation dans l’Union européenne 2025), éditions de l’OCDE, Paris, 2025,</w:t>
      </w:r>
      <w:r>
        <w:t xml:space="preserve"> </w:t>
      </w:r>
      <w:hyperlink r:id="rId24" w:history="1">
        <w:r>
          <w:rPr>
            <w:rStyle w:val="Hyperlink"/>
            <w:rFonts w:ascii="Times New Roman" w:hAnsi="Times New Roman"/>
            <w:sz w:val="16"/>
          </w:rPr>
          <w:t>https://doi.org/10.1787/0981c3a7-en</w:t>
        </w:r>
      </w:hyperlink>
      <w:r>
        <w:t>.</w:t>
      </w:r>
    </w:p>
  </w:footnote>
  <w:footnote w:id="22">
    <w:p w14:paraId="7F86657E" w14:textId="2AFD7919"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color w:val="000000" w:themeColor="text1"/>
          <w:sz w:val="16"/>
        </w:rPr>
        <w:t>Le «</w:t>
      </w:r>
      <w:hyperlink r:id="rId25" w:history="1">
        <w:r>
          <w:rPr>
            <w:rStyle w:val="Hyperlink"/>
            <w:rFonts w:ascii="Times New Roman" w:hAnsi="Times New Roman"/>
            <w:sz w:val="16"/>
          </w:rPr>
          <w:t>comité pour l’avenir</w:t>
        </w:r>
      </w:hyperlink>
      <w:r>
        <w:rPr>
          <w:rFonts w:ascii="Times New Roman" w:hAnsi="Times New Roman"/>
          <w:color w:val="000000" w:themeColor="text1"/>
          <w:sz w:val="16"/>
        </w:rPr>
        <w:t>» finlandais est un organe parlementaire permanent qui institutionnalise la prospective en gouvernance.</w:t>
      </w:r>
    </w:p>
  </w:footnote>
  <w:footnote w:id="23">
    <w:p w14:paraId="61F08304"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w:t>
      </w:r>
      <w:hyperlink r:id="rId26" w:history="1">
        <w:r>
          <w:rPr>
            <w:rStyle w:val="Hyperlink"/>
            <w:rFonts w:ascii="Times New Roman" w:hAnsi="Times New Roman"/>
            <w:sz w:val="16"/>
          </w:rPr>
          <w:t>bureau national de prospective et de stratégie</w:t>
        </w:r>
      </w:hyperlink>
      <w:r>
        <w:rPr>
          <w:rFonts w:ascii="Times New Roman" w:hAnsi="Times New Roman"/>
          <w:color w:val="000000" w:themeColor="text1"/>
          <w:sz w:val="16"/>
        </w:rPr>
        <w:t>» espagnol coordonne la feuille de route «Espagne 2050», en institutionnalisant la prospective stratégique au sein de la gouvernance afin de mettre les politiques actuelles en cohérence avec les objectifs à long terme en matière d’équité intergénérationnelle.</w:t>
      </w:r>
    </w:p>
  </w:footnote>
  <w:footnote w:id="24">
    <w:p w14:paraId="62DF0E30" w14:textId="51FDFC4E" w:rsidR="00A70A62" w:rsidRPr="00B22CB0"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w:t>
      </w:r>
      <w:hyperlink r:id="rId27" w:history="1">
        <w:r>
          <w:rPr>
            <w:rStyle w:val="Hyperlink"/>
            <w:rFonts w:ascii="Times New Roman" w:hAnsi="Times New Roman"/>
            <w:sz w:val="16"/>
          </w:rPr>
          <w:t>«gardien des générations futures»</w:t>
        </w:r>
      </w:hyperlink>
      <w:r>
        <w:rPr>
          <w:rFonts w:ascii="Times New Roman" w:hAnsi="Times New Roman"/>
          <w:sz w:val="16"/>
        </w:rPr>
        <w:t xml:space="preserve"> maltais est une commission de haut niveau qui contrôle les secteurs publics afin de veiller à ce que les politiques de développement durable ne compromettent pas les futurs citoyens.</w:t>
      </w:r>
    </w:p>
  </w:footnote>
  <w:footnote w:id="25">
    <w:p w14:paraId="6FA7A9D1" w14:textId="591B82AE" w:rsidR="007C669E" w:rsidRPr="00B22CB0" w:rsidRDefault="007C669E"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Des actions visant à promouvoir l’éducation financière ont été définies en 2025 par la Commission européenne dans sa </w:t>
      </w:r>
      <w:hyperlink r:id="rId28" w:history="1">
        <w:r>
          <w:rPr>
            <w:rStyle w:val="Hyperlink"/>
            <w:rFonts w:ascii="Times New Roman" w:hAnsi="Times New Roman"/>
            <w:i/>
            <w:sz w:val="16"/>
          </w:rPr>
          <w:t>communication sur une stratégie de promotion de la culture financière dans l’UE</w:t>
        </w:r>
      </w:hyperlink>
      <w:r>
        <w:rPr>
          <w:rFonts w:ascii="Times New Roman" w:hAnsi="Times New Roman"/>
          <w:sz w:val="16"/>
        </w:rPr>
        <w:t>, COM(2025) 681 final.</w:t>
      </w:r>
    </w:p>
  </w:footnote>
  <w:footnote w:id="26">
    <w:p w14:paraId="41BE690F" w14:textId="77777777" w:rsidR="006F0A75" w:rsidRPr="00B22CB0" w:rsidRDefault="006F0A75"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Dans le respect des principes de la garantie européenne pour l’enfance,</w:t>
      </w:r>
      <w:r>
        <w:t xml:space="preserve"> </w:t>
      </w:r>
      <w:hyperlink r:id="rId29" w:history="1">
        <w:r>
          <w:rPr>
            <w:rStyle w:val="Hyperlink"/>
            <w:rFonts w:ascii="Times New Roman" w:hAnsi="Times New Roman"/>
            <w:i/>
            <w:sz w:val="16"/>
          </w:rPr>
          <w:t>Garantie européenne pour l’enfance – Emploi, affaires sociales et inclusion</w:t>
        </w:r>
      </w:hyperlink>
      <w:r>
        <w:rPr>
          <w:rFonts w:ascii="Times New Roman" w:hAnsi="Times New Roman"/>
          <w:sz w:val="16"/>
        </w:rPr>
        <w:t>.</w:t>
      </w:r>
    </w:p>
  </w:footnote>
  <w:footnote w:id="27">
    <w:p w14:paraId="06BFE516" w14:textId="0F713BCF" w:rsidR="00110939" w:rsidRPr="008E7A92" w:rsidRDefault="00110939" w:rsidP="00110939">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0" w:history="1">
        <w:r>
          <w:rPr>
            <w:rStyle w:val="Hyperlink"/>
            <w:rFonts w:ascii="Times New Roman" w:hAnsi="Times New Roman"/>
            <w:sz w:val="16"/>
          </w:rPr>
          <w:t>Stratégie de l’UE sur les droits de l’enfant</w:t>
        </w:r>
      </w:hyperlink>
      <w:r>
        <w:rPr>
          <w:rFonts w:ascii="Times New Roman" w:hAnsi="Times New Roman"/>
          <w:sz w:val="16"/>
        </w:rPr>
        <w:t>, COM(2021) 142 final.</w:t>
      </w:r>
    </w:p>
  </w:footnote>
  <w:footnote w:id="28">
    <w:p w14:paraId="63678E0F" w14:textId="6899EABD" w:rsidR="00130792" w:rsidRPr="00B22CB0" w:rsidRDefault="0013079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1" w:history="1">
        <w:r>
          <w:rPr>
            <w:rStyle w:val="Hyperlink"/>
            <w:rFonts w:ascii="Times New Roman" w:hAnsi="Times New Roman"/>
            <w:sz w:val="16"/>
          </w:rPr>
          <w:t>Plateforme européenne de participation des enfants |</w:t>
        </w:r>
      </w:hyperlink>
      <w:hyperlink r:id="rId32" w:history="1">
        <w:r>
          <w:rPr>
            <w:rStyle w:val="Hyperlink"/>
            <w:rFonts w:ascii="Times New Roman" w:hAnsi="Times New Roman"/>
            <w:sz w:val="16"/>
          </w:rPr>
          <w:t xml:space="preserve"> Union européenne</w:t>
        </w:r>
      </w:hyperlink>
      <w:r>
        <w:rPr>
          <w:rFonts w:ascii="Times New Roman" w:hAnsi="Times New Roman"/>
          <w:sz w:val="16"/>
        </w:rPr>
        <w:t>.</w:t>
      </w:r>
    </w:p>
  </w:footnote>
  <w:footnote w:id="29">
    <w:p w14:paraId="6D47EBA2" w14:textId="43E7DBC3" w:rsidR="006F0A75" w:rsidRPr="008E7A92" w:rsidRDefault="006F0A75" w:rsidP="009D261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sz w:val="16"/>
          <w:vertAlign w:val="baseline"/>
        </w:rPr>
        <w:t xml:space="preserve"> </w:t>
      </w:r>
      <w:r>
        <w:rPr>
          <w:rFonts w:ascii="Times New Roman" w:hAnsi="Times New Roman"/>
          <w:sz w:val="16"/>
        </w:rPr>
        <w:t>Le</w:t>
      </w:r>
      <w:r>
        <w:rPr>
          <w:rStyle w:val="FootnoteReference"/>
          <w:rFonts w:ascii="Times New Roman" w:hAnsi="Times New Roman"/>
          <w:sz w:val="16"/>
          <w:vertAlign w:val="baseline"/>
        </w:rPr>
        <w:t xml:space="preserve"> </w:t>
      </w:r>
      <w:r>
        <w:rPr>
          <w:rFonts w:ascii="Times New Roman" w:hAnsi="Times New Roman"/>
          <w:sz w:val="16"/>
        </w:rPr>
        <w:t>Fonds social européen</w:t>
      </w:r>
      <w:r>
        <w:rPr>
          <w:rStyle w:val="FootnoteReference"/>
          <w:rFonts w:ascii="Times New Roman" w:hAnsi="Times New Roman"/>
          <w:sz w:val="16"/>
          <w:vertAlign w:val="baseline"/>
        </w:rPr>
        <w:t xml:space="preserve"> </w:t>
      </w:r>
      <w:r>
        <w:rPr>
          <w:rFonts w:ascii="Times New Roman" w:hAnsi="Times New Roman"/>
          <w:sz w:val="16"/>
        </w:rPr>
        <w:t>plus (FSE+)</w:t>
      </w:r>
      <w:r>
        <w:rPr>
          <w:rStyle w:val="FootnoteReference"/>
          <w:rFonts w:ascii="Times New Roman" w:hAnsi="Times New Roman"/>
          <w:sz w:val="16"/>
          <w:vertAlign w:val="baseline"/>
        </w:rPr>
        <w:t xml:space="preserve"> </w:t>
      </w:r>
      <w:r>
        <w:rPr>
          <w:rFonts w:ascii="Times New Roman" w:hAnsi="Times New Roman"/>
          <w:sz w:val="16"/>
        </w:rPr>
        <w:t>peut soutenir de</w:t>
      </w:r>
      <w:r>
        <w:rPr>
          <w:rStyle w:val="FootnoteReference"/>
          <w:rFonts w:ascii="Times New Roman" w:hAnsi="Times New Roman"/>
          <w:sz w:val="16"/>
          <w:vertAlign w:val="baseline"/>
        </w:rPr>
        <w:t xml:space="preserve"> </w:t>
      </w:r>
      <w:r>
        <w:rPr>
          <w:rFonts w:ascii="Times New Roman" w:hAnsi="Times New Roman"/>
          <w:sz w:val="16"/>
        </w:rPr>
        <w:t>nombreuses actions qui atténuent les effets de</w:t>
      </w:r>
      <w:r>
        <w:rPr>
          <w:rStyle w:val="FootnoteReference"/>
          <w:rFonts w:ascii="Times New Roman" w:hAnsi="Times New Roman"/>
          <w:sz w:val="16"/>
          <w:vertAlign w:val="baseline"/>
        </w:rPr>
        <w:t xml:space="preserve"> </w:t>
      </w:r>
      <w:r>
        <w:rPr>
          <w:rFonts w:ascii="Times New Roman" w:hAnsi="Times New Roman"/>
          <w:sz w:val="16"/>
        </w:rPr>
        <w:t>l’évolution démographique, tels que l’accès à l’emploi (y compris pour les personnes âgées, les jeunes et les femmes), l’accès aux</w:t>
      </w:r>
      <w:r>
        <w:rPr>
          <w:rStyle w:val="FootnoteReference"/>
          <w:rFonts w:ascii="Times New Roman" w:hAnsi="Times New Roman"/>
          <w:sz w:val="16"/>
          <w:vertAlign w:val="baseline"/>
        </w:rPr>
        <w:t xml:space="preserve"> </w:t>
      </w:r>
      <w:r>
        <w:rPr>
          <w:rFonts w:ascii="Times New Roman" w:hAnsi="Times New Roman"/>
          <w:sz w:val="16"/>
        </w:rPr>
        <w:t xml:space="preserve">services de garde d’enfants et de soins de longue durée, l’éducation et les compétences, ainsi que la mise en œuvre des garanties pour l’enfance et la jeunesse. </w:t>
      </w:r>
      <w:r>
        <w:rPr>
          <w:rStyle w:val="FootnoteReference"/>
          <w:rFonts w:ascii="Times New Roman" w:hAnsi="Times New Roman"/>
          <w:sz w:val="16"/>
          <w:vertAlign w:val="baseline"/>
        </w:rPr>
        <w:t>Cette dimension est renforcée dans les propositions de la Commission pour le prochain CFP, qui mettent en place un nouvel article spécifique du FSE</w:t>
      </w:r>
      <w:r>
        <w:rPr>
          <w:rFonts w:ascii="Times New Roman" w:hAnsi="Times New Roman"/>
          <w:sz w:val="16"/>
        </w:rPr>
        <w:t xml:space="preserve"> </w:t>
      </w:r>
      <w:r>
        <w:rPr>
          <w:rStyle w:val="FootnoteReference"/>
          <w:rFonts w:ascii="Times New Roman" w:hAnsi="Times New Roman"/>
          <w:sz w:val="16"/>
          <w:vertAlign w:val="baseline"/>
        </w:rPr>
        <w:t>au sujet de l’évolution démographique</w:t>
      </w:r>
      <w:r>
        <w:rPr>
          <w:rFonts w:ascii="Times New Roman" w:hAnsi="Times New Roman"/>
          <w:sz w:val="16"/>
        </w:rPr>
        <w:t xml:space="preserve">. </w:t>
      </w:r>
    </w:p>
  </w:footnote>
  <w:footnote w:id="30">
    <w:p w14:paraId="238DC283" w14:textId="77777777" w:rsidR="00774BD6" w:rsidRPr="008E7A92" w:rsidRDefault="00774BD6" w:rsidP="00774BD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 par exemple, la </w:t>
      </w:r>
      <w:hyperlink r:id="rId33" w:history="1">
        <w:r>
          <w:rPr>
            <w:rStyle w:val="Hyperlink"/>
            <w:rFonts w:ascii="Times New Roman" w:hAnsi="Times New Roman"/>
            <w:i/>
            <w:sz w:val="16"/>
          </w:rPr>
          <w:t>stratégie industrielle pour l’Europe</w:t>
        </w:r>
      </w:hyperlink>
      <w:r>
        <w:rPr>
          <w:rFonts w:ascii="Times New Roman" w:hAnsi="Times New Roman"/>
          <w:sz w:val="16"/>
        </w:rPr>
        <w:t xml:space="preserve">, la </w:t>
      </w:r>
      <w:hyperlink r:id="rId34" w:history="1">
        <w:r>
          <w:rPr>
            <w:rStyle w:val="Hyperlink"/>
            <w:rFonts w:ascii="Times New Roman" w:hAnsi="Times New Roman"/>
            <w:i/>
            <w:sz w:val="16"/>
          </w:rPr>
          <w:t>boussole pour la compétitivité</w:t>
        </w:r>
      </w:hyperlink>
      <w:r>
        <w:rPr>
          <w:rFonts w:ascii="Times New Roman" w:hAnsi="Times New Roman"/>
          <w:sz w:val="16"/>
        </w:rPr>
        <w:t xml:space="preserve"> ou la</w:t>
      </w:r>
      <w:r>
        <w:t xml:space="preserve"> </w:t>
      </w:r>
      <w:hyperlink r:id="rId35" w:history="1">
        <w:r>
          <w:rPr>
            <w:rStyle w:val="Hyperlink"/>
            <w:rFonts w:ascii="Times New Roman" w:hAnsi="Times New Roman"/>
            <w:i/>
            <w:sz w:val="16"/>
          </w:rPr>
          <w:t>stratégie de l’UE en faveur des start-up et des scale-up</w:t>
        </w:r>
      </w:hyperlink>
      <w:r>
        <w:t>.</w:t>
      </w:r>
    </w:p>
  </w:footnote>
  <w:footnote w:id="31">
    <w:p w14:paraId="2F9083C5" w14:textId="2036B16B" w:rsidR="002E586E" w:rsidRPr="008E7A92" w:rsidRDefault="002E586E" w:rsidP="002E586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Des programmes de l’UE tels que le programme «</w:t>
      </w:r>
      <w:hyperlink r:id="rId36" w:history="1">
        <w:r>
          <w:rPr>
            <w:rStyle w:val="Hyperlink"/>
            <w:rFonts w:ascii="Times New Roman" w:hAnsi="Times New Roman"/>
            <w:i/>
            <w:sz w:val="16"/>
          </w:rPr>
          <w:t>L’UE pour la santé</w:t>
        </w:r>
      </w:hyperlink>
      <w:r>
        <w:rPr>
          <w:rFonts w:ascii="Times New Roman" w:hAnsi="Times New Roman"/>
          <w:sz w:val="16"/>
        </w:rPr>
        <w:t xml:space="preserve">», ou des initiatives telles que la </w:t>
      </w:r>
      <w:hyperlink r:id="rId37" w:history="1">
        <w:r>
          <w:rPr>
            <w:rStyle w:val="Hyperlink"/>
            <w:rFonts w:ascii="Times New Roman" w:hAnsi="Times New Roman"/>
            <w:i/>
            <w:sz w:val="16"/>
          </w:rPr>
          <w:t>feuille de route pour des emplois de qualité</w:t>
        </w:r>
      </w:hyperlink>
      <w:r>
        <w:rPr>
          <w:rFonts w:ascii="Times New Roman" w:hAnsi="Times New Roman"/>
          <w:sz w:val="16"/>
        </w:rPr>
        <w:t xml:space="preserve">, la future </w:t>
      </w:r>
      <w:r>
        <w:rPr>
          <w:rFonts w:ascii="Times New Roman" w:hAnsi="Times New Roman"/>
          <w:i/>
          <w:sz w:val="16"/>
        </w:rPr>
        <w:t>stratégie européenne de lutte contre la pauvreté</w:t>
      </w:r>
      <w:r>
        <w:rPr>
          <w:rFonts w:ascii="Times New Roman" w:hAnsi="Times New Roman"/>
          <w:sz w:val="16"/>
        </w:rPr>
        <w:t xml:space="preserve">, la </w:t>
      </w:r>
      <w:r>
        <w:rPr>
          <w:rFonts w:ascii="Times New Roman" w:hAnsi="Times New Roman"/>
          <w:i/>
          <w:sz w:val="16"/>
        </w:rPr>
        <w:t>garantie européenne pour l’enfance</w:t>
      </w:r>
      <w:r>
        <w:rPr>
          <w:rFonts w:ascii="Times New Roman" w:hAnsi="Times New Roman"/>
          <w:sz w:val="16"/>
        </w:rPr>
        <w:t xml:space="preserve"> renforcée, la </w:t>
      </w:r>
      <w:r>
        <w:rPr>
          <w:rFonts w:ascii="Times New Roman" w:hAnsi="Times New Roman"/>
          <w:i/>
          <w:sz w:val="16"/>
        </w:rPr>
        <w:t>stratégie européenne en matière de soins</w:t>
      </w:r>
      <w:r>
        <w:rPr>
          <w:rFonts w:ascii="Times New Roman" w:hAnsi="Times New Roman"/>
          <w:sz w:val="16"/>
        </w:rPr>
        <w:t xml:space="preserve"> et la </w:t>
      </w:r>
      <w:hyperlink r:id="rId38" w:history="1">
        <w:r>
          <w:rPr>
            <w:rStyle w:val="Hyperlink"/>
            <w:rFonts w:ascii="Times New Roman" w:hAnsi="Times New Roman"/>
            <w:i/>
            <w:sz w:val="16"/>
          </w:rPr>
          <w:t>recommandation du Conseil sur l’accès à des soins de longue durée abordables et de haute qualité</w:t>
        </w:r>
      </w:hyperlink>
      <w:r>
        <w:rPr>
          <w:rFonts w:ascii="Times New Roman" w:hAnsi="Times New Roman"/>
          <w:sz w:val="16"/>
        </w:rPr>
        <w:t xml:space="preserve"> visent à renforcer l’accès aux soins et à accompagner les aidants, à favoriser des emplois de qualité, à garantir l’accès aux protections et services essentiels et à briser les cycles de pauvreté.</w:t>
      </w:r>
    </w:p>
  </w:footnote>
  <w:footnote w:id="32">
    <w:p w14:paraId="2926019A" w14:textId="04FFEE26"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w:t>
      </w:r>
      <w:hyperlink r:id="rId39">
        <w:r>
          <w:rPr>
            <w:rStyle w:val="Hyperlink"/>
            <w:rFonts w:ascii="Times New Roman" w:hAnsi="Times New Roman"/>
            <w:i/>
            <w:sz w:val="16"/>
          </w:rPr>
          <w:t>union des compétences</w:t>
        </w:r>
      </w:hyperlink>
      <w:r>
        <w:rPr>
          <w:rFonts w:ascii="Times New Roman" w:hAnsi="Times New Roman"/>
          <w:sz w:val="16"/>
        </w:rPr>
        <w:t xml:space="preserve"> adoptée par la Commission en 2025 vise à faciliter le développement de systèmes d’éducation, de formation et de compétences inclusifs, adaptables et de qualité afin de doter les citoyens de toute l’Europe des compétences dont ils ont besoin pour prospérer, et à accroître la compétitivité de l’UE, au moyen d’initiatives telles qu’un mécanisme d’aide à l’acquisition des compétences de base, un programme de l’UE pour les enseignants et les formateurs, des alliances scolaires européennes et une feuille de route pour l’avenir de l’éducation et des compétences numériques pour 2030.</w:t>
      </w:r>
    </w:p>
  </w:footnote>
  <w:footnote w:id="33">
    <w:p w14:paraId="79361375" w14:textId="77777777" w:rsidR="007D1A56" w:rsidRPr="008E7A92" w:rsidRDefault="007D1A56"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0" w:history="1">
        <w:r>
          <w:rPr>
            <w:rStyle w:val="Hyperlink"/>
            <w:rFonts w:ascii="Times New Roman" w:hAnsi="Times New Roman"/>
            <w:sz w:val="16"/>
          </w:rPr>
          <w:t>Corps européen de solidarité |</w:t>
        </w:r>
      </w:hyperlink>
      <w:hyperlink r:id="rId41" w:history="1">
        <w:r>
          <w:rPr>
            <w:rStyle w:val="Hyperlink"/>
            <w:rFonts w:ascii="Times New Roman" w:hAnsi="Times New Roman"/>
            <w:sz w:val="16"/>
          </w:rPr>
          <w:t xml:space="preserve"> Portail européen de la jeunesse</w:t>
        </w:r>
      </w:hyperlink>
      <w:r>
        <w:t>.</w:t>
      </w:r>
    </w:p>
  </w:footnote>
  <w:footnote w:id="34">
    <w:p w14:paraId="68F412F3" w14:textId="69607F80" w:rsidR="00A70A62" w:rsidRPr="008E7A92" w:rsidRDefault="00A70A62" w:rsidP="007D1A56">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panel de citoyens européens sur l’équité intergénérationnelle a souligné l’importance de </w:t>
      </w:r>
      <w:r>
        <w:rPr>
          <w:rFonts w:ascii="Times New Roman" w:hAnsi="Times New Roman"/>
          <w:i/>
          <w:sz w:val="16"/>
        </w:rPr>
        <w:t>logements sûrs, de communautés fortes et d’une vie digne pour toutes les générations</w:t>
      </w:r>
      <w:r>
        <w:rPr>
          <w:rFonts w:ascii="Times New Roman" w:hAnsi="Times New Roman"/>
          <w:sz w:val="16"/>
        </w:rPr>
        <w:t>.</w:t>
      </w:r>
    </w:p>
  </w:footnote>
  <w:footnote w:id="35">
    <w:p w14:paraId="549E8D35"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Commission publiera en 2027</w:t>
      </w:r>
      <w:r>
        <w:rPr>
          <w:rFonts w:ascii="Times New Roman" w:hAnsi="Times New Roman"/>
          <w:color w:val="000000" w:themeColor="text1"/>
          <w:sz w:val="16"/>
        </w:rPr>
        <w:t xml:space="preserve"> </w:t>
      </w:r>
      <w:r>
        <w:rPr>
          <w:rFonts w:ascii="Times New Roman" w:hAnsi="Times New Roman"/>
          <w:sz w:val="16"/>
        </w:rPr>
        <w:t>plusieurs rapports sur les systèmes de protection sociale. Le rapport sur une protection sociale adéquate des personnes âgées comportera une analyse intégrée de la manière dont les systèmes européens de protection sociale contribuent à protéger les niveaux de vie de la population âgée grâce aux retraites, aux soins de longue durée et aux politiques connexes, alors que le rapport 2027 sur le vieillissement sera axé sur des prévisions montrant l’incidence économique et budgétaire du vieillissement de la population à long terme, en couvrant la période allant jusqu’en 2080.</w:t>
      </w:r>
    </w:p>
  </w:footnote>
  <w:footnote w:id="36">
    <w:p w14:paraId="1D952476" w14:textId="7443FF2A" w:rsidR="007C669E" w:rsidRPr="00B22CB0" w:rsidRDefault="007C669E" w:rsidP="00B22CB0">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En novembre 2025, la Commission a publié une série d’initiatives visant à promouvoir la mise en place et l’adoption de retraites complémentaires dans les États membres, parmi lesquelles la </w:t>
      </w:r>
      <w:hyperlink r:id="rId42" w:history="1">
        <w:r>
          <w:rPr>
            <w:rStyle w:val="Hyperlink"/>
            <w:rFonts w:ascii="Times New Roman" w:hAnsi="Times New Roman"/>
            <w:i/>
            <w:sz w:val="16"/>
          </w:rPr>
          <w:t>recommandation de la Commission sur les systèmes de suivi des retraites, les tableaux de bord des retraites et l’affiliation automatique</w:t>
        </w:r>
      </w:hyperlink>
      <w:r>
        <w:rPr>
          <w:rFonts w:ascii="Times New Roman" w:hAnsi="Times New Roman"/>
          <w:sz w:val="16"/>
        </w:rPr>
        <w:t>, C(2025) 9300 final.</w:t>
      </w:r>
    </w:p>
  </w:footnote>
  <w:footnote w:id="37">
    <w:p w14:paraId="338079ED" w14:textId="797D3414" w:rsidR="00C35434" w:rsidRPr="00973910" w:rsidRDefault="00C35434">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3" w:history="1">
        <w:r>
          <w:rPr>
            <w:rStyle w:val="Hyperlink"/>
            <w:rFonts w:ascii="Times New Roman" w:hAnsi="Times New Roman"/>
            <w:sz w:val="16"/>
          </w:rPr>
          <w:t>Stratégie de l’UE pour une union de la préparation</w:t>
        </w:r>
      </w:hyperlink>
      <w:r>
        <w:t>.</w:t>
      </w:r>
    </w:p>
  </w:footnote>
  <w:footnote w:id="38">
    <w:p w14:paraId="141974DB" w14:textId="6C4775A8" w:rsidR="00C35434" w:rsidRPr="00375D18" w:rsidRDefault="00C35434">
      <w:pPr>
        <w:pStyle w:val="FootnoteText"/>
        <w:rPr>
          <w:lang w:val="en-GB"/>
        </w:rPr>
      </w:pPr>
      <w:r>
        <w:rPr>
          <w:rStyle w:val="FootnoteReference"/>
          <w:rFonts w:ascii="Times New Roman" w:hAnsi="Times New Roman" w:cs="Times New Roman"/>
          <w:sz w:val="16"/>
          <w:szCs w:val="16"/>
        </w:rPr>
        <w:footnoteRef/>
      </w:r>
      <w:r w:rsidRPr="00375D18">
        <w:rPr>
          <w:rFonts w:ascii="Times New Roman" w:hAnsi="Times New Roman"/>
          <w:sz w:val="16"/>
          <w:lang w:val="en-GB"/>
        </w:rPr>
        <w:t xml:space="preserve"> </w:t>
      </w:r>
      <w:hyperlink r:id="rId44" w:history="1">
        <w:r w:rsidRPr="00375D18">
          <w:rPr>
            <w:rStyle w:val="Hyperlink"/>
            <w:rFonts w:ascii="Times New Roman" w:hAnsi="Times New Roman"/>
            <w:sz w:val="16"/>
            <w:lang w:val="en-GB"/>
          </w:rPr>
          <w:t>«Safer Together:</w:t>
        </w:r>
      </w:hyperlink>
      <w:hyperlink r:id="rId45" w:history="1">
        <w:r w:rsidRPr="00375D18">
          <w:rPr>
            <w:rStyle w:val="Hyperlink"/>
            <w:rFonts w:ascii="Times New Roman" w:hAnsi="Times New Roman"/>
            <w:sz w:val="16"/>
            <w:lang w:val="en-GB"/>
          </w:rPr>
          <w:t xml:space="preserve"> A path towards a fully prepared Union» – Commission européenne</w:t>
        </w:r>
      </w:hyperlink>
      <w:r w:rsidRPr="00375D18">
        <w:rPr>
          <w:lang w:val="en-GB"/>
        </w:rPr>
        <w:t>.</w:t>
      </w:r>
    </w:p>
  </w:footnote>
  <w:footnote w:id="39">
    <w:p w14:paraId="434B4238" w14:textId="090357FC" w:rsidR="007D1A56" w:rsidRPr="008E7A92" w:rsidRDefault="007D1A56"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 par exemple, l’action 29 concernant les programmes scolaires, l’action 30 concernant les programmes en faveur de la jeunesse et l’action 27 concernant la sensibilisation aux risques et aux menaces, qui comporte un volet relatif aux personnes vulnérables. </w:t>
      </w:r>
    </w:p>
  </w:footnote>
  <w:footnote w:id="40">
    <w:p w14:paraId="6B711BB0" w14:textId="77777777" w:rsidR="009869ED" w:rsidRPr="008E7A92" w:rsidRDefault="009869ED" w:rsidP="007D1A56">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6" w:history="1">
        <w:r>
          <w:rPr>
            <w:rStyle w:val="Hyperlink"/>
            <w:rFonts w:ascii="Times New Roman" w:hAnsi="Times New Roman"/>
            <w:i/>
            <w:sz w:val="16"/>
          </w:rPr>
          <w:t>Bouclier européen de la démocratie et stratégie de l’Union en faveur de la société civile</w:t>
        </w:r>
      </w:hyperlink>
      <w:r>
        <w:t>.</w:t>
      </w:r>
    </w:p>
  </w:footnote>
  <w:footnote w:id="41">
    <w:p w14:paraId="76429081" w14:textId="77777777" w:rsidR="00024888" w:rsidRPr="008E7A92" w:rsidRDefault="00024888" w:rsidP="00024888">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 Commission a publié sa première </w:t>
      </w:r>
      <w:hyperlink r:id="rId47" w:history="1">
        <w:r>
          <w:rPr>
            <w:rStyle w:val="Hyperlink"/>
            <w:rFonts w:ascii="Times New Roman" w:hAnsi="Times New Roman"/>
            <w:i/>
            <w:sz w:val="16"/>
          </w:rPr>
          <w:t>recommandation sur la lutte contre la précarité en matière de transport</w:t>
        </w:r>
      </w:hyperlink>
      <w:r>
        <w:rPr>
          <w:rFonts w:ascii="Times New Roman" w:hAnsi="Times New Roman"/>
          <w:sz w:val="16"/>
        </w:rPr>
        <w:t xml:space="preserve"> en mai 2025. Elle y a souligné le rôle essentiel des transports dans la promotion du développement économique, du bien-être et de l’équité sociale en soutenant l’accès à des emplois de qualité, notamment pour les personnes exposées au risque de pauvreté et d’exclusion sociale et certains groupes vulnérables de la société, ainsi que sa contribution au renforcement de l’équité et de la solidarité intergénérationnelles.</w:t>
      </w:r>
    </w:p>
  </w:footnote>
  <w:footnote w:id="42">
    <w:p w14:paraId="619C0703" w14:textId="62917C01" w:rsidR="00A70A62" w:rsidRPr="00B22CB0"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Voir, par exemple, le </w:t>
      </w:r>
      <w:hyperlink r:id="rId48" w:history="1">
        <w:r>
          <w:rPr>
            <w:rStyle w:val="Hyperlink"/>
            <w:rFonts w:ascii="Times New Roman" w:hAnsi="Times New Roman"/>
            <w:i/>
            <w:sz w:val="16"/>
          </w:rPr>
          <w:t>règlement (UE) 2024/1689</w:t>
        </w:r>
      </w:hyperlink>
      <w:r>
        <w:rPr>
          <w:rFonts w:ascii="Times New Roman" w:hAnsi="Times New Roman"/>
          <w:sz w:val="16"/>
        </w:rPr>
        <w:t>, qui garantit que les systèmes d’IA sont sûrs, dignes de confiance et qu’ils respectent les droits fondamentaux tout en promouvant l’innovation.</w:t>
      </w:r>
    </w:p>
  </w:footnote>
  <w:footnote w:id="43">
    <w:p w14:paraId="39C5F959" w14:textId="22C0A971" w:rsidR="00A70A62" w:rsidRPr="008E7A92" w:rsidRDefault="00A70A62" w:rsidP="00A70A62">
      <w:pPr>
        <w:pStyle w:val="FootnoteText"/>
        <w:jc w:val="both"/>
        <w:rPr>
          <w:rFonts w:ascii="Times New Roman" w:hAnsi="Times New Roman" w:cs="Times New Roman"/>
          <w:i/>
          <w:iCs/>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panel de citoyens européens sur l’équité intergénérationnelle a souligné l’importance </w:t>
      </w:r>
      <w:r>
        <w:rPr>
          <w:rFonts w:ascii="Times New Roman" w:hAnsi="Times New Roman"/>
          <w:i/>
          <w:sz w:val="16"/>
        </w:rPr>
        <w:t>d’établir des limites à l’utilisation de l’IA afin de garantir un accès responsable et des normes éthiques et d’atténuer les risques potentiels</w:t>
      </w:r>
      <w:r>
        <w:rPr>
          <w:rFonts w:ascii="Times New Roman" w:hAnsi="Times New Roman"/>
          <w:sz w:val="16"/>
        </w:rPr>
        <w:t>.</w:t>
      </w:r>
    </w:p>
  </w:footnote>
  <w:footnote w:id="44">
    <w:p w14:paraId="67DA1DC1" w14:textId="33DD5BB2"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t xml:space="preserve"> </w:t>
      </w:r>
      <w:r>
        <w:rPr>
          <w:rFonts w:ascii="Times New Roman" w:hAnsi="Times New Roman"/>
          <w:sz w:val="16"/>
        </w:rPr>
        <w:t>La</w:t>
      </w:r>
      <w:r>
        <w:t xml:space="preserve"> </w:t>
      </w:r>
      <w:hyperlink r:id="rId49" w:history="1">
        <w:r>
          <w:rPr>
            <w:rStyle w:val="Hyperlink"/>
            <w:rFonts w:ascii="Times New Roman" w:hAnsi="Times New Roman"/>
            <w:i/>
            <w:sz w:val="16"/>
          </w:rPr>
          <w:t>stratégie de renouvellement des générations dans l’agriculture</w:t>
        </w:r>
      </w:hyperlink>
      <w:r>
        <w:rPr>
          <w:rFonts w:ascii="Times New Roman" w:hAnsi="Times New Roman"/>
          <w:color w:val="000000" w:themeColor="text1"/>
          <w:sz w:val="16"/>
        </w:rPr>
        <w:t xml:space="preserve"> vise à doubler la part des jeunes et des nouveaux agriculteurs, en veillant à ce que l’agriculture reste innovante, compétitive et résiliente. Elle fait également écho au panel de citoyens européens sur l’équité intergénérationnelle, qui a souligné l’importance de renforcer l’agriculture durable grâce à une aide financière accrue de l’UE ainsi qu’à la sécurité et à la souveraineté alimentaires.</w:t>
      </w:r>
      <w:r>
        <w:rPr>
          <w:rFonts w:ascii="Times New Roman" w:hAnsi="Times New Roman"/>
          <w:sz w:val="16"/>
        </w:rPr>
        <w:t xml:space="preserve"> Le renouvellement des générations dans les emplois liés aux océans sera abordé dans la </w:t>
      </w:r>
      <w:r>
        <w:rPr>
          <w:rFonts w:ascii="Times New Roman" w:hAnsi="Times New Roman"/>
          <w:i/>
          <w:sz w:val="16"/>
        </w:rPr>
        <w:t>vision pour la pêche et l’aquaculture à l’horizon 2040</w:t>
      </w:r>
      <w:r>
        <w:rPr>
          <w:rFonts w:ascii="Times New Roman" w:hAnsi="Times New Roman"/>
          <w:sz w:val="16"/>
        </w:rPr>
        <w:t xml:space="preserve"> (2026) et dans la </w:t>
      </w:r>
      <w:r>
        <w:rPr>
          <w:rFonts w:ascii="Times New Roman" w:hAnsi="Times New Roman"/>
          <w:i/>
          <w:sz w:val="16"/>
        </w:rPr>
        <w:t>stratégie de renouvellement de la génération bleue</w:t>
      </w:r>
      <w:r>
        <w:rPr>
          <w:rFonts w:ascii="Times New Roman" w:hAnsi="Times New Roman"/>
          <w:sz w:val="16"/>
        </w:rPr>
        <w:t xml:space="preserve"> (2027).</w:t>
      </w:r>
    </w:p>
  </w:footnote>
  <w:footnote w:id="45">
    <w:p w14:paraId="35B47072" w14:textId="77777777"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La</w:t>
      </w:r>
      <w:r>
        <w:t xml:space="preserve"> </w:t>
      </w:r>
      <w:hyperlink r:id="rId50" w:history="1">
        <w:r>
          <w:rPr>
            <w:rStyle w:val="Hyperlink"/>
            <w:rFonts w:ascii="Times New Roman" w:hAnsi="Times New Roman"/>
            <w:i/>
            <w:sz w:val="16"/>
          </w:rPr>
          <w:t>boîte à outils «démographie»</w:t>
        </w:r>
      </w:hyperlink>
      <w:r>
        <w:rPr>
          <w:rFonts w:ascii="Times New Roman" w:hAnsi="Times New Roman"/>
          <w:sz w:val="16"/>
        </w:rPr>
        <w:t xml:space="preserve"> de 2023 fait ressortir les risques du vieillissement de la population européenne pour la compétitivité à long terme de l’UE. Elle associe les outils de l’UE aux politiques nationales et régionales afin de donner à toutes les générations les moyens d’agir et de réaliser leurs choix de vie et leur potentiel dans l’économie et la société tout entière.</w:t>
      </w:r>
    </w:p>
  </w:footnote>
  <w:footnote w:id="46">
    <w:p w14:paraId="664A9E80" w14:textId="2FA44A60"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w:t>
      </w:r>
      <w:hyperlink r:id="rId51" w:history="1">
        <w:r>
          <w:rPr>
            <w:rStyle w:val="Hyperlink"/>
            <w:rFonts w:ascii="Times New Roman" w:hAnsi="Times New Roman"/>
            <w:i/>
            <w:sz w:val="16"/>
          </w:rPr>
          <w:t>programme de l’Union pour les villes de 2025</w:t>
        </w:r>
      </w:hyperlink>
      <w:r>
        <w:rPr>
          <w:rFonts w:ascii="Times New Roman" w:hAnsi="Times New Roman"/>
          <w:sz w:val="16"/>
        </w:rPr>
        <w:t xml:space="preserve"> renforce les dimensions territoriale et urbaine des politiques de l’UE et rationalise les aides existantes en faveur des zones urbaines. En outre, la</w:t>
      </w:r>
      <w:r>
        <w:t xml:space="preserve"> </w:t>
      </w:r>
      <w:hyperlink r:id="rId52" w:history="1">
        <w:r>
          <w:rPr>
            <w:rStyle w:val="Hyperlink"/>
            <w:rFonts w:ascii="Times New Roman" w:hAnsi="Times New Roman"/>
            <w:i/>
            <w:sz w:val="16"/>
          </w:rPr>
          <w:t>mission pour des villes neutres pour le climat et intelligentes</w:t>
        </w:r>
      </w:hyperlink>
      <w:r>
        <w:rPr>
          <w:rFonts w:ascii="Times New Roman" w:hAnsi="Times New Roman"/>
          <w:sz w:val="16"/>
        </w:rPr>
        <w:t xml:space="preserve"> d’</w:t>
      </w:r>
      <w:r>
        <w:rPr>
          <w:rFonts w:ascii="Times New Roman" w:hAnsi="Times New Roman"/>
          <w:i/>
          <w:sz w:val="16"/>
        </w:rPr>
        <w:t>Horizon Europe</w:t>
      </w:r>
      <w:r>
        <w:rPr>
          <w:rFonts w:ascii="Times New Roman" w:hAnsi="Times New Roman"/>
          <w:sz w:val="16"/>
        </w:rPr>
        <w:t xml:space="preserve"> renforce la résilience et l’innovation sociétales en étant explicitement axée sur l’engagement des citoyens et la gouvernance multipartite.</w:t>
      </w:r>
    </w:p>
  </w:footnote>
  <w:footnote w:id="47">
    <w:p w14:paraId="57AF9394" w14:textId="4E1391D5" w:rsidR="00A70A62" w:rsidRPr="008E7A92" w:rsidRDefault="00A70A62" w:rsidP="007D1A56">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Pour faire en sorte que les zones rurales puissent continuer à jouer ces rôles essentiels, la Commission européenne a publié en 2025 sa</w:t>
      </w:r>
      <w:r>
        <w:t xml:space="preserve"> </w:t>
      </w:r>
      <w:hyperlink r:id="rId53" w:history="1">
        <w:r>
          <w:rPr>
            <w:rStyle w:val="Hyperlink"/>
            <w:rFonts w:ascii="Times New Roman" w:hAnsi="Times New Roman"/>
            <w:i/>
            <w:sz w:val="16"/>
          </w:rPr>
          <w:t>vision à long terme pour les zones rurales de l’UE</w:t>
        </w:r>
      </w:hyperlink>
      <w:r>
        <w:rPr>
          <w:rFonts w:ascii="Times New Roman" w:hAnsi="Times New Roman"/>
          <w:sz w:val="16"/>
        </w:rPr>
        <w:t xml:space="preserve"> jusqu’en 2040. Des stratégies similaires pour les communautés côtières et les îles sont attendues en 2026.</w:t>
      </w:r>
    </w:p>
  </w:footnote>
  <w:footnote w:id="48">
    <w:p w14:paraId="05BD7102" w14:textId="77777777" w:rsidR="00A70A62" w:rsidRPr="008E7A92" w:rsidRDefault="00A70A62" w:rsidP="00A70A6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panel de citoyens européens sur l’équité intergénérationnelle a souligné l’importance de </w:t>
      </w:r>
      <w:r>
        <w:rPr>
          <w:rFonts w:ascii="Times New Roman" w:hAnsi="Times New Roman"/>
          <w:i/>
          <w:sz w:val="16"/>
        </w:rPr>
        <w:t>renforcer la diplomatie et le rôle de l’UE dans le maintien de la paix en tant que principal outil de résolution des conflits</w:t>
      </w:r>
      <w:r>
        <w:rPr>
          <w:rFonts w:ascii="Times New Roman" w:hAnsi="Times New Roman"/>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67B64" w14:textId="77777777" w:rsidR="008B0431" w:rsidRPr="008B0431" w:rsidRDefault="008B0431" w:rsidP="008B043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CBAA2" w14:textId="77777777" w:rsidR="008B0431" w:rsidRPr="008B0431" w:rsidRDefault="008B0431" w:rsidP="008B04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B45B4" w14:textId="77777777" w:rsidR="008B0431" w:rsidRPr="008B0431" w:rsidRDefault="008B0431" w:rsidP="008B04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64DE9" w14:textId="77777777" w:rsidR="00A70A62" w:rsidRDefault="00A70A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1019B" w14:textId="77777777" w:rsidR="00A70A62" w:rsidRDefault="00A70A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43BE9" w14:textId="77777777" w:rsidR="00A70A62" w:rsidRDefault="00A70A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1C36"/>
    <w:multiLevelType w:val="multilevel"/>
    <w:tmpl w:val="A8FC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53933"/>
    <w:multiLevelType w:val="hybridMultilevel"/>
    <w:tmpl w:val="3702999A"/>
    <w:lvl w:ilvl="0" w:tplc="444A215C">
      <w:start w:val="1"/>
      <w:numFmt w:val="bullet"/>
      <w:lvlText w:val=""/>
      <w:lvlJc w:val="left"/>
      <w:pPr>
        <w:ind w:left="720" w:hanging="360"/>
      </w:pPr>
      <w:rPr>
        <w:rFonts w:ascii="Symbol" w:hAnsi="Symbol"/>
      </w:rPr>
    </w:lvl>
    <w:lvl w:ilvl="1" w:tplc="165291AC">
      <w:start w:val="1"/>
      <w:numFmt w:val="bullet"/>
      <w:lvlText w:val=""/>
      <w:lvlJc w:val="left"/>
      <w:pPr>
        <w:ind w:left="720" w:hanging="360"/>
      </w:pPr>
      <w:rPr>
        <w:rFonts w:ascii="Symbol" w:hAnsi="Symbol"/>
      </w:rPr>
    </w:lvl>
    <w:lvl w:ilvl="2" w:tplc="0DCCB22E">
      <w:start w:val="1"/>
      <w:numFmt w:val="bullet"/>
      <w:lvlText w:val=""/>
      <w:lvlJc w:val="left"/>
      <w:pPr>
        <w:ind w:left="720" w:hanging="360"/>
      </w:pPr>
      <w:rPr>
        <w:rFonts w:ascii="Symbol" w:hAnsi="Symbol"/>
      </w:rPr>
    </w:lvl>
    <w:lvl w:ilvl="3" w:tplc="281AF734">
      <w:start w:val="1"/>
      <w:numFmt w:val="bullet"/>
      <w:lvlText w:val=""/>
      <w:lvlJc w:val="left"/>
      <w:pPr>
        <w:ind w:left="720" w:hanging="360"/>
      </w:pPr>
      <w:rPr>
        <w:rFonts w:ascii="Symbol" w:hAnsi="Symbol"/>
      </w:rPr>
    </w:lvl>
    <w:lvl w:ilvl="4" w:tplc="502AAA0A">
      <w:start w:val="1"/>
      <w:numFmt w:val="bullet"/>
      <w:lvlText w:val=""/>
      <w:lvlJc w:val="left"/>
      <w:pPr>
        <w:ind w:left="720" w:hanging="360"/>
      </w:pPr>
      <w:rPr>
        <w:rFonts w:ascii="Symbol" w:hAnsi="Symbol"/>
      </w:rPr>
    </w:lvl>
    <w:lvl w:ilvl="5" w:tplc="E76EF7A8">
      <w:start w:val="1"/>
      <w:numFmt w:val="bullet"/>
      <w:lvlText w:val=""/>
      <w:lvlJc w:val="left"/>
      <w:pPr>
        <w:ind w:left="720" w:hanging="360"/>
      </w:pPr>
      <w:rPr>
        <w:rFonts w:ascii="Symbol" w:hAnsi="Symbol"/>
      </w:rPr>
    </w:lvl>
    <w:lvl w:ilvl="6" w:tplc="75F4A750">
      <w:start w:val="1"/>
      <w:numFmt w:val="bullet"/>
      <w:lvlText w:val=""/>
      <w:lvlJc w:val="left"/>
      <w:pPr>
        <w:ind w:left="720" w:hanging="360"/>
      </w:pPr>
      <w:rPr>
        <w:rFonts w:ascii="Symbol" w:hAnsi="Symbol"/>
      </w:rPr>
    </w:lvl>
    <w:lvl w:ilvl="7" w:tplc="41E2D902">
      <w:start w:val="1"/>
      <w:numFmt w:val="bullet"/>
      <w:lvlText w:val=""/>
      <w:lvlJc w:val="left"/>
      <w:pPr>
        <w:ind w:left="720" w:hanging="360"/>
      </w:pPr>
      <w:rPr>
        <w:rFonts w:ascii="Symbol" w:hAnsi="Symbol"/>
      </w:rPr>
    </w:lvl>
    <w:lvl w:ilvl="8" w:tplc="A3A2FDB4">
      <w:start w:val="1"/>
      <w:numFmt w:val="bullet"/>
      <w:lvlText w:val=""/>
      <w:lvlJc w:val="left"/>
      <w:pPr>
        <w:ind w:left="720" w:hanging="360"/>
      </w:pPr>
      <w:rPr>
        <w:rFonts w:ascii="Symbol" w:hAnsi="Symbol"/>
      </w:rPr>
    </w:lvl>
  </w:abstractNum>
  <w:abstractNum w:abstractNumId="2" w15:restartNumberingAfterBreak="0">
    <w:nsid w:val="20B60C53"/>
    <w:multiLevelType w:val="hybridMultilevel"/>
    <w:tmpl w:val="8E283BCA"/>
    <w:lvl w:ilvl="0" w:tplc="FD403C90">
      <w:start w:val="1"/>
      <w:numFmt w:val="decimal"/>
      <w:lvlText w:val="%1."/>
      <w:lvlJc w:val="left"/>
      <w:pPr>
        <w:ind w:left="360" w:hanging="360"/>
      </w:pPr>
      <w:rPr>
        <w:b w:val="0"/>
        <w:bCs w:val="0"/>
        <w:i w:val="0"/>
        <w:iCs w:val="0"/>
      </w:rPr>
    </w:lvl>
    <w:lvl w:ilvl="1" w:tplc="F47CC1D6" w:tentative="1">
      <w:start w:val="1"/>
      <w:numFmt w:val="lowerLetter"/>
      <w:lvlText w:val="%2."/>
      <w:lvlJc w:val="left"/>
      <w:pPr>
        <w:ind w:left="1080" w:hanging="360"/>
      </w:pPr>
    </w:lvl>
    <w:lvl w:ilvl="2" w:tplc="BA0C0874" w:tentative="1">
      <w:start w:val="1"/>
      <w:numFmt w:val="lowerRoman"/>
      <w:lvlText w:val="%3."/>
      <w:lvlJc w:val="right"/>
      <w:pPr>
        <w:ind w:left="1800" w:hanging="180"/>
      </w:pPr>
    </w:lvl>
    <w:lvl w:ilvl="3" w:tplc="AA54C370" w:tentative="1">
      <w:start w:val="1"/>
      <w:numFmt w:val="decimal"/>
      <w:lvlText w:val="%4."/>
      <w:lvlJc w:val="left"/>
      <w:pPr>
        <w:ind w:left="2520" w:hanging="360"/>
      </w:pPr>
    </w:lvl>
    <w:lvl w:ilvl="4" w:tplc="47ECBC1E" w:tentative="1">
      <w:start w:val="1"/>
      <w:numFmt w:val="lowerLetter"/>
      <w:lvlText w:val="%5."/>
      <w:lvlJc w:val="left"/>
      <w:pPr>
        <w:ind w:left="3240" w:hanging="360"/>
      </w:pPr>
    </w:lvl>
    <w:lvl w:ilvl="5" w:tplc="5CF8F538" w:tentative="1">
      <w:start w:val="1"/>
      <w:numFmt w:val="lowerRoman"/>
      <w:lvlText w:val="%6."/>
      <w:lvlJc w:val="right"/>
      <w:pPr>
        <w:ind w:left="3960" w:hanging="180"/>
      </w:pPr>
    </w:lvl>
    <w:lvl w:ilvl="6" w:tplc="23780D40" w:tentative="1">
      <w:start w:val="1"/>
      <w:numFmt w:val="decimal"/>
      <w:lvlText w:val="%7."/>
      <w:lvlJc w:val="left"/>
      <w:pPr>
        <w:ind w:left="4680" w:hanging="360"/>
      </w:pPr>
    </w:lvl>
    <w:lvl w:ilvl="7" w:tplc="BED6A6D6" w:tentative="1">
      <w:start w:val="1"/>
      <w:numFmt w:val="lowerLetter"/>
      <w:lvlText w:val="%8."/>
      <w:lvlJc w:val="left"/>
      <w:pPr>
        <w:ind w:left="5400" w:hanging="360"/>
      </w:pPr>
    </w:lvl>
    <w:lvl w:ilvl="8" w:tplc="E59AEE92" w:tentative="1">
      <w:start w:val="1"/>
      <w:numFmt w:val="lowerRoman"/>
      <w:lvlText w:val="%9."/>
      <w:lvlJc w:val="right"/>
      <w:pPr>
        <w:ind w:left="6120" w:hanging="180"/>
      </w:pPr>
    </w:lvl>
  </w:abstractNum>
  <w:abstractNum w:abstractNumId="3" w15:restartNumberingAfterBreak="0">
    <w:nsid w:val="259C160E"/>
    <w:multiLevelType w:val="hybridMultilevel"/>
    <w:tmpl w:val="3B7A1596"/>
    <w:lvl w:ilvl="0" w:tplc="18090019">
      <w:start w:val="1"/>
      <w:numFmt w:val="lowerLetter"/>
      <w:lvlText w:val="%1."/>
      <w:lvlJc w:val="left"/>
      <w:pPr>
        <w:ind w:left="720" w:hanging="360"/>
      </w:pPr>
      <w:rPr>
        <w:rFonts w:hint="default"/>
        <w:u w:val="no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8EC3CA"/>
    <w:multiLevelType w:val="hybridMultilevel"/>
    <w:tmpl w:val="17EACFD0"/>
    <w:lvl w:ilvl="0" w:tplc="6D1412CE">
      <w:start w:val="1"/>
      <w:numFmt w:val="decimal"/>
      <w:lvlText w:val="%1."/>
      <w:lvlJc w:val="left"/>
      <w:pPr>
        <w:ind w:left="360" w:hanging="360"/>
      </w:pPr>
      <w:rPr>
        <w:b w:val="0"/>
        <w:bCs w:val="0"/>
        <w:color w:val="auto"/>
      </w:rPr>
    </w:lvl>
    <w:lvl w:ilvl="1" w:tplc="145A3446">
      <w:start w:val="1"/>
      <w:numFmt w:val="lowerLetter"/>
      <w:lvlText w:val="%2."/>
      <w:lvlJc w:val="left"/>
      <w:pPr>
        <w:ind w:left="1080" w:hanging="360"/>
      </w:pPr>
    </w:lvl>
    <w:lvl w:ilvl="2" w:tplc="DAA8FE46">
      <w:start w:val="1"/>
      <w:numFmt w:val="lowerRoman"/>
      <w:lvlText w:val="%3."/>
      <w:lvlJc w:val="right"/>
      <w:pPr>
        <w:ind w:left="1800" w:hanging="180"/>
      </w:pPr>
    </w:lvl>
    <w:lvl w:ilvl="3" w:tplc="7F7656FC">
      <w:start w:val="1"/>
      <w:numFmt w:val="decimal"/>
      <w:lvlText w:val="%4."/>
      <w:lvlJc w:val="left"/>
      <w:pPr>
        <w:ind w:left="2520" w:hanging="360"/>
      </w:pPr>
    </w:lvl>
    <w:lvl w:ilvl="4" w:tplc="8BDE6CF2">
      <w:start w:val="1"/>
      <w:numFmt w:val="lowerLetter"/>
      <w:lvlText w:val="%5."/>
      <w:lvlJc w:val="left"/>
      <w:pPr>
        <w:ind w:left="3240" w:hanging="360"/>
      </w:pPr>
    </w:lvl>
    <w:lvl w:ilvl="5" w:tplc="FC5AB04E">
      <w:start w:val="1"/>
      <w:numFmt w:val="lowerRoman"/>
      <w:lvlText w:val="%6."/>
      <w:lvlJc w:val="right"/>
      <w:pPr>
        <w:ind w:left="3960" w:hanging="180"/>
      </w:pPr>
    </w:lvl>
    <w:lvl w:ilvl="6" w:tplc="13B42998">
      <w:start w:val="1"/>
      <w:numFmt w:val="decimal"/>
      <w:lvlText w:val="%7."/>
      <w:lvlJc w:val="left"/>
      <w:pPr>
        <w:ind w:left="4680" w:hanging="360"/>
      </w:pPr>
    </w:lvl>
    <w:lvl w:ilvl="7" w:tplc="0324FA5C">
      <w:start w:val="1"/>
      <w:numFmt w:val="lowerLetter"/>
      <w:lvlText w:val="%8."/>
      <w:lvlJc w:val="left"/>
      <w:pPr>
        <w:ind w:left="5400" w:hanging="360"/>
      </w:pPr>
    </w:lvl>
    <w:lvl w:ilvl="8" w:tplc="37C4C750">
      <w:start w:val="1"/>
      <w:numFmt w:val="lowerRoman"/>
      <w:lvlText w:val="%9."/>
      <w:lvlJc w:val="right"/>
      <w:pPr>
        <w:ind w:left="6120" w:hanging="180"/>
      </w:pPr>
    </w:lvl>
  </w:abstractNum>
  <w:abstractNum w:abstractNumId="5" w15:restartNumberingAfterBreak="0">
    <w:nsid w:val="3A05143D"/>
    <w:multiLevelType w:val="multilevel"/>
    <w:tmpl w:val="AFB429EE"/>
    <w:lvl w:ilvl="0">
      <w:start w:val="1"/>
      <w:numFmt w:val="decimal"/>
      <w:lvlText w:val="%1."/>
      <w:lvlJc w:val="left"/>
      <w:pPr>
        <w:ind w:left="720" w:hanging="360"/>
      </w:pPr>
      <w:rPr>
        <w:rFonts w:ascii="Times New Roman" w:hAnsi="Times New Roman" w:cs="Times New Roman" w:hint="default"/>
        <w:b/>
        <w:bCs/>
        <w:color w:val="0070C0"/>
        <w:sz w:val="32"/>
      </w:rPr>
    </w:lvl>
    <w:lvl w:ilvl="1">
      <w:start w:val="1"/>
      <w:numFmt w:val="decimal"/>
      <w:isLgl/>
      <w:lvlText w:val="%1.%2."/>
      <w:lvlJc w:val="left"/>
      <w:pPr>
        <w:ind w:left="4690" w:hanging="720"/>
      </w:pPr>
      <w:rPr>
        <w:rFonts w:ascii="Times New Roman" w:hAnsi="Times New Roman" w:cs="Times New Roman" w:hint="default"/>
        <w:i w:val="0"/>
        <w:iCs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BC100F2"/>
    <w:multiLevelType w:val="hybridMultilevel"/>
    <w:tmpl w:val="C6EAB264"/>
    <w:lvl w:ilvl="0" w:tplc="516ABC76">
      <w:start w:val="1"/>
      <w:numFmt w:val="bullet"/>
      <w:lvlText w:val=""/>
      <w:lvlJc w:val="left"/>
      <w:pPr>
        <w:ind w:left="720" w:hanging="360"/>
      </w:pPr>
      <w:rPr>
        <w:rFonts w:ascii="Symbol" w:hAnsi="Symbol"/>
      </w:rPr>
    </w:lvl>
    <w:lvl w:ilvl="1" w:tplc="A9CA57EA">
      <w:start w:val="1"/>
      <w:numFmt w:val="bullet"/>
      <w:lvlText w:val=""/>
      <w:lvlJc w:val="left"/>
      <w:pPr>
        <w:ind w:left="720" w:hanging="360"/>
      </w:pPr>
      <w:rPr>
        <w:rFonts w:ascii="Symbol" w:hAnsi="Symbol"/>
      </w:rPr>
    </w:lvl>
    <w:lvl w:ilvl="2" w:tplc="0176548C">
      <w:start w:val="1"/>
      <w:numFmt w:val="bullet"/>
      <w:lvlText w:val=""/>
      <w:lvlJc w:val="left"/>
      <w:pPr>
        <w:ind w:left="720" w:hanging="360"/>
      </w:pPr>
      <w:rPr>
        <w:rFonts w:ascii="Symbol" w:hAnsi="Symbol"/>
      </w:rPr>
    </w:lvl>
    <w:lvl w:ilvl="3" w:tplc="DD48C8E6">
      <w:start w:val="1"/>
      <w:numFmt w:val="bullet"/>
      <w:lvlText w:val=""/>
      <w:lvlJc w:val="left"/>
      <w:pPr>
        <w:ind w:left="720" w:hanging="360"/>
      </w:pPr>
      <w:rPr>
        <w:rFonts w:ascii="Symbol" w:hAnsi="Symbol"/>
      </w:rPr>
    </w:lvl>
    <w:lvl w:ilvl="4" w:tplc="C2F00988">
      <w:start w:val="1"/>
      <w:numFmt w:val="bullet"/>
      <w:lvlText w:val=""/>
      <w:lvlJc w:val="left"/>
      <w:pPr>
        <w:ind w:left="720" w:hanging="360"/>
      </w:pPr>
      <w:rPr>
        <w:rFonts w:ascii="Symbol" w:hAnsi="Symbol"/>
      </w:rPr>
    </w:lvl>
    <w:lvl w:ilvl="5" w:tplc="23E0CA84">
      <w:start w:val="1"/>
      <w:numFmt w:val="bullet"/>
      <w:lvlText w:val=""/>
      <w:lvlJc w:val="left"/>
      <w:pPr>
        <w:ind w:left="720" w:hanging="360"/>
      </w:pPr>
      <w:rPr>
        <w:rFonts w:ascii="Symbol" w:hAnsi="Symbol"/>
      </w:rPr>
    </w:lvl>
    <w:lvl w:ilvl="6" w:tplc="CE24C952">
      <w:start w:val="1"/>
      <w:numFmt w:val="bullet"/>
      <w:lvlText w:val=""/>
      <w:lvlJc w:val="left"/>
      <w:pPr>
        <w:ind w:left="720" w:hanging="360"/>
      </w:pPr>
      <w:rPr>
        <w:rFonts w:ascii="Symbol" w:hAnsi="Symbol"/>
      </w:rPr>
    </w:lvl>
    <w:lvl w:ilvl="7" w:tplc="C8668A1E">
      <w:start w:val="1"/>
      <w:numFmt w:val="bullet"/>
      <w:lvlText w:val=""/>
      <w:lvlJc w:val="left"/>
      <w:pPr>
        <w:ind w:left="720" w:hanging="360"/>
      </w:pPr>
      <w:rPr>
        <w:rFonts w:ascii="Symbol" w:hAnsi="Symbol"/>
      </w:rPr>
    </w:lvl>
    <w:lvl w:ilvl="8" w:tplc="2868650E">
      <w:start w:val="1"/>
      <w:numFmt w:val="bullet"/>
      <w:lvlText w:val=""/>
      <w:lvlJc w:val="left"/>
      <w:pPr>
        <w:ind w:left="720" w:hanging="360"/>
      </w:pPr>
      <w:rPr>
        <w:rFonts w:ascii="Symbol" w:hAnsi="Symbol"/>
      </w:rPr>
    </w:lvl>
  </w:abstractNum>
  <w:abstractNum w:abstractNumId="7" w15:restartNumberingAfterBreak="0">
    <w:nsid w:val="4C3B333A"/>
    <w:multiLevelType w:val="hybridMultilevel"/>
    <w:tmpl w:val="11822086"/>
    <w:lvl w:ilvl="0" w:tplc="211A24A2">
      <w:start w:val="1"/>
      <w:numFmt w:val="decimal"/>
      <w:lvlText w:val="%1)"/>
      <w:lvlJc w:val="left"/>
      <w:pPr>
        <w:ind w:left="720" w:hanging="360"/>
      </w:pPr>
    </w:lvl>
    <w:lvl w:ilvl="1" w:tplc="CA24508A">
      <w:start w:val="1"/>
      <w:numFmt w:val="decimal"/>
      <w:lvlText w:val="%2)"/>
      <w:lvlJc w:val="left"/>
      <w:pPr>
        <w:ind w:left="720" w:hanging="360"/>
      </w:pPr>
    </w:lvl>
    <w:lvl w:ilvl="2" w:tplc="16E6FF1E">
      <w:start w:val="1"/>
      <w:numFmt w:val="decimal"/>
      <w:lvlText w:val="%3)"/>
      <w:lvlJc w:val="left"/>
      <w:pPr>
        <w:ind w:left="720" w:hanging="360"/>
      </w:pPr>
    </w:lvl>
    <w:lvl w:ilvl="3" w:tplc="B770C906">
      <w:start w:val="1"/>
      <w:numFmt w:val="decimal"/>
      <w:lvlText w:val="%4)"/>
      <w:lvlJc w:val="left"/>
      <w:pPr>
        <w:ind w:left="720" w:hanging="360"/>
      </w:pPr>
    </w:lvl>
    <w:lvl w:ilvl="4" w:tplc="99DE5164">
      <w:start w:val="1"/>
      <w:numFmt w:val="decimal"/>
      <w:lvlText w:val="%5)"/>
      <w:lvlJc w:val="left"/>
      <w:pPr>
        <w:ind w:left="720" w:hanging="360"/>
      </w:pPr>
    </w:lvl>
    <w:lvl w:ilvl="5" w:tplc="EDF0CF26">
      <w:start w:val="1"/>
      <w:numFmt w:val="decimal"/>
      <w:lvlText w:val="%6)"/>
      <w:lvlJc w:val="left"/>
      <w:pPr>
        <w:ind w:left="720" w:hanging="360"/>
      </w:pPr>
    </w:lvl>
    <w:lvl w:ilvl="6" w:tplc="84F05A34">
      <w:start w:val="1"/>
      <w:numFmt w:val="decimal"/>
      <w:lvlText w:val="%7)"/>
      <w:lvlJc w:val="left"/>
      <w:pPr>
        <w:ind w:left="720" w:hanging="360"/>
      </w:pPr>
    </w:lvl>
    <w:lvl w:ilvl="7" w:tplc="093A4C8C">
      <w:start w:val="1"/>
      <w:numFmt w:val="decimal"/>
      <w:lvlText w:val="%8)"/>
      <w:lvlJc w:val="left"/>
      <w:pPr>
        <w:ind w:left="720" w:hanging="360"/>
      </w:pPr>
    </w:lvl>
    <w:lvl w:ilvl="8" w:tplc="2136764A">
      <w:start w:val="1"/>
      <w:numFmt w:val="decimal"/>
      <w:lvlText w:val="%9)"/>
      <w:lvlJc w:val="left"/>
      <w:pPr>
        <w:ind w:left="720" w:hanging="360"/>
      </w:pPr>
    </w:lvl>
  </w:abstractNum>
  <w:abstractNum w:abstractNumId="8" w15:restartNumberingAfterBreak="0">
    <w:nsid w:val="5E105199"/>
    <w:multiLevelType w:val="hybridMultilevel"/>
    <w:tmpl w:val="2DB6E6CE"/>
    <w:lvl w:ilvl="0" w:tplc="29587AEC">
      <w:start w:val="1"/>
      <w:numFmt w:val="decimal"/>
      <w:lvlText w:val="%1)"/>
      <w:lvlJc w:val="left"/>
      <w:pPr>
        <w:ind w:left="720" w:hanging="360"/>
      </w:pPr>
    </w:lvl>
    <w:lvl w:ilvl="1" w:tplc="5050693C">
      <w:start w:val="1"/>
      <w:numFmt w:val="decimal"/>
      <w:lvlText w:val="%2)"/>
      <w:lvlJc w:val="left"/>
      <w:pPr>
        <w:ind w:left="720" w:hanging="360"/>
      </w:pPr>
    </w:lvl>
    <w:lvl w:ilvl="2" w:tplc="95987C16">
      <w:start w:val="1"/>
      <w:numFmt w:val="decimal"/>
      <w:lvlText w:val="%3)"/>
      <w:lvlJc w:val="left"/>
      <w:pPr>
        <w:ind w:left="720" w:hanging="360"/>
      </w:pPr>
    </w:lvl>
    <w:lvl w:ilvl="3" w:tplc="BDB8F030">
      <w:start w:val="1"/>
      <w:numFmt w:val="decimal"/>
      <w:lvlText w:val="%4)"/>
      <w:lvlJc w:val="left"/>
      <w:pPr>
        <w:ind w:left="720" w:hanging="360"/>
      </w:pPr>
    </w:lvl>
    <w:lvl w:ilvl="4" w:tplc="F5EE4B84">
      <w:start w:val="1"/>
      <w:numFmt w:val="decimal"/>
      <w:lvlText w:val="%5)"/>
      <w:lvlJc w:val="left"/>
      <w:pPr>
        <w:ind w:left="720" w:hanging="360"/>
      </w:pPr>
    </w:lvl>
    <w:lvl w:ilvl="5" w:tplc="6D4EABDE">
      <w:start w:val="1"/>
      <w:numFmt w:val="decimal"/>
      <w:lvlText w:val="%6)"/>
      <w:lvlJc w:val="left"/>
      <w:pPr>
        <w:ind w:left="720" w:hanging="360"/>
      </w:pPr>
    </w:lvl>
    <w:lvl w:ilvl="6" w:tplc="0290B5DE">
      <w:start w:val="1"/>
      <w:numFmt w:val="decimal"/>
      <w:lvlText w:val="%7)"/>
      <w:lvlJc w:val="left"/>
      <w:pPr>
        <w:ind w:left="720" w:hanging="360"/>
      </w:pPr>
    </w:lvl>
    <w:lvl w:ilvl="7" w:tplc="78E8BD78">
      <w:start w:val="1"/>
      <w:numFmt w:val="decimal"/>
      <w:lvlText w:val="%8)"/>
      <w:lvlJc w:val="left"/>
      <w:pPr>
        <w:ind w:left="720" w:hanging="360"/>
      </w:pPr>
    </w:lvl>
    <w:lvl w:ilvl="8" w:tplc="55365482">
      <w:start w:val="1"/>
      <w:numFmt w:val="decimal"/>
      <w:lvlText w:val="%9)"/>
      <w:lvlJc w:val="left"/>
      <w:pPr>
        <w:ind w:left="720" w:hanging="360"/>
      </w:pPr>
    </w:lvl>
  </w:abstractNum>
  <w:abstractNum w:abstractNumId="9" w15:restartNumberingAfterBreak="0">
    <w:nsid w:val="6BEF020D"/>
    <w:multiLevelType w:val="hybridMultilevel"/>
    <w:tmpl w:val="B50E89D0"/>
    <w:lvl w:ilvl="0" w:tplc="90045264">
      <w:start w:val="1"/>
      <w:numFmt w:val="decimal"/>
      <w:lvlText w:val="%1)"/>
      <w:lvlJc w:val="left"/>
      <w:pPr>
        <w:ind w:left="1020" w:hanging="360"/>
      </w:pPr>
    </w:lvl>
    <w:lvl w:ilvl="1" w:tplc="399A339C">
      <w:start w:val="1"/>
      <w:numFmt w:val="decimal"/>
      <w:lvlText w:val="%2)"/>
      <w:lvlJc w:val="left"/>
      <w:pPr>
        <w:ind w:left="1020" w:hanging="360"/>
      </w:pPr>
    </w:lvl>
    <w:lvl w:ilvl="2" w:tplc="6B6A2728">
      <w:start w:val="1"/>
      <w:numFmt w:val="decimal"/>
      <w:lvlText w:val="%3)"/>
      <w:lvlJc w:val="left"/>
      <w:pPr>
        <w:ind w:left="1020" w:hanging="360"/>
      </w:pPr>
    </w:lvl>
    <w:lvl w:ilvl="3" w:tplc="84345F10">
      <w:start w:val="1"/>
      <w:numFmt w:val="decimal"/>
      <w:lvlText w:val="%4)"/>
      <w:lvlJc w:val="left"/>
      <w:pPr>
        <w:ind w:left="1020" w:hanging="360"/>
      </w:pPr>
    </w:lvl>
    <w:lvl w:ilvl="4" w:tplc="42CAAC84">
      <w:start w:val="1"/>
      <w:numFmt w:val="decimal"/>
      <w:lvlText w:val="%5)"/>
      <w:lvlJc w:val="left"/>
      <w:pPr>
        <w:ind w:left="1020" w:hanging="360"/>
      </w:pPr>
    </w:lvl>
    <w:lvl w:ilvl="5" w:tplc="C52E1FCA">
      <w:start w:val="1"/>
      <w:numFmt w:val="decimal"/>
      <w:lvlText w:val="%6)"/>
      <w:lvlJc w:val="left"/>
      <w:pPr>
        <w:ind w:left="1020" w:hanging="360"/>
      </w:pPr>
    </w:lvl>
    <w:lvl w:ilvl="6" w:tplc="07F82948">
      <w:start w:val="1"/>
      <w:numFmt w:val="decimal"/>
      <w:lvlText w:val="%7)"/>
      <w:lvlJc w:val="left"/>
      <w:pPr>
        <w:ind w:left="1020" w:hanging="360"/>
      </w:pPr>
    </w:lvl>
    <w:lvl w:ilvl="7" w:tplc="025A9120">
      <w:start w:val="1"/>
      <w:numFmt w:val="decimal"/>
      <w:lvlText w:val="%8)"/>
      <w:lvlJc w:val="left"/>
      <w:pPr>
        <w:ind w:left="1020" w:hanging="360"/>
      </w:pPr>
    </w:lvl>
    <w:lvl w:ilvl="8" w:tplc="ED2C39EE">
      <w:start w:val="1"/>
      <w:numFmt w:val="decimal"/>
      <w:lvlText w:val="%9)"/>
      <w:lvlJc w:val="left"/>
      <w:pPr>
        <w:ind w:left="1020" w:hanging="360"/>
      </w:pPr>
    </w:lvl>
  </w:abstractNum>
  <w:abstractNum w:abstractNumId="10" w15:restartNumberingAfterBreak="0">
    <w:nsid w:val="6EDE09B9"/>
    <w:multiLevelType w:val="hybridMultilevel"/>
    <w:tmpl w:val="975A00F2"/>
    <w:lvl w:ilvl="0" w:tplc="A44679FC">
      <w:start w:val="1"/>
      <w:numFmt w:val="bullet"/>
      <w:lvlText w:val="-"/>
      <w:lvlJc w:val="left"/>
      <w:pPr>
        <w:ind w:left="360" w:hanging="360"/>
      </w:pPr>
      <w:rPr>
        <w:rFonts w:ascii="Times New Roman" w:hAnsi="Times New Roman" w:hint="default"/>
        <w:u w:val="none"/>
      </w:rPr>
    </w:lvl>
    <w:lvl w:ilvl="1" w:tplc="5D70F918" w:tentative="1">
      <w:start w:val="1"/>
      <w:numFmt w:val="bullet"/>
      <w:lvlText w:val="o"/>
      <w:lvlJc w:val="left"/>
      <w:pPr>
        <w:ind w:left="1080" w:hanging="360"/>
      </w:pPr>
      <w:rPr>
        <w:rFonts w:ascii="Courier New" w:hAnsi="Courier New" w:hint="default"/>
      </w:rPr>
    </w:lvl>
    <w:lvl w:ilvl="2" w:tplc="CD108972" w:tentative="1">
      <w:start w:val="1"/>
      <w:numFmt w:val="bullet"/>
      <w:lvlText w:val=""/>
      <w:lvlJc w:val="left"/>
      <w:pPr>
        <w:ind w:left="1800" w:hanging="360"/>
      </w:pPr>
      <w:rPr>
        <w:rFonts w:ascii="Wingdings" w:hAnsi="Wingdings" w:hint="default"/>
      </w:rPr>
    </w:lvl>
    <w:lvl w:ilvl="3" w:tplc="4E661094" w:tentative="1">
      <w:start w:val="1"/>
      <w:numFmt w:val="bullet"/>
      <w:lvlText w:val=""/>
      <w:lvlJc w:val="left"/>
      <w:pPr>
        <w:ind w:left="2520" w:hanging="360"/>
      </w:pPr>
      <w:rPr>
        <w:rFonts w:ascii="Symbol" w:hAnsi="Symbol" w:hint="default"/>
      </w:rPr>
    </w:lvl>
    <w:lvl w:ilvl="4" w:tplc="70A4A5D0" w:tentative="1">
      <w:start w:val="1"/>
      <w:numFmt w:val="bullet"/>
      <w:lvlText w:val="o"/>
      <w:lvlJc w:val="left"/>
      <w:pPr>
        <w:ind w:left="3240" w:hanging="360"/>
      </w:pPr>
      <w:rPr>
        <w:rFonts w:ascii="Courier New" w:hAnsi="Courier New" w:hint="default"/>
      </w:rPr>
    </w:lvl>
    <w:lvl w:ilvl="5" w:tplc="9DA65B20" w:tentative="1">
      <w:start w:val="1"/>
      <w:numFmt w:val="bullet"/>
      <w:lvlText w:val=""/>
      <w:lvlJc w:val="left"/>
      <w:pPr>
        <w:ind w:left="3960" w:hanging="360"/>
      </w:pPr>
      <w:rPr>
        <w:rFonts w:ascii="Wingdings" w:hAnsi="Wingdings" w:hint="default"/>
      </w:rPr>
    </w:lvl>
    <w:lvl w:ilvl="6" w:tplc="4D701D4C" w:tentative="1">
      <w:start w:val="1"/>
      <w:numFmt w:val="bullet"/>
      <w:lvlText w:val=""/>
      <w:lvlJc w:val="left"/>
      <w:pPr>
        <w:ind w:left="4680" w:hanging="360"/>
      </w:pPr>
      <w:rPr>
        <w:rFonts w:ascii="Symbol" w:hAnsi="Symbol" w:hint="default"/>
      </w:rPr>
    </w:lvl>
    <w:lvl w:ilvl="7" w:tplc="440AABAC" w:tentative="1">
      <w:start w:val="1"/>
      <w:numFmt w:val="bullet"/>
      <w:lvlText w:val="o"/>
      <w:lvlJc w:val="left"/>
      <w:pPr>
        <w:ind w:left="5400" w:hanging="360"/>
      </w:pPr>
      <w:rPr>
        <w:rFonts w:ascii="Courier New" w:hAnsi="Courier New" w:hint="default"/>
      </w:rPr>
    </w:lvl>
    <w:lvl w:ilvl="8" w:tplc="74762C7E" w:tentative="1">
      <w:start w:val="1"/>
      <w:numFmt w:val="bullet"/>
      <w:lvlText w:val=""/>
      <w:lvlJc w:val="left"/>
      <w:pPr>
        <w:ind w:left="6120" w:hanging="360"/>
      </w:pPr>
      <w:rPr>
        <w:rFonts w:ascii="Wingdings" w:hAnsi="Wingdings" w:hint="default"/>
      </w:rPr>
    </w:lvl>
  </w:abstractNum>
  <w:abstractNum w:abstractNumId="11" w15:restartNumberingAfterBreak="0">
    <w:nsid w:val="7FE42BA8"/>
    <w:multiLevelType w:val="hybridMultilevel"/>
    <w:tmpl w:val="2B5CC0FA"/>
    <w:lvl w:ilvl="0" w:tplc="E2907094">
      <w:start w:val="1"/>
      <w:numFmt w:val="decimal"/>
      <w:lvlText w:val="%1."/>
      <w:lvlJc w:val="left"/>
      <w:pPr>
        <w:ind w:left="72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11"/>
  </w:num>
  <w:num w:numId="5">
    <w:abstractNumId w:val="10"/>
  </w:num>
  <w:num w:numId="6">
    <w:abstractNumId w:val="2"/>
  </w:num>
  <w:num w:numId="7">
    <w:abstractNumId w:val="9"/>
  </w:num>
  <w:num w:numId="8">
    <w:abstractNumId w:val="7"/>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FD2E95C-B1AB-433F-B3B3-1CFB3823D90F"/>
    <w:docVar w:name="LW_COVERPAGE_TYPE" w:val="1"/>
    <w:docVar w:name="LW_CROSSREFERENCE" w:val="{SWD(2026) 80 final}"/>
    <w:docVar w:name="LW_DocType" w:val="NORMAL"/>
    <w:docVar w:name="LW_EMISSION" w:val="5.3.2026"/>
    <w:docVar w:name="LW_EMISSION_ISODATE" w:val="2026-03-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sur l\u8217?équité intergénérationnelle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A70A62"/>
    <w:rsid w:val="00002B66"/>
    <w:rsid w:val="00003279"/>
    <w:rsid w:val="000032EE"/>
    <w:rsid w:val="000037DF"/>
    <w:rsid w:val="00004352"/>
    <w:rsid w:val="00006C0F"/>
    <w:rsid w:val="00006F2F"/>
    <w:rsid w:val="00010011"/>
    <w:rsid w:val="0001158D"/>
    <w:rsid w:val="000128A7"/>
    <w:rsid w:val="00013097"/>
    <w:rsid w:val="000132B2"/>
    <w:rsid w:val="000141F7"/>
    <w:rsid w:val="000155B6"/>
    <w:rsid w:val="00016295"/>
    <w:rsid w:val="00016B90"/>
    <w:rsid w:val="0001731D"/>
    <w:rsid w:val="00017554"/>
    <w:rsid w:val="00017C9E"/>
    <w:rsid w:val="0002012E"/>
    <w:rsid w:val="0002098A"/>
    <w:rsid w:val="00022CC1"/>
    <w:rsid w:val="00024765"/>
    <w:rsid w:val="00024888"/>
    <w:rsid w:val="00024BC0"/>
    <w:rsid w:val="00025448"/>
    <w:rsid w:val="00026492"/>
    <w:rsid w:val="00026BAD"/>
    <w:rsid w:val="0002772F"/>
    <w:rsid w:val="000306B8"/>
    <w:rsid w:val="00030BF1"/>
    <w:rsid w:val="0003143F"/>
    <w:rsid w:val="00031776"/>
    <w:rsid w:val="00032443"/>
    <w:rsid w:val="00033608"/>
    <w:rsid w:val="0003388A"/>
    <w:rsid w:val="00033961"/>
    <w:rsid w:val="000342CB"/>
    <w:rsid w:val="0003550A"/>
    <w:rsid w:val="000362A5"/>
    <w:rsid w:val="00036440"/>
    <w:rsid w:val="0004071C"/>
    <w:rsid w:val="00040AE1"/>
    <w:rsid w:val="00041808"/>
    <w:rsid w:val="00042D27"/>
    <w:rsid w:val="00042DCF"/>
    <w:rsid w:val="0004365A"/>
    <w:rsid w:val="00043AA3"/>
    <w:rsid w:val="00044289"/>
    <w:rsid w:val="00044D0D"/>
    <w:rsid w:val="00044DE3"/>
    <w:rsid w:val="00045067"/>
    <w:rsid w:val="0004737B"/>
    <w:rsid w:val="00047DB6"/>
    <w:rsid w:val="00047F7B"/>
    <w:rsid w:val="00051E23"/>
    <w:rsid w:val="00053ACB"/>
    <w:rsid w:val="000549FC"/>
    <w:rsid w:val="00054B8E"/>
    <w:rsid w:val="00057E89"/>
    <w:rsid w:val="00060109"/>
    <w:rsid w:val="000604D2"/>
    <w:rsid w:val="00060D47"/>
    <w:rsid w:val="00061AC1"/>
    <w:rsid w:val="00062466"/>
    <w:rsid w:val="000627E1"/>
    <w:rsid w:val="00063B93"/>
    <w:rsid w:val="00063C7B"/>
    <w:rsid w:val="000650F0"/>
    <w:rsid w:val="000669DF"/>
    <w:rsid w:val="000675CD"/>
    <w:rsid w:val="00067DCB"/>
    <w:rsid w:val="00070070"/>
    <w:rsid w:val="00070674"/>
    <w:rsid w:val="000708B0"/>
    <w:rsid w:val="000712A3"/>
    <w:rsid w:val="00073299"/>
    <w:rsid w:val="00073428"/>
    <w:rsid w:val="00073EA5"/>
    <w:rsid w:val="00075228"/>
    <w:rsid w:val="00076DB5"/>
    <w:rsid w:val="00076DB9"/>
    <w:rsid w:val="00077264"/>
    <w:rsid w:val="000804D3"/>
    <w:rsid w:val="00080FF0"/>
    <w:rsid w:val="00081541"/>
    <w:rsid w:val="00081FF1"/>
    <w:rsid w:val="000835D9"/>
    <w:rsid w:val="00083B43"/>
    <w:rsid w:val="00084B32"/>
    <w:rsid w:val="00085163"/>
    <w:rsid w:val="00085358"/>
    <w:rsid w:val="000854F1"/>
    <w:rsid w:val="00085AF2"/>
    <w:rsid w:val="00085F50"/>
    <w:rsid w:val="000861BF"/>
    <w:rsid w:val="00087543"/>
    <w:rsid w:val="00087EFC"/>
    <w:rsid w:val="00091533"/>
    <w:rsid w:val="00091F04"/>
    <w:rsid w:val="000921BA"/>
    <w:rsid w:val="00092259"/>
    <w:rsid w:val="00092618"/>
    <w:rsid w:val="00093467"/>
    <w:rsid w:val="000935C7"/>
    <w:rsid w:val="00093E1A"/>
    <w:rsid w:val="00094000"/>
    <w:rsid w:val="000946A7"/>
    <w:rsid w:val="00095F73"/>
    <w:rsid w:val="00096AC4"/>
    <w:rsid w:val="00096CC4"/>
    <w:rsid w:val="000970D6"/>
    <w:rsid w:val="0009738C"/>
    <w:rsid w:val="00097B41"/>
    <w:rsid w:val="000A0B1C"/>
    <w:rsid w:val="000A1ADE"/>
    <w:rsid w:val="000A3101"/>
    <w:rsid w:val="000A454B"/>
    <w:rsid w:val="000A49B8"/>
    <w:rsid w:val="000A5229"/>
    <w:rsid w:val="000A5F43"/>
    <w:rsid w:val="000A6260"/>
    <w:rsid w:val="000A6C6C"/>
    <w:rsid w:val="000A7BD8"/>
    <w:rsid w:val="000A7EE4"/>
    <w:rsid w:val="000B1606"/>
    <w:rsid w:val="000B1817"/>
    <w:rsid w:val="000B1861"/>
    <w:rsid w:val="000B1DEC"/>
    <w:rsid w:val="000B2317"/>
    <w:rsid w:val="000B25F5"/>
    <w:rsid w:val="000B2A5B"/>
    <w:rsid w:val="000B394F"/>
    <w:rsid w:val="000B5030"/>
    <w:rsid w:val="000B533D"/>
    <w:rsid w:val="000B5CD6"/>
    <w:rsid w:val="000B5F03"/>
    <w:rsid w:val="000C0E81"/>
    <w:rsid w:val="000C0FCA"/>
    <w:rsid w:val="000C113F"/>
    <w:rsid w:val="000C1566"/>
    <w:rsid w:val="000C16DA"/>
    <w:rsid w:val="000C24CC"/>
    <w:rsid w:val="000C2BFC"/>
    <w:rsid w:val="000C33DF"/>
    <w:rsid w:val="000C4385"/>
    <w:rsid w:val="000C4EB5"/>
    <w:rsid w:val="000C4FA3"/>
    <w:rsid w:val="000C6DEC"/>
    <w:rsid w:val="000C72EF"/>
    <w:rsid w:val="000C7D0A"/>
    <w:rsid w:val="000D0FF1"/>
    <w:rsid w:val="000D12F8"/>
    <w:rsid w:val="000D26E8"/>
    <w:rsid w:val="000D2C6A"/>
    <w:rsid w:val="000D2CE3"/>
    <w:rsid w:val="000D2E69"/>
    <w:rsid w:val="000D30E1"/>
    <w:rsid w:val="000D31A8"/>
    <w:rsid w:val="000D3516"/>
    <w:rsid w:val="000D426C"/>
    <w:rsid w:val="000D4A67"/>
    <w:rsid w:val="000D5115"/>
    <w:rsid w:val="000D5ABF"/>
    <w:rsid w:val="000D739B"/>
    <w:rsid w:val="000E1003"/>
    <w:rsid w:val="000E1BB2"/>
    <w:rsid w:val="000E33F6"/>
    <w:rsid w:val="000E3667"/>
    <w:rsid w:val="000E76F6"/>
    <w:rsid w:val="000F0B24"/>
    <w:rsid w:val="000F18CD"/>
    <w:rsid w:val="000F283E"/>
    <w:rsid w:val="000F2AC5"/>
    <w:rsid w:val="000F306A"/>
    <w:rsid w:val="000F53CE"/>
    <w:rsid w:val="000F5D66"/>
    <w:rsid w:val="000F762F"/>
    <w:rsid w:val="000F769B"/>
    <w:rsid w:val="000F7779"/>
    <w:rsid w:val="000F7EA4"/>
    <w:rsid w:val="0010085C"/>
    <w:rsid w:val="00100A54"/>
    <w:rsid w:val="00100B34"/>
    <w:rsid w:val="00103C3C"/>
    <w:rsid w:val="00103CA4"/>
    <w:rsid w:val="00104C29"/>
    <w:rsid w:val="00104EAE"/>
    <w:rsid w:val="00104EF4"/>
    <w:rsid w:val="001068C6"/>
    <w:rsid w:val="001071E4"/>
    <w:rsid w:val="00107584"/>
    <w:rsid w:val="00107E0F"/>
    <w:rsid w:val="00110455"/>
    <w:rsid w:val="00110939"/>
    <w:rsid w:val="00110C12"/>
    <w:rsid w:val="00112CDD"/>
    <w:rsid w:val="00114652"/>
    <w:rsid w:val="00115627"/>
    <w:rsid w:val="00117318"/>
    <w:rsid w:val="00117D2D"/>
    <w:rsid w:val="00120902"/>
    <w:rsid w:val="00120B0E"/>
    <w:rsid w:val="00120BD7"/>
    <w:rsid w:val="00120D73"/>
    <w:rsid w:val="00121557"/>
    <w:rsid w:val="0012313C"/>
    <w:rsid w:val="001237EB"/>
    <w:rsid w:val="001244AA"/>
    <w:rsid w:val="00124878"/>
    <w:rsid w:val="0012493B"/>
    <w:rsid w:val="00124D60"/>
    <w:rsid w:val="00124E9D"/>
    <w:rsid w:val="00124FD8"/>
    <w:rsid w:val="001250E7"/>
    <w:rsid w:val="001262B9"/>
    <w:rsid w:val="001265FD"/>
    <w:rsid w:val="00126887"/>
    <w:rsid w:val="00127AA5"/>
    <w:rsid w:val="00130792"/>
    <w:rsid w:val="00131CE1"/>
    <w:rsid w:val="001326BF"/>
    <w:rsid w:val="00132BED"/>
    <w:rsid w:val="00133962"/>
    <w:rsid w:val="00136AC3"/>
    <w:rsid w:val="00136B41"/>
    <w:rsid w:val="00136EE1"/>
    <w:rsid w:val="00137BE2"/>
    <w:rsid w:val="00140664"/>
    <w:rsid w:val="00140682"/>
    <w:rsid w:val="00141D82"/>
    <w:rsid w:val="00142436"/>
    <w:rsid w:val="00142EF3"/>
    <w:rsid w:val="00144200"/>
    <w:rsid w:val="0014595F"/>
    <w:rsid w:val="001469D1"/>
    <w:rsid w:val="001475F3"/>
    <w:rsid w:val="00147F88"/>
    <w:rsid w:val="0015069F"/>
    <w:rsid w:val="0015165C"/>
    <w:rsid w:val="00153ED5"/>
    <w:rsid w:val="00154609"/>
    <w:rsid w:val="00154F33"/>
    <w:rsid w:val="001576EC"/>
    <w:rsid w:val="00157F9F"/>
    <w:rsid w:val="00161786"/>
    <w:rsid w:val="001618EA"/>
    <w:rsid w:val="00162F5F"/>
    <w:rsid w:val="00163B05"/>
    <w:rsid w:val="00163B80"/>
    <w:rsid w:val="00163EE1"/>
    <w:rsid w:val="00164803"/>
    <w:rsid w:val="00165FE8"/>
    <w:rsid w:val="00166365"/>
    <w:rsid w:val="0016652A"/>
    <w:rsid w:val="00166C56"/>
    <w:rsid w:val="00166C94"/>
    <w:rsid w:val="00167CA4"/>
    <w:rsid w:val="001716E4"/>
    <w:rsid w:val="00172F1C"/>
    <w:rsid w:val="00173817"/>
    <w:rsid w:val="001740A2"/>
    <w:rsid w:val="001750FE"/>
    <w:rsid w:val="001753B8"/>
    <w:rsid w:val="001765B4"/>
    <w:rsid w:val="00176E31"/>
    <w:rsid w:val="0018002D"/>
    <w:rsid w:val="0018229F"/>
    <w:rsid w:val="001827FE"/>
    <w:rsid w:val="00182822"/>
    <w:rsid w:val="00183247"/>
    <w:rsid w:val="00183EA0"/>
    <w:rsid w:val="00184C7A"/>
    <w:rsid w:val="00186C56"/>
    <w:rsid w:val="00186D7C"/>
    <w:rsid w:val="00186DB0"/>
    <w:rsid w:val="00190B37"/>
    <w:rsid w:val="00191730"/>
    <w:rsid w:val="00191A23"/>
    <w:rsid w:val="001924B6"/>
    <w:rsid w:val="00192BF6"/>
    <w:rsid w:val="001933E6"/>
    <w:rsid w:val="00193B39"/>
    <w:rsid w:val="00193B55"/>
    <w:rsid w:val="001944E2"/>
    <w:rsid w:val="00194770"/>
    <w:rsid w:val="00194E54"/>
    <w:rsid w:val="00195352"/>
    <w:rsid w:val="0019622A"/>
    <w:rsid w:val="001A16C7"/>
    <w:rsid w:val="001A202C"/>
    <w:rsid w:val="001A2A96"/>
    <w:rsid w:val="001A5037"/>
    <w:rsid w:val="001A53A1"/>
    <w:rsid w:val="001A6FD1"/>
    <w:rsid w:val="001A7527"/>
    <w:rsid w:val="001B1833"/>
    <w:rsid w:val="001B184A"/>
    <w:rsid w:val="001B4B57"/>
    <w:rsid w:val="001B61A1"/>
    <w:rsid w:val="001B6982"/>
    <w:rsid w:val="001B77A1"/>
    <w:rsid w:val="001C1221"/>
    <w:rsid w:val="001C14B4"/>
    <w:rsid w:val="001C1FA1"/>
    <w:rsid w:val="001C36B4"/>
    <w:rsid w:val="001C4C44"/>
    <w:rsid w:val="001C6400"/>
    <w:rsid w:val="001C6E91"/>
    <w:rsid w:val="001C7018"/>
    <w:rsid w:val="001D2857"/>
    <w:rsid w:val="001D331F"/>
    <w:rsid w:val="001D3B8D"/>
    <w:rsid w:val="001D3BD2"/>
    <w:rsid w:val="001D3CE2"/>
    <w:rsid w:val="001D5967"/>
    <w:rsid w:val="001D605B"/>
    <w:rsid w:val="001D61E1"/>
    <w:rsid w:val="001D647A"/>
    <w:rsid w:val="001D67BA"/>
    <w:rsid w:val="001E0A44"/>
    <w:rsid w:val="001E1D0F"/>
    <w:rsid w:val="001E3A17"/>
    <w:rsid w:val="001E4609"/>
    <w:rsid w:val="001E55F7"/>
    <w:rsid w:val="001E56C9"/>
    <w:rsid w:val="001E78EF"/>
    <w:rsid w:val="001E7C32"/>
    <w:rsid w:val="001F054B"/>
    <w:rsid w:val="001F1008"/>
    <w:rsid w:val="001F213E"/>
    <w:rsid w:val="001F2340"/>
    <w:rsid w:val="001F2C6A"/>
    <w:rsid w:val="001F2D66"/>
    <w:rsid w:val="001F572A"/>
    <w:rsid w:val="001F675C"/>
    <w:rsid w:val="001F703B"/>
    <w:rsid w:val="00200C28"/>
    <w:rsid w:val="00200FC2"/>
    <w:rsid w:val="00202757"/>
    <w:rsid w:val="002035AF"/>
    <w:rsid w:val="002037E6"/>
    <w:rsid w:val="0020475B"/>
    <w:rsid w:val="00204E47"/>
    <w:rsid w:val="00205EFB"/>
    <w:rsid w:val="00207D67"/>
    <w:rsid w:val="00211429"/>
    <w:rsid w:val="00211D4E"/>
    <w:rsid w:val="00212A45"/>
    <w:rsid w:val="00212D06"/>
    <w:rsid w:val="002130ED"/>
    <w:rsid w:val="00213808"/>
    <w:rsid w:val="00213823"/>
    <w:rsid w:val="00213BBC"/>
    <w:rsid w:val="00213FDB"/>
    <w:rsid w:val="00214A57"/>
    <w:rsid w:val="00216708"/>
    <w:rsid w:val="00216E51"/>
    <w:rsid w:val="00217ADE"/>
    <w:rsid w:val="00221A8D"/>
    <w:rsid w:val="002258D6"/>
    <w:rsid w:val="00225E29"/>
    <w:rsid w:val="002296EF"/>
    <w:rsid w:val="002307CD"/>
    <w:rsid w:val="00231F8F"/>
    <w:rsid w:val="00232AF8"/>
    <w:rsid w:val="00234C09"/>
    <w:rsid w:val="00235038"/>
    <w:rsid w:val="00235440"/>
    <w:rsid w:val="00235868"/>
    <w:rsid w:val="0023720E"/>
    <w:rsid w:val="00242674"/>
    <w:rsid w:val="00242812"/>
    <w:rsid w:val="00244B35"/>
    <w:rsid w:val="00245748"/>
    <w:rsid w:val="00246A1E"/>
    <w:rsid w:val="00246EFB"/>
    <w:rsid w:val="0025099B"/>
    <w:rsid w:val="00250F5A"/>
    <w:rsid w:val="002510A2"/>
    <w:rsid w:val="00253404"/>
    <w:rsid w:val="00253567"/>
    <w:rsid w:val="00253E9B"/>
    <w:rsid w:val="00254158"/>
    <w:rsid w:val="00254B75"/>
    <w:rsid w:val="002555B1"/>
    <w:rsid w:val="002556BD"/>
    <w:rsid w:val="00255EDD"/>
    <w:rsid w:val="00256234"/>
    <w:rsid w:val="0025679B"/>
    <w:rsid w:val="002576EB"/>
    <w:rsid w:val="00260806"/>
    <w:rsid w:val="002619FB"/>
    <w:rsid w:val="00261EBE"/>
    <w:rsid w:val="00262170"/>
    <w:rsid w:val="00262305"/>
    <w:rsid w:val="00263866"/>
    <w:rsid w:val="00264835"/>
    <w:rsid w:val="00264A6E"/>
    <w:rsid w:val="00265DEA"/>
    <w:rsid w:val="00266160"/>
    <w:rsid w:val="00267CD8"/>
    <w:rsid w:val="00270251"/>
    <w:rsid w:val="00270B3F"/>
    <w:rsid w:val="00270F04"/>
    <w:rsid w:val="00271086"/>
    <w:rsid w:val="00272302"/>
    <w:rsid w:val="00272B9A"/>
    <w:rsid w:val="002733F3"/>
    <w:rsid w:val="00275A9D"/>
    <w:rsid w:val="0027762E"/>
    <w:rsid w:val="00277793"/>
    <w:rsid w:val="00277FF6"/>
    <w:rsid w:val="00280154"/>
    <w:rsid w:val="00280864"/>
    <w:rsid w:val="00281805"/>
    <w:rsid w:val="00282DD3"/>
    <w:rsid w:val="00283B71"/>
    <w:rsid w:val="00283ED6"/>
    <w:rsid w:val="00284DBC"/>
    <w:rsid w:val="00285CBA"/>
    <w:rsid w:val="00286C7C"/>
    <w:rsid w:val="0028788E"/>
    <w:rsid w:val="00290088"/>
    <w:rsid w:val="0029020C"/>
    <w:rsid w:val="00290413"/>
    <w:rsid w:val="002908D7"/>
    <w:rsid w:val="00290AED"/>
    <w:rsid w:val="002910A6"/>
    <w:rsid w:val="00292147"/>
    <w:rsid w:val="00293A35"/>
    <w:rsid w:val="00294D73"/>
    <w:rsid w:val="002954C1"/>
    <w:rsid w:val="00295D65"/>
    <w:rsid w:val="002961BC"/>
    <w:rsid w:val="0029700C"/>
    <w:rsid w:val="0029794C"/>
    <w:rsid w:val="00297E5A"/>
    <w:rsid w:val="002A047C"/>
    <w:rsid w:val="002A0D98"/>
    <w:rsid w:val="002A110F"/>
    <w:rsid w:val="002A36EE"/>
    <w:rsid w:val="002A3B01"/>
    <w:rsid w:val="002A41FA"/>
    <w:rsid w:val="002A5F7B"/>
    <w:rsid w:val="002B2756"/>
    <w:rsid w:val="002B6B55"/>
    <w:rsid w:val="002C0365"/>
    <w:rsid w:val="002C21AF"/>
    <w:rsid w:val="002C239F"/>
    <w:rsid w:val="002C2CBA"/>
    <w:rsid w:val="002C2E12"/>
    <w:rsid w:val="002C3625"/>
    <w:rsid w:val="002C36A9"/>
    <w:rsid w:val="002C487F"/>
    <w:rsid w:val="002C4C05"/>
    <w:rsid w:val="002C4EF5"/>
    <w:rsid w:val="002C5429"/>
    <w:rsid w:val="002C5620"/>
    <w:rsid w:val="002C5B0E"/>
    <w:rsid w:val="002C5DFF"/>
    <w:rsid w:val="002C6BA3"/>
    <w:rsid w:val="002D16A9"/>
    <w:rsid w:val="002D1E31"/>
    <w:rsid w:val="002D2E4D"/>
    <w:rsid w:val="002D3EE0"/>
    <w:rsid w:val="002D4DD8"/>
    <w:rsid w:val="002D7E28"/>
    <w:rsid w:val="002E0028"/>
    <w:rsid w:val="002E0856"/>
    <w:rsid w:val="002E2308"/>
    <w:rsid w:val="002E23B4"/>
    <w:rsid w:val="002E25F3"/>
    <w:rsid w:val="002E2A49"/>
    <w:rsid w:val="002E37D3"/>
    <w:rsid w:val="002E3E2E"/>
    <w:rsid w:val="002E4114"/>
    <w:rsid w:val="002E493E"/>
    <w:rsid w:val="002E586E"/>
    <w:rsid w:val="002E5AF7"/>
    <w:rsid w:val="002E6058"/>
    <w:rsid w:val="002E680F"/>
    <w:rsid w:val="002E6BC6"/>
    <w:rsid w:val="002E73AC"/>
    <w:rsid w:val="002F130B"/>
    <w:rsid w:val="002F3F87"/>
    <w:rsid w:val="002F49C7"/>
    <w:rsid w:val="002F514B"/>
    <w:rsid w:val="002F6684"/>
    <w:rsid w:val="002F7B04"/>
    <w:rsid w:val="00300B1B"/>
    <w:rsid w:val="00303165"/>
    <w:rsid w:val="00303ED6"/>
    <w:rsid w:val="00304EBC"/>
    <w:rsid w:val="003051D5"/>
    <w:rsid w:val="0030577B"/>
    <w:rsid w:val="003057A7"/>
    <w:rsid w:val="003060C6"/>
    <w:rsid w:val="00313436"/>
    <w:rsid w:val="00313813"/>
    <w:rsid w:val="0031560F"/>
    <w:rsid w:val="00315AC6"/>
    <w:rsid w:val="0031694C"/>
    <w:rsid w:val="00317B8B"/>
    <w:rsid w:val="003207FC"/>
    <w:rsid w:val="00324EA1"/>
    <w:rsid w:val="00325236"/>
    <w:rsid w:val="00325EEE"/>
    <w:rsid w:val="00326D42"/>
    <w:rsid w:val="003270BD"/>
    <w:rsid w:val="0032730C"/>
    <w:rsid w:val="00327A6A"/>
    <w:rsid w:val="00330B97"/>
    <w:rsid w:val="003318B7"/>
    <w:rsid w:val="00332A93"/>
    <w:rsid w:val="00332CB8"/>
    <w:rsid w:val="00332F9F"/>
    <w:rsid w:val="00332FE5"/>
    <w:rsid w:val="00334114"/>
    <w:rsid w:val="00334F61"/>
    <w:rsid w:val="0033582A"/>
    <w:rsid w:val="00335967"/>
    <w:rsid w:val="00337475"/>
    <w:rsid w:val="0034073D"/>
    <w:rsid w:val="0034220B"/>
    <w:rsid w:val="0034396F"/>
    <w:rsid w:val="003443CE"/>
    <w:rsid w:val="003451A3"/>
    <w:rsid w:val="003455B3"/>
    <w:rsid w:val="00345B4A"/>
    <w:rsid w:val="003468A4"/>
    <w:rsid w:val="00346FD6"/>
    <w:rsid w:val="003474B6"/>
    <w:rsid w:val="00347611"/>
    <w:rsid w:val="003478A5"/>
    <w:rsid w:val="0035083F"/>
    <w:rsid w:val="003530AC"/>
    <w:rsid w:val="003547C6"/>
    <w:rsid w:val="00354B33"/>
    <w:rsid w:val="00355777"/>
    <w:rsid w:val="00356225"/>
    <w:rsid w:val="003571C7"/>
    <w:rsid w:val="00357D2E"/>
    <w:rsid w:val="00360405"/>
    <w:rsid w:val="00360781"/>
    <w:rsid w:val="00361D0C"/>
    <w:rsid w:val="003620BB"/>
    <w:rsid w:val="00362520"/>
    <w:rsid w:val="00362F54"/>
    <w:rsid w:val="00363968"/>
    <w:rsid w:val="00364E13"/>
    <w:rsid w:val="003661DF"/>
    <w:rsid w:val="0036628B"/>
    <w:rsid w:val="003672BD"/>
    <w:rsid w:val="00367C60"/>
    <w:rsid w:val="0037084A"/>
    <w:rsid w:val="00371AD9"/>
    <w:rsid w:val="00371FFB"/>
    <w:rsid w:val="00372399"/>
    <w:rsid w:val="003727F2"/>
    <w:rsid w:val="00373A32"/>
    <w:rsid w:val="00373D32"/>
    <w:rsid w:val="003741AB"/>
    <w:rsid w:val="0037427D"/>
    <w:rsid w:val="003742DB"/>
    <w:rsid w:val="00374A47"/>
    <w:rsid w:val="003755B5"/>
    <w:rsid w:val="00375D18"/>
    <w:rsid w:val="0037680D"/>
    <w:rsid w:val="00376C1C"/>
    <w:rsid w:val="00376E98"/>
    <w:rsid w:val="00377059"/>
    <w:rsid w:val="003774F7"/>
    <w:rsid w:val="003806A4"/>
    <w:rsid w:val="00381A55"/>
    <w:rsid w:val="003824E4"/>
    <w:rsid w:val="0038454E"/>
    <w:rsid w:val="0038476E"/>
    <w:rsid w:val="00385A80"/>
    <w:rsid w:val="003863D1"/>
    <w:rsid w:val="00390190"/>
    <w:rsid w:val="003926B0"/>
    <w:rsid w:val="003926DB"/>
    <w:rsid w:val="00392D7A"/>
    <w:rsid w:val="00392E5E"/>
    <w:rsid w:val="0039586C"/>
    <w:rsid w:val="00396095"/>
    <w:rsid w:val="00396218"/>
    <w:rsid w:val="00396409"/>
    <w:rsid w:val="00396CD6"/>
    <w:rsid w:val="00396FFA"/>
    <w:rsid w:val="00397677"/>
    <w:rsid w:val="00397838"/>
    <w:rsid w:val="003A01B2"/>
    <w:rsid w:val="003A0354"/>
    <w:rsid w:val="003A054F"/>
    <w:rsid w:val="003A05D2"/>
    <w:rsid w:val="003A0E16"/>
    <w:rsid w:val="003A25EC"/>
    <w:rsid w:val="003A2B9A"/>
    <w:rsid w:val="003A5EEC"/>
    <w:rsid w:val="003A5F45"/>
    <w:rsid w:val="003A6D37"/>
    <w:rsid w:val="003A7C4E"/>
    <w:rsid w:val="003B2DA1"/>
    <w:rsid w:val="003B3CCF"/>
    <w:rsid w:val="003B3F41"/>
    <w:rsid w:val="003B5E85"/>
    <w:rsid w:val="003B6C3D"/>
    <w:rsid w:val="003C0976"/>
    <w:rsid w:val="003C0E6F"/>
    <w:rsid w:val="003C0FD0"/>
    <w:rsid w:val="003C1005"/>
    <w:rsid w:val="003C1580"/>
    <w:rsid w:val="003C16F6"/>
    <w:rsid w:val="003C450B"/>
    <w:rsid w:val="003D0D43"/>
    <w:rsid w:val="003D1744"/>
    <w:rsid w:val="003D5107"/>
    <w:rsid w:val="003D59E3"/>
    <w:rsid w:val="003D5D52"/>
    <w:rsid w:val="003D69FA"/>
    <w:rsid w:val="003D7A8D"/>
    <w:rsid w:val="003E0009"/>
    <w:rsid w:val="003E0D01"/>
    <w:rsid w:val="003E2D14"/>
    <w:rsid w:val="003E3223"/>
    <w:rsid w:val="003E3893"/>
    <w:rsid w:val="003E4816"/>
    <w:rsid w:val="003E56F0"/>
    <w:rsid w:val="003E724F"/>
    <w:rsid w:val="003E78D4"/>
    <w:rsid w:val="003F094A"/>
    <w:rsid w:val="003F1D13"/>
    <w:rsid w:val="003F2740"/>
    <w:rsid w:val="003F3FCE"/>
    <w:rsid w:val="003F450C"/>
    <w:rsid w:val="00400462"/>
    <w:rsid w:val="00400875"/>
    <w:rsid w:val="0040124F"/>
    <w:rsid w:val="00402920"/>
    <w:rsid w:val="00402F63"/>
    <w:rsid w:val="00403721"/>
    <w:rsid w:val="004038B5"/>
    <w:rsid w:val="004039A8"/>
    <w:rsid w:val="00403FD9"/>
    <w:rsid w:val="00404458"/>
    <w:rsid w:val="00404860"/>
    <w:rsid w:val="00407E20"/>
    <w:rsid w:val="0041026A"/>
    <w:rsid w:val="00410530"/>
    <w:rsid w:val="00412C00"/>
    <w:rsid w:val="00413DC0"/>
    <w:rsid w:val="004148A3"/>
    <w:rsid w:val="004156EC"/>
    <w:rsid w:val="00415879"/>
    <w:rsid w:val="00415FFB"/>
    <w:rsid w:val="00416257"/>
    <w:rsid w:val="00417616"/>
    <w:rsid w:val="00420307"/>
    <w:rsid w:val="004228AF"/>
    <w:rsid w:val="004230FE"/>
    <w:rsid w:val="00423969"/>
    <w:rsid w:val="004263C3"/>
    <w:rsid w:val="0042783C"/>
    <w:rsid w:val="00427E17"/>
    <w:rsid w:val="00430D41"/>
    <w:rsid w:val="00430E8D"/>
    <w:rsid w:val="00430E92"/>
    <w:rsid w:val="00431CC3"/>
    <w:rsid w:val="00432272"/>
    <w:rsid w:val="00433EA6"/>
    <w:rsid w:val="00435790"/>
    <w:rsid w:val="00435EAE"/>
    <w:rsid w:val="00435F1D"/>
    <w:rsid w:val="00441AFE"/>
    <w:rsid w:val="00441CF7"/>
    <w:rsid w:val="00442578"/>
    <w:rsid w:val="00442E5F"/>
    <w:rsid w:val="00444B75"/>
    <w:rsid w:val="0044649D"/>
    <w:rsid w:val="004466B6"/>
    <w:rsid w:val="00447208"/>
    <w:rsid w:val="0044746C"/>
    <w:rsid w:val="00447850"/>
    <w:rsid w:val="00447E7E"/>
    <w:rsid w:val="00451D6E"/>
    <w:rsid w:val="004542D6"/>
    <w:rsid w:val="00454529"/>
    <w:rsid w:val="00454D93"/>
    <w:rsid w:val="00454EAE"/>
    <w:rsid w:val="00456388"/>
    <w:rsid w:val="004567A6"/>
    <w:rsid w:val="0045723B"/>
    <w:rsid w:val="0045727A"/>
    <w:rsid w:val="004574F4"/>
    <w:rsid w:val="00460083"/>
    <w:rsid w:val="004614DD"/>
    <w:rsid w:val="004657DC"/>
    <w:rsid w:val="0046581B"/>
    <w:rsid w:val="0046750F"/>
    <w:rsid w:val="004679C8"/>
    <w:rsid w:val="00467A42"/>
    <w:rsid w:val="0047005D"/>
    <w:rsid w:val="0047040F"/>
    <w:rsid w:val="00470755"/>
    <w:rsid w:val="00471038"/>
    <w:rsid w:val="0047549D"/>
    <w:rsid w:val="00475B79"/>
    <w:rsid w:val="00475ECD"/>
    <w:rsid w:val="00475F20"/>
    <w:rsid w:val="00475F35"/>
    <w:rsid w:val="004768DB"/>
    <w:rsid w:val="004802F3"/>
    <w:rsid w:val="004812F6"/>
    <w:rsid w:val="004819A7"/>
    <w:rsid w:val="00481F0B"/>
    <w:rsid w:val="00482FA8"/>
    <w:rsid w:val="00482FEC"/>
    <w:rsid w:val="0048358B"/>
    <w:rsid w:val="004867B0"/>
    <w:rsid w:val="00486EF8"/>
    <w:rsid w:val="004870AA"/>
    <w:rsid w:val="00487C6F"/>
    <w:rsid w:val="004909AD"/>
    <w:rsid w:val="00491781"/>
    <w:rsid w:val="00492907"/>
    <w:rsid w:val="00492FC0"/>
    <w:rsid w:val="00493955"/>
    <w:rsid w:val="004955E5"/>
    <w:rsid w:val="0049600C"/>
    <w:rsid w:val="00496223"/>
    <w:rsid w:val="00496403"/>
    <w:rsid w:val="00496E7E"/>
    <w:rsid w:val="004A07B3"/>
    <w:rsid w:val="004A102E"/>
    <w:rsid w:val="004A2B4E"/>
    <w:rsid w:val="004A3644"/>
    <w:rsid w:val="004A399F"/>
    <w:rsid w:val="004A5DBA"/>
    <w:rsid w:val="004A6D7C"/>
    <w:rsid w:val="004B043D"/>
    <w:rsid w:val="004B0976"/>
    <w:rsid w:val="004B121A"/>
    <w:rsid w:val="004B12A7"/>
    <w:rsid w:val="004B22A5"/>
    <w:rsid w:val="004B29C0"/>
    <w:rsid w:val="004B3F95"/>
    <w:rsid w:val="004B4340"/>
    <w:rsid w:val="004B5167"/>
    <w:rsid w:val="004B5E10"/>
    <w:rsid w:val="004B7D2E"/>
    <w:rsid w:val="004C12D0"/>
    <w:rsid w:val="004C1E7A"/>
    <w:rsid w:val="004C2F5E"/>
    <w:rsid w:val="004C30E4"/>
    <w:rsid w:val="004C3411"/>
    <w:rsid w:val="004C3AC6"/>
    <w:rsid w:val="004C6EB3"/>
    <w:rsid w:val="004CCDB2"/>
    <w:rsid w:val="004D11FD"/>
    <w:rsid w:val="004D158F"/>
    <w:rsid w:val="004D2C98"/>
    <w:rsid w:val="004D3F1B"/>
    <w:rsid w:val="004D44EF"/>
    <w:rsid w:val="004D4BB4"/>
    <w:rsid w:val="004D5C07"/>
    <w:rsid w:val="004D790B"/>
    <w:rsid w:val="004E049B"/>
    <w:rsid w:val="004E0F9A"/>
    <w:rsid w:val="004E1B68"/>
    <w:rsid w:val="004E25FD"/>
    <w:rsid w:val="004E64AB"/>
    <w:rsid w:val="004E6C0A"/>
    <w:rsid w:val="004F0FDE"/>
    <w:rsid w:val="004F21D7"/>
    <w:rsid w:val="004F2AC5"/>
    <w:rsid w:val="004F3209"/>
    <w:rsid w:val="004F3FD5"/>
    <w:rsid w:val="004F4127"/>
    <w:rsid w:val="004F6EDA"/>
    <w:rsid w:val="005002EA"/>
    <w:rsid w:val="005004AC"/>
    <w:rsid w:val="005023ED"/>
    <w:rsid w:val="00502FB7"/>
    <w:rsid w:val="0050326E"/>
    <w:rsid w:val="0050365D"/>
    <w:rsid w:val="00503CFD"/>
    <w:rsid w:val="005048C1"/>
    <w:rsid w:val="005052F0"/>
    <w:rsid w:val="005061AD"/>
    <w:rsid w:val="005074D1"/>
    <w:rsid w:val="00507AAA"/>
    <w:rsid w:val="00511924"/>
    <w:rsid w:val="00511994"/>
    <w:rsid w:val="005122ED"/>
    <w:rsid w:val="0051237B"/>
    <w:rsid w:val="00512C9D"/>
    <w:rsid w:val="00512F1E"/>
    <w:rsid w:val="00513F9F"/>
    <w:rsid w:val="005141A2"/>
    <w:rsid w:val="00514B52"/>
    <w:rsid w:val="00514DAC"/>
    <w:rsid w:val="00515090"/>
    <w:rsid w:val="00515428"/>
    <w:rsid w:val="005159D9"/>
    <w:rsid w:val="00515A02"/>
    <w:rsid w:val="00515B22"/>
    <w:rsid w:val="00516E6C"/>
    <w:rsid w:val="0051739B"/>
    <w:rsid w:val="00517D0F"/>
    <w:rsid w:val="00520E09"/>
    <w:rsid w:val="005216B7"/>
    <w:rsid w:val="0052282A"/>
    <w:rsid w:val="00522F26"/>
    <w:rsid w:val="00523F44"/>
    <w:rsid w:val="00524086"/>
    <w:rsid w:val="005240B9"/>
    <w:rsid w:val="0052414C"/>
    <w:rsid w:val="00525071"/>
    <w:rsid w:val="005279A6"/>
    <w:rsid w:val="005301C1"/>
    <w:rsid w:val="00530269"/>
    <w:rsid w:val="00531E74"/>
    <w:rsid w:val="00532595"/>
    <w:rsid w:val="00533CC1"/>
    <w:rsid w:val="00534BB0"/>
    <w:rsid w:val="0053527B"/>
    <w:rsid w:val="005368DE"/>
    <w:rsid w:val="00536BFC"/>
    <w:rsid w:val="00543049"/>
    <w:rsid w:val="0054367C"/>
    <w:rsid w:val="00544320"/>
    <w:rsid w:val="0054495E"/>
    <w:rsid w:val="005454E7"/>
    <w:rsid w:val="0054589F"/>
    <w:rsid w:val="005463F7"/>
    <w:rsid w:val="005464B5"/>
    <w:rsid w:val="00550223"/>
    <w:rsid w:val="00550DBB"/>
    <w:rsid w:val="005515A4"/>
    <w:rsid w:val="00551FE9"/>
    <w:rsid w:val="00552E44"/>
    <w:rsid w:val="0055380E"/>
    <w:rsid w:val="00553A03"/>
    <w:rsid w:val="00553C23"/>
    <w:rsid w:val="005542B8"/>
    <w:rsid w:val="00554325"/>
    <w:rsid w:val="00554A90"/>
    <w:rsid w:val="0055598E"/>
    <w:rsid w:val="00555B4E"/>
    <w:rsid w:val="005562D7"/>
    <w:rsid w:val="00556451"/>
    <w:rsid w:val="005571AD"/>
    <w:rsid w:val="0055789E"/>
    <w:rsid w:val="00557BC5"/>
    <w:rsid w:val="00561EC4"/>
    <w:rsid w:val="005623F4"/>
    <w:rsid w:val="00562F95"/>
    <w:rsid w:val="00564E37"/>
    <w:rsid w:val="0056529A"/>
    <w:rsid w:val="005656A8"/>
    <w:rsid w:val="0056670B"/>
    <w:rsid w:val="00566AE7"/>
    <w:rsid w:val="005671D9"/>
    <w:rsid w:val="00567FDF"/>
    <w:rsid w:val="00570090"/>
    <w:rsid w:val="00571189"/>
    <w:rsid w:val="00571BDC"/>
    <w:rsid w:val="0057263B"/>
    <w:rsid w:val="00574503"/>
    <w:rsid w:val="00574E56"/>
    <w:rsid w:val="00574F01"/>
    <w:rsid w:val="005756FD"/>
    <w:rsid w:val="005759C9"/>
    <w:rsid w:val="00575F73"/>
    <w:rsid w:val="00580CC8"/>
    <w:rsid w:val="00580E55"/>
    <w:rsid w:val="00586CB4"/>
    <w:rsid w:val="005871FE"/>
    <w:rsid w:val="00587FBF"/>
    <w:rsid w:val="00591A71"/>
    <w:rsid w:val="00591BCE"/>
    <w:rsid w:val="00592E30"/>
    <w:rsid w:val="005938BF"/>
    <w:rsid w:val="005938D0"/>
    <w:rsid w:val="00594ACB"/>
    <w:rsid w:val="005954E4"/>
    <w:rsid w:val="00595E44"/>
    <w:rsid w:val="005A27D0"/>
    <w:rsid w:val="005A40EA"/>
    <w:rsid w:val="005A4FDE"/>
    <w:rsid w:val="005A5925"/>
    <w:rsid w:val="005A5B0E"/>
    <w:rsid w:val="005A782E"/>
    <w:rsid w:val="005B03FA"/>
    <w:rsid w:val="005B1021"/>
    <w:rsid w:val="005B1406"/>
    <w:rsid w:val="005B2252"/>
    <w:rsid w:val="005B3070"/>
    <w:rsid w:val="005B64D2"/>
    <w:rsid w:val="005B7602"/>
    <w:rsid w:val="005C035B"/>
    <w:rsid w:val="005C0818"/>
    <w:rsid w:val="005C0D0A"/>
    <w:rsid w:val="005C3618"/>
    <w:rsid w:val="005C38CB"/>
    <w:rsid w:val="005C3E4B"/>
    <w:rsid w:val="005C418B"/>
    <w:rsid w:val="005C4372"/>
    <w:rsid w:val="005C59D3"/>
    <w:rsid w:val="005C6390"/>
    <w:rsid w:val="005C74D9"/>
    <w:rsid w:val="005C77A8"/>
    <w:rsid w:val="005C786B"/>
    <w:rsid w:val="005D0F8D"/>
    <w:rsid w:val="005D1370"/>
    <w:rsid w:val="005D26B4"/>
    <w:rsid w:val="005D2A93"/>
    <w:rsid w:val="005D2D4F"/>
    <w:rsid w:val="005D2E81"/>
    <w:rsid w:val="005D4EBF"/>
    <w:rsid w:val="005D52B0"/>
    <w:rsid w:val="005D5815"/>
    <w:rsid w:val="005D5CA3"/>
    <w:rsid w:val="005D62A1"/>
    <w:rsid w:val="005D6702"/>
    <w:rsid w:val="005D7C1E"/>
    <w:rsid w:val="005E0A7A"/>
    <w:rsid w:val="005E1550"/>
    <w:rsid w:val="005E19E5"/>
    <w:rsid w:val="005E1A59"/>
    <w:rsid w:val="005E1BB1"/>
    <w:rsid w:val="005E3D57"/>
    <w:rsid w:val="005E4432"/>
    <w:rsid w:val="005E46A9"/>
    <w:rsid w:val="005E532F"/>
    <w:rsid w:val="005F1423"/>
    <w:rsid w:val="005F206E"/>
    <w:rsid w:val="005F270C"/>
    <w:rsid w:val="005F32DF"/>
    <w:rsid w:val="005F6AB6"/>
    <w:rsid w:val="005F7272"/>
    <w:rsid w:val="006014D0"/>
    <w:rsid w:val="00601B52"/>
    <w:rsid w:val="00602127"/>
    <w:rsid w:val="0060296C"/>
    <w:rsid w:val="006037B0"/>
    <w:rsid w:val="00603E27"/>
    <w:rsid w:val="00604184"/>
    <w:rsid w:val="00605750"/>
    <w:rsid w:val="00606271"/>
    <w:rsid w:val="00606C3C"/>
    <w:rsid w:val="0060711A"/>
    <w:rsid w:val="00607587"/>
    <w:rsid w:val="00607631"/>
    <w:rsid w:val="00607E62"/>
    <w:rsid w:val="006103BD"/>
    <w:rsid w:val="00611490"/>
    <w:rsid w:val="0061178E"/>
    <w:rsid w:val="006122F5"/>
    <w:rsid w:val="00613E95"/>
    <w:rsid w:val="006140DF"/>
    <w:rsid w:val="006173D5"/>
    <w:rsid w:val="0061C6C3"/>
    <w:rsid w:val="00621701"/>
    <w:rsid w:val="00621C87"/>
    <w:rsid w:val="00622959"/>
    <w:rsid w:val="00622991"/>
    <w:rsid w:val="00623237"/>
    <w:rsid w:val="006237C3"/>
    <w:rsid w:val="00626D72"/>
    <w:rsid w:val="006274B8"/>
    <w:rsid w:val="006276BA"/>
    <w:rsid w:val="00627FAF"/>
    <w:rsid w:val="00627FEE"/>
    <w:rsid w:val="006336A2"/>
    <w:rsid w:val="0063399A"/>
    <w:rsid w:val="00635865"/>
    <w:rsid w:val="00636660"/>
    <w:rsid w:val="0063696D"/>
    <w:rsid w:val="00637BE9"/>
    <w:rsid w:val="00637F08"/>
    <w:rsid w:val="006410B4"/>
    <w:rsid w:val="0064152F"/>
    <w:rsid w:val="006416CC"/>
    <w:rsid w:val="00644273"/>
    <w:rsid w:val="0064535A"/>
    <w:rsid w:val="0064664B"/>
    <w:rsid w:val="006471AE"/>
    <w:rsid w:val="0064780D"/>
    <w:rsid w:val="00647C05"/>
    <w:rsid w:val="00650433"/>
    <w:rsid w:val="006518C7"/>
    <w:rsid w:val="00651D38"/>
    <w:rsid w:val="00652019"/>
    <w:rsid w:val="006531FA"/>
    <w:rsid w:val="00653B50"/>
    <w:rsid w:val="00653E5B"/>
    <w:rsid w:val="00654778"/>
    <w:rsid w:val="00654984"/>
    <w:rsid w:val="00654F81"/>
    <w:rsid w:val="006554CB"/>
    <w:rsid w:val="00655901"/>
    <w:rsid w:val="00655AD1"/>
    <w:rsid w:val="00656D94"/>
    <w:rsid w:val="00657730"/>
    <w:rsid w:val="006577E8"/>
    <w:rsid w:val="00663017"/>
    <w:rsid w:val="006632BF"/>
    <w:rsid w:val="00663450"/>
    <w:rsid w:val="006648DF"/>
    <w:rsid w:val="0066751B"/>
    <w:rsid w:val="00671864"/>
    <w:rsid w:val="006733A4"/>
    <w:rsid w:val="00673BC3"/>
    <w:rsid w:val="006749AF"/>
    <w:rsid w:val="00675D38"/>
    <w:rsid w:val="00676147"/>
    <w:rsid w:val="00680652"/>
    <w:rsid w:val="006812A6"/>
    <w:rsid w:val="00681793"/>
    <w:rsid w:val="00681F8F"/>
    <w:rsid w:val="006828C0"/>
    <w:rsid w:val="00682A4E"/>
    <w:rsid w:val="00684B4D"/>
    <w:rsid w:val="00684C32"/>
    <w:rsid w:val="00684D73"/>
    <w:rsid w:val="00691AE0"/>
    <w:rsid w:val="00693B1D"/>
    <w:rsid w:val="00694A01"/>
    <w:rsid w:val="00694AC2"/>
    <w:rsid w:val="00695716"/>
    <w:rsid w:val="00695FE7"/>
    <w:rsid w:val="0069657A"/>
    <w:rsid w:val="0069671A"/>
    <w:rsid w:val="006A0E65"/>
    <w:rsid w:val="006A1213"/>
    <w:rsid w:val="006A1216"/>
    <w:rsid w:val="006A1B05"/>
    <w:rsid w:val="006A347D"/>
    <w:rsid w:val="006A4B69"/>
    <w:rsid w:val="006A4ECB"/>
    <w:rsid w:val="006A62CA"/>
    <w:rsid w:val="006A7CC8"/>
    <w:rsid w:val="006A7D9A"/>
    <w:rsid w:val="006B0C10"/>
    <w:rsid w:val="006B1258"/>
    <w:rsid w:val="006B2E18"/>
    <w:rsid w:val="006B358F"/>
    <w:rsid w:val="006B3663"/>
    <w:rsid w:val="006B6897"/>
    <w:rsid w:val="006B6993"/>
    <w:rsid w:val="006B759E"/>
    <w:rsid w:val="006C01A8"/>
    <w:rsid w:val="006C20B1"/>
    <w:rsid w:val="006C210A"/>
    <w:rsid w:val="006C2979"/>
    <w:rsid w:val="006C354A"/>
    <w:rsid w:val="006C379E"/>
    <w:rsid w:val="006C384E"/>
    <w:rsid w:val="006C48FD"/>
    <w:rsid w:val="006C4AAF"/>
    <w:rsid w:val="006C563D"/>
    <w:rsid w:val="006C5D44"/>
    <w:rsid w:val="006C635D"/>
    <w:rsid w:val="006D0B87"/>
    <w:rsid w:val="006D1238"/>
    <w:rsid w:val="006D153D"/>
    <w:rsid w:val="006D25DA"/>
    <w:rsid w:val="006D594E"/>
    <w:rsid w:val="006D5A60"/>
    <w:rsid w:val="006D5B2D"/>
    <w:rsid w:val="006D616D"/>
    <w:rsid w:val="006D61BF"/>
    <w:rsid w:val="006D73B2"/>
    <w:rsid w:val="006E07A7"/>
    <w:rsid w:val="006E07AA"/>
    <w:rsid w:val="006E0CDE"/>
    <w:rsid w:val="006E2779"/>
    <w:rsid w:val="006E3AB6"/>
    <w:rsid w:val="006E4AA2"/>
    <w:rsid w:val="006E4BE6"/>
    <w:rsid w:val="006E4CB7"/>
    <w:rsid w:val="006E53D7"/>
    <w:rsid w:val="006E568E"/>
    <w:rsid w:val="006E796A"/>
    <w:rsid w:val="006F0A75"/>
    <w:rsid w:val="006F1E7B"/>
    <w:rsid w:val="006F3055"/>
    <w:rsid w:val="006F3257"/>
    <w:rsid w:val="006F353E"/>
    <w:rsid w:val="006F459A"/>
    <w:rsid w:val="006F4F08"/>
    <w:rsid w:val="006F7980"/>
    <w:rsid w:val="00701161"/>
    <w:rsid w:val="00701354"/>
    <w:rsid w:val="007037FE"/>
    <w:rsid w:val="0070549E"/>
    <w:rsid w:val="00705C02"/>
    <w:rsid w:val="00706764"/>
    <w:rsid w:val="0070709A"/>
    <w:rsid w:val="007070FA"/>
    <w:rsid w:val="0071070B"/>
    <w:rsid w:val="007128B9"/>
    <w:rsid w:val="00713409"/>
    <w:rsid w:val="00713E91"/>
    <w:rsid w:val="00715F94"/>
    <w:rsid w:val="00717408"/>
    <w:rsid w:val="0071786D"/>
    <w:rsid w:val="007220A6"/>
    <w:rsid w:val="0072243A"/>
    <w:rsid w:val="00723465"/>
    <w:rsid w:val="00723E67"/>
    <w:rsid w:val="00723F2B"/>
    <w:rsid w:val="007278C7"/>
    <w:rsid w:val="00727BC8"/>
    <w:rsid w:val="00730CE1"/>
    <w:rsid w:val="0073110F"/>
    <w:rsid w:val="00732785"/>
    <w:rsid w:val="00733889"/>
    <w:rsid w:val="00733F51"/>
    <w:rsid w:val="00735202"/>
    <w:rsid w:val="00735AE9"/>
    <w:rsid w:val="00735BAC"/>
    <w:rsid w:val="00736526"/>
    <w:rsid w:val="00736C2D"/>
    <w:rsid w:val="00740CDF"/>
    <w:rsid w:val="00741C43"/>
    <w:rsid w:val="00741E91"/>
    <w:rsid w:val="00742AC4"/>
    <w:rsid w:val="00745350"/>
    <w:rsid w:val="007453A3"/>
    <w:rsid w:val="00745A33"/>
    <w:rsid w:val="00746116"/>
    <w:rsid w:val="0074643F"/>
    <w:rsid w:val="00747E1C"/>
    <w:rsid w:val="00750511"/>
    <w:rsid w:val="00750893"/>
    <w:rsid w:val="007508BF"/>
    <w:rsid w:val="007511C7"/>
    <w:rsid w:val="00751799"/>
    <w:rsid w:val="00751A2F"/>
    <w:rsid w:val="007521F6"/>
    <w:rsid w:val="00753507"/>
    <w:rsid w:val="00753EDC"/>
    <w:rsid w:val="00754F6D"/>
    <w:rsid w:val="00756F15"/>
    <w:rsid w:val="0075728B"/>
    <w:rsid w:val="00757C89"/>
    <w:rsid w:val="0076037A"/>
    <w:rsid w:val="00760D4D"/>
    <w:rsid w:val="007611E6"/>
    <w:rsid w:val="007619CF"/>
    <w:rsid w:val="00761A16"/>
    <w:rsid w:val="007628C6"/>
    <w:rsid w:val="007630B0"/>
    <w:rsid w:val="00764062"/>
    <w:rsid w:val="00764C82"/>
    <w:rsid w:val="0076557B"/>
    <w:rsid w:val="00765C68"/>
    <w:rsid w:val="00766292"/>
    <w:rsid w:val="007662FF"/>
    <w:rsid w:val="007678B7"/>
    <w:rsid w:val="00767A64"/>
    <w:rsid w:val="0077014B"/>
    <w:rsid w:val="00771667"/>
    <w:rsid w:val="00771762"/>
    <w:rsid w:val="00773EAF"/>
    <w:rsid w:val="00774953"/>
    <w:rsid w:val="007749EB"/>
    <w:rsid w:val="00774BD6"/>
    <w:rsid w:val="00782002"/>
    <w:rsid w:val="007826E7"/>
    <w:rsid w:val="00783862"/>
    <w:rsid w:val="00783CD3"/>
    <w:rsid w:val="007856BF"/>
    <w:rsid w:val="00785858"/>
    <w:rsid w:val="007872DF"/>
    <w:rsid w:val="0078730F"/>
    <w:rsid w:val="00787AB5"/>
    <w:rsid w:val="0079129E"/>
    <w:rsid w:val="007917DE"/>
    <w:rsid w:val="00793FA3"/>
    <w:rsid w:val="00795433"/>
    <w:rsid w:val="0079693A"/>
    <w:rsid w:val="00796B81"/>
    <w:rsid w:val="00797950"/>
    <w:rsid w:val="00797B33"/>
    <w:rsid w:val="00797E53"/>
    <w:rsid w:val="007A115A"/>
    <w:rsid w:val="007A1ADA"/>
    <w:rsid w:val="007A2F57"/>
    <w:rsid w:val="007A4DC1"/>
    <w:rsid w:val="007A5897"/>
    <w:rsid w:val="007A5E6F"/>
    <w:rsid w:val="007A70F1"/>
    <w:rsid w:val="007B0359"/>
    <w:rsid w:val="007B2ADB"/>
    <w:rsid w:val="007B3070"/>
    <w:rsid w:val="007B35EE"/>
    <w:rsid w:val="007B472E"/>
    <w:rsid w:val="007B630A"/>
    <w:rsid w:val="007B7393"/>
    <w:rsid w:val="007B7B7E"/>
    <w:rsid w:val="007B7D96"/>
    <w:rsid w:val="007C037A"/>
    <w:rsid w:val="007C0752"/>
    <w:rsid w:val="007C0BAA"/>
    <w:rsid w:val="007C294D"/>
    <w:rsid w:val="007C47A5"/>
    <w:rsid w:val="007C4E92"/>
    <w:rsid w:val="007C5800"/>
    <w:rsid w:val="007C5D86"/>
    <w:rsid w:val="007C60BB"/>
    <w:rsid w:val="007C669E"/>
    <w:rsid w:val="007C7F4B"/>
    <w:rsid w:val="007D016A"/>
    <w:rsid w:val="007D0886"/>
    <w:rsid w:val="007D1218"/>
    <w:rsid w:val="007D1A56"/>
    <w:rsid w:val="007D1DA7"/>
    <w:rsid w:val="007D1E4F"/>
    <w:rsid w:val="007D2901"/>
    <w:rsid w:val="007D3B4F"/>
    <w:rsid w:val="007D5A93"/>
    <w:rsid w:val="007D61FB"/>
    <w:rsid w:val="007D7288"/>
    <w:rsid w:val="007D7EB2"/>
    <w:rsid w:val="007E1BEB"/>
    <w:rsid w:val="007E212A"/>
    <w:rsid w:val="007E2E5D"/>
    <w:rsid w:val="007E300E"/>
    <w:rsid w:val="007E4BE6"/>
    <w:rsid w:val="007E4CDE"/>
    <w:rsid w:val="007E4CDF"/>
    <w:rsid w:val="007E598C"/>
    <w:rsid w:val="007E6B39"/>
    <w:rsid w:val="007E79F3"/>
    <w:rsid w:val="007F05C3"/>
    <w:rsid w:val="007F1E3B"/>
    <w:rsid w:val="007F2BF0"/>
    <w:rsid w:val="007F3A47"/>
    <w:rsid w:val="007F4D53"/>
    <w:rsid w:val="007F5240"/>
    <w:rsid w:val="007F5C71"/>
    <w:rsid w:val="007F7AFF"/>
    <w:rsid w:val="0080003E"/>
    <w:rsid w:val="00800324"/>
    <w:rsid w:val="0080075E"/>
    <w:rsid w:val="00800EA0"/>
    <w:rsid w:val="008016DB"/>
    <w:rsid w:val="008025DD"/>
    <w:rsid w:val="00803AFC"/>
    <w:rsid w:val="00805C15"/>
    <w:rsid w:val="00806AB3"/>
    <w:rsid w:val="00806E7C"/>
    <w:rsid w:val="00807F5B"/>
    <w:rsid w:val="00810F58"/>
    <w:rsid w:val="0081154E"/>
    <w:rsid w:val="008132D5"/>
    <w:rsid w:val="008136DB"/>
    <w:rsid w:val="008142B7"/>
    <w:rsid w:val="00814B7B"/>
    <w:rsid w:val="0081561B"/>
    <w:rsid w:val="0081572E"/>
    <w:rsid w:val="00816208"/>
    <w:rsid w:val="00816F08"/>
    <w:rsid w:val="0081707A"/>
    <w:rsid w:val="0081773D"/>
    <w:rsid w:val="00824137"/>
    <w:rsid w:val="00825E61"/>
    <w:rsid w:val="008264EE"/>
    <w:rsid w:val="00827448"/>
    <w:rsid w:val="00827998"/>
    <w:rsid w:val="00831624"/>
    <w:rsid w:val="00832002"/>
    <w:rsid w:val="00832354"/>
    <w:rsid w:val="008325CA"/>
    <w:rsid w:val="00832DD7"/>
    <w:rsid w:val="0083330E"/>
    <w:rsid w:val="00833AA4"/>
    <w:rsid w:val="008346C9"/>
    <w:rsid w:val="00834707"/>
    <w:rsid w:val="0083522D"/>
    <w:rsid w:val="00835BF2"/>
    <w:rsid w:val="00835F27"/>
    <w:rsid w:val="00836145"/>
    <w:rsid w:val="008363C7"/>
    <w:rsid w:val="00836C22"/>
    <w:rsid w:val="0084025E"/>
    <w:rsid w:val="00840B0D"/>
    <w:rsid w:val="00840E81"/>
    <w:rsid w:val="0084281A"/>
    <w:rsid w:val="00844316"/>
    <w:rsid w:val="00844A54"/>
    <w:rsid w:val="00844E1A"/>
    <w:rsid w:val="0084524A"/>
    <w:rsid w:val="008452FD"/>
    <w:rsid w:val="0084578D"/>
    <w:rsid w:val="00846B3F"/>
    <w:rsid w:val="00847D05"/>
    <w:rsid w:val="00850F70"/>
    <w:rsid w:val="00852666"/>
    <w:rsid w:val="00854496"/>
    <w:rsid w:val="00854FBA"/>
    <w:rsid w:val="00856A42"/>
    <w:rsid w:val="008575EB"/>
    <w:rsid w:val="00861E09"/>
    <w:rsid w:val="00862455"/>
    <w:rsid w:val="00862A71"/>
    <w:rsid w:val="008657D8"/>
    <w:rsid w:val="00866773"/>
    <w:rsid w:val="0086703C"/>
    <w:rsid w:val="00867ABF"/>
    <w:rsid w:val="0087013B"/>
    <w:rsid w:val="00870565"/>
    <w:rsid w:val="00870A82"/>
    <w:rsid w:val="00871058"/>
    <w:rsid w:val="00871648"/>
    <w:rsid w:val="0087249A"/>
    <w:rsid w:val="008734A3"/>
    <w:rsid w:val="00873568"/>
    <w:rsid w:val="00873E2D"/>
    <w:rsid w:val="00875E64"/>
    <w:rsid w:val="008763BF"/>
    <w:rsid w:val="00877EA8"/>
    <w:rsid w:val="008820F2"/>
    <w:rsid w:val="00885EE6"/>
    <w:rsid w:val="00887B86"/>
    <w:rsid w:val="00887CBF"/>
    <w:rsid w:val="0089054E"/>
    <w:rsid w:val="00890862"/>
    <w:rsid w:val="00890A7F"/>
    <w:rsid w:val="00890C30"/>
    <w:rsid w:val="008926E5"/>
    <w:rsid w:val="00896B87"/>
    <w:rsid w:val="008A14B5"/>
    <w:rsid w:val="008A2864"/>
    <w:rsid w:val="008A3E6F"/>
    <w:rsid w:val="008A4389"/>
    <w:rsid w:val="008A6968"/>
    <w:rsid w:val="008A76B5"/>
    <w:rsid w:val="008A7B99"/>
    <w:rsid w:val="008A7D2B"/>
    <w:rsid w:val="008A7DCB"/>
    <w:rsid w:val="008B0431"/>
    <w:rsid w:val="008B18AA"/>
    <w:rsid w:val="008B3615"/>
    <w:rsid w:val="008B4FD7"/>
    <w:rsid w:val="008B55F6"/>
    <w:rsid w:val="008B7E85"/>
    <w:rsid w:val="008C02B7"/>
    <w:rsid w:val="008C296D"/>
    <w:rsid w:val="008C3C51"/>
    <w:rsid w:val="008C454F"/>
    <w:rsid w:val="008C4860"/>
    <w:rsid w:val="008C5159"/>
    <w:rsid w:val="008C5FC3"/>
    <w:rsid w:val="008C6019"/>
    <w:rsid w:val="008C67F5"/>
    <w:rsid w:val="008D20FE"/>
    <w:rsid w:val="008D4E13"/>
    <w:rsid w:val="008D50BC"/>
    <w:rsid w:val="008D5F62"/>
    <w:rsid w:val="008D6FAF"/>
    <w:rsid w:val="008D6FCA"/>
    <w:rsid w:val="008E0437"/>
    <w:rsid w:val="008E092F"/>
    <w:rsid w:val="008E0FF4"/>
    <w:rsid w:val="008E10A0"/>
    <w:rsid w:val="008E1529"/>
    <w:rsid w:val="008E1696"/>
    <w:rsid w:val="008E3A30"/>
    <w:rsid w:val="008E451B"/>
    <w:rsid w:val="008E5147"/>
    <w:rsid w:val="008E5B95"/>
    <w:rsid w:val="008E5BAC"/>
    <w:rsid w:val="008E71B0"/>
    <w:rsid w:val="008E7321"/>
    <w:rsid w:val="008E7A92"/>
    <w:rsid w:val="008F05F3"/>
    <w:rsid w:val="008F0F16"/>
    <w:rsid w:val="008F1192"/>
    <w:rsid w:val="008F18B7"/>
    <w:rsid w:val="008F1EB4"/>
    <w:rsid w:val="008F2590"/>
    <w:rsid w:val="008F2D65"/>
    <w:rsid w:val="008F30F2"/>
    <w:rsid w:val="008F4C14"/>
    <w:rsid w:val="008F7C56"/>
    <w:rsid w:val="009009F7"/>
    <w:rsid w:val="00902469"/>
    <w:rsid w:val="009048CE"/>
    <w:rsid w:val="00906763"/>
    <w:rsid w:val="00906A74"/>
    <w:rsid w:val="00907555"/>
    <w:rsid w:val="009079B2"/>
    <w:rsid w:val="009103AE"/>
    <w:rsid w:val="00911FB9"/>
    <w:rsid w:val="0091483B"/>
    <w:rsid w:val="009152E9"/>
    <w:rsid w:val="009163D5"/>
    <w:rsid w:val="00917BEC"/>
    <w:rsid w:val="0092099B"/>
    <w:rsid w:val="00920C8D"/>
    <w:rsid w:val="00923650"/>
    <w:rsid w:val="00923A57"/>
    <w:rsid w:val="00925765"/>
    <w:rsid w:val="00925E9F"/>
    <w:rsid w:val="009261D6"/>
    <w:rsid w:val="00926CDC"/>
    <w:rsid w:val="00926E92"/>
    <w:rsid w:val="0093003D"/>
    <w:rsid w:val="009300D2"/>
    <w:rsid w:val="00930638"/>
    <w:rsid w:val="00931DB4"/>
    <w:rsid w:val="009321E0"/>
    <w:rsid w:val="00932D63"/>
    <w:rsid w:val="00932F8E"/>
    <w:rsid w:val="009334AE"/>
    <w:rsid w:val="009334DB"/>
    <w:rsid w:val="00934EFB"/>
    <w:rsid w:val="00935533"/>
    <w:rsid w:val="00935786"/>
    <w:rsid w:val="00935854"/>
    <w:rsid w:val="009360B7"/>
    <w:rsid w:val="00936C98"/>
    <w:rsid w:val="00937450"/>
    <w:rsid w:val="00937BE1"/>
    <w:rsid w:val="00940D93"/>
    <w:rsid w:val="00942128"/>
    <w:rsid w:val="009427C4"/>
    <w:rsid w:val="00942933"/>
    <w:rsid w:val="00943F03"/>
    <w:rsid w:val="0094407D"/>
    <w:rsid w:val="00944E1D"/>
    <w:rsid w:val="00945B06"/>
    <w:rsid w:val="00946278"/>
    <w:rsid w:val="00946851"/>
    <w:rsid w:val="00946BA1"/>
    <w:rsid w:val="00947A37"/>
    <w:rsid w:val="0095266A"/>
    <w:rsid w:val="00952A7E"/>
    <w:rsid w:val="009553D0"/>
    <w:rsid w:val="00955555"/>
    <w:rsid w:val="009620C2"/>
    <w:rsid w:val="0096218F"/>
    <w:rsid w:val="00963E50"/>
    <w:rsid w:val="00964094"/>
    <w:rsid w:val="00965A00"/>
    <w:rsid w:val="00965E73"/>
    <w:rsid w:val="00966C7E"/>
    <w:rsid w:val="009677AA"/>
    <w:rsid w:val="00967B08"/>
    <w:rsid w:val="00970810"/>
    <w:rsid w:val="009712CD"/>
    <w:rsid w:val="009712F3"/>
    <w:rsid w:val="00972228"/>
    <w:rsid w:val="009728A4"/>
    <w:rsid w:val="00972AB9"/>
    <w:rsid w:val="00973731"/>
    <w:rsid w:val="00973910"/>
    <w:rsid w:val="009746B7"/>
    <w:rsid w:val="00975919"/>
    <w:rsid w:val="00975E49"/>
    <w:rsid w:val="0097639E"/>
    <w:rsid w:val="009764C5"/>
    <w:rsid w:val="009768A7"/>
    <w:rsid w:val="009768AC"/>
    <w:rsid w:val="009773C5"/>
    <w:rsid w:val="00977D17"/>
    <w:rsid w:val="00982DBB"/>
    <w:rsid w:val="00983ECE"/>
    <w:rsid w:val="009849B0"/>
    <w:rsid w:val="00984C98"/>
    <w:rsid w:val="0098543C"/>
    <w:rsid w:val="009859D4"/>
    <w:rsid w:val="00985A35"/>
    <w:rsid w:val="009869ED"/>
    <w:rsid w:val="00986CAE"/>
    <w:rsid w:val="0098700E"/>
    <w:rsid w:val="00987620"/>
    <w:rsid w:val="00990C03"/>
    <w:rsid w:val="00991402"/>
    <w:rsid w:val="00993DD2"/>
    <w:rsid w:val="009943CF"/>
    <w:rsid w:val="00994DA3"/>
    <w:rsid w:val="00995901"/>
    <w:rsid w:val="0099646A"/>
    <w:rsid w:val="009970CD"/>
    <w:rsid w:val="009A0A43"/>
    <w:rsid w:val="009A0EA2"/>
    <w:rsid w:val="009A2C77"/>
    <w:rsid w:val="009A5FC6"/>
    <w:rsid w:val="009A61D0"/>
    <w:rsid w:val="009A7148"/>
    <w:rsid w:val="009A7633"/>
    <w:rsid w:val="009B1998"/>
    <w:rsid w:val="009B1A2A"/>
    <w:rsid w:val="009B1DDF"/>
    <w:rsid w:val="009B366A"/>
    <w:rsid w:val="009B3DEC"/>
    <w:rsid w:val="009B415E"/>
    <w:rsid w:val="009B56AC"/>
    <w:rsid w:val="009B6613"/>
    <w:rsid w:val="009B671B"/>
    <w:rsid w:val="009B6D98"/>
    <w:rsid w:val="009B7772"/>
    <w:rsid w:val="009B7B87"/>
    <w:rsid w:val="009C009C"/>
    <w:rsid w:val="009C06D8"/>
    <w:rsid w:val="009C0C9D"/>
    <w:rsid w:val="009C18BB"/>
    <w:rsid w:val="009C1AD4"/>
    <w:rsid w:val="009C1B5F"/>
    <w:rsid w:val="009C5405"/>
    <w:rsid w:val="009C6641"/>
    <w:rsid w:val="009C67B5"/>
    <w:rsid w:val="009C7B0A"/>
    <w:rsid w:val="009D1E28"/>
    <w:rsid w:val="009D2617"/>
    <w:rsid w:val="009D406C"/>
    <w:rsid w:val="009D45F7"/>
    <w:rsid w:val="009D5FA5"/>
    <w:rsid w:val="009D6F88"/>
    <w:rsid w:val="009D7E63"/>
    <w:rsid w:val="009E05A1"/>
    <w:rsid w:val="009E0B9D"/>
    <w:rsid w:val="009E0D85"/>
    <w:rsid w:val="009E0E5A"/>
    <w:rsid w:val="009E287F"/>
    <w:rsid w:val="009E2D21"/>
    <w:rsid w:val="009E3598"/>
    <w:rsid w:val="009E3A5D"/>
    <w:rsid w:val="009E3B96"/>
    <w:rsid w:val="009E492B"/>
    <w:rsid w:val="009E6B4A"/>
    <w:rsid w:val="009F007F"/>
    <w:rsid w:val="009F2174"/>
    <w:rsid w:val="009F3282"/>
    <w:rsid w:val="009F3413"/>
    <w:rsid w:val="009F38FA"/>
    <w:rsid w:val="009F3B29"/>
    <w:rsid w:val="009F5782"/>
    <w:rsid w:val="009F5EEC"/>
    <w:rsid w:val="009F6839"/>
    <w:rsid w:val="009F6EF2"/>
    <w:rsid w:val="009F6FCC"/>
    <w:rsid w:val="009F704C"/>
    <w:rsid w:val="009F7D1A"/>
    <w:rsid w:val="00A01558"/>
    <w:rsid w:val="00A028E0"/>
    <w:rsid w:val="00A032DF"/>
    <w:rsid w:val="00A046C2"/>
    <w:rsid w:val="00A06288"/>
    <w:rsid w:val="00A06598"/>
    <w:rsid w:val="00A06855"/>
    <w:rsid w:val="00A11222"/>
    <w:rsid w:val="00A12035"/>
    <w:rsid w:val="00A126B6"/>
    <w:rsid w:val="00A12D5F"/>
    <w:rsid w:val="00A12D9B"/>
    <w:rsid w:val="00A13AA8"/>
    <w:rsid w:val="00A13D31"/>
    <w:rsid w:val="00A157A5"/>
    <w:rsid w:val="00A163F8"/>
    <w:rsid w:val="00A1689E"/>
    <w:rsid w:val="00A17290"/>
    <w:rsid w:val="00A17573"/>
    <w:rsid w:val="00A20ADA"/>
    <w:rsid w:val="00A20E20"/>
    <w:rsid w:val="00A240C1"/>
    <w:rsid w:val="00A26337"/>
    <w:rsid w:val="00A26C68"/>
    <w:rsid w:val="00A30007"/>
    <w:rsid w:val="00A3233A"/>
    <w:rsid w:val="00A323EB"/>
    <w:rsid w:val="00A33EBC"/>
    <w:rsid w:val="00A35850"/>
    <w:rsid w:val="00A401B1"/>
    <w:rsid w:val="00A409AC"/>
    <w:rsid w:val="00A40DA2"/>
    <w:rsid w:val="00A41612"/>
    <w:rsid w:val="00A4249B"/>
    <w:rsid w:val="00A42F1E"/>
    <w:rsid w:val="00A42FA2"/>
    <w:rsid w:val="00A43590"/>
    <w:rsid w:val="00A441E1"/>
    <w:rsid w:val="00A444C1"/>
    <w:rsid w:val="00A4464E"/>
    <w:rsid w:val="00A446CA"/>
    <w:rsid w:val="00A44F45"/>
    <w:rsid w:val="00A45151"/>
    <w:rsid w:val="00A46860"/>
    <w:rsid w:val="00A47976"/>
    <w:rsid w:val="00A500AF"/>
    <w:rsid w:val="00A50374"/>
    <w:rsid w:val="00A509FD"/>
    <w:rsid w:val="00A50B86"/>
    <w:rsid w:val="00A51818"/>
    <w:rsid w:val="00A5181F"/>
    <w:rsid w:val="00A51950"/>
    <w:rsid w:val="00A52388"/>
    <w:rsid w:val="00A52C2B"/>
    <w:rsid w:val="00A539A1"/>
    <w:rsid w:val="00A53ACE"/>
    <w:rsid w:val="00A54CB7"/>
    <w:rsid w:val="00A57E96"/>
    <w:rsid w:val="00A60468"/>
    <w:rsid w:val="00A60861"/>
    <w:rsid w:val="00A6156D"/>
    <w:rsid w:val="00A61AA8"/>
    <w:rsid w:val="00A63A6F"/>
    <w:rsid w:val="00A64CF0"/>
    <w:rsid w:val="00A64F36"/>
    <w:rsid w:val="00A65B35"/>
    <w:rsid w:val="00A70A62"/>
    <w:rsid w:val="00A70F58"/>
    <w:rsid w:val="00A7177D"/>
    <w:rsid w:val="00A71C68"/>
    <w:rsid w:val="00A71FAE"/>
    <w:rsid w:val="00A723B7"/>
    <w:rsid w:val="00A72740"/>
    <w:rsid w:val="00A741CC"/>
    <w:rsid w:val="00A761CA"/>
    <w:rsid w:val="00A813B7"/>
    <w:rsid w:val="00A81C19"/>
    <w:rsid w:val="00A81F15"/>
    <w:rsid w:val="00A831F9"/>
    <w:rsid w:val="00A8332C"/>
    <w:rsid w:val="00A84481"/>
    <w:rsid w:val="00A845B4"/>
    <w:rsid w:val="00A859CE"/>
    <w:rsid w:val="00A85D7C"/>
    <w:rsid w:val="00A870F6"/>
    <w:rsid w:val="00A87AD5"/>
    <w:rsid w:val="00A87BFF"/>
    <w:rsid w:val="00A901B2"/>
    <w:rsid w:val="00A90590"/>
    <w:rsid w:val="00A923D3"/>
    <w:rsid w:val="00A9286C"/>
    <w:rsid w:val="00A92EFB"/>
    <w:rsid w:val="00A93F2B"/>
    <w:rsid w:val="00A94063"/>
    <w:rsid w:val="00A95A7B"/>
    <w:rsid w:val="00A963C9"/>
    <w:rsid w:val="00A97E2A"/>
    <w:rsid w:val="00AA0736"/>
    <w:rsid w:val="00AA0AAD"/>
    <w:rsid w:val="00AA2A3E"/>
    <w:rsid w:val="00AA32FF"/>
    <w:rsid w:val="00AA4789"/>
    <w:rsid w:val="00AA561B"/>
    <w:rsid w:val="00AA5940"/>
    <w:rsid w:val="00AA5B7E"/>
    <w:rsid w:val="00AA6FE1"/>
    <w:rsid w:val="00AB0D77"/>
    <w:rsid w:val="00AB0ED8"/>
    <w:rsid w:val="00AB1349"/>
    <w:rsid w:val="00AB1933"/>
    <w:rsid w:val="00AB1969"/>
    <w:rsid w:val="00AB287D"/>
    <w:rsid w:val="00AB451D"/>
    <w:rsid w:val="00AB454F"/>
    <w:rsid w:val="00AB593B"/>
    <w:rsid w:val="00AB6362"/>
    <w:rsid w:val="00AB67CA"/>
    <w:rsid w:val="00AC038D"/>
    <w:rsid w:val="00AC0DCC"/>
    <w:rsid w:val="00AC0E1B"/>
    <w:rsid w:val="00AC1801"/>
    <w:rsid w:val="00AC2FCC"/>
    <w:rsid w:val="00AC31B2"/>
    <w:rsid w:val="00AC54D4"/>
    <w:rsid w:val="00AC6A67"/>
    <w:rsid w:val="00AC7151"/>
    <w:rsid w:val="00AC79B7"/>
    <w:rsid w:val="00AD175A"/>
    <w:rsid w:val="00AD1D43"/>
    <w:rsid w:val="00AD30B5"/>
    <w:rsid w:val="00AD4928"/>
    <w:rsid w:val="00AD53DD"/>
    <w:rsid w:val="00AD726D"/>
    <w:rsid w:val="00AD73CB"/>
    <w:rsid w:val="00AD79A7"/>
    <w:rsid w:val="00AD7F30"/>
    <w:rsid w:val="00AE047D"/>
    <w:rsid w:val="00AE052A"/>
    <w:rsid w:val="00AE11A8"/>
    <w:rsid w:val="00AE2955"/>
    <w:rsid w:val="00AE43DC"/>
    <w:rsid w:val="00AE4857"/>
    <w:rsid w:val="00AE673E"/>
    <w:rsid w:val="00AE682F"/>
    <w:rsid w:val="00AE696A"/>
    <w:rsid w:val="00AE7058"/>
    <w:rsid w:val="00AE7616"/>
    <w:rsid w:val="00AE7BCB"/>
    <w:rsid w:val="00AF09FA"/>
    <w:rsid w:val="00AF107B"/>
    <w:rsid w:val="00AF278D"/>
    <w:rsid w:val="00AF2F35"/>
    <w:rsid w:val="00AF48C0"/>
    <w:rsid w:val="00AF4E44"/>
    <w:rsid w:val="00AF4E83"/>
    <w:rsid w:val="00AF6BC1"/>
    <w:rsid w:val="00AF6DD1"/>
    <w:rsid w:val="00AF7956"/>
    <w:rsid w:val="00AF7A48"/>
    <w:rsid w:val="00B02EAA"/>
    <w:rsid w:val="00B04661"/>
    <w:rsid w:val="00B13E55"/>
    <w:rsid w:val="00B14501"/>
    <w:rsid w:val="00B145EF"/>
    <w:rsid w:val="00B15562"/>
    <w:rsid w:val="00B17D96"/>
    <w:rsid w:val="00B20C89"/>
    <w:rsid w:val="00B213AD"/>
    <w:rsid w:val="00B22CB0"/>
    <w:rsid w:val="00B232DA"/>
    <w:rsid w:val="00B23684"/>
    <w:rsid w:val="00B247D9"/>
    <w:rsid w:val="00B249A7"/>
    <w:rsid w:val="00B250FF"/>
    <w:rsid w:val="00B25118"/>
    <w:rsid w:val="00B25808"/>
    <w:rsid w:val="00B26377"/>
    <w:rsid w:val="00B2701D"/>
    <w:rsid w:val="00B274A6"/>
    <w:rsid w:val="00B311FE"/>
    <w:rsid w:val="00B3306F"/>
    <w:rsid w:val="00B35E74"/>
    <w:rsid w:val="00B35FE5"/>
    <w:rsid w:val="00B366C7"/>
    <w:rsid w:val="00B36D03"/>
    <w:rsid w:val="00B37B3A"/>
    <w:rsid w:val="00B37EE8"/>
    <w:rsid w:val="00B4068A"/>
    <w:rsid w:val="00B42241"/>
    <w:rsid w:val="00B425B2"/>
    <w:rsid w:val="00B4348C"/>
    <w:rsid w:val="00B44906"/>
    <w:rsid w:val="00B449BA"/>
    <w:rsid w:val="00B44AA3"/>
    <w:rsid w:val="00B454FE"/>
    <w:rsid w:val="00B45843"/>
    <w:rsid w:val="00B45E14"/>
    <w:rsid w:val="00B47DFC"/>
    <w:rsid w:val="00B5168A"/>
    <w:rsid w:val="00B51890"/>
    <w:rsid w:val="00B51A26"/>
    <w:rsid w:val="00B51CE4"/>
    <w:rsid w:val="00B5288B"/>
    <w:rsid w:val="00B52B99"/>
    <w:rsid w:val="00B52BA7"/>
    <w:rsid w:val="00B536AF"/>
    <w:rsid w:val="00B53C86"/>
    <w:rsid w:val="00B54DAD"/>
    <w:rsid w:val="00B559C6"/>
    <w:rsid w:val="00B56153"/>
    <w:rsid w:val="00B56A46"/>
    <w:rsid w:val="00B572C1"/>
    <w:rsid w:val="00B57CB9"/>
    <w:rsid w:val="00B6034E"/>
    <w:rsid w:val="00B62269"/>
    <w:rsid w:val="00B625AF"/>
    <w:rsid w:val="00B62CFA"/>
    <w:rsid w:val="00B63F9C"/>
    <w:rsid w:val="00B6520E"/>
    <w:rsid w:val="00B6590F"/>
    <w:rsid w:val="00B65BBD"/>
    <w:rsid w:val="00B65CDF"/>
    <w:rsid w:val="00B65EB4"/>
    <w:rsid w:val="00B66DE9"/>
    <w:rsid w:val="00B6784D"/>
    <w:rsid w:val="00B70345"/>
    <w:rsid w:val="00B71E51"/>
    <w:rsid w:val="00B734B2"/>
    <w:rsid w:val="00B7369E"/>
    <w:rsid w:val="00B74FBB"/>
    <w:rsid w:val="00B750BA"/>
    <w:rsid w:val="00B778F2"/>
    <w:rsid w:val="00B80948"/>
    <w:rsid w:val="00B8472B"/>
    <w:rsid w:val="00B866C3"/>
    <w:rsid w:val="00B90310"/>
    <w:rsid w:val="00B91575"/>
    <w:rsid w:val="00B91854"/>
    <w:rsid w:val="00B92C02"/>
    <w:rsid w:val="00B93C84"/>
    <w:rsid w:val="00B94F5A"/>
    <w:rsid w:val="00B96E0B"/>
    <w:rsid w:val="00B975C0"/>
    <w:rsid w:val="00BA0975"/>
    <w:rsid w:val="00BA0A88"/>
    <w:rsid w:val="00BA12F7"/>
    <w:rsid w:val="00BA2B76"/>
    <w:rsid w:val="00BA300C"/>
    <w:rsid w:val="00BA3A28"/>
    <w:rsid w:val="00BA58CA"/>
    <w:rsid w:val="00BA62D0"/>
    <w:rsid w:val="00BA6D6B"/>
    <w:rsid w:val="00BA7038"/>
    <w:rsid w:val="00BB06F8"/>
    <w:rsid w:val="00BB0A65"/>
    <w:rsid w:val="00BB0FFC"/>
    <w:rsid w:val="00BB17F2"/>
    <w:rsid w:val="00BB3161"/>
    <w:rsid w:val="00BB3B31"/>
    <w:rsid w:val="00BB3B47"/>
    <w:rsid w:val="00BB4202"/>
    <w:rsid w:val="00BB51CC"/>
    <w:rsid w:val="00BB7D0D"/>
    <w:rsid w:val="00BB7F2B"/>
    <w:rsid w:val="00BC1DBC"/>
    <w:rsid w:val="00BC330F"/>
    <w:rsid w:val="00BC3C97"/>
    <w:rsid w:val="00BC494B"/>
    <w:rsid w:val="00BC6D87"/>
    <w:rsid w:val="00BD1077"/>
    <w:rsid w:val="00BD1948"/>
    <w:rsid w:val="00BD2239"/>
    <w:rsid w:val="00BD327B"/>
    <w:rsid w:val="00BD346D"/>
    <w:rsid w:val="00BD3B33"/>
    <w:rsid w:val="00BD3F0F"/>
    <w:rsid w:val="00BD47F0"/>
    <w:rsid w:val="00BD5CA4"/>
    <w:rsid w:val="00BD5F34"/>
    <w:rsid w:val="00BE1551"/>
    <w:rsid w:val="00BE1963"/>
    <w:rsid w:val="00BE24A6"/>
    <w:rsid w:val="00BE2A0E"/>
    <w:rsid w:val="00BE4160"/>
    <w:rsid w:val="00BE4181"/>
    <w:rsid w:val="00BE5ECC"/>
    <w:rsid w:val="00BE7141"/>
    <w:rsid w:val="00BE792D"/>
    <w:rsid w:val="00BE7E30"/>
    <w:rsid w:val="00BF0DC7"/>
    <w:rsid w:val="00BF0EC8"/>
    <w:rsid w:val="00BF1A1C"/>
    <w:rsid w:val="00BF4903"/>
    <w:rsid w:val="00C00842"/>
    <w:rsid w:val="00C00D4E"/>
    <w:rsid w:val="00C0128C"/>
    <w:rsid w:val="00C04495"/>
    <w:rsid w:val="00C05CCF"/>
    <w:rsid w:val="00C06AFD"/>
    <w:rsid w:val="00C071A1"/>
    <w:rsid w:val="00C072C1"/>
    <w:rsid w:val="00C07897"/>
    <w:rsid w:val="00C10452"/>
    <w:rsid w:val="00C10E7E"/>
    <w:rsid w:val="00C12B27"/>
    <w:rsid w:val="00C146FF"/>
    <w:rsid w:val="00C14C03"/>
    <w:rsid w:val="00C14FF1"/>
    <w:rsid w:val="00C151F8"/>
    <w:rsid w:val="00C160AE"/>
    <w:rsid w:val="00C16744"/>
    <w:rsid w:val="00C1698D"/>
    <w:rsid w:val="00C2096B"/>
    <w:rsid w:val="00C216CF"/>
    <w:rsid w:val="00C216D5"/>
    <w:rsid w:val="00C22A1A"/>
    <w:rsid w:val="00C22C6F"/>
    <w:rsid w:val="00C23473"/>
    <w:rsid w:val="00C26637"/>
    <w:rsid w:val="00C271C8"/>
    <w:rsid w:val="00C3184F"/>
    <w:rsid w:val="00C323DB"/>
    <w:rsid w:val="00C33149"/>
    <w:rsid w:val="00C339E7"/>
    <w:rsid w:val="00C33BDB"/>
    <w:rsid w:val="00C33E71"/>
    <w:rsid w:val="00C33E81"/>
    <w:rsid w:val="00C3448D"/>
    <w:rsid w:val="00C35434"/>
    <w:rsid w:val="00C354B6"/>
    <w:rsid w:val="00C354DC"/>
    <w:rsid w:val="00C367DE"/>
    <w:rsid w:val="00C36B06"/>
    <w:rsid w:val="00C406E4"/>
    <w:rsid w:val="00C41376"/>
    <w:rsid w:val="00C4137D"/>
    <w:rsid w:val="00C4175F"/>
    <w:rsid w:val="00C42109"/>
    <w:rsid w:val="00C4268D"/>
    <w:rsid w:val="00C430A4"/>
    <w:rsid w:val="00C4317F"/>
    <w:rsid w:val="00C455D0"/>
    <w:rsid w:val="00C45AB2"/>
    <w:rsid w:val="00C47B98"/>
    <w:rsid w:val="00C47F2E"/>
    <w:rsid w:val="00C50525"/>
    <w:rsid w:val="00C50D89"/>
    <w:rsid w:val="00C520AB"/>
    <w:rsid w:val="00C52AB0"/>
    <w:rsid w:val="00C52FC0"/>
    <w:rsid w:val="00C54198"/>
    <w:rsid w:val="00C572C9"/>
    <w:rsid w:val="00C5736E"/>
    <w:rsid w:val="00C60E9E"/>
    <w:rsid w:val="00C62403"/>
    <w:rsid w:val="00C62524"/>
    <w:rsid w:val="00C62D43"/>
    <w:rsid w:val="00C657DA"/>
    <w:rsid w:val="00C66823"/>
    <w:rsid w:val="00C70CAE"/>
    <w:rsid w:val="00C717E9"/>
    <w:rsid w:val="00C72FCA"/>
    <w:rsid w:val="00C73981"/>
    <w:rsid w:val="00C749AA"/>
    <w:rsid w:val="00C76AC1"/>
    <w:rsid w:val="00C77D0C"/>
    <w:rsid w:val="00C81D7E"/>
    <w:rsid w:val="00C81EE2"/>
    <w:rsid w:val="00C822C0"/>
    <w:rsid w:val="00C838A5"/>
    <w:rsid w:val="00C8393D"/>
    <w:rsid w:val="00C85655"/>
    <w:rsid w:val="00C859C9"/>
    <w:rsid w:val="00C85A63"/>
    <w:rsid w:val="00C867A2"/>
    <w:rsid w:val="00C86825"/>
    <w:rsid w:val="00C8684D"/>
    <w:rsid w:val="00C87204"/>
    <w:rsid w:val="00C90A7B"/>
    <w:rsid w:val="00C91A2E"/>
    <w:rsid w:val="00C91B91"/>
    <w:rsid w:val="00C92120"/>
    <w:rsid w:val="00C92F80"/>
    <w:rsid w:val="00C92F97"/>
    <w:rsid w:val="00C9319E"/>
    <w:rsid w:val="00C93781"/>
    <w:rsid w:val="00C93917"/>
    <w:rsid w:val="00C94691"/>
    <w:rsid w:val="00C948C8"/>
    <w:rsid w:val="00C95C1B"/>
    <w:rsid w:val="00CA033B"/>
    <w:rsid w:val="00CA08E9"/>
    <w:rsid w:val="00CA10A1"/>
    <w:rsid w:val="00CA1B96"/>
    <w:rsid w:val="00CA2472"/>
    <w:rsid w:val="00CA254E"/>
    <w:rsid w:val="00CA3288"/>
    <w:rsid w:val="00CA3498"/>
    <w:rsid w:val="00CA353B"/>
    <w:rsid w:val="00CA459A"/>
    <w:rsid w:val="00CA4DC8"/>
    <w:rsid w:val="00CA4F6B"/>
    <w:rsid w:val="00CA67A2"/>
    <w:rsid w:val="00CA7070"/>
    <w:rsid w:val="00CA7FDE"/>
    <w:rsid w:val="00CB06C5"/>
    <w:rsid w:val="00CB0845"/>
    <w:rsid w:val="00CB0FA1"/>
    <w:rsid w:val="00CB10EC"/>
    <w:rsid w:val="00CB36C6"/>
    <w:rsid w:val="00CB45C1"/>
    <w:rsid w:val="00CB4765"/>
    <w:rsid w:val="00CB4AE8"/>
    <w:rsid w:val="00CB6848"/>
    <w:rsid w:val="00CB6D0C"/>
    <w:rsid w:val="00CB71FF"/>
    <w:rsid w:val="00CB7DEF"/>
    <w:rsid w:val="00CC171A"/>
    <w:rsid w:val="00CC18DD"/>
    <w:rsid w:val="00CC1DF3"/>
    <w:rsid w:val="00CC1E7C"/>
    <w:rsid w:val="00CC4057"/>
    <w:rsid w:val="00CC449C"/>
    <w:rsid w:val="00CC53B2"/>
    <w:rsid w:val="00CC5C3F"/>
    <w:rsid w:val="00CC65FF"/>
    <w:rsid w:val="00CD1827"/>
    <w:rsid w:val="00CD3513"/>
    <w:rsid w:val="00CD37BC"/>
    <w:rsid w:val="00CD454F"/>
    <w:rsid w:val="00CD5751"/>
    <w:rsid w:val="00CD5BB7"/>
    <w:rsid w:val="00CD64B4"/>
    <w:rsid w:val="00CD7B60"/>
    <w:rsid w:val="00CE20A2"/>
    <w:rsid w:val="00CE27CD"/>
    <w:rsid w:val="00CE36ED"/>
    <w:rsid w:val="00CE387E"/>
    <w:rsid w:val="00CE48F1"/>
    <w:rsid w:val="00CE564B"/>
    <w:rsid w:val="00CE56B2"/>
    <w:rsid w:val="00CE6CDA"/>
    <w:rsid w:val="00CE77D2"/>
    <w:rsid w:val="00CE7E14"/>
    <w:rsid w:val="00CF15D1"/>
    <w:rsid w:val="00CF2912"/>
    <w:rsid w:val="00CF2B89"/>
    <w:rsid w:val="00CF3C7D"/>
    <w:rsid w:val="00CF4187"/>
    <w:rsid w:val="00CF42B5"/>
    <w:rsid w:val="00CF4BFB"/>
    <w:rsid w:val="00CF52FB"/>
    <w:rsid w:val="00CF5BC5"/>
    <w:rsid w:val="00CF5C16"/>
    <w:rsid w:val="00CF68F4"/>
    <w:rsid w:val="00CF6C87"/>
    <w:rsid w:val="00CF79F2"/>
    <w:rsid w:val="00D000EC"/>
    <w:rsid w:val="00D03018"/>
    <w:rsid w:val="00D03380"/>
    <w:rsid w:val="00D03547"/>
    <w:rsid w:val="00D03E90"/>
    <w:rsid w:val="00D0487B"/>
    <w:rsid w:val="00D048FA"/>
    <w:rsid w:val="00D04CF1"/>
    <w:rsid w:val="00D05299"/>
    <w:rsid w:val="00D059D6"/>
    <w:rsid w:val="00D1192D"/>
    <w:rsid w:val="00D122CC"/>
    <w:rsid w:val="00D12581"/>
    <w:rsid w:val="00D12962"/>
    <w:rsid w:val="00D12BB0"/>
    <w:rsid w:val="00D13630"/>
    <w:rsid w:val="00D145C2"/>
    <w:rsid w:val="00D14F83"/>
    <w:rsid w:val="00D14FA8"/>
    <w:rsid w:val="00D152F2"/>
    <w:rsid w:val="00D16C41"/>
    <w:rsid w:val="00D17388"/>
    <w:rsid w:val="00D17E2F"/>
    <w:rsid w:val="00D200A2"/>
    <w:rsid w:val="00D202A5"/>
    <w:rsid w:val="00D20BB1"/>
    <w:rsid w:val="00D20E1F"/>
    <w:rsid w:val="00D23519"/>
    <w:rsid w:val="00D23B92"/>
    <w:rsid w:val="00D23DAD"/>
    <w:rsid w:val="00D24FAF"/>
    <w:rsid w:val="00D260F0"/>
    <w:rsid w:val="00D266F9"/>
    <w:rsid w:val="00D267E8"/>
    <w:rsid w:val="00D26FB6"/>
    <w:rsid w:val="00D27313"/>
    <w:rsid w:val="00D275B2"/>
    <w:rsid w:val="00D27DB7"/>
    <w:rsid w:val="00D304D8"/>
    <w:rsid w:val="00D30863"/>
    <w:rsid w:val="00D30F52"/>
    <w:rsid w:val="00D31F7D"/>
    <w:rsid w:val="00D33C46"/>
    <w:rsid w:val="00D34EB1"/>
    <w:rsid w:val="00D35767"/>
    <w:rsid w:val="00D3722C"/>
    <w:rsid w:val="00D37249"/>
    <w:rsid w:val="00D400C4"/>
    <w:rsid w:val="00D40550"/>
    <w:rsid w:val="00D414AA"/>
    <w:rsid w:val="00D41B13"/>
    <w:rsid w:val="00D41CE7"/>
    <w:rsid w:val="00D42429"/>
    <w:rsid w:val="00D44928"/>
    <w:rsid w:val="00D45312"/>
    <w:rsid w:val="00D45802"/>
    <w:rsid w:val="00D46850"/>
    <w:rsid w:val="00D46A85"/>
    <w:rsid w:val="00D471D6"/>
    <w:rsid w:val="00D4788D"/>
    <w:rsid w:val="00D50166"/>
    <w:rsid w:val="00D5038C"/>
    <w:rsid w:val="00D51BC7"/>
    <w:rsid w:val="00D52230"/>
    <w:rsid w:val="00D524C8"/>
    <w:rsid w:val="00D52C02"/>
    <w:rsid w:val="00D53DBB"/>
    <w:rsid w:val="00D53F8C"/>
    <w:rsid w:val="00D543D1"/>
    <w:rsid w:val="00D54E31"/>
    <w:rsid w:val="00D555A9"/>
    <w:rsid w:val="00D55AFF"/>
    <w:rsid w:val="00D57AB6"/>
    <w:rsid w:val="00D610B7"/>
    <w:rsid w:val="00D615B2"/>
    <w:rsid w:val="00D62452"/>
    <w:rsid w:val="00D66A79"/>
    <w:rsid w:val="00D70570"/>
    <w:rsid w:val="00D716C5"/>
    <w:rsid w:val="00D72005"/>
    <w:rsid w:val="00D730F2"/>
    <w:rsid w:val="00D73D74"/>
    <w:rsid w:val="00D73E6D"/>
    <w:rsid w:val="00D74B89"/>
    <w:rsid w:val="00D75247"/>
    <w:rsid w:val="00D76354"/>
    <w:rsid w:val="00D76D53"/>
    <w:rsid w:val="00D83254"/>
    <w:rsid w:val="00D83ADD"/>
    <w:rsid w:val="00D84378"/>
    <w:rsid w:val="00D845E1"/>
    <w:rsid w:val="00D855A7"/>
    <w:rsid w:val="00D86AD5"/>
    <w:rsid w:val="00D8755D"/>
    <w:rsid w:val="00D87742"/>
    <w:rsid w:val="00D87B64"/>
    <w:rsid w:val="00D9036C"/>
    <w:rsid w:val="00D90677"/>
    <w:rsid w:val="00D9121B"/>
    <w:rsid w:val="00D91D04"/>
    <w:rsid w:val="00D925B6"/>
    <w:rsid w:val="00D93B4B"/>
    <w:rsid w:val="00D951CC"/>
    <w:rsid w:val="00D95865"/>
    <w:rsid w:val="00D9633A"/>
    <w:rsid w:val="00D96564"/>
    <w:rsid w:val="00D96EEE"/>
    <w:rsid w:val="00DA0361"/>
    <w:rsid w:val="00DA0BF5"/>
    <w:rsid w:val="00DA1801"/>
    <w:rsid w:val="00DA32B2"/>
    <w:rsid w:val="00DA4035"/>
    <w:rsid w:val="00DA4377"/>
    <w:rsid w:val="00DA4481"/>
    <w:rsid w:val="00DA4698"/>
    <w:rsid w:val="00DA4F26"/>
    <w:rsid w:val="00DA505A"/>
    <w:rsid w:val="00DA6E91"/>
    <w:rsid w:val="00DA75CC"/>
    <w:rsid w:val="00DB08CF"/>
    <w:rsid w:val="00DB13CF"/>
    <w:rsid w:val="00DB1BF2"/>
    <w:rsid w:val="00DB2A01"/>
    <w:rsid w:val="00DB32D5"/>
    <w:rsid w:val="00DB3A25"/>
    <w:rsid w:val="00DB3A2D"/>
    <w:rsid w:val="00DB4B6B"/>
    <w:rsid w:val="00DB69DE"/>
    <w:rsid w:val="00DB7E89"/>
    <w:rsid w:val="00DC01F7"/>
    <w:rsid w:val="00DC29D5"/>
    <w:rsid w:val="00DC3E33"/>
    <w:rsid w:val="00DC6460"/>
    <w:rsid w:val="00DC7101"/>
    <w:rsid w:val="00DC7D65"/>
    <w:rsid w:val="00DD0507"/>
    <w:rsid w:val="00DD0DEB"/>
    <w:rsid w:val="00DD16E4"/>
    <w:rsid w:val="00DD1F12"/>
    <w:rsid w:val="00DD34A4"/>
    <w:rsid w:val="00DD3DDE"/>
    <w:rsid w:val="00DD3EE1"/>
    <w:rsid w:val="00DD4BEA"/>
    <w:rsid w:val="00DD5501"/>
    <w:rsid w:val="00DD55FF"/>
    <w:rsid w:val="00DD56CD"/>
    <w:rsid w:val="00DD59CC"/>
    <w:rsid w:val="00DD6AF3"/>
    <w:rsid w:val="00DD7971"/>
    <w:rsid w:val="00DE1210"/>
    <w:rsid w:val="00DE2CEB"/>
    <w:rsid w:val="00DE302F"/>
    <w:rsid w:val="00DE5EEF"/>
    <w:rsid w:val="00DE653A"/>
    <w:rsid w:val="00DE6D54"/>
    <w:rsid w:val="00DE7BD2"/>
    <w:rsid w:val="00DE9789"/>
    <w:rsid w:val="00DF0DD7"/>
    <w:rsid w:val="00DF2AA7"/>
    <w:rsid w:val="00DF4109"/>
    <w:rsid w:val="00DF4591"/>
    <w:rsid w:val="00DF6B68"/>
    <w:rsid w:val="00DF6E21"/>
    <w:rsid w:val="00DF6E29"/>
    <w:rsid w:val="00DF70AC"/>
    <w:rsid w:val="00DF7891"/>
    <w:rsid w:val="00DF7B1B"/>
    <w:rsid w:val="00DF7DB9"/>
    <w:rsid w:val="00DF7E78"/>
    <w:rsid w:val="00E00B81"/>
    <w:rsid w:val="00E01812"/>
    <w:rsid w:val="00E01C21"/>
    <w:rsid w:val="00E02297"/>
    <w:rsid w:val="00E02AD6"/>
    <w:rsid w:val="00E0425B"/>
    <w:rsid w:val="00E04680"/>
    <w:rsid w:val="00E048F6"/>
    <w:rsid w:val="00E06620"/>
    <w:rsid w:val="00E068A4"/>
    <w:rsid w:val="00E0738A"/>
    <w:rsid w:val="00E11646"/>
    <w:rsid w:val="00E126C5"/>
    <w:rsid w:val="00E13B8F"/>
    <w:rsid w:val="00E14379"/>
    <w:rsid w:val="00E152B7"/>
    <w:rsid w:val="00E162CD"/>
    <w:rsid w:val="00E20045"/>
    <w:rsid w:val="00E21037"/>
    <w:rsid w:val="00E22A3E"/>
    <w:rsid w:val="00E230D1"/>
    <w:rsid w:val="00E23ABD"/>
    <w:rsid w:val="00E24518"/>
    <w:rsid w:val="00E261B9"/>
    <w:rsid w:val="00E267EA"/>
    <w:rsid w:val="00E26ED0"/>
    <w:rsid w:val="00E27C85"/>
    <w:rsid w:val="00E328A2"/>
    <w:rsid w:val="00E3340F"/>
    <w:rsid w:val="00E34AA9"/>
    <w:rsid w:val="00E375AE"/>
    <w:rsid w:val="00E40D3B"/>
    <w:rsid w:val="00E4198F"/>
    <w:rsid w:val="00E446E1"/>
    <w:rsid w:val="00E45BCE"/>
    <w:rsid w:val="00E471F2"/>
    <w:rsid w:val="00E47333"/>
    <w:rsid w:val="00E4795A"/>
    <w:rsid w:val="00E47B45"/>
    <w:rsid w:val="00E515ED"/>
    <w:rsid w:val="00E51AA7"/>
    <w:rsid w:val="00E51C31"/>
    <w:rsid w:val="00E522F1"/>
    <w:rsid w:val="00E52B33"/>
    <w:rsid w:val="00E53018"/>
    <w:rsid w:val="00E53152"/>
    <w:rsid w:val="00E531F3"/>
    <w:rsid w:val="00E53A77"/>
    <w:rsid w:val="00E546E8"/>
    <w:rsid w:val="00E5488A"/>
    <w:rsid w:val="00E54C80"/>
    <w:rsid w:val="00E5554A"/>
    <w:rsid w:val="00E565C8"/>
    <w:rsid w:val="00E5729B"/>
    <w:rsid w:val="00E573F5"/>
    <w:rsid w:val="00E61548"/>
    <w:rsid w:val="00E62D25"/>
    <w:rsid w:val="00E62D5B"/>
    <w:rsid w:val="00E63C38"/>
    <w:rsid w:val="00E63E88"/>
    <w:rsid w:val="00E64CBA"/>
    <w:rsid w:val="00E675BB"/>
    <w:rsid w:val="00E71A7D"/>
    <w:rsid w:val="00E71C79"/>
    <w:rsid w:val="00E7237E"/>
    <w:rsid w:val="00E73D75"/>
    <w:rsid w:val="00E748DF"/>
    <w:rsid w:val="00E75A34"/>
    <w:rsid w:val="00E76538"/>
    <w:rsid w:val="00E7689E"/>
    <w:rsid w:val="00E7737A"/>
    <w:rsid w:val="00E77AE9"/>
    <w:rsid w:val="00E802D5"/>
    <w:rsid w:val="00E80437"/>
    <w:rsid w:val="00E8107C"/>
    <w:rsid w:val="00E8237E"/>
    <w:rsid w:val="00E8298A"/>
    <w:rsid w:val="00E842F7"/>
    <w:rsid w:val="00E84822"/>
    <w:rsid w:val="00E84A95"/>
    <w:rsid w:val="00E8539B"/>
    <w:rsid w:val="00E86105"/>
    <w:rsid w:val="00E86459"/>
    <w:rsid w:val="00E86AE8"/>
    <w:rsid w:val="00E877D3"/>
    <w:rsid w:val="00E903D2"/>
    <w:rsid w:val="00E9133C"/>
    <w:rsid w:val="00E92D40"/>
    <w:rsid w:val="00E930F6"/>
    <w:rsid w:val="00E93BE2"/>
    <w:rsid w:val="00E94ACB"/>
    <w:rsid w:val="00E9525E"/>
    <w:rsid w:val="00E9659F"/>
    <w:rsid w:val="00EA0CC4"/>
    <w:rsid w:val="00EA2830"/>
    <w:rsid w:val="00EA2AA4"/>
    <w:rsid w:val="00EA2EAF"/>
    <w:rsid w:val="00EA3113"/>
    <w:rsid w:val="00EA500F"/>
    <w:rsid w:val="00EA5688"/>
    <w:rsid w:val="00EB0079"/>
    <w:rsid w:val="00EB0BFB"/>
    <w:rsid w:val="00EB26E0"/>
    <w:rsid w:val="00EB2EF9"/>
    <w:rsid w:val="00EB374B"/>
    <w:rsid w:val="00EB37C7"/>
    <w:rsid w:val="00EB4927"/>
    <w:rsid w:val="00EB5563"/>
    <w:rsid w:val="00EB5645"/>
    <w:rsid w:val="00EB685C"/>
    <w:rsid w:val="00EB6ABE"/>
    <w:rsid w:val="00EB7DDD"/>
    <w:rsid w:val="00EC073A"/>
    <w:rsid w:val="00EC155E"/>
    <w:rsid w:val="00EC1952"/>
    <w:rsid w:val="00EC1FCB"/>
    <w:rsid w:val="00EC261A"/>
    <w:rsid w:val="00EC28F7"/>
    <w:rsid w:val="00EC349B"/>
    <w:rsid w:val="00EC383F"/>
    <w:rsid w:val="00EC6F39"/>
    <w:rsid w:val="00EC7BF4"/>
    <w:rsid w:val="00EC7FDD"/>
    <w:rsid w:val="00ECA57E"/>
    <w:rsid w:val="00ED1661"/>
    <w:rsid w:val="00ED27CE"/>
    <w:rsid w:val="00ED34BF"/>
    <w:rsid w:val="00ED35D0"/>
    <w:rsid w:val="00ED40B5"/>
    <w:rsid w:val="00ED430A"/>
    <w:rsid w:val="00ED433D"/>
    <w:rsid w:val="00ED4FF5"/>
    <w:rsid w:val="00ED54D3"/>
    <w:rsid w:val="00ED5DBB"/>
    <w:rsid w:val="00ED630A"/>
    <w:rsid w:val="00ED6A74"/>
    <w:rsid w:val="00ED6F9E"/>
    <w:rsid w:val="00ED7805"/>
    <w:rsid w:val="00EE0B63"/>
    <w:rsid w:val="00EE0C30"/>
    <w:rsid w:val="00EE0C46"/>
    <w:rsid w:val="00EE1FD5"/>
    <w:rsid w:val="00EE2A33"/>
    <w:rsid w:val="00EE3762"/>
    <w:rsid w:val="00EE68F8"/>
    <w:rsid w:val="00EE7145"/>
    <w:rsid w:val="00EF0014"/>
    <w:rsid w:val="00EF01FE"/>
    <w:rsid w:val="00EF1A33"/>
    <w:rsid w:val="00EF4A3E"/>
    <w:rsid w:val="00EF504E"/>
    <w:rsid w:val="00EF5114"/>
    <w:rsid w:val="00EF597B"/>
    <w:rsid w:val="00EF5D71"/>
    <w:rsid w:val="00EF73CF"/>
    <w:rsid w:val="00EF743D"/>
    <w:rsid w:val="00EF7C42"/>
    <w:rsid w:val="00F00241"/>
    <w:rsid w:val="00F01B76"/>
    <w:rsid w:val="00F026F7"/>
    <w:rsid w:val="00F03252"/>
    <w:rsid w:val="00F034D7"/>
    <w:rsid w:val="00F035AD"/>
    <w:rsid w:val="00F04EF2"/>
    <w:rsid w:val="00F05022"/>
    <w:rsid w:val="00F06178"/>
    <w:rsid w:val="00F07CAB"/>
    <w:rsid w:val="00F116ED"/>
    <w:rsid w:val="00F11A33"/>
    <w:rsid w:val="00F11AF1"/>
    <w:rsid w:val="00F13CB4"/>
    <w:rsid w:val="00F14338"/>
    <w:rsid w:val="00F15807"/>
    <w:rsid w:val="00F16766"/>
    <w:rsid w:val="00F170CB"/>
    <w:rsid w:val="00F205C8"/>
    <w:rsid w:val="00F24144"/>
    <w:rsid w:val="00F24A29"/>
    <w:rsid w:val="00F24C04"/>
    <w:rsid w:val="00F251BC"/>
    <w:rsid w:val="00F253A5"/>
    <w:rsid w:val="00F257B5"/>
    <w:rsid w:val="00F25C3C"/>
    <w:rsid w:val="00F261F6"/>
    <w:rsid w:val="00F26216"/>
    <w:rsid w:val="00F263A9"/>
    <w:rsid w:val="00F26F96"/>
    <w:rsid w:val="00F27C68"/>
    <w:rsid w:val="00F307F4"/>
    <w:rsid w:val="00F31D82"/>
    <w:rsid w:val="00F33C17"/>
    <w:rsid w:val="00F34AF5"/>
    <w:rsid w:val="00F365AF"/>
    <w:rsid w:val="00F36B0E"/>
    <w:rsid w:val="00F4145E"/>
    <w:rsid w:val="00F42D70"/>
    <w:rsid w:val="00F445CB"/>
    <w:rsid w:val="00F45281"/>
    <w:rsid w:val="00F465D1"/>
    <w:rsid w:val="00F46D5F"/>
    <w:rsid w:val="00F50963"/>
    <w:rsid w:val="00F51F15"/>
    <w:rsid w:val="00F545AB"/>
    <w:rsid w:val="00F5531A"/>
    <w:rsid w:val="00F569CD"/>
    <w:rsid w:val="00F57160"/>
    <w:rsid w:val="00F57F6E"/>
    <w:rsid w:val="00F60140"/>
    <w:rsid w:val="00F60374"/>
    <w:rsid w:val="00F62172"/>
    <w:rsid w:val="00F660EB"/>
    <w:rsid w:val="00F70FBE"/>
    <w:rsid w:val="00F73246"/>
    <w:rsid w:val="00F74B1B"/>
    <w:rsid w:val="00F76270"/>
    <w:rsid w:val="00F81476"/>
    <w:rsid w:val="00F8171C"/>
    <w:rsid w:val="00F82220"/>
    <w:rsid w:val="00F82240"/>
    <w:rsid w:val="00F826FC"/>
    <w:rsid w:val="00F85821"/>
    <w:rsid w:val="00F85C17"/>
    <w:rsid w:val="00F8605C"/>
    <w:rsid w:val="00F8704B"/>
    <w:rsid w:val="00F87379"/>
    <w:rsid w:val="00F900D5"/>
    <w:rsid w:val="00F900D6"/>
    <w:rsid w:val="00F91126"/>
    <w:rsid w:val="00F92499"/>
    <w:rsid w:val="00F9253C"/>
    <w:rsid w:val="00F925CB"/>
    <w:rsid w:val="00F92DF2"/>
    <w:rsid w:val="00F93462"/>
    <w:rsid w:val="00F948FD"/>
    <w:rsid w:val="00F94DC1"/>
    <w:rsid w:val="00F95C71"/>
    <w:rsid w:val="00F96CF5"/>
    <w:rsid w:val="00F9723A"/>
    <w:rsid w:val="00FA03F5"/>
    <w:rsid w:val="00FA0EA5"/>
    <w:rsid w:val="00FA21D5"/>
    <w:rsid w:val="00FA2A97"/>
    <w:rsid w:val="00FA473D"/>
    <w:rsid w:val="00FA6E66"/>
    <w:rsid w:val="00FA70C7"/>
    <w:rsid w:val="00FA7D82"/>
    <w:rsid w:val="00FB0E8B"/>
    <w:rsid w:val="00FB1533"/>
    <w:rsid w:val="00FB44EA"/>
    <w:rsid w:val="00FB5B51"/>
    <w:rsid w:val="00FB5CD0"/>
    <w:rsid w:val="00FB63EA"/>
    <w:rsid w:val="00FB6D7A"/>
    <w:rsid w:val="00FB78C1"/>
    <w:rsid w:val="00FC0C61"/>
    <w:rsid w:val="00FC163A"/>
    <w:rsid w:val="00FC17A5"/>
    <w:rsid w:val="00FC2DB3"/>
    <w:rsid w:val="00FC33FE"/>
    <w:rsid w:val="00FC4B55"/>
    <w:rsid w:val="00FC525C"/>
    <w:rsid w:val="00FC6672"/>
    <w:rsid w:val="00FC6977"/>
    <w:rsid w:val="00FC7226"/>
    <w:rsid w:val="00FC7639"/>
    <w:rsid w:val="00FD07FE"/>
    <w:rsid w:val="00FD1673"/>
    <w:rsid w:val="00FD2E05"/>
    <w:rsid w:val="00FD32C0"/>
    <w:rsid w:val="00FD416C"/>
    <w:rsid w:val="00FD41D6"/>
    <w:rsid w:val="00FD4756"/>
    <w:rsid w:val="00FD5221"/>
    <w:rsid w:val="00FD5689"/>
    <w:rsid w:val="00FD6879"/>
    <w:rsid w:val="00FD7931"/>
    <w:rsid w:val="00FE33FF"/>
    <w:rsid w:val="00FE42D9"/>
    <w:rsid w:val="00FE6861"/>
    <w:rsid w:val="00FE713C"/>
    <w:rsid w:val="00FE74B3"/>
    <w:rsid w:val="00FE79AC"/>
    <w:rsid w:val="00FE7BBA"/>
    <w:rsid w:val="00FF173F"/>
    <w:rsid w:val="00FF28EB"/>
    <w:rsid w:val="00FF2DE4"/>
    <w:rsid w:val="00FF3300"/>
    <w:rsid w:val="00FF376E"/>
    <w:rsid w:val="00FF3CD6"/>
    <w:rsid w:val="00FF3D2C"/>
    <w:rsid w:val="00FF4279"/>
    <w:rsid w:val="00FF4377"/>
    <w:rsid w:val="00FF4488"/>
    <w:rsid w:val="00FF4AD5"/>
    <w:rsid w:val="00FF623F"/>
    <w:rsid w:val="00FF7A12"/>
    <w:rsid w:val="013319D1"/>
    <w:rsid w:val="01685FC3"/>
    <w:rsid w:val="01984219"/>
    <w:rsid w:val="01B1BFD3"/>
    <w:rsid w:val="01BFA7D1"/>
    <w:rsid w:val="01F5F07E"/>
    <w:rsid w:val="0235A19D"/>
    <w:rsid w:val="02A78985"/>
    <w:rsid w:val="02B08773"/>
    <w:rsid w:val="02D6AC5F"/>
    <w:rsid w:val="03147B85"/>
    <w:rsid w:val="031BE540"/>
    <w:rsid w:val="03430CE0"/>
    <w:rsid w:val="0384B72E"/>
    <w:rsid w:val="03AE3C39"/>
    <w:rsid w:val="03CF117D"/>
    <w:rsid w:val="048492F1"/>
    <w:rsid w:val="04B196FF"/>
    <w:rsid w:val="04B66805"/>
    <w:rsid w:val="04CB2468"/>
    <w:rsid w:val="04D02144"/>
    <w:rsid w:val="05300D91"/>
    <w:rsid w:val="0588B5A7"/>
    <w:rsid w:val="05C87306"/>
    <w:rsid w:val="0606E1D6"/>
    <w:rsid w:val="060AFAE3"/>
    <w:rsid w:val="061D49D8"/>
    <w:rsid w:val="06289D50"/>
    <w:rsid w:val="0637147B"/>
    <w:rsid w:val="063D0A0E"/>
    <w:rsid w:val="06840109"/>
    <w:rsid w:val="0686EE95"/>
    <w:rsid w:val="068B1583"/>
    <w:rsid w:val="06922F34"/>
    <w:rsid w:val="06963AA1"/>
    <w:rsid w:val="06A6994C"/>
    <w:rsid w:val="06CCADD5"/>
    <w:rsid w:val="06D90A44"/>
    <w:rsid w:val="07129B0D"/>
    <w:rsid w:val="071827B2"/>
    <w:rsid w:val="0735C4D9"/>
    <w:rsid w:val="0736E852"/>
    <w:rsid w:val="076B83FF"/>
    <w:rsid w:val="077E3D9E"/>
    <w:rsid w:val="07BBFD02"/>
    <w:rsid w:val="07E42D5F"/>
    <w:rsid w:val="082582D5"/>
    <w:rsid w:val="085E64A3"/>
    <w:rsid w:val="08E20B75"/>
    <w:rsid w:val="08EAF22C"/>
    <w:rsid w:val="08F4C631"/>
    <w:rsid w:val="09157855"/>
    <w:rsid w:val="09202B15"/>
    <w:rsid w:val="0923B5C7"/>
    <w:rsid w:val="09751BDB"/>
    <w:rsid w:val="0A00B476"/>
    <w:rsid w:val="0A4C888A"/>
    <w:rsid w:val="0A4F6D38"/>
    <w:rsid w:val="0A5929DF"/>
    <w:rsid w:val="0AA5733C"/>
    <w:rsid w:val="0AD7B316"/>
    <w:rsid w:val="0ADAB8E2"/>
    <w:rsid w:val="0AF75974"/>
    <w:rsid w:val="0B0EE98C"/>
    <w:rsid w:val="0B159C35"/>
    <w:rsid w:val="0B4F3342"/>
    <w:rsid w:val="0B57FEAC"/>
    <w:rsid w:val="0B90AF37"/>
    <w:rsid w:val="0B95B0BA"/>
    <w:rsid w:val="0BCCE3F2"/>
    <w:rsid w:val="0BDA7155"/>
    <w:rsid w:val="0C03D152"/>
    <w:rsid w:val="0C60CF35"/>
    <w:rsid w:val="0C7CB82C"/>
    <w:rsid w:val="0C7EBB48"/>
    <w:rsid w:val="0C848A90"/>
    <w:rsid w:val="0C88CCD4"/>
    <w:rsid w:val="0C962042"/>
    <w:rsid w:val="0CB268A8"/>
    <w:rsid w:val="0CD89A20"/>
    <w:rsid w:val="0CE45D86"/>
    <w:rsid w:val="0CE7B13B"/>
    <w:rsid w:val="0CF877F1"/>
    <w:rsid w:val="0D1665E2"/>
    <w:rsid w:val="0D356BD9"/>
    <w:rsid w:val="0D365357"/>
    <w:rsid w:val="0D4E7057"/>
    <w:rsid w:val="0D73BBD5"/>
    <w:rsid w:val="0D764942"/>
    <w:rsid w:val="0D7CFDBC"/>
    <w:rsid w:val="0DC29542"/>
    <w:rsid w:val="0DCCB0D0"/>
    <w:rsid w:val="0DD4DEA6"/>
    <w:rsid w:val="0E067BEA"/>
    <w:rsid w:val="0E2DB0DD"/>
    <w:rsid w:val="0E3607E8"/>
    <w:rsid w:val="0E54C3BC"/>
    <w:rsid w:val="0E5E312B"/>
    <w:rsid w:val="0E61E007"/>
    <w:rsid w:val="0E9EA071"/>
    <w:rsid w:val="0E9EE8BE"/>
    <w:rsid w:val="0EB30BDB"/>
    <w:rsid w:val="0ED2CD52"/>
    <w:rsid w:val="0EFEB9E7"/>
    <w:rsid w:val="0F73F14D"/>
    <w:rsid w:val="0FA69904"/>
    <w:rsid w:val="0FCFB213"/>
    <w:rsid w:val="1036F649"/>
    <w:rsid w:val="105643FD"/>
    <w:rsid w:val="105CA65C"/>
    <w:rsid w:val="10764F8E"/>
    <w:rsid w:val="10774298"/>
    <w:rsid w:val="1088641E"/>
    <w:rsid w:val="109CC8B6"/>
    <w:rsid w:val="10CD77D1"/>
    <w:rsid w:val="1128C5A4"/>
    <w:rsid w:val="112F51B6"/>
    <w:rsid w:val="114A587B"/>
    <w:rsid w:val="118EF225"/>
    <w:rsid w:val="11B270FB"/>
    <w:rsid w:val="11CE9728"/>
    <w:rsid w:val="11CF89FD"/>
    <w:rsid w:val="11D0D560"/>
    <w:rsid w:val="11ECCBF4"/>
    <w:rsid w:val="120B4001"/>
    <w:rsid w:val="12254484"/>
    <w:rsid w:val="1234EF67"/>
    <w:rsid w:val="125EEEE1"/>
    <w:rsid w:val="1267AEA3"/>
    <w:rsid w:val="12BA6F0C"/>
    <w:rsid w:val="1301F3C8"/>
    <w:rsid w:val="1321DFD0"/>
    <w:rsid w:val="13847822"/>
    <w:rsid w:val="14362F3E"/>
    <w:rsid w:val="1438AB95"/>
    <w:rsid w:val="1482C7BA"/>
    <w:rsid w:val="14B4C9EA"/>
    <w:rsid w:val="14C9E828"/>
    <w:rsid w:val="14CA2804"/>
    <w:rsid w:val="153425C1"/>
    <w:rsid w:val="1565F0C4"/>
    <w:rsid w:val="1582CD19"/>
    <w:rsid w:val="158C0451"/>
    <w:rsid w:val="159717CE"/>
    <w:rsid w:val="15994E3F"/>
    <w:rsid w:val="15DBC3ED"/>
    <w:rsid w:val="160AE9C4"/>
    <w:rsid w:val="16236FC0"/>
    <w:rsid w:val="163E339B"/>
    <w:rsid w:val="16591AEA"/>
    <w:rsid w:val="167F09A4"/>
    <w:rsid w:val="16808D45"/>
    <w:rsid w:val="16D77B95"/>
    <w:rsid w:val="1704F1EF"/>
    <w:rsid w:val="172028DF"/>
    <w:rsid w:val="17326834"/>
    <w:rsid w:val="1771D2A0"/>
    <w:rsid w:val="179F0D9B"/>
    <w:rsid w:val="17AFF6EC"/>
    <w:rsid w:val="17F65AFE"/>
    <w:rsid w:val="1817D7AE"/>
    <w:rsid w:val="184C4ADB"/>
    <w:rsid w:val="18666F75"/>
    <w:rsid w:val="186D08D0"/>
    <w:rsid w:val="187C4150"/>
    <w:rsid w:val="18891CED"/>
    <w:rsid w:val="18A11726"/>
    <w:rsid w:val="18AEFF62"/>
    <w:rsid w:val="18BB55D7"/>
    <w:rsid w:val="19875518"/>
    <w:rsid w:val="19879120"/>
    <w:rsid w:val="19D50CAB"/>
    <w:rsid w:val="19F23997"/>
    <w:rsid w:val="1A16B2EB"/>
    <w:rsid w:val="1A2DCC01"/>
    <w:rsid w:val="1A30185C"/>
    <w:rsid w:val="1A803D52"/>
    <w:rsid w:val="1AD9CDEF"/>
    <w:rsid w:val="1B1A0D3E"/>
    <w:rsid w:val="1B2940B4"/>
    <w:rsid w:val="1B2EC812"/>
    <w:rsid w:val="1B56DE3C"/>
    <w:rsid w:val="1B5BEDFF"/>
    <w:rsid w:val="1B969DC0"/>
    <w:rsid w:val="1BB96F43"/>
    <w:rsid w:val="1BC57931"/>
    <w:rsid w:val="1BDAD3B0"/>
    <w:rsid w:val="1BDB227F"/>
    <w:rsid w:val="1BEFDA94"/>
    <w:rsid w:val="1BF8D7F6"/>
    <w:rsid w:val="1C25A44A"/>
    <w:rsid w:val="1C2CBA89"/>
    <w:rsid w:val="1C6E2DF4"/>
    <w:rsid w:val="1CB450B9"/>
    <w:rsid w:val="1CE3EA17"/>
    <w:rsid w:val="1CF18075"/>
    <w:rsid w:val="1D09869A"/>
    <w:rsid w:val="1D2261FD"/>
    <w:rsid w:val="1D627638"/>
    <w:rsid w:val="1D93C243"/>
    <w:rsid w:val="1DA87CF4"/>
    <w:rsid w:val="1DB4F260"/>
    <w:rsid w:val="1DDD3B52"/>
    <w:rsid w:val="1DF55EFE"/>
    <w:rsid w:val="1E133D4B"/>
    <w:rsid w:val="1E1E7A23"/>
    <w:rsid w:val="1E2E564D"/>
    <w:rsid w:val="1E57807C"/>
    <w:rsid w:val="1E5B340A"/>
    <w:rsid w:val="1E60E917"/>
    <w:rsid w:val="1E6E086C"/>
    <w:rsid w:val="1E800306"/>
    <w:rsid w:val="1EC1A4B4"/>
    <w:rsid w:val="1ED9E1F8"/>
    <w:rsid w:val="1EE36993"/>
    <w:rsid w:val="1EFDDAD1"/>
    <w:rsid w:val="1F2F85B8"/>
    <w:rsid w:val="1F59DC51"/>
    <w:rsid w:val="1F680FEC"/>
    <w:rsid w:val="1F8F754F"/>
    <w:rsid w:val="1F983474"/>
    <w:rsid w:val="1FB9C6D4"/>
    <w:rsid w:val="1FBBD94A"/>
    <w:rsid w:val="1FF588A5"/>
    <w:rsid w:val="201C2DC5"/>
    <w:rsid w:val="203F7420"/>
    <w:rsid w:val="20486F65"/>
    <w:rsid w:val="20901678"/>
    <w:rsid w:val="20ACDA61"/>
    <w:rsid w:val="20C7D039"/>
    <w:rsid w:val="20DB7D81"/>
    <w:rsid w:val="20E19530"/>
    <w:rsid w:val="21020B7C"/>
    <w:rsid w:val="2117365B"/>
    <w:rsid w:val="211FA235"/>
    <w:rsid w:val="212227ED"/>
    <w:rsid w:val="21381609"/>
    <w:rsid w:val="214F6B7E"/>
    <w:rsid w:val="216F5E03"/>
    <w:rsid w:val="21B84641"/>
    <w:rsid w:val="21B92BF6"/>
    <w:rsid w:val="21C5CE9F"/>
    <w:rsid w:val="21D62B1C"/>
    <w:rsid w:val="21E6D5DE"/>
    <w:rsid w:val="21FA4583"/>
    <w:rsid w:val="2200615D"/>
    <w:rsid w:val="221A05BD"/>
    <w:rsid w:val="22525460"/>
    <w:rsid w:val="2261A2CA"/>
    <w:rsid w:val="238622B0"/>
    <w:rsid w:val="23B7AD56"/>
    <w:rsid w:val="23DD114F"/>
    <w:rsid w:val="23DD25D8"/>
    <w:rsid w:val="23F4A5D6"/>
    <w:rsid w:val="241412CF"/>
    <w:rsid w:val="242B0562"/>
    <w:rsid w:val="246B715F"/>
    <w:rsid w:val="24D9A893"/>
    <w:rsid w:val="24E08154"/>
    <w:rsid w:val="24FC51C9"/>
    <w:rsid w:val="255DAB35"/>
    <w:rsid w:val="25653F2F"/>
    <w:rsid w:val="25708EE0"/>
    <w:rsid w:val="2598F05B"/>
    <w:rsid w:val="25E5450B"/>
    <w:rsid w:val="25FC3C53"/>
    <w:rsid w:val="2603BC42"/>
    <w:rsid w:val="260BD1E5"/>
    <w:rsid w:val="2633DF9B"/>
    <w:rsid w:val="26471835"/>
    <w:rsid w:val="26AA9D83"/>
    <w:rsid w:val="26AEA4EE"/>
    <w:rsid w:val="26B1D540"/>
    <w:rsid w:val="26BED72B"/>
    <w:rsid w:val="26C7C8CC"/>
    <w:rsid w:val="26D2994E"/>
    <w:rsid w:val="26D7B60E"/>
    <w:rsid w:val="27067204"/>
    <w:rsid w:val="27125729"/>
    <w:rsid w:val="2763F434"/>
    <w:rsid w:val="277CB613"/>
    <w:rsid w:val="278450D6"/>
    <w:rsid w:val="27C2E183"/>
    <w:rsid w:val="27CBD2AD"/>
    <w:rsid w:val="27DB51EB"/>
    <w:rsid w:val="27DCDFCD"/>
    <w:rsid w:val="27FDAAA7"/>
    <w:rsid w:val="2807A969"/>
    <w:rsid w:val="2867094D"/>
    <w:rsid w:val="28742B0F"/>
    <w:rsid w:val="28B1A5C4"/>
    <w:rsid w:val="28B3AB84"/>
    <w:rsid w:val="2922EB7B"/>
    <w:rsid w:val="2923BA57"/>
    <w:rsid w:val="292A33A0"/>
    <w:rsid w:val="2937118C"/>
    <w:rsid w:val="294DC643"/>
    <w:rsid w:val="2951E9F9"/>
    <w:rsid w:val="2966BD9B"/>
    <w:rsid w:val="29922CDE"/>
    <w:rsid w:val="299BB868"/>
    <w:rsid w:val="299E1343"/>
    <w:rsid w:val="2A2FC662"/>
    <w:rsid w:val="2A3DB21C"/>
    <w:rsid w:val="2A47ED43"/>
    <w:rsid w:val="2A58D631"/>
    <w:rsid w:val="2A5B653B"/>
    <w:rsid w:val="2A64739C"/>
    <w:rsid w:val="2A84AF5C"/>
    <w:rsid w:val="2A850EC3"/>
    <w:rsid w:val="2A974F8B"/>
    <w:rsid w:val="2AE9E841"/>
    <w:rsid w:val="2B0ADFB9"/>
    <w:rsid w:val="2B0EFDDD"/>
    <w:rsid w:val="2B122AC0"/>
    <w:rsid w:val="2B33BD6A"/>
    <w:rsid w:val="2B8A635F"/>
    <w:rsid w:val="2B9D55DE"/>
    <w:rsid w:val="2BEE197A"/>
    <w:rsid w:val="2BEFDCE1"/>
    <w:rsid w:val="2BF29EE1"/>
    <w:rsid w:val="2C15DB01"/>
    <w:rsid w:val="2C16A64A"/>
    <w:rsid w:val="2C235273"/>
    <w:rsid w:val="2C36A72D"/>
    <w:rsid w:val="2C3A81D8"/>
    <w:rsid w:val="2C4E001A"/>
    <w:rsid w:val="2C7576DD"/>
    <w:rsid w:val="2C9A1595"/>
    <w:rsid w:val="2C9B7717"/>
    <w:rsid w:val="2CB84F8B"/>
    <w:rsid w:val="2CD5F0B9"/>
    <w:rsid w:val="2D8C2ABB"/>
    <w:rsid w:val="2DA52F2D"/>
    <w:rsid w:val="2DB2FD86"/>
    <w:rsid w:val="2DDC2B36"/>
    <w:rsid w:val="2E0E687C"/>
    <w:rsid w:val="2E33F698"/>
    <w:rsid w:val="2E72F63E"/>
    <w:rsid w:val="2E8C0BC7"/>
    <w:rsid w:val="2EA3DC6B"/>
    <w:rsid w:val="2ED1E52E"/>
    <w:rsid w:val="2F04AF9B"/>
    <w:rsid w:val="2F3C005E"/>
    <w:rsid w:val="2F63CCE7"/>
    <w:rsid w:val="2F778211"/>
    <w:rsid w:val="2F9172B8"/>
    <w:rsid w:val="2FD9FFC3"/>
    <w:rsid w:val="2FDA9A85"/>
    <w:rsid w:val="30041C15"/>
    <w:rsid w:val="300CD44F"/>
    <w:rsid w:val="302EFEF2"/>
    <w:rsid w:val="303C2967"/>
    <w:rsid w:val="30A9553A"/>
    <w:rsid w:val="3138B0C6"/>
    <w:rsid w:val="315BFD16"/>
    <w:rsid w:val="31AF06B6"/>
    <w:rsid w:val="322BD07F"/>
    <w:rsid w:val="3241EC64"/>
    <w:rsid w:val="325F8289"/>
    <w:rsid w:val="326837E7"/>
    <w:rsid w:val="3275A918"/>
    <w:rsid w:val="32A1F106"/>
    <w:rsid w:val="3339FA5A"/>
    <w:rsid w:val="3346B0A3"/>
    <w:rsid w:val="33798ABD"/>
    <w:rsid w:val="3384CCCC"/>
    <w:rsid w:val="33AE55AA"/>
    <w:rsid w:val="33B648CA"/>
    <w:rsid w:val="33BE86BD"/>
    <w:rsid w:val="33C802BB"/>
    <w:rsid w:val="33CF0D3F"/>
    <w:rsid w:val="34287BBC"/>
    <w:rsid w:val="342B2B38"/>
    <w:rsid w:val="3434180E"/>
    <w:rsid w:val="34349891"/>
    <w:rsid w:val="343EB981"/>
    <w:rsid w:val="34D7E3E5"/>
    <w:rsid w:val="34D8899C"/>
    <w:rsid w:val="34EA9C89"/>
    <w:rsid w:val="34F17101"/>
    <w:rsid w:val="3517C5FC"/>
    <w:rsid w:val="3546FCEF"/>
    <w:rsid w:val="35740AC6"/>
    <w:rsid w:val="35CBBDC0"/>
    <w:rsid w:val="35CFB2AC"/>
    <w:rsid w:val="366CC267"/>
    <w:rsid w:val="368882EF"/>
    <w:rsid w:val="3690BA11"/>
    <w:rsid w:val="36BB6276"/>
    <w:rsid w:val="371AFD88"/>
    <w:rsid w:val="37288DCD"/>
    <w:rsid w:val="37327460"/>
    <w:rsid w:val="3756D211"/>
    <w:rsid w:val="37599C28"/>
    <w:rsid w:val="377639F8"/>
    <w:rsid w:val="37C05B9D"/>
    <w:rsid w:val="37C16619"/>
    <w:rsid w:val="37C64484"/>
    <w:rsid w:val="37CCAC5B"/>
    <w:rsid w:val="37EFE161"/>
    <w:rsid w:val="37FFBD21"/>
    <w:rsid w:val="383A56D3"/>
    <w:rsid w:val="38612363"/>
    <w:rsid w:val="38A48182"/>
    <w:rsid w:val="38BF4467"/>
    <w:rsid w:val="39579A2D"/>
    <w:rsid w:val="396CEBA0"/>
    <w:rsid w:val="39869950"/>
    <w:rsid w:val="398A46BC"/>
    <w:rsid w:val="398C10DF"/>
    <w:rsid w:val="39BEFD6C"/>
    <w:rsid w:val="39C9D496"/>
    <w:rsid w:val="39CD7AA6"/>
    <w:rsid w:val="39E72804"/>
    <w:rsid w:val="3A4196C8"/>
    <w:rsid w:val="3A6C3406"/>
    <w:rsid w:val="3A947060"/>
    <w:rsid w:val="3AD5CAE5"/>
    <w:rsid w:val="3B210A28"/>
    <w:rsid w:val="3B65B3D0"/>
    <w:rsid w:val="3BE3CBE9"/>
    <w:rsid w:val="3BEE5F06"/>
    <w:rsid w:val="3BF76280"/>
    <w:rsid w:val="3BFC57F6"/>
    <w:rsid w:val="3C0CC775"/>
    <w:rsid w:val="3C2074E0"/>
    <w:rsid w:val="3C79434E"/>
    <w:rsid w:val="3C9C4156"/>
    <w:rsid w:val="3CD0D7F0"/>
    <w:rsid w:val="3D066E8A"/>
    <w:rsid w:val="3D1E537B"/>
    <w:rsid w:val="3D399330"/>
    <w:rsid w:val="3D3CEE02"/>
    <w:rsid w:val="3D411FFA"/>
    <w:rsid w:val="3D66A6D3"/>
    <w:rsid w:val="3DAFBD8E"/>
    <w:rsid w:val="3DBD74A0"/>
    <w:rsid w:val="3DE7D1C4"/>
    <w:rsid w:val="3E293728"/>
    <w:rsid w:val="3ECB4ACA"/>
    <w:rsid w:val="3EDE57DB"/>
    <w:rsid w:val="3F1D330D"/>
    <w:rsid w:val="3F260081"/>
    <w:rsid w:val="3F4F804B"/>
    <w:rsid w:val="3F792816"/>
    <w:rsid w:val="3F8E5420"/>
    <w:rsid w:val="3F996574"/>
    <w:rsid w:val="3FB091F3"/>
    <w:rsid w:val="3FF71A60"/>
    <w:rsid w:val="402FACE9"/>
    <w:rsid w:val="408CEEE6"/>
    <w:rsid w:val="4094BDCA"/>
    <w:rsid w:val="409A2597"/>
    <w:rsid w:val="40CE2840"/>
    <w:rsid w:val="40EE8A53"/>
    <w:rsid w:val="40F359BC"/>
    <w:rsid w:val="4175DEB7"/>
    <w:rsid w:val="418B6A59"/>
    <w:rsid w:val="41CFBB08"/>
    <w:rsid w:val="422B4832"/>
    <w:rsid w:val="422D2ECE"/>
    <w:rsid w:val="42BC3700"/>
    <w:rsid w:val="42DB5981"/>
    <w:rsid w:val="42E24CE1"/>
    <w:rsid w:val="42F73FBA"/>
    <w:rsid w:val="4333F442"/>
    <w:rsid w:val="435EFD3C"/>
    <w:rsid w:val="4379D575"/>
    <w:rsid w:val="4390C037"/>
    <w:rsid w:val="43A88E91"/>
    <w:rsid w:val="43B946B5"/>
    <w:rsid w:val="43F9D0D2"/>
    <w:rsid w:val="4406DE01"/>
    <w:rsid w:val="441CC39C"/>
    <w:rsid w:val="442D67E7"/>
    <w:rsid w:val="445016D1"/>
    <w:rsid w:val="447CBCDF"/>
    <w:rsid w:val="447D1A9C"/>
    <w:rsid w:val="4480C913"/>
    <w:rsid w:val="449A5C8F"/>
    <w:rsid w:val="44A47A14"/>
    <w:rsid w:val="44C90994"/>
    <w:rsid w:val="44CBBFD2"/>
    <w:rsid w:val="44EDD9F2"/>
    <w:rsid w:val="4510D6F1"/>
    <w:rsid w:val="4522E7D6"/>
    <w:rsid w:val="454D15B5"/>
    <w:rsid w:val="455A91A3"/>
    <w:rsid w:val="4576EB41"/>
    <w:rsid w:val="457A6973"/>
    <w:rsid w:val="4591B4EC"/>
    <w:rsid w:val="45D2DE43"/>
    <w:rsid w:val="45E76067"/>
    <w:rsid w:val="45E7E4B2"/>
    <w:rsid w:val="4609071B"/>
    <w:rsid w:val="461CE3FF"/>
    <w:rsid w:val="46279CA2"/>
    <w:rsid w:val="4640B421"/>
    <w:rsid w:val="466DDAA9"/>
    <w:rsid w:val="4682C3FA"/>
    <w:rsid w:val="46A7D43F"/>
    <w:rsid w:val="46C43F70"/>
    <w:rsid w:val="46E3DAB8"/>
    <w:rsid w:val="46E4FD42"/>
    <w:rsid w:val="471E3495"/>
    <w:rsid w:val="478F1E47"/>
    <w:rsid w:val="47B09596"/>
    <w:rsid w:val="47C4FE9E"/>
    <w:rsid w:val="47E0C597"/>
    <w:rsid w:val="4814C3F7"/>
    <w:rsid w:val="4819AF6A"/>
    <w:rsid w:val="481DF651"/>
    <w:rsid w:val="48391E3D"/>
    <w:rsid w:val="488C0759"/>
    <w:rsid w:val="488FC228"/>
    <w:rsid w:val="48D6F212"/>
    <w:rsid w:val="48FEBA27"/>
    <w:rsid w:val="48FEFAAD"/>
    <w:rsid w:val="491AFC41"/>
    <w:rsid w:val="495BA857"/>
    <w:rsid w:val="4980D4DA"/>
    <w:rsid w:val="49B3373F"/>
    <w:rsid w:val="49BDC65F"/>
    <w:rsid w:val="49D72611"/>
    <w:rsid w:val="4A180864"/>
    <w:rsid w:val="4A39544D"/>
    <w:rsid w:val="4A3DCC50"/>
    <w:rsid w:val="4A401476"/>
    <w:rsid w:val="4A76946B"/>
    <w:rsid w:val="4AD794C5"/>
    <w:rsid w:val="4AD9337B"/>
    <w:rsid w:val="4B09537F"/>
    <w:rsid w:val="4B279F14"/>
    <w:rsid w:val="4BA1951F"/>
    <w:rsid w:val="4BA92847"/>
    <w:rsid w:val="4BD065A2"/>
    <w:rsid w:val="4BF8EEC5"/>
    <w:rsid w:val="4C062795"/>
    <w:rsid w:val="4C064FB2"/>
    <w:rsid w:val="4C152155"/>
    <w:rsid w:val="4C226839"/>
    <w:rsid w:val="4C2C42C0"/>
    <w:rsid w:val="4C32635B"/>
    <w:rsid w:val="4C430831"/>
    <w:rsid w:val="4C765FA4"/>
    <w:rsid w:val="4C7DC921"/>
    <w:rsid w:val="4CBBBE72"/>
    <w:rsid w:val="4CD3BD26"/>
    <w:rsid w:val="4D12944A"/>
    <w:rsid w:val="4D38FAAA"/>
    <w:rsid w:val="4D7E8365"/>
    <w:rsid w:val="4D8EA7BA"/>
    <w:rsid w:val="4D9EE6A8"/>
    <w:rsid w:val="4DB91C6B"/>
    <w:rsid w:val="4E7A5B34"/>
    <w:rsid w:val="4E88114C"/>
    <w:rsid w:val="4E88E67A"/>
    <w:rsid w:val="4E9522F7"/>
    <w:rsid w:val="4E9C3AFF"/>
    <w:rsid w:val="4F17F5E9"/>
    <w:rsid w:val="4F2E149E"/>
    <w:rsid w:val="4F3BD43B"/>
    <w:rsid w:val="4F5970EB"/>
    <w:rsid w:val="4F7C02FB"/>
    <w:rsid w:val="4F9B0EE5"/>
    <w:rsid w:val="4FC15CA2"/>
    <w:rsid w:val="4FCF5498"/>
    <w:rsid w:val="4FDADDA4"/>
    <w:rsid w:val="4FFD609E"/>
    <w:rsid w:val="5001F729"/>
    <w:rsid w:val="50066BEE"/>
    <w:rsid w:val="506045DA"/>
    <w:rsid w:val="507E4284"/>
    <w:rsid w:val="50CE93E3"/>
    <w:rsid w:val="50F08193"/>
    <w:rsid w:val="511755E8"/>
    <w:rsid w:val="511A9A77"/>
    <w:rsid w:val="5134988E"/>
    <w:rsid w:val="51371D45"/>
    <w:rsid w:val="514D38D5"/>
    <w:rsid w:val="518D4CAD"/>
    <w:rsid w:val="51A643D4"/>
    <w:rsid w:val="51D5ABF2"/>
    <w:rsid w:val="51DCDDB3"/>
    <w:rsid w:val="521FD9EC"/>
    <w:rsid w:val="52674EB7"/>
    <w:rsid w:val="528B2060"/>
    <w:rsid w:val="529FE487"/>
    <w:rsid w:val="52AE0909"/>
    <w:rsid w:val="52D10B32"/>
    <w:rsid w:val="52DACAFE"/>
    <w:rsid w:val="530ADF8C"/>
    <w:rsid w:val="53686B92"/>
    <w:rsid w:val="536EA123"/>
    <w:rsid w:val="53739867"/>
    <w:rsid w:val="5375453E"/>
    <w:rsid w:val="537BC720"/>
    <w:rsid w:val="539619A6"/>
    <w:rsid w:val="53965D21"/>
    <w:rsid w:val="53AA17F7"/>
    <w:rsid w:val="53E9B255"/>
    <w:rsid w:val="5408BCBF"/>
    <w:rsid w:val="542AC4DD"/>
    <w:rsid w:val="546E3D87"/>
    <w:rsid w:val="54C3B5C0"/>
    <w:rsid w:val="54CBB17D"/>
    <w:rsid w:val="54ED1F5B"/>
    <w:rsid w:val="54F5A0E6"/>
    <w:rsid w:val="5510F143"/>
    <w:rsid w:val="5543DA38"/>
    <w:rsid w:val="5555D21D"/>
    <w:rsid w:val="55632084"/>
    <w:rsid w:val="55693741"/>
    <w:rsid w:val="55960D71"/>
    <w:rsid w:val="55CD1272"/>
    <w:rsid w:val="55F128A8"/>
    <w:rsid w:val="56038875"/>
    <w:rsid w:val="56057B88"/>
    <w:rsid w:val="5635C504"/>
    <w:rsid w:val="567BD951"/>
    <w:rsid w:val="569EC5D0"/>
    <w:rsid w:val="56A53CF1"/>
    <w:rsid w:val="56AB9847"/>
    <w:rsid w:val="56D74CB8"/>
    <w:rsid w:val="56E9229D"/>
    <w:rsid w:val="56EEC1EF"/>
    <w:rsid w:val="56F8C3FA"/>
    <w:rsid w:val="56F96291"/>
    <w:rsid w:val="576FCCF7"/>
    <w:rsid w:val="578D09C1"/>
    <w:rsid w:val="57BCA4F6"/>
    <w:rsid w:val="57CC472F"/>
    <w:rsid w:val="57D755FC"/>
    <w:rsid w:val="57F3DEF1"/>
    <w:rsid w:val="57F9B65E"/>
    <w:rsid w:val="581DF201"/>
    <w:rsid w:val="581EF8F7"/>
    <w:rsid w:val="585BAFBA"/>
    <w:rsid w:val="58655D7E"/>
    <w:rsid w:val="5879AB5E"/>
    <w:rsid w:val="589279AA"/>
    <w:rsid w:val="5893560D"/>
    <w:rsid w:val="58B74555"/>
    <w:rsid w:val="58D6D602"/>
    <w:rsid w:val="58F130EA"/>
    <w:rsid w:val="591CF637"/>
    <w:rsid w:val="5953330A"/>
    <w:rsid w:val="596D19F1"/>
    <w:rsid w:val="59927FB3"/>
    <w:rsid w:val="59936899"/>
    <w:rsid w:val="59B8F217"/>
    <w:rsid w:val="59C8D527"/>
    <w:rsid w:val="59CD452C"/>
    <w:rsid w:val="59FC07F0"/>
    <w:rsid w:val="59FEB2A4"/>
    <w:rsid w:val="5A3C3898"/>
    <w:rsid w:val="5A40B250"/>
    <w:rsid w:val="5ACC71DE"/>
    <w:rsid w:val="5ADB7CC8"/>
    <w:rsid w:val="5B0CA07F"/>
    <w:rsid w:val="5B19BB1A"/>
    <w:rsid w:val="5B27BDE1"/>
    <w:rsid w:val="5B53553C"/>
    <w:rsid w:val="5B58EE8D"/>
    <w:rsid w:val="5B6A0201"/>
    <w:rsid w:val="5B75D95F"/>
    <w:rsid w:val="5B7903E9"/>
    <w:rsid w:val="5BA36F9B"/>
    <w:rsid w:val="5BC9BEDC"/>
    <w:rsid w:val="5BCB3897"/>
    <w:rsid w:val="5BF56D01"/>
    <w:rsid w:val="5C2EA615"/>
    <w:rsid w:val="5C382FC0"/>
    <w:rsid w:val="5CC91BBB"/>
    <w:rsid w:val="5D0ABB0F"/>
    <w:rsid w:val="5D7B5A1F"/>
    <w:rsid w:val="5D7DA10B"/>
    <w:rsid w:val="5D8C171A"/>
    <w:rsid w:val="5DC4A71C"/>
    <w:rsid w:val="5DE0078E"/>
    <w:rsid w:val="5DFB2427"/>
    <w:rsid w:val="5E113994"/>
    <w:rsid w:val="5E74238D"/>
    <w:rsid w:val="5E7614CB"/>
    <w:rsid w:val="5E77C7E9"/>
    <w:rsid w:val="5E7CA340"/>
    <w:rsid w:val="5ED6A600"/>
    <w:rsid w:val="5EDA9BF4"/>
    <w:rsid w:val="5EF846E1"/>
    <w:rsid w:val="5F710572"/>
    <w:rsid w:val="5F762746"/>
    <w:rsid w:val="5FE02B64"/>
    <w:rsid w:val="602A00CA"/>
    <w:rsid w:val="60C4A700"/>
    <w:rsid w:val="610B49AA"/>
    <w:rsid w:val="61B96D73"/>
    <w:rsid w:val="61CDC384"/>
    <w:rsid w:val="61EDFFEF"/>
    <w:rsid w:val="62015FC2"/>
    <w:rsid w:val="623AD789"/>
    <w:rsid w:val="623DCA0B"/>
    <w:rsid w:val="6255C514"/>
    <w:rsid w:val="62689556"/>
    <w:rsid w:val="62C0A594"/>
    <w:rsid w:val="62C3CE73"/>
    <w:rsid w:val="62C73461"/>
    <w:rsid w:val="62C97670"/>
    <w:rsid w:val="62EE67DC"/>
    <w:rsid w:val="632B5ABB"/>
    <w:rsid w:val="63721542"/>
    <w:rsid w:val="638D8357"/>
    <w:rsid w:val="63AAA3B3"/>
    <w:rsid w:val="63B1B669"/>
    <w:rsid w:val="63B5E07A"/>
    <w:rsid w:val="63E7BF27"/>
    <w:rsid w:val="64074340"/>
    <w:rsid w:val="641EA8C6"/>
    <w:rsid w:val="64AD0C62"/>
    <w:rsid w:val="64B89028"/>
    <w:rsid w:val="64D99EBD"/>
    <w:rsid w:val="64DAAD06"/>
    <w:rsid w:val="64ED5D2C"/>
    <w:rsid w:val="64FCFFF0"/>
    <w:rsid w:val="650A7ECE"/>
    <w:rsid w:val="653D7D14"/>
    <w:rsid w:val="65467CFC"/>
    <w:rsid w:val="654FF143"/>
    <w:rsid w:val="65A329BE"/>
    <w:rsid w:val="65B72EBC"/>
    <w:rsid w:val="65BD3E92"/>
    <w:rsid w:val="65DB5FFF"/>
    <w:rsid w:val="65EA2E17"/>
    <w:rsid w:val="6627CF79"/>
    <w:rsid w:val="663B45B1"/>
    <w:rsid w:val="66950AC4"/>
    <w:rsid w:val="66EBF7E9"/>
    <w:rsid w:val="670F0313"/>
    <w:rsid w:val="676C8171"/>
    <w:rsid w:val="67AF5AEA"/>
    <w:rsid w:val="6892B64E"/>
    <w:rsid w:val="68BCB7EA"/>
    <w:rsid w:val="68C727F4"/>
    <w:rsid w:val="68EFB00F"/>
    <w:rsid w:val="68FC438D"/>
    <w:rsid w:val="69596E09"/>
    <w:rsid w:val="697E0D2C"/>
    <w:rsid w:val="699A054D"/>
    <w:rsid w:val="69BE3C83"/>
    <w:rsid w:val="69CA60B5"/>
    <w:rsid w:val="69D04E92"/>
    <w:rsid w:val="6A1EE7EE"/>
    <w:rsid w:val="6A26624D"/>
    <w:rsid w:val="6A40B483"/>
    <w:rsid w:val="6A709A79"/>
    <w:rsid w:val="6A7BAAF6"/>
    <w:rsid w:val="6A9B289C"/>
    <w:rsid w:val="6AB7E992"/>
    <w:rsid w:val="6ABA0428"/>
    <w:rsid w:val="6AF29D37"/>
    <w:rsid w:val="6B4B4BEF"/>
    <w:rsid w:val="6B649839"/>
    <w:rsid w:val="6B6AEE03"/>
    <w:rsid w:val="6B9C683F"/>
    <w:rsid w:val="6BE29C27"/>
    <w:rsid w:val="6BEC6495"/>
    <w:rsid w:val="6C147DA0"/>
    <w:rsid w:val="6C631CA8"/>
    <w:rsid w:val="6C650ADB"/>
    <w:rsid w:val="6C6BCFE4"/>
    <w:rsid w:val="6C818E68"/>
    <w:rsid w:val="6C923A5C"/>
    <w:rsid w:val="6CED5383"/>
    <w:rsid w:val="6D3A5940"/>
    <w:rsid w:val="6D734516"/>
    <w:rsid w:val="6D793D20"/>
    <w:rsid w:val="6D936E94"/>
    <w:rsid w:val="6D99C9D7"/>
    <w:rsid w:val="6DA3D9DA"/>
    <w:rsid w:val="6DD11D86"/>
    <w:rsid w:val="6DFA4197"/>
    <w:rsid w:val="6DFBE117"/>
    <w:rsid w:val="6E14E71B"/>
    <w:rsid w:val="6E22F360"/>
    <w:rsid w:val="6E4EAF59"/>
    <w:rsid w:val="6E5FD522"/>
    <w:rsid w:val="6E6E16CA"/>
    <w:rsid w:val="6E71A64A"/>
    <w:rsid w:val="6EE0D5EB"/>
    <w:rsid w:val="6EED36C9"/>
    <w:rsid w:val="6EF47D22"/>
    <w:rsid w:val="6F79BF04"/>
    <w:rsid w:val="6FD537F7"/>
    <w:rsid w:val="6FDDE751"/>
    <w:rsid w:val="6FE62805"/>
    <w:rsid w:val="702A7BCA"/>
    <w:rsid w:val="703420E0"/>
    <w:rsid w:val="70342B0D"/>
    <w:rsid w:val="705C1687"/>
    <w:rsid w:val="7115F5E2"/>
    <w:rsid w:val="712CC666"/>
    <w:rsid w:val="71575BA7"/>
    <w:rsid w:val="716DB295"/>
    <w:rsid w:val="71929A22"/>
    <w:rsid w:val="71D6B3C3"/>
    <w:rsid w:val="71EE1538"/>
    <w:rsid w:val="71FC6F10"/>
    <w:rsid w:val="7239A20C"/>
    <w:rsid w:val="723D505A"/>
    <w:rsid w:val="728F662B"/>
    <w:rsid w:val="729436E6"/>
    <w:rsid w:val="73143E2C"/>
    <w:rsid w:val="73646FAE"/>
    <w:rsid w:val="73672551"/>
    <w:rsid w:val="73696141"/>
    <w:rsid w:val="73699DC0"/>
    <w:rsid w:val="736EC774"/>
    <w:rsid w:val="737CFBAC"/>
    <w:rsid w:val="739BAD65"/>
    <w:rsid w:val="7418F703"/>
    <w:rsid w:val="744BC667"/>
    <w:rsid w:val="745A92B4"/>
    <w:rsid w:val="746E7DC1"/>
    <w:rsid w:val="74CD43C5"/>
    <w:rsid w:val="74F1868B"/>
    <w:rsid w:val="74FD8B73"/>
    <w:rsid w:val="7512FA68"/>
    <w:rsid w:val="757719F5"/>
    <w:rsid w:val="758D369B"/>
    <w:rsid w:val="75C9A225"/>
    <w:rsid w:val="760F0613"/>
    <w:rsid w:val="761F284D"/>
    <w:rsid w:val="761F29DE"/>
    <w:rsid w:val="762BC179"/>
    <w:rsid w:val="7645C93D"/>
    <w:rsid w:val="765BCDC7"/>
    <w:rsid w:val="76640611"/>
    <w:rsid w:val="766D4B04"/>
    <w:rsid w:val="76700F27"/>
    <w:rsid w:val="76714EE7"/>
    <w:rsid w:val="7692D90B"/>
    <w:rsid w:val="771F87CD"/>
    <w:rsid w:val="77341B86"/>
    <w:rsid w:val="773708B1"/>
    <w:rsid w:val="7762269C"/>
    <w:rsid w:val="77733D9C"/>
    <w:rsid w:val="77AF9091"/>
    <w:rsid w:val="77CA737A"/>
    <w:rsid w:val="780B7C61"/>
    <w:rsid w:val="781AC4CD"/>
    <w:rsid w:val="7879DF3F"/>
    <w:rsid w:val="78BA151D"/>
    <w:rsid w:val="78FA5DF8"/>
    <w:rsid w:val="796A3B32"/>
    <w:rsid w:val="797DF7E0"/>
    <w:rsid w:val="79B113E1"/>
    <w:rsid w:val="79B738AD"/>
    <w:rsid w:val="79DB8CA2"/>
    <w:rsid w:val="7A35C011"/>
    <w:rsid w:val="7A49934F"/>
    <w:rsid w:val="7A6F2010"/>
    <w:rsid w:val="7A845CA1"/>
    <w:rsid w:val="7AAC1A1D"/>
    <w:rsid w:val="7AFAC4B4"/>
    <w:rsid w:val="7B25A036"/>
    <w:rsid w:val="7B7F6B4C"/>
    <w:rsid w:val="7B8ABA22"/>
    <w:rsid w:val="7CB0876B"/>
    <w:rsid w:val="7CC2AEA0"/>
    <w:rsid w:val="7CD16962"/>
    <w:rsid w:val="7CDC21BB"/>
    <w:rsid w:val="7CEBFA83"/>
    <w:rsid w:val="7D45B911"/>
    <w:rsid w:val="7DAB299B"/>
    <w:rsid w:val="7DAD602D"/>
    <w:rsid w:val="7DC563EE"/>
    <w:rsid w:val="7DCC219F"/>
    <w:rsid w:val="7E23137D"/>
    <w:rsid w:val="7E9C4933"/>
    <w:rsid w:val="7E9D0416"/>
    <w:rsid w:val="7EA24544"/>
    <w:rsid w:val="7EB3A829"/>
    <w:rsid w:val="7EBA0000"/>
    <w:rsid w:val="7EE16155"/>
    <w:rsid w:val="7EF58978"/>
    <w:rsid w:val="7F08357D"/>
    <w:rsid w:val="7F183454"/>
    <w:rsid w:val="7F2F452E"/>
    <w:rsid w:val="7F5AC704"/>
    <w:rsid w:val="7F7391E4"/>
    <w:rsid w:val="7F999087"/>
    <w:rsid w:val="7FB0A482"/>
    <w:rsid w:val="7FC2A2B5"/>
    <w:rsid w:val="7FCA6DB0"/>
    <w:rsid w:val="7FCB8E5D"/>
    <w:rsid w:val="7FCECFF6"/>
    <w:rsid w:val="7FE780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C0AC6E"/>
  <w15:chartTrackingRefBased/>
  <w15:docId w15:val="{C08DDF1B-6A35-48E7-A05F-3EBFD254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A62"/>
  </w:style>
  <w:style w:type="paragraph" w:styleId="Heading1">
    <w:name w:val="heading 1"/>
    <w:basedOn w:val="Normal"/>
    <w:next w:val="Normal"/>
    <w:link w:val="Heading1Char"/>
    <w:uiPriority w:val="9"/>
    <w:qFormat/>
    <w:rsid w:val="00A70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0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0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0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0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A62"/>
    <w:rPr>
      <w:rFonts w:eastAsiaTheme="majorEastAsia" w:cstheme="majorBidi"/>
      <w:color w:val="272727" w:themeColor="text1" w:themeTint="D8"/>
    </w:rPr>
  </w:style>
  <w:style w:type="paragraph" w:styleId="Title">
    <w:name w:val="Title"/>
    <w:basedOn w:val="Normal"/>
    <w:next w:val="Normal"/>
    <w:link w:val="TitleChar"/>
    <w:uiPriority w:val="10"/>
    <w:qFormat/>
    <w:rsid w:val="00A70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A62"/>
    <w:pPr>
      <w:spacing w:before="160"/>
      <w:jc w:val="center"/>
    </w:pPr>
    <w:rPr>
      <w:i/>
      <w:iCs/>
      <w:color w:val="404040" w:themeColor="text1" w:themeTint="BF"/>
    </w:rPr>
  </w:style>
  <w:style w:type="character" w:customStyle="1" w:styleId="QuoteChar">
    <w:name w:val="Quote Char"/>
    <w:basedOn w:val="DefaultParagraphFont"/>
    <w:link w:val="Quote"/>
    <w:uiPriority w:val="29"/>
    <w:rsid w:val="00A70A62"/>
    <w:rPr>
      <w:i/>
      <w:iCs/>
      <w:color w:val="404040" w:themeColor="text1" w:themeTint="BF"/>
    </w:rPr>
  </w:style>
  <w:style w:type="paragraph" w:styleId="ListParagraph">
    <w:name w:val="List Paragraph"/>
    <w:basedOn w:val="Normal"/>
    <w:uiPriority w:val="34"/>
    <w:qFormat/>
    <w:rsid w:val="00A70A62"/>
    <w:pPr>
      <w:ind w:left="720"/>
      <w:contextualSpacing/>
    </w:pPr>
  </w:style>
  <w:style w:type="character" w:styleId="IntenseEmphasis">
    <w:name w:val="Intense Emphasis"/>
    <w:basedOn w:val="DefaultParagraphFont"/>
    <w:uiPriority w:val="21"/>
    <w:qFormat/>
    <w:rsid w:val="00A70A62"/>
    <w:rPr>
      <w:i/>
      <w:iCs/>
      <w:color w:val="0F4761" w:themeColor="accent1" w:themeShade="BF"/>
    </w:rPr>
  </w:style>
  <w:style w:type="paragraph" w:styleId="IntenseQuote">
    <w:name w:val="Intense Quote"/>
    <w:basedOn w:val="Normal"/>
    <w:next w:val="Normal"/>
    <w:link w:val="IntenseQuoteChar"/>
    <w:uiPriority w:val="30"/>
    <w:qFormat/>
    <w:rsid w:val="00A70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A62"/>
    <w:rPr>
      <w:i/>
      <w:iCs/>
      <w:color w:val="0F4761" w:themeColor="accent1" w:themeShade="BF"/>
    </w:rPr>
  </w:style>
  <w:style w:type="character" w:styleId="IntenseReference">
    <w:name w:val="Intense Reference"/>
    <w:basedOn w:val="DefaultParagraphFont"/>
    <w:uiPriority w:val="32"/>
    <w:qFormat/>
    <w:rsid w:val="00A70A62"/>
    <w:rPr>
      <w:b/>
      <w:bCs/>
      <w:smallCaps/>
      <w:color w:val="0F4761" w:themeColor="accent1" w:themeShade="BF"/>
      <w:spacing w:val="5"/>
    </w:rPr>
  </w:style>
  <w:style w:type="paragraph" w:styleId="NormalWeb">
    <w:name w:val="Normal (Web)"/>
    <w:basedOn w:val="Normal"/>
    <w:uiPriority w:val="99"/>
    <w:unhideWhenUsed/>
    <w:rsid w:val="00A70A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00A70A62"/>
    <w:pPr>
      <w:spacing w:after="0" w:line="240" w:lineRule="auto"/>
    </w:pPr>
    <w:rPr>
      <w:sz w:val="20"/>
      <w:szCs w:val="20"/>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A70A62"/>
    <w:rPr>
      <w:sz w:val="20"/>
      <w:szCs w:val="20"/>
      <w:lang w:val="fr-FR"/>
    </w:rPr>
  </w:style>
  <w:style w:type="character" w:styleId="FootnoteReference">
    <w:name w:val="footnote reference"/>
    <w:aliases w:val="Footnote symbol,HAppel note de bas de p.,Footnote reference number,Times 10 Point,Exposant 3 Point,EN Footnote Reference,note TESI,SUPERS,Nota,Footnote number,Char1,Ref,de nota al pie,EN Footnote text,E...,num, Char1, Exposant 3 Point"/>
    <w:basedOn w:val="DefaultParagraphFont"/>
    <w:link w:val="FootnotesymbolCarZchn"/>
    <w:uiPriority w:val="99"/>
    <w:unhideWhenUsed/>
    <w:qFormat/>
    <w:rsid w:val="00A70A62"/>
    <w:rPr>
      <w:vertAlign w:val="superscript"/>
    </w:rPr>
  </w:style>
  <w:style w:type="character" w:styleId="Hyperlink">
    <w:name w:val="Hyperlink"/>
    <w:basedOn w:val="DefaultParagraphFont"/>
    <w:uiPriority w:val="99"/>
    <w:unhideWhenUsed/>
    <w:rsid w:val="00A70A62"/>
    <w:rPr>
      <w:color w:val="467886" w:themeColor="hyperlink"/>
      <w:u w:val="single"/>
    </w:rPr>
  </w:style>
  <w:style w:type="character" w:styleId="CommentReference">
    <w:name w:val="annotation reference"/>
    <w:basedOn w:val="DefaultParagraphFont"/>
    <w:uiPriority w:val="99"/>
    <w:semiHidden/>
    <w:unhideWhenUsed/>
    <w:rsid w:val="00A70A62"/>
    <w:rPr>
      <w:sz w:val="16"/>
      <w:szCs w:val="16"/>
    </w:rPr>
  </w:style>
  <w:style w:type="character" w:styleId="Strong">
    <w:name w:val="Strong"/>
    <w:basedOn w:val="DefaultParagraphFont"/>
    <w:uiPriority w:val="22"/>
    <w:qFormat/>
    <w:rsid w:val="00A70A62"/>
    <w:rPr>
      <w:b/>
      <w:bCs/>
    </w:rPr>
  </w:style>
  <w:style w:type="table" w:styleId="TableGrid">
    <w:name w:val="Table Grid"/>
    <w:basedOn w:val="TableNormal"/>
    <w:uiPriority w:val="39"/>
    <w:rsid w:val="00A70A62"/>
    <w:pPr>
      <w:spacing w:after="0" w:line="240" w:lineRule="auto"/>
    </w:pPr>
    <w:rPr>
      <w:sz w:val="22"/>
      <w:szCs w:val="22"/>
    </w:rPr>
    <w:tblPr/>
  </w:style>
  <w:style w:type="table" w:styleId="TableGridLight">
    <w:name w:val="Grid Table Light"/>
    <w:basedOn w:val="TableNormal"/>
    <w:uiPriority w:val="40"/>
    <w:rsid w:val="00A70A62"/>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A70A62"/>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70A62"/>
    <w:pPr>
      <w:spacing w:line="240" w:lineRule="exact"/>
      <w:jc w:val="both"/>
    </w:pPr>
    <w:rPr>
      <w:vertAlign w:val="superscript"/>
    </w:rPr>
  </w:style>
  <w:style w:type="paragraph" w:styleId="Header">
    <w:name w:val="header"/>
    <w:basedOn w:val="Normal"/>
    <w:link w:val="HeaderChar"/>
    <w:uiPriority w:val="99"/>
    <w:unhideWhenUsed/>
    <w:rsid w:val="00A70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A62"/>
    <w:rPr>
      <w:lang w:val="fr-FR"/>
    </w:rPr>
  </w:style>
  <w:style w:type="paragraph" w:styleId="Footer">
    <w:name w:val="footer"/>
    <w:basedOn w:val="Normal"/>
    <w:link w:val="FooterChar"/>
    <w:uiPriority w:val="99"/>
    <w:unhideWhenUsed/>
    <w:rsid w:val="00A70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A62"/>
    <w:rPr>
      <w:lang w:val="fr-FR"/>
    </w:rPr>
  </w:style>
  <w:style w:type="character" w:customStyle="1" w:styleId="Marker">
    <w:name w:val="Marker"/>
    <w:basedOn w:val="DefaultParagraphFont"/>
    <w:rsid w:val="00A70A62"/>
    <w:rPr>
      <w:color w:val="0000FF"/>
      <w:shd w:val="clear" w:color="auto" w:fill="auto"/>
    </w:rPr>
  </w:style>
  <w:style w:type="paragraph" w:customStyle="1" w:styleId="Pagedecouverture">
    <w:name w:val="Page de couverture"/>
    <w:basedOn w:val="Normal"/>
    <w:next w:val="Normal"/>
    <w:rsid w:val="00A70A6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70A6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70A62"/>
    <w:rPr>
      <w:rFonts w:ascii="Times New Roman" w:hAnsi="Times New Roman" w:cs="Times New Roman"/>
    </w:rPr>
  </w:style>
  <w:style w:type="paragraph" w:customStyle="1" w:styleId="FooterSensitivity">
    <w:name w:val="Footer Sensitivity"/>
    <w:basedOn w:val="Normal"/>
    <w:link w:val="FooterSensitivityChar"/>
    <w:rsid w:val="00A70A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0A62"/>
    <w:rPr>
      <w:rFonts w:ascii="Times New Roman" w:hAnsi="Times New Roman" w:cs="Times New Roman"/>
      <w:b/>
      <w:sz w:val="32"/>
    </w:rPr>
  </w:style>
  <w:style w:type="paragraph" w:customStyle="1" w:styleId="HeaderCoverPage">
    <w:name w:val="Header Cover Page"/>
    <w:basedOn w:val="Normal"/>
    <w:link w:val="HeaderCoverPageChar"/>
    <w:rsid w:val="00A70A6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70A62"/>
    <w:rPr>
      <w:rFonts w:ascii="Times New Roman" w:hAnsi="Times New Roman" w:cs="Times New Roman"/>
    </w:rPr>
  </w:style>
  <w:style w:type="paragraph" w:customStyle="1" w:styleId="HeaderSensitivity">
    <w:name w:val="Header Sensitivity"/>
    <w:basedOn w:val="Normal"/>
    <w:link w:val="HeaderSensitivityChar"/>
    <w:rsid w:val="00A70A6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0A62"/>
    <w:rPr>
      <w:rFonts w:ascii="Times New Roman" w:hAnsi="Times New Roman" w:cs="Times New Roman"/>
      <w:b/>
      <w:sz w:val="32"/>
    </w:rPr>
  </w:style>
  <w:style w:type="paragraph" w:customStyle="1" w:styleId="HeaderSensitivityRight">
    <w:name w:val="Header Sensitivity Right"/>
    <w:basedOn w:val="Normal"/>
    <w:link w:val="HeaderSensitivityRightChar"/>
    <w:rsid w:val="004E04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0A62"/>
    <w:rPr>
      <w:rFonts w:ascii="Times New Roman" w:hAnsi="Times New Roman" w:cs="Times New Roman"/>
      <w:sz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Revision">
    <w:name w:val="Revision"/>
    <w:hidden/>
    <w:uiPriority w:val="99"/>
    <w:semiHidden/>
    <w:rsid w:val="00D260F0"/>
    <w:pPr>
      <w:spacing w:after="0" w:line="240" w:lineRule="auto"/>
    </w:pPr>
  </w:style>
  <w:style w:type="paragraph" w:styleId="CommentSubject">
    <w:name w:val="annotation subject"/>
    <w:basedOn w:val="CommentText"/>
    <w:next w:val="CommentText"/>
    <w:link w:val="CommentSubjectChar"/>
    <w:uiPriority w:val="99"/>
    <w:semiHidden/>
    <w:unhideWhenUsed/>
    <w:rsid w:val="00D260F0"/>
    <w:rPr>
      <w:b/>
      <w:bCs/>
    </w:rPr>
  </w:style>
  <w:style w:type="character" w:customStyle="1" w:styleId="CommentSubjectChar">
    <w:name w:val="Comment Subject Char"/>
    <w:basedOn w:val="CommentTextChar"/>
    <w:link w:val="CommentSubject"/>
    <w:uiPriority w:val="99"/>
    <w:semiHidden/>
    <w:rsid w:val="00D260F0"/>
    <w:rPr>
      <w:b/>
      <w:bCs/>
      <w:sz w:val="20"/>
      <w:szCs w:val="20"/>
      <w:lang w:val="fr-FR"/>
    </w:rPr>
  </w:style>
  <w:style w:type="character" w:customStyle="1" w:styleId="UnresolvedMention">
    <w:name w:val="Unresolved Mention"/>
    <w:basedOn w:val="DefaultParagraphFont"/>
    <w:uiPriority w:val="99"/>
    <w:semiHidden/>
    <w:unhideWhenUsed/>
    <w:rsid w:val="007C0BAA"/>
    <w:rPr>
      <w:color w:val="605E5C"/>
      <w:shd w:val="clear" w:color="auto" w:fill="E1DFDD"/>
    </w:rPr>
  </w:style>
  <w:style w:type="character" w:styleId="FollowedHyperlink">
    <w:name w:val="FollowedHyperlink"/>
    <w:basedOn w:val="DefaultParagraphFont"/>
    <w:uiPriority w:val="99"/>
    <w:semiHidden/>
    <w:unhideWhenUsed/>
    <w:rsid w:val="0056529A"/>
    <w:rPr>
      <w:color w:val="96607D" w:themeColor="followedHyperlink"/>
      <w:u w:val="single"/>
    </w:rPr>
  </w:style>
  <w:style w:type="character" w:customStyle="1" w:styleId="Mention">
    <w:name w:val="Mention"/>
    <w:basedOn w:val="DefaultParagraphFont"/>
    <w:uiPriority w:val="99"/>
    <w:unhideWhenUsed/>
    <w:rsid w:val="000675CD"/>
    <w:rPr>
      <w:color w:val="2B579A"/>
      <w:shd w:val="clear" w:color="auto" w:fill="E1DFDD"/>
    </w:rPr>
  </w:style>
  <w:style w:type="paragraph" w:customStyle="1" w:styleId="Disclaimer">
    <w:name w:val="Disclaimer"/>
    <w:basedOn w:val="Normal"/>
    <w:rsid w:val="004E04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4E049B"/>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4E049B"/>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4E049B"/>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6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oldid=684726" TargetMode="External"/><Relationship Id="rId18" Type="http://schemas.openxmlformats.org/officeDocument/2006/relationships/hyperlink" Target="https://www.eea.europa.eu/en/analysis/indicators/economic-losses-from-climate-related" TargetMode="External"/><Relationship Id="rId26" Type="http://schemas.openxmlformats.org/officeDocument/2006/relationships/hyperlink" Target="https://futuros.gob.es/en/office" TargetMode="External"/><Relationship Id="rId39" Type="http://schemas.openxmlformats.org/officeDocument/2006/relationships/hyperlink" Target="https://commission.europa.eu/topics/competitiveness/union-skills_fr" TargetMode="External"/><Relationship Id="rId3" Type="http://schemas.openxmlformats.org/officeDocument/2006/relationships/hyperlink" Target="https://www.un.org/fr/summit-of-the-future/declaration-on-future-generations" TargetMode="External"/><Relationship Id="rId21" Type="http://schemas.openxmlformats.org/officeDocument/2006/relationships/hyperlink" Target="https://joint-research-centre.ec.europa.eu/projects-and-activities/survey-methods-and-analysis-centre/loneliness/risk-factors-and-consequences_en" TargetMode="External"/><Relationship Id="rId34" Type="http://schemas.openxmlformats.org/officeDocument/2006/relationships/hyperlink" Target="https://commission.europa.eu/topics/competitiveness/competitiveness-compass_fr" TargetMode="External"/><Relationship Id="rId42" Type="http://schemas.openxmlformats.org/officeDocument/2006/relationships/hyperlink" Target="https://eur-lex.europa.eu/legal-content/FR/TXT/?uri=intcom:C%282025%299300" TargetMode="External"/><Relationship Id="rId47" Type="http://schemas.openxmlformats.org/officeDocument/2006/relationships/hyperlink" Target="https://eur-lex.europa.eu/legal-content/FR/TXT/?uri=CELEX:32025H1021" TargetMode="External"/><Relationship Id="rId50" Type="http://schemas.openxmlformats.org/officeDocument/2006/relationships/hyperlink" Target="https://commission.europa.eu/publications/communication-demographic-change-europe-toolbox-action_fr" TargetMode="External"/><Relationship Id="rId7" Type="http://schemas.openxmlformats.org/officeDocument/2006/relationships/hyperlink" Target="https://eur-lex.europa.eu/resource.html?uri=cellar:c81baaa1-0899-11f0-b1a3-01aa75ed71a1.0001.02/DOC_1&amp;format=PDF" TargetMode="External"/><Relationship Id="rId12" Type="http://schemas.openxmlformats.org/officeDocument/2006/relationships/hyperlink" Target="https://europa.eu/eurobarometer/surveys/detail/2972" TargetMode="External"/><Relationship Id="rId17" Type="http://schemas.openxmlformats.org/officeDocument/2006/relationships/hyperlink" Target="https://eur-lex.europa.eu/resource.html?uri=cellar:6c154426-c5a6-11ee-95d9-01aa75ed71a1.0001.02/DOC_2&amp;format=PDF" TargetMode="External"/><Relationship Id="rId25" Type="http://schemas.openxmlformats.org/officeDocument/2006/relationships/hyperlink" Target="https://www.eduskunta.fi/EN/valiokunnat/tulevaisuusvaliokunta/Pages/default.aspx" TargetMode="External"/><Relationship Id="rId33" Type="http://schemas.openxmlformats.org/officeDocument/2006/relationships/hyperlink" Target="https://single-market-economy.ec.europa.eu/industry/strategy_fr" TargetMode="External"/><Relationship Id="rId38" Type="http://schemas.openxmlformats.org/officeDocument/2006/relationships/hyperlink" Target="https://eur-lex.europa.eu/legal-content/FR/TXT/?uri=OJ:JOC_2022_476_R_0001" TargetMode="External"/><Relationship Id="rId46" Type="http://schemas.openxmlformats.org/officeDocument/2006/relationships/hyperlink" Target="https://ec.europa.eu/commission/presscorner/detail/fr/ip_25_2660" TargetMode="External"/><Relationship Id="rId2" Type="http://schemas.openxmlformats.org/officeDocument/2006/relationships/hyperlink" Target="https://citizens.ec.europa.eu/european-citizens-panels/citizens-panel-intergenerational-fairness_fr" TargetMode="External"/><Relationship Id="rId16" Type="http://schemas.openxmlformats.org/officeDocument/2006/relationships/hyperlink" Target="https://doi.org/10.1787/dec143ad-en" TargetMode="External"/><Relationship Id="rId20" Type="http://schemas.openxmlformats.org/officeDocument/2006/relationships/hyperlink" Target="https://joint-research-centre.ec.europa.eu/projects-and-activities/survey-methods-and-analysis-centre/loneliness/risk-factors-and-consequences_en" TargetMode="External"/><Relationship Id="rId29" Type="http://schemas.openxmlformats.org/officeDocument/2006/relationships/hyperlink" Target="https://employment-social-affairs.ec.europa.eu/policies-and-activities/social-protection-social-inclusion/addressing-poverty-and-supporting-social-inclusion/investing-children/european-child-guarantee_fr" TargetMode="External"/><Relationship Id="rId41" Type="http://schemas.openxmlformats.org/officeDocument/2006/relationships/hyperlink" Target="https://youth.europa.eu/solidarity_fr" TargetMode="External"/><Relationship Id="rId1" Type="http://schemas.openxmlformats.org/officeDocument/2006/relationships/hyperlink" Target="https://policy-lab.ec.europa.eu/intergenerational-fairness" TargetMode="External"/><Relationship Id="rId6" Type="http://schemas.openxmlformats.org/officeDocument/2006/relationships/hyperlink" Target="https://commission.europa.eu/strategy-and-policy/strategic-foresight/2025-strategic-foresight-report_en" TargetMode="External"/><Relationship Id="rId11" Type="http://schemas.openxmlformats.org/officeDocument/2006/relationships/hyperlink" Target="https://ec.europa.eu/eurostat/web/products-eurostat-news/w/ddn-20240222-1" TargetMode="External"/><Relationship Id="rId24" Type="http://schemas.openxmlformats.org/officeDocument/2006/relationships/hyperlink" Target="https://doi.org/10.1787/6f007516-en" TargetMode="External"/><Relationship Id="rId32" Type="http://schemas.openxmlformats.org/officeDocument/2006/relationships/hyperlink" Target="https://eu-for-children.europa.eu/eu-childrens-participation-platform_fr" TargetMode="External"/><Relationship Id="rId37" Type="http://schemas.openxmlformats.org/officeDocument/2006/relationships/hyperlink" Target="https://eur-lex.europa.eu/legal-content/FR/TXT/PDF/?uri=CELEX:52025DC0944&amp;qid=1772536097584" TargetMode="External"/><Relationship Id="rId40" Type="http://schemas.openxmlformats.org/officeDocument/2006/relationships/hyperlink" Target="https://youth.europa.eu/solidarity_fr" TargetMode="External"/><Relationship Id="rId45" Type="http://schemas.openxmlformats.org/officeDocument/2006/relationships/hyperlink" Target="https://commission.europa.eu/topics/defence/safer-together-path-towards-fully-prepared-union_en" TargetMode="External"/><Relationship Id="rId53" Type="http://schemas.openxmlformats.org/officeDocument/2006/relationships/hyperlink" Target="https://rural-vision.europa.eu/index_fr" TargetMode="External"/><Relationship Id="rId5" Type="http://schemas.openxmlformats.org/officeDocument/2006/relationships/hyperlink" Target="https://www.espas.eu/files/2025/ESPAS%20Foresight%20paper%20-%20Inter-generational%20fairness.pdf" TargetMode="External"/><Relationship Id="rId15" Type="http://schemas.openxmlformats.org/officeDocument/2006/relationships/hyperlink" Target="https://ec.europa.eu/eurostat/web/products-eurostat-news/w/ddn-20250527-1" TargetMode="External"/><Relationship Id="rId23" Type="http://schemas.openxmlformats.org/officeDocument/2006/relationships/hyperlink" Target="https://commission.europa.eu/topics/countering-information-manipulation/strengthened-eu-code-practice-disinformation_fr" TargetMode="External"/><Relationship Id="rId28" Type="http://schemas.openxmlformats.org/officeDocument/2006/relationships/hyperlink" Target="https://eur-lex.europa.eu/legal-content/FR/TXT/?uri=CELEX:52025DC0681" TargetMode="External"/><Relationship Id="rId36" Type="http://schemas.openxmlformats.org/officeDocument/2006/relationships/hyperlink" Target="https://health.ec.europa.eu/funding/eu4health-programme-2021-2027-vision-healthier-european-union_fr" TargetMode="External"/><Relationship Id="rId49" Type="http://schemas.openxmlformats.org/officeDocument/2006/relationships/hyperlink" Target="https://agriculture.ec.europa.eu/overview-vision-agriculture-food/generational-renewal_fr" TargetMode="External"/><Relationship Id="rId10" Type="http://schemas.openxmlformats.org/officeDocument/2006/relationships/hyperlink" Target="https://ec.europa.eu/eurostat/web/products-eurostat-news/w/ddn-20240222-1" TargetMode="External"/><Relationship Id="rId19" Type="http://schemas.openxmlformats.org/officeDocument/2006/relationships/hyperlink" Target="https://europa.eu/eurobarometer/surveys/detail/2652" TargetMode="External"/><Relationship Id="rId31" Type="http://schemas.openxmlformats.org/officeDocument/2006/relationships/hyperlink" Target="https://eu-for-children.europa.eu/eu-childrens-participation-platform_fr" TargetMode="External"/><Relationship Id="rId44" Type="http://schemas.openxmlformats.org/officeDocument/2006/relationships/hyperlink" Target="https://commission.europa.eu/topics/defence/safer-together-path-towards-fully-prepared-union_en" TargetMode="External"/><Relationship Id="rId52" Type="http://schemas.openxmlformats.org/officeDocument/2006/relationships/hyperlink" Target="https://research-and-innovation.ec.europa.eu/funding/funding-opportunities/funding-programmes-and-open-calls/horizon-europe/eu-missions-horizon-europe/climate-neutral-and-smart-cities_fr" TargetMode="External"/><Relationship Id="rId4" Type="http://schemas.openxmlformats.org/officeDocument/2006/relationships/hyperlink" Target="https://knowledge4policy.ec.europa.eu/foresight/tool/megatrends-hub_en" TargetMode="External"/><Relationship Id="rId9" Type="http://schemas.openxmlformats.org/officeDocument/2006/relationships/hyperlink" Target="https://ec.europa.eu/eurostat/statistics-explained/index.php?oldid=685132" TargetMode="External"/><Relationship Id="rId14" Type="http://schemas.openxmlformats.org/officeDocument/2006/relationships/hyperlink" Target="https://commission.europa.eu/strategy-and-policy/policies/justice-and-fundamental-rights/gender-equality/equal-pay/gender-pay-gap-situation-eu_fr" TargetMode="External"/><Relationship Id="rId22" Type="http://schemas.openxmlformats.org/officeDocument/2006/relationships/hyperlink" Target="https://commission.europa.eu/topics/countering-information-manipulation/strengthened-eu-code-practice-disinformation_fr" TargetMode="External"/><Relationship Id="rId27" Type="http://schemas.openxmlformats.org/officeDocument/2006/relationships/hyperlink" Target="https://sustainabledevelopment.gov.mt/guardian-of-future-generations/" TargetMode="External"/><Relationship Id="rId30" Type="http://schemas.openxmlformats.org/officeDocument/2006/relationships/hyperlink" Target="https://eur-lex.europa.eu/legal-content/FR/TXT/?uri=CELEX:52021DC0142" TargetMode="External"/><Relationship Id="rId35" Type="http://schemas.openxmlformats.org/officeDocument/2006/relationships/hyperlink" Target="https://research-and-innovation.ec.europa.eu/strategy/strategy-research-and-innovation/jobs-and-economy/eu-startup-and-scaleup-strategy_fr" TargetMode="External"/><Relationship Id="rId43" Type="http://schemas.openxmlformats.org/officeDocument/2006/relationships/hyperlink" Target="https://commission.europa.eu/topics/preparedness_fr" TargetMode="External"/><Relationship Id="rId48" Type="http://schemas.openxmlformats.org/officeDocument/2006/relationships/hyperlink" Target="https://eur-lex.europa.eu/eli/reg/2024/1689/oj/fra" TargetMode="External"/><Relationship Id="rId8" Type="http://schemas.openxmlformats.org/officeDocument/2006/relationships/hyperlink" Target="https://ec.europa.eu/eurostat/statistics-explained/index.php?oldid=685132" TargetMode="External"/><Relationship Id="rId51" Type="http://schemas.openxmlformats.org/officeDocument/2006/relationships/hyperlink" Target="https://ec.europa.eu/regional_policy/information-sources/publications/communications/2025/eu-agenda-for-cities-2025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8A7E6-CA8B-4CD1-ADCD-BC0CA646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8501</Words>
  <Characters>48462</Characters>
  <Application>Microsoft Office Word</Application>
  <DocSecurity>0</DocSecurity>
  <Lines>403</Lines>
  <Paragraphs>113</Paragraphs>
  <ScaleCrop>false</ScaleCrop>
  <Manager/>
  <Company/>
  <LinksUpToDate>false</LinksUpToDate>
  <CharactersWithSpaces>56850</CharactersWithSpaces>
  <SharedDoc>false</SharedDoc>
  <HLinks>
    <vt:vector size="438" baseType="variant">
      <vt:variant>
        <vt:i4>852039</vt:i4>
      </vt:variant>
      <vt:variant>
        <vt:i4>96</vt:i4>
      </vt:variant>
      <vt:variant>
        <vt:i4>0</vt:i4>
      </vt:variant>
      <vt:variant>
        <vt:i4>5</vt:i4>
      </vt:variant>
      <vt:variant>
        <vt:lpwstr>https://eur-lex.europa.eu/legal-content/EN/TXT/?uri=CELEX:32025H1021</vt:lpwstr>
      </vt:variant>
      <vt:variant>
        <vt:lpwstr/>
      </vt:variant>
      <vt:variant>
        <vt:i4>6946829</vt:i4>
      </vt:variant>
      <vt:variant>
        <vt:i4>93</vt:i4>
      </vt:variant>
      <vt:variant>
        <vt:i4>0</vt:i4>
      </vt:variant>
      <vt:variant>
        <vt:i4>5</vt:i4>
      </vt:variant>
      <vt:variant>
        <vt:lpwstr>https://rural-vision.europa.eu/index_en</vt:lpwstr>
      </vt:variant>
      <vt:variant>
        <vt:lpwstr/>
      </vt:variant>
      <vt:variant>
        <vt:i4>393312</vt:i4>
      </vt:variant>
      <vt:variant>
        <vt:i4>90</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3801134</vt:i4>
      </vt:variant>
      <vt:variant>
        <vt:i4>87</vt:i4>
      </vt:variant>
      <vt:variant>
        <vt:i4>0</vt:i4>
      </vt:variant>
      <vt:variant>
        <vt:i4>5</vt:i4>
      </vt:variant>
      <vt:variant>
        <vt:lpwstr>https://ec.europa.eu/regional_policy/information-sources/publications/communications/2025/eu-agenda-for-cities-2025_en</vt:lpwstr>
      </vt:variant>
      <vt:variant>
        <vt:lpwstr/>
      </vt:variant>
      <vt:variant>
        <vt:i4>7667797</vt:i4>
      </vt:variant>
      <vt:variant>
        <vt:i4>84</vt:i4>
      </vt:variant>
      <vt:variant>
        <vt:i4>0</vt:i4>
      </vt:variant>
      <vt:variant>
        <vt:i4>5</vt:i4>
      </vt:variant>
      <vt:variant>
        <vt:lpwstr>https://commission.europa.eu/publications/communication-demographic-change-europe-toolbox-action_en</vt:lpwstr>
      </vt:variant>
      <vt:variant>
        <vt:lpwstr/>
      </vt:variant>
      <vt:variant>
        <vt:i4>327714</vt:i4>
      </vt:variant>
      <vt:variant>
        <vt:i4>81</vt:i4>
      </vt:variant>
      <vt:variant>
        <vt:i4>0</vt:i4>
      </vt:variant>
      <vt:variant>
        <vt:i4>5</vt:i4>
      </vt:variant>
      <vt:variant>
        <vt:lpwstr>https://agriculture.ec.europa.eu/overview-vision-agriculture-food/generational-renewal_en</vt:lpwstr>
      </vt:variant>
      <vt:variant>
        <vt:lpwstr/>
      </vt:variant>
      <vt:variant>
        <vt:i4>7929958</vt:i4>
      </vt:variant>
      <vt:variant>
        <vt:i4>78</vt:i4>
      </vt:variant>
      <vt:variant>
        <vt:i4>0</vt:i4>
      </vt:variant>
      <vt:variant>
        <vt:i4>5</vt:i4>
      </vt:variant>
      <vt:variant>
        <vt:lpwstr>https://ec.europa.eu/commission/presscorner/detail/en/ip_25_2660</vt:lpwstr>
      </vt:variant>
      <vt:variant>
        <vt:lpwstr/>
      </vt:variant>
      <vt:variant>
        <vt:i4>458810</vt:i4>
      </vt:variant>
      <vt:variant>
        <vt:i4>75</vt:i4>
      </vt:variant>
      <vt:variant>
        <vt:i4>0</vt:i4>
      </vt:variant>
      <vt:variant>
        <vt:i4>5</vt:i4>
      </vt:variant>
      <vt:variant>
        <vt:lpwstr>https://youth.europa.eu/solidarity_en</vt:lpwstr>
      </vt:variant>
      <vt:variant>
        <vt:lpwstr/>
      </vt:variant>
      <vt:variant>
        <vt:i4>7667730</vt:i4>
      </vt:variant>
      <vt:variant>
        <vt:i4>72</vt:i4>
      </vt:variant>
      <vt:variant>
        <vt:i4>0</vt:i4>
      </vt:variant>
      <vt:variant>
        <vt:i4>5</vt:i4>
      </vt:variant>
      <vt:variant>
        <vt:lpwstr>https://commission.europa.eu/topics/competitiveness/union-skills_en</vt:lpwstr>
      </vt:variant>
      <vt:variant>
        <vt:lpwstr/>
      </vt:variant>
      <vt:variant>
        <vt:i4>4194359</vt:i4>
      </vt:variant>
      <vt:variant>
        <vt:i4>69</vt:i4>
      </vt:variant>
      <vt:variant>
        <vt:i4>0</vt:i4>
      </vt:variant>
      <vt:variant>
        <vt:i4>5</vt:i4>
      </vt:variant>
      <vt:variant>
        <vt:lpwstr>https://research-and-innovation.ec.europa.eu/strategy/strategy-research-and-innovation/jobs-and-economy/eu-startup-and-scaleup-strategy_en</vt:lpwstr>
      </vt:variant>
      <vt:variant>
        <vt:lpwstr/>
      </vt:variant>
      <vt:variant>
        <vt:i4>4980776</vt:i4>
      </vt:variant>
      <vt:variant>
        <vt:i4>66</vt:i4>
      </vt:variant>
      <vt:variant>
        <vt:i4>0</vt:i4>
      </vt:variant>
      <vt:variant>
        <vt:i4>5</vt:i4>
      </vt:variant>
      <vt:variant>
        <vt:lpwstr>https://commission.europa.eu/topics/competitiveness/competitiveness-compass_en</vt:lpwstr>
      </vt:variant>
      <vt:variant>
        <vt:lpwstr/>
      </vt:variant>
      <vt:variant>
        <vt:i4>7536735</vt:i4>
      </vt:variant>
      <vt:variant>
        <vt:i4>63</vt:i4>
      </vt:variant>
      <vt:variant>
        <vt:i4>0</vt:i4>
      </vt:variant>
      <vt:variant>
        <vt:i4>5</vt:i4>
      </vt:variant>
      <vt:variant>
        <vt:lpwstr>https://single-market-economy.ec.europa.eu/industry/strategy_en</vt:lpwstr>
      </vt:variant>
      <vt:variant>
        <vt:lpwstr/>
      </vt:variant>
      <vt:variant>
        <vt:i4>3735644</vt:i4>
      </vt:variant>
      <vt:variant>
        <vt:i4>60</vt:i4>
      </vt:variant>
      <vt:variant>
        <vt:i4>0</vt:i4>
      </vt:variant>
      <vt:variant>
        <vt:i4>5</vt:i4>
      </vt:variant>
      <vt:variant>
        <vt:lpwstr>https://eu-for-children.europa.eu/eu-childrens-participation-platform_en</vt:lpwstr>
      </vt:variant>
      <vt:variant>
        <vt:lpwstr/>
      </vt:variant>
      <vt:variant>
        <vt:i4>8257608</vt:i4>
      </vt:variant>
      <vt:variant>
        <vt:i4>57</vt:i4>
      </vt:variant>
      <vt:variant>
        <vt:i4>0</vt:i4>
      </vt:variant>
      <vt:variant>
        <vt:i4>5</vt:i4>
      </vt:variant>
      <vt:variant>
        <vt:lpwstr>https://employment-social-affairs.ec.europa.eu/policies-and-activities/social-protection-social-inclusion/addressing-poverty-and-supporting-social-inclusion/investing-children/european-child-guarantee_en</vt:lpwstr>
      </vt:variant>
      <vt:variant>
        <vt:lpwstr/>
      </vt:variant>
      <vt:variant>
        <vt:i4>2949158</vt:i4>
      </vt:variant>
      <vt:variant>
        <vt:i4>54</vt:i4>
      </vt:variant>
      <vt:variant>
        <vt:i4>0</vt:i4>
      </vt:variant>
      <vt:variant>
        <vt:i4>5</vt:i4>
      </vt:variant>
      <vt:variant>
        <vt:lpwstr>https:/Generations</vt:lpwstr>
      </vt:variant>
      <vt:variant>
        <vt:lpwstr/>
      </vt:variant>
      <vt:variant>
        <vt:i4>4325400</vt:i4>
      </vt:variant>
      <vt:variant>
        <vt:i4>51</vt:i4>
      </vt:variant>
      <vt:variant>
        <vt:i4>0</vt:i4>
      </vt:variant>
      <vt:variant>
        <vt:i4>5</vt:i4>
      </vt:variant>
      <vt:variant>
        <vt:lpwstr>https://futuros.gob.es/en/office</vt:lpwstr>
      </vt:variant>
      <vt:variant>
        <vt:lpwstr/>
      </vt:variant>
      <vt:variant>
        <vt:i4>2818167</vt:i4>
      </vt:variant>
      <vt:variant>
        <vt:i4>48</vt:i4>
      </vt:variant>
      <vt:variant>
        <vt:i4>0</vt:i4>
      </vt:variant>
      <vt:variant>
        <vt:i4>5</vt:i4>
      </vt:variant>
      <vt:variant>
        <vt:lpwstr>https://doi.org/10.1787/6f007516-en</vt:lpwstr>
      </vt:variant>
      <vt:variant>
        <vt:lpwstr/>
      </vt:variant>
      <vt:variant>
        <vt:i4>2162791</vt:i4>
      </vt:variant>
      <vt:variant>
        <vt:i4>45</vt:i4>
      </vt:variant>
      <vt:variant>
        <vt:i4>0</vt:i4>
      </vt:variant>
      <vt:variant>
        <vt:i4>5</vt:i4>
      </vt:variant>
      <vt:variant>
        <vt:lpwstr>https://europa.eu/eurobarometer/surveys/detail/2652</vt:lpwstr>
      </vt:variant>
      <vt:variant>
        <vt:lpwstr/>
      </vt:variant>
      <vt:variant>
        <vt:i4>6881357</vt:i4>
      </vt:variant>
      <vt:variant>
        <vt:i4>42</vt:i4>
      </vt:variant>
      <vt:variant>
        <vt:i4>0</vt:i4>
      </vt:variant>
      <vt:variant>
        <vt:i4>5</vt:i4>
      </vt:variant>
      <vt:variant>
        <vt:lpwstr>https://eur-lex.europa.eu/resource.html?uri=cellar:6c154426-c5a6-11ee-95d9-01aa75ed71a1.0001.02/DOC_2&amp;format=PDF</vt:lpwstr>
      </vt:variant>
      <vt:variant>
        <vt:lpwstr/>
      </vt:variant>
      <vt:variant>
        <vt:i4>4456523</vt:i4>
      </vt:variant>
      <vt:variant>
        <vt:i4>39</vt:i4>
      </vt:variant>
      <vt:variant>
        <vt:i4>0</vt:i4>
      </vt:variant>
      <vt:variant>
        <vt:i4>5</vt:i4>
      </vt:variant>
      <vt:variant>
        <vt:lpwstr>https://ec.europa.eu/eurostat/web/products-eurostat-news/w/ddn-20250527-1</vt:lpwstr>
      </vt:variant>
      <vt:variant>
        <vt:lpwstr/>
      </vt:variant>
      <vt:variant>
        <vt:i4>131135</vt:i4>
      </vt:variant>
      <vt:variant>
        <vt:i4>36</vt:i4>
      </vt:variant>
      <vt:variant>
        <vt:i4>0</vt:i4>
      </vt:variant>
      <vt:variant>
        <vt:i4>5</vt:i4>
      </vt:variant>
      <vt:variant>
        <vt:lpwstr>https://commission.europa.eu/strategy-and-policy/policies/justice-and-fundamental-rights/gender-equality/equal-pay/gender-pay-gap-situation-eu_en</vt:lpwstr>
      </vt:variant>
      <vt:variant>
        <vt:lpwstr/>
      </vt:variant>
      <vt:variant>
        <vt:i4>8192037</vt:i4>
      </vt:variant>
      <vt:variant>
        <vt:i4>33</vt:i4>
      </vt:variant>
      <vt:variant>
        <vt:i4>0</vt:i4>
      </vt:variant>
      <vt:variant>
        <vt:i4>5</vt:i4>
      </vt:variant>
      <vt:variant>
        <vt:lpwstr>https://doi.org/10.1787/dec143ad-en</vt:lpwstr>
      </vt:variant>
      <vt:variant>
        <vt:lpwstr/>
      </vt:variant>
      <vt:variant>
        <vt:i4>5832723</vt:i4>
      </vt:variant>
      <vt:variant>
        <vt:i4>30</vt:i4>
      </vt:variant>
      <vt:variant>
        <vt:i4>0</vt:i4>
      </vt:variant>
      <vt:variant>
        <vt:i4>5</vt:i4>
      </vt:variant>
      <vt:variant>
        <vt:lpwstr>https://ec.europa.eu/eurostat/statistics-explained/index.php?oldid=684726</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4456520</vt:i4>
      </vt:variant>
      <vt:variant>
        <vt:i4>24</vt:i4>
      </vt:variant>
      <vt:variant>
        <vt:i4>0</vt:i4>
      </vt:variant>
      <vt:variant>
        <vt:i4>5</vt:i4>
      </vt:variant>
      <vt:variant>
        <vt:lpwstr>https://ec.europa.eu/eurostat/web/products-eurostat-news/w/ddn-20240222-1</vt:lpwstr>
      </vt:variant>
      <vt:variant>
        <vt:lpwstr/>
      </vt:variant>
      <vt:variant>
        <vt:i4>5832725</vt:i4>
      </vt:variant>
      <vt:variant>
        <vt:i4>21</vt:i4>
      </vt:variant>
      <vt:variant>
        <vt:i4>0</vt:i4>
      </vt:variant>
      <vt:variant>
        <vt:i4>5</vt:i4>
      </vt:variant>
      <vt:variant>
        <vt:lpwstr>https://ec.europa.eu/eurostat/statistics-explained/index.php?oldid=685132</vt:lpwstr>
      </vt:variant>
      <vt:variant>
        <vt:lpwstr/>
      </vt:variant>
      <vt:variant>
        <vt:i4>5832725</vt:i4>
      </vt:variant>
      <vt:variant>
        <vt:i4>18</vt:i4>
      </vt:variant>
      <vt:variant>
        <vt:i4>0</vt:i4>
      </vt:variant>
      <vt:variant>
        <vt:i4>5</vt:i4>
      </vt:variant>
      <vt:variant>
        <vt:lpwstr>https://ec.europa.eu/eurostat/statistics-explained/index.php?oldid=685132</vt:lpwstr>
      </vt:variant>
      <vt:variant>
        <vt:lpwstr/>
      </vt:variant>
      <vt:variant>
        <vt:i4>7929927</vt:i4>
      </vt:variant>
      <vt:variant>
        <vt:i4>15</vt:i4>
      </vt:variant>
      <vt:variant>
        <vt:i4>0</vt:i4>
      </vt:variant>
      <vt:variant>
        <vt:i4>5</vt:i4>
      </vt:variant>
      <vt:variant>
        <vt:lpwstr>https://commission.europa.eu/strategy-and-policy/strategic-foresight/2025-strategic-foresight-report_en</vt:lpwstr>
      </vt:variant>
      <vt:variant>
        <vt:lpwstr/>
      </vt:variant>
      <vt:variant>
        <vt:i4>4063292</vt:i4>
      </vt:variant>
      <vt:variant>
        <vt:i4>12</vt:i4>
      </vt:variant>
      <vt:variant>
        <vt:i4>0</vt:i4>
      </vt:variant>
      <vt:variant>
        <vt:i4>5</vt:i4>
      </vt:variant>
      <vt:variant>
        <vt:lpwstr>https://www.espas.eu/files/2025/ESPAS Foresight paper - Inter-generational fairness.pdf</vt:lpwstr>
      </vt:variant>
      <vt:variant>
        <vt:lpwstr/>
      </vt:variant>
      <vt:variant>
        <vt:i4>655459</vt:i4>
      </vt:variant>
      <vt:variant>
        <vt:i4>9</vt:i4>
      </vt:variant>
      <vt:variant>
        <vt:i4>0</vt:i4>
      </vt:variant>
      <vt:variant>
        <vt:i4>5</vt:i4>
      </vt:variant>
      <vt:variant>
        <vt:lpwstr>https://knowledge4policy.ec.europa.eu/foresight/tool/megatrends-hub_en</vt:lpwstr>
      </vt:variant>
      <vt:variant>
        <vt:lpwstr/>
      </vt:variant>
      <vt:variant>
        <vt:i4>6160450</vt:i4>
      </vt:variant>
      <vt:variant>
        <vt:i4>6</vt:i4>
      </vt:variant>
      <vt:variant>
        <vt:i4>0</vt:i4>
      </vt:variant>
      <vt:variant>
        <vt:i4>5</vt:i4>
      </vt:variant>
      <vt:variant>
        <vt:lpwstr>https://www.un.org/en/summit-of-the-future/declaration-on-future-generations</vt:lpwstr>
      </vt:variant>
      <vt:variant>
        <vt:lpwstr/>
      </vt:variant>
      <vt:variant>
        <vt:i4>7667742</vt:i4>
      </vt:variant>
      <vt:variant>
        <vt:i4>3</vt:i4>
      </vt:variant>
      <vt:variant>
        <vt:i4>0</vt:i4>
      </vt:variant>
      <vt:variant>
        <vt:i4>5</vt:i4>
      </vt:variant>
      <vt:variant>
        <vt:lpwstr>https://citizens.ec.europa.eu/european-citizens-panels/citizens-panel-intergenerational-fairness_en</vt:lpwstr>
      </vt:variant>
      <vt:variant>
        <vt:lpwstr/>
      </vt:variant>
      <vt:variant>
        <vt:i4>3670133</vt:i4>
      </vt:variant>
      <vt:variant>
        <vt:i4>0</vt:i4>
      </vt:variant>
      <vt:variant>
        <vt:i4>0</vt:i4>
      </vt:variant>
      <vt:variant>
        <vt:i4>5</vt:i4>
      </vt:variant>
      <vt:variant>
        <vt:lpwstr>https://policy-lab.ec.europa.eu/intergenerational-fairness</vt:lpwstr>
      </vt:variant>
      <vt:variant>
        <vt:lpwstr/>
      </vt:variant>
      <vt:variant>
        <vt:i4>6094968</vt:i4>
      </vt:variant>
      <vt:variant>
        <vt:i4>117</vt:i4>
      </vt:variant>
      <vt:variant>
        <vt:i4>0</vt:i4>
      </vt:variant>
      <vt:variant>
        <vt:i4>5</vt:i4>
      </vt:variant>
      <vt:variant>
        <vt:lpwstr>mailto:Annukka.OJALA@ec.europa.eu</vt:lpwstr>
      </vt:variant>
      <vt:variant>
        <vt:lpwstr/>
      </vt:variant>
      <vt:variant>
        <vt:i4>1703985</vt:i4>
      </vt:variant>
      <vt:variant>
        <vt:i4>114</vt:i4>
      </vt:variant>
      <vt:variant>
        <vt:i4>0</vt:i4>
      </vt:variant>
      <vt:variant>
        <vt:i4>5</vt:i4>
      </vt:variant>
      <vt:variant>
        <vt:lpwstr>mailto:Triinu.VOLMER@ec.europa.eu</vt:lpwstr>
      </vt:variant>
      <vt:variant>
        <vt:lpwstr/>
      </vt:variant>
      <vt:variant>
        <vt:i4>8323152</vt:i4>
      </vt:variant>
      <vt:variant>
        <vt:i4>111</vt:i4>
      </vt:variant>
      <vt:variant>
        <vt:i4>0</vt:i4>
      </vt:variant>
      <vt:variant>
        <vt:i4>5</vt:i4>
      </vt:variant>
      <vt:variant>
        <vt:lpwstr>mailto:Max.UEBE@ec.europa.eu</vt:lpwstr>
      </vt:variant>
      <vt:variant>
        <vt:lpwstr/>
      </vt:variant>
      <vt:variant>
        <vt:i4>4063258</vt:i4>
      </vt:variant>
      <vt:variant>
        <vt:i4>108</vt:i4>
      </vt:variant>
      <vt:variant>
        <vt:i4>0</vt:i4>
      </vt:variant>
      <vt:variant>
        <vt:i4>5</vt:i4>
      </vt:variant>
      <vt:variant>
        <vt:lpwstr>mailto:Eva.SCHULTZ@ec.europa.eu</vt:lpwstr>
      </vt:variant>
      <vt:variant>
        <vt:lpwstr/>
      </vt:variant>
      <vt:variant>
        <vt:i4>1703985</vt:i4>
      </vt:variant>
      <vt:variant>
        <vt:i4>105</vt:i4>
      </vt:variant>
      <vt:variant>
        <vt:i4>0</vt:i4>
      </vt:variant>
      <vt:variant>
        <vt:i4>5</vt:i4>
      </vt:variant>
      <vt:variant>
        <vt:lpwstr>mailto:Triinu.VOLMER@ec.europa.eu</vt:lpwstr>
      </vt:variant>
      <vt:variant>
        <vt:lpwstr/>
      </vt:variant>
      <vt:variant>
        <vt:i4>1703985</vt:i4>
      </vt:variant>
      <vt:variant>
        <vt:i4>102</vt:i4>
      </vt:variant>
      <vt:variant>
        <vt:i4>0</vt:i4>
      </vt:variant>
      <vt:variant>
        <vt:i4>5</vt:i4>
      </vt:variant>
      <vt:variant>
        <vt:lpwstr>mailto:Triinu.VOLMER@ec.europa.eu</vt:lpwstr>
      </vt:variant>
      <vt:variant>
        <vt:lpwstr/>
      </vt:variant>
      <vt:variant>
        <vt:i4>7864347</vt:i4>
      </vt:variant>
      <vt:variant>
        <vt:i4>99</vt:i4>
      </vt:variant>
      <vt:variant>
        <vt:i4>0</vt:i4>
      </vt:variant>
      <vt:variant>
        <vt:i4>5</vt:i4>
      </vt:variant>
      <vt:variant>
        <vt:lpwstr>mailto:Ionut-Catalin.GHERAN@ec.europa.eu</vt:lpwstr>
      </vt:variant>
      <vt:variant>
        <vt:lpwstr/>
      </vt:variant>
      <vt:variant>
        <vt:i4>2687057</vt:i4>
      </vt:variant>
      <vt:variant>
        <vt:i4>96</vt:i4>
      </vt:variant>
      <vt:variant>
        <vt:i4>0</vt:i4>
      </vt:variant>
      <vt:variant>
        <vt:i4>5</vt:i4>
      </vt:variant>
      <vt:variant>
        <vt:lpwstr>mailto:Vanessa.DEBIAIS-SAINTON@ec.europa.eu</vt:lpwstr>
      </vt:variant>
      <vt:variant>
        <vt:lpwstr/>
      </vt:variant>
      <vt:variant>
        <vt:i4>7864347</vt:i4>
      </vt:variant>
      <vt:variant>
        <vt:i4>93</vt:i4>
      </vt:variant>
      <vt:variant>
        <vt:i4>0</vt:i4>
      </vt:variant>
      <vt:variant>
        <vt:i4>5</vt:i4>
      </vt:variant>
      <vt:variant>
        <vt:lpwstr>mailto:Ionut-Catalin.GHERAN@ec.europa.eu</vt:lpwstr>
      </vt:variant>
      <vt:variant>
        <vt:lpwstr/>
      </vt:variant>
      <vt:variant>
        <vt:i4>4063258</vt:i4>
      </vt:variant>
      <vt:variant>
        <vt:i4>90</vt:i4>
      </vt:variant>
      <vt:variant>
        <vt:i4>0</vt:i4>
      </vt:variant>
      <vt:variant>
        <vt:i4>5</vt:i4>
      </vt:variant>
      <vt:variant>
        <vt:lpwstr>mailto:Eva.SCHULTZ@ec.europa.eu</vt:lpwstr>
      </vt:variant>
      <vt:variant>
        <vt:lpwstr/>
      </vt:variant>
      <vt:variant>
        <vt:i4>1703985</vt:i4>
      </vt:variant>
      <vt:variant>
        <vt:i4>87</vt:i4>
      </vt:variant>
      <vt:variant>
        <vt:i4>0</vt:i4>
      </vt:variant>
      <vt:variant>
        <vt:i4>5</vt:i4>
      </vt:variant>
      <vt:variant>
        <vt:lpwstr>mailto:Triinu.VOLMER@ec.europa.eu</vt:lpwstr>
      </vt:variant>
      <vt:variant>
        <vt:lpwstr/>
      </vt:variant>
      <vt:variant>
        <vt:i4>7864347</vt:i4>
      </vt:variant>
      <vt:variant>
        <vt:i4>84</vt:i4>
      </vt:variant>
      <vt:variant>
        <vt:i4>0</vt:i4>
      </vt:variant>
      <vt:variant>
        <vt:i4>5</vt:i4>
      </vt:variant>
      <vt:variant>
        <vt:lpwstr>mailto:Ionut-Catalin.GHERAN@ec.europa.eu</vt:lpwstr>
      </vt:variant>
      <vt:variant>
        <vt:lpwstr/>
      </vt:variant>
      <vt:variant>
        <vt:i4>3604495</vt:i4>
      </vt:variant>
      <vt:variant>
        <vt:i4>81</vt:i4>
      </vt:variant>
      <vt:variant>
        <vt:i4>0</vt:i4>
      </vt:variant>
      <vt:variant>
        <vt:i4>5</vt:i4>
      </vt:variant>
      <vt:variant>
        <vt:lpwstr>mailto:Francesco.CORTI@ec.europa.eu</vt:lpwstr>
      </vt:variant>
      <vt:variant>
        <vt:lpwstr/>
      </vt:variant>
      <vt:variant>
        <vt:i4>7864347</vt:i4>
      </vt:variant>
      <vt:variant>
        <vt:i4>78</vt:i4>
      </vt:variant>
      <vt:variant>
        <vt:i4>0</vt:i4>
      </vt:variant>
      <vt:variant>
        <vt:i4>5</vt:i4>
      </vt:variant>
      <vt:variant>
        <vt:lpwstr>mailto:Ionut-Catalin.GHERAN@ec.europa.eu</vt:lpwstr>
      </vt:variant>
      <vt:variant>
        <vt:lpwstr/>
      </vt:variant>
      <vt:variant>
        <vt:i4>6029418</vt:i4>
      </vt:variant>
      <vt:variant>
        <vt:i4>75</vt:i4>
      </vt:variant>
      <vt:variant>
        <vt:i4>0</vt:i4>
      </vt:variant>
      <vt:variant>
        <vt:i4>5</vt:i4>
      </vt:variant>
      <vt:variant>
        <vt:lpwstr>mailto:Paul.MOLEY@ec.europa.eu</vt:lpwstr>
      </vt:variant>
      <vt:variant>
        <vt:lpwstr/>
      </vt:variant>
      <vt:variant>
        <vt:i4>6029418</vt:i4>
      </vt:variant>
      <vt:variant>
        <vt:i4>72</vt:i4>
      </vt:variant>
      <vt:variant>
        <vt:i4>0</vt:i4>
      </vt:variant>
      <vt:variant>
        <vt:i4>5</vt:i4>
      </vt:variant>
      <vt:variant>
        <vt:lpwstr>mailto:Paul.MOLEY@ec.europa.eu</vt:lpwstr>
      </vt:variant>
      <vt:variant>
        <vt:lpwstr/>
      </vt:variant>
      <vt:variant>
        <vt:i4>4063258</vt:i4>
      </vt:variant>
      <vt:variant>
        <vt:i4>69</vt:i4>
      </vt:variant>
      <vt:variant>
        <vt:i4>0</vt:i4>
      </vt:variant>
      <vt:variant>
        <vt:i4>5</vt:i4>
      </vt:variant>
      <vt:variant>
        <vt:lpwstr>mailto:Eva.SCHULTZ@ec.europa.eu</vt:lpwstr>
      </vt:variant>
      <vt:variant>
        <vt:lpwstr/>
      </vt:variant>
      <vt:variant>
        <vt:i4>2687057</vt:i4>
      </vt:variant>
      <vt:variant>
        <vt:i4>66</vt:i4>
      </vt:variant>
      <vt:variant>
        <vt:i4>0</vt:i4>
      </vt:variant>
      <vt:variant>
        <vt:i4>5</vt:i4>
      </vt:variant>
      <vt:variant>
        <vt:lpwstr>mailto:Vanessa.DEBIAIS-SAINTON@ec.europa.eu</vt:lpwstr>
      </vt:variant>
      <vt:variant>
        <vt:lpwstr/>
      </vt:variant>
      <vt:variant>
        <vt:i4>4063258</vt:i4>
      </vt:variant>
      <vt:variant>
        <vt:i4>63</vt:i4>
      </vt:variant>
      <vt:variant>
        <vt:i4>0</vt:i4>
      </vt:variant>
      <vt:variant>
        <vt:i4>5</vt:i4>
      </vt:variant>
      <vt:variant>
        <vt:lpwstr>mailto:Eva.SCHULTZ@ec.europa.eu</vt:lpwstr>
      </vt:variant>
      <vt:variant>
        <vt:lpwstr/>
      </vt:variant>
      <vt:variant>
        <vt:i4>3604495</vt:i4>
      </vt:variant>
      <vt:variant>
        <vt:i4>60</vt:i4>
      </vt:variant>
      <vt:variant>
        <vt:i4>0</vt:i4>
      </vt:variant>
      <vt:variant>
        <vt:i4>5</vt:i4>
      </vt:variant>
      <vt:variant>
        <vt:lpwstr>mailto:Francesco.CORTI@ec.europa.eu</vt:lpwstr>
      </vt:variant>
      <vt:variant>
        <vt:lpwstr/>
      </vt:variant>
      <vt:variant>
        <vt:i4>4063258</vt:i4>
      </vt:variant>
      <vt:variant>
        <vt:i4>57</vt:i4>
      </vt:variant>
      <vt:variant>
        <vt:i4>0</vt:i4>
      </vt:variant>
      <vt:variant>
        <vt:i4>5</vt:i4>
      </vt:variant>
      <vt:variant>
        <vt:lpwstr>mailto:Eva.SCHULTZ@ec.europa.eu</vt:lpwstr>
      </vt:variant>
      <vt:variant>
        <vt:lpwstr/>
      </vt:variant>
      <vt:variant>
        <vt:i4>6094968</vt:i4>
      </vt:variant>
      <vt:variant>
        <vt:i4>54</vt:i4>
      </vt:variant>
      <vt:variant>
        <vt:i4>0</vt:i4>
      </vt:variant>
      <vt:variant>
        <vt:i4>5</vt:i4>
      </vt:variant>
      <vt:variant>
        <vt:lpwstr>mailto:Annukka.OJALA@ec.europa.eu</vt:lpwstr>
      </vt:variant>
      <vt:variant>
        <vt:lpwstr/>
      </vt:variant>
      <vt:variant>
        <vt:i4>2490437</vt:i4>
      </vt:variant>
      <vt:variant>
        <vt:i4>51</vt:i4>
      </vt:variant>
      <vt:variant>
        <vt:i4>0</vt:i4>
      </vt:variant>
      <vt:variant>
        <vt:i4>5</vt:i4>
      </vt:variant>
      <vt:variant>
        <vt:lpwstr>mailto:Sonia.VILA-NUNEZ@ec.europa.eu</vt:lpwstr>
      </vt:variant>
      <vt:variant>
        <vt:lpwstr/>
      </vt:variant>
      <vt:variant>
        <vt:i4>1703985</vt:i4>
      </vt:variant>
      <vt:variant>
        <vt:i4>48</vt:i4>
      </vt:variant>
      <vt:variant>
        <vt:i4>0</vt:i4>
      </vt:variant>
      <vt:variant>
        <vt:i4>5</vt:i4>
      </vt:variant>
      <vt:variant>
        <vt:lpwstr>mailto:Triinu.VOLMER@ec.europa.eu</vt:lpwstr>
      </vt:variant>
      <vt:variant>
        <vt:lpwstr/>
      </vt:variant>
      <vt:variant>
        <vt:i4>6029418</vt:i4>
      </vt:variant>
      <vt:variant>
        <vt:i4>45</vt:i4>
      </vt:variant>
      <vt:variant>
        <vt:i4>0</vt:i4>
      </vt:variant>
      <vt:variant>
        <vt:i4>5</vt:i4>
      </vt:variant>
      <vt:variant>
        <vt:lpwstr>mailto:Paul.MOLEY@ec.europa.eu</vt:lpwstr>
      </vt:variant>
      <vt:variant>
        <vt:lpwstr/>
      </vt:variant>
      <vt:variant>
        <vt:i4>4063258</vt:i4>
      </vt:variant>
      <vt:variant>
        <vt:i4>42</vt:i4>
      </vt:variant>
      <vt:variant>
        <vt:i4>0</vt:i4>
      </vt:variant>
      <vt:variant>
        <vt:i4>5</vt:i4>
      </vt:variant>
      <vt:variant>
        <vt:lpwstr>mailto:Eva.SCHULTZ@ec.europa.eu</vt:lpwstr>
      </vt:variant>
      <vt:variant>
        <vt:lpwstr/>
      </vt:variant>
      <vt:variant>
        <vt:i4>4063258</vt:i4>
      </vt:variant>
      <vt:variant>
        <vt:i4>39</vt:i4>
      </vt:variant>
      <vt:variant>
        <vt:i4>0</vt:i4>
      </vt:variant>
      <vt:variant>
        <vt:i4>5</vt:i4>
      </vt:variant>
      <vt:variant>
        <vt:lpwstr>mailto:Eva.SCHULTZ@ec.europa.eu</vt:lpwstr>
      </vt:variant>
      <vt:variant>
        <vt:lpwstr/>
      </vt:variant>
      <vt:variant>
        <vt:i4>4063258</vt:i4>
      </vt:variant>
      <vt:variant>
        <vt:i4>36</vt:i4>
      </vt:variant>
      <vt:variant>
        <vt:i4>0</vt:i4>
      </vt:variant>
      <vt:variant>
        <vt:i4>5</vt:i4>
      </vt:variant>
      <vt:variant>
        <vt:lpwstr>mailto:Eva.SCHULTZ@ec.europa.eu</vt:lpwstr>
      </vt:variant>
      <vt:variant>
        <vt:lpwstr/>
      </vt:variant>
      <vt:variant>
        <vt:i4>4063258</vt:i4>
      </vt:variant>
      <vt:variant>
        <vt:i4>33</vt:i4>
      </vt:variant>
      <vt:variant>
        <vt:i4>0</vt:i4>
      </vt:variant>
      <vt:variant>
        <vt:i4>5</vt:i4>
      </vt:variant>
      <vt:variant>
        <vt:lpwstr>mailto:Eva.SCHULTZ@ec.europa.eu</vt:lpwstr>
      </vt:variant>
      <vt:variant>
        <vt:lpwstr/>
      </vt:variant>
      <vt:variant>
        <vt:i4>6094968</vt:i4>
      </vt:variant>
      <vt:variant>
        <vt:i4>30</vt:i4>
      </vt:variant>
      <vt:variant>
        <vt:i4>0</vt:i4>
      </vt:variant>
      <vt:variant>
        <vt:i4>5</vt:i4>
      </vt:variant>
      <vt:variant>
        <vt:lpwstr>mailto:Annukka.OJALA@ec.europa.eu</vt:lpwstr>
      </vt:variant>
      <vt:variant>
        <vt:lpwstr/>
      </vt:variant>
      <vt:variant>
        <vt:i4>1703985</vt:i4>
      </vt:variant>
      <vt:variant>
        <vt:i4>27</vt:i4>
      </vt:variant>
      <vt:variant>
        <vt:i4>0</vt:i4>
      </vt:variant>
      <vt:variant>
        <vt:i4>5</vt:i4>
      </vt:variant>
      <vt:variant>
        <vt:lpwstr>mailto:Triinu.VOLMER@ec.europa.eu</vt:lpwstr>
      </vt:variant>
      <vt:variant>
        <vt:lpwstr/>
      </vt:variant>
      <vt:variant>
        <vt:i4>6094968</vt:i4>
      </vt:variant>
      <vt:variant>
        <vt:i4>24</vt:i4>
      </vt:variant>
      <vt:variant>
        <vt:i4>0</vt:i4>
      </vt:variant>
      <vt:variant>
        <vt:i4>5</vt:i4>
      </vt:variant>
      <vt:variant>
        <vt:lpwstr>mailto:Annukka.OJALA@ec.europa.eu</vt:lpwstr>
      </vt:variant>
      <vt:variant>
        <vt:lpwstr/>
      </vt:variant>
      <vt:variant>
        <vt:i4>8323152</vt:i4>
      </vt:variant>
      <vt:variant>
        <vt:i4>21</vt:i4>
      </vt:variant>
      <vt:variant>
        <vt:i4>0</vt:i4>
      </vt:variant>
      <vt:variant>
        <vt:i4>5</vt:i4>
      </vt:variant>
      <vt:variant>
        <vt:lpwstr>mailto:Max.UEBE@ec.europa.eu</vt:lpwstr>
      </vt:variant>
      <vt:variant>
        <vt:lpwstr/>
      </vt:variant>
      <vt:variant>
        <vt:i4>2687057</vt:i4>
      </vt:variant>
      <vt:variant>
        <vt:i4>18</vt:i4>
      </vt:variant>
      <vt:variant>
        <vt:i4>0</vt:i4>
      </vt:variant>
      <vt:variant>
        <vt:i4>5</vt:i4>
      </vt:variant>
      <vt:variant>
        <vt:lpwstr>mailto:Vanessa.DEBIAIS-SAINTON@ec.europa.eu</vt:lpwstr>
      </vt:variant>
      <vt:variant>
        <vt:lpwstr/>
      </vt:variant>
      <vt:variant>
        <vt:i4>6029418</vt:i4>
      </vt:variant>
      <vt:variant>
        <vt:i4>15</vt:i4>
      </vt:variant>
      <vt:variant>
        <vt:i4>0</vt:i4>
      </vt:variant>
      <vt:variant>
        <vt:i4>5</vt:i4>
      </vt:variant>
      <vt:variant>
        <vt:lpwstr>mailto:Paul.MOLEY@ec.europa.eu</vt:lpwstr>
      </vt:variant>
      <vt:variant>
        <vt:lpwstr/>
      </vt:variant>
      <vt:variant>
        <vt:i4>8323152</vt:i4>
      </vt:variant>
      <vt:variant>
        <vt:i4>12</vt:i4>
      </vt:variant>
      <vt:variant>
        <vt:i4>0</vt:i4>
      </vt:variant>
      <vt:variant>
        <vt:i4>5</vt:i4>
      </vt:variant>
      <vt:variant>
        <vt:lpwstr>mailto:Max.UEBE@ec.europa.eu</vt:lpwstr>
      </vt:variant>
      <vt:variant>
        <vt:lpwstr/>
      </vt:variant>
      <vt:variant>
        <vt:i4>4063258</vt:i4>
      </vt:variant>
      <vt:variant>
        <vt:i4>9</vt:i4>
      </vt:variant>
      <vt:variant>
        <vt:i4>0</vt:i4>
      </vt:variant>
      <vt:variant>
        <vt:i4>5</vt:i4>
      </vt:variant>
      <vt:variant>
        <vt:lpwstr>mailto:Eva.SCHULTZ@ec.europa.eu</vt:lpwstr>
      </vt:variant>
      <vt:variant>
        <vt:lpwstr/>
      </vt:variant>
      <vt:variant>
        <vt:i4>4063258</vt:i4>
      </vt:variant>
      <vt:variant>
        <vt:i4>6</vt:i4>
      </vt:variant>
      <vt:variant>
        <vt:i4>0</vt:i4>
      </vt:variant>
      <vt:variant>
        <vt:i4>5</vt:i4>
      </vt:variant>
      <vt:variant>
        <vt:lpwstr>mailto:Eva.SCHULTZ@ec.europa.eu</vt:lpwstr>
      </vt:variant>
      <vt:variant>
        <vt:lpwstr/>
      </vt:variant>
      <vt:variant>
        <vt:i4>6029418</vt:i4>
      </vt:variant>
      <vt:variant>
        <vt:i4>3</vt:i4>
      </vt:variant>
      <vt:variant>
        <vt:i4>0</vt:i4>
      </vt:variant>
      <vt:variant>
        <vt:i4>5</vt:i4>
      </vt:variant>
      <vt:variant>
        <vt:lpwstr>mailto:Paul.MOLEY@ec.europa.eu</vt:lpwstr>
      </vt:variant>
      <vt:variant>
        <vt:lpwstr/>
      </vt:variant>
      <vt:variant>
        <vt:i4>6094968</vt:i4>
      </vt:variant>
      <vt:variant>
        <vt:i4>0</vt:i4>
      </vt:variant>
      <vt:variant>
        <vt:i4>0</vt:i4>
      </vt:variant>
      <vt:variant>
        <vt:i4>5</vt:i4>
      </vt:variant>
      <vt:variant>
        <vt:lpwstr>mailto:Annukka.OJALA@ec.europa.eu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2026-03-03T13:41:00Z</dcterms:created>
  <dcterms:modified xsi:type="dcterms:W3CDTF">2026-03-10T07:18:00Z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2026-03-02T08:48:29Z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31cd12e0-f7df-4c0a-8173-91bab1bf8500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