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CB752" w14:textId="555DC69F" w:rsidR="00BD5C3A" w:rsidRPr="00CE0265" w:rsidRDefault="00035FB3" w:rsidP="00035FB3">
      <w:pPr>
        <w:pStyle w:val="Pagedecouverture"/>
        <w:rPr>
          <w:noProof/>
        </w:rPr>
      </w:pPr>
      <w:bookmarkStart w:id="0" w:name="LW_BM_COVERPAGE"/>
      <w:r>
        <w:rPr>
          <w:noProof/>
        </w:rPr>
        <w:pict w14:anchorId="74ED4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6E7F71-FA0D-48D9-B84B-CA1AF66EC985" style="width:455.25pt;height:313.5pt">
            <v:imagedata r:id="rId8" o:title=""/>
          </v:shape>
        </w:pict>
      </w:r>
    </w:p>
    <w:bookmarkEnd w:id="0"/>
    <w:p w14:paraId="08F08271" w14:textId="77777777" w:rsidR="00FD557B" w:rsidRPr="00CE0265" w:rsidRDefault="00FD557B" w:rsidP="00FD557B">
      <w:pPr>
        <w:rPr>
          <w:noProof/>
        </w:rPr>
        <w:sectPr w:rsidR="00FD557B" w:rsidRPr="00CE0265" w:rsidSect="00035FB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E8D7B26" w14:textId="7A7E047D" w:rsidR="00E1100C" w:rsidRPr="00CE0265" w:rsidRDefault="00E1100C" w:rsidP="00C10F3B">
      <w:pPr>
        <w:pStyle w:val="Heading2"/>
        <w:numPr>
          <w:ilvl w:val="0"/>
          <w:numId w:val="2"/>
        </w:numPr>
        <w:rPr>
          <w:rFonts w:ascii="Times New Roman" w:hAnsi="Times New Roman" w:cs="Times New Roman"/>
          <w:b/>
          <w:noProof/>
          <w:color w:val="auto"/>
          <w:sz w:val="24"/>
          <w:szCs w:val="24"/>
        </w:rPr>
      </w:pPr>
      <w:bookmarkStart w:id="1" w:name="_GoBack"/>
      <w:bookmarkEnd w:id="1"/>
      <w:r w:rsidRPr="00CE0265">
        <w:rPr>
          <w:rFonts w:ascii="Times New Roman" w:hAnsi="Times New Roman"/>
          <w:b/>
          <w:noProof/>
          <w:color w:val="auto"/>
          <w:sz w:val="24"/>
        </w:rPr>
        <w:lastRenderedPageBreak/>
        <w:t>INTRODUCTION</w:t>
      </w:r>
    </w:p>
    <w:p w14:paraId="11D17F03" w14:textId="32C589B8" w:rsidR="00BC05B9" w:rsidRPr="00CE0265" w:rsidRDefault="00E1100C" w:rsidP="00BA46D7">
      <w:pPr>
        <w:jc w:val="both"/>
        <w:rPr>
          <w:rFonts w:ascii="Times New Roman" w:hAnsi="Times New Roman" w:cs="Times New Roman"/>
          <w:noProof/>
          <w:sz w:val="24"/>
          <w:szCs w:val="24"/>
        </w:rPr>
      </w:pPr>
      <w:r w:rsidRPr="00CE0265">
        <w:rPr>
          <w:rFonts w:ascii="Times New Roman" w:hAnsi="Times New Roman"/>
          <w:noProof/>
          <w:sz w:val="24"/>
        </w:rPr>
        <w:t xml:space="preserve">Depuis des millénaires, les personnes, les marchandises et les idées se croisent dans les ports et transitent par ceux-ci. Le volume considérable des activités autour des ports a conduit à l’émergence des villes portuaires que nous connaissons aujourd’hui, et l’élargissement du champ d’action des ports a favorisé le commerce régional et mondial. Aujourd’hui, </w:t>
      </w:r>
      <w:r w:rsidRPr="00CE0265">
        <w:rPr>
          <w:rFonts w:ascii="Times New Roman" w:hAnsi="Times New Roman"/>
          <w:b/>
          <w:noProof/>
          <w:sz w:val="24"/>
        </w:rPr>
        <w:t>la puissance industrielle et la capacité d’exportation de l’UE dépendent de son aptitude à être étroitement reliée aux flux commerciaux mondiaux</w:t>
      </w:r>
      <w:r w:rsidRPr="00CE0265">
        <w:rPr>
          <w:rFonts w:ascii="Times New Roman" w:hAnsi="Times New Roman"/>
          <w:noProof/>
          <w:sz w:val="24"/>
        </w:rPr>
        <w:t xml:space="preserve">. Les ports sont des interfaces essentielles entre l’économie européenne et les marchés internationaux. Les ports sont également </w:t>
      </w:r>
      <w:r w:rsidRPr="00CE0265">
        <w:rPr>
          <w:rFonts w:ascii="Times New Roman" w:hAnsi="Times New Roman"/>
          <w:b/>
          <w:noProof/>
          <w:sz w:val="24"/>
        </w:rPr>
        <w:t>des liens vitaux pour les îles et les régions côtières et ultrapériphériques, qu’il convient de préserver</w:t>
      </w:r>
      <w:r w:rsidRPr="00CE0265">
        <w:rPr>
          <w:rFonts w:ascii="Times New Roman" w:hAnsi="Times New Roman"/>
          <w:noProof/>
          <w:sz w:val="24"/>
        </w:rPr>
        <w:t>.</w:t>
      </w:r>
      <w:r w:rsidRPr="00CE0265">
        <w:rPr>
          <w:rFonts w:ascii="Times New Roman" w:hAnsi="Times New Roman"/>
          <w:b/>
          <w:noProof/>
          <w:sz w:val="24"/>
        </w:rPr>
        <w:t xml:space="preserve"> </w:t>
      </w:r>
    </w:p>
    <w:p w14:paraId="02BA8B28" w14:textId="57A32528" w:rsidR="00BE2EF6" w:rsidRPr="00CE0265" w:rsidRDefault="003236B3" w:rsidP="00BE2EF6">
      <w:pPr>
        <w:jc w:val="both"/>
        <w:rPr>
          <w:rFonts w:ascii="Times New Roman" w:hAnsi="Times New Roman" w:cs="Times New Roman"/>
          <w:noProof/>
          <w:sz w:val="24"/>
          <w:szCs w:val="24"/>
        </w:rPr>
      </w:pPr>
      <w:r w:rsidRPr="00CE0265">
        <w:rPr>
          <w:rFonts w:ascii="Times New Roman" w:hAnsi="Times New Roman"/>
          <w:noProof/>
          <w:sz w:val="24"/>
        </w:rPr>
        <w:t xml:space="preserve">La géopolitique a une incidence directe sur nos chaînes d’approvisionnement, et nos ports sont essentiels pour </w:t>
      </w:r>
      <w:r w:rsidRPr="00CE0265">
        <w:rPr>
          <w:rFonts w:ascii="Times New Roman" w:hAnsi="Times New Roman"/>
          <w:b/>
          <w:noProof/>
          <w:sz w:val="24"/>
        </w:rPr>
        <w:t>la sécurité et l’autonomie stratégique de l’Europe</w:t>
      </w:r>
      <w:r w:rsidRPr="00CE0265">
        <w:rPr>
          <w:rFonts w:ascii="Times New Roman" w:hAnsi="Times New Roman"/>
          <w:noProof/>
          <w:sz w:val="24"/>
        </w:rPr>
        <w:t>.</w:t>
      </w:r>
      <w:r w:rsidRPr="00CE0265">
        <w:rPr>
          <w:rFonts w:ascii="Times New Roman" w:hAnsi="Times New Roman"/>
          <w:b/>
          <w:noProof/>
          <w:sz w:val="24"/>
        </w:rPr>
        <w:t xml:space="preserve"> </w:t>
      </w:r>
      <w:r w:rsidRPr="00CE0265">
        <w:rPr>
          <w:rFonts w:ascii="Times New Roman" w:hAnsi="Times New Roman"/>
          <w:noProof/>
          <w:sz w:val="24"/>
        </w:rPr>
        <w:t xml:space="preserve">Les ports doivent accroître leurs capacités, décarboner et numériser leurs activités, et renforcer la sécurité, tout cela simultanément et à grande échelle. </w:t>
      </w:r>
      <w:r w:rsidRPr="00CE0265">
        <w:rPr>
          <w:rFonts w:ascii="Times New Roman" w:hAnsi="Times New Roman"/>
          <w:b/>
          <w:noProof/>
          <w:sz w:val="24"/>
        </w:rPr>
        <w:t>Ils ont le potentiel nécessaire pour accueillir les nouvelles industries, les énergies propres et les pôles d’innovation, et assument aujourd’hui déjà un rôle crucial pour l’approvisionnement énergétique, la défense et l’économie bleue de l’UE.</w:t>
      </w:r>
      <w:r w:rsidRPr="00CE0265">
        <w:rPr>
          <w:rFonts w:ascii="Times New Roman" w:hAnsi="Times New Roman"/>
          <w:noProof/>
          <w:sz w:val="24"/>
        </w:rPr>
        <w:t xml:space="preserve"> </w:t>
      </w:r>
    </w:p>
    <w:p w14:paraId="6307900C" w14:textId="3C3ECCEC" w:rsidR="00E1100C" w:rsidRPr="00CE0265" w:rsidRDefault="00941366" w:rsidP="00E1100C">
      <w:pPr>
        <w:jc w:val="both"/>
        <w:rPr>
          <w:rFonts w:ascii="Times New Roman" w:hAnsi="Times New Roman" w:cs="Times New Roman"/>
          <w:noProof/>
          <w:sz w:val="24"/>
          <w:szCs w:val="24"/>
        </w:rPr>
      </w:pPr>
      <w:r w:rsidRPr="00CE0265">
        <w:rPr>
          <w:rFonts w:ascii="Times New Roman" w:hAnsi="Times New Roman"/>
          <w:noProof/>
          <w:sz w:val="24"/>
        </w:rPr>
        <w:t>Cette transformation ouvre des perspectives pour les ports et l’économie de l’UE. Toutefois, en parallèle, les ports sont confrontés à de nouvelles vulnérabilités et à de nouvelles responsabilités, qu’il s’agisse de lutter contre les réseaux criminels organisés, les cybermenaces et les menaces posées par les drones ou de répondre aux préoccupations liées à la propriété étrangère et à l’intensification de la concurrence exercée par les pays tiers. À l’heure où les puissances mondiales luttent pour étendre ou protéger leurs sphères d’influence, les ports risquent de se transformer en un champ de bataille. Nous devons renforcer les ports en tant que pôles commerciaux compétitifs et les soutenir en tant qu’infrastructures critiques pour la sécurité économique de l’UE et en tant que prestataires de services publics pour la résilience de notre société.</w:t>
      </w:r>
    </w:p>
    <w:p w14:paraId="342E1811" w14:textId="24032244" w:rsidR="00E1100C" w:rsidRPr="00CE0265" w:rsidRDefault="00E1100C" w:rsidP="00E1100C">
      <w:pPr>
        <w:jc w:val="both"/>
        <w:rPr>
          <w:rFonts w:ascii="Times New Roman" w:hAnsi="Times New Roman" w:cs="Times New Roman"/>
          <w:noProof/>
          <w:sz w:val="24"/>
          <w:szCs w:val="24"/>
        </w:rPr>
      </w:pPr>
      <w:r w:rsidRPr="00CE0265">
        <w:rPr>
          <w:rFonts w:ascii="Times New Roman" w:hAnsi="Times New Roman"/>
          <w:noProof/>
          <w:sz w:val="24"/>
        </w:rPr>
        <w:t xml:space="preserve">Les </w:t>
      </w:r>
      <w:r w:rsidRPr="00CE0265">
        <w:rPr>
          <w:rFonts w:ascii="Times New Roman" w:hAnsi="Times New Roman"/>
          <w:b/>
          <w:noProof/>
          <w:sz w:val="24"/>
        </w:rPr>
        <w:t>ports de l’UE</w:t>
      </w:r>
      <w:r w:rsidRPr="00CE0265">
        <w:rPr>
          <w:rFonts w:ascii="Times New Roman" w:hAnsi="Times New Roman"/>
          <w:noProof/>
          <w:sz w:val="24"/>
        </w:rPr>
        <w:t xml:space="preserve"> traitent plus de 3,4 milliards de tonnes de marchandises, soit 74 % des marchandises qui entrent en Europe ou en sortent, et accueillent environ 395 millions de passagers chaque année</w:t>
      </w:r>
      <w:r w:rsidRPr="00CE0265">
        <w:rPr>
          <w:rStyle w:val="FootnoteReference"/>
          <w:rFonts w:ascii="Times New Roman" w:hAnsi="Times New Roman" w:cs="Times New Roman"/>
          <w:noProof/>
          <w:sz w:val="24"/>
          <w:szCs w:val="24"/>
        </w:rPr>
        <w:footnoteReference w:id="1"/>
      </w:r>
      <w:r w:rsidRPr="00CE0265">
        <w:rPr>
          <w:rFonts w:ascii="Times New Roman" w:hAnsi="Times New Roman"/>
          <w:noProof/>
          <w:sz w:val="24"/>
        </w:rPr>
        <w:t>. Avec près de 3 millions d’escales par an, l’UE représente 23 % des escales portuaires effectuées dans le monde. Leur empreinte économique représentait en 2022 un chiffre d’affaires d’environ 90 milliards d’euros et environ 423 000 emplois directs</w:t>
      </w:r>
      <w:r w:rsidRPr="00CE0265">
        <w:rPr>
          <w:rStyle w:val="FootnoteReference"/>
          <w:rFonts w:ascii="Times New Roman" w:hAnsi="Times New Roman" w:cs="Times New Roman"/>
          <w:noProof/>
          <w:sz w:val="24"/>
          <w:szCs w:val="24"/>
        </w:rPr>
        <w:footnoteReference w:id="2"/>
      </w:r>
      <w:r w:rsidRPr="00CE0265">
        <w:rPr>
          <w:rFonts w:ascii="Times New Roman" w:hAnsi="Times New Roman"/>
          <w:noProof/>
          <w:sz w:val="24"/>
        </w:rPr>
        <w:t xml:space="preserve">. Le réseau transeuropéen de transport repose sur 283 ports maritimes, 223 ports intérieurs et 44 ports mixtes. Les ports de petite et moyenne taille fournissent des services importants dans les régions ultrapériphériques, les zones reculées, les îles et les marchés hautement spécialisés. Les acteurs portuaires comprennent les autorités portuaires, les exploitants de terminaux, les opérateurs du remorquage, les pilotes maritimes et les fournisseurs d’infrastructures de soutage et d’installations de réception portuaire, qui proposent des services aux compagnies maritimes et logistiques ainsi qu’à d’autres parties prenantes. </w:t>
      </w:r>
    </w:p>
    <w:p w14:paraId="675E19BE" w14:textId="3C56A624" w:rsidR="00E1100C" w:rsidRPr="00CE0265" w:rsidRDefault="00BB24F6" w:rsidP="00E1100C">
      <w:pPr>
        <w:jc w:val="both"/>
        <w:rPr>
          <w:rFonts w:ascii="Times New Roman" w:hAnsi="Times New Roman" w:cs="Times New Roman"/>
          <w:noProof/>
          <w:sz w:val="24"/>
          <w:szCs w:val="24"/>
        </w:rPr>
      </w:pPr>
      <w:r w:rsidRPr="00CE0265">
        <w:rPr>
          <w:rFonts w:ascii="Times New Roman" w:hAnsi="Times New Roman"/>
          <w:noProof/>
          <w:sz w:val="24"/>
        </w:rPr>
        <w:t>Dans le cadre d’un vaste processus de consultation</w:t>
      </w:r>
      <w:r w:rsidRPr="00CE0265">
        <w:rPr>
          <w:rStyle w:val="FootnoteReference"/>
          <w:rFonts w:ascii="Times New Roman" w:hAnsi="Times New Roman" w:cs="Times New Roman"/>
          <w:noProof/>
          <w:sz w:val="24"/>
          <w:szCs w:val="24"/>
        </w:rPr>
        <w:footnoteReference w:id="3"/>
      </w:r>
      <w:r w:rsidRPr="00CE0265">
        <w:rPr>
          <w:rFonts w:ascii="Times New Roman" w:hAnsi="Times New Roman"/>
          <w:noProof/>
          <w:sz w:val="24"/>
        </w:rPr>
        <w:t>, l’industrie, les États membres et d’autres parties prenantes ont confirmé la nécessité de renforcer la compétitivité, de donner aux ports les moyens d’agir dans le cadre de la transition énergétique, de décarboner, d’améliorer la sécurité et la résilience, d’accéder au financement et de faire des ports des lieux de travail plus sûrs et plus sécurisés. La diversité des ports, du point de vue de la taille, de la localisation, des segments de marché desservis, des modèles de gouvernance et des parties prenantes, nécessite l’adoption d’une approche large et souple.</w:t>
      </w:r>
    </w:p>
    <w:p w14:paraId="200E7880" w14:textId="5F82B351" w:rsidR="00F027A3" w:rsidRPr="00CE0265" w:rsidRDefault="00F05CEF" w:rsidP="00DC5B5A">
      <w:pPr>
        <w:jc w:val="both"/>
        <w:rPr>
          <w:rFonts w:ascii="Times New Roman" w:hAnsi="Times New Roman" w:cs="Times New Roman"/>
          <w:noProof/>
          <w:sz w:val="24"/>
          <w:szCs w:val="24"/>
        </w:rPr>
      </w:pPr>
      <w:r w:rsidRPr="00CE0265">
        <w:rPr>
          <w:rFonts w:ascii="Times New Roman" w:hAnsi="Times New Roman"/>
          <w:noProof/>
          <w:sz w:val="24"/>
        </w:rPr>
        <w:t xml:space="preserve">S’appuyant sur la politique portuaire de 2013, </w:t>
      </w:r>
      <w:r w:rsidRPr="00CE0265">
        <w:rPr>
          <w:rFonts w:ascii="Times New Roman" w:hAnsi="Times New Roman"/>
          <w:b/>
          <w:noProof/>
          <w:sz w:val="24"/>
        </w:rPr>
        <w:t>l’UE agit maintenant</w:t>
      </w:r>
      <w:r w:rsidRPr="00CE0265">
        <w:rPr>
          <w:rFonts w:ascii="Times New Roman" w:hAnsi="Times New Roman"/>
          <w:noProof/>
          <w:sz w:val="24"/>
        </w:rPr>
        <w:t xml:space="preserve"> afin d’établir un cadre pour l’avenir des ports européens. La stratégie portuaire de l’UE rassemble des initiatives nouvelles et en cours, des mesures de simplification et des orientations relatives à la mise en œuvre de la législation actuelle</w:t>
      </w:r>
      <w:r w:rsidRPr="00CE0265">
        <w:rPr>
          <w:rStyle w:val="FootnoteReference"/>
          <w:rFonts w:ascii="Times New Roman" w:hAnsi="Times New Roman" w:cs="Times New Roman"/>
          <w:noProof/>
          <w:sz w:val="24"/>
          <w:szCs w:val="24"/>
        </w:rPr>
        <w:footnoteReference w:id="4"/>
      </w:r>
      <w:r w:rsidRPr="00CE0265">
        <w:rPr>
          <w:rFonts w:ascii="Times New Roman" w:hAnsi="Times New Roman"/>
          <w:noProof/>
          <w:sz w:val="24"/>
        </w:rPr>
        <w:t>.</w:t>
      </w:r>
    </w:p>
    <w:p w14:paraId="7E0ABD41" w14:textId="4661DC20" w:rsidR="00FA2BC7" w:rsidRPr="00CE0265" w:rsidRDefault="00CB7AD9" w:rsidP="00F027A3">
      <w:pPr>
        <w:jc w:val="center"/>
        <w:rPr>
          <w:rFonts w:ascii="Times New Roman" w:hAnsi="Times New Roman" w:cs="Times New Roman"/>
          <w:noProof/>
          <w:sz w:val="24"/>
          <w:szCs w:val="24"/>
        </w:rPr>
      </w:pPr>
      <w:r w:rsidRPr="00CB7AD9">
        <w:rPr>
          <w:rFonts w:ascii="Times New Roman" w:hAnsi="Times New Roman" w:cs="Times New Roman"/>
          <w:noProof/>
          <w:sz w:val="24"/>
          <w:szCs w:val="24"/>
          <w:lang w:val="en-GB" w:eastAsia="en-GB"/>
        </w:rPr>
        <w:drawing>
          <wp:inline distT="0" distB="0" distL="0" distR="0" wp14:anchorId="334693DD" wp14:editId="4B2E612E">
            <wp:extent cx="5731510" cy="3049270"/>
            <wp:effectExtent l="0" t="0" r="2540" b="0"/>
            <wp:docPr id="385456432"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56432" name="Picture 1" descr="A blue rectangular sign with white text&#10;&#10;AI-generated content may be incorrect."/>
                    <pic:cNvPicPr/>
                  </pic:nvPicPr>
                  <pic:blipFill>
                    <a:blip r:embed="rId15"/>
                    <a:stretch>
                      <a:fillRect/>
                    </a:stretch>
                  </pic:blipFill>
                  <pic:spPr>
                    <a:xfrm>
                      <a:off x="0" y="0"/>
                      <a:ext cx="5731510" cy="3049270"/>
                    </a:xfrm>
                    <a:prstGeom prst="rect">
                      <a:avLst/>
                    </a:prstGeom>
                  </pic:spPr>
                </pic:pic>
              </a:graphicData>
            </a:graphic>
          </wp:inline>
        </w:drawing>
      </w:r>
    </w:p>
    <w:p w14:paraId="13C51620" w14:textId="68F04C55" w:rsidR="00E1100C" w:rsidRPr="00CE0265" w:rsidRDefault="00E1100C" w:rsidP="00C10F3B">
      <w:pPr>
        <w:pStyle w:val="Heading2"/>
        <w:numPr>
          <w:ilvl w:val="0"/>
          <w:numId w:val="2"/>
        </w:numPr>
        <w:rPr>
          <w:rFonts w:ascii="Times New Roman" w:hAnsi="Times New Roman" w:cs="Times New Roman"/>
          <w:b/>
          <w:noProof/>
          <w:color w:val="auto"/>
          <w:sz w:val="24"/>
          <w:szCs w:val="24"/>
        </w:rPr>
      </w:pPr>
      <w:r w:rsidRPr="00CE0265">
        <w:rPr>
          <w:rFonts w:ascii="Times New Roman" w:hAnsi="Times New Roman"/>
          <w:b/>
          <w:noProof/>
          <w:color w:val="auto"/>
          <w:sz w:val="24"/>
        </w:rPr>
        <w:t>RENFORCER LA COMPÉTITIVITÉ, L’INNOVATION ET LA NUMÉRISATION</w:t>
      </w:r>
    </w:p>
    <w:p w14:paraId="13134C9B" w14:textId="1E910B79" w:rsidR="007C1AC4" w:rsidRPr="00CE0265" w:rsidRDefault="00E1100C" w:rsidP="00C10F3B">
      <w:pPr>
        <w:pStyle w:val="Heading3"/>
        <w:numPr>
          <w:ilvl w:val="1"/>
          <w:numId w:val="2"/>
        </w:numPr>
        <w:rPr>
          <w:rFonts w:ascii="Times New Roman" w:hAnsi="Times New Roman" w:cs="Times New Roman"/>
          <w:noProof/>
          <w:sz w:val="24"/>
          <w:szCs w:val="24"/>
        </w:rPr>
      </w:pPr>
      <w:r w:rsidRPr="00CE0265">
        <w:rPr>
          <w:rFonts w:ascii="Times New Roman" w:hAnsi="Times New Roman"/>
          <w:b/>
          <w:i/>
          <w:noProof/>
          <w:color w:val="auto"/>
          <w:sz w:val="24"/>
        </w:rPr>
        <w:t>Maintenir la compétitivité mondiale</w:t>
      </w:r>
    </w:p>
    <w:p w14:paraId="75F538FC" w14:textId="77777777" w:rsidR="00270C25" w:rsidRPr="00CE0265" w:rsidRDefault="00270C25" w:rsidP="00B374A1">
      <w:pPr>
        <w:jc w:val="both"/>
        <w:rPr>
          <w:rFonts w:ascii="Times New Roman" w:hAnsi="Times New Roman" w:cs="Times New Roman"/>
          <w:noProof/>
          <w:sz w:val="24"/>
          <w:szCs w:val="24"/>
        </w:rPr>
      </w:pPr>
      <w:r w:rsidRPr="00CE0265">
        <w:rPr>
          <w:rFonts w:ascii="Times New Roman" w:hAnsi="Times New Roman"/>
          <w:noProof/>
          <w:sz w:val="24"/>
        </w:rPr>
        <w:t>La présente stratégie aide les ports de l’UE à maintenir et à renforcer leur compétitivité. Elle met l’accent sur l’innovation et la numérisation, l’amélioration des liaisons avec l’arrière-pays, les priorités communes de l’UE en matière de financement, la simplification réglementaire et le développement de nouveaux débouchés commerciaux.</w:t>
      </w:r>
    </w:p>
    <w:p w14:paraId="2C75FC32" w14:textId="2A95E877" w:rsidR="00270C25" w:rsidRPr="00CE0265" w:rsidRDefault="00270C25" w:rsidP="00B374A1">
      <w:pPr>
        <w:jc w:val="both"/>
        <w:rPr>
          <w:rFonts w:ascii="Times New Roman" w:hAnsi="Times New Roman" w:cs="Times New Roman"/>
          <w:noProof/>
          <w:sz w:val="24"/>
          <w:szCs w:val="24"/>
        </w:rPr>
      </w:pPr>
      <w:r w:rsidRPr="00CE0265">
        <w:rPr>
          <w:rFonts w:ascii="Times New Roman" w:hAnsi="Times New Roman"/>
          <w:noProof/>
          <w:sz w:val="24"/>
        </w:rPr>
        <w:t>Le commerce maritime est intrinsèquement mondial. Dès lors, les ports de l’UE coopèrent et sont en concurrence avec les ports du monde entier, ce qui rend ces relations complexes et multiformes. Les ports et les entreprises de l’UE dialoguent avec les ports des pays tiers dans des domaines tels que l’énergie propre et les carburants alternatifs et investissent à l’étranger dans le cadre des chaînes logistiques mondiales. Ces activités sont soutenues par plusieurs initiatives européennes et internationales.</w:t>
      </w:r>
    </w:p>
    <w:p w14:paraId="5B981C59" w14:textId="485CB8B7" w:rsidR="00270C25" w:rsidRPr="00CE0265" w:rsidRDefault="00270C25" w:rsidP="00B374A1">
      <w:pPr>
        <w:jc w:val="both"/>
        <w:rPr>
          <w:rFonts w:ascii="Times New Roman" w:hAnsi="Times New Roman" w:cs="Times New Roman"/>
          <w:noProof/>
          <w:sz w:val="24"/>
          <w:szCs w:val="24"/>
        </w:rPr>
      </w:pPr>
      <w:r w:rsidRPr="00CE0265">
        <w:rPr>
          <w:rFonts w:ascii="Times New Roman" w:hAnsi="Times New Roman"/>
          <w:noProof/>
          <w:sz w:val="24"/>
        </w:rPr>
        <w:t xml:space="preserve">La compétitivité des ports est influencée par les coûts (y compris l’énergie, la main-d’œuvre et les investissements soutenus par l’État) et par des facteurs autres que les coûts (en particulier les normes et législations applicables). Les cadres juridiques inégaux (en ce qui concerne les aspects environnementaux, sociaux et autres) et les stratégies d’investissement agressives constituent des préoccupations majeures lorsqu’il s'agit de garantir des conditions de concurrence équitables. La Commission prépare actuellement la mise à jour du système d’échange de quotas d’émission de l’UE, prévue pour le troisième trimestre 2026, qui sera suivie du réexamen prévu du règlement FuelEU Maritime. Cette mise à jour tiendra compte, notamment, des éventuels problèmes de mise en œuvre qui portent préjudice à la compétitivité des ports européens, tels que le risque de détournement du trafic vers des ports de transbordement de pays tiers. </w:t>
      </w:r>
    </w:p>
    <w:p w14:paraId="7DED95E9" w14:textId="4D0454AE" w:rsidR="00B878AE" w:rsidRPr="00CE0265" w:rsidRDefault="00270C25" w:rsidP="00B374A1">
      <w:pPr>
        <w:jc w:val="both"/>
        <w:rPr>
          <w:rFonts w:ascii="Times New Roman" w:hAnsi="Times New Roman" w:cs="Times New Roman"/>
          <w:noProof/>
          <w:sz w:val="24"/>
          <w:szCs w:val="24"/>
        </w:rPr>
      </w:pPr>
      <w:r w:rsidRPr="00CE0265">
        <w:rPr>
          <w:rFonts w:ascii="Times New Roman" w:hAnsi="Times New Roman"/>
          <w:noProof/>
          <w:sz w:val="24"/>
        </w:rPr>
        <w:t>Au-delà des prix, la qualité du service et l’efficacité des liaisons avec l’arrière-pays restent des facteurs clés de la compétitivité des ports. L’UE soutient également le secteur en définissant des priorités de financement (voir l’annexe 1). Par l’intermédiaire de ses programmes, l’Union soutient les investissements qui renforcent la durabilité, la compétitivité, la connectivité et la résilience</w:t>
      </w:r>
      <w:r w:rsidRPr="00CE0265">
        <w:rPr>
          <w:rStyle w:val="FootnoteReference"/>
          <w:rFonts w:ascii="Times New Roman" w:hAnsi="Times New Roman" w:cs="Times New Roman"/>
          <w:noProof/>
          <w:sz w:val="24"/>
          <w:szCs w:val="24"/>
        </w:rPr>
        <w:footnoteReference w:id="5"/>
      </w:r>
      <w:r w:rsidRPr="00CE0265">
        <w:rPr>
          <w:rFonts w:ascii="Times New Roman" w:hAnsi="Times New Roman"/>
          <w:noProof/>
          <w:sz w:val="24"/>
        </w:rPr>
        <w:t xml:space="preserve">. Des mesures supplémentaires concernant les secteurs de la construction et du transport maritimes sont envisagées dans la stratégie maritime industrielle de l’UE. </w:t>
      </w:r>
    </w:p>
    <w:p w14:paraId="2967A823" w14:textId="4E0914C6" w:rsidR="00550B3A" w:rsidRPr="00CE0265" w:rsidRDefault="00996D0F" w:rsidP="00B374A1">
      <w:pPr>
        <w:jc w:val="both"/>
        <w:rPr>
          <w:rFonts w:ascii="Times New Roman" w:hAnsi="Times New Roman" w:cs="Times New Roman"/>
          <w:noProof/>
          <w:sz w:val="24"/>
          <w:szCs w:val="24"/>
        </w:rPr>
      </w:pPr>
      <w:r w:rsidRPr="00CE0265">
        <w:rPr>
          <w:rFonts w:ascii="Times New Roman" w:hAnsi="Times New Roman"/>
          <w:noProof/>
          <w:sz w:val="24"/>
        </w:rPr>
        <w:t xml:space="preserve">Dans certains cas, l’UE finance également des ports dans les pays candidats et des projets portuaires dans des pays tiers sur plusieurs aspects. Dans la présente stratégie, la Commission définit des principes clairs (annexe 1) qui serviront de base pour </w:t>
      </w:r>
      <w:r w:rsidRPr="00CE0265">
        <w:rPr>
          <w:rFonts w:ascii="Times New Roman" w:hAnsi="Times New Roman"/>
          <w:b/>
          <w:noProof/>
          <w:sz w:val="24"/>
        </w:rPr>
        <w:t>hiérarchiser les initiatives mutuellement bénéfiques dans les ports de pays tiers</w:t>
      </w:r>
      <w:r w:rsidRPr="00CE0265">
        <w:rPr>
          <w:rFonts w:ascii="Times New Roman" w:hAnsi="Times New Roman"/>
          <w:noProof/>
          <w:sz w:val="24"/>
        </w:rPr>
        <w:t>. La Commission, le SEAE, les institutions financières de l’UE et les États membres devraient appliquer ces principes dans leurs initiatives et améliorer la coordination et l’échange d’informations, dans le respect des règles de concurrence de l’UE.</w:t>
      </w:r>
    </w:p>
    <w:p w14:paraId="7A942A78" w14:textId="59F7B1AC" w:rsidR="00E71C7B" w:rsidRPr="00CE0265" w:rsidRDefault="00270C25" w:rsidP="006B0076">
      <w:pPr>
        <w:jc w:val="both"/>
        <w:rPr>
          <w:rFonts w:ascii="Times New Roman" w:hAnsi="Times New Roman" w:cs="Times New Roman"/>
          <w:noProof/>
          <w:sz w:val="24"/>
          <w:szCs w:val="24"/>
        </w:rPr>
      </w:pPr>
      <w:r w:rsidRPr="00CE0265">
        <w:rPr>
          <w:rFonts w:ascii="Times New Roman" w:hAnsi="Times New Roman"/>
          <w:noProof/>
          <w:sz w:val="24"/>
        </w:rPr>
        <w:t>L’accès aux marchés portuaires de pays tiers devrait être fondé sur des conditions équitables et non discriminatoires pour les opérateurs de l’UE et des pays partenaires.</w:t>
      </w:r>
      <w:r w:rsidRPr="00CE0265">
        <w:rPr>
          <w:noProof/>
        </w:rPr>
        <w:t xml:space="preserve"> </w:t>
      </w:r>
      <w:r w:rsidRPr="00CE0265">
        <w:rPr>
          <w:rFonts w:ascii="Times New Roman" w:hAnsi="Times New Roman"/>
          <w:noProof/>
          <w:sz w:val="24"/>
        </w:rPr>
        <w:t xml:space="preserve">En particulier, l’UE examinera s’il convient de continuer à accorder un accès aux marchés étrangers dans des secteurs sensibles, tels que les services portuaires, lorsque les opérateurs de l’UE ne bénéficient pas d’un accès comparable dans un pays tiers. La </w:t>
      </w:r>
      <w:r w:rsidRPr="00CE0265">
        <w:rPr>
          <w:rFonts w:ascii="Times New Roman" w:hAnsi="Times New Roman"/>
          <w:b/>
          <w:noProof/>
          <w:sz w:val="24"/>
        </w:rPr>
        <w:t>Commission appliquera les principes exposés dans la présente stratégie dans les négociations sur les accords internationaux et les cadres de coopération</w:t>
      </w:r>
      <w:r w:rsidRPr="00CE0265">
        <w:rPr>
          <w:rFonts w:ascii="Times New Roman" w:hAnsi="Times New Roman"/>
          <w:noProof/>
          <w:sz w:val="24"/>
        </w:rPr>
        <w:t xml:space="preserve">. Elle continuera à œuvrer en faveur de l’accès au marché dans le contexte des négociations relatives aux accords de libre-échange et, </w:t>
      </w:r>
      <w:r w:rsidRPr="00CE0265">
        <w:rPr>
          <w:rFonts w:ascii="Times New Roman" w:hAnsi="Times New Roman"/>
          <w:b/>
          <w:noProof/>
          <w:sz w:val="24"/>
        </w:rPr>
        <w:t>en collaboration avec le Service européen pour l’action extérieure (SEAE), dialoguera avec les pays tiers afin de promouvoir des conditions d’investissement équitables et l’accès des entreprises de l’UE</w:t>
      </w:r>
      <w:r w:rsidRPr="00CE0265">
        <w:rPr>
          <w:rFonts w:ascii="Times New Roman" w:hAnsi="Times New Roman"/>
          <w:noProof/>
          <w:sz w:val="24"/>
        </w:rPr>
        <w:t xml:space="preserve"> aux infrastructures et opérations portuaires. Les soumissionnaires provenant de pays qui excluent les opérateurs de l’UE, ou de pays avec lesquels l’UE n’a pas conclu d’accords garantissant un accès équitable et non discriminatoire, ne devraient pas bénéficier d’un accès sans restriction aux concessions et aux marchés publics de l’UE dans le domaine portuaire.</w:t>
      </w:r>
      <w:bookmarkStart w:id="2" w:name="_Hlk222936467"/>
    </w:p>
    <w:bookmarkEnd w:id="2"/>
    <w:p w14:paraId="02C606E1" w14:textId="10D65A33" w:rsidR="003F5503" w:rsidRPr="00CE0265" w:rsidRDefault="00270C25" w:rsidP="00B374A1">
      <w:pPr>
        <w:spacing w:before="100" w:beforeAutospacing="1" w:after="100" w:afterAutospacing="1" w:line="276" w:lineRule="auto"/>
        <w:jc w:val="both"/>
        <w:rPr>
          <w:rFonts w:ascii="Times New Roman" w:hAnsi="Times New Roman" w:cs="Times New Roman"/>
          <w:noProof/>
          <w:sz w:val="24"/>
          <w:szCs w:val="24"/>
        </w:rPr>
      </w:pPr>
      <w:r w:rsidRPr="00CE0265">
        <w:rPr>
          <w:rFonts w:ascii="Times New Roman" w:hAnsi="Times New Roman"/>
          <w:noProof/>
          <w:sz w:val="24"/>
        </w:rPr>
        <w:t xml:space="preserve">Enfin, </w:t>
      </w:r>
      <w:r w:rsidRPr="00CE0265">
        <w:rPr>
          <w:rFonts w:ascii="Times New Roman" w:hAnsi="Times New Roman"/>
          <w:b/>
          <w:noProof/>
          <w:sz w:val="24"/>
        </w:rPr>
        <w:t>les États membres et leurs organismes de normalisation devraient jouer un rôle de premier plan dans la définition de normes techniques mondiales dans les enceintes internationales compétentes</w:t>
      </w:r>
      <w:r w:rsidRPr="00CE0265">
        <w:rPr>
          <w:rFonts w:ascii="Times New Roman" w:hAnsi="Times New Roman"/>
          <w:noProof/>
          <w:sz w:val="24"/>
        </w:rPr>
        <w:t xml:space="preserve">, y compris l’ISO. La </w:t>
      </w:r>
      <w:r w:rsidRPr="00CE0265">
        <w:rPr>
          <w:rFonts w:ascii="Times New Roman" w:hAnsi="Times New Roman"/>
          <w:b/>
          <w:noProof/>
          <w:sz w:val="24"/>
        </w:rPr>
        <w:t>Commission soutiendra ces efforts au moyen d’un nouvel axe de travail sur les ports et terminaux innovants</w:t>
      </w:r>
      <w:r w:rsidRPr="00CE0265">
        <w:rPr>
          <w:rFonts w:ascii="Times New Roman" w:hAnsi="Times New Roman"/>
          <w:noProof/>
          <w:sz w:val="24"/>
        </w:rPr>
        <w:t xml:space="preserve"> dans le cadre du forum de haut niveau sur la normalisation européenne</w:t>
      </w:r>
      <w:r w:rsidRPr="00CE0265">
        <w:rPr>
          <w:rFonts w:ascii="Times New Roman" w:eastAsia="Times New Roman" w:hAnsi="Times New Roman" w:cs="Times New Roman"/>
          <w:noProof/>
          <w:color w:val="000000" w:themeColor="text1"/>
          <w:sz w:val="24"/>
          <w:szCs w:val="24"/>
          <w:vertAlign w:val="superscript"/>
        </w:rPr>
        <w:footnoteReference w:id="6"/>
      </w:r>
      <w:r w:rsidRPr="00CE0265">
        <w:rPr>
          <w:rFonts w:ascii="Times New Roman" w:hAnsi="Times New Roman"/>
          <w:noProof/>
          <w:sz w:val="24"/>
        </w:rPr>
        <w:t>.</w:t>
      </w:r>
    </w:p>
    <w:p w14:paraId="4A1D2E23" w14:textId="2BAA6D00" w:rsidR="00E1100C" w:rsidRPr="00CE0265" w:rsidRDefault="004D2524" w:rsidP="00C10F3B">
      <w:pPr>
        <w:pStyle w:val="Heading3"/>
        <w:numPr>
          <w:ilvl w:val="1"/>
          <w:numId w:val="2"/>
        </w:numPr>
        <w:rPr>
          <w:rFonts w:ascii="Times New Roman" w:hAnsi="Times New Roman" w:cs="Times New Roman"/>
          <w:b/>
          <w:bCs/>
          <w:i/>
          <w:iCs/>
          <w:noProof/>
          <w:color w:val="auto"/>
          <w:sz w:val="24"/>
          <w:szCs w:val="24"/>
        </w:rPr>
      </w:pPr>
      <w:r w:rsidRPr="00CE0265">
        <w:rPr>
          <w:rFonts w:ascii="Times New Roman" w:hAnsi="Times New Roman"/>
          <w:b/>
          <w:i/>
          <w:noProof/>
          <w:color w:val="auto"/>
          <w:sz w:val="24"/>
        </w:rPr>
        <w:t>Garantir la sécurité économique des ports de l’UE</w:t>
      </w:r>
    </w:p>
    <w:p w14:paraId="2E1E2F85" w14:textId="000DA33D" w:rsidR="00E1100C" w:rsidRPr="00CE0265" w:rsidRDefault="00E1100C" w:rsidP="00E1100C">
      <w:pPr>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En tant que leaders mondiaux du transport maritime et des chaînes logistiques, les ports européens attirent les investissements. Si les investissements sont bienvenus et nécessaires, ils peuvent présenter des risques pour la sécurité, en fonction de leur source. La propriété ou l’influence étrangère dans des actifs portuaires stratégiques peut soulever des questions légitimes quant à l’alignement à long terme sur les intérêts de l’UE en matière de sécurité économique, en particulier lorsque des acteurs soutenus par l’État sont concernés. La Commission aborde déjà les questions de l’influence étrangère et de la sécurité économique dans le cadre de plusieurs instruments horizontaux</w:t>
      </w:r>
      <w:r w:rsidRPr="00CE0265">
        <w:rPr>
          <w:rStyle w:val="FootnoteReference"/>
          <w:rFonts w:ascii="Times New Roman" w:eastAsia="Times New Roman" w:hAnsi="Times New Roman" w:cs="Times New Roman"/>
          <w:noProof/>
          <w:sz w:val="24"/>
          <w:szCs w:val="24"/>
        </w:rPr>
        <w:footnoteReference w:id="7"/>
      </w:r>
      <w:r w:rsidRPr="00CE0265">
        <w:rPr>
          <w:rFonts w:ascii="Times New Roman" w:hAnsi="Times New Roman"/>
          <w:noProof/>
          <w:sz w:val="24"/>
        </w:rPr>
        <w:t xml:space="preserve"> afin de veiller à ce que les entreprises bénéficiant d’aides d’État étrangères ne profitent pas d’avantages concurrentiels déloyaux sur le marché intérieur de l’UE.</w:t>
      </w:r>
      <w:r w:rsidRPr="00CE0265">
        <w:rPr>
          <w:rFonts w:ascii="Times New Roman" w:hAnsi="Times New Roman"/>
          <w:noProof/>
          <w:color w:val="000000" w:themeColor="text1"/>
          <w:sz w:val="24"/>
        </w:rPr>
        <w:t xml:space="preserve"> </w:t>
      </w:r>
    </w:p>
    <w:p w14:paraId="5E7C93F7" w14:textId="5648E33F" w:rsidR="00E1100C" w:rsidRPr="00CE0265" w:rsidRDefault="00E1100C" w:rsidP="00E1100C">
      <w:pPr>
        <w:jc w:val="both"/>
        <w:rPr>
          <w:rFonts w:ascii="Times New Roman" w:eastAsiaTheme="minorEastAsia" w:hAnsi="Times New Roman" w:cs="Times New Roman"/>
          <w:noProof/>
          <w:sz w:val="24"/>
          <w:szCs w:val="24"/>
        </w:rPr>
      </w:pPr>
      <w:r w:rsidRPr="00CE0265">
        <w:rPr>
          <w:rFonts w:ascii="Times New Roman" w:hAnsi="Times New Roman"/>
          <w:noProof/>
          <w:sz w:val="24"/>
        </w:rPr>
        <w:t>La communication conjointe intitulée «Renforcer la sécurité économique de l’UE»</w:t>
      </w:r>
      <w:r w:rsidRPr="00CE0265">
        <w:rPr>
          <w:rFonts w:ascii="Times New Roman" w:eastAsiaTheme="minorEastAsia" w:hAnsi="Times New Roman" w:cs="Times New Roman"/>
          <w:noProof/>
          <w:sz w:val="24"/>
          <w:szCs w:val="24"/>
          <w:vertAlign w:val="superscript"/>
        </w:rPr>
        <w:footnoteReference w:id="8"/>
      </w:r>
      <w:r w:rsidRPr="00CE0265">
        <w:rPr>
          <w:rFonts w:ascii="Times New Roman" w:hAnsi="Times New Roman"/>
          <w:noProof/>
          <w:sz w:val="24"/>
        </w:rPr>
        <w:t xml:space="preserve"> appelle à une action plus ferme de l’UE en vue de limiter la propriété, le contrôle et l’exploitation des infrastructures critiques par des entités à haut risque. Une telle action peut réduire les risques de verrouillage technologique ou de dépendance à l’égard de fournisseurs (à haut risque). Elle peut également empêcher la participation d’entités à haut risque aux initiatives financées par l’UE et soutenir le développement de fournisseurs fiables de sous-composants critiques. </w:t>
      </w:r>
    </w:p>
    <w:p w14:paraId="256D93D4" w14:textId="52B703BC" w:rsidR="001A7054" w:rsidRPr="00CE0265" w:rsidRDefault="001A7054" w:rsidP="00E1100C">
      <w:pPr>
        <w:jc w:val="both"/>
        <w:rPr>
          <w:rFonts w:ascii="Times New Roman" w:eastAsiaTheme="minorEastAsia" w:hAnsi="Times New Roman" w:cs="Times New Roman"/>
          <w:noProof/>
          <w:sz w:val="24"/>
          <w:szCs w:val="24"/>
        </w:rPr>
      </w:pPr>
      <w:r w:rsidRPr="00CE0265">
        <w:rPr>
          <w:rFonts w:ascii="Times New Roman" w:hAnsi="Times New Roman"/>
          <w:noProof/>
          <w:sz w:val="24"/>
        </w:rPr>
        <w:t xml:space="preserve">Afin de garantir une mise en œuvre cohérente des règles, la Commission </w:t>
      </w:r>
      <w:r w:rsidRPr="00CE0265">
        <w:rPr>
          <w:rFonts w:ascii="Times New Roman" w:hAnsi="Times New Roman"/>
          <w:b/>
          <w:noProof/>
          <w:sz w:val="24"/>
        </w:rPr>
        <w:t>élaborera des orientations à l’intention des États membres pour l’évaluation des investissements étrangers dans le respect des engagements internationaux de l’UE</w:t>
      </w:r>
      <w:r w:rsidRPr="00CE0265">
        <w:rPr>
          <w:rFonts w:ascii="Times New Roman" w:hAnsi="Times New Roman"/>
          <w:noProof/>
          <w:sz w:val="24"/>
        </w:rPr>
        <w:t>.</w:t>
      </w:r>
      <w:r w:rsidRPr="00CE0265">
        <w:rPr>
          <w:rFonts w:ascii="Times New Roman" w:hAnsi="Times New Roman"/>
          <w:noProof/>
          <w:color w:val="000000" w:themeColor="text1"/>
          <w:sz w:val="24"/>
        </w:rPr>
        <w:t xml:space="preserve"> </w:t>
      </w:r>
      <w:r w:rsidRPr="00CE0265">
        <w:rPr>
          <w:rFonts w:ascii="Times New Roman" w:hAnsi="Times New Roman"/>
          <w:noProof/>
          <w:sz w:val="24"/>
        </w:rPr>
        <w:t>Ces orientations reposeront sur une approche systémique englobant tous les opérateurs portuaires concernés en fonction de leur rôle dans les chaînes d’approvisionnement critiques et en particulier les ports relevant des exigences du règlement sur la mobilité militaire.</w:t>
      </w:r>
      <w:r w:rsidRPr="00CE0265">
        <w:rPr>
          <w:rFonts w:ascii="Times New Roman" w:hAnsi="Times New Roman"/>
          <w:noProof/>
          <w:color w:val="000000" w:themeColor="text1"/>
          <w:sz w:val="24"/>
        </w:rPr>
        <w:t xml:space="preserve"> </w:t>
      </w:r>
      <w:r w:rsidRPr="00CE0265">
        <w:rPr>
          <w:rFonts w:ascii="Times New Roman" w:hAnsi="Times New Roman"/>
          <w:noProof/>
          <w:sz w:val="24"/>
        </w:rPr>
        <w:t xml:space="preserve">Elles établiraient notamment des seuils et des critères en matière d’influence étrangère, tels que l’influence sur les décisions stratégiques, le contrôle des opérations et la dépendance à l’égard des fournisseurs d’équipements à haut risque. </w:t>
      </w:r>
      <w:r w:rsidRPr="00CE0265">
        <w:rPr>
          <w:rFonts w:ascii="Times New Roman" w:hAnsi="Times New Roman"/>
          <w:noProof/>
          <w:color w:val="000000" w:themeColor="text1"/>
          <w:sz w:val="24"/>
        </w:rPr>
        <w:t xml:space="preserve">Un </w:t>
      </w:r>
      <w:r w:rsidRPr="00CE0265">
        <w:rPr>
          <w:rFonts w:ascii="Times New Roman" w:hAnsi="Times New Roman"/>
          <w:b/>
          <w:noProof/>
          <w:color w:val="000000" w:themeColor="text1"/>
          <w:sz w:val="24"/>
        </w:rPr>
        <w:t>cadre permettant de cartographier et de surveiller les investissements étrangers dans les ports de l’UE</w:t>
      </w:r>
      <w:r w:rsidRPr="00CE0265">
        <w:rPr>
          <w:rFonts w:ascii="Times New Roman" w:hAnsi="Times New Roman"/>
          <w:noProof/>
          <w:color w:val="000000" w:themeColor="text1"/>
          <w:sz w:val="24"/>
        </w:rPr>
        <w:t xml:space="preserve"> sera ensuite élaboré, conformément au règlement sur le filtrage des IDE et à la communication de l’UE sur la sécurité économique.</w:t>
      </w:r>
    </w:p>
    <w:p w14:paraId="4E62BA2D" w14:textId="3A64BB44" w:rsidR="06486151" w:rsidRPr="00CE0265" w:rsidRDefault="007E6229" w:rsidP="002B742B">
      <w:pPr>
        <w:spacing w:line="257" w:lineRule="auto"/>
        <w:jc w:val="both"/>
        <w:rPr>
          <w:rFonts w:ascii="Times New Roman" w:eastAsia="Times New Roman" w:hAnsi="Times New Roman" w:cs="Times New Roman"/>
          <w:b/>
          <w:bCs/>
          <w:noProof/>
          <w:sz w:val="24"/>
          <w:szCs w:val="24"/>
        </w:rPr>
      </w:pPr>
      <w:r w:rsidRPr="00CE0265">
        <w:rPr>
          <w:rFonts w:ascii="Times New Roman" w:hAnsi="Times New Roman"/>
          <w:noProof/>
          <w:sz w:val="24"/>
        </w:rPr>
        <w:t>Du point de vue de la défense, conformément à la proposition de règlement sur la mobilité militaire</w:t>
      </w:r>
      <w:r w:rsidRPr="00CE0265">
        <w:rPr>
          <w:rStyle w:val="FootnoteReference"/>
          <w:rFonts w:ascii="Times New Roman" w:eastAsia="Aptos" w:hAnsi="Times New Roman" w:cs="Times New Roman"/>
          <w:noProof/>
          <w:sz w:val="24"/>
          <w:szCs w:val="24"/>
        </w:rPr>
        <w:footnoteReference w:id="9"/>
      </w:r>
      <w:r w:rsidRPr="00CE0265">
        <w:rPr>
          <w:rFonts w:ascii="Times New Roman" w:hAnsi="Times New Roman"/>
          <w:noProof/>
          <w:sz w:val="24"/>
        </w:rPr>
        <w:t xml:space="preserve">, les États membres devraient </w:t>
      </w:r>
      <w:r w:rsidRPr="00CE0265">
        <w:rPr>
          <w:rFonts w:ascii="Times New Roman" w:hAnsi="Times New Roman"/>
          <w:b/>
          <w:noProof/>
          <w:sz w:val="24"/>
        </w:rPr>
        <w:t>prévenir, atténuer et combattre les risques liés à la propriété et au contrôle étrangers d’infrastructures portuaires stratégiques à double usage et de leurs opérations connexes</w:t>
      </w:r>
      <w:r w:rsidRPr="00CE0265">
        <w:rPr>
          <w:rFonts w:ascii="Times New Roman" w:hAnsi="Times New Roman"/>
          <w:noProof/>
          <w:sz w:val="24"/>
        </w:rPr>
        <w:t xml:space="preserve">. Les États membres devraient procéder à une évaluation approfondie des ports concernés afin d’atténuer les risques de propriété étrangère, de contrôle opérationnel et d’équipements provenant de fournisseurs à haut risque. En outre, les États membres doivent établir des cadres garantissant l’accès en temps utile aux ressources critiques en matière de transport, y compris les ports, lorsque d'autres mesures, telles que la passation de marchés, ne peuvent pas être déployées dans les délais requis. </w:t>
      </w:r>
      <w:r w:rsidRPr="00CE0265">
        <w:rPr>
          <w:rFonts w:ascii="Times New Roman" w:hAnsi="Times New Roman"/>
          <w:b/>
          <w:noProof/>
          <w:sz w:val="24"/>
        </w:rPr>
        <w:t>Les États membres devraient garantir la possibilité d’obtenir temporairement le contrôle public ou le droit d’utilisation d’infrastructures, de biens ou d’équipements stratégiques à double usage en vertu du droit national</w:t>
      </w:r>
      <w:r w:rsidRPr="00CE0265">
        <w:rPr>
          <w:rFonts w:ascii="Times New Roman" w:hAnsi="Times New Roman"/>
          <w:noProof/>
          <w:sz w:val="24"/>
        </w:rPr>
        <w:t xml:space="preserve">. La Commission rappelle qu’il importe d’adopter rapidement la proposition de règlement sur la mobilité militaire et invite les États membres à faire en sorte que les mesures nécessaires soient pleinement et rapidement mises en œuvre. </w:t>
      </w:r>
    </w:p>
    <w:p w14:paraId="3D15F0A7" w14:textId="0716EECC" w:rsidR="00E1100C" w:rsidRPr="00CE0265" w:rsidRDefault="005E12E0" w:rsidP="00C10F3B">
      <w:pPr>
        <w:pStyle w:val="Heading3"/>
        <w:numPr>
          <w:ilvl w:val="1"/>
          <w:numId w:val="2"/>
        </w:numPr>
        <w:rPr>
          <w:rFonts w:ascii="Times New Roman" w:hAnsi="Times New Roman" w:cs="Times New Roman"/>
          <w:b/>
          <w:i/>
          <w:noProof/>
          <w:color w:val="auto"/>
          <w:sz w:val="24"/>
          <w:szCs w:val="24"/>
        </w:rPr>
      </w:pPr>
      <w:r w:rsidRPr="00CE0265">
        <w:rPr>
          <w:rFonts w:ascii="Times New Roman" w:hAnsi="Times New Roman"/>
          <w:b/>
          <w:i/>
          <w:noProof/>
          <w:color w:val="auto"/>
          <w:sz w:val="24"/>
        </w:rPr>
        <w:t xml:space="preserve">Amener l’innovation dans les ports de l’UE </w:t>
      </w:r>
    </w:p>
    <w:p w14:paraId="0012EE20" w14:textId="6B5CD6C8" w:rsidR="00990A23" w:rsidRPr="00CE0265" w:rsidRDefault="00E1100C" w:rsidP="00E1100C">
      <w:pPr>
        <w:jc w:val="both"/>
        <w:rPr>
          <w:rFonts w:ascii="Times New Roman" w:hAnsi="Times New Roman" w:cs="Times New Roman"/>
          <w:strike/>
          <w:noProof/>
          <w:sz w:val="24"/>
          <w:szCs w:val="24"/>
        </w:rPr>
      </w:pPr>
      <w:r w:rsidRPr="00CE0265">
        <w:rPr>
          <w:rFonts w:ascii="Times New Roman" w:hAnsi="Times New Roman"/>
          <w:noProof/>
          <w:sz w:val="24"/>
        </w:rPr>
        <w:t xml:space="preserve">L’innovation a entraîné des gains d’efficacité et de compétitivité dans l’ensemble du secteur portuaire. Une utilisation plus large des technologies émergentes telles que l’intelligence artificielle, combinée à une demande de solutions innovantes pour relever les défis actuels (durabilité, efficacité énergétique, sûreté et sécurité), ouvre la voie à des solutions européennes plus innovantes dans les ports. Or, malgré l’importance du financement de la recherche et de la R&amp;I à long terme dans l’UE, les solutions européennes innovantes ne parviennent pas à être déployées sur le marché à une plus grande échelle. Afin de garantir le déploiement au-delà de la phase pilote, </w:t>
      </w:r>
      <w:r w:rsidRPr="00CE0265">
        <w:rPr>
          <w:rFonts w:ascii="Times New Roman" w:hAnsi="Times New Roman"/>
          <w:b/>
          <w:noProof/>
          <w:sz w:val="24"/>
        </w:rPr>
        <w:t>la Commission mettra davantage l’accent sur cet objectif dans les futures initiatives Horizon Europe, y compris le thème phare «Ports du futur», doté d’une enveloppe de 21 millions d’euros</w:t>
      </w:r>
      <w:r w:rsidRPr="00CE0265">
        <w:rPr>
          <w:rStyle w:val="FootnoteReference"/>
          <w:rFonts w:ascii="Times New Roman" w:hAnsi="Times New Roman" w:cs="Times New Roman"/>
          <w:noProof/>
          <w:sz w:val="24"/>
          <w:szCs w:val="24"/>
        </w:rPr>
        <w:footnoteReference w:id="10"/>
      </w:r>
      <w:r w:rsidRPr="00CE0265">
        <w:rPr>
          <w:rStyle w:val="FootnoteReference"/>
          <w:rFonts w:ascii="Times New Roman" w:hAnsi="Times New Roman" w:cs="Times New Roman"/>
          <w:noProof/>
          <w:sz w:val="24"/>
          <w:szCs w:val="24"/>
        </w:rPr>
        <w:t xml:space="preserve"> </w:t>
      </w:r>
      <w:r w:rsidRPr="00CE0265">
        <w:rPr>
          <w:rFonts w:ascii="Times New Roman" w:hAnsi="Times New Roman"/>
          <w:noProof/>
          <w:sz w:val="24"/>
        </w:rPr>
        <w:t>,</w:t>
      </w:r>
      <w:r w:rsidRPr="00CE0265">
        <w:rPr>
          <w:rStyle w:val="FootnoteReference"/>
          <w:rFonts w:ascii="Times New Roman" w:hAnsi="Times New Roman"/>
          <w:noProof/>
          <w:sz w:val="24"/>
        </w:rPr>
        <w:t xml:space="preserve"> </w:t>
      </w:r>
      <w:r w:rsidRPr="00CE0265">
        <w:rPr>
          <w:rFonts w:ascii="Times New Roman" w:hAnsi="Times New Roman"/>
          <w:noProof/>
          <w:color w:val="000000" w:themeColor="text1"/>
          <w:sz w:val="24"/>
        </w:rPr>
        <w:t>ainsi que dans les prochains appels à propositions au titre d’Horizon Europe.</w:t>
      </w:r>
    </w:p>
    <w:p w14:paraId="2241E19D" w14:textId="4137639E" w:rsidR="00212016" w:rsidRPr="00CE0265" w:rsidRDefault="00212016" w:rsidP="00212016">
      <w:pPr>
        <w:jc w:val="both"/>
        <w:rPr>
          <w:rFonts w:ascii="Times New Roman" w:hAnsi="Times New Roman" w:cs="Times New Roman"/>
          <w:noProof/>
          <w:sz w:val="24"/>
          <w:szCs w:val="24"/>
        </w:rPr>
      </w:pPr>
      <w:r w:rsidRPr="00CE0265">
        <w:rPr>
          <w:rFonts w:ascii="Times New Roman" w:hAnsi="Times New Roman"/>
          <w:noProof/>
          <w:sz w:val="24"/>
        </w:rPr>
        <w:t xml:space="preserve">Afin de soutenir la réalisation de cet objectif, la Commission </w:t>
      </w:r>
      <w:r w:rsidRPr="00CE0265">
        <w:rPr>
          <w:rFonts w:ascii="Times New Roman" w:hAnsi="Times New Roman"/>
          <w:b/>
          <w:noProof/>
          <w:sz w:val="24"/>
        </w:rPr>
        <w:t>renforcera la primauté technologique de l’Union dans l’utilisation de carburants alternatifs, l’électrification, la conception, la mise à niveau des équipements, l’efficacité énergétique et la numérisation, en tenant compte des systèmes de conversion énergétique, de la circularité et des solutions numériques</w:t>
      </w:r>
      <w:r w:rsidRPr="00CE0265">
        <w:rPr>
          <w:rFonts w:ascii="Times New Roman" w:hAnsi="Times New Roman"/>
          <w:noProof/>
          <w:sz w:val="24"/>
        </w:rPr>
        <w:t xml:space="preserve">. La </w:t>
      </w:r>
      <w:r w:rsidRPr="00CE0265">
        <w:rPr>
          <w:rFonts w:ascii="Times New Roman" w:hAnsi="Times New Roman"/>
          <w:b/>
          <w:noProof/>
          <w:sz w:val="24"/>
        </w:rPr>
        <w:t>Commission s’emploiera à renforcer la coopération public-privé au titre du programme-cadre «Horizon Europe» 2028-2034 dans des domaines prioritaires</w:t>
      </w:r>
      <w:r w:rsidRPr="00CE0265">
        <w:rPr>
          <w:rFonts w:ascii="Times New Roman" w:hAnsi="Times New Roman"/>
          <w:noProof/>
          <w:sz w:val="24"/>
        </w:rPr>
        <w:t xml:space="preserve">, sur la base d’une approche par portefeuille. Dans le domaine du transport par voie d’eau, ces efforts s’appuieront sur les résultats obtenus dans le cadre de l’actuel </w:t>
      </w:r>
      <w:r w:rsidRPr="00CE0265">
        <w:rPr>
          <w:rFonts w:ascii="Times New Roman" w:hAnsi="Times New Roman"/>
          <w:b/>
          <w:noProof/>
          <w:sz w:val="24"/>
        </w:rPr>
        <w:t>partenariat coprogrammé sur le transport par voie d’eau à émissions nulles (ZEWT)</w:t>
      </w:r>
      <w:r w:rsidRPr="00CE0265">
        <w:rPr>
          <w:rFonts w:ascii="Times New Roman" w:hAnsi="Times New Roman"/>
          <w:noProof/>
          <w:sz w:val="24"/>
        </w:rPr>
        <w:t xml:space="preserve">, en vue </w:t>
      </w:r>
      <w:r w:rsidRPr="00CE0265">
        <w:rPr>
          <w:rFonts w:ascii="Times New Roman" w:hAnsi="Times New Roman"/>
          <w:b/>
          <w:noProof/>
          <w:sz w:val="24"/>
        </w:rPr>
        <w:t>de renforcer et d’étendre l’action de l’UE</w:t>
      </w:r>
      <w:r w:rsidRPr="00CE0265">
        <w:rPr>
          <w:rFonts w:ascii="Times New Roman" w:hAnsi="Times New Roman"/>
          <w:noProof/>
          <w:sz w:val="24"/>
        </w:rPr>
        <w:t xml:space="preserve"> dans ce domaine, afin de favoriser les synergies et les effets d’échelle entre la décarbonation, la numérisation, l’automatisation et la circularité dans l’écosystème plus large du transport par voie d’eau.</w:t>
      </w:r>
    </w:p>
    <w:p w14:paraId="556A32C3" w14:textId="7EFC3E1E" w:rsidR="00483E86" w:rsidRPr="00CE0265" w:rsidRDefault="006A751F" w:rsidP="00B34C8B">
      <w:pPr>
        <w:spacing w:line="257" w:lineRule="auto"/>
        <w:jc w:val="both"/>
        <w:rPr>
          <w:rFonts w:ascii="Times New Roman" w:eastAsia="Times New Roman" w:hAnsi="Times New Roman" w:cs="Times New Roman"/>
          <w:noProof/>
          <w:sz w:val="24"/>
          <w:szCs w:val="24"/>
        </w:rPr>
      </w:pPr>
      <w:r w:rsidRPr="00CE0265">
        <w:rPr>
          <w:rFonts w:ascii="Times New Roman" w:hAnsi="Times New Roman"/>
          <w:noProof/>
          <w:sz w:val="24"/>
        </w:rPr>
        <w:t>Grâce à des ateliers spécifiques et à une assistance technique, la plateforme BlueInvest</w:t>
      </w:r>
      <w:r w:rsidRPr="00CE0265">
        <w:rPr>
          <w:rStyle w:val="FootnoteReference"/>
          <w:rFonts w:ascii="Times New Roman" w:eastAsia="Times New Roman" w:hAnsi="Times New Roman" w:cs="Times New Roman"/>
          <w:noProof/>
          <w:sz w:val="24"/>
          <w:szCs w:val="24"/>
        </w:rPr>
        <w:footnoteReference w:id="11"/>
      </w:r>
      <w:r w:rsidRPr="00CE0265">
        <w:rPr>
          <w:rFonts w:ascii="Times New Roman" w:hAnsi="Times New Roman"/>
          <w:noProof/>
          <w:sz w:val="24"/>
        </w:rPr>
        <w:t xml:space="preserve"> peut contribuer à l’expérimentation de nouvelles technologies et à la validation commerciale, fournir une assistance technique et soutenir la collecte de fonds et l’acceptation par le marché, en particulier pour les ports de petite et moyenne taille. En outre, la nouvelle «communauté de la connaissance et de l’innovation» dans les secteurs et écosystèmes aquatiques, marins et maritimes, dans le cadre de l’Institut européen d’innovation et de technologie (EIT), intégrera les ports dans le «triangle de la connaissance en matière d’innovation» entre les universités, les instituts de recherche et les entreprises. </w:t>
      </w:r>
    </w:p>
    <w:p w14:paraId="6790F4D5" w14:textId="531AD041" w:rsidR="005674DB" w:rsidRPr="00CE0265" w:rsidRDefault="00346284" w:rsidP="00346284">
      <w:pPr>
        <w:jc w:val="both"/>
        <w:rPr>
          <w:rFonts w:ascii="Times New Roman" w:hAnsi="Times New Roman" w:cs="Times New Roman"/>
          <w:b/>
          <w:bCs/>
          <w:noProof/>
          <w:sz w:val="24"/>
          <w:szCs w:val="24"/>
        </w:rPr>
      </w:pPr>
      <w:r w:rsidRPr="00CE0265">
        <w:rPr>
          <w:rFonts w:ascii="Times New Roman" w:hAnsi="Times New Roman"/>
          <w:noProof/>
          <w:color w:val="000000" w:themeColor="text1"/>
          <w:sz w:val="24"/>
        </w:rPr>
        <w:t>Les parties prenantes du secteur devraient</w:t>
      </w:r>
      <w:r w:rsidRPr="00CE0265">
        <w:rPr>
          <w:rFonts w:ascii="Times New Roman" w:hAnsi="Times New Roman"/>
          <w:b/>
          <w:noProof/>
          <w:sz w:val="24"/>
        </w:rPr>
        <w:t xml:space="preserve"> soutenir l’utilisation et la diffusion des recherches financées par l’UE, partager les bonnes pratiques et mettre en place des partenariats et des nouveaux modèles d’entreprise allant au-delà des enjeux spécifiques/locaux</w:t>
      </w:r>
      <w:r w:rsidRPr="00CE0265">
        <w:rPr>
          <w:rFonts w:ascii="Times New Roman" w:hAnsi="Times New Roman"/>
          <w:noProof/>
          <w:sz w:val="24"/>
        </w:rPr>
        <w:t>.</w:t>
      </w:r>
      <w:r w:rsidRPr="00CE0265">
        <w:rPr>
          <w:rFonts w:ascii="Times New Roman" w:hAnsi="Times New Roman"/>
          <w:b/>
          <w:noProof/>
          <w:sz w:val="24"/>
        </w:rPr>
        <w:t xml:space="preserve"> </w:t>
      </w:r>
      <w:r w:rsidRPr="00CE0265">
        <w:rPr>
          <w:rFonts w:ascii="Times New Roman" w:hAnsi="Times New Roman"/>
          <w:noProof/>
          <w:sz w:val="24"/>
        </w:rPr>
        <w:t>Elles devraient prendre en compte les exigences du marché dans son ensemble, y compris celles des ports de petite et moyenne taille.</w:t>
      </w:r>
      <w:r w:rsidRPr="00CE0265">
        <w:rPr>
          <w:rFonts w:ascii="Times New Roman" w:hAnsi="Times New Roman"/>
          <w:b/>
          <w:noProof/>
          <w:color w:val="000000" w:themeColor="text1"/>
          <w:sz w:val="24"/>
        </w:rPr>
        <w:t xml:space="preserve"> </w:t>
      </w:r>
      <w:bookmarkStart w:id="3" w:name="_Hlk220972204"/>
      <w:r w:rsidRPr="00CE0265">
        <w:rPr>
          <w:rFonts w:ascii="Times New Roman" w:hAnsi="Times New Roman"/>
          <w:noProof/>
          <w:color w:val="000000" w:themeColor="text1"/>
          <w:sz w:val="24"/>
        </w:rPr>
        <w:t xml:space="preserve">Les États membres sont également encouragés à </w:t>
      </w:r>
      <w:r w:rsidRPr="00CE0265">
        <w:rPr>
          <w:rFonts w:ascii="Times New Roman" w:hAnsi="Times New Roman"/>
          <w:b/>
          <w:noProof/>
          <w:color w:val="000000" w:themeColor="text1"/>
          <w:sz w:val="24"/>
        </w:rPr>
        <w:t>rationaliser les procédures de planification et d’autorisation afin de permettre une adoption rapide des innovations dans les ports</w:t>
      </w:r>
      <w:r w:rsidRPr="00CE0265">
        <w:rPr>
          <w:rFonts w:ascii="Times New Roman" w:hAnsi="Times New Roman"/>
          <w:noProof/>
          <w:color w:val="000000" w:themeColor="text1"/>
          <w:sz w:val="24"/>
        </w:rPr>
        <w:t>.</w:t>
      </w:r>
      <w:r w:rsidRPr="00CE0265">
        <w:rPr>
          <w:rFonts w:ascii="Times New Roman" w:hAnsi="Times New Roman"/>
          <w:b/>
          <w:noProof/>
          <w:color w:val="000000" w:themeColor="text1"/>
          <w:sz w:val="24"/>
        </w:rPr>
        <w:t xml:space="preserve"> </w:t>
      </w:r>
      <w:bookmarkEnd w:id="3"/>
    </w:p>
    <w:p w14:paraId="76091B10" w14:textId="77777777" w:rsidR="00E1100C" w:rsidRPr="00CE0265" w:rsidRDefault="00E1100C" w:rsidP="00C10F3B">
      <w:pPr>
        <w:pStyle w:val="Heading3"/>
        <w:numPr>
          <w:ilvl w:val="1"/>
          <w:numId w:val="2"/>
        </w:numPr>
        <w:rPr>
          <w:rFonts w:ascii="Times New Roman" w:hAnsi="Times New Roman" w:cs="Times New Roman"/>
          <w:b/>
          <w:i/>
          <w:noProof/>
          <w:color w:val="auto"/>
          <w:sz w:val="24"/>
          <w:szCs w:val="24"/>
        </w:rPr>
      </w:pPr>
      <w:r w:rsidRPr="00CE0265">
        <w:rPr>
          <w:rFonts w:ascii="Times New Roman" w:hAnsi="Times New Roman"/>
          <w:b/>
          <w:i/>
          <w:noProof/>
          <w:color w:val="auto"/>
          <w:sz w:val="24"/>
        </w:rPr>
        <w:t xml:space="preserve">Des opérations portuaires et des chaînes logistiques efficaces et numériques </w:t>
      </w:r>
    </w:p>
    <w:p w14:paraId="2B4BE9A2" w14:textId="4354C8BD" w:rsidR="00193C4C" w:rsidRPr="00CE0265" w:rsidRDefault="00E1100C" w:rsidP="007523C2">
      <w:pPr>
        <w:jc w:val="both"/>
        <w:rPr>
          <w:rFonts w:ascii="Times New Roman" w:hAnsi="Times New Roman" w:cs="Times New Roman"/>
          <w:noProof/>
          <w:sz w:val="24"/>
          <w:szCs w:val="24"/>
        </w:rPr>
      </w:pPr>
      <w:r w:rsidRPr="00CE0265">
        <w:rPr>
          <w:rFonts w:ascii="Times New Roman" w:hAnsi="Times New Roman"/>
          <w:noProof/>
          <w:sz w:val="24"/>
        </w:rPr>
        <w:t>L’augmentation des temps d’attente moyens dans les principaux ports de l’UE en 2024</w:t>
      </w:r>
      <w:r w:rsidRPr="00CE0265">
        <w:rPr>
          <w:rStyle w:val="FootnoteReference"/>
          <w:rFonts w:ascii="Times New Roman" w:hAnsi="Times New Roman" w:cs="Times New Roman"/>
          <w:noProof/>
          <w:sz w:val="24"/>
          <w:szCs w:val="24"/>
        </w:rPr>
        <w:footnoteReference w:id="12"/>
      </w:r>
      <w:r w:rsidRPr="00CE0265">
        <w:rPr>
          <w:rFonts w:ascii="Times New Roman" w:hAnsi="Times New Roman"/>
          <w:noProof/>
          <w:sz w:val="24"/>
        </w:rPr>
        <w:t xml:space="preserve"> a montré que la connectivité maritime est de plus en plus limitée par la productivité des terminaux et les liaisons avec l’arrière-pays, et non par le seul accès maritime</w:t>
      </w:r>
      <w:r w:rsidRPr="00CE0265">
        <w:rPr>
          <w:rStyle w:val="FootnoteReference"/>
          <w:rFonts w:ascii="Times New Roman" w:hAnsi="Times New Roman" w:cs="Times New Roman"/>
          <w:noProof/>
          <w:sz w:val="24"/>
          <w:szCs w:val="24"/>
        </w:rPr>
        <w:footnoteReference w:id="13"/>
      </w:r>
      <w:r w:rsidRPr="00CE0265">
        <w:rPr>
          <w:rFonts w:ascii="Times New Roman" w:hAnsi="Times New Roman"/>
          <w:noProof/>
          <w:sz w:val="24"/>
        </w:rPr>
        <w:t>. L’inefficacité des liaisons ferroviaires et fluviales, combinée à des navires plus grands et à un espace limité, entravent les opérations. Le renforcement de ces liaisons peut réduire les temps et les coûts de transit, améliorer les chaînes d’approvisionnement et soutenir le commerce au sein de l’UE et avec les partenaires, y compris les ports méditerranéens.</w:t>
      </w:r>
    </w:p>
    <w:p w14:paraId="572875F4" w14:textId="7D350080" w:rsidR="00160AD6" w:rsidRPr="00CE0265" w:rsidRDefault="007523C2" w:rsidP="00160AD6">
      <w:pPr>
        <w:jc w:val="both"/>
        <w:rPr>
          <w:rFonts w:ascii="Times New Roman" w:hAnsi="Times New Roman" w:cs="Times New Roman"/>
          <w:noProof/>
          <w:kern w:val="0"/>
          <w:sz w:val="24"/>
          <w:szCs w:val="24"/>
          <w14:ligatures w14:val="none"/>
        </w:rPr>
      </w:pPr>
      <w:r w:rsidRPr="00CE0265">
        <w:rPr>
          <w:rFonts w:ascii="Times New Roman" w:hAnsi="Times New Roman"/>
          <w:noProof/>
          <w:color w:val="000000" w:themeColor="text1"/>
          <w:sz w:val="24"/>
        </w:rPr>
        <w:t xml:space="preserve">L’espace maritime européen est un élément essentiel du réseau transeuropéen de transport. </w:t>
      </w:r>
      <w:bookmarkStart w:id="4" w:name="_Hlk221908099"/>
      <w:r w:rsidRPr="00CE0265">
        <w:rPr>
          <w:rFonts w:ascii="Times New Roman" w:hAnsi="Times New Roman"/>
          <w:b/>
          <w:noProof/>
          <w:color w:val="000000" w:themeColor="text1"/>
          <w:sz w:val="24"/>
        </w:rPr>
        <w:t>Dans le prochain plan de travail de l’espace maritime européen</w:t>
      </w:r>
      <w:r w:rsidRPr="00CE0265">
        <w:rPr>
          <w:rFonts w:ascii="Times New Roman" w:hAnsi="Times New Roman"/>
          <w:noProof/>
          <w:sz w:val="24"/>
        </w:rPr>
        <w:t>,</w:t>
      </w:r>
      <w:r w:rsidRPr="00CE0265">
        <w:rPr>
          <w:rFonts w:ascii="Times New Roman" w:hAnsi="Times New Roman"/>
          <w:noProof/>
          <w:color w:val="000000" w:themeColor="text1"/>
          <w:sz w:val="24"/>
        </w:rPr>
        <w:t xml:space="preserve"> le coordonnateur </w:t>
      </w:r>
      <w:r w:rsidRPr="00CE0265">
        <w:rPr>
          <w:rFonts w:ascii="Times New Roman" w:hAnsi="Times New Roman"/>
          <w:b/>
          <w:noProof/>
          <w:color w:val="000000" w:themeColor="text1"/>
          <w:sz w:val="24"/>
        </w:rPr>
        <w:t>donnera la priorité au développement de plateformes et de liaisons durables et vertes pour le transport maritime à courte distance, encouragera la collaboration entre ports</w:t>
      </w:r>
      <w:r w:rsidRPr="00CE0265">
        <w:rPr>
          <w:rFonts w:ascii="Times New Roman" w:hAnsi="Times New Roman"/>
          <w:noProof/>
          <w:color w:val="000000" w:themeColor="text1"/>
          <w:sz w:val="24"/>
        </w:rPr>
        <w:t>, en mettant l’accent sur les ports de plus petite taille,</w:t>
      </w:r>
      <w:bookmarkEnd w:id="4"/>
      <w:r w:rsidRPr="00CE0265">
        <w:rPr>
          <w:rFonts w:ascii="Times New Roman" w:hAnsi="Times New Roman"/>
          <w:b/>
          <w:noProof/>
          <w:color w:val="000000" w:themeColor="text1"/>
          <w:sz w:val="24"/>
        </w:rPr>
        <w:t xml:space="preserve"> la modernisation des infrastructures maritimes</w:t>
      </w:r>
      <w:r w:rsidRPr="00CE0265">
        <w:rPr>
          <w:rFonts w:ascii="Times New Roman" w:hAnsi="Times New Roman"/>
          <w:noProof/>
          <w:color w:val="000000" w:themeColor="text1"/>
          <w:sz w:val="24"/>
        </w:rPr>
        <w:t xml:space="preserve"> et</w:t>
      </w:r>
      <w:r w:rsidRPr="00CE0265">
        <w:rPr>
          <w:rFonts w:ascii="Times New Roman" w:hAnsi="Times New Roman"/>
          <w:b/>
          <w:noProof/>
          <w:color w:val="000000" w:themeColor="text1"/>
          <w:sz w:val="24"/>
        </w:rPr>
        <w:t xml:space="preserve"> l’intégration avec le transport ferroviaire </w:t>
      </w:r>
      <w:r w:rsidRPr="00CE0265">
        <w:rPr>
          <w:rFonts w:ascii="Times New Roman" w:hAnsi="Times New Roman"/>
          <w:noProof/>
          <w:color w:val="000000" w:themeColor="text1"/>
          <w:sz w:val="24"/>
        </w:rPr>
        <w:t xml:space="preserve">et </w:t>
      </w:r>
      <w:r w:rsidRPr="00CE0265">
        <w:rPr>
          <w:rFonts w:ascii="Times New Roman" w:hAnsi="Times New Roman"/>
          <w:b/>
          <w:noProof/>
          <w:color w:val="000000" w:themeColor="text1"/>
          <w:sz w:val="24"/>
        </w:rPr>
        <w:t>le transport par voies navigables intérieures</w:t>
      </w:r>
      <w:r w:rsidRPr="00CE0265">
        <w:rPr>
          <w:rFonts w:ascii="Times New Roman" w:hAnsi="Times New Roman"/>
          <w:noProof/>
          <w:color w:val="000000" w:themeColor="text1"/>
          <w:sz w:val="24"/>
        </w:rPr>
        <w:t xml:space="preserve">. </w:t>
      </w:r>
      <w:r w:rsidRPr="00CE0265">
        <w:rPr>
          <w:rFonts w:ascii="Times New Roman" w:hAnsi="Times New Roman"/>
          <w:noProof/>
          <w:sz w:val="24"/>
        </w:rPr>
        <w:t xml:space="preserve">Afin de soutenir davantage le transfert modal, la Commission </w:t>
      </w:r>
      <w:r w:rsidRPr="00CE0265">
        <w:rPr>
          <w:rFonts w:ascii="Times New Roman" w:hAnsi="Times New Roman"/>
          <w:b/>
          <w:noProof/>
          <w:sz w:val="24"/>
        </w:rPr>
        <w:t>renforcera les règles relatives à l’accès aux installations de service ferroviaire</w:t>
      </w:r>
      <w:r w:rsidRPr="00CE0265">
        <w:rPr>
          <w:rStyle w:val="FootnoteReference"/>
          <w:rFonts w:ascii="Times New Roman" w:hAnsi="Times New Roman" w:cs="Times New Roman"/>
          <w:noProof/>
          <w:kern w:val="0"/>
          <w:sz w:val="24"/>
          <w:szCs w:val="24"/>
        </w:rPr>
        <w:footnoteReference w:id="14"/>
      </w:r>
      <w:r w:rsidRPr="00CE0265">
        <w:rPr>
          <w:rFonts w:ascii="Times New Roman" w:hAnsi="Times New Roman"/>
          <w:noProof/>
          <w:sz w:val="24"/>
        </w:rPr>
        <w:t xml:space="preserve"> et proposera un </w:t>
      </w:r>
      <w:r w:rsidRPr="00CE0265">
        <w:rPr>
          <w:rFonts w:ascii="Times New Roman" w:hAnsi="Times New Roman"/>
          <w:b/>
          <w:noProof/>
          <w:sz w:val="24"/>
        </w:rPr>
        <w:t>plan d’action sur le transport par voies navigables intérieures pour la période 2028-2034</w:t>
      </w:r>
      <w:r w:rsidRPr="00CE0265">
        <w:rPr>
          <w:rFonts w:ascii="Times New Roman" w:hAnsi="Times New Roman"/>
          <w:noProof/>
          <w:sz w:val="24"/>
        </w:rPr>
        <w:t xml:space="preserve">, qui mettra également l’accent sur les ports intérieurs. </w:t>
      </w:r>
    </w:p>
    <w:p w14:paraId="6E88712A" w14:textId="285795C8" w:rsidR="00E1100C" w:rsidRPr="00CE0265" w:rsidRDefault="002902FF" w:rsidP="00E1100C">
      <w:pPr>
        <w:jc w:val="both"/>
        <w:rPr>
          <w:rFonts w:ascii="Times New Roman" w:hAnsi="Times New Roman" w:cs="Times New Roman"/>
          <w:noProof/>
          <w:color w:val="000000" w:themeColor="text1"/>
          <w:sz w:val="24"/>
          <w:szCs w:val="24"/>
        </w:rPr>
      </w:pPr>
      <w:r w:rsidRPr="00CE0265">
        <w:rPr>
          <w:rFonts w:ascii="Times New Roman" w:hAnsi="Times New Roman"/>
          <w:noProof/>
          <w:color w:val="000000" w:themeColor="text1"/>
          <w:sz w:val="24"/>
        </w:rPr>
        <w:t xml:space="preserve">Ces efforts doivent être complétés par </w:t>
      </w:r>
      <w:r w:rsidRPr="00CE0265">
        <w:rPr>
          <w:rFonts w:ascii="Times New Roman" w:hAnsi="Times New Roman"/>
          <w:b/>
          <w:noProof/>
          <w:color w:val="000000" w:themeColor="text1"/>
          <w:sz w:val="24"/>
        </w:rPr>
        <w:t>les États membres et les acteurs du secteur, qui devraient accorder une plus grande priorité aux connexions avec l’arrière-pays par le rail et les voies navigables intérieures</w:t>
      </w:r>
      <w:r w:rsidRPr="00CE0265">
        <w:rPr>
          <w:rStyle w:val="FootnoteReference"/>
          <w:rFonts w:ascii="Times New Roman" w:hAnsi="Times New Roman" w:cs="Times New Roman"/>
          <w:b/>
          <w:bCs/>
          <w:noProof/>
          <w:color w:val="000000" w:themeColor="text1"/>
          <w:sz w:val="24"/>
          <w:szCs w:val="24"/>
        </w:rPr>
        <w:footnoteReference w:id="15"/>
      </w:r>
      <w:r w:rsidRPr="00CE0265">
        <w:rPr>
          <w:rFonts w:ascii="Times New Roman" w:hAnsi="Times New Roman"/>
          <w:noProof/>
          <w:color w:val="000000" w:themeColor="text1"/>
          <w:sz w:val="24"/>
        </w:rPr>
        <w:t xml:space="preserve">. La capacité à s’adapter et à réagir rapidement aux défis actuels est un élément essentiel de la compétitivité et, par conséquent, </w:t>
      </w:r>
      <w:r w:rsidRPr="00CE0265">
        <w:rPr>
          <w:rFonts w:ascii="Times New Roman" w:hAnsi="Times New Roman"/>
          <w:b/>
          <w:noProof/>
          <w:color w:val="000000" w:themeColor="text1"/>
          <w:sz w:val="24"/>
        </w:rPr>
        <w:t>les concessions portuaires et les contrats de bail foncier devraient permettre une souplesse suffisante</w:t>
      </w:r>
      <w:r w:rsidRPr="00CE0265">
        <w:rPr>
          <w:rFonts w:ascii="Times New Roman" w:hAnsi="Times New Roman"/>
          <w:noProof/>
          <w:color w:val="000000" w:themeColor="text1"/>
          <w:sz w:val="24"/>
        </w:rPr>
        <w:t>.</w:t>
      </w:r>
      <w:r w:rsidRPr="00CE0265">
        <w:rPr>
          <w:rFonts w:ascii="Times New Roman" w:hAnsi="Times New Roman"/>
          <w:b/>
          <w:noProof/>
          <w:color w:val="000000" w:themeColor="text1"/>
          <w:sz w:val="24"/>
        </w:rPr>
        <w:t xml:space="preserve"> </w:t>
      </w:r>
      <w:r w:rsidRPr="00CE0265">
        <w:rPr>
          <w:rFonts w:ascii="Times New Roman" w:hAnsi="Times New Roman"/>
          <w:noProof/>
          <w:color w:val="000000" w:themeColor="text1"/>
          <w:sz w:val="24"/>
        </w:rPr>
        <w:t xml:space="preserve">Les États membres sont encouragés à </w:t>
      </w:r>
      <w:r w:rsidRPr="00CE0265">
        <w:rPr>
          <w:rFonts w:ascii="Times New Roman" w:hAnsi="Times New Roman"/>
          <w:b/>
          <w:noProof/>
          <w:color w:val="000000" w:themeColor="text1"/>
          <w:sz w:val="24"/>
        </w:rPr>
        <w:t>rationaliser l’aménagement du territoire et les procédures d’autorisation afin de permettre le développement rapide de zones supplémentaires destinées à l’utilisation portuaire</w:t>
      </w:r>
      <w:r w:rsidRPr="00CE0265">
        <w:rPr>
          <w:rFonts w:ascii="Times New Roman" w:hAnsi="Times New Roman"/>
          <w:noProof/>
          <w:color w:val="000000" w:themeColor="text1"/>
          <w:sz w:val="24"/>
        </w:rPr>
        <w:t>, tout en protégeant l’environnement et la santé humaine, conformément à la proposition de règlement concernant l’accélération des évaluations environnementales</w:t>
      </w:r>
      <w:r w:rsidRPr="00CE0265">
        <w:rPr>
          <w:rStyle w:val="FootnoteReference"/>
          <w:rFonts w:ascii="Times New Roman" w:hAnsi="Times New Roman" w:cs="Times New Roman"/>
          <w:noProof/>
          <w:color w:val="000000" w:themeColor="text1"/>
          <w:sz w:val="24"/>
          <w:szCs w:val="24"/>
        </w:rPr>
        <w:footnoteReference w:id="16"/>
      </w:r>
      <w:r w:rsidRPr="00CE0265">
        <w:rPr>
          <w:rFonts w:ascii="Times New Roman" w:hAnsi="Times New Roman"/>
          <w:noProof/>
          <w:color w:val="000000" w:themeColor="text1"/>
          <w:sz w:val="24"/>
        </w:rPr>
        <w:t xml:space="preserve">. </w:t>
      </w:r>
    </w:p>
    <w:p w14:paraId="4FCE56AD" w14:textId="77777777" w:rsidR="00CD3539" w:rsidRPr="00CE0265" w:rsidRDefault="00E1100C" w:rsidP="00E1100C">
      <w:pPr>
        <w:spacing w:line="276" w:lineRule="auto"/>
        <w:jc w:val="both"/>
        <w:rPr>
          <w:rFonts w:ascii="Times New Roman" w:hAnsi="Times New Roman" w:cs="Times New Roman"/>
          <w:noProof/>
          <w:sz w:val="24"/>
          <w:szCs w:val="24"/>
        </w:rPr>
      </w:pPr>
      <w:r w:rsidRPr="00CE0265">
        <w:rPr>
          <w:rFonts w:ascii="Times New Roman" w:hAnsi="Times New Roman"/>
          <w:noProof/>
          <w:sz w:val="24"/>
        </w:rPr>
        <w:t>Les applications numériques peuvent optimiser les escales, améliorer les temps de rotation, réduire les temps d’attente et optimiser l’utilisation des ressources, tout en réduisant les émissions et en améliorant la sûreté et la sécurité. Les initiatives numériques de l’UE</w:t>
      </w:r>
      <w:r w:rsidRPr="00CE0265">
        <w:rPr>
          <w:rStyle w:val="FootnoteReference"/>
          <w:rFonts w:ascii="Times New Roman" w:hAnsi="Times New Roman" w:cs="Times New Roman"/>
          <w:noProof/>
          <w:sz w:val="24"/>
          <w:szCs w:val="24"/>
        </w:rPr>
        <w:footnoteReference w:id="17"/>
      </w:r>
      <w:r w:rsidRPr="00CE0265">
        <w:rPr>
          <w:rFonts w:ascii="Times New Roman" w:hAnsi="Times New Roman"/>
          <w:noProof/>
          <w:sz w:val="24"/>
        </w:rPr>
        <w:t xml:space="preserve"> faciliteront la déclaration B2G et les procédures douanières. En outre, le volet numérique du mécanisme pour l'interconnexion en Europe (MIE) soutient le déploiement des technologies 5G dans les ports. </w:t>
      </w:r>
    </w:p>
    <w:p w14:paraId="1D8C29C3" w14:textId="0F290C43" w:rsidR="00E1100C" w:rsidRPr="00CE0265" w:rsidRDefault="00E1100C" w:rsidP="00E1100C">
      <w:pPr>
        <w:spacing w:line="276" w:lineRule="auto"/>
        <w:jc w:val="both"/>
        <w:rPr>
          <w:rFonts w:ascii="Times New Roman" w:hAnsi="Times New Roman" w:cs="Times New Roman"/>
          <w:noProof/>
          <w:sz w:val="24"/>
          <w:szCs w:val="24"/>
        </w:rPr>
      </w:pPr>
      <w:r w:rsidRPr="00CE0265">
        <w:rPr>
          <w:rFonts w:ascii="Times New Roman" w:hAnsi="Times New Roman"/>
          <w:noProof/>
          <w:sz w:val="24"/>
        </w:rPr>
        <w:t xml:space="preserve">L’échange de données B2B est fragmenté et souvent lié à des logiciels propriétaires. Une meilleure intégration des systèmes peut améliorer la visibilité de la chaîne d’approvisionnement sans imposer de plateformes centralisées et préserve les investissements informatiques existants. La Commission </w:t>
      </w:r>
      <w:r w:rsidRPr="00CE0265">
        <w:rPr>
          <w:rFonts w:ascii="Times New Roman" w:hAnsi="Times New Roman"/>
          <w:b/>
          <w:noProof/>
          <w:sz w:val="24"/>
        </w:rPr>
        <w:t>élaborera des lignes directrices de l’UE sur le partage efficace des données dans la chaîne de transport</w:t>
      </w:r>
      <w:r w:rsidRPr="00CE0265">
        <w:rPr>
          <w:rFonts w:ascii="Times New Roman" w:hAnsi="Times New Roman"/>
          <w:noProof/>
          <w:sz w:val="24"/>
        </w:rPr>
        <w:t>, parallèlement à des actions menées par les États membres</w:t>
      </w:r>
      <w:r w:rsidRPr="00CE0265">
        <w:rPr>
          <w:rStyle w:val="FootnoteReference"/>
          <w:rFonts w:ascii="Times New Roman" w:hAnsi="Times New Roman" w:cs="Times New Roman"/>
          <w:noProof/>
          <w:sz w:val="24"/>
          <w:szCs w:val="24"/>
        </w:rPr>
        <w:footnoteReference w:id="18"/>
      </w:r>
      <w:r w:rsidRPr="00CE0265">
        <w:rPr>
          <w:rFonts w:ascii="Times New Roman" w:hAnsi="Times New Roman"/>
          <w:noProof/>
          <w:sz w:val="24"/>
        </w:rPr>
        <w:t xml:space="preserve">. </w:t>
      </w:r>
    </w:p>
    <w:p w14:paraId="5AC3AB68" w14:textId="77777777" w:rsidR="00FB3963" w:rsidRPr="00CE0265" w:rsidRDefault="00FB3963" w:rsidP="00C10F3B">
      <w:pPr>
        <w:pStyle w:val="Heading3"/>
        <w:numPr>
          <w:ilvl w:val="1"/>
          <w:numId w:val="2"/>
        </w:numPr>
        <w:rPr>
          <w:rFonts w:ascii="Times New Roman" w:hAnsi="Times New Roman" w:cs="Times New Roman"/>
          <w:b/>
          <w:bCs/>
          <w:i/>
          <w:iCs/>
          <w:noProof/>
          <w:color w:val="auto"/>
          <w:sz w:val="24"/>
          <w:szCs w:val="24"/>
        </w:rPr>
      </w:pPr>
      <w:r w:rsidRPr="00CE0265">
        <w:rPr>
          <w:rFonts w:ascii="Times New Roman" w:hAnsi="Times New Roman"/>
          <w:b/>
          <w:i/>
          <w:noProof/>
          <w:color w:val="auto"/>
          <w:sz w:val="24"/>
        </w:rPr>
        <w:t>Un marché intérieur opérationnel et une concurrence loyale</w:t>
      </w:r>
    </w:p>
    <w:p w14:paraId="1F93936B" w14:textId="74D3B484" w:rsidR="00FB3963" w:rsidRPr="00CE0265" w:rsidRDefault="00FB3963" w:rsidP="00FB3963">
      <w:pPr>
        <w:jc w:val="both"/>
        <w:rPr>
          <w:rFonts w:ascii="Times New Roman" w:hAnsi="Times New Roman"/>
          <w:noProof/>
          <w:sz w:val="24"/>
          <w:szCs w:val="24"/>
        </w:rPr>
      </w:pPr>
      <w:r w:rsidRPr="00CE0265">
        <w:rPr>
          <w:rFonts w:ascii="Times New Roman" w:hAnsi="Times New Roman"/>
          <w:noProof/>
          <w:sz w:val="24"/>
        </w:rPr>
        <w:t>Le bon fonctionnement du marché intérieur constitue un avantage concurrentiel pour les ports de l’UE. Il favorise également l’autonomie stratégique de l’Europe et préserve l’emploi dans le secteur portuaire. Le commerce et le marché intérieur étaient au cœur de la politique portuaire de l’UE de 2013</w:t>
      </w:r>
      <w:r w:rsidRPr="00CE0265">
        <w:rPr>
          <w:rStyle w:val="FootnoteReference"/>
          <w:rFonts w:ascii="Times New Roman" w:hAnsi="Times New Roman" w:cs="Times New Roman"/>
          <w:noProof/>
          <w:sz w:val="24"/>
          <w:szCs w:val="24"/>
        </w:rPr>
        <w:footnoteReference w:id="19"/>
      </w:r>
      <w:r w:rsidRPr="00CE0265">
        <w:rPr>
          <w:rFonts w:ascii="Times New Roman" w:hAnsi="Times New Roman"/>
          <w:noProof/>
          <w:sz w:val="24"/>
        </w:rPr>
        <w:t xml:space="preserve">. Si des progrès sont visibles, l’incohérence dans la mise en œuvre des règles du marché unique dans les États membres, l’évolution des structures du marché portuaire et la lenteur des procédures d’autorisation mettent en péril les avantages concurrentiels de l’UE. </w:t>
      </w:r>
    </w:p>
    <w:p w14:paraId="7B8B3327" w14:textId="7A794D2E" w:rsidR="00FB3963" w:rsidRPr="00CE0265" w:rsidRDefault="00FB3963" w:rsidP="00FB3963">
      <w:pPr>
        <w:jc w:val="both"/>
        <w:rPr>
          <w:rFonts w:ascii="Times New Roman" w:hAnsi="Times New Roman"/>
          <w:noProof/>
          <w:sz w:val="24"/>
          <w:szCs w:val="24"/>
        </w:rPr>
      </w:pPr>
      <w:r w:rsidRPr="00CE0265">
        <w:rPr>
          <w:rFonts w:ascii="Times New Roman" w:hAnsi="Times New Roman"/>
          <w:noProof/>
          <w:sz w:val="24"/>
        </w:rPr>
        <w:t>Les règles de l’UE en matière d’aides d’État encadrent le financement des ports par les États membres et apportent clarté juridique, transparence et prévisibilité. Les règles révisées relatives aux ports et aux liaisons maritimes figurant dans la décision relative aux services d’intérêt économique général (SIEG) permettent aux États membres de soutenir plus efficacement les ports de plus petite taille dans les îles et les régions côtières et ultrapériphériques</w:t>
      </w:r>
      <w:r w:rsidRPr="00CE0265">
        <w:rPr>
          <w:rStyle w:val="FootnoteReference"/>
          <w:rFonts w:ascii="Times New Roman" w:hAnsi="Times New Roman" w:cs="Times New Roman"/>
          <w:noProof/>
          <w:sz w:val="24"/>
          <w:szCs w:val="24"/>
        </w:rPr>
        <w:footnoteReference w:id="20"/>
      </w:r>
      <w:r w:rsidRPr="00CE0265">
        <w:rPr>
          <w:rFonts w:ascii="Times New Roman" w:hAnsi="Times New Roman"/>
          <w:noProof/>
          <w:sz w:val="24"/>
        </w:rPr>
        <w:t xml:space="preserve">. Les ports doivent également relever les défis émergents (sûreté, cybersécurité, numérisation, mobilité militaire et reconversion des travailleurs portuaires face aux nouvelles technologies), et le financement des investissements à cette fin ne devrait pas fausser la concurrence. La Commission </w:t>
      </w:r>
      <w:r w:rsidRPr="00CE0265">
        <w:rPr>
          <w:rFonts w:ascii="Times New Roman" w:hAnsi="Times New Roman"/>
          <w:b/>
          <w:noProof/>
          <w:sz w:val="24"/>
        </w:rPr>
        <w:t>réexamine actuellement le règlement (UE) nº 651/2014 de la Commission («règlement général d’exemption par catégorie» – RGEC)</w:t>
      </w:r>
      <w:r w:rsidRPr="00CE0265">
        <w:rPr>
          <w:rFonts w:ascii="Times New Roman" w:hAnsi="Times New Roman"/>
          <w:noProof/>
          <w:sz w:val="24"/>
        </w:rPr>
        <w:t>.</w:t>
      </w:r>
      <w:r w:rsidRPr="00CE0265">
        <w:rPr>
          <w:rFonts w:ascii="Times New Roman" w:hAnsi="Times New Roman"/>
          <w:b/>
          <w:noProof/>
          <w:sz w:val="24"/>
        </w:rPr>
        <w:t xml:space="preserve"> </w:t>
      </w:r>
      <w:r w:rsidRPr="00CE0265">
        <w:rPr>
          <w:rFonts w:ascii="Times New Roman" w:hAnsi="Times New Roman"/>
          <w:noProof/>
          <w:sz w:val="24"/>
        </w:rPr>
        <w:t xml:space="preserve">Dans ce contexte, le cas échéant, et à la lumière des résultats de la consultation publique, la Commission </w:t>
      </w:r>
      <w:r w:rsidRPr="00CE0265">
        <w:rPr>
          <w:rFonts w:ascii="Times New Roman" w:hAnsi="Times New Roman"/>
          <w:b/>
          <w:noProof/>
          <w:sz w:val="24"/>
        </w:rPr>
        <w:t>évaluera s’il convient de modifier les seuils</w:t>
      </w:r>
      <w:r w:rsidRPr="00CE0265">
        <w:rPr>
          <w:rFonts w:ascii="Times New Roman" w:hAnsi="Times New Roman"/>
          <w:noProof/>
          <w:sz w:val="24"/>
        </w:rPr>
        <w:t xml:space="preserve"> et </w:t>
      </w:r>
      <w:r w:rsidRPr="00CE0265">
        <w:rPr>
          <w:rFonts w:ascii="Times New Roman" w:hAnsi="Times New Roman"/>
          <w:b/>
          <w:noProof/>
          <w:sz w:val="24"/>
        </w:rPr>
        <w:t>fournira des orientations supplémentaires</w:t>
      </w:r>
      <w:r w:rsidRPr="00CE0265">
        <w:rPr>
          <w:rFonts w:ascii="Times New Roman" w:hAnsi="Times New Roman"/>
          <w:noProof/>
          <w:sz w:val="24"/>
        </w:rPr>
        <w:t xml:space="preserve"> à l'aide d’exemples et de clarifications interprétatives des règles du RGEC, y compris pour les investissements dans les infrastructures portuaires. Avec les futures lignes directrices sur le transport terrestre et multimodal, le nouveau règlement d’exemption par catégorie dans le secteur des transports facilitera le soutien public en faveur des installations de transport multimodal qui se trouvent dans les ports maritimes et qui sont reliées par chemin de fer ou par voie navigable, améliorant ainsi les liaisons avec l’arrière-pays.</w:t>
      </w:r>
    </w:p>
    <w:p w14:paraId="263663B8" w14:textId="2D30CDDE" w:rsidR="00FB3963" w:rsidRPr="00CE0265" w:rsidRDefault="00FB3963" w:rsidP="00FB3963">
      <w:pPr>
        <w:jc w:val="both"/>
        <w:rPr>
          <w:rFonts w:ascii="Times New Roman" w:hAnsi="Times New Roman"/>
          <w:noProof/>
          <w:sz w:val="24"/>
          <w:szCs w:val="24"/>
        </w:rPr>
      </w:pPr>
      <w:r w:rsidRPr="00CE0265">
        <w:rPr>
          <w:rFonts w:ascii="Times New Roman" w:hAnsi="Times New Roman"/>
          <w:noProof/>
          <w:sz w:val="24"/>
        </w:rPr>
        <w:t xml:space="preserve">Les </w:t>
      </w:r>
      <w:r w:rsidRPr="00CE0265">
        <w:rPr>
          <w:rFonts w:ascii="Times New Roman" w:hAnsi="Times New Roman"/>
          <w:b/>
          <w:noProof/>
          <w:sz w:val="24"/>
        </w:rPr>
        <w:t>contrats de concession et de bail foncier</w:t>
      </w:r>
      <w:r w:rsidRPr="00CE0265">
        <w:rPr>
          <w:rFonts w:ascii="Times New Roman" w:hAnsi="Times New Roman"/>
          <w:noProof/>
          <w:sz w:val="24"/>
        </w:rPr>
        <w:t xml:space="preserve"> avec les exploitants de terminaux portuaires jouent un rôle essentiel pour attirer des capitaux et stimuler la compétitivité des ports européens. Ces contrats constituent le cadre des investissements à long terme, permettant aux ports de prospérer et de répondre aux besoins urgents de la société. Les États membres et les autorités portuaires devraient s’employer à atteindre un </w:t>
      </w:r>
      <w:r w:rsidRPr="00CE0265">
        <w:rPr>
          <w:rFonts w:ascii="Times New Roman" w:hAnsi="Times New Roman"/>
          <w:b/>
          <w:noProof/>
          <w:sz w:val="24"/>
        </w:rPr>
        <w:t>équilibre entre le rendement des investissements pour les opérateurs privés et le caractère approprié des obligations contractuelles</w:t>
      </w:r>
      <w:r w:rsidRPr="00CE0265">
        <w:rPr>
          <w:rFonts w:ascii="Times New Roman" w:hAnsi="Times New Roman"/>
          <w:noProof/>
          <w:sz w:val="24"/>
        </w:rPr>
        <w:t xml:space="preserve"> (durée, conditions transparentes et équitables pour les renouvellements, clauses de flexibilité) afin de garantir la résilience, la sécurité, la sûreté et la réduction des émissions. La Commission veillera au respect des règles du marché intérieur dans tous les ports de l’UE.</w:t>
      </w:r>
    </w:p>
    <w:p w14:paraId="0F9C49C3" w14:textId="1A8F936F" w:rsidR="00FB3963" w:rsidRPr="00CE0265" w:rsidRDefault="00FB3963" w:rsidP="00FB3963">
      <w:pPr>
        <w:jc w:val="both"/>
        <w:rPr>
          <w:rFonts w:ascii="Times New Roman" w:eastAsia="Times New Roman" w:hAnsi="Times New Roman" w:cs="Times New Roman"/>
          <w:noProof/>
          <w:sz w:val="24"/>
          <w:szCs w:val="24"/>
        </w:rPr>
      </w:pPr>
      <w:r w:rsidRPr="00CE0265">
        <w:rPr>
          <w:rFonts w:ascii="Times New Roman" w:hAnsi="Times New Roman"/>
          <w:noProof/>
          <w:sz w:val="24"/>
        </w:rPr>
        <w:t>L’intégration verticale croissante des grands opérateurs logistiques et maritimes modifie le paysage portuaire traditionnel. L’intégration verticale peut améliorer la prévisibilité de l’évolution du trafic et, partant, soutenir les plans d’investissement à long terme, générer des gains d’efficacité et des innovations tout au long des chaînes logistiques, réduire les coûts de transaction et améliorer la qualité des services pour les utilisateurs. Dans le même temps, il convient de préserver une concurrence effective entre les opérateurs, conformément aux règles de l’UE applicables en matière de pratiques anticoncurrentielles et de concentrations.</w:t>
      </w:r>
      <w:r w:rsidRPr="00CE0265">
        <w:rPr>
          <w:rFonts w:ascii="Times New Roman" w:hAnsi="Times New Roman"/>
          <w:b/>
          <w:noProof/>
          <w:sz w:val="24"/>
        </w:rPr>
        <w:t xml:space="preserve"> </w:t>
      </w:r>
      <w:r w:rsidRPr="00CE0265">
        <w:rPr>
          <w:rFonts w:ascii="Times New Roman" w:hAnsi="Times New Roman"/>
          <w:noProof/>
          <w:sz w:val="24"/>
        </w:rPr>
        <w:t xml:space="preserve">La Commission </w:t>
      </w:r>
      <w:r w:rsidRPr="00CE0265">
        <w:rPr>
          <w:rFonts w:ascii="Times New Roman" w:hAnsi="Times New Roman"/>
          <w:b/>
          <w:noProof/>
          <w:sz w:val="24"/>
        </w:rPr>
        <w:t>réexaminera les lignes directrices de l’UE sur les concentrations</w:t>
      </w:r>
      <w:r w:rsidRPr="00CE0265">
        <w:rPr>
          <w:rFonts w:ascii="Times New Roman" w:hAnsi="Times New Roman"/>
          <w:noProof/>
          <w:sz w:val="24"/>
        </w:rPr>
        <w:t xml:space="preserve"> en vue de fournir des orientations claires et actualisées sur l’application des règles de l’UE en matière de concentrations aux effets tant horizontaux que non horizontaux des concentrations. </w:t>
      </w:r>
    </w:p>
    <w:p w14:paraId="36078F63" w14:textId="77777777" w:rsidR="00AF3F48" w:rsidRPr="00CE0265" w:rsidRDefault="00AF3F48" w:rsidP="00FB3963">
      <w:pPr>
        <w:jc w:val="both"/>
        <w:rPr>
          <w:rFonts w:ascii="Times New Roman" w:hAnsi="Times New Roman"/>
          <w:noProof/>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CE0265" w14:paraId="7BFC93FA" w14:textId="77777777">
        <w:tc>
          <w:tcPr>
            <w:tcW w:w="9016" w:type="dxa"/>
          </w:tcPr>
          <w:p w14:paraId="252AD0F1" w14:textId="7D860066" w:rsidR="00E1100C" w:rsidRPr="00CE0265" w:rsidRDefault="00E1100C">
            <w:pPr>
              <w:rPr>
                <w:rFonts w:ascii="Times New Roman" w:hAnsi="Times New Roman" w:cs="Times New Roman"/>
                <w:b/>
                <w:bCs/>
                <w:i/>
                <w:iCs/>
                <w:noProof/>
              </w:rPr>
            </w:pPr>
            <w:r w:rsidRPr="00CE0265">
              <w:rPr>
                <w:rFonts w:ascii="Times New Roman" w:hAnsi="Times New Roman"/>
                <w:b/>
                <w:i/>
                <w:noProof/>
              </w:rPr>
              <w:t>Actions phares</w:t>
            </w:r>
          </w:p>
          <w:p w14:paraId="6F78A2AF" w14:textId="6E221CDC" w:rsidR="00F12335" w:rsidRPr="00CE0265" w:rsidRDefault="00673FB5" w:rsidP="00C10F3B">
            <w:pPr>
              <w:pStyle w:val="ListParagraph"/>
              <w:numPr>
                <w:ilvl w:val="0"/>
                <w:numId w:val="5"/>
              </w:numPr>
              <w:jc w:val="both"/>
              <w:rPr>
                <w:rFonts w:ascii="Times New Roman" w:hAnsi="Times New Roman" w:cs="Times New Roman"/>
                <w:i/>
                <w:iCs/>
                <w:noProof/>
              </w:rPr>
            </w:pPr>
            <w:r w:rsidRPr="00CE0265">
              <w:rPr>
                <w:rFonts w:ascii="Times New Roman" w:hAnsi="Times New Roman"/>
                <w:i/>
                <w:noProof/>
              </w:rPr>
              <w:t>Utiliser des principes directeurs pour les financements et les investissements de l’UE dans les ports de pays tiers (annexe 1).</w:t>
            </w:r>
          </w:p>
          <w:p w14:paraId="4013729D" w14:textId="6C346DBF" w:rsidR="00D75C44" w:rsidRPr="00CE0265" w:rsidRDefault="00553BEC" w:rsidP="00C10F3B">
            <w:pPr>
              <w:pStyle w:val="ListParagraph"/>
              <w:numPr>
                <w:ilvl w:val="0"/>
                <w:numId w:val="5"/>
              </w:numPr>
              <w:rPr>
                <w:rFonts w:ascii="Times New Roman" w:hAnsi="Times New Roman" w:cs="Times New Roman"/>
                <w:i/>
                <w:iCs/>
                <w:noProof/>
              </w:rPr>
            </w:pPr>
            <w:r w:rsidRPr="00CE0265">
              <w:rPr>
                <w:rFonts w:ascii="Times New Roman" w:hAnsi="Times New Roman"/>
                <w:i/>
                <w:noProof/>
              </w:rPr>
              <w:t>Élaborer des orientations à l’intention des États membres comprenant des critères pour l’évaluation des investissements étrangers dans les ports, dans le respect des engagements internationaux de l’UE.</w:t>
            </w:r>
          </w:p>
          <w:p w14:paraId="44D0092B" w14:textId="5F6A914E" w:rsidR="00BF41CA" w:rsidRPr="00CE0265" w:rsidRDefault="00D75C44" w:rsidP="00C10F3B">
            <w:pPr>
              <w:pStyle w:val="ListParagraph"/>
              <w:numPr>
                <w:ilvl w:val="0"/>
                <w:numId w:val="5"/>
              </w:numPr>
              <w:shd w:val="clear" w:color="auto" w:fill="FFFFFF" w:themeFill="background1"/>
              <w:spacing w:before="120" w:after="120"/>
              <w:jc w:val="both"/>
              <w:rPr>
                <w:rFonts w:ascii="Times New Roman" w:hAnsi="Times New Roman" w:cs="Times New Roman"/>
                <w:i/>
                <w:noProof/>
              </w:rPr>
            </w:pPr>
            <w:bookmarkStart w:id="5" w:name="_Hlk221127306"/>
            <w:r w:rsidRPr="00CE0265">
              <w:rPr>
                <w:rFonts w:ascii="Times New Roman" w:hAnsi="Times New Roman"/>
                <w:i/>
                <w:noProof/>
              </w:rPr>
              <w:t>Soutenir la transformation numérique et écologique des ports européens par l’innovation, en encourageant le développement, la reproduction et l’utilisation d’équipements et de technologies portuaires innovants.</w:t>
            </w:r>
            <w:bookmarkEnd w:id="5"/>
          </w:p>
        </w:tc>
      </w:tr>
    </w:tbl>
    <w:p w14:paraId="7AC08875" w14:textId="24FB77FF" w:rsidR="00E1100C" w:rsidRPr="00CE0265" w:rsidRDefault="00E1100C" w:rsidP="00C10F3B">
      <w:pPr>
        <w:pStyle w:val="Heading2"/>
        <w:numPr>
          <w:ilvl w:val="0"/>
          <w:numId w:val="2"/>
        </w:numPr>
        <w:jc w:val="both"/>
        <w:rPr>
          <w:rFonts w:ascii="Times New Roman" w:hAnsi="Times New Roman" w:cs="Times New Roman"/>
          <w:b/>
          <w:bCs/>
          <w:noProof/>
          <w:color w:val="auto"/>
          <w:sz w:val="24"/>
          <w:szCs w:val="24"/>
        </w:rPr>
      </w:pPr>
      <w:r w:rsidRPr="00CE0265">
        <w:rPr>
          <w:rFonts w:ascii="Times New Roman" w:hAnsi="Times New Roman"/>
          <w:b/>
          <w:noProof/>
          <w:color w:val="auto"/>
          <w:sz w:val="24"/>
        </w:rPr>
        <w:t>FAIRE PROGRESSER LA TRANSITION ÉNERGÉTIQUE, LA DURABILITÉ ET LES INDUSTRIES PROPRES</w:t>
      </w:r>
    </w:p>
    <w:p w14:paraId="7B62C794" w14:textId="2692F430" w:rsidR="005F1754" w:rsidRPr="00CE0265" w:rsidRDefault="005F1754" w:rsidP="00C10F3B">
      <w:pPr>
        <w:pStyle w:val="Heading3"/>
        <w:numPr>
          <w:ilvl w:val="1"/>
          <w:numId w:val="2"/>
        </w:numPr>
        <w:rPr>
          <w:rFonts w:ascii="Times New Roman" w:hAnsi="Times New Roman" w:cs="Times New Roman"/>
          <w:b/>
          <w:bCs/>
          <w:i/>
          <w:iCs/>
          <w:noProof/>
          <w:color w:val="000000" w:themeColor="text1"/>
          <w:sz w:val="24"/>
          <w:szCs w:val="24"/>
        </w:rPr>
      </w:pPr>
      <w:bookmarkStart w:id="6" w:name="_Hlk219458267"/>
      <w:r w:rsidRPr="00CE0265">
        <w:rPr>
          <w:rFonts w:ascii="Times New Roman" w:hAnsi="Times New Roman"/>
          <w:b/>
          <w:i/>
          <w:noProof/>
          <w:color w:val="000000" w:themeColor="text1"/>
          <w:sz w:val="24"/>
        </w:rPr>
        <w:t>Les ports en tant que catalyseurs de la transition énergétique</w:t>
      </w:r>
    </w:p>
    <w:p w14:paraId="0B68DB3F" w14:textId="276CC92A" w:rsidR="008D2729" w:rsidRPr="00CE0265" w:rsidRDefault="00266F67" w:rsidP="00E1100C">
      <w:pPr>
        <w:jc w:val="both"/>
        <w:rPr>
          <w:rFonts w:ascii="Times New Roman" w:hAnsi="Times New Roman" w:cs="Times New Roman"/>
          <w:noProof/>
          <w:sz w:val="24"/>
          <w:szCs w:val="24"/>
        </w:rPr>
      </w:pPr>
      <w:r w:rsidRPr="00CE0265">
        <w:rPr>
          <w:rFonts w:ascii="Times New Roman" w:hAnsi="Times New Roman"/>
          <w:noProof/>
          <w:sz w:val="24"/>
        </w:rPr>
        <w:t xml:space="preserve">Environ 40 % des marchandises traitées étant liées à l’énergie, les ports deviennent des pôles énergétiques et industriels stratégiques. </w:t>
      </w:r>
    </w:p>
    <w:p w14:paraId="2789331F" w14:textId="42476DB8" w:rsidR="00E1100C" w:rsidRPr="00CE0265" w:rsidRDefault="00E1100C" w:rsidP="007653DE">
      <w:pPr>
        <w:rPr>
          <w:rFonts w:ascii="Times New Roman" w:hAnsi="Times New Roman" w:cs="Times New Roman"/>
          <w:b/>
          <w:i/>
          <w:noProof/>
          <w:sz w:val="24"/>
          <w:szCs w:val="24"/>
        </w:rPr>
      </w:pPr>
      <w:r w:rsidRPr="00CE0265">
        <w:rPr>
          <w:rFonts w:ascii="Times New Roman" w:hAnsi="Times New Roman"/>
          <w:b/>
          <w:i/>
          <w:noProof/>
          <w:sz w:val="24"/>
        </w:rPr>
        <w:t>Électrification des ports: la pierre angulaire de la décarbonation</w:t>
      </w:r>
    </w:p>
    <w:p w14:paraId="6C76790F" w14:textId="20F67717" w:rsidR="00E1100C" w:rsidRPr="00CE0265" w:rsidRDefault="00E1100C" w:rsidP="00E1100C">
      <w:pPr>
        <w:jc w:val="both"/>
        <w:rPr>
          <w:rFonts w:ascii="Times New Roman" w:hAnsi="Times New Roman" w:cs="Times New Roman"/>
          <w:noProof/>
          <w:sz w:val="24"/>
          <w:szCs w:val="24"/>
        </w:rPr>
      </w:pPr>
      <w:r w:rsidRPr="00CE0265">
        <w:rPr>
          <w:rFonts w:ascii="Times New Roman" w:hAnsi="Times New Roman"/>
          <w:noProof/>
          <w:sz w:val="24"/>
        </w:rPr>
        <w:t>62 % des ports maritimes européens visités offrent une alimentation électrique à quai à un ou plusieurs postes d’arrimage</w:t>
      </w:r>
      <w:r w:rsidRPr="00CE0265">
        <w:rPr>
          <w:rFonts w:ascii="Times New Roman" w:hAnsi="Times New Roman" w:cs="Times New Roman"/>
          <w:noProof/>
          <w:sz w:val="24"/>
          <w:szCs w:val="24"/>
          <w:vertAlign w:val="superscript"/>
        </w:rPr>
        <w:footnoteReference w:id="21"/>
      </w:r>
      <w:r w:rsidRPr="00CE0265">
        <w:rPr>
          <w:rFonts w:ascii="Times New Roman" w:hAnsi="Times New Roman"/>
          <w:noProof/>
          <w:sz w:val="24"/>
        </w:rPr>
        <w:t>, mais les progrès sont inégaux</w:t>
      </w:r>
      <w:r w:rsidRPr="00CE0265">
        <w:rPr>
          <w:rStyle w:val="FootnoteReference"/>
          <w:rFonts w:ascii="Times New Roman" w:hAnsi="Times New Roman" w:cs="Times New Roman"/>
          <w:noProof/>
          <w:sz w:val="24"/>
          <w:szCs w:val="24"/>
        </w:rPr>
        <w:footnoteReference w:id="22"/>
      </w:r>
      <w:r w:rsidRPr="00CE0265">
        <w:rPr>
          <w:rFonts w:ascii="Times New Roman" w:hAnsi="Times New Roman"/>
          <w:noProof/>
          <w:sz w:val="24"/>
        </w:rPr>
        <w:t xml:space="preserve"> et les contraintes de capacité persistent, tandis que la demande devrait augmenter</w:t>
      </w:r>
      <w:r w:rsidRPr="00CE0265">
        <w:rPr>
          <w:rStyle w:val="FootnoteReference"/>
          <w:rFonts w:ascii="Times New Roman" w:hAnsi="Times New Roman" w:cs="Times New Roman"/>
          <w:noProof/>
          <w:sz w:val="24"/>
          <w:szCs w:val="24"/>
        </w:rPr>
        <w:footnoteReference w:id="23"/>
      </w:r>
      <w:r w:rsidRPr="00CE0265">
        <w:rPr>
          <w:rFonts w:ascii="Times New Roman" w:hAnsi="Times New Roman"/>
          <w:noProof/>
          <w:sz w:val="24"/>
        </w:rPr>
        <w:t xml:space="preserve">. </w:t>
      </w:r>
      <w:bookmarkStart w:id="7" w:name="_Hlk222306237"/>
      <w:r w:rsidRPr="00CE0265">
        <w:rPr>
          <w:rFonts w:ascii="Times New Roman" w:hAnsi="Times New Roman"/>
          <w:noProof/>
          <w:sz w:val="24"/>
        </w:rPr>
        <w:t>La Commission continuera de suivre le déploiement de l’alimentation électrique à quai par l’intermédiaire de l’AESM et de l’Observatoire européen des carburants alternatifs</w:t>
      </w:r>
      <w:bookmarkEnd w:id="7"/>
      <w:r w:rsidRPr="00CE0265">
        <w:rPr>
          <w:noProof/>
        </w:rPr>
        <w:t>.</w:t>
      </w:r>
      <w:r w:rsidRPr="00CE0265">
        <w:rPr>
          <w:rFonts w:ascii="Times New Roman" w:hAnsi="Times New Roman"/>
          <w:noProof/>
          <w:sz w:val="24"/>
        </w:rPr>
        <w:t xml:space="preserve"> Dans le prochain </w:t>
      </w:r>
      <w:r w:rsidRPr="00CE0265">
        <w:rPr>
          <w:rFonts w:ascii="Times New Roman" w:hAnsi="Times New Roman"/>
          <w:b/>
          <w:noProof/>
          <w:sz w:val="24"/>
        </w:rPr>
        <w:t>plan d’action en faveur de l’électrification</w:t>
      </w:r>
      <w:r w:rsidRPr="00CE0265">
        <w:rPr>
          <w:rFonts w:ascii="Times New Roman" w:hAnsi="Times New Roman"/>
          <w:noProof/>
          <w:sz w:val="24"/>
        </w:rPr>
        <w:t xml:space="preserve">, la Commission </w:t>
      </w:r>
      <w:r w:rsidRPr="00CE0265">
        <w:rPr>
          <w:rFonts w:ascii="Times New Roman" w:hAnsi="Times New Roman"/>
          <w:b/>
          <w:noProof/>
          <w:sz w:val="24"/>
        </w:rPr>
        <w:t>introduira de nouvelles mesures visant à soutenir l’électrification des ports</w:t>
      </w:r>
      <w:r w:rsidRPr="00CE0265">
        <w:rPr>
          <w:rFonts w:ascii="Times New Roman" w:hAnsi="Times New Roman"/>
          <w:noProof/>
          <w:sz w:val="24"/>
        </w:rPr>
        <w:t xml:space="preserve">. Par ailleurs, elle </w:t>
      </w:r>
      <w:r w:rsidRPr="00CE0265">
        <w:rPr>
          <w:rFonts w:ascii="Times New Roman" w:hAnsi="Times New Roman"/>
          <w:b/>
          <w:noProof/>
          <w:sz w:val="24"/>
        </w:rPr>
        <w:t>encouragera une plus grande transparence dans la tarification de l’alimentation électrique à quai</w:t>
      </w:r>
      <w:r w:rsidRPr="00CE0265">
        <w:rPr>
          <w:rFonts w:ascii="Times New Roman" w:hAnsi="Times New Roman"/>
          <w:noProof/>
          <w:sz w:val="24"/>
        </w:rPr>
        <w:t xml:space="preserve"> et une meilleure prévision de la demande. </w:t>
      </w:r>
    </w:p>
    <w:p w14:paraId="7EA716E1" w14:textId="07C55D19" w:rsidR="00323196" w:rsidRPr="00CE0265" w:rsidRDefault="00931D73" w:rsidP="00E1100C">
      <w:pPr>
        <w:jc w:val="both"/>
        <w:rPr>
          <w:rFonts w:ascii="Times New Roman" w:hAnsi="Times New Roman" w:cs="Times New Roman"/>
          <w:noProof/>
          <w:sz w:val="24"/>
          <w:szCs w:val="24"/>
        </w:rPr>
      </w:pPr>
      <w:r w:rsidRPr="00CE0265">
        <w:rPr>
          <w:rFonts w:ascii="Times New Roman" w:hAnsi="Times New Roman"/>
          <w:noProof/>
          <w:sz w:val="24"/>
        </w:rPr>
        <w:t xml:space="preserve">À mesure que la demande d’électricité augmentera dans les ports, il sera essentiel de disposer d’une capacité de réseau suffisante. </w:t>
      </w:r>
      <w:r w:rsidRPr="00CE0265">
        <w:rPr>
          <w:rFonts w:ascii="Times New Roman" w:hAnsi="Times New Roman"/>
          <w:b/>
          <w:noProof/>
          <w:sz w:val="24"/>
        </w:rPr>
        <w:t>Les États membres devraient favoriser les leviers technologiques opérationnels et les solutions de réseaux intelligents, les procédures numérisées et une utilisation plus efficace des actifs existants du réseau</w:t>
      </w:r>
      <w:r w:rsidRPr="00CE0265">
        <w:rPr>
          <w:rFonts w:ascii="Times New Roman" w:hAnsi="Times New Roman"/>
          <w:noProof/>
          <w:sz w:val="24"/>
        </w:rPr>
        <w:t>. En outre, il convient de promouvoir des solutions de gestion de la demande, en particulier pour les ports de petite et moyenne taille. La proposition RTE-E révisée</w:t>
      </w:r>
      <w:r w:rsidRPr="00CE0265">
        <w:rPr>
          <w:rFonts w:ascii="Times New Roman" w:hAnsi="Times New Roman" w:cs="Times New Roman"/>
          <w:noProof/>
          <w:sz w:val="24"/>
          <w:szCs w:val="24"/>
          <w:vertAlign w:val="superscript"/>
        </w:rPr>
        <w:footnoteReference w:id="24"/>
      </w:r>
      <w:r w:rsidRPr="00CE0265">
        <w:rPr>
          <w:rFonts w:ascii="Times New Roman" w:hAnsi="Times New Roman"/>
          <w:noProof/>
          <w:sz w:val="24"/>
        </w:rPr>
        <w:t xml:space="preserve"> et le règlement RTE-T soutiennent le développement des infrastructures portuaires et l’intégration des énergies renouvelables en mer. </w:t>
      </w:r>
      <w:r w:rsidRPr="00CE0265">
        <w:rPr>
          <w:rFonts w:ascii="Times New Roman" w:hAnsi="Times New Roman"/>
          <w:b/>
          <w:noProof/>
          <w:sz w:val="24"/>
        </w:rPr>
        <w:t>Les États membres devraient renforcer les synergies entre le RTE-T et le RTE-E et la planification d’autres réseaux électriques</w:t>
      </w:r>
      <w:r w:rsidRPr="00CE0265">
        <w:rPr>
          <w:rFonts w:ascii="Times New Roman" w:hAnsi="Times New Roman"/>
          <w:noProof/>
          <w:sz w:val="24"/>
        </w:rPr>
        <w:t xml:space="preserve">, en particulier pour les corridors d’énergie renouvelable en mer. Dans ce contexte, les futurs plans de développement du réseau en mer devraient inclure les besoins terrestres, qu’il convient également de prendre en compte dans les plans nationaux de développement du réseau aux niveaux du transport et de la distribution. </w:t>
      </w:r>
    </w:p>
    <w:p w14:paraId="1B43ED56" w14:textId="77777777" w:rsidR="00E1100C" w:rsidRPr="00CE0265" w:rsidRDefault="00E1100C" w:rsidP="00E1100C">
      <w:pPr>
        <w:jc w:val="both"/>
        <w:rPr>
          <w:rFonts w:ascii="Times New Roman" w:hAnsi="Times New Roman" w:cs="Times New Roman"/>
          <w:b/>
          <w:bCs/>
          <w:i/>
          <w:iCs/>
          <w:noProof/>
          <w:sz w:val="24"/>
          <w:szCs w:val="24"/>
        </w:rPr>
      </w:pPr>
      <w:r w:rsidRPr="00CE0265">
        <w:rPr>
          <w:rFonts w:ascii="Times New Roman" w:hAnsi="Times New Roman"/>
          <w:b/>
          <w:i/>
          <w:noProof/>
          <w:sz w:val="24"/>
        </w:rPr>
        <w:t>Octroi de permis et raccordements accélérés au réseau</w:t>
      </w:r>
    </w:p>
    <w:p w14:paraId="253D7B43" w14:textId="145766C0" w:rsidR="00901999" w:rsidRPr="00CE0265" w:rsidRDefault="002811DD" w:rsidP="00E1100C">
      <w:pPr>
        <w:jc w:val="both"/>
        <w:rPr>
          <w:rFonts w:ascii="Times New Roman" w:hAnsi="Times New Roman" w:cs="Times New Roman"/>
          <w:noProof/>
          <w:sz w:val="24"/>
          <w:szCs w:val="24"/>
        </w:rPr>
      </w:pPr>
      <w:r w:rsidRPr="00CE0265">
        <w:rPr>
          <w:rFonts w:ascii="Times New Roman" w:hAnsi="Times New Roman"/>
          <w:noProof/>
          <w:sz w:val="24"/>
        </w:rPr>
        <w:t xml:space="preserve">Les installations éoliennes en mer et les installations flottantes nécessitent des équipements portuaires plus importants et renforcés pour l’assemblage, le stockage et le déploiement, davantage d’espace physique et une meilleure connexion au réseau. Le </w:t>
      </w:r>
      <w:r w:rsidRPr="00CE0265">
        <w:rPr>
          <w:rFonts w:ascii="Times New Roman" w:hAnsi="Times New Roman"/>
          <w:b/>
          <w:noProof/>
          <w:sz w:val="24"/>
        </w:rPr>
        <w:t>train de mesures sur les réseaux européens</w:t>
      </w:r>
      <w:r w:rsidRPr="00CE0265">
        <w:rPr>
          <w:rStyle w:val="FootnoteReference"/>
          <w:rFonts w:ascii="Times New Roman" w:hAnsi="Times New Roman" w:cs="Times New Roman"/>
          <w:noProof/>
          <w:sz w:val="24"/>
          <w:szCs w:val="24"/>
        </w:rPr>
        <w:footnoteReference w:id="25"/>
      </w:r>
      <w:r w:rsidRPr="00CE0265">
        <w:rPr>
          <w:rFonts w:ascii="Times New Roman" w:hAnsi="Times New Roman"/>
          <w:noProof/>
          <w:sz w:val="24"/>
        </w:rPr>
        <w:t xml:space="preserve"> et les </w:t>
      </w:r>
      <w:r w:rsidRPr="00CE0265">
        <w:rPr>
          <w:rFonts w:ascii="Times New Roman" w:hAnsi="Times New Roman"/>
          <w:b/>
          <w:noProof/>
          <w:sz w:val="24"/>
        </w:rPr>
        <w:t>orientations relatives à l’efficacité et à la rapidité des raccordements au réseau</w:t>
      </w:r>
      <w:r w:rsidRPr="00CE0265">
        <w:rPr>
          <w:rFonts w:ascii="Times New Roman" w:hAnsi="Times New Roman" w:cs="Times New Roman"/>
          <w:noProof/>
          <w:sz w:val="24"/>
          <w:szCs w:val="24"/>
          <w:vertAlign w:val="superscript"/>
        </w:rPr>
        <w:footnoteReference w:id="26"/>
      </w:r>
      <w:r w:rsidRPr="00CE0265">
        <w:rPr>
          <w:rFonts w:ascii="Times New Roman" w:hAnsi="Times New Roman"/>
          <w:noProof/>
          <w:sz w:val="24"/>
        </w:rPr>
        <w:t xml:space="preserve"> </w:t>
      </w:r>
      <w:r w:rsidRPr="00CE0265">
        <w:rPr>
          <w:rFonts w:ascii="Times New Roman" w:hAnsi="Times New Roman"/>
          <w:b/>
          <w:noProof/>
          <w:sz w:val="24"/>
        </w:rPr>
        <w:t>accéléreront les raccordements au réseau pour les projets viables</w:t>
      </w:r>
      <w:r w:rsidRPr="00CE0265">
        <w:rPr>
          <w:rFonts w:ascii="Times New Roman" w:hAnsi="Times New Roman"/>
          <w:noProof/>
          <w:sz w:val="24"/>
        </w:rPr>
        <w:t xml:space="preserve">, y compris dans les ports de toutes tailles. La coopération transméditerranéenne T-MED en matière d’énergies renouvelables et de technologies propres soutiendra la connectivité énergétique durable entre les ports méditerranéens. Une nouvelle plateforme pour la planification du réseau de distribution de l’UE et un dialogue entre les gestionnaires de réseau de transport (GRT), les gestionnaires de réseau de distribution (GRD) et les autorités de régulation nationales porteront sur les bonnes pratiques en matière de séquençage du développement du réseau, et des groupes de travail spécifiques sur la planification du réseau seront mis en place avec les utilisateurs du réseau, y compris les ports. Dans leurs évaluations au cas par cas, </w:t>
      </w:r>
      <w:r w:rsidRPr="00CE0265">
        <w:rPr>
          <w:rFonts w:ascii="Times New Roman" w:hAnsi="Times New Roman"/>
          <w:b/>
          <w:noProof/>
          <w:sz w:val="24"/>
        </w:rPr>
        <w:t>les États membres devraient également présumer</w:t>
      </w:r>
      <w:r w:rsidRPr="00CE0265">
        <w:rPr>
          <w:rFonts w:ascii="Times New Roman" w:hAnsi="Times New Roman" w:cs="Times New Roman"/>
          <w:b/>
          <w:bCs/>
          <w:noProof/>
          <w:sz w:val="24"/>
          <w:szCs w:val="24"/>
          <w:vertAlign w:val="superscript"/>
        </w:rPr>
        <w:footnoteReference w:id="27"/>
      </w:r>
      <w:r w:rsidRPr="00CE0265">
        <w:rPr>
          <w:rFonts w:ascii="Times New Roman" w:hAnsi="Times New Roman"/>
          <w:noProof/>
          <w:sz w:val="24"/>
        </w:rPr>
        <w:t xml:space="preserve"> </w:t>
      </w:r>
      <w:r w:rsidRPr="00CE0265">
        <w:rPr>
          <w:rFonts w:ascii="Times New Roman" w:hAnsi="Times New Roman"/>
          <w:b/>
          <w:noProof/>
          <w:sz w:val="24"/>
        </w:rPr>
        <w:t>que les infrastructures de transport et de distribution d’électricité, y compris l’alimentation électrique à quai dans les ports, présentent un intérêt public supérieur, simplifiant ainsi le déploiement des réseaux dans les zones portuaires</w:t>
      </w:r>
      <w:r w:rsidRPr="00CE0265">
        <w:rPr>
          <w:rFonts w:ascii="Times New Roman" w:hAnsi="Times New Roman"/>
          <w:noProof/>
          <w:sz w:val="24"/>
        </w:rPr>
        <w:t>.</w:t>
      </w:r>
      <w:bookmarkEnd w:id="6"/>
    </w:p>
    <w:p w14:paraId="1425646F" w14:textId="1E31E249" w:rsidR="00E1100C" w:rsidRPr="00CE0265" w:rsidRDefault="008465F6" w:rsidP="00E1100C">
      <w:pPr>
        <w:jc w:val="both"/>
        <w:rPr>
          <w:rFonts w:ascii="Times New Roman" w:hAnsi="Times New Roman" w:cs="Times New Roman"/>
          <w:b/>
          <w:i/>
          <w:noProof/>
          <w:sz w:val="24"/>
          <w:szCs w:val="24"/>
        </w:rPr>
      </w:pPr>
      <w:r w:rsidRPr="00CE0265">
        <w:rPr>
          <w:rFonts w:ascii="Times New Roman" w:hAnsi="Times New Roman"/>
          <w:b/>
          <w:i/>
          <w:noProof/>
          <w:sz w:val="24"/>
        </w:rPr>
        <w:t>Les ports en tant que plateformes de production et d’approvisionnement multicombustibles</w:t>
      </w:r>
    </w:p>
    <w:p w14:paraId="671BBD30" w14:textId="46A53A73" w:rsidR="00F40979" w:rsidRPr="00CE0265" w:rsidRDefault="00E1100C" w:rsidP="00D64FA5">
      <w:pPr>
        <w:spacing w:before="120" w:after="120"/>
        <w:jc w:val="both"/>
        <w:rPr>
          <w:noProof/>
          <w:sz w:val="24"/>
          <w:szCs w:val="24"/>
        </w:rPr>
      </w:pPr>
      <w:r w:rsidRPr="00CE0265">
        <w:rPr>
          <w:rFonts w:ascii="Times New Roman" w:hAnsi="Times New Roman"/>
          <w:noProof/>
          <w:sz w:val="24"/>
        </w:rPr>
        <w:t>Le cadre réglementaire de l’UE</w:t>
      </w:r>
      <w:r w:rsidRPr="00CE0265">
        <w:rPr>
          <w:rStyle w:val="FootnoteReference"/>
          <w:rFonts w:ascii="Times New Roman" w:hAnsi="Times New Roman" w:cs="Times New Roman"/>
          <w:noProof/>
          <w:sz w:val="24"/>
          <w:szCs w:val="24"/>
        </w:rPr>
        <w:footnoteReference w:id="28"/>
      </w:r>
      <w:r w:rsidRPr="00CE0265">
        <w:rPr>
          <w:rFonts w:ascii="Times New Roman" w:hAnsi="Times New Roman"/>
          <w:noProof/>
          <w:sz w:val="24"/>
        </w:rPr>
        <w:t xml:space="preserve"> et le plan d’investissement pour des transports durables soulignent le rôle des ports dans le déploiement de carburants propres. Si une approche multicombustibles garantit la flexibilité et la résilience, l’incertitude de la demande de carburants retarde les investissements. Il est donc important de faire correspondre ces deux forces du marché. Tandis que l’initiative FuelEU Maritime et les mesures encouragées dans la stratégie maritime industrielle de l’UE portent sur la demande, en ce qui concerne l’offre, la </w:t>
      </w:r>
      <w:r w:rsidRPr="00CE0265">
        <w:rPr>
          <w:rFonts w:ascii="Times New Roman" w:hAnsi="Times New Roman"/>
          <w:b/>
          <w:noProof/>
          <w:sz w:val="24"/>
        </w:rPr>
        <w:t>Commission examinera, dans le cadre du prochain paquet «union de l’énergie», la manière de promouvoir la disponibilité de carburants durables dans les ports</w:t>
      </w:r>
      <w:r w:rsidRPr="00CE0265">
        <w:rPr>
          <w:rFonts w:ascii="Times New Roman" w:hAnsi="Times New Roman"/>
          <w:noProof/>
          <w:sz w:val="24"/>
        </w:rPr>
        <w:t>. La prochaine révision du règlement sur le déploiement d’une infrastructure pour carburants alternatifs</w:t>
      </w:r>
      <w:r w:rsidRPr="00CE0265">
        <w:rPr>
          <w:rStyle w:val="FootnoteReference"/>
          <w:rFonts w:ascii="Times New Roman" w:hAnsi="Times New Roman" w:cs="Times New Roman"/>
          <w:noProof/>
          <w:sz w:val="24"/>
          <w:szCs w:val="24"/>
        </w:rPr>
        <w:footnoteReference w:id="29"/>
      </w:r>
      <w:r w:rsidRPr="00CE0265">
        <w:rPr>
          <w:rFonts w:ascii="Times New Roman" w:hAnsi="Times New Roman"/>
          <w:noProof/>
          <w:sz w:val="24"/>
        </w:rPr>
        <w:t xml:space="preserve"> </w:t>
      </w:r>
      <w:r w:rsidRPr="00CE0265">
        <w:rPr>
          <w:rFonts w:ascii="Times New Roman" w:hAnsi="Times New Roman"/>
          <w:b/>
          <w:noProof/>
          <w:sz w:val="24"/>
        </w:rPr>
        <w:t>envisagera des mesures visant à accélérer le déploiement d’une infrastructure pour carburants alternatifs pour le transport maritime</w:t>
      </w:r>
      <w:r w:rsidRPr="00CE0265">
        <w:rPr>
          <w:rFonts w:ascii="Times New Roman" w:hAnsi="Times New Roman"/>
          <w:noProof/>
          <w:sz w:val="24"/>
        </w:rPr>
        <w:t>.</w:t>
      </w:r>
      <w:r w:rsidRPr="00CE0265">
        <w:rPr>
          <w:noProof/>
          <w:sz w:val="24"/>
        </w:rPr>
        <w:t xml:space="preserve"> </w:t>
      </w:r>
      <w:r w:rsidRPr="00CE0265">
        <w:rPr>
          <w:rFonts w:ascii="Times New Roman" w:hAnsi="Times New Roman"/>
          <w:noProof/>
          <w:sz w:val="24"/>
        </w:rPr>
        <w:t>Parallèlement, les règles relatives à l’avitaillement en carburants renouvelables et bas carbone devraient être harmonisées dans l’ensemble de l’UE et alignées sur la directive de l’UE sur les énergies renouvelables afin d’éviter les divergences et les distorsions de concurrence au sein du marché intérieur de l’UE. En outre, grâce à une base de données de l’Union efficace, les compagnies maritimes internationales seront en mesure de tracer les carburants renouvelables et bas carbone, ce qui permettra de mettre en place un système solide de certification et de traçabilité à l’échelle de l’UE qui atténue efficacement les risques d’irrégularités et de fraude.</w:t>
      </w:r>
    </w:p>
    <w:p w14:paraId="1A79321A" w14:textId="4062273D" w:rsidR="00A34A92" w:rsidRPr="00CE0265" w:rsidRDefault="00F05939" w:rsidP="00D64FA5">
      <w:pPr>
        <w:spacing w:before="120" w:after="120"/>
        <w:jc w:val="both"/>
        <w:rPr>
          <w:rFonts w:ascii="Times New Roman" w:hAnsi="Times New Roman" w:cs="Times New Roman"/>
          <w:noProof/>
          <w:sz w:val="24"/>
          <w:szCs w:val="24"/>
        </w:rPr>
      </w:pPr>
      <w:r w:rsidRPr="00CE0265">
        <w:rPr>
          <w:rFonts w:ascii="Times New Roman" w:hAnsi="Times New Roman"/>
          <w:noProof/>
          <w:sz w:val="24"/>
        </w:rPr>
        <w:t xml:space="preserve">Le pacte pour la Méditerranée contribuera à l’utilisation de carburants renouvelables et bas carbone pour le transport maritime, tout en préservant la compétitivité des ports de l’UE. Des ressources importantes et spécifiques pour financer la décarbonation peuvent être mobilisées au moyen des recettes du système d’échange de quotas d’émission de l’UE (SEQE) mises aux enchères par les États membres de l’UE à la suite de l’extension du système au secteur maritime. Étant donné que les États membres sont légalement tenus d’utiliser les recettes provenant du SEQE de l’UE pour investir dans des mesures climatiques, la Commission </w:t>
      </w:r>
      <w:r w:rsidRPr="00CE0265">
        <w:rPr>
          <w:rFonts w:ascii="Times New Roman" w:hAnsi="Times New Roman"/>
          <w:b/>
          <w:noProof/>
          <w:sz w:val="24"/>
        </w:rPr>
        <w:t>encourage vivement les États membres à affecter une partie de ces recettes</w:t>
      </w:r>
      <w:r w:rsidRPr="00CE0265">
        <w:rPr>
          <w:rFonts w:ascii="Times New Roman" w:hAnsi="Times New Roman"/>
          <w:noProof/>
          <w:sz w:val="24"/>
        </w:rPr>
        <w:t xml:space="preserve"> à des investissements dans la décarbonation du secteur maritime dans l’ensemble du pôle d'activités maritimes en Europe</w:t>
      </w:r>
      <w:r w:rsidRPr="00CE0265">
        <w:rPr>
          <w:rFonts w:ascii="Times New Roman" w:hAnsi="Times New Roman" w:cs="Times New Roman"/>
          <w:noProof/>
          <w:sz w:val="24"/>
          <w:szCs w:val="24"/>
          <w:vertAlign w:val="superscript"/>
        </w:rPr>
        <w:footnoteReference w:id="30"/>
      </w:r>
      <w:r w:rsidRPr="00CE0265">
        <w:rPr>
          <w:rFonts w:ascii="Times New Roman" w:hAnsi="Times New Roman"/>
          <w:noProof/>
          <w:sz w:val="24"/>
        </w:rPr>
        <w:t xml:space="preserve">. Afin de maximiser leur incidence et d’obtenir des effets de synergie à l’échelle de l’UE, y compris entre les propriétaires de navires, les chantiers navals, les fournisseurs de technologies et de carburants et les parties prenantes portuaires, la Commission </w:t>
      </w:r>
      <w:r w:rsidRPr="00CE0265">
        <w:rPr>
          <w:rFonts w:ascii="Times New Roman" w:hAnsi="Times New Roman"/>
          <w:b/>
          <w:noProof/>
          <w:sz w:val="24"/>
        </w:rPr>
        <w:t>coordonnera les efforts consentis par les États membres et facilitera l’échange de bonnes pratiques</w:t>
      </w:r>
      <w:r w:rsidRPr="00CE0265">
        <w:rPr>
          <w:rFonts w:ascii="Times New Roman" w:hAnsi="Times New Roman"/>
          <w:noProof/>
          <w:sz w:val="24"/>
        </w:rPr>
        <w:t>, y compris, éventuellement, au moyen de lignes directrices.</w:t>
      </w:r>
    </w:p>
    <w:p w14:paraId="192D51BF" w14:textId="30FB7C70" w:rsidR="00447111" w:rsidRPr="00CE0265" w:rsidRDefault="00E1100C" w:rsidP="00E1100C">
      <w:pPr>
        <w:jc w:val="both"/>
        <w:rPr>
          <w:rFonts w:ascii="Times New Roman" w:eastAsiaTheme="minorEastAsia" w:hAnsi="Times New Roman" w:cs="Times New Roman"/>
          <w:bCs/>
          <w:noProof/>
          <w:color w:val="FFFFFF"/>
          <w:kern w:val="0"/>
          <w:sz w:val="24"/>
          <w:szCs w:val="24"/>
          <w14:ligatures w14:val="none"/>
        </w:rPr>
      </w:pPr>
      <w:r w:rsidRPr="00CE0265">
        <w:rPr>
          <w:rFonts w:ascii="Times New Roman" w:hAnsi="Times New Roman"/>
          <w:noProof/>
          <w:sz w:val="24"/>
        </w:rPr>
        <w:t>Afin d’orienter la planification des investissements, l’</w:t>
      </w:r>
      <w:r w:rsidRPr="00CE0265">
        <w:rPr>
          <w:rFonts w:ascii="Times New Roman" w:hAnsi="Times New Roman"/>
          <w:b/>
          <w:noProof/>
          <w:sz w:val="24"/>
        </w:rPr>
        <w:t>alliance pour les carburants renouvelables et à faible intensité de carbone évaluera</w:t>
      </w:r>
      <w:r w:rsidRPr="00CE0265">
        <w:rPr>
          <w:rFonts w:ascii="Times New Roman" w:hAnsi="Times New Roman"/>
          <w:noProof/>
          <w:sz w:val="24"/>
        </w:rPr>
        <w:t xml:space="preserve">, d’ici à la fin de 2026, </w:t>
      </w:r>
      <w:r w:rsidRPr="00CE0265">
        <w:rPr>
          <w:rFonts w:ascii="Times New Roman" w:hAnsi="Times New Roman"/>
          <w:b/>
          <w:noProof/>
          <w:sz w:val="24"/>
        </w:rPr>
        <w:t>les capacités des infrastructures et les besoins futurs en matière d’approvisionnement en carburants renouvelables et bas carbone dans et à destination des ports</w:t>
      </w:r>
      <w:r w:rsidRPr="00CE0265">
        <w:rPr>
          <w:rFonts w:ascii="Times New Roman" w:hAnsi="Times New Roman"/>
          <w:noProof/>
          <w:sz w:val="24"/>
        </w:rPr>
        <w:t>. En outre, l’alliance pour les carburants renouvelables et à faible intensité de carbone encouragera les discussions entre les propriétaires de navires, le secteur des carburants durables et les institutions financières en vue de faire progresser la production et la fourniture de carburants renouvelables et bas carbone dans le secteur du transport par voie d’eau. Les ports peuvent être essentiels pour les vallées de l’hydrogène</w:t>
      </w:r>
      <w:r w:rsidRPr="00CE0265">
        <w:rPr>
          <w:rStyle w:val="FootnoteReference"/>
          <w:rFonts w:ascii="Times New Roman" w:hAnsi="Times New Roman" w:cs="Times New Roman"/>
          <w:noProof/>
          <w:sz w:val="24"/>
          <w:szCs w:val="24"/>
        </w:rPr>
        <w:footnoteReference w:id="31"/>
      </w:r>
      <w:r w:rsidRPr="00CE0265">
        <w:rPr>
          <w:rFonts w:ascii="Times New Roman" w:hAnsi="Times New Roman"/>
          <w:noProof/>
          <w:sz w:val="24"/>
        </w:rPr>
        <w:t xml:space="preserve"> avec l’intégration de terminaux d’importation d’hydrogène transfrontaliers dans le RTE-E. Dans le cadre de l’entreprise commune «Hydrogène propre», la Commission </w:t>
      </w:r>
      <w:r w:rsidRPr="00CE0265">
        <w:rPr>
          <w:rFonts w:ascii="Times New Roman" w:hAnsi="Times New Roman"/>
          <w:b/>
          <w:noProof/>
          <w:sz w:val="24"/>
        </w:rPr>
        <w:t>commandera une étude début 2026 pour soutenir ses activités au sein de la coalition mondiale des ports pour l’hydrogène</w:t>
      </w:r>
      <w:r w:rsidRPr="00CE0265">
        <w:rPr>
          <w:rFonts w:ascii="Times New Roman" w:hAnsi="Times New Roman"/>
          <w:noProof/>
          <w:sz w:val="24"/>
        </w:rPr>
        <w:t xml:space="preserve"> dans le cadre de la conférence ministérielle sur l’énergie propre.</w:t>
      </w:r>
    </w:p>
    <w:p w14:paraId="24BF7647" w14:textId="55589191" w:rsidR="00E1100C" w:rsidRPr="00CE0265" w:rsidRDefault="00E1100C" w:rsidP="00E1100C">
      <w:pPr>
        <w:jc w:val="both"/>
        <w:rPr>
          <w:rFonts w:ascii="Times New Roman" w:hAnsi="Times New Roman" w:cs="Times New Roman"/>
          <w:b/>
          <w:bCs/>
          <w:i/>
          <w:iCs/>
          <w:noProof/>
          <w:sz w:val="24"/>
          <w:szCs w:val="24"/>
        </w:rPr>
      </w:pPr>
      <w:r w:rsidRPr="00CE0265">
        <w:rPr>
          <w:rFonts w:ascii="Times New Roman" w:hAnsi="Times New Roman"/>
          <w:b/>
          <w:i/>
          <w:noProof/>
          <w:sz w:val="24"/>
        </w:rPr>
        <w:t>Pôles industriels et partage d’énergie dans les zones portuaires</w:t>
      </w:r>
    </w:p>
    <w:p w14:paraId="5755B9DF" w14:textId="6DFA2667" w:rsidR="00D54BBF" w:rsidRPr="00CE0265" w:rsidRDefault="00E1100C" w:rsidP="003C6D0A">
      <w:pPr>
        <w:spacing w:line="276" w:lineRule="auto"/>
        <w:jc w:val="both"/>
        <w:rPr>
          <w:rFonts w:ascii="Times New Roman" w:hAnsi="Times New Roman" w:cs="Times New Roman"/>
          <w:noProof/>
          <w:sz w:val="24"/>
          <w:szCs w:val="24"/>
        </w:rPr>
      </w:pPr>
      <w:r w:rsidRPr="00CE0265">
        <w:rPr>
          <w:rFonts w:ascii="Times New Roman" w:hAnsi="Times New Roman"/>
          <w:noProof/>
          <w:sz w:val="24"/>
        </w:rPr>
        <w:t xml:space="preserve">Les ports sont des leviers essentiels d’une industrie européenne fondée sur les énergies propres. Toutefois, une planification fragmentée, une coordination limitée entre les ports et avec les pôles industriels, ainsi que l’incertitude quant à la demande future d’infrastructures énergétiques peuvent ralentir les investissements et réduire l’efficacité du système. La </w:t>
      </w:r>
      <w:r w:rsidRPr="00CE0265">
        <w:rPr>
          <w:rFonts w:ascii="Times New Roman" w:hAnsi="Times New Roman"/>
          <w:b/>
          <w:noProof/>
          <w:sz w:val="24"/>
        </w:rPr>
        <w:t>Commission invite les États membres à favoriser une coopération structurée entre les ports et les pôles industriels locaux</w:t>
      </w:r>
      <w:r w:rsidRPr="00CE0265">
        <w:rPr>
          <w:rFonts w:ascii="Times New Roman" w:hAnsi="Times New Roman"/>
          <w:noProof/>
          <w:sz w:val="24"/>
        </w:rPr>
        <w:t xml:space="preserve">, en encourageant le déploiement des énergies renouvelables, le partage d’énergie, la réutilisation de la chaleur fatale, les solutions de stockage et le développement de communautés énergétiques centrées sur le port, ainsi que l’intégration avec les réseaux locaux de chauffage et de refroidissement. La Commission </w:t>
      </w:r>
      <w:r w:rsidRPr="00CE0265">
        <w:rPr>
          <w:rFonts w:ascii="Times New Roman" w:hAnsi="Times New Roman"/>
          <w:b/>
          <w:noProof/>
          <w:sz w:val="24"/>
        </w:rPr>
        <w:t>soutiendra les partenariats avec les ports, les autorités locales et les pôles industriels</w:t>
      </w:r>
      <w:r w:rsidRPr="00CE0265">
        <w:rPr>
          <w:rFonts w:ascii="Times New Roman" w:hAnsi="Times New Roman"/>
          <w:noProof/>
          <w:sz w:val="24"/>
        </w:rPr>
        <w:t xml:space="preserve">. Le </w:t>
      </w:r>
      <w:r w:rsidRPr="00CE0265">
        <w:rPr>
          <w:rFonts w:ascii="Times New Roman" w:hAnsi="Times New Roman"/>
          <w:b/>
          <w:noProof/>
          <w:sz w:val="24"/>
        </w:rPr>
        <w:t>sous-programme LIFE «Transition énergétique propre»</w:t>
      </w:r>
      <w:r w:rsidRPr="00CE0265">
        <w:rPr>
          <w:rFonts w:ascii="Times New Roman" w:hAnsi="Times New Roman"/>
          <w:noProof/>
          <w:sz w:val="24"/>
        </w:rPr>
        <w:t xml:space="preserve"> financera des projets visant à promouvoir la coopération locale dans le domaine de l’énergie, et les ports peuvent participer aux appels à propositions prévus au printemps 2026 et 2027.</w:t>
      </w:r>
    </w:p>
    <w:p w14:paraId="70F36690" w14:textId="3868A1F6" w:rsidR="00EA3A84" w:rsidRPr="00CE0265" w:rsidRDefault="00482FEE" w:rsidP="00D54BBF">
      <w:pPr>
        <w:spacing w:line="276" w:lineRule="auto"/>
        <w:jc w:val="both"/>
        <w:rPr>
          <w:rFonts w:ascii="Times New Roman" w:hAnsi="Times New Roman" w:cs="Times New Roman"/>
          <w:noProof/>
          <w:sz w:val="24"/>
          <w:szCs w:val="24"/>
        </w:rPr>
      </w:pPr>
      <w:r w:rsidRPr="00CE0265">
        <w:rPr>
          <w:rFonts w:ascii="Times New Roman" w:hAnsi="Times New Roman"/>
          <w:noProof/>
          <w:sz w:val="24"/>
        </w:rPr>
        <w:t xml:space="preserve">La Commission </w:t>
      </w:r>
      <w:r w:rsidRPr="00CE0265">
        <w:rPr>
          <w:rFonts w:ascii="Times New Roman" w:hAnsi="Times New Roman"/>
          <w:b/>
          <w:noProof/>
          <w:sz w:val="24"/>
        </w:rPr>
        <w:t>encourage une coopération plus étroite entre les ports, les entreprises énergétiques, les gestionnaires de réseau et les autorités locales</w:t>
      </w:r>
      <w:r w:rsidRPr="00CE0265">
        <w:rPr>
          <w:rFonts w:ascii="Times New Roman" w:hAnsi="Times New Roman"/>
          <w:noProof/>
          <w:sz w:val="24"/>
        </w:rPr>
        <w:t xml:space="preserve"> et est prête à fournir des orientations informelles sur les problèmes liés aux pratiques anticoncurrentielles</w:t>
      </w:r>
      <w:r w:rsidRPr="00CE0265">
        <w:rPr>
          <w:rFonts w:ascii="Times New Roman" w:hAnsi="Times New Roman" w:cs="Times New Roman"/>
          <w:noProof/>
          <w:sz w:val="24"/>
          <w:szCs w:val="24"/>
          <w:vertAlign w:val="superscript"/>
        </w:rPr>
        <w:footnoteReference w:id="32"/>
      </w:r>
      <w:r w:rsidRPr="00CE0265">
        <w:rPr>
          <w:rFonts w:ascii="Times New Roman" w:hAnsi="Times New Roman"/>
          <w:noProof/>
          <w:sz w:val="24"/>
        </w:rPr>
        <w:t>, en tenant compte des lignes directrices de la Commission sur les accords de coopération horizontale</w:t>
      </w:r>
      <w:r w:rsidRPr="00CE0265">
        <w:rPr>
          <w:rFonts w:ascii="Times New Roman" w:hAnsi="Times New Roman" w:cs="Times New Roman"/>
          <w:noProof/>
          <w:sz w:val="24"/>
          <w:szCs w:val="24"/>
          <w:vertAlign w:val="superscript"/>
        </w:rPr>
        <w:footnoteReference w:id="33"/>
      </w:r>
      <w:r w:rsidRPr="00CE0265">
        <w:rPr>
          <w:rFonts w:ascii="Times New Roman" w:hAnsi="Times New Roman"/>
          <w:noProof/>
          <w:sz w:val="24"/>
        </w:rPr>
        <w:t xml:space="preserve">. La Commission </w:t>
      </w:r>
      <w:r w:rsidRPr="00CE0265">
        <w:rPr>
          <w:rFonts w:ascii="Times New Roman" w:hAnsi="Times New Roman"/>
          <w:b/>
          <w:noProof/>
          <w:sz w:val="24"/>
        </w:rPr>
        <w:t>organisera une série d’ateliers ciblés pour les ports</w:t>
      </w:r>
      <w:r w:rsidRPr="00CE0265">
        <w:rPr>
          <w:rFonts w:ascii="Times New Roman" w:hAnsi="Times New Roman"/>
          <w:noProof/>
          <w:sz w:val="24"/>
        </w:rPr>
        <w:t xml:space="preserve"> portant sur l’application pratique de la législation essentielle de l’UE en matière d’énergie, l’intégration des énergies renouvelables, l’efficacité énergétique, l’hydrogène vert et les carburants alternatifs</w:t>
      </w:r>
      <w:r w:rsidRPr="00CE0265">
        <w:rPr>
          <w:rStyle w:val="FootnoteReference"/>
          <w:rFonts w:ascii="Times New Roman" w:hAnsi="Times New Roman" w:cs="Times New Roman"/>
          <w:noProof/>
          <w:sz w:val="24"/>
          <w:szCs w:val="24"/>
        </w:rPr>
        <w:footnoteReference w:id="34"/>
      </w:r>
      <w:r w:rsidRPr="00CE0265">
        <w:rPr>
          <w:rFonts w:ascii="Times New Roman" w:hAnsi="Times New Roman"/>
          <w:noProof/>
          <w:sz w:val="24"/>
        </w:rPr>
        <w:t>, et sur le déploiement de technologies «zéro net» et en mer, y compris la gestion et le stockage du CO₂.</w:t>
      </w:r>
    </w:p>
    <w:p w14:paraId="1D9C9CF5" w14:textId="66D54ADE" w:rsidR="00E1100C" w:rsidRPr="00CE0265" w:rsidRDefault="00E1100C" w:rsidP="00C10F3B">
      <w:pPr>
        <w:pStyle w:val="Heading3"/>
        <w:numPr>
          <w:ilvl w:val="1"/>
          <w:numId w:val="2"/>
        </w:numPr>
        <w:rPr>
          <w:rFonts w:ascii="Times New Roman" w:hAnsi="Times New Roman" w:cs="Times New Roman"/>
          <w:b/>
          <w:bCs/>
          <w:i/>
          <w:iCs/>
          <w:noProof/>
          <w:color w:val="000000" w:themeColor="text1"/>
          <w:sz w:val="24"/>
          <w:szCs w:val="24"/>
        </w:rPr>
      </w:pPr>
      <w:r w:rsidRPr="00CE0265">
        <w:rPr>
          <w:rFonts w:ascii="Times New Roman" w:hAnsi="Times New Roman"/>
          <w:b/>
          <w:i/>
          <w:noProof/>
          <w:color w:val="000000" w:themeColor="text1"/>
          <w:sz w:val="24"/>
        </w:rPr>
        <w:t>Renforcer la durabilité environnementale et simplifier les procédures d’autorisation</w:t>
      </w:r>
    </w:p>
    <w:p w14:paraId="1C3E2CF6" w14:textId="7579DC31" w:rsidR="00E1100C" w:rsidRPr="00CE0265" w:rsidRDefault="00E1100C" w:rsidP="00E1100C">
      <w:pPr>
        <w:jc w:val="both"/>
        <w:rPr>
          <w:rFonts w:ascii="Times New Roman" w:hAnsi="Times New Roman" w:cs="Times New Roman"/>
          <w:noProof/>
          <w:sz w:val="24"/>
          <w:szCs w:val="24"/>
        </w:rPr>
      </w:pPr>
      <w:r w:rsidRPr="00CE0265">
        <w:rPr>
          <w:rFonts w:ascii="Times New Roman" w:hAnsi="Times New Roman"/>
          <w:noProof/>
          <w:sz w:val="24"/>
        </w:rPr>
        <w:t>Les ports étant à la fois des atouts économiques essentiels et des zones sensibles sur le plan environnemental</w:t>
      </w:r>
      <w:r w:rsidRPr="00CE0265">
        <w:rPr>
          <w:rStyle w:val="FootnoteReference"/>
          <w:rFonts w:ascii="Times New Roman" w:hAnsi="Times New Roman" w:cs="Times New Roman"/>
          <w:noProof/>
          <w:sz w:val="24"/>
          <w:szCs w:val="24"/>
        </w:rPr>
        <w:footnoteReference w:id="35"/>
      </w:r>
      <w:r w:rsidRPr="00CE0265">
        <w:rPr>
          <w:rStyle w:val="FootnoteReference"/>
          <w:noProof/>
          <w:vertAlign w:val="baseline"/>
        </w:rPr>
        <w:t>,</w:t>
      </w:r>
      <w:r w:rsidRPr="00CE0265">
        <w:rPr>
          <w:rFonts w:ascii="Times New Roman" w:hAnsi="Times New Roman"/>
          <w:noProof/>
          <w:sz w:val="24"/>
        </w:rPr>
        <w:t xml:space="preserve"> il convient de mettre la compétitivité en adéquation avec la protection de l’environnement et la décarbonation. Le cadre juridique de l’UE</w:t>
      </w:r>
      <w:r w:rsidRPr="00CE0265">
        <w:rPr>
          <w:rStyle w:val="FootnoteReference"/>
          <w:rFonts w:ascii="Times New Roman" w:hAnsi="Times New Roman" w:cs="Times New Roman"/>
          <w:noProof/>
          <w:sz w:val="24"/>
          <w:szCs w:val="24"/>
        </w:rPr>
        <w:footnoteReference w:id="36"/>
      </w:r>
      <w:r w:rsidRPr="00CE0265">
        <w:rPr>
          <w:rStyle w:val="FootnoteReference"/>
          <w:noProof/>
        </w:rPr>
        <w:t xml:space="preserve">  </w:t>
      </w:r>
      <w:r w:rsidRPr="00CE0265">
        <w:rPr>
          <w:rFonts w:ascii="Times New Roman" w:hAnsi="Times New Roman"/>
          <w:noProof/>
          <w:sz w:val="24"/>
        </w:rPr>
        <w:t>s’efforce d'atteindre cet équilibre, notamment en envisageant des flexibilités spécifiques lorsqu’il existe un intérêt public supérieur. D’autres politiques de l’UE soutiennent la réduction de la pollution, la restauration des écosystèmes, les solutions fondées sur la nature et l’économie bleue durable. Le pacte européen pour l’Océan</w:t>
      </w:r>
      <w:r w:rsidRPr="00CE0265">
        <w:rPr>
          <w:rStyle w:val="FootnoteReference"/>
          <w:noProof/>
        </w:rPr>
        <w:footnoteReference w:id="37"/>
      </w:r>
      <w:r w:rsidRPr="00CE0265">
        <w:rPr>
          <w:rFonts w:ascii="Times New Roman" w:hAnsi="Times New Roman"/>
          <w:noProof/>
          <w:sz w:val="24"/>
        </w:rPr>
        <w:t xml:space="preserve"> et la stratégie pour la résilience dans le domaine de l’eau reconnaissent le rôle des ports dans la protection des écosystèmes marins, de même que la directive-cadre «stratégie pour le milieu marin» et le cadre du règlement sur la taxinomie de l’UE</w:t>
      </w:r>
      <w:r w:rsidRPr="00CE0265">
        <w:rPr>
          <w:rStyle w:val="FootnoteReference"/>
          <w:noProof/>
        </w:rPr>
        <w:footnoteReference w:id="38"/>
      </w:r>
      <w:r w:rsidRPr="00CE0265">
        <w:rPr>
          <w:rFonts w:ascii="Times New Roman" w:hAnsi="Times New Roman"/>
          <w:noProof/>
          <w:sz w:val="24"/>
        </w:rPr>
        <w:t xml:space="preserve">. Dans le cadre d’un effort plus large visant à stimuler la compétitivité dans l’UE, la Commission </w:t>
      </w:r>
      <w:r w:rsidRPr="00CE0265">
        <w:rPr>
          <w:rFonts w:ascii="Times New Roman" w:hAnsi="Times New Roman"/>
          <w:b/>
          <w:noProof/>
          <w:sz w:val="24"/>
        </w:rPr>
        <w:t>prendra plusieurs mesures afin de simplifier la charge réglementaire</w:t>
      </w:r>
      <w:r w:rsidRPr="00CE0265">
        <w:rPr>
          <w:rFonts w:ascii="Times New Roman" w:hAnsi="Times New Roman"/>
          <w:noProof/>
          <w:sz w:val="24"/>
        </w:rPr>
        <w:t xml:space="preserve"> tout en préservant la protection de l’environnement. Elle </w:t>
      </w:r>
      <w:r w:rsidRPr="00CE0265">
        <w:rPr>
          <w:rFonts w:ascii="Times New Roman" w:hAnsi="Times New Roman"/>
          <w:b/>
          <w:noProof/>
          <w:sz w:val="24"/>
        </w:rPr>
        <w:t>révisera l’acte délégué relatif au volet climatique de la taxinomie afin d’améliorer la facilité d’utilisation des critères d’examen technique, de les simplifier et de les mettre à jour pour tenir compte des évolutions stratégiques, législatives et technologiques</w:t>
      </w:r>
      <w:r w:rsidRPr="00CE0265">
        <w:rPr>
          <w:rFonts w:ascii="Times New Roman" w:hAnsi="Times New Roman"/>
          <w:noProof/>
          <w:sz w:val="24"/>
        </w:rPr>
        <w:t xml:space="preserve">. </w:t>
      </w:r>
    </w:p>
    <w:p w14:paraId="184F978F" w14:textId="04765336" w:rsidR="00E1100C" w:rsidRPr="00CE0265" w:rsidRDefault="00E1100C" w:rsidP="00E1100C">
      <w:pPr>
        <w:jc w:val="both"/>
        <w:rPr>
          <w:rFonts w:ascii="Times New Roman" w:hAnsi="Times New Roman" w:cs="Times New Roman"/>
          <w:noProof/>
          <w:sz w:val="24"/>
          <w:szCs w:val="24"/>
        </w:rPr>
      </w:pPr>
      <w:r w:rsidRPr="00CE0265">
        <w:rPr>
          <w:rFonts w:ascii="Times New Roman" w:hAnsi="Times New Roman"/>
          <w:noProof/>
          <w:sz w:val="24"/>
        </w:rPr>
        <w:t xml:space="preserve">La proposition de </w:t>
      </w:r>
      <w:r w:rsidRPr="00CE0265">
        <w:rPr>
          <w:rFonts w:ascii="Times New Roman" w:hAnsi="Times New Roman"/>
          <w:b/>
          <w:noProof/>
          <w:sz w:val="24"/>
        </w:rPr>
        <w:t>règlement concernant l’accélération des évaluations environnementales</w:t>
      </w:r>
      <w:r w:rsidRPr="00CE0265">
        <w:rPr>
          <w:rStyle w:val="FootnoteReference"/>
          <w:rFonts w:ascii="Times New Roman" w:hAnsi="Times New Roman" w:cs="Times New Roman"/>
          <w:b/>
          <w:bCs/>
          <w:noProof/>
          <w:sz w:val="24"/>
          <w:szCs w:val="24"/>
        </w:rPr>
        <w:footnoteReference w:id="39"/>
      </w:r>
      <w:r w:rsidRPr="00CE0265">
        <w:rPr>
          <w:rFonts w:ascii="Times New Roman" w:hAnsi="Times New Roman"/>
          <w:noProof/>
          <w:sz w:val="24"/>
        </w:rPr>
        <w:t xml:space="preserve"> accélérera les évaluations grâce à la numérisation, à des délais réduits, à des évaluations combinées et à des points de contact uniques. </w:t>
      </w:r>
      <w:r w:rsidRPr="00CE0265">
        <w:rPr>
          <w:rFonts w:ascii="Times New Roman" w:hAnsi="Times New Roman"/>
          <w:b/>
          <w:noProof/>
          <w:sz w:val="24"/>
        </w:rPr>
        <w:t>Les projets de décarbonation des ports présentant un intérêt stratégique pour l’UE peuvent bénéficier d’une approbation tacite et d’une hiérarchisation procédurale et judiciaire des priorités</w:t>
      </w:r>
      <w:r w:rsidRPr="00CE0265">
        <w:rPr>
          <w:rFonts w:ascii="Times New Roman" w:hAnsi="Times New Roman"/>
          <w:noProof/>
          <w:sz w:val="24"/>
        </w:rPr>
        <w:t xml:space="preserve">. </w:t>
      </w:r>
    </w:p>
    <w:p w14:paraId="036C88D2" w14:textId="2F0EAFB4" w:rsidR="00E1100C" w:rsidRPr="00CE0265" w:rsidRDefault="00D07CD6" w:rsidP="00E1100C">
      <w:pPr>
        <w:jc w:val="both"/>
        <w:rPr>
          <w:rFonts w:ascii="Times New Roman" w:hAnsi="Times New Roman" w:cs="Times New Roman"/>
          <w:noProof/>
          <w:sz w:val="24"/>
          <w:szCs w:val="24"/>
        </w:rPr>
      </w:pPr>
      <w:r w:rsidRPr="00CE0265">
        <w:rPr>
          <w:rFonts w:ascii="Times New Roman" w:hAnsi="Times New Roman"/>
          <w:b/>
          <w:noProof/>
          <w:color w:val="000000" w:themeColor="text1"/>
          <w:sz w:val="24"/>
        </w:rPr>
        <w:t>Le plan d’action RESourceEU</w:t>
      </w:r>
      <w:r w:rsidRPr="00CE0265">
        <w:rPr>
          <w:rFonts w:ascii="Times New Roman" w:hAnsi="Times New Roman"/>
          <w:noProof/>
          <w:sz w:val="24"/>
        </w:rPr>
        <w:t xml:space="preserve"> aide les ports à devenir des pôles stratégiques pour des activités circulaires telles que le recyclage à grande échelle des déchets métalliques ou des matériaux composites et le traitement et le recyclage des matériaux avancés, alimentés par une énergie propre</w:t>
      </w:r>
      <w:r w:rsidRPr="00CE0265">
        <w:rPr>
          <w:rStyle w:val="FootnoteReference"/>
          <w:rFonts w:ascii="Times New Roman" w:eastAsia="Times New Roman" w:hAnsi="Times New Roman" w:cs="Times New Roman"/>
          <w:noProof/>
          <w:color w:val="000000" w:themeColor="text1"/>
          <w:sz w:val="24"/>
          <w:szCs w:val="24"/>
        </w:rPr>
        <w:footnoteReference w:id="40"/>
      </w:r>
      <w:r w:rsidRPr="00CE0265">
        <w:rPr>
          <w:rFonts w:ascii="Times New Roman" w:hAnsi="Times New Roman"/>
          <w:noProof/>
          <w:sz w:val="24"/>
        </w:rPr>
        <w:t>. Avec la transition vers des combustibles propres, les flux de déchets dangereux se transforment et nécessitent des installations de réception appropriées. La directive-cadre révisée sur l’eau (DCE)</w:t>
      </w:r>
      <w:r w:rsidRPr="00CE0265">
        <w:rPr>
          <w:rStyle w:val="FootnoteReference"/>
          <w:rFonts w:ascii="Times New Roman" w:hAnsi="Times New Roman" w:cs="Times New Roman"/>
          <w:noProof/>
          <w:sz w:val="24"/>
          <w:szCs w:val="24"/>
        </w:rPr>
        <w:footnoteReference w:id="41"/>
      </w:r>
      <w:r w:rsidRPr="00CE0265">
        <w:rPr>
          <w:rFonts w:ascii="Times New Roman" w:hAnsi="Times New Roman"/>
          <w:noProof/>
          <w:sz w:val="24"/>
        </w:rPr>
        <w:t xml:space="preserve"> offre aux États membres des marges de manœuvre pour autoriser les projets ayant des incidences à court terme ou dont les activités détériorent l’état chimique des masses d’eau sans augmenter la pollution globale</w:t>
      </w:r>
      <w:r w:rsidRPr="00CE0265">
        <w:rPr>
          <w:rStyle w:val="FootnoteReference"/>
          <w:rFonts w:ascii="Times New Roman" w:hAnsi="Times New Roman" w:cs="Times New Roman"/>
          <w:noProof/>
          <w:sz w:val="24"/>
          <w:szCs w:val="24"/>
        </w:rPr>
        <w:footnoteReference w:id="42"/>
      </w:r>
      <w:r w:rsidRPr="00CE0265">
        <w:rPr>
          <w:rFonts w:ascii="Times New Roman" w:hAnsi="Times New Roman"/>
          <w:noProof/>
          <w:sz w:val="24"/>
        </w:rPr>
        <w:t xml:space="preserve">. La Commission publiera en 2026 de nouvelles orientations sur les autorisations au titre de la directive-cadre sur l’eau. </w:t>
      </w:r>
      <w:r w:rsidRPr="00CE0265">
        <w:rPr>
          <w:rFonts w:ascii="Times New Roman" w:hAnsi="Times New Roman"/>
          <w:b/>
          <w:noProof/>
          <w:sz w:val="24"/>
        </w:rPr>
        <w:t>Les États membres devraient utiliser, le cas échéant, les dispositions relatives au développement portuaire prévues par la DCE</w:t>
      </w:r>
      <w:r w:rsidRPr="00CE0265">
        <w:rPr>
          <w:rFonts w:ascii="Times New Roman" w:hAnsi="Times New Roman"/>
          <w:noProof/>
          <w:sz w:val="24"/>
        </w:rPr>
        <w:t xml:space="preserve"> et </w:t>
      </w:r>
      <w:r w:rsidRPr="00CE0265">
        <w:rPr>
          <w:rFonts w:ascii="Times New Roman" w:hAnsi="Times New Roman"/>
          <w:b/>
          <w:noProof/>
          <w:sz w:val="24"/>
        </w:rPr>
        <w:t>veiller à la mise en œuvre en temps utile des nouvelles règles environnementales relatives à la pollution marine causée par le transport maritime dans les ports</w:t>
      </w:r>
      <w:r w:rsidRPr="00CE0265">
        <w:rPr>
          <w:rFonts w:ascii="Times New Roman" w:hAnsi="Times New Roman"/>
          <w:noProof/>
          <w:sz w:val="24"/>
        </w:rPr>
        <w:t xml:space="preserve">. </w:t>
      </w:r>
    </w:p>
    <w:p w14:paraId="26FE2C70" w14:textId="3CE327C7" w:rsidR="11F91D49" w:rsidRPr="00CE0265" w:rsidRDefault="002864C8" w:rsidP="11F91D49">
      <w:pPr>
        <w:jc w:val="both"/>
        <w:rPr>
          <w:rFonts w:ascii="Times New Roman" w:hAnsi="Times New Roman" w:cs="Times New Roman"/>
          <w:noProof/>
          <w:sz w:val="24"/>
          <w:szCs w:val="24"/>
        </w:rPr>
      </w:pPr>
      <w:r w:rsidRPr="00CE0265">
        <w:rPr>
          <w:rFonts w:ascii="Times New Roman" w:hAnsi="Times New Roman"/>
          <w:b/>
          <w:noProof/>
          <w:sz w:val="24"/>
        </w:rPr>
        <w:t>Les États membres sont encouragés à lutter contre les émissions de GES et les polluants atmosphériques dans les ports dans le cadre de la mise en œuvre de leurs plans nationaux en matière d’énergie et de climat et de leurs programmes nationaux de lutte contre la pollution atmosphérique</w:t>
      </w:r>
      <w:r w:rsidRPr="00CE0265">
        <w:rPr>
          <w:rFonts w:ascii="Times New Roman" w:hAnsi="Times New Roman"/>
          <w:noProof/>
          <w:sz w:val="24"/>
        </w:rPr>
        <w:t>. Il est difficile de recenser et d’évaluer les sources d’émissions et d’autres polluants en raison de la complexité des activités portuaires</w:t>
      </w:r>
      <w:r w:rsidRPr="00CE0265">
        <w:rPr>
          <w:rStyle w:val="FootnoteReference"/>
          <w:rFonts w:ascii="Times New Roman" w:hAnsi="Times New Roman" w:cs="Times New Roman"/>
          <w:noProof/>
          <w:sz w:val="24"/>
          <w:szCs w:val="24"/>
        </w:rPr>
        <w:footnoteReference w:id="43"/>
      </w:r>
      <w:r w:rsidRPr="00CE0265">
        <w:rPr>
          <w:rFonts w:ascii="Times New Roman" w:hAnsi="Times New Roman"/>
          <w:noProof/>
          <w:sz w:val="24"/>
        </w:rPr>
        <w:t xml:space="preserve">. Les projets financés par l’UE ont mis en évidence la nécessité d’une approche concertée et d’une méthodologie et d’une application communes. La Commission </w:t>
      </w:r>
      <w:r w:rsidRPr="00CE0265">
        <w:rPr>
          <w:rFonts w:ascii="Times New Roman" w:hAnsi="Times New Roman"/>
          <w:b/>
          <w:noProof/>
          <w:sz w:val="24"/>
        </w:rPr>
        <w:t>s’efforcera d’obtenir une plus grande cohérence dans la mesure et la notification des émissions dans les ports</w:t>
      </w:r>
      <w:r w:rsidRPr="00CE0265">
        <w:rPr>
          <w:rFonts w:ascii="Times New Roman" w:hAnsi="Times New Roman"/>
          <w:noProof/>
          <w:sz w:val="24"/>
        </w:rPr>
        <w:t xml:space="preserve">, en s’appuyant sur de nouvelles recherches et innovations.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CE0265" w14:paraId="4C84A6AE" w14:textId="77777777">
        <w:tc>
          <w:tcPr>
            <w:tcW w:w="9016" w:type="dxa"/>
          </w:tcPr>
          <w:p w14:paraId="3AD69F81" w14:textId="77777777" w:rsidR="00E1100C" w:rsidRPr="00CE0265" w:rsidRDefault="00E1100C">
            <w:pPr>
              <w:rPr>
                <w:rFonts w:ascii="Times New Roman" w:hAnsi="Times New Roman" w:cs="Times New Roman"/>
                <w:b/>
                <w:bCs/>
                <w:i/>
                <w:iCs/>
                <w:noProof/>
              </w:rPr>
            </w:pPr>
            <w:r w:rsidRPr="00CE0265">
              <w:rPr>
                <w:rFonts w:ascii="Times New Roman" w:hAnsi="Times New Roman"/>
                <w:b/>
                <w:i/>
                <w:noProof/>
              </w:rPr>
              <w:t>Actions phares</w:t>
            </w:r>
          </w:p>
          <w:p w14:paraId="56B1DAFF" w14:textId="03F5932E" w:rsidR="00E1100C" w:rsidRPr="00CE0265" w:rsidRDefault="00E1100C" w:rsidP="00C10F3B">
            <w:pPr>
              <w:pStyle w:val="ListParagraph"/>
              <w:numPr>
                <w:ilvl w:val="0"/>
                <w:numId w:val="4"/>
              </w:numPr>
              <w:jc w:val="both"/>
              <w:rPr>
                <w:rFonts w:ascii="Times New Roman" w:hAnsi="Times New Roman" w:cs="Times New Roman"/>
                <w:b/>
                <w:noProof/>
              </w:rPr>
            </w:pPr>
            <w:r w:rsidRPr="00CE0265">
              <w:rPr>
                <w:rFonts w:ascii="Times New Roman" w:hAnsi="Times New Roman"/>
                <w:i/>
                <w:noProof/>
              </w:rPr>
              <w:t>Accélérer les procédures d’octroi de permis et prévoir des procédures d’évaluation plus rapides pour les projets stratégiques liés aux ports dans les domaines de l’énergie, du recyclage et de la décarbonation dans le cadre du train de mesures sur les réseaux européens et du train de mesures omnibus sur l’environnement.</w:t>
            </w:r>
          </w:p>
          <w:p w14:paraId="05961A22" w14:textId="059665E5" w:rsidR="00B15485" w:rsidRPr="00CE0265" w:rsidRDefault="0066131D" w:rsidP="00C10F3B">
            <w:pPr>
              <w:pStyle w:val="ListParagraph"/>
              <w:numPr>
                <w:ilvl w:val="0"/>
                <w:numId w:val="4"/>
              </w:numPr>
              <w:jc w:val="both"/>
              <w:rPr>
                <w:rFonts w:ascii="Times New Roman" w:hAnsi="Times New Roman" w:cs="Times New Roman"/>
                <w:b/>
                <w:noProof/>
              </w:rPr>
            </w:pPr>
            <w:r w:rsidRPr="00CE0265">
              <w:rPr>
                <w:rFonts w:ascii="Times New Roman" w:hAnsi="Times New Roman"/>
                <w:i/>
                <w:noProof/>
              </w:rPr>
              <w:t xml:space="preserve">Accélérer l’électrification des ports et fournir un accès rapide et non discriminatoire aux réseaux. </w:t>
            </w:r>
          </w:p>
          <w:p w14:paraId="1AF1E255" w14:textId="7537CBB0" w:rsidR="00815D97" w:rsidRPr="00CE0265" w:rsidRDefault="00C72720" w:rsidP="00597A72">
            <w:pPr>
              <w:pStyle w:val="ListParagraph"/>
              <w:numPr>
                <w:ilvl w:val="0"/>
                <w:numId w:val="4"/>
              </w:numPr>
              <w:spacing w:after="120"/>
              <w:ind w:left="714" w:hanging="357"/>
              <w:jc w:val="both"/>
              <w:rPr>
                <w:rFonts w:ascii="Times New Roman" w:hAnsi="Times New Roman" w:cs="Times New Roman"/>
                <w:b/>
                <w:noProof/>
              </w:rPr>
            </w:pPr>
            <w:r w:rsidRPr="00CE0265">
              <w:rPr>
                <w:rFonts w:ascii="Times New Roman" w:hAnsi="Times New Roman"/>
                <w:i/>
                <w:noProof/>
              </w:rPr>
              <w:t>Promouvoir des partenariats pour la coopération énergétique dans les zones portuaires et autour de celles-ci en vue d’une utilisation durable de l’énergie, y compris de l’hydrogène.</w:t>
            </w:r>
          </w:p>
        </w:tc>
      </w:tr>
    </w:tbl>
    <w:p w14:paraId="17FB343C" w14:textId="77777777" w:rsidR="00E1100C" w:rsidRPr="00CE0265" w:rsidRDefault="00E1100C" w:rsidP="00C10F3B">
      <w:pPr>
        <w:pStyle w:val="Heading2"/>
        <w:numPr>
          <w:ilvl w:val="0"/>
          <w:numId w:val="2"/>
        </w:numPr>
        <w:rPr>
          <w:rFonts w:ascii="Times New Roman" w:hAnsi="Times New Roman" w:cs="Times New Roman"/>
          <w:b/>
          <w:noProof/>
          <w:color w:val="auto"/>
          <w:sz w:val="24"/>
          <w:szCs w:val="24"/>
        </w:rPr>
      </w:pPr>
      <w:r w:rsidRPr="00CE0265">
        <w:rPr>
          <w:rFonts w:ascii="Times New Roman" w:hAnsi="Times New Roman"/>
          <w:b/>
          <w:noProof/>
          <w:color w:val="auto"/>
          <w:sz w:val="24"/>
        </w:rPr>
        <w:t>PROTÉGER ET SÉCURISER LES PORTS</w:t>
      </w:r>
    </w:p>
    <w:p w14:paraId="1B0F9F2A" w14:textId="6E6037B8" w:rsidR="00E1100C" w:rsidRPr="00CE0265" w:rsidRDefault="00E1100C" w:rsidP="00C10F3B">
      <w:pPr>
        <w:pStyle w:val="Heading3"/>
        <w:numPr>
          <w:ilvl w:val="1"/>
          <w:numId w:val="2"/>
        </w:numPr>
        <w:rPr>
          <w:rFonts w:ascii="Times New Roman" w:hAnsi="Times New Roman" w:cs="Times New Roman"/>
          <w:b/>
          <w:bCs/>
          <w:i/>
          <w:iCs/>
          <w:noProof/>
          <w:color w:val="auto"/>
          <w:sz w:val="24"/>
          <w:szCs w:val="24"/>
        </w:rPr>
      </w:pPr>
      <w:r w:rsidRPr="00CE0265">
        <w:rPr>
          <w:rFonts w:ascii="Times New Roman" w:hAnsi="Times New Roman"/>
          <w:b/>
          <w:i/>
          <w:noProof/>
          <w:color w:val="auto"/>
          <w:sz w:val="24"/>
        </w:rPr>
        <w:t>Sécurité intérieure</w:t>
      </w:r>
    </w:p>
    <w:p w14:paraId="1881A8D2" w14:textId="5188A2F5" w:rsidR="00365D0C" w:rsidRPr="00CE0265" w:rsidRDefault="00E1100C" w:rsidP="2BFC3568">
      <w:pPr>
        <w:spacing w:before="240" w:after="240"/>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 xml:space="preserve">L’évolution du paysage géopolitique a amplifié les actes de terrorisme et de sabotage, la criminalité organisée et la corruption, et a entraîné l'apparition de cybermenaces/menaces hybrides ainsi que de drones aériens et marins dans toute l’Europe. </w:t>
      </w:r>
      <w:r w:rsidRPr="00CE0265">
        <w:rPr>
          <w:rFonts w:ascii="Times New Roman" w:hAnsi="Times New Roman"/>
          <w:noProof/>
          <w:color w:val="000000" w:themeColor="text1"/>
          <w:sz w:val="24"/>
        </w:rPr>
        <w:t xml:space="preserve">Un éventail toujours plus large d’actes de sabotage et d’activités hybrides en dessous du seuil de l’attaque armée menée par la Russie présente de plus en plus de caractéristiques comparables au terrorisme soutenu par l’État. </w:t>
      </w:r>
      <w:r w:rsidRPr="00CE0265">
        <w:rPr>
          <w:rFonts w:ascii="Times New Roman" w:hAnsi="Times New Roman"/>
          <w:noProof/>
          <w:sz w:val="24"/>
        </w:rPr>
        <w:t>La région de la mer Baltique et ses ports restent particulièrement exposés aux activités de guerre hybride menées par la Russie.</w:t>
      </w:r>
      <w:r w:rsidRPr="00CE0265">
        <w:rPr>
          <w:rFonts w:ascii="Times New Roman" w:hAnsi="Times New Roman"/>
          <w:noProof/>
          <w:color w:val="000000" w:themeColor="text1"/>
          <w:sz w:val="24"/>
        </w:rPr>
        <w:t xml:space="preserve"> Les cadres juridiques mis en place par l’UE et les États membres pour combattre le terrorisme et la guerre hybride devraient être systématiquement utilisés et, le cas échéant, réexaminés</w:t>
      </w:r>
      <w:r w:rsidRPr="00CE0265">
        <w:rPr>
          <w:rStyle w:val="FootnoteReference"/>
          <w:rFonts w:ascii="Times New Roman" w:eastAsia="Times New Roman" w:hAnsi="Times New Roman" w:cs="Times New Roman"/>
          <w:noProof/>
          <w:color w:val="000000" w:themeColor="text1"/>
          <w:sz w:val="24"/>
          <w:szCs w:val="24"/>
        </w:rPr>
        <w:footnoteReference w:id="44"/>
      </w:r>
      <w:r w:rsidRPr="00CE0265">
        <w:rPr>
          <w:rFonts w:ascii="Times New Roman" w:hAnsi="Times New Roman"/>
          <w:noProof/>
          <w:color w:val="000000" w:themeColor="text1"/>
          <w:sz w:val="24"/>
        </w:rPr>
        <w:t>. La coopération entre les autorités compétentes est nécessaire pour renforcer encore la lutte contre le contournement des mesures restrictives</w:t>
      </w:r>
      <w:r w:rsidRPr="00CE0265">
        <w:rPr>
          <w:rFonts w:ascii="Times New Roman" w:hAnsi="Times New Roman"/>
          <w:noProof/>
          <w:sz w:val="24"/>
        </w:rPr>
        <w:t xml:space="preserve"> et soutenir des réponses efficaces de l’UE.</w:t>
      </w:r>
      <w:r w:rsidRPr="00CE0265">
        <w:rPr>
          <w:rFonts w:ascii="Times New Roman" w:hAnsi="Times New Roman"/>
          <w:noProof/>
          <w:color w:val="000000" w:themeColor="text1"/>
          <w:sz w:val="24"/>
        </w:rPr>
        <w:t xml:space="preserve"> </w:t>
      </w:r>
    </w:p>
    <w:p w14:paraId="23B9CDD4" w14:textId="798660E9" w:rsidR="00107484" w:rsidRPr="00CE0265" w:rsidRDefault="00E1100C" w:rsidP="2BFC3568">
      <w:pPr>
        <w:spacing w:before="240" w:after="240"/>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 xml:space="preserve">La Commission </w:t>
      </w:r>
      <w:r w:rsidRPr="00CE0265">
        <w:rPr>
          <w:rFonts w:ascii="Times New Roman" w:hAnsi="Times New Roman"/>
          <w:b/>
          <w:noProof/>
          <w:sz w:val="24"/>
        </w:rPr>
        <w:t>mettra à jour les orientations existantes</w:t>
      </w:r>
      <w:r w:rsidRPr="00CE0265">
        <w:rPr>
          <w:rFonts w:ascii="Times New Roman" w:hAnsi="Times New Roman"/>
          <w:noProof/>
          <w:sz w:val="24"/>
        </w:rPr>
        <w:t xml:space="preserve"> sur la législation en matière de sûreté maritime </w:t>
      </w:r>
      <w:r w:rsidRPr="00CE0265">
        <w:rPr>
          <w:rFonts w:ascii="Times New Roman" w:hAnsi="Times New Roman"/>
          <w:b/>
          <w:noProof/>
          <w:sz w:val="24"/>
        </w:rPr>
        <w:t>afin de couvrir de manière adéquate toutes les menaces pertinentes</w:t>
      </w:r>
      <w:r w:rsidRPr="00CE0265">
        <w:rPr>
          <w:rFonts w:ascii="Times New Roman" w:hAnsi="Times New Roman"/>
          <w:noProof/>
          <w:sz w:val="24"/>
        </w:rPr>
        <w:t xml:space="preserve">, y compris les cybermenaces et les menaces hybrides, le trafic illicite et l’utilisation malveillante de drones non militaires, avec l’aide d’agences telles que l’Agence européenne pour la sécurité maritime (AESM) et l’Agence de l’Union européenne pour la cybersécurité (ENISA). </w:t>
      </w:r>
      <w:r w:rsidRPr="00CE0265">
        <w:rPr>
          <w:rFonts w:ascii="Times New Roman" w:hAnsi="Times New Roman"/>
          <w:b/>
          <w:noProof/>
          <w:sz w:val="24"/>
        </w:rPr>
        <w:t>Afin de garantir la sûreté des ports au niveau mondial face à ces menaces, la Commission collaborera avec les États membres de l’UE en vue d'actualiser les orientations internationales au sein de l’Organisation maritime internationale (OMI).</w:t>
      </w:r>
      <w:r w:rsidRPr="00CE0265">
        <w:rPr>
          <w:rFonts w:ascii="Times New Roman" w:hAnsi="Times New Roman"/>
          <w:noProof/>
          <w:sz w:val="24"/>
        </w:rPr>
        <w:t xml:space="preserve"> L'amélioration de la collecte et de l’analyse des données est nécessaire pour lutter contre les risques liés au terrorisme et à la criminalité organisée en ce qui concerne le trafic s’appuyant sur les terminaux pour </w:t>
      </w:r>
      <w:r w:rsidRPr="00CE0265">
        <w:rPr>
          <w:rFonts w:ascii="Times New Roman" w:hAnsi="Times New Roman"/>
          <w:noProof/>
          <w:color w:val="000000" w:themeColor="text1"/>
          <w:sz w:val="24"/>
        </w:rPr>
        <w:t>passagers</w:t>
      </w:r>
      <w:r w:rsidRPr="00CE0265">
        <w:rPr>
          <w:rFonts w:ascii="Times New Roman" w:hAnsi="Times New Roman"/>
          <w:noProof/>
          <w:sz w:val="24"/>
        </w:rPr>
        <w:t xml:space="preserve"> et le transport maritime commercial. Les travailleurs portuaires doivent être mieux formés et protégés en tant que </w:t>
      </w:r>
      <w:r w:rsidRPr="00CE0265">
        <w:rPr>
          <w:rFonts w:ascii="Times New Roman" w:hAnsi="Times New Roman"/>
          <w:noProof/>
          <w:color w:val="000000" w:themeColor="text1"/>
          <w:sz w:val="24"/>
        </w:rPr>
        <w:t>partenaires dans la lutte contre la criminalité organisée</w:t>
      </w:r>
      <w:r w:rsidRPr="00CE0265">
        <w:rPr>
          <w:rFonts w:ascii="Times New Roman" w:hAnsi="Times New Roman"/>
          <w:noProof/>
          <w:sz w:val="24"/>
        </w:rPr>
        <w:t>,</w:t>
      </w:r>
      <w:r w:rsidRPr="00CE0265">
        <w:rPr>
          <w:rFonts w:ascii="Times New Roman" w:hAnsi="Times New Roman"/>
          <w:noProof/>
          <w:color w:val="000000" w:themeColor="text1"/>
          <w:sz w:val="24"/>
        </w:rPr>
        <w:t xml:space="preserve"> les cybermenaces et les menaces hybrides.</w:t>
      </w:r>
      <w:r w:rsidRPr="00CE0265">
        <w:rPr>
          <w:rFonts w:ascii="Times New Roman" w:hAnsi="Times New Roman"/>
          <w:noProof/>
          <w:sz w:val="24"/>
        </w:rPr>
        <w:t xml:space="preserve"> </w:t>
      </w:r>
    </w:p>
    <w:p w14:paraId="1909308B" w14:textId="75B4CF8F" w:rsidR="00E1100C" w:rsidRPr="00CE0265" w:rsidRDefault="1969AD1E" w:rsidP="2BFC3568">
      <w:pPr>
        <w:spacing w:after="0" w:line="257" w:lineRule="auto"/>
        <w:jc w:val="both"/>
        <w:rPr>
          <w:rFonts w:ascii="Times New Roman" w:eastAsia="Times New Roman" w:hAnsi="Times New Roman" w:cs="Times New Roman"/>
          <w:noProof/>
          <w:sz w:val="24"/>
          <w:szCs w:val="24"/>
        </w:rPr>
      </w:pPr>
      <w:r w:rsidRPr="00CE0265">
        <w:rPr>
          <w:rFonts w:ascii="Times New Roman" w:hAnsi="Times New Roman"/>
          <w:noProof/>
          <w:sz w:val="24"/>
        </w:rPr>
        <w:t>La communication intitulée «</w:t>
      </w:r>
      <w:r w:rsidRPr="00CE0265">
        <w:rPr>
          <w:rFonts w:ascii="Times New Roman" w:hAnsi="Times New Roman"/>
          <w:b/>
          <w:noProof/>
          <w:sz w:val="24"/>
        </w:rPr>
        <w:t>ProtectEU: une stratégie européenne de sécurité intérieure</w:t>
      </w:r>
      <w:r w:rsidRPr="00CE0265">
        <w:rPr>
          <w:rFonts w:ascii="Times New Roman" w:hAnsi="Times New Roman"/>
          <w:noProof/>
          <w:sz w:val="24"/>
        </w:rPr>
        <w:t>»</w:t>
      </w:r>
      <w:r w:rsidRPr="00CE0265">
        <w:rPr>
          <w:rStyle w:val="FootnoteReference"/>
          <w:rFonts w:ascii="Times New Roman" w:eastAsia="Times New Roman" w:hAnsi="Times New Roman" w:cs="Times New Roman"/>
          <w:noProof/>
          <w:sz w:val="24"/>
          <w:szCs w:val="24"/>
        </w:rPr>
        <w:footnoteReference w:id="45"/>
      </w:r>
      <w:r w:rsidRPr="00CE0265">
        <w:rPr>
          <w:rFonts w:ascii="Times New Roman" w:hAnsi="Times New Roman"/>
          <w:noProof/>
          <w:sz w:val="24"/>
        </w:rPr>
        <w:t xml:space="preserve"> souligne que les ports sont devenus des cibles privilégiées pour les menaces extérieures et prévoit que la sûreté maritime s'attaque au problème des drones et des actes de sabotage contre des câbles sous-marins et améliore la sûreté des ports et des chaînes d’approvisionnement, y compris dans les pays voisins. La </w:t>
      </w:r>
      <w:r w:rsidRPr="00CE0265">
        <w:rPr>
          <w:rFonts w:ascii="Times New Roman" w:hAnsi="Times New Roman"/>
          <w:b/>
          <w:noProof/>
          <w:sz w:val="24"/>
        </w:rPr>
        <w:t>stratégie de sûreté maritime de l’UE</w:t>
      </w:r>
      <w:r w:rsidRPr="00CE0265">
        <w:rPr>
          <w:rFonts w:ascii="Times New Roman" w:hAnsi="Times New Roman"/>
          <w:noProof/>
          <w:sz w:val="24"/>
        </w:rPr>
        <w:t xml:space="preserve"> aborde la question de la résilience et de la protection des ports en tant qu’infrastructures maritimes critiques. Pour lutter contre l’infiltration par des organisations criminelles, la Commission </w:t>
      </w:r>
      <w:r w:rsidRPr="00CE0265">
        <w:rPr>
          <w:rFonts w:ascii="Times New Roman" w:hAnsi="Times New Roman"/>
          <w:b/>
          <w:noProof/>
          <w:sz w:val="24"/>
        </w:rPr>
        <w:t>présentera</w:t>
      </w:r>
      <w:r w:rsidRPr="00CE0265">
        <w:rPr>
          <w:rFonts w:ascii="Times New Roman" w:hAnsi="Times New Roman"/>
          <w:noProof/>
          <w:sz w:val="24"/>
        </w:rPr>
        <w:t xml:space="preserve"> en 2026 </w:t>
      </w:r>
      <w:r w:rsidRPr="00CE0265">
        <w:rPr>
          <w:rFonts w:ascii="Times New Roman" w:hAnsi="Times New Roman"/>
          <w:b/>
          <w:noProof/>
          <w:sz w:val="24"/>
        </w:rPr>
        <w:t>une stratégie anticorruption de l’UE</w:t>
      </w:r>
      <w:r w:rsidRPr="00CE0265">
        <w:rPr>
          <w:rFonts w:ascii="Times New Roman" w:hAnsi="Times New Roman"/>
          <w:noProof/>
          <w:sz w:val="24"/>
        </w:rPr>
        <w:t>, qui s’appuiera sur la directive relative à la lutte contre la corruption.</w:t>
      </w:r>
    </w:p>
    <w:p w14:paraId="063B7F94" w14:textId="168CAD88" w:rsidR="00DB6585" w:rsidRPr="00CE0265" w:rsidRDefault="00DB6585" w:rsidP="00DB6585">
      <w:pPr>
        <w:spacing w:before="240" w:after="240"/>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 xml:space="preserve">L’alliance des ports européens lutte contre le trafic de drogue et la criminalité organisée en réunissant les services répressifs, les douanes, les autorités portuaires et l’industrie. Elle renforce la résilience des ports grâce à la coopération, au partage des bonnes pratiques et au recensement des lacunes opérationnelles. Sur la base de ces travaux, </w:t>
      </w:r>
      <w:r w:rsidRPr="00CE0265">
        <w:rPr>
          <w:rFonts w:ascii="Times New Roman" w:hAnsi="Times New Roman"/>
          <w:b/>
          <w:noProof/>
          <w:sz w:val="24"/>
        </w:rPr>
        <w:t>la Commission proposera un cadre de l’UE pour la vérification des antécédents des travailleurs portuaires</w:t>
      </w:r>
      <w:r w:rsidRPr="00CE0265">
        <w:rPr>
          <w:rFonts w:ascii="Times New Roman" w:hAnsi="Times New Roman"/>
          <w:noProof/>
          <w:sz w:val="24"/>
        </w:rPr>
        <w:t>.</w:t>
      </w:r>
      <w:r w:rsidRPr="00CE0265">
        <w:rPr>
          <w:rFonts w:ascii="Times New Roman" w:hAnsi="Times New Roman"/>
          <w:b/>
          <w:noProof/>
          <w:sz w:val="24"/>
        </w:rPr>
        <w:t xml:space="preserve"> Les efforts en matière de sûreté seront également étendus aux ports intérieurs, y compris ceux qui ne sont pas couverts par le code ISPS, en collaboration avec les commissions fluviales.</w:t>
      </w:r>
      <w:r w:rsidRPr="00CE0265">
        <w:rPr>
          <w:rFonts w:ascii="Times New Roman" w:hAnsi="Times New Roman"/>
          <w:noProof/>
          <w:sz w:val="24"/>
        </w:rPr>
        <w:t xml:space="preserve"> </w:t>
      </w:r>
      <w:r w:rsidRPr="00CE0265">
        <w:rPr>
          <w:rFonts w:ascii="Times New Roman" w:hAnsi="Times New Roman"/>
          <w:b/>
          <w:noProof/>
          <w:sz w:val="24"/>
        </w:rPr>
        <w:t>La Commission publiera des bonnes pratiques pour prévenir le trafic de drogue et étudiera la possibilité de renforcer la coopération avec les pays candidats</w:t>
      </w:r>
      <w:r w:rsidRPr="00CE0265">
        <w:rPr>
          <w:rFonts w:ascii="Times New Roman" w:hAnsi="Times New Roman"/>
          <w:noProof/>
          <w:sz w:val="24"/>
        </w:rPr>
        <w:t>.</w:t>
      </w:r>
    </w:p>
    <w:p w14:paraId="5876C1EE" w14:textId="0062D390" w:rsidR="00DF50E4" w:rsidRPr="00CE0265" w:rsidRDefault="003D6A6A" w:rsidP="004515CF">
      <w:pPr>
        <w:spacing w:before="240" w:after="240"/>
        <w:jc w:val="both"/>
        <w:rPr>
          <w:rFonts w:ascii="Times New Roman" w:eastAsia="Times New Roman" w:hAnsi="Times New Roman" w:cs="Times New Roman"/>
          <w:noProof/>
          <w:sz w:val="24"/>
          <w:szCs w:val="24"/>
        </w:rPr>
      </w:pPr>
      <w:r w:rsidRPr="00CE0265">
        <w:rPr>
          <w:rFonts w:ascii="Times New Roman" w:hAnsi="Times New Roman"/>
          <w:noProof/>
          <w:sz w:val="24"/>
        </w:rPr>
        <w:t xml:space="preserve">La prévention et la détection de la contamination du fret et de l’infiltration criminelle doivent déjà être mises en œuvre dans les ports de départ situés dans des pays tiers. Pour ce faire, </w:t>
      </w:r>
      <w:r w:rsidRPr="00CE0265">
        <w:rPr>
          <w:rFonts w:ascii="Times New Roman" w:hAnsi="Times New Roman"/>
          <w:b/>
          <w:noProof/>
          <w:sz w:val="24"/>
        </w:rPr>
        <w:t>la Commission et le SEAE doivent élaborer conjointement des cadres régionaux pour coopérer avec les pays tiers afin d’améliorer la sûreté portuaire, sur la base d’une responsabilité partagée et, dans la mesure du possible, avec le soutien de la stratégie «Global Gateway» ou d’autres instruments de coopération</w:t>
      </w:r>
      <w:r w:rsidRPr="00CE0265">
        <w:rPr>
          <w:rFonts w:ascii="Times New Roman" w:hAnsi="Times New Roman"/>
          <w:noProof/>
          <w:sz w:val="24"/>
        </w:rPr>
        <w:t>.</w:t>
      </w:r>
      <w:r w:rsidRPr="00CE0265">
        <w:rPr>
          <w:rFonts w:ascii="Times New Roman" w:hAnsi="Times New Roman"/>
          <w:b/>
          <w:noProof/>
          <w:sz w:val="24"/>
        </w:rPr>
        <w:t xml:space="preserve"> Dans ce contexte, des évaluations ciblées des ports de pays tiers à haut risque seront réalisées afin de recenser les lacunes en matière de sûreté et d’y remédier, d’améliorer l’échange d’informations et, lorsque de graves lacunes ne sont pas corrigées, de prévoir des réponses possibles.</w:t>
      </w:r>
      <w:r w:rsidRPr="00CE0265">
        <w:rPr>
          <w:rFonts w:ascii="Times New Roman" w:hAnsi="Times New Roman"/>
          <w:b/>
          <w:noProof/>
          <w:sz w:val="24"/>
          <w:u w:val="single"/>
        </w:rPr>
        <w:t xml:space="preserve"> </w:t>
      </w:r>
      <w:r w:rsidRPr="00CE0265">
        <w:rPr>
          <w:rFonts w:ascii="Times New Roman" w:hAnsi="Times New Roman"/>
          <w:noProof/>
          <w:sz w:val="24"/>
        </w:rPr>
        <w:t xml:space="preserve">Ce système peut contribuer à la mise en place d’un partenariat de confiance avec les pays tiers pour lutter contre les menaces pesant sur la sûreté dans les ports. </w:t>
      </w:r>
    </w:p>
    <w:p w14:paraId="072B1BB5" w14:textId="1973F71C" w:rsidR="00D36087" w:rsidRPr="00CE0265" w:rsidRDefault="0069A9C3" w:rsidP="00D36087">
      <w:pPr>
        <w:spacing w:before="240" w:after="240"/>
        <w:jc w:val="both"/>
        <w:rPr>
          <w:rFonts w:ascii="Times New Roman" w:eastAsia="Times New Roman" w:hAnsi="Times New Roman" w:cs="Times New Roman"/>
          <w:noProof/>
          <w:sz w:val="24"/>
          <w:szCs w:val="24"/>
        </w:rPr>
      </w:pPr>
      <w:r w:rsidRPr="00CE0265">
        <w:rPr>
          <w:rFonts w:ascii="Times New Roman" w:hAnsi="Times New Roman"/>
          <w:b/>
          <w:noProof/>
          <w:sz w:val="24"/>
        </w:rPr>
        <w:t>Un alignement renforcé des contrôles douaniers dans les ports de l’UE, ainsi qu’une amélioration des protocoles de sûreté dans le monde entier</w:t>
      </w:r>
      <w:r w:rsidRPr="00CE0265">
        <w:rPr>
          <w:rFonts w:ascii="Times New Roman" w:hAnsi="Times New Roman"/>
          <w:noProof/>
          <w:sz w:val="24"/>
        </w:rPr>
        <w:t xml:space="preserve">, peuvent protéger les parties et les infrastructures critiques de l’UE grâce à des instruments </w:t>
      </w:r>
      <w:r w:rsidRPr="00CE0265">
        <w:rPr>
          <w:rFonts w:ascii="Times New Roman" w:hAnsi="Times New Roman"/>
          <w:b/>
          <w:noProof/>
          <w:sz w:val="24"/>
        </w:rPr>
        <w:t>tels que l’injonction de «non-chargement»</w:t>
      </w:r>
      <w:r w:rsidRPr="00CE0265">
        <w:rPr>
          <w:rFonts w:ascii="Times New Roman" w:hAnsi="Times New Roman"/>
          <w:noProof/>
          <w:sz w:val="24"/>
        </w:rPr>
        <w:t xml:space="preserve">. La Commission </w:t>
      </w:r>
      <w:r w:rsidRPr="00CE0265">
        <w:rPr>
          <w:rFonts w:ascii="Times New Roman" w:hAnsi="Times New Roman"/>
          <w:b/>
          <w:noProof/>
          <w:sz w:val="24"/>
        </w:rPr>
        <w:t>travaillera à l’échange d’informations public-privé entre les douanes et les entreprises de logistique maritime sur le trafic de drogue et le commerce illicite</w:t>
      </w:r>
      <w:r w:rsidRPr="00CE0265">
        <w:rPr>
          <w:rFonts w:ascii="Times New Roman" w:hAnsi="Times New Roman"/>
          <w:noProof/>
          <w:sz w:val="24"/>
        </w:rPr>
        <w:t>.</w:t>
      </w:r>
      <w:r w:rsidRPr="00CE0265">
        <w:rPr>
          <w:rFonts w:ascii="Times New Roman" w:hAnsi="Times New Roman"/>
          <w:b/>
          <w:noProof/>
          <w:sz w:val="24"/>
        </w:rPr>
        <w:t xml:space="preserve"> En outre, la Commission est disposée à évaluer la mesure dans laquelle les instruments en matière d’ententes et d’abus de position dominante peuvent soutenir l’application des orientations ou des bonnes pratiques élaborées par l’alliance des ports européens. </w:t>
      </w:r>
      <w:r w:rsidRPr="00CE0265">
        <w:rPr>
          <w:rFonts w:ascii="Times New Roman" w:hAnsi="Times New Roman"/>
          <w:noProof/>
          <w:sz w:val="24"/>
        </w:rPr>
        <w:t xml:space="preserve">Dans le cadre de la proposition de réforme douanière de l’Union, la nouvelle Autorité douanière de l’UE et la plateforme des données douanières de l’UE permettront aux douanes de procéder à une analyse des risques à l’échelle de l’UE et d'agir sur les chaînes d’approvisionnement internationales, y compris le commerce électronique, au moyen de vérifications et de contrôles de conformité efficaces effectués par les douanes et d’autres services répressifs. </w:t>
      </w:r>
    </w:p>
    <w:p w14:paraId="3BB2065F" w14:textId="10DB9FE7" w:rsidR="00AC63FA" w:rsidRPr="00CE0265" w:rsidRDefault="0011025E" w:rsidP="00D36087">
      <w:pPr>
        <w:spacing w:before="240" w:after="240"/>
        <w:jc w:val="both"/>
        <w:rPr>
          <w:rFonts w:ascii="Times New Roman" w:eastAsia="Times New Roman" w:hAnsi="Times New Roman" w:cs="Times New Roman"/>
          <w:noProof/>
          <w:sz w:val="24"/>
          <w:szCs w:val="24"/>
        </w:rPr>
      </w:pPr>
      <w:r w:rsidRPr="00CE0265">
        <w:rPr>
          <w:rFonts w:ascii="Times New Roman" w:hAnsi="Times New Roman"/>
          <w:noProof/>
          <w:sz w:val="24"/>
        </w:rPr>
        <w:t xml:space="preserve">En outre, la Commission aide les États membres à mettre en œuvre des mesures sanitaires et phytosanitaires (SPS) solides dans les ports. La Commission est déterminée à développer ces mécanismes et invite les États membres à renforcer et améliorer les mesures de contrôle des marchandises importées. Les États membres </w:t>
      </w:r>
      <w:r w:rsidRPr="00CE0265">
        <w:rPr>
          <w:rFonts w:ascii="Times New Roman" w:hAnsi="Times New Roman"/>
          <w:b/>
          <w:noProof/>
          <w:sz w:val="24"/>
        </w:rPr>
        <w:t>devraient donner la priorité à la mise en œuvre de la législation en matière de sûreté maritime, adopter de bonnes pratiques partagées dans le cadre du partenariat public-privé de l’alliance des ports européens pour lutter contre la criminalité organisée (y compris le trafic de drogue) et la corruption, et s’attaquer au problème de la sûreté portuaire dans tous ses éléments</w:t>
      </w:r>
      <w:r w:rsidRPr="00CE0265">
        <w:rPr>
          <w:rFonts w:ascii="Times New Roman" w:hAnsi="Times New Roman"/>
          <w:noProof/>
          <w:sz w:val="24"/>
        </w:rPr>
        <w:t xml:space="preserve">, en garantissant des effectifs de sécurité suffisants et des investissements essentiels. </w:t>
      </w:r>
    </w:p>
    <w:p w14:paraId="0579A081" w14:textId="0E2DF435" w:rsidR="00E1100C" w:rsidRPr="00CE0265" w:rsidRDefault="27F7746E" w:rsidP="00C10F3B">
      <w:pPr>
        <w:pStyle w:val="Heading3"/>
        <w:numPr>
          <w:ilvl w:val="1"/>
          <w:numId w:val="2"/>
        </w:numPr>
        <w:rPr>
          <w:rFonts w:ascii="Times New Roman" w:hAnsi="Times New Roman" w:cs="Times New Roman"/>
          <w:b/>
          <w:i/>
          <w:noProof/>
          <w:color w:val="auto"/>
          <w:sz w:val="24"/>
          <w:szCs w:val="24"/>
        </w:rPr>
      </w:pPr>
      <w:r w:rsidRPr="00CE0265">
        <w:rPr>
          <w:rFonts w:ascii="Times New Roman" w:hAnsi="Times New Roman"/>
          <w:b/>
          <w:i/>
          <w:noProof/>
          <w:color w:val="auto"/>
          <w:sz w:val="24"/>
        </w:rPr>
        <w:t>Accroître la résilience et la préparation des ports et des réseaux logistiques</w:t>
      </w:r>
    </w:p>
    <w:p w14:paraId="4D837605" w14:textId="01E07244" w:rsidR="00E1100C" w:rsidRPr="00CE0265" w:rsidRDefault="00E1100C" w:rsidP="00E1100C">
      <w:pPr>
        <w:spacing w:before="240" w:after="240"/>
        <w:jc w:val="both"/>
        <w:rPr>
          <w:rFonts w:ascii="Times New Roman" w:eastAsia="Times New Roman" w:hAnsi="Times New Roman" w:cs="Times New Roman"/>
          <w:noProof/>
          <w:sz w:val="24"/>
          <w:szCs w:val="24"/>
        </w:rPr>
      </w:pPr>
      <w:r w:rsidRPr="00CE0265">
        <w:rPr>
          <w:rFonts w:ascii="Times New Roman" w:hAnsi="Times New Roman"/>
          <w:noProof/>
          <w:sz w:val="24"/>
        </w:rPr>
        <w:t>Les aléas liés au changement climatique, tels que l’élévation du niveau de la mer, les tempêtes côtières et les sécheresses, ainsi que la dégradation de l’environnement, entraînent des risques accrus d’inondations et d’intrusion saline, ce qui a une incidence sur la navigabilité, l’état des infrastructures portuaires et la fiabilité, l’efficacité et la sécurité des ports et des opérations portuaires. Afin d’aider les États membres dans le domaine de la planification de la préparation et de la résilience, la Commission présentera un</w:t>
      </w:r>
      <w:r w:rsidRPr="00CE0265">
        <w:rPr>
          <w:rFonts w:ascii="Times New Roman" w:hAnsi="Times New Roman"/>
          <w:b/>
          <w:noProof/>
          <w:sz w:val="24"/>
        </w:rPr>
        <w:t xml:space="preserve"> cadre européen intégré pour la résilience au changement climatique en 2026</w:t>
      </w:r>
      <w:r w:rsidRPr="00CE0265">
        <w:rPr>
          <w:rFonts w:ascii="Times New Roman" w:hAnsi="Times New Roman"/>
          <w:noProof/>
          <w:sz w:val="24"/>
        </w:rPr>
        <w:t>.</w:t>
      </w:r>
    </w:p>
    <w:p w14:paraId="47536B98" w14:textId="01FB5089" w:rsidR="00E1100C" w:rsidRPr="00CE0265" w:rsidRDefault="000720BC" w:rsidP="00E1100C">
      <w:pPr>
        <w:spacing w:before="240" w:after="240"/>
        <w:jc w:val="both"/>
        <w:rPr>
          <w:rFonts w:ascii="Times New Roman" w:hAnsi="Times New Roman" w:cs="Times New Roman"/>
          <w:noProof/>
          <w:sz w:val="24"/>
          <w:szCs w:val="24"/>
        </w:rPr>
      </w:pPr>
      <w:r w:rsidRPr="00CE0265">
        <w:rPr>
          <w:rFonts w:ascii="Times New Roman" w:hAnsi="Times New Roman"/>
          <w:noProof/>
          <w:sz w:val="24"/>
        </w:rPr>
        <w:t>Les États membres sont obligés d’adopter et de mettre en œuvre des stratégies et des plans d’adaptation nationaux</w:t>
      </w:r>
      <w:r w:rsidRPr="00CE0265">
        <w:rPr>
          <w:rStyle w:val="FootnoteReference"/>
          <w:rFonts w:ascii="Times New Roman" w:eastAsia="Times New Roman" w:hAnsi="Times New Roman" w:cs="Times New Roman"/>
          <w:noProof/>
          <w:sz w:val="24"/>
          <w:szCs w:val="24"/>
        </w:rPr>
        <w:footnoteReference w:id="46"/>
      </w:r>
      <w:r w:rsidRPr="00CE0265">
        <w:rPr>
          <w:rFonts w:ascii="Times New Roman" w:hAnsi="Times New Roman"/>
          <w:noProof/>
          <w:sz w:val="24"/>
        </w:rPr>
        <w:t xml:space="preserve">. Compte tenu de leur vulnérabilité et de leur importance stratégique, les </w:t>
      </w:r>
      <w:r w:rsidRPr="00CE0265">
        <w:rPr>
          <w:rFonts w:ascii="Times New Roman" w:hAnsi="Times New Roman"/>
          <w:b/>
          <w:noProof/>
          <w:sz w:val="24"/>
        </w:rPr>
        <w:t>ports devraient élaborer</w:t>
      </w:r>
      <w:r w:rsidRPr="00CE0265">
        <w:rPr>
          <w:rFonts w:ascii="Times New Roman" w:hAnsi="Times New Roman"/>
          <w:noProof/>
          <w:sz w:val="24"/>
        </w:rPr>
        <w:t xml:space="preserve"> leurs propres </w:t>
      </w:r>
      <w:r w:rsidRPr="00CE0265">
        <w:rPr>
          <w:rFonts w:ascii="Times New Roman" w:hAnsi="Times New Roman"/>
          <w:b/>
          <w:noProof/>
          <w:sz w:val="24"/>
        </w:rPr>
        <w:t>plans de résilience au changement climatique</w:t>
      </w:r>
      <w:r w:rsidRPr="00CE0265">
        <w:rPr>
          <w:rFonts w:ascii="Times New Roman" w:hAnsi="Times New Roman"/>
          <w:noProof/>
          <w:sz w:val="24"/>
        </w:rPr>
        <w:t>.</w:t>
      </w:r>
      <w:r w:rsidRPr="00CE0265">
        <w:rPr>
          <w:rFonts w:ascii="Times New Roman" w:hAnsi="Times New Roman"/>
          <w:b/>
          <w:noProof/>
          <w:sz w:val="24"/>
        </w:rPr>
        <w:t xml:space="preserve"> </w:t>
      </w:r>
      <w:r w:rsidRPr="00CE0265">
        <w:rPr>
          <w:rFonts w:ascii="Times New Roman" w:hAnsi="Times New Roman"/>
          <w:noProof/>
          <w:sz w:val="24"/>
        </w:rPr>
        <w:t>Ces plans devraient également contribuer à lutter contre la dégradation de l’environnement. Les lignes directrices relatives à la prise en compte des enjeux climatiques dans les projets d’infrastructures et les principes de «résilience au changement climatique dès la conception» devraient être appliqués lors de la construction de nouveaux ports ou de la rénovation de ports existants, ainsi que pour le développement infrastructurel et opérationnel d’interfaces avec les réseaux logistiques. L’</w:t>
      </w:r>
      <w:r w:rsidRPr="00CE0265">
        <w:rPr>
          <w:rFonts w:ascii="Times New Roman" w:hAnsi="Times New Roman"/>
          <w:b/>
          <w:noProof/>
          <w:sz w:val="24"/>
        </w:rPr>
        <w:t>échange de bonnes pratiques en matière d’action pour la résilience au changement climatique dans les ports</w:t>
      </w:r>
      <w:r w:rsidRPr="00CE0265">
        <w:rPr>
          <w:rFonts w:ascii="Times New Roman" w:hAnsi="Times New Roman"/>
          <w:noProof/>
          <w:sz w:val="24"/>
        </w:rPr>
        <w:t xml:space="preserve"> sera facilité au sein de l’espace maritime européen. </w:t>
      </w:r>
    </w:p>
    <w:p w14:paraId="62D08E78" w14:textId="22B2A70E" w:rsidR="005F1704" w:rsidRPr="00CE0265" w:rsidRDefault="599CC82F" w:rsidP="005F1704">
      <w:pPr>
        <w:jc w:val="both"/>
        <w:rPr>
          <w:rFonts w:ascii="Times New Roman" w:hAnsi="Times New Roman" w:cs="Times New Roman"/>
          <w:i/>
          <w:iCs/>
          <w:noProof/>
          <w:sz w:val="24"/>
          <w:szCs w:val="24"/>
        </w:rPr>
      </w:pPr>
      <w:r w:rsidRPr="00CE0265">
        <w:rPr>
          <w:rFonts w:ascii="Times New Roman" w:hAnsi="Times New Roman"/>
          <w:noProof/>
          <w:color w:val="000000" w:themeColor="text1"/>
          <w:sz w:val="24"/>
        </w:rPr>
        <w:t>Les accidents et les événements malveillants constituent une menace importante pour les infrastructures de l’UE. La solidité d’un réseau de transport étant déterminée par celle de son maillon le plus faible</w:t>
      </w:r>
      <w:r w:rsidRPr="00CE0265">
        <w:rPr>
          <w:rFonts w:ascii="Times New Roman" w:hAnsi="Times New Roman"/>
          <w:noProof/>
          <w:sz w:val="24"/>
        </w:rPr>
        <w:t xml:space="preserve">, une redondance suffisante et des connexions de remplacement au sein du réseau RTE-T sont essentielles pour protéger les chaînes d’approvisionnement, prévenir les chocs économiques systémiques et garantir la mobilité militaire et la préparation de la défense. Afin de protéger les ports contre les risques naturels et d’origine humaine, les États membres </w:t>
      </w:r>
      <w:r w:rsidRPr="00CE0265">
        <w:rPr>
          <w:rFonts w:ascii="Times New Roman" w:hAnsi="Times New Roman"/>
          <w:b/>
          <w:noProof/>
          <w:sz w:val="24"/>
        </w:rPr>
        <w:t>devraient inclure les ports dans la mise en œuvre de la directive sur la résilience des entités critiques (directive CER)</w:t>
      </w:r>
      <w:r w:rsidRPr="00CE0265">
        <w:rPr>
          <w:rStyle w:val="FootnoteReference"/>
          <w:rFonts w:ascii="Times New Roman" w:eastAsia="Times New Roman" w:hAnsi="Times New Roman" w:cs="Times New Roman"/>
          <w:noProof/>
          <w:sz w:val="24"/>
          <w:szCs w:val="24"/>
        </w:rPr>
        <w:footnoteReference w:id="47"/>
      </w:r>
      <w:r w:rsidRPr="00CE0265">
        <w:rPr>
          <w:rFonts w:ascii="Times New Roman" w:hAnsi="Times New Roman"/>
          <w:noProof/>
          <w:sz w:val="24"/>
        </w:rPr>
        <w:t>. Les prochaines lignes directrices relatives aux entités critiques faciliteront leur protection et la sécurité de leur personnel. Conformément à la stratégie pour une union de la préparation, les autorités devraient promouvoir un niveau élevé de sensibilisation aux risques parmi les communautés situées à proximité des zones portuaires afin de donner aux résidents les moyens de réagir et d’agir efficacement en cas d’incident.</w:t>
      </w:r>
      <w:r w:rsidRPr="00CE0265">
        <w:rPr>
          <w:rFonts w:ascii="Times New Roman" w:hAnsi="Times New Roman"/>
          <w:i/>
          <w:noProof/>
          <w:sz w:val="24"/>
        </w:rPr>
        <w:t xml:space="preserve"> </w:t>
      </w:r>
    </w:p>
    <w:p w14:paraId="726147F4" w14:textId="5BEC76E8" w:rsidR="004826EC" w:rsidRPr="00CE0265" w:rsidRDefault="00F0318D" w:rsidP="004826EC">
      <w:pPr>
        <w:jc w:val="both"/>
        <w:rPr>
          <w:rFonts w:ascii="Times New Roman" w:eastAsiaTheme="minorEastAsia" w:hAnsi="Times New Roman" w:cs="Times New Roman"/>
          <w:noProof/>
          <w:sz w:val="24"/>
          <w:szCs w:val="24"/>
        </w:rPr>
      </w:pPr>
      <w:r w:rsidRPr="00CE0265">
        <w:rPr>
          <w:rFonts w:ascii="Times New Roman" w:hAnsi="Times New Roman"/>
          <w:b/>
          <w:noProof/>
          <w:color w:val="000000" w:themeColor="text1"/>
          <w:sz w:val="24"/>
        </w:rPr>
        <w:t xml:space="preserve">Le coordonnateur de l'espace maritime européen facilitera la planification de la résilience pour la connectivité maritime et la connectivité avec l’arrière-pays avec d’autres coordonnateurs de corridors de transport européens. </w:t>
      </w:r>
      <w:r w:rsidRPr="00CE0265">
        <w:rPr>
          <w:rFonts w:ascii="Times New Roman" w:hAnsi="Times New Roman"/>
          <w:b/>
          <w:noProof/>
          <w:sz w:val="24"/>
        </w:rPr>
        <w:t>Les États membres devraient en outre donner la priorité à l’interopérabilité des ports au sein du système ferroviaire de l’UE ainsi qu’à l’obtention d’un «bon état de navigation» d’ici 2030 pour les voies navigables intérieures.</w:t>
      </w:r>
      <w:r w:rsidRPr="00CE0265">
        <w:rPr>
          <w:rFonts w:ascii="Times New Roman" w:hAnsi="Times New Roman"/>
          <w:noProof/>
          <w:sz w:val="24"/>
        </w:rPr>
        <w:t xml:space="preserve"> Cela permettra de garantir la résilience des voies navigables intérieures, de surmonter les contraintes de capacité ferroviaire, de supprimer les goulets d’étranglement dans les terminaux et aux frontières et de remédier à la mauvaise coordination entre les gestionnaires de l’infrastructure. </w:t>
      </w:r>
    </w:p>
    <w:p w14:paraId="0762B415" w14:textId="79F2BF74" w:rsidR="0043374E" w:rsidRPr="00CE0265" w:rsidRDefault="004A2253" w:rsidP="0043374E">
      <w:pPr>
        <w:spacing w:before="240" w:after="240"/>
        <w:jc w:val="both"/>
        <w:rPr>
          <w:rFonts w:ascii="Times New Roman" w:eastAsia="Times New Roman" w:hAnsi="Times New Roman" w:cs="Times New Roman"/>
          <w:noProof/>
          <w:color w:val="000000" w:themeColor="text1"/>
          <w:sz w:val="24"/>
          <w:szCs w:val="24"/>
        </w:rPr>
      </w:pPr>
      <w:bookmarkStart w:id="8" w:name="_Hlk221487069"/>
      <w:r w:rsidRPr="00CE0265">
        <w:rPr>
          <w:rFonts w:ascii="Times New Roman" w:hAnsi="Times New Roman"/>
          <w:noProof/>
          <w:color w:val="000000" w:themeColor="text1"/>
          <w:sz w:val="24"/>
        </w:rPr>
        <w:t xml:space="preserve">Il arrive de plus en plus souvent que les services du </w:t>
      </w:r>
      <w:hyperlink r:id="rId16" w:history="1">
        <w:r w:rsidR="00BC0677" w:rsidRPr="00BC0677">
          <w:rPr>
            <w:rStyle w:val="Hyperlink"/>
            <w:rFonts w:ascii="Times New Roman" w:hAnsi="Times New Roman"/>
            <w:noProof/>
            <w:sz w:val="24"/>
          </w:rPr>
          <w:t>système mondial de navigation par satellite</w:t>
        </w:r>
      </w:hyperlink>
      <w:r w:rsidR="00BC0677">
        <w:rPr>
          <w:rFonts w:ascii="Times New Roman" w:hAnsi="Times New Roman"/>
          <w:noProof/>
          <w:color w:val="000000" w:themeColor="text1"/>
          <w:sz w:val="24"/>
        </w:rPr>
        <w:t xml:space="preserve"> (</w:t>
      </w:r>
      <w:r w:rsidRPr="00CE0265">
        <w:rPr>
          <w:rFonts w:ascii="Times New Roman" w:hAnsi="Times New Roman"/>
          <w:noProof/>
          <w:color w:val="000000" w:themeColor="text1"/>
          <w:sz w:val="24"/>
        </w:rPr>
        <w:t>GNSS</w:t>
      </w:r>
      <w:r w:rsidR="00BC0677">
        <w:rPr>
          <w:rFonts w:ascii="Times New Roman" w:hAnsi="Times New Roman"/>
          <w:noProof/>
          <w:color w:val="000000" w:themeColor="text1"/>
          <w:sz w:val="24"/>
        </w:rPr>
        <w:t>)</w:t>
      </w:r>
      <w:r w:rsidRPr="00CE0265">
        <w:rPr>
          <w:rFonts w:ascii="Times New Roman" w:hAnsi="Times New Roman"/>
          <w:noProof/>
          <w:color w:val="000000" w:themeColor="text1"/>
          <w:sz w:val="24"/>
        </w:rPr>
        <w:t xml:space="preserve"> soient brouillés et usurpés en mer Baltique, en mer Noire et en mer Méditerranée, ce qui conduit à des collisions en mer et dans les ports. La fonction d’authentification des messages de navigation en libre service de Galileo, récemment mise en œuvre, ainsi qu’un service de surveillance des interférences aux fréquences radioélectriques, prévu dans la proposition de Fonds européen pour la compétitivité (FEC), contribuent à faire face à cette menace croissante</w:t>
      </w:r>
      <w:r w:rsidRPr="00CE0265">
        <w:rPr>
          <w:rStyle w:val="FootnoteReference"/>
          <w:rFonts w:ascii="Times New Roman" w:hAnsi="Times New Roman" w:cs="Times New Roman"/>
          <w:noProof/>
          <w:color w:val="000000" w:themeColor="text1"/>
          <w:sz w:val="24"/>
          <w:szCs w:val="24"/>
        </w:rPr>
        <w:footnoteReference w:id="48"/>
      </w:r>
      <w:bookmarkEnd w:id="8"/>
      <w:r w:rsidRPr="00CE0265">
        <w:rPr>
          <w:noProof/>
        </w:rPr>
        <w:t>.</w:t>
      </w:r>
    </w:p>
    <w:p w14:paraId="29C3EF63" w14:textId="150AA340" w:rsidR="00E1100C" w:rsidRPr="00CE0265" w:rsidRDefault="00A2199D" w:rsidP="0063483C">
      <w:pPr>
        <w:spacing w:before="240" w:after="240" w:line="257" w:lineRule="auto"/>
        <w:jc w:val="both"/>
        <w:rPr>
          <w:rFonts w:ascii="Times New Roman" w:eastAsia="Times New Roman" w:hAnsi="Times New Roman" w:cs="Times New Roman"/>
          <w:noProof/>
          <w:color w:val="000000" w:themeColor="text1"/>
          <w:sz w:val="24"/>
          <w:szCs w:val="24"/>
        </w:rPr>
      </w:pPr>
      <w:r w:rsidRPr="00CE0265">
        <w:rPr>
          <w:rFonts w:ascii="Times New Roman" w:hAnsi="Times New Roman"/>
          <w:b/>
          <w:noProof/>
          <w:color w:val="000000" w:themeColor="text1"/>
          <w:sz w:val="24"/>
        </w:rPr>
        <w:t>Les États membres devraient veiller à ce que les biens critiques soient manipulés et stockés conformément aux exigences en matière de mobilité militaire, à la stratégie de constitution de stocks à l’échelle de l’UE</w:t>
      </w:r>
      <w:r w:rsidRPr="00CE0265">
        <w:rPr>
          <w:rStyle w:val="FootnoteReference"/>
          <w:rFonts w:ascii="Times New Roman" w:eastAsia="Times New Roman" w:hAnsi="Times New Roman" w:cs="Times New Roman"/>
          <w:b/>
          <w:bCs/>
          <w:noProof/>
          <w:color w:val="000000" w:themeColor="text1"/>
          <w:sz w:val="24"/>
          <w:szCs w:val="24"/>
        </w:rPr>
        <w:footnoteReference w:id="49"/>
      </w:r>
      <w:r w:rsidRPr="00CE0265">
        <w:rPr>
          <w:rFonts w:ascii="Times New Roman" w:hAnsi="Times New Roman"/>
          <w:b/>
          <w:noProof/>
          <w:color w:val="000000" w:themeColor="text1"/>
          <w:sz w:val="24"/>
        </w:rPr>
        <w:t xml:space="preserve"> et au régime de sécurité de l’approvisionnement introduit par le programme pour l’industrie européenne de la défense</w:t>
      </w:r>
      <w:r w:rsidRPr="00CE0265">
        <w:rPr>
          <w:rFonts w:ascii="Times New Roman" w:hAnsi="Times New Roman"/>
          <w:noProof/>
          <w:color w:val="000000" w:themeColor="text1"/>
          <w:sz w:val="24"/>
        </w:rPr>
        <w:t xml:space="preserve">. Les ports, et en particulier les ports de petite taille, jouent un rôle essentiel dans la préparation de l’Union européenne et devraient occuper une place importante lorsque les États membres </w:t>
      </w:r>
      <w:r w:rsidRPr="00CE0265">
        <w:rPr>
          <w:rFonts w:ascii="Times New Roman" w:hAnsi="Times New Roman"/>
          <w:b/>
          <w:noProof/>
          <w:color w:val="000000" w:themeColor="text1"/>
          <w:sz w:val="24"/>
        </w:rPr>
        <w:t>optimisent la cartographie, le partage d’informations et la coordination afin de constituer et de protéger les stocks et de réduire au minimum les perturbations</w:t>
      </w:r>
      <w:r w:rsidRPr="00CE0265">
        <w:rPr>
          <w:rFonts w:ascii="Times New Roman" w:hAnsi="Times New Roman"/>
          <w:noProof/>
          <w:color w:val="000000" w:themeColor="text1"/>
          <w:sz w:val="24"/>
        </w:rPr>
        <w:t xml:space="preserve">. </w:t>
      </w:r>
      <w:r w:rsidRPr="00CE0265">
        <w:rPr>
          <w:rFonts w:ascii="Times New Roman" w:hAnsi="Times New Roman"/>
          <w:noProof/>
          <w:sz w:val="24"/>
        </w:rPr>
        <w:t>Le plan d’action relatif à la sûreté des drones et des systèmes antidrones</w:t>
      </w:r>
      <w:r w:rsidRPr="00CE0265">
        <w:rPr>
          <w:rStyle w:val="FootnoteReference"/>
          <w:rFonts w:ascii="Times New Roman" w:eastAsia="Times New Roman" w:hAnsi="Times New Roman" w:cs="Times New Roman"/>
          <w:noProof/>
          <w:sz w:val="24"/>
          <w:szCs w:val="24"/>
        </w:rPr>
        <w:footnoteReference w:id="50"/>
      </w:r>
      <w:r w:rsidRPr="00CE0265">
        <w:rPr>
          <w:rFonts w:ascii="Times New Roman" w:hAnsi="Times New Roman"/>
          <w:noProof/>
          <w:sz w:val="24"/>
        </w:rPr>
        <w:t xml:space="preserve"> fournit une boîte à outils, avec des tests de résistance des infrastructures critiques, une meilleure connaissance du domaine maritime et une préparation coordonnée à la lutte antidrones.</w:t>
      </w:r>
      <w:r w:rsidRPr="00CE0265">
        <w:rPr>
          <w:rFonts w:ascii="Times New Roman" w:hAnsi="Times New Roman"/>
          <w:noProof/>
          <w:color w:val="000000" w:themeColor="text1"/>
          <w:sz w:val="24"/>
        </w:rPr>
        <w:t xml:space="preserve"> </w:t>
      </w:r>
    </w:p>
    <w:p w14:paraId="255ACFD0" w14:textId="50059131" w:rsidR="3D9D6FC7" w:rsidRPr="00CE0265" w:rsidRDefault="3D9D6FC7" w:rsidP="5C45C4A8">
      <w:pPr>
        <w:spacing w:before="240" w:after="240" w:line="257" w:lineRule="auto"/>
        <w:jc w:val="both"/>
        <w:rPr>
          <w:rFonts w:ascii="Times New Roman" w:eastAsia="Times New Roman" w:hAnsi="Times New Roman" w:cs="Times New Roman"/>
          <w:b/>
          <w:bCs/>
          <w:noProof/>
          <w:sz w:val="24"/>
          <w:szCs w:val="24"/>
        </w:rPr>
      </w:pPr>
      <w:r w:rsidRPr="00CE0265">
        <w:rPr>
          <w:rFonts w:ascii="Times New Roman" w:hAnsi="Times New Roman"/>
          <w:b/>
          <w:noProof/>
          <w:color w:val="000000" w:themeColor="text1"/>
          <w:sz w:val="24"/>
        </w:rPr>
        <w:t>Les États membres devraient protéger et renforcer les infrastructures, les superstructures et les équipements vulnérables, supprimer les goulets d’étranglement et intensifier les efforts visant à consolider leurs infrastructures critiques. Les États membres devraient garantir une redondance et une capacité suffisantes pour contrer les perturbations à court et moyen terme dans leur chaîne logistique et leur approvisionnement en biens critiques, en permettant en particulier aux nœuds de mobilité militaire les plus vulnérables d’atteindre des niveaux opérationnels adéquats.</w:t>
      </w:r>
    </w:p>
    <w:p w14:paraId="557A3FA1" w14:textId="509CAC14" w:rsidR="00E1100C" w:rsidRPr="00CE0265" w:rsidRDefault="00E1100C" w:rsidP="00C10F3B">
      <w:pPr>
        <w:pStyle w:val="Heading3"/>
        <w:numPr>
          <w:ilvl w:val="1"/>
          <w:numId w:val="2"/>
        </w:numPr>
        <w:rPr>
          <w:rFonts w:ascii="Times New Roman" w:hAnsi="Times New Roman" w:cs="Times New Roman"/>
          <w:b/>
          <w:i/>
          <w:noProof/>
          <w:color w:val="auto"/>
          <w:sz w:val="24"/>
          <w:szCs w:val="24"/>
        </w:rPr>
      </w:pPr>
      <w:r w:rsidRPr="00CE0265">
        <w:rPr>
          <w:rFonts w:ascii="Times New Roman" w:hAnsi="Times New Roman"/>
          <w:b/>
          <w:i/>
          <w:noProof/>
          <w:color w:val="auto"/>
          <w:sz w:val="24"/>
        </w:rPr>
        <w:t>Autonomie numérique pour la sécurité économique</w:t>
      </w:r>
    </w:p>
    <w:p w14:paraId="21F1B482" w14:textId="6EBF7B54" w:rsidR="00E9630C" w:rsidRPr="00CE0265" w:rsidRDefault="00104395" w:rsidP="00E1100C">
      <w:pPr>
        <w:jc w:val="both"/>
        <w:rPr>
          <w:rFonts w:ascii="Times New Roman" w:hAnsi="Times New Roman" w:cs="Times New Roman"/>
          <w:noProof/>
          <w:sz w:val="24"/>
          <w:szCs w:val="24"/>
        </w:rPr>
      </w:pPr>
      <w:r w:rsidRPr="00CE0265">
        <w:rPr>
          <w:rFonts w:ascii="Times New Roman" w:hAnsi="Times New Roman"/>
          <w:noProof/>
          <w:sz w:val="24"/>
        </w:rPr>
        <w:t xml:space="preserve">Les systèmes numériques portuaires, la gestion du trafic et les plateformes logistiques deviennent des infrastructures stratégiques. Celui qui contrôle les données contrôle également les flux. Les échanges de données peuvent révéler des informations commerciales confidentielles des utilisateurs des ports et dépendent souvent de matériel et de logiciels étrangers, une grande partie des données du bloc étant stockées en dehors de l’UE. Les criminels et les acteurs étatiques hostiles exploitent de plus en plus les vulnérabilités inhérentes aux systèmes et processus numériques pour se livrer au trafic de drogue et à des cyberattaques. </w:t>
      </w:r>
    </w:p>
    <w:p w14:paraId="25C1A5BF" w14:textId="3D593276" w:rsidR="00071EF3" w:rsidRPr="00CE0265" w:rsidRDefault="00E1100C" w:rsidP="00E1100C">
      <w:pPr>
        <w:jc w:val="both"/>
        <w:rPr>
          <w:rFonts w:ascii="Times New Roman" w:hAnsi="Times New Roman" w:cs="Times New Roman"/>
          <w:noProof/>
          <w:sz w:val="24"/>
          <w:szCs w:val="24"/>
        </w:rPr>
      </w:pPr>
      <w:r w:rsidRPr="00CE0265">
        <w:rPr>
          <w:rFonts w:ascii="Times New Roman" w:hAnsi="Times New Roman"/>
          <w:noProof/>
          <w:sz w:val="24"/>
        </w:rPr>
        <w:t xml:space="preserve">Si les questions de cybersécurité nécessitent une action spécifique, l’UE doit passer à la vitesse supérieure et garantir la souveraineté numérique sur les données qui sous-tendent les transports civils et militaires. Cela suppose des solutions d’automatisation, des infrastructures en nuage et des infrastructures de calcul sécurisées, le recours à l’IA et à la connectivité de nouvelle génération (5G/6G, GNSS) pour éviter toute forme de cybercoercition, grâce à sa capacité unique à répondre à des exigences strictes en matière de temps de latence réduit et de débit élevé, pour prendre en charge des services critiques. </w:t>
      </w:r>
    </w:p>
    <w:p w14:paraId="4DE7E951" w14:textId="2EE6E687" w:rsidR="00E1100C" w:rsidRPr="00CE0265" w:rsidRDefault="00E1100C" w:rsidP="00E1100C">
      <w:pPr>
        <w:jc w:val="both"/>
        <w:rPr>
          <w:rFonts w:ascii="Times New Roman" w:eastAsiaTheme="minorEastAsia" w:hAnsi="Times New Roman" w:cs="Times New Roman"/>
          <w:noProof/>
          <w:sz w:val="24"/>
          <w:szCs w:val="24"/>
        </w:rPr>
      </w:pPr>
      <w:r w:rsidRPr="00CE0265">
        <w:rPr>
          <w:rFonts w:ascii="Times New Roman" w:hAnsi="Times New Roman"/>
          <w:noProof/>
          <w:sz w:val="24"/>
        </w:rPr>
        <w:t>L’UE a également besoin d’opérateurs et de travailleurs formés, conscients de leur rôle crucial pour garantir le bon fonctionnement des réseaux d’infrastructures critiques de l’UE. Parallèlement à la stratégie maritime industrielle, grâce à une attention nouvelle portée à l’autonomie numérique, les entreprises et entrepreneurs de l’UE auront la possibilité d’élaborer et de déployer les solutions numériques de demain qui serviront à détecter et à contrer les activités criminelles.</w:t>
      </w:r>
    </w:p>
    <w:p w14:paraId="25D94390" w14:textId="0A315CD2" w:rsidR="00815D97" w:rsidRPr="00CE0265" w:rsidRDefault="00815D97" w:rsidP="00E1100C">
      <w:pPr>
        <w:jc w:val="both"/>
        <w:rPr>
          <w:rFonts w:ascii="Times New Roman" w:eastAsiaTheme="minorEastAsia" w:hAnsi="Times New Roman" w:cs="Times New Roman"/>
          <w:noProof/>
          <w:sz w:val="24"/>
          <w:szCs w:val="24"/>
        </w:rPr>
      </w:pPr>
      <w:r w:rsidRPr="00CE0265">
        <w:rPr>
          <w:rFonts w:ascii="Times New Roman" w:hAnsi="Times New Roman"/>
          <w:noProof/>
          <w:sz w:val="24"/>
        </w:rPr>
        <w:t xml:space="preserve">Afin de renforcer l’autonomie numérique des ports au titre de l’actuel cadre financier pluriannuel, </w:t>
      </w:r>
      <w:r w:rsidRPr="00CE0265">
        <w:rPr>
          <w:rFonts w:ascii="Times New Roman" w:hAnsi="Times New Roman"/>
          <w:b/>
          <w:noProof/>
          <w:sz w:val="24"/>
        </w:rPr>
        <w:t>la Commission soutiendra les initiatives de recherche et de développement visant à sécuriser les échanges et le stockage de données pour les ports et les parties prenantes tout au long des chaînes logistiques multimodales</w:t>
      </w:r>
      <w:r w:rsidRPr="00CE0265">
        <w:rPr>
          <w:rFonts w:ascii="Times New Roman" w:hAnsi="Times New Roman"/>
          <w:noProof/>
          <w:sz w:val="24"/>
        </w:rPr>
        <w:t xml:space="preserve">. En collaboration avec les États membres et les secteurs des transports, de la logistique et de l’informatique, la Commission </w:t>
      </w:r>
      <w:r w:rsidRPr="00CE0265">
        <w:rPr>
          <w:rFonts w:ascii="Times New Roman" w:hAnsi="Times New Roman"/>
          <w:b/>
          <w:noProof/>
          <w:sz w:val="24"/>
        </w:rPr>
        <w:t>promouvra et facilitera des solutions en faveur de la souveraineté de l’UE sur les données qui sous-tendent ses transports civils et militaires essentiels et cherchera à coopérer avec des pays partageant les mêmes valeurs</w:t>
      </w:r>
      <w:r w:rsidRPr="00CE0265">
        <w:rPr>
          <w:rFonts w:ascii="Times New Roman" w:hAnsi="Times New Roman"/>
          <w:noProof/>
          <w:sz w:val="24"/>
        </w:rPr>
        <w:t xml:space="preserve">. </w:t>
      </w:r>
    </w:p>
    <w:p w14:paraId="5DB36750" w14:textId="77777777" w:rsidR="00E1100C" w:rsidRPr="00CE0265" w:rsidRDefault="00E1100C" w:rsidP="00C10F3B">
      <w:pPr>
        <w:pStyle w:val="Heading3"/>
        <w:numPr>
          <w:ilvl w:val="1"/>
          <w:numId w:val="2"/>
        </w:numPr>
        <w:rPr>
          <w:rFonts w:ascii="Times New Roman" w:hAnsi="Times New Roman" w:cs="Times New Roman"/>
          <w:b/>
          <w:i/>
          <w:noProof/>
          <w:color w:val="auto"/>
          <w:sz w:val="24"/>
          <w:szCs w:val="24"/>
        </w:rPr>
      </w:pPr>
      <w:r w:rsidRPr="00CE0265">
        <w:rPr>
          <w:rFonts w:ascii="Times New Roman" w:hAnsi="Times New Roman"/>
          <w:b/>
          <w:i/>
          <w:noProof/>
          <w:color w:val="auto"/>
          <w:sz w:val="24"/>
        </w:rPr>
        <w:t>Cybersécurité</w:t>
      </w:r>
    </w:p>
    <w:p w14:paraId="4154BEE2" w14:textId="1BE8B521" w:rsidR="00E1100C" w:rsidRPr="00CE0265" w:rsidRDefault="00124EC5" w:rsidP="002B742B">
      <w:pPr>
        <w:jc w:val="both"/>
        <w:rPr>
          <w:rFonts w:ascii="Times New Roman" w:hAnsi="Times New Roman" w:cs="Times New Roman"/>
          <w:b/>
          <w:noProof/>
          <w:sz w:val="24"/>
          <w:szCs w:val="24"/>
        </w:rPr>
      </w:pPr>
      <w:r w:rsidRPr="00CE0265">
        <w:rPr>
          <w:rFonts w:ascii="Times New Roman" w:hAnsi="Times New Roman"/>
          <w:noProof/>
          <w:sz w:val="24"/>
        </w:rPr>
        <w:t>Les infrastructures complexes des ports et la numérisation croissante de leurs activités créent des risques importants en matière de cybersécurité</w:t>
      </w:r>
      <w:r w:rsidRPr="00CE0265">
        <w:rPr>
          <w:rStyle w:val="FootnoteReference"/>
          <w:rFonts w:ascii="Times New Roman" w:eastAsia="Times New Roman" w:hAnsi="Times New Roman" w:cs="Times New Roman"/>
          <w:noProof/>
          <w:sz w:val="24"/>
          <w:szCs w:val="24"/>
        </w:rPr>
        <w:footnoteReference w:id="51"/>
      </w:r>
      <w:r w:rsidRPr="00CE0265">
        <w:rPr>
          <w:rFonts w:ascii="Times New Roman" w:hAnsi="Times New Roman"/>
          <w:noProof/>
          <w:sz w:val="24"/>
        </w:rPr>
        <w:t xml:space="preserve"> pour les chaînes d’approvisionnement et les infrastructures critiques de l’UE, et suscitent notamment des préoccupations quant aux fournisseurs à haut risque contrôlant un système essentiel. Les lignes directrices relatives à la </w:t>
      </w:r>
      <w:r w:rsidRPr="00CE0265">
        <w:rPr>
          <w:rFonts w:ascii="Times New Roman" w:hAnsi="Times New Roman"/>
          <w:noProof/>
          <w:color w:val="000000" w:themeColor="text1"/>
          <w:sz w:val="24"/>
        </w:rPr>
        <w:t>gestion des risques liés à la cybersécurité des ports</w:t>
      </w:r>
      <w:r w:rsidRPr="00CE0265">
        <w:rPr>
          <w:rFonts w:ascii="Times New Roman" w:hAnsi="Times New Roman"/>
          <w:noProof/>
          <w:sz w:val="24"/>
        </w:rPr>
        <w:t xml:space="preserve"> de l</w:t>
      </w:r>
      <w:r w:rsidRPr="00CE0265">
        <w:rPr>
          <w:rFonts w:ascii="Times New Roman" w:hAnsi="Times New Roman"/>
          <w:noProof/>
          <w:color w:val="000000" w:themeColor="text1"/>
          <w:sz w:val="24"/>
        </w:rPr>
        <w:t>’Agence de l’Union européenne pour la cybersécurité</w:t>
      </w:r>
      <w:r w:rsidRPr="00CE0265">
        <w:rPr>
          <w:rFonts w:ascii="Times New Roman" w:hAnsi="Times New Roman"/>
          <w:noProof/>
          <w:sz w:val="24"/>
        </w:rPr>
        <w:t xml:space="preserve"> (ENISA)</w:t>
      </w:r>
      <w:r w:rsidRPr="00CE0265">
        <w:rPr>
          <w:rFonts w:ascii="Times New Roman" w:eastAsia="Times New Roman" w:hAnsi="Times New Roman" w:cs="Times New Roman"/>
          <w:noProof/>
          <w:sz w:val="24"/>
          <w:szCs w:val="24"/>
          <w:vertAlign w:val="superscript"/>
          <w:lang w:eastAsia="ja-JP"/>
        </w:rPr>
        <w:footnoteReference w:id="52"/>
      </w:r>
      <w:r w:rsidRPr="00CE0265">
        <w:rPr>
          <w:rFonts w:ascii="Times New Roman" w:hAnsi="Times New Roman"/>
          <w:noProof/>
          <w:sz w:val="24"/>
        </w:rPr>
        <w:t xml:space="preserve"> et les lignes directrices </w:t>
      </w:r>
      <w:r w:rsidRPr="00CE0265">
        <w:rPr>
          <w:rFonts w:ascii="Times New Roman" w:hAnsi="Times New Roman"/>
          <w:noProof/>
          <w:color w:val="000000" w:themeColor="text1"/>
          <w:sz w:val="24"/>
        </w:rPr>
        <w:t>sur la gestion de la cybersécurité à bord des navires de l’Agence européenne pour la sécurité maritime (AESM)</w:t>
      </w:r>
      <w:r w:rsidRPr="00CE0265">
        <w:rPr>
          <w:rStyle w:val="FootnoteReference"/>
          <w:rFonts w:ascii="Times New Roman" w:eastAsiaTheme="minorEastAsia" w:hAnsi="Times New Roman" w:cs="Times New Roman"/>
          <w:noProof/>
          <w:sz w:val="24"/>
          <w:szCs w:val="24"/>
          <w:lang w:eastAsia="ja-JP"/>
        </w:rPr>
        <w:footnoteReference w:id="53"/>
      </w:r>
      <w:r w:rsidRPr="00CE0265">
        <w:rPr>
          <w:rFonts w:ascii="Times New Roman" w:hAnsi="Times New Roman"/>
          <w:noProof/>
          <w:sz w:val="24"/>
        </w:rPr>
        <w:t xml:space="preserve"> soutiennent la mise en œuvre. La Commission </w:t>
      </w:r>
      <w:r w:rsidRPr="00CE0265">
        <w:rPr>
          <w:rFonts w:ascii="Times New Roman" w:hAnsi="Times New Roman"/>
          <w:b/>
          <w:noProof/>
          <w:sz w:val="24"/>
        </w:rPr>
        <w:t>continuera de coopérer avec l’OMI pour faire progresser les normes mondiales harmonisées en matière de cybersécurité pour le secteur maritime au moyen d’un «Code cyber» non obligatoire</w:t>
      </w:r>
      <w:r w:rsidRPr="00CE0265">
        <w:rPr>
          <w:rFonts w:ascii="Times New Roman" w:hAnsi="Times New Roman"/>
          <w:noProof/>
          <w:sz w:val="24"/>
        </w:rPr>
        <w:t xml:space="preserve">. </w:t>
      </w:r>
      <w:r w:rsidRPr="00CE0265">
        <w:rPr>
          <w:rFonts w:ascii="Times New Roman" w:hAnsi="Times New Roman"/>
          <w:b/>
          <w:noProof/>
          <w:sz w:val="24"/>
        </w:rPr>
        <w:t xml:space="preserve">L’ENISA mettra à jour les </w:t>
      </w:r>
      <w:r w:rsidRPr="00CE0265">
        <w:rPr>
          <w:rFonts w:ascii="Times New Roman" w:hAnsi="Times New Roman"/>
          <w:b/>
          <w:noProof/>
          <w:color w:val="000000" w:themeColor="text1"/>
          <w:sz w:val="24"/>
        </w:rPr>
        <w:t>lignes directrices relatives à la gestion des risques liés à la cybersécurité des ports</w:t>
      </w:r>
      <w:r w:rsidRPr="00CE0265">
        <w:rPr>
          <w:rFonts w:ascii="Times New Roman" w:hAnsi="Times New Roman"/>
          <w:noProof/>
          <w:sz w:val="24"/>
        </w:rPr>
        <w:t xml:space="preserve"> au moyen de mesures de pointe et des dernières mesures stratégiques de l’UE, telles que la directive SRI2.</w:t>
      </w:r>
    </w:p>
    <w:p w14:paraId="6B2BC61B" w14:textId="336B533C" w:rsidR="00E1100C" w:rsidRPr="00CE0265" w:rsidRDefault="00E1100C" w:rsidP="00E1100C">
      <w:pPr>
        <w:spacing w:before="240" w:after="240"/>
        <w:jc w:val="both"/>
        <w:rPr>
          <w:rFonts w:ascii="Times New Roman" w:eastAsia="Times New Roman" w:hAnsi="Times New Roman" w:cs="Times New Roman"/>
          <w:noProof/>
          <w:sz w:val="24"/>
          <w:szCs w:val="24"/>
        </w:rPr>
      </w:pPr>
      <w:r w:rsidRPr="00CE0265">
        <w:rPr>
          <w:rFonts w:ascii="Times New Roman" w:hAnsi="Times New Roman"/>
          <w:noProof/>
          <w:sz w:val="24"/>
        </w:rPr>
        <w:t xml:space="preserve">En collaboration avec le groupe de coopération SRI et l’ENISA, la Commission procédera à </w:t>
      </w:r>
      <w:r w:rsidRPr="00CE0265">
        <w:rPr>
          <w:rFonts w:ascii="Times New Roman" w:hAnsi="Times New Roman"/>
          <w:b/>
          <w:noProof/>
          <w:color w:val="000000" w:themeColor="text1"/>
          <w:sz w:val="24"/>
        </w:rPr>
        <w:t>une évaluation coordonnée au niveau de l’Union des risques liés à la cybersécurité dans les ports, afin de recenser les risques en matière de cybersécurité et de recommander des mesures d’atténuation</w:t>
      </w:r>
      <w:r w:rsidRPr="00CE0265">
        <w:rPr>
          <w:rFonts w:ascii="Times New Roman" w:hAnsi="Times New Roman"/>
          <w:noProof/>
          <w:color w:val="000000" w:themeColor="text1"/>
          <w:sz w:val="24"/>
        </w:rPr>
        <w:t>.</w:t>
      </w:r>
      <w:r w:rsidRPr="00CE0265">
        <w:rPr>
          <w:rFonts w:ascii="Times New Roman" w:hAnsi="Times New Roman"/>
          <w:noProof/>
          <w:sz w:val="24"/>
        </w:rPr>
        <w:t xml:space="preserve"> </w:t>
      </w:r>
      <w:r w:rsidRPr="00CE0265">
        <w:rPr>
          <w:rFonts w:ascii="Times New Roman" w:hAnsi="Times New Roman"/>
          <w:noProof/>
          <w:color w:val="000000" w:themeColor="text1"/>
          <w:sz w:val="24"/>
        </w:rPr>
        <w:t>Dans la révision du règlement sur la cybersécurité, la Commission propose un cadre fiable pour la sécurité de la chaîne d’approvisionnement des TIC. Sur la base de l’évaluation au niveau de l’Union des risques en matière de sécurité, ce cadre permettra d’imposer des restrictions proportionnées aux fournisseurs à haut risque dans nos infrastructures critiques. La Commission procédera à des tests et à des exercices de préparation coordonnés dans les ports sur la base de scénarios de risques en matière de cybersécurité spécifiques.</w:t>
      </w:r>
    </w:p>
    <w:p w14:paraId="095BEA21" w14:textId="2506FBB6" w:rsidR="00E1100C" w:rsidRPr="00CE0265" w:rsidRDefault="00DD4DE4" w:rsidP="0063483C">
      <w:pPr>
        <w:jc w:val="both"/>
        <w:rPr>
          <w:rFonts w:ascii="Times New Roman" w:eastAsia="Times New Roman" w:hAnsi="Times New Roman" w:cs="Times New Roman"/>
          <w:noProof/>
          <w:sz w:val="24"/>
          <w:szCs w:val="24"/>
        </w:rPr>
      </w:pPr>
      <w:r w:rsidRPr="00CE0265">
        <w:rPr>
          <w:rFonts w:ascii="Times New Roman" w:hAnsi="Times New Roman"/>
          <w:noProof/>
          <w:color w:val="000000" w:themeColor="text1"/>
          <w:sz w:val="24"/>
        </w:rPr>
        <w:t xml:space="preserve">Afin d’échanger des bonnes pratiques et des informations, la Commission est prête à travailler avec les États membres dans le cadre d’une </w:t>
      </w:r>
      <w:r w:rsidRPr="00CE0265">
        <w:rPr>
          <w:rFonts w:ascii="Times New Roman" w:hAnsi="Times New Roman"/>
          <w:b/>
          <w:noProof/>
          <w:color w:val="000000" w:themeColor="text1"/>
          <w:sz w:val="24"/>
        </w:rPr>
        <w:t>enceinte dédiée pour les autorités des États membres compétentes en matière de cybersécurité et d’opérations maritimes/portuaires</w:t>
      </w:r>
      <w:r w:rsidRPr="00CE0265">
        <w:rPr>
          <w:rFonts w:ascii="Times New Roman" w:hAnsi="Times New Roman"/>
          <w:noProof/>
          <w:color w:val="000000" w:themeColor="text1"/>
          <w:sz w:val="24"/>
        </w:rPr>
        <w:t>, sur la base du groupe de coopération SRI institué en vertu de l’article 14 de la directive (UE) 2022/2555. Les questions traitées pourraient couvrir les cybermenaces, les incidents, les vulnérabilités, les incidents évités de justesse, la sensibilisation, la formation, les exercices et les compétences, le renforcement des capacités, les normes et les spécifications techniques, une attention particulière étant portée aux ports de petite et moyenne taille. La participation de l’ENISA, de l’AESM et des parties prenantes concernées et la coordination avec des partenariats public-privé, tels que le Centre européen d’échange et d’analyse d’informations dans le domaine du transport maritime («European Maritime Information Sharing Analysis Centre» ou EM-ISAC) et des initiatives régionales telles que la plateforme de l’UE pour la sûreté maritime de la mer Noire seront recherchées.</w:t>
      </w:r>
      <w:r w:rsidRPr="00CE0265">
        <w:rPr>
          <w:rFonts w:ascii="Times New Roman" w:hAnsi="Times New Roman"/>
          <w:i/>
          <w:noProof/>
          <w:color w:val="000000" w:themeColor="text1"/>
          <w:sz w:val="24"/>
        </w:rPr>
        <w:t xml:space="preserve"> </w:t>
      </w:r>
      <w:r w:rsidRPr="00CE0265">
        <w:rPr>
          <w:rFonts w:ascii="Times New Roman" w:hAnsi="Times New Roman"/>
          <w:noProof/>
          <w:sz w:val="24"/>
        </w:rPr>
        <w:t>Le train de mesures omnibus sur le numérique propose de mettre en place un point d’entrée unique pour le signalement obligatoire des incidents de cybersécurité.</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CE0265" w14:paraId="73B704B2" w14:textId="77777777" w:rsidTr="55D2DFB0">
        <w:tc>
          <w:tcPr>
            <w:tcW w:w="9016" w:type="dxa"/>
          </w:tcPr>
          <w:p w14:paraId="2631B241" w14:textId="77777777" w:rsidR="00E1100C" w:rsidRPr="00CE0265" w:rsidRDefault="00E1100C">
            <w:pPr>
              <w:rPr>
                <w:rFonts w:ascii="Times New Roman" w:hAnsi="Times New Roman" w:cs="Times New Roman"/>
                <w:b/>
                <w:i/>
                <w:noProof/>
              </w:rPr>
            </w:pPr>
            <w:r w:rsidRPr="00CE0265">
              <w:rPr>
                <w:rFonts w:ascii="Times New Roman" w:hAnsi="Times New Roman"/>
                <w:b/>
                <w:i/>
                <w:noProof/>
              </w:rPr>
              <w:t>Actions phares</w:t>
            </w:r>
          </w:p>
          <w:p w14:paraId="5B903F47" w14:textId="327E5DA9" w:rsidR="00E1100C" w:rsidRPr="00CE0265" w:rsidRDefault="008C3A2D" w:rsidP="00C10F3B">
            <w:pPr>
              <w:pStyle w:val="ListParagraph"/>
              <w:numPr>
                <w:ilvl w:val="0"/>
                <w:numId w:val="3"/>
              </w:numPr>
              <w:jc w:val="both"/>
              <w:rPr>
                <w:rFonts w:ascii="Times New Roman" w:eastAsia="Times New Roman" w:hAnsi="Times New Roman" w:cs="Times New Roman"/>
                <w:i/>
                <w:noProof/>
                <w:color w:val="000000" w:themeColor="text1"/>
              </w:rPr>
            </w:pPr>
            <w:r w:rsidRPr="00CE0265">
              <w:rPr>
                <w:rFonts w:ascii="Times New Roman" w:hAnsi="Times New Roman"/>
                <w:i/>
                <w:noProof/>
              </w:rPr>
              <w:t>Mettre à jour les orientations existantes en matière de sûreté portuaire afin de couvrir de manière adéquate toutes les menaces visées.</w:t>
            </w:r>
          </w:p>
          <w:p w14:paraId="0855F9D9" w14:textId="35E0AE90" w:rsidR="00755B0F" w:rsidRPr="00CE0265" w:rsidRDefault="00386481" w:rsidP="00F574F6">
            <w:pPr>
              <w:numPr>
                <w:ilvl w:val="0"/>
                <w:numId w:val="3"/>
              </w:numPr>
              <w:spacing w:line="259" w:lineRule="auto"/>
              <w:contextualSpacing/>
              <w:jc w:val="both"/>
              <w:rPr>
                <w:rFonts w:ascii="Times New Roman" w:eastAsia="Aptos" w:hAnsi="Times New Roman" w:cs="Times New Roman"/>
                <w:noProof/>
              </w:rPr>
            </w:pPr>
            <w:r w:rsidRPr="00CE0265">
              <w:rPr>
                <w:rFonts w:ascii="Times New Roman" w:hAnsi="Times New Roman"/>
                <w:i/>
                <w:noProof/>
              </w:rPr>
              <w:t>Élaborer des cadres régionaux conjointement avec le SEAE afin de coopérer avec les pays tiers pour améliorer la sûreté des ports et œuvrer à un meilleur alignement des contrôles douaniers dans l’ensemble des ports de l’UE, ainsi qu’à de meilleurs protocoles de sûreté dans le monde entier</w:t>
            </w:r>
            <w:r w:rsidRPr="00CE0265">
              <w:rPr>
                <w:rFonts w:ascii="Times New Roman" w:hAnsi="Times New Roman"/>
                <w:noProof/>
              </w:rPr>
              <w:t>.</w:t>
            </w:r>
          </w:p>
          <w:p w14:paraId="55FC961F" w14:textId="1C388E06" w:rsidR="00E1100C" w:rsidRPr="00CE0265" w:rsidRDefault="5ABC6820" w:rsidP="00C10F3B">
            <w:pPr>
              <w:pStyle w:val="ListParagraph"/>
              <w:numPr>
                <w:ilvl w:val="0"/>
                <w:numId w:val="3"/>
              </w:numPr>
              <w:spacing w:after="200"/>
              <w:jc w:val="both"/>
              <w:rPr>
                <w:rFonts w:ascii="Times New Roman" w:eastAsia="Times New Roman" w:hAnsi="Times New Roman" w:cs="Times New Roman"/>
                <w:i/>
                <w:noProof/>
                <w:color w:val="000000" w:themeColor="text1"/>
              </w:rPr>
            </w:pPr>
            <w:r w:rsidRPr="00CE0265">
              <w:rPr>
                <w:rFonts w:ascii="Times New Roman" w:hAnsi="Times New Roman"/>
                <w:i/>
                <w:noProof/>
              </w:rPr>
              <w:t xml:space="preserve">Proposer un </w:t>
            </w:r>
            <w:r w:rsidRPr="00CE0265">
              <w:rPr>
                <w:rFonts w:ascii="Times New Roman" w:hAnsi="Times New Roman"/>
                <w:i/>
                <w:noProof/>
                <w:color w:val="000000" w:themeColor="text1"/>
              </w:rPr>
              <w:t>cadre européen pour la vérification des antécédents des travailleurs portuaires</w:t>
            </w:r>
            <w:r w:rsidRPr="00CE0265">
              <w:rPr>
                <w:rFonts w:ascii="Times New Roman" w:hAnsi="Times New Roman"/>
                <w:i/>
                <w:noProof/>
              </w:rPr>
              <w:t>.</w:t>
            </w:r>
          </w:p>
          <w:p w14:paraId="6348A19A" w14:textId="09F37B2C" w:rsidR="00E1100C" w:rsidRPr="00CE0265" w:rsidRDefault="3692B2EC" w:rsidP="00C10F3B">
            <w:pPr>
              <w:pStyle w:val="ListParagraph"/>
              <w:numPr>
                <w:ilvl w:val="0"/>
                <w:numId w:val="3"/>
              </w:numPr>
              <w:spacing w:after="200"/>
              <w:jc w:val="both"/>
              <w:rPr>
                <w:rFonts w:ascii="Times New Roman" w:eastAsia="Times New Roman" w:hAnsi="Times New Roman" w:cs="Times New Roman"/>
                <w:b/>
                <w:noProof/>
                <w:color w:val="000000" w:themeColor="text1"/>
              </w:rPr>
            </w:pPr>
            <w:r w:rsidRPr="00CE0265">
              <w:rPr>
                <w:rFonts w:ascii="Times New Roman" w:hAnsi="Times New Roman"/>
                <w:i/>
                <w:noProof/>
                <w:color w:val="000000" w:themeColor="text1"/>
              </w:rPr>
              <w:t>Créer un forum pour l’échange d’informations et de bonnes pratiques entre les autorités des États membres compétentes en matière de cybersécurité et d’opérations maritimes/portuaires.</w:t>
            </w:r>
          </w:p>
          <w:p w14:paraId="56180CFC" w14:textId="3257318E" w:rsidR="00E1100C" w:rsidRPr="00CE0265" w:rsidRDefault="003F292C" w:rsidP="00597A72">
            <w:pPr>
              <w:pStyle w:val="ListParagraph"/>
              <w:numPr>
                <w:ilvl w:val="0"/>
                <w:numId w:val="3"/>
              </w:numPr>
              <w:spacing w:after="120"/>
              <w:ind w:left="714" w:hanging="357"/>
              <w:jc w:val="both"/>
              <w:rPr>
                <w:rFonts w:ascii="Times New Roman" w:eastAsia="Times New Roman" w:hAnsi="Times New Roman" w:cs="Times New Roman"/>
                <w:b/>
                <w:noProof/>
                <w:color w:val="000000" w:themeColor="text1"/>
              </w:rPr>
            </w:pPr>
            <w:r w:rsidRPr="00CE0265">
              <w:rPr>
                <w:rFonts w:ascii="Times New Roman" w:hAnsi="Times New Roman"/>
                <w:i/>
                <w:noProof/>
                <w:color w:val="000000" w:themeColor="text1"/>
              </w:rPr>
              <w:t>Procéder à une évaluation coordonnée des risques en matière de sécurité au niveau de l’Union afin de recenser les risques liés à la cybersécurité et de recommander des mesures appropriées pour les atténuer.</w:t>
            </w:r>
          </w:p>
        </w:tc>
      </w:tr>
    </w:tbl>
    <w:p w14:paraId="4F3C291C" w14:textId="77777777" w:rsidR="00E1100C" w:rsidRPr="00CE0265" w:rsidRDefault="00E1100C" w:rsidP="00E1100C">
      <w:pPr>
        <w:rPr>
          <w:rFonts w:ascii="Times New Roman" w:hAnsi="Times New Roman" w:cs="Times New Roman"/>
          <w:noProof/>
          <w:sz w:val="24"/>
          <w:szCs w:val="24"/>
        </w:rPr>
      </w:pPr>
    </w:p>
    <w:p w14:paraId="1FD106BA" w14:textId="77777777" w:rsidR="009213D4" w:rsidRPr="00CE0265" w:rsidRDefault="009213D4" w:rsidP="00C10F3B">
      <w:pPr>
        <w:pStyle w:val="Heading2"/>
        <w:numPr>
          <w:ilvl w:val="0"/>
          <w:numId w:val="2"/>
        </w:numPr>
        <w:rPr>
          <w:rFonts w:ascii="Times New Roman" w:hAnsi="Times New Roman" w:cs="Times New Roman"/>
          <w:b/>
          <w:noProof/>
          <w:color w:val="auto"/>
          <w:sz w:val="24"/>
          <w:szCs w:val="24"/>
        </w:rPr>
      </w:pPr>
      <w:r w:rsidRPr="00CE0265">
        <w:rPr>
          <w:rFonts w:ascii="Times New Roman" w:hAnsi="Times New Roman"/>
          <w:b/>
          <w:noProof/>
          <w:color w:val="auto"/>
          <w:sz w:val="24"/>
        </w:rPr>
        <w:t>ACCÈS AUX FINANCEMENTS ET INVESTISSEMENT</w:t>
      </w:r>
    </w:p>
    <w:p w14:paraId="629352A9" w14:textId="5E0D7BCA" w:rsidR="00C13E59" w:rsidRPr="00CE0265" w:rsidRDefault="00030A08" w:rsidP="00C13E59">
      <w:pPr>
        <w:jc w:val="both"/>
        <w:rPr>
          <w:rFonts w:ascii="Times New Roman" w:hAnsi="Times New Roman" w:cs="Times New Roman"/>
          <w:noProof/>
          <w:sz w:val="24"/>
          <w:szCs w:val="24"/>
        </w:rPr>
      </w:pPr>
      <w:r w:rsidRPr="00CE0265">
        <w:rPr>
          <w:rFonts w:ascii="Times New Roman" w:hAnsi="Times New Roman"/>
          <w:noProof/>
          <w:sz w:val="24"/>
        </w:rPr>
        <w:t>Seule une combinaison de financements européens, nationaux et privés, soutenue par des cadres réglementaires prévisibles et des outils de réduction des risques, permettra aux ports de relever les défis auxquels ils sont confrontés et de faire face à l’évolution de leurs rôles. Les parties prenantes ont fourni des estimations des besoins d’investissement</w:t>
      </w:r>
      <w:r w:rsidRPr="00CE0265">
        <w:rPr>
          <w:rStyle w:val="FootnoteReference"/>
          <w:rFonts w:ascii="Times New Roman" w:hAnsi="Times New Roman" w:cs="Times New Roman"/>
          <w:noProof/>
          <w:sz w:val="24"/>
          <w:szCs w:val="24"/>
        </w:rPr>
        <w:footnoteReference w:id="54"/>
      </w:r>
      <w:r w:rsidRPr="00CE0265">
        <w:rPr>
          <w:rFonts w:ascii="Times New Roman" w:hAnsi="Times New Roman"/>
          <w:noProof/>
          <w:sz w:val="24"/>
        </w:rPr>
        <w:t xml:space="preserve">, sur la base de l’augmentation des flux commerciaux, des efforts de décarbonation, de l’augmentation de la taille des navires et des besoins en matière de durabilité et de résilience. Parmi les goulets d’étranglement en matière de financement figurent l’accès à un financement sûr, l’augmentation des coûts et la longueur et le coût des procédures d’autorisation. </w:t>
      </w:r>
    </w:p>
    <w:p w14:paraId="48E2A029" w14:textId="17A704EE" w:rsidR="009213D4" w:rsidRPr="00CE0265" w:rsidRDefault="009213D4" w:rsidP="009213D4">
      <w:pPr>
        <w:jc w:val="both"/>
        <w:rPr>
          <w:rFonts w:ascii="Times New Roman" w:hAnsi="Times New Roman" w:cs="Times New Roman"/>
          <w:noProof/>
          <w:sz w:val="24"/>
          <w:szCs w:val="24"/>
        </w:rPr>
      </w:pPr>
      <w:r w:rsidRPr="00CE0265">
        <w:rPr>
          <w:rFonts w:ascii="Times New Roman" w:hAnsi="Times New Roman"/>
          <w:noProof/>
          <w:sz w:val="24"/>
        </w:rPr>
        <w:t xml:space="preserve">Le financement public, dans le respect des règles en matière d’aides d’État le cas échéant, réduit les risques pour les investisseurs privés, ce qui permet de mener des projets présentant une valeur publique significative et de relever les défis de société. Toutefois, le financement public est limité et </w:t>
      </w:r>
      <w:r w:rsidRPr="00CE0265">
        <w:rPr>
          <w:rFonts w:ascii="Times New Roman" w:hAnsi="Times New Roman"/>
          <w:b/>
          <w:noProof/>
          <w:sz w:val="24"/>
        </w:rPr>
        <w:t>doit être ciblé afin d’en maximiser les effets (voir l’annexe 1 pour les principes de financement)</w:t>
      </w:r>
      <w:r w:rsidRPr="00CE0265">
        <w:rPr>
          <w:rFonts w:ascii="Times New Roman" w:hAnsi="Times New Roman"/>
          <w:noProof/>
          <w:sz w:val="24"/>
        </w:rPr>
        <w:t xml:space="preserve">. </w:t>
      </w:r>
    </w:p>
    <w:p w14:paraId="0D871D1F" w14:textId="1855D805" w:rsidR="009213D4" w:rsidRPr="00CE0265" w:rsidRDefault="009213D4" w:rsidP="002B742B">
      <w:pPr>
        <w:jc w:val="both"/>
        <w:rPr>
          <w:rFonts w:ascii="Times New Roman" w:hAnsi="Times New Roman" w:cs="Times New Roman"/>
          <w:noProof/>
          <w:sz w:val="24"/>
          <w:szCs w:val="24"/>
        </w:rPr>
      </w:pPr>
      <w:r w:rsidRPr="00CE0265">
        <w:rPr>
          <w:rFonts w:ascii="Times New Roman" w:hAnsi="Times New Roman"/>
          <w:noProof/>
          <w:sz w:val="24"/>
        </w:rPr>
        <w:t>L’UE a soutenu des projets portuaires dans les domaines de l’énergie, de la durabilité, de la connectivité, de l’innovation et d’autres aspects au titre de plusieurs instruments depuis 2014, avec environ 10 milliards d’euros pour le déploiement et plus de 200 millions d’euros pour la R&amp;I, y compris le MIE, le FEDER et les programmes de cohésion, Horizon 2020 et Horizon Europe</w:t>
      </w:r>
      <w:r w:rsidRPr="00CE0265">
        <w:rPr>
          <w:rStyle w:val="FootnoteReference"/>
          <w:rFonts w:ascii="Times New Roman" w:hAnsi="Times New Roman" w:cs="Times New Roman"/>
          <w:noProof/>
          <w:sz w:val="24"/>
          <w:szCs w:val="24"/>
        </w:rPr>
        <w:footnoteReference w:id="55"/>
      </w:r>
      <w:r w:rsidRPr="00CE0265">
        <w:rPr>
          <w:rFonts w:ascii="Times New Roman" w:hAnsi="Times New Roman"/>
          <w:noProof/>
          <w:sz w:val="24"/>
        </w:rPr>
        <w:t xml:space="preserve">. La Commission accordera également la </w:t>
      </w:r>
      <w:r w:rsidRPr="00CE0265">
        <w:rPr>
          <w:rFonts w:ascii="Times New Roman" w:hAnsi="Times New Roman"/>
          <w:b/>
          <w:noProof/>
          <w:sz w:val="24"/>
        </w:rPr>
        <w:t>priorité au soutien au développement de l’alimentation électrique à quai dans les ports, dans le cadre d’un appel à propositions au titre du MIE en 2026</w:t>
      </w:r>
      <w:r w:rsidRPr="00CE0265">
        <w:rPr>
          <w:rFonts w:ascii="Times New Roman" w:hAnsi="Times New Roman"/>
          <w:noProof/>
          <w:sz w:val="24"/>
        </w:rPr>
        <w:t xml:space="preserve">. </w:t>
      </w:r>
    </w:p>
    <w:p w14:paraId="01A5AA55" w14:textId="45B1D454" w:rsidR="00660B02" w:rsidRPr="00CE0265" w:rsidRDefault="009213D4" w:rsidP="002B742B">
      <w:pPr>
        <w:spacing w:line="276" w:lineRule="auto"/>
        <w:jc w:val="both"/>
        <w:rPr>
          <w:rFonts w:ascii="Times New Roman" w:hAnsi="Times New Roman" w:cs="Times New Roman"/>
          <w:noProof/>
          <w:sz w:val="24"/>
          <w:szCs w:val="24"/>
        </w:rPr>
      </w:pPr>
      <w:r w:rsidRPr="00CE0265">
        <w:rPr>
          <w:rFonts w:ascii="Times New Roman" w:hAnsi="Times New Roman"/>
          <w:noProof/>
          <w:color w:val="000000" w:themeColor="text1"/>
          <w:sz w:val="24"/>
        </w:rPr>
        <w:t xml:space="preserve">Au titre du prochain cadre financier pluriannuel (2028-2034), un certain nombre d’instruments peuvent soutenir les investissements dans les ports: </w:t>
      </w:r>
      <w:r w:rsidRPr="00CE0265">
        <w:rPr>
          <w:rFonts w:ascii="Times New Roman" w:hAnsi="Times New Roman"/>
          <w:noProof/>
          <w:sz w:val="24"/>
        </w:rPr>
        <w:t xml:space="preserve">le </w:t>
      </w:r>
      <w:r w:rsidRPr="00CE0265">
        <w:rPr>
          <w:rFonts w:ascii="Times New Roman" w:hAnsi="Times New Roman"/>
          <w:b/>
          <w:bCs/>
          <w:noProof/>
          <w:sz w:val="24"/>
        </w:rPr>
        <w:t>Fonds européen pour la compétitivité</w:t>
      </w:r>
      <w:r w:rsidRPr="00CE0265">
        <w:rPr>
          <w:rFonts w:ascii="Times New Roman" w:hAnsi="Times New Roman"/>
          <w:noProof/>
          <w:sz w:val="24"/>
        </w:rPr>
        <w:t xml:space="preserve"> proposé pourrait inclure des investissements dans des infrastructures, des superstructures et des équipements portuaires numérisés propres, sûrs, à double usage, multimodaux et souverains, y compris les infrastructures de recharge et les technologies bleues.</w:t>
      </w:r>
      <w:r w:rsidR="00D46380">
        <w:rPr>
          <w:rFonts w:ascii="Times New Roman" w:hAnsi="Times New Roman"/>
          <w:noProof/>
          <w:sz w:val="24"/>
        </w:rPr>
        <w:t xml:space="preserve"> </w:t>
      </w:r>
      <w:r w:rsidRPr="00CE0265">
        <w:rPr>
          <w:rFonts w:ascii="Times New Roman" w:hAnsi="Times New Roman"/>
          <w:noProof/>
          <w:sz w:val="24"/>
        </w:rPr>
        <w:t xml:space="preserve">Le </w:t>
      </w:r>
      <w:r w:rsidRPr="00CE0265">
        <w:rPr>
          <w:rFonts w:ascii="Times New Roman" w:hAnsi="Times New Roman"/>
          <w:b/>
          <w:bCs/>
          <w:noProof/>
          <w:sz w:val="24"/>
        </w:rPr>
        <w:t>mécanisme pour l’interconnexion en Europe 2028-2034 (MIE3)</w:t>
      </w:r>
      <w:r w:rsidRPr="00CE0265">
        <w:rPr>
          <w:rFonts w:ascii="Times New Roman" w:hAnsi="Times New Roman"/>
          <w:noProof/>
          <w:sz w:val="24"/>
        </w:rPr>
        <w:t>, doté d’un budget proposé pour les transports de 51,5 milliards d’euros, sera un instrument clé de l’UE, les ports faisant partie des priorités de financement de la connectivité transfrontière</w:t>
      </w:r>
      <w:r w:rsidRPr="00CE0265">
        <w:rPr>
          <w:rStyle w:val="FootnoteReference"/>
          <w:rFonts w:ascii="Times New Roman" w:hAnsi="Times New Roman" w:cs="Times New Roman"/>
          <w:noProof/>
          <w:sz w:val="24"/>
          <w:szCs w:val="24"/>
        </w:rPr>
        <w:footnoteReference w:id="56"/>
      </w:r>
      <w:r w:rsidRPr="00CE0265">
        <w:rPr>
          <w:rFonts w:ascii="Times New Roman" w:hAnsi="Times New Roman"/>
          <w:noProof/>
          <w:sz w:val="24"/>
        </w:rPr>
        <w:t xml:space="preserve">. Le futur programme </w:t>
      </w:r>
      <w:r w:rsidRPr="00CE0265">
        <w:rPr>
          <w:rFonts w:ascii="Times New Roman" w:hAnsi="Times New Roman"/>
          <w:b/>
          <w:noProof/>
          <w:sz w:val="24"/>
        </w:rPr>
        <w:t>Horizon Europe 2028-2034</w:t>
      </w:r>
      <w:r w:rsidRPr="00CE0265">
        <w:rPr>
          <w:rFonts w:ascii="Times New Roman" w:hAnsi="Times New Roman"/>
          <w:noProof/>
          <w:sz w:val="24"/>
        </w:rPr>
        <w:t xml:space="preserve"> devrait soutenir l’innovation dans les ports.</w:t>
      </w:r>
    </w:p>
    <w:p w14:paraId="099CB7F4" w14:textId="6AFF2BD8" w:rsidR="009213D4" w:rsidRPr="00CE0265" w:rsidRDefault="00660B02" w:rsidP="009213D4">
      <w:pPr>
        <w:jc w:val="both"/>
        <w:rPr>
          <w:rFonts w:ascii="Times New Roman" w:hAnsi="Times New Roman" w:cs="Times New Roman"/>
          <w:noProof/>
          <w:sz w:val="24"/>
          <w:szCs w:val="24"/>
        </w:rPr>
      </w:pPr>
      <w:r w:rsidRPr="00CE0265">
        <w:rPr>
          <w:rFonts w:ascii="Times New Roman" w:hAnsi="Times New Roman"/>
          <w:noProof/>
          <w:sz w:val="24"/>
        </w:rPr>
        <w:t>En vertu de la proposition de règlement régissant les</w:t>
      </w:r>
      <w:r w:rsidRPr="00CE0265">
        <w:rPr>
          <w:rFonts w:ascii="Times New Roman" w:hAnsi="Times New Roman"/>
          <w:b/>
          <w:noProof/>
          <w:sz w:val="24"/>
        </w:rPr>
        <w:t xml:space="preserve"> plans de partenariat national et régional</w:t>
      </w:r>
      <w:r w:rsidRPr="00CE0265">
        <w:rPr>
          <w:rFonts w:ascii="Times New Roman" w:hAnsi="Times New Roman"/>
          <w:noProof/>
          <w:sz w:val="24"/>
        </w:rPr>
        <w:t xml:space="preserve">, l’un des objectifs spécifiques repose sur des mesures visant à renforcer les infrastructures de transport de l’Union et à contribuer à l’achèvement du RTE-T tout en décarbonant et en améliorant la connectivité, la sûreté et l’accessibilité pour les zones éloignées, périphériques et moins connectées. Grâce aux fonds disponibles, les </w:t>
      </w:r>
      <w:r w:rsidRPr="00CE0265">
        <w:rPr>
          <w:rFonts w:ascii="Times New Roman" w:hAnsi="Times New Roman"/>
          <w:b/>
          <w:noProof/>
          <w:sz w:val="24"/>
        </w:rPr>
        <w:t>États membres et les régions seront en mesure, en fonction des circonstances et des besoins locaux, de promouvoir le développement de leurs ports.</w:t>
      </w:r>
    </w:p>
    <w:p w14:paraId="6E48E842" w14:textId="772F2213" w:rsidR="00A83521" w:rsidRPr="00CE0265" w:rsidRDefault="004B2CFC" w:rsidP="009213D4">
      <w:pPr>
        <w:jc w:val="both"/>
        <w:rPr>
          <w:rFonts w:ascii="Times New Roman" w:eastAsia="Times New Roman" w:hAnsi="Times New Roman" w:cs="Times New Roman"/>
          <w:noProof/>
          <w:sz w:val="24"/>
          <w:szCs w:val="24"/>
        </w:rPr>
      </w:pPr>
      <w:r w:rsidRPr="00CE0265">
        <w:rPr>
          <w:rFonts w:ascii="Times New Roman" w:hAnsi="Times New Roman"/>
          <w:noProof/>
          <w:sz w:val="24"/>
        </w:rPr>
        <w:t xml:space="preserve">Comme indiqué dans la stratégie maritime industrielle de l’UE, le Fonds pour l’innovation, financé par le SEQE de l’UE, lancera en 2027 un appel spécifique pour le secteur maritime, qui pourra également bénéficier à des projets dans les ports. </w:t>
      </w:r>
    </w:p>
    <w:p w14:paraId="20C0DB14" w14:textId="6E4A1AAC" w:rsidR="009213D4" w:rsidRPr="00CE0265" w:rsidRDefault="009213D4" w:rsidP="009213D4">
      <w:pPr>
        <w:jc w:val="both"/>
        <w:rPr>
          <w:rFonts w:ascii="Times New Roman" w:hAnsi="Times New Roman" w:cs="Times New Roman"/>
          <w:noProof/>
          <w:sz w:val="24"/>
          <w:szCs w:val="24"/>
        </w:rPr>
      </w:pPr>
      <w:r w:rsidRPr="00CE0265">
        <w:rPr>
          <w:rFonts w:ascii="Times New Roman" w:hAnsi="Times New Roman"/>
          <w:noProof/>
          <w:sz w:val="24"/>
        </w:rPr>
        <w:t>Au cours de la période 2014-2025, le Groupe «Banque européenne d’investissement» (groupe BEI) a apporté un soutien à des projets menés dans des ports maritimes et intérieurs à hauteur d’environ 2,8 milliards d’euros provenant de ressources propres, y compris des projets sur la résilience au changement climatique, la décarbonation, la cohésion, l’innovation, la numérisation, la sûreté et la défense, les énergies renouvelables en mer et les carburants alternatifs</w:t>
      </w:r>
      <w:r w:rsidRPr="00CE0265">
        <w:rPr>
          <w:rStyle w:val="FootnoteReference"/>
          <w:rFonts w:ascii="Times New Roman" w:hAnsi="Times New Roman" w:cs="Times New Roman"/>
          <w:noProof/>
          <w:sz w:val="24"/>
          <w:szCs w:val="24"/>
        </w:rPr>
        <w:footnoteReference w:id="57"/>
      </w:r>
      <w:r w:rsidRPr="00CE0265">
        <w:rPr>
          <w:rFonts w:ascii="Times New Roman" w:hAnsi="Times New Roman"/>
          <w:noProof/>
          <w:sz w:val="24"/>
        </w:rPr>
        <w:t xml:space="preserve">. </w:t>
      </w:r>
      <w:r w:rsidRPr="00CE0265">
        <w:rPr>
          <w:rFonts w:ascii="Times New Roman" w:hAnsi="Times New Roman"/>
          <w:b/>
          <w:noProof/>
          <w:sz w:val="24"/>
        </w:rPr>
        <w:t>La Commission demandera aux services de conseil de la BEI de fournir un soutien au renforcement des capacités, en particulier pour les ports de petite et moyenne taille du RTE-T.</w:t>
      </w:r>
      <w:r w:rsidRPr="00CE0265">
        <w:rPr>
          <w:rFonts w:ascii="Times New Roman" w:hAnsi="Times New Roman"/>
          <w:noProof/>
          <w:sz w:val="24"/>
        </w:rPr>
        <w:t xml:space="preserve"> En outre, la Commission </w:t>
      </w:r>
      <w:r w:rsidRPr="00CE0265">
        <w:rPr>
          <w:rFonts w:ascii="Times New Roman" w:hAnsi="Times New Roman"/>
          <w:b/>
          <w:noProof/>
          <w:sz w:val="24"/>
        </w:rPr>
        <w:t>coopérera avec les banques et institutions nationales de développement et les parties prenantes financières du secteur privé afin de trouver des solutions de financement supplémentaires</w:t>
      </w:r>
      <w:r w:rsidRPr="00CE0265">
        <w:rPr>
          <w:rFonts w:ascii="Times New Roman" w:hAnsi="Times New Roman"/>
          <w:noProof/>
          <w:sz w:val="24"/>
        </w:rPr>
        <w:t xml:space="preserve"> conformes aux priorités, critères et conditions énoncés dans la présente stratégie.</w:t>
      </w:r>
    </w:p>
    <w:p w14:paraId="0C4F8A1B" w14:textId="0648E576" w:rsidR="0032476A" w:rsidRPr="00CE0265" w:rsidRDefault="009213D4" w:rsidP="5B0F044D">
      <w:pPr>
        <w:spacing w:after="240"/>
        <w:jc w:val="both"/>
        <w:rPr>
          <w:rFonts w:ascii="Times New Roman" w:hAnsi="Times New Roman" w:cs="Times New Roman"/>
          <w:noProof/>
          <w:sz w:val="24"/>
          <w:szCs w:val="24"/>
        </w:rPr>
      </w:pPr>
      <w:r w:rsidRPr="00CE0265">
        <w:rPr>
          <w:rFonts w:ascii="Times New Roman" w:hAnsi="Times New Roman"/>
          <w:noProof/>
          <w:sz w:val="24"/>
        </w:rPr>
        <w:t xml:space="preserve">Le paysage dynamique de l’industrie portuaire mondiale connaît une évolution qui va au-delà des activités commerciales de base et s’étend aux nouvelles technologies et aux innovations qui ouvrent de nouvelles perspectives. De nombreux ports se diversifient déjà avec succès, mais il existe encore un potentiel de croissance. </w:t>
      </w:r>
      <w:r w:rsidRPr="00CE0265">
        <w:rPr>
          <w:rFonts w:ascii="Times New Roman" w:hAnsi="Times New Roman"/>
          <w:b/>
          <w:noProof/>
          <w:sz w:val="24"/>
        </w:rPr>
        <w:t>Les ports de l’UE devraient poursuivre des stratégies tournées vers l’avenir et originales, qui intègrent des technologies de pointe et des pratiques durables innovantes.</w:t>
      </w:r>
      <w:r w:rsidRPr="00CE0265">
        <w:rPr>
          <w:rFonts w:ascii="Times New Roman" w:hAnsi="Times New Roman"/>
          <w:noProof/>
          <w:sz w:val="24"/>
        </w:rPr>
        <w:t xml:space="preserve"> En particulier, les ports de petite et moyenne taille devraient saisir les opportunités commerciales qui se présentent dans le cadre de la transition énergétique et de la numérisation. </w:t>
      </w:r>
    </w:p>
    <w:p w14:paraId="2F533113" w14:textId="77777777" w:rsidR="008255C7" w:rsidRPr="00CE0265" w:rsidRDefault="008255C7" w:rsidP="00C10F3B">
      <w:pPr>
        <w:pStyle w:val="Heading2"/>
        <w:numPr>
          <w:ilvl w:val="0"/>
          <w:numId w:val="2"/>
        </w:numPr>
        <w:spacing w:before="0"/>
        <w:ind w:left="714" w:hanging="357"/>
        <w:rPr>
          <w:rFonts w:ascii="Times New Roman" w:hAnsi="Times New Roman" w:cs="Times New Roman"/>
          <w:b/>
          <w:bCs/>
          <w:noProof/>
          <w:color w:val="auto"/>
          <w:sz w:val="24"/>
          <w:szCs w:val="24"/>
        </w:rPr>
      </w:pPr>
      <w:r w:rsidRPr="00CE0265">
        <w:rPr>
          <w:rFonts w:ascii="Times New Roman" w:hAnsi="Times New Roman"/>
          <w:b/>
          <w:noProof/>
          <w:color w:val="auto"/>
          <w:sz w:val="24"/>
        </w:rPr>
        <w:t>COHÉSION SOCIALE, COMPÉTENCES ET EMPLOIS DE QUALITÉ</w:t>
      </w:r>
    </w:p>
    <w:p w14:paraId="1B7A940D" w14:textId="53E4F5AE" w:rsidR="00E1100C" w:rsidRPr="00CE0265" w:rsidRDefault="00E1100C" w:rsidP="00E1100C">
      <w:pPr>
        <w:pStyle w:val="Heading3"/>
        <w:rPr>
          <w:rFonts w:ascii="Times New Roman" w:hAnsi="Times New Roman" w:cs="Times New Roman"/>
          <w:b/>
          <w:bCs/>
          <w:i/>
          <w:iCs/>
          <w:noProof/>
          <w:color w:val="auto"/>
          <w:sz w:val="24"/>
          <w:szCs w:val="24"/>
        </w:rPr>
      </w:pPr>
      <w:r w:rsidRPr="00CE0265">
        <w:rPr>
          <w:rFonts w:ascii="Times New Roman" w:hAnsi="Times New Roman"/>
          <w:b/>
          <w:i/>
          <w:noProof/>
          <w:color w:val="auto"/>
          <w:sz w:val="24"/>
        </w:rPr>
        <w:t>6.1. Les ports en tant qu’instruments de connexion</w:t>
      </w:r>
    </w:p>
    <w:p w14:paraId="488E8147" w14:textId="0156EA41" w:rsidR="00E1100C" w:rsidRPr="00CE0265" w:rsidRDefault="00E1100C" w:rsidP="00E1100C">
      <w:pPr>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color w:val="000000" w:themeColor="text1"/>
          <w:sz w:val="24"/>
        </w:rPr>
        <w:t xml:space="preserve">Les ports sont des vecteurs essentiels du développement économique, de la résilience, de la cohésion sociale et territoriale des zones arctiques et côtières, des îles et des régions ultrapériphériques et de leurs 20 millions de citoyens de l’UE. Le développement industriel et les pôles d’activités maritimes innovants dans les ports améliorent l’économie locale, tandis que les espaces publics et privés situés en bord de mer renforcent l’attractivité des villes. Il peut en résulter une concurrence pour l’espace et une incidence négative sur l’environnement dans les zones densément peuplées. </w:t>
      </w:r>
    </w:p>
    <w:p w14:paraId="0AB13E01" w14:textId="522B691D" w:rsidR="001F340E" w:rsidRPr="00CE0265" w:rsidRDefault="00E1100C" w:rsidP="001F340E">
      <w:pPr>
        <w:jc w:val="both"/>
        <w:rPr>
          <w:rFonts w:ascii="Times New Roman" w:hAnsi="Times New Roman"/>
          <w:noProof/>
          <w:color w:val="000000" w:themeColor="text1"/>
          <w:sz w:val="24"/>
          <w:szCs w:val="24"/>
        </w:rPr>
      </w:pPr>
      <w:r w:rsidRPr="00CE0265">
        <w:rPr>
          <w:rFonts w:ascii="Times New Roman" w:hAnsi="Times New Roman"/>
          <w:noProof/>
          <w:sz w:val="24"/>
        </w:rPr>
        <w:t xml:space="preserve">La Commission </w:t>
      </w:r>
      <w:r w:rsidRPr="00CE0265">
        <w:rPr>
          <w:rFonts w:ascii="Times New Roman" w:hAnsi="Times New Roman"/>
          <w:b/>
          <w:noProof/>
          <w:sz w:val="24"/>
        </w:rPr>
        <w:t>continuera de soutenir la cohésion territoriale et la connectivité des îles et des régions ultrapériphériques</w:t>
      </w:r>
      <w:r w:rsidRPr="00CE0265">
        <w:rPr>
          <w:rFonts w:ascii="Times New Roman" w:hAnsi="Times New Roman"/>
          <w:noProof/>
          <w:sz w:val="24"/>
        </w:rPr>
        <w:t xml:space="preserve">, notamment celles qui sont confrontées à des défis démographiques, au moyen de financements au titre de la politique de cohésion et du mécanisme pour l’interconnexion en Europe dans le secteur des transports (MIE-T). Elle </w:t>
      </w:r>
      <w:r w:rsidRPr="00CE0265">
        <w:rPr>
          <w:rFonts w:ascii="Times New Roman" w:hAnsi="Times New Roman"/>
          <w:b/>
          <w:noProof/>
          <w:sz w:val="24"/>
        </w:rPr>
        <w:t>invite les États membres à soutenir les améliorations en matière d’infrastructures, d’énergie et de carburants propres, de sécurité et de durabilité pour les ports de petite et moyenne taille</w:t>
      </w:r>
      <w:r w:rsidRPr="00CE0265">
        <w:rPr>
          <w:rFonts w:ascii="Times New Roman" w:hAnsi="Times New Roman"/>
          <w:noProof/>
          <w:sz w:val="24"/>
        </w:rPr>
        <w:t xml:space="preserve">, notamment dans les îles et les régions éloignées et ultrapériphériques. La Commission </w:t>
      </w:r>
      <w:r w:rsidRPr="00CE0265">
        <w:rPr>
          <w:rFonts w:ascii="Times New Roman" w:hAnsi="Times New Roman"/>
          <w:b/>
          <w:noProof/>
          <w:sz w:val="24"/>
        </w:rPr>
        <w:t>inclura des mesures visant à renforcer les contributions économiques, environnementales et sociales des ports aux communautés locales</w:t>
      </w:r>
      <w:r w:rsidRPr="00CE0265">
        <w:rPr>
          <w:rFonts w:ascii="Times New Roman" w:hAnsi="Times New Roman"/>
          <w:noProof/>
          <w:sz w:val="24"/>
        </w:rPr>
        <w:t xml:space="preserve"> dans le cadre des futures communications sur la stratégie pour les communautés côtières et sur la stratégie de l’UE en faveur des îles.</w:t>
      </w:r>
      <w:r w:rsidRPr="00CE0265">
        <w:rPr>
          <w:rFonts w:ascii="Times New Roman" w:hAnsi="Times New Roman"/>
          <w:noProof/>
          <w:color w:val="000000" w:themeColor="text1"/>
          <w:sz w:val="24"/>
        </w:rPr>
        <w:t xml:space="preserve"> Les interactions entre le port et la ville nécessitent de trouver un équilibre entre les facteurs économiques, environnementaux et sociaux. La Commission </w:t>
      </w:r>
      <w:r w:rsidRPr="00CE0265">
        <w:rPr>
          <w:rFonts w:ascii="Times New Roman" w:hAnsi="Times New Roman"/>
          <w:b/>
          <w:noProof/>
          <w:color w:val="000000" w:themeColor="text1"/>
          <w:sz w:val="24"/>
        </w:rPr>
        <w:t>intensifiera les dialogues et soutiendra l’élaboration de bonnes pratiques et d’orientations sur le renforcement des relations entre les ports et les villes</w:t>
      </w:r>
      <w:r w:rsidRPr="00CE0265">
        <w:rPr>
          <w:rStyle w:val="FootnoteReference"/>
          <w:rFonts w:ascii="Times New Roman" w:hAnsi="Times New Roman" w:cs="Times New Roman"/>
          <w:b/>
          <w:noProof/>
          <w:color w:val="000000" w:themeColor="text1"/>
          <w:sz w:val="24"/>
          <w:szCs w:val="24"/>
        </w:rPr>
        <w:footnoteReference w:id="58"/>
      </w:r>
      <w:r w:rsidRPr="00CE0265">
        <w:rPr>
          <w:rFonts w:ascii="Times New Roman" w:hAnsi="Times New Roman"/>
          <w:noProof/>
          <w:color w:val="000000" w:themeColor="text1"/>
          <w:sz w:val="24"/>
        </w:rPr>
        <w:t>. En outre, la Commission propose une nouvelle feuille de route pour la compétitivité des ports de petite et moyenne taille.</w:t>
      </w:r>
    </w:p>
    <w:p w14:paraId="67C6A50C" w14:textId="77777777" w:rsidR="00E1100C" w:rsidRPr="00CE0265" w:rsidRDefault="00E1100C" w:rsidP="00E1100C">
      <w:pPr>
        <w:pStyle w:val="Heading3"/>
        <w:rPr>
          <w:rFonts w:ascii="Times New Roman" w:hAnsi="Times New Roman" w:cs="Times New Roman"/>
          <w:b/>
          <w:bCs/>
          <w:i/>
          <w:iCs/>
          <w:noProof/>
          <w:color w:val="auto"/>
          <w:sz w:val="24"/>
          <w:szCs w:val="24"/>
        </w:rPr>
      </w:pPr>
      <w:r w:rsidRPr="00CE0265">
        <w:rPr>
          <w:rFonts w:ascii="Times New Roman" w:hAnsi="Times New Roman"/>
          <w:b/>
          <w:i/>
          <w:noProof/>
          <w:color w:val="auto"/>
          <w:sz w:val="24"/>
        </w:rPr>
        <w:t>6.2 Une main-d’œuvre qualifiée et des conditions de travail sûres dans les ports de l’UE</w:t>
      </w:r>
    </w:p>
    <w:p w14:paraId="4AB6A4FC" w14:textId="34DBD87D" w:rsidR="00E1100C" w:rsidRPr="00CE0265" w:rsidRDefault="00E1100C" w:rsidP="0063483C">
      <w:pPr>
        <w:spacing w:after="240"/>
        <w:jc w:val="both"/>
        <w:rPr>
          <w:rFonts w:ascii="Times New Roman" w:hAnsi="Times New Roman"/>
          <w:noProof/>
          <w:sz w:val="24"/>
          <w:szCs w:val="24"/>
        </w:rPr>
      </w:pPr>
      <w:r w:rsidRPr="00CE0265">
        <w:rPr>
          <w:rFonts w:ascii="Times New Roman" w:hAnsi="Times New Roman"/>
          <w:noProof/>
          <w:color w:val="000000" w:themeColor="text1"/>
          <w:sz w:val="24"/>
        </w:rPr>
        <w:t xml:space="preserve">Une main-d’œuvre qualifiée et formée en continu est essentielle pour réaliser la transformation équitable, propre et numérique des ports et les activités connexes de l’économie bleue, y compris dans les communautés locales autour des ports. </w:t>
      </w:r>
      <w:r w:rsidRPr="00CE0265">
        <w:rPr>
          <w:rFonts w:ascii="Times New Roman" w:hAnsi="Times New Roman"/>
          <w:noProof/>
          <w:sz w:val="24"/>
        </w:rPr>
        <w:t xml:space="preserve">Une nouvelle stratégie de renouvellement de la génération bleue dans le cadre du pacte européen pour l’Océan, prévue pour 2027, contribuera au développement d’une </w:t>
      </w:r>
      <w:r w:rsidRPr="00CE0265">
        <w:rPr>
          <w:rFonts w:ascii="Times New Roman" w:hAnsi="Times New Roman"/>
          <w:b/>
          <w:noProof/>
          <w:sz w:val="24"/>
        </w:rPr>
        <w:t>nouvelle génération de main-d’œuvre qualifiée dans tous les secteurs de l’économie bleue, y compris les ports</w:t>
      </w:r>
      <w:r w:rsidRPr="00CE0265">
        <w:rPr>
          <w:rFonts w:ascii="Times New Roman" w:hAnsi="Times New Roman"/>
          <w:noProof/>
          <w:sz w:val="24"/>
        </w:rPr>
        <w:t>.</w:t>
      </w:r>
      <w:r w:rsidRPr="00CE0265">
        <w:rPr>
          <w:rFonts w:ascii="Segoe UI" w:hAnsi="Segoe UI"/>
          <w:noProof/>
          <w:color w:val="498205"/>
          <w:sz w:val="18"/>
          <w:u w:val="single"/>
          <w:shd w:val="clear" w:color="auto" w:fill="FFFFFF"/>
        </w:rPr>
        <w:t xml:space="preserve"> </w:t>
      </w:r>
    </w:p>
    <w:p w14:paraId="5BE43967" w14:textId="03D6542D" w:rsidR="00E1100C" w:rsidRPr="00CE0265" w:rsidRDefault="00E1100C" w:rsidP="00E1100C">
      <w:pPr>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color w:val="000000" w:themeColor="text1"/>
          <w:sz w:val="24"/>
        </w:rPr>
        <w:t>Dans le cadre du pacte pour les compétences renforcé, annoncé dans l’union des compétences, la Commission encourage</w:t>
      </w:r>
      <w:r w:rsidRPr="00CE0265">
        <w:rPr>
          <w:rFonts w:ascii="Times New Roman" w:hAnsi="Times New Roman"/>
          <w:b/>
          <w:noProof/>
          <w:color w:val="000000" w:themeColor="text1"/>
          <w:sz w:val="24"/>
        </w:rPr>
        <w:t xml:space="preserve"> les partenaires sociaux, les ports et les autres parties prenantes, y compris les centres de formation concernés, à établir un partenariat spécifique en matière de compétences pour le secteur portuaire</w:t>
      </w:r>
      <w:r w:rsidRPr="00CE0265">
        <w:rPr>
          <w:rFonts w:ascii="Times New Roman" w:hAnsi="Times New Roman"/>
          <w:noProof/>
          <w:color w:val="000000" w:themeColor="text1"/>
          <w:sz w:val="24"/>
        </w:rPr>
        <w:t xml:space="preserve"> afin d’anticiper les besoins en compétences, de remédier aux pénuries et de promouvoir les initiatives de perfectionnement et de reconversion professionnels</w:t>
      </w:r>
      <w:r w:rsidRPr="00CE0265">
        <w:rPr>
          <w:rStyle w:val="FootnoteReference"/>
          <w:rFonts w:ascii="Times New Roman" w:eastAsia="Times New Roman" w:hAnsi="Times New Roman" w:cs="Times New Roman"/>
          <w:bCs/>
          <w:noProof/>
          <w:color w:val="000000" w:themeColor="text1"/>
          <w:sz w:val="24"/>
          <w:szCs w:val="24"/>
        </w:rPr>
        <w:footnoteReference w:id="59"/>
      </w:r>
      <w:r w:rsidRPr="00CE0265">
        <w:rPr>
          <w:rFonts w:ascii="Times New Roman" w:hAnsi="Times New Roman"/>
          <w:noProof/>
          <w:color w:val="000000" w:themeColor="text1"/>
          <w:sz w:val="24"/>
        </w:rPr>
        <w:t xml:space="preserve"> et l’accès inclusif à des emplois de qualité, en particulier pour les femmes et les jeunes. </w:t>
      </w:r>
      <w:r w:rsidRPr="00CE0265">
        <w:rPr>
          <w:rFonts w:ascii="Times New Roman" w:hAnsi="Times New Roman"/>
          <w:noProof/>
          <w:sz w:val="24"/>
        </w:rPr>
        <w:t xml:space="preserve">L’industrie maritime, y compris les ports, est invitée à </w:t>
      </w:r>
      <w:r w:rsidRPr="00CE0265">
        <w:rPr>
          <w:rFonts w:ascii="Times New Roman" w:hAnsi="Times New Roman"/>
          <w:b/>
          <w:noProof/>
          <w:sz w:val="24"/>
        </w:rPr>
        <w:t>coopérer avec le partenariat à grande échelle pour l’écosystème numérique dans le cadre du pacte pour les compétences</w:t>
      </w:r>
      <w:r w:rsidRPr="00CE0265">
        <w:rPr>
          <w:rFonts w:ascii="Times New Roman" w:hAnsi="Times New Roman"/>
          <w:noProof/>
          <w:sz w:val="24"/>
        </w:rPr>
        <w:t xml:space="preserve"> afin de soutenir le perfectionnement des compétences numériques dans le secteur portuaire, à </w:t>
      </w:r>
      <w:r w:rsidRPr="00CE0265">
        <w:rPr>
          <w:rFonts w:ascii="Times New Roman" w:hAnsi="Times New Roman"/>
          <w:b/>
          <w:noProof/>
          <w:sz w:val="24"/>
        </w:rPr>
        <w:t>présenter des engagements dans le cadre de l’académie des compétences en matière de cybersécurité</w:t>
      </w:r>
      <w:r w:rsidRPr="00CE0265">
        <w:rPr>
          <w:rFonts w:ascii="Times New Roman" w:hAnsi="Times New Roman"/>
          <w:noProof/>
          <w:sz w:val="24"/>
        </w:rPr>
        <w:t xml:space="preserve"> et à </w:t>
      </w:r>
      <w:r w:rsidRPr="00CE0265">
        <w:rPr>
          <w:rFonts w:ascii="Times New Roman" w:hAnsi="Times New Roman"/>
          <w:b/>
          <w:noProof/>
          <w:sz w:val="24"/>
        </w:rPr>
        <w:t>utiliser l’outil que constitue le cadre européen de compétences en matière de cybersécurité (ECSF) pour les professionnels portuaires</w:t>
      </w:r>
      <w:r w:rsidRPr="00CE0265">
        <w:rPr>
          <w:rFonts w:ascii="Times New Roman" w:hAnsi="Times New Roman"/>
          <w:noProof/>
          <w:sz w:val="24"/>
        </w:rPr>
        <w:t xml:space="preserve">. Les actions complémentaires menées dans le cadre de la stratégie maritime industrielle de l’UE afin de rendre les carrières dans le pôle d’activité «transport maritime» plus attrayantes et de promouvoir la mobilité entre les activités en mer et à terre présentent également un grand intérêt pour le secteur portuaire. </w:t>
      </w:r>
    </w:p>
    <w:p w14:paraId="79653444" w14:textId="08FEAACB" w:rsidR="00AD34AA" w:rsidRPr="00CE0265" w:rsidRDefault="00E1100C" w:rsidP="00E1100C">
      <w:pPr>
        <w:spacing w:line="257" w:lineRule="auto"/>
        <w:jc w:val="both"/>
        <w:rPr>
          <w:rFonts w:ascii="Times New Roman" w:hAnsi="Times New Roman" w:cs="Times New Roman"/>
          <w:noProof/>
          <w:sz w:val="24"/>
          <w:szCs w:val="24"/>
        </w:rPr>
      </w:pPr>
      <w:r w:rsidRPr="00CE0265">
        <w:rPr>
          <w:rFonts w:ascii="Times New Roman" w:hAnsi="Times New Roman"/>
          <w:noProof/>
          <w:sz w:val="24"/>
        </w:rPr>
        <w:t xml:space="preserve">L’acquis de l’UE en matière de sécurité et de santé au travail (SST) s’applique aux ports. </w:t>
      </w:r>
      <w:r w:rsidRPr="00CE0265">
        <w:rPr>
          <w:rFonts w:ascii="Times New Roman" w:hAnsi="Times New Roman"/>
          <w:noProof/>
          <w:color w:val="000000" w:themeColor="text1"/>
          <w:sz w:val="24"/>
        </w:rPr>
        <w:t>Qui plus est, le renforcement de la coopération entre les autorités portuaires nationales, les inspections du travail et les agences de sécurité maritime, y compris la coopération transfrontière avec le soutien de l’Autorité européenne du travail, est essentiel pour protéger les travailleurs</w:t>
      </w:r>
      <w:r w:rsidRPr="00CE0265">
        <w:rPr>
          <w:rFonts w:ascii="Times New Roman" w:hAnsi="Times New Roman"/>
          <w:noProof/>
          <w:sz w:val="24"/>
        </w:rPr>
        <w:t xml:space="preserve">. </w:t>
      </w:r>
    </w:p>
    <w:p w14:paraId="366CE35A" w14:textId="37D3FC23" w:rsidR="000E119D" w:rsidRPr="00CE0265" w:rsidRDefault="00E1100C" w:rsidP="00E1100C">
      <w:pPr>
        <w:spacing w:line="257" w:lineRule="auto"/>
        <w:jc w:val="both"/>
        <w:rPr>
          <w:rFonts w:ascii="Times New Roman" w:eastAsia="Aptos" w:hAnsi="Times New Roman" w:cs="Times New Roman"/>
          <w:b/>
          <w:bCs/>
          <w:noProof/>
          <w:sz w:val="24"/>
          <w:szCs w:val="24"/>
        </w:rPr>
      </w:pPr>
      <w:r w:rsidRPr="00CE0265">
        <w:rPr>
          <w:rFonts w:ascii="Times New Roman" w:hAnsi="Times New Roman"/>
          <w:noProof/>
          <w:color w:val="000000" w:themeColor="text1"/>
          <w:sz w:val="24"/>
        </w:rPr>
        <w:t>Des modifications récentes</w:t>
      </w:r>
      <w:r w:rsidRPr="00CE0265">
        <w:rPr>
          <w:rStyle w:val="FootnoteReference"/>
          <w:rFonts w:ascii="Times New Roman" w:eastAsia="Times New Roman" w:hAnsi="Times New Roman" w:cs="Times New Roman"/>
          <w:noProof/>
          <w:color w:val="000000" w:themeColor="text1"/>
          <w:sz w:val="24"/>
          <w:szCs w:val="24"/>
        </w:rPr>
        <w:footnoteReference w:id="60"/>
      </w:r>
      <w:r w:rsidRPr="00CE0265">
        <w:rPr>
          <w:rFonts w:ascii="Times New Roman" w:hAnsi="Times New Roman"/>
          <w:noProof/>
          <w:color w:val="000000" w:themeColor="text1"/>
          <w:sz w:val="24"/>
        </w:rPr>
        <w:t xml:space="preserve"> ont en outre clarifié l’application des règles relatives aux enquêtes sur les accidents dans le secteur des transports maritimes en ce qui concerne les travailleurs portuaires à bord des navires. </w:t>
      </w:r>
      <w:r w:rsidRPr="00CE0265">
        <w:rPr>
          <w:rFonts w:ascii="Times New Roman" w:hAnsi="Times New Roman"/>
          <w:noProof/>
          <w:sz w:val="24"/>
        </w:rPr>
        <w:t>La directive relative au contrôle par l’État du port</w:t>
      </w:r>
      <w:r w:rsidRPr="00CE0265">
        <w:rPr>
          <w:rStyle w:val="FootnoteReference"/>
          <w:rFonts w:ascii="Times New Roman" w:hAnsi="Times New Roman" w:cs="Times New Roman"/>
          <w:noProof/>
          <w:sz w:val="24"/>
          <w:szCs w:val="24"/>
        </w:rPr>
        <w:footnoteReference w:id="61"/>
      </w:r>
      <w:r w:rsidRPr="00CE0265">
        <w:rPr>
          <w:rFonts w:ascii="Times New Roman" w:hAnsi="Times New Roman"/>
          <w:noProof/>
          <w:sz w:val="24"/>
        </w:rPr>
        <w:t xml:space="preserve"> prévoit un système de contrôles ponctuels ciblés de la conformité des navires faisant escale dans les ports de l’UE. Afin d’accroître encore la sécurité, et avec la participation des partenaires sociaux, </w:t>
      </w:r>
      <w:r w:rsidRPr="00CE0265">
        <w:rPr>
          <w:rFonts w:ascii="Times New Roman" w:hAnsi="Times New Roman"/>
          <w:b/>
          <w:noProof/>
          <w:sz w:val="24"/>
        </w:rPr>
        <w:t>la Commission élaborera des orientations sur l’application de la législation en matière de sécurité maritime aux travailleurs portuaires à bord des navires</w:t>
      </w:r>
      <w:r w:rsidRPr="00CE0265">
        <w:rPr>
          <w:rFonts w:ascii="Times New Roman" w:hAnsi="Times New Roman"/>
          <w:noProof/>
          <w:sz w:val="24"/>
        </w:rPr>
        <w:t xml:space="preserve">. L’UE soutiendra de nouvelles recherches et orientations sur la </w:t>
      </w:r>
      <w:r w:rsidRPr="00CE0265">
        <w:rPr>
          <w:rFonts w:ascii="Times New Roman" w:hAnsi="Times New Roman"/>
          <w:b/>
          <w:noProof/>
          <w:sz w:val="24"/>
        </w:rPr>
        <w:t>manipulation sûre des carburants alternatifs, renouvelables, à émissions de carbone faibles ou nulles dans la zone portuaire</w:t>
      </w:r>
      <w:r w:rsidRPr="00CE0265">
        <w:rPr>
          <w:rFonts w:ascii="Times New Roman" w:hAnsi="Times New Roman"/>
          <w:noProof/>
          <w:sz w:val="24"/>
        </w:rPr>
        <w:t xml:space="preserve"> dans le cadre d’Horizon Europe et </w:t>
      </w:r>
      <w:r w:rsidRPr="00CE0265">
        <w:rPr>
          <w:rFonts w:ascii="Times New Roman" w:hAnsi="Times New Roman"/>
          <w:b/>
          <w:noProof/>
          <w:sz w:val="24"/>
        </w:rPr>
        <w:t>la Commission élaborera des orientations et des supports de formation sur la manipulation sûre des carburants alternatifs dans les ports</w:t>
      </w:r>
      <w:r w:rsidRPr="00CE0265">
        <w:rPr>
          <w:rFonts w:ascii="Times New Roman" w:hAnsi="Times New Roman"/>
          <w:noProof/>
          <w:sz w:val="24"/>
        </w:rPr>
        <w:t xml:space="preserve">. </w:t>
      </w:r>
    </w:p>
    <w:p w14:paraId="65C35FD8" w14:textId="7C77B4D5" w:rsidR="00497BBE" w:rsidRPr="00CE0265" w:rsidRDefault="000E119D" w:rsidP="00E1100C">
      <w:pPr>
        <w:spacing w:line="257" w:lineRule="auto"/>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 xml:space="preserve">L’UE continuera de promouvoir des normes élevées en matière de sécurité et de travail, le dialogue social et les bonnes pratiques, y compris dans les enceintes internationales. </w:t>
      </w:r>
      <w:r w:rsidRPr="00CE0265">
        <w:rPr>
          <w:rFonts w:ascii="Times New Roman" w:hAnsi="Times New Roman"/>
          <w:b/>
          <w:noProof/>
          <w:sz w:val="24"/>
        </w:rPr>
        <w:t>Les États membres sont encouragés à soutenir les améliorations en matière de sécurité et de durabilité</w:t>
      </w:r>
      <w:r w:rsidRPr="00CE0265">
        <w:rPr>
          <w:rStyle w:val="FootnoteReference"/>
          <w:rFonts w:ascii="Times New Roman" w:hAnsi="Times New Roman" w:cs="Times New Roman"/>
          <w:b/>
          <w:noProof/>
          <w:sz w:val="24"/>
          <w:szCs w:val="24"/>
        </w:rPr>
        <w:footnoteReference w:id="62"/>
      </w:r>
      <w:r w:rsidRPr="00CE0265">
        <w:rPr>
          <w:rFonts w:ascii="Times New Roman" w:hAnsi="Times New Roman"/>
          <w:b/>
          <w:noProof/>
          <w:sz w:val="24"/>
        </w:rPr>
        <w:t xml:space="preserve"> dans les ports et à garantir la mise en œuvre et le respect de la législation du travail et des conventions collectives de l’Union et des États membres.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100C" w:rsidRPr="00CE0265" w14:paraId="3B3CB0E3" w14:textId="77777777">
        <w:tc>
          <w:tcPr>
            <w:tcW w:w="9016" w:type="dxa"/>
          </w:tcPr>
          <w:p w14:paraId="21B6103B" w14:textId="0D7C1D97" w:rsidR="00E1100C" w:rsidRPr="00CE0265" w:rsidRDefault="00E1100C">
            <w:pPr>
              <w:rPr>
                <w:rFonts w:ascii="Times New Roman" w:hAnsi="Times New Roman" w:cs="Times New Roman"/>
                <w:b/>
                <w:bCs/>
                <w:i/>
                <w:iCs/>
                <w:noProof/>
              </w:rPr>
            </w:pPr>
            <w:r w:rsidRPr="00CE0265">
              <w:rPr>
                <w:rFonts w:ascii="Times New Roman" w:hAnsi="Times New Roman"/>
                <w:b/>
                <w:i/>
                <w:noProof/>
              </w:rPr>
              <w:t>Actions phares</w:t>
            </w:r>
          </w:p>
          <w:p w14:paraId="27F12D6E" w14:textId="50D26520" w:rsidR="00604629" w:rsidRPr="00CE0265" w:rsidRDefault="00604629" w:rsidP="00C10F3B">
            <w:pPr>
              <w:pStyle w:val="ListParagraph"/>
              <w:numPr>
                <w:ilvl w:val="0"/>
                <w:numId w:val="6"/>
              </w:numPr>
              <w:jc w:val="both"/>
              <w:rPr>
                <w:rFonts w:ascii="Times New Roman" w:hAnsi="Times New Roman" w:cs="Times New Roman"/>
                <w:i/>
                <w:iCs/>
                <w:noProof/>
              </w:rPr>
            </w:pPr>
            <w:r w:rsidRPr="00CE0265">
              <w:rPr>
                <w:rFonts w:ascii="Times New Roman" w:hAnsi="Times New Roman"/>
                <w:i/>
                <w:noProof/>
              </w:rPr>
              <w:t>Soutenir les ports de petite et moyenne taille au moyen d’une feuille de route spécifique (annexe 2).</w:t>
            </w:r>
          </w:p>
          <w:p w14:paraId="60997A01" w14:textId="247497D3" w:rsidR="00E1100C" w:rsidRPr="00CE0265" w:rsidRDefault="00D94316" w:rsidP="00C10F3B">
            <w:pPr>
              <w:pStyle w:val="ListParagraph"/>
              <w:numPr>
                <w:ilvl w:val="0"/>
                <w:numId w:val="6"/>
              </w:numPr>
              <w:jc w:val="both"/>
              <w:rPr>
                <w:rFonts w:ascii="Times New Roman" w:hAnsi="Times New Roman" w:cs="Times New Roman"/>
                <w:i/>
                <w:iCs/>
                <w:noProof/>
              </w:rPr>
            </w:pPr>
            <w:r w:rsidRPr="00CE0265">
              <w:rPr>
                <w:rFonts w:ascii="Times New Roman" w:hAnsi="Times New Roman"/>
                <w:i/>
                <w:noProof/>
              </w:rPr>
              <w:t>Soutenir le développement d’une nouvelle génération de main-d’œuvre qualifiée dans tous les secteurs de l’économie bleue, y compris les ports, au moyen d’actions menées dans le cadre de la stratégie de renouvellement de la génération bleue.</w:t>
            </w:r>
          </w:p>
          <w:p w14:paraId="7AEA58A5" w14:textId="1BD9D53C" w:rsidR="00E1100C" w:rsidRPr="00CE0265" w:rsidDel="00482092" w:rsidRDefault="00E1100C" w:rsidP="00C10F3B">
            <w:pPr>
              <w:pStyle w:val="ListParagraph"/>
              <w:numPr>
                <w:ilvl w:val="0"/>
                <w:numId w:val="6"/>
              </w:numPr>
              <w:jc w:val="both"/>
              <w:rPr>
                <w:rFonts w:ascii="Times New Roman" w:hAnsi="Times New Roman" w:cs="Times New Roman"/>
                <w:i/>
                <w:iCs/>
                <w:noProof/>
              </w:rPr>
            </w:pPr>
            <w:r w:rsidRPr="00CE0265">
              <w:rPr>
                <w:rFonts w:ascii="Times New Roman" w:hAnsi="Times New Roman"/>
                <w:i/>
                <w:noProof/>
              </w:rPr>
              <w:t>Aider les partenaires sociaux et les parties prenantes concernées à établir un pacte pour les compétences pour le secteur portuaire en matière de perfectionnement, de reconversion et d’inclusion des travailleurs.</w:t>
            </w:r>
          </w:p>
          <w:p w14:paraId="0B579B72" w14:textId="6F66CF20" w:rsidR="00E1100C" w:rsidRPr="00CE0265" w:rsidRDefault="00661826" w:rsidP="00C10F3B">
            <w:pPr>
              <w:pStyle w:val="ListParagraph"/>
              <w:numPr>
                <w:ilvl w:val="0"/>
                <w:numId w:val="6"/>
              </w:numPr>
              <w:jc w:val="both"/>
              <w:rPr>
                <w:rFonts w:ascii="Times New Roman" w:hAnsi="Times New Roman" w:cs="Times New Roman"/>
                <w:b/>
                <w:bCs/>
                <w:noProof/>
              </w:rPr>
            </w:pPr>
            <w:r w:rsidRPr="00CE0265">
              <w:rPr>
                <w:rFonts w:ascii="Times New Roman" w:hAnsi="Times New Roman"/>
                <w:i/>
                <w:noProof/>
              </w:rPr>
              <w:t>Élaborer des orientations sur l’application de la législation en matière de sécurité maritime aux travailleurs portuaires à bord des navires.</w:t>
            </w:r>
          </w:p>
          <w:p w14:paraId="1978680E" w14:textId="1F3018B6" w:rsidR="00697BE4" w:rsidRPr="00CE0265" w:rsidRDefault="00661826" w:rsidP="00597A72">
            <w:pPr>
              <w:pStyle w:val="ListParagraph"/>
              <w:numPr>
                <w:ilvl w:val="0"/>
                <w:numId w:val="6"/>
              </w:numPr>
              <w:spacing w:after="120"/>
              <w:ind w:left="357" w:hanging="357"/>
              <w:jc w:val="both"/>
              <w:rPr>
                <w:rFonts w:ascii="Times New Roman" w:hAnsi="Times New Roman" w:cs="Times New Roman"/>
                <w:b/>
                <w:bCs/>
                <w:noProof/>
              </w:rPr>
            </w:pPr>
            <w:r w:rsidRPr="00CE0265">
              <w:rPr>
                <w:rFonts w:ascii="Times New Roman" w:hAnsi="Times New Roman"/>
                <w:i/>
                <w:noProof/>
              </w:rPr>
              <w:t>Élaborer des orientations sur la manipulation sûre des carburants alternatifs dans les ports.</w:t>
            </w:r>
          </w:p>
        </w:tc>
      </w:tr>
    </w:tbl>
    <w:p w14:paraId="225AB91A" w14:textId="77777777" w:rsidR="00E1100C" w:rsidRPr="00CE0265" w:rsidRDefault="00E1100C" w:rsidP="00E1100C">
      <w:pPr>
        <w:jc w:val="both"/>
        <w:rPr>
          <w:rFonts w:ascii="Times New Roman" w:hAnsi="Times New Roman" w:cs="Times New Roman"/>
          <w:noProof/>
          <w:sz w:val="24"/>
          <w:szCs w:val="24"/>
        </w:rPr>
      </w:pPr>
    </w:p>
    <w:p w14:paraId="0D7BDC9C" w14:textId="77777777" w:rsidR="00E1100C" w:rsidRPr="00CE0265" w:rsidRDefault="00E1100C" w:rsidP="00C10F3B">
      <w:pPr>
        <w:pStyle w:val="Heading2"/>
        <w:numPr>
          <w:ilvl w:val="0"/>
          <w:numId w:val="2"/>
        </w:numPr>
        <w:jc w:val="both"/>
        <w:rPr>
          <w:rFonts w:ascii="Times New Roman" w:hAnsi="Times New Roman" w:cs="Times New Roman"/>
          <w:b/>
          <w:noProof/>
          <w:color w:val="auto"/>
          <w:sz w:val="24"/>
          <w:szCs w:val="24"/>
        </w:rPr>
      </w:pPr>
      <w:r w:rsidRPr="00CE0265">
        <w:rPr>
          <w:rFonts w:ascii="Times New Roman" w:hAnsi="Times New Roman"/>
          <w:b/>
          <w:noProof/>
          <w:color w:val="auto"/>
          <w:sz w:val="24"/>
        </w:rPr>
        <w:t>CONCLUSIONS</w:t>
      </w:r>
    </w:p>
    <w:p w14:paraId="63CB0F0E" w14:textId="2D74E5A2" w:rsidR="00E1100C" w:rsidRPr="00CE0265" w:rsidRDefault="00E1100C" w:rsidP="00E1100C">
      <w:pPr>
        <w:jc w:val="both"/>
        <w:rPr>
          <w:rFonts w:ascii="Times New Roman" w:hAnsi="Times New Roman" w:cs="Times New Roman"/>
          <w:noProof/>
        </w:rPr>
      </w:pPr>
      <w:r w:rsidRPr="00CE0265">
        <w:rPr>
          <w:rFonts w:ascii="Times New Roman" w:hAnsi="Times New Roman"/>
          <w:noProof/>
          <w:sz w:val="24"/>
        </w:rPr>
        <w:t xml:space="preserve">La présente stratégie souligne le rôle essentiel des ports pour l’économie de l’UE et notre société. Elle établit un cadre visant à assurer la pérennité du secteur portuaire de l’UE, à améliorer sa compétitivité et à étendre le rôle des ports pour la société de manière sûre, sécurisée et durable, ainsi qu’à accroître la résilience, la mobilité militaire, la cybersécurité et la sécurité économique. Conjointement avec toutes les parties prenantes susmentionnées, la Commission est déterminée à garantir sa mise en œuvre effective et la réalisation de ses objectifs. À cette fin, la Commission mettra en place un </w:t>
      </w:r>
      <w:r w:rsidRPr="00CE0265">
        <w:rPr>
          <w:rFonts w:ascii="Times New Roman" w:hAnsi="Times New Roman"/>
          <w:b/>
          <w:noProof/>
          <w:sz w:val="24"/>
        </w:rPr>
        <w:t>conseil de haut niveau sur les industries maritimes et les ports</w:t>
      </w:r>
      <w:r w:rsidRPr="00CE0265">
        <w:rPr>
          <w:rFonts w:ascii="Times New Roman" w:hAnsi="Times New Roman"/>
          <w:noProof/>
          <w:sz w:val="24"/>
        </w:rPr>
        <w:t xml:space="preserve">, présidé par le commissaire et les VPE responsables, en vue de poursuivre les échanges sur la mise en œuvre des actions décrites </w:t>
      </w:r>
      <w:r w:rsidRPr="00CE0265">
        <w:rPr>
          <w:rFonts w:ascii="Times New Roman" w:hAnsi="Times New Roman"/>
          <w:b/>
          <w:noProof/>
          <w:sz w:val="24"/>
        </w:rPr>
        <w:t>à la fois dans la stratégie maritime industrielle et dans la stratégie portuaire de l’UE</w:t>
      </w:r>
      <w:r w:rsidRPr="00CE0265">
        <w:rPr>
          <w:rFonts w:ascii="Times New Roman" w:hAnsi="Times New Roman"/>
          <w:noProof/>
          <w:sz w:val="24"/>
        </w:rPr>
        <w:t xml:space="preserve"> et de recueillir des retours d’information sur l’évolution du marché.</w:t>
      </w:r>
    </w:p>
    <w:p w14:paraId="000D89BF" w14:textId="3AE38289" w:rsidR="00C70E90" w:rsidRPr="00CE0265" w:rsidRDefault="00C70E90">
      <w:pPr>
        <w:rPr>
          <w:rFonts w:ascii="Times New Roman" w:hAnsi="Times New Roman" w:cs="Times New Roman"/>
          <w:noProof/>
        </w:rPr>
      </w:pPr>
      <w:r w:rsidRPr="00CE0265">
        <w:rPr>
          <w:noProof/>
        </w:rPr>
        <w:br w:type="page"/>
      </w:r>
    </w:p>
    <w:p w14:paraId="4A68834E" w14:textId="5D61D4C7" w:rsidR="00874A32" w:rsidRPr="00CE0265" w:rsidRDefault="00874A32" w:rsidP="00874A32">
      <w:pPr>
        <w:pStyle w:val="Heading2"/>
        <w:rPr>
          <w:rFonts w:ascii="Times New Roman" w:hAnsi="Times New Roman" w:cs="Times New Roman"/>
          <w:noProof/>
        </w:rPr>
      </w:pPr>
      <w:r w:rsidRPr="00CE0265">
        <w:rPr>
          <w:rFonts w:ascii="Times New Roman" w:hAnsi="Times New Roman"/>
          <w:noProof/>
        </w:rPr>
        <w:t>ANNEXE 1: Principes de financement</w:t>
      </w:r>
      <w:r w:rsidRPr="00CE0265">
        <w:rPr>
          <w:rStyle w:val="FootnoteReference"/>
          <w:rFonts w:ascii="Times New Roman" w:hAnsi="Times New Roman" w:cs="Times New Roman"/>
          <w:noProof/>
        </w:rPr>
        <w:footnoteReference w:id="63"/>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74A32" w:rsidRPr="00CE0265" w14:paraId="4CED6326" w14:textId="77777777" w:rsidTr="00062336">
        <w:trPr>
          <w:trHeight w:val="1266"/>
        </w:trPr>
        <w:tc>
          <w:tcPr>
            <w:tcW w:w="9026" w:type="dxa"/>
          </w:tcPr>
          <w:p w14:paraId="23BBEA44" w14:textId="09C00BC4" w:rsidR="00BD3CFD" w:rsidRPr="00CE0265" w:rsidRDefault="00BD3CFD" w:rsidP="00C10F3B">
            <w:pPr>
              <w:pStyle w:val="ListParagraph"/>
              <w:numPr>
                <w:ilvl w:val="0"/>
                <w:numId w:val="17"/>
              </w:numPr>
              <w:ind w:left="455" w:hanging="406"/>
              <w:rPr>
                <w:rFonts w:ascii="Times New Roman" w:eastAsia="Aptos" w:hAnsi="Times New Roman" w:cs="Times New Roman"/>
                <w:b/>
                <w:bCs/>
                <w:iCs/>
                <w:noProof/>
                <w:u w:val="single"/>
              </w:rPr>
            </w:pPr>
            <w:r w:rsidRPr="00CE0265">
              <w:rPr>
                <w:rFonts w:ascii="Times New Roman" w:hAnsi="Times New Roman"/>
                <w:b/>
                <w:noProof/>
              </w:rPr>
              <w:t xml:space="preserve">Principes communs pour les projets portuaires de l’UE dans tous les flux de financement pertinents de l’UE: </w:t>
            </w:r>
          </w:p>
          <w:p w14:paraId="7B16E786" w14:textId="77777777" w:rsidR="00BD3CFD" w:rsidRPr="00CE0265" w:rsidRDefault="00BD3CFD" w:rsidP="00BD3CFD">
            <w:pPr>
              <w:jc w:val="both"/>
              <w:rPr>
                <w:rFonts w:ascii="Times New Roman" w:hAnsi="Times New Roman" w:cs="Times New Roman"/>
                <w:noProof/>
              </w:rPr>
            </w:pPr>
          </w:p>
          <w:p w14:paraId="4604AF06" w14:textId="77777777"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 xml:space="preserve">Le financement public devrait être axé sur l’obtention de l’effet le plus fort et le plus catalyseur sur les défis publics et sociétaux, conformément aux règles applicables en matière d’aides d’État. </w:t>
            </w:r>
          </w:p>
          <w:p w14:paraId="3CBB4E26" w14:textId="77777777"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Les subventions ne devraient être octroyées qu’à des projets présentant un intérêt public manifeste, qui mobilisent des investissements privés et en réduisent les risques.</w:t>
            </w:r>
          </w:p>
          <w:p w14:paraId="78B1E0E4" w14:textId="2A724947"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Parmi les priorités publiques devraient figurer la résilience des chaînes critiques d’approvisionnement et de logistique, la connectivité, la fourniture de carburants verts, l’approvisionnement en électricité et la recharge à quai, l’électrification des ports et les connexions au réseau, les infrastructures vertes et les opérations portuaires durables, les capacités à double usage et la sécurité physique et numérique des ports, la lutte contre la criminalité et le trafic de drogue, la création de possibilités d’emploi dans les communautés côtières, l’économie circulaire, la réduction des déchets et le recyclage.</w:t>
            </w:r>
          </w:p>
          <w:p w14:paraId="5B0D89E8" w14:textId="7522DF1D"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Il convient d’accorder une attention particulière, dans les îles et les régions côtières et ultrapériphériques, en fonction de leurs besoins, aux ports de petite et moyenne taille, notamment en ce qui concerne l’amélioration de la sécurité, l’électrification et l’accès aux réseaux.</w:t>
            </w:r>
          </w:p>
          <w:p w14:paraId="31706585" w14:textId="4E150BDA"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 xml:space="preserve">Il convient d’encourager la mise au point de solutions à l’échelle de l’UE et d’intensifier leur déploiement. </w:t>
            </w:r>
          </w:p>
          <w:p w14:paraId="3FF369CC" w14:textId="3E0B413C"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Créer un réseau portuaire résilient, à même de garantir des chaînes d’approvisionnement et logistiques critiques, la mobilité militaire et la connectivité, qui inclue les îles et les régions ultrapériphériques et protège les ports maritimes de l’UE contre les menaces internationales.</w:t>
            </w:r>
          </w:p>
          <w:p w14:paraId="782E7FB6" w14:textId="47CC0CBB"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 xml:space="preserve">Les ports de l’UE directement exposés à la concurrence déloyale des ports de pays tiers devraient bénéficier d’un financement pour les infrastructures vertes et les équipements portuaires. </w:t>
            </w:r>
          </w:p>
          <w:p w14:paraId="760CD9B5" w14:textId="77777777" w:rsidR="00BD3CFD" w:rsidRPr="00CE0265" w:rsidRDefault="00BD3CFD" w:rsidP="00C10F3B">
            <w:pPr>
              <w:pStyle w:val="ListParagraph"/>
              <w:numPr>
                <w:ilvl w:val="0"/>
                <w:numId w:val="10"/>
              </w:numPr>
              <w:jc w:val="both"/>
              <w:rPr>
                <w:rFonts w:ascii="Times New Roman" w:hAnsi="Times New Roman" w:cs="Times New Roman"/>
                <w:noProof/>
              </w:rPr>
            </w:pPr>
            <w:r w:rsidRPr="00CE0265">
              <w:rPr>
                <w:rFonts w:ascii="Times New Roman" w:hAnsi="Times New Roman"/>
                <w:noProof/>
              </w:rPr>
              <w:t>Le financement public d’entités situées dans des ports de l’UE et contrôlées directement ou indirectement par des intérêts de pays tiers devrait être examiné de près dans les cas liés à la sûreté et à l’ordre public de l’UE, y compris les infrastructures critiques ou à double usage.</w:t>
            </w:r>
          </w:p>
          <w:p w14:paraId="7F079E4C" w14:textId="77777777" w:rsidR="00900F90" w:rsidRPr="00CE0265" w:rsidRDefault="00900F90" w:rsidP="00900F90">
            <w:pPr>
              <w:pStyle w:val="ListParagraph"/>
              <w:numPr>
                <w:ilvl w:val="0"/>
                <w:numId w:val="10"/>
              </w:numPr>
              <w:jc w:val="both"/>
              <w:rPr>
                <w:noProof/>
              </w:rPr>
            </w:pPr>
            <w:r w:rsidRPr="00CE0265">
              <w:rPr>
                <w:rFonts w:ascii="Times New Roman" w:hAnsi="Times New Roman"/>
                <w:noProof/>
              </w:rPr>
              <w:t xml:space="preserve">Il convient d’encourager la recherche de solutions permettant de soutenir l’innovation et la résilience dans l’UE, et de rechercher des synergies entre les secteurs. </w:t>
            </w:r>
          </w:p>
          <w:p w14:paraId="6250B2CF" w14:textId="2C95328E" w:rsidR="00900F90" w:rsidRPr="00CE0265" w:rsidRDefault="00900F90" w:rsidP="00900F90">
            <w:pPr>
              <w:pStyle w:val="ListParagraph"/>
              <w:numPr>
                <w:ilvl w:val="0"/>
                <w:numId w:val="10"/>
              </w:numPr>
              <w:jc w:val="both"/>
              <w:rPr>
                <w:noProof/>
              </w:rPr>
            </w:pPr>
            <w:r w:rsidRPr="00CE0265">
              <w:rPr>
                <w:rFonts w:ascii="Times New Roman" w:hAnsi="Times New Roman"/>
                <w:noProof/>
              </w:rPr>
              <w:t xml:space="preserve">Les avantages potentiels en matière de sûreté liés au fait de pouvoir compter sur des fournisseurs de technologies et de services établis dans l’UE ou dans des pays partageant les mêmes valeurs devraient être pris en considération. </w:t>
            </w:r>
          </w:p>
          <w:p w14:paraId="53D10DDB" w14:textId="073D19CF" w:rsidR="000A3A97" w:rsidRPr="00CE0265" w:rsidRDefault="00900F90" w:rsidP="006E344D">
            <w:pPr>
              <w:pStyle w:val="ListParagraph"/>
              <w:numPr>
                <w:ilvl w:val="0"/>
                <w:numId w:val="10"/>
              </w:numPr>
              <w:spacing w:after="160" w:line="259" w:lineRule="auto"/>
              <w:jc w:val="both"/>
              <w:rPr>
                <w:rFonts w:eastAsia="Aptos"/>
                <w:b/>
                <w:bCs/>
                <w:noProof/>
                <w:u w:val="single"/>
              </w:rPr>
            </w:pPr>
            <w:r w:rsidRPr="00CE0265">
              <w:rPr>
                <w:rFonts w:ascii="Times New Roman" w:hAnsi="Times New Roman"/>
                <w:noProof/>
              </w:rPr>
              <w:t>Les solutions proposées par les acteurs des pays visés par l’élargissement devraient être considérées comme faisant partie intégrante de la chaîne d’approvisionnement plus large de l’UE.</w:t>
            </w:r>
          </w:p>
          <w:p w14:paraId="7FABAA52" w14:textId="77777777" w:rsidR="000A3A97" w:rsidRPr="00CE0265" w:rsidRDefault="000A3A97" w:rsidP="00062336">
            <w:pPr>
              <w:spacing w:line="259" w:lineRule="auto"/>
              <w:rPr>
                <w:rFonts w:ascii="Times New Roman" w:eastAsia="Aptos" w:hAnsi="Times New Roman" w:cs="Times New Roman"/>
                <w:b/>
                <w:bCs/>
                <w:noProof/>
                <w:u w:val="single"/>
              </w:rPr>
            </w:pPr>
          </w:p>
          <w:p w14:paraId="0BA73B51" w14:textId="0498DA5D" w:rsidR="002F03EF" w:rsidRPr="00CE0265" w:rsidRDefault="00414E48" w:rsidP="00C10F3B">
            <w:pPr>
              <w:pStyle w:val="ListParagraph"/>
              <w:numPr>
                <w:ilvl w:val="0"/>
                <w:numId w:val="17"/>
              </w:numPr>
              <w:ind w:left="314"/>
              <w:jc w:val="both"/>
              <w:rPr>
                <w:rFonts w:ascii="Times New Roman" w:eastAsia="Aptos" w:hAnsi="Times New Roman" w:cs="Times New Roman"/>
                <w:noProof/>
              </w:rPr>
            </w:pPr>
            <w:r w:rsidRPr="00CE0265">
              <w:rPr>
                <w:rFonts w:ascii="Times New Roman" w:hAnsi="Times New Roman"/>
                <w:b/>
                <w:noProof/>
              </w:rPr>
              <w:t>Principes directeurs pour le soutien aux projets portuaires dans les pays tiers:</w:t>
            </w:r>
          </w:p>
          <w:p w14:paraId="4A9F50CF" w14:textId="77777777" w:rsidR="00DB2FEA" w:rsidRPr="00CE0265" w:rsidRDefault="00DB2FEA" w:rsidP="00C05347">
            <w:pPr>
              <w:pStyle w:val="ListParagraph"/>
              <w:ind w:left="314"/>
              <w:jc w:val="both"/>
              <w:rPr>
                <w:rFonts w:ascii="Times New Roman" w:eastAsia="Aptos" w:hAnsi="Times New Roman" w:cs="Times New Roman"/>
                <w:noProof/>
              </w:rPr>
            </w:pPr>
          </w:p>
          <w:p w14:paraId="469BAC28" w14:textId="7F03064E" w:rsidR="002F03EF" w:rsidRPr="00CE0265" w:rsidRDefault="002F03EF" w:rsidP="00C10F3B">
            <w:pPr>
              <w:numPr>
                <w:ilvl w:val="0"/>
                <w:numId w:val="8"/>
              </w:numPr>
              <w:jc w:val="both"/>
              <w:rPr>
                <w:rFonts w:ascii="Times New Roman" w:eastAsia="Aptos" w:hAnsi="Times New Roman" w:cs="Times New Roman"/>
                <w:noProof/>
              </w:rPr>
            </w:pPr>
            <w:r w:rsidRPr="00CE0265">
              <w:rPr>
                <w:rFonts w:ascii="Times New Roman" w:hAnsi="Times New Roman"/>
                <w:noProof/>
              </w:rPr>
              <w:t>Mettre l’accent sur des partenariats mutuellement bénéfiques, où les priorités sont partagées, comme la mise en œuvre de normes communes, le renforcement des capacités en matière de mesures réglementaires, l’expansion des infrastructures pour carburants propres, la protection de l’environnement, de la biodiversité et du climat, les priorités dans le domaine de l’élargissement, la sécurité et la sûreté maritimes et portuaires, ainsi que la lutte contre le trafic de drogue et la traite des êtres humains et d’autres types d’utilisation illégale ou illicite des infrastructures portuaires. Garantir une concurrence loyale, le respect des droits de l’homme, des normes sociales et environnementales, la protection du climat, ainsi que le respect des exigences en matière de sécurité et de sûreté.</w:t>
            </w:r>
          </w:p>
          <w:p w14:paraId="5D2854F8" w14:textId="77777777" w:rsidR="002F03EF" w:rsidRPr="00CE0265" w:rsidRDefault="002F03EF" w:rsidP="00C10F3B">
            <w:pPr>
              <w:numPr>
                <w:ilvl w:val="0"/>
                <w:numId w:val="8"/>
              </w:numPr>
              <w:jc w:val="both"/>
              <w:rPr>
                <w:rFonts w:ascii="Times New Roman" w:eastAsia="Aptos" w:hAnsi="Times New Roman" w:cs="Times New Roman"/>
                <w:noProof/>
              </w:rPr>
            </w:pPr>
            <w:r w:rsidRPr="00CE0265">
              <w:rPr>
                <w:rFonts w:ascii="Times New Roman" w:hAnsi="Times New Roman"/>
                <w:noProof/>
              </w:rPr>
              <w:t>Préserver la compétitivité de l’UE (y compris au moyen d’un contrôle de la compétitivité afin d’évaluer le soutien financier aux projets portuaires qui auraient une incidence négative sur les activités dans les ports de l’UE situés dans un rayon de 300 milles marins).</w:t>
            </w:r>
          </w:p>
          <w:p w14:paraId="6F509125" w14:textId="77777777" w:rsidR="002F03EF" w:rsidRPr="00CE0265" w:rsidRDefault="002F03EF" w:rsidP="00C10F3B">
            <w:pPr>
              <w:numPr>
                <w:ilvl w:val="0"/>
                <w:numId w:val="8"/>
              </w:numPr>
              <w:jc w:val="both"/>
              <w:rPr>
                <w:rFonts w:ascii="Times New Roman" w:eastAsia="Aptos" w:hAnsi="Times New Roman" w:cs="Times New Roman"/>
                <w:noProof/>
              </w:rPr>
            </w:pPr>
            <w:r w:rsidRPr="00CE0265">
              <w:rPr>
                <w:rFonts w:ascii="Times New Roman" w:hAnsi="Times New Roman"/>
                <w:noProof/>
              </w:rPr>
              <w:t>Bénéficier aux objectifs stratégiques de l’UE liés à la connectivité et au commerce, à l’importation/exportation de matières premières critiques ou de carburants renouvelables, ainsi qu’à d’autres biens d’importance critique pour l’économie de l’UE.</w:t>
            </w:r>
          </w:p>
          <w:p w14:paraId="00DD3D98" w14:textId="18A8343F" w:rsidR="002F03EF" w:rsidRPr="00CE0265" w:rsidRDefault="002F03EF" w:rsidP="00C10F3B">
            <w:pPr>
              <w:numPr>
                <w:ilvl w:val="0"/>
                <w:numId w:val="8"/>
              </w:numPr>
              <w:jc w:val="both"/>
              <w:rPr>
                <w:rFonts w:ascii="Times New Roman" w:eastAsia="Aptos" w:hAnsi="Times New Roman" w:cs="Times New Roman"/>
                <w:noProof/>
              </w:rPr>
            </w:pPr>
            <w:r w:rsidRPr="00CE0265">
              <w:rPr>
                <w:rFonts w:ascii="Times New Roman" w:hAnsi="Times New Roman"/>
                <w:noProof/>
              </w:rPr>
              <w:t>Veiller à ce que les accords internationaux pertinents conclus entre l’UE et les pays tiers prévoient des conditions d’accès au marché équitables pour les services portuaires et les services de terminaux portuaires, ainsi que pour les concessions relatives à la prestation de ces services, et qu'ils comportent des mécanismes clairs permettant de contrôler leur application.</w:t>
            </w:r>
          </w:p>
          <w:p w14:paraId="6FEF5DC6" w14:textId="7C5BC9DE" w:rsidR="00874A32" w:rsidRPr="00CE0265" w:rsidRDefault="002F03EF" w:rsidP="00C10F3B">
            <w:pPr>
              <w:numPr>
                <w:ilvl w:val="0"/>
                <w:numId w:val="8"/>
              </w:numPr>
              <w:jc w:val="both"/>
              <w:rPr>
                <w:rFonts w:ascii="Times New Roman" w:eastAsia="Aptos" w:hAnsi="Times New Roman" w:cs="Times New Roman"/>
                <w:noProof/>
              </w:rPr>
            </w:pPr>
            <w:r w:rsidRPr="00CE0265">
              <w:rPr>
                <w:rFonts w:ascii="Times New Roman" w:hAnsi="Times New Roman"/>
                <w:noProof/>
              </w:rPr>
              <w:t>Soutenir l’adhésion à des accords internationaux contraignants ambitieux au sein de l’OMI.</w:t>
            </w:r>
          </w:p>
        </w:tc>
      </w:tr>
    </w:tbl>
    <w:p w14:paraId="2FA8458D" w14:textId="77777777" w:rsidR="00874A32" w:rsidRPr="00CE0265" w:rsidRDefault="00874A32" w:rsidP="008C710F">
      <w:pPr>
        <w:rPr>
          <w:noProof/>
        </w:rPr>
      </w:pPr>
    </w:p>
    <w:p w14:paraId="465EA322" w14:textId="77777777" w:rsidR="00874A32" w:rsidRPr="00CE0265" w:rsidRDefault="00874A32" w:rsidP="008C710F">
      <w:pPr>
        <w:rPr>
          <w:noProof/>
        </w:rPr>
      </w:pPr>
    </w:p>
    <w:p w14:paraId="13671AD9" w14:textId="77777777" w:rsidR="00874A32" w:rsidRPr="00CE0265" w:rsidRDefault="00874A32" w:rsidP="008C710F">
      <w:pPr>
        <w:rPr>
          <w:noProof/>
        </w:rPr>
      </w:pPr>
    </w:p>
    <w:p w14:paraId="6F63FE53" w14:textId="77777777" w:rsidR="00C22657" w:rsidRPr="00CE0265" w:rsidRDefault="00C22657" w:rsidP="00E1100C">
      <w:pPr>
        <w:pStyle w:val="Heading2"/>
        <w:rPr>
          <w:rFonts w:ascii="Times New Roman" w:hAnsi="Times New Roman" w:cs="Times New Roman"/>
          <w:noProof/>
        </w:rPr>
      </w:pPr>
      <w:r w:rsidRPr="00CE0265">
        <w:rPr>
          <w:noProof/>
        </w:rPr>
        <w:br w:type="page"/>
      </w:r>
    </w:p>
    <w:p w14:paraId="59E1ACFF" w14:textId="10D8D997" w:rsidR="0066460C" w:rsidRPr="00CE0265" w:rsidRDefault="00E1100C" w:rsidP="00E1100C">
      <w:pPr>
        <w:pStyle w:val="Heading2"/>
        <w:rPr>
          <w:rFonts w:ascii="Times New Roman" w:hAnsi="Times New Roman" w:cs="Times New Roman"/>
          <w:noProof/>
        </w:rPr>
      </w:pPr>
      <w:r w:rsidRPr="00CE0265">
        <w:rPr>
          <w:rFonts w:ascii="Times New Roman" w:hAnsi="Times New Roman"/>
          <w:noProof/>
        </w:rPr>
        <w:t xml:space="preserve">ANNEXE 2: Une nouvelle feuille de route pour la compétitivité des ports de petite et moyenne taille. </w:t>
      </w:r>
    </w:p>
    <w:p w14:paraId="4707A130" w14:textId="77777777" w:rsidR="0066460C" w:rsidRPr="00CE0265" w:rsidRDefault="0066460C" w:rsidP="0066460C">
      <w:p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noProof/>
          <w:sz w:val="24"/>
        </w:rPr>
        <w:t xml:space="preserve">Les ports de petite et moyenne taille et les ports insulaires constituent un élément important du système portuaire européen et offrent un grand potentiel. Ils soutiennent les communautés côtières, la connectivité et la cohésion territoriale, tout en reliant les économies régionales et en contribuant aux priorités de l’Union aux niveaux local et régional. Ils jouent également un rôle dans l’autonomie stratégique de l’Union, notamment dans les chaînes d’approvisionnement en énergie et les chaînes d’approvisionnement critiques, et soutiennent l’économie bleue, y compris la pêche, ainsi que des segments de marché importants et spécialisés tels que le transport de passagers, l’énergie et l’électricité en mer. La présente stratégie porte donc une attention particulière aux ports de petite et moyenne taille, notamment en ce qui concerne la simplification, l’innovation, l’espace maritime européen, l’électrification et la sûreté. La stratégie pour les communautés côtières continuera de soutenir la compétitivité et la diversification des régions côtières, en mettant particulièrement l’accent sur les ports de petite taille. La </w:t>
      </w:r>
      <w:r w:rsidRPr="00CE0265">
        <w:rPr>
          <w:rFonts w:ascii="Times New Roman" w:hAnsi="Times New Roman"/>
          <w:b/>
          <w:noProof/>
          <w:sz w:val="24"/>
        </w:rPr>
        <w:t>feuille de route de la Commission sur la transition énergétique du secteur de la pêche et de l’aquaculture de l’UE</w:t>
      </w:r>
      <w:r w:rsidRPr="00CE0265">
        <w:rPr>
          <w:rFonts w:ascii="Times New Roman" w:hAnsi="Times New Roman"/>
          <w:noProof/>
          <w:sz w:val="24"/>
        </w:rPr>
        <w:t xml:space="preserve"> portera également sur l’utilisation des énergies renouvelables dans les ports de petite taille et soutiendra l’élaboration d’une méthode harmonisée de l’UE pour mesurer la consommation d’énergie et les émissions dans les ports. Un soutien et des orientations ciblés seront également fournis.</w:t>
      </w:r>
    </w:p>
    <w:p w14:paraId="0ABF9A56" w14:textId="034442CB"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b/>
          <w:noProof/>
          <w:sz w:val="24"/>
        </w:rPr>
        <w:t>Priorité de financement spécifique</w:t>
      </w:r>
      <w:r w:rsidRPr="00CE0265">
        <w:rPr>
          <w:rFonts w:ascii="Times New Roman" w:hAnsi="Times New Roman"/>
          <w:noProof/>
          <w:sz w:val="24"/>
        </w:rPr>
        <w:t xml:space="preserve">, </w:t>
      </w:r>
      <w:r w:rsidRPr="00CE0265">
        <w:rPr>
          <w:rFonts w:ascii="Times New Roman" w:hAnsi="Times New Roman"/>
          <w:b/>
          <w:noProof/>
          <w:sz w:val="24"/>
        </w:rPr>
        <w:t>financement au titre de la politique de cohésion</w:t>
      </w:r>
      <w:r w:rsidRPr="00CE0265">
        <w:rPr>
          <w:rFonts w:ascii="Times New Roman" w:hAnsi="Times New Roman"/>
          <w:noProof/>
          <w:sz w:val="24"/>
        </w:rPr>
        <w:t xml:space="preserve">, </w:t>
      </w:r>
      <w:r w:rsidRPr="00CE0265">
        <w:rPr>
          <w:rFonts w:ascii="Times New Roman" w:hAnsi="Times New Roman"/>
          <w:b/>
          <w:noProof/>
          <w:sz w:val="24"/>
        </w:rPr>
        <w:t>renforcement des capacités financières</w:t>
      </w:r>
      <w:r w:rsidRPr="00CE0265">
        <w:rPr>
          <w:rFonts w:ascii="Times New Roman" w:hAnsi="Times New Roman"/>
          <w:noProof/>
          <w:sz w:val="24"/>
        </w:rPr>
        <w:t xml:space="preserve"> et </w:t>
      </w:r>
      <w:r w:rsidRPr="00CE0265">
        <w:rPr>
          <w:rFonts w:ascii="Times New Roman" w:hAnsi="Times New Roman"/>
          <w:b/>
          <w:noProof/>
          <w:sz w:val="24"/>
        </w:rPr>
        <w:t>préparation de projets</w:t>
      </w:r>
      <w:r w:rsidRPr="00CE0265">
        <w:rPr>
          <w:rFonts w:ascii="Times New Roman" w:hAnsi="Times New Roman"/>
          <w:noProof/>
          <w:sz w:val="24"/>
        </w:rPr>
        <w:t xml:space="preserve"> par la plateforme de conseil de la BEI. </w:t>
      </w:r>
    </w:p>
    <w:p w14:paraId="73909E4B" w14:textId="6E14B64D"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noProof/>
          <w:sz w:val="24"/>
        </w:rPr>
        <w:t xml:space="preserve">Un meilleur </w:t>
      </w:r>
      <w:r w:rsidRPr="00CE0265">
        <w:rPr>
          <w:rFonts w:ascii="Times New Roman" w:hAnsi="Times New Roman"/>
          <w:b/>
          <w:noProof/>
          <w:sz w:val="24"/>
        </w:rPr>
        <w:t>soutien de la part des États membres</w:t>
      </w:r>
      <w:r w:rsidRPr="00CE0265">
        <w:rPr>
          <w:rFonts w:ascii="Times New Roman" w:hAnsi="Times New Roman"/>
          <w:noProof/>
          <w:sz w:val="24"/>
        </w:rPr>
        <w:t xml:space="preserve"> grâce à/par l'intermédiaire de? la décision relative aux services d’intérêt économique général. </w:t>
      </w:r>
    </w:p>
    <w:p w14:paraId="0E15A746" w14:textId="1FB7D479"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noProof/>
          <w:sz w:val="24"/>
        </w:rPr>
        <w:t>Promotion de l’</w:t>
      </w:r>
      <w:r w:rsidRPr="00CE0265">
        <w:rPr>
          <w:rFonts w:ascii="Times New Roman" w:hAnsi="Times New Roman"/>
          <w:b/>
          <w:noProof/>
          <w:sz w:val="24"/>
        </w:rPr>
        <w:t>électrification des sites et pôles industriels</w:t>
      </w:r>
      <w:r w:rsidRPr="00CE0265">
        <w:rPr>
          <w:rFonts w:ascii="Times New Roman" w:hAnsi="Times New Roman"/>
          <w:noProof/>
          <w:sz w:val="24"/>
        </w:rPr>
        <w:t xml:space="preserve"> avec le prochain plan d’action en faveur de l’électrification.</w:t>
      </w:r>
    </w:p>
    <w:p w14:paraId="6FBEDE00" w14:textId="103F0526"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b/>
          <w:noProof/>
          <w:sz w:val="24"/>
        </w:rPr>
        <w:t>Projets pilotes sur l’intégration des sources d’énergie alternatives</w:t>
      </w:r>
      <w:r w:rsidRPr="00CE0265">
        <w:rPr>
          <w:rFonts w:ascii="Times New Roman" w:hAnsi="Times New Roman"/>
          <w:noProof/>
          <w:sz w:val="24"/>
        </w:rPr>
        <w:t xml:space="preserve"> (possibilité de financement par le Fonds européen pour les affaires maritimes, la pêche et l'aquaculture).</w:t>
      </w:r>
    </w:p>
    <w:p w14:paraId="0857A156" w14:textId="3A5346A5"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b/>
          <w:noProof/>
          <w:sz w:val="24"/>
        </w:rPr>
        <w:t>Plateforme BlueInvest</w:t>
      </w:r>
      <w:r w:rsidRPr="00CE0265">
        <w:rPr>
          <w:rFonts w:ascii="Times New Roman" w:hAnsi="Times New Roman"/>
          <w:noProof/>
          <w:sz w:val="24"/>
        </w:rPr>
        <w:t xml:space="preserve"> pour soutenir les essais de nouvelles technologies, la validation commerciale, l’assistance technique et la collecte de fonds.</w:t>
      </w:r>
    </w:p>
    <w:p w14:paraId="24D5131F" w14:textId="725F4C0E"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b/>
          <w:noProof/>
          <w:sz w:val="24"/>
        </w:rPr>
        <w:t>Conseils en matière de cybersécurité et renforcement des capacités</w:t>
      </w:r>
      <w:r w:rsidRPr="00CE0265">
        <w:rPr>
          <w:rFonts w:ascii="Times New Roman" w:hAnsi="Times New Roman"/>
          <w:noProof/>
          <w:sz w:val="24"/>
        </w:rPr>
        <w:t>.</w:t>
      </w:r>
    </w:p>
    <w:p w14:paraId="1D4B4C8D" w14:textId="6D68F84E"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noProof/>
          <w:sz w:val="24"/>
        </w:rPr>
        <w:t xml:space="preserve">Étendre l’alliance portuaire afin de partager les </w:t>
      </w:r>
      <w:r w:rsidRPr="00CE0265">
        <w:rPr>
          <w:rFonts w:ascii="Times New Roman" w:hAnsi="Times New Roman"/>
          <w:b/>
          <w:noProof/>
          <w:sz w:val="24"/>
        </w:rPr>
        <w:t>bonnes pratiques et les conseils en matière de lutte contre le trafic de drogue et les activités criminelles</w:t>
      </w:r>
      <w:r w:rsidRPr="00CE0265">
        <w:rPr>
          <w:rFonts w:ascii="Times New Roman" w:hAnsi="Times New Roman"/>
          <w:noProof/>
          <w:sz w:val="24"/>
        </w:rPr>
        <w:t>.</w:t>
      </w:r>
    </w:p>
    <w:p w14:paraId="6CC49137" w14:textId="343CB976"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sz w:val="24"/>
          <w:szCs w:val="24"/>
        </w:rPr>
      </w:pPr>
      <w:r w:rsidRPr="00CE0265">
        <w:rPr>
          <w:rFonts w:ascii="Times New Roman" w:hAnsi="Times New Roman"/>
          <w:noProof/>
          <w:sz w:val="24"/>
        </w:rPr>
        <w:t xml:space="preserve">Le prochain </w:t>
      </w:r>
      <w:r w:rsidRPr="00CE0265">
        <w:rPr>
          <w:rFonts w:ascii="Times New Roman" w:hAnsi="Times New Roman"/>
          <w:b/>
          <w:noProof/>
          <w:sz w:val="24"/>
        </w:rPr>
        <w:t>plan de travail pour l’espace maritime européen</w:t>
      </w:r>
      <w:r w:rsidRPr="00CE0265">
        <w:rPr>
          <w:rFonts w:ascii="Times New Roman" w:hAnsi="Times New Roman"/>
          <w:noProof/>
          <w:sz w:val="24"/>
        </w:rPr>
        <w:t xml:space="preserve"> portera sur le développement de plateformes et de liaisons durables et vertes pour le transport maritime à courte distance et la collaboration entre les ports, en mettant l’accent sur les ports de petite taille. </w:t>
      </w:r>
    </w:p>
    <w:p w14:paraId="4C03DC92" w14:textId="0D9005F2" w:rsidR="0066460C" w:rsidRPr="00CE0265" w:rsidRDefault="0066460C" w:rsidP="002F0D30">
      <w:pPr>
        <w:pStyle w:val="ListParagraph"/>
        <w:numPr>
          <w:ilvl w:val="0"/>
          <w:numId w:val="18"/>
        </w:numPr>
        <w:pBdr>
          <w:top w:val="single" w:sz="4" w:space="1" w:color="auto"/>
          <w:left w:val="single" w:sz="4" w:space="4" w:color="auto"/>
          <w:bottom w:val="single" w:sz="4" w:space="1" w:color="auto"/>
          <w:right w:val="single" w:sz="4" w:space="0" w:color="auto"/>
        </w:pBdr>
        <w:jc w:val="both"/>
        <w:rPr>
          <w:rFonts w:ascii="Times New Roman" w:eastAsia="Times New Roman" w:hAnsi="Times New Roman" w:cs="Times New Roman"/>
          <w:noProof/>
          <w:color w:val="000000" w:themeColor="text1"/>
          <w:sz w:val="24"/>
          <w:szCs w:val="24"/>
        </w:rPr>
      </w:pPr>
      <w:r w:rsidRPr="00CE0265">
        <w:rPr>
          <w:rFonts w:ascii="Times New Roman" w:hAnsi="Times New Roman"/>
          <w:noProof/>
          <w:sz w:val="24"/>
        </w:rPr>
        <w:t xml:space="preserve">Le </w:t>
      </w:r>
      <w:r w:rsidRPr="00CE0265">
        <w:rPr>
          <w:rFonts w:ascii="Times New Roman" w:hAnsi="Times New Roman"/>
          <w:b/>
          <w:noProof/>
          <w:sz w:val="24"/>
        </w:rPr>
        <w:t>plan d’action relatif au transport par voies navigables intérieures pour la période 2028-2034</w:t>
      </w:r>
      <w:r w:rsidRPr="00CE0265">
        <w:rPr>
          <w:rFonts w:ascii="Times New Roman" w:hAnsi="Times New Roman"/>
          <w:noProof/>
          <w:sz w:val="24"/>
        </w:rPr>
        <w:t xml:space="preserve"> comprendra des actions spécifiques visant à promouvoir le partage des connaissances et à soutenir les ports intérieurs. </w:t>
      </w:r>
    </w:p>
    <w:p w14:paraId="1B9B3D96" w14:textId="5B545392" w:rsidR="0066460C" w:rsidRPr="00CE0265" w:rsidRDefault="006F5DCD">
      <w:pPr>
        <w:rPr>
          <w:noProof/>
        </w:rPr>
      </w:pPr>
      <w:r w:rsidRPr="00CE0265">
        <w:rPr>
          <w:noProof/>
        </w:rPr>
        <w:br w:type="page"/>
      </w:r>
    </w:p>
    <w:p w14:paraId="14E62FCB" w14:textId="330AB912" w:rsidR="00E1100C" w:rsidRPr="00CE0265" w:rsidRDefault="00697BE4" w:rsidP="00E1100C">
      <w:pPr>
        <w:pStyle w:val="Heading2"/>
        <w:rPr>
          <w:rFonts w:ascii="Times New Roman" w:hAnsi="Times New Roman" w:cs="Times New Roman"/>
          <w:noProof/>
        </w:rPr>
      </w:pPr>
      <w:r w:rsidRPr="00CE0265">
        <w:rPr>
          <w:rFonts w:ascii="Times New Roman" w:hAnsi="Times New Roman"/>
          <w:noProof/>
        </w:rPr>
        <w:t>ANNEXE 3: Résumé des mesures et orientations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CE0265" w14:paraId="0120198D" w14:textId="77777777" w:rsidTr="00E644BE">
        <w:trPr>
          <w:trHeight w:val="1266"/>
        </w:trPr>
        <w:tc>
          <w:tcPr>
            <w:tcW w:w="9026" w:type="dxa"/>
          </w:tcPr>
          <w:p w14:paraId="4C75086F" w14:textId="78EE7AE2" w:rsidR="008C68BF" w:rsidRPr="00CE0265" w:rsidRDefault="008C68BF" w:rsidP="008C68BF">
            <w:pPr>
              <w:spacing w:line="259" w:lineRule="auto"/>
              <w:rPr>
                <w:rFonts w:ascii="Times New Roman" w:eastAsia="Aptos" w:hAnsi="Times New Roman" w:cs="Times New Roman"/>
                <w:b/>
                <w:bCs/>
                <w:noProof/>
                <w:u w:val="single"/>
              </w:rPr>
            </w:pPr>
            <w:r w:rsidRPr="00CE0265">
              <w:rPr>
                <w:rFonts w:ascii="Times New Roman" w:hAnsi="Times New Roman"/>
                <w:b/>
                <w:noProof/>
                <w:u w:val="single"/>
              </w:rPr>
              <w:t>Pilier I – RENFORCER LA COMPÉTITIVITÉ, L’INNOVATION ET LA NUMÉRISATION</w:t>
            </w:r>
          </w:p>
          <w:p w14:paraId="40D17074" w14:textId="77777777" w:rsidR="008C68BF" w:rsidRPr="00CE0265" w:rsidRDefault="008C68BF" w:rsidP="008C68BF">
            <w:pPr>
              <w:spacing w:line="259" w:lineRule="auto"/>
              <w:rPr>
                <w:rFonts w:ascii="Times New Roman" w:eastAsia="Aptos" w:hAnsi="Times New Roman" w:cs="Times New Roman"/>
                <w:b/>
                <w:bCs/>
                <w:noProof/>
                <w:u w:val="single"/>
              </w:rPr>
            </w:pPr>
          </w:p>
          <w:p w14:paraId="3DD3DBB8" w14:textId="77777777" w:rsidR="008C68BF" w:rsidRPr="00CE0265" w:rsidRDefault="008C68BF" w:rsidP="008C68BF">
            <w:pPr>
              <w:spacing w:line="259" w:lineRule="auto"/>
              <w:rPr>
                <w:rFonts w:ascii="Times New Roman" w:eastAsia="Aptos" w:hAnsi="Times New Roman" w:cs="Times New Roman"/>
                <w:b/>
                <w:bCs/>
                <w:noProof/>
              </w:rPr>
            </w:pPr>
            <w:r w:rsidRPr="00CE0265">
              <w:rPr>
                <w:rFonts w:ascii="Times New Roman" w:hAnsi="Times New Roman"/>
                <w:b/>
                <w:noProof/>
              </w:rPr>
              <w:t xml:space="preserve">La Commission: </w:t>
            </w:r>
          </w:p>
          <w:p w14:paraId="540661AC" w14:textId="2DEB7DCC"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à partir de 2026, donnera la priorité aux initiatives mutuellement bénéfiques dans les ports de pays tiers, conformément à des principes directeurs clairs; </w:t>
            </w:r>
          </w:p>
          <w:p w14:paraId="60BDAC82" w14:textId="5ED9CFDF" w:rsidR="00A81EBE" w:rsidRPr="00CE0265" w:rsidRDefault="00A81EBE"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appliquera les principes de la présente stratégie dans les négociations sur les accords internationaux et les cadres de coopération;</w:t>
            </w:r>
          </w:p>
          <w:p w14:paraId="1FF6A28C" w14:textId="5D6E43EB" w:rsidR="00011215" w:rsidRPr="00CE0265" w:rsidRDefault="00692EFE"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continuera à œuvrer en faveur de l’accès au marché dans le cadre des négociations relatives aux accords de libre-échange et, en collaboration avec le Service européen pour l’action extérieure (SEAE), à dialoguer avec les pays tiers afin de promouvoir des conditions d’investissement équitables et l’accès des entreprises de l’UE;</w:t>
            </w:r>
          </w:p>
          <w:p w14:paraId="13DDF381" w14:textId="12D13BC7" w:rsidR="008C68BF" w:rsidRPr="00CE0265" w:rsidRDefault="00692EFE"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soutiendra les États membres dans leurs efforts de normalisation internationale au moyen d’un nouvel axe de travail sur les ports et terminaux innovants dans le cadre du forum de haut niveau sur la normalisation européenne;</w:t>
            </w:r>
          </w:p>
          <w:p w14:paraId="7CC509AD" w14:textId="7A63C7AA" w:rsidR="008C68BF" w:rsidRPr="00CE0265" w:rsidRDefault="00692EFE"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d’ici 2028, élaborera des orientations à l’intention des États membres pour l’évaluation des investissements étrangers conformément aux engagements internationaux de l’UE et un cadre permettant de cartographier et de surveiller les investissements étrangers dans les ports de l’UE;</w:t>
            </w:r>
          </w:p>
          <w:p w14:paraId="2E11223E" w14:textId="753A0A32"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mettra davantage l’accent sur le déploiement au-delà de la phase pilote dans les futures initiatives Horizon Europe, y compris sur le thème phare «Ports du futur»;</w:t>
            </w:r>
          </w:p>
          <w:p w14:paraId="4150F5F1" w14:textId="6A646D30" w:rsidR="00FA4BEE" w:rsidRPr="00CE0265" w:rsidRDefault="00004B01"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renforcera la primauté technologique de l’Union dans l’utilisation des carburants alternatifs, l’électrification, la conception, la mise à niveau des équipements, l’efficacité énergétique et la numérisation, et inclura les systèmes de conversion énergétique, la circularité et les solutions numériques;</w:t>
            </w:r>
          </w:p>
          <w:p w14:paraId="625B69AE" w14:textId="075ACC90"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s’efforcera de renforcer la coopération public-privé au titre du programme-cadre «Horizon Europe» 2028-2034 dans les domaines prioritaires;</w:t>
            </w:r>
          </w:p>
          <w:p w14:paraId="16140552" w14:textId="1D22C17B" w:rsidR="00AC63FA" w:rsidRPr="00CE0265" w:rsidRDefault="00152DBB"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2026, renforcera les règles relatives à l’accès aux installations de service ferroviaire;</w:t>
            </w:r>
          </w:p>
          <w:p w14:paraId="310FE374" w14:textId="016F4F51"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2028, proposera un plan d’action sur le transport par voies navigables intérieures pour la période 2028-2034, axé sur les ports intérieurs;</w:t>
            </w:r>
          </w:p>
          <w:p w14:paraId="4995B1C8" w14:textId="4FF9EDFA"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d’ici à 2028, élaborera des lignes directrices de l’UE sur le partage efficace des données dans la chaîne de transport;</w:t>
            </w:r>
          </w:p>
          <w:p w14:paraId="0ED21AEE" w14:textId="2245C0D7"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2027, le cas échéant, et à la lumière des résultats de la consultation publique, évaluera s’il est nécessaire de modifier les seuils et fournira des orientations supplémentaires à l’aide d’exemples et de clarifications interprétatives des règles du RGEC, y compris pour les investissements dans les infrastructures portuaires;</w:t>
            </w:r>
          </w:p>
          <w:p w14:paraId="2D5FC4B3" w14:textId="1493A612"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2026, réexaminera les lignes directrices de l’UE sur les concentrations en vue de fournir des orientations claires et actualisées sur l’application des règles de l’UE en matière de concentrations aux effets tant horizontaux que non horizontaux des concentrations.</w:t>
            </w:r>
          </w:p>
          <w:p w14:paraId="4E09CF42" w14:textId="77777777" w:rsidR="008C68BF" w:rsidRPr="00CE0265" w:rsidRDefault="008C68BF" w:rsidP="008C68BF">
            <w:pPr>
              <w:spacing w:line="259" w:lineRule="auto"/>
              <w:ind w:left="720"/>
              <w:contextualSpacing/>
              <w:rPr>
                <w:rFonts w:ascii="Aptos" w:eastAsia="Aptos" w:hAnsi="Aptos" w:cs="Times New Roman"/>
                <w:b/>
                <w:noProof/>
              </w:rPr>
            </w:pPr>
          </w:p>
          <w:p w14:paraId="6960F4B6" w14:textId="77777777" w:rsidR="008C68BF" w:rsidRPr="00CE0265" w:rsidRDefault="008C68BF" w:rsidP="008C68BF">
            <w:pPr>
              <w:spacing w:line="259" w:lineRule="auto"/>
              <w:jc w:val="both"/>
              <w:rPr>
                <w:rFonts w:ascii="Times New Roman" w:eastAsia="Aptos" w:hAnsi="Times New Roman" w:cs="Times New Roman"/>
                <w:b/>
                <w:noProof/>
              </w:rPr>
            </w:pPr>
            <w:r w:rsidRPr="00CE0265">
              <w:rPr>
                <w:rFonts w:ascii="Times New Roman" w:hAnsi="Times New Roman"/>
                <w:b/>
                <w:noProof/>
              </w:rPr>
              <w:t>Le coordonnateur européen pour l’espace maritime européen:</w:t>
            </w:r>
          </w:p>
          <w:p w14:paraId="4798CCDF" w14:textId="5522364F" w:rsidR="008C68BF" w:rsidRPr="00CE0265" w:rsidRDefault="008C68BF" w:rsidP="00C10F3B">
            <w:pPr>
              <w:numPr>
                <w:ilvl w:val="0"/>
                <w:numId w:val="15"/>
              </w:numPr>
              <w:spacing w:line="259" w:lineRule="auto"/>
              <w:contextualSpacing/>
              <w:jc w:val="both"/>
              <w:rPr>
                <w:rFonts w:ascii="Times New Roman" w:eastAsia="Aptos" w:hAnsi="Times New Roman" w:cs="Times New Roman"/>
                <w:b/>
                <w:noProof/>
              </w:rPr>
            </w:pPr>
            <w:r w:rsidRPr="00CE0265">
              <w:rPr>
                <w:rFonts w:ascii="Times New Roman" w:hAnsi="Times New Roman"/>
                <w:noProof/>
                <w:color w:val="000000"/>
              </w:rPr>
              <w:t>dans le prochain plan de travail de l’espace maritime européen, donnera la priorité au développement de plateformes et de liaisons durables et vertes pour le transport maritime à courte distance, encouragera la collaboration entre ports, en mettant l’accent sur les ports de petite taille, la modernisation des infrastructures maritimes et l’intégration avec le transport ferroviaire et par voies navigables intérieures;</w:t>
            </w:r>
          </w:p>
          <w:p w14:paraId="4BF87049" w14:textId="77777777" w:rsidR="008C68BF" w:rsidRPr="00CE0265" w:rsidRDefault="008C68BF" w:rsidP="00C10F3B">
            <w:pPr>
              <w:numPr>
                <w:ilvl w:val="0"/>
                <w:numId w:val="15"/>
              </w:numPr>
              <w:spacing w:line="259" w:lineRule="auto"/>
              <w:contextualSpacing/>
              <w:jc w:val="both"/>
              <w:rPr>
                <w:rFonts w:ascii="Times New Roman" w:eastAsia="Aptos" w:hAnsi="Times New Roman" w:cs="Times New Roman"/>
                <w:b/>
                <w:noProof/>
              </w:rPr>
            </w:pPr>
            <w:r w:rsidRPr="00CE0265">
              <w:rPr>
                <w:rFonts w:ascii="Times New Roman" w:hAnsi="Times New Roman"/>
                <w:noProof/>
                <w:color w:val="000000"/>
              </w:rPr>
              <w:t>facilitera la planification de la résilience au moyen d’ateliers avec d’autres coordonnateurs des corridors de transport européens afin d’étudier les options en matière de planification d’urgence pour la connectivité maritime et la connectivité avec l’arrière-pays en cas de perturbation des principaux ports sur les axes de transport majeurs.</w:t>
            </w:r>
          </w:p>
          <w:p w14:paraId="14F8823B" w14:textId="77777777" w:rsidR="008C68BF" w:rsidRPr="00CE0265" w:rsidRDefault="008C68BF" w:rsidP="008C68BF">
            <w:pPr>
              <w:spacing w:line="259" w:lineRule="auto"/>
              <w:jc w:val="both"/>
              <w:rPr>
                <w:rFonts w:ascii="Times New Roman" w:eastAsia="Aptos" w:hAnsi="Times New Roman" w:cs="Times New Roman"/>
                <w:b/>
                <w:noProof/>
              </w:rPr>
            </w:pPr>
          </w:p>
          <w:p w14:paraId="1CA8BF84"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Les États membres sont invités à: </w:t>
            </w:r>
          </w:p>
          <w:p w14:paraId="62C064B0" w14:textId="444E6368" w:rsidR="008C68BF" w:rsidRPr="00CE0265" w:rsidRDefault="00011215"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jouer un rôle de premier plan dans la définition de normes techniques internationales au niveau mondial dans les enceintes internationales compétentes, y compris l’ISO;</w:t>
            </w:r>
          </w:p>
          <w:p w14:paraId="79BA3D59" w14:textId="76D6E2C8"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prévenir, atténuer et combattre les risques liés à la propriété et au contrôle par des entités étrangères d’infrastructures stratégiques à double usage et de leurs opérations connexes;</w:t>
            </w:r>
          </w:p>
          <w:p w14:paraId="6CE9740F" w14:textId="77777777" w:rsidR="00151EE8" w:rsidRPr="00CE0265" w:rsidRDefault="00BD597A"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color w:val="000000"/>
              </w:rPr>
              <w:t xml:space="preserve">garantir la possibilité d’obtenir temporairement le contrôle public ou le droit d’utilisation d’infrastructures, de biens ou d’équipements stratégiques à double usage en vertu du droit national; </w:t>
            </w:r>
          </w:p>
          <w:p w14:paraId="73828807" w14:textId="09A56133" w:rsidR="008C68BF" w:rsidRPr="00CE0265" w:rsidRDefault="00C604B7"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veiller à ce que les mesures contraignantes du règlement sur la mobilité militaire soient pleinement et rapidement mises en œuvre une fois adoptées;</w:t>
            </w:r>
          </w:p>
          <w:p w14:paraId="71A958DF" w14:textId="690C379E"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rationaliser les procédures de planification et d’autorisation afin de permettre une adoption rapide des innovations dans les ports;</w:t>
            </w:r>
          </w:p>
          <w:p w14:paraId="08C3453F" w14:textId="5AD89B24"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color w:val="000000"/>
              </w:rPr>
              <w:t>accorder une priorité élevée à l’amélioration de la disponibilité et de la capacité des connexions ferroviaires et fluviales avec l’arrière-pays;</w:t>
            </w:r>
          </w:p>
          <w:p w14:paraId="428379AA" w14:textId="30C50B13" w:rsidR="008C68BF" w:rsidRPr="00CE0265" w:rsidRDefault="00EF7D08" w:rsidP="008C68BF">
            <w:pPr>
              <w:spacing w:line="259" w:lineRule="auto"/>
              <w:rPr>
                <w:rFonts w:ascii="Times New Roman" w:eastAsia="Aptos" w:hAnsi="Times New Roman" w:cs="Times New Roman"/>
                <w:noProof/>
              </w:rPr>
            </w:pPr>
            <w:r w:rsidRPr="00CE0265">
              <w:rPr>
                <w:rFonts w:ascii="Times New Roman" w:hAnsi="Times New Roman"/>
                <w:noProof/>
              </w:rPr>
              <w:t>rationaliser l’aménagement du territoire et les procédures d’autorisation afin de permettre le développement rapide de zones supplémentaires destinées à l’utilisation portuaire.</w:t>
            </w:r>
          </w:p>
          <w:p w14:paraId="48DF3C75" w14:textId="77777777" w:rsidR="008C68BF" w:rsidRPr="00CE0265" w:rsidRDefault="008C68BF" w:rsidP="008C68BF">
            <w:pPr>
              <w:spacing w:line="259" w:lineRule="auto"/>
              <w:rPr>
                <w:rFonts w:ascii="Times New Roman" w:eastAsia="Aptos" w:hAnsi="Times New Roman" w:cs="Times New Roman"/>
                <w:b/>
                <w:bCs/>
                <w:noProof/>
              </w:rPr>
            </w:pPr>
            <w:r w:rsidRPr="00CE0265">
              <w:rPr>
                <w:rFonts w:ascii="Times New Roman" w:hAnsi="Times New Roman"/>
                <w:b/>
                <w:noProof/>
              </w:rPr>
              <w:t>Les parties prenantes du secteur sont encouragées à:</w:t>
            </w:r>
          </w:p>
          <w:p w14:paraId="371F3C35" w14:textId="2A061C68"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soutenir l’utilisation et la diffusion des recherches financées par l’UE, partager les bonnes pratiques et mettre en place des partenariats et des nouveaux modèles d’entreprise allant au-delà des défis spécifiques/locaux, et répondre aux exigences du marché dans son ensemble, y compris celles relatives aux ports de petite et moyenne taille.</w:t>
            </w:r>
          </w:p>
          <w:p w14:paraId="44557FB7" w14:textId="77777777" w:rsidR="008C68BF" w:rsidRPr="00CE0265" w:rsidRDefault="008C68BF" w:rsidP="008C68BF">
            <w:pPr>
              <w:spacing w:line="259" w:lineRule="auto"/>
              <w:jc w:val="both"/>
              <w:rPr>
                <w:rFonts w:ascii="Times New Roman" w:eastAsia="Aptos" w:hAnsi="Times New Roman" w:cs="Times New Roman"/>
                <w:noProof/>
              </w:rPr>
            </w:pPr>
          </w:p>
          <w:p w14:paraId="1F116DBE"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Les États membres et les parties prenantes sont invités à:</w:t>
            </w:r>
          </w:p>
          <w:p w14:paraId="7AABD8D4" w14:textId="189E2A35"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appliquer les principes directeurs énoncés dans la présente stratégie à leurs propres initiatives également et favoriser la coordination générale et l’échange d’informations;</w:t>
            </w:r>
          </w:p>
          <w:p w14:paraId="5FF78768" w14:textId="4A444516" w:rsidR="008F0A8C" w:rsidRPr="00CE0265" w:rsidRDefault="008F0A8C" w:rsidP="00C10F3B">
            <w:pPr>
              <w:numPr>
                <w:ilvl w:val="0"/>
                <w:numId w:val="15"/>
              </w:numPr>
              <w:spacing w:line="259" w:lineRule="auto"/>
              <w:contextualSpacing/>
              <w:jc w:val="both"/>
              <w:rPr>
                <w:rFonts w:ascii="Times New Roman" w:eastAsia="Aptos" w:hAnsi="Times New Roman" w:cs="Times New Roman"/>
                <w:noProof/>
              </w:rPr>
            </w:pPr>
            <w:r w:rsidRPr="00CE0265">
              <w:rPr>
                <w:rFonts w:ascii="Times New Roman" w:hAnsi="Times New Roman"/>
                <w:noProof/>
              </w:rPr>
              <w:t>rationaliser les procédures de planification et d’autorisation afin de permettre une adoption rapide des innovations dans les ports;</w:t>
            </w:r>
          </w:p>
          <w:p w14:paraId="2DAA2FCF" w14:textId="5475BF96"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CE0265">
              <w:rPr>
                <w:rFonts w:ascii="Times New Roman" w:hAnsi="Times New Roman"/>
                <w:noProof/>
                <w:color w:val="000000"/>
              </w:rPr>
              <w:t>accorder une plus grande priorité aux connexions avec l’arrière-pays par le rail et les voies navigables intérieures;</w:t>
            </w:r>
          </w:p>
          <w:p w14:paraId="74F8D629" w14:textId="2B6AD8F8" w:rsidR="008C68BF" w:rsidRPr="00CE0265" w:rsidRDefault="00EF7D08" w:rsidP="00C10F3B">
            <w:pPr>
              <w:numPr>
                <w:ilvl w:val="0"/>
                <w:numId w:val="15"/>
              </w:numPr>
              <w:spacing w:line="259" w:lineRule="auto"/>
              <w:contextualSpacing/>
              <w:jc w:val="both"/>
              <w:rPr>
                <w:rFonts w:ascii="Times New Roman" w:eastAsia="Aptos" w:hAnsi="Times New Roman" w:cs="Times New Roman"/>
                <w:noProof/>
                <w:color w:val="000000"/>
              </w:rPr>
            </w:pPr>
            <w:r w:rsidRPr="00CE0265">
              <w:rPr>
                <w:rFonts w:ascii="Times New Roman" w:hAnsi="Times New Roman"/>
                <w:noProof/>
                <w:color w:val="000000"/>
              </w:rPr>
              <w:t>s’employer à atteindre un équilibre entre le rendement des investissements pour les opérateurs privés et les obligations contractuelles appropriées (durée, conditions transparentes et équitables pour les renouvellements, clauses de flexibilité) afin de garantir la résilience, la sûreté, la sécurité et la réduction des émissions.</w:t>
            </w:r>
          </w:p>
          <w:p w14:paraId="093CEB6B" w14:textId="77777777" w:rsidR="008C68BF" w:rsidRPr="00CE0265" w:rsidRDefault="008C68BF" w:rsidP="008C68BF">
            <w:pPr>
              <w:spacing w:line="259" w:lineRule="auto"/>
              <w:rPr>
                <w:rFonts w:ascii="Aptos" w:eastAsia="Aptos" w:hAnsi="Aptos" w:cs="Times New Roman"/>
                <w:noProof/>
              </w:rPr>
            </w:pPr>
          </w:p>
        </w:tc>
      </w:tr>
    </w:tbl>
    <w:p w14:paraId="4780FA1C" w14:textId="77777777" w:rsidR="008C68BF" w:rsidRPr="00CE0265"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CE0265" w14:paraId="40583489" w14:textId="77777777" w:rsidTr="00E644BE">
        <w:tc>
          <w:tcPr>
            <w:tcW w:w="9016" w:type="dxa"/>
          </w:tcPr>
          <w:p w14:paraId="3A07CD61" w14:textId="00FE6D27" w:rsidR="008C68BF" w:rsidRPr="00CE0265" w:rsidRDefault="008C68BF" w:rsidP="008C68BF">
            <w:pPr>
              <w:spacing w:line="259" w:lineRule="auto"/>
              <w:rPr>
                <w:rFonts w:ascii="Times New Roman" w:eastAsia="Aptos" w:hAnsi="Times New Roman" w:cs="Times New Roman"/>
                <w:b/>
                <w:noProof/>
                <w:u w:val="single"/>
              </w:rPr>
            </w:pPr>
            <w:r w:rsidRPr="00CE0265">
              <w:rPr>
                <w:rFonts w:ascii="Times New Roman" w:hAnsi="Times New Roman"/>
                <w:b/>
                <w:noProof/>
                <w:u w:val="single"/>
              </w:rPr>
              <w:t>Pilier II – FAIRE PROGRESSER LA TRANSITION ÉNERGÉTIQUE, LA DURABILITÉ ET LES INDUSTRIES PROPRES</w:t>
            </w:r>
          </w:p>
          <w:p w14:paraId="585ED2EF" w14:textId="77777777" w:rsidR="008C68BF" w:rsidRPr="00CE0265" w:rsidRDefault="008C68BF" w:rsidP="008C68BF">
            <w:pPr>
              <w:spacing w:line="259" w:lineRule="auto"/>
              <w:rPr>
                <w:rFonts w:ascii="Times New Roman" w:eastAsia="Aptos" w:hAnsi="Times New Roman" w:cs="Times New Roman"/>
                <w:b/>
                <w:noProof/>
                <w:sz w:val="28"/>
                <w:szCs w:val="28"/>
                <w:u w:val="single"/>
              </w:rPr>
            </w:pPr>
          </w:p>
          <w:p w14:paraId="48CF0CB7"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La Commission: </w:t>
            </w:r>
          </w:p>
          <w:p w14:paraId="4A27A5EA" w14:textId="20233E77" w:rsidR="008C68BF" w:rsidRPr="00CE0265" w:rsidRDefault="00EF7D08"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en 2026, continuera de surveiller le déploiement de l’alimentation électrique à quai et, dans le prochain plan d’action pour l’électrification, introduira de nouvelles mesures pour soutenir l’électrification des ports et promouvoir une plus grande transparence de la tarification de l’alimentation électrique à quai; </w:t>
            </w:r>
          </w:p>
          <w:p w14:paraId="23E07505" w14:textId="77777777" w:rsidR="001454C1" w:rsidRPr="00CE0265" w:rsidRDefault="001454C1" w:rsidP="001454C1">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exploitera les possibilités offertes par la mise en œuvre de la coopération transméditerranéenne T-MED pour soutenir la connectivité énergétique durable entre les ports méditerranéens; </w:t>
            </w:r>
          </w:p>
          <w:p w14:paraId="6E14EF40" w14:textId="032030BA"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dans le prochain train de mesures sur l’union de l’énergie, réfléchira à la manière de promouvoir l’offre de carburants durables dans les ports; </w:t>
            </w:r>
          </w:p>
          <w:p w14:paraId="342B6402" w14:textId="04FA0CB7"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dans le cadre de la prochaine révision du règlement AFIR, envisagera des mesures visant à accélérer le déploiement d’une infrastructure pour carburants alternatifs pour le transport maritime;</w:t>
            </w:r>
          </w:p>
          <w:p w14:paraId="24A887BE" w14:textId="5C375786" w:rsidR="00C1489D" w:rsidRPr="00CE0265" w:rsidRDefault="00940DC0"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coordonnera les efforts des États membres et facilitera l’échange de bonnes pratiques, y compris au moyen de lignes directrices; </w:t>
            </w:r>
          </w:p>
          <w:p w14:paraId="4151DC7F" w14:textId="77777777" w:rsidR="00D923AB" w:rsidRPr="00CE0265" w:rsidRDefault="00D923AB"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d’ici la fin de 2026, évaluera les capacités des infrastructures et les besoins futurs en matière d’approvisionnement en carburants renouvelables et bas carbone dans et vers les ports par l’intermédiaire de l’alliance RLCF; </w:t>
            </w:r>
          </w:p>
          <w:p w14:paraId="46706852" w14:textId="3F4888B0"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2026, commandera une étude dans le cadre de l’entreprise commune «Hydrogène propre», afin de soutenir les activités de la Commission au sein de la coalition mondiale des ports pour l’hydrogène;</w:t>
            </w:r>
          </w:p>
          <w:p w14:paraId="615ED9F1" w14:textId="013B314F"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à partir de 2026, soutiendra les partenariats avec les ports, les autorités locales et les pôles industriels; </w:t>
            </w:r>
          </w:p>
          <w:p w14:paraId="6661A71E" w14:textId="61D19CA4" w:rsidR="00004850" w:rsidRPr="00CE0265" w:rsidRDefault="00004850"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encouragera une coopération plus étroite entre les ports, les entreprises du secteur de l’énergie, les gestionnaires de réseau et les autorités locales et se tiendra prête à fournir des orientations informelles sur les questions de pratiques anticoncurrentielles; </w:t>
            </w:r>
          </w:p>
          <w:p w14:paraId="0EDBEFAF" w14:textId="56DF554D" w:rsidR="008C68BF" w:rsidRPr="00CE0265" w:rsidRDefault="00E30336" w:rsidP="00C10F3B">
            <w:pPr>
              <w:numPr>
                <w:ilvl w:val="0"/>
                <w:numId w:val="9"/>
              </w:numPr>
              <w:spacing w:line="259" w:lineRule="auto"/>
              <w:contextualSpacing/>
              <w:rPr>
                <w:rFonts w:ascii="Aptos" w:eastAsia="Aptos" w:hAnsi="Aptos" w:cs="Times New Roman"/>
                <w:noProof/>
              </w:rPr>
            </w:pPr>
            <w:r w:rsidRPr="00CE0265">
              <w:rPr>
                <w:rFonts w:ascii="Times New Roman" w:hAnsi="Times New Roman"/>
                <w:noProof/>
              </w:rPr>
              <w:t>d’ici à 2027, organisera une série d’ateliers ciblés pour les ports;</w:t>
            </w:r>
          </w:p>
          <w:p w14:paraId="2686CD17" w14:textId="50D84E41"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révisera l’acte délégué relatif au volet climatique de la taxinomie afin d’améliorer la facilité d’utilisation des critères d’examen technique, de les simplifier et de les mettre à jour pour tenir compte des évolutions stratégiques, législatives et technologiques;</w:t>
            </w:r>
          </w:p>
          <w:p w14:paraId="0FF9E90F" w14:textId="153EEC68" w:rsidR="008C68BF" w:rsidRPr="00CE0265" w:rsidRDefault="00E30336" w:rsidP="00C10F3B">
            <w:pPr>
              <w:numPr>
                <w:ilvl w:val="0"/>
                <w:numId w:val="9"/>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s’efforcera d’obtenir une plus grande cohérence dans la mesure et la notification des émissions dans les zones portuaires. </w:t>
            </w:r>
          </w:p>
          <w:p w14:paraId="016EA724" w14:textId="77777777" w:rsidR="008C68BF" w:rsidRPr="00CE0265" w:rsidRDefault="008C68BF" w:rsidP="008C68BF">
            <w:pPr>
              <w:spacing w:line="259" w:lineRule="auto"/>
              <w:ind w:left="360"/>
              <w:contextualSpacing/>
              <w:jc w:val="both"/>
              <w:rPr>
                <w:rFonts w:ascii="Times New Roman" w:eastAsia="Aptos" w:hAnsi="Times New Roman" w:cs="Times New Roman"/>
                <w:noProof/>
              </w:rPr>
            </w:pPr>
          </w:p>
          <w:p w14:paraId="0D0EB685"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Les États membres sont invités à: </w:t>
            </w:r>
          </w:p>
          <w:p w14:paraId="087CC6C4" w14:textId="2A000EA0" w:rsidR="008C68BF" w:rsidRPr="00CE0265" w:rsidRDefault="00E30336"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favoriser les leviers technologiques opérationnels et les solutions de réseaux intelligents, les procédures numérisées et une utilisation plus efficace des actifs existants du réseau;</w:t>
            </w:r>
          </w:p>
          <w:p w14:paraId="35E1FFE5" w14:textId="5CB09DE1" w:rsidR="008C68BF" w:rsidRPr="00CE0265" w:rsidRDefault="00E30336"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promouvoir des solutions de gestion de la demande, en particulier pour les ports de petite et moyenne taille; </w:t>
            </w:r>
          </w:p>
          <w:p w14:paraId="3A22B63E" w14:textId="46F95958" w:rsidR="008C68BF" w:rsidRPr="00CE0265" w:rsidRDefault="00954BA2"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renforcer les synergies entre le RTE-T et le RTE-E et la planification d’autres réseaux électriques et, dans ce contexte, inclure les besoins terrestres, pris en compte dans les plans nationaux de développement du réseau dans les prochains plans de développement du réseau en mer; </w:t>
            </w:r>
          </w:p>
          <w:p w14:paraId="60B6339A" w14:textId="35F20F3C" w:rsidR="008C68BF" w:rsidRPr="00CE0265" w:rsidRDefault="00954BA2"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tenir compte, dans les procédures nationales et dans les évaluations au cas par cas, de la présomption d’intérêt public supérieur pour les infrastructures du réseau électrique, y compris l’alimentation électrique à quai dans les ports;</w:t>
            </w:r>
          </w:p>
          <w:p w14:paraId="10992C60" w14:textId="59519085" w:rsidR="007E7450" w:rsidRPr="00CE0265" w:rsidRDefault="00F71563"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affecter une partie des recettes du SEQE de l’UE aux investissements dans la décarbonation du secteur maritime dans l’ensemble du pôle d’activités maritimes en Europe;</w:t>
            </w:r>
          </w:p>
          <w:p w14:paraId="48E674EF" w14:textId="223F50B5" w:rsidR="008C68BF" w:rsidRPr="00CE0265" w:rsidRDefault="00954BA2"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favoriser une coopération structurée entre les ports et les pôles industriels locaux afin de promouvoir les énergies renouvelables, le partage de l’énergie, la réutilisation de la chaleur fatale, les solutions de stockage et le développement de communautés énergétiques centrées sur le port;</w:t>
            </w:r>
          </w:p>
          <w:p w14:paraId="22827779" w14:textId="4FB9B6B7" w:rsidR="008C68BF" w:rsidRPr="00CE0265" w:rsidRDefault="00E75E8C"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utiliser, le cas échéant, les dispositions relatives au développement portuaire prévues par la directive-cadre sur l’eau et veiller à la mise en œuvre en temps utile des nouvelles règles environnementales relatives à la pollution marine causée par le transport maritime dans les ports;</w:t>
            </w:r>
          </w:p>
          <w:p w14:paraId="022E2BF0" w14:textId="6AF82868" w:rsidR="008C68BF" w:rsidRPr="00CE0265" w:rsidRDefault="0079299A"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lutter contre les émissions de gaz à effet de serre et les polluants atmosphériques dans les ports dans le cadre de la mise en œuvre de leurs plans nationaux en matière d’énergie et de climat et de leurs programmes nationaux de lutte contre la pollution atmosphérique.</w:t>
            </w:r>
          </w:p>
        </w:tc>
      </w:tr>
    </w:tbl>
    <w:p w14:paraId="12E434E8" w14:textId="77777777" w:rsidR="008C68BF" w:rsidRPr="00CE0265"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CE0265" w14:paraId="1CDE93DC" w14:textId="77777777" w:rsidTr="5B0F044D">
        <w:tc>
          <w:tcPr>
            <w:tcW w:w="9016" w:type="dxa"/>
          </w:tcPr>
          <w:p w14:paraId="57CE572F" w14:textId="77777777" w:rsidR="008C68BF" w:rsidRPr="00CE0265" w:rsidRDefault="008C68BF" w:rsidP="008C68BF">
            <w:pPr>
              <w:spacing w:line="259" w:lineRule="auto"/>
              <w:rPr>
                <w:rFonts w:ascii="Times New Roman" w:eastAsia="Aptos" w:hAnsi="Times New Roman" w:cs="Times New Roman"/>
                <w:b/>
                <w:bCs/>
                <w:noProof/>
                <w:u w:val="single"/>
              </w:rPr>
            </w:pPr>
            <w:bookmarkStart w:id="9" w:name="_Hlk215497770"/>
            <w:r w:rsidRPr="00CE0265">
              <w:rPr>
                <w:rFonts w:ascii="Times New Roman" w:hAnsi="Times New Roman"/>
                <w:b/>
                <w:noProof/>
                <w:u w:val="single"/>
              </w:rPr>
              <w:t>Pilier III – PROTÉGER ET SÉCURISER LES PORTS</w:t>
            </w:r>
          </w:p>
          <w:p w14:paraId="21F39B0A" w14:textId="77777777" w:rsidR="008C68BF" w:rsidRPr="00CE0265" w:rsidRDefault="008C68BF" w:rsidP="008C68BF">
            <w:pPr>
              <w:spacing w:line="259" w:lineRule="auto"/>
              <w:rPr>
                <w:rFonts w:ascii="Times New Roman" w:eastAsia="Aptos" w:hAnsi="Times New Roman" w:cs="Times New Roman"/>
                <w:b/>
                <w:bCs/>
                <w:noProof/>
                <w:sz w:val="28"/>
                <w:szCs w:val="28"/>
                <w:u w:val="single"/>
              </w:rPr>
            </w:pPr>
          </w:p>
          <w:p w14:paraId="198F96DE" w14:textId="77777777" w:rsidR="008C68BF" w:rsidRPr="00CE0265" w:rsidRDefault="008C68BF" w:rsidP="008C68BF">
            <w:pPr>
              <w:spacing w:line="259" w:lineRule="auto"/>
              <w:rPr>
                <w:rFonts w:ascii="Times New Roman" w:eastAsia="Aptos" w:hAnsi="Times New Roman" w:cs="Times New Roman"/>
                <w:b/>
                <w:bCs/>
                <w:noProof/>
              </w:rPr>
            </w:pPr>
            <w:r w:rsidRPr="00CE0265">
              <w:rPr>
                <w:rFonts w:ascii="Times New Roman" w:hAnsi="Times New Roman"/>
                <w:b/>
                <w:noProof/>
              </w:rPr>
              <w:t xml:space="preserve">La Commission: </w:t>
            </w:r>
          </w:p>
          <w:p w14:paraId="005A37B8" w14:textId="492ABDFB"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2027, mettra à jour les orientations existantes sur la législation en matière de sûreté maritime afin de couvrir de manière adéquate toutes les menaces pertinentes;</w:t>
            </w:r>
          </w:p>
          <w:p w14:paraId="201846DE"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la fin de 2026, collaborera avec les États membres de l’UE en vue d’actualiser les orientations internationales au sein de l’Organisation maritime internationale; </w:t>
            </w:r>
          </w:p>
          <w:p w14:paraId="5E6385E3"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la fin de 2026, présentera une stratégie de l’UE de lutte contre la corruption; </w:t>
            </w:r>
          </w:p>
          <w:p w14:paraId="2B143DD7" w14:textId="39426F8F"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en 2027, proposera un cadre européen pour la vérification des antécédents des travailleurs portuaires; </w:t>
            </w:r>
          </w:p>
          <w:p w14:paraId="722885E7" w14:textId="0B673EB9"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en 2027, étendra les efforts en matière de sûreté aux ports intérieurs, y compris ceux qui ne sont pas couverts par le code ISPS, en collaboration avec les commissions fluviales; </w:t>
            </w:r>
          </w:p>
          <w:p w14:paraId="517A851D" w14:textId="74911E63"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en 2027, publiera des bonnes pratiques pour prévenir le trafic de drogue et étudiera la possibilité de renforcer la coopération avec les pays candidats;</w:t>
            </w:r>
          </w:p>
          <w:p w14:paraId="64517BCE"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2027, élaborera des cadres régionaux conjointement avec le SEAE afin de coopérer avec les pays tiers pour améliorer la sûreté des ports et œuvrer à un meilleur alignement des contrôles douaniers dans l’ensemble des ports de l’UE, ainsi qu’à de meilleurs protocoles de sûreté dans le monde entier; </w:t>
            </w:r>
          </w:p>
          <w:p w14:paraId="78D2A6F6" w14:textId="04868BEA" w:rsidR="00F959F8"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 xml:space="preserve">d’ici 2027, œuvrera à un échange d’informations bidirectionnel public-privé entre les douanes et les entreprises de logistique maritime; </w:t>
            </w:r>
          </w:p>
          <w:p w14:paraId="2507789C" w14:textId="3F3AA599" w:rsidR="002D1860" w:rsidRPr="00CE0265" w:rsidRDefault="009623BF"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se tiendra prête à évaluer la mesure dans laquelle les instruments en matière d’ententes et d’abus de position dominante peuvent soutenir l’application des orientations ou des bonnes pratiques élaborées par l’alliance des ports européens;</w:t>
            </w:r>
          </w:p>
          <w:p w14:paraId="2AAACC4B"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en 2026, présentera un cadre européen intégré pour la résilience au changement climatique; </w:t>
            </w:r>
          </w:p>
          <w:p w14:paraId="514737CE" w14:textId="5CF38A46"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à partir de 2026, favorisera les initiatives de recherche et de développement visant à sécuriser les échanges et le stockage de données pour les ports et les parties prenantes tout au long des chaînes logistiques multimodales;</w:t>
            </w:r>
          </w:p>
          <w:p w14:paraId="5B4DF7E9" w14:textId="51B36830" w:rsidR="002154B0" w:rsidRPr="00CE0265" w:rsidRDefault="004C6848"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à partir de 2026, encouragera et facilitera des solutions en faveur de la souveraineté de l’UE sur les données qui sous-tendent ses activités vitales de transport civil et militaire et recherchera une coopération avec des pays partageant les mêmes valeurs;</w:t>
            </w:r>
          </w:p>
          <w:p w14:paraId="3434AF7B"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en 2027, continuera de coopérer avec l’OMI pour faire progresser les normes mondiales harmonisées en matière de cybersécurité pour le secteur maritime au moyen d’un «Code cyber» non obligatoire; </w:t>
            </w:r>
          </w:p>
          <w:p w14:paraId="643CCCC3"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2027, mettra à jour les lignes directrices de l’ENISA relatives à la gestion des risques liés à la cybersécurité des ports; </w:t>
            </w:r>
          </w:p>
          <w:p w14:paraId="0B882ED5" w14:textId="5E2C8C76"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2027, procédera à une évaluation coordonnée des risques en matière de sûreté au niveau de l’Union afin de recenser les risques liés à la cybersécurité et de recommander des mesures d’atténuation appropriées;</w:t>
            </w:r>
          </w:p>
          <w:p w14:paraId="02795AA1" w14:textId="77777777" w:rsidR="002D1860" w:rsidRPr="00CE0265" w:rsidRDefault="002D1860" w:rsidP="00C10F3B">
            <w:pPr>
              <w:numPr>
                <w:ilvl w:val="0"/>
                <w:numId w:val="1"/>
              </w:numPr>
              <w:tabs>
                <w:tab w:val="num" w:pos="720"/>
              </w:tabs>
              <w:spacing w:line="259" w:lineRule="auto"/>
              <w:contextualSpacing/>
              <w:jc w:val="both"/>
              <w:rPr>
                <w:rFonts w:ascii="Times New Roman" w:eastAsia="Times New Roman" w:hAnsi="Times New Roman" w:cs="Times New Roman"/>
                <w:noProof/>
              </w:rPr>
            </w:pPr>
            <w:r w:rsidRPr="00CE0265">
              <w:rPr>
                <w:rFonts w:ascii="Times New Roman" w:hAnsi="Times New Roman"/>
                <w:noProof/>
              </w:rPr>
              <w:t>d’ici 2027, créera un forum pour l’échange d’informations et de bonnes pratiques entre les autorités des États membres compétentes en matière de cybersécurité et d’opérations maritimes/portuaires. </w:t>
            </w:r>
          </w:p>
          <w:p w14:paraId="532C8A8A" w14:textId="77777777" w:rsidR="008C68BF" w:rsidRPr="00CE0265" w:rsidRDefault="008C68BF" w:rsidP="00C421DA">
            <w:pPr>
              <w:spacing w:line="259" w:lineRule="auto"/>
              <w:ind w:left="360"/>
              <w:jc w:val="both"/>
              <w:rPr>
                <w:rFonts w:ascii="Times New Roman" w:eastAsia="Aptos" w:hAnsi="Times New Roman" w:cs="Times New Roman"/>
                <w:noProof/>
              </w:rPr>
            </w:pPr>
          </w:p>
          <w:p w14:paraId="6ECBA579" w14:textId="31E10E42" w:rsidR="008C68BF" w:rsidRPr="00CE0265" w:rsidRDefault="008C68BF" w:rsidP="00002666">
            <w:pPr>
              <w:tabs>
                <w:tab w:val="left" w:pos="3579"/>
              </w:tabs>
              <w:spacing w:line="259" w:lineRule="auto"/>
              <w:jc w:val="both"/>
              <w:rPr>
                <w:rFonts w:ascii="Times New Roman" w:eastAsia="Aptos" w:hAnsi="Times New Roman" w:cs="Times New Roman"/>
                <w:b/>
                <w:bCs/>
                <w:noProof/>
              </w:rPr>
            </w:pPr>
            <w:r w:rsidRPr="00CE0265">
              <w:rPr>
                <w:rFonts w:ascii="Times New Roman" w:hAnsi="Times New Roman"/>
                <w:b/>
                <w:noProof/>
              </w:rPr>
              <w:t xml:space="preserve">Les États membres sont invités à: </w:t>
            </w:r>
            <w:r w:rsidRPr="00CE0265">
              <w:rPr>
                <w:noProof/>
              </w:rPr>
              <w:tab/>
            </w:r>
          </w:p>
          <w:p w14:paraId="42AE4F97" w14:textId="26D02E6D" w:rsidR="00E63E1E" w:rsidRPr="00CE0265" w:rsidRDefault="232ED99E"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donner la priorité à la mise en œuvre de la législation en matière de sûreté maritime et adopter de bonnes pratiques partagées dans le cadre du partenariat public-privé de l’alliance des ports européens pour lutter contre la criminalité organisée (y compris le trafic de drogue) et la corruption, et s’attaquer au problème de la sûreté portuaire dans son intégralité;</w:t>
            </w:r>
          </w:p>
          <w:p w14:paraId="1B881CFF" w14:textId="1B91D94D" w:rsidR="00D02886" w:rsidRPr="00CE0265" w:rsidRDefault="49383518"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donner la priorité à l’interopérabilité des ports au sein du système ferroviaire de l’UE, ainsi qu’à l’obtention, d’ici 2030, d’un «bon état de navigation» pour les voies navigables intérieures;</w:t>
            </w:r>
          </w:p>
          <w:p w14:paraId="53948BE8" w14:textId="6E156288" w:rsidR="002E4C13" w:rsidRPr="00CE0265" w:rsidRDefault="002E4C13"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 inclure les ports dans la mise en œuvre de la directive sur la résilience des entités critiques (directive CER);</w:t>
            </w:r>
          </w:p>
          <w:p w14:paraId="3EF39FF2" w14:textId="47C65F86" w:rsidR="00696F42" w:rsidRPr="00CE0265" w:rsidRDefault="167858F2"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veiller à ce que les biens critiques soient manipulés et stockés conformément aux exigences en matière de mobilité militaire, à la stratégie de constitution de stocks à l’échelle de l’UE et au régime de sécurité de l’approvisionnement introduit par le programme pour l’industrie européenne de la défense;</w:t>
            </w:r>
          </w:p>
          <w:p w14:paraId="32620F4C" w14:textId="204B75F1" w:rsidR="00C10587" w:rsidRPr="00CE0265" w:rsidRDefault="6FB17339"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optimiser la cartographie, le partage d’informations et la coordination afin de constituer et de protéger les stocks et de réduire au minimum les perturbations, en tenant compte des spécificités des ports de petite taille.</w:t>
            </w:r>
          </w:p>
          <w:p w14:paraId="20B8F443" w14:textId="77777777" w:rsidR="008C68BF" w:rsidRPr="00CE0265" w:rsidRDefault="008C68BF" w:rsidP="008C68BF">
            <w:pPr>
              <w:spacing w:line="259" w:lineRule="auto"/>
              <w:jc w:val="both"/>
              <w:rPr>
                <w:rFonts w:ascii="Times New Roman" w:eastAsia="Aptos" w:hAnsi="Times New Roman" w:cs="Times New Roman"/>
                <w:noProof/>
              </w:rPr>
            </w:pPr>
          </w:p>
          <w:p w14:paraId="727F6675"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Les États membres et les parties prenantes sont invités à:</w:t>
            </w:r>
          </w:p>
          <w:p w14:paraId="4ED3D941" w14:textId="45B35981" w:rsidR="008C68BF" w:rsidRPr="00CE0265" w:rsidRDefault="2A7CC082" w:rsidP="5B0F044D">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élaborer des plans de résilience au changement climatique et échanger les bonnes pratiques en matière d’action pour la résilience au changement climatique dans les ports; </w:t>
            </w:r>
          </w:p>
          <w:p w14:paraId="4CB2424E" w14:textId="73D1FB0E" w:rsidR="00F00159" w:rsidRPr="00CE0265" w:rsidRDefault="71A8CCFB" w:rsidP="5B0F044D">
            <w:pPr>
              <w:numPr>
                <w:ilvl w:val="0"/>
                <w:numId w:val="7"/>
              </w:numPr>
              <w:spacing w:line="259" w:lineRule="auto"/>
              <w:contextualSpacing/>
              <w:jc w:val="both"/>
              <w:rPr>
                <w:rFonts w:ascii="Times New Roman" w:eastAsia="Times New Roman" w:hAnsi="Times New Roman" w:cs="Times New Roman"/>
                <w:noProof/>
              </w:rPr>
            </w:pPr>
            <w:r w:rsidRPr="00CE0265">
              <w:rPr>
                <w:rFonts w:ascii="Times New Roman" w:hAnsi="Times New Roman"/>
                <w:noProof/>
                <w:color w:val="000000" w:themeColor="text1"/>
              </w:rPr>
              <w:t>protéger et renforcer les infrastructures, les superstructures et les équipements vulnérables, supprimer les goulets d’étranglement et intensifier les efforts visant à consolider leurs infrastructures critiques;</w:t>
            </w:r>
          </w:p>
          <w:p w14:paraId="549D905A" w14:textId="6A0DAEF8" w:rsidR="71A8CCFB" w:rsidRPr="00CE0265" w:rsidRDefault="71A8CCFB" w:rsidP="5B0F044D">
            <w:pPr>
              <w:numPr>
                <w:ilvl w:val="0"/>
                <w:numId w:val="7"/>
              </w:numPr>
              <w:spacing w:line="259" w:lineRule="auto"/>
              <w:contextualSpacing/>
              <w:jc w:val="both"/>
              <w:rPr>
                <w:rFonts w:ascii="Times New Roman" w:eastAsia="Times New Roman" w:hAnsi="Times New Roman" w:cs="Times New Roman"/>
                <w:noProof/>
              </w:rPr>
            </w:pPr>
            <w:r w:rsidRPr="00CE0265">
              <w:rPr>
                <w:rFonts w:ascii="Times New Roman" w:hAnsi="Times New Roman"/>
                <w:noProof/>
                <w:color w:val="000000" w:themeColor="text1"/>
              </w:rPr>
              <w:t>garantir une redondance et une capacité suffisantes pour contrer les perturbations à court et moyen terme dans leur chaîne logistique et leur approvisionnement en biens critiques, en permettant en particulier aux nœuds de mobilité militaire les plus vulnérables d’atteindre des niveaux opérationnels adéquats.</w:t>
            </w:r>
          </w:p>
          <w:p w14:paraId="449FF42B" w14:textId="77777777" w:rsidR="00337274" w:rsidRPr="00CE0265" w:rsidRDefault="00337274" w:rsidP="00567FF3">
            <w:pPr>
              <w:spacing w:line="259" w:lineRule="auto"/>
              <w:contextualSpacing/>
              <w:jc w:val="both"/>
              <w:rPr>
                <w:rFonts w:ascii="Times New Roman" w:eastAsia="Aptos" w:hAnsi="Times New Roman" w:cs="Times New Roman"/>
                <w:noProof/>
              </w:rPr>
            </w:pPr>
          </w:p>
          <w:p w14:paraId="30426A35" w14:textId="77777777" w:rsidR="008C68BF" w:rsidRPr="00CE0265" w:rsidRDefault="008C68BF" w:rsidP="008C68BF">
            <w:pPr>
              <w:spacing w:line="259" w:lineRule="auto"/>
              <w:jc w:val="both"/>
              <w:rPr>
                <w:rFonts w:ascii="Times New Roman" w:eastAsia="Aptos" w:hAnsi="Times New Roman" w:cs="Times New Roman"/>
                <w:noProof/>
              </w:rPr>
            </w:pPr>
            <w:r w:rsidRPr="00CE0265">
              <w:rPr>
                <w:rFonts w:ascii="Times New Roman" w:hAnsi="Times New Roman"/>
                <w:b/>
                <w:noProof/>
              </w:rPr>
              <w:t>Le coordonnateur de l'espace maritime européen</w:t>
            </w:r>
            <w:r w:rsidRPr="00CE0265">
              <w:rPr>
                <w:rFonts w:ascii="Times New Roman" w:hAnsi="Times New Roman"/>
                <w:noProof/>
              </w:rPr>
              <w:t xml:space="preserve">: </w:t>
            </w:r>
          </w:p>
          <w:p w14:paraId="0658EF3C" w14:textId="478924C3" w:rsidR="008C68BF" w:rsidRPr="00CE0265" w:rsidRDefault="00AD271F"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facilitera la planification de la résilience pour la connectivité maritime et la connectivité avec l’arrière-pays avec d’autres coordonnateurs de corridors de transport européens.</w:t>
            </w:r>
            <w:r w:rsidRPr="00CE0265">
              <w:rPr>
                <w:rFonts w:ascii="Times New Roman" w:hAnsi="Times New Roman"/>
                <w:b/>
                <w:noProof/>
              </w:rPr>
              <w:t> </w:t>
            </w:r>
          </w:p>
        </w:tc>
      </w:tr>
      <w:bookmarkEnd w:id="9"/>
    </w:tbl>
    <w:p w14:paraId="21DB2834" w14:textId="77777777" w:rsidR="008C68BF" w:rsidRPr="00CE0265" w:rsidRDefault="008C68BF" w:rsidP="008C68BF">
      <w:pPr>
        <w:rPr>
          <w:rFonts w:ascii="Times New Roman" w:eastAsia="Aptos"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CE0265" w14:paraId="29F50FD7" w14:textId="77777777" w:rsidTr="00E644BE">
        <w:tc>
          <w:tcPr>
            <w:tcW w:w="9016" w:type="dxa"/>
          </w:tcPr>
          <w:p w14:paraId="6FA21F17" w14:textId="77777777" w:rsidR="008C68BF" w:rsidRPr="00CE0265" w:rsidRDefault="008C68BF" w:rsidP="008C68BF">
            <w:pPr>
              <w:spacing w:line="259" w:lineRule="auto"/>
              <w:rPr>
                <w:rFonts w:ascii="Times New Roman" w:eastAsia="Aptos" w:hAnsi="Times New Roman" w:cs="Times New Roman"/>
                <w:b/>
                <w:bCs/>
                <w:noProof/>
                <w:u w:val="single"/>
              </w:rPr>
            </w:pPr>
            <w:r w:rsidRPr="00CE0265">
              <w:rPr>
                <w:rFonts w:ascii="Times New Roman" w:hAnsi="Times New Roman"/>
                <w:b/>
                <w:noProof/>
                <w:u w:val="single"/>
              </w:rPr>
              <w:t xml:space="preserve">Pilier IV – ACCÈS AUX FINANCEMENTS ET INVESTISSEMENT </w:t>
            </w:r>
          </w:p>
          <w:p w14:paraId="398FAB25" w14:textId="77777777" w:rsidR="008C68BF" w:rsidRPr="00CE0265" w:rsidRDefault="008C68BF" w:rsidP="008C68BF">
            <w:pPr>
              <w:spacing w:line="259" w:lineRule="auto"/>
              <w:rPr>
                <w:rFonts w:ascii="Times New Roman" w:eastAsia="Aptos" w:hAnsi="Times New Roman" w:cs="Times New Roman"/>
                <w:b/>
                <w:bCs/>
                <w:noProof/>
                <w:sz w:val="28"/>
                <w:szCs w:val="28"/>
                <w:u w:val="single"/>
              </w:rPr>
            </w:pPr>
          </w:p>
          <w:p w14:paraId="57A57299" w14:textId="77777777" w:rsidR="008C68BF" w:rsidRPr="00CE0265" w:rsidRDefault="008C68BF" w:rsidP="008C68BF">
            <w:pPr>
              <w:spacing w:line="259" w:lineRule="auto"/>
              <w:rPr>
                <w:rFonts w:ascii="Times New Roman" w:eastAsia="Aptos" w:hAnsi="Times New Roman" w:cs="Times New Roman"/>
                <w:b/>
                <w:bCs/>
                <w:noProof/>
              </w:rPr>
            </w:pPr>
            <w:r w:rsidRPr="00CE0265">
              <w:rPr>
                <w:rFonts w:ascii="Times New Roman" w:hAnsi="Times New Roman"/>
                <w:b/>
                <w:noProof/>
              </w:rPr>
              <w:t xml:space="preserve">La Commission: </w:t>
            </w:r>
          </w:p>
          <w:p w14:paraId="012A2E5A" w14:textId="0CB11FD2" w:rsidR="008C68BF" w:rsidRPr="00CE0265" w:rsidRDefault="00E505AB" w:rsidP="00C10F3B">
            <w:pPr>
              <w:numPr>
                <w:ilvl w:val="0"/>
                <w:numId w:val="13"/>
              </w:numPr>
              <w:spacing w:line="259" w:lineRule="auto"/>
              <w:contextualSpacing/>
              <w:jc w:val="both"/>
              <w:rPr>
                <w:rFonts w:ascii="Times New Roman" w:eastAsia="Aptos" w:hAnsi="Times New Roman" w:cs="Times New Roman"/>
                <w:noProof/>
              </w:rPr>
            </w:pPr>
            <w:r w:rsidRPr="00CE0265">
              <w:rPr>
                <w:rFonts w:ascii="Times New Roman" w:hAnsi="Times New Roman"/>
                <w:noProof/>
              </w:rPr>
              <w:t>appliquera les principes de financement élaborés dans la stratégie à tous les instruments de financement, y compris les actions pertinentes visant à soutenir l’innovation dans les ports au titre d’Horizon Europe 2028-2034;</w:t>
            </w:r>
          </w:p>
          <w:p w14:paraId="032AF194" w14:textId="4232BCD4" w:rsidR="00493C16" w:rsidRPr="00CE0265" w:rsidRDefault="00493C16" w:rsidP="00C10F3B">
            <w:pPr>
              <w:numPr>
                <w:ilvl w:val="0"/>
                <w:numId w:val="13"/>
              </w:numPr>
              <w:spacing w:line="259" w:lineRule="auto"/>
              <w:contextualSpacing/>
              <w:jc w:val="both"/>
              <w:rPr>
                <w:rFonts w:ascii="Times New Roman" w:eastAsia="Aptos" w:hAnsi="Times New Roman" w:cs="Times New Roman"/>
                <w:noProof/>
              </w:rPr>
            </w:pPr>
            <w:r w:rsidRPr="00CE0265">
              <w:rPr>
                <w:rFonts w:ascii="Times New Roman" w:hAnsi="Times New Roman"/>
                <w:noProof/>
              </w:rPr>
              <w:t>accordera la priorité au soutien au développement de l’alimentation électrique à quai dans les ports, dans le cadre d’un appel à propositions au titre du MIE en 2026;</w:t>
            </w:r>
          </w:p>
          <w:p w14:paraId="38BF2128" w14:textId="3A6291C0" w:rsidR="008C68BF" w:rsidRPr="00CE0265" w:rsidRDefault="00E505AB" w:rsidP="00C10F3B">
            <w:pPr>
              <w:numPr>
                <w:ilvl w:val="0"/>
                <w:numId w:val="13"/>
              </w:numPr>
              <w:spacing w:line="259" w:lineRule="auto"/>
              <w:contextualSpacing/>
              <w:jc w:val="both"/>
              <w:rPr>
                <w:rFonts w:ascii="Times New Roman" w:eastAsia="Aptos" w:hAnsi="Times New Roman" w:cs="Times New Roman"/>
                <w:b/>
                <w:bCs/>
                <w:noProof/>
              </w:rPr>
            </w:pPr>
            <w:r w:rsidRPr="00CE0265">
              <w:rPr>
                <w:rFonts w:ascii="Times New Roman" w:hAnsi="Times New Roman"/>
                <w:noProof/>
              </w:rPr>
              <w:t>utilisera au mieux les fonds disponibles au titre du CFP actuel à l’appui des priorités de la stratégie;</w:t>
            </w:r>
          </w:p>
          <w:p w14:paraId="1767C5DD" w14:textId="727E3C7A" w:rsidR="008C68BF" w:rsidRPr="00CE0265" w:rsidRDefault="00C70E90" w:rsidP="00C10F3B">
            <w:pPr>
              <w:numPr>
                <w:ilvl w:val="0"/>
                <w:numId w:val="13"/>
              </w:numPr>
              <w:spacing w:line="259" w:lineRule="auto"/>
              <w:contextualSpacing/>
              <w:jc w:val="both"/>
              <w:rPr>
                <w:rFonts w:ascii="Times New Roman" w:eastAsia="Aptos" w:hAnsi="Times New Roman" w:cs="Times New Roman"/>
                <w:noProof/>
              </w:rPr>
            </w:pPr>
            <w:r w:rsidRPr="00CE0265">
              <w:rPr>
                <w:rFonts w:ascii="Times New Roman" w:hAnsi="Times New Roman"/>
                <w:noProof/>
              </w:rPr>
              <w:t>demandera à la plateforme de conseil de la BEI, par l’intermédiaire de JASPERS, de fournir un soutien au renforcement des capacités spécifiquement pour les ports du RTE-T de petite et moyenne taille;</w:t>
            </w:r>
          </w:p>
          <w:p w14:paraId="031E69F5" w14:textId="6FE30A54" w:rsidR="008C68BF" w:rsidRPr="00CE0265" w:rsidRDefault="00C70E90" w:rsidP="00C10F3B">
            <w:pPr>
              <w:numPr>
                <w:ilvl w:val="0"/>
                <w:numId w:val="13"/>
              </w:numPr>
              <w:spacing w:line="259" w:lineRule="auto"/>
              <w:contextualSpacing/>
              <w:jc w:val="both"/>
              <w:rPr>
                <w:rFonts w:ascii="Times New Roman" w:eastAsia="Aptos" w:hAnsi="Times New Roman" w:cs="Times New Roman"/>
                <w:noProof/>
              </w:rPr>
            </w:pPr>
            <w:r w:rsidRPr="00CE0265">
              <w:rPr>
                <w:rFonts w:ascii="Times New Roman" w:hAnsi="Times New Roman"/>
                <w:noProof/>
              </w:rPr>
              <w:t>coopérera avec les banques et institutions nationales de développement et les parties prenantes financières du secteur privé afin de trouver des solutions de financement supplémentaires pour les ports et les opérateurs maritimes et de navigation intérieure.</w:t>
            </w:r>
          </w:p>
          <w:p w14:paraId="40D39819" w14:textId="77777777" w:rsidR="008C68BF" w:rsidRPr="00CE0265" w:rsidRDefault="008C68BF" w:rsidP="008C68BF">
            <w:pPr>
              <w:spacing w:line="259" w:lineRule="auto"/>
              <w:jc w:val="both"/>
              <w:rPr>
                <w:rFonts w:ascii="Times New Roman" w:eastAsia="Aptos" w:hAnsi="Times New Roman" w:cs="Times New Roman"/>
                <w:b/>
                <w:bCs/>
                <w:noProof/>
              </w:rPr>
            </w:pPr>
          </w:p>
          <w:p w14:paraId="107EC47D" w14:textId="77777777" w:rsidR="008C68BF" w:rsidRPr="00CE0265" w:rsidRDefault="008C68BF" w:rsidP="008C68BF">
            <w:pPr>
              <w:spacing w:line="259" w:lineRule="auto"/>
              <w:jc w:val="both"/>
              <w:rPr>
                <w:rFonts w:ascii="Times New Roman" w:eastAsia="Aptos" w:hAnsi="Times New Roman" w:cs="Times New Roman"/>
                <w:b/>
                <w:noProof/>
              </w:rPr>
            </w:pPr>
            <w:r w:rsidRPr="00CE0265">
              <w:rPr>
                <w:rFonts w:ascii="Times New Roman" w:hAnsi="Times New Roman"/>
                <w:b/>
                <w:noProof/>
              </w:rPr>
              <w:t>La BEI est invitée à:</w:t>
            </w:r>
          </w:p>
          <w:p w14:paraId="6A44ABE0" w14:textId="74103C03" w:rsidR="008C68BF" w:rsidRPr="00CE0265" w:rsidRDefault="00C70E90" w:rsidP="00C10F3B">
            <w:pPr>
              <w:numPr>
                <w:ilvl w:val="0"/>
                <w:numId w:val="11"/>
              </w:numPr>
              <w:spacing w:line="259" w:lineRule="auto"/>
              <w:contextualSpacing/>
              <w:jc w:val="both"/>
              <w:rPr>
                <w:rFonts w:ascii="Times New Roman" w:eastAsia="Aptos" w:hAnsi="Times New Roman" w:cs="Times New Roman"/>
                <w:noProof/>
              </w:rPr>
            </w:pPr>
            <w:r w:rsidRPr="00CE0265">
              <w:rPr>
                <w:rFonts w:ascii="Times New Roman" w:hAnsi="Times New Roman"/>
                <w:noProof/>
              </w:rPr>
              <w:t>continuer d’apporter une aide financière et des services de conseil au secteur et poursuivre le dialogue avec la Commission, les États membres, les co-bailleurs et le secteur d’activité afin de faire progresser les priorités de la stratégie et d’améliorer l’accès au financement et à l’assistance technique pour les ports et les entreprises de toutes tailles, notamment pour les petits exploitants, les ports de petite taille et les PME du secteur portuaire.</w:t>
            </w:r>
          </w:p>
          <w:p w14:paraId="6782A09E" w14:textId="77777777" w:rsidR="008C68BF" w:rsidRPr="00CE0265" w:rsidRDefault="008C68BF" w:rsidP="008C68BF">
            <w:pPr>
              <w:spacing w:line="259" w:lineRule="auto"/>
              <w:rPr>
                <w:rFonts w:ascii="Times New Roman" w:eastAsia="Aptos" w:hAnsi="Times New Roman" w:cs="Times New Roman"/>
                <w:b/>
                <w:bCs/>
                <w:noProof/>
                <w:sz w:val="28"/>
                <w:szCs w:val="28"/>
              </w:rPr>
            </w:pPr>
          </w:p>
          <w:p w14:paraId="1958AAFD" w14:textId="46951F9E" w:rsidR="008C68BF" w:rsidRPr="00CE0265" w:rsidRDefault="008C68BF" w:rsidP="008C68BF">
            <w:pPr>
              <w:spacing w:line="259" w:lineRule="auto"/>
              <w:rPr>
                <w:rFonts w:ascii="Times New Roman" w:eastAsia="Aptos" w:hAnsi="Times New Roman" w:cs="Times New Roman"/>
                <w:b/>
                <w:bCs/>
                <w:noProof/>
              </w:rPr>
            </w:pPr>
            <w:r w:rsidRPr="00CE0265">
              <w:rPr>
                <w:rFonts w:ascii="Times New Roman" w:hAnsi="Times New Roman"/>
                <w:b/>
                <w:noProof/>
              </w:rPr>
              <w:t xml:space="preserve">Les États membres et les régions sont invités à: </w:t>
            </w:r>
          </w:p>
          <w:p w14:paraId="79A45A5D" w14:textId="28F88F7F" w:rsidR="008C68BF" w:rsidRPr="00CE0265" w:rsidRDefault="00C70E90" w:rsidP="00C10F3B">
            <w:pPr>
              <w:numPr>
                <w:ilvl w:val="0"/>
                <w:numId w:val="7"/>
              </w:numPr>
              <w:spacing w:line="259" w:lineRule="auto"/>
              <w:contextualSpacing/>
              <w:jc w:val="both"/>
              <w:rPr>
                <w:rFonts w:ascii="Times New Roman" w:eastAsia="Aptos" w:hAnsi="Times New Roman" w:cs="Times New Roman"/>
                <w:noProof/>
              </w:rPr>
            </w:pPr>
            <w:r w:rsidRPr="00CE0265">
              <w:rPr>
                <w:rFonts w:ascii="Times New Roman" w:hAnsi="Times New Roman"/>
                <w:noProof/>
              </w:rPr>
              <w:t>en fonction des circonstances et des besoins locaux, promouvoir le développement de leurs ports.</w:t>
            </w:r>
          </w:p>
          <w:p w14:paraId="312B934E" w14:textId="77777777" w:rsidR="008C68BF" w:rsidRPr="00CE0265" w:rsidRDefault="008C68BF" w:rsidP="008C68BF">
            <w:pPr>
              <w:spacing w:line="259" w:lineRule="auto"/>
              <w:jc w:val="both"/>
              <w:rPr>
                <w:rFonts w:ascii="Times New Roman" w:eastAsia="Aptos" w:hAnsi="Times New Roman" w:cs="Times New Roman"/>
                <w:noProof/>
              </w:rPr>
            </w:pPr>
          </w:p>
          <w:p w14:paraId="6FBED201" w14:textId="77777777" w:rsidR="008C68BF" w:rsidRPr="00CE0265" w:rsidRDefault="008C68BF" w:rsidP="008C68BF">
            <w:pPr>
              <w:spacing w:line="259" w:lineRule="auto"/>
              <w:jc w:val="both"/>
              <w:rPr>
                <w:rFonts w:ascii="Times New Roman" w:eastAsia="Aptos" w:hAnsi="Times New Roman" w:cs="Times New Roman"/>
                <w:b/>
                <w:noProof/>
              </w:rPr>
            </w:pPr>
            <w:r w:rsidRPr="00CE0265">
              <w:rPr>
                <w:rFonts w:ascii="Times New Roman" w:hAnsi="Times New Roman"/>
                <w:b/>
                <w:noProof/>
              </w:rPr>
              <w:t>Les parties prenantes du secteur sont invitées à:</w:t>
            </w:r>
          </w:p>
          <w:p w14:paraId="068B52D3" w14:textId="05B5817B" w:rsidR="008C68BF" w:rsidRPr="00CE0265" w:rsidRDefault="00C70E90" w:rsidP="00C10F3B">
            <w:pPr>
              <w:numPr>
                <w:ilvl w:val="0"/>
                <w:numId w:val="12"/>
              </w:numPr>
              <w:spacing w:line="259" w:lineRule="auto"/>
              <w:contextualSpacing/>
              <w:jc w:val="both"/>
              <w:rPr>
                <w:rFonts w:ascii="Times New Roman" w:eastAsia="Aptos" w:hAnsi="Times New Roman" w:cs="Times New Roman"/>
                <w:noProof/>
              </w:rPr>
            </w:pPr>
            <w:r w:rsidRPr="00CE0265">
              <w:rPr>
                <w:rFonts w:ascii="Times New Roman" w:hAnsi="Times New Roman"/>
                <w:noProof/>
              </w:rPr>
              <w:t>poursuivre des stratégies tournées vers l’avenir, originales, intégrant des technologies de pointe et des pratiques durables innovantes.</w:t>
            </w:r>
          </w:p>
        </w:tc>
      </w:tr>
    </w:tbl>
    <w:p w14:paraId="396D84DF" w14:textId="3EE42EB2" w:rsidR="008C68BF" w:rsidRPr="00CE0265" w:rsidRDefault="00E05079" w:rsidP="008C68BF">
      <w:pPr>
        <w:rPr>
          <w:rFonts w:ascii="Times New Roman" w:eastAsia="Aptos" w:hAnsi="Times New Roman" w:cs="Times New Roman"/>
          <w:b/>
          <w:bCs/>
          <w:noProof/>
          <w:sz w:val="28"/>
          <w:szCs w:val="28"/>
          <w:u w:val="single"/>
        </w:rPr>
      </w:pPr>
      <w:r w:rsidRPr="00CE0265">
        <w:rPr>
          <w:rFonts w:ascii="Times New Roman" w:hAnsi="Times New Roman"/>
          <w:b/>
          <w:noProof/>
          <w:sz w:val="28"/>
          <w:u w:val="single"/>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C68BF" w:rsidRPr="00CE0265" w14:paraId="10FDFA9C" w14:textId="77777777" w:rsidTr="5B0F044D">
        <w:tc>
          <w:tcPr>
            <w:tcW w:w="9016" w:type="dxa"/>
          </w:tcPr>
          <w:p w14:paraId="398F29B7" w14:textId="01790340" w:rsidR="008C68BF" w:rsidRPr="00CE0265" w:rsidRDefault="008C68BF" w:rsidP="008C68BF">
            <w:pPr>
              <w:spacing w:line="259" w:lineRule="auto"/>
              <w:rPr>
                <w:rFonts w:ascii="Times New Roman" w:eastAsia="Aptos" w:hAnsi="Times New Roman" w:cs="Times New Roman"/>
                <w:b/>
                <w:bCs/>
                <w:noProof/>
                <w:u w:val="single"/>
              </w:rPr>
            </w:pPr>
            <w:r w:rsidRPr="00CE0265">
              <w:rPr>
                <w:rFonts w:ascii="Times New Roman" w:hAnsi="Times New Roman"/>
                <w:b/>
                <w:noProof/>
                <w:u w:val="single"/>
              </w:rPr>
              <w:t xml:space="preserve">Pilier V – COHÉSION SOCIALE, COMPÉTENCES ET EMPLOIS DE QUALITÉ </w:t>
            </w:r>
          </w:p>
          <w:p w14:paraId="44402EFE" w14:textId="77777777" w:rsidR="008C68BF" w:rsidRPr="00CE0265" w:rsidRDefault="008C68BF" w:rsidP="008C68BF">
            <w:pPr>
              <w:spacing w:line="259" w:lineRule="auto"/>
              <w:rPr>
                <w:rFonts w:ascii="Times New Roman" w:eastAsia="Aptos" w:hAnsi="Times New Roman" w:cs="Times New Roman"/>
                <w:b/>
                <w:bCs/>
                <w:noProof/>
                <w:sz w:val="28"/>
                <w:szCs w:val="28"/>
                <w:u w:val="single"/>
              </w:rPr>
            </w:pPr>
          </w:p>
          <w:p w14:paraId="6D57941F"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La Commission: </w:t>
            </w:r>
          </w:p>
          <w:p w14:paraId="53DA5EE6" w14:textId="666C6C21"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continuera de favoriser la cohésion territoriale et la connectivité des îles et des régions ultrapériphériques, notamment celles confrontées à des défis démographique</w:t>
            </w:r>
            <w:r w:rsidR="00D46380">
              <w:rPr>
                <w:rFonts w:ascii="Times New Roman" w:hAnsi="Times New Roman"/>
                <w:noProof/>
              </w:rPr>
              <w:t>s</w:t>
            </w:r>
            <w:r w:rsidRPr="00CE0265">
              <w:rPr>
                <w:rFonts w:ascii="Times New Roman" w:hAnsi="Times New Roman"/>
                <w:noProof/>
              </w:rPr>
              <w:t>;</w:t>
            </w:r>
          </w:p>
          <w:p w14:paraId="7B777E49" w14:textId="7A983ECD"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2026, inclura des mesures visant à renforcer les contributions économiques, environnementales et sociales des ports aux communautés locales dans le cadre des futures stratégies pour les communautés côtières et les îles;</w:t>
            </w:r>
          </w:p>
          <w:p w14:paraId="3234A377" w14:textId="3DAE3349"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à partir de 2026, intensifiera les dialogues et soutiendra l’élaboration de bonnes pratiques et d’orientations sur le renforcement des relations entre les ports et les villes;</w:t>
            </w:r>
          </w:p>
          <w:p w14:paraId="70BB9D84" w14:textId="242AAFFF" w:rsidR="00450EF1" w:rsidRPr="00CE0265" w:rsidRDefault="00450EF1"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en 2026, soutiendra les ports de petite et moyenne taille au moyen d’une feuille de route spécifique (annexe 2);</w:t>
            </w:r>
          </w:p>
          <w:p w14:paraId="4B6802F3" w14:textId="7D63B66D" w:rsidR="00E46F62" w:rsidRPr="00CE0265" w:rsidRDefault="00BF6B9C"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 xml:space="preserve">en 2026, publiera une feuille de route pour la transition énergétique dans les secteurs de la pêche et de l’aquaculture de l’UE; </w:t>
            </w:r>
          </w:p>
          <w:p w14:paraId="76A87036" w14:textId="317FB2A1" w:rsidR="00BA23D8" w:rsidRPr="00CE0265" w:rsidRDefault="00C70E90" w:rsidP="00C10F3B">
            <w:pPr>
              <w:numPr>
                <w:ilvl w:val="0"/>
                <w:numId w:val="14"/>
              </w:numPr>
              <w:spacing w:line="259" w:lineRule="auto"/>
              <w:contextualSpacing/>
              <w:jc w:val="both"/>
              <w:rPr>
                <w:rFonts w:ascii="Times New Roman" w:eastAsia="Times New Roman" w:hAnsi="Times New Roman" w:cs="Times New Roman"/>
                <w:noProof/>
                <w:color w:val="000000"/>
              </w:rPr>
            </w:pPr>
            <w:r w:rsidRPr="00CE0265">
              <w:rPr>
                <w:rFonts w:ascii="Times New Roman" w:hAnsi="Times New Roman"/>
                <w:noProof/>
              </w:rPr>
              <w:t>en 2027, aidera à créer une nouvelle génération de main-d’œuvre qualifiée dans tous les secteurs de l’économie bleue, y compris les ports, au moyen d’actions menées dans le cadre de la stratégie de renouvellement de la génération bleue;</w:t>
            </w:r>
          </w:p>
          <w:p w14:paraId="73F4CD0E" w14:textId="429F42EA" w:rsidR="00D27C57" w:rsidRPr="00CE0265" w:rsidRDefault="00D27C57" w:rsidP="00C10F3B">
            <w:pPr>
              <w:numPr>
                <w:ilvl w:val="0"/>
                <w:numId w:val="14"/>
              </w:numPr>
              <w:spacing w:line="259" w:lineRule="auto"/>
              <w:contextualSpacing/>
              <w:jc w:val="both"/>
              <w:rPr>
                <w:rFonts w:ascii="Times New Roman" w:eastAsia="Aptos" w:hAnsi="Times New Roman" w:cs="Times New Roman"/>
                <w:bCs/>
                <w:noProof/>
              </w:rPr>
            </w:pPr>
            <w:r w:rsidRPr="00CE0265">
              <w:rPr>
                <w:rFonts w:ascii="Times New Roman" w:hAnsi="Times New Roman"/>
                <w:noProof/>
              </w:rPr>
              <w:t>d’ici 2027, élaborera des orientations sur l’application de la législation en matière de sécurité maritime aux travailleurs portuaires à bord des navires;</w:t>
            </w:r>
          </w:p>
          <w:p w14:paraId="17AF7E0F" w14:textId="1C51558D" w:rsidR="008C68BF" w:rsidRPr="00CE0265" w:rsidRDefault="00C70E90" w:rsidP="00C10F3B">
            <w:pPr>
              <w:numPr>
                <w:ilvl w:val="0"/>
                <w:numId w:val="14"/>
              </w:numPr>
              <w:spacing w:line="259" w:lineRule="auto"/>
              <w:contextualSpacing/>
              <w:jc w:val="both"/>
              <w:rPr>
                <w:rFonts w:ascii="Times New Roman" w:eastAsia="Aptos" w:hAnsi="Times New Roman" w:cs="Times New Roman"/>
                <w:b/>
                <w:noProof/>
              </w:rPr>
            </w:pPr>
            <w:r w:rsidRPr="00CE0265">
              <w:rPr>
                <w:rFonts w:ascii="Times New Roman" w:hAnsi="Times New Roman"/>
                <w:noProof/>
                <w:color w:val="000000"/>
              </w:rPr>
              <w:t>à partir de 2026, appuiera la poursuite de recherches et l’élaboration d’orientations sur la manipulation sûre des carburants alternatifs, renouvelables et à émissions de carbone faibles ou nulles dans la zone portuaire dans le cadre d’Horizon Europe;</w:t>
            </w:r>
          </w:p>
          <w:p w14:paraId="559328A7" w14:textId="4E94229E" w:rsidR="008C68BF" w:rsidRPr="00CE0265" w:rsidRDefault="00C70E90" w:rsidP="00C10F3B">
            <w:pPr>
              <w:numPr>
                <w:ilvl w:val="0"/>
                <w:numId w:val="14"/>
              </w:numPr>
              <w:spacing w:line="259" w:lineRule="auto"/>
              <w:contextualSpacing/>
              <w:jc w:val="both"/>
              <w:rPr>
                <w:rFonts w:ascii="Times New Roman" w:eastAsia="Aptos" w:hAnsi="Times New Roman" w:cs="Times New Roman"/>
                <w:bCs/>
                <w:noProof/>
              </w:rPr>
            </w:pPr>
            <w:r w:rsidRPr="00CE0265">
              <w:rPr>
                <w:rFonts w:ascii="Times New Roman" w:hAnsi="Times New Roman"/>
                <w:noProof/>
              </w:rPr>
              <w:t xml:space="preserve">d’ici 2027, préparera des documents d’orientation et de formation sur la manipulation sûre des carburants alternatifs. </w:t>
            </w:r>
          </w:p>
          <w:p w14:paraId="098B6E94" w14:textId="77777777" w:rsidR="008C68BF" w:rsidRPr="00CE0265" w:rsidRDefault="008C68BF" w:rsidP="008C68BF">
            <w:pPr>
              <w:spacing w:line="259" w:lineRule="auto"/>
              <w:jc w:val="both"/>
              <w:rPr>
                <w:rFonts w:ascii="Times New Roman" w:eastAsia="Aptos" w:hAnsi="Times New Roman" w:cs="Times New Roman"/>
                <w:b/>
                <w:bCs/>
                <w:noProof/>
                <w:sz w:val="28"/>
                <w:szCs w:val="28"/>
              </w:rPr>
            </w:pPr>
          </w:p>
          <w:p w14:paraId="451DEA6C"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Les États membres sont invités à: </w:t>
            </w:r>
          </w:p>
          <w:p w14:paraId="27B71617" w14:textId="39B24E3D" w:rsidR="008C68BF" w:rsidRPr="00CE0265" w:rsidRDefault="008C68BF"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soutenir les améliorations en matière d’infrastructures, d’énergie et de carburants propres, de sécurité et de durabilité pour les ports de petite et moyenne taille, notamment dans les îles et les régions éloignées et ultrapériphériques;</w:t>
            </w:r>
          </w:p>
          <w:p w14:paraId="35D73690" w14:textId="17E04B7A" w:rsidR="008C68BF" w:rsidRPr="00CE0265" w:rsidRDefault="009F140A"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color w:val="000000"/>
              </w:rPr>
              <w:t>soutenir les améliorations en matière de sécurité et de durabilité dans les ports et garantir la mise en œuvre et le respect de la législation du travail et des conventions collectives de l’Union et des États membres.</w:t>
            </w:r>
          </w:p>
          <w:p w14:paraId="1C5513B9" w14:textId="77777777" w:rsidR="008C68BF" w:rsidRPr="00CE0265" w:rsidRDefault="008C68BF" w:rsidP="008C68BF">
            <w:pPr>
              <w:spacing w:line="259" w:lineRule="auto"/>
              <w:jc w:val="both"/>
              <w:rPr>
                <w:rFonts w:ascii="Times New Roman" w:eastAsia="Aptos" w:hAnsi="Times New Roman" w:cs="Times New Roman"/>
                <w:noProof/>
              </w:rPr>
            </w:pPr>
          </w:p>
          <w:p w14:paraId="06E258C8" w14:textId="77777777" w:rsidR="008C68BF" w:rsidRPr="00CE0265" w:rsidRDefault="008C68BF" w:rsidP="008C68BF">
            <w:pPr>
              <w:spacing w:line="259" w:lineRule="auto"/>
              <w:jc w:val="both"/>
              <w:rPr>
                <w:rFonts w:ascii="Times New Roman" w:eastAsia="Aptos" w:hAnsi="Times New Roman" w:cs="Times New Roman"/>
                <w:b/>
                <w:bCs/>
                <w:noProof/>
              </w:rPr>
            </w:pPr>
            <w:r w:rsidRPr="00CE0265">
              <w:rPr>
                <w:rFonts w:ascii="Times New Roman" w:hAnsi="Times New Roman"/>
                <w:b/>
                <w:noProof/>
              </w:rPr>
              <w:t xml:space="preserve">Les partenaires sociaux et les autres parties prenantes du secteur sont invités à: </w:t>
            </w:r>
          </w:p>
          <w:p w14:paraId="3474A974" w14:textId="5BFFE092"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établir un partenariat spécifique en matière de compétences pour le secteur portuaire afin de contribuer au perfectionnement, à la reconversion et à l’inclusion des travailleurs.</w:t>
            </w:r>
          </w:p>
          <w:p w14:paraId="7A9594D7" w14:textId="77777777" w:rsidR="008C68BF" w:rsidRPr="00CE0265" w:rsidRDefault="008C68BF" w:rsidP="008C68BF">
            <w:pPr>
              <w:jc w:val="both"/>
              <w:rPr>
                <w:rFonts w:ascii="Times New Roman" w:eastAsia="Aptos" w:hAnsi="Times New Roman" w:cs="Times New Roman"/>
                <w:noProof/>
              </w:rPr>
            </w:pPr>
          </w:p>
          <w:p w14:paraId="577BE3CE" w14:textId="77777777" w:rsidR="008C68BF" w:rsidRPr="00CE0265" w:rsidRDefault="008C68BF" w:rsidP="008C68BF">
            <w:pPr>
              <w:jc w:val="both"/>
              <w:rPr>
                <w:rFonts w:ascii="Times New Roman" w:eastAsia="Aptos" w:hAnsi="Times New Roman" w:cs="Times New Roman"/>
                <w:b/>
                <w:bCs/>
                <w:noProof/>
              </w:rPr>
            </w:pPr>
            <w:r w:rsidRPr="00CE0265">
              <w:rPr>
                <w:rFonts w:ascii="Times New Roman" w:hAnsi="Times New Roman"/>
                <w:b/>
                <w:noProof/>
              </w:rPr>
              <w:t xml:space="preserve">L’industrie maritime est invitée à: </w:t>
            </w:r>
          </w:p>
          <w:p w14:paraId="46DF3EA9" w14:textId="0257291E"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coopérer avec le partenariat à grande échelle pour l’écosystème numérique dans le cadre du pacte pour les compétences afin de soutenir le perfectionnement des compétences numériques dans le secteur portuaire;</w:t>
            </w:r>
          </w:p>
          <w:p w14:paraId="5B596ED6" w14:textId="40AA0BA9" w:rsidR="008C68BF" w:rsidRPr="00CE0265" w:rsidRDefault="00C70E90" w:rsidP="00C10F3B">
            <w:pPr>
              <w:numPr>
                <w:ilvl w:val="0"/>
                <w:numId w:val="14"/>
              </w:numPr>
              <w:spacing w:line="259" w:lineRule="auto"/>
              <w:contextualSpacing/>
              <w:jc w:val="both"/>
              <w:rPr>
                <w:rFonts w:ascii="Times New Roman" w:eastAsia="Aptos" w:hAnsi="Times New Roman" w:cs="Times New Roman"/>
                <w:noProof/>
              </w:rPr>
            </w:pPr>
            <w:r w:rsidRPr="00CE0265">
              <w:rPr>
                <w:rFonts w:ascii="Times New Roman" w:hAnsi="Times New Roman"/>
                <w:noProof/>
              </w:rPr>
              <w:t>présenter des engagements dans le cadre de l’Académie des compétences en matière de cybersécurité et utiliser l’outil que constitue le cadre européen des compétences en matière de cybersécurité (ECSF) pour les professionnels portuaires.</w:t>
            </w:r>
          </w:p>
        </w:tc>
      </w:tr>
    </w:tbl>
    <w:p w14:paraId="184244B9" w14:textId="77777777" w:rsidR="00FE7241" w:rsidRPr="00203A07" w:rsidRDefault="00FE7241" w:rsidP="00E1100C">
      <w:pPr>
        <w:pStyle w:val="Heading1"/>
        <w:keepLines w:val="0"/>
        <w:spacing w:before="120" w:after="120" w:line="240" w:lineRule="auto"/>
        <w:jc w:val="both"/>
        <w:rPr>
          <w:rFonts w:ascii="Times New Roman" w:hAnsi="Times New Roman" w:cs="Times New Roman"/>
          <w:noProof/>
        </w:rPr>
      </w:pPr>
    </w:p>
    <w:sectPr w:rsidR="00FE7241" w:rsidRPr="00203A07" w:rsidSect="00E1100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F6239" w14:textId="77777777" w:rsidR="00A80491" w:rsidRPr="00CE0265" w:rsidRDefault="00A80491" w:rsidP="00AE683E">
      <w:pPr>
        <w:spacing w:after="0" w:line="240" w:lineRule="auto"/>
      </w:pPr>
      <w:r w:rsidRPr="00CE0265">
        <w:separator/>
      </w:r>
    </w:p>
  </w:endnote>
  <w:endnote w:type="continuationSeparator" w:id="0">
    <w:p w14:paraId="67369618" w14:textId="77777777" w:rsidR="00A80491" w:rsidRPr="00CE0265" w:rsidRDefault="00A80491" w:rsidP="00AE683E">
      <w:pPr>
        <w:spacing w:after="0" w:line="240" w:lineRule="auto"/>
      </w:pPr>
      <w:r w:rsidRPr="00CE02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7B1B6" w14:textId="207591F5" w:rsidR="00035FB3" w:rsidRPr="00035FB3" w:rsidRDefault="00035FB3" w:rsidP="00035FB3">
    <w:pPr>
      <w:pStyle w:val="FooterCoverPage"/>
      <w:rPr>
        <w:rFonts w:ascii="Arial" w:hAnsi="Arial" w:cs="Arial"/>
        <w:b/>
        <w:sz w:val="48"/>
      </w:rPr>
    </w:pPr>
    <w:r w:rsidRPr="00035FB3">
      <w:rPr>
        <w:rFonts w:ascii="Arial" w:hAnsi="Arial" w:cs="Arial"/>
        <w:b/>
        <w:sz w:val="48"/>
      </w:rPr>
      <w:t>FR</w:t>
    </w:r>
    <w:r w:rsidRPr="00035FB3">
      <w:rPr>
        <w:rFonts w:ascii="Arial" w:hAnsi="Arial" w:cs="Arial"/>
        <w:b/>
        <w:sz w:val="48"/>
      </w:rPr>
      <w:tab/>
    </w:r>
    <w:r w:rsidRPr="00035FB3">
      <w:rPr>
        <w:rFonts w:ascii="Arial" w:hAnsi="Arial" w:cs="Arial"/>
        <w:b/>
        <w:sz w:val="48"/>
      </w:rPr>
      <w:tab/>
    </w:r>
    <w:r w:rsidRPr="00035FB3">
      <w:tab/>
    </w:r>
    <w:r w:rsidRPr="00035FB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970A" w14:textId="4256C83A" w:rsidR="00035FB3" w:rsidRPr="00035FB3" w:rsidRDefault="00035FB3" w:rsidP="00035FB3">
    <w:pPr>
      <w:pStyle w:val="FooterCoverPage"/>
      <w:rPr>
        <w:rFonts w:ascii="Arial" w:hAnsi="Arial" w:cs="Arial"/>
        <w:b/>
        <w:sz w:val="48"/>
      </w:rPr>
    </w:pPr>
    <w:r w:rsidRPr="00035FB3">
      <w:rPr>
        <w:rFonts w:ascii="Arial" w:hAnsi="Arial" w:cs="Arial"/>
        <w:b/>
        <w:sz w:val="48"/>
      </w:rPr>
      <w:t>FR</w:t>
    </w:r>
    <w:r w:rsidRPr="00035FB3">
      <w:rPr>
        <w:rFonts w:ascii="Arial" w:hAnsi="Arial" w:cs="Arial"/>
        <w:b/>
        <w:sz w:val="48"/>
      </w:rPr>
      <w:tab/>
    </w:r>
    <w:r w:rsidRPr="00035FB3">
      <w:rPr>
        <w:rFonts w:ascii="Arial" w:hAnsi="Arial" w:cs="Arial"/>
        <w:b/>
        <w:sz w:val="48"/>
      </w:rPr>
      <w:tab/>
    </w:r>
    <w:r w:rsidRPr="00035FB3">
      <w:tab/>
    </w:r>
    <w:r w:rsidRPr="00035FB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6A31C" w14:textId="77777777" w:rsidR="00035FB3" w:rsidRPr="00035FB3" w:rsidRDefault="00035FB3" w:rsidP="00035F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09D6A" w14:textId="77777777" w:rsidR="00AE683E" w:rsidRPr="00CE0265" w:rsidRDefault="00AE68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C5611" w14:textId="5E53CD6C" w:rsidR="004E7527" w:rsidRPr="00CE0265" w:rsidRDefault="004E7527">
    <w:pPr>
      <w:pStyle w:val="Footer"/>
      <w:jc w:val="center"/>
      <w:rPr>
        <w:rFonts w:ascii="Times New Roman" w:hAnsi="Times New Roman" w:cs="Times New Roman"/>
        <w:caps/>
        <w:sz w:val="16"/>
        <w:szCs w:val="16"/>
      </w:rPr>
    </w:pPr>
    <w:r w:rsidRPr="00CE0265">
      <w:rPr>
        <w:rFonts w:ascii="Times New Roman" w:hAnsi="Times New Roman" w:cs="Times New Roman"/>
        <w:caps/>
        <w:sz w:val="16"/>
      </w:rPr>
      <w:fldChar w:fldCharType="begin"/>
    </w:r>
    <w:r w:rsidRPr="00CE0265">
      <w:rPr>
        <w:rFonts w:ascii="Times New Roman" w:hAnsi="Times New Roman" w:cs="Times New Roman"/>
        <w:caps/>
        <w:sz w:val="16"/>
      </w:rPr>
      <w:instrText xml:space="preserve"> PAGE   \* MERGEFORMAT </w:instrText>
    </w:r>
    <w:r w:rsidRPr="00CE0265">
      <w:rPr>
        <w:rFonts w:ascii="Times New Roman" w:hAnsi="Times New Roman" w:cs="Times New Roman"/>
        <w:caps/>
        <w:sz w:val="16"/>
      </w:rPr>
      <w:fldChar w:fldCharType="separate"/>
    </w:r>
    <w:r w:rsidR="00035FB3">
      <w:rPr>
        <w:rFonts w:ascii="Times New Roman" w:hAnsi="Times New Roman" w:cs="Times New Roman"/>
        <w:caps/>
        <w:noProof/>
        <w:sz w:val="16"/>
      </w:rPr>
      <w:t>1</w:t>
    </w:r>
    <w:r w:rsidRPr="00CE0265">
      <w:rPr>
        <w:rFonts w:ascii="Times New Roman" w:hAnsi="Times New Roman" w:cs="Times New Roman"/>
        <w:caps/>
        <w:sz w:val="16"/>
      </w:rPr>
      <w:fldChar w:fldCharType="end"/>
    </w:r>
  </w:p>
  <w:p w14:paraId="1FD7B62B" w14:textId="1D70627F" w:rsidR="00AE683E" w:rsidRPr="00CE0265" w:rsidRDefault="00AE683E" w:rsidP="004E75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92809" w14:textId="77777777" w:rsidR="00AE683E" w:rsidRPr="00CE0265" w:rsidRDefault="00AE6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08D60" w14:textId="77777777" w:rsidR="00A80491" w:rsidRPr="00CE0265" w:rsidRDefault="00A80491" w:rsidP="00AE683E">
      <w:pPr>
        <w:spacing w:after="0" w:line="240" w:lineRule="auto"/>
      </w:pPr>
      <w:r w:rsidRPr="00CE0265">
        <w:separator/>
      </w:r>
    </w:p>
  </w:footnote>
  <w:footnote w:type="continuationSeparator" w:id="0">
    <w:p w14:paraId="29FC93A5" w14:textId="77777777" w:rsidR="00A80491" w:rsidRPr="00CE0265" w:rsidRDefault="00A80491" w:rsidP="00AE683E">
      <w:pPr>
        <w:spacing w:after="0" w:line="240" w:lineRule="auto"/>
      </w:pPr>
      <w:r w:rsidRPr="00CE0265">
        <w:continuationSeparator/>
      </w:r>
    </w:p>
  </w:footnote>
  <w:footnote w:id="1">
    <w:p w14:paraId="1E217604" w14:textId="644E4DCB" w:rsidR="00396AAF" w:rsidRPr="00CE0265" w:rsidRDefault="00396AAF"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hyperlink r:id="rId1" w:history="1">
        <w:r w:rsidRPr="00CE0265">
          <w:rPr>
            <w:rStyle w:val="Hyperlink"/>
            <w:rFonts w:ascii="Times New Roman" w:hAnsi="Times New Roman"/>
          </w:rPr>
          <w:t>https://ec.europa.eu/eurostat/statistics-explained/index.php?title=Maritime_transport_of_goods_-_annual_data</w:t>
        </w:r>
      </w:hyperlink>
      <w:r w:rsidRPr="00CE0265">
        <w:t>.</w:t>
      </w:r>
      <w:r w:rsidRPr="00CE0265">
        <w:rPr>
          <w:rFonts w:ascii="Times New Roman" w:hAnsi="Times New Roman"/>
        </w:rPr>
        <w:t xml:space="preserve"> </w:t>
      </w:r>
    </w:p>
  </w:footnote>
  <w:footnote w:id="2">
    <w:p w14:paraId="5BA126E3" w14:textId="2B0B3E49"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2" w:history="1">
        <w:r w:rsidRPr="00CE0265">
          <w:rPr>
            <w:rStyle w:val="Hyperlink"/>
            <w:rFonts w:ascii="Times New Roman" w:hAnsi="Times New Roman"/>
          </w:rPr>
          <w:t>https://op.europa.eu/fr/publication-detail/-/publication/0a4a79d8-353f-11f0-8a44-01aa75ed71a1/language-fr</w:t>
        </w:r>
      </w:hyperlink>
      <w:r w:rsidRPr="00CE0265">
        <w:t>.</w:t>
      </w:r>
      <w:r w:rsidRPr="00CE0265">
        <w:rPr>
          <w:rFonts w:ascii="Times New Roman" w:hAnsi="Times New Roman"/>
        </w:rPr>
        <w:t xml:space="preserve"> </w:t>
      </w:r>
    </w:p>
  </w:footnote>
  <w:footnote w:id="3">
    <w:p w14:paraId="505DC69A" w14:textId="6DAF6076"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hyperlink r:id="rId3">
        <w:r w:rsidRPr="00CE0265">
          <w:rPr>
            <w:rStyle w:val="Hyperlink"/>
            <w:rFonts w:ascii="Times New Roman" w:hAnsi="Times New Roman"/>
          </w:rPr>
          <w:t>https://ec.europa.eu/info/law/better-regulation/have-your-say/initiatives/14659-Strategie-portuaire-de-lUE_fr</w:t>
        </w:r>
      </w:hyperlink>
      <w:r w:rsidRPr="00CE0265">
        <w:t>.</w:t>
      </w:r>
    </w:p>
  </w:footnote>
  <w:footnote w:id="4">
    <w:p w14:paraId="3898F09D" w14:textId="62A88BA3"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La stratégie portuaire de l’UE aborde les aspects liés au transport dans les ports maritimes et intérieurs. D’autres secteurs de l’économie bleue, notamment le tourisme, la pêche et les ports de plaisance, sont couverts par le pacte européen pour l’Océan, la stratégie de l’Union pour un tourisme durable et les stratégies européennes pour les régions ultrapériphériques, les régions côtières et les îles.</w:t>
      </w:r>
    </w:p>
  </w:footnote>
  <w:footnote w:id="5">
    <w:p w14:paraId="3A317C5D" w14:textId="34B71E0C" w:rsidR="00D057BE" w:rsidRPr="00CE0265" w:rsidRDefault="00D057BE"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La Commission apporte un soutien par l’intermédiaire de la stratégie «Global Gateway» et des initiatives de la conférence ministérielle sur l’énergie propre telles que «Global Gateway Green Shipping Corridors and Hubs» (GGGSCH) (corridors et plateformes de transport maritime écologique dans le cadre de Global Gateway) et le corridor économique Inde – Moyen-Orient – Europe, ou de projets tels que le «Future-Ready Shipping in Africa» (transport maritime prêt pour l’avenir en Afrique), ainsi que d’éventuelles nouvelles initiatives dans le cadre du pacte pour la Méditerranée</w:t>
      </w:r>
      <w:r w:rsidRPr="00CE0265">
        <w:t>.</w:t>
      </w:r>
      <w:r w:rsidRPr="00CE0265">
        <w:rPr>
          <w:rFonts w:ascii="Times New Roman" w:hAnsi="Times New Roman"/>
        </w:rPr>
        <w:t xml:space="preserve"> L’approche stratégique de l’UE à l’égard de la région de la mer Noire renforcera la coopération avec les pays tiers, les organisations multilatérales et les institutions financières, tout en préservant la compétitivité de l’UE.</w:t>
      </w:r>
    </w:p>
  </w:footnote>
  <w:footnote w:id="6">
    <w:p w14:paraId="776B7E3F" w14:textId="77777777" w:rsidR="00A90206" w:rsidRPr="00CE0265" w:rsidRDefault="00A90206"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4" w:history="1">
        <w:r w:rsidRPr="00CE0265">
          <w:rPr>
            <w:rStyle w:val="Hyperlink"/>
            <w:rFonts w:ascii="Times New Roman" w:hAnsi="Times New Roman"/>
          </w:rPr>
          <w:t>https://single-market-economy.ec.europa.eu/single-market/goods/european-standards/standardisation-policy_fr</w:t>
        </w:r>
      </w:hyperlink>
      <w:r w:rsidRPr="00CE0265">
        <w:t>.</w:t>
      </w:r>
    </w:p>
  </w:footnote>
  <w:footnote w:id="7">
    <w:p w14:paraId="6C0FE2FC" w14:textId="77777777"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Notamment le règlement sur le filtrage des investissements directs étrangers, le règlement relatif aux subventions étrangères, la directive sur la résilience des entités critiques et la directive SRI 2, qui couvre également les aspects liés à la cybersécurité.</w:t>
      </w:r>
    </w:p>
  </w:footnote>
  <w:footnote w:id="8">
    <w:p w14:paraId="315B40E6" w14:textId="314A03AA" w:rsidR="00E1100C" w:rsidRPr="00CE0265" w:rsidRDefault="00E1100C" w:rsidP="00A31532">
      <w:pPr>
        <w:pStyle w:val="FootnoteText"/>
        <w:jc w:val="both"/>
        <w:rPr>
          <w:rFonts w:ascii="Times New Roman" w:hAnsi="Times New Roman" w:cs="Times New Roman"/>
        </w:rPr>
      </w:pPr>
      <w:r w:rsidRPr="00CE0265">
        <w:rPr>
          <w:rFonts w:ascii="Times New Roman" w:hAnsi="Times New Roman" w:cs="Times New Roman"/>
          <w:vertAlign w:val="superscript"/>
        </w:rPr>
        <w:footnoteRef/>
      </w:r>
      <w:r w:rsidRPr="00CE0265">
        <w:rPr>
          <w:rFonts w:ascii="Times New Roman" w:hAnsi="Times New Roman"/>
          <w:vertAlign w:val="superscript"/>
        </w:rPr>
        <w:t xml:space="preserve"> </w:t>
      </w:r>
      <w:r w:rsidRPr="00CE0265">
        <w:rPr>
          <w:rFonts w:ascii="Times New Roman" w:hAnsi="Times New Roman"/>
        </w:rPr>
        <w:t>JOIN (2025) 977.</w:t>
      </w:r>
    </w:p>
  </w:footnote>
  <w:footnote w:id="9">
    <w:p w14:paraId="14D58542" w14:textId="1728EF40"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847 final.</w:t>
      </w:r>
    </w:p>
  </w:footnote>
  <w:footnote w:id="10">
    <w:p w14:paraId="5E65F650" w14:textId="23B1CD67"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L’initiative «Ports du futur», incluse dans le programme de travail 2026/2027 d’Horizon Europe, encourage la reproduction dans les ports de petite et moyenne taille. L’initiative phare «</w:t>
      </w:r>
      <w:r w:rsidRPr="00CE0265">
        <w:rPr>
          <w:rFonts w:ascii="Times New Roman" w:hAnsi="Times New Roman"/>
          <w:color w:val="000000" w:themeColor="text1"/>
        </w:rPr>
        <w:t>Plan stratégique européen pour les technologies énergétiques» réduit les risques liés aux technologies des carburants renouvelables. Horizon 2020 et Horizon Europe ont fourni un montant total de 218 millions d’euros pour soutenir l’innovation dans les ports.</w:t>
      </w:r>
    </w:p>
  </w:footnote>
  <w:footnote w:id="11">
    <w:p w14:paraId="3C4B91A1" w14:textId="77777777" w:rsidR="005E4BC1" w:rsidRPr="00CE0265" w:rsidRDefault="005E4BC1" w:rsidP="005E4BC1">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5" w:history="1">
        <w:r w:rsidRPr="00CE0265">
          <w:rPr>
            <w:rStyle w:val="Hyperlink"/>
            <w:rFonts w:ascii="Times New Roman" w:hAnsi="Times New Roman"/>
          </w:rPr>
          <w:t>https://maritime-forum.ec.europa.eu/theme/investments/blueinvest_en.</w:t>
        </w:r>
      </w:hyperlink>
      <w:r w:rsidRPr="00CE0265">
        <w:rPr>
          <w:rFonts w:ascii="Times New Roman" w:hAnsi="Times New Roman"/>
        </w:rPr>
        <w:t xml:space="preserve"> </w:t>
      </w:r>
    </w:p>
  </w:footnote>
  <w:footnote w:id="12">
    <w:p w14:paraId="13E439BA" w14:textId="446BB40E"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6" w:history="1">
        <w:r w:rsidRPr="00CE0265">
          <w:rPr>
            <w:rStyle w:val="Hyperlink"/>
            <w:rFonts w:ascii="Times New Roman" w:hAnsi="Times New Roman"/>
          </w:rPr>
          <w:t>https://www.beacon.com/resources/global-port-congestion-2024-year-in-review.</w:t>
        </w:r>
      </w:hyperlink>
      <w:r w:rsidRPr="00CE0265">
        <w:rPr>
          <w:rFonts w:ascii="Times New Roman" w:hAnsi="Times New Roman"/>
        </w:rPr>
        <w:t xml:space="preserve"> </w:t>
      </w:r>
    </w:p>
  </w:footnote>
  <w:footnote w:id="13">
    <w:p w14:paraId="35875B61" w14:textId="77777777"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Drewry, Ports &amp; Terminals Insight, T1 2025, 28.2.2025.</w:t>
      </w:r>
    </w:p>
  </w:footnote>
  <w:footnote w:id="14">
    <w:p w14:paraId="6B7D6DA3" w14:textId="36121731" w:rsidR="00160AD6" w:rsidRPr="00CE0265" w:rsidRDefault="00160AD6"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7" w:history="1">
        <w:r w:rsidRPr="00CE0265">
          <w:rPr>
            <w:rStyle w:val="Hyperlink"/>
            <w:rFonts w:ascii="Times New Roman" w:hAnsi="Times New Roman"/>
          </w:rPr>
          <w:t>http://data.europa.eu/eli/reg_impl/2017/2177/oj</w:t>
        </w:r>
      </w:hyperlink>
      <w:r w:rsidRPr="00CE0265">
        <w:t>.</w:t>
      </w:r>
      <w:r w:rsidRPr="00CE0265">
        <w:rPr>
          <w:rFonts w:ascii="Times New Roman" w:hAnsi="Times New Roman"/>
        </w:rPr>
        <w:t xml:space="preserve"> </w:t>
      </w:r>
    </w:p>
  </w:footnote>
  <w:footnote w:id="15">
    <w:p w14:paraId="1C0D965F" w14:textId="0EA1C41F" w:rsidR="004D5325" w:rsidRPr="00CE0265" w:rsidRDefault="004D5325"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Conformément au règlement (UE) 2024/1679, à l’article 29 du règlement sur les capacités de l’infrastructure ferroviaire et aux dispositions du règlement sur les services portuaires en matière de consultation.</w:t>
      </w:r>
    </w:p>
  </w:footnote>
  <w:footnote w:id="16">
    <w:p w14:paraId="2B7E8053" w14:textId="2165D747" w:rsidR="0048716D" w:rsidRPr="00CE0265" w:rsidRDefault="0048716D"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0391 final.</w:t>
      </w:r>
    </w:p>
  </w:footnote>
  <w:footnote w:id="17">
    <w:p w14:paraId="12D1CFB9" w14:textId="2D11F8E2" w:rsidR="00BB56DA" w:rsidRPr="00CE0265" w:rsidRDefault="00BB56DA"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Telles que le système de guichet unique maritime européen (EMSWe), les informations électroniques relatives au transport de marchandises (eFTI) et la prochaine révision du code des douanes de l’Union. </w:t>
      </w:r>
    </w:p>
  </w:footnote>
  <w:footnote w:id="18">
    <w:p w14:paraId="14FBB532" w14:textId="02FA1A4F"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Dans le cadre du consortium pour une infrastructure européenne de données</w:t>
      </w:r>
      <w:r w:rsidRPr="00CE0265">
        <w:t xml:space="preserve">, </w:t>
      </w:r>
      <w:hyperlink r:id="rId8" w:history="1">
        <w:r w:rsidRPr="00CE0265">
          <w:rPr>
            <w:rStyle w:val="Hyperlink"/>
            <w:rFonts w:ascii="Times New Roman" w:hAnsi="Times New Roman"/>
          </w:rPr>
          <w:t>https://digital-strategy.ec.europa.eu/en/policies/edic</w:t>
        </w:r>
      </w:hyperlink>
      <w:r w:rsidRPr="00CE0265">
        <w:t>.</w:t>
      </w:r>
      <w:r w:rsidRPr="00CE0265">
        <w:rPr>
          <w:rFonts w:ascii="Times New Roman" w:hAnsi="Times New Roman"/>
        </w:rPr>
        <w:t xml:space="preserve"> </w:t>
      </w:r>
    </w:p>
  </w:footnote>
  <w:footnote w:id="19">
    <w:p w14:paraId="4C9CE61B" w14:textId="238A68CF" w:rsidR="00FB3963" w:rsidRPr="00CE0265" w:rsidRDefault="00FB3963"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COM(2013) 295 final.</w:t>
      </w:r>
    </w:p>
  </w:footnote>
  <w:footnote w:id="20">
    <w:p w14:paraId="0B1CE3C5" w14:textId="007E7EC3" w:rsidR="00FB3963" w:rsidRPr="00CE0265" w:rsidRDefault="00FB3963"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9" w:history="1">
        <w:r w:rsidRPr="00CE0265">
          <w:rPr>
            <w:rStyle w:val="Hyperlink"/>
            <w:rFonts w:ascii="Times New Roman" w:hAnsi="Times New Roman"/>
          </w:rPr>
          <w:t>http://data.europa.eu/eli/dec/2025/2630/oj</w:t>
        </w:r>
      </w:hyperlink>
      <w:r w:rsidRPr="00CE0265">
        <w:t>.</w:t>
      </w:r>
      <w:r w:rsidRPr="00CE0265">
        <w:rPr>
          <w:rFonts w:ascii="Times New Roman" w:hAnsi="Times New Roman"/>
        </w:rPr>
        <w:t xml:space="preserve"> </w:t>
      </w:r>
    </w:p>
  </w:footnote>
  <w:footnote w:id="21">
    <w:p w14:paraId="6A975E5A" w14:textId="29A8993A"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ESPO,</w:t>
      </w:r>
      <w:r w:rsidRPr="00CE0265">
        <w:t xml:space="preserve"> </w:t>
      </w:r>
      <w:hyperlink r:id="rId10" w:history="1">
        <w:r w:rsidRPr="00CE0265">
          <w:rPr>
            <w:rStyle w:val="Hyperlink"/>
            <w:rFonts w:ascii="Times New Roman" w:hAnsi="Times New Roman"/>
          </w:rPr>
          <w:t>Rapport environnemental 2025 – «EcoPortsinSights» 2025</w:t>
        </w:r>
      </w:hyperlink>
      <w:r w:rsidRPr="00CE0265">
        <w:t>.</w:t>
      </w:r>
    </w:p>
  </w:footnote>
  <w:footnote w:id="22">
    <w:p w14:paraId="004DC68C" w14:textId="0BAFB1BF" w:rsidR="00137A33" w:rsidRPr="00CE0265" w:rsidRDefault="00137A33"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Il s'agit principalement d’une alimentation électrique à quai à basse tension, l’alimentation électrique à quai à haute tension pour les grands navires restant limitée</w:t>
      </w:r>
      <w:r w:rsidRPr="00CE0265">
        <w:t>.</w:t>
      </w:r>
    </w:p>
  </w:footnote>
  <w:footnote w:id="23">
    <w:p w14:paraId="4C0B86F3" w14:textId="550EF02D"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1" w:history="1">
        <w:r w:rsidRPr="00CE0265">
          <w:rPr>
            <w:rStyle w:val="Hyperlink"/>
            <w:rFonts w:ascii="Times New Roman" w:hAnsi="Times New Roman"/>
          </w:rPr>
          <w:t>https://data.europa.eu/doi/10.2833/7036399</w:t>
        </w:r>
      </w:hyperlink>
      <w:r w:rsidRPr="00CE0265">
        <w:rPr>
          <w:rFonts w:ascii="Times New Roman" w:hAnsi="Times New Roman"/>
        </w:rPr>
        <w:t xml:space="preserve">. </w:t>
      </w:r>
    </w:p>
  </w:footnote>
  <w:footnote w:id="24">
    <w:p w14:paraId="7D3CF83D" w14:textId="1285EBC8"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1006 final.</w:t>
      </w:r>
    </w:p>
  </w:footnote>
  <w:footnote w:id="25">
    <w:p w14:paraId="270C3E76" w14:textId="6A579E39"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Le train de mesures sur les réseaux européens, COM(2025) 1005 final</w:t>
      </w:r>
      <w:r w:rsidRPr="00CE0265">
        <w:t>.</w:t>
      </w:r>
    </w:p>
  </w:footnote>
  <w:footnote w:id="26">
    <w:p w14:paraId="1BC509EA" w14:textId="1372A30D"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Communication de la Commission intitulée «</w:t>
      </w:r>
      <w:r w:rsidRPr="00CE0265">
        <w:rPr>
          <w:rFonts w:ascii="Times New Roman" w:hAnsi="Times New Roman"/>
          <w:i/>
        </w:rPr>
        <w:t>Orientations relatives à l’efficacité et à la rapidité des raccordements au réseau</w:t>
      </w:r>
      <w:r w:rsidRPr="00CE0265">
        <w:rPr>
          <w:rFonts w:ascii="Times New Roman" w:hAnsi="Times New Roman"/>
        </w:rPr>
        <w:t>» (C/2025/6703)</w:t>
      </w:r>
      <w:r w:rsidRPr="00CE0265">
        <w:t>.</w:t>
      </w:r>
    </w:p>
  </w:footnote>
  <w:footnote w:id="27">
    <w:p w14:paraId="527383D8" w14:textId="3025938B" w:rsidR="00826C51" w:rsidRPr="00CE0265" w:rsidRDefault="00826C51"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1007 final.</w:t>
      </w:r>
    </w:p>
  </w:footnote>
  <w:footnote w:id="28">
    <w:p w14:paraId="0FD940FD" w14:textId="6F30CA47"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Notamment le règlement sur le déploiement d’une infrastructure pour carburants alternatifs, le règlement FuelEU Maritime, l’inclusion du transport maritime dans le SEQE de l’UE, ainsi que les règlements RTE-T et RTE-E.</w:t>
      </w:r>
    </w:p>
  </w:footnote>
  <w:footnote w:id="29">
    <w:p w14:paraId="4DD76836" w14:textId="7F880A32" w:rsidR="00D72893" w:rsidRPr="00CE0265" w:rsidRDefault="00D72893"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2" w:history="1">
        <w:r w:rsidRPr="00CE0265">
          <w:rPr>
            <w:rStyle w:val="Hyperlink"/>
            <w:rFonts w:ascii="Times New Roman" w:hAnsi="Times New Roman"/>
          </w:rPr>
          <w:t>http://data.europa.eu/eli/reg/2023/1804/oj</w:t>
        </w:r>
      </w:hyperlink>
      <w:r w:rsidRPr="00CE0265">
        <w:t>.</w:t>
      </w:r>
      <w:r w:rsidRPr="00CE0265">
        <w:rPr>
          <w:rFonts w:ascii="Times New Roman" w:hAnsi="Times New Roman"/>
        </w:rPr>
        <w:t xml:space="preserve"> </w:t>
      </w:r>
    </w:p>
  </w:footnote>
  <w:footnote w:id="30">
    <w:p w14:paraId="5B7C55F4" w14:textId="40DFBDA9" w:rsidR="00A34A92" w:rsidRPr="00CE0265" w:rsidRDefault="00A34A92" w:rsidP="003D794C">
      <w:pPr>
        <w:pStyle w:val="FootnoteText"/>
        <w:jc w:val="both"/>
      </w:pPr>
      <w:r w:rsidRPr="00CE0265">
        <w:rPr>
          <w:rStyle w:val="FootnoteReference"/>
        </w:rPr>
        <w:footnoteRef/>
      </w:r>
      <w:r w:rsidRPr="00CE0265">
        <w:rPr>
          <w:rFonts w:ascii="Times New Roman" w:hAnsi="Times New Roman"/>
        </w:rPr>
        <w:t xml:space="preserve"> Tels que la production et l’utilisation de carburants durables, l’amélioration de l’efficacité énergétique des navires, le renouvellement de la flotte, les investissements dans des technologies marines propres innovantes, ainsi que les infrastructures durables et l’alimentation électrique à quai dans les ports.</w:t>
      </w:r>
    </w:p>
  </w:footnote>
  <w:footnote w:id="31">
    <w:p w14:paraId="0F09B2FD" w14:textId="1A0F8986" w:rsidR="00447111" w:rsidRPr="00CE0265" w:rsidRDefault="00447111"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21 projets soutenus depuis 2019, pour un montant de 253 millions d’euros. </w:t>
      </w:r>
      <w:hyperlink r:id="rId13" w:anchor="description" w:history="1">
        <w:r w:rsidRPr="00CE0265">
          <w:rPr>
            <w:rStyle w:val="Hyperlink"/>
            <w:rFonts w:ascii="Times New Roman" w:hAnsi="Times New Roman"/>
          </w:rPr>
          <w:t>Partenariat pour l’hydrogène propre, étude sur l’hydrogène, les ports et les zones côtières industrielles</w:t>
        </w:r>
      </w:hyperlink>
      <w:r w:rsidRPr="00CE0265">
        <w:t>.</w:t>
      </w:r>
      <w:r w:rsidRPr="00CE0265">
        <w:rPr>
          <w:rFonts w:ascii="Times New Roman" w:hAnsi="Times New Roman"/>
        </w:rPr>
        <w:t xml:space="preserve"> </w:t>
      </w:r>
    </w:p>
  </w:footnote>
  <w:footnote w:id="32">
    <w:p w14:paraId="0AD9D98C" w14:textId="3364529D"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Cela a été fait dans l’affaire AT.40976 – APM Terminals, lettre d’orientation du 9.7.2025 (COM/2025/4523 final).</w:t>
      </w:r>
    </w:p>
  </w:footnote>
  <w:footnote w:id="33">
    <w:p w14:paraId="53E2613B" w14:textId="536C4B64" w:rsidR="00A505BC" w:rsidRPr="00CE0265" w:rsidRDefault="00A505B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(2023/C 259/01).</w:t>
      </w:r>
    </w:p>
  </w:footnote>
  <w:footnote w:id="34">
    <w:p w14:paraId="0985F48F" w14:textId="14E39898" w:rsidR="00252148" w:rsidRPr="00CE0265" w:rsidRDefault="00252148"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Y compris les biocarburants et les carburants renouvelables d’origine non biologique.</w:t>
      </w:r>
    </w:p>
  </w:footnote>
  <w:footnote w:id="35">
    <w:p w14:paraId="627B8C1A" w14:textId="47DB1EBB"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4" w:history="1">
        <w:r w:rsidRPr="00CE0265">
          <w:rPr>
            <w:rStyle w:val="Hyperlink"/>
            <w:rFonts w:ascii="Times New Roman" w:hAnsi="Times New Roman"/>
          </w:rPr>
          <w:t>https://data.europa.eu/doi/10.2832/3479075</w:t>
        </w:r>
      </w:hyperlink>
      <w:r w:rsidRPr="00CE0265">
        <w:rPr>
          <w:rFonts w:ascii="Times New Roman" w:hAnsi="Times New Roman"/>
        </w:rPr>
        <w:t xml:space="preserve">. </w:t>
      </w:r>
    </w:p>
  </w:footnote>
  <w:footnote w:id="36">
    <w:p w14:paraId="38BA9CC9" w14:textId="2AD58D0B"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Fondé sur les directives «Habitats» et «Oiseaux», la directive sur la qualité de l’air ambiant et le règlement relatif à la restauration de la nature, et complété par la directive sur la planification de l’espace maritime et la directive-cadre «stratégie pour le milieu marin»</w:t>
      </w:r>
      <w:r w:rsidRPr="00CE0265">
        <w:t>.</w:t>
      </w:r>
      <w:r w:rsidRPr="00CE0265">
        <w:rPr>
          <w:rFonts w:ascii="Times New Roman" w:hAnsi="Times New Roman"/>
        </w:rPr>
        <w:t xml:space="preserve"> </w:t>
      </w:r>
    </w:p>
  </w:footnote>
  <w:footnote w:id="37">
    <w:p w14:paraId="0AF4A402" w14:textId="4B8B4413"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w:t>
      </w:r>
      <w:r w:rsidRPr="00CE0265">
        <w:rPr>
          <w:rFonts w:ascii="Times New Roman" w:hAnsi="Times New Roman"/>
          <w:i/>
        </w:rPr>
        <w:t>Le pacte européen pour l’Océan</w:t>
      </w:r>
      <w:r w:rsidRPr="00CE0265">
        <w:rPr>
          <w:rFonts w:ascii="Times New Roman" w:hAnsi="Times New Roman"/>
        </w:rPr>
        <w:t>», COM(2025) 281 final</w:t>
      </w:r>
      <w:r w:rsidRPr="00CE0265">
        <w:t>.</w:t>
      </w:r>
    </w:p>
  </w:footnote>
  <w:footnote w:id="38">
    <w:p w14:paraId="120BD897" w14:textId="0791D49A" w:rsidR="00DD0BC4" w:rsidRPr="00CE0265" w:rsidRDefault="00DD0BC4"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5" w:history="1">
        <w:r w:rsidRPr="00CE0265">
          <w:rPr>
            <w:rStyle w:val="Hyperlink"/>
            <w:rFonts w:ascii="Times New Roman" w:hAnsi="Times New Roman"/>
          </w:rPr>
          <w:t>http://data.europa.eu/eli/reg_del/2021/2139/oj</w:t>
        </w:r>
      </w:hyperlink>
      <w:r w:rsidRPr="00CE0265">
        <w:t xml:space="preserve"> </w:t>
      </w:r>
      <w:r w:rsidRPr="00CE0265">
        <w:rPr>
          <w:rFonts w:ascii="Times New Roman" w:hAnsi="Times New Roman"/>
        </w:rPr>
        <w:t>(notamment l'activité 6.16).</w:t>
      </w:r>
    </w:p>
  </w:footnote>
  <w:footnote w:id="39">
    <w:p w14:paraId="66449014" w14:textId="587E640B"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0391 final.</w:t>
      </w:r>
    </w:p>
  </w:footnote>
  <w:footnote w:id="40">
    <w:p w14:paraId="37AF58FD" w14:textId="308F2A66" w:rsidR="00D07CD6" w:rsidRPr="00CE0265" w:rsidRDefault="00D07CD6"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Plan d’action RESourceEU, COM(2025) 945 final</w:t>
      </w:r>
      <w:r w:rsidRPr="00CE0265">
        <w:t>.</w:t>
      </w:r>
    </w:p>
  </w:footnote>
  <w:footnote w:id="41">
    <w:p w14:paraId="61EEFD6D" w14:textId="77777777" w:rsidR="00A2775E" w:rsidRPr="00CE0265" w:rsidRDefault="00A2775E"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6" w:history="1">
        <w:r w:rsidRPr="00CE0265">
          <w:rPr>
            <w:rStyle w:val="Hyperlink"/>
            <w:rFonts w:ascii="Times New Roman" w:hAnsi="Times New Roman"/>
          </w:rPr>
          <w:t>http://data.europa.eu/eli/dir/2000/60/oj</w:t>
        </w:r>
      </w:hyperlink>
      <w:r w:rsidRPr="00CE0265">
        <w:t>.</w:t>
      </w:r>
      <w:r w:rsidRPr="00CE0265">
        <w:rPr>
          <w:rFonts w:ascii="Times New Roman" w:hAnsi="Times New Roman"/>
        </w:rPr>
        <w:t xml:space="preserve"> </w:t>
      </w:r>
    </w:p>
  </w:footnote>
  <w:footnote w:id="42">
    <w:p w14:paraId="287D2BD8" w14:textId="77777777" w:rsidR="00A2775E" w:rsidRPr="00CE0265" w:rsidRDefault="00A2775E"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Par exemple, le déplacement d’eau ou de sédiments déjà pollués. </w:t>
      </w:r>
    </w:p>
  </w:footnote>
  <w:footnote w:id="43">
    <w:p w14:paraId="30C6243B" w14:textId="4DB6C4ED"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Manque de données sur la qualité de l’air: </w:t>
      </w:r>
      <w:hyperlink r:id="rId17" w:history="1">
        <w:r w:rsidRPr="00CE0265">
          <w:rPr>
            <w:rStyle w:val="Hyperlink"/>
            <w:rFonts w:ascii="Times New Roman" w:hAnsi="Times New Roman"/>
          </w:rPr>
          <w:t>https://www.eea.europa.eu/en/analysis/publications/maritime-transport-2025</w:t>
        </w:r>
      </w:hyperlink>
      <w:r w:rsidRPr="00CE0265">
        <w:rPr>
          <w:rFonts w:ascii="Times New Roman" w:hAnsi="Times New Roman"/>
        </w:rPr>
        <w:t xml:space="preserve">. </w:t>
      </w:r>
    </w:p>
  </w:footnote>
  <w:footnote w:id="44">
    <w:p w14:paraId="0C0E75A0" w14:textId="233B676E" w:rsidR="0009771A" w:rsidRPr="00CE0265" w:rsidRDefault="0009771A" w:rsidP="00C05347">
      <w:pPr>
        <w:pStyle w:val="FootnoteText"/>
        <w:jc w:val="both"/>
        <w:rPr>
          <w:rFonts w:ascii="Times New Roman" w:hAnsi="Times New Roman" w:cs="Times New Roman"/>
        </w:rPr>
      </w:pPr>
      <w:r w:rsidRPr="00CE0265">
        <w:rPr>
          <w:rFonts w:ascii="Times New Roman" w:hAnsi="Times New Roman" w:cs="Times New Roman"/>
          <w:vertAlign w:val="superscript"/>
        </w:rPr>
        <w:footnoteRef/>
      </w:r>
      <w:r w:rsidRPr="00CE0265">
        <w:t xml:space="preserve"> </w:t>
      </w:r>
      <w:r w:rsidRPr="00CE0265">
        <w:rPr>
          <w:rFonts w:ascii="Times New Roman" w:hAnsi="Times New Roman"/>
        </w:rPr>
        <w:t>Communication sur les régions orientales de l’UE limitrophes de la Russie, de la Biélorussie et de l’Ukraine, COM(2026) 82 final.</w:t>
      </w:r>
    </w:p>
  </w:footnote>
  <w:footnote w:id="45">
    <w:p w14:paraId="7912BD13" w14:textId="666E13F0" w:rsidR="2BFC3568" w:rsidRPr="00CE0265" w:rsidRDefault="2BFC3568"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COM/2025/148 final.</w:t>
      </w:r>
    </w:p>
  </w:footnote>
  <w:footnote w:id="46">
    <w:p w14:paraId="0428D968" w14:textId="060C7C32" w:rsidR="00BF78F7" w:rsidRPr="00CE0265" w:rsidRDefault="00BF78F7"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Article 5, paragraphe 4, du règlement (UE) 2021/1119, </w:t>
      </w:r>
      <w:hyperlink r:id="rId18" w:history="1">
        <w:r w:rsidRPr="00CE0265">
          <w:rPr>
            <w:rStyle w:val="Hyperlink"/>
            <w:rFonts w:ascii="Times New Roman" w:hAnsi="Times New Roman"/>
          </w:rPr>
          <w:t>https://eur-lex.europa.eu/eli/reg/2021/1119/oj?eliuri=eli%3Areg%3A2021%3A1119%3Aoj&amp;locale=fr</w:t>
        </w:r>
      </w:hyperlink>
      <w:r w:rsidRPr="00CE0265">
        <w:rPr>
          <w:rFonts w:ascii="Times New Roman" w:hAnsi="Times New Roman"/>
        </w:rPr>
        <w:t>.</w:t>
      </w:r>
    </w:p>
  </w:footnote>
  <w:footnote w:id="47">
    <w:p w14:paraId="0500A844" w14:textId="2116CA02" w:rsidR="00003027" w:rsidRPr="00CE0265" w:rsidRDefault="00003027"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19" w:history="1">
        <w:r w:rsidRPr="00CE0265">
          <w:rPr>
            <w:rStyle w:val="Hyperlink"/>
            <w:rFonts w:ascii="Times New Roman" w:hAnsi="Times New Roman"/>
          </w:rPr>
          <w:t>http://data.europa.eu/eli/dir/2022/2557/oj</w:t>
        </w:r>
      </w:hyperlink>
      <w:r w:rsidRPr="00CE0265">
        <w:t>.</w:t>
      </w:r>
      <w:r w:rsidRPr="00CE0265">
        <w:rPr>
          <w:rFonts w:ascii="Times New Roman" w:hAnsi="Times New Roman"/>
        </w:rPr>
        <w:t xml:space="preserve"> </w:t>
      </w:r>
    </w:p>
  </w:footnote>
  <w:footnote w:id="48">
    <w:p w14:paraId="0E2A7BB1" w14:textId="4EDAEDC2" w:rsidR="00926643" w:rsidRPr="00CE0265" w:rsidRDefault="00926643" w:rsidP="00926643">
      <w:pPr>
        <w:pStyle w:val="FootnoteText"/>
        <w:jc w:val="both"/>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Les systèmes spatiaux d’observation de la Terre tels que Copernicus peuvent aider à contrôler la sûreté des ports.</w:t>
      </w:r>
    </w:p>
  </w:footnote>
  <w:footnote w:id="49">
    <w:p w14:paraId="32A27D2E" w14:textId="57F744E7" w:rsidR="00A2199D" w:rsidRPr="00CE0265" w:rsidRDefault="00A2199D"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COM(2025) 528</w:t>
      </w:r>
      <w:r w:rsidRPr="00CE0265">
        <w:t>.</w:t>
      </w:r>
    </w:p>
  </w:footnote>
  <w:footnote w:id="50">
    <w:p w14:paraId="0561E30B" w14:textId="24553973" w:rsidR="00144EA4" w:rsidRPr="00CE0265" w:rsidRDefault="00144EA4"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COM(2026) 81 final.</w:t>
      </w:r>
    </w:p>
  </w:footnote>
  <w:footnote w:id="51">
    <w:p w14:paraId="672CAD18" w14:textId="6EED9E1E" w:rsidR="00DA04B7" w:rsidRPr="00CE0265" w:rsidRDefault="00DA04B7"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La cybersécurité maritime est couverte par la directive SRI2 et le règlement sur la cybersolidarité et, au niveau international, par le code ISPS de l’OMI (Code international pour la sûreté des navires et des installations portuaires).</w:t>
      </w:r>
    </w:p>
  </w:footnote>
  <w:footnote w:id="52">
    <w:p w14:paraId="174E84D9" w14:textId="5D8D29EE" w:rsidR="00E1100C" w:rsidRPr="00CE0265" w:rsidRDefault="00E1100C" w:rsidP="00A31532">
      <w:pPr>
        <w:pStyle w:val="FootnoteText"/>
        <w:jc w:val="both"/>
        <w:rPr>
          <w:rFonts w:ascii="Times New Roman" w:hAnsi="Times New Roman" w:cs="Times New Roman"/>
        </w:rPr>
      </w:pPr>
      <w:r w:rsidRPr="00CE0265">
        <w:rPr>
          <w:rFonts w:ascii="Times New Roman" w:hAnsi="Times New Roman" w:cs="Times New Roman"/>
          <w:vertAlign w:val="superscript"/>
        </w:rPr>
        <w:footnoteRef/>
      </w:r>
      <w:r w:rsidRPr="00CE0265">
        <w:rPr>
          <w:rFonts w:ascii="Times New Roman" w:hAnsi="Times New Roman"/>
        </w:rPr>
        <w:t xml:space="preserve"> </w:t>
      </w:r>
      <w:hyperlink r:id="rId20" w:history="1">
        <w:r w:rsidRPr="00CE0265">
          <w:rPr>
            <w:rStyle w:val="Hyperlink"/>
            <w:rFonts w:ascii="Times New Roman" w:hAnsi="Times New Roman"/>
          </w:rPr>
          <w:t>https://www.enisa.europa.eu/publications/guidelines-cyber-risk-management-for-ports</w:t>
        </w:r>
      </w:hyperlink>
      <w:r w:rsidRPr="00CE0265">
        <w:rPr>
          <w:rStyle w:val="FootnoteTextChar"/>
        </w:rPr>
        <w:t>.</w:t>
      </w:r>
    </w:p>
  </w:footnote>
  <w:footnote w:id="53">
    <w:p w14:paraId="3A4B46AF" w14:textId="0B8E6CC0" w:rsidR="00E1100C" w:rsidRPr="00CE0265" w:rsidRDefault="00E1100C" w:rsidP="00A31532">
      <w:pPr>
        <w:pStyle w:val="FootnoteText"/>
        <w:jc w:val="both"/>
        <w:rPr>
          <w:rFonts w:ascii="Times New Roman" w:hAnsi="Times New Roman" w:cs="Times New Roman"/>
        </w:rPr>
      </w:pPr>
      <w:r w:rsidRPr="00CE0265">
        <w:rPr>
          <w:rFonts w:ascii="Times New Roman" w:hAnsi="Times New Roman" w:cs="Times New Roman"/>
          <w:vertAlign w:val="superscript"/>
        </w:rPr>
        <w:footnoteRef/>
      </w:r>
      <w:r w:rsidRPr="00CE0265">
        <w:rPr>
          <w:rFonts w:ascii="Times New Roman" w:hAnsi="Times New Roman"/>
        </w:rPr>
        <w:t xml:space="preserve"> </w:t>
      </w:r>
      <w:hyperlink r:id="rId21" w:history="1">
        <w:r w:rsidRPr="00CE0265">
          <w:rPr>
            <w:rStyle w:val="Hyperlink"/>
            <w:rFonts w:ascii="Times New Roman" w:hAnsi="Times New Roman"/>
          </w:rPr>
          <w:t>https://www.emsa.europa.eu/publications/inventories/download/7660/5074/23.html</w:t>
        </w:r>
      </w:hyperlink>
      <w:r w:rsidRPr="00CE0265">
        <w:t>.</w:t>
      </w:r>
      <w:r w:rsidRPr="00CE0265">
        <w:rPr>
          <w:rFonts w:ascii="Times New Roman" w:hAnsi="Times New Roman"/>
        </w:rPr>
        <w:t xml:space="preserve"> </w:t>
      </w:r>
    </w:p>
  </w:footnote>
  <w:footnote w:id="54">
    <w:p w14:paraId="48D70C5D" w14:textId="280538B2" w:rsidR="00C13E59" w:rsidRPr="00CE0265" w:rsidRDefault="00C13E59"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Estimés à 80 milliards d’euros selon l’ESPO: </w:t>
      </w:r>
      <w:hyperlink r:id="rId22" w:history="1">
        <w:r w:rsidRPr="00CE0265">
          <w:rPr>
            <w:rStyle w:val="Hyperlink"/>
            <w:rFonts w:ascii="Times New Roman" w:hAnsi="Times New Roman"/>
          </w:rPr>
          <w:t>https://www.espo.be/media/ESP-3217_InvestmentStudyReport2024_LR.pdf.</w:t>
        </w:r>
      </w:hyperlink>
      <w:r w:rsidRPr="00CE0265">
        <w:rPr>
          <w:rFonts w:ascii="Times New Roman" w:hAnsi="Times New Roman"/>
        </w:rPr>
        <w:t xml:space="preserve"> </w:t>
      </w:r>
    </w:p>
  </w:footnote>
  <w:footnote w:id="55">
    <w:p w14:paraId="2CA49366" w14:textId="2CD7E254" w:rsidR="009213D4" w:rsidRPr="00CE0265" w:rsidRDefault="009213D4"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Le MIE-T (3,9 milliards d’euros), le MIE-E (856 millions d’euros), les programmes du FEDER et du Fonds de cohésion (3,7 milliards d’euros), le Fonds pour l’innovation (870 millions d’euros), Horizon 2020 et Horizon Europe (218 millions d’euros). InvestEU a mobilisé 200 millions d’euros dans les ports, auxquels s’ajoutent 730 millions d’euros consacrés aux investissements dans le numérique et le CSC applicables aux ports. Dans certains États membres, la facilité pour la reprise et la résilience (FRR) apporte un soutien important à des projets relatifs à l’alimentation électrique à quai et à l’écologisation des ports. </w:t>
      </w:r>
    </w:p>
  </w:footnote>
  <w:footnote w:id="56">
    <w:p w14:paraId="40B7773D" w14:textId="24F6AA5E" w:rsidR="009213D4" w:rsidRPr="00CE0265" w:rsidRDefault="009213D4"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 xml:space="preserve">Le budget proposé au titre du MIE 2028-2034 s’élève à 29,9 millions d’euros pour des objectifs spécifiques dans le domaine de l’énergie [COM(2025) 547]. </w:t>
      </w:r>
    </w:p>
  </w:footnote>
  <w:footnote w:id="57">
    <w:p w14:paraId="5C6D15F6" w14:textId="71128D0D" w:rsidR="00B916B6" w:rsidRPr="00CE0265" w:rsidRDefault="00B916B6"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https://www.eib.org/fr/products/index: </w:t>
      </w:r>
      <w:hyperlink r:id="rId23" w:history="1">
        <w:r w:rsidRPr="00CE0265">
          <w:rPr>
            <w:rStyle w:val="Hyperlink"/>
            <w:rFonts w:ascii="Times New Roman" w:hAnsi="Times New Roman"/>
          </w:rPr>
          <w:t>Notre offre</w:t>
        </w:r>
      </w:hyperlink>
      <w:r w:rsidRPr="00CE0265">
        <w:rPr>
          <w:rFonts w:ascii="Times New Roman" w:hAnsi="Times New Roman"/>
        </w:rPr>
        <w:t>.</w:t>
      </w:r>
    </w:p>
  </w:footnote>
  <w:footnote w:id="58">
    <w:p w14:paraId="2D1245F4" w14:textId="7DED2C73"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Dans le cadre de la mission de l’UE «Villes neutres pour le climat et intelligentes», de la mission de l’UE «Restaurer notre océan et notre milieu aquatique», du pacte européen pour l’Océan, de la stratégie pour les communautés côtières et de l’approche «de la source à la mer» définie dans la stratégie pour la résilience dans le domaine de l’eau. Les initiatives urbaines de l’UE, telles que l’Accord des villes vertes et la Convention des maires, encouragent la poursuite d’objectifs ambitieux en matière d’environnement et de climat dans les villes portuaires.</w:t>
      </w:r>
    </w:p>
  </w:footnote>
  <w:footnote w:id="59">
    <w:p w14:paraId="5918D3E5" w14:textId="7B868B7D" w:rsidR="00640C29" w:rsidRPr="00CE0265" w:rsidRDefault="00640C29"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En s’appuyant sur des initiatives telles que la recommandation du Conseil relative à une transition équitable vers la neutralité climatique, le règlement pour une industrie «zéro net» (y compris les académies de l’industrie «zéro net») et la feuille de route pour des emplois de qualité.</w:t>
      </w:r>
    </w:p>
  </w:footnote>
  <w:footnote w:id="60">
    <w:p w14:paraId="2A0A1289" w14:textId="05A6A18B"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24" w:history="1">
        <w:r w:rsidRPr="00CE0265">
          <w:rPr>
            <w:rStyle w:val="Hyperlink"/>
            <w:rFonts w:ascii="Times New Roman" w:hAnsi="Times New Roman"/>
          </w:rPr>
          <w:t>http://data.europa.eu/eli/dir/2024/3017/oj</w:t>
        </w:r>
      </w:hyperlink>
      <w:r w:rsidRPr="00CE0265">
        <w:t>.</w:t>
      </w:r>
      <w:r w:rsidRPr="00CE0265">
        <w:rPr>
          <w:rFonts w:ascii="Times New Roman" w:hAnsi="Times New Roman"/>
        </w:rPr>
        <w:t xml:space="preserve"> </w:t>
      </w:r>
    </w:p>
  </w:footnote>
  <w:footnote w:id="61">
    <w:p w14:paraId="5F75CD30" w14:textId="47BEC82C" w:rsidR="00E1100C" w:rsidRPr="00CE0265" w:rsidRDefault="00E1100C"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rPr>
          <w:rFonts w:ascii="Times New Roman" w:hAnsi="Times New Roman"/>
        </w:rPr>
        <w:t xml:space="preserve"> </w:t>
      </w:r>
      <w:hyperlink r:id="rId25" w:history="1">
        <w:r w:rsidRPr="00CE0265">
          <w:rPr>
            <w:rStyle w:val="Hyperlink"/>
            <w:rFonts w:ascii="Times New Roman" w:hAnsi="Times New Roman"/>
          </w:rPr>
          <w:t>http://data.europa.eu/eli/dir/2024/3099/oj</w:t>
        </w:r>
      </w:hyperlink>
      <w:r w:rsidRPr="00CE0265">
        <w:t>.</w:t>
      </w:r>
      <w:r w:rsidRPr="00CE0265">
        <w:rPr>
          <w:rFonts w:ascii="Times New Roman" w:hAnsi="Times New Roman"/>
        </w:rPr>
        <w:t xml:space="preserve"> </w:t>
      </w:r>
    </w:p>
  </w:footnote>
  <w:footnote w:id="62">
    <w:p w14:paraId="70197192" w14:textId="490EE4F1" w:rsidR="00605DF6" w:rsidRPr="00CE0265" w:rsidRDefault="00605DF6" w:rsidP="00A31532">
      <w:pPr>
        <w:pStyle w:val="FootnoteText"/>
        <w:jc w:val="both"/>
        <w:rPr>
          <w:rFonts w:ascii="Times New Roman" w:hAnsi="Times New Roman" w:cs="Times New Roman"/>
        </w:rPr>
      </w:pPr>
      <w:r w:rsidRPr="00CE0265">
        <w:rPr>
          <w:rStyle w:val="FootnoteReference"/>
          <w:rFonts w:ascii="Times New Roman" w:hAnsi="Times New Roman" w:cs="Times New Roman"/>
        </w:rPr>
        <w:footnoteRef/>
      </w:r>
      <w:r w:rsidRPr="00CE0265">
        <w:t xml:space="preserve"> </w:t>
      </w:r>
      <w:r w:rsidRPr="00CE0265">
        <w:rPr>
          <w:rFonts w:ascii="Times New Roman" w:hAnsi="Times New Roman"/>
        </w:rPr>
        <w:t>Y compris la directive 2012/18/UE (Seveso) et la directive 2014/34/UE (ATEX). Directive 1999/92/CE (protection de la sécurité et de la santé des travailleurs), directive (UE) 2024/1788 (train de mesures sur le gaz et l’hydrogène).</w:t>
      </w:r>
    </w:p>
  </w:footnote>
  <w:footnote w:id="63">
    <w:p w14:paraId="5D8D75E4" w14:textId="4E18DB83" w:rsidR="00ED011F" w:rsidRDefault="00ED011F" w:rsidP="00C14BE7">
      <w:pPr>
        <w:pStyle w:val="FootnoteText"/>
        <w:jc w:val="both"/>
      </w:pPr>
      <w:r w:rsidRPr="00CE0265">
        <w:rPr>
          <w:rStyle w:val="FootnoteReference"/>
        </w:rPr>
        <w:footnoteRef/>
      </w:r>
      <w:r w:rsidRPr="00CE0265">
        <w:rPr>
          <w:rFonts w:ascii="Times New Roman" w:hAnsi="Times New Roman"/>
        </w:rPr>
        <w:t xml:space="preserve"> La présente annexe est sans préjudice des procédures législatives relatives à l’adoption du cadre financier pluriannuel 2028-2034.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8ADE4" w14:textId="77777777" w:rsidR="00035FB3" w:rsidRPr="00035FB3" w:rsidRDefault="00035FB3" w:rsidP="00035FB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BE027" w14:textId="77777777" w:rsidR="00035FB3" w:rsidRPr="00035FB3" w:rsidRDefault="00035FB3" w:rsidP="00035F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64799" w14:textId="77777777" w:rsidR="00035FB3" w:rsidRPr="00035FB3" w:rsidRDefault="00035FB3" w:rsidP="00035F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89D77" w14:textId="7E376CBD" w:rsidR="00AE683E" w:rsidRPr="00CE0265" w:rsidRDefault="00035FB3">
    <w:pPr>
      <w:pStyle w:val="Header"/>
    </w:pPr>
    <w:r>
      <w:pict w14:anchorId="7E9CD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9" type="#_x0000_t136" style="position:absolute;margin-left:0;margin-top:0;width:180.3pt;height:60.05pt;rotation:315;z-index:-251658239;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BA5C9" w14:textId="2123C4D6" w:rsidR="00AE683E" w:rsidRPr="00CE0265" w:rsidRDefault="00AE1B1A" w:rsidP="000013FF">
    <w:pPr>
      <w:pStyle w:val="Header"/>
      <w:tabs>
        <w:tab w:val="clear" w:pos="4513"/>
        <w:tab w:val="clear" w:pos="9026"/>
        <w:tab w:val="left" w:pos="6037"/>
      </w:tabs>
    </w:pPr>
    <w:r w:rsidRPr="00CE0265">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FD154" w14:textId="6E1D89AC" w:rsidR="00AE683E" w:rsidRPr="00CE0265" w:rsidRDefault="00035FB3">
    <w:pPr>
      <w:pStyle w:val="Header"/>
    </w:pPr>
    <w:r>
      <w:pict w14:anchorId="556E5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0;margin-top:0;width:180.3pt;height:60.05pt;rotation:315;z-index:-251658240;mso-position-horizontal:center;mso-position-horizontal-relative:margin;mso-position-vertical:center;mso-position-vertical-relative:margin" o:allowincell="f" fillcolor="silver" stroked="f">
          <v:fill opacity=".5"/>
          <v:textpath style="font-family:&quot;Calibri&quot;;font-size:1pt" string="v. 18.Fe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36F"/>
    <w:multiLevelType w:val="hybridMultilevel"/>
    <w:tmpl w:val="5A5E46BC"/>
    <w:lvl w:ilvl="0" w:tplc="02F00926">
      <w:start w:val="1"/>
      <w:numFmt w:val="upperLetter"/>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95023F"/>
    <w:multiLevelType w:val="hybridMultilevel"/>
    <w:tmpl w:val="4FC22BF8"/>
    <w:lvl w:ilvl="0" w:tplc="FFFFFFFF">
      <w:start w:val="1"/>
      <w:numFmt w:val="bullet"/>
      <w:lvlText w:val="·"/>
      <w:lvlJc w:val="left"/>
      <w:pPr>
        <w:ind w:left="720" w:hanging="360"/>
      </w:pPr>
      <w:rPr>
        <w:rFonts w:ascii="Symbol" w:hAnsi="Symbol" w:hint="default"/>
      </w:rPr>
    </w:lvl>
    <w:lvl w:ilvl="1" w:tplc="D61EF5B6" w:tentative="1">
      <w:start w:val="1"/>
      <w:numFmt w:val="bullet"/>
      <w:lvlText w:val="o"/>
      <w:lvlJc w:val="left"/>
      <w:pPr>
        <w:ind w:left="1440" w:hanging="360"/>
      </w:pPr>
      <w:rPr>
        <w:rFonts w:ascii="Courier New" w:hAnsi="Courier New" w:hint="default"/>
      </w:rPr>
    </w:lvl>
    <w:lvl w:ilvl="2" w:tplc="EC262964" w:tentative="1">
      <w:start w:val="1"/>
      <w:numFmt w:val="bullet"/>
      <w:lvlText w:val=""/>
      <w:lvlJc w:val="left"/>
      <w:pPr>
        <w:ind w:left="2160" w:hanging="360"/>
      </w:pPr>
      <w:rPr>
        <w:rFonts w:ascii="Wingdings" w:hAnsi="Wingdings" w:hint="default"/>
      </w:rPr>
    </w:lvl>
    <w:lvl w:ilvl="3" w:tplc="60866CFA" w:tentative="1">
      <w:start w:val="1"/>
      <w:numFmt w:val="bullet"/>
      <w:lvlText w:val=""/>
      <w:lvlJc w:val="left"/>
      <w:pPr>
        <w:ind w:left="2880" w:hanging="360"/>
      </w:pPr>
      <w:rPr>
        <w:rFonts w:ascii="Symbol" w:hAnsi="Symbol" w:hint="default"/>
      </w:rPr>
    </w:lvl>
    <w:lvl w:ilvl="4" w:tplc="0C546886" w:tentative="1">
      <w:start w:val="1"/>
      <w:numFmt w:val="bullet"/>
      <w:lvlText w:val="o"/>
      <w:lvlJc w:val="left"/>
      <w:pPr>
        <w:ind w:left="3600" w:hanging="360"/>
      </w:pPr>
      <w:rPr>
        <w:rFonts w:ascii="Courier New" w:hAnsi="Courier New" w:hint="default"/>
      </w:rPr>
    </w:lvl>
    <w:lvl w:ilvl="5" w:tplc="366ACD34" w:tentative="1">
      <w:start w:val="1"/>
      <w:numFmt w:val="bullet"/>
      <w:lvlText w:val=""/>
      <w:lvlJc w:val="left"/>
      <w:pPr>
        <w:ind w:left="4320" w:hanging="360"/>
      </w:pPr>
      <w:rPr>
        <w:rFonts w:ascii="Wingdings" w:hAnsi="Wingdings" w:hint="default"/>
      </w:rPr>
    </w:lvl>
    <w:lvl w:ilvl="6" w:tplc="CD9A11F4" w:tentative="1">
      <w:start w:val="1"/>
      <w:numFmt w:val="bullet"/>
      <w:lvlText w:val=""/>
      <w:lvlJc w:val="left"/>
      <w:pPr>
        <w:ind w:left="5040" w:hanging="360"/>
      </w:pPr>
      <w:rPr>
        <w:rFonts w:ascii="Symbol" w:hAnsi="Symbol" w:hint="default"/>
      </w:rPr>
    </w:lvl>
    <w:lvl w:ilvl="7" w:tplc="05D87AE4" w:tentative="1">
      <w:start w:val="1"/>
      <w:numFmt w:val="bullet"/>
      <w:lvlText w:val="o"/>
      <w:lvlJc w:val="left"/>
      <w:pPr>
        <w:ind w:left="5760" w:hanging="360"/>
      </w:pPr>
      <w:rPr>
        <w:rFonts w:ascii="Courier New" w:hAnsi="Courier New" w:hint="default"/>
      </w:rPr>
    </w:lvl>
    <w:lvl w:ilvl="8" w:tplc="EC9E0EA6" w:tentative="1">
      <w:start w:val="1"/>
      <w:numFmt w:val="bullet"/>
      <w:lvlText w:val=""/>
      <w:lvlJc w:val="left"/>
      <w:pPr>
        <w:ind w:left="6480" w:hanging="360"/>
      </w:pPr>
      <w:rPr>
        <w:rFonts w:ascii="Wingdings" w:hAnsi="Wingdings" w:hint="default"/>
      </w:rPr>
    </w:lvl>
  </w:abstractNum>
  <w:abstractNum w:abstractNumId="3" w15:restartNumberingAfterBreak="0">
    <w:nsid w:val="0B4871AA"/>
    <w:multiLevelType w:val="hybridMultilevel"/>
    <w:tmpl w:val="FFFFFFFF"/>
    <w:lvl w:ilvl="0" w:tplc="FFFFFFFF">
      <w:start w:val="1"/>
      <w:numFmt w:val="bullet"/>
      <w:lvlText w:val="Ø"/>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4" w15:restartNumberingAfterBreak="0">
    <w:nsid w:val="16E21F5C"/>
    <w:multiLevelType w:val="hybridMultilevel"/>
    <w:tmpl w:val="22068FB4"/>
    <w:lvl w:ilvl="0" w:tplc="77D22114">
      <w:start w:val="1"/>
      <w:numFmt w:val="bullet"/>
      <w:lvlText w:val=""/>
      <w:lvlJc w:val="left"/>
      <w:pPr>
        <w:ind w:left="360" w:hanging="360"/>
      </w:pPr>
      <w:rPr>
        <w:rFonts w:ascii="Symbol" w:hAnsi="Symbol" w:hint="default"/>
      </w:rPr>
    </w:lvl>
    <w:lvl w:ilvl="1" w:tplc="7C4033F6" w:tentative="1">
      <w:start w:val="1"/>
      <w:numFmt w:val="bullet"/>
      <w:lvlText w:val="o"/>
      <w:lvlJc w:val="left"/>
      <w:pPr>
        <w:ind w:left="1440" w:hanging="360"/>
      </w:pPr>
      <w:rPr>
        <w:rFonts w:ascii="Courier New" w:hAnsi="Courier New" w:hint="default"/>
      </w:rPr>
    </w:lvl>
    <w:lvl w:ilvl="2" w:tplc="EDD6D55A" w:tentative="1">
      <w:start w:val="1"/>
      <w:numFmt w:val="bullet"/>
      <w:lvlText w:val=""/>
      <w:lvlJc w:val="left"/>
      <w:pPr>
        <w:ind w:left="2160" w:hanging="360"/>
      </w:pPr>
      <w:rPr>
        <w:rFonts w:ascii="Wingdings" w:hAnsi="Wingdings" w:hint="default"/>
      </w:rPr>
    </w:lvl>
    <w:lvl w:ilvl="3" w:tplc="588689AE" w:tentative="1">
      <w:start w:val="1"/>
      <w:numFmt w:val="bullet"/>
      <w:lvlText w:val=""/>
      <w:lvlJc w:val="left"/>
      <w:pPr>
        <w:ind w:left="2880" w:hanging="360"/>
      </w:pPr>
      <w:rPr>
        <w:rFonts w:ascii="Symbol" w:hAnsi="Symbol" w:hint="default"/>
      </w:rPr>
    </w:lvl>
    <w:lvl w:ilvl="4" w:tplc="563475B2" w:tentative="1">
      <w:start w:val="1"/>
      <w:numFmt w:val="bullet"/>
      <w:lvlText w:val="o"/>
      <w:lvlJc w:val="left"/>
      <w:pPr>
        <w:ind w:left="3600" w:hanging="360"/>
      </w:pPr>
      <w:rPr>
        <w:rFonts w:ascii="Courier New" w:hAnsi="Courier New" w:hint="default"/>
      </w:rPr>
    </w:lvl>
    <w:lvl w:ilvl="5" w:tplc="B24474BE" w:tentative="1">
      <w:start w:val="1"/>
      <w:numFmt w:val="bullet"/>
      <w:lvlText w:val=""/>
      <w:lvlJc w:val="left"/>
      <w:pPr>
        <w:ind w:left="4320" w:hanging="360"/>
      </w:pPr>
      <w:rPr>
        <w:rFonts w:ascii="Wingdings" w:hAnsi="Wingdings" w:hint="default"/>
      </w:rPr>
    </w:lvl>
    <w:lvl w:ilvl="6" w:tplc="FE5EF880" w:tentative="1">
      <w:start w:val="1"/>
      <w:numFmt w:val="bullet"/>
      <w:lvlText w:val=""/>
      <w:lvlJc w:val="left"/>
      <w:pPr>
        <w:ind w:left="5040" w:hanging="360"/>
      </w:pPr>
      <w:rPr>
        <w:rFonts w:ascii="Symbol" w:hAnsi="Symbol" w:hint="default"/>
      </w:rPr>
    </w:lvl>
    <w:lvl w:ilvl="7" w:tplc="FD5E9640" w:tentative="1">
      <w:start w:val="1"/>
      <w:numFmt w:val="bullet"/>
      <w:lvlText w:val="o"/>
      <w:lvlJc w:val="left"/>
      <w:pPr>
        <w:ind w:left="5760" w:hanging="360"/>
      </w:pPr>
      <w:rPr>
        <w:rFonts w:ascii="Courier New" w:hAnsi="Courier New" w:hint="default"/>
      </w:rPr>
    </w:lvl>
    <w:lvl w:ilvl="8" w:tplc="9DEA8D52" w:tentative="1">
      <w:start w:val="1"/>
      <w:numFmt w:val="bullet"/>
      <w:lvlText w:val=""/>
      <w:lvlJc w:val="left"/>
      <w:pPr>
        <w:ind w:left="6480" w:hanging="360"/>
      </w:pPr>
      <w:rPr>
        <w:rFonts w:ascii="Wingdings" w:hAnsi="Wingdings" w:hint="default"/>
      </w:rPr>
    </w:lvl>
  </w:abstractNum>
  <w:abstractNum w:abstractNumId="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6" w15:restartNumberingAfterBreak="0">
    <w:nsid w:val="20982565"/>
    <w:multiLevelType w:val="hybridMultilevel"/>
    <w:tmpl w:val="BC1E542A"/>
    <w:lvl w:ilvl="0" w:tplc="83A2477E">
      <w:start w:val="1"/>
      <w:numFmt w:val="bullet"/>
      <w:lvlText w:val=""/>
      <w:lvlJc w:val="left"/>
      <w:pPr>
        <w:ind w:left="720" w:hanging="360"/>
      </w:pPr>
      <w:rPr>
        <w:rFonts w:ascii="Symbol" w:hAnsi="Symbol" w:hint="default"/>
      </w:rPr>
    </w:lvl>
    <w:lvl w:ilvl="1" w:tplc="3A367D06" w:tentative="1">
      <w:start w:val="1"/>
      <w:numFmt w:val="bullet"/>
      <w:lvlText w:val="o"/>
      <w:lvlJc w:val="left"/>
      <w:pPr>
        <w:ind w:left="1440" w:hanging="360"/>
      </w:pPr>
      <w:rPr>
        <w:rFonts w:ascii="Courier New" w:hAnsi="Courier New" w:hint="default"/>
      </w:rPr>
    </w:lvl>
    <w:lvl w:ilvl="2" w:tplc="E92828DA" w:tentative="1">
      <w:start w:val="1"/>
      <w:numFmt w:val="bullet"/>
      <w:lvlText w:val=""/>
      <w:lvlJc w:val="left"/>
      <w:pPr>
        <w:ind w:left="2160" w:hanging="360"/>
      </w:pPr>
      <w:rPr>
        <w:rFonts w:ascii="Wingdings" w:hAnsi="Wingdings" w:hint="default"/>
      </w:rPr>
    </w:lvl>
    <w:lvl w:ilvl="3" w:tplc="9F80950A" w:tentative="1">
      <w:start w:val="1"/>
      <w:numFmt w:val="bullet"/>
      <w:lvlText w:val=""/>
      <w:lvlJc w:val="left"/>
      <w:pPr>
        <w:ind w:left="2880" w:hanging="360"/>
      </w:pPr>
      <w:rPr>
        <w:rFonts w:ascii="Symbol" w:hAnsi="Symbol" w:hint="default"/>
      </w:rPr>
    </w:lvl>
    <w:lvl w:ilvl="4" w:tplc="0C161B1A" w:tentative="1">
      <w:start w:val="1"/>
      <w:numFmt w:val="bullet"/>
      <w:lvlText w:val="o"/>
      <w:lvlJc w:val="left"/>
      <w:pPr>
        <w:ind w:left="3600" w:hanging="360"/>
      </w:pPr>
      <w:rPr>
        <w:rFonts w:ascii="Courier New" w:hAnsi="Courier New" w:hint="default"/>
      </w:rPr>
    </w:lvl>
    <w:lvl w:ilvl="5" w:tplc="1DD286F0" w:tentative="1">
      <w:start w:val="1"/>
      <w:numFmt w:val="bullet"/>
      <w:lvlText w:val=""/>
      <w:lvlJc w:val="left"/>
      <w:pPr>
        <w:ind w:left="4320" w:hanging="360"/>
      </w:pPr>
      <w:rPr>
        <w:rFonts w:ascii="Wingdings" w:hAnsi="Wingdings" w:hint="default"/>
      </w:rPr>
    </w:lvl>
    <w:lvl w:ilvl="6" w:tplc="30EAC88C" w:tentative="1">
      <w:start w:val="1"/>
      <w:numFmt w:val="bullet"/>
      <w:lvlText w:val=""/>
      <w:lvlJc w:val="left"/>
      <w:pPr>
        <w:ind w:left="5040" w:hanging="360"/>
      </w:pPr>
      <w:rPr>
        <w:rFonts w:ascii="Symbol" w:hAnsi="Symbol" w:hint="default"/>
      </w:rPr>
    </w:lvl>
    <w:lvl w:ilvl="7" w:tplc="2A6CDFA0" w:tentative="1">
      <w:start w:val="1"/>
      <w:numFmt w:val="bullet"/>
      <w:lvlText w:val="o"/>
      <w:lvlJc w:val="left"/>
      <w:pPr>
        <w:ind w:left="5760" w:hanging="360"/>
      </w:pPr>
      <w:rPr>
        <w:rFonts w:ascii="Courier New" w:hAnsi="Courier New" w:hint="default"/>
      </w:rPr>
    </w:lvl>
    <w:lvl w:ilvl="8" w:tplc="77C2EEF8" w:tentative="1">
      <w:start w:val="1"/>
      <w:numFmt w:val="bullet"/>
      <w:lvlText w:val=""/>
      <w:lvlJc w:val="left"/>
      <w:pPr>
        <w:ind w:left="6480" w:hanging="360"/>
      </w:pPr>
      <w:rPr>
        <w:rFonts w:ascii="Wingdings" w:hAnsi="Wingdings" w:hint="default"/>
      </w:rPr>
    </w:lvl>
  </w:abstractNum>
  <w:abstractNum w:abstractNumId="7" w15:restartNumberingAfterBreak="0">
    <w:nsid w:val="21A8686A"/>
    <w:multiLevelType w:val="hybridMultilevel"/>
    <w:tmpl w:val="A4DE7092"/>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1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11" w15:restartNumberingAfterBreak="0">
    <w:nsid w:val="390E071B"/>
    <w:multiLevelType w:val="hybridMultilevel"/>
    <w:tmpl w:val="6E541240"/>
    <w:lvl w:ilvl="0" w:tplc="0C1030F6">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13" w15:restartNumberingAfterBreak="0">
    <w:nsid w:val="4937073E"/>
    <w:multiLevelType w:val="hybridMultilevel"/>
    <w:tmpl w:val="D86AF554"/>
    <w:lvl w:ilvl="0" w:tplc="78D2B2B2">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94B3603"/>
    <w:multiLevelType w:val="hybridMultilevel"/>
    <w:tmpl w:val="9864A1E2"/>
    <w:lvl w:ilvl="0" w:tplc="B1A0CB0E">
      <w:start w:val="1"/>
      <w:numFmt w:val="bullet"/>
      <w:lvlText w:val=""/>
      <w:lvlJc w:val="left"/>
      <w:pPr>
        <w:ind w:left="720" w:hanging="360"/>
      </w:pPr>
      <w:rPr>
        <w:rFonts w:ascii="Symbol" w:hAnsi="Symbol" w:hint="default"/>
      </w:rPr>
    </w:lvl>
    <w:lvl w:ilvl="1" w:tplc="97368218" w:tentative="1">
      <w:start w:val="1"/>
      <w:numFmt w:val="bullet"/>
      <w:lvlText w:val="o"/>
      <w:lvlJc w:val="left"/>
      <w:pPr>
        <w:ind w:left="1440" w:hanging="360"/>
      </w:pPr>
      <w:rPr>
        <w:rFonts w:ascii="Courier New" w:hAnsi="Courier New" w:hint="default"/>
      </w:rPr>
    </w:lvl>
    <w:lvl w:ilvl="2" w:tplc="552E5C5E" w:tentative="1">
      <w:start w:val="1"/>
      <w:numFmt w:val="bullet"/>
      <w:lvlText w:val=""/>
      <w:lvlJc w:val="left"/>
      <w:pPr>
        <w:ind w:left="2160" w:hanging="360"/>
      </w:pPr>
      <w:rPr>
        <w:rFonts w:ascii="Wingdings" w:hAnsi="Wingdings" w:hint="default"/>
      </w:rPr>
    </w:lvl>
    <w:lvl w:ilvl="3" w:tplc="002C1492" w:tentative="1">
      <w:start w:val="1"/>
      <w:numFmt w:val="bullet"/>
      <w:lvlText w:val=""/>
      <w:lvlJc w:val="left"/>
      <w:pPr>
        <w:ind w:left="2880" w:hanging="360"/>
      </w:pPr>
      <w:rPr>
        <w:rFonts w:ascii="Symbol" w:hAnsi="Symbol" w:hint="default"/>
      </w:rPr>
    </w:lvl>
    <w:lvl w:ilvl="4" w:tplc="8C308330" w:tentative="1">
      <w:start w:val="1"/>
      <w:numFmt w:val="bullet"/>
      <w:lvlText w:val="o"/>
      <w:lvlJc w:val="left"/>
      <w:pPr>
        <w:ind w:left="3600" w:hanging="360"/>
      </w:pPr>
      <w:rPr>
        <w:rFonts w:ascii="Courier New" w:hAnsi="Courier New" w:hint="default"/>
      </w:rPr>
    </w:lvl>
    <w:lvl w:ilvl="5" w:tplc="6318F694" w:tentative="1">
      <w:start w:val="1"/>
      <w:numFmt w:val="bullet"/>
      <w:lvlText w:val=""/>
      <w:lvlJc w:val="left"/>
      <w:pPr>
        <w:ind w:left="4320" w:hanging="360"/>
      </w:pPr>
      <w:rPr>
        <w:rFonts w:ascii="Wingdings" w:hAnsi="Wingdings" w:hint="default"/>
      </w:rPr>
    </w:lvl>
    <w:lvl w:ilvl="6" w:tplc="20407AFE" w:tentative="1">
      <w:start w:val="1"/>
      <w:numFmt w:val="bullet"/>
      <w:lvlText w:val=""/>
      <w:lvlJc w:val="left"/>
      <w:pPr>
        <w:ind w:left="5040" w:hanging="360"/>
      </w:pPr>
      <w:rPr>
        <w:rFonts w:ascii="Symbol" w:hAnsi="Symbol" w:hint="default"/>
      </w:rPr>
    </w:lvl>
    <w:lvl w:ilvl="7" w:tplc="FCA00A76" w:tentative="1">
      <w:start w:val="1"/>
      <w:numFmt w:val="bullet"/>
      <w:lvlText w:val="o"/>
      <w:lvlJc w:val="left"/>
      <w:pPr>
        <w:ind w:left="5760" w:hanging="360"/>
      </w:pPr>
      <w:rPr>
        <w:rFonts w:ascii="Courier New" w:hAnsi="Courier New" w:hint="default"/>
      </w:rPr>
    </w:lvl>
    <w:lvl w:ilvl="8" w:tplc="C0F62EDE" w:tentative="1">
      <w:start w:val="1"/>
      <w:numFmt w:val="bullet"/>
      <w:lvlText w:val=""/>
      <w:lvlJc w:val="left"/>
      <w:pPr>
        <w:ind w:left="6480" w:hanging="360"/>
      </w:pPr>
      <w:rPr>
        <w:rFonts w:ascii="Wingdings" w:hAnsi="Wingdings" w:hint="default"/>
      </w:rPr>
    </w:lvl>
  </w:abstractNum>
  <w:abstractNum w:abstractNumId="15" w15:restartNumberingAfterBreak="0">
    <w:nsid w:val="702936F4"/>
    <w:multiLevelType w:val="hybridMultilevel"/>
    <w:tmpl w:val="1A5EE3FA"/>
    <w:lvl w:ilvl="0" w:tplc="83D2934C">
      <w:start w:val="1"/>
      <w:numFmt w:val="bullet"/>
      <w:lvlText w:val=""/>
      <w:lvlJc w:val="left"/>
      <w:pPr>
        <w:ind w:left="360" w:hanging="360"/>
      </w:pPr>
      <w:rPr>
        <w:rFonts w:ascii="Symbol" w:hAnsi="Symbol" w:hint="default"/>
      </w:rPr>
    </w:lvl>
    <w:lvl w:ilvl="1" w:tplc="42DC87E0" w:tentative="1">
      <w:start w:val="1"/>
      <w:numFmt w:val="bullet"/>
      <w:lvlText w:val="o"/>
      <w:lvlJc w:val="left"/>
      <w:pPr>
        <w:ind w:left="1440" w:hanging="360"/>
      </w:pPr>
      <w:rPr>
        <w:rFonts w:ascii="Courier New" w:hAnsi="Courier New" w:hint="default"/>
      </w:rPr>
    </w:lvl>
    <w:lvl w:ilvl="2" w:tplc="12187AF8" w:tentative="1">
      <w:start w:val="1"/>
      <w:numFmt w:val="bullet"/>
      <w:lvlText w:val=""/>
      <w:lvlJc w:val="left"/>
      <w:pPr>
        <w:ind w:left="2160" w:hanging="360"/>
      </w:pPr>
      <w:rPr>
        <w:rFonts w:ascii="Wingdings" w:hAnsi="Wingdings" w:hint="default"/>
      </w:rPr>
    </w:lvl>
    <w:lvl w:ilvl="3" w:tplc="0D780FD4" w:tentative="1">
      <w:start w:val="1"/>
      <w:numFmt w:val="bullet"/>
      <w:lvlText w:val=""/>
      <w:lvlJc w:val="left"/>
      <w:pPr>
        <w:ind w:left="2880" w:hanging="360"/>
      </w:pPr>
      <w:rPr>
        <w:rFonts w:ascii="Symbol" w:hAnsi="Symbol" w:hint="default"/>
      </w:rPr>
    </w:lvl>
    <w:lvl w:ilvl="4" w:tplc="AF421F84" w:tentative="1">
      <w:start w:val="1"/>
      <w:numFmt w:val="bullet"/>
      <w:lvlText w:val="o"/>
      <w:lvlJc w:val="left"/>
      <w:pPr>
        <w:ind w:left="3600" w:hanging="360"/>
      </w:pPr>
      <w:rPr>
        <w:rFonts w:ascii="Courier New" w:hAnsi="Courier New" w:hint="default"/>
      </w:rPr>
    </w:lvl>
    <w:lvl w:ilvl="5" w:tplc="5930DE54" w:tentative="1">
      <w:start w:val="1"/>
      <w:numFmt w:val="bullet"/>
      <w:lvlText w:val=""/>
      <w:lvlJc w:val="left"/>
      <w:pPr>
        <w:ind w:left="4320" w:hanging="360"/>
      </w:pPr>
      <w:rPr>
        <w:rFonts w:ascii="Wingdings" w:hAnsi="Wingdings" w:hint="default"/>
      </w:rPr>
    </w:lvl>
    <w:lvl w:ilvl="6" w:tplc="EF843A6A" w:tentative="1">
      <w:start w:val="1"/>
      <w:numFmt w:val="bullet"/>
      <w:lvlText w:val=""/>
      <w:lvlJc w:val="left"/>
      <w:pPr>
        <w:ind w:left="5040" w:hanging="360"/>
      </w:pPr>
      <w:rPr>
        <w:rFonts w:ascii="Symbol" w:hAnsi="Symbol" w:hint="default"/>
      </w:rPr>
    </w:lvl>
    <w:lvl w:ilvl="7" w:tplc="6E345C3C" w:tentative="1">
      <w:start w:val="1"/>
      <w:numFmt w:val="bullet"/>
      <w:lvlText w:val="o"/>
      <w:lvlJc w:val="left"/>
      <w:pPr>
        <w:ind w:left="5760" w:hanging="360"/>
      </w:pPr>
      <w:rPr>
        <w:rFonts w:ascii="Courier New" w:hAnsi="Courier New" w:hint="default"/>
      </w:rPr>
    </w:lvl>
    <w:lvl w:ilvl="8" w:tplc="C8145CC2" w:tentative="1">
      <w:start w:val="1"/>
      <w:numFmt w:val="bullet"/>
      <w:lvlText w:val=""/>
      <w:lvlJc w:val="left"/>
      <w:pPr>
        <w:ind w:left="6480" w:hanging="360"/>
      </w:pPr>
      <w:rPr>
        <w:rFonts w:ascii="Wingdings" w:hAnsi="Wingdings" w:hint="default"/>
      </w:rPr>
    </w:lvl>
  </w:abstractNum>
  <w:abstractNum w:abstractNumId="16" w15:restartNumberingAfterBreak="0">
    <w:nsid w:val="737E7922"/>
    <w:multiLevelType w:val="multilevel"/>
    <w:tmpl w:val="A088ED4A"/>
    <w:lvl w:ilvl="0">
      <w:start w:val="1"/>
      <w:numFmt w:val="decimal"/>
      <w:lvlText w:val="%1."/>
      <w:lvlJc w:val="left"/>
      <w:pPr>
        <w:ind w:left="720" w:hanging="360"/>
      </w:pPr>
      <w:rPr>
        <w:rFonts w:hint="default"/>
      </w:rPr>
    </w:lvl>
    <w:lvl w:ilvl="1">
      <w:start w:val="1"/>
      <w:numFmt w:val="decimal"/>
      <w:lvlText w:val="%1.%2."/>
      <w:lvlJc w:val="left"/>
      <w:pPr>
        <w:ind w:left="1080" w:hanging="720"/>
      </w:pPr>
      <w:rPr>
        <w:b/>
        <w:bCs/>
        <w:i/>
        <w:iCs/>
        <w:color w:val="auto"/>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7" w15:restartNumberingAfterBreak="0">
    <w:nsid w:val="7E7DE351"/>
    <w:multiLevelType w:val="hybridMultilevel"/>
    <w:tmpl w:val="D338CD2A"/>
    <w:lvl w:ilvl="0" w:tplc="04070001">
      <w:start w:val="1"/>
      <w:numFmt w:val="bullet"/>
      <w:lvlText w:val=""/>
      <w:lvlJc w:val="left"/>
      <w:pPr>
        <w:ind w:left="720" w:hanging="360"/>
      </w:pPr>
      <w:rPr>
        <w:rFonts w:ascii="Symbol" w:hAnsi="Symbol" w:hint="default"/>
      </w:rPr>
    </w:lvl>
    <w:lvl w:ilvl="1" w:tplc="A224DCAE">
      <w:start w:val="1"/>
      <w:numFmt w:val="bullet"/>
      <w:lvlText w:val="o"/>
      <w:lvlJc w:val="left"/>
      <w:pPr>
        <w:ind w:left="1440" w:hanging="360"/>
      </w:pPr>
      <w:rPr>
        <w:rFonts w:ascii="Courier New" w:hAnsi="Courier New" w:hint="default"/>
      </w:rPr>
    </w:lvl>
    <w:lvl w:ilvl="2" w:tplc="96D26A68">
      <w:start w:val="1"/>
      <w:numFmt w:val="bullet"/>
      <w:lvlText w:val=""/>
      <w:lvlJc w:val="left"/>
      <w:pPr>
        <w:ind w:left="2160" w:hanging="360"/>
      </w:pPr>
      <w:rPr>
        <w:rFonts w:ascii="Wingdings" w:hAnsi="Wingdings" w:hint="default"/>
      </w:rPr>
    </w:lvl>
    <w:lvl w:ilvl="3" w:tplc="79A63F60">
      <w:start w:val="1"/>
      <w:numFmt w:val="bullet"/>
      <w:lvlText w:val=""/>
      <w:lvlJc w:val="left"/>
      <w:pPr>
        <w:ind w:left="2880" w:hanging="360"/>
      </w:pPr>
      <w:rPr>
        <w:rFonts w:ascii="Symbol" w:hAnsi="Symbol" w:hint="default"/>
      </w:rPr>
    </w:lvl>
    <w:lvl w:ilvl="4" w:tplc="CBFC17F0">
      <w:start w:val="1"/>
      <w:numFmt w:val="bullet"/>
      <w:lvlText w:val="o"/>
      <w:lvlJc w:val="left"/>
      <w:pPr>
        <w:ind w:left="3600" w:hanging="360"/>
      </w:pPr>
      <w:rPr>
        <w:rFonts w:ascii="Courier New" w:hAnsi="Courier New" w:hint="default"/>
      </w:rPr>
    </w:lvl>
    <w:lvl w:ilvl="5" w:tplc="CF56C33A">
      <w:start w:val="1"/>
      <w:numFmt w:val="bullet"/>
      <w:lvlText w:val=""/>
      <w:lvlJc w:val="left"/>
      <w:pPr>
        <w:ind w:left="4320" w:hanging="360"/>
      </w:pPr>
      <w:rPr>
        <w:rFonts w:ascii="Wingdings" w:hAnsi="Wingdings" w:hint="default"/>
      </w:rPr>
    </w:lvl>
    <w:lvl w:ilvl="6" w:tplc="004E2BD2">
      <w:start w:val="1"/>
      <w:numFmt w:val="bullet"/>
      <w:lvlText w:val=""/>
      <w:lvlJc w:val="left"/>
      <w:pPr>
        <w:ind w:left="5040" w:hanging="360"/>
      </w:pPr>
      <w:rPr>
        <w:rFonts w:ascii="Symbol" w:hAnsi="Symbol" w:hint="default"/>
      </w:rPr>
    </w:lvl>
    <w:lvl w:ilvl="7" w:tplc="6A48ED8A">
      <w:start w:val="1"/>
      <w:numFmt w:val="bullet"/>
      <w:lvlText w:val="o"/>
      <w:lvlJc w:val="left"/>
      <w:pPr>
        <w:ind w:left="5760" w:hanging="360"/>
      </w:pPr>
      <w:rPr>
        <w:rFonts w:ascii="Courier New" w:hAnsi="Courier New" w:hint="default"/>
      </w:rPr>
    </w:lvl>
    <w:lvl w:ilvl="8" w:tplc="55728FA2">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17"/>
  </w:num>
  <w:num w:numId="4">
    <w:abstractNumId w:val="6"/>
  </w:num>
  <w:num w:numId="5">
    <w:abstractNumId w:val="15"/>
  </w:num>
  <w:num w:numId="6">
    <w:abstractNumId w:val="4"/>
  </w:num>
  <w:num w:numId="7">
    <w:abstractNumId w:val="10"/>
  </w:num>
  <w:num w:numId="8">
    <w:abstractNumId w:val="14"/>
  </w:num>
  <w:num w:numId="9">
    <w:abstractNumId w:val="5"/>
  </w:num>
  <w:num w:numId="10">
    <w:abstractNumId w:val="2"/>
  </w:num>
  <w:num w:numId="11">
    <w:abstractNumId w:val="12"/>
  </w:num>
  <w:num w:numId="12">
    <w:abstractNumId w:val="9"/>
  </w:num>
  <w:num w:numId="13">
    <w:abstractNumId w:val="1"/>
  </w:num>
  <w:num w:numId="14">
    <w:abstractNumId w:val="8"/>
  </w:num>
  <w:num w:numId="15">
    <w:abstractNumId w:val="11"/>
  </w:num>
  <w:num w:numId="16">
    <w:abstractNumId w:val="13"/>
  </w:num>
  <w:num w:numId="17">
    <w:abstractNumId w:val="0"/>
  </w:num>
  <w:num w:numId="18">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0C6E7F71-FA0D-48D9-B84B-CA1AF66EC985"/>
    <w:docVar w:name="LW_COVERPAGE_TYPE" w:val="1"/>
    <w:docVar w:name="LW_CROSSREFERENCE" w:val="{SWD(2026) 81 final}"/>
    <w:docVar w:name="LW_DocType" w:val="NORMAL"/>
    <w:docVar w:name="LW_EMISSION" w:val="4.3.2026"/>
    <w:docVar w:name="LW_EMISSION_ISODATE" w:val="2026-03-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rtuaire de l'U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AE683E"/>
    <w:rsid w:val="000000B3"/>
    <w:rsid w:val="000002FA"/>
    <w:rsid w:val="0000031C"/>
    <w:rsid w:val="00000361"/>
    <w:rsid w:val="00000440"/>
    <w:rsid w:val="0000070B"/>
    <w:rsid w:val="0000071F"/>
    <w:rsid w:val="000007AD"/>
    <w:rsid w:val="000007C6"/>
    <w:rsid w:val="000007E3"/>
    <w:rsid w:val="000008F3"/>
    <w:rsid w:val="000009A4"/>
    <w:rsid w:val="00000AB1"/>
    <w:rsid w:val="00000E81"/>
    <w:rsid w:val="00000EAB"/>
    <w:rsid w:val="0000101A"/>
    <w:rsid w:val="0000103D"/>
    <w:rsid w:val="0000110F"/>
    <w:rsid w:val="0000119A"/>
    <w:rsid w:val="000012FE"/>
    <w:rsid w:val="000013E7"/>
    <w:rsid w:val="000013FF"/>
    <w:rsid w:val="0000164E"/>
    <w:rsid w:val="00001715"/>
    <w:rsid w:val="000018AB"/>
    <w:rsid w:val="000018EF"/>
    <w:rsid w:val="00001905"/>
    <w:rsid w:val="0000195B"/>
    <w:rsid w:val="0000199C"/>
    <w:rsid w:val="00001C4D"/>
    <w:rsid w:val="00001C63"/>
    <w:rsid w:val="00001FCF"/>
    <w:rsid w:val="00002006"/>
    <w:rsid w:val="000020B4"/>
    <w:rsid w:val="0000213F"/>
    <w:rsid w:val="0000224F"/>
    <w:rsid w:val="00002659"/>
    <w:rsid w:val="00002666"/>
    <w:rsid w:val="00002ABA"/>
    <w:rsid w:val="00002AE0"/>
    <w:rsid w:val="00002B39"/>
    <w:rsid w:val="00002C7F"/>
    <w:rsid w:val="00002DCC"/>
    <w:rsid w:val="00002EFB"/>
    <w:rsid w:val="00002F5E"/>
    <w:rsid w:val="00002F91"/>
    <w:rsid w:val="00003027"/>
    <w:rsid w:val="000030FF"/>
    <w:rsid w:val="00003124"/>
    <w:rsid w:val="0000313A"/>
    <w:rsid w:val="00003689"/>
    <w:rsid w:val="000038AF"/>
    <w:rsid w:val="00003B76"/>
    <w:rsid w:val="00003C70"/>
    <w:rsid w:val="00003CD7"/>
    <w:rsid w:val="00003D6B"/>
    <w:rsid w:val="00003E74"/>
    <w:rsid w:val="00003FEF"/>
    <w:rsid w:val="00003FFF"/>
    <w:rsid w:val="0000418B"/>
    <w:rsid w:val="000041C1"/>
    <w:rsid w:val="000042D4"/>
    <w:rsid w:val="0000437A"/>
    <w:rsid w:val="0000466D"/>
    <w:rsid w:val="00004722"/>
    <w:rsid w:val="000047BA"/>
    <w:rsid w:val="000047BC"/>
    <w:rsid w:val="000047FE"/>
    <w:rsid w:val="00004850"/>
    <w:rsid w:val="00004A1F"/>
    <w:rsid w:val="00004B01"/>
    <w:rsid w:val="00004D87"/>
    <w:rsid w:val="00005121"/>
    <w:rsid w:val="000052DD"/>
    <w:rsid w:val="000054B8"/>
    <w:rsid w:val="0000573A"/>
    <w:rsid w:val="00005ABF"/>
    <w:rsid w:val="00005BC2"/>
    <w:rsid w:val="00005BE0"/>
    <w:rsid w:val="00005BEE"/>
    <w:rsid w:val="00005C1B"/>
    <w:rsid w:val="00005CC2"/>
    <w:rsid w:val="00005D52"/>
    <w:rsid w:val="00005DAE"/>
    <w:rsid w:val="00005F3D"/>
    <w:rsid w:val="00005FF7"/>
    <w:rsid w:val="000061EA"/>
    <w:rsid w:val="0000631C"/>
    <w:rsid w:val="000063B3"/>
    <w:rsid w:val="0000658E"/>
    <w:rsid w:val="00006856"/>
    <w:rsid w:val="00006A54"/>
    <w:rsid w:val="00006BCA"/>
    <w:rsid w:val="00006D3E"/>
    <w:rsid w:val="00006DB6"/>
    <w:rsid w:val="00006DDD"/>
    <w:rsid w:val="00006DDE"/>
    <w:rsid w:val="00006F68"/>
    <w:rsid w:val="00006FA5"/>
    <w:rsid w:val="000070C5"/>
    <w:rsid w:val="000070F5"/>
    <w:rsid w:val="0000741A"/>
    <w:rsid w:val="000074FA"/>
    <w:rsid w:val="000076E6"/>
    <w:rsid w:val="00007946"/>
    <w:rsid w:val="000079EC"/>
    <w:rsid w:val="00007E2F"/>
    <w:rsid w:val="00007E6A"/>
    <w:rsid w:val="00007F6C"/>
    <w:rsid w:val="0001002A"/>
    <w:rsid w:val="0001010B"/>
    <w:rsid w:val="00010260"/>
    <w:rsid w:val="00010493"/>
    <w:rsid w:val="00010734"/>
    <w:rsid w:val="000107A2"/>
    <w:rsid w:val="0001088E"/>
    <w:rsid w:val="000108DC"/>
    <w:rsid w:val="000109F6"/>
    <w:rsid w:val="00010A47"/>
    <w:rsid w:val="00010B7A"/>
    <w:rsid w:val="00010D70"/>
    <w:rsid w:val="00010ED5"/>
    <w:rsid w:val="00010EE8"/>
    <w:rsid w:val="00010EFB"/>
    <w:rsid w:val="00010FB1"/>
    <w:rsid w:val="00010FD1"/>
    <w:rsid w:val="00011025"/>
    <w:rsid w:val="0001108B"/>
    <w:rsid w:val="00011090"/>
    <w:rsid w:val="000110C5"/>
    <w:rsid w:val="00011169"/>
    <w:rsid w:val="00011215"/>
    <w:rsid w:val="0001127A"/>
    <w:rsid w:val="000112CC"/>
    <w:rsid w:val="00011439"/>
    <w:rsid w:val="00011688"/>
    <w:rsid w:val="00011709"/>
    <w:rsid w:val="000117E4"/>
    <w:rsid w:val="00011888"/>
    <w:rsid w:val="000118FC"/>
    <w:rsid w:val="000119CB"/>
    <w:rsid w:val="000119E4"/>
    <w:rsid w:val="00011A45"/>
    <w:rsid w:val="00011AE3"/>
    <w:rsid w:val="00011D2A"/>
    <w:rsid w:val="00011D74"/>
    <w:rsid w:val="00011D99"/>
    <w:rsid w:val="00011F3E"/>
    <w:rsid w:val="00012087"/>
    <w:rsid w:val="0001211B"/>
    <w:rsid w:val="00012157"/>
    <w:rsid w:val="00012191"/>
    <w:rsid w:val="0001221C"/>
    <w:rsid w:val="000122B5"/>
    <w:rsid w:val="0001238C"/>
    <w:rsid w:val="000125A8"/>
    <w:rsid w:val="0001262B"/>
    <w:rsid w:val="000127D0"/>
    <w:rsid w:val="00012906"/>
    <w:rsid w:val="00012A2C"/>
    <w:rsid w:val="00012AB7"/>
    <w:rsid w:val="00012AC4"/>
    <w:rsid w:val="00012B37"/>
    <w:rsid w:val="00012B8C"/>
    <w:rsid w:val="00012CA4"/>
    <w:rsid w:val="00012DFF"/>
    <w:rsid w:val="00012E32"/>
    <w:rsid w:val="00012E51"/>
    <w:rsid w:val="00012FD9"/>
    <w:rsid w:val="0001320E"/>
    <w:rsid w:val="00013323"/>
    <w:rsid w:val="0001365C"/>
    <w:rsid w:val="000136CA"/>
    <w:rsid w:val="000136E8"/>
    <w:rsid w:val="000137A9"/>
    <w:rsid w:val="000139DD"/>
    <w:rsid w:val="000139E0"/>
    <w:rsid w:val="00013A5F"/>
    <w:rsid w:val="00013AAF"/>
    <w:rsid w:val="00013D45"/>
    <w:rsid w:val="00013FD3"/>
    <w:rsid w:val="000140F8"/>
    <w:rsid w:val="00014147"/>
    <w:rsid w:val="0001426D"/>
    <w:rsid w:val="0001438C"/>
    <w:rsid w:val="000145D4"/>
    <w:rsid w:val="000145FF"/>
    <w:rsid w:val="0001464B"/>
    <w:rsid w:val="0001469A"/>
    <w:rsid w:val="00014737"/>
    <w:rsid w:val="0001476A"/>
    <w:rsid w:val="00014B56"/>
    <w:rsid w:val="00014CE4"/>
    <w:rsid w:val="00014D35"/>
    <w:rsid w:val="00014D42"/>
    <w:rsid w:val="00014DED"/>
    <w:rsid w:val="00014EEA"/>
    <w:rsid w:val="000151D6"/>
    <w:rsid w:val="0001526E"/>
    <w:rsid w:val="00015493"/>
    <w:rsid w:val="0001565F"/>
    <w:rsid w:val="00015819"/>
    <w:rsid w:val="00015932"/>
    <w:rsid w:val="00015B99"/>
    <w:rsid w:val="00015BF0"/>
    <w:rsid w:val="00015C28"/>
    <w:rsid w:val="00015C49"/>
    <w:rsid w:val="00015DDA"/>
    <w:rsid w:val="00015E62"/>
    <w:rsid w:val="0001631A"/>
    <w:rsid w:val="00016490"/>
    <w:rsid w:val="000165C9"/>
    <w:rsid w:val="000166DD"/>
    <w:rsid w:val="00016707"/>
    <w:rsid w:val="000167CF"/>
    <w:rsid w:val="000167E6"/>
    <w:rsid w:val="000168F3"/>
    <w:rsid w:val="00016926"/>
    <w:rsid w:val="00016934"/>
    <w:rsid w:val="000169C8"/>
    <w:rsid w:val="00016B2D"/>
    <w:rsid w:val="00016B9C"/>
    <w:rsid w:val="00016C15"/>
    <w:rsid w:val="00016E29"/>
    <w:rsid w:val="00016F01"/>
    <w:rsid w:val="00016F92"/>
    <w:rsid w:val="00017011"/>
    <w:rsid w:val="0001706B"/>
    <w:rsid w:val="00017541"/>
    <w:rsid w:val="000175A2"/>
    <w:rsid w:val="000176AC"/>
    <w:rsid w:val="00017751"/>
    <w:rsid w:val="000179B3"/>
    <w:rsid w:val="00017AAD"/>
    <w:rsid w:val="00017B45"/>
    <w:rsid w:val="00017B52"/>
    <w:rsid w:val="00017ED2"/>
    <w:rsid w:val="00017EF5"/>
    <w:rsid w:val="00017FD7"/>
    <w:rsid w:val="00020263"/>
    <w:rsid w:val="00020619"/>
    <w:rsid w:val="00020688"/>
    <w:rsid w:val="00020805"/>
    <w:rsid w:val="00020884"/>
    <w:rsid w:val="00020923"/>
    <w:rsid w:val="00020B29"/>
    <w:rsid w:val="00020D0D"/>
    <w:rsid w:val="00020E49"/>
    <w:rsid w:val="00020FA8"/>
    <w:rsid w:val="00021037"/>
    <w:rsid w:val="0002103C"/>
    <w:rsid w:val="0002105B"/>
    <w:rsid w:val="00021063"/>
    <w:rsid w:val="00021146"/>
    <w:rsid w:val="0002119B"/>
    <w:rsid w:val="0002122D"/>
    <w:rsid w:val="000212E4"/>
    <w:rsid w:val="00021379"/>
    <w:rsid w:val="000214BE"/>
    <w:rsid w:val="000215D1"/>
    <w:rsid w:val="00021677"/>
    <w:rsid w:val="00021709"/>
    <w:rsid w:val="00021801"/>
    <w:rsid w:val="000218E6"/>
    <w:rsid w:val="00021929"/>
    <w:rsid w:val="000219A1"/>
    <w:rsid w:val="00021A3D"/>
    <w:rsid w:val="00021AA6"/>
    <w:rsid w:val="00021B3B"/>
    <w:rsid w:val="00021B49"/>
    <w:rsid w:val="00021B77"/>
    <w:rsid w:val="00021BFD"/>
    <w:rsid w:val="00021C52"/>
    <w:rsid w:val="00021D96"/>
    <w:rsid w:val="00021E3F"/>
    <w:rsid w:val="00021F24"/>
    <w:rsid w:val="00021FA7"/>
    <w:rsid w:val="0002212B"/>
    <w:rsid w:val="00022204"/>
    <w:rsid w:val="000223BD"/>
    <w:rsid w:val="0002259B"/>
    <w:rsid w:val="000226D2"/>
    <w:rsid w:val="000227E7"/>
    <w:rsid w:val="00022850"/>
    <w:rsid w:val="00022B16"/>
    <w:rsid w:val="00022C54"/>
    <w:rsid w:val="000231B6"/>
    <w:rsid w:val="000232B6"/>
    <w:rsid w:val="0002336C"/>
    <w:rsid w:val="00023413"/>
    <w:rsid w:val="000234E4"/>
    <w:rsid w:val="00023557"/>
    <w:rsid w:val="00023592"/>
    <w:rsid w:val="000235AA"/>
    <w:rsid w:val="000235E9"/>
    <w:rsid w:val="000237A4"/>
    <w:rsid w:val="0002382A"/>
    <w:rsid w:val="000238C5"/>
    <w:rsid w:val="000239D7"/>
    <w:rsid w:val="00023A15"/>
    <w:rsid w:val="00023ADF"/>
    <w:rsid w:val="00023E1E"/>
    <w:rsid w:val="00023FE6"/>
    <w:rsid w:val="00024036"/>
    <w:rsid w:val="0002407B"/>
    <w:rsid w:val="0002422D"/>
    <w:rsid w:val="000242B5"/>
    <w:rsid w:val="00024309"/>
    <w:rsid w:val="00024382"/>
    <w:rsid w:val="000243C9"/>
    <w:rsid w:val="000243EA"/>
    <w:rsid w:val="000243FF"/>
    <w:rsid w:val="000244AF"/>
    <w:rsid w:val="00024509"/>
    <w:rsid w:val="000245D2"/>
    <w:rsid w:val="00024623"/>
    <w:rsid w:val="000246A1"/>
    <w:rsid w:val="000249CF"/>
    <w:rsid w:val="000249F9"/>
    <w:rsid w:val="00024A55"/>
    <w:rsid w:val="00024A66"/>
    <w:rsid w:val="00024B01"/>
    <w:rsid w:val="00024B83"/>
    <w:rsid w:val="00024D8E"/>
    <w:rsid w:val="00024E00"/>
    <w:rsid w:val="00025022"/>
    <w:rsid w:val="00025032"/>
    <w:rsid w:val="0002513C"/>
    <w:rsid w:val="000251FF"/>
    <w:rsid w:val="00025265"/>
    <w:rsid w:val="000252DA"/>
    <w:rsid w:val="00025588"/>
    <w:rsid w:val="00025636"/>
    <w:rsid w:val="000256C3"/>
    <w:rsid w:val="000257C9"/>
    <w:rsid w:val="00025984"/>
    <w:rsid w:val="00025BDD"/>
    <w:rsid w:val="00025DBD"/>
    <w:rsid w:val="00025E5B"/>
    <w:rsid w:val="00026000"/>
    <w:rsid w:val="00026285"/>
    <w:rsid w:val="000262EB"/>
    <w:rsid w:val="000262EF"/>
    <w:rsid w:val="00026411"/>
    <w:rsid w:val="000264AD"/>
    <w:rsid w:val="0002693F"/>
    <w:rsid w:val="00026A57"/>
    <w:rsid w:val="00026AA4"/>
    <w:rsid w:val="00026AFF"/>
    <w:rsid w:val="00026C24"/>
    <w:rsid w:val="00026E63"/>
    <w:rsid w:val="00027007"/>
    <w:rsid w:val="000270E6"/>
    <w:rsid w:val="00027388"/>
    <w:rsid w:val="0002757C"/>
    <w:rsid w:val="00027688"/>
    <w:rsid w:val="000277D7"/>
    <w:rsid w:val="0002797E"/>
    <w:rsid w:val="00027A86"/>
    <w:rsid w:val="00027AA9"/>
    <w:rsid w:val="00027ABE"/>
    <w:rsid w:val="00027C2A"/>
    <w:rsid w:val="00027DB9"/>
    <w:rsid w:val="00027DDC"/>
    <w:rsid w:val="00027DE7"/>
    <w:rsid w:val="00027E0F"/>
    <w:rsid w:val="00027E2D"/>
    <w:rsid w:val="00027E93"/>
    <w:rsid w:val="00027FD1"/>
    <w:rsid w:val="00030182"/>
    <w:rsid w:val="00030187"/>
    <w:rsid w:val="000302F7"/>
    <w:rsid w:val="0003047C"/>
    <w:rsid w:val="000304E9"/>
    <w:rsid w:val="00030525"/>
    <w:rsid w:val="00030532"/>
    <w:rsid w:val="00030596"/>
    <w:rsid w:val="00030626"/>
    <w:rsid w:val="0003064A"/>
    <w:rsid w:val="00030727"/>
    <w:rsid w:val="0003085A"/>
    <w:rsid w:val="00030985"/>
    <w:rsid w:val="00030A08"/>
    <w:rsid w:val="00030B28"/>
    <w:rsid w:val="00030B52"/>
    <w:rsid w:val="00030BAC"/>
    <w:rsid w:val="00030C6F"/>
    <w:rsid w:val="00030E23"/>
    <w:rsid w:val="0003110E"/>
    <w:rsid w:val="00031145"/>
    <w:rsid w:val="000311E0"/>
    <w:rsid w:val="000312D9"/>
    <w:rsid w:val="000313E9"/>
    <w:rsid w:val="0003155E"/>
    <w:rsid w:val="0003161A"/>
    <w:rsid w:val="000316B8"/>
    <w:rsid w:val="00031762"/>
    <w:rsid w:val="000317DA"/>
    <w:rsid w:val="00031899"/>
    <w:rsid w:val="00031928"/>
    <w:rsid w:val="000319C7"/>
    <w:rsid w:val="000319E0"/>
    <w:rsid w:val="00031AD6"/>
    <w:rsid w:val="00031DC3"/>
    <w:rsid w:val="00031EFB"/>
    <w:rsid w:val="00031F00"/>
    <w:rsid w:val="00031F27"/>
    <w:rsid w:val="00032138"/>
    <w:rsid w:val="0003228F"/>
    <w:rsid w:val="0003249C"/>
    <w:rsid w:val="0003280D"/>
    <w:rsid w:val="00032899"/>
    <w:rsid w:val="0003293A"/>
    <w:rsid w:val="00032981"/>
    <w:rsid w:val="000329CA"/>
    <w:rsid w:val="00032CE8"/>
    <w:rsid w:val="00032D7F"/>
    <w:rsid w:val="00032EB4"/>
    <w:rsid w:val="000330F1"/>
    <w:rsid w:val="00033118"/>
    <w:rsid w:val="00033200"/>
    <w:rsid w:val="000332BC"/>
    <w:rsid w:val="00033461"/>
    <w:rsid w:val="00033609"/>
    <w:rsid w:val="000336FB"/>
    <w:rsid w:val="000338E0"/>
    <w:rsid w:val="000339D8"/>
    <w:rsid w:val="000339F5"/>
    <w:rsid w:val="00033CD2"/>
    <w:rsid w:val="00033D45"/>
    <w:rsid w:val="00033D58"/>
    <w:rsid w:val="00033E12"/>
    <w:rsid w:val="00034047"/>
    <w:rsid w:val="00034194"/>
    <w:rsid w:val="000342AF"/>
    <w:rsid w:val="00034391"/>
    <w:rsid w:val="0003445A"/>
    <w:rsid w:val="000344A6"/>
    <w:rsid w:val="00034757"/>
    <w:rsid w:val="00034760"/>
    <w:rsid w:val="00034862"/>
    <w:rsid w:val="00034A37"/>
    <w:rsid w:val="00034C73"/>
    <w:rsid w:val="00034DBE"/>
    <w:rsid w:val="00034DD4"/>
    <w:rsid w:val="00034DF7"/>
    <w:rsid w:val="00034E06"/>
    <w:rsid w:val="0003501B"/>
    <w:rsid w:val="0003504E"/>
    <w:rsid w:val="000354B0"/>
    <w:rsid w:val="00035520"/>
    <w:rsid w:val="00035581"/>
    <w:rsid w:val="00035688"/>
    <w:rsid w:val="000356D4"/>
    <w:rsid w:val="000357FD"/>
    <w:rsid w:val="0003592C"/>
    <w:rsid w:val="00035986"/>
    <w:rsid w:val="00035A94"/>
    <w:rsid w:val="00035B6D"/>
    <w:rsid w:val="00035C33"/>
    <w:rsid w:val="00035CEC"/>
    <w:rsid w:val="00035D23"/>
    <w:rsid w:val="00035D2F"/>
    <w:rsid w:val="00035D57"/>
    <w:rsid w:val="00035E0D"/>
    <w:rsid w:val="00035E41"/>
    <w:rsid w:val="00035E63"/>
    <w:rsid w:val="00035FB3"/>
    <w:rsid w:val="000360EB"/>
    <w:rsid w:val="000361A5"/>
    <w:rsid w:val="00036254"/>
    <w:rsid w:val="0003630F"/>
    <w:rsid w:val="00036357"/>
    <w:rsid w:val="00036386"/>
    <w:rsid w:val="000365D0"/>
    <w:rsid w:val="00036695"/>
    <w:rsid w:val="00036849"/>
    <w:rsid w:val="00036908"/>
    <w:rsid w:val="00036951"/>
    <w:rsid w:val="00036ABE"/>
    <w:rsid w:val="00036AD7"/>
    <w:rsid w:val="00036C34"/>
    <w:rsid w:val="00036C6E"/>
    <w:rsid w:val="00036C87"/>
    <w:rsid w:val="00036ED5"/>
    <w:rsid w:val="00036FDD"/>
    <w:rsid w:val="0003734D"/>
    <w:rsid w:val="0003738F"/>
    <w:rsid w:val="00037997"/>
    <w:rsid w:val="00037A2F"/>
    <w:rsid w:val="00037A57"/>
    <w:rsid w:val="00037ABF"/>
    <w:rsid w:val="00037C15"/>
    <w:rsid w:val="00037D01"/>
    <w:rsid w:val="00037D22"/>
    <w:rsid w:val="00037E57"/>
    <w:rsid w:val="00037F95"/>
    <w:rsid w:val="00040227"/>
    <w:rsid w:val="00040672"/>
    <w:rsid w:val="000406F0"/>
    <w:rsid w:val="000408F3"/>
    <w:rsid w:val="0004091D"/>
    <w:rsid w:val="0004094A"/>
    <w:rsid w:val="00040A63"/>
    <w:rsid w:val="00040AE0"/>
    <w:rsid w:val="00040E07"/>
    <w:rsid w:val="00040FAC"/>
    <w:rsid w:val="0004105F"/>
    <w:rsid w:val="00041135"/>
    <w:rsid w:val="00041198"/>
    <w:rsid w:val="00041288"/>
    <w:rsid w:val="000413BF"/>
    <w:rsid w:val="000413D1"/>
    <w:rsid w:val="00041424"/>
    <w:rsid w:val="00041682"/>
    <w:rsid w:val="00041760"/>
    <w:rsid w:val="0004188D"/>
    <w:rsid w:val="00041BD2"/>
    <w:rsid w:val="00041D30"/>
    <w:rsid w:val="00041D92"/>
    <w:rsid w:val="00041FD6"/>
    <w:rsid w:val="00042049"/>
    <w:rsid w:val="0004254F"/>
    <w:rsid w:val="00042A57"/>
    <w:rsid w:val="00042A80"/>
    <w:rsid w:val="00042BA3"/>
    <w:rsid w:val="00042BE5"/>
    <w:rsid w:val="00042D75"/>
    <w:rsid w:val="00042F41"/>
    <w:rsid w:val="0004313A"/>
    <w:rsid w:val="000431B3"/>
    <w:rsid w:val="0004329E"/>
    <w:rsid w:val="000432A3"/>
    <w:rsid w:val="000432E6"/>
    <w:rsid w:val="00043402"/>
    <w:rsid w:val="0004358C"/>
    <w:rsid w:val="00043597"/>
    <w:rsid w:val="000435A8"/>
    <w:rsid w:val="00043627"/>
    <w:rsid w:val="0004385A"/>
    <w:rsid w:val="0004388C"/>
    <w:rsid w:val="000439FF"/>
    <w:rsid w:val="00043A55"/>
    <w:rsid w:val="00043A97"/>
    <w:rsid w:val="00043B15"/>
    <w:rsid w:val="00043D37"/>
    <w:rsid w:val="00043ED1"/>
    <w:rsid w:val="000441BA"/>
    <w:rsid w:val="00044266"/>
    <w:rsid w:val="00044289"/>
    <w:rsid w:val="000443CB"/>
    <w:rsid w:val="000443D6"/>
    <w:rsid w:val="00044418"/>
    <w:rsid w:val="000445FE"/>
    <w:rsid w:val="00044694"/>
    <w:rsid w:val="000446EA"/>
    <w:rsid w:val="00044860"/>
    <w:rsid w:val="00044941"/>
    <w:rsid w:val="00044C59"/>
    <w:rsid w:val="00044C8D"/>
    <w:rsid w:val="00044CB0"/>
    <w:rsid w:val="00044D00"/>
    <w:rsid w:val="00044E0C"/>
    <w:rsid w:val="00044E14"/>
    <w:rsid w:val="00044E4D"/>
    <w:rsid w:val="00044F50"/>
    <w:rsid w:val="00044FF4"/>
    <w:rsid w:val="00045074"/>
    <w:rsid w:val="000450FB"/>
    <w:rsid w:val="000451A9"/>
    <w:rsid w:val="000453FA"/>
    <w:rsid w:val="0004562D"/>
    <w:rsid w:val="000457D3"/>
    <w:rsid w:val="00045977"/>
    <w:rsid w:val="00045A06"/>
    <w:rsid w:val="00045A3D"/>
    <w:rsid w:val="00045A56"/>
    <w:rsid w:val="00045B4B"/>
    <w:rsid w:val="00045BA9"/>
    <w:rsid w:val="00045BF7"/>
    <w:rsid w:val="00045CF2"/>
    <w:rsid w:val="00045E4E"/>
    <w:rsid w:val="00046179"/>
    <w:rsid w:val="0004628F"/>
    <w:rsid w:val="0004646E"/>
    <w:rsid w:val="0004647B"/>
    <w:rsid w:val="00046536"/>
    <w:rsid w:val="0004654F"/>
    <w:rsid w:val="00046592"/>
    <w:rsid w:val="00046687"/>
    <w:rsid w:val="0004668B"/>
    <w:rsid w:val="0004677C"/>
    <w:rsid w:val="000469CE"/>
    <w:rsid w:val="000469E9"/>
    <w:rsid w:val="00046B4C"/>
    <w:rsid w:val="00046B52"/>
    <w:rsid w:val="00046B5E"/>
    <w:rsid w:val="00046D92"/>
    <w:rsid w:val="00046EC8"/>
    <w:rsid w:val="0004703A"/>
    <w:rsid w:val="000472C8"/>
    <w:rsid w:val="000473C6"/>
    <w:rsid w:val="00047400"/>
    <w:rsid w:val="000476C7"/>
    <w:rsid w:val="000476D5"/>
    <w:rsid w:val="00047700"/>
    <w:rsid w:val="0004779C"/>
    <w:rsid w:val="00047957"/>
    <w:rsid w:val="000479A0"/>
    <w:rsid w:val="00047A1C"/>
    <w:rsid w:val="00047AF3"/>
    <w:rsid w:val="00047B59"/>
    <w:rsid w:val="00047BED"/>
    <w:rsid w:val="00047C1D"/>
    <w:rsid w:val="00047C47"/>
    <w:rsid w:val="00047DE3"/>
    <w:rsid w:val="00047EB6"/>
    <w:rsid w:val="00047EF0"/>
    <w:rsid w:val="000501D7"/>
    <w:rsid w:val="0005021F"/>
    <w:rsid w:val="000504CE"/>
    <w:rsid w:val="00050647"/>
    <w:rsid w:val="000507B1"/>
    <w:rsid w:val="00050841"/>
    <w:rsid w:val="00050894"/>
    <w:rsid w:val="00050A58"/>
    <w:rsid w:val="00050A74"/>
    <w:rsid w:val="00050D9B"/>
    <w:rsid w:val="00050FE0"/>
    <w:rsid w:val="00051031"/>
    <w:rsid w:val="00051038"/>
    <w:rsid w:val="00051273"/>
    <w:rsid w:val="00051312"/>
    <w:rsid w:val="000514EA"/>
    <w:rsid w:val="0005179E"/>
    <w:rsid w:val="0005184B"/>
    <w:rsid w:val="000519E4"/>
    <w:rsid w:val="00051A2D"/>
    <w:rsid w:val="00051DB8"/>
    <w:rsid w:val="00051DC3"/>
    <w:rsid w:val="00052030"/>
    <w:rsid w:val="00052288"/>
    <w:rsid w:val="0005236E"/>
    <w:rsid w:val="0005237E"/>
    <w:rsid w:val="000523AC"/>
    <w:rsid w:val="0005258A"/>
    <w:rsid w:val="0005258B"/>
    <w:rsid w:val="0005285C"/>
    <w:rsid w:val="00052916"/>
    <w:rsid w:val="000529F2"/>
    <w:rsid w:val="00052CC5"/>
    <w:rsid w:val="00052E97"/>
    <w:rsid w:val="0005302A"/>
    <w:rsid w:val="000534F6"/>
    <w:rsid w:val="0005364F"/>
    <w:rsid w:val="00053688"/>
    <w:rsid w:val="0005373D"/>
    <w:rsid w:val="000537A9"/>
    <w:rsid w:val="000538B5"/>
    <w:rsid w:val="00053941"/>
    <w:rsid w:val="00053C5D"/>
    <w:rsid w:val="00053DA9"/>
    <w:rsid w:val="000540F8"/>
    <w:rsid w:val="000541CF"/>
    <w:rsid w:val="000544D9"/>
    <w:rsid w:val="00054578"/>
    <w:rsid w:val="000545FD"/>
    <w:rsid w:val="000547D5"/>
    <w:rsid w:val="000548C6"/>
    <w:rsid w:val="00054954"/>
    <w:rsid w:val="000549A1"/>
    <w:rsid w:val="000549AD"/>
    <w:rsid w:val="00054A2D"/>
    <w:rsid w:val="00054C5D"/>
    <w:rsid w:val="00054D42"/>
    <w:rsid w:val="00054D55"/>
    <w:rsid w:val="00054E2D"/>
    <w:rsid w:val="00054F65"/>
    <w:rsid w:val="00055052"/>
    <w:rsid w:val="000550AC"/>
    <w:rsid w:val="000550CD"/>
    <w:rsid w:val="00055345"/>
    <w:rsid w:val="000553FC"/>
    <w:rsid w:val="0005542E"/>
    <w:rsid w:val="000554CE"/>
    <w:rsid w:val="000554D4"/>
    <w:rsid w:val="0005559A"/>
    <w:rsid w:val="000556BA"/>
    <w:rsid w:val="00055756"/>
    <w:rsid w:val="000558B3"/>
    <w:rsid w:val="000559D2"/>
    <w:rsid w:val="00055AB1"/>
    <w:rsid w:val="00055AB5"/>
    <w:rsid w:val="00055B5F"/>
    <w:rsid w:val="00055BC5"/>
    <w:rsid w:val="00055BE9"/>
    <w:rsid w:val="00055C6B"/>
    <w:rsid w:val="00055CBA"/>
    <w:rsid w:val="00055D79"/>
    <w:rsid w:val="00055DB9"/>
    <w:rsid w:val="00055E25"/>
    <w:rsid w:val="00056020"/>
    <w:rsid w:val="00056097"/>
    <w:rsid w:val="0005649D"/>
    <w:rsid w:val="000564F6"/>
    <w:rsid w:val="00056573"/>
    <w:rsid w:val="000565A2"/>
    <w:rsid w:val="00056661"/>
    <w:rsid w:val="00056751"/>
    <w:rsid w:val="00056914"/>
    <w:rsid w:val="000569ED"/>
    <w:rsid w:val="00056A38"/>
    <w:rsid w:val="00056A94"/>
    <w:rsid w:val="00056AA8"/>
    <w:rsid w:val="00056BF4"/>
    <w:rsid w:val="00056C92"/>
    <w:rsid w:val="00056E54"/>
    <w:rsid w:val="00056E8A"/>
    <w:rsid w:val="00057002"/>
    <w:rsid w:val="000570DE"/>
    <w:rsid w:val="00057168"/>
    <w:rsid w:val="000573C8"/>
    <w:rsid w:val="00057641"/>
    <w:rsid w:val="00057664"/>
    <w:rsid w:val="000576A2"/>
    <w:rsid w:val="000576CE"/>
    <w:rsid w:val="0005782D"/>
    <w:rsid w:val="000578D3"/>
    <w:rsid w:val="000579EE"/>
    <w:rsid w:val="00057A17"/>
    <w:rsid w:val="00057A33"/>
    <w:rsid w:val="00057C2A"/>
    <w:rsid w:val="00057D33"/>
    <w:rsid w:val="00057F05"/>
    <w:rsid w:val="0006003D"/>
    <w:rsid w:val="00060053"/>
    <w:rsid w:val="000601B4"/>
    <w:rsid w:val="0006022D"/>
    <w:rsid w:val="00060235"/>
    <w:rsid w:val="00060388"/>
    <w:rsid w:val="00060407"/>
    <w:rsid w:val="0006056F"/>
    <w:rsid w:val="000608C2"/>
    <w:rsid w:val="00060906"/>
    <w:rsid w:val="00060A53"/>
    <w:rsid w:val="00060C78"/>
    <w:rsid w:val="00060EAD"/>
    <w:rsid w:val="00060ED5"/>
    <w:rsid w:val="00060F56"/>
    <w:rsid w:val="0006111A"/>
    <w:rsid w:val="000612A4"/>
    <w:rsid w:val="0006134B"/>
    <w:rsid w:val="00061669"/>
    <w:rsid w:val="000616E0"/>
    <w:rsid w:val="000618ED"/>
    <w:rsid w:val="00061ACB"/>
    <w:rsid w:val="00061AF8"/>
    <w:rsid w:val="00061C03"/>
    <w:rsid w:val="00061C21"/>
    <w:rsid w:val="00061DFC"/>
    <w:rsid w:val="00061EE4"/>
    <w:rsid w:val="00061FDC"/>
    <w:rsid w:val="000620BC"/>
    <w:rsid w:val="00062161"/>
    <w:rsid w:val="00062241"/>
    <w:rsid w:val="000622DC"/>
    <w:rsid w:val="00062336"/>
    <w:rsid w:val="0006243C"/>
    <w:rsid w:val="000624F0"/>
    <w:rsid w:val="00062565"/>
    <w:rsid w:val="00062849"/>
    <w:rsid w:val="000628CA"/>
    <w:rsid w:val="00062992"/>
    <w:rsid w:val="00062A40"/>
    <w:rsid w:val="00062B20"/>
    <w:rsid w:val="00062D39"/>
    <w:rsid w:val="00062F19"/>
    <w:rsid w:val="000630D8"/>
    <w:rsid w:val="00063191"/>
    <w:rsid w:val="0006328B"/>
    <w:rsid w:val="0006345D"/>
    <w:rsid w:val="000634C7"/>
    <w:rsid w:val="00063576"/>
    <w:rsid w:val="00063577"/>
    <w:rsid w:val="00063685"/>
    <w:rsid w:val="00063781"/>
    <w:rsid w:val="00063847"/>
    <w:rsid w:val="00063991"/>
    <w:rsid w:val="00063CB7"/>
    <w:rsid w:val="00063D10"/>
    <w:rsid w:val="00063DE3"/>
    <w:rsid w:val="00064044"/>
    <w:rsid w:val="00064079"/>
    <w:rsid w:val="000645F0"/>
    <w:rsid w:val="0006462B"/>
    <w:rsid w:val="0006496F"/>
    <w:rsid w:val="00064D22"/>
    <w:rsid w:val="00064DFB"/>
    <w:rsid w:val="00064E39"/>
    <w:rsid w:val="000651C7"/>
    <w:rsid w:val="00065405"/>
    <w:rsid w:val="000654C4"/>
    <w:rsid w:val="000655EE"/>
    <w:rsid w:val="0006563B"/>
    <w:rsid w:val="0006586E"/>
    <w:rsid w:val="00065E93"/>
    <w:rsid w:val="00065EC8"/>
    <w:rsid w:val="00065FD1"/>
    <w:rsid w:val="00066058"/>
    <w:rsid w:val="0006625E"/>
    <w:rsid w:val="00066267"/>
    <w:rsid w:val="0006631C"/>
    <w:rsid w:val="000664AD"/>
    <w:rsid w:val="000664B8"/>
    <w:rsid w:val="00066654"/>
    <w:rsid w:val="000666D4"/>
    <w:rsid w:val="00066828"/>
    <w:rsid w:val="0006699E"/>
    <w:rsid w:val="00066B19"/>
    <w:rsid w:val="00066F7F"/>
    <w:rsid w:val="00067166"/>
    <w:rsid w:val="000671B4"/>
    <w:rsid w:val="000671F4"/>
    <w:rsid w:val="000672BF"/>
    <w:rsid w:val="000673DA"/>
    <w:rsid w:val="00067400"/>
    <w:rsid w:val="0006741D"/>
    <w:rsid w:val="000674B1"/>
    <w:rsid w:val="00067554"/>
    <w:rsid w:val="000675A0"/>
    <w:rsid w:val="000675D7"/>
    <w:rsid w:val="00067681"/>
    <w:rsid w:val="000676B9"/>
    <w:rsid w:val="000676E3"/>
    <w:rsid w:val="000679EC"/>
    <w:rsid w:val="00067BFD"/>
    <w:rsid w:val="00067C14"/>
    <w:rsid w:val="00067DA2"/>
    <w:rsid w:val="00067F4A"/>
    <w:rsid w:val="00067F85"/>
    <w:rsid w:val="000707C1"/>
    <w:rsid w:val="0007088A"/>
    <w:rsid w:val="00070A23"/>
    <w:rsid w:val="00070B14"/>
    <w:rsid w:val="00070B29"/>
    <w:rsid w:val="00070B35"/>
    <w:rsid w:val="00070B4D"/>
    <w:rsid w:val="00070D4D"/>
    <w:rsid w:val="00070DAF"/>
    <w:rsid w:val="00070E09"/>
    <w:rsid w:val="00070E30"/>
    <w:rsid w:val="00070F95"/>
    <w:rsid w:val="0007109B"/>
    <w:rsid w:val="0007113B"/>
    <w:rsid w:val="00071186"/>
    <w:rsid w:val="0007130C"/>
    <w:rsid w:val="0007145A"/>
    <w:rsid w:val="00071470"/>
    <w:rsid w:val="0007148E"/>
    <w:rsid w:val="00071676"/>
    <w:rsid w:val="00071687"/>
    <w:rsid w:val="000716D0"/>
    <w:rsid w:val="000717D6"/>
    <w:rsid w:val="00071A57"/>
    <w:rsid w:val="00071A88"/>
    <w:rsid w:val="00071AE0"/>
    <w:rsid w:val="00071B0B"/>
    <w:rsid w:val="00071B75"/>
    <w:rsid w:val="00071C46"/>
    <w:rsid w:val="00071C7E"/>
    <w:rsid w:val="00071CBD"/>
    <w:rsid w:val="00071DF2"/>
    <w:rsid w:val="00071DF8"/>
    <w:rsid w:val="00071E44"/>
    <w:rsid w:val="00071E7D"/>
    <w:rsid w:val="00071EF3"/>
    <w:rsid w:val="00071F06"/>
    <w:rsid w:val="00071F7C"/>
    <w:rsid w:val="000720BC"/>
    <w:rsid w:val="00072103"/>
    <w:rsid w:val="000723A2"/>
    <w:rsid w:val="000723AE"/>
    <w:rsid w:val="000723D8"/>
    <w:rsid w:val="00072514"/>
    <w:rsid w:val="000726B4"/>
    <w:rsid w:val="000726CE"/>
    <w:rsid w:val="00072720"/>
    <w:rsid w:val="00072950"/>
    <w:rsid w:val="000729AC"/>
    <w:rsid w:val="00072BB8"/>
    <w:rsid w:val="00072D2F"/>
    <w:rsid w:val="00072DB1"/>
    <w:rsid w:val="00072F3E"/>
    <w:rsid w:val="000732E6"/>
    <w:rsid w:val="00073319"/>
    <w:rsid w:val="000733E3"/>
    <w:rsid w:val="000734C7"/>
    <w:rsid w:val="00073945"/>
    <w:rsid w:val="0007394B"/>
    <w:rsid w:val="0007395E"/>
    <w:rsid w:val="000739C8"/>
    <w:rsid w:val="000739E2"/>
    <w:rsid w:val="00073B19"/>
    <w:rsid w:val="00073EA1"/>
    <w:rsid w:val="00073EC3"/>
    <w:rsid w:val="00073EC7"/>
    <w:rsid w:val="00073F27"/>
    <w:rsid w:val="00073F3B"/>
    <w:rsid w:val="00073FF7"/>
    <w:rsid w:val="00074017"/>
    <w:rsid w:val="00074141"/>
    <w:rsid w:val="000741EF"/>
    <w:rsid w:val="00074215"/>
    <w:rsid w:val="000742E7"/>
    <w:rsid w:val="00074316"/>
    <w:rsid w:val="000743FC"/>
    <w:rsid w:val="000744A1"/>
    <w:rsid w:val="00074593"/>
    <w:rsid w:val="00074752"/>
    <w:rsid w:val="000747D8"/>
    <w:rsid w:val="000748E8"/>
    <w:rsid w:val="00074A43"/>
    <w:rsid w:val="00074D10"/>
    <w:rsid w:val="00075065"/>
    <w:rsid w:val="00075268"/>
    <w:rsid w:val="000753EB"/>
    <w:rsid w:val="0007547F"/>
    <w:rsid w:val="000757CD"/>
    <w:rsid w:val="000757F5"/>
    <w:rsid w:val="000758B9"/>
    <w:rsid w:val="000758BD"/>
    <w:rsid w:val="000758C0"/>
    <w:rsid w:val="000759E6"/>
    <w:rsid w:val="00075A2B"/>
    <w:rsid w:val="00075BAA"/>
    <w:rsid w:val="00075BFD"/>
    <w:rsid w:val="00075C7F"/>
    <w:rsid w:val="00075D5D"/>
    <w:rsid w:val="00075E9C"/>
    <w:rsid w:val="00076073"/>
    <w:rsid w:val="00076104"/>
    <w:rsid w:val="00076341"/>
    <w:rsid w:val="0007637E"/>
    <w:rsid w:val="0007656C"/>
    <w:rsid w:val="000765A1"/>
    <w:rsid w:val="000765C8"/>
    <w:rsid w:val="000765F3"/>
    <w:rsid w:val="00076607"/>
    <w:rsid w:val="000766B5"/>
    <w:rsid w:val="0007672B"/>
    <w:rsid w:val="0007693C"/>
    <w:rsid w:val="00076B77"/>
    <w:rsid w:val="00076BE6"/>
    <w:rsid w:val="00076C92"/>
    <w:rsid w:val="00076F3C"/>
    <w:rsid w:val="000771D4"/>
    <w:rsid w:val="00077230"/>
    <w:rsid w:val="000772DE"/>
    <w:rsid w:val="000775DC"/>
    <w:rsid w:val="00077638"/>
    <w:rsid w:val="000776A7"/>
    <w:rsid w:val="00077701"/>
    <w:rsid w:val="00077718"/>
    <w:rsid w:val="000778E6"/>
    <w:rsid w:val="00077908"/>
    <w:rsid w:val="00077A3C"/>
    <w:rsid w:val="00077AF1"/>
    <w:rsid w:val="00077DB4"/>
    <w:rsid w:val="00077F10"/>
    <w:rsid w:val="000801B9"/>
    <w:rsid w:val="00080242"/>
    <w:rsid w:val="000804D5"/>
    <w:rsid w:val="00080626"/>
    <w:rsid w:val="00080A3B"/>
    <w:rsid w:val="00080B18"/>
    <w:rsid w:val="00080B71"/>
    <w:rsid w:val="00080CD7"/>
    <w:rsid w:val="00080D0C"/>
    <w:rsid w:val="00080E28"/>
    <w:rsid w:val="00080F62"/>
    <w:rsid w:val="000810AC"/>
    <w:rsid w:val="00081245"/>
    <w:rsid w:val="000812FF"/>
    <w:rsid w:val="0008139B"/>
    <w:rsid w:val="0008163D"/>
    <w:rsid w:val="00081662"/>
    <w:rsid w:val="0008173D"/>
    <w:rsid w:val="00081A77"/>
    <w:rsid w:val="00081B18"/>
    <w:rsid w:val="00081B9A"/>
    <w:rsid w:val="00081C44"/>
    <w:rsid w:val="00082134"/>
    <w:rsid w:val="00082254"/>
    <w:rsid w:val="00082368"/>
    <w:rsid w:val="000823CC"/>
    <w:rsid w:val="000824B7"/>
    <w:rsid w:val="000826D3"/>
    <w:rsid w:val="00082855"/>
    <w:rsid w:val="00082F9C"/>
    <w:rsid w:val="00082FD8"/>
    <w:rsid w:val="00083159"/>
    <w:rsid w:val="0008316F"/>
    <w:rsid w:val="00083267"/>
    <w:rsid w:val="000836B8"/>
    <w:rsid w:val="000836EA"/>
    <w:rsid w:val="00083A15"/>
    <w:rsid w:val="00083B6C"/>
    <w:rsid w:val="0008409B"/>
    <w:rsid w:val="0008422F"/>
    <w:rsid w:val="00084320"/>
    <w:rsid w:val="0008451D"/>
    <w:rsid w:val="000846F7"/>
    <w:rsid w:val="00084732"/>
    <w:rsid w:val="0008476B"/>
    <w:rsid w:val="00084886"/>
    <w:rsid w:val="000849CF"/>
    <w:rsid w:val="00084B3E"/>
    <w:rsid w:val="00084E35"/>
    <w:rsid w:val="00084E73"/>
    <w:rsid w:val="00084EA0"/>
    <w:rsid w:val="0008521A"/>
    <w:rsid w:val="000852E7"/>
    <w:rsid w:val="00085414"/>
    <w:rsid w:val="000856BC"/>
    <w:rsid w:val="000859FF"/>
    <w:rsid w:val="00085ADE"/>
    <w:rsid w:val="00085CAE"/>
    <w:rsid w:val="00085EBF"/>
    <w:rsid w:val="00085F0A"/>
    <w:rsid w:val="00085F33"/>
    <w:rsid w:val="00085F37"/>
    <w:rsid w:val="00086126"/>
    <w:rsid w:val="00086426"/>
    <w:rsid w:val="000864B2"/>
    <w:rsid w:val="00086569"/>
    <w:rsid w:val="00086624"/>
    <w:rsid w:val="000867EE"/>
    <w:rsid w:val="00086A4E"/>
    <w:rsid w:val="00086B53"/>
    <w:rsid w:val="00086B57"/>
    <w:rsid w:val="00086C04"/>
    <w:rsid w:val="00086C17"/>
    <w:rsid w:val="00087061"/>
    <w:rsid w:val="00087135"/>
    <w:rsid w:val="00087296"/>
    <w:rsid w:val="000872D0"/>
    <w:rsid w:val="000873CF"/>
    <w:rsid w:val="00087411"/>
    <w:rsid w:val="00087589"/>
    <w:rsid w:val="0008763A"/>
    <w:rsid w:val="000879BE"/>
    <w:rsid w:val="000879D1"/>
    <w:rsid w:val="000879F3"/>
    <w:rsid w:val="00087A4B"/>
    <w:rsid w:val="00087DA2"/>
    <w:rsid w:val="00087E45"/>
    <w:rsid w:val="00087EF2"/>
    <w:rsid w:val="00087F8B"/>
    <w:rsid w:val="000900B5"/>
    <w:rsid w:val="00090146"/>
    <w:rsid w:val="0009014F"/>
    <w:rsid w:val="0009053C"/>
    <w:rsid w:val="000906C9"/>
    <w:rsid w:val="00090720"/>
    <w:rsid w:val="00090759"/>
    <w:rsid w:val="0009081C"/>
    <w:rsid w:val="00090880"/>
    <w:rsid w:val="00090991"/>
    <w:rsid w:val="000909AE"/>
    <w:rsid w:val="00090D4D"/>
    <w:rsid w:val="00090E0E"/>
    <w:rsid w:val="000910C2"/>
    <w:rsid w:val="00091276"/>
    <w:rsid w:val="00091625"/>
    <w:rsid w:val="00091807"/>
    <w:rsid w:val="00091867"/>
    <w:rsid w:val="000918DC"/>
    <w:rsid w:val="00091A71"/>
    <w:rsid w:val="00091ABB"/>
    <w:rsid w:val="00091C1B"/>
    <w:rsid w:val="00091C58"/>
    <w:rsid w:val="00091C8B"/>
    <w:rsid w:val="00091CE9"/>
    <w:rsid w:val="00091E93"/>
    <w:rsid w:val="00091F2B"/>
    <w:rsid w:val="00091F70"/>
    <w:rsid w:val="00091F83"/>
    <w:rsid w:val="000920AD"/>
    <w:rsid w:val="000920CD"/>
    <w:rsid w:val="00092117"/>
    <w:rsid w:val="0009213D"/>
    <w:rsid w:val="0009223F"/>
    <w:rsid w:val="000923ED"/>
    <w:rsid w:val="00092413"/>
    <w:rsid w:val="00092433"/>
    <w:rsid w:val="00092515"/>
    <w:rsid w:val="00092573"/>
    <w:rsid w:val="000925D2"/>
    <w:rsid w:val="00092623"/>
    <w:rsid w:val="000928AF"/>
    <w:rsid w:val="0009295D"/>
    <w:rsid w:val="00092C1A"/>
    <w:rsid w:val="00092CC8"/>
    <w:rsid w:val="00092D0E"/>
    <w:rsid w:val="00092DC7"/>
    <w:rsid w:val="00092E72"/>
    <w:rsid w:val="000932C4"/>
    <w:rsid w:val="00093455"/>
    <w:rsid w:val="00093523"/>
    <w:rsid w:val="000935BB"/>
    <w:rsid w:val="00093773"/>
    <w:rsid w:val="00093870"/>
    <w:rsid w:val="00093D11"/>
    <w:rsid w:val="00093D91"/>
    <w:rsid w:val="00093DEA"/>
    <w:rsid w:val="000943FB"/>
    <w:rsid w:val="00094401"/>
    <w:rsid w:val="00094407"/>
    <w:rsid w:val="000944A0"/>
    <w:rsid w:val="00094537"/>
    <w:rsid w:val="00094622"/>
    <w:rsid w:val="000946BB"/>
    <w:rsid w:val="0009475F"/>
    <w:rsid w:val="000947B5"/>
    <w:rsid w:val="00094867"/>
    <w:rsid w:val="0009488F"/>
    <w:rsid w:val="00094C6A"/>
    <w:rsid w:val="00094D31"/>
    <w:rsid w:val="00094E4D"/>
    <w:rsid w:val="00094F56"/>
    <w:rsid w:val="00094FF2"/>
    <w:rsid w:val="00095139"/>
    <w:rsid w:val="000952D2"/>
    <w:rsid w:val="000952E8"/>
    <w:rsid w:val="00095328"/>
    <w:rsid w:val="000953F6"/>
    <w:rsid w:val="000954BB"/>
    <w:rsid w:val="000956D6"/>
    <w:rsid w:val="0009593F"/>
    <w:rsid w:val="000959BD"/>
    <w:rsid w:val="00095B19"/>
    <w:rsid w:val="00095B45"/>
    <w:rsid w:val="00095DED"/>
    <w:rsid w:val="00095EB7"/>
    <w:rsid w:val="00095F37"/>
    <w:rsid w:val="00096080"/>
    <w:rsid w:val="000961A5"/>
    <w:rsid w:val="000962B0"/>
    <w:rsid w:val="000965AD"/>
    <w:rsid w:val="000965E1"/>
    <w:rsid w:val="0009689F"/>
    <w:rsid w:val="000969B1"/>
    <w:rsid w:val="00096BF3"/>
    <w:rsid w:val="00096C6E"/>
    <w:rsid w:val="00096C7D"/>
    <w:rsid w:val="00096CD1"/>
    <w:rsid w:val="00096CEB"/>
    <w:rsid w:val="00096FE1"/>
    <w:rsid w:val="000970F4"/>
    <w:rsid w:val="0009713E"/>
    <w:rsid w:val="00097213"/>
    <w:rsid w:val="0009741B"/>
    <w:rsid w:val="0009746D"/>
    <w:rsid w:val="00097477"/>
    <w:rsid w:val="0009771A"/>
    <w:rsid w:val="000977E1"/>
    <w:rsid w:val="00097930"/>
    <w:rsid w:val="00097A53"/>
    <w:rsid w:val="00097BFF"/>
    <w:rsid w:val="000A008E"/>
    <w:rsid w:val="000A01D8"/>
    <w:rsid w:val="000A0261"/>
    <w:rsid w:val="000A030C"/>
    <w:rsid w:val="000A0381"/>
    <w:rsid w:val="000A0536"/>
    <w:rsid w:val="000A057B"/>
    <w:rsid w:val="000A0655"/>
    <w:rsid w:val="000A0681"/>
    <w:rsid w:val="000A0685"/>
    <w:rsid w:val="000A06EC"/>
    <w:rsid w:val="000A077D"/>
    <w:rsid w:val="000A07A4"/>
    <w:rsid w:val="000A08C4"/>
    <w:rsid w:val="000A08F4"/>
    <w:rsid w:val="000A0B0D"/>
    <w:rsid w:val="000A0CD0"/>
    <w:rsid w:val="000A0D25"/>
    <w:rsid w:val="000A0E3F"/>
    <w:rsid w:val="000A0F25"/>
    <w:rsid w:val="000A10D4"/>
    <w:rsid w:val="000A117F"/>
    <w:rsid w:val="000A11EE"/>
    <w:rsid w:val="000A1368"/>
    <w:rsid w:val="000A139C"/>
    <w:rsid w:val="000A13A8"/>
    <w:rsid w:val="000A13F9"/>
    <w:rsid w:val="000A1473"/>
    <w:rsid w:val="000A14DE"/>
    <w:rsid w:val="000A18DC"/>
    <w:rsid w:val="000A19D4"/>
    <w:rsid w:val="000A1AE0"/>
    <w:rsid w:val="000A1B17"/>
    <w:rsid w:val="000A1B9C"/>
    <w:rsid w:val="000A1BE6"/>
    <w:rsid w:val="000A1CC7"/>
    <w:rsid w:val="000A1D6A"/>
    <w:rsid w:val="000A2054"/>
    <w:rsid w:val="000A253D"/>
    <w:rsid w:val="000A2553"/>
    <w:rsid w:val="000A25E0"/>
    <w:rsid w:val="000A26F8"/>
    <w:rsid w:val="000A28DC"/>
    <w:rsid w:val="000A2950"/>
    <w:rsid w:val="000A29E8"/>
    <w:rsid w:val="000A2A28"/>
    <w:rsid w:val="000A2A43"/>
    <w:rsid w:val="000A2BF0"/>
    <w:rsid w:val="000A2E04"/>
    <w:rsid w:val="000A2E14"/>
    <w:rsid w:val="000A2E40"/>
    <w:rsid w:val="000A2E92"/>
    <w:rsid w:val="000A2F0F"/>
    <w:rsid w:val="000A309C"/>
    <w:rsid w:val="000A313C"/>
    <w:rsid w:val="000A32E5"/>
    <w:rsid w:val="000A34AD"/>
    <w:rsid w:val="000A3668"/>
    <w:rsid w:val="000A36DF"/>
    <w:rsid w:val="000A384B"/>
    <w:rsid w:val="000A392B"/>
    <w:rsid w:val="000A3A97"/>
    <w:rsid w:val="000A3BC5"/>
    <w:rsid w:val="000A3D11"/>
    <w:rsid w:val="000A3DF5"/>
    <w:rsid w:val="000A3E82"/>
    <w:rsid w:val="000A409F"/>
    <w:rsid w:val="000A41BA"/>
    <w:rsid w:val="000A440C"/>
    <w:rsid w:val="000A482E"/>
    <w:rsid w:val="000A4B5F"/>
    <w:rsid w:val="000A4C0B"/>
    <w:rsid w:val="000A4DD8"/>
    <w:rsid w:val="000A4DED"/>
    <w:rsid w:val="000A4F79"/>
    <w:rsid w:val="000A4FA0"/>
    <w:rsid w:val="000A524A"/>
    <w:rsid w:val="000A52BA"/>
    <w:rsid w:val="000A53E8"/>
    <w:rsid w:val="000A53F9"/>
    <w:rsid w:val="000A5686"/>
    <w:rsid w:val="000A5885"/>
    <w:rsid w:val="000A5B46"/>
    <w:rsid w:val="000A5E3A"/>
    <w:rsid w:val="000A5E40"/>
    <w:rsid w:val="000A5E89"/>
    <w:rsid w:val="000A5EA3"/>
    <w:rsid w:val="000A601E"/>
    <w:rsid w:val="000A604E"/>
    <w:rsid w:val="000A60D0"/>
    <w:rsid w:val="000A615A"/>
    <w:rsid w:val="000A6266"/>
    <w:rsid w:val="000A64B5"/>
    <w:rsid w:val="000A6526"/>
    <w:rsid w:val="000A6539"/>
    <w:rsid w:val="000A6592"/>
    <w:rsid w:val="000A6695"/>
    <w:rsid w:val="000A67F5"/>
    <w:rsid w:val="000A692A"/>
    <w:rsid w:val="000A6A63"/>
    <w:rsid w:val="000A6B7C"/>
    <w:rsid w:val="000A6E8F"/>
    <w:rsid w:val="000A6E9F"/>
    <w:rsid w:val="000A7012"/>
    <w:rsid w:val="000A726F"/>
    <w:rsid w:val="000A73E8"/>
    <w:rsid w:val="000A74E9"/>
    <w:rsid w:val="000A751D"/>
    <w:rsid w:val="000A7573"/>
    <w:rsid w:val="000A76D4"/>
    <w:rsid w:val="000A76E5"/>
    <w:rsid w:val="000A7727"/>
    <w:rsid w:val="000A77C2"/>
    <w:rsid w:val="000A790B"/>
    <w:rsid w:val="000A7B0A"/>
    <w:rsid w:val="000A7F83"/>
    <w:rsid w:val="000A7FE9"/>
    <w:rsid w:val="000B038D"/>
    <w:rsid w:val="000B0477"/>
    <w:rsid w:val="000B0531"/>
    <w:rsid w:val="000B056B"/>
    <w:rsid w:val="000B05CF"/>
    <w:rsid w:val="000B0716"/>
    <w:rsid w:val="000B076A"/>
    <w:rsid w:val="000B0779"/>
    <w:rsid w:val="000B0834"/>
    <w:rsid w:val="000B0857"/>
    <w:rsid w:val="000B0874"/>
    <w:rsid w:val="000B08C0"/>
    <w:rsid w:val="000B09C4"/>
    <w:rsid w:val="000B0D86"/>
    <w:rsid w:val="000B1045"/>
    <w:rsid w:val="000B1247"/>
    <w:rsid w:val="000B1316"/>
    <w:rsid w:val="000B1384"/>
    <w:rsid w:val="000B1407"/>
    <w:rsid w:val="000B152A"/>
    <w:rsid w:val="000B16EE"/>
    <w:rsid w:val="000B18ED"/>
    <w:rsid w:val="000B1920"/>
    <w:rsid w:val="000B1A7A"/>
    <w:rsid w:val="000B1C3C"/>
    <w:rsid w:val="000B1D51"/>
    <w:rsid w:val="000B1EE1"/>
    <w:rsid w:val="000B20FD"/>
    <w:rsid w:val="000B2142"/>
    <w:rsid w:val="000B2391"/>
    <w:rsid w:val="000B23C5"/>
    <w:rsid w:val="000B24D0"/>
    <w:rsid w:val="000B2526"/>
    <w:rsid w:val="000B2668"/>
    <w:rsid w:val="000B266B"/>
    <w:rsid w:val="000B269E"/>
    <w:rsid w:val="000B2A0F"/>
    <w:rsid w:val="000B2AD2"/>
    <w:rsid w:val="000B2B89"/>
    <w:rsid w:val="000B2BDC"/>
    <w:rsid w:val="000B2C94"/>
    <w:rsid w:val="000B2DAA"/>
    <w:rsid w:val="000B2EC3"/>
    <w:rsid w:val="000B3044"/>
    <w:rsid w:val="000B3058"/>
    <w:rsid w:val="000B3092"/>
    <w:rsid w:val="000B313C"/>
    <w:rsid w:val="000B3180"/>
    <w:rsid w:val="000B349E"/>
    <w:rsid w:val="000B3567"/>
    <w:rsid w:val="000B3592"/>
    <w:rsid w:val="000B3796"/>
    <w:rsid w:val="000B38BC"/>
    <w:rsid w:val="000B3908"/>
    <w:rsid w:val="000B3925"/>
    <w:rsid w:val="000B39DE"/>
    <w:rsid w:val="000B3B26"/>
    <w:rsid w:val="000B3D3D"/>
    <w:rsid w:val="000B3D3E"/>
    <w:rsid w:val="000B3DBC"/>
    <w:rsid w:val="000B3E1E"/>
    <w:rsid w:val="000B4145"/>
    <w:rsid w:val="000B4149"/>
    <w:rsid w:val="000B4308"/>
    <w:rsid w:val="000B43FF"/>
    <w:rsid w:val="000B442C"/>
    <w:rsid w:val="000B44D8"/>
    <w:rsid w:val="000B460C"/>
    <w:rsid w:val="000B4792"/>
    <w:rsid w:val="000B4812"/>
    <w:rsid w:val="000B4976"/>
    <w:rsid w:val="000B4A40"/>
    <w:rsid w:val="000B4B69"/>
    <w:rsid w:val="000B4BCA"/>
    <w:rsid w:val="000B4DD6"/>
    <w:rsid w:val="000B4E0B"/>
    <w:rsid w:val="000B4E51"/>
    <w:rsid w:val="000B4EB9"/>
    <w:rsid w:val="000B4EC7"/>
    <w:rsid w:val="000B4F2A"/>
    <w:rsid w:val="000B5056"/>
    <w:rsid w:val="000B53A5"/>
    <w:rsid w:val="000B53BA"/>
    <w:rsid w:val="000B551E"/>
    <w:rsid w:val="000B55F9"/>
    <w:rsid w:val="000B5609"/>
    <w:rsid w:val="000B5650"/>
    <w:rsid w:val="000B56F7"/>
    <w:rsid w:val="000B59FD"/>
    <w:rsid w:val="000B5A76"/>
    <w:rsid w:val="000B5CE7"/>
    <w:rsid w:val="000B601E"/>
    <w:rsid w:val="000B60A4"/>
    <w:rsid w:val="000B61A6"/>
    <w:rsid w:val="000B61CA"/>
    <w:rsid w:val="000B629F"/>
    <w:rsid w:val="000B62F5"/>
    <w:rsid w:val="000B63FA"/>
    <w:rsid w:val="000B64C0"/>
    <w:rsid w:val="000B66F5"/>
    <w:rsid w:val="000B6D01"/>
    <w:rsid w:val="000B6D12"/>
    <w:rsid w:val="000B6D8E"/>
    <w:rsid w:val="000B6DD9"/>
    <w:rsid w:val="000B6FE9"/>
    <w:rsid w:val="000B70FD"/>
    <w:rsid w:val="000B71F5"/>
    <w:rsid w:val="000B728A"/>
    <w:rsid w:val="000B72C7"/>
    <w:rsid w:val="000B742F"/>
    <w:rsid w:val="000B7465"/>
    <w:rsid w:val="000B74D7"/>
    <w:rsid w:val="000B75A9"/>
    <w:rsid w:val="000B75EA"/>
    <w:rsid w:val="000B7669"/>
    <w:rsid w:val="000B775F"/>
    <w:rsid w:val="000B778C"/>
    <w:rsid w:val="000B7848"/>
    <w:rsid w:val="000B79BE"/>
    <w:rsid w:val="000B7A30"/>
    <w:rsid w:val="000B7A48"/>
    <w:rsid w:val="000B7A71"/>
    <w:rsid w:val="000B7C93"/>
    <w:rsid w:val="000B7D7E"/>
    <w:rsid w:val="000B7F60"/>
    <w:rsid w:val="000C0037"/>
    <w:rsid w:val="000C014C"/>
    <w:rsid w:val="000C0169"/>
    <w:rsid w:val="000C0190"/>
    <w:rsid w:val="000C02D4"/>
    <w:rsid w:val="000C0409"/>
    <w:rsid w:val="000C043B"/>
    <w:rsid w:val="000C07F2"/>
    <w:rsid w:val="000C08C0"/>
    <w:rsid w:val="000C09B6"/>
    <w:rsid w:val="000C0A00"/>
    <w:rsid w:val="000C0D5E"/>
    <w:rsid w:val="000C0D91"/>
    <w:rsid w:val="000C0D9D"/>
    <w:rsid w:val="000C0DC9"/>
    <w:rsid w:val="000C0DE6"/>
    <w:rsid w:val="000C0E52"/>
    <w:rsid w:val="000C0EC9"/>
    <w:rsid w:val="000C0F1A"/>
    <w:rsid w:val="000C0F26"/>
    <w:rsid w:val="000C0F8B"/>
    <w:rsid w:val="000C0F9F"/>
    <w:rsid w:val="000C0FC2"/>
    <w:rsid w:val="000C0FD2"/>
    <w:rsid w:val="000C11F3"/>
    <w:rsid w:val="000C121B"/>
    <w:rsid w:val="000C1221"/>
    <w:rsid w:val="000C12B9"/>
    <w:rsid w:val="000C1463"/>
    <w:rsid w:val="000C14B5"/>
    <w:rsid w:val="000C1522"/>
    <w:rsid w:val="000C15BA"/>
    <w:rsid w:val="000C15C3"/>
    <w:rsid w:val="000C164A"/>
    <w:rsid w:val="000C1669"/>
    <w:rsid w:val="000C1737"/>
    <w:rsid w:val="000C1754"/>
    <w:rsid w:val="000C19CC"/>
    <w:rsid w:val="000C1A09"/>
    <w:rsid w:val="000C1A78"/>
    <w:rsid w:val="000C1E8D"/>
    <w:rsid w:val="000C1F46"/>
    <w:rsid w:val="000C200E"/>
    <w:rsid w:val="000C2130"/>
    <w:rsid w:val="000C21AC"/>
    <w:rsid w:val="000C21C2"/>
    <w:rsid w:val="000C21CB"/>
    <w:rsid w:val="000C22A7"/>
    <w:rsid w:val="000C232B"/>
    <w:rsid w:val="000C2354"/>
    <w:rsid w:val="000C25C7"/>
    <w:rsid w:val="000C2A73"/>
    <w:rsid w:val="000C2AAC"/>
    <w:rsid w:val="000C2B0E"/>
    <w:rsid w:val="000C2EED"/>
    <w:rsid w:val="000C32B1"/>
    <w:rsid w:val="000C3358"/>
    <w:rsid w:val="000C338E"/>
    <w:rsid w:val="000C3415"/>
    <w:rsid w:val="000C371D"/>
    <w:rsid w:val="000C3741"/>
    <w:rsid w:val="000C399D"/>
    <w:rsid w:val="000C3A3F"/>
    <w:rsid w:val="000C3E25"/>
    <w:rsid w:val="000C3F46"/>
    <w:rsid w:val="000C4112"/>
    <w:rsid w:val="000C41FC"/>
    <w:rsid w:val="000C454B"/>
    <w:rsid w:val="000C457A"/>
    <w:rsid w:val="000C4581"/>
    <w:rsid w:val="000C48B6"/>
    <w:rsid w:val="000C48BE"/>
    <w:rsid w:val="000C4932"/>
    <w:rsid w:val="000C4946"/>
    <w:rsid w:val="000C4C8C"/>
    <w:rsid w:val="000C4ED8"/>
    <w:rsid w:val="000C5078"/>
    <w:rsid w:val="000C514B"/>
    <w:rsid w:val="000C518D"/>
    <w:rsid w:val="000C526B"/>
    <w:rsid w:val="000C5361"/>
    <w:rsid w:val="000C5405"/>
    <w:rsid w:val="000C5407"/>
    <w:rsid w:val="000C544A"/>
    <w:rsid w:val="000C556F"/>
    <w:rsid w:val="000C5603"/>
    <w:rsid w:val="000C56B9"/>
    <w:rsid w:val="000C5726"/>
    <w:rsid w:val="000C57FA"/>
    <w:rsid w:val="000C5B1C"/>
    <w:rsid w:val="000C5D13"/>
    <w:rsid w:val="000C5E16"/>
    <w:rsid w:val="000C5EAD"/>
    <w:rsid w:val="000C5F2D"/>
    <w:rsid w:val="000C5F85"/>
    <w:rsid w:val="000C60E1"/>
    <w:rsid w:val="000C62D2"/>
    <w:rsid w:val="000C64BD"/>
    <w:rsid w:val="000C64E1"/>
    <w:rsid w:val="000C6534"/>
    <w:rsid w:val="000C6566"/>
    <w:rsid w:val="000C65B2"/>
    <w:rsid w:val="000C6602"/>
    <w:rsid w:val="000C66B2"/>
    <w:rsid w:val="000C679E"/>
    <w:rsid w:val="000C68E8"/>
    <w:rsid w:val="000C6B89"/>
    <w:rsid w:val="000C6C1D"/>
    <w:rsid w:val="000C6C5F"/>
    <w:rsid w:val="000C6C61"/>
    <w:rsid w:val="000C6CCD"/>
    <w:rsid w:val="000C6D5F"/>
    <w:rsid w:val="000C6EA7"/>
    <w:rsid w:val="000C6FF8"/>
    <w:rsid w:val="000C7166"/>
    <w:rsid w:val="000C736E"/>
    <w:rsid w:val="000C73FD"/>
    <w:rsid w:val="000C7421"/>
    <w:rsid w:val="000C7460"/>
    <w:rsid w:val="000C74A2"/>
    <w:rsid w:val="000C74F2"/>
    <w:rsid w:val="000C754A"/>
    <w:rsid w:val="000C76DE"/>
    <w:rsid w:val="000C7847"/>
    <w:rsid w:val="000C7869"/>
    <w:rsid w:val="000C7875"/>
    <w:rsid w:val="000C78C2"/>
    <w:rsid w:val="000C7ADC"/>
    <w:rsid w:val="000C7B4B"/>
    <w:rsid w:val="000C7B50"/>
    <w:rsid w:val="000C7C3F"/>
    <w:rsid w:val="000C7D6A"/>
    <w:rsid w:val="000C7D9E"/>
    <w:rsid w:val="000C7DA0"/>
    <w:rsid w:val="000C7DA7"/>
    <w:rsid w:val="000D011D"/>
    <w:rsid w:val="000D011E"/>
    <w:rsid w:val="000D04EB"/>
    <w:rsid w:val="000D053B"/>
    <w:rsid w:val="000D05A3"/>
    <w:rsid w:val="000D086B"/>
    <w:rsid w:val="000D0B39"/>
    <w:rsid w:val="000D0B40"/>
    <w:rsid w:val="000D0BA2"/>
    <w:rsid w:val="000D0CBC"/>
    <w:rsid w:val="000D0E2E"/>
    <w:rsid w:val="000D0E76"/>
    <w:rsid w:val="000D0FC5"/>
    <w:rsid w:val="000D10DF"/>
    <w:rsid w:val="000D115C"/>
    <w:rsid w:val="000D11C7"/>
    <w:rsid w:val="000D1382"/>
    <w:rsid w:val="000D172B"/>
    <w:rsid w:val="000D184C"/>
    <w:rsid w:val="000D196F"/>
    <w:rsid w:val="000D1A08"/>
    <w:rsid w:val="000D1BDE"/>
    <w:rsid w:val="000D1C4B"/>
    <w:rsid w:val="000D1D1C"/>
    <w:rsid w:val="000D1E3D"/>
    <w:rsid w:val="000D1E88"/>
    <w:rsid w:val="000D1F1E"/>
    <w:rsid w:val="000D204C"/>
    <w:rsid w:val="000D2300"/>
    <w:rsid w:val="000D23B5"/>
    <w:rsid w:val="000D2432"/>
    <w:rsid w:val="000D2492"/>
    <w:rsid w:val="000D24F1"/>
    <w:rsid w:val="000D26E1"/>
    <w:rsid w:val="000D2746"/>
    <w:rsid w:val="000D2835"/>
    <w:rsid w:val="000D2877"/>
    <w:rsid w:val="000D2928"/>
    <w:rsid w:val="000D297D"/>
    <w:rsid w:val="000D2A20"/>
    <w:rsid w:val="000D2AF8"/>
    <w:rsid w:val="000D2B4C"/>
    <w:rsid w:val="000D2CE6"/>
    <w:rsid w:val="000D2DFE"/>
    <w:rsid w:val="000D2E48"/>
    <w:rsid w:val="000D2FD0"/>
    <w:rsid w:val="000D2FDF"/>
    <w:rsid w:val="000D3128"/>
    <w:rsid w:val="000D318C"/>
    <w:rsid w:val="000D333A"/>
    <w:rsid w:val="000D3430"/>
    <w:rsid w:val="000D351F"/>
    <w:rsid w:val="000D3532"/>
    <w:rsid w:val="000D35E6"/>
    <w:rsid w:val="000D37A7"/>
    <w:rsid w:val="000D39D5"/>
    <w:rsid w:val="000D3B35"/>
    <w:rsid w:val="000D4040"/>
    <w:rsid w:val="000D4174"/>
    <w:rsid w:val="000D41C1"/>
    <w:rsid w:val="000D4254"/>
    <w:rsid w:val="000D44ED"/>
    <w:rsid w:val="000D4540"/>
    <w:rsid w:val="000D459D"/>
    <w:rsid w:val="000D466C"/>
    <w:rsid w:val="000D47AA"/>
    <w:rsid w:val="000D47E0"/>
    <w:rsid w:val="000D4A61"/>
    <w:rsid w:val="000D4C93"/>
    <w:rsid w:val="000D4D8F"/>
    <w:rsid w:val="000D4DCA"/>
    <w:rsid w:val="000D4E13"/>
    <w:rsid w:val="000D51A7"/>
    <w:rsid w:val="000D5591"/>
    <w:rsid w:val="000D55D5"/>
    <w:rsid w:val="000D55DA"/>
    <w:rsid w:val="000D5784"/>
    <w:rsid w:val="000D5868"/>
    <w:rsid w:val="000D58E2"/>
    <w:rsid w:val="000D5A30"/>
    <w:rsid w:val="000D5ACC"/>
    <w:rsid w:val="000D5BF1"/>
    <w:rsid w:val="000D5BFC"/>
    <w:rsid w:val="000D5C03"/>
    <w:rsid w:val="000D5D0B"/>
    <w:rsid w:val="000D5F11"/>
    <w:rsid w:val="000D5FF1"/>
    <w:rsid w:val="000D608A"/>
    <w:rsid w:val="000D6275"/>
    <w:rsid w:val="000D639C"/>
    <w:rsid w:val="000D63AF"/>
    <w:rsid w:val="000D646C"/>
    <w:rsid w:val="000D64CA"/>
    <w:rsid w:val="000D64D2"/>
    <w:rsid w:val="000D6552"/>
    <w:rsid w:val="000D6741"/>
    <w:rsid w:val="000D6903"/>
    <w:rsid w:val="000D6912"/>
    <w:rsid w:val="000D699E"/>
    <w:rsid w:val="000D6BB2"/>
    <w:rsid w:val="000D6C24"/>
    <w:rsid w:val="000D6E9C"/>
    <w:rsid w:val="000D7043"/>
    <w:rsid w:val="000D715A"/>
    <w:rsid w:val="000D7232"/>
    <w:rsid w:val="000D72FA"/>
    <w:rsid w:val="000D7403"/>
    <w:rsid w:val="000D749C"/>
    <w:rsid w:val="000D74DC"/>
    <w:rsid w:val="000D75A9"/>
    <w:rsid w:val="000D7671"/>
    <w:rsid w:val="000D77E9"/>
    <w:rsid w:val="000D77FA"/>
    <w:rsid w:val="000D78C8"/>
    <w:rsid w:val="000D79F4"/>
    <w:rsid w:val="000D7B08"/>
    <w:rsid w:val="000D7C29"/>
    <w:rsid w:val="000D7C96"/>
    <w:rsid w:val="000D7D32"/>
    <w:rsid w:val="000D7F13"/>
    <w:rsid w:val="000D7F5E"/>
    <w:rsid w:val="000E0388"/>
    <w:rsid w:val="000E03E7"/>
    <w:rsid w:val="000E0405"/>
    <w:rsid w:val="000E06D4"/>
    <w:rsid w:val="000E0712"/>
    <w:rsid w:val="000E0835"/>
    <w:rsid w:val="000E0851"/>
    <w:rsid w:val="000E096A"/>
    <w:rsid w:val="000E0998"/>
    <w:rsid w:val="000E09A7"/>
    <w:rsid w:val="000E0A57"/>
    <w:rsid w:val="000E0AE7"/>
    <w:rsid w:val="000E0AFC"/>
    <w:rsid w:val="000E0B1C"/>
    <w:rsid w:val="000E0CCA"/>
    <w:rsid w:val="000E0D0B"/>
    <w:rsid w:val="000E0D24"/>
    <w:rsid w:val="000E1087"/>
    <w:rsid w:val="000E10FC"/>
    <w:rsid w:val="000E1125"/>
    <w:rsid w:val="000E119D"/>
    <w:rsid w:val="000E13B5"/>
    <w:rsid w:val="000E148D"/>
    <w:rsid w:val="000E1555"/>
    <w:rsid w:val="000E18BC"/>
    <w:rsid w:val="000E19FD"/>
    <w:rsid w:val="000E1A07"/>
    <w:rsid w:val="000E1ABC"/>
    <w:rsid w:val="000E1AC3"/>
    <w:rsid w:val="000E1AE8"/>
    <w:rsid w:val="000E1BE3"/>
    <w:rsid w:val="000E1CA9"/>
    <w:rsid w:val="000E1CAF"/>
    <w:rsid w:val="000E1ECA"/>
    <w:rsid w:val="000E1ED7"/>
    <w:rsid w:val="000E1F6C"/>
    <w:rsid w:val="000E2118"/>
    <w:rsid w:val="000E230F"/>
    <w:rsid w:val="000E2368"/>
    <w:rsid w:val="000E2537"/>
    <w:rsid w:val="000E25DE"/>
    <w:rsid w:val="000E2629"/>
    <w:rsid w:val="000E26A3"/>
    <w:rsid w:val="000E2749"/>
    <w:rsid w:val="000E28B7"/>
    <w:rsid w:val="000E290A"/>
    <w:rsid w:val="000E29DC"/>
    <w:rsid w:val="000E2E71"/>
    <w:rsid w:val="000E3091"/>
    <w:rsid w:val="000E30F4"/>
    <w:rsid w:val="000E3184"/>
    <w:rsid w:val="000E31B6"/>
    <w:rsid w:val="000E326E"/>
    <w:rsid w:val="000E33D7"/>
    <w:rsid w:val="000E356B"/>
    <w:rsid w:val="000E3688"/>
    <w:rsid w:val="000E39B1"/>
    <w:rsid w:val="000E3AC9"/>
    <w:rsid w:val="000E3B9B"/>
    <w:rsid w:val="000E3C82"/>
    <w:rsid w:val="000E3C9B"/>
    <w:rsid w:val="000E411B"/>
    <w:rsid w:val="000E4215"/>
    <w:rsid w:val="000E4268"/>
    <w:rsid w:val="000E4383"/>
    <w:rsid w:val="000E443B"/>
    <w:rsid w:val="000E44B5"/>
    <w:rsid w:val="000E4563"/>
    <w:rsid w:val="000E4581"/>
    <w:rsid w:val="000E4822"/>
    <w:rsid w:val="000E48DE"/>
    <w:rsid w:val="000E49BA"/>
    <w:rsid w:val="000E4A5A"/>
    <w:rsid w:val="000E4B32"/>
    <w:rsid w:val="000E4E0C"/>
    <w:rsid w:val="000E4F60"/>
    <w:rsid w:val="000E4F7D"/>
    <w:rsid w:val="000E51A4"/>
    <w:rsid w:val="000E52F2"/>
    <w:rsid w:val="000E54C9"/>
    <w:rsid w:val="000E5519"/>
    <w:rsid w:val="000E5562"/>
    <w:rsid w:val="000E5A5B"/>
    <w:rsid w:val="000E5A6F"/>
    <w:rsid w:val="000E5AE7"/>
    <w:rsid w:val="000E5B7B"/>
    <w:rsid w:val="000E5CB4"/>
    <w:rsid w:val="000E5D41"/>
    <w:rsid w:val="000E5EA4"/>
    <w:rsid w:val="000E5FA8"/>
    <w:rsid w:val="000E603D"/>
    <w:rsid w:val="000E60A3"/>
    <w:rsid w:val="000E64BC"/>
    <w:rsid w:val="000E673D"/>
    <w:rsid w:val="000E6772"/>
    <w:rsid w:val="000E67A0"/>
    <w:rsid w:val="000E67CF"/>
    <w:rsid w:val="000E67F5"/>
    <w:rsid w:val="000E687F"/>
    <w:rsid w:val="000E6997"/>
    <w:rsid w:val="000E69E2"/>
    <w:rsid w:val="000E6AD4"/>
    <w:rsid w:val="000E6B44"/>
    <w:rsid w:val="000E6BB7"/>
    <w:rsid w:val="000E6C3D"/>
    <w:rsid w:val="000E6C80"/>
    <w:rsid w:val="000E6E4F"/>
    <w:rsid w:val="000E6F2A"/>
    <w:rsid w:val="000E6F30"/>
    <w:rsid w:val="000E6F38"/>
    <w:rsid w:val="000E6FAF"/>
    <w:rsid w:val="000E707D"/>
    <w:rsid w:val="000E71E3"/>
    <w:rsid w:val="000E72D1"/>
    <w:rsid w:val="000E7568"/>
    <w:rsid w:val="000E75AA"/>
    <w:rsid w:val="000E796A"/>
    <w:rsid w:val="000E79D3"/>
    <w:rsid w:val="000E7ADB"/>
    <w:rsid w:val="000E7B01"/>
    <w:rsid w:val="000E7BDE"/>
    <w:rsid w:val="000E7C0D"/>
    <w:rsid w:val="000E7DE4"/>
    <w:rsid w:val="000E7F50"/>
    <w:rsid w:val="000E7F70"/>
    <w:rsid w:val="000F0177"/>
    <w:rsid w:val="000F01B0"/>
    <w:rsid w:val="000F0269"/>
    <w:rsid w:val="000F0278"/>
    <w:rsid w:val="000F030F"/>
    <w:rsid w:val="000F0316"/>
    <w:rsid w:val="000F0358"/>
    <w:rsid w:val="000F0394"/>
    <w:rsid w:val="000F05BF"/>
    <w:rsid w:val="000F0708"/>
    <w:rsid w:val="000F0789"/>
    <w:rsid w:val="000F07F1"/>
    <w:rsid w:val="000F0830"/>
    <w:rsid w:val="000F083E"/>
    <w:rsid w:val="000F08BC"/>
    <w:rsid w:val="000F08EC"/>
    <w:rsid w:val="000F0923"/>
    <w:rsid w:val="000F0936"/>
    <w:rsid w:val="000F09F1"/>
    <w:rsid w:val="000F0A1E"/>
    <w:rsid w:val="000F0A60"/>
    <w:rsid w:val="000F0B53"/>
    <w:rsid w:val="000F0BDA"/>
    <w:rsid w:val="000F0E70"/>
    <w:rsid w:val="000F0F71"/>
    <w:rsid w:val="000F10DF"/>
    <w:rsid w:val="000F1436"/>
    <w:rsid w:val="000F14F0"/>
    <w:rsid w:val="000F168A"/>
    <w:rsid w:val="000F17C6"/>
    <w:rsid w:val="000F1A20"/>
    <w:rsid w:val="000F1A21"/>
    <w:rsid w:val="000F1C5F"/>
    <w:rsid w:val="000F1DDD"/>
    <w:rsid w:val="000F1E87"/>
    <w:rsid w:val="000F1FDA"/>
    <w:rsid w:val="000F2060"/>
    <w:rsid w:val="000F20B8"/>
    <w:rsid w:val="000F22A7"/>
    <w:rsid w:val="000F245B"/>
    <w:rsid w:val="000F24B3"/>
    <w:rsid w:val="000F2649"/>
    <w:rsid w:val="000F266E"/>
    <w:rsid w:val="000F2670"/>
    <w:rsid w:val="000F2782"/>
    <w:rsid w:val="000F284B"/>
    <w:rsid w:val="000F28B8"/>
    <w:rsid w:val="000F2931"/>
    <w:rsid w:val="000F294E"/>
    <w:rsid w:val="000F2AC0"/>
    <w:rsid w:val="000F2ADE"/>
    <w:rsid w:val="000F2AE4"/>
    <w:rsid w:val="000F2C4F"/>
    <w:rsid w:val="000F2C9B"/>
    <w:rsid w:val="000F2CC1"/>
    <w:rsid w:val="000F2D75"/>
    <w:rsid w:val="000F2E58"/>
    <w:rsid w:val="000F2EC1"/>
    <w:rsid w:val="000F3036"/>
    <w:rsid w:val="000F30EB"/>
    <w:rsid w:val="000F33DC"/>
    <w:rsid w:val="000F3429"/>
    <w:rsid w:val="000F3438"/>
    <w:rsid w:val="000F349F"/>
    <w:rsid w:val="000F361E"/>
    <w:rsid w:val="000F3674"/>
    <w:rsid w:val="000F3750"/>
    <w:rsid w:val="000F397E"/>
    <w:rsid w:val="000F39E8"/>
    <w:rsid w:val="000F3DD5"/>
    <w:rsid w:val="000F3F3E"/>
    <w:rsid w:val="000F3FEB"/>
    <w:rsid w:val="000F411C"/>
    <w:rsid w:val="000F41CA"/>
    <w:rsid w:val="000F41CB"/>
    <w:rsid w:val="000F42D2"/>
    <w:rsid w:val="000F4306"/>
    <w:rsid w:val="000F45AC"/>
    <w:rsid w:val="000F45E8"/>
    <w:rsid w:val="000F4780"/>
    <w:rsid w:val="000F478C"/>
    <w:rsid w:val="000F483A"/>
    <w:rsid w:val="000F4899"/>
    <w:rsid w:val="000F495D"/>
    <w:rsid w:val="000F4A73"/>
    <w:rsid w:val="000F4ADA"/>
    <w:rsid w:val="000F4CA1"/>
    <w:rsid w:val="000F4F63"/>
    <w:rsid w:val="000F505F"/>
    <w:rsid w:val="000F534B"/>
    <w:rsid w:val="000F53A6"/>
    <w:rsid w:val="000F546A"/>
    <w:rsid w:val="000F5494"/>
    <w:rsid w:val="000F5653"/>
    <w:rsid w:val="000F56DB"/>
    <w:rsid w:val="000F584C"/>
    <w:rsid w:val="000F592F"/>
    <w:rsid w:val="000F5ADE"/>
    <w:rsid w:val="000F5ED7"/>
    <w:rsid w:val="000F6026"/>
    <w:rsid w:val="000F607D"/>
    <w:rsid w:val="000F61B5"/>
    <w:rsid w:val="000F6373"/>
    <w:rsid w:val="000F6541"/>
    <w:rsid w:val="000F6643"/>
    <w:rsid w:val="000F6684"/>
    <w:rsid w:val="000F6764"/>
    <w:rsid w:val="000F679E"/>
    <w:rsid w:val="000F67D1"/>
    <w:rsid w:val="000F67E1"/>
    <w:rsid w:val="000F68E1"/>
    <w:rsid w:val="000F6ACF"/>
    <w:rsid w:val="000F6E44"/>
    <w:rsid w:val="000F6F23"/>
    <w:rsid w:val="000F6F4F"/>
    <w:rsid w:val="000F6F7B"/>
    <w:rsid w:val="000F7057"/>
    <w:rsid w:val="000F70D2"/>
    <w:rsid w:val="000F70E5"/>
    <w:rsid w:val="000F73B5"/>
    <w:rsid w:val="000F7616"/>
    <w:rsid w:val="000F7650"/>
    <w:rsid w:val="000F76A5"/>
    <w:rsid w:val="000F76B7"/>
    <w:rsid w:val="000F7950"/>
    <w:rsid w:val="000F79A3"/>
    <w:rsid w:val="000F7C71"/>
    <w:rsid w:val="000F7C7D"/>
    <w:rsid w:val="000F7D30"/>
    <w:rsid w:val="000F7E1A"/>
    <w:rsid w:val="000F7E9C"/>
    <w:rsid w:val="00100078"/>
    <w:rsid w:val="00100231"/>
    <w:rsid w:val="001002B3"/>
    <w:rsid w:val="001002BA"/>
    <w:rsid w:val="001002E3"/>
    <w:rsid w:val="001002FA"/>
    <w:rsid w:val="00100328"/>
    <w:rsid w:val="00100422"/>
    <w:rsid w:val="0010046F"/>
    <w:rsid w:val="001005D4"/>
    <w:rsid w:val="00100A6A"/>
    <w:rsid w:val="00100C7B"/>
    <w:rsid w:val="00100DC2"/>
    <w:rsid w:val="00100E68"/>
    <w:rsid w:val="00100ECF"/>
    <w:rsid w:val="001010D3"/>
    <w:rsid w:val="00101135"/>
    <w:rsid w:val="00101157"/>
    <w:rsid w:val="001011BC"/>
    <w:rsid w:val="001011DE"/>
    <w:rsid w:val="00101273"/>
    <w:rsid w:val="00101323"/>
    <w:rsid w:val="00101616"/>
    <w:rsid w:val="0010185B"/>
    <w:rsid w:val="001019D1"/>
    <w:rsid w:val="00101ACD"/>
    <w:rsid w:val="00101CA9"/>
    <w:rsid w:val="0010213B"/>
    <w:rsid w:val="00102163"/>
    <w:rsid w:val="001022AA"/>
    <w:rsid w:val="001022B5"/>
    <w:rsid w:val="0010238A"/>
    <w:rsid w:val="0010255B"/>
    <w:rsid w:val="001025A5"/>
    <w:rsid w:val="00102724"/>
    <w:rsid w:val="0010276C"/>
    <w:rsid w:val="00102839"/>
    <w:rsid w:val="00102A5F"/>
    <w:rsid w:val="00102BA4"/>
    <w:rsid w:val="00102D5B"/>
    <w:rsid w:val="00102FF4"/>
    <w:rsid w:val="0010305D"/>
    <w:rsid w:val="001030D8"/>
    <w:rsid w:val="00103102"/>
    <w:rsid w:val="00103315"/>
    <w:rsid w:val="0010348D"/>
    <w:rsid w:val="00103557"/>
    <w:rsid w:val="00103801"/>
    <w:rsid w:val="0010384E"/>
    <w:rsid w:val="001039BB"/>
    <w:rsid w:val="00103B9F"/>
    <w:rsid w:val="00103CCC"/>
    <w:rsid w:val="00103E0C"/>
    <w:rsid w:val="00103E69"/>
    <w:rsid w:val="00104211"/>
    <w:rsid w:val="001042B2"/>
    <w:rsid w:val="0010431E"/>
    <w:rsid w:val="00104357"/>
    <w:rsid w:val="00104365"/>
    <w:rsid w:val="00104395"/>
    <w:rsid w:val="001045CF"/>
    <w:rsid w:val="001045F7"/>
    <w:rsid w:val="00104646"/>
    <w:rsid w:val="00104681"/>
    <w:rsid w:val="00104696"/>
    <w:rsid w:val="001046B6"/>
    <w:rsid w:val="00104741"/>
    <w:rsid w:val="001047FD"/>
    <w:rsid w:val="001049D9"/>
    <w:rsid w:val="00104A41"/>
    <w:rsid w:val="00104D39"/>
    <w:rsid w:val="00104EC1"/>
    <w:rsid w:val="00104ED6"/>
    <w:rsid w:val="00104F05"/>
    <w:rsid w:val="00104F34"/>
    <w:rsid w:val="00104F5D"/>
    <w:rsid w:val="00104F83"/>
    <w:rsid w:val="001050A5"/>
    <w:rsid w:val="001050CE"/>
    <w:rsid w:val="001051AE"/>
    <w:rsid w:val="001052C1"/>
    <w:rsid w:val="001057A3"/>
    <w:rsid w:val="001057F3"/>
    <w:rsid w:val="0010590D"/>
    <w:rsid w:val="00105E08"/>
    <w:rsid w:val="00105EFE"/>
    <w:rsid w:val="00106152"/>
    <w:rsid w:val="001064E9"/>
    <w:rsid w:val="0010686F"/>
    <w:rsid w:val="00106936"/>
    <w:rsid w:val="00106D01"/>
    <w:rsid w:val="00106F4F"/>
    <w:rsid w:val="00106FFA"/>
    <w:rsid w:val="00107013"/>
    <w:rsid w:val="001070F3"/>
    <w:rsid w:val="00107105"/>
    <w:rsid w:val="00107145"/>
    <w:rsid w:val="00107159"/>
    <w:rsid w:val="00107235"/>
    <w:rsid w:val="00107484"/>
    <w:rsid w:val="001074F4"/>
    <w:rsid w:val="00107710"/>
    <w:rsid w:val="0010787F"/>
    <w:rsid w:val="0010788C"/>
    <w:rsid w:val="00107A27"/>
    <w:rsid w:val="00107AFC"/>
    <w:rsid w:val="00107B73"/>
    <w:rsid w:val="00107B7B"/>
    <w:rsid w:val="00107C7B"/>
    <w:rsid w:val="00107CB2"/>
    <w:rsid w:val="00107D07"/>
    <w:rsid w:val="00107DF1"/>
    <w:rsid w:val="00107E05"/>
    <w:rsid w:val="00107E08"/>
    <w:rsid w:val="00107E61"/>
    <w:rsid w:val="00107E96"/>
    <w:rsid w:val="00107F50"/>
    <w:rsid w:val="00107F84"/>
    <w:rsid w:val="00107FE1"/>
    <w:rsid w:val="0011012A"/>
    <w:rsid w:val="0011025E"/>
    <w:rsid w:val="001102D6"/>
    <w:rsid w:val="00110528"/>
    <w:rsid w:val="00110560"/>
    <w:rsid w:val="0011065C"/>
    <w:rsid w:val="0011071F"/>
    <w:rsid w:val="00110AFD"/>
    <w:rsid w:val="00110C6C"/>
    <w:rsid w:val="00110C6E"/>
    <w:rsid w:val="00110CEE"/>
    <w:rsid w:val="00110DA5"/>
    <w:rsid w:val="00110DD6"/>
    <w:rsid w:val="00111016"/>
    <w:rsid w:val="001110BE"/>
    <w:rsid w:val="001112C9"/>
    <w:rsid w:val="0011152C"/>
    <w:rsid w:val="0011157C"/>
    <w:rsid w:val="00111877"/>
    <w:rsid w:val="0011193F"/>
    <w:rsid w:val="00111A2A"/>
    <w:rsid w:val="00111A47"/>
    <w:rsid w:val="00111A93"/>
    <w:rsid w:val="00111B4A"/>
    <w:rsid w:val="00111B79"/>
    <w:rsid w:val="00111CA3"/>
    <w:rsid w:val="00111E52"/>
    <w:rsid w:val="00111F76"/>
    <w:rsid w:val="00112028"/>
    <w:rsid w:val="0011211E"/>
    <w:rsid w:val="001121DB"/>
    <w:rsid w:val="00112335"/>
    <w:rsid w:val="001125E2"/>
    <w:rsid w:val="00112869"/>
    <w:rsid w:val="00112918"/>
    <w:rsid w:val="00112953"/>
    <w:rsid w:val="00112998"/>
    <w:rsid w:val="001129B1"/>
    <w:rsid w:val="001129D2"/>
    <w:rsid w:val="00112A32"/>
    <w:rsid w:val="00112CA1"/>
    <w:rsid w:val="00112D99"/>
    <w:rsid w:val="00113015"/>
    <w:rsid w:val="0011307D"/>
    <w:rsid w:val="001130AB"/>
    <w:rsid w:val="001130E0"/>
    <w:rsid w:val="00113202"/>
    <w:rsid w:val="00113334"/>
    <w:rsid w:val="001134E2"/>
    <w:rsid w:val="001136FC"/>
    <w:rsid w:val="00113700"/>
    <w:rsid w:val="0011370C"/>
    <w:rsid w:val="00113B6D"/>
    <w:rsid w:val="00113BE1"/>
    <w:rsid w:val="00113BF8"/>
    <w:rsid w:val="00113D84"/>
    <w:rsid w:val="00113E59"/>
    <w:rsid w:val="00113F38"/>
    <w:rsid w:val="00113FD9"/>
    <w:rsid w:val="0011417B"/>
    <w:rsid w:val="00114465"/>
    <w:rsid w:val="001144CA"/>
    <w:rsid w:val="001144FB"/>
    <w:rsid w:val="0011463F"/>
    <w:rsid w:val="00114745"/>
    <w:rsid w:val="00114784"/>
    <w:rsid w:val="00114A93"/>
    <w:rsid w:val="00114BD4"/>
    <w:rsid w:val="00114C1B"/>
    <w:rsid w:val="00114D93"/>
    <w:rsid w:val="00114DC9"/>
    <w:rsid w:val="00114DD5"/>
    <w:rsid w:val="00114F1A"/>
    <w:rsid w:val="00115366"/>
    <w:rsid w:val="001154BD"/>
    <w:rsid w:val="00115943"/>
    <w:rsid w:val="00115990"/>
    <w:rsid w:val="00115999"/>
    <w:rsid w:val="001159EC"/>
    <w:rsid w:val="00115B72"/>
    <w:rsid w:val="00115BA6"/>
    <w:rsid w:val="00115CF6"/>
    <w:rsid w:val="00115CF8"/>
    <w:rsid w:val="00115E6F"/>
    <w:rsid w:val="00115F9B"/>
    <w:rsid w:val="00116012"/>
    <w:rsid w:val="001161E5"/>
    <w:rsid w:val="00116235"/>
    <w:rsid w:val="001163E4"/>
    <w:rsid w:val="00116544"/>
    <w:rsid w:val="00116565"/>
    <w:rsid w:val="001167BA"/>
    <w:rsid w:val="00116826"/>
    <w:rsid w:val="00116B3C"/>
    <w:rsid w:val="00116C09"/>
    <w:rsid w:val="00116CF5"/>
    <w:rsid w:val="00116D65"/>
    <w:rsid w:val="00116E88"/>
    <w:rsid w:val="001170B9"/>
    <w:rsid w:val="0011716C"/>
    <w:rsid w:val="001171FE"/>
    <w:rsid w:val="00117204"/>
    <w:rsid w:val="0011757A"/>
    <w:rsid w:val="00117648"/>
    <w:rsid w:val="00117668"/>
    <w:rsid w:val="0011796B"/>
    <w:rsid w:val="0011799C"/>
    <w:rsid w:val="00117AD8"/>
    <w:rsid w:val="00117AEC"/>
    <w:rsid w:val="00117C3E"/>
    <w:rsid w:val="00117D69"/>
    <w:rsid w:val="00117D78"/>
    <w:rsid w:val="00117D95"/>
    <w:rsid w:val="00117FA0"/>
    <w:rsid w:val="0011B205"/>
    <w:rsid w:val="00120036"/>
    <w:rsid w:val="0012017A"/>
    <w:rsid w:val="001204C1"/>
    <w:rsid w:val="0012054B"/>
    <w:rsid w:val="0012055C"/>
    <w:rsid w:val="00120738"/>
    <w:rsid w:val="001207FF"/>
    <w:rsid w:val="00120B53"/>
    <w:rsid w:val="00120C0F"/>
    <w:rsid w:val="00120DAC"/>
    <w:rsid w:val="00120E96"/>
    <w:rsid w:val="0012167E"/>
    <w:rsid w:val="001217A7"/>
    <w:rsid w:val="001217B9"/>
    <w:rsid w:val="0012198B"/>
    <w:rsid w:val="00121BBF"/>
    <w:rsid w:val="00121C93"/>
    <w:rsid w:val="00121E22"/>
    <w:rsid w:val="00121E97"/>
    <w:rsid w:val="00122171"/>
    <w:rsid w:val="001221FC"/>
    <w:rsid w:val="0012222B"/>
    <w:rsid w:val="00122276"/>
    <w:rsid w:val="001223B8"/>
    <w:rsid w:val="00122511"/>
    <w:rsid w:val="0012258F"/>
    <w:rsid w:val="00122710"/>
    <w:rsid w:val="001229F1"/>
    <w:rsid w:val="00122B79"/>
    <w:rsid w:val="00122C89"/>
    <w:rsid w:val="00122D1A"/>
    <w:rsid w:val="00122D2B"/>
    <w:rsid w:val="00122EF8"/>
    <w:rsid w:val="00122FC0"/>
    <w:rsid w:val="0012306C"/>
    <w:rsid w:val="00123186"/>
    <w:rsid w:val="0012318F"/>
    <w:rsid w:val="00123350"/>
    <w:rsid w:val="00123769"/>
    <w:rsid w:val="00123860"/>
    <w:rsid w:val="00123A64"/>
    <w:rsid w:val="00123AA0"/>
    <w:rsid w:val="00123AAF"/>
    <w:rsid w:val="00123ABD"/>
    <w:rsid w:val="00123B42"/>
    <w:rsid w:val="00123BDD"/>
    <w:rsid w:val="00123C0A"/>
    <w:rsid w:val="00123CB8"/>
    <w:rsid w:val="00123F43"/>
    <w:rsid w:val="00123F9C"/>
    <w:rsid w:val="00123FE9"/>
    <w:rsid w:val="00124161"/>
    <w:rsid w:val="001241AF"/>
    <w:rsid w:val="00124211"/>
    <w:rsid w:val="0012434F"/>
    <w:rsid w:val="001243C7"/>
    <w:rsid w:val="00124402"/>
    <w:rsid w:val="001244A9"/>
    <w:rsid w:val="001245B7"/>
    <w:rsid w:val="00124760"/>
    <w:rsid w:val="001248EA"/>
    <w:rsid w:val="00124990"/>
    <w:rsid w:val="00124AB8"/>
    <w:rsid w:val="00124CC4"/>
    <w:rsid w:val="00124EC5"/>
    <w:rsid w:val="00125033"/>
    <w:rsid w:val="00125040"/>
    <w:rsid w:val="001251DE"/>
    <w:rsid w:val="0012527D"/>
    <w:rsid w:val="0012550A"/>
    <w:rsid w:val="00125576"/>
    <w:rsid w:val="00125698"/>
    <w:rsid w:val="001257A7"/>
    <w:rsid w:val="001257F8"/>
    <w:rsid w:val="00125955"/>
    <w:rsid w:val="001259AA"/>
    <w:rsid w:val="00125B5B"/>
    <w:rsid w:val="00125C46"/>
    <w:rsid w:val="00125C5E"/>
    <w:rsid w:val="00125D62"/>
    <w:rsid w:val="00125E89"/>
    <w:rsid w:val="00125EA6"/>
    <w:rsid w:val="00125F2C"/>
    <w:rsid w:val="0012616A"/>
    <w:rsid w:val="00126253"/>
    <w:rsid w:val="00126282"/>
    <w:rsid w:val="00126362"/>
    <w:rsid w:val="001263DA"/>
    <w:rsid w:val="00126480"/>
    <w:rsid w:val="00126569"/>
    <w:rsid w:val="00126735"/>
    <w:rsid w:val="00126822"/>
    <w:rsid w:val="001268D8"/>
    <w:rsid w:val="001269BB"/>
    <w:rsid w:val="00126A5C"/>
    <w:rsid w:val="00126B87"/>
    <w:rsid w:val="00126BBB"/>
    <w:rsid w:val="00126BCC"/>
    <w:rsid w:val="00126C9F"/>
    <w:rsid w:val="00126CF1"/>
    <w:rsid w:val="00126D85"/>
    <w:rsid w:val="00126E00"/>
    <w:rsid w:val="00126E62"/>
    <w:rsid w:val="00126EEB"/>
    <w:rsid w:val="00126F76"/>
    <w:rsid w:val="0012701E"/>
    <w:rsid w:val="001270D5"/>
    <w:rsid w:val="001272C1"/>
    <w:rsid w:val="0012734C"/>
    <w:rsid w:val="0012735C"/>
    <w:rsid w:val="001273DD"/>
    <w:rsid w:val="00127413"/>
    <w:rsid w:val="001274CA"/>
    <w:rsid w:val="00127542"/>
    <w:rsid w:val="00127961"/>
    <w:rsid w:val="001279DF"/>
    <w:rsid w:val="00127A0A"/>
    <w:rsid w:val="00127A29"/>
    <w:rsid w:val="00127AE1"/>
    <w:rsid w:val="00127EF7"/>
    <w:rsid w:val="00127F56"/>
    <w:rsid w:val="00130066"/>
    <w:rsid w:val="00130330"/>
    <w:rsid w:val="00130352"/>
    <w:rsid w:val="001303BF"/>
    <w:rsid w:val="0013054C"/>
    <w:rsid w:val="00130634"/>
    <w:rsid w:val="00130783"/>
    <w:rsid w:val="001307AB"/>
    <w:rsid w:val="00130944"/>
    <w:rsid w:val="001309AE"/>
    <w:rsid w:val="00130AEB"/>
    <w:rsid w:val="00130C00"/>
    <w:rsid w:val="00130D00"/>
    <w:rsid w:val="00130D50"/>
    <w:rsid w:val="00130D56"/>
    <w:rsid w:val="00131294"/>
    <w:rsid w:val="00131386"/>
    <w:rsid w:val="0013148E"/>
    <w:rsid w:val="001315B2"/>
    <w:rsid w:val="00131819"/>
    <w:rsid w:val="001319F0"/>
    <w:rsid w:val="00131A02"/>
    <w:rsid w:val="00131AFE"/>
    <w:rsid w:val="00131BCA"/>
    <w:rsid w:val="00131BD3"/>
    <w:rsid w:val="00131D85"/>
    <w:rsid w:val="00131E3C"/>
    <w:rsid w:val="0013205D"/>
    <w:rsid w:val="001320DC"/>
    <w:rsid w:val="00132112"/>
    <w:rsid w:val="001321CC"/>
    <w:rsid w:val="0013221F"/>
    <w:rsid w:val="001323CC"/>
    <w:rsid w:val="0013252C"/>
    <w:rsid w:val="001326D0"/>
    <w:rsid w:val="001327C8"/>
    <w:rsid w:val="00132866"/>
    <w:rsid w:val="001328E3"/>
    <w:rsid w:val="00132900"/>
    <w:rsid w:val="00132915"/>
    <w:rsid w:val="0013295F"/>
    <w:rsid w:val="0013296A"/>
    <w:rsid w:val="0013299F"/>
    <w:rsid w:val="001329EA"/>
    <w:rsid w:val="00132EA6"/>
    <w:rsid w:val="00132F78"/>
    <w:rsid w:val="0013301D"/>
    <w:rsid w:val="001331F0"/>
    <w:rsid w:val="0013366F"/>
    <w:rsid w:val="00133694"/>
    <w:rsid w:val="00133782"/>
    <w:rsid w:val="00133BA2"/>
    <w:rsid w:val="00133CA1"/>
    <w:rsid w:val="00133CBE"/>
    <w:rsid w:val="00133CC7"/>
    <w:rsid w:val="00133E58"/>
    <w:rsid w:val="00133F48"/>
    <w:rsid w:val="00134025"/>
    <w:rsid w:val="00134079"/>
    <w:rsid w:val="00134376"/>
    <w:rsid w:val="001343C9"/>
    <w:rsid w:val="001345AA"/>
    <w:rsid w:val="00134698"/>
    <w:rsid w:val="001346DD"/>
    <w:rsid w:val="001346FB"/>
    <w:rsid w:val="0013497A"/>
    <w:rsid w:val="00134AD6"/>
    <w:rsid w:val="00134AE4"/>
    <w:rsid w:val="00134C13"/>
    <w:rsid w:val="00135122"/>
    <w:rsid w:val="00135237"/>
    <w:rsid w:val="00135240"/>
    <w:rsid w:val="00135275"/>
    <w:rsid w:val="001354FB"/>
    <w:rsid w:val="00135539"/>
    <w:rsid w:val="001356D7"/>
    <w:rsid w:val="0013576C"/>
    <w:rsid w:val="001357E2"/>
    <w:rsid w:val="001358DF"/>
    <w:rsid w:val="00135925"/>
    <w:rsid w:val="001359E2"/>
    <w:rsid w:val="00135A51"/>
    <w:rsid w:val="00135A86"/>
    <w:rsid w:val="00135B5A"/>
    <w:rsid w:val="00135C92"/>
    <w:rsid w:val="00135CDF"/>
    <w:rsid w:val="00135DF4"/>
    <w:rsid w:val="00135EE8"/>
    <w:rsid w:val="0013610C"/>
    <w:rsid w:val="00136130"/>
    <w:rsid w:val="0013613E"/>
    <w:rsid w:val="00136326"/>
    <w:rsid w:val="0013639E"/>
    <w:rsid w:val="001363A3"/>
    <w:rsid w:val="00136493"/>
    <w:rsid w:val="0013661E"/>
    <w:rsid w:val="001367F7"/>
    <w:rsid w:val="001369C8"/>
    <w:rsid w:val="00136B65"/>
    <w:rsid w:val="00136B66"/>
    <w:rsid w:val="00136C06"/>
    <w:rsid w:val="00136E6C"/>
    <w:rsid w:val="0013715F"/>
    <w:rsid w:val="00137369"/>
    <w:rsid w:val="001373D3"/>
    <w:rsid w:val="0013766C"/>
    <w:rsid w:val="001376D8"/>
    <w:rsid w:val="001377DD"/>
    <w:rsid w:val="001377F4"/>
    <w:rsid w:val="001379C2"/>
    <w:rsid w:val="00137A33"/>
    <w:rsid w:val="00137B14"/>
    <w:rsid w:val="00137BAB"/>
    <w:rsid w:val="00137C8A"/>
    <w:rsid w:val="00137E5F"/>
    <w:rsid w:val="00137F7A"/>
    <w:rsid w:val="00137F8A"/>
    <w:rsid w:val="0014025F"/>
    <w:rsid w:val="00140301"/>
    <w:rsid w:val="00140465"/>
    <w:rsid w:val="001405B3"/>
    <w:rsid w:val="001405E6"/>
    <w:rsid w:val="0014063C"/>
    <w:rsid w:val="0014074F"/>
    <w:rsid w:val="001409A4"/>
    <w:rsid w:val="00140A3A"/>
    <w:rsid w:val="00140BD0"/>
    <w:rsid w:val="00140C72"/>
    <w:rsid w:val="00140E1C"/>
    <w:rsid w:val="00140F09"/>
    <w:rsid w:val="00140FEB"/>
    <w:rsid w:val="00140FED"/>
    <w:rsid w:val="00141063"/>
    <w:rsid w:val="00141070"/>
    <w:rsid w:val="00141076"/>
    <w:rsid w:val="0014115F"/>
    <w:rsid w:val="00141325"/>
    <w:rsid w:val="001413D1"/>
    <w:rsid w:val="00141485"/>
    <w:rsid w:val="0014151E"/>
    <w:rsid w:val="00141573"/>
    <w:rsid w:val="00141612"/>
    <w:rsid w:val="0014178E"/>
    <w:rsid w:val="001418E6"/>
    <w:rsid w:val="001418EF"/>
    <w:rsid w:val="00141A25"/>
    <w:rsid w:val="00141B82"/>
    <w:rsid w:val="00141C06"/>
    <w:rsid w:val="00141D73"/>
    <w:rsid w:val="00141E05"/>
    <w:rsid w:val="00141E4B"/>
    <w:rsid w:val="00141F76"/>
    <w:rsid w:val="00141F8B"/>
    <w:rsid w:val="0014210A"/>
    <w:rsid w:val="00142375"/>
    <w:rsid w:val="00142497"/>
    <w:rsid w:val="001424C5"/>
    <w:rsid w:val="0014255C"/>
    <w:rsid w:val="00142605"/>
    <w:rsid w:val="00142688"/>
    <w:rsid w:val="00142AFE"/>
    <w:rsid w:val="00142B5B"/>
    <w:rsid w:val="00142C87"/>
    <w:rsid w:val="00142C94"/>
    <w:rsid w:val="00142E7C"/>
    <w:rsid w:val="00142F67"/>
    <w:rsid w:val="00143151"/>
    <w:rsid w:val="00143378"/>
    <w:rsid w:val="00143425"/>
    <w:rsid w:val="0014354B"/>
    <w:rsid w:val="001436F9"/>
    <w:rsid w:val="0014370F"/>
    <w:rsid w:val="0014375E"/>
    <w:rsid w:val="00143863"/>
    <w:rsid w:val="001438F5"/>
    <w:rsid w:val="001439EC"/>
    <w:rsid w:val="00143E4D"/>
    <w:rsid w:val="001440CA"/>
    <w:rsid w:val="00144105"/>
    <w:rsid w:val="00144285"/>
    <w:rsid w:val="0014437A"/>
    <w:rsid w:val="00144541"/>
    <w:rsid w:val="00144757"/>
    <w:rsid w:val="001447F9"/>
    <w:rsid w:val="001448F6"/>
    <w:rsid w:val="00144C50"/>
    <w:rsid w:val="00144C7A"/>
    <w:rsid w:val="00144D60"/>
    <w:rsid w:val="00144E00"/>
    <w:rsid w:val="00144EA4"/>
    <w:rsid w:val="00145040"/>
    <w:rsid w:val="00145041"/>
    <w:rsid w:val="0014508D"/>
    <w:rsid w:val="0014518A"/>
    <w:rsid w:val="001452F1"/>
    <w:rsid w:val="00145355"/>
    <w:rsid w:val="001454C1"/>
    <w:rsid w:val="001457B7"/>
    <w:rsid w:val="00145874"/>
    <w:rsid w:val="00145CD3"/>
    <w:rsid w:val="00145DAD"/>
    <w:rsid w:val="00145DDD"/>
    <w:rsid w:val="00145EC8"/>
    <w:rsid w:val="00145FDE"/>
    <w:rsid w:val="00146140"/>
    <w:rsid w:val="00146199"/>
    <w:rsid w:val="00146319"/>
    <w:rsid w:val="00146537"/>
    <w:rsid w:val="00146706"/>
    <w:rsid w:val="00146837"/>
    <w:rsid w:val="00146855"/>
    <w:rsid w:val="001469BB"/>
    <w:rsid w:val="00146AF4"/>
    <w:rsid w:val="00146D2B"/>
    <w:rsid w:val="00146DB6"/>
    <w:rsid w:val="00146F22"/>
    <w:rsid w:val="00146F33"/>
    <w:rsid w:val="00146F97"/>
    <w:rsid w:val="00146FAD"/>
    <w:rsid w:val="0014705B"/>
    <w:rsid w:val="0014710B"/>
    <w:rsid w:val="001471FA"/>
    <w:rsid w:val="00147258"/>
    <w:rsid w:val="0014738F"/>
    <w:rsid w:val="00147477"/>
    <w:rsid w:val="001475F9"/>
    <w:rsid w:val="00147699"/>
    <w:rsid w:val="001477E5"/>
    <w:rsid w:val="0014795A"/>
    <w:rsid w:val="001479DC"/>
    <w:rsid w:val="001479EF"/>
    <w:rsid w:val="00147A4A"/>
    <w:rsid w:val="00147ABB"/>
    <w:rsid w:val="00147BE5"/>
    <w:rsid w:val="00147C11"/>
    <w:rsid w:val="00147C9B"/>
    <w:rsid w:val="00147D17"/>
    <w:rsid w:val="00147ED8"/>
    <w:rsid w:val="00147EE3"/>
    <w:rsid w:val="00147FF9"/>
    <w:rsid w:val="001501FF"/>
    <w:rsid w:val="00150227"/>
    <w:rsid w:val="00150236"/>
    <w:rsid w:val="001505ED"/>
    <w:rsid w:val="001506EC"/>
    <w:rsid w:val="0015083C"/>
    <w:rsid w:val="001508DE"/>
    <w:rsid w:val="001509EE"/>
    <w:rsid w:val="00150BDB"/>
    <w:rsid w:val="00150C5A"/>
    <w:rsid w:val="00150CE0"/>
    <w:rsid w:val="00150DD6"/>
    <w:rsid w:val="00150E40"/>
    <w:rsid w:val="0015118C"/>
    <w:rsid w:val="0015144F"/>
    <w:rsid w:val="0015155B"/>
    <w:rsid w:val="00151580"/>
    <w:rsid w:val="00151628"/>
    <w:rsid w:val="00151660"/>
    <w:rsid w:val="00151969"/>
    <w:rsid w:val="00151A5E"/>
    <w:rsid w:val="00151B68"/>
    <w:rsid w:val="00151ED7"/>
    <w:rsid w:val="00151EE8"/>
    <w:rsid w:val="00151F5F"/>
    <w:rsid w:val="00151FDB"/>
    <w:rsid w:val="00151FF5"/>
    <w:rsid w:val="001520C8"/>
    <w:rsid w:val="0015228A"/>
    <w:rsid w:val="00152374"/>
    <w:rsid w:val="00152397"/>
    <w:rsid w:val="001524AD"/>
    <w:rsid w:val="0015255B"/>
    <w:rsid w:val="001526F3"/>
    <w:rsid w:val="0015282D"/>
    <w:rsid w:val="0015293D"/>
    <w:rsid w:val="0015297E"/>
    <w:rsid w:val="00152A90"/>
    <w:rsid w:val="00152AF5"/>
    <w:rsid w:val="00152BDB"/>
    <w:rsid w:val="00152C59"/>
    <w:rsid w:val="00152D0D"/>
    <w:rsid w:val="00152DBB"/>
    <w:rsid w:val="00152F34"/>
    <w:rsid w:val="001532A0"/>
    <w:rsid w:val="001532AB"/>
    <w:rsid w:val="001532DF"/>
    <w:rsid w:val="001533AD"/>
    <w:rsid w:val="001535A0"/>
    <w:rsid w:val="00153607"/>
    <w:rsid w:val="0015361D"/>
    <w:rsid w:val="00153766"/>
    <w:rsid w:val="00153837"/>
    <w:rsid w:val="001538F3"/>
    <w:rsid w:val="0015399F"/>
    <w:rsid w:val="00153A30"/>
    <w:rsid w:val="00153B43"/>
    <w:rsid w:val="00153B71"/>
    <w:rsid w:val="00153E8D"/>
    <w:rsid w:val="00153ED3"/>
    <w:rsid w:val="00153FA2"/>
    <w:rsid w:val="00154115"/>
    <w:rsid w:val="00154183"/>
    <w:rsid w:val="0015428F"/>
    <w:rsid w:val="001542B0"/>
    <w:rsid w:val="001542D7"/>
    <w:rsid w:val="00154620"/>
    <w:rsid w:val="0015468A"/>
    <w:rsid w:val="0015468E"/>
    <w:rsid w:val="00154746"/>
    <w:rsid w:val="0015483B"/>
    <w:rsid w:val="00154AF8"/>
    <w:rsid w:val="00154C95"/>
    <w:rsid w:val="00154CF6"/>
    <w:rsid w:val="00154D00"/>
    <w:rsid w:val="00154D1A"/>
    <w:rsid w:val="00154E62"/>
    <w:rsid w:val="00154F84"/>
    <w:rsid w:val="00155506"/>
    <w:rsid w:val="00155763"/>
    <w:rsid w:val="00155866"/>
    <w:rsid w:val="001558E7"/>
    <w:rsid w:val="00155927"/>
    <w:rsid w:val="0015593D"/>
    <w:rsid w:val="001559E8"/>
    <w:rsid w:val="00155AA0"/>
    <w:rsid w:val="00155DC5"/>
    <w:rsid w:val="00155E18"/>
    <w:rsid w:val="00155E89"/>
    <w:rsid w:val="00155ED8"/>
    <w:rsid w:val="00155FD8"/>
    <w:rsid w:val="001560B5"/>
    <w:rsid w:val="0015613C"/>
    <w:rsid w:val="0015614E"/>
    <w:rsid w:val="0015617B"/>
    <w:rsid w:val="001561C5"/>
    <w:rsid w:val="001562E1"/>
    <w:rsid w:val="001562F7"/>
    <w:rsid w:val="0015653B"/>
    <w:rsid w:val="0015659A"/>
    <w:rsid w:val="00156624"/>
    <w:rsid w:val="00156632"/>
    <w:rsid w:val="0015663D"/>
    <w:rsid w:val="00156808"/>
    <w:rsid w:val="00156817"/>
    <w:rsid w:val="001569D0"/>
    <w:rsid w:val="001569E2"/>
    <w:rsid w:val="00156A07"/>
    <w:rsid w:val="00156A1D"/>
    <w:rsid w:val="00156A47"/>
    <w:rsid w:val="00156B06"/>
    <w:rsid w:val="00156C14"/>
    <w:rsid w:val="00156C1A"/>
    <w:rsid w:val="00156D91"/>
    <w:rsid w:val="00156DE4"/>
    <w:rsid w:val="00156E03"/>
    <w:rsid w:val="00156E4B"/>
    <w:rsid w:val="00156EBF"/>
    <w:rsid w:val="00156F2B"/>
    <w:rsid w:val="001571F3"/>
    <w:rsid w:val="0015725A"/>
    <w:rsid w:val="001572A0"/>
    <w:rsid w:val="001573FC"/>
    <w:rsid w:val="00157911"/>
    <w:rsid w:val="001579D1"/>
    <w:rsid w:val="00157ABC"/>
    <w:rsid w:val="00157BE7"/>
    <w:rsid w:val="00157D85"/>
    <w:rsid w:val="00157EFC"/>
    <w:rsid w:val="00157F14"/>
    <w:rsid w:val="00157FBD"/>
    <w:rsid w:val="0016001B"/>
    <w:rsid w:val="00160160"/>
    <w:rsid w:val="0016032F"/>
    <w:rsid w:val="00160344"/>
    <w:rsid w:val="001607B4"/>
    <w:rsid w:val="0016084E"/>
    <w:rsid w:val="00160A07"/>
    <w:rsid w:val="00160AD6"/>
    <w:rsid w:val="00160CB7"/>
    <w:rsid w:val="00160D76"/>
    <w:rsid w:val="00160D9B"/>
    <w:rsid w:val="00160E30"/>
    <w:rsid w:val="001612EA"/>
    <w:rsid w:val="00161655"/>
    <w:rsid w:val="0016169C"/>
    <w:rsid w:val="001616E1"/>
    <w:rsid w:val="00161792"/>
    <w:rsid w:val="0016182B"/>
    <w:rsid w:val="00161887"/>
    <w:rsid w:val="001618A0"/>
    <w:rsid w:val="001618B3"/>
    <w:rsid w:val="00161BBB"/>
    <w:rsid w:val="00161D20"/>
    <w:rsid w:val="00161D78"/>
    <w:rsid w:val="00161E40"/>
    <w:rsid w:val="00161E4A"/>
    <w:rsid w:val="00162083"/>
    <w:rsid w:val="001621F5"/>
    <w:rsid w:val="001623D6"/>
    <w:rsid w:val="0016262A"/>
    <w:rsid w:val="001626AE"/>
    <w:rsid w:val="00162839"/>
    <w:rsid w:val="001628C0"/>
    <w:rsid w:val="0016292D"/>
    <w:rsid w:val="00162CE7"/>
    <w:rsid w:val="00162FE9"/>
    <w:rsid w:val="00163162"/>
    <w:rsid w:val="0016341C"/>
    <w:rsid w:val="001635C8"/>
    <w:rsid w:val="00163632"/>
    <w:rsid w:val="001636C7"/>
    <w:rsid w:val="001636CB"/>
    <w:rsid w:val="001636DE"/>
    <w:rsid w:val="00163708"/>
    <w:rsid w:val="001637C4"/>
    <w:rsid w:val="001637F3"/>
    <w:rsid w:val="0016380F"/>
    <w:rsid w:val="00163913"/>
    <w:rsid w:val="0016393E"/>
    <w:rsid w:val="001639DD"/>
    <w:rsid w:val="00163A74"/>
    <w:rsid w:val="00163A7A"/>
    <w:rsid w:val="00163B85"/>
    <w:rsid w:val="00163BD2"/>
    <w:rsid w:val="00163E20"/>
    <w:rsid w:val="00163EB9"/>
    <w:rsid w:val="00164066"/>
    <w:rsid w:val="0016422B"/>
    <w:rsid w:val="00164246"/>
    <w:rsid w:val="001643BA"/>
    <w:rsid w:val="00164400"/>
    <w:rsid w:val="0016454B"/>
    <w:rsid w:val="001645CB"/>
    <w:rsid w:val="00164622"/>
    <w:rsid w:val="00164695"/>
    <w:rsid w:val="001646CB"/>
    <w:rsid w:val="00164968"/>
    <w:rsid w:val="00164A5E"/>
    <w:rsid w:val="00164BDF"/>
    <w:rsid w:val="00164DD6"/>
    <w:rsid w:val="00164DFA"/>
    <w:rsid w:val="00164E77"/>
    <w:rsid w:val="00165089"/>
    <w:rsid w:val="0016527C"/>
    <w:rsid w:val="00165329"/>
    <w:rsid w:val="00165389"/>
    <w:rsid w:val="0016540F"/>
    <w:rsid w:val="001655C2"/>
    <w:rsid w:val="0016560E"/>
    <w:rsid w:val="00165645"/>
    <w:rsid w:val="00165656"/>
    <w:rsid w:val="001656E7"/>
    <w:rsid w:val="00165718"/>
    <w:rsid w:val="00165731"/>
    <w:rsid w:val="00165837"/>
    <w:rsid w:val="001658D6"/>
    <w:rsid w:val="00165A74"/>
    <w:rsid w:val="00165AB4"/>
    <w:rsid w:val="00165C59"/>
    <w:rsid w:val="00165C8F"/>
    <w:rsid w:val="00165D63"/>
    <w:rsid w:val="00165E91"/>
    <w:rsid w:val="00165F06"/>
    <w:rsid w:val="00165F09"/>
    <w:rsid w:val="00165F80"/>
    <w:rsid w:val="00166042"/>
    <w:rsid w:val="0016622D"/>
    <w:rsid w:val="001663F2"/>
    <w:rsid w:val="0016667B"/>
    <w:rsid w:val="0016674B"/>
    <w:rsid w:val="001669A4"/>
    <w:rsid w:val="001669AC"/>
    <w:rsid w:val="001669BC"/>
    <w:rsid w:val="00166C5A"/>
    <w:rsid w:val="00166EB5"/>
    <w:rsid w:val="001670B6"/>
    <w:rsid w:val="001670D2"/>
    <w:rsid w:val="00167142"/>
    <w:rsid w:val="0016720D"/>
    <w:rsid w:val="001672A8"/>
    <w:rsid w:val="00167435"/>
    <w:rsid w:val="00167496"/>
    <w:rsid w:val="001674ED"/>
    <w:rsid w:val="0016766C"/>
    <w:rsid w:val="00167672"/>
    <w:rsid w:val="00167757"/>
    <w:rsid w:val="001677BF"/>
    <w:rsid w:val="001677FE"/>
    <w:rsid w:val="00167841"/>
    <w:rsid w:val="001678D8"/>
    <w:rsid w:val="00167915"/>
    <w:rsid w:val="00167A02"/>
    <w:rsid w:val="00167EA7"/>
    <w:rsid w:val="00167F22"/>
    <w:rsid w:val="00167FD2"/>
    <w:rsid w:val="001700BE"/>
    <w:rsid w:val="00170127"/>
    <w:rsid w:val="0017012A"/>
    <w:rsid w:val="00170280"/>
    <w:rsid w:val="001702EF"/>
    <w:rsid w:val="00170429"/>
    <w:rsid w:val="0017044F"/>
    <w:rsid w:val="0017066F"/>
    <w:rsid w:val="00170701"/>
    <w:rsid w:val="0017083B"/>
    <w:rsid w:val="0017094A"/>
    <w:rsid w:val="00170B21"/>
    <w:rsid w:val="00170CCA"/>
    <w:rsid w:val="00170D14"/>
    <w:rsid w:val="00170EDE"/>
    <w:rsid w:val="00170F3F"/>
    <w:rsid w:val="00170F43"/>
    <w:rsid w:val="00171077"/>
    <w:rsid w:val="00171279"/>
    <w:rsid w:val="001713BC"/>
    <w:rsid w:val="001713FA"/>
    <w:rsid w:val="00171508"/>
    <w:rsid w:val="00171512"/>
    <w:rsid w:val="001716EE"/>
    <w:rsid w:val="00171895"/>
    <w:rsid w:val="00171A74"/>
    <w:rsid w:val="00171AEF"/>
    <w:rsid w:val="00171B36"/>
    <w:rsid w:val="00171BE4"/>
    <w:rsid w:val="00171F6B"/>
    <w:rsid w:val="00172057"/>
    <w:rsid w:val="00172064"/>
    <w:rsid w:val="001721A9"/>
    <w:rsid w:val="00172231"/>
    <w:rsid w:val="0017259E"/>
    <w:rsid w:val="001726ED"/>
    <w:rsid w:val="00172725"/>
    <w:rsid w:val="0017274A"/>
    <w:rsid w:val="00172750"/>
    <w:rsid w:val="001727AC"/>
    <w:rsid w:val="00172828"/>
    <w:rsid w:val="0017291F"/>
    <w:rsid w:val="001729F3"/>
    <w:rsid w:val="00172B5A"/>
    <w:rsid w:val="00172C5B"/>
    <w:rsid w:val="00172C8D"/>
    <w:rsid w:val="00172D9B"/>
    <w:rsid w:val="00172DA0"/>
    <w:rsid w:val="00172ECE"/>
    <w:rsid w:val="00172FB5"/>
    <w:rsid w:val="00172FF9"/>
    <w:rsid w:val="00173047"/>
    <w:rsid w:val="00173055"/>
    <w:rsid w:val="00173368"/>
    <w:rsid w:val="0017354E"/>
    <w:rsid w:val="00173727"/>
    <w:rsid w:val="001738DD"/>
    <w:rsid w:val="00173CA6"/>
    <w:rsid w:val="00173E5C"/>
    <w:rsid w:val="00173EA1"/>
    <w:rsid w:val="00173ECA"/>
    <w:rsid w:val="00173EF8"/>
    <w:rsid w:val="00173FD6"/>
    <w:rsid w:val="0017412A"/>
    <w:rsid w:val="0017424F"/>
    <w:rsid w:val="0017427C"/>
    <w:rsid w:val="001743A7"/>
    <w:rsid w:val="001743D7"/>
    <w:rsid w:val="00174462"/>
    <w:rsid w:val="001744B8"/>
    <w:rsid w:val="00174547"/>
    <w:rsid w:val="0017454B"/>
    <w:rsid w:val="0017462D"/>
    <w:rsid w:val="0017463F"/>
    <w:rsid w:val="00174652"/>
    <w:rsid w:val="001748D5"/>
    <w:rsid w:val="00174C5A"/>
    <w:rsid w:val="00174CE3"/>
    <w:rsid w:val="00174F74"/>
    <w:rsid w:val="00175085"/>
    <w:rsid w:val="0017514D"/>
    <w:rsid w:val="001751E7"/>
    <w:rsid w:val="001752F0"/>
    <w:rsid w:val="00175401"/>
    <w:rsid w:val="0017567E"/>
    <w:rsid w:val="001757CD"/>
    <w:rsid w:val="001757E2"/>
    <w:rsid w:val="00175C9A"/>
    <w:rsid w:val="00175CF0"/>
    <w:rsid w:val="00175DAC"/>
    <w:rsid w:val="00175E9F"/>
    <w:rsid w:val="00175F86"/>
    <w:rsid w:val="00175FDB"/>
    <w:rsid w:val="0017601D"/>
    <w:rsid w:val="0017602B"/>
    <w:rsid w:val="0017606D"/>
    <w:rsid w:val="00176155"/>
    <w:rsid w:val="00176367"/>
    <w:rsid w:val="001764E2"/>
    <w:rsid w:val="00176552"/>
    <w:rsid w:val="00176584"/>
    <w:rsid w:val="00176637"/>
    <w:rsid w:val="00176A2E"/>
    <w:rsid w:val="00176BA9"/>
    <w:rsid w:val="00176BD8"/>
    <w:rsid w:val="00176D06"/>
    <w:rsid w:val="00176D3A"/>
    <w:rsid w:val="00177029"/>
    <w:rsid w:val="0017744F"/>
    <w:rsid w:val="00177495"/>
    <w:rsid w:val="00177535"/>
    <w:rsid w:val="0017758F"/>
    <w:rsid w:val="0017759B"/>
    <w:rsid w:val="00177695"/>
    <w:rsid w:val="00177704"/>
    <w:rsid w:val="00177774"/>
    <w:rsid w:val="00177787"/>
    <w:rsid w:val="00177901"/>
    <w:rsid w:val="001779F5"/>
    <w:rsid w:val="00177A00"/>
    <w:rsid w:val="00177BE4"/>
    <w:rsid w:val="00177D40"/>
    <w:rsid w:val="00177DA3"/>
    <w:rsid w:val="00177E72"/>
    <w:rsid w:val="00177EE6"/>
    <w:rsid w:val="00177F30"/>
    <w:rsid w:val="00177F91"/>
    <w:rsid w:val="0017EB25"/>
    <w:rsid w:val="001800C1"/>
    <w:rsid w:val="00180156"/>
    <w:rsid w:val="001801DD"/>
    <w:rsid w:val="001801DE"/>
    <w:rsid w:val="00180223"/>
    <w:rsid w:val="00180229"/>
    <w:rsid w:val="00180355"/>
    <w:rsid w:val="001805D4"/>
    <w:rsid w:val="00180724"/>
    <w:rsid w:val="00180746"/>
    <w:rsid w:val="00180B3A"/>
    <w:rsid w:val="00180F45"/>
    <w:rsid w:val="0018128A"/>
    <w:rsid w:val="0018129C"/>
    <w:rsid w:val="0018137E"/>
    <w:rsid w:val="00181492"/>
    <w:rsid w:val="00181585"/>
    <w:rsid w:val="00181652"/>
    <w:rsid w:val="00181728"/>
    <w:rsid w:val="0018188E"/>
    <w:rsid w:val="00181A46"/>
    <w:rsid w:val="00181A69"/>
    <w:rsid w:val="00181F1D"/>
    <w:rsid w:val="0018206B"/>
    <w:rsid w:val="00182341"/>
    <w:rsid w:val="00182412"/>
    <w:rsid w:val="00182459"/>
    <w:rsid w:val="001824AC"/>
    <w:rsid w:val="00182506"/>
    <w:rsid w:val="0018259A"/>
    <w:rsid w:val="00182ABE"/>
    <w:rsid w:val="00182EED"/>
    <w:rsid w:val="001830CC"/>
    <w:rsid w:val="00183117"/>
    <w:rsid w:val="00183276"/>
    <w:rsid w:val="001832A2"/>
    <w:rsid w:val="00183365"/>
    <w:rsid w:val="00183460"/>
    <w:rsid w:val="00183585"/>
    <w:rsid w:val="001835C2"/>
    <w:rsid w:val="001837E7"/>
    <w:rsid w:val="001839F9"/>
    <w:rsid w:val="00183B3D"/>
    <w:rsid w:val="00183C95"/>
    <w:rsid w:val="00183D20"/>
    <w:rsid w:val="00183F98"/>
    <w:rsid w:val="0018402D"/>
    <w:rsid w:val="00184274"/>
    <w:rsid w:val="00184376"/>
    <w:rsid w:val="00184377"/>
    <w:rsid w:val="001843CC"/>
    <w:rsid w:val="001844DE"/>
    <w:rsid w:val="001844E4"/>
    <w:rsid w:val="0018450B"/>
    <w:rsid w:val="001845DF"/>
    <w:rsid w:val="00184704"/>
    <w:rsid w:val="00184916"/>
    <w:rsid w:val="00184B23"/>
    <w:rsid w:val="00184B25"/>
    <w:rsid w:val="00184BE5"/>
    <w:rsid w:val="00184DD3"/>
    <w:rsid w:val="00184E19"/>
    <w:rsid w:val="00184E2D"/>
    <w:rsid w:val="00184F62"/>
    <w:rsid w:val="00184F7B"/>
    <w:rsid w:val="0018516F"/>
    <w:rsid w:val="00185307"/>
    <w:rsid w:val="00185603"/>
    <w:rsid w:val="00185A1D"/>
    <w:rsid w:val="00185A42"/>
    <w:rsid w:val="00185B5E"/>
    <w:rsid w:val="00185C00"/>
    <w:rsid w:val="00185CD1"/>
    <w:rsid w:val="00185F2B"/>
    <w:rsid w:val="00185FFB"/>
    <w:rsid w:val="0018615D"/>
    <w:rsid w:val="001862BA"/>
    <w:rsid w:val="001863B2"/>
    <w:rsid w:val="001864D9"/>
    <w:rsid w:val="001864F7"/>
    <w:rsid w:val="0018657C"/>
    <w:rsid w:val="00186594"/>
    <w:rsid w:val="0018666C"/>
    <w:rsid w:val="001866ED"/>
    <w:rsid w:val="001869DF"/>
    <w:rsid w:val="00186B6A"/>
    <w:rsid w:val="00186B7F"/>
    <w:rsid w:val="00186B88"/>
    <w:rsid w:val="00186C43"/>
    <w:rsid w:val="00186C4F"/>
    <w:rsid w:val="00186E95"/>
    <w:rsid w:val="00186F41"/>
    <w:rsid w:val="0018704E"/>
    <w:rsid w:val="00187082"/>
    <w:rsid w:val="0018708C"/>
    <w:rsid w:val="001870CD"/>
    <w:rsid w:val="00187117"/>
    <w:rsid w:val="0018748C"/>
    <w:rsid w:val="0018762A"/>
    <w:rsid w:val="00187709"/>
    <w:rsid w:val="00187828"/>
    <w:rsid w:val="00187873"/>
    <w:rsid w:val="001878D9"/>
    <w:rsid w:val="00187921"/>
    <w:rsid w:val="001879F7"/>
    <w:rsid w:val="00187A07"/>
    <w:rsid w:val="00187B06"/>
    <w:rsid w:val="00187B09"/>
    <w:rsid w:val="00187B7F"/>
    <w:rsid w:val="00187B98"/>
    <w:rsid w:val="00187DDC"/>
    <w:rsid w:val="00187E1B"/>
    <w:rsid w:val="00190288"/>
    <w:rsid w:val="001903B5"/>
    <w:rsid w:val="001903D5"/>
    <w:rsid w:val="00190420"/>
    <w:rsid w:val="0019045C"/>
    <w:rsid w:val="001904CA"/>
    <w:rsid w:val="0019054D"/>
    <w:rsid w:val="001905C8"/>
    <w:rsid w:val="001906C0"/>
    <w:rsid w:val="0019085F"/>
    <w:rsid w:val="00190887"/>
    <w:rsid w:val="001909D0"/>
    <w:rsid w:val="001909E8"/>
    <w:rsid w:val="00190B68"/>
    <w:rsid w:val="00190D18"/>
    <w:rsid w:val="00190D4B"/>
    <w:rsid w:val="00190DD2"/>
    <w:rsid w:val="00190DE0"/>
    <w:rsid w:val="0019128B"/>
    <w:rsid w:val="0019134C"/>
    <w:rsid w:val="001913EE"/>
    <w:rsid w:val="00191415"/>
    <w:rsid w:val="00191596"/>
    <w:rsid w:val="00191752"/>
    <w:rsid w:val="00191781"/>
    <w:rsid w:val="0019181E"/>
    <w:rsid w:val="001919F3"/>
    <w:rsid w:val="00191A3F"/>
    <w:rsid w:val="00191C0B"/>
    <w:rsid w:val="00191E09"/>
    <w:rsid w:val="00191E2B"/>
    <w:rsid w:val="00191FE1"/>
    <w:rsid w:val="00192080"/>
    <w:rsid w:val="0019219D"/>
    <w:rsid w:val="0019222B"/>
    <w:rsid w:val="001922A6"/>
    <w:rsid w:val="001922CE"/>
    <w:rsid w:val="00192348"/>
    <w:rsid w:val="001925C8"/>
    <w:rsid w:val="001926DC"/>
    <w:rsid w:val="001926E5"/>
    <w:rsid w:val="001928E9"/>
    <w:rsid w:val="00192928"/>
    <w:rsid w:val="00192B2C"/>
    <w:rsid w:val="00192BD4"/>
    <w:rsid w:val="00192D14"/>
    <w:rsid w:val="00192D9B"/>
    <w:rsid w:val="00192DE9"/>
    <w:rsid w:val="00192ED5"/>
    <w:rsid w:val="00192EF1"/>
    <w:rsid w:val="00193046"/>
    <w:rsid w:val="00193168"/>
    <w:rsid w:val="00193190"/>
    <w:rsid w:val="001931CE"/>
    <w:rsid w:val="001931F4"/>
    <w:rsid w:val="001932E5"/>
    <w:rsid w:val="00193364"/>
    <w:rsid w:val="00193396"/>
    <w:rsid w:val="00193496"/>
    <w:rsid w:val="001934AA"/>
    <w:rsid w:val="001935A9"/>
    <w:rsid w:val="00193880"/>
    <w:rsid w:val="00193895"/>
    <w:rsid w:val="00193984"/>
    <w:rsid w:val="00193AF6"/>
    <w:rsid w:val="00193BCE"/>
    <w:rsid w:val="00193C4C"/>
    <w:rsid w:val="00193D51"/>
    <w:rsid w:val="00193E15"/>
    <w:rsid w:val="00193F2F"/>
    <w:rsid w:val="00193FAF"/>
    <w:rsid w:val="00194334"/>
    <w:rsid w:val="001943AD"/>
    <w:rsid w:val="00194778"/>
    <w:rsid w:val="001949BF"/>
    <w:rsid w:val="00194ABE"/>
    <w:rsid w:val="00194AEE"/>
    <w:rsid w:val="00194B1F"/>
    <w:rsid w:val="00195446"/>
    <w:rsid w:val="00195448"/>
    <w:rsid w:val="00195791"/>
    <w:rsid w:val="001957BA"/>
    <w:rsid w:val="00195913"/>
    <w:rsid w:val="00195A65"/>
    <w:rsid w:val="00195C92"/>
    <w:rsid w:val="00195CC0"/>
    <w:rsid w:val="00195D2A"/>
    <w:rsid w:val="00195ED7"/>
    <w:rsid w:val="001960C8"/>
    <w:rsid w:val="001961BD"/>
    <w:rsid w:val="00196538"/>
    <w:rsid w:val="001965FC"/>
    <w:rsid w:val="0019666E"/>
    <w:rsid w:val="0019675A"/>
    <w:rsid w:val="00196882"/>
    <w:rsid w:val="001968E0"/>
    <w:rsid w:val="0019690E"/>
    <w:rsid w:val="0019692B"/>
    <w:rsid w:val="00196961"/>
    <w:rsid w:val="001969BF"/>
    <w:rsid w:val="00196B2D"/>
    <w:rsid w:val="00196BC5"/>
    <w:rsid w:val="00196BF3"/>
    <w:rsid w:val="00196C58"/>
    <w:rsid w:val="00196E20"/>
    <w:rsid w:val="00196FA0"/>
    <w:rsid w:val="00197116"/>
    <w:rsid w:val="001972E9"/>
    <w:rsid w:val="0019731A"/>
    <w:rsid w:val="00197398"/>
    <w:rsid w:val="001973C4"/>
    <w:rsid w:val="00197481"/>
    <w:rsid w:val="001974FF"/>
    <w:rsid w:val="00197797"/>
    <w:rsid w:val="001978DC"/>
    <w:rsid w:val="00197980"/>
    <w:rsid w:val="001979AF"/>
    <w:rsid w:val="00197BAD"/>
    <w:rsid w:val="00197C42"/>
    <w:rsid w:val="00197CC9"/>
    <w:rsid w:val="00197D9C"/>
    <w:rsid w:val="00197DCA"/>
    <w:rsid w:val="001A0145"/>
    <w:rsid w:val="001A019E"/>
    <w:rsid w:val="001A01B9"/>
    <w:rsid w:val="001A01E9"/>
    <w:rsid w:val="001A0492"/>
    <w:rsid w:val="001A0501"/>
    <w:rsid w:val="001A0510"/>
    <w:rsid w:val="001A06B1"/>
    <w:rsid w:val="001A06C6"/>
    <w:rsid w:val="001A0823"/>
    <w:rsid w:val="001A08F0"/>
    <w:rsid w:val="001A0A72"/>
    <w:rsid w:val="001A0B1D"/>
    <w:rsid w:val="001A0C55"/>
    <w:rsid w:val="001A0C8C"/>
    <w:rsid w:val="001A0D45"/>
    <w:rsid w:val="001A0D64"/>
    <w:rsid w:val="001A1383"/>
    <w:rsid w:val="001A15DE"/>
    <w:rsid w:val="001A1AC0"/>
    <w:rsid w:val="001A1AE0"/>
    <w:rsid w:val="001A1DD7"/>
    <w:rsid w:val="001A1DE0"/>
    <w:rsid w:val="001A1F3A"/>
    <w:rsid w:val="001A26D3"/>
    <w:rsid w:val="001A2A92"/>
    <w:rsid w:val="001A2B3A"/>
    <w:rsid w:val="001A2BA9"/>
    <w:rsid w:val="001A2CFD"/>
    <w:rsid w:val="001A2D00"/>
    <w:rsid w:val="001A2E3F"/>
    <w:rsid w:val="001A3565"/>
    <w:rsid w:val="001A3642"/>
    <w:rsid w:val="001A36C3"/>
    <w:rsid w:val="001A377B"/>
    <w:rsid w:val="001A3785"/>
    <w:rsid w:val="001A37A8"/>
    <w:rsid w:val="001A3AAC"/>
    <w:rsid w:val="001A3AF7"/>
    <w:rsid w:val="001A3B12"/>
    <w:rsid w:val="001A3B3F"/>
    <w:rsid w:val="001A3BDE"/>
    <w:rsid w:val="001A3EFF"/>
    <w:rsid w:val="001A3F45"/>
    <w:rsid w:val="001A3FB8"/>
    <w:rsid w:val="001A3FB9"/>
    <w:rsid w:val="001A422B"/>
    <w:rsid w:val="001A43F9"/>
    <w:rsid w:val="001A4673"/>
    <w:rsid w:val="001A4742"/>
    <w:rsid w:val="001A4877"/>
    <w:rsid w:val="001A48F3"/>
    <w:rsid w:val="001A4986"/>
    <w:rsid w:val="001A4AB9"/>
    <w:rsid w:val="001A4B4B"/>
    <w:rsid w:val="001A4C2A"/>
    <w:rsid w:val="001A4D37"/>
    <w:rsid w:val="001A4F66"/>
    <w:rsid w:val="001A503D"/>
    <w:rsid w:val="001A5190"/>
    <w:rsid w:val="001A5396"/>
    <w:rsid w:val="001A53AB"/>
    <w:rsid w:val="001A53CD"/>
    <w:rsid w:val="001A5546"/>
    <w:rsid w:val="001A571B"/>
    <w:rsid w:val="001A574B"/>
    <w:rsid w:val="001A57D2"/>
    <w:rsid w:val="001A5A78"/>
    <w:rsid w:val="001A5AC5"/>
    <w:rsid w:val="001A5BE2"/>
    <w:rsid w:val="001A5CF5"/>
    <w:rsid w:val="001A5E2D"/>
    <w:rsid w:val="001A5F9E"/>
    <w:rsid w:val="001A61D3"/>
    <w:rsid w:val="001A61E3"/>
    <w:rsid w:val="001A6390"/>
    <w:rsid w:val="001A6431"/>
    <w:rsid w:val="001A6504"/>
    <w:rsid w:val="001A6678"/>
    <w:rsid w:val="001A66E8"/>
    <w:rsid w:val="001A6A65"/>
    <w:rsid w:val="001A6B52"/>
    <w:rsid w:val="001A6BD2"/>
    <w:rsid w:val="001A6D11"/>
    <w:rsid w:val="001A6D5B"/>
    <w:rsid w:val="001A6D86"/>
    <w:rsid w:val="001A6DEF"/>
    <w:rsid w:val="001A6DFF"/>
    <w:rsid w:val="001A6EF2"/>
    <w:rsid w:val="001A7018"/>
    <w:rsid w:val="001A7025"/>
    <w:rsid w:val="001A7054"/>
    <w:rsid w:val="001A709C"/>
    <w:rsid w:val="001A731C"/>
    <w:rsid w:val="001A73B9"/>
    <w:rsid w:val="001A74CF"/>
    <w:rsid w:val="001A751D"/>
    <w:rsid w:val="001A752A"/>
    <w:rsid w:val="001A7768"/>
    <w:rsid w:val="001A782F"/>
    <w:rsid w:val="001A78E5"/>
    <w:rsid w:val="001A7937"/>
    <w:rsid w:val="001A7967"/>
    <w:rsid w:val="001A79D5"/>
    <w:rsid w:val="001A7C45"/>
    <w:rsid w:val="001A7C62"/>
    <w:rsid w:val="001A7C88"/>
    <w:rsid w:val="001A7D00"/>
    <w:rsid w:val="001A7F5F"/>
    <w:rsid w:val="001B01BB"/>
    <w:rsid w:val="001B03F8"/>
    <w:rsid w:val="001B04C3"/>
    <w:rsid w:val="001B0588"/>
    <w:rsid w:val="001B0628"/>
    <w:rsid w:val="001B062F"/>
    <w:rsid w:val="001B0668"/>
    <w:rsid w:val="001B06E1"/>
    <w:rsid w:val="001B070F"/>
    <w:rsid w:val="001B083B"/>
    <w:rsid w:val="001B0A26"/>
    <w:rsid w:val="001B0A42"/>
    <w:rsid w:val="001B0A72"/>
    <w:rsid w:val="001B0E2A"/>
    <w:rsid w:val="001B0E54"/>
    <w:rsid w:val="001B10C4"/>
    <w:rsid w:val="001B128C"/>
    <w:rsid w:val="001B139C"/>
    <w:rsid w:val="001B13DF"/>
    <w:rsid w:val="001B14F5"/>
    <w:rsid w:val="001B164E"/>
    <w:rsid w:val="001B16FD"/>
    <w:rsid w:val="001B175D"/>
    <w:rsid w:val="001B18AC"/>
    <w:rsid w:val="001B198B"/>
    <w:rsid w:val="001B19FE"/>
    <w:rsid w:val="001B1C24"/>
    <w:rsid w:val="001B1C9E"/>
    <w:rsid w:val="001B1D42"/>
    <w:rsid w:val="001B1DDB"/>
    <w:rsid w:val="001B1EAE"/>
    <w:rsid w:val="001B1F10"/>
    <w:rsid w:val="001B1F47"/>
    <w:rsid w:val="001B2015"/>
    <w:rsid w:val="001B20F9"/>
    <w:rsid w:val="001B2144"/>
    <w:rsid w:val="001B21D7"/>
    <w:rsid w:val="001B27AD"/>
    <w:rsid w:val="001B2D33"/>
    <w:rsid w:val="001B2DE0"/>
    <w:rsid w:val="001B2E84"/>
    <w:rsid w:val="001B2F8D"/>
    <w:rsid w:val="001B2FB4"/>
    <w:rsid w:val="001B3038"/>
    <w:rsid w:val="001B306C"/>
    <w:rsid w:val="001B3162"/>
    <w:rsid w:val="001B318D"/>
    <w:rsid w:val="001B3662"/>
    <w:rsid w:val="001B36E5"/>
    <w:rsid w:val="001B370B"/>
    <w:rsid w:val="001B380B"/>
    <w:rsid w:val="001B3814"/>
    <w:rsid w:val="001B3848"/>
    <w:rsid w:val="001B3869"/>
    <w:rsid w:val="001B39EE"/>
    <w:rsid w:val="001B3DF7"/>
    <w:rsid w:val="001B3E27"/>
    <w:rsid w:val="001B3FC3"/>
    <w:rsid w:val="001B404E"/>
    <w:rsid w:val="001B408C"/>
    <w:rsid w:val="001B41E2"/>
    <w:rsid w:val="001B41EF"/>
    <w:rsid w:val="001B4308"/>
    <w:rsid w:val="001B43D6"/>
    <w:rsid w:val="001B4418"/>
    <w:rsid w:val="001B4720"/>
    <w:rsid w:val="001B485B"/>
    <w:rsid w:val="001B489D"/>
    <w:rsid w:val="001B4910"/>
    <w:rsid w:val="001B4938"/>
    <w:rsid w:val="001B4B70"/>
    <w:rsid w:val="001B4C68"/>
    <w:rsid w:val="001B4DCD"/>
    <w:rsid w:val="001B4DE0"/>
    <w:rsid w:val="001B50F4"/>
    <w:rsid w:val="001B5198"/>
    <w:rsid w:val="001B5404"/>
    <w:rsid w:val="001B542A"/>
    <w:rsid w:val="001B5475"/>
    <w:rsid w:val="001B54C9"/>
    <w:rsid w:val="001B5777"/>
    <w:rsid w:val="001B5781"/>
    <w:rsid w:val="001B5BA0"/>
    <w:rsid w:val="001B5BF4"/>
    <w:rsid w:val="001B5C4D"/>
    <w:rsid w:val="001B5E35"/>
    <w:rsid w:val="001B5E5F"/>
    <w:rsid w:val="001B5F9C"/>
    <w:rsid w:val="001B5FAB"/>
    <w:rsid w:val="001B60FB"/>
    <w:rsid w:val="001B61EF"/>
    <w:rsid w:val="001B6298"/>
    <w:rsid w:val="001B63D2"/>
    <w:rsid w:val="001B6438"/>
    <w:rsid w:val="001B64E0"/>
    <w:rsid w:val="001B65EA"/>
    <w:rsid w:val="001B678E"/>
    <w:rsid w:val="001B68DB"/>
    <w:rsid w:val="001B6A05"/>
    <w:rsid w:val="001B6ACB"/>
    <w:rsid w:val="001B6BBF"/>
    <w:rsid w:val="001B6C3C"/>
    <w:rsid w:val="001B6D1C"/>
    <w:rsid w:val="001B7081"/>
    <w:rsid w:val="001B7299"/>
    <w:rsid w:val="001B729C"/>
    <w:rsid w:val="001B73E8"/>
    <w:rsid w:val="001B74C9"/>
    <w:rsid w:val="001B7505"/>
    <w:rsid w:val="001B75D3"/>
    <w:rsid w:val="001B7680"/>
    <w:rsid w:val="001B768C"/>
    <w:rsid w:val="001B795C"/>
    <w:rsid w:val="001B798F"/>
    <w:rsid w:val="001B79AC"/>
    <w:rsid w:val="001B7AD2"/>
    <w:rsid w:val="001B7AF9"/>
    <w:rsid w:val="001B7B3A"/>
    <w:rsid w:val="001B7B61"/>
    <w:rsid w:val="001B7B89"/>
    <w:rsid w:val="001B7B95"/>
    <w:rsid w:val="001B7C6F"/>
    <w:rsid w:val="001B7C72"/>
    <w:rsid w:val="001B7D08"/>
    <w:rsid w:val="001B7DFA"/>
    <w:rsid w:val="001B7DFE"/>
    <w:rsid w:val="001B7F09"/>
    <w:rsid w:val="001C00E2"/>
    <w:rsid w:val="001C0210"/>
    <w:rsid w:val="001C0380"/>
    <w:rsid w:val="001C0671"/>
    <w:rsid w:val="001C08E7"/>
    <w:rsid w:val="001C091D"/>
    <w:rsid w:val="001C0A48"/>
    <w:rsid w:val="001C0C2D"/>
    <w:rsid w:val="001C0C6E"/>
    <w:rsid w:val="001C0C8C"/>
    <w:rsid w:val="001C0D50"/>
    <w:rsid w:val="001C0DB8"/>
    <w:rsid w:val="001C1104"/>
    <w:rsid w:val="001C1254"/>
    <w:rsid w:val="001C12D2"/>
    <w:rsid w:val="001C12F4"/>
    <w:rsid w:val="001C1559"/>
    <w:rsid w:val="001C167B"/>
    <w:rsid w:val="001C16A8"/>
    <w:rsid w:val="001C1871"/>
    <w:rsid w:val="001C1AF7"/>
    <w:rsid w:val="001C1B0B"/>
    <w:rsid w:val="001C1BC5"/>
    <w:rsid w:val="001C1EBF"/>
    <w:rsid w:val="001C1F16"/>
    <w:rsid w:val="001C1F75"/>
    <w:rsid w:val="001C2171"/>
    <w:rsid w:val="001C23D1"/>
    <w:rsid w:val="001C26D4"/>
    <w:rsid w:val="001C2797"/>
    <w:rsid w:val="001C27EF"/>
    <w:rsid w:val="001C2B96"/>
    <w:rsid w:val="001C2EF6"/>
    <w:rsid w:val="001C2F6F"/>
    <w:rsid w:val="001C307E"/>
    <w:rsid w:val="001C333A"/>
    <w:rsid w:val="001C3379"/>
    <w:rsid w:val="001C3441"/>
    <w:rsid w:val="001C34D5"/>
    <w:rsid w:val="001C350E"/>
    <w:rsid w:val="001C364C"/>
    <w:rsid w:val="001C3684"/>
    <w:rsid w:val="001C3919"/>
    <w:rsid w:val="001C3B0C"/>
    <w:rsid w:val="001C3C4F"/>
    <w:rsid w:val="001C3D12"/>
    <w:rsid w:val="001C3E03"/>
    <w:rsid w:val="001C3E5A"/>
    <w:rsid w:val="001C3EAF"/>
    <w:rsid w:val="001C3ED5"/>
    <w:rsid w:val="001C3F82"/>
    <w:rsid w:val="001C3FA6"/>
    <w:rsid w:val="001C3FCD"/>
    <w:rsid w:val="001C418E"/>
    <w:rsid w:val="001C4200"/>
    <w:rsid w:val="001C437D"/>
    <w:rsid w:val="001C4419"/>
    <w:rsid w:val="001C478F"/>
    <w:rsid w:val="001C48EA"/>
    <w:rsid w:val="001C4A6D"/>
    <w:rsid w:val="001C501F"/>
    <w:rsid w:val="001C51B6"/>
    <w:rsid w:val="001C52AB"/>
    <w:rsid w:val="001C52D6"/>
    <w:rsid w:val="001C54A6"/>
    <w:rsid w:val="001C5704"/>
    <w:rsid w:val="001C590A"/>
    <w:rsid w:val="001C5922"/>
    <w:rsid w:val="001C5A13"/>
    <w:rsid w:val="001C5A6E"/>
    <w:rsid w:val="001C5B01"/>
    <w:rsid w:val="001C5B10"/>
    <w:rsid w:val="001C5B15"/>
    <w:rsid w:val="001C5B38"/>
    <w:rsid w:val="001C5F90"/>
    <w:rsid w:val="001C6010"/>
    <w:rsid w:val="001C6017"/>
    <w:rsid w:val="001C61F7"/>
    <w:rsid w:val="001C638C"/>
    <w:rsid w:val="001C65EB"/>
    <w:rsid w:val="001C6776"/>
    <w:rsid w:val="001C69A1"/>
    <w:rsid w:val="001C6AE6"/>
    <w:rsid w:val="001C6E47"/>
    <w:rsid w:val="001C6FD4"/>
    <w:rsid w:val="001C7000"/>
    <w:rsid w:val="001C7203"/>
    <w:rsid w:val="001C77F7"/>
    <w:rsid w:val="001C7E94"/>
    <w:rsid w:val="001C7F54"/>
    <w:rsid w:val="001D00C3"/>
    <w:rsid w:val="001D01A2"/>
    <w:rsid w:val="001D04B1"/>
    <w:rsid w:val="001D04BB"/>
    <w:rsid w:val="001D04C8"/>
    <w:rsid w:val="001D04D9"/>
    <w:rsid w:val="001D0529"/>
    <w:rsid w:val="001D0697"/>
    <w:rsid w:val="001D08D5"/>
    <w:rsid w:val="001D0902"/>
    <w:rsid w:val="001D0961"/>
    <w:rsid w:val="001D09F5"/>
    <w:rsid w:val="001D0C7A"/>
    <w:rsid w:val="001D0DF6"/>
    <w:rsid w:val="001D0F72"/>
    <w:rsid w:val="001D106B"/>
    <w:rsid w:val="001D1114"/>
    <w:rsid w:val="001D111F"/>
    <w:rsid w:val="001D114D"/>
    <w:rsid w:val="001D11D8"/>
    <w:rsid w:val="001D1339"/>
    <w:rsid w:val="001D1348"/>
    <w:rsid w:val="001D14A7"/>
    <w:rsid w:val="001D14C6"/>
    <w:rsid w:val="001D157E"/>
    <w:rsid w:val="001D158F"/>
    <w:rsid w:val="001D164B"/>
    <w:rsid w:val="001D168D"/>
    <w:rsid w:val="001D168F"/>
    <w:rsid w:val="001D1751"/>
    <w:rsid w:val="001D18A2"/>
    <w:rsid w:val="001D18AC"/>
    <w:rsid w:val="001D191A"/>
    <w:rsid w:val="001D1926"/>
    <w:rsid w:val="001D1A51"/>
    <w:rsid w:val="001D1A96"/>
    <w:rsid w:val="001D1ADE"/>
    <w:rsid w:val="001D1C0F"/>
    <w:rsid w:val="001D1C58"/>
    <w:rsid w:val="001D1C62"/>
    <w:rsid w:val="001D1D9B"/>
    <w:rsid w:val="001D206D"/>
    <w:rsid w:val="001D2137"/>
    <w:rsid w:val="001D2148"/>
    <w:rsid w:val="001D21AD"/>
    <w:rsid w:val="001D21F5"/>
    <w:rsid w:val="001D23CB"/>
    <w:rsid w:val="001D2552"/>
    <w:rsid w:val="001D25BF"/>
    <w:rsid w:val="001D261E"/>
    <w:rsid w:val="001D26AE"/>
    <w:rsid w:val="001D26EC"/>
    <w:rsid w:val="001D27A8"/>
    <w:rsid w:val="001D2A68"/>
    <w:rsid w:val="001D2CA6"/>
    <w:rsid w:val="001D2EB1"/>
    <w:rsid w:val="001D2FBC"/>
    <w:rsid w:val="001D31E7"/>
    <w:rsid w:val="001D31F7"/>
    <w:rsid w:val="001D3280"/>
    <w:rsid w:val="001D33BF"/>
    <w:rsid w:val="001D35F3"/>
    <w:rsid w:val="001D37D5"/>
    <w:rsid w:val="001D383F"/>
    <w:rsid w:val="001D3914"/>
    <w:rsid w:val="001D3A08"/>
    <w:rsid w:val="001D3A57"/>
    <w:rsid w:val="001D3A69"/>
    <w:rsid w:val="001D3CC6"/>
    <w:rsid w:val="001D3DA4"/>
    <w:rsid w:val="001D3E25"/>
    <w:rsid w:val="001D3E58"/>
    <w:rsid w:val="001D4077"/>
    <w:rsid w:val="001D40DC"/>
    <w:rsid w:val="001D4125"/>
    <w:rsid w:val="001D41CC"/>
    <w:rsid w:val="001D4242"/>
    <w:rsid w:val="001D4631"/>
    <w:rsid w:val="001D46B6"/>
    <w:rsid w:val="001D46D3"/>
    <w:rsid w:val="001D46D5"/>
    <w:rsid w:val="001D47D3"/>
    <w:rsid w:val="001D47D5"/>
    <w:rsid w:val="001D47F4"/>
    <w:rsid w:val="001D48C0"/>
    <w:rsid w:val="001D4B59"/>
    <w:rsid w:val="001D4C1D"/>
    <w:rsid w:val="001D4E85"/>
    <w:rsid w:val="001D4F78"/>
    <w:rsid w:val="001D4F84"/>
    <w:rsid w:val="001D50C0"/>
    <w:rsid w:val="001D52D5"/>
    <w:rsid w:val="001D52F2"/>
    <w:rsid w:val="001D5529"/>
    <w:rsid w:val="001D5682"/>
    <w:rsid w:val="001D5733"/>
    <w:rsid w:val="001D57FC"/>
    <w:rsid w:val="001D599E"/>
    <w:rsid w:val="001D5AF3"/>
    <w:rsid w:val="001D5D3D"/>
    <w:rsid w:val="001D60B0"/>
    <w:rsid w:val="001D6475"/>
    <w:rsid w:val="001D6597"/>
    <w:rsid w:val="001D6810"/>
    <w:rsid w:val="001D6A1C"/>
    <w:rsid w:val="001D6AEC"/>
    <w:rsid w:val="001D6B63"/>
    <w:rsid w:val="001D6B6E"/>
    <w:rsid w:val="001D6E0A"/>
    <w:rsid w:val="001D6E38"/>
    <w:rsid w:val="001D6EE5"/>
    <w:rsid w:val="001D6FCB"/>
    <w:rsid w:val="001D6FFE"/>
    <w:rsid w:val="001D7037"/>
    <w:rsid w:val="001D728C"/>
    <w:rsid w:val="001D731B"/>
    <w:rsid w:val="001D7443"/>
    <w:rsid w:val="001D7542"/>
    <w:rsid w:val="001D7732"/>
    <w:rsid w:val="001D78EF"/>
    <w:rsid w:val="001D790D"/>
    <w:rsid w:val="001D795E"/>
    <w:rsid w:val="001D7EA5"/>
    <w:rsid w:val="001E0125"/>
    <w:rsid w:val="001E016D"/>
    <w:rsid w:val="001E01CF"/>
    <w:rsid w:val="001E0228"/>
    <w:rsid w:val="001E03BB"/>
    <w:rsid w:val="001E05C7"/>
    <w:rsid w:val="001E06D2"/>
    <w:rsid w:val="001E0805"/>
    <w:rsid w:val="001E083D"/>
    <w:rsid w:val="001E0908"/>
    <w:rsid w:val="001E0A78"/>
    <w:rsid w:val="001E0B5D"/>
    <w:rsid w:val="001E0B6D"/>
    <w:rsid w:val="001E0BA0"/>
    <w:rsid w:val="001E0BC2"/>
    <w:rsid w:val="001E0BF5"/>
    <w:rsid w:val="001E0C11"/>
    <w:rsid w:val="001E0DE5"/>
    <w:rsid w:val="001E0EE8"/>
    <w:rsid w:val="001E0F36"/>
    <w:rsid w:val="001E0F9A"/>
    <w:rsid w:val="001E0FA1"/>
    <w:rsid w:val="001E12E2"/>
    <w:rsid w:val="001E13CD"/>
    <w:rsid w:val="001E13D0"/>
    <w:rsid w:val="001E1447"/>
    <w:rsid w:val="001E1543"/>
    <w:rsid w:val="001E158D"/>
    <w:rsid w:val="001E1674"/>
    <w:rsid w:val="001E179E"/>
    <w:rsid w:val="001E17FC"/>
    <w:rsid w:val="001E1805"/>
    <w:rsid w:val="001E181F"/>
    <w:rsid w:val="001E1957"/>
    <w:rsid w:val="001E19D9"/>
    <w:rsid w:val="001E1D11"/>
    <w:rsid w:val="001E1E18"/>
    <w:rsid w:val="001E1E51"/>
    <w:rsid w:val="001E1E5E"/>
    <w:rsid w:val="001E22A5"/>
    <w:rsid w:val="001E231D"/>
    <w:rsid w:val="001E266E"/>
    <w:rsid w:val="001E274F"/>
    <w:rsid w:val="001E2829"/>
    <w:rsid w:val="001E2965"/>
    <w:rsid w:val="001E2A7A"/>
    <w:rsid w:val="001E2AEA"/>
    <w:rsid w:val="001E2B37"/>
    <w:rsid w:val="001E2E3C"/>
    <w:rsid w:val="001E2E3D"/>
    <w:rsid w:val="001E2F95"/>
    <w:rsid w:val="001E3016"/>
    <w:rsid w:val="001E30AA"/>
    <w:rsid w:val="001E33BB"/>
    <w:rsid w:val="001E35C3"/>
    <w:rsid w:val="001E36A8"/>
    <w:rsid w:val="001E3919"/>
    <w:rsid w:val="001E3DE3"/>
    <w:rsid w:val="001E3E0F"/>
    <w:rsid w:val="001E3E21"/>
    <w:rsid w:val="001E3F61"/>
    <w:rsid w:val="001E3F8F"/>
    <w:rsid w:val="001E3FC0"/>
    <w:rsid w:val="001E4113"/>
    <w:rsid w:val="001E4494"/>
    <w:rsid w:val="001E4731"/>
    <w:rsid w:val="001E4AED"/>
    <w:rsid w:val="001E4CED"/>
    <w:rsid w:val="001E4D0F"/>
    <w:rsid w:val="001E4D4C"/>
    <w:rsid w:val="001E4E4A"/>
    <w:rsid w:val="001E4EED"/>
    <w:rsid w:val="001E4F44"/>
    <w:rsid w:val="001E5083"/>
    <w:rsid w:val="001E50E0"/>
    <w:rsid w:val="001E513A"/>
    <w:rsid w:val="001E519C"/>
    <w:rsid w:val="001E51B0"/>
    <w:rsid w:val="001E5319"/>
    <w:rsid w:val="001E5497"/>
    <w:rsid w:val="001E54FC"/>
    <w:rsid w:val="001E556E"/>
    <w:rsid w:val="001E5706"/>
    <w:rsid w:val="001E590E"/>
    <w:rsid w:val="001E599E"/>
    <w:rsid w:val="001E5C38"/>
    <w:rsid w:val="001E5D10"/>
    <w:rsid w:val="001E5E7F"/>
    <w:rsid w:val="001E5ECE"/>
    <w:rsid w:val="001E5FB5"/>
    <w:rsid w:val="001E601B"/>
    <w:rsid w:val="001E60F5"/>
    <w:rsid w:val="001E61C5"/>
    <w:rsid w:val="001E62A6"/>
    <w:rsid w:val="001E63B3"/>
    <w:rsid w:val="001E65CF"/>
    <w:rsid w:val="001E6731"/>
    <w:rsid w:val="001E6B13"/>
    <w:rsid w:val="001E6D0B"/>
    <w:rsid w:val="001E6DE4"/>
    <w:rsid w:val="001E6F8B"/>
    <w:rsid w:val="001E70C3"/>
    <w:rsid w:val="001E72C8"/>
    <w:rsid w:val="001E7565"/>
    <w:rsid w:val="001E775F"/>
    <w:rsid w:val="001E77A8"/>
    <w:rsid w:val="001E785F"/>
    <w:rsid w:val="001E7984"/>
    <w:rsid w:val="001E7A6E"/>
    <w:rsid w:val="001E7AF8"/>
    <w:rsid w:val="001E7BB2"/>
    <w:rsid w:val="001E7C1C"/>
    <w:rsid w:val="001E7CEC"/>
    <w:rsid w:val="001E7DA4"/>
    <w:rsid w:val="001E7E7A"/>
    <w:rsid w:val="001E7FB7"/>
    <w:rsid w:val="001F0047"/>
    <w:rsid w:val="001F07C2"/>
    <w:rsid w:val="001F0971"/>
    <w:rsid w:val="001F099F"/>
    <w:rsid w:val="001F0A76"/>
    <w:rsid w:val="001F0B0C"/>
    <w:rsid w:val="001F0B15"/>
    <w:rsid w:val="001F0BCB"/>
    <w:rsid w:val="001F0C1D"/>
    <w:rsid w:val="001F0CA7"/>
    <w:rsid w:val="001F0DC1"/>
    <w:rsid w:val="001F0F77"/>
    <w:rsid w:val="001F1044"/>
    <w:rsid w:val="001F107E"/>
    <w:rsid w:val="001F1224"/>
    <w:rsid w:val="001F12B4"/>
    <w:rsid w:val="001F137B"/>
    <w:rsid w:val="001F13AC"/>
    <w:rsid w:val="001F13C3"/>
    <w:rsid w:val="001F144F"/>
    <w:rsid w:val="001F1587"/>
    <w:rsid w:val="001F1848"/>
    <w:rsid w:val="001F184D"/>
    <w:rsid w:val="001F1900"/>
    <w:rsid w:val="001F1938"/>
    <w:rsid w:val="001F195B"/>
    <w:rsid w:val="001F1A26"/>
    <w:rsid w:val="001F1D1D"/>
    <w:rsid w:val="001F1D68"/>
    <w:rsid w:val="001F1E4A"/>
    <w:rsid w:val="001F1E65"/>
    <w:rsid w:val="001F2064"/>
    <w:rsid w:val="001F20C0"/>
    <w:rsid w:val="001F2292"/>
    <w:rsid w:val="001F2389"/>
    <w:rsid w:val="001F25F4"/>
    <w:rsid w:val="001F260A"/>
    <w:rsid w:val="001F26A9"/>
    <w:rsid w:val="001F26C2"/>
    <w:rsid w:val="001F26F5"/>
    <w:rsid w:val="001F272C"/>
    <w:rsid w:val="001F2808"/>
    <w:rsid w:val="001F2911"/>
    <w:rsid w:val="001F296A"/>
    <w:rsid w:val="001F299E"/>
    <w:rsid w:val="001F2B2B"/>
    <w:rsid w:val="001F2C56"/>
    <w:rsid w:val="001F2D2D"/>
    <w:rsid w:val="001F2E35"/>
    <w:rsid w:val="001F2E89"/>
    <w:rsid w:val="001F31C6"/>
    <w:rsid w:val="001F3201"/>
    <w:rsid w:val="001F3299"/>
    <w:rsid w:val="001F340E"/>
    <w:rsid w:val="001F3435"/>
    <w:rsid w:val="001F34B1"/>
    <w:rsid w:val="001F34D9"/>
    <w:rsid w:val="001F34F9"/>
    <w:rsid w:val="001F35B2"/>
    <w:rsid w:val="001F363F"/>
    <w:rsid w:val="001F36CF"/>
    <w:rsid w:val="001F39C5"/>
    <w:rsid w:val="001F3C32"/>
    <w:rsid w:val="001F3DAF"/>
    <w:rsid w:val="001F3E0B"/>
    <w:rsid w:val="001F3F4A"/>
    <w:rsid w:val="001F403B"/>
    <w:rsid w:val="001F404A"/>
    <w:rsid w:val="001F4178"/>
    <w:rsid w:val="001F417E"/>
    <w:rsid w:val="001F4248"/>
    <w:rsid w:val="001F4278"/>
    <w:rsid w:val="001F42C9"/>
    <w:rsid w:val="001F4408"/>
    <w:rsid w:val="001F447F"/>
    <w:rsid w:val="001F4617"/>
    <w:rsid w:val="001F47A3"/>
    <w:rsid w:val="001F49DA"/>
    <w:rsid w:val="001F4FA0"/>
    <w:rsid w:val="001F5038"/>
    <w:rsid w:val="001F50C0"/>
    <w:rsid w:val="001F5129"/>
    <w:rsid w:val="001F52F5"/>
    <w:rsid w:val="001F572C"/>
    <w:rsid w:val="001F57FB"/>
    <w:rsid w:val="001F58B3"/>
    <w:rsid w:val="001F5B91"/>
    <w:rsid w:val="001F5BB1"/>
    <w:rsid w:val="001F5DF0"/>
    <w:rsid w:val="001F5E06"/>
    <w:rsid w:val="001F5E19"/>
    <w:rsid w:val="001F6146"/>
    <w:rsid w:val="001F64B7"/>
    <w:rsid w:val="001F64EE"/>
    <w:rsid w:val="001F659D"/>
    <w:rsid w:val="001F67F4"/>
    <w:rsid w:val="001F6865"/>
    <w:rsid w:val="001F6876"/>
    <w:rsid w:val="001F69E6"/>
    <w:rsid w:val="001F6A1D"/>
    <w:rsid w:val="001F6A34"/>
    <w:rsid w:val="001F6B03"/>
    <w:rsid w:val="001F6CE8"/>
    <w:rsid w:val="001F6CEE"/>
    <w:rsid w:val="001F6D3D"/>
    <w:rsid w:val="001F6E6F"/>
    <w:rsid w:val="001F7061"/>
    <w:rsid w:val="001F7191"/>
    <w:rsid w:val="001F7266"/>
    <w:rsid w:val="001F726B"/>
    <w:rsid w:val="001F7389"/>
    <w:rsid w:val="001F7445"/>
    <w:rsid w:val="001F7526"/>
    <w:rsid w:val="001F7549"/>
    <w:rsid w:val="001F76B2"/>
    <w:rsid w:val="001F773A"/>
    <w:rsid w:val="001F7A5A"/>
    <w:rsid w:val="001F7B86"/>
    <w:rsid w:val="001F7C84"/>
    <w:rsid w:val="001F7CAC"/>
    <w:rsid w:val="001F7CD8"/>
    <w:rsid w:val="001F7D2D"/>
    <w:rsid w:val="001F7DA6"/>
    <w:rsid w:val="001F7E33"/>
    <w:rsid w:val="001F7EC0"/>
    <w:rsid w:val="001F7F53"/>
    <w:rsid w:val="001F7F8F"/>
    <w:rsid w:val="001F7FC2"/>
    <w:rsid w:val="00200056"/>
    <w:rsid w:val="002000F9"/>
    <w:rsid w:val="002003F3"/>
    <w:rsid w:val="00200414"/>
    <w:rsid w:val="00200575"/>
    <w:rsid w:val="002006C2"/>
    <w:rsid w:val="0020078C"/>
    <w:rsid w:val="00200988"/>
    <w:rsid w:val="00200BC9"/>
    <w:rsid w:val="00200DE1"/>
    <w:rsid w:val="00200F10"/>
    <w:rsid w:val="00200F24"/>
    <w:rsid w:val="00200FDC"/>
    <w:rsid w:val="00200FE4"/>
    <w:rsid w:val="00201022"/>
    <w:rsid w:val="002010AC"/>
    <w:rsid w:val="0020116A"/>
    <w:rsid w:val="00201443"/>
    <w:rsid w:val="00201483"/>
    <w:rsid w:val="002014A3"/>
    <w:rsid w:val="002015CA"/>
    <w:rsid w:val="0020162C"/>
    <w:rsid w:val="0020175F"/>
    <w:rsid w:val="00201891"/>
    <w:rsid w:val="002019D7"/>
    <w:rsid w:val="00201B94"/>
    <w:rsid w:val="00201BCC"/>
    <w:rsid w:val="00201C19"/>
    <w:rsid w:val="00201D12"/>
    <w:rsid w:val="00201E11"/>
    <w:rsid w:val="00202056"/>
    <w:rsid w:val="00202275"/>
    <w:rsid w:val="002023A2"/>
    <w:rsid w:val="002024AD"/>
    <w:rsid w:val="002024ED"/>
    <w:rsid w:val="00202591"/>
    <w:rsid w:val="002026CD"/>
    <w:rsid w:val="0020273E"/>
    <w:rsid w:val="00202A09"/>
    <w:rsid w:val="00202B18"/>
    <w:rsid w:val="00202C88"/>
    <w:rsid w:val="00202D66"/>
    <w:rsid w:val="00202E79"/>
    <w:rsid w:val="00202F2E"/>
    <w:rsid w:val="00202FC6"/>
    <w:rsid w:val="002039EC"/>
    <w:rsid w:val="00203A07"/>
    <w:rsid w:val="00203B3B"/>
    <w:rsid w:val="00203D0D"/>
    <w:rsid w:val="00203D25"/>
    <w:rsid w:val="00203D33"/>
    <w:rsid w:val="00203D87"/>
    <w:rsid w:val="00203DC1"/>
    <w:rsid w:val="00203E56"/>
    <w:rsid w:val="00203E96"/>
    <w:rsid w:val="00203F5D"/>
    <w:rsid w:val="00203FE0"/>
    <w:rsid w:val="0020403E"/>
    <w:rsid w:val="00204214"/>
    <w:rsid w:val="0020422E"/>
    <w:rsid w:val="00204286"/>
    <w:rsid w:val="0020436E"/>
    <w:rsid w:val="0020442A"/>
    <w:rsid w:val="00204626"/>
    <w:rsid w:val="00204689"/>
    <w:rsid w:val="0020471D"/>
    <w:rsid w:val="00204742"/>
    <w:rsid w:val="00204784"/>
    <w:rsid w:val="002048A5"/>
    <w:rsid w:val="002048CA"/>
    <w:rsid w:val="0020495D"/>
    <w:rsid w:val="00204A18"/>
    <w:rsid w:val="00204A80"/>
    <w:rsid w:val="00204BD3"/>
    <w:rsid w:val="00204BEB"/>
    <w:rsid w:val="00204EEE"/>
    <w:rsid w:val="00204FE9"/>
    <w:rsid w:val="00205055"/>
    <w:rsid w:val="002050E5"/>
    <w:rsid w:val="00205195"/>
    <w:rsid w:val="00205199"/>
    <w:rsid w:val="002053ED"/>
    <w:rsid w:val="00205549"/>
    <w:rsid w:val="00205610"/>
    <w:rsid w:val="00205903"/>
    <w:rsid w:val="0020595F"/>
    <w:rsid w:val="002059F3"/>
    <w:rsid w:val="00205DDF"/>
    <w:rsid w:val="00205E4B"/>
    <w:rsid w:val="00205ECC"/>
    <w:rsid w:val="00205ED5"/>
    <w:rsid w:val="00205EE7"/>
    <w:rsid w:val="00205F85"/>
    <w:rsid w:val="00205FAB"/>
    <w:rsid w:val="00205FDA"/>
    <w:rsid w:val="00205FF7"/>
    <w:rsid w:val="0020611B"/>
    <w:rsid w:val="002061A3"/>
    <w:rsid w:val="002062BF"/>
    <w:rsid w:val="00206311"/>
    <w:rsid w:val="0020653B"/>
    <w:rsid w:val="00206772"/>
    <w:rsid w:val="002067AE"/>
    <w:rsid w:val="00206827"/>
    <w:rsid w:val="00206CB2"/>
    <w:rsid w:val="00206CBA"/>
    <w:rsid w:val="00206D16"/>
    <w:rsid w:val="0020703A"/>
    <w:rsid w:val="00207242"/>
    <w:rsid w:val="00207305"/>
    <w:rsid w:val="002075AE"/>
    <w:rsid w:val="0020777F"/>
    <w:rsid w:val="0020786A"/>
    <w:rsid w:val="0020797E"/>
    <w:rsid w:val="00207998"/>
    <w:rsid w:val="00207B75"/>
    <w:rsid w:val="00207D3E"/>
    <w:rsid w:val="00207E1D"/>
    <w:rsid w:val="00207F72"/>
    <w:rsid w:val="00207F8D"/>
    <w:rsid w:val="002100C1"/>
    <w:rsid w:val="00210166"/>
    <w:rsid w:val="00210173"/>
    <w:rsid w:val="002101DE"/>
    <w:rsid w:val="00210206"/>
    <w:rsid w:val="00210284"/>
    <w:rsid w:val="00210517"/>
    <w:rsid w:val="0021054E"/>
    <w:rsid w:val="0021061A"/>
    <w:rsid w:val="002109FA"/>
    <w:rsid w:val="00210C8D"/>
    <w:rsid w:val="00210E45"/>
    <w:rsid w:val="00210F37"/>
    <w:rsid w:val="00210F47"/>
    <w:rsid w:val="00210F82"/>
    <w:rsid w:val="00210FF8"/>
    <w:rsid w:val="002110BA"/>
    <w:rsid w:val="002110FF"/>
    <w:rsid w:val="002111CD"/>
    <w:rsid w:val="00211597"/>
    <w:rsid w:val="002115E8"/>
    <w:rsid w:val="0021192E"/>
    <w:rsid w:val="00211982"/>
    <w:rsid w:val="0021199D"/>
    <w:rsid w:val="002119A2"/>
    <w:rsid w:val="002119EB"/>
    <w:rsid w:val="00211A18"/>
    <w:rsid w:val="00211BF3"/>
    <w:rsid w:val="00211C1A"/>
    <w:rsid w:val="00211D77"/>
    <w:rsid w:val="00211D7E"/>
    <w:rsid w:val="00212016"/>
    <w:rsid w:val="002120AB"/>
    <w:rsid w:val="002120D4"/>
    <w:rsid w:val="00212174"/>
    <w:rsid w:val="002122A6"/>
    <w:rsid w:val="00212563"/>
    <w:rsid w:val="00212673"/>
    <w:rsid w:val="00212968"/>
    <w:rsid w:val="002129D4"/>
    <w:rsid w:val="00212B0D"/>
    <w:rsid w:val="00212B16"/>
    <w:rsid w:val="00212BA5"/>
    <w:rsid w:val="00212C29"/>
    <w:rsid w:val="00212EDE"/>
    <w:rsid w:val="00212F05"/>
    <w:rsid w:val="002131C0"/>
    <w:rsid w:val="0021347B"/>
    <w:rsid w:val="00213769"/>
    <w:rsid w:val="0021388E"/>
    <w:rsid w:val="002138C6"/>
    <w:rsid w:val="00213BFF"/>
    <w:rsid w:val="00213C7F"/>
    <w:rsid w:val="00213D3F"/>
    <w:rsid w:val="00214016"/>
    <w:rsid w:val="002141F1"/>
    <w:rsid w:val="0021421B"/>
    <w:rsid w:val="002142ED"/>
    <w:rsid w:val="002144D7"/>
    <w:rsid w:val="0021462A"/>
    <w:rsid w:val="00214692"/>
    <w:rsid w:val="00214714"/>
    <w:rsid w:val="00214744"/>
    <w:rsid w:val="002148B3"/>
    <w:rsid w:val="002149E0"/>
    <w:rsid w:val="00214EC6"/>
    <w:rsid w:val="00214ED8"/>
    <w:rsid w:val="0021506A"/>
    <w:rsid w:val="00215192"/>
    <w:rsid w:val="00215230"/>
    <w:rsid w:val="0021529B"/>
    <w:rsid w:val="00215301"/>
    <w:rsid w:val="002153A9"/>
    <w:rsid w:val="002154B0"/>
    <w:rsid w:val="002154BA"/>
    <w:rsid w:val="00215527"/>
    <w:rsid w:val="0021553F"/>
    <w:rsid w:val="00215662"/>
    <w:rsid w:val="00215751"/>
    <w:rsid w:val="00215B7A"/>
    <w:rsid w:val="00215C24"/>
    <w:rsid w:val="00215DC4"/>
    <w:rsid w:val="00216061"/>
    <w:rsid w:val="0021630B"/>
    <w:rsid w:val="00216391"/>
    <w:rsid w:val="00216634"/>
    <w:rsid w:val="0021667F"/>
    <w:rsid w:val="00216697"/>
    <w:rsid w:val="00216937"/>
    <w:rsid w:val="00216AA3"/>
    <w:rsid w:val="00216B92"/>
    <w:rsid w:val="00216BAC"/>
    <w:rsid w:val="00216BD9"/>
    <w:rsid w:val="00216C72"/>
    <w:rsid w:val="00216CBC"/>
    <w:rsid w:val="00216F92"/>
    <w:rsid w:val="002170DB"/>
    <w:rsid w:val="00217149"/>
    <w:rsid w:val="002173CC"/>
    <w:rsid w:val="00217522"/>
    <w:rsid w:val="002175F3"/>
    <w:rsid w:val="00217831"/>
    <w:rsid w:val="00217989"/>
    <w:rsid w:val="002179C2"/>
    <w:rsid w:val="00217C2A"/>
    <w:rsid w:val="00217CB6"/>
    <w:rsid w:val="00220095"/>
    <w:rsid w:val="00220175"/>
    <w:rsid w:val="0022045B"/>
    <w:rsid w:val="00220585"/>
    <w:rsid w:val="002206E0"/>
    <w:rsid w:val="00220835"/>
    <w:rsid w:val="00220886"/>
    <w:rsid w:val="002209DC"/>
    <w:rsid w:val="00220D49"/>
    <w:rsid w:val="00220DE1"/>
    <w:rsid w:val="00220E4B"/>
    <w:rsid w:val="00220F62"/>
    <w:rsid w:val="00220F96"/>
    <w:rsid w:val="00220FC3"/>
    <w:rsid w:val="00221088"/>
    <w:rsid w:val="00221184"/>
    <w:rsid w:val="00221330"/>
    <w:rsid w:val="00221385"/>
    <w:rsid w:val="002216D6"/>
    <w:rsid w:val="00221771"/>
    <w:rsid w:val="0022195B"/>
    <w:rsid w:val="00221AE9"/>
    <w:rsid w:val="00221C0C"/>
    <w:rsid w:val="00221D41"/>
    <w:rsid w:val="00221DFC"/>
    <w:rsid w:val="00221DFF"/>
    <w:rsid w:val="00221FC5"/>
    <w:rsid w:val="00222046"/>
    <w:rsid w:val="002220BA"/>
    <w:rsid w:val="0022211E"/>
    <w:rsid w:val="002221DE"/>
    <w:rsid w:val="002221ED"/>
    <w:rsid w:val="002222FA"/>
    <w:rsid w:val="00222446"/>
    <w:rsid w:val="00222457"/>
    <w:rsid w:val="00222520"/>
    <w:rsid w:val="00222623"/>
    <w:rsid w:val="00222691"/>
    <w:rsid w:val="00222725"/>
    <w:rsid w:val="002227C5"/>
    <w:rsid w:val="002228FB"/>
    <w:rsid w:val="00222A0F"/>
    <w:rsid w:val="00222A51"/>
    <w:rsid w:val="00222A53"/>
    <w:rsid w:val="00222C19"/>
    <w:rsid w:val="00222C25"/>
    <w:rsid w:val="00222C8B"/>
    <w:rsid w:val="00222C9F"/>
    <w:rsid w:val="00222EC6"/>
    <w:rsid w:val="00222F81"/>
    <w:rsid w:val="002230A3"/>
    <w:rsid w:val="002230D3"/>
    <w:rsid w:val="002231B4"/>
    <w:rsid w:val="002231D3"/>
    <w:rsid w:val="00223219"/>
    <w:rsid w:val="00223254"/>
    <w:rsid w:val="00223359"/>
    <w:rsid w:val="0022354B"/>
    <w:rsid w:val="0022357C"/>
    <w:rsid w:val="002237E8"/>
    <w:rsid w:val="002239B6"/>
    <w:rsid w:val="00223ADD"/>
    <w:rsid w:val="00223DFC"/>
    <w:rsid w:val="00223E38"/>
    <w:rsid w:val="002242AE"/>
    <w:rsid w:val="0022430D"/>
    <w:rsid w:val="00224352"/>
    <w:rsid w:val="002243AC"/>
    <w:rsid w:val="0022460C"/>
    <w:rsid w:val="00224625"/>
    <w:rsid w:val="00224730"/>
    <w:rsid w:val="00224757"/>
    <w:rsid w:val="002247DA"/>
    <w:rsid w:val="00224B6E"/>
    <w:rsid w:val="00224DC2"/>
    <w:rsid w:val="00224DE8"/>
    <w:rsid w:val="00224E07"/>
    <w:rsid w:val="00224E1E"/>
    <w:rsid w:val="00224F5E"/>
    <w:rsid w:val="00224FFF"/>
    <w:rsid w:val="0022504A"/>
    <w:rsid w:val="0022508C"/>
    <w:rsid w:val="00225231"/>
    <w:rsid w:val="0022557C"/>
    <w:rsid w:val="00225590"/>
    <w:rsid w:val="002255CB"/>
    <w:rsid w:val="00225604"/>
    <w:rsid w:val="002256A7"/>
    <w:rsid w:val="0022571C"/>
    <w:rsid w:val="0022590A"/>
    <w:rsid w:val="0022590C"/>
    <w:rsid w:val="0022595B"/>
    <w:rsid w:val="00225B06"/>
    <w:rsid w:val="00225C14"/>
    <w:rsid w:val="00225CDF"/>
    <w:rsid w:val="00225CED"/>
    <w:rsid w:val="00225D58"/>
    <w:rsid w:val="00225DCF"/>
    <w:rsid w:val="00225F04"/>
    <w:rsid w:val="00225F36"/>
    <w:rsid w:val="002260CC"/>
    <w:rsid w:val="00226124"/>
    <w:rsid w:val="00226188"/>
    <w:rsid w:val="002261A8"/>
    <w:rsid w:val="0022622C"/>
    <w:rsid w:val="002263F5"/>
    <w:rsid w:val="00226621"/>
    <w:rsid w:val="00226673"/>
    <w:rsid w:val="002266AA"/>
    <w:rsid w:val="00226797"/>
    <w:rsid w:val="002268E2"/>
    <w:rsid w:val="002268FC"/>
    <w:rsid w:val="00226A90"/>
    <w:rsid w:val="00226A91"/>
    <w:rsid w:val="00226BC4"/>
    <w:rsid w:val="00226C44"/>
    <w:rsid w:val="00226D6F"/>
    <w:rsid w:val="00226D8A"/>
    <w:rsid w:val="00226E5A"/>
    <w:rsid w:val="0022721A"/>
    <w:rsid w:val="002272A4"/>
    <w:rsid w:val="00227425"/>
    <w:rsid w:val="002274A4"/>
    <w:rsid w:val="0022757A"/>
    <w:rsid w:val="0022762B"/>
    <w:rsid w:val="002276AC"/>
    <w:rsid w:val="002276B1"/>
    <w:rsid w:val="0022794F"/>
    <w:rsid w:val="00227B41"/>
    <w:rsid w:val="00227B5B"/>
    <w:rsid w:val="00227C73"/>
    <w:rsid w:val="00227D38"/>
    <w:rsid w:val="00227EC7"/>
    <w:rsid w:val="002301F3"/>
    <w:rsid w:val="002305BF"/>
    <w:rsid w:val="002306CC"/>
    <w:rsid w:val="0023072A"/>
    <w:rsid w:val="00230AA5"/>
    <w:rsid w:val="00230B9A"/>
    <w:rsid w:val="00230DD2"/>
    <w:rsid w:val="00230F3C"/>
    <w:rsid w:val="0023104F"/>
    <w:rsid w:val="00231166"/>
    <w:rsid w:val="00231214"/>
    <w:rsid w:val="002314AB"/>
    <w:rsid w:val="00231566"/>
    <w:rsid w:val="002315F8"/>
    <w:rsid w:val="002316E7"/>
    <w:rsid w:val="00231788"/>
    <w:rsid w:val="0023196E"/>
    <w:rsid w:val="00231E0F"/>
    <w:rsid w:val="00231E9F"/>
    <w:rsid w:val="0023209A"/>
    <w:rsid w:val="0023210B"/>
    <w:rsid w:val="002323FE"/>
    <w:rsid w:val="0023244D"/>
    <w:rsid w:val="00232655"/>
    <w:rsid w:val="0023265D"/>
    <w:rsid w:val="002328C6"/>
    <w:rsid w:val="00232971"/>
    <w:rsid w:val="00232A45"/>
    <w:rsid w:val="00232A50"/>
    <w:rsid w:val="00232A62"/>
    <w:rsid w:val="00232BF7"/>
    <w:rsid w:val="00232E51"/>
    <w:rsid w:val="00232EC3"/>
    <w:rsid w:val="0023308E"/>
    <w:rsid w:val="002330D4"/>
    <w:rsid w:val="002330F3"/>
    <w:rsid w:val="00233173"/>
    <w:rsid w:val="0023330A"/>
    <w:rsid w:val="00233477"/>
    <w:rsid w:val="002335FD"/>
    <w:rsid w:val="002337BE"/>
    <w:rsid w:val="00233842"/>
    <w:rsid w:val="0023390C"/>
    <w:rsid w:val="0023399B"/>
    <w:rsid w:val="00233C26"/>
    <w:rsid w:val="00233E42"/>
    <w:rsid w:val="00233E8E"/>
    <w:rsid w:val="00233ECE"/>
    <w:rsid w:val="00234047"/>
    <w:rsid w:val="00234125"/>
    <w:rsid w:val="00234210"/>
    <w:rsid w:val="0023424D"/>
    <w:rsid w:val="0023454F"/>
    <w:rsid w:val="002346D1"/>
    <w:rsid w:val="0023485D"/>
    <w:rsid w:val="0023491C"/>
    <w:rsid w:val="00234B20"/>
    <w:rsid w:val="00234BD0"/>
    <w:rsid w:val="00234C1B"/>
    <w:rsid w:val="00234D6F"/>
    <w:rsid w:val="00234EDC"/>
    <w:rsid w:val="00235429"/>
    <w:rsid w:val="00235452"/>
    <w:rsid w:val="00235524"/>
    <w:rsid w:val="002359A6"/>
    <w:rsid w:val="00235AD2"/>
    <w:rsid w:val="00235D51"/>
    <w:rsid w:val="00235E02"/>
    <w:rsid w:val="00235E48"/>
    <w:rsid w:val="00236073"/>
    <w:rsid w:val="0023612B"/>
    <w:rsid w:val="00236615"/>
    <w:rsid w:val="0023661D"/>
    <w:rsid w:val="00236776"/>
    <w:rsid w:val="00236927"/>
    <w:rsid w:val="00236935"/>
    <w:rsid w:val="002369D6"/>
    <w:rsid w:val="00236B37"/>
    <w:rsid w:val="00236B4D"/>
    <w:rsid w:val="00236BD2"/>
    <w:rsid w:val="00236C70"/>
    <w:rsid w:val="00236D14"/>
    <w:rsid w:val="00236DBD"/>
    <w:rsid w:val="00236E65"/>
    <w:rsid w:val="002370A5"/>
    <w:rsid w:val="002370C2"/>
    <w:rsid w:val="00237123"/>
    <w:rsid w:val="00237296"/>
    <w:rsid w:val="0023738D"/>
    <w:rsid w:val="002373FB"/>
    <w:rsid w:val="00237530"/>
    <w:rsid w:val="002376D3"/>
    <w:rsid w:val="0023779A"/>
    <w:rsid w:val="0023780A"/>
    <w:rsid w:val="0023786A"/>
    <w:rsid w:val="0023793D"/>
    <w:rsid w:val="002379BB"/>
    <w:rsid w:val="00237BB5"/>
    <w:rsid w:val="00237C60"/>
    <w:rsid w:val="00237D1B"/>
    <w:rsid w:val="00237F04"/>
    <w:rsid w:val="00237F61"/>
    <w:rsid w:val="0024023D"/>
    <w:rsid w:val="0024030D"/>
    <w:rsid w:val="00240345"/>
    <w:rsid w:val="002404C8"/>
    <w:rsid w:val="002405E9"/>
    <w:rsid w:val="002406E8"/>
    <w:rsid w:val="002407DC"/>
    <w:rsid w:val="00240B55"/>
    <w:rsid w:val="00240C3D"/>
    <w:rsid w:val="00240CE3"/>
    <w:rsid w:val="00240CFD"/>
    <w:rsid w:val="00240DB7"/>
    <w:rsid w:val="00240DED"/>
    <w:rsid w:val="00241160"/>
    <w:rsid w:val="002413CF"/>
    <w:rsid w:val="0024162C"/>
    <w:rsid w:val="002416A8"/>
    <w:rsid w:val="00241760"/>
    <w:rsid w:val="0024195B"/>
    <w:rsid w:val="0024198C"/>
    <w:rsid w:val="00241B69"/>
    <w:rsid w:val="00241E10"/>
    <w:rsid w:val="00241E81"/>
    <w:rsid w:val="00241FEF"/>
    <w:rsid w:val="002422E1"/>
    <w:rsid w:val="0024277C"/>
    <w:rsid w:val="0024280C"/>
    <w:rsid w:val="00242815"/>
    <w:rsid w:val="00242B71"/>
    <w:rsid w:val="00242BBC"/>
    <w:rsid w:val="00242D1C"/>
    <w:rsid w:val="00242D35"/>
    <w:rsid w:val="00242E97"/>
    <w:rsid w:val="00242ED2"/>
    <w:rsid w:val="0024303D"/>
    <w:rsid w:val="00243053"/>
    <w:rsid w:val="002432A1"/>
    <w:rsid w:val="0024334C"/>
    <w:rsid w:val="002433B3"/>
    <w:rsid w:val="002433F8"/>
    <w:rsid w:val="00243450"/>
    <w:rsid w:val="00243625"/>
    <w:rsid w:val="0024367C"/>
    <w:rsid w:val="002438E8"/>
    <w:rsid w:val="00243904"/>
    <w:rsid w:val="002439EC"/>
    <w:rsid w:val="00243B9D"/>
    <w:rsid w:val="00243C47"/>
    <w:rsid w:val="00243EFD"/>
    <w:rsid w:val="002441E5"/>
    <w:rsid w:val="00244258"/>
    <w:rsid w:val="002442BD"/>
    <w:rsid w:val="00244424"/>
    <w:rsid w:val="00244437"/>
    <w:rsid w:val="002445DD"/>
    <w:rsid w:val="00244639"/>
    <w:rsid w:val="0024465E"/>
    <w:rsid w:val="00244A39"/>
    <w:rsid w:val="00244A7B"/>
    <w:rsid w:val="00244AFB"/>
    <w:rsid w:val="00244B36"/>
    <w:rsid w:val="00244E47"/>
    <w:rsid w:val="00244EAD"/>
    <w:rsid w:val="002450DF"/>
    <w:rsid w:val="0024515A"/>
    <w:rsid w:val="00245244"/>
    <w:rsid w:val="00245292"/>
    <w:rsid w:val="002453E4"/>
    <w:rsid w:val="00245469"/>
    <w:rsid w:val="002454F1"/>
    <w:rsid w:val="002455EA"/>
    <w:rsid w:val="00245643"/>
    <w:rsid w:val="00245782"/>
    <w:rsid w:val="00245A1D"/>
    <w:rsid w:val="00245A31"/>
    <w:rsid w:val="00245A8D"/>
    <w:rsid w:val="00245ADC"/>
    <w:rsid w:val="00245AFB"/>
    <w:rsid w:val="00245B16"/>
    <w:rsid w:val="00245DB2"/>
    <w:rsid w:val="00245E37"/>
    <w:rsid w:val="00246017"/>
    <w:rsid w:val="00246179"/>
    <w:rsid w:val="002463CA"/>
    <w:rsid w:val="0024656F"/>
    <w:rsid w:val="0024666A"/>
    <w:rsid w:val="0024666B"/>
    <w:rsid w:val="00246673"/>
    <w:rsid w:val="00246834"/>
    <w:rsid w:val="0024690E"/>
    <w:rsid w:val="00246B16"/>
    <w:rsid w:val="00246C67"/>
    <w:rsid w:val="00246D46"/>
    <w:rsid w:val="00246D80"/>
    <w:rsid w:val="00246EE9"/>
    <w:rsid w:val="00246FDC"/>
    <w:rsid w:val="00247051"/>
    <w:rsid w:val="002470D1"/>
    <w:rsid w:val="0024717D"/>
    <w:rsid w:val="002474AD"/>
    <w:rsid w:val="002475F6"/>
    <w:rsid w:val="00247634"/>
    <w:rsid w:val="002477CC"/>
    <w:rsid w:val="002477EB"/>
    <w:rsid w:val="00247AC1"/>
    <w:rsid w:val="00247B71"/>
    <w:rsid w:val="00247E43"/>
    <w:rsid w:val="00247E68"/>
    <w:rsid w:val="00247E9A"/>
    <w:rsid w:val="00247FB6"/>
    <w:rsid w:val="002500DF"/>
    <w:rsid w:val="002500E9"/>
    <w:rsid w:val="00250180"/>
    <w:rsid w:val="00250510"/>
    <w:rsid w:val="002505F0"/>
    <w:rsid w:val="00250AAD"/>
    <w:rsid w:val="00250CBF"/>
    <w:rsid w:val="00250D9F"/>
    <w:rsid w:val="00250F17"/>
    <w:rsid w:val="00250F2B"/>
    <w:rsid w:val="00251161"/>
    <w:rsid w:val="00251297"/>
    <w:rsid w:val="00251388"/>
    <w:rsid w:val="00251417"/>
    <w:rsid w:val="002514F8"/>
    <w:rsid w:val="002515AC"/>
    <w:rsid w:val="0025189B"/>
    <w:rsid w:val="00251915"/>
    <w:rsid w:val="002519DA"/>
    <w:rsid w:val="002519EA"/>
    <w:rsid w:val="002519FC"/>
    <w:rsid w:val="00251A76"/>
    <w:rsid w:val="00251A7C"/>
    <w:rsid w:val="00251BA3"/>
    <w:rsid w:val="00251CD3"/>
    <w:rsid w:val="00251F2E"/>
    <w:rsid w:val="00251FB8"/>
    <w:rsid w:val="0025201E"/>
    <w:rsid w:val="00252148"/>
    <w:rsid w:val="00252279"/>
    <w:rsid w:val="0025228C"/>
    <w:rsid w:val="00252305"/>
    <w:rsid w:val="002523EF"/>
    <w:rsid w:val="0025243E"/>
    <w:rsid w:val="002524E6"/>
    <w:rsid w:val="002524F2"/>
    <w:rsid w:val="00252698"/>
    <w:rsid w:val="00252700"/>
    <w:rsid w:val="00252831"/>
    <w:rsid w:val="0025283D"/>
    <w:rsid w:val="00252A6F"/>
    <w:rsid w:val="00252B51"/>
    <w:rsid w:val="00252C9A"/>
    <w:rsid w:val="00252D9D"/>
    <w:rsid w:val="00252DCA"/>
    <w:rsid w:val="00252ECB"/>
    <w:rsid w:val="00252F49"/>
    <w:rsid w:val="00252FE8"/>
    <w:rsid w:val="00253162"/>
    <w:rsid w:val="00253173"/>
    <w:rsid w:val="002531CE"/>
    <w:rsid w:val="002531FF"/>
    <w:rsid w:val="00253233"/>
    <w:rsid w:val="00253305"/>
    <w:rsid w:val="002534E1"/>
    <w:rsid w:val="002534EA"/>
    <w:rsid w:val="0025350E"/>
    <w:rsid w:val="002535E4"/>
    <w:rsid w:val="0025367F"/>
    <w:rsid w:val="002537ED"/>
    <w:rsid w:val="0025396D"/>
    <w:rsid w:val="00253A67"/>
    <w:rsid w:val="00253AB9"/>
    <w:rsid w:val="00253ABF"/>
    <w:rsid w:val="00253BD4"/>
    <w:rsid w:val="00253C74"/>
    <w:rsid w:val="00253E49"/>
    <w:rsid w:val="00254160"/>
    <w:rsid w:val="002546B3"/>
    <w:rsid w:val="002548BD"/>
    <w:rsid w:val="002548D8"/>
    <w:rsid w:val="002548FA"/>
    <w:rsid w:val="00254A1B"/>
    <w:rsid w:val="00254CA8"/>
    <w:rsid w:val="00254D67"/>
    <w:rsid w:val="00254F7F"/>
    <w:rsid w:val="00255009"/>
    <w:rsid w:val="00255139"/>
    <w:rsid w:val="00255184"/>
    <w:rsid w:val="002552D7"/>
    <w:rsid w:val="00255374"/>
    <w:rsid w:val="002553BF"/>
    <w:rsid w:val="0025575E"/>
    <w:rsid w:val="0025594A"/>
    <w:rsid w:val="00255966"/>
    <w:rsid w:val="002559B2"/>
    <w:rsid w:val="00255F3F"/>
    <w:rsid w:val="0025600A"/>
    <w:rsid w:val="0025613C"/>
    <w:rsid w:val="0025642D"/>
    <w:rsid w:val="0025653A"/>
    <w:rsid w:val="00256650"/>
    <w:rsid w:val="0025667A"/>
    <w:rsid w:val="002567DA"/>
    <w:rsid w:val="00256825"/>
    <w:rsid w:val="002568B5"/>
    <w:rsid w:val="002568B7"/>
    <w:rsid w:val="002569AF"/>
    <w:rsid w:val="00256D97"/>
    <w:rsid w:val="00256D99"/>
    <w:rsid w:val="00256E96"/>
    <w:rsid w:val="00256EA4"/>
    <w:rsid w:val="00257062"/>
    <w:rsid w:val="002570B3"/>
    <w:rsid w:val="002571EC"/>
    <w:rsid w:val="00257233"/>
    <w:rsid w:val="002579B7"/>
    <w:rsid w:val="002579C7"/>
    <w:rsid w:val="00257C24"/>
    <w:rsid w:val="00257CCF"/>
    <w:rsid w:val="00260277"/>
    <w:rsid w:val="002602D2"/>
    <w:rsid w:val="0026036A"/>
    <w:rsid w:val="002603F2"/>
    <w:rsid w:val="0026052F"/>
    <w:rsid w:val="0026057D"/>
    <w:rsid w:val="002606BD"/>
    <w:rsid w:val="00260743"/>
    <w:rsid w:val="0026074B"/>
    <w:rsid w:val="0026075C"/>
    <w:rsid w:val="00260928"/>
    <w:rsid w:val="00260AB3"/>
    <w:rsid w:val="00260B11"/>
    <w:rsid w:val="00260D13"/>
    <w:rsid w:val="00260D58"/>
    <w:rsid w:val="00260DEE"/>
    <w:rsid w:val="0026101D"/>
    <w:rsid w:val="0026106E"/>
    <w:rsid w:val="002610D2"/>
    <w:rsid w:val="002611D0"/>
    <w:rsid w:val="002613AD"/>
    <w:rsid w:val="002613B4"/>
    <w:rsid w:val="002613E2"/>
    <w:rsid w:val="0026141A"/>
    <w:rsid w:val="00261442"/>
    <w:rsid w:val="002614B7"/>
    <w:rsid w:val="002614D1"/>
    <w:rsid w:val="00261524"/>
    <w:rsid w:val="0026163C"/>
    <w:rsid w:val="002617A9"/>
    <w:rsid w:val="00261818"/>
    <w:rsid w:val="00261D7E"/>
    <w:rsid w:val="00262016"/>
    <w:rsid w:val="00262041"/>
    <w:rsid w:val="0026210A"/>
    <w:rsid w:val="0026214B"/>
    <w:rsid w:val="002621A2"/>
    <w:rsid w:val="0026234A"/>
    <w:rsid w:val="00262615"/>
    <w:rsid w:val="002626EB"/>
    <w:rsid w:val="0026297E"/>
    <w:rsid w:val="00262995"/>
    <w:rsid w:val="00262BA1"/>
    <w:rsid w:val="00262D10"/>
    <w:rsid w:val="00262EE0"/>
    <w:rsid w:val="00262F74"/>
    <w:rsid w:val="002631D8"/>
    <w:rsid w:val="002631F4"/>
    <w:rsid w:val="0026330D"/>
    <w:rsid w:val="002633FC"/>
    <w:rsid w:val="00263434"/>
    <w:rsid w:val="00263484"/>
    <w:rsid w:val="0026348B"/>
    <w:rsid w:val="00263560"/>
    <w:rsid w:val="0026362F"/>
    <w:rsid w:val="002637E5"/>
    <w:rsid w:val="00263803"/>
    <w:rsid w:val="0026383C"/>
    <w:rsid w:val="0026391C"/>
    <w:rsid w:val="002639DE"/>
    <w:rsid w:val="00263C48"/>
    <w:rsid w:val="00263CD8"/>
    <w:rsid w:val="00263D0E"/>
    <w:rsid w:val="00263F65"/>
    <w:rsid w:val="002640A2"/>
    <w:rsid w:val="0026439E"/>
    <w:rsid w:val="002643CE"/>
    <w:rsid w:val="0026446E"/>
    <w:rsid w:val="002644DE"/>
    <w:rsid w:val="0026456F"/>
    <w:rsid w:val="00264714"/>
    <w:rsid w:val="0026477B"/>
    <w:rsid w:val="002648AF"/>
    <w:rsid w:val="0026494C"/>
    <w:rsid w:val="00264A23"/>
    <w:rsid w:val="00264CD7"/>
    <w:rsid w:val="00264E3E"/>
    <w:rsid w:val="00264ED1"/>
    <w:rsid w:val="00264F0F"/>
    <w:rsid w:val="002655EF"/>
    <w:rsid w:val="0026592E"/>
    <w:rsid w:val="002659FF"/>
    <w:rsid w:val="00265A53"/>
    <w:rsid w:val="00265A97"/>
    <w:rsid w:val="00265D5C"/>
    <w:rsid w:val="00265F29"/>
    <w:rsid w:val="00265F75"/>
    <w:rsid w:val="00266151"/>
    <w:rsid w:val="00266156"/>
    <w:rsid w:val="00266219"/>
    <w:rsid w:val="002663EB"/>
    <w:rsid w:val="002663FD"/>
    <w:rsid w:val="002665F4"/>
    <w:rsid w:val="00266668"/>
    <w:rsid w:val="0026668C"/>
    <w:rsid w:val="002667DF"/>
    <w:rsid w:val="002667FC"/>
    <w:rsid w:val="0026696D"/>
    <w:rsid w:val="00266998"/>
    <w:rsid w:val="002669FB"/>
    <w:rsid w:val="00266A4E"/>
    <w:rsid w:val="00266B91"/>
    <w:rsid w:val="00266BDC"/>
    <w:rsid w:val="00266C80"/>
    <w:rsid w:val="00266DA6"/>
    <w:rsid w:val="00266DD2"/>
    <w:rsid w:val="00266F67"/>
    <w:rsid w:val="00267081"/>
    <w:rsid w:val="0026715A"/>
    <w:rsid w:val="002671F7"/>
    <w:rsid w:val="002672BB"/>
    <w:rsid w:val="002672EA"/>
    <w:rsid w:val="00267382"/>
    <w:rsid w:val="002674A1"/>
    <w:rsid w:val="00267566"/>
    <w:rsid w:val="00267570"/>
    <w:rsid w:val="002678EA"/>
    <w:rsid w:val="00267C23"/>
    <w:rsid w:val="00267CC2"/>
    <w:rsid w:val="00267D07"/>
    <w:rsid w:val="00267D9E"/>
    <w:rsid w:val="00267E34"/>
    <w:rsid w:val="0027021E"/>
    <w:rsid w:val="002703B5"/>
    <w:rsid w:val="002703DB"/>
    <w:rsid w:val="00270434"/>
    <w:rsid w:val="00270570"/>
    <w:rsid w:val="002705C9"/>
    <w:rsid w:val="00270728"/>
    <w:rsid w:val="00270767"/>
    <w:rsid w:val="002707AF"/>
    <w:rsid w:val="002708D6"/>
    <w:rsid w:val="0027093F"/>
    <w:rsid w:val="0027098F"/>
    <w:rsid w:val="00270A29"/>
    <w:rsid w:val="00270BA7"/>
    <w:rsid w:val="00270C25"/>
    <w:rsid w:val="00270D5D"/>
    <w:rsid w:val="00270F3D"/>
    <w:rsid w:val="002711CF"/>
    <w:rsid w:val="00271201"/>
    <w:rsid w:val="0027124B"/>
    <w:rsid w:val="0027146A"/>
    <w:rsid w:val="00271487"/>
    <w:rsid w:val="002715C5"/>
    <w:rsid w:val="002717C7"/>
    <w:rsid w:val="00271846"/>
    <w:rsid w:val="00271895"/>
    <w:rsid w:val="002719A4"/>
    <w:rsid w:val="00271D59"/>
    <w:rsid w:val="00271DEB"/>
    <w:rsid w:val="00271F66"/>
    <w:rsid w:val="00271F78"/>
    <w:rsid w:val="00271FE7"/>
    <w:rsid w:val="00272019"/>
    <w:rsid w:val="0027205C"/>
    <w:rsid w:val="0027210A"/>
    <w:rsid w:val="0027223C"/>
    <w:rsid w:val="00272247"/>
    <w:rsid w:val="002723DC"/>
    <w:rsid w:val="00272516"/>
    <w:rsid w:val="00272531"/>
    <w:rsid w:val="00272852"/>
    <w:rsid w:val="00272A8E"/>
    <w:rsid w:val="00272BB1"/>
    <w:rsid w:val="00272CC5"/>
    <w:rsid w:val="00272D64"/>
    <w:rsid w:val="00272E15"/>
    <w:rsid w:val="00273161"/>
    <w:rsid w:val="0027324A"/>
    <w:rsid w:val="00273294"/>
    <w:rsid w:val="002733A1"/>
    <w:rsid w:val="0027342B"/>
    <w:rsid w:val="002734B8"/>
    <w:rsid w:val="00273512"/>
    <w:rsid w:val="002735D8"/>
    <w:rsid w:val="002735FA"/>
    <w:rsid w:val="002736E4"/>
    <w:rsid w:val="002738FE"/>
    <w:rsid w:val="00273902"/>
    <w:rsid w:val="00273928"/>
    <w:rsid w:val="00273993"/>
    <w:rsid w:val="00273B27"/>
    <w:rsid w:val="00273BAB"/>
    <w:rsid w:val="00273C3D"/>
    <w:rsid w:val="00273D0F"/>
    <w:rsid w:val="00273DA8"/>
    <w:rsid w:val="0027423D"/>
    <w:rsid w:val="002745DC"/>
    <w:rsid w:val="00274719"/>
    <w:rsid w:val="00274953"/>
    <w:rsid w:val="00274A53"/>
    <w:rsid w:val="00274A59"/>
    <w:rsid w:val="00274BD2"/>
    <w:rsid w:val="00274F3C"/>
    <w:rsid w:val="00275014"/>
    <w:rsid w:val="00275287"/>
    <w:rsid w:val="002752DA"/>
    <w:rsid w:val="0027531C"/>
    <w:rsid w:val="002753D2"/>
    <w:rsid w:val="00275483"/>
    <w:rsid w:val="002754A9"/>
    <w:rsid w:val="0027550D"/>
    <w:rsid w:val="00275517"/>
    <w:rsid w:val="00275551"/>
    <w:rsid w:val="0027555A"/>
    <w:rsid w:val="002757F7"/>
    <w:rsid w:val="00275868"/>
    <w:rsid w:val="002758B4"/>
    <w:rsid w:val="00275B09"/>
    <w:rsid w:val="00275BCB"/>
    <w:rsid w:val="00275CE5"/>
    <w:rsid w:val="00275D11"/>
    <w:rsid w:val="00275D76"/>
    <w:rsid w:val="00275DEA"/>
    <w:rsid w:val="00275E4C"/>
    <w:rsid w:val="00275FBE"/>
    <w:rsid w:val="00276034"/>
    <w:rsid w:val="002760D1"/>
    <w:rsid w:val="002761B1"/>
    <w:rsid w:val="002762A2"/>
    <w:rsid w:val="002762ED"/>
    <w:rsid w:val="00276394"/>
    <w:rsid w:val="00276523"/>
    <w:rsid w:val="002765E8"/>
    <w:rsid w:val="002766D4"/>
    <w:rsid w:val="00276716"/>
    <w:rsid w:val="00276965"/>
    <w:rsid w:val="00276972"/>
    <w:rsid w:val="00276BA1"/>
    <w:rsid w:val="00276BDB"/>
    <w:rsid w:val="00276DFD"/>
    <w:rsid w:val="00276E1A"/>
    <w:rsid w:val="00276E45"/>
    <w:rsid w:val="00276FDB"/>
    <w:rsid w:val="002773CD"/>
    <w:rsid w:val="00277461"/>
    <w:rsid w:val="0027762E"/>
    <w:rsid w:val="002777C8"/>
    <w:rsid w:val="0027786C"/>
    <w:rsid w:val="00277AC8"/>
    <w:rsid w:val="00277F40"/>
    <w:rsid w:val="00280023"/>
    <w:rsid w:val="00280080"/>
    <w:rsid w:val="002803AC"/>
    <w:rsid w:val="0028052F"/>
    <w:rsid w:val="0028058F"/>
    <w:rsid w:val="002805B0"/>
    <w:rsid w:val="002807C3"/>
    <w:rsid w:val="00280841"/>
    <w:rsid w:val="00280BBA"/>
    <w:rsid w:val="00280CDB"/>
    <w:rsid w:val="00280EA3"/>
    <w:rsid w:val="00281175"/>
    <w:rsid w:val="002811DD"/>
    <w:rsid w:val="00281342"/>
    <w:rsid w:val="002813BA"/>
    <w:rsid w:val="00281433"/>
    <w:rsid w:val="002814A9"/>
    <w:rsid w:val="0028166D"/>
    <w:rsid w:val="00281698"/>
    <w:rsid w:val="002816EC"/>
    <w:rsid w:val="002816F9"/>
    <w:rsid w:val="002817F6"/>
    <w:rsid w:val="00281995"/>
    <w:rsid w:val="002819CE"/>
    <w:rsid w:val="00281B6B"/>
    <w:rsid w:val="00281E37"/>
    <w:rsid w:val="00281E48"/>
    <w:rsid w:val="00281F6C"/>
    <w:rsid w:val="00281FDD"/>
    <w:rsid w:val="00282117"/>
    <w:rsid w:val="002821A8"/>
    <w:rsid w:val="00282B43"/>
    <w:rsid w:val="00282C26"/>
    <w:rsid w:val="00282C96"/>
    <w:rsid w:val="00282E52"/>
    <w:rsid w:val="00282E70"/>
    <w:rsid w:val="00282E98"/>
    <w:rsid w:val="00282ECB"/>
    <w:rsid w:val="00282FFA"/>
    <w:rsid w:val="00283098"/>
    <w:rsid w:val="002831DC"/>
    <w:rsid w:val="0028320D"/>
    <w:rsid w:val="0028321D"/>
    <w:rsid w:val="00283290"/>
    <w:rsid w:val="00283530"/>
    <w:rsid w:val="0028366C"/>
    <w:rsid w:val="002836A3"/>
    <w:rsid w:val="002836F0"/>
    <w:rsid w:val="00283744"/>
    <w:rsid w:val="00283AB6"/>
    <w:rsid w:val="00283CE8"/>
    <w:rsid w:val="00283CF6"/>
    <w:rsid w:val="00283D93"/>
    <w:rsid w:val="0028404F"/>
    <w:rsid w:val="00284089"/>
    <w:rsid w:val="002840CB"/>
    <w:rsid w:val="0028410A"/>
    <w:rsid w:val="00284221"/>
    <w:rsid w:val="0028455D"/>
    <w:rsid w:val="00284665"/>
    <w:rsid w:val="00284766"/>
    <w:rsid w:val="0028491B"/>
    <w:rsid w:val="002849CA"/>
    <w:rsid w:val="002849F7"/>
    <w:rsid w:val="00284A46"/>
    <w:rsid w:val="00284A62"/>
    <w:rsid w:val="00284B85"/>
    <w:rsid w:val="00284C2A"/>
    <w:rsid w:val="00284D13"/>
    <w:rsid w:val="00284D22"/>
    <w:rsid w:val="00284D36"/>
    <w:rsid w:val="00284F28"/>
    <w:rsid w:val="00285027"/>
    <w:rsid w:val="00285196"/>
    <w:rsid w:val="002852EC"/>
    <w:rsid w:val="002855CD"/>
    <w:rsid w:val="0028585B"/>
    <w:rsid w:val="00285A84"/>
    <w:rsid w:val="00285A8D"/>
    <w:rsid w:val="00285AEE"/>
    <w:rsid w:val="00285B3F"/>
    <w:rsid w:val="00285B42"/>
    <w:rsid w:val="00285B44"/>
    <w:rsid w:val="00285B6B"/>
    <w:rsid w:val="00285D82"/>
    <w:rsid w:val="00285DC8"/>
    <w:rsid w:val="00285DEB"/>
    <w:rsid w:val="00286019"/>
    <w:rsid w:val="0028607B"/>
    <w:rsid w:val="002860DD"/>
    <w:rsid w:val="00286109"/>
    <w:rsid w:val="00286230"/>
    <w:rsid w:val="002862D3"/>
    <w:rsid w:val="00286385"/>
    <w:rsid w:val="0028642F"/>
    <w:rsid w:val="00286484"/>
    <w:rsid w:val="00286493"/>
    <w:rsid w:val="002864C8"/>
    <w:rsid w:val="00286561"/>
    <w:rsid w:val="002865CD"/>
    <w:rsid w:val="00286671"/>
    <w:rsid w:val="0028674C"/>
    <w:rsid w:val="002867ED"/>
    <w:rsid w:val="002868CA"/>
    <w:rsid w:val="00286B3E"/>
    <w:rsid w:val="00286CD5"/>
    <w:rsid w:val="00286D97"/>
    <w:rsid w:val="00286DF8"/>
    <w:rsid w:val="00286E60"/>
    <w:rsid w:val="00286EA8"/>
    <w:rsid w:val="00286F03"/>
    <w:rsid w:val="00287185"/>
    <w:rsid w:val="0028740B"/>
    <w:rsid w:val="00287492"/>
    <w:rsid w:val="002874F2"/>
    <w:rsid w:val="002876ED"/>
    <w:rsid w:val="002876F6"/>
    <w:rsid w:val="00287759"/>
    <w:rsid w:val="00287796"/>
    <w:rsid w:val="00287848"/>
    <w:rsid w:val="0028788F"/>
    <w:rsid w:val="002878CA"/>
    <w:rsid w:val="00287D77"/>
    <w:rsid w:val="00287EB7"/>
    <w:rsid w:val="00287FCF"/>
    <w:rsid w:val="002900F6"/>
    <w:rsid w:val="002902FF"/>
    <w:rsid w:val="0029056D"/>
    <w:rsid w:val="002905BC"/>
    <w:rsid w:val="00290771"/>
    <w:rsid w:val="002908BD"/>
    <w:rsid w:val="0029091C"/>
    <w:rsid w:val="002909C4"/>
    <w:rsid w:val="00290A7C"/>
    <w:rsid w:val="00290C39"/>
    <w:rsid w:val="00290EC0"/>
    <w:rsid w:val="00290F79"/>
    <w:rsid w:val="00290FAB"/>
    <w:rsid w:val="00290FC0"/>
    <w:rsid w:val="0029116F"/>
    <w:rsid w:val="00291358"/>
    <w:rsid w:val="002914AE"/>
    <w:rsid w:val="0029153F"/>
    <w:rsid w:val="00291577"/>
    <w:rsid w:val="002916BC"/>
    <w:rsid w:val="002916E4"/>
    <w:rsid w:val="0029181C"/>
    <w:rsid w:val="00291860"/>
    <w:rsid w:val="00291864"/>
    <w:rsid w:val="00291BB0"/>
    <w:rsid w:val="00291C2C"/>
    <w:rsid w:val="00291C87"/>
    <w:rsid w:val="00291F17"/>
    <w:rsid w:val="00291FD5"/>
    <w:rsid w:val="002920E3"/>
    <w:rsid w:val="002920FA"/>
    <w:rsid w:val="0029217C"/>
    <w:rsid w:val="0029219D"/>
    <w:rsid w:val="002921BD"/>
    <w:rsid w:val="00292275"/>
    <w:rsid w:val="00292318"/>
    <w:rsid w:val="00292495"/>
    <w:rsid w:val="00292584"/>
    <w:rsid w:val="00292A55"/>
    <w:rsid w:val="00292B55"/>
    <w:rsid w:val="00292BA9"/>
    <w:rsid w:val="00292CCA"/>
    <w:rsid w:val="00292CD5"/>
    <w:rsid w:val="00292E55"/>
    <w:rsid w:val="00292EC5"/>
    <w:rsid w:val="00292F4A"/>
    <w:rsid w:val="00293023"/>
    <w:rsid w:val="00293139"/>
    <w:rsid w:val="00293184"/>
    <w:rsid w:val="0029318E"/>
    <w:rsid w:val="00293290"/>
    <w:rsid w:val="002933E9"/>
    <w:rsid w:val="00293434"/>
    <w:rsid w:val="002936F4"/>
    <w:rsid w:val="00293885"/>
    <w:rsid w:val="00293A2C"/>
    <w:rsid w:val="00293B7C"/>
    <w:rsid w:val="00293D0C"/>
    <w:rsid w:val="00294009"/>
    <w:rsid w:val="00294068"/>
    <w:rsid w:val="00294105"/>
    <w:rsid w:val="0029412C"/>
    <w:rsid w:val="002942B5"/>
    <w:rsid w:val="002944AD"/>
    <w:rsid w:val="00294683"/>
    <w:rsid w:val="00294699"/>
    <w:rsid w:val="002948FE"/>
    <w:rsid w:val="002949AD"/>
    <w:rsid w:val="00294A6C"/>
    <w:rsid w:val="00294A9B"/>
    <w:rsid w:val="00294A9F"/>
    <w:rsid w:val="00294C1E"/>
    <w:rsid w:val="00294F37"/>
    <w:rsid w:val="00294F92"/>
    <w:rsid w:val="00295084"/>
    <w:rsid w:val="00295199"/>
    <w:rsid w:val="0029539F"/>
    <w:rsid w:val="002957F2"/>
    <w:rsid w:val="002957F5"/>
    <w:rsid w:val="002959A4"/>
    <w:rsid w:val="00295AB4"/>
    <w:rsid w:val="00295DFD"/>
    <w:rsid w:val="00295EAB"/>
    <w:rsid w:val="00295EAE"/>
    <w:rsid w:val="00296018"/>
    <w:rsid w:val="0029631A"/>
    <w:rsid w:val="002964BE"/>
    <w:rsid w:val="002964E0"/>
    <w:rsid w:val="002965B6"/>
    <w:rsid w:val="002965EE"/>
    <w:rsid w:val="00296745"/>
    <w:rsid w:val="002967CC"/>
    <w:rsid w:val="00296A56"/>
    <w:rsid w:val="00296DCD"/>
    <w:rsid w:val="00296E47"/>
    <w:rsid w:val="00296EC8"/>
    <w:rsid w:val="00296EF3"/>
    <w:rsid w:val="00297073"/>
    <w:rsid w:val="002970C2"/>
    <w:rsid w:val="002970EC"/>
    <w:rsid w:val="002971F4"/>
    <w:rsid w:val="0029742F"/>
    <w:rsid w:val="00297453"/>
    <w:rsid w:val="0029755F"/>
    <w:rsid w:val="00297575"/>
    <w:rsid w:val="002976DD"/>
    <w:rsid w:val="00297963"/>
    <w:rsid w:val="00297A1A"/>
    <w:rsid w:val="00297A37"/>
    <w:rsid w:val="00297AEB"/>
    <w:rsid w:val="00297BF2"/>
    <w:rsid w:val="00297CD4"/>
    <w:rsid w:val="00297D9E"/>
    <w:rsid w:val="00297E24"/>
    <w:rsid w:val="00297E9A"/>
    <w:rsid w:val="002A0756"/>
    <w:rsid w:val="002A09DB"/>
    <w:rsid w:val="002A0A30"/>
    <w:rsid w:val="002A0B3A"/>
    <w:rsid w:val="002A0DA2"/>
    <w:rsid w:val="002A0EBB"/>
    <w:rsid w:val="002A0FC1"/>
    <w:rsid w:val="002A11B5"/>
    <w:rsid w:val="002A126F"/>
    <w:rsid w:val="002A1323"/>
    <w:rsid w:val="002A152D"/>
    <w:rsid w:val="002A1644"/>
    <w:rsid w:val="002A1733"/>
    <w:rsid w:val="002A179C"/>
    <w:rsid w:val="002A18E8"/>
    <w:rsid w:val="002A1951"/>
    <w:rsid w:val="002A1AED"/>
    <w:rsid w:val="002A1BB3"/>
    <w:rsid w:val="002A205B"/>
    <w:rsid w:val="002A2083"/>
    <w:rsid w:val="002A222B"/>
    <w:rsid w:val="002A2255"/>
    <w:rsid w:val="002A22B2"/>
    <w:rsid w:val="002A241B"/>
    <w:rsid w:val="002A2479"/>
    <w:rsid w:val="002A26C7"/>
    <w:rsid w:val="002A2772"/>
    <w:rsid w:val="002A2803"/>
    <w:rsid w:val="002A285F"/>
    <w:rsid w:val="002A2913"/>
    <w:rsid w:val="002A2A1E"/>
    <w:rsid w:val="002A2D6B"/>
    <w:rsid w:val="002A2DE2"/>
    <w:rsid w:val="002A2E57"/>
    <w:rsid w:val="002A3092"/>
    <w:rsid w:val="002A3125"/>
    <w:rsid w:val="002A3170"/>
    <w:rsid w:val="002A31E0"/>
    <w:rsid w:val="002A3308"/>
    <w:rsid w:val="002A3476"/>
    <w:rsid w:val="002A3862"/>
    <w:rsid w:val="002A3A61"/>
    <w:rsid w:val="002A3B00"/>
    <w:rsid w:val="002A3D35"/>
    <w:rsid w:val="002A3EB7"/>
    <w:rsid w:val="002A3ECB"/>
    <w:rsid w:val="002A3F10"/>
    <w:rsid w:val="002A3FD0"/>
    <w:rsid w:val="002A403D"/>
    <w:rsid w:val="002A4060"/>
    <w:rsid w:val="002A409E"/>
    <w:rsid w:val="002A40CF"/>
    <w:rsid w:val="002A43B6"/>
    <w:rsid w:val="002A462C"/>
    <w:rsid w:val="002A46AC"/>
    <w:rsid w:val="002A46B7"/>
    <w:rsid w:val="002A4785"/>
    <w:rsid w:val="002A478B"/>
    <w:rsid w:val="002A47DC"/>
    <w:rsid w:val="002A489B"/>
    <w:rsid w:val="002A4957"/>
    <w:rsid w:val="002A49A4"/>
    <w:rsid w:val="002A4BC1"/>
    <w:rsid w:val="002A4C3D"/>
    <w:rsid w:val="002A4E09"/>
    <w:rsid w:val="002A4FF4"/>
    <w:rsid w:val="002A5623"/>
    <w:rsid w:val="002A562E"/>
    <w:rsid w:val="002A56CD"/>
    <w:rsid w:val="002A5756"/>
    <w:rsid w:val="002A57DE"/>
    <w:rsid w:val="002A57FA"/>
    <w:rsid w:val="002A5843"/>
    <w:rsid w:val="002A591D"/>
    <w:rsid w:val="002A59D0"/>
    <w:rsid w:val="002A5A91"/>
    <w:rsid w:val="002A5B16"/>
    <w:rsid w:val="002A5B66"/>
    <w:rsid w:val="002A5C68"/>
    <w:rsid w:val="002A5D21"/>
    <w:rsid w:val="002A5D55"/>
    <w:rsid w:val="002A5EA1"/>
    <w:rsid w:val="002A5EFF"/>
    <w:rsid w:val="002A602F"/>
    <w:rsid w:val="002A61B9"/>
    <w:rsid w:val="002A63B1"/>
    <w:rsid w:val="002A64F6"/>
    <w:rsid w:val="002A6594"/>
    <w:rsid w:val="002A65A8"/>
    <w:rsid w:val="002A6602"/>
    <w:rsid w:val="002A6789"/>
    <w:rsid w:val="002A6ABD"/>
    <w:rsid w:val="002A6B77"/>
    <w:rsid w:val="002A6D99"/>
    <w:rsid w:val="002A6DD1"/>
    <w:rsid w:val="002A6DE3"/>
    <w:rsid w:val="002A6F3C"/>
    <w:rsid w:val="002A71D7"/>
    <w:rsid w:val="002A755B"/>
    <w:rsid w:val="002A75B4"/>
    <w:rsid w:val="002A77B8"/>
    <w:rsid w:val="002A7986"/>
    <w:rsid w:val="002A7A18"/>
    <w:rsid w:val="002A7BB1"/>
    <w:rsid w:val="002A7BBE"/>
    <w:rsid w:val="002A7C84"/>
    <w:rsid w:val="002A7C8B"/>
    <w:rsid w:val="002A7D40"/>
    <w:rsid w:val="002A7D76"/>
    <w:rsid w:val="002A7E95"/>
    <w:rsid w:val="002A7F90"/>
    <w:rsid w:val="002A7FEF"/>
    <w:rsid w:val="002B0080"/>
    <w:rsid w:val="002B00A7"/>
    <w:rsid w:val="002B0412"/>
    <w:rsid w:val="002B049B"/>
    <w:rsid w:val="002B04EC"/>
    <w:rsid w:val="002B0638"/>
    <w:rsid w:val="002B068E"/>
    <w:rsid w:val="002B06D6"/>
    <w:rsid w:val="002B07C2"/>
    <w:rsid w:val="002B0874"/>
    <w:rsid w:val="002B0A22"/>
    <w:rsid w:val="002B0AAF"/>
    <w:rsid w:val="002B0B29"/>
    <w:rsid w:val="002B0D1D"/>
    <w:rsid w:val="002B0DCC"/>
    <w:rsid w:val="002B0E08"/>
    <w:rsid w:val="002B0F64"/>
    <w:rsid w:val="002B0F9C"/>
    <w:rsid w:val="002B0FF5"/>
    <w:rsid w:val="002B1039"/>
    <w:rsid w:val="002B1082"/>
    <w:rsid w:val="002B10C6"/>
    <w:rsid w:val="002B1175"/>
    <w:rsid w:val="002B126E"/>
    <w:rsid w:val="002B1415"/>
    <w:rsid w:val="002B1584"/>
    <w:rsid w:val="002B15DA"/>
    <w:rsid w:val="002B1680"/>
    <w:rsid w:val="002B1A87"/>
    <w:rsid w:val="002B1AA8"/>
    <w:rsid w:val="002B1B54"/>
    <w:rsid w:val="002B1CC7"/>
    <w:rsid w:val="002B1EE5"/>
    <w:rsid w:val="002B2042"/>
    <w:rsid w:val="002B209E"/>
    <w:rsid w:val="002B221A"/>
    <w:rsid w:val="002B223B"/>
    <w:rsid w:val="002B2450"/>
    <w:rsid w:val="002B2702"/>
    <w:rsid w:val="002B296C"/>
    <w:rsid w:val="002B29D3"/>
    <w:rsid w:val="002B29F2"/>
    <w:rsid w:val="002B2AC1"/>
    <w:rsid w:val="002B2EAD"/>
    <w:rsid w:val="002B3097"/>
    <w:rsid w:val="002B31B5"/>
    <w:rsid w:val="002B3273"/>
    <w:rsid w:val="002B3518"/>
    <w:rsid w:val="002B3A03"/>
    <w:rsid w:val="002B3A77"/>
    <w:rsid w:val="002B3AAD"/>
    <w:rsid w:val="002B3C09"/>
    <w:rsid w:val="002B3CC7"/>
    <w:rsid w:val="002B3D4C"/>
    <w:rsid w:val="002B3F2C"/>
    <w:rsid w:val="002B4191"/>
    <w:rsid w:val="002B4223"/>
    <w:rsid w:val="002B434F"/>
    <w:rsid w:val="002B4384"/>
    <w:rsid w:val="002B4444"/>
    <w:rsid w:val="002B45D6"/>
    <w:rsid w:val="002B46F5"/>
    <w:rsid w:val="002B4704"/>
    <w:rsid w:val="002B4885"/>
    <w:rsid w:val="002B49BA"/>
    <w:rsid w:val="002B4A8C"/>
    <w:rsid w:val="002B4B35"/>
    <w:rsid w:val="002B4C06"/>
    <w:rsid w:val="002B4C52"/>
    <w:rsid w:val="002B50A2"/>
    <w:rsid w:val="002B5156"/>
    <w:rsid w:val="002B51AC"/>
    <w:rsid w:val="002B5249"/>
    <w:rsid w:val="002B526B"/>
    <w:rsid w:val="002B54F2"/>
    <w:rsid w:val="002B5521"/>
    <w:rsid w:val="002B5569"/>
    <w:rsid w:val="002B5576"/>
    <w:rsid w:val="002B55DA"/>
    <w:rsid w:val="002B5699"/>
    <w:rsid w:val="002B57A2"/>
    <w:rsid w:val="002B5838"/>
    <w:rsid w:val="002B59CA"/>
    <w:rsid w:val="002B59D3"/>
    <w:rsid w:val="002B5E95"/>
    <w:rsid w:val="002B5F88"/>
    <w:rsid w:val="002B5FDA"/>
    <w:rsid w:val="002B6007"/>
    <w:rsid w:val="002B60BF"/>
    <w:rsid w:val="002B6156"/>
    <w:rsid w:val="002B61E9"/>
    <w:rsid w:val="002B6369"/>
    <w:rsid w:val="002B636D"/>
    <w:rsid w:val="002B63ED"/>
    <w:rsid w:val="002B6400"/>
    <w:rsid w:val="002B651F"/>
    <w:rsid w:val="002B6647"/>
    <w:rsid w:val="002B665B"/>
    <w:rsid w:val="002B6719"/>
    <w:rsid w:val="002B67A1"/>
    <w:rsid w:val="002B6808"/>
    <w:rsid w:val="002B68DF"/>
    <w:rsid w:val="002B6924"/>
    <w:rsid w:val="002B6B99"/>
    <w:rsid w:val="002B6BE1"/>
    <w:rsid w:val="002B6BEB"/>
    <w:rsid w:val="002B6C78"/>
    <w:rsid w:val="002B6CA8"/>
    <w:rsid w:val="002B6E72"/>
    <w:rsid w:val="002B6F1A"/>
    <w:rsid w:val="002B7017"/>
    <w:rsid w:val="002B704A"/>
    <w:rsid w:val="002B70D2"/>
    <w:rsid w:val="002B70F2"/>
    <w:rsid w:val="002B70FD"/>
    <w:rsid w:val="002B72BA"/>
    <w:rsid w:val="002B7386"/>
    <w:rsid w:val="002B73E9"/>
    <w:rsid w:val="002B742B"/>
    <w:rsid w:val="002B752A"/>
    <w:rsid w:val="002B7584"/>
    <w:rsid w:val="002B76A6"/>
    <w:rsid w:val="002B7C2F"/>
    <w:rsid w:val="002B7CCD"/>
    <w:rsid w:val="002B7D92"/>
    <w:rsid w:val="002B7E16"/>
    <w:rsid w:val="002B7EA6"/>
    <w:rsid w:val="002B7F70"/>
    <w:rsid w:val="002C01E3"/>
    <w:rsid w:val="002C028A"/>
    <w:rsid w:val="002C0302"/>
    <w:rsid w:val="002C0386"/>
    <w:rsid w:val="002C073E"/>
    <w:rsid w:val="002C09C5"/>
    <w:rsid w:val="002C0A06"/>
    <w:rsid w:val="002C0AE9"/>
    <w:rsid w:val="002C0AFA"/>
    <w:rsid w:val="002C0CFB"/>
    <w:rsid w:val="002C0DD1"/>
    <w:rsid w:val="002C0E43"/>
    <w:rsid w:val="002C0E56"/>
    <w:rsid w:val="002C0E92"/>
    <w:rsid w:val="002C0EBB"/>
    <w:rsid w:val="002C0EFE"/>
    <w:rsid w:val="002C0F03"/>
    <w:rsid w:val="002C1031"/>
    <w:rsid w:val="002C13D2"/>
    <w:rsid w:val="002C158B"/>
    <w:rsid w:val="002C1595"/>
    <w:rsid w:val="002C1601"/>
    <w:rsid w:val="002C1624"/>
    <w:rsid w:val="002C1641"/>
    <w:rsid w:val="002C164F"/>
    <w:rsid w:val="002C16EC"/>
    <w:rsid w:val="002C193A"/>
    <w:rsid w:val="002C1A30"/>
    <w:rsid w:val="002C1B93"/>
    <w:rsid w:val="002C1C41"/>
    <w:rsid w:val="002C1EBE"/>
    <w:rsid w:val="002C218C"/>
    <w:rsid w:val="002C21BD"/>
    <w:rsid w:val="002C232A"/>
    <w:rsid w:val="002C235F"/>
    <w:rsid w:val="002C2447"/>
    <w:rsid w:val="002C257C"/>
    <w:rsid w:val="002C265C"/>
    <w:rsid w:val="002C26DB"/>
    <w:rsid w:val="002C2748"/>
    <w:rsid w:val="002C275C"/>
    <w:rsid w:val="002C276C"/>
    <w:rsid w:val="002C2784"/>
    <w:rsid w:val="002C2881"/>
    <w:rsid w:val="002C28D9"/>
    <w:rsid w:val="002C2A21"/>
    <w:rsid w:val="002C2A61"/>
    <w:rsid w:val="002C2C5F"/>
    <w:rsid w:val="002C2D5D"/>
    <w:rsid w:val="002C2E01"/>
    <w:rsid w:val="002C2ED2"/>
    <w:rsid w:val="002C2F2B"/>
    <w:rsid w:val="002C30B3"/>
    <w:rsid w:val="002C3111"/>
    <w:rsid w:val="002C3266"/>
    <w:rsid w:val="002C3305"/>
    <w:rsid w:val="002C332A"/>
    <w:rsid w:val="002C333F"/>
    <w:rsid w:val="002C3410"/>
    <w:rsid w:val="002C3464"/>
    <w:rsid w:val="002C34AA"/>
    <w:rsid w:val="002C3554"/>
    <w:rsid w:val="002C3699"/>
    <w:rsid w:val="002C372C"/>
    <w:rsid w:val="002C3737"/>
    <w:rsid w:val="002C3974"/>
    <w:rsid w:val="002C399D"/>
    <w:rsid w:val="002C39F7"/>
    <w:rsid w:val="002C3A90"/>
    <w:rsid w:val="002C3BAF"/>
    <w:rsid w:val="002C3C9E"/>
    <w:rsid w:val="002C3DD1"/>
    <w:rsid w:val="002C3E00"/>
    <w:rsid w:val="002C3EF3"/>
    <w:rsid w:val="002C3EFA"/>
    <w:rsid w:val="002C3FC0"/>
    <w:rsid w:val="002C4091"/>
    <w:rsid w:val="002C4098"/>
    <w:rsid w:val="002C42BF"/>
    <w:rsid w:val="002C42C0"/>
    <w:rsid w:val="002C4339"/>
    <w:rsid w:val="002C43E8"/>
    <w:rsid w:val="002C456A"/>
    <w:rsid w:val="002C464F"/>
    <w:rsid w:val="002C48C5"/>
    <w:rsid w:val="002C4B1B"/>
    <w:rsid w:val="002C4CCB"/>
    <w:rsid w:val="002C4E48"/>
    <w:rsid w:val="002C4E56"/>
    <w:rsid w:val="002C4FB3"/>
    <w:rsid w:val="002C54A7"/>
    <w:rsid w:val="002C55EB"/>
    <w:rsid w:val="002C5808"/>
    <w:rsid w:val="002C5821"/>
    <w:rsid w:val="002C5863"/>
    <w:rsid w:val="002C5940"/>
    <w:rsid w:val="002C595C"/>
    <w:rsid w:val="002C59E0"/>
    <w:rsid w:val="002C59F5"/>
    <w:rsid w:val="002C5AA3"/>
    <w:rsid w:val="002C5AF3"/>
    <w:rsid w:val="002C5B2C"/>
    <w:rsid w:val="002C5C9D"/>
    <w:rsid w:val="002C5D77"/>
    <w:rsid w:val="002C5E4B"/>
    <w:rsid w:val="002C5F10"/>
    <w:rsid w:val="002C5F3F"/>
    <w:rsid w:val="002C60DF"/>
    <w:rsid w:val="002C61B7"/>
    <w:rsid w:val="002C64F1"/>
    <w:rsid w:val="002C655C"/>
    <w:rsid w:val="002C6B3C"/>
    <w:rsid w:val="002C6E6B"/>
    <w:rsid w:val="002C6F06"/>
    <w:rsid w:val="002C701A"/>
    <w:rsid w:val="002C7097"/>
    <w:rsid w:val="002C720A"/>
    <w:rsid w:val="002C7342"/>
    <w:rsid w:val="002C73DA"/>
    <w:rsid w:val="002C741F"/>
    <w:rsid w:val="002C750E"/>
    <w:rsid w:val="002C79F0"/>
    <w:rsid w:val="002C79F4"/>
    <w:rsid w:val="002C7EBB"/>
    <w:rsid w:val="002C7ED3"/>
    <w:rsid w:val="002D0027"/>
    <w:rsid w:val="002D00F3"/>
    <w:rsid w:val="002D0330"/>
    <w:rsid w:val="002D04B1"/>
    <w:rsid w:val="002D0696"/>
    <w:rsid w:val="002D070F"/>
    <w:rsid w:val="002D07BF"/>
    <w:rsid w:val="002D07E9"/>
    <w:rsid w:val="002D07FD"/>
    <w:rsid w:val="002D0854"/>
    <w:rsid w:val="002D0980"/>
    <w:rsid w:val="002D0B6B"/>
    <w:rsid w:val="002D1025"/>
    <w:rsid w:val="002D11B2"/>
    <w:rsid w:val="002D147E"/>
    <w:rsid w:val="002D14CD"/>
    <w:rsid w:val="002D1680"/>
    <w:rsid w:val="002D1723"/>
    <w:rsid w:val="002D1860"/>
    <w:rsid w:val="002D19C1"/>
    <w:rsid w:val="002D1A20"/>
    <w:rsid w:val="002D1B7F"/>
    <w:rsid w:val="002D2324"/>
    <w:rsid w:val="002D23AE"/>
    <w:rsid w:val="002D2478"/>
    <w:rsid w:val="002D248D"/>
    <w:rsid w:val="002D24C0"/>
    <w:rsid w:val="002D2502"/>
    <w:rsid w:val="002D25BB"/>
    <w:rsid w:val="002D266F"/>
    <w:rsid w:val="002D290C"/>
    <w:rsid w:val="002D29BC"/>
    <w:rsid w:val="002D29E0"/>
    <w:rsid w:val="002D2A2D"/>
    <w:rsid w:val="002D2B33"/>
    <w:rsid w:val="002D2B8C"/>
    <w:rsid w:val="002D2EA8"/>
    <w:rsid w:val="002D2F42"/>
    <w:rsid w:val="002D2F45"/>
    <w:rsid w:val="002D3039"/>
    <w:rsid w:val="002D327F"/>
    <w:rsid w:val="002D33BC"/>
    <w:rsid w:val="002D3487"/>
    <w:rsid w:val="002D348D"/>
    <w:rsid w:val="002D36F8"/>
    <w:rsid w:val="002D3735"/>
    <w:rsid w:val="002D3818"/>
    <w:rsid w:val="002D3A01"/>
    <w:rsid w:val="002D3A9A"/>
    <w:rsid w:val="002D3B4C"/>
    <w:rsid w:val="002D3C7E"/>
    <w:rsid w:val="002D3F26"/>
    <w:rsid w:val="002D3F42"/>
    <w:rsid w:val="002D400F"/>
    <w:rsid w:val="002D40B8"/>
    <w:rsid w:val="002D413D"/>
    <w:rsid w:val="002D430A"/>
    <w:rsid w:val="002D4424"/>
    <w:rsid w:val="002D442D"/>
    <w:rsid w:val="002D4667"/>
    <w:rsid w:val="002D47FB"/>
    <w:rsid w:val="002D48E5"/>
    <w:rsid w:val="002D492C"/>
    <w:rsid w:val="002D49C6"/>
    <w:rsid w:val="002D4A8B"/>
    <w:rsid w:val="002D4B81"/>
    <w:rsid w:val="002D4C72"/>
    <w:rsid w:val="002D4CB3"/>
    <w:rsid w:val="002D505B"/>
    <w:rsid w:val="002D5073"/>
    <w:rsid w:val="002D512B"/>
    <w:rsid w:val="002D51F3"/>
    <w:rsid w:val="002D5211"/>
    <w:rsid w:val="002D52A4"/>
    <w:rsid w:val="002D535D"/>
    <w:rsid w:val="002D5374"/>
    <w:rsid w:val="002D5688"/>
    <w:rsid w:val="002D56DA"/>
    <w:rsid w:val="002D5C65"/>
    <w:rsid w:val="002D5D23"/>
    <w:rsid w:val="002D5E2E"/>
    <w:rsid w:val="002D5EA8"/>
    <w:rsid w:val="002D6079"/>
    <w:rsid w:val="002D60C8"/>
    <w:rsid w:val="002D613C"/>
    <w:rsid w:val="002D623F"/>
    <w:rsid w:val="002D63F7"/>
    <w:rsid w:val="002D672D"/>
    <w:rsid w:val="002D677E"/>
    <w:rsid w:val="002D67CA"/>
    <w:rsid w:val="002D6825"/>
    <w:rsid w:val="002D68D1"/>
    <w:rsid w:val="002D6935"/>
    <w:rsid w:val="002D6959"/>
    <w:rsid w:val="002D69B8"/>
    <w:rsid w:val="002D69D1"/>
    <w:rsid w:val="002D69DA"/>
    <w:rsid w:val="002D69F9"/>
    <w:rsid w:val="002D6AE0"/>
    <w:rsid w:val="002D6C55"/>
    <w:rsid w:val="002D6C5F"/>
    <w:rsid w:val="002D6DBD"/>
    <w:rsid w:val="002D6E20"/>
    <w:rsid w:val="002D707B"/>
    <w:rsid w:val="002D72EB"/>
    <w:rsid w:val="002D7625"/>
    <w:rsid w:val="002D762D"/>
    <w:rsid w:val="002D78CD"/>
    <w:rsid w:val="002D791D"/>
    <w:rsid w:val="002D7A02"/>
    <w:rsid w:val="002D7B20"/>
    <w:rsid w:val="002D7B38"/>
    <w:rsid w:val="002D7B75"/>
    <w:rsid w:val="002D7B95"/>
    <w:rsid w:val="002D7C65"/>
    <w:rsid w:val="002D7CF3"/>
    <w:rsid w:val="002D7E48"/>
    <w:rsid w:val="002D7EC2"/>
    <w:rsid w:val="002D7EDB"/>
    <w:rsid w:val="002D7EEC"/>
    <w:rsid w:val="002D7FA2"/>
    <w:rsid w:val="002E0018"/>
    <w:rsid w:val="002E004A"/>
    <w:rsid w:val="002E0238"/>
    <w:rsid w:val="002E023F"/>
    <w:rsid w:val="002E0446"/>
    <w:rsid w:val="002E0476"/>
    <w:rsid w:val="002E0697"/>
    <w:rsid w:val="002E0ADE"/>
    <w:rsid w:val="002E0B64"/>
    <w:rsid w:val="002E0EF4"/>
    <w:rsid w:val="002E0F43"/>
    <w:rsid w:val="002E1160"/>
    <w:rsid w:val="002E12BF"/>
    <w:rsid w:val="002E164F"/>
    <w:rsid w:val="002E17FC"/>
    <w:rsid w:val="002E18FA"/>
    <w:rsid w:val="002E1944"/>
    <w:rsid w:val="002E1B18"/>
    <w:rsid w:val="002E1C89"/>
    <w:rsid w:val="002E1CA8"/>
    <w:rsid w:val="002E1E63"/>
    <w:rsid w:val="002E1EB7"/>
    <w:rsid w:val="002E2020"/>
    <w:rsid w:val="002E249C"/>
    <w:rsid w:val="002E24CA"/>
    <w:rsid w:val="002E2674"/>
    <w:rsid w:val="002E28B2"/>
    <w:rsid w:val="002E2A6C"/>
    <w:rsid w:val="002E2E8F"/>
    <w:rsid w:val="002E2EFB"/>
    <w:rsid w:val="002E2F8F"/>
    <w:rsid w:val="002E2FA9"/>
    <w:rsid w:val="002E30FB"/>
    <w:rsid w:val="002E33D9"/>
    <w:rsid w:val="002E35AC"/>
    <w:rsid w:val="002E35C7"/>
    <w:rsid w:val="002E377C"/>
    <w:rsid w:val="002E385E"/>
    <w:rsid w:val="002E3948"/>
    <w:rsid w:val="002E3A6E"/>
    <w:rsid w:val="002E3AB3"/>
    <w:rsid w:val="002E3B6D"/>
    <w:rsid w:val="002E3D93"/>
    <w:rsid w:val="002E3E53"/>
    <w:rsid w:val="002E4041"/>
    <w:rsid w:val="002E40B8"/>
    <w:rsid w:val="002E40D3"/>
    <w:rsid w:val="002E412E"/>
    <w:rsid w:val="002E4169"/>
    <w:rsid w:val="002E41D0"/>
    <w:rsid w:val="002E4232"/>
    <w:rsid w:val="002E4298"/>
    <w:rsid w:val="002E42BB"/>
    <w:rsid w:val="002E4311"/>
    <w:rsid w:val="002E4313"/>
    <w:rsid w:val="002E449F"/>
    <w:rsid w:val="002E45F0"/>
    <w:rsid w:val="002E4633"/>
    <w:rsid w:val="002E47D9"/>
    <w:rsid w:val="002E47FB"/>
    <w:rsid w:val="002E4A2F"/>
    <w:rsid w:val="002E4A37"/>
    <w:rsid w:val="002E4A6F"/>
    <w:rsid w:val="002E4C13"/>
    <w:rsid w:val="002E4C3C"/>
    <w:rsid w:val="002E4C76"/>
    <w:rsid w:val="002E4C78"/>
    <w:rsid w:val="002E4D87"/>
    <w:rsid w:val="002E4DC3"/>
    <w:rsid w:val="002E51C0"/>
    <w:rsid w:val="002E5508"/>
    <w:rsid w:val="002E559B"/>
    <w:rsid w:val="002E55CD"/>
    <w:rsid w:val="002E55EC"/>
    <w:rsid w:val="002E58E5"/>
    <w:rsid w:val="002E5984"/>
    <w:rsid w:val="002E5B54"/>
    <w:rsid w:val="002E5D74"/>
    <w:rsid w:val="002E6253"/>
    <w:rsid w:val="002E6306"/>
    <w:rsid w:val="002E6350"/>
    <w:rsid w:val="002E649C"/>
    <w:rsid w:val="002E6622"/>
    <w:rsid w:val="002E6757"/>
    <w:rsid w:val="002E6785"/>
    <w:rsid w:val="002E68C4"/>
    <w:rsid w:val="002E6908"/>
    <w:rsid w:val="002E6945"/>
    <w:rsid w:val="002E6A32"/>
    <w:rsid w:val="002E6B2D"/>
    <w:rsid w:val="002E6BAC"/>
    <w:rsid w:val="002E6CBE"/>
    <w:rsid w:val="002E6CF2"/>
    <w:rsid w:val="002E6D47"/>
    <w:rsid w:val="002E6EBF"/>
    <w:rsid w:val="002E6ED6"/>
    <w:rsid w:val="002E7098"/>
    <w:rsid w:val="002E73DB"/>
    <w:rsid w:val="002E73F1"/>
    <w:rsid w:val="002E7610"/>
    <w:rsid w:val="002E77AC"/>
    <w:rsid w:val="002E77D0"/>
    <w:rsid w:val="002E77EF"/>
    <w:rsid w:val="002E7B56"/>
    <w:rsid w:val="002E7B86"/>
    <w:rsid w:val="002E7C11"/>
    <w:rsid w:val="002E7D79"/>
    <w:rsid w:val="002E7EED"/>
    <w:rsid w:val="002E7F22"/>
    <w:rsid w:val="002F00B4"/>
    <w:rsid w:val="002F0147"/>
    <w:rsid w:val="002F0231"/>
    <w:rsid w:val="002F03EF"/>
    <w:rsid w:val="002F0432"/>
    <w:rsid w:val="002F0502"/>
    <w:rsid w:val="002F07B9"/>
    <w:rsid w:val="002F08AB"/>
    <w:rsid w:val="002F08AE"/>
    <w:rsid w:val="002F09C9"/>
    <w:rsid w:val="002F0B12"/>
    <w:rsid w:val="002F0D30"/>
    <w:rsid w:val="002F0F4C"/>
    <w:rsid w:val="002F1372"/>
    <w:rsid w:val="002F1607"/>
    <w:rsid w:val="002F16F2"/>
    <w:rsid w:val="002F1808"/>
    <w:rsid w:val="002F19B7"/>
    <w:rsid w:val="002F1A2E"/>
    <w:rsid w:val="002F1AC1"/>
    <w:rsid w:val="002F1BB0"/>
    <w:rsid w:val="002F1FDE"/>
    <w:rsid w:val="002F1FF1"/>
    <w:rsid w:val="002F2020"/>
    <w:rsid w:val="002F208C"/>
    <w:rsid w:val="002F2201"/>
    <w:rsid w:val="002F2254"/>
    <w:rsid w:val="002F22AB"/>
    <w:rsid w:val="002F22B6"/>
    <w:rsid w:val="002F2388"/>
    <w:rsid w:val="002F24B2"/>
    <w:rsid w:val="002F2568"/>
    <w:rsid w:val="002F2592"/>
    <w:rsid w:val="002F2633"/>
    <w:rsid w:val="002F2BE5"/>
    <w:rsid w:val="002F2CD9"/>
    <w:rsid w:val="002F2CF9"/>
    <w:rsid w:val="002F2D4B"/>
    <w:rsid w:val="002F3092"/>
    <w:rsid w:val="002F338B"/>
    <w:rsid w:val="002F34C4"/>
    <w:rsid w:val="002F3870"/>
    <w:rsid w:val="002F3AE9"/>
    <w:rsid w:val="002F3C54"/>
    <w:rsid w:val="002F4023"/>
    <w:rsid w:val="002F4357"/>
    <w:rsid w:val="002F448E"/>
    <w:rsid w:val="002F44EC"/>
    <w:rsid w:val="002F44F5"/>
    <w:rsid w:val="002F4593"/>
    <w:rsid w:val="002F4608"/>
    <w:rsid w:val="002F464D"/>
    <w:rsid w:val="002F464E"/>
    <w:rsid w:val="002F4664"/>
    <w:rsid w:val="002F480A"/>
    <w:rsid w:val="002F48CC"/>
    <w:rsid w:val="002F48F2"/>
    <w:rsid w:val="002F4F3A"/>
    <w:rsid w:val="002F53D4"/>
    <w:rsid w:val="002F5447"/>
    <w:rsid w:val="002F565D"/>
    <w:rsid w:val="002F56D9"/>
    <w:rsid w:val="002F57B0"/>
    <w:rsid w:val="002F5825"/>
    <w:rsid w:val="002F5895"/>
    <w:rsid w:val="002F59C4"/>
    <w:rsid w:val="002F5CEF"/>
    <w:rsid w:val="002F5D9E"/>
    <w:rsid w:val="002F5E0D"/>
    <w:rsid w:val="002F5E5B"/>
    <w:rsid w:val="002F5EA2"/>
    <w:rsid w:val="002F5ED3"/>
    <w:rsid w:val="002F6024"/>
    <w:rsid w:val="002F60E5"/>
    <w:rsid w:val="002F6220"/>
    <w:rsid w:val="002F65D8"/>
    <w:rsid w:val="002F669F"/>
    <w:rsid w:val="002F66FF"/>
    <w:rsid w:val="002F6756"/>
    <w:rsid w:val="002F697C"/>
    <w:rsid w:val="002F69C5"/>
    <w:rsid w:val="002F6A6E"/>
    <w:rsid w:val="002F6AA5"/>
    <w:rsid w:val="002F6E45"/>
    <w:rsid w:val="002F6E95"/>
    <w:rsid w:val="002F708D"/>
    <w:rsid w:val="002F70AE"/>
    <w:rsid w:val="002F7117"/>
    <w:rsid w:val="002F717F"/>
    <w:rsid w:val="002F7247"/>
    <w:rsid w:val="002F7274"/>
    <w:rsid w:val="002F7381"/>
    <w:rsid w:val="002F7454"/>
    <w:rsid w:val="002F7474"/>
    <w:rsid w:val="002F74F6"/>
    <w:rsid w:val="002F75B8"/>
    <w:rsid w:val="002F767A"/>
    <w:rsid w:val="002F76F4"/>
    <w:rsid w:val="002F7742"/>
    <w:rsid w:val="002F78BB"/>
    <w:rsid w:val="002F7914"/>
    <w:rsid w:val="002F7932"/>
    <w:rsid w:val="002F7A05"/>
    <w:rsid w:val="002F7A15"/>
    <w:rsid w:val="002F7AF5"/>
    <w:rsid w:val="002F7B05"/>
    <w:rsid w:val="002F7B11"/>
    <w:rsid w:val="002F7B3D"/>
    <w:rsid w:val="002F7C48"/>
    <w:rsid w:val="002F7DD5"/>
    <w:rsid w:val="002F7F1B"/>
    <w:rsid w:val="002F7FF0"/>
    <w:rsid w:val="00300053"/>
    <w:rsid w:val="00300099"/>
    <w:rsid w:val="00300117"/>
    <w:rsid w:val="00300254"/>
    <w:rsid w:val="003002FF"/>
    <w:rsid w:val="00300331"/>
    <w:rsid w:val="003003A6"/>
    <w:rsid w:val="0030048C"/>
    <w:rsid w:val="0030050A"/>
    <w:rsid w:val="00300511"/>
    <w:rsid w:val="00300588"/>
    <w:rsid w:val="003006AB"/>
    <w:rsid w:val="00300846"/>
    <w:rsid w:val="003008A2"/>
    <w:rsid w:val="00300930"/>
    <w:rsid w:val="00300A40"/>
    <w:rsid w:val="00300A62"/>
    <w:rsid w:val="00300AF0"/>
    <w:rsid w:val="00300B16"/>
    <w:rsid w:val="00300EF7"/>
    <w:rsid w:val="00300F05"/>
    <w:rsid w:val="003010CD"/>
    <w:rsid w:val="003011FA"/>
    <w:rsid w:val="0030138E"/>
    <w:rsid w:val="003013AA"/>
    <w:rsid w:val="00301408"/>
    <w:rsid w:val="0030159E"/>
    <w:rsid w:val="003015C9"/>
    <w:rsid w:val="00301B0F"/>
    <w:rsid w:val="00301BE7"/>
    <w:rsid w:val="00301C10"/>
    <w:rsid w:val="00301C32"/>
    <w:rsid w:val="00301EBD"/>
    <w:rsid w:val="00301F9C"/>
    <w:rsid w:val="0030211B"/>
    <w:rsid w:val="0030236C"/>
    <w:rsid w:val="00302469"/>
    <w:rsid w:val="00302627"/>
    <w:rsid w:val="00302681"/>
    <w:rsid w:val="00302A4F"/>
    <w:rsid w:val="00302BBE"/>
    <w:rsid w:val="00302D1E"/>
    <w:rsid w:val="00302DC3"/>
    <w:rsid w:val="00303611"/>
    <w:rsid w:val="0030375D"/>
    <w:rsid w:val="00303817"/>
    <w:rsid w:val="0030391C"/>
    <w:rsid w:val="00303985"/>
    <w:rsid w:val="00303992"/>
    <w:rsid w:val="00303A48"/>
    <w:rsid w:val="00303AB8"/>
    <w:rsid w:val="00303B6D"/>
    <w:rsid w:val="00303C3C"/>
    <w:rsid w:val="00303CEF"/>
    <w:rsid w:val="00303E6D"/>
    <w:rsid w:val="0030416D"/>
    <w:rsid w:val="00304334"/>
    <w:rsid w:val="003045C4"/>
    <w:rsid w:val="003046B5"/>
    <w:rsid w:val="0030473B"/>
    <w:rsid w:val="0030475B"/>
    <w:rsid w:val="003047E8"/>
    <w:rsid w:val="003049A7"/>
    <w:rsid w:val="00304C41"/>
    <w:rsid w:val="00304CA6"/>
    <w:rsid w:val="00304CE2"/>
    <w:rsid w:val="00304ED4"/>
    <w:rsid w:val="00304FF0"/>
    <w:rsid w:val="0030501F"/>
    <w:rsid w:val="0030549B"/>
    <w:rsid w:val="0030549F"/>
    <w:rsid w:val="00305681"/>
    <w:rsid w:val="003056F2"/>
    <w:rsid w:val="0030579C"/>
    <w:rsid w:val="003058D3"/>
    <w:rsid w:val="00305A55"/>
    <w:rsid w:val="00305B41"/>
    <w:rsid w:val="00305BD4"/>
    <w:rsid w:val="00305D37"/>
    <w:rsid w:val="00305E1F"/>
    <w:rsid w:val="00305FF8"/>
    <w:rsid w:val="0030610C"/>
    <w:rsid w:val="003061E5"/>
    <w:rsid w:val="00306302"/>
    <w:rsid w:val="0030638B"/>
    <w:rsid w:val="003064A6"/>
    <w:rsid w:val="003064EA"/>
    <w:rsid w:val="0030651A"/>
    <w:rsid w:val="00306562"/>
    <w:rsid w:val="003065F6"/>
    <w:rsid w:val="0030668D"/>
    <w:rsid w:val="003067B2"/>
    <w:rsid w:val="003067F6"/>
    <w:rsid w:val="00306CCD"/>
    <w:rsid w:val="0030701D"/>
    <w:rsid w:val="0030702D"/>
    <w:rsid w:val="003070AE"/>
    <w:rsid w:val="00307208"/>
    <w:rsid w:val="003072A4"/>
    <w:rsid w:val="00307319"/>
    <w:rsid w:val="003074A5"/>
    <w:rsid w:val="0030757B"/>
    <w:rsid w:val="003075C7"/>
    <w:rsid w:val="00307999"/>
    <w:rsid w:val="00307B48"/>
    <w:rsid w:val="00307B4A"/>
    <w:rsid w:val="00307FDB"/>
    <w:rsid w:val="0031013C"/>
    <w:rsid w:val="003104BD"/>
    <w:rsid w:val="003105DF"/>
    <w:rsid w:val="003105F7"/>
    <w:rsid w:val="00310685"/>
    <w:rsid w:val="0031088D"/>
    <w:rsid w:val="0031093A"/>
    <w:rsid w:val="00310977"/>
    <w:rsid w:val="0031099A"/>
    <w:rsid w:val="00310A64"/>
    <w:rsid w:val="00310AE0"/>
    <w:rsid w:val="00310B35"/>
    <w:rsid w:val="00310B54"/>
    <w:rsid w:val="00310CA4"/>
    <w:rsid w:val="00310E28"/>
    <w:rsid w:val="00310EC1"/>
    <w:rsid w:val="00310FB9"/>
    <w:rsid w:val="00310FBA"/>
    <w:rsid w:val="003110E9"/>
    <w:rsid w:val="0031150F"/>
    <w:rsid w:val="00311614"/>
    <w:rsid w:val="00311693"/>
    <w:rsid w:val="00311780"/>
    <w:rsid w:val="00311879"/>
    <w:rsid w:val="003119C7"/>
    <w:rsid w:val="00311A1A"/>
    <w:rsid w:val="00311AEB"/>
    <w:rsid w:val="00311B53"/>
    <w:rsid w:val="00311B9F"/>
    <w:rsid w:val="00311D12"/>
    <w:rsid w:val="00311D95"/>
    <w:rsid w:val="00311E71"/>
    <w:rsid w:val="00311FEE"/>
    <w:rsid w:val="00312028"/>
    <w:rsid w:val="003122A4"/>
    <w:rsid w:val="003122D6"/>
    <w:rsid w:val="00312392"/>
    <w:rsid w:val="003124A3"/>
    <w:rsid w:val="0031256F"/>
    <w:rsid w:val="0031262B"/>
    <w:rsid w:val="003127B8"/>
    <w:rsid w:val="0031280E"/>
    <w:rsid w:val="0031284C"/>
    <w:rsid w:val="0031289A"/>
    <w:rsid w:val="003128B0"/>
    <w:rsid w:val="00312B5A"/>
    <w:rsid w:val="00312BFC"/>
    <w:rsid w:val="00312C0F"/>
    <w:rsid w:val="00312D4D"/>
    <w:rsid w:val="00312DEE"/>
    <w:rsid w:val="00312E4A"/>
    <w:rsid w:val="00312E73"/>
    <w:rsid w:val="00312F07"/>
    <w:rsid w:val="00313009"/>
    <w:rsid w:val="0031313C"/>
    <w:rsid w:val="00313224"/>
    <w:rsid w:val="003133F6"/>
    <w:rsid w:val="00313461"/>
    <w:rsid w:val="003134EC"/>
    <w:rsid w:val="00313551"/>
    <w:rsid w:val="003137A7"/>
    <w:rsid w:val="00313848"/>
    <w:rsid w:val="00313A69"/>
    <w:rsid w:val="00313C91"/>
    <w:rsid w:val="00313DF6"/>
    <w:rsid w:val="00313E3F"/>
    <w:rsid w:val="00313F72"/>
    <w:rsid w:val="00313FF6"/>
    <w:rsid w:val="0031412C"/>
    <w:rsid w:val="0031419E"/>
    <w:rsid w:val="0031440B"/>
    <w:rsid w:val="00314505"/>
    <w:rsid w:val="00314531"/>
    <w:rsid w:val="00314544"/>
    <w:rsid w:val="00314604"/>
    <w:rsid w:val="00314721"/>
    <w:rsid w:val="003147F2"/>
    <w:rsid w:val="00314835"/>
    <w:rsid w:val="003148F6"/>
    <w:rsid w:val="00314A7C"/>
    <w:rsid w:val="00314A88"/>
    <w:rsid w:val="00314BAC"/>
    <w:rsid w:val="0031503E"/>
    <w:rsid w:val="00315089"/>
    <w:rsid w:val="003150ED"/>
    <w:rsid w:val="003151DF"/>
    <w:rsid w:val="003153E6"/>
    <w:rsid w:val="0031554F"/>
    <w:rsid w:val="00315554"/>
    <w:rsid w:val="003155AE"/>
    <w:rsid w:val="00315746"/>
    <w:rsid w:val="00315747"/>
    <w:rsid w:val="00315844"/>
    <w:rsid w:val="0031584D"/>
    <w:rsid w:val="0031585C"/>
    <w:rsid w:val="003158B9"/>
    <w:rsid w:val="00315BE7"/>
    <w:rsid w:val="00315CC2"/>
    <w:rsid w:val="00315D78"/>
    <w:rsid w:val="00316113"/>
    <w:rsid w:val="003161DB"/>
    <w:rsid w:val="003161FA"/>
    <w:rsid w:val="0031626D"/>
    <w:rsid w:val="00316280"/>
    <w:rsid w:val="0031630D"/>
    <w:rsid w:val="00316410"/>
    <w:rsid w:val="003164CB"/>
    <w:rsid w:val="003166A9"/>
    <w:rsid w:val="003166F2"/>
    <w:rsid w:val="00316798"/>
    <w:rsid w:val="003167EB"/>
    <w:rsid w:val="003168DB"/>
    <w:rsid w:val="003169AF"/>
    <w:rsid w:val="00316B7E"/>
    <w:rsid w:val="00316CA2"/>
    <w:rsid w:val="003170F9"/>
    <w:rsid w:val="003171A0"/>
    <w:rsid w:val="00317211"/>
    <w:rsid w:val="00317343"/>
    <w:rsid w:val="003174E3"/>
    <w:rsid w:val="0031758E"/>
    <w:rsid w:val="003175A0"/>
    <w:rsid w:val="00317616"/>
    <w:rsid w:val="0031765B"/>
    <w:rsid w:val="003176D4"/>
    <w:rsid w:val="00317935"/>
    <w:rsid w:val="003179D7"/>
    <w:rsid w:val="00317CDA"/>
    <w:rsid w:val="00317D41"/>
    <w:rsid w:val="00317FC0"/>
    <w:rsid w:val="003201A1"/>
    <w:rsid w:val="00320273"/>
    <w:rsid w:val="00320294"/>
    <w:rsid w:val="00320422"/>
    <w:rsid w:val="0032091A"/>
    <w:rsid w:val="00320968"/>
    <w:rsid w:val="0032098B"/>
    <w:rsid w:val="003209BD"/>
    <w:rsid w:val="00320D7B"/>
    <w:rsid w:val="00320FEE"/>
    <w:rsid w:val="003213C5"/>
    <w:rsid w:val="003214C4"/>
    <w:rsid w:val="0032151B"/>
    <w:rsid w:val="003216A0"/>
    <w:rsid w:val="00321C7B"/>
    <w:rsid w:val="00321DE0"/>
    <w:rsid w:val="00321E2D"/>
    <w:rsid w:val="00321E9D"/>
    <w:rsid w:val="0032208D"/>
    <w:rsid w:val="003220AE"/>
    <w:rsid w:val="0032216D"/>
    <w:rsid w:val="003221D7"/>
    <w:rsid w:val="003221DA"/>
    <w:rsid w:val="00322277"/>
    <w:rsid w:val="00322324"/>
    <w:rsid w:val="0032238B"/>
    <w:rsid w:val="00322532"/>
    <w:rsid w:val="003226DB"/>
    <w:rsid w:val="00322714"/>
    <w:rsid w:val="00322A8E"/>
    <w:rsid w:val="00322AE8"/>
    <w:rsid w:val="00322B72"/>
    <w:rsid w:val="00322B90"/>
    <w:rsid w:val="00322BB9"/>
    <w:rsid w:val="00322C8B"/>
    <w:rsid w:val="00322ED0"/>
    <w:rsid w:val="00323196"/>
    <w:rsid w:val="00323293"/>
    <w:rsid w:val="003233C3"/>
    <w:rsid w:val="003234E5"/>
    <w:rsid w:val="00323623"/>
    <w:rsid w:val="003236B3"/>
    <w:rsid w:val="003237DA"/>
    <w:rsid w:val="003238E9"/>
    <w:rsid w:val="0032397E"/>
    <w:rsid w:val="00323AFE"/>
    <w:rsid w:val="003240A6"/>
    <w:rsid w:val="003241B9"/>
    <w:rsid w:val="00324335"/>
    <w:rsid w:val="003245B4"/>
    <w:rsid w:val="0032466C"/>
    <w:rsid w:val="0032476A"/>
    <w:rsid w:val="0032483B"/>
    <w:rsid w:val="00324904"/>
    <w:rsid w:val="00324B2C"/>
    <w:rsid w:val="00324B70"/>
    <w:rsid w:val="00324CF4"/>
    <w:rsid w:val="00324E09"/>
    <w:rsid w:val="00325038"/>
    <w:rsid w:val="0032505B"/>
    <w:rsid w:val="003251E4"/>
    <w:rsid w:val="00325396"/>
    <w:rsid w:val="0032545F"/>
    <w:rsid w:val="0032548B"/>
    <w:rsid w:val="0032549E"/>
    <w:rsid w:val="003254C0"/>
    <w:rsid w:val="003255E1"/>
    <w:rsid w:val="00325846"/>
    <w:rsid w:val="00325869"/>
    <w:rsid w:val="0032587F"/>
    <w:rsid w:val="00325AE3"/>
    <w:rsid w:val="00325C65"/>
    <w:rsid w:val="00325CD3"/>
    <w:rsid w:val="00325CE2"/>
    <w:rsid w:val="00325E0E"/>
    <w:rsid w:val="00325F0F"/>
    <w:rsid w:val="00325F69"/>
    <w:rsid w:val="003261CD"/>
    <w:rsid w:val="00326318"/>
    <w:rsid w:val="0032635A"/>
    <w:rsid w:val="00326471"/>
    <w:rsid w:val="003264BB"/>
    <w:rsid w:val="0032672A"/>
    <w:rsid w:val="00326869"/>
    <w:rsid w:val="003268A1"/>
    <w:rsid w:val="003268E0"/>
    <w:rsid w:val="003268FF"/>
    <w:rsid w:val="003269EA"/>
    <w:rsid w:val="00326D67"/>
    <w:rsid w:val="00326E7A"/>
    <w:rsid w:val="00326F85"/>
    <w:rsid w:val="0032720E"/>
    <w:rsid w:val="00327363"/>
    <w:rsid w:val="0032737A"/>
    <w:rsid w:val="00327557"/>
    <w:rsid w:val="0032757B"/>
    <w:rsid w:val="0032760E"/>
    <w:rsid w:val="0032768D"/>
    <w:rsid w:val="00327794"/>
    <w:rsid w:val="003278B5"/>
    <w:rsid w:val="003278D3"/>
    <w:rsid w:val="00327990"/>
    <w:rsid w:val="00327A55"/>
    <w:rsid w:val="00327A74"/>
    <w:rsid w:val="00327B78"/>
    <w:rsid w:val="00327CB9"/>
    <w:rsid w:val="00327CC7"/>
    <w:rsid w:val="00327D38"/>
    <w:rsid w:val="00327D7A"/>
    <w:rsid w:val="00327F60"/>
    <w:rsid w:val="00327F76"/>
    <w:rsid w:val="00327F7D"/>
    <w:rsid w:val="00329860"/>
    <w:rsid w:val="00330015"/>
    <w:rsid w:val="003300D0"/>
    <w:rsid w:val="003300DB"/>
    <w:rsid w:val="00330204"/>
    <w:rsid w:val="0033067B"/>
    <w:rsid w:val="003306E4"/>
    <w:rsid w:val="003307EC"/>
    <w:rsid w:val="00330807"/>
    <w:rsid w:val="00330B70"/>
    <w:rsid w:val="00330BF1"/>
    <w:rsid w:val="00330C6B"/>
    <w:rsid w:val="00330D4F"/>
    <w:rsid w:val="00330E7C"/>
    <w:rsid w:val="00330ED8"/>
    <w:rsid w:val="003311E6"/>
    <w:rsid w:val="00331235"/>
    <w:rsid w:val="003312CF"/>
    <w:rsid w:val="003315EA"/>
    <w:rsid w:val="003317BC"/>
    <w:rsid w:val="00331883"/>
    <w:rsid w:val="00331979"/>
    <w:rsid w:val="00331A22"/>
    <w:rsid w:val="00331ABC"/>
    <w:rsid w:val="00331D7F"/>
    <w:rsid w:val="00331DA9"/>
    <w:rsid w:val="00331EB3"/>
    <w:rsid w:val="0033225E"/>
    <w:rsid w:val="003322B7"/>
    <w:rsid w:val="003322BA"/>
    <w:rsid w:val="00332528"/>
    <w:rsid w:val="003325DB"/>
    <w:rsid w:val="00332642"/>
    <w:rsid w:val="00332669"/>
    <w:rsid w:val="003329B4"/>
    <w:rsid w:val="00332B1B"/>
    <w:rsid w:val="00332BC9"/>
    <w:rsid w:val="00332D46"/>
    <w:rsid w:val="00332DF1"/>
    <w:rsid w:val="00332F6E"/>
    <w:rsid w:val="00332FBF"/>
    <w:rsid w:val="00333070"/>
    <w:rsid w:val="00333123"/>
    <w:rsid w:val="0033317E"/>
    <w:rsid w:val="00333239"/>
    <w:rsid w:val="0033330F"/>
    <w:rsid w:val="0033334A"/>
    <w:rsid w:val="0033341D"/>
    <w:rsid w:val="0033343C"/>
    <w:rsid w:val="003334AD"/>
    <w:rsid w:val="003334FE"/>
    <w:rsid w:val="0033375F"/>
    <w:rsid w:val="00333896"/>
    <w:rsid w:val="003339E9"/>
    <w:rsid w:val="003339F5"/>
    <w:rsid w:val="00333D56"/>
    <w:rsid w:val="00334066"/>
    <w:rsid w:val="0033406B"/>
    <w:rsid w:val="0033426A"/>
    <w:rsid w:val="00334464"/>
    <w:rsid w:val="003344D1"/>
    <w:rsid w:val="00334589"/>
    <w:rsid w:val="00334667"/>
    <w:rsid w:val="0033482D"/>
    <w:rsid w:val="003349FF"/>
    <w:rsid w:val="00334A01"/>
    <w:rsid w:val="00334AEA"/>
    <w:rsid w:val="00334D26"/>
    <w:rsid w:val="00334F0A"/>
    <w:rsid w:val="00335239"/>
    <w:rsid w:val="003354C9"/>
    <w:rsid w:val="003356E7"/>
    <w:rsid w:val="0033583D"/>
    <w:rsid w:val="003358F9"/>
    <w:rsid w:val="00335AE8"/>
    <w:rsid w:val="00335B74"/>
    <w:rsid w:val="00335B81"/>
    <w:rsid w:val="00335BF7"/>
    <w:rsid w:val="00335C6E"/>
    <w:rsid w:val="00335E03"/>
    <w:rsid w:val="00335EC0"/>
    <w:rsid w:val="00335EDE"/>
    <w:rsid w:val="00336102"/>
    <w:rsid w:val="00336126"/>
    <w:rsid w:val="0033618D"/>
    <w:rsid w:val="003362D8"/>
    <w:rsid w:val="003363F0"/>
    <w:rsid w:val="00336470"/>
    <w:rsid w:val="003364C1"/>
    <w:rsid w:val="00336759"/>
    <w:rsid w:val="003367A1"/>
    <w:rsid w:val="00336845"/>
    <w:rsid w:val="00336914"/>
    <w:rsid w:val="003369D1"/>
    <w:rsid w:val="00336B2C"/>
    <w:rsid w:val="00336BEB"/>
    <w:rsid w:val="00336C11"/>
    <w:rsid w:val="00336C35"/>
    <w:rsid w:val="00336ED2"/>
    <w:rsid w:val="00336F0F"/>
    <w:rsid w:val="00336F99"/>
    <w:rsid w:val="00336FB7"/>
    <w:rsid w:val="00337090"/>
    <w:rsid w:val="0033710A"/>
    <w:rsid w:val="0033713A"/>
    <w:rsid w:val="00337238"/>
    <w:rsid w:val="00337274"/>
    <w:rsid w:val="003373E5"/>
    <w:rsid w:val="00337442"/>
    <w:rsid w:val="00337898"/>
    <w:rsid w:val="00337B31"/>
    <w:rsid w:val="00337B3F"/>
    <w:rsid w:val="00337BCC"/>
    <w:rsid w:val="00337F3B"/>
    <w:rsid w:val="0034011E"/>
    <w:rsid w:val="003401E4"/>
    <w:rsid w:val="0034024F"/>
    <w:rsid w:val="00340305"/>
    <w:rsid w:val="00340346"/>
    <w:rsid w:val="0034043D"/>
    <w:rsid w:val="0034048A"/>
    <w:rsid w:val="003404C7"/>
    <w:rsid w:val="0034051A"/>
    <w:rsid w:val="00340675"/>
    <w:rsid w:val="00340A57"/>
    <w:rsid w:val="00340EB4"/>
    <w:rsid w:val="00341046"/>
    <w:rsid w:val="003410D2"/>
    <w:rsid w:val="003410FA"/>
    <w:rsid w:val="00341309"/>
    <w:rsid w:val="003414FB"/>
    <w:rsid w:val="00341695"/>
    <w:rsid w:val="00341706"/>
    <w:rsid w:val="00341A0A"/>
    <w:rsid w:val="00341A49"/>
    <w:rsid w:val="00341BEF"/>
    <w:rsid w:val="00341DCC"/>
    <w:rsid w:val="00341E09"/>
    <w:rsid w:val="00341E5F"/>
    <w:rsid w:val="00341EE6"/>
    <w:rsid w:val="00341EEF"/>
    <w:rsid w:val="00341FA4"/>
    <w:rsid w:val="0034203C"/>
    <w:rsid w:val="003421B6"/>
    <w:rsid w:val="00342285"/>
    <w:rsid w:val="00342362"/>
    <w:rsid w:val="00342460"/>
    <w:rsid w:val="003426E2"/>
    <w:rsid w:val="0034272C"/>
    <w:rsid w:val="003427E1"/>
    <w:rsid w:val="00342835"/>
    <w:rsid w:val="00342879"/>
    <w:rsid w:val="003428B2"/>
    <w:rsid w:val="00342944"/>
    <w:rsid w:val="00342A50"/>
    <w:rsid w:val="00342B1A"/>
    <w:rsid w:val="00342B7F"/>
    <w:rsid w:val="00342BDA"/>
    <w:rsid w:val="00342BDC"/>
    <w:rsid w:val="00342C3E"/>
    <w:rsid w:val="00342DCC"/>
    <w:rsid w:val="00342E17"/>
    <w:rsid w:val="00342E3C"/>
    <w:rsid w:val="00342E81"/>
    <w:rsid w:val="00342F9D"/>
    <w:rsid w:val="003430E6"/>
    <w:rsid w:val="00343158"/>
    <w:rsid w:val="00343179"/>
    <w:rsid w:val="0034351B"/>
    <w:rsid w:val="003435A8"/>
    <w:rsid w:val="00343A80"/>
    <w:rsid w:val="00343AA1"/>
    <w:rsid w:val="00343B30"/>
    <w:rsid w:val="00343B49"/>
    <w:rsid w:val="00343F75"/>
    <w:rsid w:val="003440A6"/>
    <w:rsid w:val="00344124"/>
    <w:rsid w:val="00344162"/>
    <w:rsid w:val="003441D2"/>
    <w:rsid w:val="0034426B"/>
    <w:rsid w:val="003442F7"/>
    <w:rsid w:val="00344446"/>
    <w:rsid w:val="0034466A"/>
    <w:rsid w:val="00344762"/>
    <w:rsid w:val="003448A7"/>
    <w:rsid w:val="00344A68"/>
    <w:rsid w:val="00344B53"/>
    <w:rsid w:val="00344C02"/>
    <w:rsid w:val="00344C34"/>
    <w:rsid w:val="00344F8B"/>
    <w:rsid w:val="003450A4"/>
    <w:rsid w:val="00345197"/>
    <w:rsid w:val="003451CC"/>
    <w:rsid w:val="003452B5"/>
    <w:rsid w:val="003452F5"/>
    <w:rsid w:val="00345452"/>
    <w:rsid w:val="003454D3"/>
    <w:rsid w:val="0034550F"/>
    <w:rsid w:val="0034554E"/>
    <w:rsid w:val="003459A8"/>
    <w:rsid w:val="00345B0E"/>
    <w:rsid w:val="00345F5F"/>
    <w:rsid w:val="00346170"/>
    <w:rsid w:val="00346283"/>
    <w:rsid w:val="00346284"/>
    <w:rsid w:val="0034629F"/>
    <w:rsid w:val="003463AD"/>
    <w:rsid w:val="0034648B"/>
    <w:rsid w:val="00346497"/>
    <w:rsid w:val="003464A6"/>
    <w:rsid w:val="0034694F"/>
    <w:rsid w:val="003469ED"/>
    <w:rsid w:val="00346A44"/>
    <w:rsid w:val="00346AD7"/>
    <w:rsid w:val="00346AFA"/>
    <w:rsid w:val="00346BDB"/>
    <w:rsid w:val="00346D15"/>
    <w:rsid w:val="003472E2"/>
    <w:rsid w:val="0034731E"/>
    <w:rsid w:val="0034748C"/>
    <w:rsid w:val="0034760B"/>
    <w:rsid w:val="003477BE"/>
    <w:rsid w:val="003477D0"/>
    <w:rsid w:val="00347890"/>
    <w:rsid w:val="003478B3"/>
    <w:rsid w:val="00347949"/>
    <w:rsid w:val="003479BE"/>
    <w:rsid w:val="00347B74"/>
    <w:rsid w:val="0035018A"/>
    <w:rsid w:val="003501A6"/>
    <w:rsid w:val="003501DE"/>
    <w:rsid w:val="003501EF"/>
    <w:rsid w:val="0035021C"/>
    <w:rsid w:val="0035022B"/>
    <w:rsid w:val="00350544"/>
    <w:rsid w:val="003505A1"/>
    <w:rsid w:val="003505F5"/>
    <w:rsid w:val="00350950"/>
    <w:rsid w:val="00350A3E"/>
    <w:rsid w:val="00350A9C"/>
    <w:rsid w:val="00350B52"/>
    <w:rsid w:val="00350DC3"/>
    <w:rsid w:val="00350F26"/>
    <w:rsid w:val="00350F2C"/>
    <w:rsid w:val="00350FEB"/>
    <w:rsid w:val="00350FF0"/>
    <w:rsid w:val="003510CA"/>
    <w:rsid w:val="003510D8"/>
    <w:rsid w:val="003510EA"/>
    <w:rsid w:val="0035110E"/>
    <w:rsid w:val="0035114B"/>
    <w:rsid w:val="0035122E"/>
    <w:rsid w:val="003514F7"/>
    <w:rsid w:val="0035159C"/>
    <w:rsid w:val="00351603"/>
    <w:rsid w:val="00351671"/>
    <w:rsid w:val="00351864"/>
    <w:rsid w:val="00351910"/>
    <w:rsid w:val="0035196B"/>
    <w:rsid w:val="00351A8B"/>
    <w:rsid w:val="00351D01"/>
    <w:rsid w:val="003522E7"/>
    <w:rsid w:val="003522F7"/>
    <w:rsid w:val="0035281F"/>
    <w:rsid w:val="00352952"/>
    <w:rsid w:val="00352A3D"/>
    <w:rsid w:val="00352B5E"/>
    <w:rsid w:val="00352C2A"/>
    <w:rsid w:val="00352C9D"/>
    <w:rsid w:val="00352DC4"/>
    <w:rsid w:val="00352EA4"/>
    <w:rsid w:val="00353199"/>
    <w:rsid w:val="0035324E"/>
    <w:rsid w:val="0035347A"/>
    <w:rsid w:val="00353611"/>
    <w:rsid w:val="00353704"/>
    <w:rsid w:val="0035383C"/>
    <w:rsid w:val="00353ABB"/>
    <w:rsid w:val="00353B3D"/>
    <w:rsid w:val="00353BFE"/>
    <w:rsid w:val="00353C7E"/>
    <w:rsid w:val="00353D8B"/>
    <w:rsid w:val="00353DAB"/>
    <w:rsid w:val="0035402C"/>
    <w:rsid w:val="00354087"/>
    <w:rsid w:val="00354204"/>
    <w:rsid w:val="003543F1"/>
    <w:rsid w:val="00354425"/>
    <w:rsid w:val="0035456E"/>
    <w:rsid w:val="00354640"/>
    <w:rsid w:val="00354703"/>
    <w:rsid w:val="00354721"/>
    <w:rsid w:val="0035475B"/>
    <w:rsid w:val="00354778"/>
    <w:rsid w:val="00354894"/>
    <w:rsid w:val="003548DA"/>
    <w:rsid w:val="00354A72"/>
    <w:rsid w:val="00354AB8"/>
    <w:rsid w:val="00354BFE"/>
    <w:rsid w:val="00354C09"/>
    <w:rsid w:val="00354C48"/>
    <w:rsid w:val="00354C4F"/>
    <w:rsid w:val="003550B2"/>
    <w:rsid w:val="003550CA"/>
    <w:rsid w:val="00355192"/>
    <w:rsid w:val="00355237"/>
    <w:rsid w:val="003552B7"/>
    <w:rsid w:val="00355323"/>
    <w:rsid w:val="0035540F"/>
    <w:rsid w:val="00355656"/>
    <w:rsid w:val="003556CC"/>
    <w:rsid w:val="0035574D"/>
    <w:rsid w:val="00355938"/>
    <w:rsid w:val="00355990"/>
    <w:rsid w:val="00355A99"/>
    <w:rsid w:val="00355CD9"/>
    <w:rsid w:val="00355DA6"/>
    <w:rsid w:val="0035604A"/>
    <w:rsid w:val="003560EF"/>
    <w:rsid w:val="00356401"/>
    <w:rsid w:val="0035649A"/>
    <w:rsid w:val="00356509"/>
    <w:rsid w:val="00356637"/>
    <w:rsid w:val="00356878"/>
    <w:rsid w:val="00356926"/>
    <w:rsid w:val="00356AB5"/>
    <w:rsid w:val="00356B3B"/>
    <w:rsid w:val="00356E28"/>
    <w:rsid w:val="00357103"/>
    <w:rsid w:val="00357221"/>
    <w:rsid w:val="00357284"/>
    <w:rsid w:val="00357364"/>
    <w:rsid w:val="00357610"/>
    <w:rsid w:val="0035783C"/>
    <w:rsid w:val="003579BD"/>
    <w:rsid w:val="003579E0"/>
    <w:rsid w:val="00357AD2"/>
    <w:rsid w:val="0036034A"/>
    <w:rsid w:val="0036038E"/>
    <w:rsid w:val="00360441"/>
    <w:rsid w:val="0036057C"/>
    <w:rsid w:val="003606C9"/>
    <w:rsid w:val="00360948"/>
    <w:rsid w:val="003609E2"/>
    <w:rsid w:val="00360B09"/>
    <w:rsid w:val="00360BB0"/>
    <w:rsid w:val="003611BA"/>
    <w:rsid w:val="00361312"/>
    <w:rsid w:val="00361341"/>
    <w:rsid w:val="00361562"/>
    <w:rsid w:val="0036171B"/>
    <w:rsid w:val="00361866"/>
    <w:rsid w:val="00361922"/>
    <w:rsid w:val="0036196D"/>
    <w:rsid w:val="00361B3E"/>
    <w:rsid w:val="00361C60"/>
    <w:rsid w:val="00361CA7"/>
    <w:rsid w:val="00361CCB"/>
    <w:rsid w:val="00361DDF"/>
    <w:rsid w:val="003621BE"/>
    <w:rsid w:val="003621D3"/>
    <w:rsid w:val="003621D8"/>
    <w:rsid w:val="003622A3"/>
    <w:rsid w:val="0036236B"/>
    <w:rsid w:val="0036253B"/>
    <w:rsid w:val="00362640"/>
    <w:rsid w:val="003627DF"/>
    <w:rsid w:val="003628BA"/>
    <w:rsid w:val="00362941"/>
    <w:rsid w:val="00362BBD"/>
    <w:rsid w:val="00362C70"/>
    <w:rsid w:val="00362CA5"/>
    <w:rsid w:val="00362CDA"/>
    <w:rsid w:val="00362E25"/>
    <w:rsid w:val="00362E2B"/>
    <w:rsid w:val="00362E68"/>
    <w:rsid w:val="00362FE8"/>
    <w:rsid w:val="003631D3"/>
    <w:rsid w:val="003634C2"/>
    <w:rsid w:val="0036363A"/>
    <w:rsid w:val="0036376C"/>
    <w:rsid w:val="003637FF"/>
    <w:rsid w:val="00363938"/>
    <w:rsid w:val="00363A63"/>
    <w:rsid w:val="00363A9A"/>
    <w:rsid w:val="00363B1E"/>
    <w:rsid w:val="00363BB2"/>
    <w:rsid w:val="00363C1F"/>
    <w:rsid w:val="00363C71"/>
    <w:rsid w:val="00363C99"/>
    <w:rsid w:val="00363D11"/>
    <w:rsid w:val="00363EDA"/>
    <w:rsid w:val="00363EFD"/>
    <w:rsid w:val="00363FA8"/>
    <w:rsid w:val="003640C8"/>
    <w:rsid w:val="0036424D"/>
    <w:rsid w:val="00364251"/>
    <w:rsid w:val="00364296"/>
    <w:rsid w:val="00364365"/>
    <w:rsid w:val="00364406"/>
    <w:rsid w:val="00364429"/>
    <w:rsid w:val="003644D8"/>
    <w:rsid w:val="003644DE"/>
    <w:rsid w:val="003644F8"/>
    <w:rsid w:val="00364725"/>
    <w:rsid w:val="00364AA7"/>
    <w:rsid w:val="00364D59"/>
    <w:rsid w:val="00364EF7"/>
    <w:rsid w:val="00365167"/>
    <w:rsid w:val="0036526E"/>
    <w:rsid w:val="0036535E"/>
    <w:rsid w:val="003653F8"/>
    <w:rsid w:val="00365469"/>
    <w:rsid w:val="00365471"/>
    <w:rsid w:val="00365493"/>
    <w:rsid w:val="003654AD"/>
    <w:rsid w:val="00365605"/>
    <w:rsid w:val="00365617"/>
    <w:rsid w:val="003657BE"/>
    <w:rsid w:val="0036581C"/>
    <w:rsid w:val="00365AB0"/>
    <w:rsid w:val="00365B22"/>
    <w:rsid w:val="00365B57"/>
    <w:rsid w:val="00365C1E"/>
    <w:rsid w:val="00365C65"/>
    <w:rsid w:val="00365C8D"/>
    <w:rsid w:val="00365D0C"/>
    <w:rsid w:val="0036601C"/>
    <w:rsid w:val="00366183"/>
    <w:rsid w:val="00366253"/>
    <w:rsid w:val="0036633F"/>
    <w:rsid w:val="00366460"/>
    <w:rsid w:val="0036654C"/>
    <w:rsid w:val="0036667E"/>
    <w:rsid w:val="00366794"/>
    <w:rsid w:val="0036679C"/>
    <w:rsid w:val="003667B0"/>
    <w:rsid w:val="003667C9"/>
    <w:rsid w:val="003669CC"/>
    <w:rsid w:val="00366ABB"/>
    <w:rsid w:val="00366B08"/>
    <w:rsid w:val="00366C05"/>
    <w:rsid w:val="00366DE6"/>
    <w:rsid w:val="00366ED3"/>
    <w:rsid w:val="0036712A"/>
    <w:rsid w:val="0036719D"/>
    <w:rsid w:val="00367398"/>
    <w:rsid w:val="0036742B"/>
    <w:rsid w:val="0036743D"/>
    <w:rsid w:val="00367446"/>
    <w:rsid w:val="003674BC"/>
    <w:rsid w:val="00367513"/>
    <w:rsid w:val="0036752F"/>
    <w:rsid w:val="00367583"/>
    <w:rsid w:val="00367596"/>
    <w:rsid w:val="0036773B"/>
    <w:rsid w:val="0036775E"/>
    <w:rsid w:val="003677E6"/>
    <w:rsid w:val="00367822"/>
    <w:rsid w:val="00367876"/>
    <w:rsid w:val="003679A0"/>
    <w:rsid w:val="003679B4"/>
    <w:rsid w:val="003679CD"/>
    <w:rsid w:val="00367AC9"/>
    <w:rsid w:val="00367AFF"/>
    <w:rsid w:val="00370041"/>
    <w:rsid w:val="00370147"/>
    <w:rsid w:val="0037015F"/>
    <w:rsid w:val="00370238"/>
    <w:rsid w:val="003702A6"/>
    <w:rsid w:val="003706F3"/>
    <w:rsid w:val="0037075D"/>
    <w:rsid w:val="003707E5"/>
    <w:rsid w:val="00370900"/>
    <w:rsid w:val="00370C16"/>
    <w:rsid w:val="00370EA5"/>
    <w:rsid w:val="00370F9D"/>
    <w:rsid w:val="00370FD3"/>
    <w:rsid w:val="00371291"/>
    <w:rsid w:val="003712C3"/>
    <w:rsid w:val="003713CD"/>
    <w:rsid w:val="00371792"/>
    <w:rsid w:val="003717D0"/>
    <w:rsid w:val="003719B8"/>
    <w:rsid w:val="003719E8"/>
    <w:rsid w:val="00371DAF"/>
    <w:rsid w:val="00371E4D"/>
    <w:rsid w:val="00371EAC"/>
    <w:rsid w:val="0037209A"/>
    <w:rsid w:val="0037212C"/>
    <w:rsid w:val="0037219D"/>
    <w:rsid w:val="003721EB"/>
    <w:rsid w:val="003724BD"/>
    <w:rsid w:val="0037252A"/>
    <w:rsid w:val="00372547"/>
    <w:rsid w:val="003726F1"/>
    <w:rsid w:val="0037276D"/>
    <w:rsid w:val="003727A2"/>
    <w:rsid w:val="00372AFC"/>
    <w:rsid w:val="00372D97"/>
    <w:rsid w:val="00373106"/>
    <w:rsid w:val="003731A4"/>
    <w:rsid w:val="00373483"/>
    <w:rsid w:val="00373490"/>
    <w:rsid w:val="0037373C"/>
    <w:rsid w:val="00373800"/>
    <w:rsid w:val="00373899"/>
    <w:rsid w:val="0037394A"/>
    <w:rsid w:val="00373954"/>
    <w:rsid w:val="00373A22"/>
    <w:rsid w:val="00373B03"/>
    <w:rsid w:val="00373BE2"/>
    <w:rsid w:val="00373D53"/>
    <w:rsid w:val="00373D73"/>
    <w:rsid w:val="00374044"/>
    <w:rsid w:val="0037425E"/>
    <w:rsid w:val="0037427D"/>
    <w:rsid w:val="00374303"/>
    <w:rsid w:val="0037438A"/>
    <w:rsid w:val="003743D9"/>
    <w:rsid w:val="00374404"/>
    <w:rsid w:val="00374546"/>
    <w:rsid w:val="003745A1"/>
    <w:rsid w:val="003745BF"/>
    <w:rsid w:val="00374630"/>
    <w:rsid w:val="003746C2"/>
    <w:rsid w:val="00374707"/>
    <w:rsid w:val="0037473B"/>
    <w:rsid w:val="0037477A"/>
    <w:rsid w:val="0037491F"/>
    <w:rsid w:val="00374A88"/>
    <w:rsid w:val="00374AA1"/>
    <w:rsid w:val="00374D0D"/>
    <w:rsid w:val="00374F28"/>
    <w:rsid w:val="00374FA9"/>
    <w:rsid w:val="00374FAB"/>
    <w:rsid w:val="0037506E"/>
    <w:rsid w:val="003751AA"/>
    <w:rsid w:val="00375243"/>
    <w:rsid w:val="00375277"/>
    <w:rsid w:val="00375563"/>
    <w:rsid w:val="003755EB"/>
    <w:rsid w:val="0037567F"/>
    <w:rsid w:val="003757B7"/>
    <w:rsid w:val="00375834"/>
    <w:rsid w:val="003759D6"/>
    <w:rsid w:val="00375A08"/>
    <w:rsid w:val="00375B68"/>
    <w:rsid w:val="00375BB8"/>
    <w:rsid w:val="00375BD9"/>
    <w:rsid w:val="00375C7D"/>
    <w:rsid w:val="00375D10"/>
    <w:rsid w:val="00375D57"/>
    <w:rsid w:val="00375D70"/>
    <w:rsid w:val="00375DDE"/>
    <w:rsid w:val="00375E75"/>
    <w:rsid w:val="00375E9F"/>
    <w:rsid w:val="00375ED2"/>
    <w:rsid w:val="00376006"/>
    <w:rsid w:val="00376153"/>
    <w:rsid w:val="00376183"/>
    <w:rsid w:val="003761EA"/>
    <w:rsid w:val="00376261"/>
    <w:rsid w:val="00376437"/>
    <w:rsid w:val="003764E9"/>
    <w:rsid w:val="00376663"/>
    <w:rsid w:val="0037670E"/>
    <w:rsid w:val="00376901"/>
    <w:rsid w:val="00376B1E"/>
    <w:rsid w:val="00376BF1"/>
    <w:rsid w:val="00376D91"/>
    <w:rsid w:val="00376E41"/>
    <w:rsid w:val="00376EC9"/>
    <w:rsid w:val="0037710D"/>
    <w:rsid w:val="00377165"/>
    <w:rsid w:val="0037721B"/>
    <w:rsid w:val="00377338"/>
    <w:rsid w:val="003773D8"/>
    <w:rsid w:val="003777DB"/>
    <w:rsid w:val="003777E5"/>
    <w:rsid w:val="00377ADD"/>
    <w:rsid w:val="00377BF0"/>
    <w:rsid w:val="00377C6F"/>
    <w:rsid w:val="00377D29"/>
    <w:rsid w:val="00377E66"/>
    <w:rsid w:val="00377E68"/>
    <w:rsid w:val="00377E72"/>
    <w:rsid w:val="00377EFF"/>
    <w:rsid w:val="00377F28"/>
    <w:rsid w:val="00377FA9"/>
    <w:rsid w:val="00380180"/>
    <w:rsid w:val="00380210"/>
    <w:rsid w:val="003802E7"/>
    <w:rsid w:val="003803E0"/>
    <w:rsid w:val="003803F6"/>
    <w:rsid w:val="0038092E"/>
    <w:rsid w:val="003809F3"/>
    <w:rsid w:val="00380AE1"/>
    <w:rsid w:val="00380B39"/>
    <w:rsid w:val="00380B8D"/>
    <w:rsid w:val="00380C67"/>
    <w:rsid w:val="00380E1C"/>
    <w:rsid w:val="003810F0"/>
    <w:rsid w:val="00381149"/>
    <w:rsid w:val="0038122E"/>
    <w:rsid w:val="003815F1"/>
    <w:rsid w:val="003816DF"/>
    <w:rsid w:val="0038183B"/>
    <w:rsid w:val="00381A01"/>
    <w:rsid w:val="00381A03"/>
    <w:rsid w:val="00381A23"/>
    <w:rsid w:val="00381EC5"/>
    <w:rsid w:val="00381F02"/>
    <w:rsid w:val="003820E0"/>
    <w:rsid w:val="0038217B"/>
    <w:rsid w:val="00382265"/>
    <w:rsid w:val="003824EE"/>
    <w:rsid w:val="003826DC"/>
    <w:rsid w:val="0038294F"/>
    <w:rsid w:val="00382956"/>
    <w:rsid w:val="00382A23"/>
    <w:rsid w:val="00382ADB"/>
    <w:rsid w:val="00382B49"/>
    <w:rsid w:val="00382BD8"/>
    <w:rsid w:val="00382C8D"/>
    <w:rsid w:val="00382D29"/>
    <w:rsid w:val="00382E04"/>
    <w:rsid w:val="00382E8A"/>
    <w:rsid w:val="00383141"/>
    <w:rsid w:val="003833DB"/>
    <w:rsid w:val="00383524"/>
    <w:rsid w:val="0038372A"/>
    <w:rsid w:val="003837A2"/>
    <w:rsid w:val="0038389C"/>
    <w:rsid w:val="00383987"/>
    <w:rsid w:val="00383C16"/>
    <w:rsid w:val="00383CEB"/>
    <w:rsid w:val="00383EA0"/>
    <w:rsid w:val="003841B5"/>
    <w:rsid w:val="003843D2"/>
    <w:rsid w:val="00384580"/>
    <w:rsid w:val="003845E4"/>
    <w:rsid w:val="00384704"/>
    <w:rsid w:val="0038489D"/>
    <w:rsid w:val="00384A1F"/>
    <w:rsid w:val="00384A33"/>
    <w:rsid w:val="00384A46"/>
    <w:rsid w:val="00384AB4"/>
    <w:rsid w:val="00384BB4"/>
    <w:rsid w:val="00384C2C"/>
    <w:rsid w:val="00384D61"/>
    <w:rsid w:val="00384EE5"/>
    <w:rsid w:val="003850D5"/>
    <w:rsid w:val="00385106"/>
    <w:rsid w:val="00385279"/>
    <w:rsid w:val="00385289"/>
    <w:rsid w:val="003852CF"/>
    <w:rsid w:val="003852D3"/>
    <w:rsid w:val="003852F8"/>
    <w:rsid w:val="00385345"/>
    <w:rsid w:val="0038556E"/>
    <w:rsid w:val="00385692"/>
    <w:rsid w:val="003856AB"/>
    <w:rsid w:val="003856C2"/>
    <w:rsid w:val="00385720"/>
    <w:rsid w:val="0038576E"/>
    <w:rsid w:val="00385867"/>
    <w:rsid w:val="003859D9"/>
    <w:rsid w:val="00385A19"/>
    <w:rsid w:val="00385B3A"/>
    <w:rsid w:val="00385BE6"/>
    <w:rsid w:val="00385DC9"/>
    <w:rsid w:val="00385E12"/>
    <w:rsid w:val="00385E2A"/>
    <w:rsid w:val="00385F07"/>
    <w:rsid w:val="00385F66"/>
    <w:rsid w:val="00385FC2"/>
    <w:rsid w:val="00386047"/>
    <w:rsid w:val="00386230"/>
    <w:rsid w:val="00386481"/>
    <w:rsid w:val="0038648F"/>
    <w:rsid w:val="003864C1"/>
    <w:rsid w:val="0038657C"/>
    <w:rsid w:val="003866A4"/>
    <w:rsid w:val="00386797"/>
    <w:rsid w:val="00386800"/>
    <w:rsid w:val="00386918"/>
    <w:rsid w:val="00386955"/>
    <w:rsid w:val="00386975"/>
    <w:rsid w:val="00386C01"/>
    <w:rsid w:val="00386D75"/>
    <w:rsid w:val="00386E1C"/>
    <w:rsid w:val="00387122"/>
    <w:rsid w:val="003871B2"/>
    <w:rsid w:val="00387201"/>
    <w:rsid w:val="00387221"/>
    <w:rsid w:val="0038726C"/>
    <w:rsid w:val="0038760A"/>
    <w:rsid w:val="0038765F"/>
    <w:rsid w:val="00387754"/>
    <w:rsid w:val="00387799"/>
    <w:rsid w:val="0038782F"/>
    <w:rsid w:val="00387A26"/>
    <w:rsid w:val="00387B79"/>
    <w:rsid w:val="00387C28"/>
    <w:rsid w:val="00387F0A"/>
    <w:rsid w:val="00387F36"/>
    <w:rsid w:val="0039037B"/>
    <w:rsid w:val="00390466"/>
    <w:rsid w:val="0039048C"/>
    <w:rsid w:val="00390520"/>
    <w:rsid w:val="0039057C"/>
    <w:rsid w:val="003906E8"/>
    <w:rsid w:val="0039073C"/>
    <w:rsid w:val="00390AE1"/>
    <w:rsid w:val="00390C02"/>
    <w:rsid w:val="00390D22"/>
    <w:rsid w:val="00390D45"/>
    <w:rsid w:val="00390F55"/>
    <w:rsid w:val="00391073"/>
    <w:rsid w:val="00391249"/>
    <w:rsid w:val="003912AB"/>
    <w:rsid w:val="003913AD"/>
    <w:rsid w:val="003914FC"/>
    <w:rsid w:val="003917FF"/>
    <w:rsid w:val="00391863"/>
    <w:rsid w:val="0039186D"/>
    <w:rsid w:val="00391A5D"/>
    <w:rsid w:val="00391B1C"/>
    <w:rsid w:val="00391BEF"/>
    <w:rsid w:val="00391BFB"/>
    <w:rsid w:val="00391CEE"/>
    <w:rsid w:val="003922C8"/>
    <w:rsid w:val="00392393"/>
    <w:rsid w:val="003923CC"/>
    <w:rsid w:val="00392473"/>
    <w:rsid w:val="0039260A"/>
    <w:rsid w:val="00392754"/>
    <w:rsid w:val="0039275B"/>
    <w:rsid w:val="00392847"/>
    <w:rsid w:val="00392A09"/>
    <w:rsid w:val="00392B6D"/>
    <w:rsid w:val="00392C16"/>
    <w:rsid w:val="00392C48"/>
    <w:rsid w:val="00392DBE"/>
    <w:rsid w:val="00392F48"/>
    <w:rsid w:val="00392F9E"/>
    <w:rsid w:val="00392FAB"/>
    <w:rsid w:val="003930B6"/>
    <w:rsid w:val="0039328A"/>
    <w:rsid w:val="00393675"/>
    <w:rsid w:val="0039380B"/>
    <w:rsid w:val="00393845"/>
    <w:rsid w:val="003939AF"/>
    <w:rsid w:val="00393CBA"/>
    <w:rsid w:val="00393CFD"/>
    <w:rsid w:val="00393ED4"/>
    <w:rsid w:val="00393F52"/>
    <w:rsid w:val="00393FF8"/>
    <w:rsid w:val="003940D9"/>
    <w:rsid w:val="00394152"/>
    <w:rsid w:val="00394185"/>
    <w:rsid w:val="00394380"/>
    <w:rsid w:val="003943F1"/>
    <w:rsid w:val="00394465"/>
    <w:rsid w:val="00394671"/>
    <w:rsid w:val="00394695"/>
    <w:rsid w:val="003946AE"/>
    <w:rsid w:val="003948F0"/>
    <w:rsid w:val="00394A96"/>
    <w:rsid w:val="00394ADD"/>
    <w:rsid w:val="00394BBE"/>
    <w:rsid w:val="00394BF5"/>
    <w:rsid w:val="00394EA8"/>
    <w:rsid w:val="0039526B"/>
    <w:rsid w:val="003952A8"/>
    <w:rsid w:val="003952E1"/>
    <w:rsid w:val="0039534D"/>
    <w:rsid w:val="00395376"/>
    <w:rsid w:val="003954B8"/>
    <w:rsid w:val="0039553D"/>
    <w:rsid w:val="0039556B"/>
    <w:rsid w:val="003955AF"/>
    <w:rsid w:val="00395835"/>
    <w:rsid w:val="00395A57"/>
    <w:rsid w:val="00395AA9"/>
    <w:rsid w:val="00395C9C"/>
    <w:rsid w:val="00395ECE"/>
    <w:rsid w:val="0039609C"/>
    <w:rsid w:val="0039610A"/>
    <w:rsid w:val="0039613B"/>
    <w:rsid w:val="003962B3"/>
    <w:rsid w:val="00396486"/>
    <w:rsid w:val="00396543"/>
    <w:rsid w:val="00396629"/>
    <w:rsid w:val="003968B4"/>
    <w:rsid w:val="00396950"/>
    <w:rsid w:val="00396A5B"/>
    <w:rsid w:val="00396AAF"/>
    <w:rsid w:val="00396AD4"/>
    <w:rsid w:val="00396AF1"/>
    <w:rsid w:val="00396BAF"/>
    <w:rsid w:val="00396C47"/>
    <w:rsid w:val="00396EE7"/>
    <w:rsid w:val="00397121"/>
    <w:rsid w:val="003971AB"/>
    <w:rsid w:val="003972E9"/>
    <w:rsid w:val="0039736D"/>
    <w:rsid w:val="0039747B"/>
    <w:rsid w:val="003974C2"/>
    <w:rsid w:val="0039754A"/>
    <w:rsid w:val="0039755D"/>
    <w:rsid w:val="00397560"/>
    <w:rsid w:val="003975BD"/>
    <w:rsid w:val="003975C6"/>
    <w:rsid w:val="00397675"/>
    <w:rsid w:val="00397777"/>
    <w:rsid w:val="003977BC"/>
    <w:rsid w:val="00397867"/>
    <w:rsid w:val="00397AFB"/>
    <w:rsid w:val="00397B14"/>
    <w:rsid w:val="00397C35"/>
    <w:rsid w:val="00397D26"/>
    <w:rsid w:val="00397E99"/>
    <w:rsid w:val="00397F66"/>
    <w:rsid w:val="00397FEB"/>
    <w:rsid w:val="003A0179"/>
    <w:rsid w:val="003A0190"/>
    <w:rsid w:val="003A036E"/>
    <w:rsid w:val="003A0404"/>
    <w:rsid w:val="003A0475"/>
    <w:rsid w:val="003A0485"/>
    <w:rsid w:val="003A050A"/>
    <w:rsid w:val="003A059D"/>
    <w:rsid w:val="003A05A0"/>
    <w:rsid w:val="003A05EF"/>
    <w:rsid w:val="003A065B"/>
    <w:rsid w:val="003A068B"/>
    <w:rsid w:val="003A0A3F"/>
    <w:rsid w:val="003A0AD2"/>
    <w:rsid w:val="003A0B41"/>
    <w:rsid w:val="003A0E58"/>
    <w:rsid w:val="003A0EF7"/>
    <w:rsid w:val="003A0F68"/>
    <w:rsid w:val="003A10CD"/>
    <w:rsid w:val="003A11C3"/>
    <w:rsid w:val="003A1491"/>
    <w:rsid w:val="003A14D6"/>
    <w:rsid w:val="003A15BA"/>
    <w:rsid w:val="003A16C3"/>
    <w:rsid w:val="003A1B87"/>
    <w:rsid w:val="003A1CF5"/>
    <w:rsid w:val="003A1F02"/>
    <w:rsid w:val="003A1FC5"/>
    <w:rsid w:val="003A2101"/>
    <w:rsid w:val="003A216C"/>
    <w:rsid w:val="003A23E2"/>
    <w:rsid w:val="003A24DD"/>
    <w:rsid w:val="003A24E6"/>
    <w:rsid w:val="003A2513"/>
    <w:rsid w:val="003A2573"/>
    <w:rsid w:val="003A25BC"/>
    <w:rsid w:val="003A26B1"/>
    <w:rsid w:val="003A288A"/>
    <w:rsid w:val="003A29E4"/>
    <w:rsid w:val="003A2C1C"/>
    <w:rsid w:val="003A2E12"/>
    <w:rsid w:val="003A2E1B"/>
    <w:rsid w:val="003A2F86"/>
    <w:rsid w:val="003A3149"/>
    <w:rsid w:val="003A32CB"/>
    <w:rsid w:val="003A3317"/>
    <w:rsid w:val="003A35CD"/>
    <w:rsid w:val="003A3759"/>
    <w:rsid w:val="003A3806"/>
    <w:rsid w:val="003A3829"/>
    <w:rsid w:val="003A39ED"/>
    <w:rsid w:val="003A3B2E"/>
    <w:rsid w:val="003A3BA1"/>
    <w:rsid w:val="003A3C10"/>
    <w:rsid w:val="003A3E9D"/>
    <w:rsid w:val="003A3F4B"/>
    <w:rsid w:val="003A4077"/>
    <w:rsid w:val="003A43C9"/>
    <w:rsid w:val="003A44D0"/>
    <w:rsid w:val="003A454D"/>
    <w:rsid w:val="003A455F"/>
    <w:rsid w:val="003A45E8"/>
    <w:rsid w:val="003A46E1"/>
    <w:rsid w:val="003A4747"/>
    <w:rsid w:val="003A4AF1"/>
    <w:rsid w:val="003A4D41"/>
    <w:rsid w:val="003A4E48"/>
    <w:rsid w:val="003A4FA0"/>
    <w:rsid w:val="003A50C0"/>
    <w:rsid w:val="003A51DB"/>
    <w:rsid w:val="003A5452"/>
    <w:rsid w:val="003A558A"/>
    <w:rsid w:val="003A57AE"/>
    <w:rsid w:val="003A57EE"/>
    <w:rsid w:val="003A5894"/>
    <w:rsid w:val="003A59C0"/>
    <w:rsid w:val="003A5A4A"/>
    <w:rsid w:val="003A5F23"/>
    <w:rsid w:val="003A621B"/>
    <w:rsid w:val="003A631E"/>
    <w:rsid w:val="003A6387"/>
    <w:rsid w:val="003A63C9"/>
    <w:rsid w:val="003A63FB"/>
    <w:rsid w:val="003A6582"/>
    <w:rsid w:val="003A66F9"/>
    <w:rsid w:val="003A67A1"/>
    <w:rsid w:val="003A690D"/>
    <w:rsid w:val="003A692A"/>
    <w:rsid w:val="003A6B90"/>
    <w:rsid w:val="003A6BCA"/>
    <w:rsid w:val="003A6C75"/>
    <w:rsid w:val="003A6CFC"/>
    <w:rsid w:val="003A6F39"/>
    <w:rsid w:val="003A6FDE"/>
    <w:rsid w:val="003A70E4"/>
    <w:rsid w:val="003A7135"/>
    <w:rsid w:val="003A7152"/>
    <w:rsid w:val="003A738D"/>
    <w:rsid w:val="003A7447"/>
    <w:rsid w:val="003A7562"/>
    <w:rsid w:val="003A75F8"/>
    <w:rsid w:val="003A7674"/>
    <w:rsid w:val="003A76D6"/>
    <w:rsid w:val="003A77C1"/>
    <w:rsid w:val="003A77EF"/>
    <w:rsid w:val="003A794E"/>
    <w:rsid w:val="003A79C9"/>
    <w:rsid w:val="003A7B01"/>
    <w:rsid w:val="003A7EF3"/>
    <w:rsid w:val="003A7FE3"/>
    <w:rsid w:val="003B020B"/>
    <w:rsid w:val="003B029B"/>
    <w:rsid w:val="003B02BA"/>
    <w:rsid w:val="003B02E2"/>
    <w:rsid w:val="003B0376"/>
    <w:rsid w:val="003B0420"/>
    <w:rsid w:val="003B042C"/>
    <w:rsid w:val="003B0471"/>
    <w:rsid w:val="003B04F7"/>
    <w:rsid w:val="003B06BF"/>
    <w:rsid w:val="003B08AC"/>
    <w:rsid w:val="003B08C7"/>
    <w:rsid w:val="003B094B"/>
    <w:rsid w:val="003B0960"/>
    <w:rsid w:val="003B0A00"/>
    <w:rsid w:val="003B0AB8"/>
    <w:rsid w:val="003B0B07"/>
    <w:rsid w:val="003B0B16"/>
    <w:rsid w:val="003B0BD5"/>
    <w:rsid w:val="003B0E40"/>
    <w:rsid w:val="003B0E82"/>
    <w:rsid w:val="003B0E89"/>
    <w:rsid w:val="003B0F4C"/>
    <w:rsid w:val="003B1282"/>
    <w:rsid w:val="003B1347"/>
    <w:rsid w:val="003B13F8"/>
    <w:rsid w:val="003B1412"/>
    <w:rsid w:val="003B1518"/>
    <w:rsid w:val="003B1581"/>
    <w:rsid w:val="003B15E0"/>
    <w:rsid w:val="003B16CC"/>
    <w:rsid w:val="003B1875"/>
    <w:rsid w:val="003B18F0"/>
    <w:rsid w:val="003B1952"/>
    <w:rsid w:val="003B19B8"/>
    <w:rsid w:val="003B1A2A"/>
    <w:rsid w:val="003B1C04"/>
    <w:rsid w:val="003B1C95"/>
    <w:rsid w:val="003B1DE4"/>
    <w:rsid w:val="003B1E5C"/>
    <w:rsid w:val="003B1EE9"/>
    <w:rsid w:val="003B2183"/>
    <w:rsid w:val="003B22CE"/>
    <w:rsid w:val="003B2395"/>
    <w:rsid w:val="003B2648"/>
    <w:rsid w:val="003B2662"/>
    <w:rsid w:val="003B2705"/>
    <w:rsid w:val="003B270D"/>
    <w:rsid w:val="003B28D8"/>
    <w:rsid w:val="003B28F5"/>
    <w:rsid w:val="003B299D"/>
    <w:rsid w:val="003B2B82"/>
    <w:rsid w:val="003B2D97"/>
    <w:rsid w:val="003B2FF3"/>
    <w:rsid w:val="003B30B4"/>
    <w:rsid w:val="003B30CF"/>
    <w:rsid w:val="003B31A7"/>
    <w:rsid w:val="003B31E9"/>
    <w:rsid w:val="003B3234"/>
    <w:rsid w:val="003B3285"/>
    <w:rsid w:val="003B3425"/>
    <w:rsid w:val="003B34EA"/>
    <w:rsid w:val="003B37D8"/>
    <w:rsid w:val="003B37EE"/>
    <w:rsid w:val="003B3803"/>
    <w:rsid w:val="003B38A9"/>
    <w:rsid w:val="003B3915"/>
    <w:rsid w:val="003B3A7D"/>
    <w:rsid w:val="003B3C24"/>
    <w:rsid w:val="003B3C3D"/>
    <w:rsid w:val="003B3D8B"/>
    <w:rsid w:val="003B3F5B"/>
    <w:rsid w:val="003B4251"/>
    <w:rsid w:val="003B42FA"/>
    <w:rsid w:val="003B448F"/>
    <w:rsid w:val="003B44F4"/>
    <w:rsid w:val="003B46F2"/>
    <w:rsid w:val="003B4751"/>
    <w:rsid w:val="003B47ED"/>
    <w:rsid w:val="003B4B61"/>
    <w:rsid w:val="003B4DFF"/>
    <w:rsid w:val="003B4E9D"/>
    <w:rsid w:val="003B4F1A"/>
    <w:rsid w:val="003B5031"/>
    <w:rsid w:val="003B5083"/>
    <w:rsid w:val="003B5152"/>
    <w:rsid w:val="003B5257"/>
    <w:rsid w:val="003B5324"/>
    <w:rsid w:val="003B5350"/>
    <w:rsid w:val="003B553E"/>
    <w:rsid w:val="003B5592"/>
    <w:rsid w:val="003B5651"/>
    <w:rsid w:val="003B565A"/>
    <w:rsid w:val="003B572B"/>
    <w:rsid w:val="003B57CA"/>
    <w:rsid w:val="003B58A5"/>
    <w:rsid w:val="003B5979"/>
    <w:rsid w:val="003B59DA"/>
    <w:rsid w:val="003B59E9"/>
    <w:rsid w:val="003B5AF7"/>
    <w:rsid w:val="003B5C94"/>
    <w:rsid w:val="003B5D47"/>
    <w:rsid w:val="003B5D59"/>
    <w:rsid w:val="003B5E17"/>
    <w:rsid w:val="003B5E7F"/>
    <w:rsid w:val="003B5EE9"/>
    <w:rsid w:val="003B5FE6"/>
    <w:rsid w:val="003B61FD"/>
    <w:rsid w:val="003B6285"/>
    <w:rsid w:val="003B6311"/>
    <w:rsid w:val="003B6630"/>
    <w:rsid w:val="003B6746"/>
    <w:rsid w:val="003B6864"/>
    <w:rsid w:val="003B68DA"/>
    <w:rsid w:val="003B68DC"/>
    <w:rsid w:val="003B693B"/>
    <w:rsid w:val="003B6BA1"/>
    <w:rsid w:val="003B6DD6"/>
    <w:rsid w:val="003B6E40"/>
    <w:rsid w:val="003B6F34"/>
    <w:rsid w:val="003B6F9F"/>
    <w:rsid w:val="003B705F"/>
    <w:rsid w:val="003B7191"/>
    <w:rsid w:val="003B7215"/>
    <w:rsid w:val="003B725D"/>
    <w:rsid w:val="003B7450"/>
    <w:rsid w:val="003B7469"/>
    <w:rsid w:val="003B7545"/>
    <w:rsid w:val="003B7743"/>
    <w:rsid w:val="003B776D"/>
    <w:rsid w:val="003B779D"/>
    <w:rsid w:val="003B78AD"/>
    <w:rsid w:val="003B78E3"/>
    <w:rsid w:val="003B79EA"/>
    <w:rsid w:val="003B7C7D"/>
    <w:rsid w:val="003B7CEC"/>
    <w:rsid w:val="003B7E3B"/>
    <w:rsid w:val="003B7E3D"/>
    <w:rsid w:val="003B7FA9"/>
    <w:rsid w:val="003C02A0"/>
    <w:rsid w:val="003C0795"/>
    <w:rsid w:val="003C08C4"/>
    <w:rsid w:val="003C0B29"/>
    <w:rsid w:val="003C0B8B"/>
    <w:rsid w:val="003C0BE0"/>
    <w:rsid w:val="003C0C98"/>
    <w:rsid w:val="003C0CB4"/>
    <w:rsid w:val="003C0D7D"/>
    <w:rsid w:val="003C1075"/>
    <w:rsid w:val="003C1094"/>
    <w:rsid w:val="003C10D0"/>
    <w:rsid w:val="003C10D3"/>
    <w:rsid w:val="003C10E2"/>
    <w:rsid w:val="003C11EE"/>
    <w:rsid w:val="003C12DB"/>
    <w:rsid w:val="003C132B"/>
    <w:rsid w:val="003C1368"/>
    <w:rsid w:val="003C1487"/>
    <w:rsid w:val="003C15A5"/>
    <w:rsid w:val="003C15C2"/>
    <w:rsid w:val="003C1763"/>
    <w:rsid w:val="003C19C7"/>
    <w:rsid w:val="003C1BE3"/>
    <w:rsid w:val="003C1BEA"/>
    <w:rsid w:val="003C206B"/>
    <w:rsid w:val="003C2086"/>
    <w:rsid w:val="003C2166"/>
    <w:rsid w:val="003C21DE"/>
    <w:rsid w:val="003C2313"/>
    <w:rsid w:val="003C246D"/>
    <w:rsid w:val="003C2476"/>
    <w:rsid w:val="003C27EF"/>
    <w:rsid w:val="003C291F"/>
    <w:rsid w:val="003C2A88"/>
    <w:rsid w:val="003C2DE3"/>
    <w:rsid w:val="003C2E73"/>
    <w:rsid w:val="003C307B"/>
    <w:rsid w:val="003C30BC"/>
    <w:rsid w:val="003C3861"/>
    <w:rsid w:val="003C393C"/>
    <w:rsid w:val="003C3BB2"/>
    <w:rsid w:val="003C3EE7"/>
    <w:rsid w:val="003C42A3"/>
    <w:rsid w:val="003C4357"/>
    <w:rsid w:val="003C43FE"/>
    <w:rsid w:val="003C455B"/>
    <w:rsid w:val="003C48D3"/>
    <w:rsid w:val="003C53AF"/>
    <w:rsid w:val="003C53CD"/>
    <w:rsid w:val="003C543A"/>
    <w:rsid w:val="003C551B"/>
    <w:rsid w:val="003C57A7"/>
    <w:rsid w:val="003C5894"/>
    <w:rsid w:val="003C5963"/>
    <w:rsid w:val="003C59D7"/>
    <w:rsid w:val="003C5C1D"/>
    <w:rsid w:val="003C5C34"/>
    <w:rsid w:val="003C5C44"/>
    <w:rsid w:val="003C5DD3"/>
    <w:rsid w:val="003C5E07"/>
    <w:rsid w:val="003C5F73"/>
    <w:rsid w:val="003C60FB"/>
    <w:rsid w:val="003C61F8"/>
    <w:rsid w:val="003C628D"/>
    <w:rsid w:val="003C630D"/>
    <w:rsid w:val="003C64A9"/>
    <w:rsid w:val="003C651F"/>
    <w:rsid w:val="003C65FF"/>
    <w:rsid w:val="003C6648"/>
    <w:rsid w:val="003C66FC"/>
    <w:rsid w:val="003C6897"/>
    <w:rsid w:val="003C6908"/>
    <w:rsid w:val="003C6912"/>
    <w:rsid w:val="003C69D7"/>
    <w:rsid w:val="003C6A2B"/>
    <w:rsid w:val="003C6A9E"/>
    <w:rsid w:val="003C6B7C"/>
    <w:rsid w:val="003C6C95"/>
    <w:rsid w:val="003C6CE7"/>
    <w:rsid w:val="003C6D0A"/>
    <w:rsid w:val="003C6F88"/>
    <w:rsid w:val="003C706E"/>
    <w:rsid w:val="003C7180"/>
    <w:rsid w:val="003C7268"/>
    <w:rsid w:val="003C732F"/>
    <w:rsid w:val="003C73CB"/>
    <w:rsid w:val="003C75FD"/>
    <w:rsid w:val="003C76EA"/>
    <w:rsid w:val="003C77E2"/>
    <w:rsid w:val="003C78AB"/>
    <w:rsid w:val="003C78D7"/>
    <w:rsid w:val="003C7A0E"/>
    <w:rsid w:val="003C7A82"/>
    <w:rsid w:val="003C7A88"/>
    <w:rsid w:val="003C7E1C"/>
    <w:rsid w:val="003C7FAF"/>
    <w:rsid w:val="003D00A4"/>
    <w:rsid w:val="003D00F5"/>
    <w:rsid w:val="003D0147"/>
    <w:rsid w:val="003D024E"/>
    <w:rsid w:val="003D0345"/>
    <w:rsid w:val="003D04AA"/>
    <w:rsid w:val="003D07D6"/>
    <w:rsid w:val="003D087B"/>
    <w:rsid w:val="003D088E"/>
    <w:rsid w:val="003D0947"/>
    <w:rsid w:val="003D09A6"/>
    <w:rsid w:val="003D0AC8"/>
    <w:rsid w:val="003D0D05"/>
    <w:rsid w:val="003D0DDE"/>
    <w:rsid w:val="003D0DFA"/>
    <w:rsid w:val="003D0E40"/>
    <w:rsid w:val="003D0E9E"/>
    <w:rsid w:val="003D12AC"/>
    <w:rsid w:val="003D131D"/>
    <w:rsid w:val="003D1394"/>
    <w:rsid w:val="003D1783"/>
    <w:rsid w:val="003D196A"/>
    <w:rsid w:val="003D1AAC"/>
    <w:rsid w:val="003D1CE0"/>
    <w:rsid w:val="003D1D44"/>
    <w:rsid w:val="003D1D81"/>
    <w:rsid w:val="003D1E89"/>
    <w:rsid w:val="003D1F60"/>
    <w:rsid w:val="003D20A3"/>
    <w:rsid w:val="003D2199"/>
    <w:rsid w:val="003D22AA"/>
    <w:rsid w:val="003D22B5"/>
    <w:rsid w:val="003D241E"/>
    <w:rsid w:val="003D242E"/>
    <w:rsid w:val="003D25B1"/>
    <w:rsid w:val="003D25D6"/>
    <w:rsid w:val="003D2690"/>
    <w:rsid w:val="003D2873"/>
    <w:rsid w:val="003D2889"/>
    <w:rsid w:val="003D294A"/>
    <w:rsid w:val="003D2974"/>
    <w:rsid w:val="003D2A1C"/>
    <w:rsid w:val="003D2A4B"/>
    <w:rsid w:val="003D2B64"/>
    <w:rsid w:val="003D2B96"/>
    <w:rsid w:val="003D2C8C"/>
    <w:rsid w:val="003D2D62"/>
    <w:rsid w:val="003D2E48"/>
    <w:rsid w:val="003D2E79"/>
    <w:rsid w:val="003D2E7A"/>
    <w:rsid w:val="003D3008"/>
    <w:rsid w:val="003D3169"/>
    <w:rsid w:val="003D3204"/>
    <w:rsid w:val="003D3287"/>
    <w:rsid w:val="003D32F1"/>
    <w:rsid w:val="003D33AC"/>
    <w:rsid w:val="003D33F3"/>
    <w:rsid w:val="003D3432"/>
    <w:rsid w:val="003D355C"/>
    <w:rsid w:val="003D3620"/>
    <w:rsid w:val="003D36BE"/>
    <w:rsid w:val="003D36CA"/>
    <w:rsid w:val="003D37FD"/>
    <w:rsid w:val="003D38BD"/>
    <w:rsid w:val="003D3A50"/>
    <w:rsid w:val="003D3B48"/>
    <w:rsid w:val="003D3B9A"/>
    <w:rsid w:val="003D3BB5"/>
    <w:rsid w:val="003D3BF0"/>
    <w:rsid w:val="003D3C7A"/>
    <w:rsid w:val="003D3C9C"/>
    <w:rsid w:val="003D408C"/>
    <w:rsid w:val="003D4105"/>
    <w:rsid w:val="003D4218"/>
    <w:rsid w:val="003D4426"/>
    <w:rsid w:val="003D451D"/>
    <w:rsid w:val="003D4520"/>
    <w:rsid w:val="003D45FA"/>
    <w:rsid w:val="003D469A"/>
    <w:rsid w:val="003D486A"/>
    <w:rsid w:val="003D4906"/>
    <w:rsid w:val="003D4C85"/>
    <w:rsid w:val="003D4EF6"/>
    <w:rsid w:val="003D515E"/>
    <w:rsid w:val="003D51E6"/>
    <w:rsid w:val="003D5289"/>
    <w:rsid w:val="003D5388"/>
    <w:rsid w:val="003D544C"/>
    <w:rsid w:val="003D5750"/>
    <w:rsid w:val="003D57A2"/>
    <w:rsid w:val="003D5987"/>
    <w:rsid w:val="003D5A61"/>
    <w:rsid w:val="003D5C2A"/>
    <w:rsid w:val="003D5C7F"/>
    <w:rsid w:val="003D5CAC"/>
    <w:rsid w:val="003D5E31"/>
    <w:rsid w:val="003D5F49"/>
    <w:rsid w:val="003D6291"/>
    <w:rsid w:val="003D62F1"/>
    <w:rsid w:val="003D630C"/>
    <w:rsid w:val="003D6484"/>
    <w:rsid w:val="003D6495"/>
    <w:rsid w:val="003D65D2"/>
    <w:rsid w:val="003D6668"/>
    <w:rsid w:val="003D6695"/>
    <w:rsid w:val="003D671F"/>
    <w:rsid w:val="003D6759"/>
    <w:rsid w:val="003D67E0"/>
    <w:rsid w:val="003D682D"/>
    <w:rsid w:val="003D6A32"/>
    <w:rsid w:val="003D6A6A"/>
    <w:rsid w:val="003D6BC3"/>
    <w:rsid w:val="003D6CA6"/>
    <w:rsid w:val="003D6D7F"/>
    <w:rsid w:val="003D6EB8"/>
    <w:rsid w:val="003D707E"/>
    <w:rsid w:val="003D7181"/>
    <w:rsid w:val="003D71D6"/>
    <w:rsid w:val="003D742E"/>
    <w:rsid w:val="003D7453"/>
    <w:rsid w:val="003D74FF"/>
    <w:rsid w:val="003D75B2"/>
    <w:rsid w:val="003D77CE"/>
    <w:rsid w:val="003D794C"/>
    <w:rsid w:val="003D79F9"/>
    <w:rsid w:val="003D7A11"/>
    <w:rsid w:val="003D7AF2"/>
    <w:rsid w:val="003D7BD5"/>
    <w:rsid w:val="003D7CE0"/>
    <w:rsid w:val="003D7D52"/>
    <w:rsid w:val="003E0099"/>
    <w:rsid w:val="003E02A2"/>
    <w:rsid w:val="003E02F3"/>
    <w:rsid w:val="003E069F"/>
    <w:rsid w:val="003E074E"/>
    <w:rsid w:val="003E0A32"/>
    <w:rsid w:val="003E0C35"/>
    <w:rsid w:val="003E0C7D"/>
    <w:rsid w:val="003E0D80"/>
    <w:rsid w:val="003E0F17"/>
    <w:rsid w:val="003E0F3D"/>
    <w:rsid w:val="003E11A5"/>
    <w:rsid w:val="003E121C"/>
    <w:rsid w:val="003E152B"/>
    <w:rsid w:val="003E1539"/>
    <w:rsid w:val="003E157A"/>
    <w:rsid w:val="003E15A2"/>
    <w:rsid w:val="003E17C7"/>
    <w:rsid w:val="003E188C"/>
    <w:rsid w:val="003E1985"/>
    <w:rsid w:val="003E19AE"/>
    <w:rsid w:val="003E1B32"/>
    <w:rsid w:val="003E1C51"/>
    <w:rsid w:val="003E1D38"/>
    <w:rsid w:val="003E1DD5"/>
    <w:rsid w:val="003E1DE7"/>
    <w:rsid w:val="003E1E14"/>
    <w:rsid w:val="003E1EDA"/>
    <w:rsid w:val="003E1F32"/>
    <w:rsid w:val="003E1FB7"/>
    <w:rsid w:val="003E2143"/>
    <w:rsid w:val="003E22FA"/>
    <w:rsid w:val="003E23A6"/>
    <w:rsid w:val="003E242D"/>
    <w:rsid w:val="003E243D"/>
    <w:rsid w:val="003E24AD"/>
    <w:rsid w:val="003E24D7"/>
    <w:rsid w:val="003E2508"/>
    <w:rsid w:val="003E2653"/>
    <w:rsid w:val="003E2783"/>
    <w:rsid w:val="003E279B"/>
    <w:rsid w:val="003E289D"/>
    <w:rsid w:val="003E296E"/>
    <w:rsid w:val="003E2BFC"/>
    <w:rsid w:val="003E2D16"/>
    <w:rsid w:val="003E2D94"/>
    <w:rsid w:val="003E2D9F"/>
    <w:rsid w:val="003E2E10"/>
    <w:rsid w:val="003E2F21"/>
    <w:rsid w:val="003E30F9"/>
    <w:rsid w:val="003E32F5"/>
    <w:rsid w:val="003E3310"/>
    <w:rsid w:val="003E335B"/>
    <w:rsid w:val="003E33A0"/>
    <w:rsid w:val="003E34F2"/>
    <w:rsid w:val="003E3673"/>
    <w:rsid w:val="003E36F2"/>
    <w:rsid w:val="003E3747"/>
    <w:rsid w:val="003E3815"/>
    <w:rsid w:val="003E3852"/>
    <w:rsid w:val="003E3B5B"/>
    <w:rsid w:val="003E3C8B"/>
    <w:rsid w:val="003E3CD8"/>
    <w:rsid w:val="003E3CF2"/>
    <w:rsid w:val="003E3D15"/>
    <w:rsid w:val="003E3F9E"/>
    <w:rsid w:val="003E4051"/>
    <w:rsid w:val="003E4141"/>
    <w:rsid w:val="003E430B"/>
    <w:rsid w:val="003E43C3"/>
    <w:rsid w:val="003E4610"/>
    <w:rsid w:val="003E46FD"/>
    <w:rsid w:val="003E472E"/>
    <w:rsid w:val="003E4741"/>
    <w:rsid w:val="003E4777"/>
    <w:rsid w:val="003E490D"/>
    <w:rsid w:val="003E4E83"/>
    <w:rsid w:val="003E4F4C"/>
    <w:rsid w:val="003E4F8A"/>
    <w:rsid w:val="003E503D"/>
    <w:rsid w:val="003E50BC"/>
    <w:rsid w:val="003E5129"/>
    <w:rsid w:val="003E51E7"/>
    <w:rsid w:val="003E520F"/>
    <w:rsid w:val="003E54AC"/>
    <w:rsid w:val="003E54AF"/>
    <w:rsid w:val="003E54C7"/>
    <w:rsid w:val="003E5549"/>
    <w:rsid w:val="003E5940"/>
    <w:rsid w:val="003E5A10"/>
    <w:rsid w:val="003E5BB6"/>
    <w:rsid w:val="003E5C86"/>
    <w:rsid w:val="003E5CDD"/>
    <w:rsid w:val="003E5D85"/>
    <w:rsid w:val="003E5DBB"/>
    <w:rsid w:val="003E5DDD"/>
    <w:rsid w:val="003E6178"/>
    <w:rsid w:val="003E61AC"/>
    <w:rsid w:val="003E629E"/>
    <w:rsid w:val="003E63F2"/>
    <w:rsid w:val="003E659F"/>
    <w:rsid w:val="003E65A4"/>
    <w:rsid w:val="003E668C"/>
    <w:rsid w:val="003E66B1"/>
    <w:rsid w:val="003E6A1C"/>
    <w:rsid w:val="003E6C66"/>
    <w:rsid w:val="003E6DD7"/>
    <w:rsid w:val="003E6E0D"/>
    <w:rsid w:val="003E6E0E"/>
    <w:rsid w:val="003E6E30"/>
    <w:rsid w:val="003E6E74"/>
    <w:rsid w:val="003E6EEE"/>
    <w:rsid w:val="003E6FA9"/>
    <w:rsid w:val="003E70E5"/>
    <w:rsid w:val="003E715D"/>
    <w:rsid w:val="003E717A"/>
    <w:rsid w:val="003E71BB"/>
    <w:rsid w:val="003E731C"/>
    <w:rsid w:val="003E7373"/>
    <w:rsid w:val="003E7481"/>
    <w:rsid w:val="003E74AE"/>
    <w:rsid w:val="003E74D7"/>
    <w:rsid w:val="003E762F"/>
    <w:rsid w:val="003E763A"/>
    <w:rsid w:val="003E770B"/>
    <w:rsid w:val="003E7769"/>
    <w:rsid w:val="003E798D"/>
    <w:rsid w:val="003E7A5B"/>
    <w:rsid w:val="003E7F5F"/>
    <w:rsid w:val="003F00EE"/>
    <w:rsid w:val="003F0167"/>
    <w:rsid w:val="003F0184"/>
    <w:rsid w:val="003F0230"/>
    <w:rsid w:val="003F03D0"/>
    <w:rsid w:val="003F0556"/>
    <w:rsid w:val="003F0619"/>
    <w:rsid w:val="003F062D"/>
    <w:rsid w:val="003F0755"/>
    <w:rsid w:val="003F0841"/>
    <w:rsid w:val="003F0B48"/>
    <w:rsid w:val="003F0C33"/>
    <w:rsid w:val="003F0CCD"/>
    <w:rsid w:val="003F0E6D"/>
    <w:rsid w:val="003F10A0"/>
    <w:rsid w:val="003F1165"/>
    <w:rsid w:val="003F116D"/>
    <w:rsid w:val="003F1303"/>
    <w:rsid w:val="003F1367"/>
    <w:rsid w:val="003F1488"/>
    <w:rsid w:val="003F14B3"/>
    <w:rsid w:val="003F14CD"/>
    <w:rsid w:val="003F150F"/>
    <w:rsid w:val="003F17E5"/>
    <w:rsid w:val="003F1963"/>
    <w:rsid w:val="003F198C"/>
    <w:rsid w:val="003F1A6F"/>
    <w:rsid w:val="003F1D7B"/>
    <w:rsid w:val="003F1D8A"/>
    <w:rsid w:val="003F1DF1"/>
    <w:rsid w:val="003F1E37"/>
    <w:rsid w:val="003F2049"/>
    <w:rsid w:val="003F208E"/>
    <w:rsid w:val="003F20CD"/>
    <w:rsid w:val="003F23D7"/>
    <w:rsid w:val="003F261D"/>
    <w:rsid w:val="003F26A9"/>
    <w:rsid w:val="003F278A"/>
    <w:rsid w:val="003F282B"/>
    <w:rsid w:val="003F292C"/>
    <w:rsid w:val="003F296F"/>
    <w:rsid w:val="003F2A25"/>
    <w:rsid w:val="003F2A44"/>
    <w:rsid w:val="003F2A67"/>
    <w:rsid w:val="003F2C53"/>
    <w:rsid w:val="003F2D10"/>
    <w:rsid w:val="003F2DED"/>
    <w:rsid w:val="003F2E36"/>
    <w:rsid w:val="003F2F97"/>
    <w:rsid w:val="003F31EA"/>
    <w:rsid w:val="003F335F"/>
    <w:rsid w:val="003F3588"/>
    <w:rsid w:val="003F366B"/>
    <w:rsid w:val="003F38DE"/>
    <w:rsid w:val="003F3953"/>
    <w:rsid w:val="003F3995"/>
    <w:rsid w:val="003F3BAF"/>
    <w:rsid w:val="003F3C24"/>
    <w:rsid w:val="003F3D7E"/>
    <w:rsid w:val="003F3D83"/>
    <w:rsid w:val="003F3E41"/>
    <w:rsid w:val="003F3E42"/>
    <w:rsid w:val="003F40C9"/>
    <w:rsid w:val="003F41F5"/>
    <w:rsid w:val="003F439A"/>
    <w:rsid w:val="003F4402"/>
    <w:rsid w:val="003F4474"/>
    <w:rsid w:val="003F44D8"/>
    <w:rsid w:val="003F466E"/>
    <w:rsid w:val="003F4684"/>
    <w:rsid w:val="003F4777"/>
    <w:rsid w:val="003F497B"/>
    <w:rsid w:val="003F4C6F"/>
    <w:rsid w:val="003F4CE9"/>
    <w:rsid w:val="003F505A"/>
    <w:rsid w:val="003F5201"/>
    <w:rsid w:val="003F5414"/>
    <w:rsid w:val="003F5433"/>
    <w:rsid w:val="003F5471"/>
    <w:rsid w:val="003F5503"/>
    <w:rsid w:val="003F57DD"/>
    <w:rsid w:val="003F5852"/>
    <w:rsid w:val="003F5951"/>
    <w:rsid w:val="003F5975"/>
    <w:rsid w:val="003F5A5A"/>
    <w:rsid w:val="003F611E"/>
    <w:rsid w:val="003F6378"/>
    <w:rsid w:val="003F645C"/>
    <w:rsid w:val="003F64C9"/>
    <w:rsid w:val="003F651D"/>
    <w:rsid w:val="003F66A3"/>
    <w:rsid w:val="003F676D"/>
    <w:rsid w:val="003F6799"/>
    <w:rsid w:val="003F6832"/>
    <w:rsid w:val="003F68E7"/>
    <w:rsid w:val="003F690D"/>
    <w:rsid w:val="003F6930"/>
    <w:rsid w:val="003F6A63"/>
    <w:rsid w:val="003F6EAE"/>
    <w:rsid w:val="003F6FF6"/>
    <w:rsid w:val="003F7072"/>
    <w:rsid w:val="003F7228"/>
    <w:rsid w:val="003F723D"/>
    <w:rsid w:val="003F7273"/>
    <w:rsid w:val="003F72B7"/>
    <w:rsid w:val="003F744B"/>
    <w:rsid w:val="003F74CB"/>
    <w:rsid w:val="003F7508"/>
    <w:rsid w:val="003F7581"/>
    <w:rsid w:val="003F7608"/>
    <w:rsid w:val="003F7807"/>
    <w:rsid w:val="003F7990"/>
    <w:rsid w:val="003F7A4B"/>
    <w:rsid w:val="003F7A5F"/>
    <w:rsid w:val="003F7B98"/>
    <w:rsid w:val="003F7C3D"/>
    <w:rsid w:val="003F7C8C"/>
    <w:rsid w:val="003F7E44"/>
    <w:rsid w:val="003F7E80"/>
    <w:rsid w:val="003F7EEC"/>
    <w:rsid w:val="003F7F4D"/>
    <w:rsid w:val="0040006D"/>
    <w:rsid w:val="004000F1"/>
    <w:rsid w:val="004002C6"/>
    <w:rsid w:val="0040040A"/>
    <w:rsid w:val="004004E1"/>
    <w:rsid w:val="00400586"/>
    <w:rsid w:val="00400662"/>
    <w:rsid w:val="00400826"/>
    <w:rsid w:val="00400939"/>
    <w:rsid w:val="00400F2A"/>
    <w:rsid w:val="00401179"/>
    <w:rsid w:val="00401208"/>
    <w:rsid w:val="0040128D"/>
    <w:rsid w:val="004012F1"/>
    <w:rsid w:val="0040136F"/>
    <w:rsid w:val="00401564"/>
    <w:rsid w:val="00401723"/>
    <w:rsid w:val="00401740"/>
    <w:rsid w:val="00401B2C"/>
    <w:rsid w:val="00401C22"/>
    <w:rsid w:val="00401E1E"/>
    <w:rsid w:val="00401F87"/>
    <w:rsid w:val="00401FA3"/>
    <w:rsid w:val="004020DE"/>
    <w:rsid w:val="00402451"/>
    <w:rsid w:val="00402517"/>
    <w:rsid w:val="00402832"/>
    <w:rsid w:val="0040290C"/>
    <w:rsid w:val="00402AFD"/>
    <w:rsid w:val="00402CEC"/>
    <w:rsid w:val="00402D89"/>
    <w:rsid w:val="004030B4"/>
    <w:rsid w:val="0040323D"/>
    <w:rsid w:val="00403246"/>
    <w:rsid w:val="00403262"/>
    <w:rsid w:val="00403344"/>
    <w:rsid w:val="004033C7"/>
    <w:rsid w:val="004033D4"/>
    <w:rsid w:val="00403562"/>
    <w:rsid w:val="0040363B"/>
    <w:rsid w:val="0040364A"/>
    <w:rsid w:val="004037E4"/>
    <w:rsid w:val="004038C2"/>
    <w:rsid w:val="00403A61"/>
    <w:rsid w:val="00403B9D"/>
    <w:rsid w:val="00403C3B"/>
    <w:rsid w:val="00403E9E"/>
    <w:rsid w:val="00404000"/>
    <w:rsid w:val="0040401F"/>
    <w:rsid w:val="004040BB"/>
    <w:rsid w:val="0040411B"/>
    <w:rsid w:val="00404260"/>
    <w:rsid w:val="004043A4"/>
    <w:rsid w:val="004044DE"/>
    <w:rsid w:val="004044E4"/>
    <w:rsid w:val="00404515"/>
    <w:rsid w:val="00404722"/>
    <w:rsid w:val="00404A72"/>
    <w:rsid w:val="00404AD6"/>
    <w:rsid w:val="00404BE3"/>
    <w:rsid w:val="00404D1A"/>
    <w:rsid w:val="00404D59"/>
    <w:rsid w:val="00404E62"/>
    <w:rsid w:val="00404EE4"/>
    <w:rsid w:val="0040506F"/>
    <w:rsid w:val="004050B8"/>
    <w:rsid w:val="0040518F"/>
    <w:rsid w:val="00405290"/>
    <w:rsid w:val="0040530E"/>
    <w:rsid w:val="00405358"/>
    <w:rsid w:val="00405465"/>
    <w:rsid w:val="00405587"/>
    <w:rsid w:val="004055E8"/>
    <w:rsid w:val="0040567F"/>
    <w:rsid w:val="00405837"/>
    <w:rsid w:val="0040584B"/>
    <w:rsid w:val="00405A7A"/>
    <w:rsid w:val="00405C39"/>
    <w:rsid w:val="00405DB5"/>
    <w:rsid w:val="00405F31"/>
    <w:rsid w:val="004060D0"/>
    <w:rsid w:val="004060D6"/>
    <w:rsid w:val="004062A9"/>
    <w:rsid w:val="00406313"/>
    <w:rsid w:val="00406536"/>
    <w:rsid w:val="004065EF"/>
    <w:rsid w:val="0040677B"/>
    <w:rsid w:val="00406A2D"/>
    <w:rsid w:val="00406ADE"/>
    <w:rsid w:val="00406C15"/>
    <w:rsid w:val="00406CC2"/>
    <w:rsid w:val="00406DEB"/>
    <w:rsid w:val="00406F31"/>
    <w:rsid w:val="00406FB3"/>
    <w:rsid w:val="004073D4"/>
    <w:rsid w:val="00407739"/>
    <w:rsid w:val="00407752"/>
    <w:rsid w:val="0040776C"/>
    <w:rsid w:val="004077B7"/>
    <w:rsid w:val="004077FA"/>
    <w:rsid w:val="00407817"/>
    <w:rsid w:val="00407A71"/>
    <w:rsid w:val="00407B08"/>
    <w:rsid w:val="00407BD7"/>
    <w:rsid w:val="00407C2A"/>
    <w:rsid w:val="00407CD3"/>
    <w:rsid w:val="00407DBC"/>
    <w:rsid w:val="00407E79"/>
    <w:rsid w:val="00407EAD"/>
    <w:rsid w:val="00407F64"/>
    <w:rsid w:val="004100FC"/>
    <w:rsid w:val="0041013A"/>
    <w:rsid w:val="00410179"/>
    <w:rsid w:val="004101F4"/>
    <w:rsid w:val="004103A1"/>
    <w:rsid w:val="00410617"/>
    <w:rsid w:val="00410742"/>
    <w:rsid w:val="004108C1"/>
    <w:rsid w:val="00410A65"/>
    <w:rsid w:val="00410AED"/>
    <w:rsid w:val="00410C87"/>
    <w:rsid w:val="00410D3D"/>
    <w:rsid w:val="00410E8B"/>
    <w:rsid w:val="004110F2"/>
    <w:rsid w:val="004119CB"/>
    <w:rsid w:val="00411AEC"/>
    <w:rsid w:val="00411C1F"/>
    <w:rsid w:val="00411CA2"/>
    <w:rsid w:val="00411F18"/>
    <w:rsid w:val="00411F5C"/>
    <w:rsid w:val="00411F92"/>
    <w:rsid w:val="0041202E"/>
    <w:rsid w:val="00412142"/>
    <w:rsid w:val="004121AE"/>
    <w:rsid w:val="004123C1"/>
    <w:rsid w:val="00412403"/>
    <w:rsid w:val="004124E0"/>
    <w:rsid w:val="00412612"/>
    <w:rsid w:val="004127A3"/>
    <w:rsid w:val="00412A8D"/>
    <w:rsid w:val="00412B98"/>
    <w:rsid w:val="00412BC6"/>
    <w:rsid w:val="00412C22"/>
    <w:rsid w:val="00412D38"/>
    <w:rsid w:val="00412D67"/>
    <w:rsid w:val="00412E26"/>
    <w:rsid w:val="0041309F"/>
    <w:rsid w:val="004130E1"/>
    <w:rsid w:val="00413109"/>
    <w:rsid w:val="00413173"/>
    <w:rsid w:val="004132CE"/>
    <w:rsid w:val="004132EF"/>
    <w:rsid w:val="0041336A"/>
    <w:rsid w:val="00413415"/>
    <w:rsid w:val="00413497"/>
    <w:rsid w:val="00413610"/>
    <w:rsid w:val="0041373E"/>
    <w:rsid w:val="0041377E"/>
    <w:rsid w:val="00413881"/>
    <w:rsid w:val="004138BD"/>
    <w:rsid w:val="004139D0"/>
    <w:rsid w:val="00413CB7"/>
    <w:rsid w:val="00413DB2"/>
    <w:rsid w:val="00413EC4"/>
    <w:rsid w:val="004141A3"/>
    <w:rsid w:val="0041437F"/>
    <w:rsid w:val="004145C3"/>
    <w:rsid w:val="004145FD"/>
    <w:rsid w:val="004146A6"/>
    <w:rsid w:val="004146CC"/>
    <w:rsid w:val="00414875"/>
    <w:rsid w:val="0041493F"/>
    <w:rsid w:val="00414A5B"/>
    <w:rsid w:val="00414AE4"/>
    <w:rsid w:val="00414B54"/>
    <w:rsid w:val="00414B69"/>
    <w:rsid w:val="00414DC0"/>
    <w:rsid w:val="00414E29"/>
    <w:rsid w:val="00414E48"/>
    <w:rsid w:val="00414F8E"/>
    <w:rsid w:val="00415098"/>
    <w:rsid w:val="0041530B"/>
    <w:rsid w:val="00415430"/>
    <w:rsid w:val="004154A0"/>
    <w:rsid w:val="004154F8"/>
    <w:rsid w:val="00415525"/>
    <w:rsid w:val="00415560"/>
    <w:rsid w:val="004155EF"/>
    <w:rsid w:val="0041570F"/>
    <w:rsid w:val="00415843"/>
    <w:rsid w:val="004158A0"/>
    <w:rsid w:val="004158E7"/>
    <w:rsid w:val="00415A63"/>
    <w:rsid w:val="00415E00"/>
    <w:rsid w:val="00415EC3"/>
    <w:rsid w:val="00416077"/>
    <w:rsid w:val="00416154"/>
    <w:rsid w:val="0041615E"/>
    <w:rsid w:val="004163DF"/>
    <w:rsid w:val="004164EA"/>
    <w:rsid w:val="0041663C"/>
    <w:rsid w:val="0041682C"/>
    <w:rsid w:val="00416B21"/>
    <w:rsid w:val="00416CB6"/>
    <w:rsid w:val="00416D7F"/>
    <w:rsid w:val="00416E2C"/>
    <w:rsid w:val="00417031"/>
    <w:rsid w:val="00417038"/>
    <w:rsid w:val="004173AB"/>
    <w:rsid w:val="004173F6"/>
    <w:rsid w:val="00417665"/>
    <w:rsid w:val="00417767"/>
    <w:rsid w:val="0041780C"/>
    <w:rsid w:val="0041795A"/>
    <w:rsid w:val="004179FB"/>
    <w:rsid w:val="00417A9C"/>
    <w:rsid w:val="00417B95"/>
    <w:rsid w:val="00417C21"/>
    <w:rsid w:val="00417C4D"/>
    <w:rsid w:val="00417C82"/>
    <w:rsid w:val="004200FD"/>
    <w:rsid w:val="00420322"/>
    <w:rsid w:val="004204A1"/>
    <w:rsid w:val="0042066F"/>
    <w:rsid w:val="004206AC"/>
    <w:rsid w:val="0042096D"/>
    <w:rsid w:val="004209A8"/>
    <w:rsid w:val="00420ACA"/>
    <w:rsid w:val="00420B74"/>
    <w:rsid w:val="00420DAD"/>
    <w:rsid w:val="00420F49"/>
    <w:rsid w:val="00420F4E"/>
    <w:rsid w:val="0042105F"/>
    <w:rsid w:val="00421151"/>
    <w:rsid w:val="0042122C"/>
    <w:rsid w:val="00421231"/>
    <w:rsid w:val="004213FF"/>
    <w:rsid w:val="004214AB"/>
    <w:rsid w:val="0042154C"/>
    <w:rsid w:val="00421857"/>
    <w:rsid w:val="00421A99"/>
    <w:rsid w:val="00421AFB"/>
    <w:rsid w:val="00421B19"/>
    <w:rsid w:val="00421BE7"/>
    <w:rsid w:val="00421BEF"/>
    <w:rsid w:val="00421F33"/>
    <w:rsid w:val="00422025"/>
    <w:rsid w:val="004220F3"/>
    <w:rsid w:val="00422139"/>
    <w:rsid w:val="00422492"/>
    <w:rsid w:val="004225C5"/>
    <w:rsid w:val="00422648"/>
    <w:rsid w:val="00422730"/>
    <w:rsid w:val="0042298A"/>
    <w:rsid w:val="004229DD"/>
    <w:rsid w:val="00422B4A"/>
    <w:rsid w:val="00422C28"/>
    <w:rsid w:val="00422C41"/>
    <w:rsid w:val="00422D50"/>
    <w:rsid w:val="00422DC7"/>
    <w:rsid w:val="00422E4E"/>
    <w:rsid w:val="00422F5E"/>
    <w:rsid w:val="00422F91"/>
    <w:rsid w:val="00423065"/>
    <w:rsid w:val="004230B1"/>
    <w:rsid w:val="00423460"/>
    <w:rsid w:val="00423594"/>
    <w:rsid w:val="004235A3"/>
    <w:rsid w:val="0042365F"/>
    <w:rsid w:val="004236A3"/>
    <w:rsid w:val="0042372F"/>
    <w:rsid w:val="004239D8"/>
    <w:rsid w:val="004240EC"/>
    <w:rsid w:val="004243CD"/>
    <w:rsid w:val="004244AC"/>
    <w:rsid w:val="004244CD"/>
    <w:rsid w:val="0042469F"/>
    <w:rsid w:val="00424714"/>
    <w:rsid w:val="00424718"/>
    <w:rsid w:val="0042476A"/>
    <w:rsid w:val="00424872"/>
    <w:rsid w:val="0042487E"/>
    <w:rsid w:val="00424C5F"/>
    <w:rsid w:val="00425028"/>
    <w:rsid w:val="004250E7"/>
    <w:rsid w:val="00425161"/>
    <w:rsid w:val="0042519C"/>
    <w:rsid w:val="0042520E"/>
    <w:rsid w:val="0042533D"/>
    <w:rsid w:val="00425342"/>
    <w:rsid w:val="004253FB"/>
    <w:rsid w:val="0042540A"/>
    <w:rsid w:val="0042566C"/>
    <w:rsid w:val="00425877"/>
    <w:rsid w:val="0042597A"/>
    <w:rsid w:val="004259AD"/>
    <w:rsid w:val="00425AED"/>
    <w:rsid w:val="00425B0F"/>
    <w:rsid w:val="00425BB1"/>
    <w:rsid w:val="00425F0E"/>
    <w:rsid w:val="00425F5C"/>
    <w:rsid w:val="00426045"/>
    <w:rsid w:val="004260EA"/>
    <w:rsid w:val="004262EB"/>
    <w:rsid w:val="00426427"/>
    <w:rsid w:val="00426438"/>
    <w:rsid w:val="004264D0"/>
    <w:rsid w:val="004264E6"/>
    <w:rsid w:val="00426533"/>
    <w:rsid w:val="00426602"/>
    <w:rsid w:val="00426731"/>
    <w:rsid w:val="004267F5"/>
    <w:rsid w:val="004268C2"/>
    <w:rsid w:val="00426A89"/>
    <w:rsid w:val="00426B84"/>
    <w:rsid w:val="00426BC7"/>
    <w:rsid w:val="00426D07"/>
    <w:rsid w:val="00426DB7"/>
    <w:rsid w:val="00426F9E"/>
    <w:rsid w:val="00426FA3"/>
    <w:rsid w:val="00427251"/>
    <w:rsid w:val="004272A2"/>
    <w:rsid w:val="004273CE"/>
    <w:rsid w:val="004274D5"/>
    <w:rsid w:val="00427898"/>
    <w:rsid w:val="00427D3F"/>
    <w:rsid w:val="00427D63"/>
    <w:rsid w:val="00427D97"/>
    <w:rsid w:val="004302C8"/>
    <w:rsid w:val="004302E8"/>
    <w:rsid w:val="004303DE"/>
    <w:rsid w:val="00430587"/>
    <w:rsid w:val="004306B4"/>
    <w:rsid w:val="0043070D"/>
    <w:rsid w:val="00430804"/>
    <w:rsid w:val="00430B08"/>
    <w:rsid w:val="00430B61"/>
    <w:rsid w:val="00430E1E"/>
    <w:rsid w:val="00430F34"/>
    <w:rsid w:val="004310A7"/>
    <w:rsid w:val="00431237"/>
    <w:rsid w:val="00431518"/>
    <w:rsid w:val="0043165A"/>
    <w:rsid w:val="004317C8"/>
    <w:rsid w:val="004317E3"/>
    <w:rsid w:val="0043187A"/>
    <w:rsid w:val="00431AB2"/>
    <w:rsid w:val="00431B41"/>
    <w:rsid w:val="00431C17"/>
    <w:rsid w:val="00431C63"/>
    <w:rsid w:val="00431CBB"/>
    <w:rsid w:val="00431D0B"/>
    <w:rsid w:val="00431EE5"/>
    <w:rsid w:val="00431F8E"/>
    <w:rsid w:val="004320DA"/>
    <w:rsid w:val="004320DE"/>
    <w:rsid w:val="0043224F"/>
    <w:rsid w:val="00432365"/>
    <w:rsid w:val="0043241C"/>
    <w:rsid w:val="004324B0"/>
    <w:rsid w:val="004325CB"/>
    <w:rsid w:val="00432761"/>
    <w:rsid w:val="0043279F"/>
    <w:rsid w:val="00432C2A"/>
    <w:rsid w:val="00432D61"/>
    <w:rsid w:val="00432DE8"/>
    <w:rsid w:val="00432E9C"/>
    <w:rsid w:val="00432EA2"/>
    <w:rsid w:val="00432F11"/>
    <w:rsid w:val="0043313F"/>
    <w:rsid w:val="00433238"/>
    <w:rsid w:val="0043326D"/>
    <w:rsid w:val="0043329B"/>
    <w:rsid w:val="004332AB"/>
    <w:rsid w:val="00433392"/>
    <w:rsid w:val="004334D0"/>
    <w:rsid w:val="0043366D"/>
    <w:rsid w:val="004336E4"/>
    <w:rsid w:val="0043374E"/>
    <w:rsid w:val="004337A6"/>
    <w:rsid w:val="004338B4"/>
    <w:rsid w:val="00433922"/>
    <w:rsid w:val="00433BB6"/>
    <w:rsid w:val="00433CC2"/>
    <w:rsid w:val="00433CE7"/>
    <w:rsid w:val="00433E52"/>
    <w:rsid w:val="00433EB0"/>
    <w:rsid w:val="00433ED9"/>
    <w:rsid w:val="00433F48"/>
    <w:rsid w:val="00434042"/>
    <w:rsid w:val="00434073"/>
    <w:rsid w:val="004340FF"/>
    <w:rsid w:val="00434361"/>
    <w:rsid w:val="004344DD"/>
    <w:rsid w:val="004346AA"/>
    <w:rsid w:val="00434900"/>
    <w:rsid w:val="00434983"/>
    <w:rsid w:val="00434A29"/>
    <w:rsid w:val="00434AC1"/>
    <w:rsid w:val="00434BA9"/>
    <w:rsid w:val="00434C66"/>
    <w:rsid w:val="00434D69"/>
    <w:rsid w:val="00434E53"/>
    <w:rsid w:val="00434F1F"/>
    <w:rsid w:val="00434F69"/>
    <w:rsid w:val="0043518F"/>
    <w:rsid w:val="0043519B"/>
    <w:rsid w:val="00435211"/>
    <w:rsid w:val="0043523E"/>
    <w:rsid w:val="00435313"/>
    <w:rsid w:val="0043544A"/>
    <w:rsid w:val="00435645"/>
    <w:rsid w:val="0043588C"/>
    <w:rsid w:val="00435942"/>
    <w:rsid w:val="00435A47"/>
    <w:rsid w:val="00435A5F"/>
    <w:rsid w:val="00435E71"/>
    <w:rsid w:val="00435FF3"/>
    <w:rsid w:val="0043604D"/>
    <w:rsid w:val="00436378"/>
    <w:rsid w:val="004365B7"/>
    <w:rsid w:val="00436687"/>
    <w:rsid w:val="0043676D"/>
    <w:rsid w:val="004367BC"/>
    <w:rsid w:val="004367FE"/>
    <w:rsid w:val="004369A6"/>
    <w:rsid w:val="00436AA2"/>
    <w:rsid w:val="00436AE6"/>
    <w:rsid w:val="00436B31"/>
    <w:rsid w:val="00437379"/>
    <w:rsid w:val="00437398"/>
    <w:rsid w:val="0043743E"/>
    <w:rsid w:val="004375CF"/>
    <w:rsid w:val="004375EC"/>
    <w:rsid w:val="0043768E"/>
    <w:rsid w:val="0043772D"/>
    <w:rsid w:val="004377A2"/>
    <w:rsid w:val="004377A4"/>
    <w:rsid w:val="0043785B"/>
    <w:rsid w:val="0043791E"/>
    <w:rsid w:val="0043795E"/>
    <w:rsid w:val="004379F4"/>
    <w:rsid w:val="00437ACD"/>
    <w:rsid w:val="00437B17"/>
    <w:rsid w:val="00437B91"/>
    <w:rsid w:val="00437D2E"/>
    <w:rsid w:val="00437ED8"/>
    <w:rsid w:val="00437F20"/>
    <w:rsid w:val="00437F88"/>
    <w:rsid w:val="00437FA0"/>
    <w:rsid w:val="00440140"/>
    <w:rsid w:val="0044035B"/>
    <w:rsid w:val="00440361"/>
    <w:rsid w:val="004404D6"/>
    <w:rsid w:val="00440577"/>
    <w:rsid w:val="00440608"/>
    <w:rsid w:val="004407FB"/>
    <w:rsid w:val="00440812"/>
    <w:rsid w:val="004409B4"/>
    <w:rsid w:val="00440A6E"/>
    <w:rsid w:val="00440AF3"/>
    <w:rsid w:val="00440FC9"/>
    <w:rsid w:val="0044104A"/>
    <w:rsid w:val="0044106F"/>
    <w:rsid w:val="0044116A"/>
    <w:rsid w:val="00441266"/>
    <w:rsid w:val="00441275"/>
    <w:rsid w:val="0044137C"/>
    <w:rsid w:val="004414C3"/>
    <w:rsid w:val="004415B9"/>
    <w:rsid w:val="0044163F"/>
    <w:rsid w:val="0044177B"/>
    <w:rsid w:val="004418A5"/>
    <w:rsid w:val="004419AC"/>
    <w:rsid w:val="00441A6C"/>
    <w:rsid w:val="00441A7F"/>
    <w:rsid w:val="00441AAB"/>
    <w:rsid w:val="00441C06"/>
    <w:rsid w:val="00441CA6"/>
    <w:rsid w:val="00441DD5"/>
    <w:rsid w:val="00441DE9"/>
    <w:rsid w:val="00441ECC"/>
    <w:rsid w:val="00441F26"/>
    <w:rsid w:val="00441FCC"/>
    <w:rsid w:val="00441FCF"/>
    <w:rsid w:val="00442093"/>
    <w:rsid w:val="004420F2"/>
    <w:rsid w:val="00442157"/>
    <w:rsid w:val="00442348"/>
    <w:rsid w:val="0044235A"/>
    <w:rsid w:val="00442413"/>
    <w:rsid w:val="004425F3"/>
    <w:rsid w:val="00442633"/>
    <w:rsid w:val="00442747"/>
    <w:rsid w:val="0044275E"/>
    <w:rsid w:val="004428C5"/>
    <w:rsid w:val="00442B16"/>
    <w:rsid w:val="00442C86"/>
    <w:rsid w:val="00442D49"/>
    <w:rsid w:val="004430CE"/>
    <w:rsid w:val="00443136"/>
    <w:rsid w:val="004434AE"/>
    <w:rsid w:val="004435AA"/>
    <w:rsid w:val="00443609"/>
    <w:rsid w:val="004436C3"/>
    <w:rsid w:val="0044381D"/>
    <w:rsid w:val="00443876"/>
    <w:rsid w:val="00443882"/>
    <w:rsid w:val="004438DB"/>
    <w:rsid w:val="004438F2"/>
    <w:rsid w:val="004439F7"/>
    <w:rsid w:val="00443ABC"/>
    <w:rsid w:val="00443B3B"/>
    <w:rsid w:val="00443CEA"/>
    <w:rsid w:val="00443CF7"/>
    <w:rsid w:val="00443D44"/>
    <w:rsid w:val="00443D74"/>
    <w:rsid w:val="00443E44"/>
    <w:rsid w:val="00443F64"/>
    <w:rsid w:val="00443F8D"/>
    <w:rsid w:val="00443FBD"/>
    <w:rsid w:val="0044401A"/>
    <w:rsid w:val="00444468"/>
    <w:rsid w:val="0044473E"/>
    <w:rsid w:val="00444759"/>
    <w:rsid w:val="0044475E"/>
    <w:rsid w:val="004447D8"/>
    <w:rsid w:val="00444820"/>
    <w:rsid w:val="00444879"/>
    <w:rsid w:val="004448B1"/>
    <w:rsid w:val="004448B7"/>
    <w:rsid w:val="0044498D"/>
    <w:rsid w:val="00444BFF"/>
    <w:rsid w:val="00444D6C"/>
    <w:rsid w:val="00444F10"/>
    <w:rsid w:val="00444F17"/>
    <w:rsid w:val="00444F41"/>
    <w:rsid w:val="004450B9"/>
    <w:rsid w:val="0044519E"/>
    <w:rsid w:val="00445269"/>
    <w:rsid w:val="00445282"/>
    <w:rsid w:val="00445321"/>
    <w:rsid w:val="00445346"/>
    <w:rsid w:val="004453C0"/>
    <w:rsid w:val="004456C7"/>
    <w:rsid w:val="004458E8"/>
    <w:rsid w:val="00445957"/>
    <w:rsid w:val="00445B02"/>
    <w:rsid w:val="00445B14"/>
    <w:rsid w:val="00445B2E"/>
    <w:rsid w:val="00445D89"/>
    <w:rsid w:val="00445DF8"/>
    <w:rsid w:val="00445EAC"/>
    <w:rsid w:val="00446070"/>
    <w:rsid w:val="004461A8"/>
    <w:rsid w:val="004461D2"/>
    <w:rsid w:val="0044648C"/>
    <w:rsid w:val="00446642"/>
    <w:rsid w:val="0044669A"/>
    <w:rsid w:val="004466B3"/>
    <w:rsid w:val="0044678D"/>
    <w:rsid w:val="00446907"/>
    <w:rsid w:val="00446948"/>
    <w:rsid w:val="00446994"/>
    <w:rsid w:val="004469D5"/>
    <w:rsid w:val="00446B48"/>
    <w:rsid w:val="00446BBF"/>
    <w:rsid w:val="00446CF3"/>
    <w:rsid w:val="00446CF4"/>
    <w:rsid w:val="00446CF7"/>
    <w:rsid w:val="00446D27"/>
    <w:rsid w:val="00446D55"/>
    <w:rsid w:val="00446DCC"/>
    <w:rsid w:val="00446EC4"/>
    <w:rsid w:val="00446F0C"/>
    <w:rsid w:val="00446F8C"/>
    <w:rsid w:val="004470F8"/>
    <w:rsid w:val="00447111"/>
    <w:rsid w:val="0044749D"/>
    <w:rsid w:val="004475D9"/>
    <w:rsid w:val="00447755"/>
    <w:rsid w:val="0044776F"/>
    <w:rsid w:val="004479D4"/>
    <w:rsid w:val="00447ACA"/>
    <w:rsid w:val="00447B40"/>
    <w:rsid w:val="00447BA6"/>
    <w:rsid w:val="00447BBD"/>
    <w:rsid w:val="00447DAC"/>
    <w:rsid w:val="00447FDD"/>
    <w:rsid w:val="0045004B"/>
    <w:rsid w:val="00450124"/>
    <w:rsid w:val="004501BC"/>
    <w:rsid w:val="004501C9"/>
    <w:rsid w:val="004502C3"/>
    <w:rsid w:val="004502E6"/>
    <w:rsid w:val="004502E7"/>
    <w:rsid w:val="0045036A"/>
    <w:rsid w:val="00450554"/>
    <w:rsid w:val="004506D3"/>
    <w:rsid w:val="00450857"/>
    <w:rsid w:val="00450946"/>
    <w:rsid w:val="004509CA"/>
    <w:rsid w:val="00450B86"/>
    <w:rsid w:val="00450C59"/>
    <w:rsid w:val="00450D1B"/>
    <w:rsid w:val="00450D58"/>
    <w:rsid w:val="00450E7A"/>
    <w:rsid w:val="00450EF1"/>
    <w:rsid w:val="00450F72"/>
    <w:rsid w:val="004512B6"/>
    <w:rsid w:val="004512CB"/>
    <w:rsid w:val="004513ED"/>
    <w:rsid w:val="0045141B"/>
    <w:rsid w:val="004514B6"/>
    <w:rsid w:val="00451540"/>
    <w:rsid w:val="004515CF"/>
    <w:rsid w:val="0045163E"/>
    <w:rsid w:val="004517F2"/>
    <w:rsid w:val="004517FB"/>
    <w:rsid w:val="00451998"/>
    <w:rsid w:val="00451A6C"/>
    <w:rsid w:val="00451AF9"/>
    <w:rsid w:val="00451B38"/>
    <w:rsid w:val="00451C5F"/>
    <w:rsid w:val="00451D5A"/>
    <w:rsid w:val="00451D79"/>
    <w:rsid w:val="00451ED0"/>
    <w:rsid w:val="00451F62"/>
    <w:rsid w:val="0045209F"/>
    <w:rsid w:val="004521CA"/>
    <w:rsid w:val="00452458"/>
    <w:rsid w:val="0045248C"/>
    <w:rsid w:val="00452609"/>
    <w:rsid w:val="004527F9"/>
    <w:rsid w:val="00452870"/>
    <w:rsid w:val="0045288D"/>
    <w:rsid w:val="00452970"/>
    <w:rsid w:val="0045298A"/>
    <w:rsid w:val="004529B9"/>
    <w:rsid w:val="004529F8"/>
    <w:rsid w:val="00452ACA"/>
    <w:rsid w:val="00452D1B"/>
    <w:rsid w:val="00452DEA"/>
    <w:rsid w:val="00452E57"/>
    <w:rsid w:val="0045319E"/>
    <w:rsid w:val="004532BB"/>
    <w:rsid w:val="004534E8"/>
    <w:rsid w:val="00453692"/>
    <w:rsid w:val="004536B2"/>
    <w:rsid w:val="004537BF"/>
    <w:rsid w:val="00453854"/>
    <w:rsid w:val="00453A19"/>
    <w:rsid w:val="00453B4E"/>
    <w:rsid w:val="00453B9A"/>
    <w:rsid w:val="00453D02"/>
    <w:rsid w:val="00453D8D"/>
    <w:rsid w:val="00453EDD"/>
    <w:rsid w:val="004540CB"/>
    <w:rsid w:val="004541EA"/>
    <w:rsid w:val="0045435B"/>
    <w:rsid w:val="0045442C"/>
    <w:rsid w:val="00454506"/>
    <w:rsid w:val="004545EA"/>
    <w:rsid w:val="00454645"/>
    <w:rsid w:val="0045464F"/>
    <w:rsid w:val="0045466A"/>
    <w:rsid w:val="00454683"/>
    <w:rsid w:val="00454A22"/>
    <w:rsid w:val="00454B31"/>
    <w:rsid w:val="00454C08"/>
    <w:rsid w:val="00455055"/>
    <w:rsid w:val="0045516F"/>
    <w:rsid w:val="004552AF"/>
    <w:rsid w:val="004552BC"/>
    <w:rsid w:val="0045536F"/>
    <w:rsid w:val="00455400"/>
    <w:rsid w:val="0045555E"/>
    <w:rsid w:val="00455781"/>
    <w:rsid w:val="004558E0"/>
    <w:rsid w:val="004558F7"/>
    <w:rsid w:val="004559C5"/>
    <w:rsid w:val="00455ADE"/>
    <w:rsid w:val="00455B79"/>
    <w:rsid w:val="00455DE7"/>
    <w:rsid w:val="00455DF9"/>
    <w:rsid w:val="0045600E"/>
    <w:rsid w:val="00456323"/>
    <w:rsid w:val="00456433"/>
    <w:rsid w:val="00456515"/>
    <w:rsid w:val="00456600"/>
    <w:rsid w:val="00456611"/>
    <w:rsid w:val="00456718"/>
    <w:rsid w:val="00456788"/>
    <w:rsid w:val="004567E0"/>
    <w:rsid w:val="004567E3"/>
    <w:rsid w:val="00456924"/>
    <w:rsid w:val="00456A3B"/>
    <w:rsid w:val="00456AA7"/>
    <w:rsid w:val="00456D52"/>
    <w:rsid w:val="00456DA3"/>
    <w:rsid w:val="00456DDD"/>
    <w:rsid w:val="00456E10"/>
    <w:rsid w:val="00456E9E"/>
    <w:rsid w:val="00456EDD"/>
    <w:rsid w:val="0045705B"/>
    <w:rsid w:val="00457284"/>
    <w:rsid w:val="0045729F"/>
    <w:rsid w:val="0045730D"/>
    <w:rsid w:val="00457638"/>
    <w:rsid w:val="004578D2"/>
    <w:rsid w:val="004578FB"/>
    <w:rsid w:val="00457B8D"/>
    <w:rsid w:val="00457BCF"/>
    <w:rsid w:val="00457BE4"/>
    <w:rsid w:val="00457DFA"/>
    <w:rsid w:val="00457F16"/>
    <w:rsid w:val="004600D3"/>
    <w:rsid w:val="004601A3"/>
    <w:rsid w:val="0046025D"/>
    <w:rsid w:val="00460393"/>
    <w:rsid w:val="00460410"/>
    <w:rsid w:val="0046057B"/>
    <w:rsid w:val="00460637"/>
    <w:rsid w:val="004607BD"/>
    <w:rsid w:val="004609A0"/>
    <w:rsid w:val="00460B21"/>
    <w:rsid w:val="00460B8C"/>
    <w:rsid w:val="00460B95"/>
    <w:rsid w:val="00460C6C"/>
    <w:rsid w:val="00460D13"/>
    <w:rsid w:val="00460DBD"/>
    <w:rsid w:val="00460DCE"/>
    <w:rsid w:val="00460F6C"/>
    <w:rsid w:val="0046104E"/>
    <w:rsid w:val="00461116"/>
    <w:rsid w:val="004611DC"/>
    <w:rsid w:val="004612A3"/>
    <w:rsid w:val="00461304"/>
    <w:rsid w:val="00461464"/>
    <w:rsid w:val="004615D3"/>
    <w:rsid w:val="00461760"/>
    <w:rsid w:val="00461823"/>
    <w:rsid w:val="0046182A"/>
    <w:rsid w:val="00461867"/>
    <w:rsid w:val="00461A97"/>
    <w:rsid w:val="00461C38"/>
    <w:rsid w:val="00461F21"/>
    <w:rsid w:val="00461F53"/>
    <w:rsid w:val="00462153"/>
    <w:rsid w:val="004622EF"/>
    <w:rsid w:val="00462528"/>
    <w:rsid w:val="00462633"/>
    <w:rsid w:val="00462883"/>
    <w:rsid w:val="0046289D"/>
    <w:rsid w:val="004629D4"/>
    <w:rsid w:val="00462D17"/>
    <w:rsid w:val="00462D1B"/>
    <w:rsid w:val="00463096"/>
    <w:rsid w:val="004632D5"/>
    <w:rsid w:val="00463321"/>
    <w:rsid w:val="004633B4"/>
    <w:rsid w:val="004637A9"/>
    <w:rsid w:val="004637F3"/>
    <w:rsid w:val="00463992"/>
    <w:rsid w:val="00463A0E"/>
    <w:rsid w:val="00463D16"/>
    <w:rsid w:val="00463D91"/>
    <w:rsid w:val="00463DDA"/>
    <w:rsid w:val="00463FA0"/>
    <w:rsid w:val="0046403B"/>
    <w:rsid w:val="004640D7"/>
    <w:rsid w:val="0046427B"/>
    <w:rsid w:val="004642C1"/>
    <w:rsid w:val="00464306"/>
    <w:rsid w:val="0046431C"/>
    <w:rsid w:val="004643BA"/>
    <w:rsid w:val="00464446"/>
    <w:rsid w:val="004644AE"/>
    <w:rsid w:val="00464771"/>
    <w:rsid w:val="00464997"/>
    <w:rsid w:val="004649DC"/>
    <w:rsid w:val="00464B80"/>
    <w:rsid w:val="00464BBD"/>
    <w:rsid w:val="00464C32"/>
    <w:rsid w:val="00464CA8"/>
    <w:rsid w:val="00464CAB"/>
    <w:rsid w:val="00464FEC"/>
    <w:rsid w:val="00465046"/>
    <w:rsid w:val="004650B0"/>
    <w:rsid w:val="004650B7"/>
    <w:rsid w:val="004650BB"/>
    <w:rsid w:val="00465115"/>
    <w:rsid w:val="004651DB"/>
    <w:rsid w:val="00465477"/>
    <w:rsid w:val="0046547C"/>
    <w:rsid w:val="004655DD"/>
    <w:rsid w:val="0046560C"/>
    <w:rsid w:val="0046567A"/>
    <w:rsid w:val="00465688"/>
    <w:rsid w:val="004656B3"/>
    <w:rsid w:val="004658E0"/>
    <w:rsid w:val="00465CD7"/>
    <w:rsid w:val="00465CF4"/>
    <w:rsid w:val="00465D68"/>
    <w:rsid w:val="00465F10"/>
    <w:rsid w:val="00466184"/>
    <w:rsid w:val="0046623E"/>
    <w:rsid w:val="0046627E"/>
    <w:rsid w:val="004663F0"/>
    <w:rsid w:val="004665C9"/>
    <w:rsid w:val="0046663E"/>
    <w:rsid w:val="0046678F"/>
    <w:rsid w:val="0046689E"/>
    <w:rsid w:val="004668D9"/>
    <w:rsid w:val="00466B22"/>
    <w:rsid w:val="00466BA6"/>
    <w:rsid w:val="00466BD2"/>
    <w:rsid w:val="00466C43"/>
    <w:rsid w:val="00466DE6"/>
    <w:rsid w:val="004670E0"/>
    <w:rsid w:val="0046722A"/>
    <w:rsid w:val="004672AE"/>
    <w:rsid w:val="0046767C"/>
    <w:rsid w:val="00467698"/>
    <w:rsid w:val="004677C4"/>
    <w:rsid w:val="004678C3"/>
    <w:rsid w:val="00467975"/>
    <w:rsid w:val="00467A00"/>
    <w:rsid w:val="00467ABC"/>
    <w:rsid w:val="00467C51"/>
    <w:rsid w:val="00467CBB"/>
    <w:rsid w:val="00467CCF"/>
    <w:rsid w:val="0047000B"/>
    <w:rsid w:val="0047003F"/>
    <w:rsid w:val="00470125"/>
    <w:rsid w:val="0047022B"/>
    <w:rsid w:val="00470390"/>
    <w:rsid w:val="004704A9"/>
    <w:rsid w:val="00470755"/>
    <w:rsid w:val="004709CB"/>
    <w:rsid w:val="00470A50"/>
    <w:rsid w:val="00470B7F"/>
    <w:rsid w:val="00470CDA"/>
    <w:rsid w:val="00470D2E"/>
    <w:rsid w:val="00470F8F"/>
    <w:rsid w:val="00471096"/>
    <w:rsid w:val="004710EC"/>
    <w:rsid w:val="004711F4"/>
    <w:rsid w:val="00471271"/>
    <w:rsid w:val="00471482"/>
    <w:rsid w:val="004714CB"/>
    <w:rsid w:val="00471567"/>
    <w:rsid w:val="004715B2"/>
    <w:rsid w:val="004715FC"/>
    <w:rsid w:val="0047171D"/>
    <w:rsid w:val="004718D2"/>
    <w:rsid w:val="00471B05"/>
    <w:rsid w:val="004724F4"/>
    <w:rsid w:val="004725D5"/>
    <w:rsid w:val="00472717"/>
    <w:rsid w:val="0047282D"/>
    <w:rsid w:val="00472857"/>
    <w:rsid w:val="0047298B"/>
    <w:rsid w:val="00472A55"/>
    <w:rsid w:val="00472B51"/>
    <w:rsid w:val="00472B52"/>
    <w:rsid w:val="00472EFF"/>
    <w:rsid w:val="00472FA7"/>
    <w:rsid w:val="00472FDA"/>
    <w:rsid w:val="0047306F"/>
    <w:rsid w:val="004733CC"/>
    <w:rsid w:val="0047342B"/>
    <w:rsid w:val="004734CF"/>
    <w:rsid w:val="004735EA"/>
    <w:rsid w:val="004736A0"/>
    <w:rsid w:val="00473865"/>
    <w:rsid w:val="004738DD"/>
    <w:rsid w:val="004738EA"/>
    <w:rsid w:val="0047391E"/>
    <w:rsid w:val="00473A1A"/>
    <w:rsid w:val="00473A61"/>
    <w:rsid w:val="00473ADE"/>
    <w:rsid w:val="00473B60"/>
    <w:rsid w:val="00473CE4"/>
    <w:rsid w:val="00473D40"/>
    <w:rsid w:val="00473E68"/>
    <w:rsid w:val="00473F35"/>
    <w:rsid w:val="004740F2"/>
    <w:rsid w:val="0047427C"/>
    <w:rsid w:val="0047436F"/>
    <w:rsid w:val="00474423"/>
    <w:rsid w:val="00474479"/>
    <w:rsid w:val="00474508"/>
    <w:rsid w:val="004746A8"/>
    <w:rsid w:val="00474714"/>
    <w:rsid w:val="00474748"/>
    <w:rsid w:val="00474794"/>
    <w:rsid w:val="004747C5"/>
    <w:rsid w:val="00474993"/>
    <w:rsid w:val="00474BD0"/>
    <w:rsid w:val="00474BEA"/>
    <w:rsid w:val="00474C49"/>
    <w:rsid w:val="00474CFC"/>
    <w:rsid w:val="00474D87"/>
    <w:rsid w:val="00474D9A"/>
    <w:rsid w:val="00474F82"/>
    <w:rsid w:val="004750A6"/>
    <w:rsid w:val="004751AD"/>
    <w:rsid w:val="004751D8"/>
    <w:rsid w:val="004752B1"/>
    <w:rsid w:val="00475306"/>
    <w:rsid w:val="0047530F"/>
    <w:rsid w:val="0047556F"/>
    <w:rsid w:val="004756C3"/>
    <w:rsid w:val="00475762"/>
    <w:rsid w:val="004758C4"/>
    <w:rsid w:val="004759D5"/>
    <w:rsid w:val="00475B5A"/>
    <w:rsid w:val="00475D03"/>
    <w:rsid w:val="00475E0C"/>
    <w:rsid w:val="00475F29"/>
    <w:rsid w:val="00476066"/>
    <w:rsid w:val="00476235"/>
    <w:rsid w:val="004762AE"/>
    <w:rsid w:val="00476406"/>
    <w:rsid w:val="00476409"/>
    <w:rsid w:val="004764BA"/>
    <w:rsid w:val="0047650E"/>
    <w:rsid w:val="0047664E"/>
    <w:rsid w:val="00476655"/>
    <w:rsid w:val="0047666D"/>
    <w:rsid w:val="00476722"/>
    <w:rsid w:val="0047693E"/>
    <w:rsid w:val="00476A3E"/>
    <w:rsid w:val="00476A8B"/>
    <w:rsid w:val="00476CAF"/>
    <w:rsid w:val="00476E42"/>
    <w:rsid w:val="00476ECA"/>
    <w:rsid w:val="00476F49"/>
    <w:rsid w:val="004771C2"/>
    <w:rsid w:val="0047724B"/>
    <w:rsid w:val="0047732C"/>
    <w:rsid w:val="004774D9"/>
    <w:rsid w:val="00477659"/>
    <w:rsid w:val="00477803"/>
    <w:rsid w:val="004779A6"/>
    <w:rsid w:val="00477A18"/>
    <w:rsid w:val="00477BFA"/>
    <w:rsid w:val="00477DD5"/>
    <w:rsid w:val="00477E2C"/>
    <w:rsid w:val="00480208"/>
    <w:rsid w:val="004802FD"/>
    <w:rsid w:val="004803A0"/>
    <w:rsid w:val="00480434"/>
    <w:rsid w:val="0048057D"/>
    <w:rsid w:val="00480580"/>
    <w:rsid w:val="004805B2"/>
    <w:rsid w:val="004805D8"/>
    <w:rsid w:val="004806A7"/>
    <w:rsid w:val="00480762"/>
    <w:rsid w:val="004808CF"/>
    <w:rsid w:val="00480BBA"/>
    <w:rsid w:val="00480BF7"/>
    <w:rsid w:val="00480C5A"/>
    <w:rsid w:val="00480E49"/>
    <w:rsid w:val="00480EB0"/>
    <w:rsid w:val="00480FE5"/>
    <w:rsid w:val="0048103E"/>
    <w:rsid w:val="004810DD"/>
    <w:rsid w:val="0048129D"/>
    <w:rsid w:val="00481484"/>
    <w:rsid w:val="0048174E"/>
    <w:rsid w:val="00481A01"/>
    <w:rsid w:val="00481AF8"/>
    <w:rsid w:val="00481D57"/>
    <w:rsid w:val="00481EBE"/>
    <w:rsid w:val="00481F89"/>
    <w:rsid w:val="00481F8A"/>
    <w:rsid w:val="00482092"/>
    <w:rsid w:val="00482299"/>
    <w:rsid w:val="004822A3"/>
    <w:rsid w:val="004822AE"/>
    <w:rsid w:val="0048236C"/>
    <w:rsid w:val="004823D4"/>
    <w:rsid w:val="004826A1"/>
    <w:rsid w:val="004826EC"/>
    <w:rsid w:val="0048270A"/>
    <w:rsid w:val="0048276B"/>
    <w:rsid w:val="00482888"/>
    <w:rsid w:val="0048299D"/>
    <w:rsid w:val="00482A99"/>
    <w:rsid w:val="00482FEE"/>
    <w:rsid w:val="004831FB"/>
    <w:rsid w:val="00483213"/>
    <w:rsid w:val="00483248"/>
    <w:rsid w:val="00483292"/>
    <w:rsid w:val="0048345E"/>
    <w:rsid w:val="004836FF"/>
    <w:rsid w:val="004837D5"/>
    <w:rsid w:val="004837DB"/>
    <w:rsid w:val="00483B46"/>
    <w:rsid w:val="00483CDA"/>
    <w:rsid w:val="00483E86"/>
    <w:rsid w:val="00484037"/>
    <w:rsid w:val="0048409B"/>
    <w:rsid w:val="004840AB"/>
    <w:rsid w:val="00484183"/>
    <w:rsid w:val="004841FC"/>
    <w:rsid w:val="00484206"/>
    <w:rsid w:val="00484223"/>
    <w:rsid w:val="00484237"/>
    <w:rsid w:val="0048423C"/>
    <w:rsid w:val="0048433E"/>
    <w:rsid w:val="00484366"/>
    <w:rsid w:val="0048440E"/>
    <w:rsid w:val="0048451E"/>
    <w:rsid w:val="00484547"/>
    <w:rsid w:val="004846BB"/>
    <w:rsid w:val="004846C0"/>
    <w:rsid w:val="00484735"/>
    <w:rsid w:val="0048489A"/>
    <w:rsid w:val="00484B46"/>
    <w:rsid w:val="00484CF0"/>
    <w:rsid w:val="00484D20"/>
    <w:rsid w:val="00484FCD"/>
    <w:rsid w:val="00484FEF"/>
    <w:rsid w:val="0048500A"/>
    <w:rsid w:val="004851DE"/>
    <w:rsid w:val="00485217"/>
    <w:rsid w:val="00485253"/>
    <w:rsid w:val="004852C4"/>
    <w:rsid w:val="004852F3"/>
    <w:rsid w:val="004854CC"/>
    <w:rsid w:val="00485513"/>
    <w:rsid w:val="00485884"/>
    <w:rsid w:val="00485CCC"/>
    <w:rsid w:val="00485D47"/>
    <w:rsid w:val="00485FF7"/>
    <w:rsid w:val="00486073"/>
    <w:rsid w:val="004860BF"/>
    <w:rsid w:val="004861C8"/>
    <w:rsid w:val="004862DA"/>
    <w:rsid w:val="00486379"/>
    <w:rsid w:val="00486402"/>
    <w:rsid w:val="0048645C"/>
    <w:rsid w:val="004864DE"/>
    <w:rsid w:val="004864E4"/>
    <w:rsid w:val="00486592"/>
    <w:rsid w:val="0048673C"/>
    <w:rsid w:val="00486808"/>
    <w:rsid w:val="00486917"/>
    <w:rsid w:val="00486AEA"/>
    <w:rsid w:val="00486AED"/>
    <w:rsid w:val="00486D4B"/>
    <w:rsid w:val="00486EE2"/>
    <w:rsid w:val="0048716D"/>
    <w:rsid w:val="004871D4"/>
    <w:rsid w:val="00487276"/>
    <w:rsid w:val="00487301"/>
    <w:rsid w:val="00487322"/>
    <w:rsid w:val="0048733A"/>
    <w:rsid w:val="0048746A"/>
    <w:rsid w:val="00487477"/>
    <w:rsid w:val="00487745"/>
    <w:rsid w:val="004877F2"/>
    <w:rsid w:val="004878C9"/>
    <w:rsid w:val="00487A15"/>
    <w:rsid w:val="00487BF0"/>
    <w:rsid w:val="00487C5F"/>
    <w:rsid w:val="00487F9A"/>
    <w:rsid w:val="00490093"/>
    <w:rsid w:val="004900DF"/>
    <w:rsid w:val="00490173"/>
    <w:rsid w:val="00490698"/>
    <w:rsid w:val="0049069A"/>
    <w:rsid w:val="004906D5"/>
    <w:rsid w:val="004906E8"/>
    <w:rsid w:val="00490746"/>
    <w:rsid w:val="00490831"/>
    <w:rsid w:val="00490892"/>
    <w:rsid w:val="004909C4"/>
    <w:rsid w:val="00490D8D"/>
    <w:rsid w:val="00490DEA"/>
    <w:rsid w:val="00490FA9"/>
    <w:rsid w:val="00491006"/>
    <w:rsid w:val="004912E9"/>
    <w:rsid w:val="004914B7"/>
    <w:rsid w:val="0049159F"/>
    <w:rsid w:val="00491616"/>
    <w:rsid w:val="004917A9"/>
    <w:rsid w:val="004918C5"/>
    <w:rsid w:val="00491938"/>
    <w:rsid w:val="0049195E"/>
    <w:rsid w:val="004919B0"/>
    <w:rsid w:val="00491B40"/>
    <w:rsid w:val="00491BFD"/>
    <w:rsid w:val="00491C4D"/>
    <w:rsid w:val="00491D59"/>
    <w:rsid w:val="00491E9C"/>
    <w:rsid w:val="00492192"/>
    <w:rsid w:val="004921DF"/>
    <w:rsid w:val="0049232F"/>
    <w:rsid w:val="0049237B"/>
    <w:rsid w:val="00492772"/>
    <w:rsid w:val="004927A9"/>
    <w:rsid w:val="00492864"/>
    <w:rsid w:val="00492941"/>
    <w:rsid w:val="00492A04"/>
    <w:rsid w:val="00492BF4"/>
    <w:rsid w:val="00492BFC"/>
    <w:rsid w:val="00492C70"/>
    <w:rsid w:val="00492D4D"/>
    <w:rsid w:val="00492DED"/>
    <w:rsid w:val="0049303A"/>
    <w:rsid w:val="0049312E"/>
    <w:rsid w:val="0049343B"/>
    <w:rsid w:val="004934A7"/>
    <w:rsid w:val="00493589"/>
    <w:rsid w:val="00493657"/>
    <w:rsid w:val="00493812"/>
    <w:rsid w:val="00493A17"/>
    <w:rsid w:val="00493B08"/>
    <w:rsid w:val="00493C16"/>
    <w:rsid w:val="00493C35"/>
    <w:rsid w:val="00493CE6"/>
    <w:rsid w:val="00493D87"/>
    <w:rsid w:val="00493F28"/>
    <w:rsid w:val="00493F47"/>
    <w:rsid w:val="00493F8D"/>
    <w:rsid w:val="00494038"/>
    <w:rsid w:val="00494163"/>
    <w:rsid w:val="004944E5"/>
    <w:rsid w:val="004944F7"/>
    <w:rsid w:val="0049455B"/>
    <w:rsid w:val="00494611"/>
    <w:rsid w:val="0049464F"/>
    <w:rsid w:val="00494B20"/>
    <w:rsid w:val="00494B6B"/>
    <w:rsid w:val="00494BA3"/>
    <w:rsid w:val="00494CD7"/>
    <w:rsid w:val="00494D1A"/>
    <w:rsid w:val="00494E33"/>
    <w:rsid w:val="00494E8F"/>
    <w:rsid w:val="00494EBB"/>
    <w:rsid w:val="00494EE1"/>
    <w:rsid w:val="00494F8D"/>
    <w:rsid w:val="00494FE2"/>
    <w:rsid w:val="00494FFA"/>
    <w:rsid w:val="0049500D"/>
    <w:rsid w:val="004951F4"/>
    <w:rsid w:val="004955B3"/>
    <w:rsid w:val="004955E2"/>
    <w:rsid w:val="004956CF"/>
    <w:rsid w:val="004958F2"/>
    <w:rsid w:val="00495B0E"/>
    <w:rsid w:val="00495BEA"/>
    <w:rsid w:val="00495E6C"/>
    <w:rsid w:val="00495EF7"/>
    <w:rsid w:val="00495FE1"/>
    <w:rsid w:val="00496094"/>
    <w:rsid w:val="00496118"/>
    <w:rsid w:val="00496119"/>
    <w:rsid w:val="00496187"/>
    <w:rsid w:val="004962AC"/>
    <w:rsid w:val="0049641B"/>
    <w:rsid w:val="0049641D"/>
    <w:rsid w:val="00496459"/>
    <w:rsid w:val="004964CC"/>
    <w:rsid w:val="00496527"/>
    <w:rsid w:val="004965A3"/>
    <w:rsid w:val="00496641"/>
    <w:rsid w:val="004967C0"/>
    <w:rsid w:val="0049688E"/>
    <w:rsid w:val="00496929"/>
    <w:rsid w:val="004969C3"/>
    <w:rsid w:val="004969D4"/>
    <w:rsid w:val="00496B3C"/>
    <w:rsid w:val="00496C9A"/>
    <w:rsid w:val="00496E2D"/>
    <w:rsid w:val="00496EAB"/>
    <w:rsid w:val="00496EBA"/>
    <w:rsid w:val="00497064"/>
    <w:rsid w:val="004970AE"/>
    <w:rsid w:val="004970B9"/>
    <w:rsid w:val="00497222"/>
    <w:rsid w:val="0049730E"/>
    <w:rsid w:val="004973B9"/>
    <w:rsid w:val="00497456"/>
    <w:rsid w:val="00497743"/>
    <w:rsid w:val="004978F4"/>
    <w:rsid w:val="004979E5"/>
    <w:rsid w:val="00497AB2"/>
    <w:rsid w:val="00497BBE"/>
    <w:rsid w:val="00497CB0"/>
    <w:rsid w:val="00497CDA"/>
    <w:rsid w:val="00497E33"/>
    <w:rsid w:val="004A00D4"/>
    <w:rsid w:val="004A0123"/>
    <w:rsid w:val="004A012C"/>
    <w:rsid w:val="004A01F5"/>
    <w:rsid w:val="004A0210"/>
    <w:rsid w:val="004A02DE"/>
    <w:rsid w:val="004A0570"/>
    <w:rsid w:val="004A082D"/>
    <w:rsid w:val="004A0837"/>
    <w:rsid w:val="004A0854"/>
    <w:rsid w:val="004A0863"/>
    <w:rsid w:val="004A0963"/>
    <w:rsid w:val="004A0AA6"/>
    <w:rsid w:val="004A0C38"/>
    <w:rsid w:val="004A0CC0"/>
    <w:rsid w:val="004A0DB3"/>
    <w:rsid w:val="004A114B"/>
    <w:rsid w:val="004A12F9"/>
    <w:rsid w:val="004A157A"/>
    <w:rsid w:val="004A15BD"/>
    <w:rsid w:val="004A166F"/>
    <w:rsid w:val="004A1785"/>
    <w:rsid w:val="004A17B1"/>
    <w:rsid w:val="004A17B2"/>
    <w:rsid w:val="004A1C17"/>
    <w:rsid w:val="004A1D4F"/>
    <w:rsid w:val="004A1E1C"/>
    <w:rsid w:val="004A2006"/>
    <w:rsid w:val="004A20B9"/>
    <w:rsid w:val="004A2118"/>
    <w:rsid w:val="004A2131"/>
    <w:rsid w:val="004A2253"/>
    <w:rsid w:val="004A228C"/>
    <w:rsid w:val="004A22C0"/>
    <w:rsid w:val="004A24D5"/>
    <w:rsid w:val="004A26D7"/>
    <w:rsid w:val="004A2777"/>
    <w:rsid w:val="004A27B9"/>
    <w:rsid w:val="004A281E"/>
    <w:rsid w:val="004A282C"/>
    <w:rsid w:val="004A2899"/>
    <w:rsid w:val="004A2977"/>
    <w:rsid w:val="004A2982"/>
    <w:rsid w:val="004A2A6D"/>
    <w:rsid w:val="004A2CC6"/>
    <w:rsid w:val="004A2CE5"/>
    <w:rsid w:val="004A2D11"/>
    <w:rsid w:val="004A2D52"/>
    <w:rsid w:val="004A2F32"/>
    <w:rsid w:val="004A304C"/>
    <w:rsid w:val="004A3083"/>
    <w:rsid w:val="004A3247"/>
    <w:rsid w:val="004A32D3"/>
    <w:rsid w:val="004A3493"/>
    <w:rsid w:val="004A34C7"/>
    <w:rsid w:val="004A34DF"/>
    <w:rsid w:val="004A362C"/>
    <w:rsid w:val="004A364F"/>
    <w:rsid w:val="004A36DC"/>
    <w:rsid w:val="004A3A08"/>
    <w:rsid w:val="004A3FC4"/>
    <w:rsid w:val="004A400C"/>
    <w:rsid w:val="004A4195"/>
    <w:rsid w:val="004A41F6"/>
    <w:rsid w:val="004A4219"/>
    <w:rsid w:val="004A4261"/>
    <w:rsid w:val="004A43F8"/>
    <w:rsid w:val="004A449B"/>
    <w:rsid w:val="004A4717"/>
    <w:rsid w:val="004A476B"/>
    <w:rsid w:val="004A4810"/>
    <w:rsid w:val="004A496E"/>
    <w:rsid w:val="004A496F"/>
    <w:rsid w:val="004A4A9C"/>
    <w:rsid w:val="004A4ABF"/>
    <w:rsid w:val="004A4C36"/>
    <w:rsid w:val="004A4E86"/>
    <w:rsid w:val="004A4FA7"/>
    <w:rsid w:val="004A4FD3"/>
    <w:rsid w:val="004A50AD"/>
    <w:rsid w:val="004A5134"/>
    <w:rsid w:val="004A51B7"/>
    <w:rsid w:val="004A53FA"/>
    <w:rsid w:val="004A5456"/>
    <w:rsid w:val="004A5518"/>
    <w:rsid w:val="004A558F"/>
    <w:rsid w:val="004A55FE"/>
    <w:rsid w:val="004A584B"/>
    <w:rsid w:val="004A59B5"/>
    <w:rsid w:val="004A59BD"/>
    <w:rsid w:val="004A5C00"/>
    <w:rsid w:val="004A5C53"/>
    <w:rsid w:val="004A5CE0"/>
    <w:rsid w:val="004A5D7F"/>
    <w:rsid w:val="004A5ECC"/>
    <w:rsid w:val="004A61C8"/>
    <w:rsid w:val="004A628E"/>
    <w:rsid w:val="004A647E"/>
    <w:rsid w:val="004A67A5"/>
    <w:rsid w:val="004A681A"/>
    <w:rsid w:val="004A6896"/>
    <w:rsid w:val="004A695B"/>
    <w:rsid w:val="004A6CA9"/>
    <w:rsid w:val="004A6CB7"/>
    <w:rsid w:val="004A6D27"/>
    <w:rsid w:val="004A6E1F"/>
    <w:rsid w:val="004A6E4B"/>
    <w:rsid w:val="004A709C"/>
    <w:rsid w:val="004A7156"/>
    <w:rsid w:val="004A71A1"/>
    <w:rsid w:val="004A7232"/>
    <w:rsid w:val="004A72A6"/>
    <w:rsid w:val="004A7391"/>
    <w:rsid w:val="004A7469"/>
    <w:rsid w:val="004A74A8"/>
    <w:rsid w:val="004A75A0"/>
    <w:rsid w:val="004A766C"/>
    <w:rsid w:val="004A76BA"/>
    <w:rsid w:val="004A77B2"/>
    <w:rsid w:val="004A78C9"/>
    <w:rsid w:val="004A7A5C"/>
    <w:rsid w:val="004A7AF2"/>
    <w:rsid w:val="004A7B35"/>
    <w:rsid w:val="004A7B6E"/>
    <w:rsid w:val="004A7B9D"/>
    <w:rsid w:val="004A7E15"/>
    <w:rsid w:val="004A7F11"/>
    <w:rsid w:val="004A7FC2"/>
    <w:rsid w:val="004B0084"/>
    <w:rsid w:val="004B009A"/>
    <w:rsid w:val="004B0162"/>
    <w:rsid w:val="004B01A4"/>
    <w:rsid w:val="004B0467"/>
    <w:rsid w:val="004B04AF"/>
    <w:rsid w:val="004B04BC"/>
    <w:rsid w:val="004B091E"/>
    <w:rsid w:val="004B0930"/>
    <w:rsid w:val="004B0A90"/>
    <w:rsid w:val="004B0B1A"/>
    <w:rsid w:val="004B0C12"/>
    <w:rsid w:val="004B0E4E"/>
    <w:rsid w:val="004B0E59"/>
    <w:rsid w:val="004B0F8C"/>
    <w:rsid w:val="004B0FC4"/>
    <w:rsid w:val="004B10C6"/>
    <w:rsid w:val="004B1208"/>
    <w:rsid w:val="004B121C"/>
    <w:rsid w:val="004B1234"/>
    <w:rsid w:val="004B1324"/>
    <w:rsid w:val="004B13B8"/>
    <w:rsid w:val="004B145F"/>
    <w:rsid w:val="004B14AF"/>
    <w:rsid w:val="004B1572"/>
    <w:rsid w:val="004B16F5"/>
    <w:rsid w:val="004B1830"/>
    <w:rsid w:val="004B18AA"/>
    <w:rsid w:val="004B1934"/>
    <w:rsid w:val="004B1938"/>
    <w:rsid w:val="004B19A8"/>
    <w:rsid w:val="004B1C9C"/>
    <w:rsid w:val="004B1FB6"/>
    <w:rsid w:val="004B2426"/>
    <w:rsid w:val="004B24C4"/>
    <w:rsid w:val="004B24C8"/>
    <w:rsid w:val="004B26A4"/>
    <w:rsid w:val="004B2818"/>
    <w:rsid w:val="004B2974"/>
    <w:rsid w:val="004B29F5"/>
    <w:rsid w:val="004B2BD6"/>
    <w:rsid w:val="004B2CD3"/>
    <w:rsid w:val="004B2CF4"/>
    <w:rsid w:val="004B2CF8"/>
    <w:rsid w:val="004B2CFC"/>
    <w:rsid w:val="004B2CFD"/>
    <w:rsid w:val="004B2D47"/>
    <w:rsid w:val="004B2FBE"/>
    <w:rsid w:val="004B2FFE"/>
    <w:rsid w:val="004B3130"/>
    <w:rsid w:val="004B31CD"/>
    <w:rsid w:val="004B32B1"/>
    <w:rsid w:val="004B346A"/>
    <w:rsid w:val="004B346C"/>
    <w:rsid w:val="004B34C2"/>
    <w:rsid w:val="004B34E9"/>
    <w:rsid w:val="004B3669"/>
    <w:rsid w:val="004B372B"/>
    <w:rsid w:val="004B37BA"/>
    <w:rsid w:val="004B3834"/>
    <w:rsid w:val="004B3890"/>
    <w:rsid w:val="004B3A08"/>
    <w:rsid w:val="004B3A85"/>
    <w:rsid w:val="004B3AE7"/>
    <w:rsid w:val="004B3DAB"/>
    <w:rsid w:val="004B3DDD"/>
    <w:rsid w:val="004B3E05"/>
    <w:rsid w:val="004B3E71"/>
    <w:rsid w:val="004B3FDC"/>
    <w:rsid w:val="004B3FE5"/>
    <w:rsid w:val="004B4045"/>
    <w:rsid w:val="004B4095"/>
    <w:rsid w:val="004B419F"/>
    <w:rsid w:val="004B4810"/>
    <w:rsid w:val="004B4A13"/>
    <w:rsid w:val="004B4C25"/>
    <w:rsid w:val="004B4C94"/>
    <w:rsid w:val="004B4CC1"/>
    <w:rsid w:val="004B4D67"/>
    <w:rsid w:val="004B4F92"/>
    <w:rsid w:val="004B5053"/>
    <w:rsid w:val="004B50EF"/>
    <w:rsid w:val="004B5117"/>
    <w:rsid w:val="004B5400"/>
    <w:rsid w:val="004B55E0"/>
    <w:rsid w:val="004B5757"/>
    <w:rsid w:val="004B586E"/>
    <w:rsid w:val="004B5A24"/>
    <w:rsid w:val="004B5A32"/>
    <w:rsid w:val="004B5AC2"/>
    <w:rsid w:val="004B5B37"/>
    <w:rsid w:val="004B5B44"/>
    <w:rsid w:val="004B5B55"/>
    <w:rsid w:val="004B5C0C"/>
    <w:rsid w:val="004B5CAE"/>
    <w:rsid w:val="004B5D8A"/>
    <w:rsid w:val="004B5DA3"/>
    <w:rsid w:val="004B5ECF"/>
    <w:rsid w:val="004B6192"/>
    <w:rsid w:val="004B6204"/>
    <w:rsid w:val="004B634B"/>
    <w:rsid w:val="004B6476"/>
    <w:rsid w:val="004B6597"/>
    <w:rsid w:val="004B6649"/>
    <w:rsid w:val="004B667C"/>
    <w:rsid w:val="004B68F1"/>
    <w:rsid w:val="004B6A18"/>
    <w:rsid w:val="004B6AF6"/>
    <w:rsid w:val="004B6B50"/>
    <w:rsid w:val="004B6B93"/>
    <w:rsid w:val="004B6CAD"/>
    <w:rsid w:val="004B6E8D"/>
    <w:rsid w:val="004B7240"/>
    <w:rsid w:val="004B743A"/>
    <w:rsid w:val="004B755A"/>
    <w:rsid w:val="004B75BE"/>
    <w:rsid w:val="004B7638"/>
    <w:rsid w:val="004B763A"/>
    <w:rsid w:val="004B795A"/>
    <w:rsid w:val="004B798E"/>
    <w:rsid w:val="004B79E3"/>
    <w:rsid w:val="004B7A28"/>
    <w:rsid w:val="004B7D99"/>
    <w:rsid w:val="004B7FAF"/>
    <w:rsid w:val="004C00E8"/>
    <w:rsid w:val="004C01BB"/>
    <w:rsid w:val="004C0236"/>
    <w:rsid w:val="004C043C"/>
    <w:rsid w:val="004C0595"/>
    <w:rsid w:val="004C072C"/>
    <w:rsid w:val="004C098E"/>
    <w:rsid w:val="004C0A68"/>
    <w:rsid w:val="004C0D4E"/>
    <w:rsid w:val="004C0DDB"/>
    <w:rsid w:val="004C0FB9"/>
    <w:rsid w:val="004C10CB"/>
    <w:rsid w:val="004C1118"/>
    <w:rsid w:val="004C11DF"/>
    <w:rsid w:val="004C1362"/>
    <w:rsid w:val="004C13EA"/>
    <w:rsid w:val="004C144E"/>
    <w:rsid w:val="004C15A8"/>
    <w:rsid w:val="004C1688"/>
    <w:rsid w:val="004C17B6"/>
    <w:rsid w:val="004C187B"/>
    <w:rsid w:val="004C1949"/>
    <w:rsid w:val="004C1C3B"/>
    <w:rsid w:val="004C1D73"/>
    <w:rsid w:val="004C1D87"/>
    <w:rsid w:val="004C1E74"/>
    <w:rsid w:val="004C1E84"/>
    <w:rsid w:val="004C20AA"/>
    <w:rsid w:val="004C20DB"/>
    <w:rsid w:val="004C2157"/>
    <w:rsid w:val="004C21BA"/>
    <w:rsid w:val="004C2209"/>
    <w:rsid w:val="004C22CF"/>
    <w:rsid w:val="004C2580"/>
    <w:rsid w:val="004C276D"/>
    <w:rsid w:val="004C2912"/>
    <w:rsid w:val="004C2A49"/>
    <w:rsid w:val="004C2BFE"/>
    <w:rsid w:val="004C2EE3"/>
    <w:rsid w:val="004C2EF0"/>
    <w:rsid w:val="004C3004"/>
    <w:rsid w:val="004C31CC"/>
    <w:rsid w:val="004C31D5"/>
    <w:rsid w:val="004C3217"/>
    <w:rsid w:val="004C3274"/>
    <w:rsid w:val="004C3306"/>
    <w:rsid w:val="004C33B4"/>
    <w:rsid w:val="004C3441"/>
    <w:rsid w:val="004C3564"/>
    <w:rsid w:val="004C380F"/>
    <w:rsid w:val="004C386D"/>
    <w:rsid w:val="004C3AD9"/>
    <w:rsid w:val="004C3B01"/>
    <w:rsid w:val="004C3B67"/>
    <w:rsid w:val="004C3CA9"/>
    <w:rsid w:val="004C3DFE"/>
    <w:rsid w:val="004C4039"/>
    <w:rsid w:val="004C4042"/>
    <w:rsid w:val="004C4059"/>
    <w:rsid w:val="004C40FE"/>
    <w:rsid w:val="004C4267"/>
    <w:rsid w:val="004C4295"/>
    <w:rsid w:val="004C43EE"/>
    <w:rsid w:val="004C44ED"/>
    <w:rsid w:val="004C459F"/>
    <w:rsid w:val="004C4615"/>
    <w:rsid w:val="004C46C7"/>
    <w:rsid w:val="004C4725"/>
    <w:rsid w:val="004C48BF"/>
    <w:rsid w:val="004C492C"/>
    <w:rsid w:val="004C4943"/>
    <w:rsid w:val="004C4A40"/>
    <w:rsid w:val="004C4AB4"/>
    <w:rsid w:val="004C4B0E"/>
    <w:rsid w:val="004C4E42"/>
    <w:rsid w:val="004C5160"/>
    <w:rsid w:val="004C51DC"/>
    <w:rsid w:val="004C525E"/>
    <w:rsid w:val="004C52F8"/>
    <w:rsid w:val="004C5395"/>
    <w:rsid w:val="004C549B"/>
    <w:rsid w:val="004C5758"/>
    <w:rsid w:val="004C5855"/>
    <w:rsid w:val="004C5CEE"/>
    <w:rsid w:val="004C5E15"/>
    <w:rsid w:val="004C5E4A"/>
    <w:rsid w:val="004C5EB8"/>
    <w:rsid w:val="004C6074"/>
    <w:rsid w:val="004C610A"/>
    <w:rsid w:val="004C6129"/>
    <w:rsid w:val="004C61B5"/>
    <w:rsid w:val="004C62DD"/>
    <w:rsid w:val="004C63C7"/>
    <w:rsid w:val="004C6557"/>
    <w:rsid w:val="004C65C6"/>
    <w:rsid w:val="004C65F3"/>
    <w:rsid w:val="004C66B2"/>
    <w:rsid w:val="004C6765"/>
    <w:rsid w:val="004C6848"/>
    <w:rsid w:val="004C6862"/>
    <w:rsid w:val="004C687B"/>
    <w:rsid w:val="004C69AC"/>
    <w:rsid w:val="004C69DE"/>
    <w:rsid w:val="004C6A57"/>
    <w:rsid w:val="004C6C1A"/>
    <w:rsid w:val="004C6E94"/>
    <w:rsid w:val="004C6ECD"/>
    <w:rsid w:val="004C6EF3"/>
    <w:rsid w:val="004C6F41"/>
    <w:rsid w:val="004C6FAD"/>
    <w:rsid w:val="004C7136"/>
    <w:rsid w:val="004C7302"/>
    <w:rsid w:val="004C741D"/>
    <w:rsid w:val="004C76AE"/>
    <w:rsid w:val="004C76E7"/>
    <w:rsid w:val="004C76F4"/>
    <w:rsid w:val="004C788D"/>
    <w:rsid w:val="004C7A48"/>
    <w:rsid w:val="004C7B04"/>
    <w:rsid w:val="004C7B5D"/>
    <w:rsid w:val="004C7FD5"/>
    <w:rsid w:val="004D000C"/>
    <w:rsid w:val="004D0357"/>
    <w:rsid w:val="004D03FF"/>
    <w:rsid w:val="004D072D"/>
    <w:rsid w:val="004D078D"/>
    <w:rsid w:val="004D07AA"/>
    <w:rsid w:val="004D0800"/>
    <w:rsid w:val="004D083D"/>
    <w:rsid w:val="004D0852"/>
    <w:rsid w:val="004D0898"/>
    <w:rsid w:val="004D08E3"/>
    <w:rsid w:val="004D09BD"/>
    <w:rsid w:val="004D0A23"/>
    <w:rsid w:val="004D0B09"/>
    <w:rsid w:val="004D0D47"/>
    <w:rsid w:val="004D0E4E"/>
    <w:rsid w:val="004D0F59"/>
    <w:rsid w:val="004D10DA"/>
    <w:rsid w:val="004D1102"/>
    <w:rsid w:val="004D11F0"/>
    <w:rsid w:val="004D12BB"/>
    <w:rsid w:val="004D13CA"/>
    <w:rsid w:val="004D1618"/>
    <w:rsid w:val="004D187E"/>
    <w:rsid w:val="004D1A60"/>
    <w:rsid w:val="004D1AE4"/>
    <w:rsid w:val="004D1B1B"/>
    <w:rsid w:val="004D1BC8"/>
    <w:rsid w:val="004D1D20"/>
    <w:rsid w:val="004D1D2C"/>
    <w:rsid w:val="004D1D49"/>
    <w:rsid w:val="004D23B3"/>
    <w:rsid w:val="004D242B"/>
    <w:rsid w:val="004D2524"/>
    <w:rsid w:val="004D2767"/>
    <w:rsid w:val="004D285D"/>
    <w:rsid w:val="004D29B5"/>
    <w:rsid w:val="004D2B37"/>
    <w:rsid w:val="004D2C11"/>
    <w:rsid w:val="004D2E5E"/>
    <w:rsid w:val="004D2E6C"/>
    <w:rsid w:val="004D2ED7"/>
    <w:rsid w:val="004D30E8"/>
    <w:rsid w:val="004D3102"/>
    <w:rsid w:val="004D31B8"/>
    <w:rsid w:val="004D31F3"/>
    <w:rsid w:val="004D3301"/>
    <w:rsid w:val="004D35F3"/>
    <w:rsid w:val="004D369A"/>
    <w:rsid w:val="004D3B2C"/>
    <w:rsid w:val="004D3B6C"/>
    <w:rsid w:val="004D3D89"/>
    <w:rsid w:val="004D3F56"/>
    <w:rsid w:val="004D402B"/>
    <w:rsid w:val="004D40F4"/>
    <w:rsid w:val="004D4171"/>
    <w:rsid w:val="004D44FD"/>
    <w:rsid w:val="004D461D"/>
    <w:rsid w:val="004D47EF"/>
    <w:rsid w:val="004D483E"/>
    <w:rsid w:val="004D48FB"/>
    <w:rsid w:val="004D4917"/>
    <w:rsid w:val="004D4925"/>
    <w:rsid w:val="004D4B17"/>
    <w:rsid w:val="004D4C17"/>
    <w:rsid w:val="004D4C20"/>
    <w:rsid w:val="004D4D72"/>
    <w:rsid w:val="004D4DC6"/>
    <w:rsid w:val="004D4EBA"/>
    <w:rsid w:val="004D5018"/>
    <w:rsid w:val="004D5066"/>
    <w:rsid w:val="004D527A"/>
    <w:rsid w:val="004D5325"/>
    <w:rsid w:val="004D565E"/>
    <w:rsid w:val="004D5955"/>
    <w:rsid w:val="004D5A08"/>
    <w:rsid w:val="004D5BC3"/>
    <w:rsid w:val="004D5BCA"/>
    <w:rsid w:val="004D5D52"/>
    <w:rsid w:val="004D5D9E"/>
    <w:rsid w:val="004D5DEC"/>
    <w:rsid w:val="004D5EFF"/>
    <w:rsid w:val="004D6061"/>
    <w:rsid w:val="004D6245"/>
    <w:rsid w:val="004D6276"/>
    <w:rsid w:val="004D6329"/>
    <w:rsid w:val="004D6331"/>
    <w:rsid w:val="004D637B"/>
    <w:rsid w:val="004D6426"/>
    <w:rsid w:val="004D65EA"/>
    <w:rsid w:val="004D662C"/>
    <w:rsid w:val="004D6698"/>
    <w:rsid w:val="004D678B"/>
    <w:rsid w:val="004D67E2"/>
    <w:rsid w:val="004D6859"/>
    <w:rsid w:val="004D68E2"/>
    <w:rsid w:val="004D6907"/>
    <w:rsid w:val="004D6A7D"/>
    <w:rsid w:val="004D6AAF"/>
    <w:rsid w:val="004D6BEB"/>
    <w:rsid w:val="004D6CD3"/>
    <w:rsid w:val="004D6E40"/>
    <w:rsid w:val="004D70F1"/>
    <w:rsid w:val="004D725C"/>
    <w:rsid w:val="004D72AD"/>
    <w:rsid w:val="004D731D"/>
    <w:rsid w:val="004D7504"/>
    <w:rsid w:val="004D7575"/>
    <w:rsid w:val="004D7809"/>
    <w:rsid w:val="004D7826"/>
    <w:rsid w:val="004D7839"/>
    <w:rsid w:val="004D79C6"/>
    <w:rsid w:val="004D7C7A"/>
    <w:rsid w:val="004D7DCA"/>
    <w:rsid w:val="004D7E23"/>
    <w:rsid w:val="004D7F99"/>
    <w:rsid w:val="004E011F"/>
    <w:rsid w:val="004E0254"/>
    <w:rsid w:val="004E0690"/>
    <w:rsid w:val="004E06CC"/>
    <w:rsid w:val="004E076C"/>
    <w:rsid w:val="004E0A24"/>
    <w:rsid w:val="004E0AE1"/>
    <w:rsid w:val="004E0B5F"/>
    <w:rsid w:val="004E0C62"/>
    <w:rsid w:val="004E0E26"/>
    <w:rsid w:val="004E0E87"/>
    <w:rsid w:val="004E0ED8"/>
    <w:rsid w:val="004E0EF7"/>
    <w:rsid w:val="004E0F43"/>
    <w:rsid w:val="004E0FB3"/>
    <w:rsid w:val="004E108C"/>
    <w:rsid w:val="004E1202"/>
    <w:rsid w:val="004E1235"/>
    <w:rsid w:val="004E1265"/>
    <w:rsid w:val="004E1389"/>
    <w:rsid w:val="004E16E0"/>
    <w:rsid w:val="004E1A71"/>
    <w:rsid w:val="004E1B4B"/>
    <w:rsid w:val="004E1B4C"/>
    <w:rsid w:val="004E1CF8"/>
    <w:rsid w:val="004E1E52"/>
    <w:rsid w:val="004E1E61"/>
    <w:rsid w:val="004E1F23"/>
    <w:rsid w:val="004E212A"/>
    <w:rsid w:val="004E2264"/>
    <w:rsid w:val="004E226F"/>
    <w:rsid w:val="004E22C7"/>
    <w:rsid w:val="004E297E"/>
    <w:rsid w:val="004E2A76"/>
    <w:rsid w:val="004E2C96"/>
    <w:rsid w:val="004E2CFE"/>
    <w:rsid w:val="004E2DF3"/>
    <w:rsid w:val="004E2FB0"/>
    <w:rsid w:val="004E2FCC"/>
    <w:rsid w:val="004E32A9"/>
    <w:rsid w:val="004E3585"/>
    <w:rsid w:val="004E393A"/>
    <w:rsid w:val="004E3976"/>
    <w:rsid w:val="004E3B6F"/>
    <w:rsid w:val="004E3C0F"/>
    <w:rsid w:val="004E3C92"/>
    <w:rsid w:val="004E407C"/>
    <w:rsid w:val="004E4102"/>
    <w:rsid w:val="004E4175"/>
    <w:rsid w:val="004E4212"/>
    <w:rsid w:val="004E433C"/>
    <w:rsid w:val="004E4485"/>
    <w:rsid w:val="004E45EA"/>
    <w:rsid w:val="004E45EB"/>
    <w:rsid w:val="004E4642"/>
    <w:rsid w:val="004E4728"/>
    <w:rsid w:val="004E4797"/>
    <w:rsid w:val="004E486E"/>
    <w:rsid w:val="004E48DE"/>
    <w:rsid w:val="004E4B6A"/>
    <w:rsid w:val="004E4BDA"/>
    <w:rsid w:val="004E4C2B"/>
    <w:rsid w:val="004E4DC3"/>
    <w:rsid w:val="004E502E"/>
    <w:rsid w:val="004E5035"/>
    <w:rsid w:val="004E55F0"/>
    <w:rsid w:val="004E56A8"/>
    <w:rsid w:val="004E583B"/>
    <w:rsid w:val="004E5A03"/>
    <w:rsid w:val="004E5A4E"/>
    <w:rsid w:val="004E5A74"/>
    <w:rsid w:val="004E5AFF"/>
    <w:rsid w:val="004E5B86"/>
    <w:rsid w:val="004E5DB0"/>
    <w:rsid w:val="004E5EB4"/>
    <w:rsid w:val="004E5F5F"/>
    <w:rsid w:val="004E6129"/>
    <w:rsid w:val="004E628C"/>
    <w:rsid w:val="004E63BE"/>
    <w:rsid w:val="004E642B"/>
    <w:rsid w:val="004E6662"/>
    <w:rsid w:val="004E666B"/>
    <w:rsid w:val="004E67F0"/>
    <w:rsid w:val="004E687C"/>
    <w:rsid w:val="004E697B"/>
    <w:rsid w:val="004E6A30"/>
    <w:rsid w:val="004E6D13"/>
    <w:rsid w:val="004E6D54"/>
    <w:rsid w:val="004E6E5F"/>
    <w:rsid w:val="004E71AB"/>
    <w:rsid w:val="004E71AF"/>
    <w:rsid w:val="004E72C5"/>
    <w:rsid w:val="004E7376"/>
    <w:rsid w:val="004E7527"/>
    <w:rsid w:val="004E7712"/>
    <w:rsid w:val="004E7724"/>
    <w:rsid w:val="004E77A2"/>
    <w:rsid w:val="004E7802"/>
    <w:rsid w:val="004E7854"/>
    <w:rsid w:val="004E7955"/>
    <w:rsid w:val="004E7CEC"/>
    <w:rsid w:val="004E7D00"/>
    <w:rsid w:val="004E7DB5"/>
    <w:rsid w:val="004E7E43"/>
    <w:rsid w:val="004F0331"/>
    <w:rsid w:val="004F04A0"/>
    <w:rsid w:val="004F0583"/>
    <w:rsid w:val="004F071C"/>
    <w:rsid w:val="004F0801"/>
    <w:rsid w:val="004F0858"/>
    <w:rsid w:val="004F086F"/>
    <w:rsid w:val="004F089D"/>
    <w:rsid w:val="004F08C4"/>
    <w:rsid w:val="004F0A0B"/>
    <w:rsid w:val="004F0B65"/>
    <w:rsid w:val="004F0DFD"/>
    <w:rsid w:val="004F1006"/>
    <w:rsid w:val="004F10A5"/>
    <w:rsid w:val="004F1519"/>
    <w:rsid w:val="004F1625"/>
    <w:rsid w:val="004F1696"/>
    <w:rsid w:val="004F1705"/>
    <w:rsid w:val="004F1721"/>
    <w:rsid w:val="004F1745"/>
    <w:rsid w:val="004F1818"/>
    <w:rsid w:val="004F1921"/>
    <w:rsid w:val="004F19BD"/>
    <w:rsid w:val="004F19FC"/>
    <w:rsid w:val="004F1A1A"/>
    <w:rsid w:val="004F1AE5"/>
    <w:rsid w:val="004F1AF3"/>
    <w:rsid w:val="004F1B4E"/>
    <w:rsid w:val="004F1BA8"/>
    <w:rsid w:val="004F1CC4"/>
    <w:rsid w:val="004F1D16"/>
    <w:rsid w:val="004F1E13"/>
    <w:rsid w:val="004F1F54"/>
    <w:rsid w:val="004F2134"/>
    <w:rsid w:val="004F22AA"/>
    <w:rsid w:val="004F247F"/>
    <w:rsid w:val="004F24EF"/>
    <w:rsid w:val="004F250B"/>
    <w:rsid w:val="004F25C9"/>
    <w:rsid w:val="004F262E"/>
    <w:rsid w:val="004F2770"/>
    <w:rsid w:val="004F28C7"/>
    <w:rsid w:val="004F299C"/>
    <w:rsid w:val="004F2CB3"/>
    <w:rsid w:val="004F2D4B"/>
    <w:rsid w:val="004F2D9C"/>
    <w:rsid w:val="004F2DB3"/>
    <w:rsid w:val="004F2DBE"/>
    <w:rsid w:val="004F2E12"/>
    <w:rsid w:val="004F2E38"/>
    <w:rsid w:val="004F2E55"/>
    <w:rsid w:val="004F3073"/>
    <w:rsid w:val="004F315E"/>
    <w:rsid w:val="004F31F5"/>
    <w:rsid w:val="004F328F"/>
    <w:rsid w:val="004F34BD"/>
    <w:rsid w:val="004F34F7"/>
    <w:rsid w:val="004F354D"/>
    <w:rsid w:val="004F3673"/>
    <w:rsid w:val="004F3741"/>
    <w:rsid w:val="004F3761"/>
    <w:rsid w:val="004F3922"/>
    <w:rsid w:val="004F3983"/>
    <w:rsid w:val="004F3CBD"/>
    <w:rsid w:val="004F3D7A"/>
    <w:rsid w:val="004F4002"/>
    <w:rsid w:val="004F42E6"/>
    <w:rsid w:val="004F448B"/>
    <w:rsid w:val="004F46B5"/>
    <w:rsid w:val="004F477F"/>
    <w:rsid w:val="004F47D8"/>
    <w:rsid w:val="004F47FF"/>
    <w:rsid w:val="004F49EC"/>
    <w:rsid w:val="004F4A29"/>
    <w:rsid w:val="004F4BBE"/>
    <w:rsid w:val="004F4BCF"/>
    <w:rsid w:val="004F4D26"/>
    <w:rsid w:val="004F4E4B"/>
    <w:rsid w:val="004F531C"/>
    <w:rsid w:val="004F5334"/>
    <w:rsid w:val="004F53DB"/>
    <w:rsid w:val="004F5448"/>
    <w:rsid w:val="004F55EC"/>
    <w:rsid w:val="004F5885"/>
    <w:rsid w:val="004F58D8"/>
    <w:rsid w:val="004F5ABC"/>
    <w:rsid w:val="004F5BD7"/>
    <w:rsid w:val="004F5C50"/>
    <w:rsid w:val="004F5CB8"/>
    <w:rsid w:val="004F5CE7"/>
    <w:rsid w:val="004F5D04"/>
    <w:rsid w:val="004F5E9F"/>
    <w:rsid w:val="004F5FE3"/>
    <w:rsid w:val="004F6066"/>
    <w:rsid w:val="004F60E3"/>
    <w:rsid w:val="004F6177"/>
    <w:rsid w:val="004F6230"/>
    <w:rsid w:val="004F644A"/>
    <w:rsid w:val="004F64D5"/>
    <w:rsid w:val="004F65A5"/>
    <w:rsid w:val="004F68BB"/>
    <w:rsid w:val="004F69D0"/>
    <w:rsid w:val="004F6D0C"/>
    <w:rsid w:val="004F6DE5"/>
    <w:rsid w:val="004F6E47"/>
    <w:rsid w:val="004F6FFC"/>
    <w:rsid w:val="004F70B8"/>
    <w:rsid w:val="004F723E"/>
    <w:rsid w:val="004F72B4"/>
    <w:rsid w:val="004F7630"/>
    <w:rsid w:val="004F76D4"/>
    <w:rsid w:val="004F7899"/>
    <w:rsid w:val="004F7965"/>
    <w:rsid w:val="004F7AC0"/>
    <w:rsid w:val="004F7ADE"/>
    <w:rsid w:val="004F7B77"/>
    <w:rsid w:val="004F7C86"/>
    <w:rsid w:val="004F7D20"/>
    <w:rsid w:val="004F7D51"/>
    <w:rsid w:val="004F7D7A"/>
    <w:rsid w:val="004F7DFC"/>
    <w:rsid w:val="004F7F06"/>
    <w:rsid w:val="00500003"/>
    <w:rsid w:val="00500087"/>
    <w:rsid w:val="005000B2"/>
    <w:rsid w:val="00500117"/>
    <w:rsid w:val="00500225"/>
    <w:rsid w:val="005003A0"/>
    <w:rsid w:val="005003B8"/>
    <w:rsid w:val="005003F7"/>
    <w:rsid w:val="00500427"/>
    <w:rsid w:val="0050089B"/>
    <w:rsid w:val="005009AB"/>
    <w:rsid w:val="00500AC0"/>
    <w:rsid w:val="00500AD8"/>
    <w:rsid w:val="00500B15"/>
    <w:rsid w:val="00500B1E"/>
    <w:rsid w:val="00500C2F"/>
    <w:rsid w:val="00500D2A"/>
    <w:rsid w:val="00500F53"/>
    <w:rsid w:val="00500F9D"/>
    <w:rsid w:val="00500FB1"/>
    <w:rsid w:val="005011E9"/>
    <w:rsid w:val="0050163C"/>
    <w:rsid w:val="00501A07"/>
    <w:rsid w:val="00501ABC"/>
    <w:rsid w:val="00501E1A"/>
    <w:rsid w:val="00501F7A"/>
    <w:rsid w:val="00502111"/>
    <w:rsid w:val="0050213E"/>
    <w:rsid w:val="005023E8"/>
    <w:rsid w:val="00502457"/>
    <w:rsid w:val="0050251E"/>
    <w:rsid w:val="00502580"/>
    <w:rsid w:val="005025F9"/>
    <w:rsid w:val="00502783"/>
    <w:rsid w:val="0050287E"/>
    <w:rsid w:val="005029B2"/>
    <w:rsid w:val="00502AC7"/>
    <w:rsid w:val="00502FAC"/>
    <w:rsid w:val="0050309C"/>
    <w:rsid w:val="00503173"/>
    <w:rsid w:val="005032BE"/>
    <w:rsid w:val="0050339F"/>
    <w:rsid w:val="00503447"/>
    <w:rsid w:val="005034B1"/>
    <w:rsid w:val="005034C7"/>
    <w:rsid w:val="00503766"/>
    <w:rsid w:val="005038AB"/>
    <w:rsid w:val="00503A04"/>
    <w:rsid w:val="00503A68"/>
    <w:rsid w:val="00503AF0"/>
    <w:rsid w:val="00503B29"/>
    <w:rsid w:val="00503B53"/>
    <w:rsid w:val="00503BF3"/>
    <w:rsid w:val="00503C11"/>
    <w:rsid w:val="00503C8F"/>
    <w:rsid w:val="00503D03"/>
    <w:rsid w:val="00503E2F"/>
    <w:rsid w:val="00503F0A"/>
    <w:rsid w:val="00504003"/>
    <w:rsid w:val="00504226"/>
    <w:rsid w:val="00504396"/>
    <w:rsid w:val="005043C1"/>
    <w:rsid w:val="005043D2"/>
    <w:rsid w:val="00504654"/>
    <w:rsid w:val="005046A2"/>
    <w:rsid w:val="005046C2"/>
    <w:rsid w:val="005049B7"/>
    <w:rsid w:val="00504A35"/>
    <w:rsid w:val="00504A45"/>
    <w:rsid w:val="00504C55"/>
    <w:rsid w:val="00504DCD"/>
    <w:rsid w:val="00504F67"/>
    <w:rsid w:val="00505046"/>
    <w:rsid w:val="0050506D"/>
    <w:rsid w:val="005051C0"/>
    <w:rsid w:val="00505470"/>
    <w:rsid w:val="005054A4"/>
    <w:rsid w:val="0050550B"/>
    <w:rsid w:val="00505955"/>
    <w:rsid w:val="00505977"/>
    <w:rsid w:val="00505A04"/>
    <w:rsid w:val="00505AB8"/>
    <w:rsid w:val="00505C25"/>
    <w:rsid w:val="00505DD2"/>
    <w:rsid w:val="00505E03"/>
    <w:rsid w:val="005061A5"/>
    <w:rsid w:val="00506569"/>
    <w:rsid w:val="0050656B"/>
    <w:rsid w:val="00506895"/>
    <w:rsid w:val="00506925"/>
    <w:rsid w:val="00506B4B"/>
    <w:rsid w:val="00506BAC"/>
    <w:rsid w:val="00506BBE"/>
    <w:rsid w:val="00506C31"/>
    <w:rsid w:val="00506CB0"/>
    <w:rsid w:val="00506DC5"/>
    <w:rsid w:val="00506FF7"/>
    <w:rsid w:val="005071A7"/>
    <w:rsid w:val="00507215"/>
    <w:rsid w:val="005072C4"/>
    <w:rsid w:val="005072D7"/>
    <w:rsid w:val="00507389"/>
    <w:rsid w:val="005073BD"/>
    <w:rsid w:val="0050745D"/>
    <w:rsid w:val="00507468"/>
    <w:rsid w:val="00507560"/>
    <w:rsid w:val="00507617"/>
    <w:rsid w:val="00507701"/>
    <w:rsid w:val="0050771F"/>
    <w:rsid w:val="00507727"/>
    <w:rsid w:val="00507AF1"/>
    <w:rsid w:val="00507BAF"/>
    <w:rsid w:val="00507C12"/>
    <w:rsid w:val="00507E26"/>
    <w:rsid w:val="00507F0A"/>
    <w:rsid w:val="00510232"/>
    <w:rsid w:val="0051028E"/>
    <w:rsid w:val="005102A9"/>
    <w:rsid w:val="00510454"/>
    <w:rsid w:val="005104B4"/>
    <w:rsid w:val="0051074E"/>
    <w:rsid w:val="005107B3"/>
    <w:rsid w:val="005107EF"/>
    <w:rsid w:val="0051086F"/>
    <w:rsid w:val="005108D3"/>
    <w:rsid w:val="00510A80"/>
    <w:rsid w:val="00510A92"/>
    <w:rsid w:val="00510C0C"/>
    <w:rsid w:val="00510CCB"/>
    <w:rsid w:val="00510D8E"/>
    <w:rsid w:val="00510DE6"/>
    <w:rsid w:val="00510EC4"/>
    <w:rsid w:val="00510F6E"/>
    <w:rsid w:val="00511044"/>
    <w:rsid w:val="005111F4"/>
    <w:rsid w:val="00511252"/>
    <w:rsid w:val="00511313"/>
    <w:rsid w:val="00511730"/>
    <w:rsid w:val="0051175D"/>
    <w:rsid w:val="005118DC"/>
    <w:rsid w:val="00511A28"/>
    <w:rsid w:val="00511A42"/>
    <w:rsid w:val="00511C00"/>
    <w:rsid w:val="00511DBA"/>
    <w:rsid w:val="00511DF6"/>
    <w:rsid w:val="00511E10"/>
    <w:rsid w:val="00511F59"/>
    <w:rsid w:val="00511F69"/>
    <w:rsid w:val="00511FF9"/>
    <w:rsid w:val="005120BB"/>
    <w:rsid w:val="005120F8"/>
    <w:rsid w:val="00512246"/>
    <w:rsid w:val="0051267E"/>
    <w:rsid w:val="005126A1"/>
    <w:rsid w:val="005127D3"/>
    <w:rsid w:val="00512914"/>
    <w:rsid w:val="005129B5"/>
    <w:rsid w:val="00512A48"/>
    <w:rsid w:val="00512A91"/>
    <w:rsid w:val="00512AD6"/>
    <w:rsid w:val="00512B48"/>
    <w:rsid w:val="00512D2E"/>
    <w:rsid w:val="00512E07"/>
    <w:rsid w:val="00512EB4"/>
    <w:rsid w:val="00512F2B"/>
    <w:rsid w:val="005130E4"/>
    <w:rsid w:val="005132B0"/>
    <w:rsid w:val="00513316"/>
    <w:rsid w:val="00513584"/>
    <w:rsid w:val="00513596"/>
    <w:rsid w:val="005135B0"/>
    <w:rsid w:val="0051366E"/>
    <w:rsid w:val="0051366F"/>
    <w:rsid w:val="0051373C"/>
    <w:rsid w:val="00513A83"/>
    <w:rsid w:val="00513AA9"/>
    <w:rsid w:val="00513C8D"/>
    <w:rsid w:val="00513D37"/>
    <w:rsid w:val="00513F5E"/>
    <w:rsid w:val="00513FAE"/>
    <w:rsid w:val="00513FD5"/>
    <w:rsid w:val="00514132"/>
    <w:rsid w:val="00514163"/>
    <w:rsid w:val="00514185"/>
    <w:rsid w:val="005143CF"/>
    <w:rsid w:val="005144F3"/>
    <w:rsid w:val="0051471D"/>
    <w:rsid w:val="00514749"/>
    <w:rsid w:val="00514767"/>
    <w:rsid w:val="0051479E"/>
    <w:rsid w:val="005147A1"/>
    <w:rsid w:val="005149A2"/>
    <w:rsid w:val="00514A09"/>
    <w:rsid w:val="00514A28"/>
    <w:rsid w:val="00514A66"/>
    <w:rsid w:val="00514B2D"/>
    <w:rsid w:val="00514BB9"/>
    <w:rsid w:val="00514C81"/>
    <w:rsid w:val="00514C98"/>
    <w:rsid w:val="00515550"/>
    <w:rsid w:val="00515633"/>
    <w:rsid w:val="00515653"/>
    <w:rsid w:val="005156BE"/>
    <w:rsid w:val="005157E7"/>
    <w:rsid w:val="00515840"/>
    <w:rsid w:val="005158D7"/>
    <w:rsid w:val="00515A04"/>
    <w:rsid w:val="00515C8A"/>
    <w:rsid w:val="00515CB4"/>
    <w:rsid w:val="00515FF1"/>
    <w:rsid w:val="00516097"/>
    <w:rsid w:val="0051626A"/>
    <w:rsid w:val="00516356"/>
    <w:rsid w:val="00516815"/>
    <w:rsid w:val="0051693D"/>
    <w:rsid w:val="00516A16"/>
    <w:rsid w:val="00516C1A"/>
    <w:rsid w:val="00516E37"/>
    <w:rsid w:val="00516FC4"/>
    <w:rsid w:val="005170B7"/>
    <w:rsid w:val="0051711A"/>
    <w:rsid w:val="005172AD"/>
    <w:rsid w:val="00517459"/>
    <w:rsid w:val="00517478"/>
    <w:rsid w:val="00517555"/>
    <w:rsid w:val="0051756E"/>
    <w:rsid w:val="005175F7"/>
    <w:rsid w:val="005175FF"/>
    <w:rsid w:val="0051761E"/>
    <w:rsid w:val="00517691"/>
    <w:rsid w:val="00517694"/>
    <w:rsid w:val="005177F2"/>
    <w:rsid w:val="00517810"/>
    <w:rsid w:val="005179D1"/>
    <w:rsid w:val="00517A12"/>
    <w:rsid w:val="00517C06"/>
    <w:rsid w:val="00517C8F"/>
    <w:rsid w:val="00517D2D"/>
    <w:rsid w:val="00517FE9"/>
    <w:rsid w:val="00520033"/>
    <w:rsid w:val="005204E8"/>
    <w:rsid w:val="0052051E"/>
    <w:rsid w:val="0052052A"/>
    <w:rsid w:val="00520653"/>
    <w:rsid w:val="00520704"/>
    <w:rsid w:val="005207C7"/>
    <w:rsid w:val="005207EB"/>
    <w:rsid w:val="00520C11"/>
    <w:rsid w:val="00520C1E"/>
    <w:rsid w:val="00520E36"/>
    <w:rsid w:val="00520E7B"/>
    <w:rsid w:val="005211DA"/>
    <w:rsid w:val="0052138A"/>
    <w:rsid w:val="00521404"/>
    <w:rsid w:val="0052147B"/>
    <w:rsid w:val="0052152C"/>
    <w:rsid w:val="0052166A"/>
    <w:rsid w:val="005218C5"/>
    <w:rsid w:val="0052190D"/>
    <w:rsid w:val="00521B38"/>
    <w:rsid w:val="00521B72"/>
    <w:rsid w:val="00521B9F"/>
    <w:rsid w:val="00521C81"/>
    <w:rsid w:val="00521E36"/>
    <w:rsid w:val="00521EAC"/>
    <w:rsid w:val="00521F28"/>
    <w:rsid w:val="00521F4A"/>
    <w:rsid w:val="00521F81"/>
    <w:rsid w:val="00521FAD"/>
    <w:rsid w:val="005220AA"/>
    <w:rsid w:val="00522157"/>
    <w:rsid w:val="005221F9"/>
    <w:rsid w:val="005221FE"/>
    <w:rsid w:val="0052223B"/>
    <w:rsid w:val="005223FA"/>
    <w:rsid w:val="00522452"/>
    <w:rsid w:val="005224F3"/>
    <w:rsid w:val="005226D6"/>
    <w:rsid w:val="005227E2"/>
    <w:rsid w:val="005227FD"/>
    <w:rsid w:val="0052283A"/>
    <w:rsid w:val="00522944"/>
    <w:rsid w:val="005229F7"/>
    <w:rsid w:val="00522ACB"/>
    <w:rsid w:val="00522D5B"/>
    <w:rsid w:val="00522E72"/>
    <w:rsid w:val="005230A6"/>
    <w:rsid w:val="0052327A"/>
    <w:rsid w:val="005232A1"/>
    <w:rsid w:val="005232C9"/>
    <w:rsid w:val="00523427"/>
    <w:rsid w:val="00523452"/>
    <w:rsid w:val="0052353C"/>
    <w:rsid w:val="00523834"/>
    <w:rsid w:val="005238E9"/>
    <w:rsid w:val="00523960"/>
    <w:rsid w:val="00523A6F"/>
    <w:rsid w:val="00523BA3"/>
    <w:rsid w:val="00523C3C"/>
    <w:rsid w:val="00523C91"/>
    <w:rsid w:val="00523D71"/>
    <w:rsid w:val="00524196"/>
    <w:rsid w:val="005243B0"/>
    <w:rsid w:val="00524450"/>
    <w:rsid w:val="005244CF"/>
    <w:rsid w:val="005246B4"/>
    <w:rsid w:val="0052470D"/>
    <w:rsid w:val="005247D7"/>
    <w:rsid w:val="00524920"/>
    <w:rsid w:val="0052495F"/>
    <w:rsid w:val="00524A36"/>
    <w:rsid w:val="00524C4D"/>
    <w:rsid w:val="00524C5E"/>
    <w:rsid w:val="00524D50"/>
    <w:rsid w:val="00524D6E"/>
    <w:rsid w:val="00524FD7"/>
    <w:rsid w:val="005254E4"/>
    <w:rsid w:val="0052578D"/>
    <w:rsid w:val="00525962"/>
    <w:rsid w:val="0052599B"/>
    <w:rsid w:val="00525B1C"/>
    <w:rsid w:val="00525D80"/>
    <w:rsid w:val="00525F3F"/>
    <w:rsid w:val="0052606E"/>
    <w:rsid w:val="00526206"/>
    <w:rsid w:val="00526265"/>
    <w:rsid w:val="0052634D"/>
    <w:rsid w:val="00526402"/>
    <w:rsid w:val="005264F4"/>
    <w:rsid w:val="005265B0"/>
    <w:rsid w:val="005267D6"/>
    <w:rsid w:val="0052689F"/>
    <w:rsid w:val="005268D9"/>
    <w:rsid w:val="005268DD"/>
    <w:rsid w:val="00526B77"/>
    <w:rsid w:val="00526B81"/>
    <w:rsid w:val="00526BFC"/>
    <w:rsid w:val="00526E19"/>
    <w:rsid w:val="00526F03"/>
    <w:rsid w:val="00526F80"/>
    <w:rsid w:val="005270AC"/>
    <w:rsid w:val="00527153"/>
    <w:rsid w:val="005271E1"/>
    <w:rsid w:val="0052763F"/>
    <w:rsid w:val="0052766E"/>
    <w:rsid w:val="00527906"/>
    <w:rsid w:val="00527A02"/>
    <w:rsid w:val="00527ACC"/>
    <w:rsid w:val="00527E08"/>
    <w:rsid w:val="00527E21"/>
    <w:rsid w:val="00527E52"/>
    <w:rsid w:val="00527FC4"/>
    <w:rsid w:val="00527FD9"/>
    <w:rsid w:val="0053005A"/>
    <w:rsid w:val="005300C6"/>
    <w:rsid w:val="00530155"/>
    <w:rsid w:val="00530199"/>
    <w:rsid w:val="005301A4"/>
    <w:rsid w:val="0053022C"/>
    <w:rsid w:val="00530364"/>
    <w:rsid w:val="0053039A"/>
    <w:rsid w:val="00530620"/>
    <w:rsid w:val="005306DA"/>
    <w:rsid w:val="0053094D"/>
    <w:rsid w:val="00530954"/>
    <w:rsid w:val="00530C0A"/>
    <w:rsid w:val="00530DE7"/>
    <w:rsid w:val="00530EFE"/>
    <w:rsid w:val="005310C3"/>
    <w:rsid w:val="005310E4"/>
    <w:rsid w:val="0053125E"/>
    <w:rsid w:val="00531297"/>
    <w:rsid w:val="00531415"/>
    <w:rsid w:val="0053147A"/>
    <w:rsid w:val="005316E6"/>
    <w:rsid w:val="0053179A"/>
    <w:rsid w:val="00531804"/>
    <w:rsid w:val="005318A3"/>
    <w:rsid w:val="005319B3"/>
    <w:rsid w:val="00531B29"/>
    <w:rsid w:val="00531B75"/>
    <w:rsid w:val="00531D46"/>
    <w:rsid w:val="00532073"/>
    <w:rsid w:val="00532122"/>
    <w:rsid w:val="0053213E"/>
    <w:rsid w:val="005327CF"/>
    <w:rsid w:val="00532A0D"/>
    <w:rsid w:val="00532B30"/>
    <w:rsid w:val="00532D44"/>
    <w:rsid w:val="00532DDB"/>
    <w:rsid w:val="00532ED4"/>
    <w:rsid w:val="0053308F"/>
    <w:rsid w:val="005330B0"/>
    <w:rsid w:val="005330F7"/>
    <w:rsid w:val="0053311A"/>
    <w:rsid w:val="00533598"/>
    <w:rsid w:val="00533794"/>
    <w:rsid w:val="0053381A"/>
    <w:rsid w:val="00533943"/>
    <w:rsid w:val="00533AEA"/>
    <w:rsid w:val="00533B26"/>
    <w:rsid w:val="00533B97"/>
    <w:rsid w:val="00533F9C"/>
    <w:rsid w:val="0053404D"/>
    <w:rsid w:val="00534120"/>
    <w:rsid w:val="0053449A"/>
    <w:rsid w:val="0053449B"/>
    <w:rsid w:val="00534559"/>
    <w:rsid w:val="0053467E"/>
    <w:rsid w:val="00534685"/>
    <w:rsid w:val="005346F8"/>
    <w:rsid w:val="00534811"/>
    <w:rsid w:val="00534D2A"/>
    <w:rsid w:val="00534D86"/>
    <w:rsid w:val="00534DD5"/>
    <w:rsid w:val="00534F76"/>
    <w:rsid w:val="00535140"/>
    <w:rsid w:val="00535383"/>
    <w:rsid w:val="00535399"/>
    <w:rsid w:val="00535418"/>
    <w:rsid w:val="00535717"/>
    <w:rsid w:val="0053574B"/>
    <w:rsid w:val="00535A61"/>
    <w:rsid w:val="00535AC5"/>
    <w:rsid w:val="00535F94"/>
    <w:rsid w:val="00535FA9"/>
    <w:rsid w:val="00535FC9"/>
    <w:rsid w:val="00535FE9"/>
    <w:rsid w:val="00536157"/>
    <w:rsid w:val="005363A9"/>
    <w:rsid w:val="00536404"/>
    <w:rsid w:val="0053647A"/>
    <w:rsid w:val="005365E6"/>
    <w:rsid w:val="005366B8"/>
    <w:rsid w:val="00536768"/>
    <w:rsid w:val="00536A1D"/>
    <w:rsid w:val="00536A27"/>
    <w:rsid w:val="00536B86"/>
    <w:rsid w:val="00536C9C"/>
    <w:rsid w:val="00536D45"/>
    <w:rsid w:val="00536D9A"/>
    <w:rsid w:val="00536E7C"/>
    <w:rsid w:val="00536EC7"/>
    <w:rsid w:val="00536FD5"/>
    <w:rsid w:val="00536FEF"/>
    <w:rsid w:val="00537120"/>
    <w:rsid w:val="0053737A"/>
    <w:rsid w:val="005374BB"/>
    <w:rsid w:val="005375D8"/>
    <w:rsid w:val="0053761B"/>
    <w:rsid w:val="005377B6"/>
    <w:rsid w:val="005377BA"/>
    <w:rsid w:val="0053784B"/>
    <w:rsid w:val="00537874"/>
    <w:rsid w:val="00537959"/>
    <w:rsid w:val="00537971"/>
    <w:rsid w:val="00537977"/>
    <w:rsid w:val="005379FA"/>
    <w:rsid w:val="00537B40"/>
    <w:rsid w:val="00537B6C"/>
    <w:rsid w:val="00537CDA"/>
    <w:rsid w:val="00537DC0"/>
    <w:rsid w:val="00537F7C"/>
    <w:rsid w:val="005400FA"/>
    <w:rsid w:val="0054019A"/>
    <w:rsid w:val="005401B0"/>
    <w:rsid w:val="005401C3"/>
    <w:rsid w:val="00540334"/>
    <w:rsid w:val="005405CB"/>
    <w:rsid w:val="0054061A"/>
    <w:rsid w:val="00540707"/>
    <w:rsid w:val="0054070F"/>
    <w:rsid w:val="005407D3"/>
    <w:rsid w:val="005407E1"/>
    <w:rsid w:val="005408BD"/>
    <w:rsid w:val="00540A04"/>
    <w:rsid w:val="00540A15"/>
    <w:rsid w:val="00540A97"/>
    <w:rsid w:val="00540C5C"/>
    <w:rsid w:val="00540C8E"/>
    <w:rsid w:val="00540CD9"/>
    <w:rsid w:val="00540CF2"/>
    <w:rsid w:val="00540D1F"/>
    <w:rsid w:val="00540D65"/>
    <w:rsid w:val="00540D77"/>
    <w:rsid w:val="00540E43"/>
    <w:rsid w:val="00540EA5"/>
    <w:rsid w:val="00540F7F"/>
    <w:rsid w:val="00540FBB"/>
    <w:rsid w:val="00540FF8"/>
    <w:rsid w:val="00541050"/>
    <w:rsid w:val="005410DA"/>
    <w:rsid w:val="005411EC"/>
    <w:rsid w:val="00541328"/>
    <w:rsid w:val="005414CF"/>
    <w:rsid w:val="00541677"/>
    <w:rsid w:val="0054183E"/>
    <w:rsid w:val="00541853"/>
    <w:rsid w:val="0054198F"/>
    <w:rsid w:val="005419B1"/>
    <w:rsid w:val="00541B6D"/>
    <w:rsid w:val="00541C67"/>
    <w:rsid w:val="00541CC2"/>
    <w:rsid w:val="00541CCB"/>
    <w:rsid w:val="00541EE0"/>
    <w:rsid w:val="00541F05"/>
    <w:rsid w:val="00541F27"/>
    <w:rsid w:val="00541F3C"/>
    <w:rsid w:val="00541FF6"/>
    <w:rsid w:val="005420F2"/>
    <w:rsid w:val="005421A1"/>
    <w:rsid w:val="005425E7"/>
    <w:rsid w:val="005426E6"/>
    <w:rsid w:val="005428EE"/>
    <w:rsid w:val="00542966"/>
    <w:rsid w:val="0054296A"/>
    <w:rsid w:val="00542A06"/>
    <w:rsid w:val="00542CAE"/>
    <w:rsid w:val="00542E9A"/>
    <w:rsid w:val="00542FAD"/>
    <w:rsid w:val="00542FCD"/>
    <w:rsid w:val="0054304B"/>
    <w:rsid w:val="005434AA"/>
    <w:rsid w:val="00543611"/>
    <w:rsid w:val="0054362E"/>
    <w:rsid w:val="005437AC"/>
    <w:rsid w:val="00543846"/>
    <w:rsid w:val="00543860"/>
    <w:rsid w:val="005438A3"/>
    <w:rsid w:val="005438DD"/>
    <w:rsid w:val="0054390F"/>
    <w:rsid w:val="00543942"/>
    <w:rsid w:val="005439AF"/>
    <w:rsid w:val="00543AE1"/>
    <w:rsid w:val="00543B97"/>
    <w:rsid w:val="00543C7F"/>
    <w:rsid w:val="00543E63"/>
    <w:rsid w:val="005440DF"/>
    <w:rsid w:val="0054423D"/>
    <w:rsid w:val="0054427A"/>
    <w:rsid w:val="00544558"/>
    <w:rsid w:val="00544694"/>
    <w:rsid w:val="005446FC"/>
    <w:rsid w:val="00544772"/>
    <w:rsid w:val="00544952"/>
    <w:rsid w:val="00544AB6"/>
    <w:rsid w:val="00544C62"/>
    <w:rsid w:val="00544E4C"/>
    <w:rsid w:val="00544E5B"/>
    <w:rsid w:val="00544EDC"/>
    <w:rsid w:val="00544FDD"/>
    <w:rsid w:val="00544FFA"/>
    <w:rsid w:val="005451E4"/>
    <w:rsid w:val="00545546"/>
    <w:rsid w:val="005455FE"/>
    <w:rsid w:val="005456F1"/>
    <w:rsid w:val="005456F2"/>
    <w:rsid w:val="005458C6"/>
    <w:rsid w:val="00545960"/>
    <w:rsid w:val="00545CC1"/>
    <w:rsid w:val="00545E01"/>
    <w:rsid w:val="00545F47"/>
    <w:rsid w:val="00546119"/>
    <w:rsid w:val="00546125"/>
    <w:rsid w:val="005463D9"/>
    <w:rsid w:val="00546B1F"/>
    <w:rsid w:val="00546B2C"/>
    <w:rsid w:val="00546BBB"/>
    <w:rsid w:val="00546D17"/>
    <w:rsid w:val="00546D7C"/>
    <w:rsid w:val="00546E0B"/>
    <w:rsid w:val="00546E14"/>
    <w:rsid w:val="00546E9F"/>
    <w:rsid w:val="00546F97"/>
    <w:rsid w:val="0054727D"/>
    <w:rsid w:val="005472AD"/>
    <w:rsid w:val="005473DA"/>
    <w:rsid w:val="00547446"/>
    <w:rsid w:val="00547675"/>
    <w:rsid w:val="005477FF"/>
    <w:rsid w:val="005479B9"/>
    <w:rsid w:val="005479D5"/>
    <w:rsid w:val="00547A01"/>
    <w:rsid w:val="00547BD4"/>
    <w:rsid w:val="00547EED"/>
    <w:rsid w:val="00547F6F"/>
    <w:rsid w:val="00547F84"/>
    <w:rsid w:val="00547FA4"/>
    <w:rsid w:val="005503A2"/>
    <w:rsid w:val="005504E0"/>
    <w:rsid w:val="00550545"/>
    <w:rsid w:val="00550593"/>
    <w:rsid w:val="00550745"/>
    <w:rsid w:val="00550803"/>
    <w:rsid w:val="00550888"/>
    <w:rsid w:val="005508BE"/>
    <w:rsid w:val="00550991"/>
    <w:rsid w:val="00550993"/>
    <w:rsid w:val="00550AE1"/>
    <w:rsid w:val="00550B13"/>
    <w:rsid w:val="00550B3A"/>
    <w:rsid w:val="00550C69"/>
    <w:rsid w:val="00550EC1"/>
    <w:rsid w:val="00550F9E"/>
    <w:rsid w:val="00550FCF"/>
    <w:rsid w:val="00551036"/>
    <w:rsid w:val="005510B3"/>
    <w:rsid w:val="00551121"/>
    <w:rsid w:val="00551271"/>
    <w:rsid w:val="00551632"/>
    <w:rsid w:val="005516A4"/>
    <w:rsid w:val="00551C6A"/>
    <w:rsid w:val="00551C77"/>
    <w:rsid w:val="00551CB8"/>
    <w:rsid w:val="00551E6B"/>
    <w:rsid w:val="00551E72"/>
    <w:rsid w:val="00551EED"/>
    <w:rsid w:val="0055226B"/>
    <w:rsid w:val="00552343"/>
    <w:rsid w:val="005523CB"/>
    <w:rsid w:val="00552456"/>
    <w:rsid w:val="005524A8"/>
    <w:rsid w:val="00552554"/>
    <w:rsid w:val="0055255C"/>
    <w:rsid w:val="005527E7"/>
    <w:rsid w:val="0055280C"/>
    <w:rsid w:val="0055294A"/>
    <w:rsid w:val="00552966"/>
    <w:rsid w:val="005529C3"/>
    <w:rsid w:val="00552C51"/>
    <w:rsid w:val="00552DE1"/>
    <w:rsid w:val="00552F02"/>
    <w:rsid w:val="00552F05"/>
    <w:rsid w:val="00552F41"/>
    <w:rsid w:val="005531AA"/>
    <w:rsid w:val="005532F5"/>
    <w:rsid w:val="00553370"/>
    <w:rsid w:val="00553492"/>
    <w:rsid w:val="00553526"/>
    <w:rsid w:val="005536DE"/>
    <w:rsid w:val="005536F5"/>
    <w:rsid w:val="0055377B"/>
    <w:rsid w:val="005537B6"/>
    <w:rsid w:val="005537CA"/>
    <w:rsid w:val="005537E6"/>
    <w:rsid w:val="00553806"/>
    <w:rsid w:val="00553A93"/>
    <w:rsid w:val="00553ADE"/>
    <w:rsid w:val="00553B99"/>
    <w:rsid w:val="00553BAB"/>
    <w:rsid w:val="00553BEC"/>
    <w:rsid w:val="00553C9C"/>
    <w:rsid w:val="0055406B"/>
    <w:rsid w:val="005540D5"/>
    <w:rsid w:val="005541FC"/>
    <w:rsid w:val="005542DA"/>
    <w:rsid w:val="00554328"/>
    <w:rsid w:val="005544E6"/>
    <w:rsid w:val="005545FE"/>
    <w:rsid w:val="00554624"/>
    <w:rsid w:val="00554774"/>
    <w:rsid w:val="00554802"/>
    <w:rsid w:val="0055481B"/>
    <w:rsid w:val="0055485E"/>
    <w:rsid w:val="00554996"/>
    <w:rsid w:val="00554B26"/>
    <w:rsid w:val="00554C92"/>
    <w:rsid w:val="00554DA8"/>
    <w:rsid w:val="00554E9D"/>
    <w:rsid w:val="00554EAD"/>
    <w:rsid w:val="00554F28"/>
    <w:rsid w:val="00555067"/>
    <w:rsid w:val="00555172"/>
    <w:rsid w:val="00555655"/>
    <w:rsid w:val="005556C0"/>
    <w:rsid w:val="00555813"/>
    <w:rsid w:val="00555838"/>
    <w:rsid w:val="005558ED"/>
    <w:rsid w:val="00555A0B"/>
    <w:rsid w:val="00555A43"/>
    <w:rsid w:val="00555A77"/>
    <w:rsid w:val="00555ACB"/>
    <w:rsid w:val="00555B47"/>
    <w:rsid w:val="00555B98"/>
    <w:rsid w:val="00555BCA"/>
    <w:rsid w:val="00555BF9"/>
    <w:rsid w:val="00556258"/>
    <w:rsid w:val="005562A4"/>
    <w:rsid w:val="00556649"/>
    <w:rsid w:val="005566F9"/>
    <w:rsid w:val="005567BA"/>
    <w:rsid w:val="005568B9"/>
    <w:rsid w:val="00556A32"/>
    <w:rsid w:val="00556A7B"/>
    <w:rsid w:val="00556DEA"/>
    <w:rsid w:val="00556EE4"/>
    <w:rsid w:val="00556F96"/>
    <w:rsid w:val="0055708E"/>
    <w:rsid w:val="00557106"/>
    <w:rsid w:val="0055717E"/>
    <w:rsid w:val="005573D1"/>
    <w:rsid w:val="0055778A"/>
    <w:rsid w:val="00557C39"/>
    <w:rsid w:val="00557C4A"/>
    <w:rsid w:val="00557C5E"/>
    <w:rsid w:val="00557CCA"/>
    <w:rsid w:val="00557D72"/>
    <w:rsid w:val="00557F86"/>
    <w:rsid w:val="005600C7"/>
    <w:rsid w:val="0056026C"/>
    <w:rsid w:val="0056030A"/>
    <w:rsid w:val="00560374"/>
    <w:rsid w:val="005603B3"/>
    <w:rsid w:val="005603BF"/>
    <w:rsid w:val="00560419"/>
    <w:rsid w:val="005604A4"/>
    <w:rsid w:val="00560584"/>
    <w:rsid w:val="00560ABF"/>
    <w:rsid w:val="00560AE3"/>
    <w:rsid w:val="00560BB4"/>
    <w:rsid w:val="00560DFD"/>
    <w:rsid w:val="00560E5C"/>
    <w:rsid w:val="00560ECC"/>
    <w:rsid w:val="00560FE1"/>
    <w:rsid w:val="0056109B"/>
    <w:rsid w:val="005610C1"/>
    <w:rsid w:val="0056118F"/>
    <w:rsid w:val="00561310"/>
    <w:rsid w:val="005614D1"/>
    <w:rsid w:val="005614F2"/>
    <w:rsid w:val="005615B8"/>
    <w:rsid w:val="005615DF"/>
    <w:rsid w:val="00561731"/>
    <w:rsid w:val="00561846"/>
    <w:rsid w:val="00561934"/>
    <w:rsid w:val="00561AEE"/>
    <w:rsid w:val="00561C26"/>
    <w:rsid w:val="00561C50"/>
    <w:rsid w:val="00561DB0"/>
    <w:rsid w:val="00561E07"/>
    <w:rsid w:val="00561F62"/>
    <w:rsid w:val="00561F83"/>
    <w:rsid w:val="0056205F"/>
    <w:rsid w:val="00562108"/>
    <w:rsid w:val="00562354"/>
    <w:rsid w:val="00562365"/>
    <w:rsid w:val="00562392"/>
    <w:rsid w:val="0056243E"/>
    <w:rsid w:val="00562445"/>
    <w:rsid w:val="005624C0"/>
    <w:rsid w:val="005625D7"/>
    <w:rsid w:val="005625D8"/>
    <w:rsid w:val="0056268E"/>
    <w:rsid w:val="00562720"/>
    <w:rsid w:val="00562748"/>
    <w:rsid w:val="00562C93"/>
    <w:rsid w:val="00562D51"/>
    <w:rsid w:val="00562D83"/>
    <w:rsid w:val="00563022"/>
    <w:rsid w:val="005630E5"/>
    <w:rsid w:val="0056317D"/>
    <w:rsid w:val="005631AF"/>
    <w:rsid w:val="00563217"/>
    <w:rsid w:val="0056328C"/>
    <w:rsid w:val="005632D3"/>
    <w:rsid w:val="00563395"/>
    <w:rsid w:val="005633BD"/>
    <w:rsid w:val="00563454"/>
    <w:rsid w:val="0056374D"/>
    <w:rsid w:val="0056379D"/>
    <w:rsid w:val="005637B2"/>
    <w:rsid w:val="005637F0"/>
    <w:rsid w:val="00563A5A"/>
    <w:rsid w:val="00563B8C"/>
    <w:rsid w:val="00563C70"/>
    <w:rsid w:val="00563E97"/>
    <w:rsid w:val="00563EDE"/>
    <w:rsid w:val="00563EE9"/>
    <w:rsid w:val="00563F91"/>
    <w:rsid w:val="00564086"/>
    <w:rsid w:val="005640FF"/>
    <w:rsid w:val="005641B8"/>
    <w:rsid w:val="005646D9"/>
    <w:rsid w:val="00564750"/>
    <w:rsid w:val="005647CF"/>
    <w:rsid w:val="00564C11"/>
    <w:rsid w:val="00564CB9"/>
    <w:rsid w:val="00564D71"/>
    <w:rsid w:val="00564ED3"/>
    <w:rsid w:val="0056523B"/>
    <w:rsid w:val="0056528F"/>
    <w:rsid w:val="005652F2"/>
    <w:rsid w:val="00565362"/>
    <w:rsid w:val="0056548A"/>
    <w:rsid w:val="00565495"/>
    <w:rsid w:val="0056552B"/>
    <w:rsid w:val="005657B3"/>
    <w:rsid w:val="00565914"/>
    <w:rsid w:val="00565A52"/>
    <w:rsid w:val="00565B07"/>
    <w:rsid w:val="00565B1A"/>
    <w:rsid w:val="00565C5F"/>
    <w:rsid w:val="00565CD0"/>
    <w:rsid w:val="00565D83"/>
    <w:rsid w:val="00565E66"/>
    <w:rsid w:val="00565E73"/>
    <w:rsid w:val="00565E84"/>
    <w:rsid w:val="00565F5E"/>
    <w:rsid w:val="00565FF9"/>
    <w:rsid w:val="005660D9"/>
    <w:rsid w:val="0056611A"/>
    <w:rsid w:val="0056675A"/>
    <w:rsid w:val="005668BA"/>
    <w:rsid w:val="00566B0A"/>
    <w:rsid w:val="00566C4B"/>
    <w:rsid w:val="00566D31"/>
    <w:rsid w:val="00566D63"/>
    <w:rsid w:val="00566F49"/>
    <w:rsid w:val="00567298"/>
    <w:rsid w:val="0056743A"/>
    <w:rsid w:val="005674AB"/>
    <w:rsid w:val="005674BB"/>
    <w:rsid w:val="005674DB"/>
    <w:rsid w:val="005675C7"/>
    <w:rsid w:val="005677BA"/>
    <w:rsid w:val="00567929"/>
    <w:rsid w:val="005679C0"/>
    <w:rsid w:val="00567C1C"/>
    <w:rsid w:val="00567CF5"/>
    <w:rsid w:val="00567E36"/>
    <w:rsid w:val="00567EB1"/>
    <w:rsid w:val="00567FF3"/>
    <w:rsid w:val="00570353"/>
    <w:rsid w:val="00570362"/>
    <w:rsid w:val="005706A5"/>
    <w:rsid w:val="005706EB"/>
    <w:rsid w:val="00570978"/>
    <w:rsid w:val="00570A1F"/>
    <w:rsid w:val="00570B07"/>
    <w:rsid w:val="00570CB1"/>
    <w:rsid w:val="00570EA2"/>
    <w:rsid w:val="00570F9B"/>
    <w:rsid w:val="00571058"/>
    <w:rsid w:val="00571065"/>
    <w:rsid w:val="005710C2"/>
    <w:rsid w:val="005711C8"/>
    <w:rsid w:val="00571292"/>
    <w:rsid w:val="005712F9"/>
    <w:rsid w:val="0057131A"/>
    <w:rsid w:val="00571390"/>
    <w:rsid w:val="005713DA"/>
    <w:rsid w:val="005714B5"/>
    <w:rsid w:val="00571576"/>
    <w:rsid w:val="0057196F"/>
    <w:rsid w:val="005719E3"/>
    <w:rsid w:val="00571A6C"/>
    <w:rsid w:val="00571C00"/>
    <w:rsid w:val="00571D66"/>
    <w:rsid w:val="00571D86"/>
    <w:rsid w:val="00571D9D"/>
    <w:rsid w:val="00571E35"/>
    <w:rsid w:val="00571F91"/>
    <w:rsid w:val="0057204D"/>
    <w:rsid w:val="0057208E"/>
    <w:rsid w:val="005723F7"/>
    <w:rsid w:val="00572420"/>
    <w:rsid w:val="00572479"/>
    <w:rsid w:val="005724AC"/>
    <w:rsid w:val="005724D8"/>
    <w:rsid w:val="0057252E"/>
    <w:rsid w:val="005725A1"/>
    <w:rsid w:val="005725E9"/>
    <w:rsid w:val="0057266E"/>
    <w:rsid w:val="00572775"/>
    <w:rsid w:val="00572966"/>
    <w:rsid w:val="0057297C"/>
    <w:rsid w:val="005729C5"/>
    <w:rsid w:val="00572B64"/>
    <w:rsid w:val="00572C35"/>
    <w:rsid w:val="00572F02"/>
    <w:rsid w:val="00572F78"/>
    <w:rsid w:val="005731D7"/>
    <w:rsid w:val="00573309"/>
    <w:rsid w:val="00573338"/>
    <w:rsid w:val="00573429"/>
    <w:rsid w:val="00573622"/>
    <w:rsid w:val="00573734"/>
    <w:rsid w:val="005737D5"/>
    <w:rsid w:val="00573AF8"/>
    <w:rsid w:val="00573B27"/>
    <w:rsid w:val="00573B5D"/>
    <w:rsid w:val="00573BF6"/>
    <w:rsid w:val="00573C75"/>
    <w:rsid w:val="00573C84"/>
    <w:rsid w:val="00573D76"/>
    <w:rsid w:val="00573E89"/>
    <w:rsid w:val="00573EE3"/>
    <w:rsid w:val="00573FFD"/>
    <w:rsid w:val="00574011"/>
    <w:rsid w:val="005740F7"/>
    <w:rsid w:val="005741B7"/>
    <w:rsid w:val="005741D3"/>
    <w:rsid w:val="00574287"/>
    <w:rsid w:val="005743DF"/>
    <w:rsid w:val="005743F7"/>
    <w:rsid w:val="00574449"/>
    <w:rsid w:val="00574772"/>
    <w:rsid w:val="0057477E"/>
    <w:rsid w:val="00574810"/>
    <w:rsid w:val="00574B33"/>
    <w:rsid w:val="00574BCF"/>
    <w:rsid w:val="00574CAC"/>
    <w:rsid w:val="00574DA4"/>
    <w:rsid w:val="00574F7C"/>
    <w:rsid w:val="00574FC0"/>
    <w:rsid w:val="00575127"/>
    <w:rsid w:val="005751BE"/>
    <w:rsid w:val="00575313"/>
    <w:rsid w:val="005753E4"/>
    <w:rsid w:val="00575875"/>
    <w:rsid w:val="00575BEB"/>
    <w:rsid w:val="00575C82"/>
    <w:rsid w:val="00575DE5"/>
    <w:rsid w:val="00575DF4"/>
    <w:rsid w:val="00575E0B"/>
    <w:rsid w:val="005760A9"/>
    <w:rsid w:val="0057610B"/>
    <w:rsid w:val="00576462"/>
    <w:rsid w:val="00576679"/>
    <w:rsid w:val="00576764"/>
    <w:rsid w:val="005767F1"/>
    <w:rsid w:val="005769DD"/>
    <w:rsid w:val="00576A15"/>
    <w:rsid w:val="00576AC9"/>
    <w:rsid w:val="00576AEF"/>
    <w:rsid w:val="00576B30"/>
    <w:rsid w:val="00576BBE"/>
    <w:rsid w:val="00576C15"/>
    <w:rsid w:val="00576CB8"/>
    <w:rsid w:val="00576FC5"/>
    <w:rsid w:val="00577348"/>
    <w:rsid w:val="00577892"/>
    <w:rsid w:val="005778CF"/>
    <w:rsid w:val="0057799C"/>
    <w:rsid w:val="00577BE1"/>
    <w:rsid w:val="00577C2B"/>
    <w:rsid w:val="00577F23"/>
    <w:rsid w:val="00577F56"/>
    <w:rsid w:val="00577FC3"/>
    <w:rsid w:val="00580283"/>
    <w:rsid w:val="0058045F"/>
    <w:rsid w:val="00580611"/>
    <w:rsid w:val="005808A9"/>
    <w:rsid w:val="00580924"/>
    <w:rsid w:val="005809EC"/>
    <w:rsid w:val="00580A56"/>
    <w:rsid w:val="00580B31"/>
    <w:rsid w:val="00580BB8"/>
    <w:rsid w:val="00580C0F"/>
    <w:rsid w:val="00580CA6"/>
    <w:rsid w:val="00580DCF"/>
    <w:rsid w:val="00580E76"/>
    <w:rsid w:val="00581137"/>
    <w:rsid w:val="00581277"/>
    <w:rsid w:val="005812B0"/>
    <w:rsid w:val="005814DA"/>
    <w:rsid w:val="0058162E"/>
    <w:rsid w:val="005816C6"/>
    <w:rsid w:val="00581812"/>
    <w:rsid w:val="00581828"/>
    <w:rsid w:val="0058193D"/>
    <w:rsid w:val="00581AD6"/>
    <w:rsid w:val="00581B2F"/>
    <w:rsid w:val="00581CA4"/>
    <w:rsid w:val="00581EB4"/>
    <w:rsid w:val="00581F74"/>
    <w:rsid w:val="00581F92"/>
    <w:rsid w:val="0058210C"/>
    <w:rsid w:val="005821CD"/>
    <w:rsid w:val="005823CA"/>
    <w:rsid w:val="005825A5"/>
    <w:rsid w:val="005826E6"/>
    <w:rsid w:val="00582781"/>
    <w:rsid w:val="00582782"/>
    <w:rsid w:val="0058287A"/>
    <w:rsid w:val="00582AF3"/>
    <w:rsid w:val="00582F22"/>
    <w:rsid w:val="00583184"/>
    <w:rsid w:val="00583309"/>
    <w:rsid w:val="0058342B"/>
    <w:rsid w:val="0058344A"/>
    <w:rsid w:val="0058356B"/>
    <w:rsid w:val="005835F9"/>
    <w:rsid w:val="00583746"/>
    <w:rsid w:val="00583837"/>
    <w:rsid w:val="00583858"/>
    <w:rsid w:val="0058385F"/>
    <w:rsid w:val="00583B9E"/>
    <w:rsid w:val="00583C67"/>
    <w:rsid w:val="00583D27"/>
    <w:rsid w:val="00584150"/>
    <w:rsid w:val="00584220"/>
    <w:rsid w:val="0058450B"/>
    <w:rsid w:val="0058451A"/>
    <w:rsid w:val="0058457A"/>
    <w:rsid w:val="00584582"/>
    <w:rsid w:val="005845F4"/>
    <w:rsid w:val="005845F6"/>
    <w:rsid w:val="005848AB"/>
    <w:rsid w:val="00584BBB"/>
    <w:rsid w:val="00584C2F"/>
    <w:rsid w:val="00584CC8"/>
    <w:rsid w:val="00584CCB"/>
    <w:rsid w:val="00584D44"/>
    <w:rsid w:val="00584F9D"/>
    <w:rsid w:val="00585070"/>
    <w:rsid w:val="00585117"/>
    <w:rsid w:val="005852A4"/>
    <w:rsid w:val="0058541C"/>
    <w:rsid w:val="00585609"/>
    <w:rsid w:val="005856D1"/>
    <w:rsid w:val="0058579D"/>
    <w:rsid w:val="005857C1"/>
    <w:rsid w:val="00585822"/>
    <w:rsid w:val="00585889"/>
    <w:rsid w:val="0058590B"/>
    <w:rsid w:val="00585B01"/>
    <w:rsid w:val="00585BE2"/>
    <w:rsid w:val="00585EA5"/>
    <w:rsid w:val="00585F38"/>
    <w:rsid w:val="005860FA"/>
    <w:rsid w:val="005861C3"/>
    <w:rsid w:val="00586259"/>
    <w:rsid w:val="005862FA"/>
    <w:rsid w:val="005865AD"/>
    <w:rsid w:val="00586675"/>
    <w:rsid w:val="005868BE"/>
    <w:rsid w:val="00586AA0"/>
    <w:rsid w:val="00586B8E"/>
    <w:rsid w:val="00586CAB"/>
    <w:rsid w:val="00586D9A"/>
    <w:rsid w:val="00586EC1"/>
    <w:rsid w:val="00586F85"/>
    <w:rsid w:val="005870F1"/>
    <w:rsid w:val="005872B9"/>
    <w:rsid w:val="0058733C"/>
    <w:rsid w:val="005875B3"/>
    <w:rsid w:val="005875BC"/>
    <w:rsid w:val="005876F5"/>
    <w:rsid w:val="00587ABF"/>
    <w:rsid w:val="00587B82"/>
    <w:rsid w:val="00587C51"/>
    <w:rsid w:val="00587D4E"/>
    <w:rsid w:val="00587DA1"/>
    <w:rsid w:val="00587F34"/>
    <w:rsid w:val="0059022F"/>
    <w:rsid w:val="0059032E"/>
    <w:rsid w:val="0059045E"/>
    <w:rsid w:val="00590488"/>
    <w:rsid w:val="00590524"/>
    <w:rsid w:val="0059079F"/>
    <w:rsid w:val="0059088F"/>
    <w:rsid w:val="00590CC8"/>
    <w:rsid w:val="00590D27"/>
    <w:rsid w:val="00590D43"/>
    <w:rsid w:val="00590FCA"/>
    <w:rsid w:val="005911C9"/>
    <w:rsid w:val="00591611"/>
    <w:rsid w:val="0059172D"/>
    <w:rsid w:val="00591744"/>
    <w:rsid w:val="00591805"/>
    <w:rsid w:val="00591859"/>
    <w:rsid w:val="00591889"/>
    <w:rsid w:val="005918D8"/>
    <w:rsid w:val="00591959"/>
    <w:rsid w:val="00591AF8"/>
    <w:rsid w:val="00591C22"/>
    <w:rsid w:val="00591CF9"/>
    <w:rsid w:val="00591D63"/>
    <w:rsid w:val="00591F84"/>
    <w:rsid w:val="00591F8D"/>
    <w:rsid w:val="00592446"/>
    <w:rsid w:val="0059250F"/>
    <w:rsid w:val="00592551"/>
    <w:rsid w:val="005925E7"/>
    <w:rsid w:val="00592915"/>
    <w:rsid w:val="005929A9"/>
    <w:rsid w:val="00592A18"/>
    <w:rsid w:val="00592EFE"/>
    <w:rsid w:val="00592FB0"/>
    <w:rsid w:val="0059304D"/>
    <w:rsid w:val="005933A3"/>
    <w:rsid w:val="0059347A"/>
    <w:rsid w:val="00593572"/>
    <w:rsid w:val="00593816"/>
    <w:rsid w:val="00593823"/>
    <w:rsid w:val="00593835"/>
    <w:rsid w:val="005938A4"/>
    <w:rsid w:val="00593A0A"/>
    <w:rsid w:val="00593BA8"/>
    <w:rsid w:val="00593BCF"/>
    <w:rsid w:val="00593BF1"/>
    <w:rsid w:val="00593C84"/>
    <w:rsid w:val="00593CD4"/>
    <w:rsid w:val="00593D5F"/>
    <w:rsid w:val="00593DCB"/>
    <w:rsid w:val="00594226"/>
    <w:rsid w:val="005943B3"/>
    <w:rsid w:val="005943DC"/>
    <w:rsid w:val="0059468A"/>
    <w:rsid w:val="005947AE"/>
    <w:rsid w:val="00594932"/>
    <w:rsid w:val="00594A67"/>
    <w:rsid w:val="00594A84"/>
    <w:rsid w:val="00594B3A"/>
    <w:rsid w:val="00594EF6"/>
    <w:rsid w:val="00594FED"/>
    <w:rsid w:val="00595042"/>
    <w:rsid w:val="00595055"/>
    <w:rsid w:val="005950D2"/>
    <w:rsid w:val="0059582A"/>
    <w:rsid w:val="005958EA"/>
    <w:rsid w:val="005959C4"/>
    <w:rsid w:val="00595A19"/>
    <w:rsid w:val="00595BA3"/>
    <w:rsid w:val="00595BDD"/>
    <w:rsid w:val="00595C4D"/>
    <w:rsid w:val="00595CBB"/>
    <w:rsid w:val="00595E52"/>
    <w:rsid w:val="00595F1C"/>
    <w:rsid w:val="0059622E"/>
    <w:rsid w:val="0059634F"/>
    <w:rsid w:val="005963CC"/>
    <w:rsid w:val="00596499"/>
    <w:rsid w:val="005967E2"/>
    <w:rsid w:val="00596813"/>
    <w:rsid w:val="0059685B"/>
    <w:rsid w:val="00596978"/>
    <w:rsid w:val="00596A1B"/>
    <w:rsid w:val="00596B95"/>
    <w:rsid w:val="00596D09"/>
    <w:rsid w:val="00596D2B"/>
    <w:rsid w:val="00596D65"/>
    <w:rsid w:val="00596DE0"/>
    <w:rsid w:val="00596E84"/>
    <w:rsid w:val="00596EBC"/>
    <w:rsid w:val="00597004"/>
    <w:rsid w:val="005970A0"/>
    <w:rsid w:val="00597123"/>
    <w:rsid w:val="00597256"/>
    <w:rsid w:val="005973A5"/>
    <w:rsid w:val="0059750A"/>
    <w:rsid w:val="00597524"/>
    <w:rsid w:val="00597647"/>
    <w:rsid w:val="00597659"/>
    <w:rsid w:val="00597769"/>
    <w:rsid w:val="0059797F"/>
    <w:rsid w:val="00597A1D"/>
    <w:rsid w:val="00597A72"/>
    <w:rsid w:val="00597AAF"/>
    <w:rsid w:val="00597D02"/>
    <w:rsid w:val="00597E30"/>
    <w:rsid w:val="00597E5B"/>
    <w:rsid w:val="005A025E"/>
    <w:rsid w:val="005A035F"/>
    <w:rsid w:val="005A0467"/>
    <w:rsid w:val="005A046D"/>
    <w:rsid w:val="005A046F"/>
    <w:rsid w:val="005A0483"/>
    <w:rsid w:val="005A0519"/>
    <w:rsid w:val="005A0786"/>
    <w:rsid w:val="005A07F0"/>
    <w:rsid w:val="005A0B98"/>
    <w:rsid w:val="005A0B9B"/>
    <w:rsid w:val="005A0DAC"/>
    <w:rsid w:val="005A1171"/>
    <w:rsid w:val="005A139D"/>
    <w:rsid w:val="005A13DA"/>
    <w:rsid w:val="005A15BF"/>
    <w:rsid w:val="005A15DC"/>
    <w:rsid w:val="005A16A9"/>
    <w:rsid w:val="005A16B3"/>
    <w:rsid w:val="005A189C"/>
    <w:rsid w:val="005A1C53"/>
    <w:rsid w:val="005A1D52"/>
    <w:rsid w:val="005A1D60"/>
    <w:rsid w:val="005A1E0D"/>
    <w:rsid w:val="005A1F5C"/>
    <w:rsid w:val="005A1FAE"/>
    <w:rsid w:val="005A1FF3"/>
    <w:rsid w:val="005A20BB"/>
    <w:rsid w:val="005A23AB"/>
    <w:rsid w:val="005A2483"/>
    <w:rsid w:val="005A2534"/>
    <w:rsid w:val="005A2562"/>
    <w:rsid w:val="005A256F"/>
    <w:rsid w:val="005A2737"/>
    <w:rsid w:val="005A27F2"/>
    <w:rsid w:val="005A27F3"/>
    <w:rsid w:val="005A2A08"/>
    <w:rsid w:val="005A2BE3"/>
    <w:rsid w:val="005A2C75"/>
    <w:rsid w:val="005A2DFD"/>
    <w:rsid w:val="005A2F2A"/>
    <w:rsid w:val="005A2F73"/>
    <w:rsid w:val="005A2FB9"/>
    <w:rsid w:val="005A308E"/>
    <w:rsid w:val="005A3306"/>
    <w:rsid w:val="005A33D5"/>
    <w:rsid w:val="005A3534"/>
    <w:rsid w:val="005A36D6"/>
    <w:rsid w:val="005A3755"/>
    <w:rsid w:val="005A38F6"/>
    <w:rsid w:val="005A39D8"/>
    <w:rsid w:val="005A3B38"/>
    <w:rsid w:val="005A3BFC"/>
    <w:rsid w:val="005A3CF3"/>
    <w:rsid w:val="005A3CFF"/>
    <w:rsid w:val="005A3DA7"/>
    <w:rsid w:val="005A3E52"/>
    <w:rsid w:val="005A4023"/>
    <w:rsid w:val="005A4115"/>
    <w:rsid w:val="005A424B"/>
    <w:rsid w:val="005A429E"/>
    <w:rsid w:val="005A4560"/>
    <w:rsid w:val="005A4575"/>
    <w:rsid w:val="005A47D7"/>
    <w:rsid w:val="005A485F"/>
    <w:rsid w:val="005A48AD"/>
    <w:rsid w:val="005A497D"/>
    <w:rsid w:val="005A49AD"/>
    <w:rsid w:val="005A49E0"/>
    <w:rsid w:val="005A4BC3"/>
    <w:rsid w:val="005A4C9E"/>
    <w:rsid w:val="005A4CB9"/>
    <w:rsid w:val="005A4D70"/>
    <w:rsid w:val="005A4F43"/>
    <w:rsid w:val="005A4F65"/>
    <w:rsid w:val="005A4FDB"/>
    <w:rsid w:val="005A5041"/>
    <w:rsid w:val="005A5252"/>
    <w:rsid w:val="005A525B"/>
    <w:rsid w:val="005A53A4"/>
    <w:rsid w:val="005A551D"/>
    <w:rsid w:val="005A5523"/>
    <w:rsid w:val="005A574D"/>
    <w:rsid w:val="005A57E3"/>
    <w:rsid w:val="005A5A11"/>
    <w:rsid w:val="005A5A2D"/>
    <w:rsid w:val="005A5DA0"/>
    <w:rsid w:val="005A60DC"/>
    <w:rsid w:val="005A61F4"/>
    <w:rsid w:val="005A6265"/>
    <w:rsid w:val="005A6321"/>
    <w:rsid w:val="005A6349"/>
    <w:rsid w:val="005A67F0"/>
    <w:rsid w:val="005A686E"/>
    <w:rsid w:val="005A68FF"/>
    <w:rsid w:val="005A6B13"/>
    <w:rsid w:val="005A6B82"/>
    <w:rsid w:val="005A6CE8"/>
    <w:rsid w:val="005A6E86"/>
    <w:rsid w:val="005A6EE0"/>
    <w:rsid w:val="005A71C6"/>
    <w:rsid w:val="005A71F9"/>
    <w:rsid w:val="005A7321"/>
    <w:rsid w:val="005A763F"/>
    <w:rsid w:val="005A7738"/>
    <w:rsid w:val="005A779C"/>
    <w:rsid w:val="005A77F3"/>
    <w:rsid w:val="005A78D8"/>
    <w:rsid w:val="005A7918"/>
    <w:rsid w:val="005A799D"/>
    <w:rsid w:val="005A7AC2"/>
    <w:rsid w:val="005A7B9A"/>
    <w:rsid w:val="005A7CED"/>
    <w:rsid w:val="005A7CFA"/>
    <w:rsid w:val="005A7E04"/>
    <w:rsid w:val="005A7F2D"/>
    <w:rsid w:val="005B00F5"/>
    <w:rsid w:val="005B01E2"/>
    <w:rsid w:val="005B0248"/>
    <w:rsid w:val="005B02ED"/>
    <w:rsid w:val="005B063E"/>
    <w:rsid w:val="005B0858"/>
    <w:rsid w:val="005B0866"/>
    <w:rsid w:val="005B0BE7"/>
    <w:rsid w:val="005B0C28"/>
    <w:rsid w:val="005B0C73"/>
    <w:rsid w:val="005B0CDC"/>
    <w:rsid w:val="005B0D59"/>
    <w:rsid w:val="005B0DD2"/>
    <w:rsid w:val="005B0E34"/>
    <w:rsid w:val="005B0EE3"/>
    <w:rsid w:val="005B0F77"/>
    <w:rsid w:val="005B1100"/>
    <w:rsid w:val="005B115A"/>
    <w:rsid w:val="005B11BE"/>
    <w:rsid w:val="005B12EE"/>
    <w:rsid w:val="005B13B9"/>
    <w:rsid w:val="005B16CC"/>
    <w:rsid w:val="005B1735"/>
    <w:rsid w:val="005B1795"/>
    <w:rsid w:val="005B1981"/>
    <w:rsid w:val="005B1BAA"/>
    <w:rsid w:val="005B1DBA"/>
    <w:rsid w:val="005B1F10"/>
    <w:rsid w:val="005B2181"/>
    <w:rsid w:val="005B2319"/>
    <w:rsid w:val="005B23EC"/>
    <w:rsid w:val="005B2498"/>
    <w:rsid w:val="005B24CA"/>
    <w:rsid w:val="005B2784"/>
    <w:rsid w:val="005B2868"/>
    <w:rsid w:val="005B29EB"/>
    <w:rsid w:val="005B2B86"/>
    <w:rsid w:val="005B2C1D"/>
    <w:rsid w:val="005B2C25"/>
    <w:rsid w:val="005B2CCE"/>
    <w:rsid w:val="005B2D0E"/>
    <w:rsid w:val="005B2DC8"/>
    <w:rsid w:val="005B3136"/>
    <w:rsid w:val="005B32E6"/>
    <w:rsid w:val="005B36A6"/>
    <w:rsid w:val="005B37EF"/>
    <w:rsid w:val="005B37F5"/>
    <w:rsid w:val="005B393B"/>
    <w:rsid w:val="005B3BAB"/>
    <w:rsid w:val="005B3C36"/>
    <w:rsid w:val="005B3E01"/>
    <w:rsid w:val="005B3EF3"/>
    <w:rsid w:val="005B3F63"/>
    <w:rsid w:val="005B400F"/>
    <w:rsid w:val="005B40B1"/>
    <w:rsid w:val="005B418B"/>
    <w:rsid w:val="005B4458"/>
    <w:rsid w:val="005B44BC"/>
    <w:rsid w:val="005B44E4"/>
    <w:rsid w:val="005B459C"/>
    <w:rsid w:val="005B47B6"/>
    <w:rsid w:val="005B4874"/>
    <w:rsid w:val="005B488B"/>
    <w:rsid w:val="005B4A93"/>
    <w:rsid w:val="005B4BBB"/>
    <w:rsid w:val="005B4CD7"/>
    <w:rsid w:val="005B4CE1"/>
    <w:rsid w:val="005B4D60"/>
    <w:rsid w:val="005B4DBF"/>
    <w:rsid w:val="005B4E8B"/>
    <w:rsid w:val="005B4EBD"/>
    <w:rsid w:val="005B4F65"/>
    <w:rsid w:val="005B5060"/>
    <w:rsid w:val="005B5228"/>
    <w:rsid w:val="005B523E"/>
    <w:rsid w:val="005B5473"/>
    <w:rsid w:val="005B54D3"/>
    <w:rsid w:val="005B5513"/>
    <w:rsid w:val="005B559C"/>
    <w:rsid w:val="005B55B2"/>
    <w:rsid w:val="005B55D6"/>
    <w:rsid w:val="005B5979"/>
    <w:rsid w:val="005B5D81"/>
    <w:rsid w:val="005B5D85"/>
    <w:rsid w:val="005B5DB1"/>
    <w:rsid w:val="005B5EE2"/>
    <w:rsid w:val="005B5EE4"/>
    <w:rsid w:val="005B60F0"/>
    <w:rsid w:val="005B6231"/>
    <w:rsid w:val="005B6255"/>
    <w:rsid w:val="005B6496"/>
    <w:rsid w:val="005B65C3"/>
    <w:rsid w:val="005B6A67"/>
    <w:rsid w:val="005B6BE7"/>
    <w:rsid w:val="005B6C6B"/>
    <w:rsid w:val="005B6C6F"/>
    <w:rsid w:val="005B6CBB"/>
    <w:rsid w:val="005B6CE5"/>
    <w:rsid w:val="005B6CFF"/>
    <w:rsid w:val="005B6D0D"/>
    <w:rsid w:val="005B6EA2"/>
    <w:rsid w:val="005B6F37"/>
    <w:rsid w:val="005B6FDA"/>
    <w:rsid w:val="005B7050"/>
    <w:rsid w:val="005B70F9"/>
    <w:rsid w:val="005B7429"/>
    <w:rsid w:val="005B7532"/>
    <w:rsid w:val="005B7547"/>
    <w:rsid w:val="005B77A6"/>
    <w:rsid w:val="005B7933"/>
    <w:rsid w:val="005B7A63"/>
    <w:rsid w:val="005B7ACE"/>
    <w:rsid w:val="005B7B72"/>
    <w:rsid w:val="005B7BC0"/>
    <w:rsid w:val="005B7BE9"/>
    <w:rsid w:val="005B7C1A"/>
    <w:rsid w:val="005B7C5C"/>
    <w:rsid w:val="005B7F40"/>
    <w:rsid w:val="005C0037"/>
    <w:rsid w:val="005C003D"/>
    <w:rsid w:val="005C00C2"/>
    <w:rsid w:val="005C0152"/>
    <w:rsid w:val="005C01E9"/>
    <w:rsid w:val="005C0223"/>
    <w:rsid w:val="005C02C1"/>
    <w:rsid w:val="005C0541"/>
    <w:rsid w:val="005C0591"/>
    <w:rsid w:val="005C0611"/>
    <w:rsid w:val="005C072F"/>
    <w:rsid w:val="005C07E3"/>
    <w:rsid w:val="005C07F9"/>
    <w:rsid w:val="005C0871"/>
    <w:rsid w:val="005C0878"/>
    <w:rsid w:val="005C088F"/>
    <w:rsid w:val="005C08D5"/>
    <w:rsid w:val="005C08F8"/>
    <w:rsid w:val="005C096E"/>
    <w:rsid w:val="005C09A4"/>
    <w:rsid w:val="005C0A51"/>
    <w:rsid w:val="005C0FE0"/>
    <w:rsid w:val="005C10D4"/>
    <w:rsid w:val="005C113D"/>
    <w:rsid w:val="005C1152"/>
    <w:rsid w:val="005C1249"/>
    <w:rsid w:val="005C12B5"/>
    <w:rsid w:val="005C12D7"/>
    <w:rsid w:val="005C15AB"/>
    <w:rsid w:val="005C16BC"/>
    <w:rsid w:val="005C1704"/>
    <w:rsid w:val="005C17A0"/>
    <w:rsid w:val="005C1972"/>
    <w:rsid w:val="005C1AB6"/>
    <w:rsid w:val="005C1B32"/>
    <w:rsid w:val="005C1B73"/>
    <w:rsid w:val="005C1B88"/>
    <w:rsid w:val="005C1BD4"/>
    <w:rsid w:val="005C1C77"/>
    <w:rsid w:val="005C1C80"/>
    <w:rsid w:val="005C1D80"/>
    <w:rsid w:val="005C1F1E"/>
    <w:rsid w:val="005C1F49"/>
    <w:rsid w:val="005C20EE"/>
    <w:rsid w:val="005C2425"/>
    <w:rsid w:val="005C2461"/>
    <w:rsid w:val="005C261A"/>
    <w:rsid w:val="005C2700"/>
    <w:rsid w:val="005C27C3"/>
    <w:rsid w:val="005C27CE"/>
    <w:rsid w:val="005C2983"/>
    <w:rsid w:val="005C29AD"/>
    <w:rsid w:val="005C2A08"/>
    <w:rsid w:val="005C303A"/>
    <w:rsid w:val="005C3102"/>
    <w:rsid w:val="005C3546"/>
    <w:rsid w:val="005C36E4"/>
    <w:rsid w:val="005C37AB"/>
    <w:rsid w:val="005C3859"/>
    <w:rsid w:val="005C3BF5"/>
    <w:rsid w:val="005C3C19"/>
    <w:rsid w:val="005C3DD2"/>
    <w:rsid w:val="005C3EF1"/>
    <w:rsid w:val="005C3F37"/>
    <w:rsid w:val="005C4062"/>
    <w:rsid w:val="005C4137"/>
    <w:rsid w:val="005C422A"/>
    <w:rsid w:val="005C4396"/>
    <w:rsid w:val="005C4501"/>
    <w:rsid w:val="005C46B3"/>
    <w:rsid w:val="005C4787"/>
    <w:rsid w:val="005C48EE"/>
    <w:rsid w:val="005C48F9"/>
    <w:rsid w:val="005C4A04"/>
    <w:rsid w:val="005C4A94"/>
    <w:rsid w:val="005C4B2C"/>
    <w:rsid w:val="005C4B8D"/>
    <w:rsid w:val="005C4BD5"/>
    <w:rsid w:val="005C4F75"/>
    <w:rsid w:val="005C4FC2"/>
    <w:rsid w:val="005C549C"/>
    <w:rsid w:val="005C54E9"/>
    <w:rsid w:val="005C5510"/>
    <w:rsid w:val="005C5571"/>
    <w:rsid w:val="005C55D6"/>
    <w:rsid w:val="005C55EE"/>
    <w:rsid w:val="005C5630"/>
    <w:rsid w:val="005C5676"/>
    <w:rsid w:val="005C5950"/>
    <w:rsid w:val="005C59D4"/>
    <w:rsid w:val="005C5B3A"/>
    <w:rsid w:val="005C5C30"/>
    <w:rsid w:val="005C5C76"/>
    <w:rsid w:val="005C5CC8"/>
    <w:rsid w:val="005C5CD5"/>
    <w:rsid w:val="005C5D01"/>
    <w:rsid w:val="005C5D02"/>
    <w:rsid w:val="005C5D3A"/>
    <w:rsid w:val="005C5DC9"/>
    <w:rsid w:val="005C6046"/>
    <w:rsid w:val="005C605B"/>
    <w:rsid w:val="005C6090"/>
    <w:rsid w:val="005C6281"/>
    <w:rsid w:val="005C65E7"/>
    <w:rsid w:val="005C672B"/>
    <w:rsid w:val="005C683A"/>
    <w:rsid w:val="005C6852"/>
    <w:rsid w:val="005C6999"/>
    <w:rsid w:val="005C69A0"/>
    <w:rsid w:val="005C69DA"/>
    <w:rsid w:val="005C69FC"/>
    <w:rsid w:val="005C6A46"/>
    <w:rsid w:val="005C6AC8"/>
    <w:rsid w:val="005C6C4E"/>
    <w:rsid w:val="005C6D66"/>
    <w:rsid w:val="005C6D6A"/>
    <w:rsid w:val="005C6DBD"/>
    <w:rsid w:val="005C6E20"/>
    <w:rsid w:val="005C6EEB"/>
    <w:rsid w:val="005C70DC"/>
    <w:rsid w:val="005C72C0"/>
    <w:rsid w:val="005C7307"/>
    <w:rsid w:val="005C739C"/>
    <w:rsid w:val="005C73D1"/>
    <w:rsid w:val="005C73DF"/>
    <w:rsid w:val="005C766C"/>
    <w:rsid w:val="005C7704"/>
    <w:rsid w:val="005C775F"/>
    <w:rsid w:val="005C7923"/>
    <w:rsid w:val="005C7983"/>
    <w:rsid w:val="005C7B1C"/>
    <w:rsid w:val="005C7C67"/>
    <w:rsid w:val="005C7F67"/>
    <w:rsid w:val="005C7FB3"/>
    <w:rsid w:val="005C7FEE"/>
    <w:rsid w:val="005D01A0"/>
    <w:rsid w:val="005D0374"/>
    <w:rsid w:val="005D03CE"/>
    <w:rsid w:val="005D04FC"/>
    <w:rsid w:val="005D05A1"/>
    <w:rsid w:val="005D066D"/>
    <w:rsid w:val="005D0682"/>
    <w:rsid w:val="005D06CC"/>
    <w:rsid w:val="005D0B56"/>
    <w:rsid w:val="005D0E16"/>
    <w:rsid w:val="005D0E83"/>
    <w:rsid w:val="005D0F6E"/>
    <w:rsid w:val="005D1071"/>
    <w:rsid w:val="005D1251"/>
    <w:rsid w:val="005D1281"/>
    <w:rsid w:val="005D1392"/>
    <w:rsid w:val="005D13D9"/>
    <w:rsid w:val="005D157C"/>
    <w:rsid w:val="005D16AB"/>
    <w:rsid w:val="005D17BE"/>
    <w:rsid w:val="005D17FC"/>
    <w:rsid w:val="005D1AA1"/>
    <w:rsid w:val="005D1B75"/>
    <w:rsid w:val="005D1F54"/>
    <w:rsid w:val="005D2002"/>
    <w:rsid w:val="005D202A"/>
    <w:rsid w:val="005D209A"/>
    <w:rsid w:val="005D2303"/>
    <w:rsid w:val="005D24A1"/>
    <w:rsid w:val="005D261F"/>
    <w:rsid w:val="005D27C2"/>
    <w:rsid w:val="005D2A6F"/>
    <w:rsid w:val="005D2C44"/>
    <w:rsid w:val="005D2E8A"/>
    <w:rsid w:val="005D2EF4"/>
    <w:rsid w:val="005D2F88"/>
    <w:rsid w:val="005D2F9B"/>
    <w:rsid w:val="005D3033"/>
    <w:rsid w:val="005D3163"/>
    <w:rsid w:val="005D3177"/>
    <w:rsid w:val="005D328F"/>
    <w:rsid w:val="005D32A1"/>
    <w:rsid w:val="005D3607"/>
    <w:rsid w:val="005D3697"/>
    <w:rsid w:val="005D36B1"/>
    <w:rsid w:val="005D3839"/>
    <w:rsid w:val="005D396D"/>
    <w:rsid w:val="005D3A5F"/>
    <w:rsid w:val="005D3A85"/>
    <w:rsid w:val="005D3AE1"/>
    <w:rsid w:val="005D3B5F"/>
    <w:rsid w:val="005D3B70"/>
    <w:rsid w:val="005D3DA5"/>
    <w:rsid w:val="005D3EBA"/>
    <w:rsid w:val="005D3ECB"/>
    <w:rsid w:val="005D3F54"/>
    <w:rsid w:val="005D3FE6"/>
    <w:rsid w:val="005D403B"/>
    <w:rsid w:val="005D4107"/>
    <w:rsid w:val="005D4372"/>
    <w:rsid w:val="005D43F2"/>
    <w:rsid w:val="005D44AB"/>
    <w:rsid w:val="005D48D5"/>
    <w:rsid w:val="005D494A"/>
    <w:rsid w:val="005D49AA"/>
    <w:rsid w:val="005D4B50"/>
    <w:rsid w:val="005D4CCA"/>
    <w:rsid w:val="005D511B"/>
    <w:rsid w:val="005D5620"/>
    <w:rsid w:val="005D58A7"/>
    <w:rsid w:val="005D5952"/>
    <w:rsid w:val="005D5B5B"/>
    <w:rsid w:val="005D5C11"/>
    <w:rsid w:val="005D5CB8"/>
    <w:rsid w:val="005D5DC2"/>
    <w:rsid w:val="005D5E3E"/>
    <w:rsid w:val="005D5E75"/>
    <w:rsid w:val="005D5FF1"/>
    <w:rsid w:val="005D6023"/>
    <w:rsid w:val="005D6140"/>
    <w:rsid w:val="005D62FA"/>
    <w:rsid w:val="005D6341"/>
    <w:rsid w:val="005D66A3"/>
    <w:rsid w:val="005D672A"/>
    <w:rsid w:val="005D687D"/>
    <w:rsid w:val="005D6937"/>
    <w:rsid w:val="005D7001"/>
    <w:rsid w:val="005D7055"/>
    <w:rsid w:val="005D720C"/>
    <w:rsid w:val="005D7236"/>
    <w:rsid w:val="005D732C"/>
    <w:rsid w:val="005D747F"/>
    <w:rsid w:val="005D7656"/>
    <w:rsid w:val="005D7731"/>
    <w:rsid w:val="005D78AB"/>
    <w:rsid w:val="005D78CC"/>
    <w:rsid w:val="005D7A29"/>
    <w:rsid w:val="005D7B75"/>
    <w:rsid w:val="005D7CFA"/>
    <w:rsid w:val="005D7E02"/>
    <w:rsid w:val="005D7E62"/>
    <w:rsid w:val="005D7F71"/>
    <w:rsid w:val="005E0020"/>
    <w:rsid w:val="005E01BB"/>
    <w:rsid w:val="005E0398"/>
    <w:rsid w:val="005E05DA"/>
    <w:rsid w:val="005E0735"/>
    <w:rsid w:val="005E0758"/>
    <w:rsid w:val="005E0824"/>
    <w:rsid w:val="005E0844"/>
    <w:rsid w:val="005E08A7"/>
    <w:rsid w:val="005E08D0"/>
    <w:rsid w:val="005E0AE7"/>
    <w:rsid w:val="005E0CA4"/>
    <w:rsid w:val="005E0DBA"/>
    <w:rsid w:val="005E10AC"/>
    <w:rsid w:val="005E10B6"/>
    <w:rsid w:val="005E12E0"/>
    <w:rsid w:val="005E1341"/>
    <w:rsid w:val="005E1362"/>
    <w:rsid w:val="005E145C"/>
    <w:rsid w:val="005E176A"/>
    <w:rsid w:val="005E1815"/>
    <w:rsid w:val="005E189A"/>
    <w:rsid w:val="005E18B1"/>
    <w:rsid w:val="005E1956"/>
    <w:rsid w:val="005E1976"/>
    <w:rsid w:val="005E1A76"/>
    <w:rsid w:val="005E1B2D"/>
    <w:rsid w:val="005E1BC3"/>
    <w:rsid w:val="005E1CA2"/>
    <w:rsid w:val="005E1D6E"/>
    <w:rsid w:val="005E1EA6"/>
    <w:rsid w:val="005E1EC8"/>
    <w:rsid w:val="005E1EEC"/>
    <w:rsid w:val="005E1EF4"/>
    <w:rsid w:val="005E1FE2"/>
    <w:rsid w:val="005E20F9"/>
    <w:rsid w:val="005E2136"/>
    <w:rsid w:val="005E218B"/>
    <w:rsid w:val="005E2258"/>
    <w:rsid w:val="005E2374"/>
    <w:rsid w:val="005E2389"/>
    <w:rsid w:val="005E26D9"/>
    <w:rsid w:val="005E28D2"/>
    <w:rsid w:val="005E2A2B"/>
    <w:rsid w:val="005E2A38"/>
    <w:rsid w:val="005E2D88"/>
    <w:rsid w:val="005E2F90"/>
    <w:rsid w:val="005E305E"/>
    <w:rsid w:val="005E32C2"/>
    <w:rsid w:val="005E3424"/>
    <w:rsid w:val="005E343C"/>
    <w:rsid w:val="005E396C"/>
    <w:rsid w:val="005E39A1"/>
    <w:rsid w:val="005E39A5"/>
    <w:rsid w:val="005E3AF8"/>
    <w:rsid w:val="005E3B18"/>
    <w:rsid w:val="005E3D66"/>
    <w:rsid w:val="005E3EDE"/>
    <w:rsid w:val="005E3EF5"/>
    <w:rsid w:val="005E3F91"/>
    <w:rsid w:val="005E4016"/>
    <w:rsid w:val="005E401F"/>
    <w:rsid w:val="005E4198"/>
    <w:rsid w:val="005E443B"/>
    <w:rsid w:val="005E4462"/>
    <w:rsid w:val="005E44E8"/>
    <w:rsid w:val="005E465D"/>
    <w:rsid w:val="005E46C7"/>
    <w:rsid w:val="005E4703"/>
    <w:rsid w:val="005E4734"/>
    <w:rsid w:val="005E4745"/>
    <w:rsid w:val="005E4817"/>
    <w:rsid w:val="005E4B2E"/>
    <w:rsid w:val="005E4BC1"/>
    <w:rsid w:val="005E4D9D"/>
    <w:rsid w:val="005E4E76"/>
    <w:rsid w:val="005E50F9"/>
    <w:rsid w:val="005E5195"/>
    <w:rsid w:val="005E51B1"/>
    <w:rsid w:val="005E5259"/>
    <w:rsid w:val="005E52BB"/>
    <w:rsid w:val="005E5312"/>
    <w:rsid w:val="005E53A5"/>
    <w:rsid w:val="005E5452"/>
    <w:rsid w:val="005E5504"/>
    <w:rsid w:val="005E557C"/>
    <w:rsid w:val="005E5635"/>
    <w:rsid w:val="005E5715"/>
    <w:rsid w:val="005E5BBA"/>
    <w:rsid w:val="005E5BD6"/>
    <w:rsid w:val="005E5E48"/>
    <w:rsid w:val="005E6079"/>
    <w:rsid w:val="005E61E4"/>
    <w:rsid w:val="005E6306"/>
    <w:rsid w:val="005E65A0"/>
    <w:rsid w:val="005E6681"/>
    <w:rsid w:val="005E6801"/>
    <w:rsid w:val="005E68B7"/>
    <w:rsid w:val="005E6BF3"/>
    <w:rsid w:val="005E6D21"/>
    <w:rsid w:val="005E6D2F"/>
    <w:rsid w:val="005E6D6B"/>
    <w:rsid w:val="005E6DDC"/>
    <w:rsid w:val="005E6F35"/>
    <w:rsid w:val="005E7014"/>
    <w:rsid w:val="005E7021"/>
    <w:rsid w:val="005E7092"/>
    <w:rsid w:val="005E7139"/>
    <w:rsid w:val="005E7192"/>
    <w:rsid w:val="005E72E7"/>
    <w:rsid w:val="005E731A"/>
    <w:rsid w:val="005E737A"/>
    <w:rsid w:val="005E74AE"/>
    <w:rsid w:val="005E777C"/>
    <w:rsid w:val="005E779F"/>
    <w:rsid w:val="005E77C3"/>
    <w:rsid w:val="005E7A1F"/>
    <w:rsid w:val="005E7A46"/>
    <w:rsid w:val="005E7C48"/>
    <w:rsid w:val="005E7D30"/>
    <w:rsid w:val="005F00B6"/>
    <w:rsid w:val="005F028E"/>
    <w:rsid w:val="005F02CD"/>
    <w:rsid w:val="005F033F"/>
    <w:rsid w:val="005F03F2"/>
    <w:rsid w:val="005F04B5"/>
    <w:rsid w:val="005F04C6"/>
    <w:rsid w:val="005F0545"/>
    <w:rsid w:val="005F06C3"/>
    <w:rsid w:val="005F0803"/>
    <w:rsid w:val="005F0960"/>
    <w:rsid w:val="005F0AC5"/>
    <w:rsid w:val="005F0B3B"/>
    <w:rsid w:val="005F0C24"/>
    <w:rsid w:val="005F0D43"/>
    <w:rsid w:val="005F0D92"/>
    <w:rsid w:val="005F0DAD"/>
    <w:rsid w:val="005F0F1D"/>
    <w:rsid w:val="005F0F77"/>
    <w:rsid w:val="005F0F97"/>
    <w:rsid w:val="005F12EE"/>
    <w:rsid w:val="005F145B"/>
    <w:rsid w:val="005F15B7"/>
    <w:rsid w:val="005F1691"/>
    <w:rsid w:val="005F1704"/>
    <w:rsid w:val="005F174C"/>
    <w:rsid w:val="005F1754"/>
    <w:rsid w:val="005F1779"/>
    <w:rsid w:val="005F1A55"/>
    <w:rsid w:val="005F1A9C"/>
    <w:rsid w:val="005F1C1D"/>
    <w:rsid w:val="005F1C61"/>
    <w:rsid w:val="005F1CA3"/>
    <w:rsid w:val="005F1D5F"/>
    <w:rsid w:val="005F1D81"/>
    <w:rsid w:val="005F1DB8"/>
    <w:rsid w:val="005F1EE4"/>
    <w:rsid w:val="005F20AB"/>
    <w:rsid w:val="005F20AC"/>
    <w:rsid w:val="005F2166"/>
    <w:rsid w:val="005F218A"/>
    <w:rsid w:val="005F21E2"/>
    <w:rsid w:val="005F223B"/>
    <w:rsid w:val="005F2350"/>
    <w:rsid w:val="005F235C"/>
    <w:rsid w:val="005F23BF"/>
    <w:rsid w:val="005F254D"/>
    <w:rsid w:val="005F256B"/>
    <w:rsid w:val="005F2716"/>
    <w:rsid w:val="005F2717"/>
    <w:rsid w:val="005F2939"/>
    <w:rsid w:val="005F29B9"/>
    <w:rsid w:val="005F2BE5"/>
    <w:rsid w:val="005F2C61"/>
    <w:rsid w:val="005F2C7B"/>
    <w:rsid w:val="005F2E74"/>
    <w:rsid w:val="005F2F53"/>
    <w:rsid w:val="005F2FFA"/>
    <w:rsid w:val="005F3088"/>
    <w:rsid w:val="005F352F"/>
    <w:rsid w:val="005F390D"/>
    <w:rsid w:val="005F3C9E"/>
    <w:rsid w:val="005F3D11"/>
    <w:rsid w:val="005F3EEB"/>
    <w:rsid w:val="005F3F85"/>
    <w:rsid w:val="005F409C"/>
    <w:rsid w:val="005F4136"/>
    <w:rsid w:val="005F4139"/>
    <w:rsid w:val="005F416F"/>
    <w:rsid w:val="005F42AD"/>
    <w:rsid w:val="005F4440"/>
    <w:rsid w:val="005F4526"/>
    <w:rsid w:val="005F453A"/>
    <w:rsid w:val="005F4541"/>
    <w:rsid w:val="005F458A"/>
    <w:rsid w:val="005F45B6"/>
    <w:rsid w:val="005F46AD"/>
    <w:rsid w:val="005F46C8"/>
    <w:rsid w:val="005F4719"/>
    <w:rsid w:val="005F48AD"/>
    <w:rsid w:val="005F48EE"/>
    <w:rsid w:val="005F49E1"/>
    <w:rsid w:val="005F4A7B"/>
    <w:rsid w:val="005F4E23"/>
    <w:rsid w:val="005F4FE2"/>
    <w:rsid w:val="005F5006"/>
    <w:rsid w:val="005F5016"/>
    <w:rsid w:val="005F509B"/>
    <w:rsid w:val="005F5224"/>
    <w:rsid w:val="005F55A7"/>
    <w:rsid w:val="005F57D3"/>
    <w:rsid w:val="005F58EF"/>
    <w:rsid w:val="005F5BEB"/>
    <w:rsid w:val="005F5C94"/>
    <w:rsid w:val="005F5CCE"/>
    <w:rsid w:val="005F5FD3"/>
    <w:rsid w:val="005F5FE1"/>
    <w:rsid w:val="005F6329"/>
    <w:rsid w:val="005F6509"/>
    <w:rsid w:val="005F6786"/>
    <w:rsid w:val="005F6A50"/>
    <w:rsid w:val="005F6AC7"/>
    <w:rsid w:val="005F6C0F"/>
    <w:rsid w:val="005F6C33"/>
    <w:rsid w:val="005F6E07"/>
    <w:rsid w:val="005F6E78"/>
    <w:rsid w:val="005F70EB"/>
    <w:rsid w:val="005F7120"/>
    <w:rsid w:val="005F73B8"/>
    <w:rsid w:val="005F73EC"/>
    <w:rsid w:val="005F7472"/>
    <w:rsid w:val="005F76C3"/>
    <w:rsid w:val="005F78C3"/>
    <w:rsid w:val="005F790C"/>
    <w:rsid w:val="005F7DE5"/>
    <w:rsid w:val="005F7E20"/>
    <w:rsid w:val="005F7E3F"/>
    <w:rsid w:val="005F7E4A"/>
    <w:rsid w:val="005F7FB4"/>
    <w:rsid w:val="006002CF"/>
    <w:rsid w:val="00600716"/>
    <w:rsid w:val="00600743"/>
    <w:rsid w:val="00600898"/>
    <w:rsid w:val="00600A12"/>
    <w:rsid w:val="00600A48"/>
    <w:rsid w:val="00600AC7"/>
    <w:rsid w:val="00600AD4"/>
    <w:rsid w:val="00600B7D"/>
    <w:rsid w:val="00600D10"/>
    <w:rsid w:val="00600D6B"/>
    <w:rsid w:val="00600E5B"/>
    <w:rsid w:val="00601012"/>
    <w:rsid w:val="00601119"/>
    <w:rsid w:val="00601181"/>
    <w:rsid w:val="0060118B"/>
    <w:rsid w:val="00601249"/>
    <w:rsid w:val="00601412"/>
    <w:rsid w:val="0060143A"/>
    <w:rsid w:val="006015D2"/>
    <w:rsid w:val="006016A1"/>
    <w:rsid w:val="0060179E"/>
    <w:rsid w:val="006017F3"/>
    <w:rsid w:val="00601881"/>
    <w:rsid w:val="00601B84"/>
    <w:rsid w:val="00601CC1"/>
    <w:rsid w:val="0060210D"/>
    <w:rsid w:val="00602243"/>
    <w:rsid w:val="00602258"/>
    <w:rsid w:val="006023CC"/>
    <w:rsid w:val="00602430"/>
    <w:rsid w:val="00602482"/>
    <w:rsid w:val="006024F5"/>
    <w:rsid w:val="00602588"/>
    <w:rsid w:val="006027D4"/>
    <w:rsid w:val="00602907"/>
    <w:rsid w:val="00602A91"/>
    <w:rsid w:val="00602DD1"/>
    <w:rsid w:val="006032C4"/>
    <w:rsid w:val="00603322"/>
    <w:rsid w:val="00603402"/>
    <w:rsid w:val="00603504"/>
    <w:rsid w:val="0060357F"/>
    <w:rsid w:val="006036E6"/>
    <w:rsid w:val="00603770"/>
    <w:rsid w:val="006038F8"/>
    <w:rsid w:val="00603ABB"/>
    <w:rsid w:val="00603CB1"/>
    <w:rsid w:val="00603DEE"/>
    <w:rsid w:val="00603F06"/>
    <w:rsid w:val="00603FDE"/>
    <w:rsid w:val="006040CE"/>
    <w:rsid w:val="006041A8"/>
    <w:rsid w:val="00604629"/>
    <w:rsid w:val="00604672"/>
    <w:rsid w:val="00604B1E"/>
    <w:rsid w:val="00604B36"/>
    <w:rsid w:val="00604C60"/>
    <w:rsid w:val="00604D46"/>
    <w:rsid w:val="00604DD7"/>
    <w:rsid w:val="00604F60"/>
    <w:rsid w:val="006050C9"/>
    <w:rsid w:val="00605343"/>
    <w:rsid w:val="00605500"/>
    <w:rsid w:val="006056D0"/>
    <w:rsid w:val="00605760"/>
    <w:rsid w:val="0060580A"/>
    <w:rsid w:val="00605850"/>
    <w:rsid w:val="006058CB"/>
    <w:rsid w:val="006058DD"/>
    <w:rsid w:val="00605A3E"/>
    <w:rsid w:val="00605D3F"/>
    <w:rsid w:val="00605DF6"/>
    <w:rsid w:val="00605E5D"/>
    <w:rsid w:val="00605E97"/>
    <w:rsid w:val="006066E1"/>
    <w:rsid w:val="0060692E"/>
    <w:rsid w:val="00606A7A"/>
    <w:rsid w:val="00606ACC"/>
    <w:rsid w:val="00606C49"/>
    <w:rsid w:val="00606D7D"/>
    <w:rsid w:val="00606EC6"/>
    <w:rsid w:val="00606F5C"/>
    <w:rsid w:val="00606FFE"/>
    <w:rsid w:val="0060705A"/>
    <w:rsid w:val="006070A5"/>
    <w:rsid w:val="006070CE"/>
    <w:rsid w:val="00607288"/>
    <w:rsid w:val="006073A1"/>
    <w:rsid w:val="00607463"/>
    <w:rsid w:val="006074E8"/>
    <w:rsid w:val="00607572"/>
    <w:rsid w:val="006077D0"/>
    <w:rsid w:val="0060792D"/>
    <w:rsid w:val="00607975"/>
    <w:rsid w:val="0060799B"/>
    <w:rsid w:val="00607A47"/>
    <w:rsid w:val="00607E5E"/>
    <w:rsid w:val="00607E8A"/>
    <w:rsid w:val="00607F9D"/>
    <w:rsid w:val="00607FB9"/>
    <w:rsid w:val="00610088"/>
    <w:rsid w:val="00610356"/>
    <w:rsid w:val="006103B2"/>
    <w:rsid w:val="00610508"/>
    <w:rsid w:val="006105E0"/>
    <w:rsid w:val="00610780"/>
    <w:rsid w:val="006107D0"/>
    <w:rsid w:val="00610806"/>
    <w:rsid w:val="0061089E"/>
    <w:rsid w:val="00610925"/>
    <w:rsid w:val="0061095A"/>
    <w:rsid w:val="00610C8C"/>
    <w:rsid w:val="00610FCE"/>
    <w:rsid w:val="00611032"/>
    <w:rsid w:val="006110C6"/>
    <w:rsid w:val="006111E5"/>
    <w:rsid w:val="006112B3"/>
    <w:rsid w:val="006117CC"/>
    <w:rsid w:val="0061190C"/>
    <w:rsid w:val="006119A2"/>
    <w:rsid w:val="00611D8C"/>
    <w:rsid w:val="00611F2A"/>
    <w:rsid w:val="00611FB2"/>
    <w:rsid w:val="0061229A"/>
    <w:rsid w:val="00612477"/>
    <w:rsid w:val="006124C6"/>
    <w:rsid w:val="00612574"/>
    <w:rsid w:val="00612594"/>
    <w:rsid w:val="0061263F"/>
    <w:rsid w:val="00612661"/>
    <w:rsid w:val="0061275C"/>
    <w:rsid w:val="00612784"/>
    <w:rsid w:val="0061280F"/>
    <w:rsid w:val="00612852"/>
    <w:rsid w:val="0061286A"/>
    <w:rsid w:val="006128A3"/>
    <w:rsid w:val="00612E5A"/>
    <w:rsid w:val="00613043"/>
    <w:rsid w:val="00613114"/>
    <w:rsid w:val="006133C8"/>
    <w:rsid w:val="006134CA"/>
    <w:rsid w:val="00613513"/>
    <w:rsid w:val="00613570"/>
    <w:rsid w:val="00613784"/>
    <w:rsid w:val="006137E7"/>
    <w:rsid w:val="00613CBA"/>
    <w:rsid w:val="00613D0B"/>
    <w:rsid w:val="00613F86"/>
    <w:rsid w:val="0061412B"/>
    <w:rsid w:val="006141BB"/>
    <w:rsid w:val="00614379"/>
    <w:rsid w:val="006145D9"/>
    <w:rsid w:val="00614903"/>
    <w:rsid w:val="00614972"/>
    <w:rsid w:val="00614D9C"/>
    <w:rsid w:val="00614EAE"/>
    <w:rsid w:val="0061531C"/>
    <w:rsid w:val="0061534B"/>
    <w:rsid w:val="006155C2"/>
    <w:rsid w:val="00615608"/>
    <w:rsid w:val="006156A8"/>
    <w:rsid w:val="006156BD"/>
    <w:rsid w:val="0061575D"/>
    <w:rsid w:val="0061579B"/>
    <w:rsid w:val="006157EB"/>
    <w:rsid w:val="0061584D"/>
    <w:rsid w:val="0061587E"/>
    <w:rsid w:val="00615899"/>
    <w:rsid w:val="00615A26"/>
    <w:rsid w:val="00615ACB"/>
    <w:rsid w:val="00615B4E"/>
    <w:rsid w:val="00615CA1"/>
    <w:rsid w:val="00615E39"/>
    <w:rsid w:val="00615E6B"/>
    <w:rsid w:val="00615F43"/>
    <w:rsid w:val="00615F9C"/>
    <w:rsid w:val="00616027"/>
    <w:rsid w:val="006160EC"/>
    <w:rsid w:val="006161A7"/>
    <w:rsid w:val="00616383"/>
    <w:rsid w:val="00616392"/>
    <w:rsid w:val="00616520"/>
    <w:rsid w:val="00616637"/>
    <w:rsid w:val="006169FB"/>
    <w:rsid w:val="00616BA7"/>
    <w:rsid w:val="00616D59"/>
    <w:rsid w:val="0061702B"/>
    <w:rsid w:val="00617404"/>
    <w:rsid w:val="0061747A"/>
    <w:rsid w:val="00617495"/>
    <w:rsid w:val="006174F5"/>
    <w:rsid w:val="006176E5"/>
    <w:rsid w:val="00617879"/>
    <w:rsid w:val="006178AD"/>
    <w:rsid w:val="006178DB"/>
    <w:rsid w:val="006179D3"/>
    <w:rsid w:val="00617A2D"/>
    <w:rsid w:val="00617C93"/>
    <w:rsid w:val="00617ED7"/>
    <w:rsid w:val="00617FF4"/>
    <w:rsid w:val="006200E9"/>
    <w:rsid w:val="0062028B"/>
    <w:rsid w:val="0062057A"/>
    <w:rsid w:val="00620BB6"/>
    <w:rsid w:val="00620CF7"/>
    <w:rsid w:val="00620FBA"/>
    <w:rsid w:val="00621067"/>
    <w:rsid w:val="00621262"/>
    <w:rsid w:val="0062133E"/>
    <w:rsid w:val="006213B3"/>
    <w:rsid w:val="00621494"/>
    <w:rsid w:val="006216BC"/>
    <w:rsid w:val="0062177C"/>
    <w:rsid w:val="00621782"/>
    <w:rsid w:val="00621881"/>
    <w:rsid w:val="0062189A"/>
    <w:rsid w:val="0062191D"/>
    <w:rsid w:val="0062194F"/>
    <w:rsid w:val="00621981"/>
    <w:rsid w:val="00621AB6"/>
    <w:rsid w:val="00621B0D"/>
    <w:rsid w:val="00621B5E"/>
    <w:rsid w:val="00621BED"/>
    <w:rsid w:val="00621F19"/>
    <w:rsid w:val="00621F6C"/>
    <w:rsid w:val="0062210A"/>
    <w:rsid w:val="006224D0"/>
    <w:rsid w:val="006225B7"/>
    <w:rsid w:val="006227CD"/>
    <w:rsid w:val="00622936"/>
    <w:rsid w:val="00622B8D"/>
    <w:rsid w:val="00622BEF"/>
    <w:rsid w:val="00622D34"/>
    <w:rsid w:val="00622D47"/>
    <w:rsid w:val="00622DB1"/>
    <w:rsid w:val="00622E79"/>
    <w:rsid w:val="00622FC3"/>
    <w:rsid w:val="0062301B"/>
    <w:rsid w:val="006230FF"/>
    <w:rsid w:val="006231CB"/>
    <w:rsid w:val="0062329F"/>
    <w:rsid w:val="00623863"/>
    <w:rsid w:val="00623D13"/>
    <w:rsid w:val="00623E7F"/>
    <w:rsid w:val="00623F69"/>
    <w:rsid w:val="00623FBB"/>
    <w:rsid w:val="00624140"/>
    <w:rsid w:val="006241A3"/>
    <w:rsid w:val="00624221"/>
    <w:rsid w:val="006243A9"/>
    <w:rsid w:val="006243B0"/>
    <w:rsid w:val="00624423"/>
    <w:rsid w:val="006245D0"/>
    <w:rsid w:val="0062471F"/>
    <w:rsid w:val="00624752"/>
    <w:rsid w:val="00624786"/>
    <w:rsid w:val="00624B85"/>
    <w:rsid w:val="00624E41"/>
    <w:rsid w:val="00624E89"/>
    <w:rsid w:val="00625058"/>
    <w:rsid w:val="00625171"/>
    <w:rsid w:val="0062523A"/>
    <w:rsid w:val="006253E4"/>
    <w:rsid w:val="006254A1"/>
    <w:rsid w:val="006256D2"/>
    <w:rsid w:val="0062583D"/>
    <w:rsid w:val="006258CD"/>
    <w:rsid w:val="00625BB7"/>
    <w:rsid w:val="00625BF0"/>
    <w:rsid w:val="00625D23"/>
    <w:rsid w:val="00626016"/>
    <w:rsid w:val="00626555"/>
    <w:rsid w:val="006267A4"/>
    <w:rsid w:val="006267D1"/>
    <w:rsid w:val="00626998"/>
    <w:rsid w:val="00626A1F"/>
    <w:rsid w:val="00626BA4"/>
    <w:rsid w:val="00626CCA"/>
    <w:rsid w:val="00626D4C"/>
    <w:rsid w:val="00626DE8"/>
    <w:rsid w:val="00626E47"/>
    <w:rsid w:val="00626E4F"/>
    <w:rsid w:val="00627138"/>
    <w:rsid w:val="0062728B"/>
    <w:rsid w:val="006272B5"/>
    <w:rsid w:val="00627395"/>
    <w:rsid w:val="00627600"/>
    <w:rsid w:val="006276AD"/>
    <w:rsid w:val="006276F9"/>
    <w:rsid w:val="00627703"/>
    <w:rsid w:val="0062781E"/>
    <w:rsid w:val="0062794D"/>
    <w:rsid w:val="00627962"/>
    <w:rsid w:val="00627991"/>
    <w:rsid w:val="00627B33"/>
    <w:rsid w:val="00627D1C"/>
    <w:rsid w:val="00627D2B"/>
    <w:rsid w:val="00627F56"/>
    <w:rsid w:val="00630147"/>
    <w:rsid w:val="00630268"/>
    <w:rsid w:val="0063039D"/>
    <w:rsid w:val="0063043E"/>
    <w:rsid w:val="00630508"/>
    <w:rsid w:val="006305CC"/>
    <w:rsid w:val="0063078A"/>
    <w:rsid w:val="006307B6"/>
    <w:rsid w:val="00630949"/>
    <w:rsid w:val="006309F0"/>
    <w:rsid w:val="006309F8"/>
    <w:rsid w:val="00630A41"/>
    <w:rsid w:val="00630ADE"/>
    <w:rsid w:val="00630B36"/>
    <w:rsid w:val="00630D4D"/>
    <w:rsid w:val="00630EB5"/>
    <w:rsid w:val="00630F21"/>
    <w:rsid w:val="00630F3F"/>
    <w:rsid w:val="00630FF3"/>
    <w:rsid w:val="006310AB"/>
    <w:rsid w:val="0063111C"/>
    <w:rsid w:val="006311BD"/>
    <w:rsid w:val="006313FB"/>
    <w:rsid w:val="00631701"/>
    <w:rsid w:val="0063187A"/>
    <w:rsid w:val="00631C56"/>
    <w:rsid w:val="00631C7E"/>
    <w:rsid w:val="00631D42"/>
    <w:rsid w:val="00631FE8"/>
    <w:rsid w:val="00632044"/>
    <w:rsid w:val="00632173"/>
    <w:rsid w:val="006322AF"/>
    <w:rsid w:val="00632A2A"/>
    <w:rsid w:val="00632B44"/>
    <w:rsid w:val="00632BEA"/>
    <w:rsid w:val="00632CCF"/>
    <w:rsid w:val="00632D84"/>
    <w:rsid w:val="00632FE9"/>
    <w:rsid w:val="00633047"/>
    <w:rsid w:val="006330B3"/>
    <w:rsid w:val="00633340"/>
    <w:rsid w:val="0063338B"/>
    <w:rsid w:val="0063339A"/>
    <w:rsid w:val="006335A6"/>
    <w:rsid w:val="00633669"/>
    <w:rsid w:val="00633689"/>
    <w:rsid w:val="00633697"/>
    <w:rsid w:val="0063369D"/>
    <w:rsid w:val="00633868"/>
    <w:rsid w:val="006338B4"/>
    <w:rsid w:val="00633936"/>
    <w:rsid w:val="00633A7A"/>
    <w:rsid w:val="00633BD7"/>
    <w:rsid w:val="00633C84"/>
    <w:rsid w:val="00633D45"/>
    <w:rsid w:val="00633D6D"/>
    <w:rsid w:val="00633E63"/>
    <w:rsid w:val="00633E83"/>
    <w:rsid w:val="00633EFA"/>
    <w:rsid w:val="00633F3A"/>
    <w:rsid w:val="00633FDE"/>
    <w:rsid w:val="0063410B"/>
    <w:rsid w:val="00634156"/>
    <w:rsid w:val="00634217"/>
    <w:rsid w:val="00634248"/>
    <w:rsid w:val="006342CB"/>
    <w:rsid w:val="006344CD"/>
    <w:rsid w:val="0063463E"/>
    <w:rsid w:val="006347A4"/>
    <w:rsid w:val="0063483C"/>
    <w:rsid w:val="00634AE7"/>
    <w:rsid w:val="00634C66"/>
    <w:rsid w:val="00634DCB"/>
    <w:rsid w:val="00634E0C"/>
    <w:rsid w:val="00634E98"/>
    <w:rsid w:val="00634EC9"/>
    <w:rsid w:val="00634FC2"/>
    <w:rsid w:val="00635162"/>
    <w:rsid w:val="006353F0"/>
    <w:rsid w:val="00635715"/>
    <w:rsid w:val="00635AF8"/>
    <w:rsid w:val="00635BA5"/>
    <w:rsid w:val="00635D28"/>
    <w:rsid w:val="00635D83"/>
    <w:rsid w:val="00635E5E"/>
    <w:rsid w:val="0063649F"/>
    <w:rsid w:val="00636A0D"/>
    <w:rsid w:val="00636D7B"/>
    <w:rsid w:val="00636E37"/>
    <w:rsid w:val="00637042"/>
    <w:rsid w:val="00637066"/>
    <w:rsid w:val="006370DA"/>
    <w:rsid w:val="00637262"/>
    <w:rsid w:val="00637271"/>
    <w:rsid w:val="0063737C"/>
    <w:rsid w:val="00637522"/>
    <w:rsid w:val="0063757D"/>
    <w:rsid w:val="00637591"/>
    <w:rsid w:val="00637782"/>
    <w:rsid w:val="00637790"/>
    <w:rsid w:val="0063780A"/>
    <w:rsid w:val="006378E9"/>
    <w:rsid w:val="006379E7"/>
    <w:rsid w:val="00637E48"/>
    <w:rsid w:val="00637F77"/>
    <w:rsid w:val="00637FEA"/>
    <w:rsid w:val="00640148"/>
    <w:rsid w:val="0064015D"/>
    <w:rsid w:val="006401AD"/>
    <w:rsid w:val="00640257"/>
    <w:rsid w:val="00640326"/>
    <w:rsid w:val="0064034C"/>
    <w:rsid w:val="00640407"/>
    <w:rsid w:val="00640591"/>
    <w:rsid w:val="00640744"/>
    <w:rsid w:val="006408B1"/>
    <w:rsid w:val="00640C29"/>
    <w:rsid w:val="00640C56"/>
    <w:rsid w:val="00640C59"/>
    <w:rsid w:val="00640CDE"/>
    <w:rsid w:val="00640CF8"/>
    <w:rsid w:val="00640D3F"/>
    <w:rsid w:val="00640F7A"/>
    <w:rsid w:val="00641116"/>
    <w:rsid w:val="006413CC"/>
    <w:rsid w:val="0064157D"/>
    <w:rsid w:val="006416C2"/>
    <w:rsid w:val="0064171A"/>
    <w:rsid w:val="006417BF"/>
    <w:rsid w:val="006418A4"/>
    <w:rsid w:val="006419AE"/>
    <w:rsid w:val="00641A7C"/>
    <w:rsid w:val="00641A8C"/>
    <w:rsid w:val="00641AB3"/>
    <w:rsid w:val="00641D02"/>
    <w:rsid w:val="00641D08"/>
    <w:rsid w:val="00641E82"/>
    <w:rsid w:val="00641F4A"/>
    <w:rsid w:val="00641FC4"/>
    <w:rsid w:val="00641FCC"/>
    <w:rsid w:val="00642050"/>
    <w:rsid w:val="0064210D"/>
    <w:rsid w:val="006422B3"/>
    <w:rsid w:val="0064252D"/>
    <w:rsid w:val="0064262A"/>
    <w:rsid w:val="0064292D"/>
    <w:rsid w:val="00642970"/>
    <w:rsid w:val="00642DE8"/>
    <w:rsid w:val="00642F42"/>
    <w:rsid w:val="00643262"/>
    <w:rsid w:val="006432AF"/>
    <w:rsid w:val="006432DA"/>
    <w:rsid w:val="0064349A"/>
    <w:rsid w:val="0064353E"/>
    <w:rsid w:val="00643750"/>
    <w:rsid w:val="006437DD"/>
    <w:rsid w:val="0064387F"/>
    <w:rsid w:val="00643921"/>
    <w:rsid w:val="00643AA6"/>
    <w:rsid w:val="00643C29"/>
    <w:rsid w:val="00643FE7"/>
    <w:rsid w:val="00644044"/>
    <w:rsid w:val="0064419B"/>
    <w:rsid w:val="0064429F"/>
    <w:rsid w:val="006443C5"/>
    <w:rsid w:val="006443CD"/>
    <w:rsid w:val="00644402"/>
    <w:rsid w:val="006444BC"/>
    <w:rsid w:val="00644754"/>
    <w:rsid w:val="00644910"/>
    <w:rsid w:val="006450D6"/>
    <w:rsid w:val="00645148"/>
    <w:rsid w:val="006451C9"/>
    <w:rsid w:val="00645203"/>
    <w:rsid w:val="00645251"/>
    <w:rsid w:val="00645350"/>
    <w:rsid w:val="006454C9"/>
    <w:rsid w:val="0064551B"/>
    <w:rsid w:val="006455B2"/>
    <w:rsid w:val="00645865"/>
    <w:rsid w:val="00645962"/>
    <w:rsid w:val="00645BF8"/>
    <w:rsid w:val="00645D15"/>
    <w:rsid w:val="00645ECB"/>
    <w:rsid w:val="00645F02"/>
    <w:rsid w:val="00645F79"/>
    <w:rsid w:val="00645FB6"/>
    <w:rsid w:val="00646038"/>
    <w:rsid w:val="006463EE"/>
    <w:rsid w:val="00646897"/>
    <w:rsid w:val="00646DCD"/>
    <w:rsid w:val="00646DD6"/>
    <w:rsid w:val="00646F4C"/>
    <w:rsid w:val="00646F9C"/>
    <w:rsid w:val="0064712E"/>
    <w:rsid w:val="006471A5"/>
    <w:rsid w:val="006472CC"/>
    <w:rsid w:val="006473A9"/>
    <w:rsid w:val="0064746F"/>
    <w:rsid w:val="006474E6"/>
    <w:rsid w:val="00647638"/>
    <w:rsid w:val="0064767C"/>
    <w:rsid w:val="006476DF"/>
    <w:rsid w:val="0064781F"/>
    <w:rsid w:val="00647831"/>
    <w:rsid w:val="00647A22"/>
    <w:rsid w:val="00647A2D"/>
    <w:rsid w:val="00647BE8"/>
    <w:rsid w:val="00647E1C"/>
    <w:rsid w:val="00650213"/>
    <w:rsid w:val="006502A7"/>
    <w:rsid w:val="006502B1"/>
    <w:rsid w:val="00650385"/>
    <w:rsid w:val="006503C0"/>
    <w:rsid w:val="006505DF"/>
    <w:rsid w:val="00650607"/>
    <w:rsid w:val="00650618"/>
    <w:rsid w:val="006506A5"/>
    <w:rsid w:val="006507AF"/>
    <w:rsid w:val="006507E5"/>
    <w:rsid w:val="0065098E"/>
    <w:rsid w:val="006509D8"/>
    <w:rsid w:val="00650B9A"/>
    <w:rsid w:val="00650C0F"/>
    <w:rsid w:val="00650E40"/>
    <w:rsid w:val="00650F3B"/>
    <w:rsid w:val="00650FD9"/>
    <w:rsid w:val="00650FF8"/>
    <w:rsid w:val="0065104F"/>
    <w:rsid w:val="00651115"/>
    <w:rsid w:val="0065113F"/>
    <w:rsid w:val="00651285"/>
    <w:rsid w:val="006512CC"/>
    <w:rsid w:val="0065130E"/>
    <w:rsid w:val="0065131F"/>
    <w:rsid w:val="006516E4"/>
    <w:rsid w:val="00651801"/>
    <w:rsid w:val="00651D19"/>
    <w:rsid w:val="00651E66"/>
    <w:rsid w:val="00651FCC"/>
    <w:rsid w:val="00652023"/>
    <w:rsid w:val="00652259"/>
    <w:rsid w:val="00652295"/>
    <w:rsid w:val="006523E1"/>
    <w:rsid w:val="0065262F"/>
    <w:rsid w:val="0065263D"/>
    <w:rsid w:val="00652752"/>
    <w:rsid w:val="0065275B"/>
    <w:rsid w:val="0065281D"/>
    <w:rsid w:val="00652A51"/>
    <w:rsid w:val="00652D59"/>
    <w:rsid w:val="00652DD1"/>
    <w:rsid w:val="00652E02"/>
    <w:rsid w:val="00652E38"/>
    <w:rsid w:val="00652EC8"/>
    <w:rsid w:val="00652EF6"/>
    <w:rsid w:val="00652F56"/>
    <w:rsid w:val="00653034"/>
    <w:rsid w:val="006531B7"/>
    <w:rsid w:val="00653281"/>
    <w:rsid w:val="0065368A"/>
    <w:rsid w:val="006536AE"/>
    <w:rsid w:val="00653743"/>
    <w:rsid w:val="006537FF"/>
    <w:rsid w:val="00653831"/>
    <w:rsid w:val="006538A1"/>
    <w:rsid w:val="00653987"/>
    <w:rsid w:val="006539C3"/>
    <w:rsid w:val="00653A25"/>
    <w:rsid w:val="00653C9C"/>
    <w:rsid w:val="00653D11"/>
    <w:rsid w:val="00653D8E"/>
    <w:rsid w:val="00653E9B"/>
    <w:rsid w:val="0065418B"/>
    <w:rsid w:val="0065427E"/>
    <w:rsid w:val="0065440B"/>
    <w:rsid w:val="0065448D"/>
    <w:rsid w:val="006544D0"/>
    <w:rsid w:val="00654644"/>
    <w:rsid w:val="00654710"/>
    <w:rsid w:val="00654815"/>
    <w:rsid w:val="00654928"/>
    <w:rsid w:val="00654974"/>
    <w:rsid w:val="006549A6"/>
    <w:rsid w:val="006549E7"/>
    <w:rsid w:val="00654AF8"/>
    <w:rsid w:val="00654B6B"/>
    <w:rsid w:val="00654BDF"/>
    <w:rsid w:val="00654D3B"/>
    <w:rsid w:val="00654E38"/>
    <w:rsid w:val="00654F7C"/>
    <w:rsid w:val="00654FCC"/>
    <w:rsid w:val="00655158"/>
    <w:rsid w:val="006551AC"/>
    <w:rsid w:val="00655387"/>
    <w:rsid w:val="00655476"/>
    <w:rsid w:val="00655603"/>
    <w:rsid w:val="00655876"/>
    <w:rsid w:val="00655882"/>
    <w:rsid w:val="00655A98"/>
    <w:rsid w:val="00655AFF"/>
    <w:rsid w:val="00655B9B"/>
    <w:rsid w:val="00655BCB"/>
    <w:rsid w:val="00655C17"/>
    <w:rsid w:val="00655C60"/>
    <w:rsid w:val="00655D33"/>
    <w:rsid w:val="00655F12"/>
    <w:rsid w:val="00655F27"/>
    <w:rsid w:val="00655FD5"/>
    <w:rsid w:val="00655FE8"/>
    <w:rsid w:val="0065601C"/>
    <w:rsid w:val="00656033"/>
    <w:rsid w:val="0065603C"/>
    <w:rsid w:val="006560D5"/>
    <w:rsid w:val="00656139"/>
    <w:rsid w:val="00656369"/>
    <w:rsid w:val="006564AE"/>
    <w:rsid w:val="0065669F"/>
    <w:rsid w:val="00656732"/>
    <w:rsid w:val="00656975"/>
    <w:rsid w:val="006569CC"/>
    <w:rsid w:val="00656BB8"/>
    <w:rsid w:val="00656D86"/>
    <w:rsid w:val="00656F2E"/>
    <w:rsid w:val="0065711C"/>
    <w:rsid w:val="006571EC"/>
    <w:rsid w:val="006572C6"/>
    <w:rsid w:val="006574E6"/>
    <w:rsid w:val="006574F3"/>
    <w:rsid w:val="00657706"/>
    <w:rsid w:val="00657827"/>
    <w:rsid w:val="00657845"/>
    <w:rsid w:val="00657C12"/>
    <w:rsid w:val="00657E64"/>
    <w:rsid w:val="00657F1E"/>
    <w:rsid w:val="00657F3F"/>
    <w:rsid w:val="00657F66"/>
    <w:rsid w:val="00660085"/>
    <w:rsid w:val="00660118"/>
    <w:rsid w:val="0066040C"/>
    <w:rsid w:val="006604AB"/>
    <w:rsid w:val="006604AC"/>
    <w:rsid w:val="006604D4"/>
    <w:rsid w:val="00660540"/>
    <w:rsid w:val="006609B7"/>
    <w:rsid w:val="006609B8"/>
    <w:rsid w:val="00660B02"/>
    <w:rsid w:val="00660B11"/>
    <w:rsid w:val="00660B2B"/>
    <w:rsid w:val="00660DD8"/>
    <w:rsid w:val="00660E4C"/>
    <w:rsid w:val="00661003"/>
    <w:rsid w:val="0066131D"/>
    <w:rsid w:val="00661729"/>
    <w:rsid w:val="006617C5"/>
    <w:rsid w:val="00661826"/>
    <w:rsid w:val="00661962"/>
    <w:rsid w:val="006619C3"/>
    <w:rsid w:val="00661ADE"/>
    <w:rsid w:val="00661B36"/>
    <w:rsid w:val="00661C3B"/>
    <w:rsid w:val="006624E0"/>
    <w:rsid w:val="00662681"/>
    <w:rsid w:val="006626CF"/>
    <w:rsid w:val="006629E0"/>
    <w:rsid w:val="006629E8"/>
    <w:rsid w:val="00662B44"/>
    <w:rsid w:val="00662C1A"/>
    <w:rsid w:val="00662D57"/>
    <w:rsid w:val="00662DBF"/>
    <w:rsid w:val="00662DFC"/>
    <w:rsid w:val="00662E83"/>
    <w:rsid w:val="00662E8D"/>
    <w:rsid w:val="00662F0B"/>
    <w:rsid w:val="006631B1"/>
    <w:rsid w:val="00663224"/>
    <w:rsid w:val="00663453"/>
    <w:rsid w:val="006634A3"/>
    <w:rsid w:val="0066368A"/>
    <w:rsid w:val="00663A1E"/>
    <w:rsid w:val="00663A3D"/>
    <w:rsid w:val="00663A69"/>
    <w:rsid w:val="00663AB3"/>
    <w:rsid w:val="00663B1D"/>
    <w:rsid w:val="00663C13"/>
    <w:rsid w:val="00663CAF"/>
    <w:rsid w:val="00663E3E"/>
    <w:rsid w:val="00663EC8"/>
    <w:rsid w:val="00664043"/>
    <w:rsid w:val="00664083"/>
    <w:rsid w:val="006640A5"/>
    <w:rsid w:val="00664183"/>
    <w:rsid w:val="00664195"/>
    <w:rsid w:val="006642C7"/>
    <w:rsid w:val="006642CE"/>
    <w:rsid w:val="0066446A"/>
    <w:rsid w:val="0066460C"/>
    <w:rsid w:val="006648D4"/>
    <w:rsid w:val="006648E6"/>
    <w:rsid w:val="006648FE"/>
    <w:rsid w:val="00664982"/>
    <w:rsid w:val="00664B38"/>
    <w:rsid w:val="00664B78"/>
    <w:rsid w:val="00664B94"/>
    <w:rsid w:val="00664C2E"/>
    <w:rsid w:val="00664CAA"/>
    <w:rsid w:val="00664F3A"/>
    <w:rsid w:val="00665259"/>
    <w:rsid w:val="006652DC"/>
    <w:rsid w:val="00665480"/>
    <w:rsid w:val="006654A4"/>
    <w:rsid w:val="00665688"/>
    <w:rsid w:val="00665725"/>
    <w:rsid w:val="00665758"/>
    <w:rsid w:val="006657BD"/>
    <w:rsid w:val="0066586C"/>
    <w:rsid w:val="00665A54"/>
    <w:rsid w:val="00665A56"/>
    <w:rsid w:val="00665B8C"/>
    <w:rsid w:val="00665BAD"/>
    <w:rsid w:val="00665CEC"/>
    <w:rsid w:val="00665DC2"/>
    <w:rsid w:val="00665EA4"/>
    <w:rsid w:val="006663E5"/>
    <w:rsid w:val="006663FD"/>
    <w:rsid w:val="006665F4"/>
    <w:rsid w:val="006665FF"/>
    <w:rsid w:val="00666863"/>
    <w:rsid w:val="006669B1"/>
    <w:rsid w:val="006669FA"/>
    <w:rsid w:val="00666A49"/>
    <w:rsid w:val="00666A6A"/>
    <w:rsid w:val="00666B3B"/>
    <w:rsid w:val="00666C9D"/>
    <w:rsid w:val="00666D24"/>
    <w:rsid w:val="00666FA4"/>
    <w:rsid w:val="00667091"/>
    <w:rsid w:val="00667165"/>
    <w:rsid w:val="006671A0"/>
    <w:rsid w:val="00667659"/>
    <w:rsid w:val="0066775F"/>
    <w:rsid w:val="006677B7"/>
    <w:rsid w:val="006677DD"/>
    <w:rsid w:val="0066787F"/>
    <w:rsid w:val="0066789D"/>
    <w:rsid w:val="006678F3"/>
    <w:rsid w:val="006679A5"/>
    <w:rsid w:val="00667B4C"/>
    <w:rsid w:val="00667B56"/>
    <w:rsid w:val="00667C09"/>
    <w:rsid w:val="00667C93"/>
    <w:rsid w:val="00667CE1"/>
    <w:rsid w:val="00667E0E"/>
    <w:rsid w:val="00667F22"/>
    <w:rsid w:val="006700C4"/>
    <w:rsid w:val="006701E8"/>
    <w:rsid w:val="00670215"/>
    <w:rsid w:val="006703B9"/>
    <w:rsid w:val="0067048C"/>
    <w:rsid w:val="00670492"/>
    <w:rsid w:val="006704B1"/>
    <w:rsid w:val="006706B3"/>
    <w:rsid w:val="006706D4"/>
    <w:rsid w:val="00670966"/>
    <w:rsid w:val="00670A2C"/>
    <w:rsid w:val="00670A71"/>
    <w:rsid w:val="00670C07"/>
    <w:rsid w:val="00670C2F"/>
    <w:rsid w:val="00670C8C"/>
    <w:rsid w:val="00670D76"/>
    <w:rsid w:val="00670EBF"/>
    <w:rsid w:val="00670ED1"/>
    <w:rsid w:val="00670F10"/>
    <w:rsid w:val="00670FA7"/>
    <w:rsid w:val="00671092"/>
    <w:rsid w:val="006714BC"/>
    <w:rsid w:val="0067152A"/>
    <w:rsid w:val="006715DA"/>
    <w:rsid w:val="00671728"/>
    <w:rsid w:val="00671733"/>
    <w:rsid w:val="006717DA"/>
    <w:rsid w:val="0067194D"/>
    <w:rsid w:val="006719FC"/>
    <w:rsid w:val="00671D0E"/>
    <w:rsid w:val="00671DD4"/>
    <w:rsid w:val="00671E25"/>
    <w:rsid w:val="00671F65"/>
    <w:rsid w:val="006721AB"/>
    <w:rsid w:val="0067222C"/>
    <w:rsid w:val="00672340"/>
    <w:rsid w:val="006724A8"/>
    <w:rsid w:val="006724B3"/>
    <w:rsid w:val="00672687"/>
    <w:rsid w:val="00672691"/>
    <w:rsid w:val="006726C7"/>
    <w:rsid w:val="006726E8"/>
    <w:rsid w:val="00672795"/>
    <w:rsid w:val="0067293F"/>
    <w:rsid w:val="006729B8"/>
    <w:rsid w:val="00672A7E"/>
    <w:rsid w:val="00672C97"/>
    <w:rsid w:val="00672D11"/>
    <w:rsid w:val="006730AF"/>
    <w:rsid w:val="00673184"/>
    <w:rsid w:val="006732D8"/>
    <w:rsid w:val="00673415"/>
    <w:rsid w:val="00673468"/>
    <w:rsid w:val="00673499"/>
    <w:rsid w:val="0067361B"/>
    <w:rsid w:val="00673692"/>
    <w:rsid w:val="00673774"/>
    <w:rsid w:val="00673A65"/>
    <w:rsid w:val="00673A7A"/>
    <w:rsid w:val="00673ABC"/>
    <w:rsid w:val="00673BFA"/>
    <w:rsid w:val="00673C23"/>
    <w:rsid w:val="00673E3E"/>
    <w:rsid w:val="00673FB5"/>
    <w:rsid w:val="0067404F"/>
    <w:rsid w:val="00674204"/>
    <w:rsid w:val="006742C2"/>
    <w:rsid w:val="006745C6"/>
    <w:rsid w:val="006745E0"/>
    <w:rsid w:val="0067479C"/>
    <w:rsid w:val="0067482B"/>
    <w:rsid w:val="00674888"/>
    <w:rsid w:val="0067496E"/>
    <w:rsid w:val="00674B24"/>
    <w:rsid w:val="00674D0C"/>
    <w:rsid w:val="00674F9C"/>
    <w:rsid w:val="0067509D"/>
    <w:rsid w:val="006753DC"/>
    <w:rsid w:val="0067585D"/>
    <w:rsid w:val="00675913"/>
    <w:rsid w:val="0067597F"/>
    <w:rsid w:val="00675995"/>
    <w:rsid w:val="00675A13"/>
    <w:rsid w:val="00675A84"/>
    <w:rsid w:val="00675B06"/>
    <w:rsid w:val="00675B9A"/>
    <w:rsid w:val="00675C1B"/>
    <w:rsid w:val="00675D56"/>
    <w:rsid w:val="00675F0C"/>
    <w:rsid w:val="00675FAC"/>
    <w:rsid w:val="006760C3"/>
    <w:rsid w:val="0067615F"/>
    <w:rsid w:val="006761EA"/>
    <w:rsid w:val="00676237"/>
    <w:rsid w:val="006767F8"/>
    <w:rsid w:val="0067682F"/>
    <w:rsid w:val="0067697C"/>
    <w:rsid w:val="00676A23"/>
    <w:rsid w:val="00676BF3"/>
    <w:rsid w:val="00676DD7"/>
    <w:rsid w:val="00676E3A"/>
    <w:rsid w:val="00676EA7"/>
    <w:rsid w:val="00676F50"/>
    <w:rsid w:val="00677011"/>
    <w:rsid w:val="0067719D"/>
    <w:rsid w:val="006771DF"/>
    <w:rsid w:val="006773A6"/>
    <w:rsid w:val="006773D7"/>
    <w:rsid w:val="006774A9"/>
    <w:rsid w:val="00677603"/>
    <w:rsid w:val="0067763E"/>
    <w:rsid w:val="006777A1"/>
    <w:rsid w:val="00677A12"/>
    <w:rsid w:val="00677C76"/>
    <w:rsid w:val="00677CAE"/>
    <w:rsid w:val="00677D0C"/>
    <w:rsid w:val="00677E2B"/>
    <w:rsid w:val="00677EB1"/>
    <w:rsid w:val="0068031B"/>
    <w:rsid w:val="0068056F"/>
    <w:rsid w:val="006806D5"/>
    <w:rsid w:val="006806F0"/>
    <w:rsid w:val="00680754"/>
    <w:rsid w:val="00680B46"/>
    <w:rsid w:val="00680C3F"/>
    <w:rsid w:val="00680C64"/>
    <w:rsid w:val="00680E1F"/>
    <w:rsid w:val="00680FF4"/>
    <w:rsid w:val="00681178"/>
    <w:rsid w:val="006814AF"/>
    <w:rsid w:val="00681540"/>
    <w:rsid w:val="006815FB"/>
    <w:rsid w:val="006816F0"/>
    <w:rsid w:val="00681724"/>
    <w:rsid w:val="0068172C"/>
    <w:rsid w:val="00681C2A"/>
    <w:rsid w:val="00681C8F"/>
    <w:rsid w:val="00681D1A"/>
    <w:rsid w:val="00681D8A"/>
    <w:rsid w:val="0068205A"/>
    <w:rsid w:val="00682074"/>
    <w:rsid w:val="00682243"/>
    <w:rsid w:val="006822EF"/>
    <w:rsid w:val="00682389"/>
    <w:rsid w:val="006823D9"/>
    <w:rsid w:val="0068250E"/>
    <w:rsid w:val="00682635"/>
    <w:rsid w:val="006827B0"/>
    <w:rsid w:val="006827D1"/>
    <w:rsid w:val="006828E2"/>
    <w:rsid w:val="00682962"/>
    <w:rsid w:val="00682C3E"/>
    <w:rsid w:val="00682D58"/>
    <w:rsid w:val="00682EF6"/>
    <w:rsid w:val="00682F87"/>
    <w:rsid w:val="00683036"/>
    <w:rsid w:val="006830E0"/>
    <w:rsid w:val="006831C2"/>
    <w:rsid w:val="00683363"/>
    <w:rsid w:val="00683461"/>
    <w:rsid w:val="006835B2"/>
    <w:rsid w:val="006838FB"/>
    <w:rsid w:val="00683985"/>
    <w:rsid w:val="00683AED"/>
    <w:rsid w:val="00683B72"/>
    <w:rsid w:val="00683DB3"/>
    <w:rsid w:val="00683E5C"/>
    <w:rsid w:val="00684029"/>
    <w:rsid w:val="0068419A"/>
    <w:rsid w:val="00684292"/>
    <w:rsid w:val="006843F2"/>
    <w:rsid w:val="00684511"/>
    <w:rsid w:val="00684595"/>
    <w:rsid w:val="00684700"/>
    <w:rsid w:val="006847FC"/>
    <w:rsid w:val="00684A9E"/>
    <w:rsid w:val="00684C26"/>
    <w:rsid w:val="00685037"/>
    <w:rsid w:val="006850C5"/>
    <w:rsid w:val="006850D3"/>
    <w:rsid w:val="00685116"/>
    <w:rsid w:val="006852E7"/>
    <w:rsid w:val="006853AC"/>
    <w:rsid w:val="00685426"/>
    <w:rsid w:val="006855AE"/>
    <w:rsid w:val="0068574E"/>
    <w:rsid w:val="0068586C"/>
    <w:rsid w:val="00685A22"/>
    <w:rsid w:val="00685A7F"/>
    <w:rsid w:val="00685C45"/>
    <w:rsid w:val="00685E1D"/>
    <w:rsid w:val="00685F73"/>
    <w:rsid w:val="006860E3"/>
    <w:rsid w:val="00686215"/>
    <w:rsid w:val="0068645F"/>
    <w:rsid w:val="006864A0"/>
    <w:rsid w:val="00686518"/>
    <w:rsid w:val="006866C3"/>
    <w:rsid w:val="0068673B"/>
    <w:rsid w:val="00686876"/>
    <w:rsid w:val="00686B23"/>
    <w:rsid w:val="00686CDC"/>
    <w:rsid w:val="00686F60"/>
    <w:rsid w:val="0068702A"/>
    <w:rsid w:val="0068704B"/>
    <w:rsid w:val="00687240"/>
    <w:rsid w:val="006877C6"/>
    <w:rsid w:val="00687876"/>
    <w:rsid w:val="006878F2"/>
    <w:rsid w:val="00690251"/>
    <w:rsid w:val="006902CE"/>
    <w:rsid w:val="00690675"/>
    <w:rsid w:val="006906C0"/>
    <w:rsid w:val="00690B8B"/>
    <w:rsid w:val="00690BFA"/>
    <w:rsid w:val="00690C0E"/>
    <w:rsid w:val="00690CAC"/>
    <w:rsid w:val="00690DAE"/>
    <w:rsid w:val="00690EE5"/>
    <w:rsid w:val="00690F26"/>
    <w:rsid w:val="00691165"/>
    <w:rsid w:val="0069133B"/>
    <w:rsid w:val="006914CF"/>
    <w:rsid w:val="006914FE"/>
    <w:rsid w:val="00691558"/>
    <w:rsid w:val="00691594"/>
    <w:rsid w:val="0069159E"/>
    <w:rsid w:val="006917A4"/>
    <w:rsid w:val="006918FF"/>
    <w:rsid w:val="0069194F"/>
    <w:rsid w:val="0069196F"/>
    <w:rsid w:val="0069199C"/>
    <w:rsid w:val="00691DB3"/>
    <w:rsid w:val="00691DC8"/>
    <w:rsid w:val="00691E92"/>
    <w:rsid w:val="00691EA8"/>
    <w:rsid w:val="0069206B"/>
    <w:rsid w:val="006920BD"/>
    <w:rsid w:val="006924EF"/>
    <w:rsid w:val="0069296D"/>
    <w:rsid w:val="006929E2"/>
    <w:rsid w:val="00692A8F"/>
    <w:rsid w:val="00692C48"/>
    <w:rsid w:val="00692EFE"/>
    <w:rsid w:val="00692F9F"/>
    <w:rsid w:val="00692FB9"/>
    <w:rsid w:val="00693046"/>
    <w:rsid w:val="006932DC"/>
    <w:rsid w:val="006933FD"/>
    <w:rsid w:val="00693527"/>
    <w:rsid w:val="0069367D"/>
    <w:rsid w:val="0069371C"/>
    <w:rsid w:val="006937DA"/>
    <w:rsid w:val="00693B34"/>
    <w:rsid w:val="00693BB2"/>
    <w:rsid w:val="00693BBC"/>
    <w:rsid w:val="00693D0F"/>
    <w:rsid w:val="00693DCC"/>
    <w:rsid w:val="00693E34"/>
    <w:rsid w:val="00693E3B"/>
    <w:rsid w:val="00693EC1"/>
    <w:rsid w:val="00694171"/>
    <w:rsid w:val="00694251"/>
    <w:rsid w:val="0069438A"/>
    <w:rsid w:val="00694565"/>
    <w:rsid w:val="0069459B"/>
    <w:rsid w:val="006945A4"/>
    <w:rsid w:val="006946F8"/>
    <w:rsid w:val="00694702"/>
    <w:rsid w:val="00694865"/>
    <w:rsid w:val="00694907"/>
    <w:rsid w:val="00694924"/>
    <w:rsid w:val="00694EAF"/>
    <w:rsid w:val="00694FFF"/>
    <w:rsid w:val="00695027"/>
    <w:rsid w:val="00695233"/>
    <w:rsid w:val="0069525C"/>
    <w:rsid w:val="00695298"/>
    <w:rsid w:val="00695320"/>
    <w:rsid w:val="00695515"/>
    <w:rsid w:val="0069582C"/>
    <w:rsid w:val="00695899"/>
    <w:rsid w:val="006959A6"/>
    <w:rsid w:val="00695A37"/>
    <w:rsid w:val="00695A85"/>
    <w:rsid w:val="00695AC6"/>
    <w:rsid w:val="00695B71"/>
    <w:rsid w:val="00695BF5"/>
    <w:rsid w:val="00695F83"/>
    <w:rsid w:val="00695FD7"/>
    <w:rsid w:val="0069610A"/>
    <w:rsid w:val="00696125"/>
    <w:rsid w:val="00696160"/>
    <w:rsid w:val="00696315"/>
    <w:rsid w:val="00696388"/>
    <w:rsid w:val="006964CC"/>
    <w:rsid w:val="006966FD"/>
    <w:rsid w:val="006968CE"/>
    <w:rsid w:val="00696A27"/>
    <w:rsid w:val="00696AB5"/>
    <w:rsid w:val="00696AC1"/>
    <w:rsid w:val="00696ADE"/>
    <w:rsid w:val="00696B1D"/>
    <w:rsid w:val="00696ED5"/>
    <w:rsid w:val="00696F42"/>
    <w:rsid w:val="006970A3"/>
    <w:rsid w:val="00697171"/>
    <w:rsid w:val="00697233"/>
    <w:rsid w:val="00697278"/>
    <w:rsid w:val="006972EE"/>
    <w:rsid w:val="0069737C"/>
    <w:rsid w:val="006973C3"/>
    <w:rsid w:val="006974A7"/>
    <w:rsid w:val="006974C9"/>
    <w:rsid w:val="006975EE"/>
    <w:rsid w:val="0069761C"/>
    <w:rsid w:val="006976CA"/>
    <w:rsid w:val="00697918"/>
    <w:rsid w:val="00697921"/>
    <w:rsid w:val="00697A83"/>
    <w:rsid w:val="00697AB7"/>
    <w:rsid w:val="00697BE4"/>
    <w:rsid w:val="00697E72"/>
    <w:rsid w:val="0069A9C3"/>
    <w:rsid w:val="006A016C"/>
    <w:rsid w:val="006A025C"/>
    <w:rsid w:val="006A0297"/>
    <w:rsid w:val="006A03C4"/>
    <w:rsid w:val="006A040B"/>
    <w:rsid w:val="006A04FA"/>
    <w:rsid w:val="006A06DA"/>
    <w:rsid w:val="006A07B9"/>
    <w:rsid w:val="006A08BD"/>
    <w:rsid w:val="006A0A09"/>
    <w:rsid w:val="006A0A40"/>
    <w:rsid w:val="006A0BAC"/>
    <w:rsid w:val="006A0D1C"/>
    <w:rsid w:val="006A0D55"/>
    <w:rsid w:val="006A0D86"/>
    <w:rsid w:val="006A0F43"/>
    <w:rsid w:val="006A100F"/>
    <w:rsid w:val="006A10FA"/>
    <w:rsid w:val="006A1148"/>
    <w:rsid w:val="006A1152"/>
    <w:rsid w:val="006A120F"/>
    <w:rsid w:val="006A1284"/>
    <w:rsid w:val="006A15BA"/>
    <w:rsid w:val="006A15C5"/>
    <w:rsid w:val="006A1622"/>
    <w:rsid w:val="006A1929"/>
    <w:rsid w:val="006A19C0"/>
    <w:rsid w:val="006A19D9"/>
    <w:rsid w:val="006A19ED"/>
    <w:rsid w:val="006A1B5C"/>
    <w:rsid w:val="006A1BCF"/>
    <w:rsid w:val="006A1BEC"/>
    <w:rsid w:val="006A1EE5"/>
    <w:rsid w:val="006A2082"/>
    <w:rsid w:val="006A2159"/>
    <w:rsid w:val="006A22AD"/>
    <w:rsid w:val="006A22CA"/>
    <w:rsid w:val="006A2366"/>
    <w:rsid w:val="006A2469"/>
    <w:rsid w:val="006A26C2"/>
    <w:rsid w:val="006A2789"/>
    <w:rsid w:val="006A27CB"/>
    <w:rsid w:val="006A28B8"/>
    <w:rsid w:val="006A2B11"/>
    <w:rsid w:val="006A2D51"/>
    <w:rsid w:val="006A2E4B"/>
    <w:rsid w:val="006A3078"/>
    <w:rsid w:val="006A307A"/>
    <w:rsid w:val="006A315B"/>
    <w:rsid w:val="006A31BA"/>
    <w:rsid w:val="006A330D"/>
    <w:rsid w:val="006A3408"/>
    <w:rsid w:val="006A3447"/>
    <w:rsid w:val="006A3463"/>
    <w:rsid w:val="006A3479"/>
    <w:rsid w:val="006A360E"/>
    <w:rsid w:val="006A367A"/>
    <w:rsid w:val="006A3821"/>
    <w:rsid w:val="006A3A0C"/>
    <w:rsid w:val="006A3AA4"/>
    <w:rsid w:val="006A3CD6"/>
    <w:rsid w:val="006A3D24"/>
    <w:rsid w:val="006A3E7D"/>
    <w:rsid w:val="006A4077"/>
    <w:rsid w:val="006A409D"/>
    <w:rsid w:val="006A417E"/>
    <w:rsid w:val="006A41F2"/>
    <w:rsid w:val="006A4272"/>
    <w:rsid w:val="006A4302"/>
    <w:rsid w:val="006A4325"/>
    <w:rsid w:val="006A43E6"/>
    <w:rsid w:val="006A43F8"/>
    <w:rsid w:val="006A4424"/>
    <w:rsid w:val="006A446B"/>
    <w:rsid w:val="006A457E"/>
    <w:rsid w:val="006A47CA"/>
    <w:rsid w:val="006A47DB"/>
    <w:rsid w:val="006A4827"/>
    <w:rsid w:val="006A490D"/>
    <w:rsid w:val="006A4B36"/>
    <w:rsid w:val="006A4D92"/>
    <w:rsid w:val="006A4DAB"/>
    <w:rsid w:val="006A4F61"/>
    <w:rsid w:val="006A5123"/>
    <w:rsid w:val="006A526F"/>
    <w:rsid w:val="006A527E"/>
    <w:rsid w:val="006A5282"/>
    <w:rsid w:val="006A54CC"/>
    <w:rsid w:val="006A555F"/>
    <w:rsid w:val="006A562B"/>
    <w:rsid w:val="006A5A10"/>
    <w:rsid w:val="006A5AEC"/>
    <w:rsid w:val="006A5B30"/>
    <w:rsid w:val="006A5BCF"/>
    <w:rsid w:val="006A5BE1"/>
    <w:rsid w:val="006A5C9C"/>
    <w:rsid w:val="006A5CF4"/>
    <w:rsid w:val="006A5DA5"/>
    <w:rsid w:val="006A5DFD"/>
    <w:rsid w:val="006A5F86"/>
    <w:rsid w:val="006A60D3"/>
    <w:rsid w:val="006A6270"/>
    <w:rsid w:val="006A6299"/>
    <w:rsid w:val="006A6332"/>
    <w:rsid w:val="006A64C8"/>
    <w:rsid w:val="006A658B"/>
    <w:rsid w:val="006A66DB"/>
    <w:rsid w:val="006A6887"/>
    <w:rsid w:val="006A6C99"/>
    <w:rsid w:val="006A6CD4"/>
    <w:rsid w:val="006A6E3C"/>
    <w:rsid w:val="006A6EBB"/>
    <w:rsid w:val="006A6FE8"/>
    <w:rsid w:val="006A74DB"/>
    <w:rsid w:val="006A751D"/>
    <w:rsid w:val="006A751F"/>
    <w:rsid w:val="006A76F1"/>
    <w:rsid w:val="006A7820"/>
    <w:rsid w:val="006A7B17"/>
    <w:rsid w:val="006A7BC6"/>
    <w:rsid w:val="006A7C65"/>
    <w:rsid w:val="006A7CF0"/>
    <w:rsid w:val="006A7DA4"/>
    <w:rsid w:val="006A7DE2"/>
    <w:rsid w:val="006A7E09"/>
    <w:rsid w:val="006A7FCC"/>
    <w:rsid w:val="006B0076"/>
    <w:rsid w:val="006B007A"/>
    <w:rsid w:val="006B0149"/>
    <w:rsid w:val="006B0273"/>
    <w:rsid w:val="006B0673"/>
    <w:rsid w:val="006B069C"/>
    <w:rsid w:val="006B06AE"/>
    <w:rsid w:val="006B0788"/>
    <w:rsid w:val="006B0AA6"/>
    <w:rsid w:val="006B0C07"/>
    <w:rsid w:val="006B0D88"/>
    <w:rsid w:val="006B0DF8"/>
    <w:rsid w:val="006B0FD7"/>
    <w:rsid w:val="006B1227"/>
    <w:rsid w:val="006B1285"/>
    <w:rsid w:val="006B13E4"/>
    <w:rsid w:val="006B141C"/>
    <w:rsid w:val="006B1625"/>
    <w:rsid w:val="006B172A"/>
    <w:rsid w:val="006B1983"/>
    <w:rsid w:val="006B19D6"/>
    <w:rsid w:val="006B1A7B"/>
    <w:rsid w:val="006B1B30"/>
    <w:rsid w:val="006B1C52"/>
    <w:rsid w:val="006B1D41"/>
    <w:rsid w:val="006B1D69"/>
    <w:rsid w:val="006B1DC5"/>
    <w:rsid w:val="006B1F85"/>
    <w:rsid w:val="006B1FA9"/>
    <w:rsid w:val="006B2126"/>
    <w:rsid w:val="006B2150"/>
    <w:rsid w:val="006B236A"/>
    <w:rsid w:val="006B24D4"/>
    <w:rsid w:val="006B2576"/>
    <w:rsid w:val="006B25EE"/>
    <w:rsid w:val="006B2656"/>
    <w:rsid w:val="006B2699"/>
    <w:rsid w:val="006B2738"/>
    <w:rsid w:val="006B2764"/>
    <w:rsid w:val="006B27EC"/>
    <w:rsid w:val="006B2EC1"/>
    <w:rsid w:val="006B2FAD"/>
    <w:rsid w:val="006B303C"/>
    <w:rsid w:val="006B30EF"/>
    <w:rsid w:val="006B3295"/>
    <w:rsid w:val="006B3385"/>
    <w:rsid w:val="006B367A"/>
    <w:rsid w:val="006B36BC"/>
    <w:rsid w:val="006B3725"/>
    <w:rsid w:val="006B37A1"/>
    <w:rsid w:val="006B3885"/>
    <w:rsid w:val="006B3893"/>
    <w:rsid w:val="006B3A84"/>
    <w:rsid w:val="006B3BBF"/>
    <w:rsid w:val="006B3C8D"/>
    <w:rsid w:val="006B3CB4"/>
    <w:rsid w:val="006B3ECB"/>
    <w:rsid w:val="006B3EDA"/>
    <w:rsid w:val="006B3F30"/>
    <w:rsid w:val="006B3F4C"/>
    <w:rsid w:val="006B4108"/>
    <w:rsid w:val="006B4121"/>
    <w:rsid w:val="006B4218"/>
    <w:rsid w:val="006B42C9"/>
    <w:rsid w:val="006B4324"/>
    <w:rsid w:val="006B461E"/>
    <w:rsid w:val="006B46FC"/>
    <w:rsid w:val="006B47BF"/>
    <w:rsid w:val="006B4833"/>
    <w:rsid w:val="006B4955"/>
    <w:rsid w:val="006B4A37"/>
    <w:rsid w:val="006B4BD1"/>
    <w:rsid w:val="006B4C32"/>
    <w:rsid w:val="006B50E8"/>
    <w:rsid w:val="006B5387"/>
    <w:rsid w:val="006B5490"/>
    <w:rsid w:val="006B54D7"/>
    <w:rsid w:val="006B5541"/>
    <w:rsid w:val="006B5606"/>
    <w:rsid w:val="006B593C"/>
    <w:rsid w:val="006B5A51"/>
    <w:rsid w:val="006B5AA9"/>
    <w:rsid w:val="006B5AB0"/>
    <w:rsid w:val="006B5AC3"/>
    <w:rsid w:val="006B5D98"/>
    <w:rsid w:val="006B5DFE"/>
    <w:rsid w:val="006B6117"/>
    <w:rsid w:val="006B62D3"/>
    <w:rsid w:val="006B6643"/>
    <w:rsid w:val="006B67CE"/>
    <w:rsid w:val="006B68B9"/>
    <w:rsid w:val="006B68EB"/>
    <w:rsid w:val="006B6A1E"/>
    <w:rsid w:val="006B6A35"/>
    <w:rsid w:val="006B6C48"/>
    <w:rsid w:val="006B6DB5"/>
    <w:rsid w:val="006B6DB9"/>
    <w:rsid w:val="006B6EAD"/>
    <w:rsid w:val="006B6EB2"/>
    <w:rsid w:val="006B6EDF"/>
    <w:rsid w:val="006B6FCE"/>
    <w:rsid w:val="006B6FE3"/>
    <w:rsid w:val="006B7095"/>
    <w:rsid w:val="006B70E4"/>
    <w:rsid w:val="006B70F5"/>
    <w:rsid w:val="006B7102"/>
    <w:rsid w:val="006B7125"/>
    <w:rsid w:val="006B7251"/>
    <w:rsid w:val="006B7372"/>
    <w:rsid w:val="006B73C5"/>
    <w:rsid w:val="006B7507"/>
    <w:rsid w:val="006B7822"/>
    <w:rsid w:val="006B7A9B"/>
    <w:rsid w:val="006B7AE2"/>
    <w:rsid w:val="006B7B57"/>
    <w:rsid w:val="006B7B81"/>
    <w:rsid w:val="006B7B9B"/>
    <w:rsid w:val="006B7D3A"/>
    <w:rsid w:val="006B7E15"/>
    <w:rsid w:val="006C00B6"/>
    <w:rsid w:val="006C0140"/>
    <w:rsid w:val="006C023E"/>
    <w:rsid w:val="006C033E"/>
    <w:rsid w:val="006C05FC"/>
    <w:rsid w:val="006C06EB"/>
    <w:rsid w:val="006C06F6"/>
    <w:rsid w:val="006C06FE"/>
    <w:rsid w:val="006C0865"/>
    <w:rsid w:val="006C08F3"/>
    <w:rsid w:val="006C08F8"/>
    <w:rsid w:val="006C0920"/>
    <w:rsid w:val="006C0A33"/>
    <w:rsid w:val="006C0A46"/>
    <w:rsid w:val="006C0AFA"/>
    <w:rsid w:val="006C0B57"/>
    <w:rsid w:val="006C0DB7"/>
    <w:rsid w:val="006C0E18"/>
    <w:rsid w:val="006C1091"/>
    <w:rsid w:val="006C155C"/>
    <w:rsid w:val="006C16EA"/>
    <w:rsid w:val="006C1737"/>
    <w:rsid w:val="006C178E"/>
    <w:rsid w:val="006C1885"/>
    <w:rsid w:val="006C19C4"/>
    <w:rsid w:val="006C1B1D"/>
    <w:rsid w:val="006C1BB9"/>
    <w:rsid w:val="006C1D43"/>
    <w:rsid w:val="006C1DB8"/>
    <w:rsid w:val="006C1F44"/>
    <w:rsid w:val="006C202C"/>
    <w:rsid w:val="006C219D"/>
    <w:rsid w:val="006C2228"/>
    <w:rsid w:val="006C22DF"/>
    <w:rsid w:val="006C23A5"/>
    <w:rsid w:val="006C26C4"/>
    <w:rsid w:val="006C2A62"/>
    <w:rsid w:val="006C2C85"/>
    <w:rsid w:val="006C2E1A"/>
    <w:rsid w:val="006C3043"/>
    <w:rsid w:val="006C31D1"/>
    <w:rsid w:val="006C31D6"/>
    <w:rsid w:val="006C3222"/>
    <w:rsid w:val="006C3549"/>
    <w:rsid w:val="006C3822"/>
    <w:rsid w:val="006C3857"/>
    <w:rsid w:val="006C38DB"/>
    <w:rsid w:val="006C3D2B"/>
    <w:rsid w:val="006C3E21"/>
    <w:rsid w:val="006C3EA8"/>
    <w:rsid w:val="006C40E9"/>
    <w:rsid w:val="006C4143"/>
    <w:rsid w:val="006C41CB"/>
    <w:rsid w:val="006C4203"/>
    <w:rsid w:val="006C4475"/>
    <w:rsid w:val="006C458B"/>
    <w:rsid w:val="006C45A8"/>
    <w:rsid w:val="006C485B"/>
    <w:rsid w:val="006C4A43"/>
    <w:rsid w:val="006C4BDD"/>
    <w:rsid w:val="006C4C3D"/>
    <w:rsid w:val="006C4D3F"/>
    <w:rsid w:val="006C4DBF"/>
    <w:rsid w:val="006C5022"/>
    <w:rsid w:val="006C50B4"/>
    <w:rsid w:val="006C51ED"/>
    <w:rsid w:val="006C5270"/>
    <w:rsid w:val="006C5666"/>
    <w:rsid w:val="006C5AAF"/>
    <w:rsid w:val="006C5ADC"/>
    <w:rsid w:val="006C5B3F"/>
    <w:rsid w:val="006C5B7F"/>
    <w:rsid w:val="006C5BDC"/>
    <w:rsid w:val="006C5E47"/>
    <w:rsid w:val="006C5EEC"/>
    <w:rsid w:val="006C5F1A"/>
    <w:rsid w:val="006C5FFA"/>
    <w:rsid w:val="006C6048"/>
    <w:rsid w:val="006C614A"/>
    <w:rsid w:val="006C6319"/>
    <w:rsid w:val="006C648C"/>
    <w:rsid w:val="006C64E4"/>
    <w:rsid w:val="006C66D3"/>
    <w:rsid w:val="006C6761"/>
    <w:rsid w:val="006C6821"/>
    <w:rsid w:val="006C6A12"/>
    <w:rsid w:val="006C6AFB"/>
    <w:rsid w:val="006C6B22"/>
    <w:rsid w:val="006C6B82"/>
    <w:rsid w:val="006C6C22"/>
    <w:rsid w:val="006C6F2E"/>
    <w:rsid w:val="006C701E"/>
    <w:rsid w:val="006C7054"/>
    <w:rsid w:val="006C7208"/>
    <w:rsid w:val="006C7354"/>
    <w:rsid w:val="006C74AF"/>
    <w:rsid w:val="006C7732"/>
    <w:rsid w:val="006C7A99"/>
    <w:rsid w:val="006C7EAD"/>
    <w:rsid w:val="006C7F73"/>
    <w:rsid w:val="006D0130"/>
    <w:rsid w:val="006D01ED"/>
    <w:rsid w:val="006D02A0"/>
    <w:rsid w:val="006D02BA"/>
    <w:rsid w:val="006D038A"/>
    <w:rsid w:val="006D0398"/>
    <w:rsid w:val="006D04F2"/>
    <w:rsid w:val="006D050D"/>
    <w:rsid w:val="006D0591"/>
    <w:rsid w:val="006D0705"/>
    <w:rsid w:val="006D074C"/>
    <w:rsid w:val="006D079D"/>
    <w:rsid w:val="006D07DA"/>
    <w:rsid w:val="006D0838"/>
    <w:rsid w:val="006D0853"/>
    <w:rsid w:val="006D090E"/>
    <w:rsid w:val="006D0B1C"/>
    <w:rsid w:val="006D0B53"/>
    <w:rsid w:val="006D0F94"/>
    <w:rsid w:val="006D0FB7"/>
    <w:rsid w:val="006D10BC"/>
    <w:rsid w:val="006D10CE"/>
    <w:rsid w:val="006D12FE"/>
    <w:rsid w:val="006D1409"/>
    <w:rsid w:val="006D1502"/>
    <w:rsid w:val="006D1505"/>
    <w:rsid w:val="006D1592"/>
    <w:rsid w:val="006D162F"/>
    <w:rsid w:val="006D190B"/>
    <w:rsid w:val="006D19C2"/>
    <w:rsid w:val="006D2117"/>
    <w:rsid w:val="006D213F"/>
    <w:rsid w:val="006D218E"/>
    <w:rsid w:val="006D2276"/>
    <w:rsid w:val="006D22A7"/>
    <w:rsid w:val="006D2313"/>
    <w:rsid w:val="006D28CB"/>
    <w:rsid w:val="006D29DF"/>
    <w:rsid w:val="006D29E4"/>
    <w:rsid w:val="006D2C8F"/>
    <w:rsid w:val="006D2C9B"/>
    <w:rsid w:val="006D2CBD"/>
    <w:rsid w:val="006D2DEE"/>
    <w:rsid w:val="006D2E78"/>
    <w:rsid w:val="006D2EC4"/>
    <w:rsid w:val="006D315C"/>
    <w:rsid w:val="006D329D"/>
    <w:rsid w:val="006D32AB"/>
    <w:rsid w:val="006D33CD"/>
    <w:rsid w:val="006D3469"/>
    <w:rsid w:val="006D354D"/>
    <w:rsid w:val="006D3565"/>
    <w:rsid w:val="006D35B4"/>
    <w:rsid w:val="006D362A"/>
    <w:rsid w:val="006D3741"/>
    <w:rsid w:val="006D39C9"/>
    <w:rsid w:val="006D39D1"/>
    <w:rsid w:val="006D39F0"/>
    <w:rsid w:val="006D3BE8"/>
    <w:rsid w:val="006D3C11"/>
    <w:rsid w:val="006D3CE2"/>
    <w:rsid w:val="006D3E43"/>
    <w:rsid w:val="006D3E4E"/>
    <w:rsid w:val="006D3E6B"/>
    <w:rsid w:val="006D3ED1"/>
    <w:rsid w:val="006D4065"/>
    <w:rsid w:val="006D40D6"/>
    <w:rsid w:val="006D40DA"/>
    <w:rsid w:val="006D4201"/>
    <w:rsid w:val="006D4214"/>
    <w:rsid w:val="006D42D2"/>
    <w:rsid w:val="006D44A2"/>
    <w:rsid w:val="006D4594"/>
    <w:rsid w:val="006D45C6"/>
    <w:rsid w:val="006D4820"/>
    <w:rsid w:val="006D4876"/>
    <w:rsid w:val="006D48FE"/>
    <w:rsid w:val="006D499D"/>
    <w:rsid w:val="006D4BD6"/>
    <w:rsid w:val="006D52D9"/>
    <w:rsid w:val="006D5373"/>
    <w:rsid w:val="006D53EB"/>
    <w:rsid w:val="006D53FD"/>
    <w:rsid w:val="006D5447"/>
    <w:rsid w:val="006D5484"/>
    <w:rsid w:val="006D54B3"/>
    <w:rsid w:val="006D5609"/>
    <w:rsid w:val="006D567B"/>
    <w:rsid w:val="006D56B4"/>
    <w:rsid w:val="006D56F9"/>
    <w:rsid w:val="006D5747"/>
    <w:rsid w:val="006D5771"/>
    <w:rsid w:val="006D585F"/>
    <w:rsid w:val="006D59C0"/>
    <w:rsid w:val="006D5A1A"/>
    <w:rsid w:val="006D5CE9"/>
    <w:rsid w:val="006D5E55"/>
    <w:rsid w:val="006D60BC"/>
    <w:rsid w:val="006D61C4"/>
    <w:rsid w:val="006D61E4"/>
    <w:rsid w:val="006D6397"/>
    <w:rsid w:val="006D64DD"/>
    <w:rsid w:val="006D66B3"/>
    <w:rsid w:val="006D670B"/>
    <w:rsid w:val="006D6947"/>
    <w:rsid w:val="006D6E2A"/>
    <w:rsid w:val="006D6E8F"/>
    <w:rsid w:val="006D6E93"/>
    <w:rsid w:val="006D7113"/>
    <w:rsid w:val="006D7176"/>
    <w:rsid w:val="006D7195"/>
    <w:rsid w:val="006D71EC"/>
    <w:rsid w:val="006D7354"/>
    <w:rsid w:val="006D73DB"/>
    <w:rsid w:val="006D7461"/>
    <w:rsid w:val="006D74E2"/>
    <w:rsid w:val="006D7B90"/>
    <w:rsid w:val="006D7BD2"/>
    <w:rsid w:val="006D7EA9"/>
    <w:rsid w:val="006E00B5"/>
    <w:rsid w:val="006E0364"/>
    <w:rsid w:val="006E0530"/>
    <w:rsid w:val="006E05CD"/>
    <w:rsid w:val="006E0632"/>
    <w:rsid w:val="006E06BA"/>
    <w:rsid w:val="006E077D"/>
    <w:rsid w:val="006E0805"/>
    <w:rsid w:val="006E0838"/>
    <w:rsid w:val="006E0906"/>
    <w:rsid w:val="006E0A49"/>
    <w:rsid w:val="006E0B3C"/>
    <w:rsid w:val="006E0C35"/>
    <w:rsid w:val="006E0D8A"/>
    <w:rsid w:val="006E0DD2"/>
    <w:rsid w:val="006E0E42"/>
    <w:rsid w:val="006E0F1A"/>
    <w:rsid w:val="006E0FA2"/>
    <w:rsid w:val="006E0FCF"/>
    <w:rsid w:val="006E0FF8"/>
    <w:rsid w:val="006E10B3"/>
    <w:rsid w:val="006E112B"/>
    <w:rsid w:val="006E11FF"/>
    <w:rsid w:val="006E129D"/>
    <w:rsid w:val="006E132C"/>
    <w:rsid w:val="006E149E"/>
    <w:rsid w:val="006E1562"/>
    <w:rsid w:val="006E15FC"/>
    <w:rsid w:val="006E1818"/>
    <w:rsid w:val="006E1897"/>
    <w:rsid w:val="006E1AE2"/>
    <w:rsid w:val="006E1D4B"/>
    <w:rsid w:val="006E1D89"/>
    <w:rsid w:val="006E1DB8"/>
    <w:rsid w:val="006E20AE"/>
    <w:rsid w:val="006E2116"/>
    <w:rsid w:val="006E212F"/>
    <w:rsid w:val="006E217B"/>
    <w:rsid w:val="006E221B"/>
    <w:rsid w:val="006E22A1"/>
    <w:rsid w:val="006E2379"/>
    <w:rsid w:val="006E2455"/>
    <w:rsid w:val="006E2476"/>
    <w:rsid w:val="006E26B9"/>
    <w:rsid w:val="006E26EE"/>
    <w:rsid w:val="006E27F1"/>
    <w:rsid w:val="006E2892"/>
    <w:rsid w:val="006E290C"/>
    <w:rsid w:val="006E2D8E"/>
    <w:rsid w:val="006E2FA6"/>
    <w:rsid w:val="006E2FBE"/>
    <w:rsid w:val="006E306A"/>
    <w:rsid w:val="006E30DE"/>
    <w:rsid w:val="006E3190"/>
    <w:rsid w:val="006E3234"/>
    <w:rsid w:val="006E32C9"/>
    <w:rsid w:val="006E330E"/>
    <w:rsid w:val="006E33B3"/>
    <w:rsid w:val="006E343B"/>
    <w:rsid w:val="006E344D"/>
    <w:rsid w:val="006E34E0"/>
    <w:rsid w:val="006E34F7"/>
    <w:rsid w:val="006E3509"/>
    <w:rsid w:val="006E38DB"/>
    <w:rsid w:val="006E3906"/>
    <w:rsid w:val="006E3994"/>
    <w:rsid w:val="006E3B84"/>
    <w:rsid w:val="006E3CAA"/>
    <w:rsid w:val="006E3DCC"/>
    <w:rsid w:val="006E3E17"/>
    <w:rsid w:val="006E3E63"/>
    <w:rsid w:val="006E3EC1"/>
    <w:rsid w:val="006E3F1B"/>
    <w:rsid w:val="006E40D7"/>
    <w:rsid w:val="006E4205"/>
    <w:rsid w:val="006E4213"/>
    <w:rsid w:val="006E4239"/>
    <w:rsid w:val="006E4376"/>
    <w:rsid w:val="006E4445"/>
    <w:rsid w:val="006E4471"/>
    <w:rsid w:val="006E44E2"/>
    <w:rsid w:val="006E45EE"/>
    <w:rsid w:val="006E467C"/>
    <w:rsid w:val="006E47A1"/>
    <w:rsid w:val="006E481F"/>
    <w:rsid w:val="006E4A8E"/>
    <w:rsid w:val="006E4BED"/>
    <w:rsid w:val="006E4E6D"/>
    <w:rsid w:val="006E4EFB"/>
    <w:rsid w:val="006E4F89"/>
    <w:rsid w:val="006E5062"/>
    <w:rsid w:val="006E50E0"/>
    <w:rsid w:val="006E514D"/>
    <w:rsid w:val="006E5215"/>
    <w:rsid w:val="006E5238"/>
    <w:rsid w:val="006E534A"/>
    <w:rsid w:val="006E53F0"/>
    <w:rsid w:val="006E550C"/>
    <w:rsid w:val="006E5615"/>
    <w:rsid w:val="006E5755"/>
    <w:rsid w:val="006E5A6A"/>
    <w:rsid w:val="006E5B14"/>
    <w:rsid w:val="006E5CC5"/>
    <w:rsid w:val="006E5CF6"/>
    <w:rsid w:val="006E605E"/>
    <w:rsid w:val="006E6068"/>
    <w:rsid w:val="006E60F4"/>
    <w:rsid w:val="006E6218"/>
    <w:rsid w:val="006E63E7"/>
    <w:rsid w:val="006E6467"/>
    <w:rsid w:val="006E6608"/>
    <w:rsid w:val="006E662E"/>
    <w:rsid w:val="006E665F"/>
    <w:rsid w:val="006E677D"/>
    <w:rsid w:val="006E67DA"/>
    <w:rsid w:val="006E6A19"/>
    <w:rsid w:val="006E6B01"/>
    <w:rsid w:val="006E6F4E"/>
    <w:rsid w:val="006E6FBF"/>
    <w:rsid w:val="006E710C"/>
    <w:rsid w:val="006E7112"/>
    <w:rsid w:val="006E7127"/>
    <w:rsid w:val="006E7276"/>
    <w:rsid w:val="006E7291"/>
    <w:rsid w:val="006E72AB"/>
    <w:rsid w:val="006E7446"/>
    <w:rsid w:val="006E7521"/>
    <w:rsid w:val="006E7669"/>
    <w:rsid w:val="006E772E"/>
    <w:rsid w:val="006E772F"/>
    <w:rsid w:val="006E7772"/>
    <w:rsid w:val="006E77D4"/>
    <w:rsid w:val="006E78A6"/>
    <w:rsid w:val="006E78AA"/>
    <w:rsid w:val="006E78D9"/>
    <w:rsid w:val="006E7910"/>
    <w:rsid w:val="006E7B43"/>
    <w:rsid w:val="006E7C70"/>
    <w:rsid w:val="006E7E78"/>
    <w:rsid w:val="006F0023"/>
    <w:rsid w:val="006F0128"/>
    <w:rsid w:val="006F03CF"/>
    <w:rsid w:val="006F0412"/>
    <w:rsid w:val="006F0632"/>
    <w:rsid w:val="006F066E"/>
    <w:rsid w:val="006F06E9"/>
    <w:rsid w:val="006F08AF"/>
    <w:rsid w:val="006F0DB4"/>
    <w:rsid w:val="006F0F59"/>
    <w:rsid w:val="006F0F72"/>
    <w:rsid w:val="006F109F"/>
    <w:rsid w:val="006F130D"/>
    <w:rsid w:val="006F13EE"/>
    <w:rsid w:val="006F141F"/>
    <w:rsid w:val="006F1563"/>
    <w:rsid w:val="006F1636"/>
    <w:rsid w:val="006F164A"/>
    <w:rsid w:val="006F178A"/>
    <w:rsid w:val="006F184F"/>
    <w:rsid w:val="006F18D7"/>
    <w:rsid w:val="006F1981"/>
    <w:rsid w:val="006F1ADC"/>
    <w:rsid w:val="006F1AF7"/>
    <w:rsid w:val="006F1B09"/>
    <w:rsid w:val="006F1B0C"/>
    <w:rsid w:val="006F1B65"/>
    <w:rsid w:val="006F1B8C"/>
    <w:rsid w:val="006F1BDF"/>
    <w:rsid w:val="006F1BE4"/>
    <w:rsid w:val="006F1CDA"/>
    <w:rsid w:val="006F1DA0"/>
    <w:rsid w:val="006F1E2F"/>
    <w:rsid w:val="006F1E34"/>
    <w:rsid w:val="006F1F4B"/>
    <w:rsid w:val="006F211B"/>
    <w:rsid w:val="006F21E9"/>
    <w:rsid w:val="006F21F1"/>
    <w:rsid w:val="006F2422"/>
    <w:rsid w:val="006F24D3"/>
    <w:rsid w:val="006F2557"/>
    <w:rsid w:val="006F26E7"/>
    <w:rsid w:val="006F27E3"/>
    <w:rsid w:val="006F28C5"/>
    <w:rsid w:val="006F29CA"/>
    <w:rsid w:val="006F2BF8"/>
    <w:rsid w:val="006F2CB9"/>
    <w:rsid w:val="006F2DFE"/>
    <w:rsid w:val="006F2E0C"/>
    <w:rsid w:val="006F2F6B"/>
    <w:rsid w:val="006F2F93"/>
    <w:rsid w:val="006F3023"/>
    <w:rsid w:val="006F3081"/>
    <w:rsid w:val="006F31EE"/>
    <w:rsid w:val="006F3227"/>
    <w:rsid w:val="006F3267"/>
    <w:rsid w:val="006F3379"/>
    <w:rsid w:val="006F3416"/>
    <w:rsid w:val="006F341E"/>
    <w:rsid w:val="006F341F"/>
    <w:rsid w:val="006F352A"/>
    <w:rsid w:val="006F356D"/>
    <w:rsid w:val="006F3572"/>
    <w:rsid w:val="006F3968"/>
    <w:rsid w:val="006F3B59"/>
    <w:rsid w:val="006F4054"/>
    <w:rsid w:val="006F4324"/>
    <w:rsid w:val="006F441C"/>
    <w:rsid w:val="006F4446"/>
    <w:rsid w:val="006F44C0"/>
    <w:rsid w:val="006F4506"/>
    <w:rsid w:val="006F4649"/>
    <w:rsid w:val="006F4733"/>
    <w:rsid w:val="006F47E0"/>
    <w:rsid w:val="006F47F9"/>
    <w:rsid w:val="006F4947"/>
    <w:rsid w:val="006F4A66"/>
    <w:rsid w:val="006F4AA3"/>
    <w:rsid w:val="006F4AC3"/>
    <w:rsid w:val="006F4CBC"/>
    <w:rsid w:val="006F4DBA"/>
    <w:rsid w:val="006F4DC4"/>
    <w:rsid w:val="006F4DFC"/>
    <w:rsid w:val="006F4F32"/>
    <w:rsid w:val="006F4F4D"/>
    <w:rsid w:val="006F4F7B"/>
    <w:rsid w:val="006F4FFD"/>
    <w:rsid w:val="006F5009"/>
    <w:rsid w:val="006F5142"/>
    <w:rsid w:val="006F51E3"/>
    <w:rsid w:val="006F522F"/>
    <w:rsid w:val="006F533D"/>
    <w:rsid w:val="006F543D"/>
    <w:rsid w:val="006F54D8"/>
    <w:rsid w:val="006F5573"/>
    <w:rsid w:val="006F557D"/>
    <w:rsid w:val="006F55E2"/>
    <w:rsid w:val="006F5741"/>
    <w:rsid w:val="006F5C4F"/>
    <w:rsid w:val="006F5DCD"/>
    <w:rsid w:val="006F5E25"/>
    <w:rsid w:val="006F5EB9"/>
    <w:rsid w:val="006F5F3A"/>
    <w:rsid w:val="006F6057"/>
    <w:rsid w:val="006F6288"/>
    <w:rsid w:val="006F6366"/>
    <w:rsid w:val="006F63C3"/>
    <w:rsid w:val="006F6692"/>
    <w:rsid w:val="006F68CB"/>
    <w:rsid w:val="006F693F"/>
    <w:rsid w:val="006F694F"/>
    <w:rsid w:val="006F69AF"/>
    <w:rsid w:val="006F69BD"/>
    <w:rsid w:val="006F6ADA"/>
    <w:rsid w:val="006F6B86"/>
    <w:rsid w:val="006F6BBB"/>
    <w:rsid w:val="006F6BC7"/>
    <w:rsid w:val="006F6D22"/>
    <w:rsid w:val="006F6E52"/>
    <w:rsid w:val="006F6E6A"/>
    <w:rsid w:val="006F6F44"/>
    <w:rsid w:val="006F7028"/>
    <w:rsid w:val="006F703D"/>
    <w:rsid w:val="006F70C1"/>
    <w:rsid w:val="006F7242"/>
    <w:rsid w:val="006F7688"/>
    <w:rsid w:val="006F7901"/>
    <w:rsid w:val="006F7936"/>
    <w:rsid w:val="006F795B"/>
    <w:rsid w:val="006F79D1"/>
    <w:rsid w:val="006F79EC"/>
    <w:rsid w:val="006F7AA0"/>
    <w:rsid w:val="006F7B2C"/>
    <w:rsid w:val="006F7C36"/>
    <w:rsid w:val="006F7CFF"/>
    <w:rsid w:val="006F7E0F"/>
    <w:rsid w:val="006F7E5B"/>
    <w:rsid w:val="00700047"/>
    <w:rsid w:val="0070028C"/>
    <w:rsid w:val="00700656"/>
    <w:rsid w:val="007006ED"/>
    <w:rsid w:val="00700771"/>
    <w:rsid w:val="007007F4"/>
    <w:rsid w:val="007008AB"/>
    <w:rsid w:val="00700A78"/>
    <w:rsid w:val="00700D18"/>
    <w:rsid w:val="00700DFD"/>
    <w:rsid w:val="00700FE5"/>
    <w:rsid w:val="00701005"/>
    <w:rsid w:val="0070113B"/>
    <w:rsid w:val="007011FA"/>
    <w:rsid w:val="0070130D"/>
    <w:rsid w:val="00701389"/>
    <w:rsid w:val="00701408"/>
    <w:rsid w:val="00701562"/>
    <w:rsid w:val="0070157B"/>
    <w:rsid w:val="007016BA"/>
    <w:rsid w:val="00701AF3"/>
    <w:rsid w:val="00701B29"/>
    <w:rsid w:val="00701B7C"/>
    <w:rsid w:val="00701D21"/>
    <w:rsid w:val="00701F38"/>
    <w:rsid w:val="00701F97"/>
    <w:rsid w:val="00702123"/>
    <w:rsid w:val="0070215C"/>
    <w:rsid w:val="0070217A"/>
    <w:rsid w:val="00702181"/>
    <w:rsid w:val="00702233"/>
    <w:rsid w:val="00702693"/>
    <w:rsid w:val="0070299C"/>
    <w:rsid w:val="007029AA"/>
    <w:rsid w:val="00702D97"/>
    <w:rsid w:val="00702EA7"/>
    <w:rsid w:val="00702EE0"/>
    <w:rsid w:val="0070305B"/>
    <w:rsid w:val="00703084"/>
    <w:rsid w:val="0070333B"/>
    <w:rsid w:val="00703515"/>
    <w:rsid w:val="00703562"/>
    <w:rsid w:val="007035B8"/>
    <w:rsid w:val="007037C9"/>
    <w:rsid w:val="007038FB"/>
    <w:rsid w:val="00703987"/>
    <w:rsid w:val="00703C8C"/>
    <w:rsid w:val="00703D90"/>
    <w:rsid w:val="00703DE9"/>
    <w:rsid w:val="007040EB"/>
    <w:rsid w:val="007043D1"/>
    <w:rsid w:val="00704793"/>
    <w:rsid w:val="007047A6"/>
    <w:rsid w:val="007047C4"/>
    <w:rsid w:val="007047C9"/>
    <w:rsid w:val="007047FB"/>
    <w:rsid w:val="00704927"/>
    <w:rsid w:val="00704978"/>
    <w:rsid w:val="00704A33"/>
    <w:rsid w:val="00704BC9"/>
    <w:rsid w:val="00704BD8"/>
    <w:rsid w:val="00704BFA"/>
    <w:rsid w:val="00704C4C"/>
    <w:rsid w:val="00704DD0"/>
    <w:rsid w:val="00704E89"/>
    <w:rsid w:val="00704E92"/>
    <w:rsid w:val="00704EBF"/>
    <w:rsid w:val="00705088"/>
    <w:rsid w:val="00705140"/>
    <w:rsid w:val="0070528B"/>
    <w:rsid w:val="0070540E"/>
    <w:rsid w:val="007054F2"/>
    <w:rsid w:val="00705522"/>
    <w:rsid w:val="00705599"/>
    <w:rsid w:val="00705736"/>
    <w:rsid w:val="00705826"/>
    <w:rsid w:val="00705A66"/>
    <w:rsid w:val="00705B3B"/>
    <w:rsid w:val="00705B44"/>
    <w:rsid w:val="00705B6E"/>
    <w:rsid w:val="00705B91"/>
    <w:rsid w:val="00705FC3"/>
    <w:rsid w:val="00706079"/>
    <w:rsid w:val="0070631E"/>
    <w:rsid w:val="007064C6"/>
    <w:rsid w:val="00706646"/>
    <w:rsid w:val="00706700"/>
    <w:rsid w:val="0070686C"/>
    <w:rsid w:val="00706972"/>
    <w:rsid w:val="00706A15"/>
    <w:rsid w:val="00706A56"/>
    <w:rsid w:val="00706AC6"/>
    <w:rsid w:val="00706C2D"/>
    <w:rsid w:val="00706C51"/>
    <w:rsid w:val="00706CBA"/>
    <w:rsid w:val="00706D14"/>
    <w:rsid w:val="00706D37"/>
    <w:rsid w:val="00706E15"/>
    <w:rsid w:val="00706F4F"/>
    <w:rsid w:val="00707079"/>
    <w:rsid w:val="00707092"/>
    <w:rsid w:val="00707121"/>
    <w:rsid w:val="007073D9"/>
    <w:rsid w:val="007073FB"/>
    <w:rsid w:val="0070749D"/>
    <w:rsid w:val="00707544"/>
    <w:rsid w:val="0070755E"/>
    <w:rsid w:val="00707612"/>
    <w:rsid w:val="007077ED"/>
    <w:rsid w:val="007077F7"/>
    <w:rsid w:val="00707ACD"/>
    <w:rsid w:val="00707BB6"/>
    <w:rsid w:val="00707C0A"/>
    <w:rsid w:val="00707CD7"/>
    <w:rsid w:val="00707DBF"/>
    <w:rsid w:val="00707E05"/>
    <w:rsid w:val="00707E73"/>
    <w:rsid w:val="00707EBF"/>
    <w:rsid w:val="00710068"/>
    <w:rsid w:val="007101ED"/>
    <w:rsid w:val="007104C8"/>
    <w:rsid w:val="00710823"/>
    <w:rsid w:val="00710957"/>
    <w:rsid w:val="00710974"/>
    <w:rsid w:val="007109EC"/>
    <w:rsid w:val="00710DDE"/>
    <w:rsid w:val="00710E44"/>
    <w:rsid w:val="00710F71"/>
    <w:rsid w:val="00710FC4"/>
    <w:rsid w:val="00710FE2"/>
    <w:rsid w:val="007111A2"/>
    <w:rsid w:val="0071120D"/>
    <w:rsid w:val="0071137A"/>
    <w:rsid w:val="00711927"/>
    <w:rsid w:val="007119C9"/>
    <w:rsid w:val="00711A12"/>
    <w:rsid w:val="00711B78"/>
    <w:rsid w:val="00711BCF"/>
    <w:rsid w:val="00711C3F"/>
    <w:rsid w:val="00711CB9"/>
    <w:rsid w:val="00711DC1"/>
    <w:rsid w:val="00711F62"/>
    <w:rsid w:val="00712196"/>
    <w:rsid w:val="00712271"/>
    <w:rsid w:val="007122B2"/>
    <w:rsid w:val="0071230A"/>
    <w:rsid w:val="007126D5"/>
    <w:rsid w:val="007126F5"/>
    <w:rsid w:val="0071286A"/>
    <w:rsid w:val="00712989"/>
    <w:rsid w:val="00712A7E"/>
    <w:rsid w:val="00712B5A"/>
    <w:rsid w:val="00712C7B"/>
    <w:rsid w:val="00712D05"/>
    <w:rsid w:val="00712DBB"/>
    <w:rsid w:val="00712E7C"/>
    <w:rsid w:val="00712FD9"/>
    <w:rsid w:val="00713006"/>
    <w:rsid w:val="00713041"/>
    <w:rsid w:val="00713158"/>
    <w:rsid w:val="007131C8"/>
    <w:rsid w:val="00713240"/>
    <w:rsid w:val="007132CB"/>
    <w:rsid w:val="00713332"/>
    <w:rsid w:val="007135B0"/>
    <w:rsid w:val="00713830"/>
    <w:rsid w:val="00713947"/>
    <w:rsid w:val="007139A3"/>
    <w:rsid w:val="00713A0E"/>
    <w:rsid w:val="00713AF6"/>
    <w:rsid w:val="00713C16"/>
    <w:rsid w:val="00713CCC"/>
    <w:rsid w:val="00713D06"/>
    <w:rsid w:val="00713DEE"/>
    <w:rsid w:val="00713F73"/>
    <w:rsid w:val="007142D6"/>
    <w:rsid w:val="00714446"/>
    <w:rsid w:val="00714456"/>
    <w:rsid w:val="007144E2"/>
    <w:rsid w:val="0071462D"/>
    <w:rsid w:val="0071488E"/>
    <w:rsid w:val="00714AC0"/>
    <w:rsid w:val="00714BAB"/>
    <w:rsid w:val="00714CAC"/>
    <w:rsid w:val="00714CC2"/>
    <w:rsid w:val="00714CEE"/>
    <w:rsid w:val="00714D14"/>
    <w:rsid w:val="00714DFD"/>
    <w:rsid w:val="00714EBF"/>
    <w:rsid w:val="007150CD"/>
    <w:rsid w:val="007151E7"/>
    <w:rsid w:val="0071549F"/>
    <w:rsid w:val="00715555"/>
    <w:rsid w:val="00715642"/>
    <w:rsid w:val="00715969"/>
    <w:rsid w:val="0071596F"/>
    <w:rsid w:val="00715B27"/>
    <w:rsid w:val="00715C1D"/>
    <w:rsid w:val="00715CE5"/>
    <w:rsid w:val="00715D4A"/>
    <w:rsid w:val="00715F00"/>
    <w:rsid w:val="00715F2C"/>
    <w:rsid w:val="00715F88"/>
    <w:rsid w:val="007160D0"/>
    <w:rsid w:val="007161AC"/>
    <w:rsid w:val="0071623B"/>
    <w:rsid w:val="007162CF"/>
    <w:rsid w:val="00716710"/>
    <w:rsid w:val="00716758"/>
    <w:rsid w:val="007167AB"/>
    <w:rsid w:val="00716830"/>
    <w:rsid w:val="00716878"/>
    <w:rsid w:val="0071687A"/>
    <w:rsid w:val="007169AB"/>
    <w:rsid w:val="00716A1D"/>
    <w:rsid w:val="00716B2F"/>
    <w:rsid w:val="00716CB3"/>
    <w:rsid w:val="00716CE9"/>
    <w:rsid w:val="00716DE5"/>
    <w:rsid w:val="00717130"/>
    <w:rsid w:val="00717545"/>
    <w:rsid w:val="00717580"/>
    <w:rsid w:val="007175BC"/>
    <w:rsid w:val="007176A7"/>
    <w:rsid w:val="00717BA3"/>
    <w:rsid w:val="00717C9E"/>
    <w:rsid w:val="00717E7C"/>
    <w:rsid w:val="00717EBF"/>
    <w:rsid w:val="007202C7"/>
    <w:rsid w:val="00720351"/>
    <w:rsid w:val="007204AB"/>
    <w:rsid w:val="0072057F"/>
    <w:rsid w:val="0072064A"/>
    <w:rsid w:val="00720654"/>
    <w:rsid w:val="0072069A"/>
    <w:rsid w:val="00720710"/>
    <w:rsid w:val="00720744"/>
    <w:rsid w:val="007207A9"/>
    <w:rsid w:val="00720803"/>
    <w:rsid w:val="007209B1"/>
    <w:rsid w:val="00720A2E"/>
    <w:rsid w:val="00720BC7"/>
    <w:rsid w:val="00720D85"/>
    <w:rsid w:val="00720EA9"/>
    <w:rsid w:val="0072109E"/>
    <w:rsid w:val="007211D4"/>
    <w:rsid w:val="007212B3"/>
    <w:rsid w:val="00721349"/>
    <w:rsid w:val="00721390"/>
    <w:rsid w:val="00721460"/>
    <w:rsid w:val="0072192D"/>
    <w:rsid w:val="00721AB4"/>
    <w:rsid w:val="00721BC7"/>
    <w:rsid w:val="00721DCE"/>
    <w:rsid w:val="00721E81"/>
    <w:rsid w:val="007221DF"/>
    <w:rsid w:val="007221F4"/>
    <w:rsid w:val="00722201"/>
    <w:rsid w:val="00722313"/>
    <w:rsid w:val="0072242A"/>
    <w:rsid w:val="00722442"/>
    <w:rsid w:val="0072261E"/>
    <w:rsid w:val="007227CA"/>
    <w:rsid w:val="007227F6"/>
    <w:rsid w:val="0072290B"/>
    <w:rsid w:val="0072298E"/>
    <w:rsid w:val="00722A70"/>
    <w:rsid w:val="00722B05"/>
    <w:rsid w:val="00722D12"/>
    <w:rsid w:val="00722D47"/>
    <w:rsid w:val="00722DEF"/>
    <w:rsid w:val="00722E6E"/>
    <w:rsid w:val="0072307F"/>
    <w:rsid w:val="00723291"/>
    <w:rsid w:val="007235DA"/>
    <w:rsid w:val="007236C5"/>
    <w:rsid w:val="00723805"/>
    <w:rsid w:val="0072382E"/>
    <w:rsid w:val="007239A8"/>
    <w:rsid w:val="007239AF"/>
    <w:rsid w:val="007239B3"/>
    <w:rsid w:val="00723A1B"/>
    <w:rsid w:val="00723BE4"/>
    <w:rsid w:val="00723C3C"/>
    <w:rsid w:val="00723CB9"/>
    <w:rsid w:val="00723DBD"/>
    <w:rsid w:val="00723F5D"/>
    <w:rsid w:val="00723F7C"/>
    <w:rsid w:val="007241CC"/>
    <w:rsid w:val="00724226"/>
    <w:rsid w:val="0072429A"/>
    <w:rsid w:val="0072435F"/>
    <w:rsid w:val="007243B3"/>
    <w:rsid w:val="007243DE"/>
    <w:rsid w:val="007245AF"/>
    <w:rsid w:val="00724729"/>
    <w:rsid w:val="007248C4"/>
    <w:rsid w:val="00724904"/>
    <w:rsid w:val="007249E0"/>
    <w:rsid w:val="00724A53"/>
    <w:rsid w:val="00724D4E"/>
    <w:rsid w:val="00724E0C"/>
    <w:rsid w:val="00724FBC"/>
    <w:rsid w:val="00724FFF"/>
    <w:rsid w:val="00725014"/>
    <w:rsid w:val="00725088"/>
    <w:rsid w:val="007250D3"/>
    <w:rsid w:val="00725190"/>
    <w:rsid w:val="00725388"/>
    <w:rsid w:val="007253C2"/>
    <w:rsid w:val="0072543C"/>
    <w:rsid w:val="007256F0"/>
    <w:rsid w:val="0072571E"/>
    <w:rsid w:val="00725770"/>
    <w:rsid w:val="00725945"/>
    <w:rsid w:val="00725A33"/>
    <w:rsid w:val="00725B0C"/>
    <w:rsid w:val="00725B41"/>
    <w:rsid w:val="00725EDD"/>
    <w:rsid w:val="00725F4E"/>
    <w:rsid w:val="00725F8C"/>
    <w:rsid w:val="00725FFF"/>
    <w:rsid w:val="0072618B"/>
    <w:rsid w:val="007264CB"/>
    <w:rsid w:val="00726544"/>
    <w:rsid w:val="00726547"/>
    <w:rsid w:val="00726592"/>
    <w:rsid w:val="00726AE6"/>
    <w:rsid w:val="00726C8B"/>
    <w:rsid w:val="00726E01"/>
    <w:rsid w:val="00726E10"/>
    <w:rsid w:val="00726FF1"/>
    <w:rsid w:val="0072719D"/>
    <w:rsid w:val="0072721E"/>
    <w:rsid w:val="0072722F"/>
    <w:rsid w:val="00727286"/>
    <w:rsid w:val="007272D1"/>
    <w:rsid w:val="0072734D"/>
    <w:rsid w:val="0072735E"/>
    <w:rsid w:val="00727535"/>
    <w:rsid w:val="00727545"/>
    <w:rsid w:val="00727A0D"/>
    <w:rsid w:val="00727A8E"/>
    <w:rsid w:val="00727C27"/>
    <w:rsid w:val="00727C6E"/>
    <w:rsid w:val="007304AF"/>
    <w:rsid w:val="007304F0"/>
    <w:rsid w:val="007304F8"/>
    <w:rsid w:val="007304FA"/>
    <w:rsid w:val="00730508"/>
    <w:rsid w:val="007305BD"/>
    <w:rsid w:val="007305EB"/>
    <w:rsid w:val="00730699"/>
    <w:rsid w:val="007307AE"/>
    <w:rsid w:val="00730939"/>
    <w:rsid w:val="00730964"/>
    <w:rsid w:val="00730981"/>
    <w:rsid w:val="00730A1B"/>
    <w:rsid w:val="00730A5A"/>
    <w:rsid w:val="00730B9E"/>
    <w:rsid w:val="00730C5A"/>
    <w:rsid w:val="00730C71"/>
    <w:rsid w:val="00730C73"/>
    <w:rsid w:val="00730C7D"/>
    <w:rsid w:val="00730DB7"/>
    <w:rsid w:val="00730F01"/>
    <w:rsid w:val="00730FC8"/>
    <w:rsid w:val="0073107B"/>
    <w:rsid w:val="00731166"/>
    <w:rsid w:val="007311D7"/>
    <w:rsid w:val="00731237"/>
    <w:rsid w:val="007312DF"/>
    <w:rsid w:val="007312EF"/>
    <w:rsid w:val="007314AB"/>
    <w:rsid w:val="0073164F"/>
    <w:rsid w:val="00731673"/>
    <w:rsid w:val="00731767"/>
    <w:rsid w:val="007318AF"/>
    <w:rsid w:val="0073199C"/>
    <w:rsid w:val="00731BDA"/>
    <w:rsid w:val="00731C80"/>
    <w:rsid w:val="00731D58"/>
    <w:rsid w:val="00731ED3"/>
    <w:rsid w:val="00731F3E"/>
    <w:rsid w:val="00731FBE"/>
    <w:rsid w:val="00731FC0"/>
    <w:rsid w:val="00732069"/>
    <w:rsid w:val="007320CC"/>
    <w:rsid w:val="007322F5"/>
    <w:rsid w:val="00732306"/>
    <w:rsid w:val="00732433"/>
    <w:rsid w:val="00732492"/>
    <w:rsid w:val="00732509"/>
    <w:rsid w:val="00732525"/>
    <w:rsid w:val="0073257E"/>
    <w:rsid w:val="0073291B"/>
    <w:rsid w:val="0073293E"/>
    <w:rsid w:val="00732CEA"/>
    <w:rsid w:val="00732D73"/>
    <w:rsid w:val="00732DB4"/>
    <w:rsid w:val="00732E0D"/>
    <w:rsid w:val="00732FCD"/>
    <w:rsid w:val="00733086"/>
    <w:rsid w:val="00733147"/>
    <w:rsid w:val="00733199"/>
    <w:rsid w:val="0073331B"/>
    <w:rsid w:val="007333A9"/>
    <w:rsid w:val="00733549"/>
    <w:rsid w:val="00733572"/>
    <w:rsid w:val="00733736"/>
    <w:rsid w:val="00733874"/>
    <w:rsid w:val="007338F1"/>
    <w:rsid w:val="00733A35"/>
    <w:rsid w:val="00733A7C"/>
    <w:rsid w:val="00733AAA"/>
    <w:rsid w:val="00733C58"/>
    <w:rsid w:val="00733C97"/>
    <w:rsid w:val="00733EE2"/>
    <w:rsid w:val="00733F02"/>
    <w:rsid w:val="00733F0C"/>
    <w:rsid w:val="00733F31"/>
    <w:rsid w:val="0073427D"/>
    <w:rsid w:val="007346C0"/>
    <w:rsid w:val="00734881"/>
    <w:rsid w:val="0073494C"/>
    <w:rsid w:val="00734AA9"/>
    <w:rsid w:val="00734ABE"/>
    <w:rsid w:val="00734B4E"/>
    <w:rsid w:val="00734BBE"/>
    <w:rsid w:val="00734E27"/>
    <w:rsid w:val="00734ED8"/>
    <w:rsid w:val="00734F1D"/>
    <w:rsid w:val="00734F1F"/>
    <w:rsid w:val="00735204"/>
    <w:rsid w:val="007354CE"/>
    <w:rsid w:val="007355C3"/>
    <w:rsid w:val="00735604"/>
    <w:rsid w:val="00735617"/>
    <w:rsid w:val="00735784"/>
    <w:rsid w:val="007359B8"/>
    <w:rsid w:val="00735E0F"/>
    <w:rsid w:val="00735E8D"/>
    <w:rsid w:val="00735FE4"/>
    <w:rsid w:val="007360E3"/>
    <w:rsid w:val="007361B9"/>
    <w:rsid w:val="007364DD"/>
    <w:rsid w:val="007365D2"/>
    <w:rsid w:val="00736849"/>
    <w:rsid w:val="007368F9"/>
    <w:rsid w:val="0073694C"/>
    <w:rsid w:val="00736AC1"/>
    <w:rsid w:val="00736AD7"/>
    <w:rsid w:val="00736BE6"/>
    <w:rsid w:val="00736E07"/>
    <w:rsid w:val="00736ED1"/>
    <w:rsid w:val="00737092"/>
    <w:rsid w:val="0073735D"/>
    <w:rsid w:val="0073746A"/>
    <w:rsid w:val="0073754E"/>
    <w:rsid w:val="00737AC6"/>
    <w:rsid w:val="00737BCE"/>
    <w:rsid w:val="00737D9C"/>
    <w:rsid w:val="0074033C"/>
    <w:rsid w:val="007404FB"/>
    <w:rsid w:val="007409CB"/>
    <w:rsid w:val="00740B20"/>
    <w:rsid w:val="00740B7A"/>
    <w:rsid w:val="00740C92"/>
    <w:rsid w:val="00740CB2"/>
    <w:rsid w:val="00740D55"/>
    <w:rsid w:val="0074105E"/>
    <w:rsid w:val="007410A0"/>
    <w:rsid w:val="007412CE"/>
    <w:rsid w:val="00741449"/>
    <w:rsid w:val="0074155A"/>
    <w:rsid w:val="00741587"/>
    <w:rsid w:val="007415BF"/>
    <w:rsid w:val="007416A1"/>
    <w:rsid w:val="007416CF"/>
    <w:rsid w:val="007416ED"/>
    <w:rsid w:val="00741848"/>
    <w:rsid w:val="00741A99"/>
    <w:rsid w:val="00741B03"/>
    <w:rsid w:val="00741B46"/>
    <w:rsid w:val="00741BAF"/>
    <w:rsid w:val="00741D7A"/>
    <w:rsid w:val="00741F35"/>
    <w:rsid w:val="0074204E"/>
    <w:rsid w:val="00742184"/>
    <w:rsid w:val="00742254"/>
    <w:rsid w:val="00742256"/>
    <w:rsid w:val="00742346"/>
    <w:rsid w:val="0074251B"/>
    <w:rsid w:val="0074252D"/>
    <w:rsid w:val="0074274D"/>
    <w:rsid w:val="007428F5"/>
    <w:rsid w:val="00742C37"/>
    <w:rsid w:val="00742E2E"/>
    <w:rsid w:val="00742F9A"/>
    <w:rsid w:val="007430C5"/>
    <w:rsid w:val="007432F0"/>
    <w:rsid w:val="007434F5"/>
    <w:rsid w:val="00743504"/>
    <w:rsid w:val="00743813"/>
    <w:rsid w:val="0074384C"/>
    <w:rsid w:val="007439D9"/>
    <w:rsid w:val="007439DD"/>
    <w:rsid w:val="007439F1"/>
    <w:rsid w:val="00743A28"/>
    <w:rsid w:val="00743B2D"/>
    <w:rsid w:val="00743B6D"/>
    <w:rsid w:val="00743C88"/>
    <w:rsid w:val="00743E06"/>
    <w:rsid w:val="00743E0C"/>
    <w:rsid w:val="00744072"/>
    <w:rsid w:val="00744137"/>
    <w:rsid w:val="00744147"/>
    <w:rsid w:val="007441A2"/>
    <w:rsid w:val="007443FC"/>
    <w:rsid w:val="00744448"/>
    <w:rsid w:val="0074451C"/>
    <w:rsid w:val="00744599"/>
    <w:rsid w:val="007445E4"/>
    <w:rsid w:val="0074471F"/>
    <w:rsid w:val="007447DD"/>
    <w:rsid w:val="007448AF"/>
    <w:rsid w:val="00744D33"/>
    <w:rsid w:val="00744D4C"/>
    <w:rsid w:val="00744DF4"/>
    <w:rsid w:val="00744E07"/>
    <w:rsid w:val="00744EB3"/>
    <w:rsid w:val="007450E3"/>
    <w:rsid w:val="00745263"/>
    <w:rsid w:val="007453CB"/>
    <w:rsid w:val="007454C8"/>
    <w:rsid w:val="007454CF"/>
    <w:rsid w:val="007455A9"/>
    <w:rsid w:val="0074574C"/>
    <w:rsid w:val="00745833"/>
    <w:rsid w:val="0074583B"/>
    <w:rsid w:val="0074587F"/>
    <w:rsid w:val="007458E5"/>
    <w:rsid w:val="007458F2"/>
    <w:rsid w:val="0074596D"/>
    <w:rsid w:val="007459BA"/>
    <w:rsid w:val="00745AE8"/>
    <w:rsid w:val="00745BDE"/>
    <w:rsid w:val="00745EC9"/>
    <w:rsid w:val="007460CB"/>
    <w:rsid w:val="007463AE"/>
    <w:rsid w:val="0074643D"/>
    <w:rsid w:val="007464AB"/>
    <w:rsid w:val="0074655A"/>
    <w:rsid w:val="007466B9"/>
    <w:rsid w:val="007466DD"/>
    <w:rsid w:val="00746769"/>
    <w:rsid w:val="0074679D"/>
    <w:rsid w:val="007467C3"/>
    <w:rsid w:val="007468D3"/>
    <w:rsid w:val="00746CA5"/>
    <w:rsid w:val="00746D4F"/>
    <w:rsid w:val="007470EC"/>
    <w:rsid w:val="0074714D"/>
    <w:rsid w:val="007471AC"/>
    <w:rsid w:val="0074720C"/>
    <w:rsid w:val="0074735B"/>
    <w:rsid w:val="007473B5"/>
    <w:rsid w:val="00747514"/>
    <w:rsid w:val="0074752B"/>
    <w:rsid w:val="0074761C"/>
    <w:rsid w:val="0074764E"/>
    <w:rsid w:val="00747652"/>
    <w:rsid w:val="007476C8"/>
    <w:rsid w:val="007476D3"/>
    <w:rsid w:val="00747912"/>
    <w:rsid w:val="00747996"/>
    <w:rsid w:val="007479FE"/>
    <w:rsid w:val="00747CE2"/>
    <w:rsid w:val="00747EF8"/>
    <w:rsid w:val="00747F36"/>
    <w:rsid w:val="00747F3D"/>
    <w:rsid w:val="0075012E"/>
    <w:rsid w:val="007501D4"/>
    <w:rsid w:val="0075020C"/>
    <w:rsid w:val="007502F9"/>
    <w:rsid w:val="00750411"/>
    <w:rsid w:val="007504DB"/>
    <w:rsid w:val="00750581"/>
    <w:rsid w:val="007505EA"/>
    <w:rsid w:val="00750AEF"/>
    <w:rsid w:val="00750B33"/>
    <w:rsid w:val="00750C4D"/>
    <w:rsid w:val="00750CB4"/>
    <w:rsid w:val="00750E1E"/>
    <w:rsid w:val="00750E24"/>
    <w:rsid w:val="00750EE9"/>
    <w:rsid w:val="007510FC"/>
    <w:rsid w:val="007510FD"/>
    <w:rsid w:val="00751205"/>
    <w:rsid w:val="00751692"/>
    <w:rsid w:val="007519DD"/>
    <w:rsid w:val="00751B60"/>
    <w:rsid w:val="00751DF5"/>
    <w:rsid w:val="00751E1E"/>
    <w:rsid w:val="00751E78"/>
    <w:rsid w:val="00751F6F"/>
    <w:rsid w:val="007520D7"/>
    <w:rsid w:val="0075210A"/>
    <w:rsid w:val="00752199"/>
    <w:rsid w:val="00752251"/>
    <w:rsid w:val="0075238C"/>
    <w:rsid w:val="007523C2"/>
    <w:rsid w:val="007525FE"/>
    <w:rsid w:val="00752635"/>
    <w:rsid w:val="0075271D"/>
    <w:rsid w:val="007527D9"/>
    <w:rsid w:val="00752A48"/>
    <w:rsid w:val="00752CCB"/>
    <w:rsid w:val="00752E21"/>
    <w:rsid w:val="00752EF3"/>
    <w:rsid w:val="007531ED"/>
    <w:rsid w:val="00753204"/>
    <w:rsid w:val="0075321D"/>
    <w:rsid w:val="007536DC"/>
    <w:rsid w:val="0075375D"/>
    <w:rsid w:val="0075385F"/>
    <w:rsid w:val="007538ED"/>
    <w:rsid w:val="00753B59"/>
    <w:rsid w:val="00753B89"/>
    <w:rsid w:val="00753BBA"/>
    <w:rsid w:val="00753CF1"/>
    <w:rsid w:val="00753DE0"/>
    <w:rsid w:val="00753FD3"/>
    <w:rsid w:val="007540CB"/>
    <w:rsid w:val="0075426D"/>
    <w:rsid w:val="007543D0"/>
    <w:rsid w:val="007545C7"/>
    <w:rsid w:val="00754732"/>
    <w:rsid w:val="007547A4"/>
    <w:rsid w:val="0075487D"/>
    <w:rsid w:val="00754993"/>
    <w:rsid w:val="00754D41"/>
    <w:rsid w:val="00754D45"/>
    <w:rsid w:val="00754D78"/>
    <w:rsid w:val="00754F8E"/>
    <w:rsid w:val="007552EB"/>
    <w:rsid w:val="0075536C"/>
    <w:rsid w:val="00755448"/>
    <w:rsid w:val="007554AF"/>
    <w:rsid w:val="007554FE"/>
    <w:rsid w:val="00755570"/>
    <w:rsid w:val="007555C8"/>
    <w:rsid w:val="00755716"/>
    <w:rsid w:val="0075583D"/>
    <w:rsid w:val="00755853"/>
    <w:rsid w:val="00755969"/>
    <w:rsid w:val="007559F5"/>
    <w:rsid w:val="00755A6E"/>
    <w:rsid w:val="00755B0F"/>
    <w:rsid w:val="00755C79"/>
    <w:rsid w:val="00755D57"/>
    <w:rsid w:val="00756057"/>
    <w:rsid w:val="0075611B"/>
    <w:rsid w:val="00756199"/>
    <w:rsid w:val="007561C2"/>
    <w:rsid w:val="0075659E"/>
    <w:rsid w:val="00756628"/>
    <w:rsid w:val="007568D4"/>
    <w:rsid w:val="007569C7"/>
    <w:rsid w:val="00756B2C"/>
    <w:rsid w:val="00756CF3"/>
    <w:rsid w:val="00756DC0"/>
    <w:rsid w:val="00756F85"/>
    <w:rsid w:val="00757036"/>
    <w:rsid w:val="007571E5"/>
    <w:rsid w:val="00757308"/>
    <w:rsid w:val="007574E0"/>
    <w:rsid w:val="007578C3"/>
    <w:rsid w:val="007579F7"/>
    <w:rsid w:val="00757A16"/>
    <w:rsid w:val="00757AA6"/>
    <w:rsid w:val="00757CFD"/>
    <w:rsid w:val="00757EF9"/>
    <w:rsid w:val="00757F22"/>
    <w:rsid w:val="0076002F"/>
    <w:rsid w:val="00760138"/>
    <w:rsid w:val="007602A6"/>
    <w:rsid w:val="00760335"/>
    <w:rsid w:val="00760369"/>
    <w:rsid w:val="007603D0"/>
    <w:rsid w:val="007604F0"/>
    <w:rsid w:val="00760558"/>
    <w:rsid w:val="00760564"/>
    <w:rsid w:val="0076059F"/>
    <w:rsid w:val="007605D7"/>
    <w:rsid w:val="0076068A"/>
    <w:rsid w:val="00760790"/>
    <w:rsid w:val="00760856"/>
    <w:rsid w:val="007608A0"/>
    <w:rsid w:val="00760A9F"/>
    <w:rsid w:val="00760B1D"/>
    <w:rsid w:val="00760BFB"/>
    <w:rsid w:val="00760C04"/>
    <w:rsid w:val="00760C67"/>
    <w:rsid w:val="00760CE6"/>
    <w:rsid w:val="00760F1D"/>
    <w:rsid w:val="00760FCC"/>
    <w:rsid w:val="0076104A"/>
    <w:rsid w:val="00761118"/>
    <w:rsid w:val="00761167"/>
    <w:rsid w:val="00761175"/>
    <w:rsid w:val="007611A9"/>
    <w:rsid w:val="0076137E"/>
    <w:rsid w:val="0076147F"/>
    <w:rsid w:val="007614C4"/>
    <w:rsid w:val="00761833"/>
    <w:rsid w:val="0076195B"/>
    <w:rsid w:val="007619AB"/>
    <w:rsid w:val="00761A73"/>
    <w:rsid w:val="00761CB4"/>
    <w:rsid w:val="00761E17"/>
    <w:rsid w:val="00761F74"/>
    <w:rsid w:val="00761F89"/>
    <w:rsid w:val="00762009"/>
    <w:rsid w:val="00762121"/>
    <w:rsid w:val="0076221A"/>
    <w:rsid w:val="007622AB"/>
    <w:rsid w:val="007623FE"/>
    <w:rsid w:val="00762755"/>
    <w:rsid w:val="0076290A"/>
    <w:rsid w:val="00762C0A"/>
    <w:rsid w:val="00762D30"/>
    <w:rsid w:val="00762D72"/>
    <w:rsid w:val="00762E05"/>
    <w:rsid w:val="00763306"/>
    <w:rsid w:val="00763351"/>
    <w:rsid w:val="007633F9"/>
    <w:rsid w:val="00763673"/>
    <w:rsid w:val="007636A2"/>
    <w:rsid w:val="007639E1"/>
    <w:rsid w:val="00763AA1"/>
    <w:rsid w:val="00763DBF"/>
    <w:rsid w:val="00763EAC"/>
    <w:rsid w:val="00763EC5"/>
    <w:rsid w:val="00764063"/>
    <w:rsid w:val="007640DF"/>
    <w:rsid w:val="0076418A"/>
    <w:rsid w:val="007642F8"/>
    <w:rsid w:val="00764418"/>
    <w:rsid w:val="00764536"/>
    <w:rsid w:val="00764553"/>
    <w:rsid w:val="0076480E"/>
    <w:rsid w:val="007649CE"/>
    <w:rsid w:val="00764AB8"/>
    <w:rsid w:val="00764B0F"/>
    <w:rsid w:val="00764BF0"/>
    <w:rsid w:val="00764E77"/>
    <w:rsid w:val="00764ECF"/>
    <w:rsid w:val="00765363"/>
    <w:rsid w:val="007653AD"/>
    <w:rsid w:val="007653DE"/>
    <w:rsid w:val="00765450"/>
    <w:rsid w:val="007655BB"/>
    <w:rsid w:val="007656C1"/>
    <w:rsid w:val="00765758"/>
    <w:rsid w:val="00765785"/>
    <w:rsid w:val="00765997"/>
    <w:rsid w:val="007659B3"/>
    <w:rsid w:val="00765A7C"/>
    <w:rsid w:val="00765ADC"/>
    <w:rsid w:val="00765AF1"/>
    <w:rsid w:val="00765BA5"/>
    <w:rsid w:val="00765CC1"/>
    <w:rsid w:val="00765D5D"/>
    <w:rsid w:val="00765D62"/>
    <w:rsid w:val="00765DA3"/>
    <w:rsid w:val="00765EB8"/>
    <w:rsid w:val="00766287"/>
    <w:rsid w:val="007663A1"/>
    <w:rsid w:val="0076641D"/>
    <w:rsid w:val="0076644A"/>
    <w:rsid w:val="0076658B"/>
    <w:rsid w:val="007667C2"/>
    <w:rsid w:val="0076682B"/>
    <w:rsid w:val="0076685E"/>
    <w:rsid w:val="00766878"/>
    <w:rsid w:val="007668F8"/>
    <w:rsid w:val="00766909"/>
    <w:rsid w:val="00766992"/>
    <w:rsid w:val="00766B25"/>
    <w:rsid w:val="00766B4F"/>
    <w:rsid w:val="00766B57"/>
    <w:rsid w:val="00766BDB"/>
    <w:rsid w:val="00766CBB"/>
    <w:rsid w:val="00766D6A"/>
    <w:rsid w:val="00766EC0"/>
    <w:rsid w:val="00766EE8"/>
    <w:rsid w:val="00766FE6"/>
    <w:rsid w:val="00766FEA"/>
    <w:rsid w:val="007670B3"/>
    <w:rsid w:val="00767353"/>
    <w:rsid w:val="00767363"/>
    <w:rsid w:val="00767492"/>
    <w:rsid w:val="007674C6"/>
    <w:rsid w:val="007674FC"/>
    <w:rsid w:val="0076752A"/>
    <w:rsid w:val="00767653"/>
    <w:rsid w:val="007676D2"/>
    <w:rsid w:val="007678D9"/>
    <w:rsid w:val="0076792C"/>
    <w:rsid w:val="00767ACD"/>
    <w:rsid w:val="00767BA1"/>
    <w:rsid w:val="00767C14"/>
    <w:rsid w:val="00767F7C"/>
    <w:rsid w:val="00770141"/>
    <w:rsid w:val="00770341"/>
    <w:rsid w:val="00770345"/>
    <w:rsid w:val="007703E3"/>
    <w:rsid w:val="007705D5"/>
    <w:rsid w:val="007708C9"/>
    <w:rsid w:val="007708F3"/>
    <w:rsid w:val="00770A33"/>
    <w:rsid w:val="00770A8A"/>
    <w:rsid w:val="00770AF3"/>
    <w:rsid w:val="00770BC1"/>
    <w:rsid w:val="00770C22"/>
    <w:rsid w:val="00770C4D"/>
    <w:rsid w:val="00770EDA"/>
    <w:rsid w:val="00770F96"/>
    <w:rsid w:val="00771133"/>
    <w:rsid w:val="0077119E"/>
    <w:rsid w:val="00771324"/>
    <w:rsid w:val="00771809"/>
    <w:rsid w:val="00771ADB"/>
    <w:rsid w:val="00771B1B"/>
    <w:rsid w:val="00771C22"/>
    <w:rsid w:val="00771D19"/>
    <w:rsid w:val="00771FAE"/>
    <w:rsid w:val="00771FCC"/>
    <w:rsid w:val="00771FCD"/>
    <w:rsid w:val="0077201A"/>
    <w:rsid w:val="007720A2"/>
    <w:rsid w:val="0077223F"/>
    <w:rsid w:val="00772247"/>
    <w:rsid w:val="00772521"/>
    <w:rsid w:val="0077265C"/>
    <w:rsid w:val="00772687"/>
    <w:rsid w:val="00772765"/>
    <w:rsid w:val="007727FF"/>
    <w:rsid w:val="00772843"/>
    <w:rsid w:val="007729DF"/>
    <w:rsid w:val="00772AAB"/>
    <w:rsid w:val="00772ADD"/>
    <w:rsid w:val="00772AEF"/>
    <w:rsid w:val="00772B29"/>
    <w:rsid w:val="00772C7F"/>
    <w:rsid w:val="00772CA8"/>
    <w:rsid w:val="00772D6D"/>
    <w:rsid w:val="00772DCD"/>
    <w:rsid w:val="00772E41"/>
    <w:rsid w:val="00772F40"/>
    <w:rsid w:val="00773357"/>
    <w:rsid w:val="00773633"/>
    <w:rsid w:val="007737DF"/>
    <w:rsid w:val="0077396D"/>
    <w:rsid w:val="00773AE5"/>
    <w:rsid w:val="00773BD4"/>
    <w:rsid w:val="00773FE4"/>
    <w:rsid w:val="00774322"/>
    <w:rsid w:val="00774353"/>
    <w:rsid w:val="00774502"/>
    <w:rsid w:val="007748CB"/>
    <w:rsid w:val="007748E7"/>
    <w:rsid w:val="00774A61"/>
    <w:rsid w:val="00774BB3"/>
    <w:rsid w:val="00774C55"/>
    <w:rsid w:val="00774D77"/>
    <w:rsid w:val="00774E73"/>
    <w:rsid w:val="00774F07"/>
    <w:rsid w:val="00774FA9"/>
    <w:rsid w:val="00774FC7"/>
    <w:rsid w:val="00775043"/>
    <w:rsid w:val="007750CD"/>
    <w:rsid w:val="00775248"/>
    <w:rsid w:val="00775274"/>
    <w:rsid w:val="007753C4"/>
    <w:rsid w:val="00775497"/>
    <w:rsid w:val="0077558B"/>
    <w:rsid w:val="00775593"/>
    <w:rsid w:val="007755D2"/>
    <w:rsid w:val="007756FE"/>
    <w:rsid w:val="00775836"/>
    <w:rsid w:val="007758B5"/>
    <w:rsid w:val="007758C5"/>
    <w:rsid w:val="007759EA"/>
    <w:rsid w:val="00775A64"/>
    <w:rsid w:val="00775BCA"/>
    <w:rsid w:val="00775F29"/>
    <w:rsid w:val="00776187"/>
    <w:rsid w:val="00776259"/>
    <w:rsid w:val="00776279"/>
    <w:rsid w:val="00776371"/>
    <w:rsid w:val="0077638B"/>
    <w:rsid w:val="007763D0"/>
    <w:rsid w:val="00776499"/>
    <w:rsid w:val="0077673B"/>
    <w:rsid w:val="007768C7"/>
    <w:rsid w:val="00776AEE"/>
    <w:rsid w:val="00776D36"/>
    <w:rsid w:val="00776F1A"/>
    <w:rsid w:val="00776F58"/>
    <w:rsid w:val="00776FA8"/>
    <w:rsid w:val="0077703D"/>
    <w:rsid w:val="00777582"/>
    <w:rsid w:val="00777733"/>
    <w:rsid w:val="0077799B"/>
    <w:rsid w:val="00777A0D"/>
    <w:rsid w:val="00777A53"/>
    <w:rsid w:val="00777A97"/>
    <w:rsid w:val="00777B10"/>
    <w:rsid w:val="00777B18"/>
    <w:rsid w:val="00777BAF"/>
    <w:rsid w:val="00777BED"/>
    <w:rsid w:val="00777F1D"/>
    <w:rsid w:val="007800CF"/>
    <w:rsid w:val="0078021E"/>
    <w:rsid w:val="00780247"/>
    <w:rsid w:val="00780388"/>
    <w:rsid w:val="0078049D"/>
    <w:rsid w:val="00780579"/>
    <w:rsid w:val="007805B7"/>
    <w:rsid w:val="0078069F"/>
    <w:rsid w:val="007806A8"/>
    <w:rsid w:val="00780760"/>
    <w:rsid w:val="007807FF"/>
    <w:rsid w:val="007809DD"/>
    <w:rsid w:val="00780A41"/>
    <w:rsid w:val="00780B22"/>
    <w:rsid w:val="00780C02"/>
    <w:rsid w:val="00780D32"/>
    <w:rsid w:val="00780F30"/>
    <w:rsid w:val="0078139F"/>
    <w:rsid w:val="007815F7"/>
    <w:rsid w:val="00781606"/>
    <w:rsid w:val="007818B7"/>
    <w:rsid w:val="00781A4A"/>
    <w:rsid w:val="00781C01"/>
    <w:rsid w:val="00781F37"/>
    <w:rsid w:val="0078227E"/>
    <w:rsid w:val="00782389"/>
    <w:rsid w:val="0078242A"/>
    <w:rsid w:val="0078262A"/>
    <w:rsid w:val="00782803"/>
    <w:rsid w:val="00782835"/>
    <w:rsid w:val="0078283C"/>
    <w:rsid w:val="007829D9"/>
    <w:rsid w:val="00782A7C"/>
    <w:rsid w:val="00782A7F"/>
    <w:rsid w:val="00782AB2"/>
    <w:rsid w:val="00782C3F"/>
    <w:rsid w:val="00782C60"/>
    <w:rsid w:val="00782CD8"/>
    <w:rsid w:val="00782E2C"/>
    <w:rsid w:val="00782FA7"/>
    <w:rsid w:val="007832A6"/>
    <w:rsid w:val="007832F3"/>
    <w:rsid w:val="00783446"/>
    <w:rsid w:val="00783738"/>
    <w:rsid w:val="007837DE"/>
    <w:rsid w:val="007838CE"/>
    <w:rsid w:val="00783C8A"/>
    <w:rsid w:val="00783D9F"/>
    <w:rsid w:val="00783E7F"/>
    <w:rsid w:val="00783F9B"/>
    <w:rsid w:val="007842B8"/>
    <w:rsid w:val="007842FC"/>
    <w:rsid w:val="00784552"/>
    <w:rsid w:val="007845BF"/>
    <w:rsid w:val="0078461A"/>
    <w:rsid w:val="007846A4"/>
    <w:rsid w:val="00784856"/>
    <w:rsid w:val="00784893"/>
    <w:rsid w:val="0078495C"/>
    <w:rsid w:val="00784A75"/>
    <w:rsid w:val="00784BBE"/>
    <w:rsid w:val="00784C25"/>
    <w:rsid w:val="00784C6A"/>
    <w:rsid w:val="00784D15"/>
    <w:rsid w:val="00784FB7"/>
    <w:rsid w:val="00785071"/>
    <w:rsid w:val="007850EF"/>
    <w:rsid w:val="00785239"/>
    <w:rsid w:val="007854DE"/>
    <w:rsid w:val="007857FE"/>
    <w:rsid w:val="00785B66"/>
    <w:rsid w:val="00785B8E"/>
    <w:rsid w:val="00785C26"/>
    <w:rsid w:val="00785D10"/>
    <w:rsid w:val="00785DCC"/>
    <w:rsid w:val="00785FD7"/>
    <w:rsid w:val="00786085"/>
    <w:rsid w:val="00786088"/>
    <w:rsid w:val="007862CF"/>
    <w:rsid w:val="00786354"/>
    <w:rsid w:val="00786463"/>
    <w:rsid w:val="00786668"/>
    <w:rsid w:val="007868B1"/>
    <w:rsid w:val="00786925"/>
    <w:rsid w:val="00786A5B"/>
    <w:rsid w:val="00786AE0"/>
    <w:rsid w:val="00786C4C"/>
    <w:rsid w:val="00786D03"/>
    <w:rsid w:val="00786D82"/>
    <w:rsid w:val="00786DBC"/>
    <w:rsid w:val="00786DFD"/>
    <w:rsid w:val="00786E30"/>
    <w:rsid w:val="00786E3D"/>
    <w:rsid w:val="00786ED4"/>
    <w:rsid w:val="00786F72"/>
    <w:rsid w:val="00787060"/>
    <w:rsid w:val="007870FA"/>
    <w:rsid w:val="007870FE"/>
    <w:rsid w:val="0078714C"/>
    <w:rsid w:val="007871B1"/>
    <w:rsid w:val="0078726D"/>
    <w:rsid w:val="00787348"/>
    <w:rsid w:val="0078765E"/>
    <w:rsid w:val="007876F2"/>
    <w:rsid w:val="00787CFB"/>
    <w:rsid w:val="00787DF4"/>
    <w:rsid w:val="0079001C"/>
    <w:rsid w:val="007900FD"/>
    <w:rsid w:val="00790145"/>
    <w:rsid w:val="00790773"/>
    <w:rsid w:val="00790876"/>
    <w:rsid w:val="0079090A"/>
    <w:rsid w:val="0079099D"/>
    <w:rsid w:val="00790ABF"/>
    <w:rsid w:val="00790BDA"/>
    <w:rsid w:val="00790C44"/>
    <w:rsid w:val="00790CC1"/>
    <w:rsid w:val="00790D2F"/>
    <w:rsid w:val="00790F42"/>
    <w:rsid w:val="00790FFC"/>
    <w:rsid w:val="007910A8"/>
    <w:rsid w:val="007912CC"/>
    <w:rsid w:val="007913B1"/>
    <w:rsid w:val="007915A0"/>
    <w:rsid w:val="007915EB"/>
    <w:rsid w:val="00791685"/>
    <w:rsid w:val="00791734"/>
    <w:rsid w:val="0079179D"/>
    <w:rsid w:val="007917A4"/>
    <w:rsid w:val="007918FD"/>
    <w:rsid w:val="00791943"/>
    <w:rsid w:val="007919AA"/>
    <w:rsid w:val="007919C6"/>
    <w:rsid w:val="00791B20"/>
    <w:rsid w:val="00791B60"/>
    <w:rsid w:val="00791B7B"/>
    <w:rsid w:val="00791D6D"/>
    <w:rsid w:val="00791F43"/>
    <w:rsid w:val="00791FF1"/>
    <w:rsid w:val="00792092"/>
    <w:rsid w:val="007921DA"/>
    <w:rsid w:val="0079226D"/>
    <w:rsid w:val="0079240E"/>
    <w:rsid w:val="007925F9"/>
    <w:rsid w:val="00792653"/>
    <w:rsid w:val="007926AE"/>
    <w:rsid w:val="00792742"/>
    <w:rsid w:val="00792796"/>
    <w:rsid w:val="00792838"/>
    <w:rsid w:val="007928B6"/>
    <w:rsid w:val="0079295C"/>
    <w:rsid w:val="0079299A"/>
    <w:rsid w:val="00792A9F"/>
    <w:rsid w:val="00792AE0"/>
    <w:rsid w:val="00792AFD"/>
    <w:rsid w:val="00792CF6"/>
    <w:rsid w:val="00792D4F"/>
    <w:rsid w:val="00793117"/>
    <w:rsid w:val="007933CF"/>
    <w:rsid w:val="007935C5"/>
    <w:rsid w:val="00793630"/>
    <w:rsid w:val="00793A1D"/>
    <w:rsid w:val="00793A9E"/>
    <w:rsid w:val="00793AE7"/>
    <w:rsid w:val="00793CDB"/>
    <w:rsid w:val="00793DA5"/>
    <w:rsid w:val="007940D7"/>
    <w:rsid w:val="007941E2"/>
    <w:rsid w:val="007943CE"/>
    <w:rsid w:val="00794404"/>
    <w:rsid w:val="0079445B"/>
    <w:rsid w:val="007944CC"/>
    <w:rsid w:val="00794618"/>
    <w:rsid w:val="0079461C"/>
    <w:rsid w:val="00794692"/>
    <w:rsid w:val="00794694"/>
    <w:rsid w:val="007946AA"/>
    <w:rsid w:val="007946F8"/>
    <w:rsid w:val="00794822"/>
    <w:rsid w:val="00794829"/>
    <w:rsid w:val="00794A48"/>
    <w:rsid w:val="00794B5C"/>
    <w:rsid w:val="00794CA1"/>
    <w:rsid w:val="00794D8E"/>
    <w:rsid w:val="00794D96"/>
    <w:rsid w:val="00794DE1"/>
    <w:rsid w:val="00794E61"/>
    <w:rsid w:val="00794EEF"/>
    <w:rsid w:val="00794FA1"/>
    <w:rsid w:val="0079500C"/>
    <w:rsid w:val="00795026"/>
    <w:rsid w:val="007951F2"/>
    <w:rsid w:val="007952F6"/>
    <w:rsid w:val="0079530D"/>
    <w:rsid w:val="00795468"/>
    <w:rsid w:val="007954EE"/>
    <w:rsid w:val="00795734"/>
    <w:rsid w:val="0079583E"/>
    <w:rsid w:val="00795A7A"/>
    <w:rsid w:val="00795ADB"/>
    <w:rsid w:val="00795B16"/>
    <w:rsid w:val="00795B94"/>
    <w:rsid w:val="00795C8D"/>
    <w:rsid w:val="00795CB3"/>
    <w:rsid w:val="00795CDE"/>
    <w:rsid w:val="00795D47"/>
    <w:rsid w:val="0079601E"/>
    <w:rsid w:val="007960DE"/>
    <w:rsid w:val="007961F2"/>
    <w:rsid w:val="0079624B"/>
    <w:rsid w:val="00796294"/>
    <w:rsid w:val="007963B2"/>
    <w:rsid w:val="007963C2"/>
    <w:rsid w:val="007966C4"/>
    <w:rsid w:val="0079677D"/>
    <w:rsid w:val="007967DD"/>
    <w:rsid w:val="007968C9"/>
    <w:rsid w:val="0079695C"/>
    <w:rsid w:val="00796A06"/>
    <w:rsid w:val="00796ADF"/>
    <w:rsid w:val="00796AEB"/>
    <w:rsid w:val="00796B2F"/>
    <w:rsid w:val="00796B9D"/>
    <w:rsid w:val="00796C01"/>
    <w:rsid w:val="00796C3E"/>
    <w:rsid w:val="00796DD1"/>
    <w:rsid w:val="00796E05"/>
    <w:rsid w:val="00796EB9"/>
    <w:rsid w:val="00797169"/>
    <w:rsid w:val="00797186"/>
    <w:rsid w:val="00797357"/>
    <w:rsid w:val="00797461"/>
    <w:rsid w:val="00797A35"/>
    <w:rsid w:val="00797A74"/>
    <w:rsid w:val="00797BD6"/>
    <w:rsid w:val="00797D9B"/>
    <w:rsid w:val="00797E20"/>
    <w:rsid w:val="00797EDC"/>
    <w:rsid w:val="00797F56"/>
    <w:rsid w:val="007A00B9"/>
    <w:rsid w:val="007A0122"/>
    <w:rsid w:val="007A0157"/>
    <w:rsid w:val="007A01D7"/>
    <w:rsid w:val="007A0309"/>
    <w:rsid w:val="007A03E4"/>
    <w:rsid w:val="007A03F1"/>
    <w:rsid w:val="007A04B9"/>
    <w:rsid w:val="007A0604"/>
    <w:rsid w:val="007A0608"/>
    <w:rsid w:val="007A07C1"/>
    <w:rsid w:val="007A081B"/>
    <w:rsid w:val="007A08AE"/>
    <w:rsid w:val="007A08C8"/>
    <w:rsid w:val="007A0B12"/>
    <w:rsid w:val="007A0C8A"/>
    <w:rsid w:val="007A0C95"/>
    <w:rsid w:val="007A0E71"/>
    <w:rsid w:val="007A0EEE"/>
    <w:rsid w:val="007A101D"/>
    <w:rsid w:val="007A1065"/>
    <w:rsid w:val="007A11F1"/>
    <w:rsid w:val="007A128B"/>
    <w:rsid w:val="007A1438"/>
    <w:rsid w:val="007A14B9"/>
    <w:rsid w:val="007A16F0"/>
    <w:rsid w:val="007A177C"/>
    <w:rsid w:val="007A186C"/>
    <w:rsid w:val="007A1A00"/>
    <w:rsid w:val="007A1A44"/>
    <w:rsid w:val="007A1CA9"/>
    <w:rsid w:val="007A1DF7"/>
    <w:rsid w:val="007A1E40"/>
    <w:rsid w:val="007A1EEB"/>
    <w:rsid w:val="007A205D"/>
    <w:rsid w:val="007A20AF"/>
    <w:rsid w:val="007A2132"/>
    <w:rsid w:val="007A242C"/>
    <w:rsid w:val="007A247E"/>
    <w:rsid w:val="007A25E5"/>
    <w:rsid w:val="007A25FC"/>
    <w:rsid w:val="007A261D"/>
    <w:rsid w:val="007A286F"/>
    <w:rsid w:val="007A2AB2"/>
    <w:rsid w:val="007A2CAC"/>
    <w:rsid w:val="007A3152"/>
    <w:rsid w:val="007A36A0"/>
    <w:rsid w:val="007A374E"/>
    <w:rsid w:val="007A3777"/>
    <w:rsid w:val="007A38BF"/>
    <w:rsid w:val="007A395C"/>
    <w:rsid w:val="007A3B88"/>
    <w:rsid w:val="007A3E15"/>
    <w:rsid w:val="007A3E63"/>
    <w:rsid w:val="007A3E6C"/>
    <w:rsid w:val="007A3FB1"/>
    <w:rsid w:val="007A4082"/>
    <w:rsid w:val="007A4342"/>
    <w:rsid w:val="007A45B7"/>
    <w:rsid w:val="007A46E5"/>
    <w:rsid w:val="007A481C"/>
    <w:rsid w:val="007A4871"/>
    <w:rsid w:val="007A48E9"/>
    <w:rsid w:val="007A4938"/>
    <w:rsid w:val="007A49CA"/>
    <w:rsid w:val="007A49EA"/>
    <w:rsid w:val="007A4C01"/>
    <w:rsid w:val="007A4C1B"/>
    <w:rsid w:val="007A4C68"/>
    <w:rsid w:val="007A4CC1"/>
    <w:rsid w:val="007A4D1F"/>
    <w:rsid w:val="007A4F72"/>
    <w:rsid w:val="007A50D9"/>
    <w:rsid w:val="007A5283"/>
    <w:rsid w:val="007A5936"/>
    <w:rsid w:val="007A59BA"/>
    <w:rsid w:val="007A5ACD"/>
    <w:rsid w:val="007A5B04"/>
    <w:rsid w:val="007A5E6C"/>
    <w:rsid w:val="007A5F10"/>
    <w:rsid w:val="007A5FAA"/>
    <w:rsid w:val="007A6052"/>
    <w:rsid w:val="007A60E2"/>
    <w:rsid w:val="007A612B"/>
    <w:rsid w:val="007A6226"/>
    <w:rsid w:val="007A6286"/>
    <w:rsid w:val="007A63DE"/>
    <w:rsid w:val="007A64A8"/>
    <w:rsid w:val="007A6732"/>
    <w:rsid w:val="007A67E9"/>
    <w:rsid w:val="007A6A22"/>
    <w:rsid w:val="007A6A4E"/>
    <w:rsid w:val="007A6ACC"/>
    <w:rsid w:val="007A6B72"/>
    <w:rsid w:val="007A6DE8"/>
    <w:rsid w:val="007A6EB5"/>
    <w:rsid w:val="007A6FA2"/>
    <w:rsid w:val="007A705D"/>
    <w:rsid w:val="007A7245"/>
    <w:rsid w:val="007A739E"/>
    <w:rsid w:val="007A73C4"/>
    <w:rsid w:val="007A743C"/>
    <w:rsid w:val="007A7498"/>
    <w:rsid w:val="007A74CE"/>
    <w:rsid w:val="007A76F9"/>
    <w:rsid w:val="007A7746"/>
    <w:rsid w:val="007A78CD"/>
    <w:rsid w:val="007A7AAF"/>
    <w:rsid w:val="007A7EC8"/>
    <w:rsid w:val="007A7F0A"/>
    <w:rsid w:val="007A7FE8"/>
    <w:rsid w:val="007B008F"/>
    <w:rsid w:val="007B03AB"/>
    <w:rsid w:val="007B040D"/>
    <w:rsid w:val="007B0556"/>
    <w:rsid w:val="007B0690"/>
    <w:rsid w:val="007B06A8"/>
    <w:rsid w:val="007B0B47"/>
    <w:rsid w:val="007B0BD5"/>
    <w:rsid w:val="007B0D71"/>
    <w:rsid w:val="007B0E05"/>
    <w:rsid w:val="007B0E1A"/>
    <w:rsid w:val="007B0E69"/>
    <w:rsid w:val="007B0ED7"/>
    <w:rsid w:val="007B0F14"/>
    <w:rsid w:val="007B0F64"/>
    <w:rsid w:val="007B0FAA"/>
    <w:rsid w:val="007B11D6"/>
    <w:rsid w:val="007B1264"/>
    <w:rsid w:val="007B13E3"/>
    <w:rsid w:val="007B1815"/>
    <w:rsid w:val="007B1BA4"/>
    <w:rsid w:val="007B1C6D"/>
    <w:rsid w:val="007B1CFA"/>
    <w:rsid w:val="007B1D0A"/>
    <w:rsid w:val="007B1DB5"/>
    <w:rsid w:val="007B1EE9"/>
    <w:rsid w:val="007B1F96"/>
    <w:rsid w:val="007B1FC6"/>
    <w:rsid w:val="007B2053"/>
    <w:rsid w:val="007B2064"/>
    <w:rsid w:val="007B228E"/>
    <w:rsid w:val="007B231A"/>
    <w:rsid w:val="007B23FC"/>
    <w:rsid w:val="007B24A9"/>
    <w:rsid w:val="007B29F9"/>
    <w:rsid w:val="007B2A13"/>
    <w:rsid w:val="007B2A20"/>
    <w:rsid w:val="007B2AAE"/>
    <w:rsid w:val="007B2B74"/>
    <w:rsid w:val="007B2C04"/>
    <w:rsid w:val="007B2CDC"/>
    <w:rsid w:val="007B2E2D"/>
    <w:rsid w:val="007B2E2F"/>
    <w:rsid w:val="007B2E76"/>
    <w:rsid w:val="007B2EC9"/>
    <w:rsid w:val="007B2F41"/>
    <w:rsid w:val="007B2FA8"/>
    <w:rsid w:val="007B3191"/>
    <w:rsid w:val="007B324B"/>
    <w:rsid w:val="007B3373"/>
    <w:rsid w:val="007B3384"/>
    <w:rsid w:val="007B3393"/>
    <w:rsid w:val="007B34F7"/>
    <w:rsid w:val="007B3639"/>
    <w:rsid w:val="007B36E9"/>
    <w:rsid w:val="007B37AF"/>
    <w:rsid w:val="007B38A1"/>
    <w:rsid w:val="007B38A8"/>
    <w:rsid w:val="007B3954"/>
    <w:rsid w:val="007B3ACE"/>
    <w:rsid w:val="007B3B13"/>
    <w:rsid w:val="007B3B32"/>
    <w:rsid w:val="007B3B82"/>
    <w:rsid w:val="007B3C74"/>
    <w:rsid w:val="007B3D40"/>
    <w:rsid w:val="007B3D86"/>
    <w:rsid w:val="007B3DAA"/>
    <w:rsid w:val="007B3DFF"/>
    <w:rsid w:val="007B3E59"/>
    <w:rsid w:val="007B3E7F"/>
    <w:rsid w:val="007B3EDD"/>
    <w:rsid w:val="007B40A7"/>
    <w:rsid w:val="007B415B"/>
    <w:rsid w:val="007B4172"/>
    <w:rsid w:val="007B41DF"/>
    <w:rsid w:val="007B428C"/>
    <w:rsid w:val="007B439E"/>
    <w:rsid w:val="007B4439"/>
    <w:rsid w:val="007B4585"/>
    <w:rsid w:val="007B464A"/>
    <w:rsid w:val="007B46CD"/>
    <w:rsid w:val="007B4909"/>
    <w:rsid w:val="007B491A"/>
    <w:rsid w:val="007B49F7"/>
    <w:rsid w:val="007B4A26"/>
    <w:rsid w:val="007B4B8D"/>
    <w:rsid w:val="007B4CB6"/>
    <w:rsid w:val="007B4D39"/>
    <w:rsid w:val="007B4E31"/>
    <w:rsid w:val="007B4F43"/>
    <w:rsid w:val="007B5080"/>
    <w:rsid w:val="007B515B"/>
    <w:rsid w:val="007B5358"/>
    <w:rsid w:val="007B53F1"/>
    <w:rsid w:val="007B546D"/>
    <w:rsid w:val="007B54B4"/>
    <w:rsid w:val="007B5692"/>
    <w:rsid w:val="007B569C"/>
    <w:rsid w:val="007B56A7"/>
    <w:rsid w:val="007B579C"/>
    <w:rsid w:val="007B59C4"/>
    <w:rsid w:val="007B5B9E"/>
    <w:rsid w:val="007B5C5E"/>
    <w:rsid w:val="007B5D44"/>
    <w:rsid w:val="007B5FA9"/>
    <w:rsid w:val="007B6088"/>
    <w:rsid w:val="007B6094"/>
    <w:rsid w:val="007B60E5"/>
    <w:rsid w:val="007B615E"/>
    <w:rsid w:val="007B61EE"/>
    <w:rsid w:val="007B6235"/>
    <w:rsid w:val="007B6245"/>
    <w:rsid w:val="007B6471"/>
    <w:rsid w:val="007B6498"/>
    <w:rsid w:val="007B651F"/>
    <w:rsid w:val="007B65EF"/>
    <w:rsid w:val="007B6665"/>
    <w:rsid w:val="007B66AC"/>
    <w:rsid w:val="007B66FD"/>
    <w:rsid w:val="007B68DC"/>
    <w:rsid w:val="007B69D9"/>
    <w:rsid w:val="007B6A77"/>
    <w:rsid w:val="007B6B40"/>
    <w:rsid w:val="007B6E4D"/>
    <w:rsid w:val="007B6EB5"/>
    <w:rsid w:val="007B70CC"/>
    <w:rsid w:val="007B70F9"/>
    <w:rsid w:val="007B7144"/>
    <w:rsid w:val="007B7284"/>
    <w:rsid w:val="007B7473"/>
    <w:rsid w:val="007B74E3"/>
    <w:rsid w:val="007B760E"/>
    <w:rsid w:val="007B76BF"/>
    <w:rsid w:val="007B76C7"/>
    <w:rsid w:val="007B7ACE"/>
    <w:rsid w:val="007B7BD8"/>
    <w:rsid w:val="007B7C6E"/>
    <w:rsid w:val="007B7D08"/>
    <w:rsid w:val="007B7D5A"/>
    <w:rsid w:val="007B7D9F"/>
    <w:rsid w:val="007B7F43"/>
    <w:rsid w:val="007B7F6A"/>
    <w:rsid w:val="007C0064"/>
    <w:rsid w:val="007C00CB"/>
    <w:rsid w:val="007C016C"/>
    <w:rsid w:val="007C01E5"/>
    <w:rsid w:val="007C0221"/>
    <w:rsid w:val="007C029B"/>
    <w:rsid w:val="007C0333"/>
    <w:rsid w:val="007C03D9"/>
    <w:rsid w:val="007C0538"/>
    <w:rsid w:val="007C0556"/>
    <w:rsid w:val="007C0683"/>
    <w:rsid w:val="007C07D3"/>
    <w:rsid w:val="007C0A23"/>
    <w:rsid w:val="007C0A89"/>
    <w:rsid w:val="007C0AB8"/>
    <w:rsid w:val="007C0ADA"/>
    <w:rsid w:val="007C0BC9"/>
    <w:rsid w:val="007C0CE0"/>
    <w:rsid w:val="007C0E02"/>
    <w:rsid w:val="007C0E29"/>
    <w:rsid w:val="007C0E43"/>
    <w:rsid w:val="007C0FFE"/>
    <w:rsid w:val="007C106E"/>
    <w:rsid w:val="007C12C9"/>
    <w:rsid w:val="007C1305"/>
    <w:rsid w:val="007C1472"/>
    <w:rsid w:val="007C1598"/>
    <w:rsid w:val="007C1610"/>
    <w:rsid w:val="007C161B"/>
    <w:rsid w:val="007C1684"/>
    <w:rsid w:val="007C176E"/>
    <w:rsid w:val="007C18A2"/>
    <w:rsid w:val="007C1A73"/>
    <w:rsid w:val="007C1A75"/>
    <w:rsid w:val="007C1AC4"/>
    <w:rsid w:val="007C1B5B"/>
    <w:rsid w:val="007C1B82"/>
    <w:rsid w:val="007C1CCF"/>
    <w:rsid w:val="007C1D86"/>
    <w:rsid w:val="007C202E"/>
    <w:rsid w:val="007C2107"/>
    <w:rsid w:val="007C220C"/>
    <w:rsid w:val="007C2422"/>
    <w:rsid w:val="007C2532"/>
    <w:rsid w:val="007C2536"/>
    <w:rsid w:val="007C255A"/>
    <w:rsid w:val="007C26B6"/>
    <w:rsid w:val="007C2880"/>
    <w:rsid w:val="007C28DC"/>
    <w:rsid w:val="007C2927"/>
    <w:rsid w:val="007C2A13"/>
    <w:rsid w:val="007C2B5B"/>
    <w:rsid w:val="007C2B9D"/>
    <w:rsid w:val="007C2D36"/>
    <w:rsid w:val="007C2D49"/>
    <w:rsid w:val="007C2DCA"/>
    <w:rsid w:val="007C2DDE"/>
    <w:rsid w:val="007C2EA6"/>
    <w:rsid w:val="007C2EBE"/>
    <w:rsid w:val="007C2FFC"/>
    <w:rsid w:val="007C305B"/>
    <w:rsid w:val="007C30CD"/>
    <w:rsid w:val="007C31A3"/>
    <w:rsid w:val="007C32D4"/>
    <w:rsid w:val="007C34F3"/>
    <w:rsid w:val="007C35A4"/>
    <w:rsid w:val="007C35E1"/>
    <w:rsid w:val="007C3B14"/>
    <w:rsid w:val="007C3B62"/>
    <w:rsid w:val="007C3B6E"/>
    <w:rsid w:val="007C3C88"/>
    <w:rsid w:val="007C3CA9"/>
    <w:rsid w:val="007C3E16"/>
    <w:rsid w:val="007C3F79"/>
    <w:rsid w:val="007C421F"/>
    <w:rsid w:val="007C4257"/>
    <w:rsid w:val="007C42FE"/>
    <w:rsid w:val="007C4562"/>
    <w:rsid w:val="007C45CC"/>
    <w:rsid w:val="007C49CD"/>
    <w:rsid w:val="007C4A71"/>
    <w:rsid w:val="007C4AB8"/>
    <w:rsid w:val="007C4AD1"/>
    <w:rsid w:val="007C4C2B"/>
    <w:rsid w:val="007C4CD3"/>
    <w:rsid w:val="007C4D34"/>
    <w:rsid w:val="007C4DFF"/>
    <w:rsid w:val="007C4E0B"/>
    <w:rsid w:val="007C4E38"/>
    <w:rsid w:val="007C4F60"/>
    <w:rsid w:val="007C4F89"/>
    <w:rsid w:val="007C51F7"/>
    <w:rsid w:val="007C523D"/>
    <w:rsid w:val="007C525A"/>
    <w:rsid w:val="007C5310"/>
    <w:rsid w:val="007C5490"/>
    <w:rsid w:val="007C5567"/>
    <w:rsid w:val="007C5686"/>
    <w:rsid w:val="007C57A0"/>
    <w:rsid w:val="007C57AC"/>
    <w:rsid w:val="007C584A"/>
    <w:rsid w:val="007C59DE"/>
    <w:rsid w:val="007C5A92"/>
    <w:rsid w:val="007C5C9A"/>
    <w:rsid w:val="007C5DA8"/>
    <w:rsid w:val="007C5DD8"/>
    <w:rsid w:val="007C5E5A"/>
    <w:rsid w:val="007C5E8A"/>
    <w:rsid w:val="007C6007"/>
    <w:rsid w:val="007C628D"/>
    <w:rsid w:val="007C629D"/>
    <w:rsid w:val="007C62C3"/>
    <w:rsid w:val="007C6444"/>
    <w:rsid w:val="007C6501"/>
    <w:rsid w:val="007C6554"/>
    <w:rsid w:val="007C667C"/>
    <w:rsid w:val="007C66DB"/>
    <w:rsid w:val="007C66FB"/>
    <w:rsid w:val="007C673F"/>
    <w:rsid w:val="007C6811"/>
    <w:rsid w:val="007C6AA3"/>
    <w:rsid w:val="007C6BBA"/>
    <w:rsid w:val="007C6D3B"/>
    <w:rsid w:val="007C6F9B"/>
    <w:rsid w:val="007C6FF2"/>
    <w:rsid w:val="007C731A"/>
    <w:rsid w:val="007C7353"/>
    <w:rsid w:val="007C73AC"/>
    <w:rsid w:val="007C73D3"/>
    <w:rsid w:val="007C7450"/>
    <w:rsid w:val="007C7479"/>
    <w:rsid w:val="007C74D6"/>
    <w:rsid w:val="007C76D3"/>
    <w:rsid w:val="007C780C"/>
    <w:rsid w:val="007C78F3"/>
    <w:rsid w:val="007C792C"/>
    <w:rsid w:val="007C7AF3"/>
    <w:rsid w:val="007C7B6D"/>
    <w:rsid w:val="007C7B87"/>
    <w:rsid w:val="007C7B98"/>
    <w:rsid w:val="007C7C68"/>
    <w:rsid w:val="007C7DFB"/>
    <w:rsid w:val="007C7EB9"/>
    <w:rsid w:val="007C7F70"/>
    <w:rsid w:val="007C7F7B"/>
    <w:rsid w:val="007D0159"/>
    <w:rsid w:val="007D0256"/>
    <w:rsid w:val="007D0571"/>
    <w:rsid w:val="007D057B"/>
    <w:rsid w:val="007D05EF"/>
    <w:rsid w:val="007D0607"/>
    <w:rsid w:val="007D0818"/>
    <w:rsid w:val="007D088D"/>
    <w:rsid w:val="007D098A"/>
    <w:rsid w:val="007D0B17"/>
    <w:rsid w:val="007D0B6A"/>
    <w:rsid w:val="007D0B7B"/>
    <w:rsid w:val="007D0C0A"/>
    <w:rsid w:val="007D0C1F"/>
    <w:rsid w:val="007D0E5E"/>
    <w:rsid w:val="007D0FB2"/>
    <w:rsid w:val="007D10FB"/>
    <w:rsid w:val="007D1129"/>
    <w:rsid w:val="007D1135"/>
    <w:rsid w:val="007D1176"/>
    <w:rsid w:val="007D1303"/>
    <w:rsid w:val="007D1404"/>
    <w:rsid w:val="007D14BF"/>
    <w:rsid w:val="007D1506"/>
    <w:rsid w:val="007D1507"/>
    <w:rsid w:val="007D15C9"/>
    <w:rsid w:val="007D16C5"/>
    <w:rsid w:val="007D16E8"/>
    <w:rsid w:val="007D176E"/>
    <w:rsid w:val="007D1831"/>
    <w:rsid w:val="007D187D"/>
    <w:rsid w:val="007D1A0B"/>
    <w:rsid w:val="007D1E19"/>
    <w:rsid w:val="007D1E66"/>
    <w:rsid w:val="007D1F7E"/>
    <w:rsid w:val="007D1FEE"/>
    <w:rsid w:val="007D2558"/>
    <w:rsid w:val="007D265A"/>
    <w:rsid w:val="007D27C9"/>
    <w:rsid w:val="007D281E"/>
    <w:rsid w:val="007D291E"/>
    <w:rsid w:val="007D2A16"/>
    <w:rsid w:val="007D2AF9"/>
    <w:rsid w:val="007D2C65"/>
    <w:rsid w:val="007D2CF4"/>
    <w:rsid w:val="007D2D9A"/>
    <w:rsid w:val="007D2E70"/>
    <w:rsid w:val="007D304A"/>
    <w:rsid w:val="007D3352"/>
    <w:rsid w:val="007D3392"/>
    <w:rsid w:val="007D3401"/>
    <w:rsid w:val="007D3411"/>
    <w:rsid w:val="007D35B3"/>
    <w:rsid w:val="007D364B"/>
    <w:rsid w:val="007D3CA8"/>
    <w:rsid w:val="007D3E41"/>
    <w:rsid w:val="007D3F35"/>
    <w:rsid w:val="007D3F97"/>
    <w:rsid w:val="007D411E"/>
    <w:rsid w:val="007D427A"/>
    <w:rsid w:val="007D43F0"/>
    <w:rsid w:val="007D44BC"/>
    <w:rsid w:val="007D45DA"/>
    <w:rsid w:val="007D469C"/>
    <w:rsid w:val="007D4749"/>
    <w:rsid w:val="007D4807"/>
    <w:rsid w:val="007D48E0"/>
    <w:rsid w:val="007D48F7"/>
    <w:rsid w:val="007D49B2"/>
    <w:rsid w:val="007D49C4"/>
    <w:rsid w:val="007D4A31"/>
    <w:rsid w:val="007D4A8E"/>
    <w:rsid w:val="007D4DA4"/>
    <w:rsid w:val="007D504A"/>
    <w:rsid w:val="007D5053"/>
    <w:rsid w:val="007D5133"/>
    <w:rsid w:val="007D51B7"/>
    <w:rsid w:val="007D5280"/>
    <w:rsid w:val="007D546E"/>
    <w:rsid w:val="007D55EB"/>
    <w:rsid w:val="007D5729"/>
    <w:rsid w:val="007D580E"/>
    <w:rsid w:val="007D593D"/>
    <w:rsid w:val="007D5941"/>
    <w:rsid w:val="007D59F9"/>
    <w:rsid w:val="007D5A5A"/>
    <w:rsid w:val="007D5C81"/>
    <w:rsid w:val="007D5CCD"/>
    <w:rsid w:val="007D5E22"/>
    <w:rsid w:val="007D5E5B"/>
    <w:rsid w:val="007D6143"/>
    <w:rsid w:val="007D61FE"/>
    <w:rsid w:val="007D6313"/>
    <w:rsid w:val="007D63D5"/>
    <w:rsid w:val="007D642B"/>
    <w:rsid w:val="007D646E"/>
    <w:rsid w:val="007D6573"/>
    <w:rsid w:val="007D65A8"/>
    <w:rsid w:val="007D65F9"/>
    <w:rsid w:val="007D678B"/>
    <w:rsid w:val="007D67B7"/>
    <w:rsid w:val="007D687B"/>
    <w:rsid w:val="007D688D"/>
    <w:rsid w:val="007D6C45"/>
    <w:rsid w:val="007D6D0B"/>
    <w:rsid w:val="007D6D78"/>
    <w:rsid w:val="007D7050"/>
    <w:rsid w:val="007D705A"/>
    <w:rsid w:val="007D7131"/>
    <w:rsid w:val="007D749B"/>
    <w:rsid w:val="007D7586"/>
    <w:rsid w:val="007D77AB"/>
    <w:rsid w:val="007D78C5"/>
    <w:rsid w:val="007D7964"/>
    <w:rsid w:val="007D79DF"/>
    <w:rsid w:val="007D7A17"/>
    <w:rsid w:val="007D7B83"/>
    <w:rsid w:val="007D7C3C"/>
    <w:rsid w:val="007D7DCD"/>
    <w:rsid w:val="007E0030"/>
    <w:rsid w:val="007E00EE"/>
    <w:rsid w:val="007E019F"/>
    <w:rsid w:val="007E01BE"/>
    <w:rsid w:val="007E0504"/>
    <w:rsid w:val="007E056D"/>
    <w:rsid w:val="007E0895"/>
    <w:rsid w:val="007E0A42"/>
    <w:rsid w:val="007E0C98"/>
    <w:rsid w:val="007E0CB1"/>
    <w:rsid w:val="007E0CBC"/>
    <w:rsid w:val="007E0D13"/>
    <w:rsid w:val="007E1043"/>
    <w:rsid w:val="007E10E2"/>
    <w:rsid w:val="007E11B6"/>
    <w:rsid w:val="007E1259"/>
    <w:rsid w:val="007E12C7"/>
    <w:rsid w:val="007E13E9"/>
    <w:rsid w:val="007E1433"/>
    <w:rsid w:val="007E1575"/>
    <w:rsid w:val="007E16C5"/>
    <w:rsid w:val="007E17A7"/>
    <w:rsid w:val="007E17D5"/>
    <w:rsid w:val="007E1B18"/>
    <w:rsid w:val="007E1B3B"/>
    <w:rsid w:val="007E1B65"/>
    <w:rsid w:val="007E1C5E"/>
    <w:rsid w:val="007E1E5E"/>
    <w:rsid w:val="007E2237"/>
    <w:rsid w:val="007E24E6"/>
    <w:rsid w:val="007E2530"/>
    <w:rsid w:val="007E262E"/>
    <w:rsid w:val="007E2716"/>
    <w:rsid w:val="007E28FD"/>
    <w:rsid w:val="007E2988"/>
    <w:rsid w:val="007E2A07"/>
    <w:rsid w:val="007E2C89"/>
    <w:rsid w:val="007E2D0A"/>
    <w:rsid w:val="007E2DDE"/>
    <w:rsid w:val="007E2ED7"/>
    <w:rsid w:val="007E2EE2"/>
    <w:rsid w:val="007E3143"/>
    <w:rsid w:val="007E34DA"/>
    <w:rsid w:val="007E34F9"/>
    <w:rsid w:val="007E360D"/>
    <w:rsid w:val="007E3681"/>
    <w:rsid w:val="007E3685"/>
    <w:rsid w:val="007E3693"/>
    <w:rsid w:val="007E37AD"/>
    <w:rsid w:val="007E39EE"/>
    <w:rsid w:val="007E3A9D"/>
    <w:rsid w:val="007E3AF4"/>
    <w:rsid w:val="007E3D57"/>
    <w:rsid w:val="007E3E14"/>
    <w:rsid w:val="007E3E87"/>
    <w:rsid w:val="007E3FB4"/>
    <w:rsid w:val="007E4134"/>
    <w:rsid w:val="007E413E"/>
    <w:rsid w:val="007E41A9"/>
    <w:rsid w:val="007E4534"/>
    <w:rsid w:val="007E4694"/>
    <w:rsid w:val="007E471F"/>
    <w:rsid w:val="007E4A39"/>
    <w:rsid w:val="007E4AE6"/>
    <w:rsid w:val="007E4BBC"/>
    <w:rsid w:val="007E4C68"/>
    <w:rsid w:val="007E4D8F"/>
    <w:rsid w:val="007E4DB1"/>
    <w:rsid w:val="007E4DBC"/>
    <w:rsid w:val="007E4DE6"/>
    <w:rsid w:val="007E4E60"/>
    <w:rsid w:val="007E4FB5"/>
    <w:rsid w:val="007E5037"/>
    <w:rsid w:val="007E5085"/>
    <w:rsid w:val="007E5121"/>
    <w:rsid w:val="007E52F2"/>
    <w:rsid w:val="007E5314"/>
    <w:rsid w:val="007E54CB"/>
    <w:rsid w:val="007E5584"/>
    <w:rsid w:val="007E578E"/>
    <w:rsid w:val="007E57DB"/>
    <w:rsid w:val="007E584D"/>
    <w:rsid w:val="007E587C"/>
    <w:rsid w:val="007E5B38"/>
    <w:rsid w:val="007E5D93"/>
    <w:rsid w:val="007E5EF0"/>
    <w:rsid w:val="007E5F5D"/>
    <w:rsid w:val="007E5F79"/>
    <w:rsid w:val="007E616D"/>
    <w:rsid w:val="007E6176"/>
    <w:rsid w:val="007E61A5"/>
    <w:rsid w:val="007E6229"/>
    <w:rsid w:val="007E63D8"/>
    <w:rsid w:val="007E6408"/>
    <w:rsid w:val="007E6441"/>
    <w:rsid w:val="007E6575"/>
    <w:rsid w:val="007E662A"/>
    <w:rsid w:val="007E6706"/>
    <w:rsid w:val="007E6785"/>
    <w:rsid w:val="007E67FD"/>
    <w:rsid w:val="007E68F0"/>
    <w:rsid w:val="007E69B9"/>
    <w:rsid w:val="007E69C3"/>
    <w:rsid w:val="007E6AC7"/>
    <w:rsid w:val="007E6AE3"/>
    <w:rsid w:val="007E6DA0"/>
    <w:rsid w:val="007E6E17"/>
    <w:rsid w:val="007E6FA5"/>
    <w:rsid w:val="007E6FE4"/>
    <w:rsid w:val="007E7016"/>
    <w:rsid w:val="007E706F"/>
    <w:rsid w:val="007E7340"/>
    <w:rsid w:val="007E7450"/>
    <w:rsid w:val="007E754A"/>
    <w:rsid w:val="007E7563"/>
    <w:rsid w:val="007E78BC"/>
    <w:rsid w:val="007E78C8"/>
    <w:rsid w:val="007E7A63"/>
    <w:rsid w:val="007E7D44"/>
    <w:rsid w:val="007F0414"/>
    <w:rsid w:val="007F0468"/>
    <w:rsid w:val="007F04DF"/>
    <w:rsid w:val="007F0651"/>
    <w:rsid w:val="007F0851"/>
    <w:rsid w:val="007F08B7"/>
    <w:rsid w:val="007F090E"/>
    <w:rsid w:val="007F09BB"/>
    <w:rsid w:val="007F0A5F"/>
    <w:rsid w:val="007F0AED"/>
    <w:rsid w:val="007F0BAC"/>
    <w:rsid w:val="007F0C0D"/>
    <w:rsid w:val="007F0CF3"/>
    <w:rsid w:val="007F0CFC"/>
    <w:rsid w:val="007F0E46"/>
    <w:rsid w:val="007F109C"/>
    <w:rsid w:val="007F1113"/>
    <w:rsid w:val="007F1197"/>
    <w:rsid w:val="007F1229"/>
    <w:rsid w:val="007F1386"/>
    <w:rsid w:val="007F16C6"/>
    <w:rsid w:val="007F19EE"/>
    <w:rsid w:val="007F1A26"/>
    <w:rsid w:val="007F1A54"/>
    <w:rsid w:val="007F1DDF"/>
    <w:rsid w:val="007F1F89"/>
    <w:rsid w:val="007F20F5"/>
    <w:rsid w:val="007F2467"/>
    <w:rsid w:val="007F25CD"/>
    <w:rsid w:val="007F2675"/>
    <w:rsid w:val="007F26DD"/>
    <w:rsid w:val="007F280A"/>
    <w:rsid w:val="007F28D1"/>
    <w:rsid w:val="007F2991"/>
    <w:rsid w:val="007F2CD5"/>
    <w:rsid w:val="007F2D35"/>
    <w:rsid w:val="007F2DA0"/>
    <w:rsid w:val="007F2DCA"/>
    <w:rsid w:val="007F2DCC"/>
    <w:rsid w:val="007F2FA6"/>
    <w:rsid w:val="007F2FE8"/>
    <w:rsid w:val="007F3132"/>
    <w:rsid w:val="007F319B"/>
    <w:rsid w:val="007F32D0"/>
    <w:rsid w:val="007F342F"/>
    <w:rsid w:val="007F34E9"/>
    <w:rsid w:val="007F34EB"/>
    <w:rsid w:val="007F362A"/>
    <w:rsid w:val="007F3899"/>
    <w:rsid w:val="007F3991"/>
    <w:rsid w:val="007F3A25"/>
    <w:rsid w:val="007F3AA6"/>
    <w:rsid w:val="007F3AAE"/>
    <w:rsid w:val="007F3CBF"/>
    <w:rsid w:val="007F3F01"/>
    <w:rsid w:val="007F4075"/>
    <w:rsid w:val="007F427D"/>
    <w:rsid w:val="007F42B8"/>
    <w:rsid w:val="007F4344"/>
    <w:rsid w:val="007F4354"/>
    <w:rsid w:val="007F43F7"/>
    <w:rsid w:val="007F43FA"/>
    <w:rsid w:val="007F4638"/>
    <w:rsid w:val="007F4739"/>
    <w:rsid w:val="007F484E"/>
    <w:rsid w:val="007F4861"/>
    <w:rsid w:val="007F4907"/>
    <w:rsid w:val="007F4920"/>
    <w:rsid w:val="007F498F"/>
    <w:rsid w:val="007F4AD1"/>
    <w:rsid w:val="007F4D6D"/>
    <w:rsid w:val="007F4D94"/>
    <w:rsid w:val="007F4EB8"/>
    <w:rsid w:val="007F4ECA"/>
    <w:rsid w:val="007F4EEA"/>
    <w:rsid w:val="007F510A"/>
    <w:rsid w:val="007F5324"/>
    <w:rsid w:val="007F53A1"/>
    <w:rsid w:val="007F53B0"/>
    <w:rsid w:val="007F54D2"/>
    <w:rsid w:val="007F5514"/>
    <w:rsid w:val="007F55A1"/>
    <w:rsid w:val="007F55F1"/>
    <w:rsid w:val="007F57CC"/>
    <w:rsid w:val="007F5894"/>
    <w:rsid w:val="007F5BD0"/>
    <w:rsid w:val="007F5BE8"/>
    <w:rsid w:val="007F5D9A"/>
    <w:rsid w:val="007F5E1B"/>
    <w:rsid w:val="007F5FAF"/>
    <w:rsid w:val="007F5FCE"/>
    <w:rsid w:val="007F5FEC"/>
    <w:rsid w:val="007F6245"/>
    <w:rsid w:val="007F6422"/>
    <w:rsid w:val="007F6549"/>
    <w:rsid w:val="007F6564"/>
    <w:rsid w:val="007F6655"/>
    <w:rsid w:val="007F6775"/>
    <w:rsid w:val="007F6845"/>
    <w:rsid w:val="007F6A98"/>
    <w:rsid w:val="007F6BD8"/>
    <w:rsid w:val="007F6C15"/>
    <w:rsid w:val="007F6CE6"/>
    <w:rsid w:val="007F6DDF"/>
    <w:rsid w:val="007F6E25"/>
    <w:rsid w:val="007F6FD2"/>
    <w:rsid w:val="007F7138"/>
    <w:rsid w:val="007F71BE"/>
    <w:rsid w:val="007F7213"/>
    <w:rsid w:val="007F7344"/>
    <w:rsid w:val="007F7453"/>
    <w:rsid w:val="007F74F0"/>
    <w:rsid w:val="007F766B"/>
    <w:rsid w:val="007F76AC"/>
    <w:rsid w:val="007F77CA"/>
    <w:rsid w:val="007F7A06"/>
    <w:rsid w:val="007F7C44"/>
    <w:rsid w:val="007F7C68"/>
    <w:rsid w:val="007F7D54"/>
    <w:rsid w:val="007F7F4D"/>
    <w:rsid w:val="008001DF"/>
    <w:rsid w:val="0080037A"/>
    <w:rsid w:val="008003A2"/>
    <w:rsid w:val="00800405"/>
    <w:rsid w:val="00800422"/>
    <w:rsid w:val="00800434"/>
    <w:rsid w:val="0080064E"/>
    <w:rsid w:val="00800685"/>
    <w:rsid w:val="008006B6"/>
    <w:rsid w:val="00800783"/>
    <w:rsid w:val="008007A2"/>
    <w:rsid w:val="0080087C"/>
    <w:rsid w:val="00800882"/>
    <w:rsid w:val="00800964"/>
    <w:rsid w:val="00800A3F"/>
    <w:rsid w:val="00800AF5"/>
    <w:rsid w:val="00800AF9"/>
    <w:rsid w:val="00800B3A"/>
    <w:rsid w:val="00800B56"/>
    <w:rsid w:val="00800BE3"/>
    <w:rsid w:val="00800C75"/>
    <w:rsid w:val="00800D99"/>
    <w:rsid w:val="008012C9"/>
    <w:rsid w:val="00801599"/>
    <w:rsid w:val="008015B2"/>
    <w:rsid w:val="008016A9"/>
    <w:rsid w:val="00801834"/>
    <w:rsid w:val="0080187D"/>
    <w:rsid w:val="008018BA"/>
    <w:rsid w:val="008019A9"/>
    <w:rsid w:val="00801AA7"/>
    <w:rsid w:val="00801BBC"/>
    <w:rsid w:val="00801C39"/>
    <w:rsid w:val="00801CEB"/>
    <w:rsid w:val="00801D1B"/>
    <w:rsid w:val="00801DA0"/>
    <w:rsid w:val="00802239"/>
    <w:rsid w:val="008023D9"/>
    <w:rsid w:val="008023ED"/>
    <w:rsid w:val="008023FA"/>
    <w:rsid w:val="0080275B"/>
    <w:rsid w:val="00802965"/>
    <w:rsid w:val="00802A94"/>
    <w:rsid w:val="00802AF6"/>
    <w:rsid w:val="00802B3F"/>
    <w:rsid w:val="00802B47"/>
    <w:rsid w:val="00802FCB"/>
    <w:rsid w:val="00802FEB"/>
    <w:rsid w:val="00803006"/>
    <w:rsid w:val="008032BE"/>
    <w:rsid w:val="0080364C"/>
    <w:rsid w:val="008036A0"/>
    <w:rsid w:val="00803A09"/>
    <w:rsid w:val="00803B02"/>
    <w:rsid w:val="00803BEF"/>
    <w:rsid w:val="00803CAA"/>
    <w:rsid w:val="00803CFE"/>
    <w:rsid w:val="00803DA2"/>
    <w:rsid w:val="00803FC3"/>
    <w:rsid w:val="0080400C"/>
    <w:rsid w:val="0080414F"/>
    <w:rsid w:val="00804327"/>
    <w:rsid w:val="00804385"/>
    <w:rsid w:val="008045FF"/>
    <w:rsid w:val="0080479B"/>
    <w:rsid w:val="008048E5"/>
    <w:rsid w:val="00804989"/>
    <w:rsid w:val="00804A6B"/>
    <w:rsid w:val="00804DF4"/>
    <w:rsid w:val="00804E3C"/>
    <w:rsid w:val="00804F26"/>
    <w:rsid w:val="00805350"/>
    <w:rsid w:val="008054E3"/>
    <w:rsid w:val="008055A9"/>
    <w:rsid w:val="00805659"/>
    <w:rsid w:val="00805687"/>
    <w:rsid w:val="008058EF"/>
    <w:rsid w:val="00805A09"/>
    <w:rsid w:val="00805C08"/>
    <w:rsid w:val="00805E5F"/>
    <w:rsid w:val="00805F66"/>
    <w:rsid w:val="00806170"/>
    <w:rsid w:val="00806240"/>
    <w:rsid w:val="00806284"/>
    <w:rsid w:val="008062F0"/>
    <w:rsid w:val="0080641B"/>
    <w:rsid w:val="00806807"/>
    <w:rsid w:val="00806BBC"/>
    <w:rsid w:val="00806C28"/>
    <w:rsid w:val="00806C3C"/>
    <w:rsid w:val="00806C42"/>
    <w:rsid w:val="00806CBD"/>
    <w:rsid w:val="00806ECF"/>
    <w:rsid w:val="0080700C"/>
    <w:rsid w:val="0080718B"/>
    <w:rsid w:val="008071A7"/>
    <w:rsid w:val="0080725F"/>
    <w:rsid w:val="0080733F"/>
    <w:rsid w:val="00807368"/>
    <w:rsid w:val="00807383"/>
    <w:rsid w:val="008073F3"/>
    <w:rsid w:val="008073F9"/>
    <w:rsid w:val="0080744D"/>
    <w:rsid w:val="008074A0"/>
    <w:rsid w:val="00807640"/>
    <w:rsid w:val="00807AD3"/>
    <w:rsid w:val="00807B85"/>
    <w:rsid w:val="00807C8D"/>
    <w:rsid w:val="00807D62"/>
    <w:rsid w:val="00807E61"/>
    <w:rsid w:val="00807E88"/>
    <w:rsid w:val="00807EA2"/>
    <w:rsid w:val="00807EEA"/>
    <w:rsid w:val="00807EF9"/>
    <w:rsid w:val="00810099"/>
    <w:rsid w:val="00810154"/>
    <w:rsid w:val="008103AC"/>
    <w:rsid w:val="008103B1"/>
    <w:rsid w:val="008104BB"/>
    <w:rsid w:val="008105B1"/>
    <w:rsid w:val="008107FE"/>
    <w:rsid w:val="0081090B"/>
    <w:rsid w:val="0081098F"/>
    <w:rsid w:val="00810A67"/>
    <w:rsid w:val="00810E75"/>
    <w:rsid w:val="00811098"/>
    <w:rsid w:val="008110F3"/>
    <w:rsid w:val="0081112A"/>
    <w:rsid w:val="008112CA"/>
    <w:rsid w:val="00811389"/>
    <w:rsid w:val="008114D9"/>
    <w:rsid w:val="008114E5"/>
    <w:rsid w:val="00811561"/>
    <w:rsid w:val="008115B2"/>
    <w:rsid w:val="008115CE"/>
    <w:rsid w:val="008115DA"/>
    <w:rsid w:val="008117EF"/>
    <w:rsid w:val="0081184E"/>
    <w:rsid w:val="00811882"/>
    <w:rsid w:val="00811C1C"/>
    <w:rsid w:val="00811C6E"/>
    <w:rsid w:val="00811CD2"/>
    <w:rsid w:val="00811EAF"/>
    <w:rsid w:val="008121E5"/>
    <w:rsid w:val="00812268"/>
    <w:rsid w:val="0081240C"/>
    <w:rsid w:val="008124AE"/>
    <w:rsid w:val="008124B5"/>
    <w:rsid w:val="00812507"/>
    <w:rsid w:val="00812571"/>
    <w:rsid w:val="00812A25"/>
    <w:rsid w:val="00812A53"/>
    <w:rsid w:val="00812AC0"/>
    <w:rsid w:val="00812B66"/>
    <w:rsid w:val="00812BC1"/>
    <w:rsid w:val="00812E28"/>
    <w:rsid w:val="00812E61"/>
    <w:rsid w:val="00813053"/>
    <w:rsid w:val="008130C8"/>
    <w:rsid w:val="008130ED"/>
    <w:rsid w:val="0081310B"/>
    <w:rsid w:val="008131DF"/>
    <w:rsid w:val="00813200"/>
    <w:rsid w:val="0081321B"/>
    <w:rsid w:val="008132BA"/>
    <w:rsid w:val="0081332C"/>
    <w:rsid w:val="008135BD"/>
    <w:rsid w:val="008135E0"/>
    <w:rsid w:val="0081368D"/>
    <w:rsid w:val="00813B11"/>
    <w:rsid w:val="00813B69"/>
    <w:rsid w:val="00813CB4"/>
    <w:rsid w:val="00813D14"/>
    <w:rsid w:val="00813D4A"/>
    <w:rsid w:val="00813E4B"/>
    <w:rsid w:val="00813EE6"/>
    <w:rsid w:val="00813F11"/>
    <w:rsid w:val="00814394"/>
    <w:rsid w:val="0081453F"/>
    <w:rsid w:val="00814697"/>
    <w:rsid w:val="008149D6"/>
    <w:rsid w:val="00814AC1"/>
    <w:rsid w:val="00814D1E"/>
    <w:rsid w:val="00814DFE"/>
    <w:rsid w:val="00814E64"/>
    <w:rsid w:val="0081503A"/>
    <w:rsid w:val="008153F0"/>
    <w:rsid w:val="008154BA"/>
    <w:rsid w:val="008154E2"/>
    <w:rsid w:val="008154F1"/>
    <w:rsid w:val="00815885"/>
    <w:rsid w:val="00815887"/>
    <w:rsid w:val="008158DC"/>
    <w:rsid w:val="00815919"/>
    <w:rsid w:val="00815AF5"/>
    <w:rsid w:val="00815B26"/>
    <w:rsid w:val="00815C16"/>
    <w:rsid w:val="00815D97"/>
    <w:rsid w:val="00815E28"/>
    <w:rsid w:val="008160AA"/>
    <w:rsid w:val="008160F1"/>
    <w:rsid w:val="00816153"/>
    <w:rsid w:val="008166DA"/>
    <w:rsid w:val="0081676C"/>
    <w:rsid w:val="008167B2"/>
    <w:rsid w:val="008167FB"/>
    <w:rsid w:val="00816858"/>
    <w:rsid w:val="00816A7F"/>
    <w:rsid w:val="00816AC9"/>
    <w:rsid w:val="00816AF1"/>
    <w:rsid w:val="00816AF6"/>
    <w:rsid w:val="0081721F"/>
    <w:rsid w:val="0081730B"/>
    <w:rsid w:val="00817789"/>
    <w:rsid w:val="00817806"/>
    <w:rsid w:val="008178D0"/>
    <w:rsid w:val="00817B32"/>
    <w:rsid w:val="00817C73"/>
    <w:rsid w:val="00817CE2"/>
    <w:rsid w:val="00817D93"/>
    <w:rsid w:val="008203EF"/>
    <w:rsid w:val="00820468"/>
    <w:rsid w:val="00820499"/>
    <w:rsid w:val="00820532"/>
    <w:rsid w:val="00820566"/>
    <w:rsid w:val="00820602"/>
    <w:rsid w:val="008206BF"/>
    <w:rsid w:val="00820792"/>
    <w:rsid w:val="00820829"/>
    <w:rsid w:val="0082092C"/>
    <w:rsid w:val="00820A7C"/>
    <w:rsid w:val="00820B80"/>
    <w:rsid w:val="00820C65"/>
    <w:rsid w:val="00820DF8"/>
    <w:rsid w:val="00820E05"/>
    <w:rsid w:val="00820E56"/>
    <w:rsid w:val="00820EDE"/>
    <w:rsid w:val="00820FF7"/>
    <w:rsid w:val="0082108B"/>
    <w:rsid w:val="008211BB"/>
    <w:rsid w:val="00821281"/>
    <w:rsid w:val="008213EE"/>
    <w:rsid w:val="0082145A"/>
    <w:rsid w:val="008214C7"/>
    <w:rsid w:val="0082154D"/>
    <w:rsid w:val="00821567"/>
    <w:rsid w:val="008215AA"/>
    <w:rsid w:val="00821641"/>
    <w:rsid w:val="008216EA"/>
    <w:rsid w:val="00821783"/>
    <w:rsid w:val="008217C3"/>
    <w:rsid w:val="008217D5"/>
    <w:rsid w:val="008218D0"/>
    <w:rsid w:val="00821A7D"/>
    <w:rsid w:val="00821D0F"/>
    <w:rsid w:val="00821DBF"/>
    <w:rsid w:val="00821F55"/>
    <w:rsid w:val="00821FC3"/>
    <w:rsid w:val="00822222"/>
    <w:rsid w:val="0082225F"/>
    <w:rsid w:val="00822300"/>
    <w:rsid w:val="008224CA"/>
    <w:rsid w:val="008229F0"/>
    <w:rsid w:val="00822A81"/>
    <w:rsid w:val="00822B14"/>
    <w:rsid w:val="00822B66"/>
    <w:rsid w:val="00822C63"/>
    <w:rsid w:val="00822D71"/>
    <w:rsid w:val="00822D82"/>
    <w:rsid w:val="0082348B"/>
    <w:rsid w:val="008234C1"/>
    <w:rsid w:val="00823540"/>
    <w:rsid w:val="008236DD"/>
    <w:rsid w:val="00823764"/>
    <w:rsid w:val="008237AB"/>
    <w:rsid w:val="008237F8"/>
    <w:rsid w:val="00823C77"/>
    <w:rsid w:val="00823D11"/>
    <w:rsid w:val="00823D8B"/>
    <w:rsid w:val="00823F89"/>
    <w:rsid w:val="0082407E"/>
    <w:rsid w:val="008240F3"/>
    <w:rsid w:val="00824206"/>
    <w:rsid w:val="00824472"/>
    <w:rsid w:val="008247A2"/>
    <w:rsid w:val="008247CE"/>
    <w:rsid w:val="008247F5"/>
    <w:rsid w:val="00824832"/>
    <w:rsid w:val="0082499C"/>
    <w:rsid w:val="008249BA"/>
    <w:rsid w:val="008249C8"/>
    <w:rsid w:val="008249DE"/>
    <w:rsid w:val="00824BAF"/>
    <w:rsid w:val="00824C6E"/>
    <w:rsid w:val="00824F38"/>
    <w:rsid w:val="00824F4E"/>
    <w:rsid w:val="00825039"/>
    <w:rsid w:val="0082521F"/>
    <w:rsid w:val="00825228"/>
    <w:rsid w:val="00825236"/>
    <w:rsid w:val="0082541B"/>
    <w:rsid w:val="00825435"/>
    <w:rsid w:val="008254CD"/>
    <w:rsid w:val="008255C7"/>
    <w:rsid w:val="008255F4"/>
    <w:rsid w:val="0082570F"/>
    <w:rsid w:val="00825880"/>
    <w:rsid w:val="00825ACE"/>
    <w:rsid w:val="00825D45"/>
    <w:rsid w:val="00825E21"/>
    <w:rsid w:val="00825E64"/>
    <w:rsid w:val="00825FB2"/>
    <w:rsid w:val="0082601F"/>
    <w:rsid w:val="00826068"/>
    <w:rsid w:val="00826191"/>
    <w:rsid w:val="0082623F"/>
    <w:rsid w:val="00826976"/>
    <w:rsid w:val="00826A14"/>
    <w:rsid w:val="00826AEA"/>
    <w:rsid w:val="00826BA2"/>
    <w:rsid w:val="00826C0E"/>
    <w:rsid w:val="00826C51"/>
    <w:rsid w:val="00826CAB"/>
    <w:rsid w:val="00826CDC"/>
    <w:rsid w:val="00827212"/>
    <w:rsid w:val="008273DC"/>
    <w:rsid w:val="00827533"/>
    <w:rsid w:val="0082755F"/>
    <w:rsid w:val="008276AC"/>
    <w:rsid w:val="00827742"/>
    <w:rsid w:val="0082788E"/>
    <w:rsid w:val="00827919"/>
    <w:rsid w:val="00827A9A"/>
    <w:rsid w:val="00827C23"/>
    <w:rsid w:val="00827D5B"/>
    <w:rsid w:val="00827F2C"/>
    <w:rsid w:val="00827F61"/>
    <w:rsid w:val="0083011B"/>
    <w:rsid w:val="008301CA"/>
    <w:rsid w:val="008301EC"/>
    <w:rsid w:val="0083035B"/>
    <w:rsid w:val="008304C7"/>
    <w:rsid w:val="0083069B"/>
    <w:rsid w:val="008306CD"/>
    <w:rsid w:val="0083084B"/>
    <w:rsid w:val="00830861"/>
    <w:rsid w:val="008308E6"/>
    <w:rsid w:val="00830ACD"/>
    <w:rsid w:val="00830AEB"/>
    <w:rsid w:val="00830B01"/>
    <w:rsid w:val="00830BA9"/>
    <w:rsid w:val="00830C0E"/>
    <w:rsid w:val="00830C1E"/>
    <w:rsid w:val="00830C2D"/>
    <w:rsid w:val="00830C76"/>
    <w:rsid w:val="00830CAB"/>
    <w:rsid w:val="00830D36"/>
    <w:rsid w:val="00830D48"/>
    <w:rsid w:val="00830D72"/>
    <w:rsid w:val="00830D7A"/>
    <w:rsid w:val="00830E02"/>
    <w:rsid w:val="00830E64"/>
    <w:rsid w:val="00830F63"/>
    <w:rsid w:val="00830F73"/>
    <w:rsid w:val="00830FAA"/>
    <w:rsid w:val="00830FC3"/>
    <w:rsid w:val="00831176"/>
    <w:rsid w:val="008311B6"/>
    <w:rsid w:val="0083123E"/>
    <w:rsid w:val="00831240"/>
    <w:rsid w:val="00831366"/>
    <w:rsid w:val="008313DF"/>
    <w:rsid w:val="008314EB"/>
    <w:rsid w:val="00831526"/>
    <w:rsid w:val="008315C0"/>
    <w:rsid w:val="00831644"/>
    <w:rsid w:val="00831A26"/>
    <w:rsid w:val="00831D1F"/>
    <w:rsid w:val="00831D3D"/>
    <w:rsid w:val="0083206A"/>
    <w:rsid w:val="008320D8"/>
    <w:rsid w:val="008322EB"/>
    <w:rsid w:val="0083234A"/>
    <w:rsid w:val="008323C2"/>
    <w:rsid w:val="00832476"/>
    <w:rsid w:val="008326AD"/>
    <w:rsid w:val="008329C8"/>
    <w:rsid w:val="00832BF0"/>
    <w:rsid w:val="00832C17"/>
    <w:rsid w:val="00832E97"/>
    <w:rsid w:val="00832EAB"/>
    <w:rsid w:val="00832EAD"/>
    <w:rsid w:val="00833046"/>
    <w:rsid w:val="00833083"/>
    <w:rsid w:val="008332D3"/>
    <w:rsid w:val="008332D7"/>
    <w:rsid w:val="00833439"/>
    <w:rsid w:val="0083351D"/>
    <w:rsid w:val="00833572"/>
    <w:rsid w:val="008335AD"/>
    <w:rsid w:val="008336A5"/>
    <w:rsid w:val="008336F5"/>
    <w:rsid w:val="0083373D"/>
    <w:rsid w:val="008337F8"/>
    <w:rsid w:val="00833897"/>
    <w:rsid w:val="008338FA"/>
    <w:rsid w:val="00833995"/>
    <w:rsid w:val="00833A1F"/>
    <w:rsid w:val="00833A23"/>
    <w:rsid w:val="00833ADD"/>
    <w:rsid w:val="00833C56"/>
    <w:rsid w:val="00833F2A"/>
    <w:rsid w:val="00833FF2"/>
    <w:rsid w:val="0083400A"/>
    <w:rsid w:val="00834148"/>
    <w:rsid w:val="00834250"/>
    <w:rsid w:val="008342DB"/>
    <w:rsid w:val="00834338"/>
    <w:rsid w:val="00834350"/>
    <w:rsid w:val="008343CA"/>
    <w:rsid w:val="0083451E"/>
    <w:rsid w:val="00834568"/>
    <w:rsid w:val="0083461F"/>
    <w:rsid w:val="008346AF"/>
    <w:rsid w:val="0083474A"/>
    <w:rsid w:val="00834869"/>
    <w:rsid w:val="008349AC"/>
    <w:rsid w:val="00834C44"/>
    <w:rsid w:val="00834E80"/>
    <w:rsid w:val="00834E8D"/>
    <w:rsid w:val="00834F34"/>
    <w:rsid w:val="008350DD"/>
    <w:rsid w:val="00835107"/>
    <w:rsid w:val="008351C5"/>
    <w:rsid w:val="0083525D"/>
    <w:rsid w:val="008352D7"/>
    <w:rsid w:val="0083542F"/>
    <w:rsid w:val="008355EC"/>
    <w:rsid w:val="00835667"/>
    <w:rsid w:val="0083572F"/>
    <w:rsid w:val="00835803"/>
    <w:rsid w:val="008358AB"/>
    <w:rsid w:val="008359AC"/>
    <w:rsid w:val="00835A8A"/>
    <w:rsid w:val="00835AD4"/>
    <w:rsid w:val="00835B63"/>
    <w:rsid w:val="00835DE0"/>
    <w:rsid w:val="00835FF3"/>
    <w:rsid w:val="00836105"/>
    <w:rsid w:val="0083617C"/>
    <w:rsid w:val="00836291"/>
    <w:rsid w:val="008363DC"/>
    <w:rsid w:val="00836408"/>
    <w:rsid w:val="0083650D"/>
    <w:rsid w:val="0083665A"/>
    <w:rsid w:val="008366CF"/>
    <w:rsid w:val="0083672D"/>
    <w:rsid w:val="008367B2"/>
    <w:rsid w:val="00836B6D"/>
    <w:rsid w:val="00836C79"/>
    <w:rsid w:val="00836E46"/>
    <w:rsid w:val="00836E79"/>
    <w:rsid w:val="00836EE4"/>
    <w:rsid w:val="00836F3C"/>
    <w:rsid w:val="0083711A"/>
    <w:rsid w:val="00837198"/>
    <w:rsid w:val="0083719D"/>
    <w:rsid w:val="008372D5"/>
    <w:rsid w:val="008372F2"/>
    <w:rsid w:val="00837474"/>
    <w:rsid w:val="008374DB"/>
    <w:rsid w:val="0083786E"/>
    <w:rsid w:val="008378FF"/>
    <w:rsid w:val="00837A65"/>
    <w:rsid w:val="00837A8A"/>
    <w:rsid w:val="00837C2A"/>
    <w:rsid w:val="00837DF0"/>
    <w:rsid w:val="00837EE9"/>
    <w:rsid w:val="00837F63"/>
    <w:rsid w:val="00837FFD"/>
    <w:rsid w:val="00840057"/>
    <w:rsid w:val="0084023E"/>
    <w:rsid w:val="008403A3"/>
    <w:rsid w:val="0084052E"/>
    <w:rsid w:val="008405BF"/>
    <w:rsid w:val="008406FA"/>
    <w:rsid w:val="0084081D"/>
    <w:rsid w:val="00840852"/>
    <w:rsid w:val="00840AB2"/>
    <w:rsid w:val="00840B43"/>
    <w:rsid w:val="00840C2E"/>
    <w:rsid w:val="008411A3"/>
    <w:rsid w:val="008415F9"/>
    <w:rsid w:val="00841705"/>
    <w:rsid w:val="00841964"/>
    <w:rsid w:val="00841A8F"/>
    <w:rsid w:val="00841B8C"/>
    <w:rsid w:val="00841CD5"/>
    <w:rsid w:val="00841DA8"/>
    <w:rsid w:val="00841FC5"/>
    <w:rsid w:val="008422DA"/>
    <w:rsid w:val="00842305"/>
    <w:rsid w:val="00842350"/>
    <w:rsid w:val="00842482"/>
    <w:rsid w:val="008424E0"/>
    <w:rsid w:val="008424EF"/>
    <w:rsid w:val="00842553"/>
    <w:rsid w:val="008425B4"/>
    <w:rsid w:val="008425F9"/>
    <w:rsid w:val="00842788"/>
    <w:rsid w:val="0084281E"/>
    <w:rsid w:val="008429BB"/>
    <w:rsid w:val="008429D8"/>
    <w:rsid w:val="00842B4A"/>
    <w:rsid w:val="00842C6D"/>
    <w:rsid w:val="00842D3F"/>
    <w:rsid w:val="00842EC4"/>
    <w:rsid w:val="00842F56"/>
    <w:rsid w:val="008430DF"/>
    <w:rsid w:val="0084322A"/>
    <w:rsid w:val="00843255"/>
    <w:rsid w:val="0084328A"/>
    <w:rsid w:val="00843402"/>
    <w:rsid w:val="008434C4"/>
    <w:rsid w:val="0084365F"/>
    <w:rsid w:val="00843709"/>
    <w:rsid w:val="00843717"/>
    <w:rsid w:val="0084382D"/>
    <w:rsid w:val="0084385D"/>
    <w:rsid w:val="0084387D"/>
    <w:rsid w:val="008438E8"/>
    <w:rsid w:val="00843907"/>
    <w:rsid w:val="00843A82"/>
    <w:rsid w:val="00843C5A"/>
    <w:rsid w:val="00843F24"/>
    <w:rsid w:val="0084418A"/>
    <w:rsid w:val="00844279"/>
    <w:rsid w:val="00844340"/>
    <w:rsid w:val="008443D0"/>
    <w:rsid w:val="00844510"/>
    <w:rsid w:val="00844651"/>
    <w:rsid w:val="00844661"/>
    <w:rsid w:val="00844A19"/>
    <w:rsid w:val="00844A2E"/>
    <w:rsid w:val="00844B1F"/>
    <w:rsid w:val="00844D2E"/>
    <w:rsid w:val="00844D68"/>
    <w:rsid w:val="00844E2B"/>
    <w:rsid w:val="00844EA8"/>
    <w:rsid w:val="00844F5E"/>
    <w:rsid w:val="00844FC0"/>
    <w:rsid w:val="008450AE"/>
    <w:rsid w:val="0084516E"/>
    <w:rsid w:val="00845201"/>
    <w:rsid w:val="0084549E"/>
    <w:rsid w:val="008454F2"/>
    <w:rsid w:val="0084556E"/>
    <w:rsid w:val="008456B3"/>
    <w:rsid w:val="008457BB"/>
    <w:rsid w:val="00845B17"/>
    <w:rsid w:val="00845B3B"/>
    <w:rsid w:val="00845B6C"/>
    <w:rsid w:val="00845EF9"/>
    <w:rsid w:val="00846029"/>
    <w:rsid w:val="00846093"/>
    <w:rsid w:val="0084618B"/>
    <w:rsid w:val="0084622D"/>
    <w:rsid w:val="008465F6"/>
    <w:rsid w:val="008466DF"/>
    <w:rsid w:val="0084674E"/>
    <w:rsid w:val="008467C9"/>
    <w:rsid w:val="00846963"/>
    <w:rsid w:val="00846998"/>
    <w:rsid w:val="008469FA"/>
    <w:rsid w:val="00846B1F"/>
    <w:rsid w:val="00846B3A"/>
    <w:rsid w:val="00846D49"/>
    <w:rsid w:val="00846DED"/>
    <w:rsid w:val="00846EB2"/>
    <w:rsid w:val="00846F6F"/>
    <w:rsid w:val="00846FF8"/>
    <w:rsid w:val="008470AC"/>
    <w:rsid w:val="0084750B"/>
    <w:rsid w:val="00847634"/>
    <w:rsid w:val="00847641"/>
    <w:rsid w:val="00847657"/>
    <w:rsid w:val="008478CA"/>
    <w:rsid w:val="00847A4C"/>
    <w:rsid w:val="00847B1C"/>
    <w:rsid w:val="00847D98"/>
    <w:rsid w:val="00847FF3"/>
    <w:rsid w:val="00850030"/>
    <w:rsid w:val="008505C5"/>
    <w:rsid w:val="008505F6"/>
    <w:rsid w:val="00850641"/>
    <w:rsid w:val="008506CA"/>
    <w:rsid w:val="008506D9"/>
    <w:rsid w:val="00850803"/>
    <w:rsid w:val="0085082E"/>
    <w:rsid w:val="00850B63"/>
    <w:rsid w:val="00850BF5"/>
    <w:rsid w:val="00850EBF"/>
    <w:rsid w:val="00850F51"/>
    <w:rsid w:val="00851041"/>
    <w:rsid w:val="008512C4"/>
    <w:rsid w:val="00851405"/>
    <w:rsid w:val="00851432"/>
    <w:rsid w:val="00851471"/>
    <w:rsid w:val="008515BB"/>
    <w:rsid w:val="008515C9"/>
    <w:rsid w:val="0085171F"/>
    <w:rsid w:val="0085172D"/>
    <w:rsid w:val="008517D8"/>
    <w:rsid w:val="008518AA"/>
    <w:rsid w:val="00851A22"/>
    <w:rsid w:val="00851AB4"/>
    <w:rsid w:val="00851B32"/>
    <w:rsid w:val="00851CFA"/>
    <w:rsid w:val="00851E66"/>
    <w:rsid w:val="00851F45"/>
    <w:rsid w:val="00852004"/>
    <w:rsid w:val="00852084"/>
    <w:rsid w:val="00852166"/>
    <w:rsid w:val="00852376"/>
    <w:rsid w:val="0085237E"/>
    <w:rsid w:val="0085238F"/>
    <w:rsid w:val="008523CC"/>
    <w:rsid w:val="008524C6"/>
    <w:rsid w:val="00852A0A"/>
    <w:rsid w:val="00852A9D"/>
    <w:rsid w:val="00852CFC"/>
    <w:rsid w:val="00852FCB"/>
    <w:rsid w:val="00853410"/>
    <w:rsid w:val="00853545"/>
    <w:rsid w:val="00853829"/>
    <w:rsid w:val="00853A8D"/>
    <w:rsid w:val="00853AA5"/>
    <w:rsid w:val="00853DC4"/>
    <w:rsid w:val="00853E05"/>
    <w:rsid w:val="00853FE8"/>
    <w:rsid w:val="008540D4"/>
    <w:rsid w:val="008541BA"/>
    <w:rsid w:val="00854255"/>
    <w:rsid w:val="0085427A"/>
    <w:rsid w:val="0085438D"/>
    <w:rsid w:val="008544BC"/>
    <w:rsid w:val="00854612"/>
    <w:rsid w:val="00854784"/>
    <w:rsid w:val="0085483B"/>
    <w:rsid w:val="00854BFB"/>
    <w:rsid w:val="00854D7D"/>
    <w:rsid w:val="00854EEE"/>
    <w:rsid w:val="00854EF9"/>
    <w:rsid w:val="00855055"/>
    <w:rsid w:val="008551BE"/>
    <w:rsid w:val="00855334"/>
    <w:rsid w:val="0085535B"/>
    <w:rsid w:val="008553E3"/>
    <w:rsid w:val="00855561"/>
    <w:rsid w:val="00855635"/>
    <w:rsid w:val="00855961"/>
    <w:rsid w:val="00855A70"/>
    <w:rsid w:val="00855A94"/>
    <w:rsid w:val="00855B4A"/>
    <w:rsid w:val="00855B5D"/>
    <w:rsid w:val="00855C4D"/>
    <w:rsid w:val="00855DAF"/>
    <w:rsid w:val="00855DE9"/>
    <w:rsid w:val="00855FE3"/>
    <w:rsid w:val="00856010"/>
    <w:rsid w:val="00856190"/>
    <w:rsid w:val="00856712"/>
    <w:rsid w:val="008567EB"/>
    <w:rsid w:val="00856BD6"/>
    <w:rsid w:val="00856E9F"/>
    <w:rsid w:val="00856FE3"/>
    <w:rsid w:val="00857072"/>
    <w:rsid w:val="0085775A"/>
    <w:rsid w:val="00857800"/>
    <w:rsid w:val="008578FA"/>
    <w:rsid w:val="008579D0"/>
    <w:rsid w:val="00857C2D"/>
    <w:rsid w:val="00857DA0"/>
    <w:rsid w:val="00857E05"/>
    <w:rsid w:val="00857FC2"/>
    <w:rsid w:val="00860100"/>
    <w:rsid w:val="008602BF"/>
    <w:rsid w:val="0086036D"/>
    <w:rsid w:val="008603D8"/>
    <w:rsid w:val="0086051D"/>
    <w:rsid w:val="00860597"/>
    <w:rsid w:val="008606EB"/>
    <w:rsid w:val="00860728"/>
    <w:rsid w:val="0086076C"/>
    <w:rsid w:val="00860850"/>
    <w:rsid w:val="008608A5"/>
    <w:rsid w:val="008608BF"/>
    <w:rsid w:val="00860A7E"/>
    <w:rsid w:val="00860A9C"/>
    <w:rsid w:val="00860B07"/>
    <w:rsid w:val="00860B88"/>
    <w:rsid w:val="00860C79"/>
    <w:rsid w:val="00860D9C"/>
    <w:rsid w:val="00860E06"/>
    <w:rsid w:val="00860F0A"/>
    <w:rsid w:val="00861011"/>
    <w:rsid w:val="008611A8"/>
    <w:rsid w:val="00861268"/>
    <w:rsid w:val="008612C3"/>
    <w:rsid w:val="008613A3"/>
    <w:rsid w:val="00861608"/>
    <w:rsid w:val="00861637"/>
    <w:rsid w:val="00861956"/>
    <w:rsid w:val="00861B1F"/>
    <w:rsid w:val="00861B9C"/>
    <w:rsid w:val="00861C3F"/>
    <w:rsid w:val="00861D08"/>
    <w:rsid w:val="00861D29"/>
    <w:rsid w:val="0086208A"/>
    <w:rsid w:val="00862140"/>
    <w:rsid w:val="008621B1"/>
    <w:rsid w:val="00862385"/>
    <w:rsid w:val="00862E72"/>
    <w:rsid w:val="0086307D"/>
    <w:rsid w:val="008630D2"/>
    <w:rsid w:val="008630D6"/>
    <w:rsid w:val="008631B1"/>
    <w:rsid w:val="00863206"/>
    <w:rsid w:val="008632D5"/>
    <w:rsid w:val="008633BC"/>
    <w:rsid w:val="008634D0"/>
    <w:rsid w:val="00863552"/>
    <w:rsid w:val="0086359D"/>
    <w:rsid w:val="008635EE"/>
    <w:rsid w:val="00863682"/>
    <w:rsid w:val="008636D0"/>
    <w:rsid w:val="008636E6"/>
    <w:rsid w:val="008637B6"/>
    <w:rsid w:val="00863860"/>
    <w:rsid w:val="00863862"/>
    <w:rsid w:val="0086394E"/>
    <w:rsid w:val="00863AF5"/>
    <w:rsid w:val="00863B22"/>
    <w:rsid w:val="00863B9E"/>
    <w:rsid w:val="00863BA3"/>
    <w:rsid w:val="00863BBF"/>
    <w:rsid w:val="00863BD1"/>
    <w:rsid w:val="00863C09"/>
    <w:rsid w:val="00863C16"/>
    <w:rsid w:val="00863CE6"/>
    <w:rsid w:val="00863DF3"/>
    <w:rsid w:val="00863EF7"/>
    <w:rsid w:val="00863F97"/>
    <w:rsid w:val="00863FFA"/>
    <w:rsid w:val="00864462"/>
    <w:rsid w:val="0086452F"/>
    <w:rsid w:val="0086460F"/>
    <w:rsid w:val="0086471A"/>
    <w:rsid w:val="008648E1"/>
    <w:rsid w:val="00864A7A"/>
    <w:rsid w:val="00864B84"/>
    <w:rsid w:val="00864BBE"/>
    <w:rsid w:val="008650A0"/>
    <w:rsid w:val="00865174"/>
    <w:rsid w:val="00865443"/>
    <w:rsid w:val="0086549C"/>
    <w:rsid w:val="008654B7"/>
    <w:rsid w:val="0086572D"/>
    <w:rsid w:val="0086578A"/>
    <w:rsid w:val="008657DF"/>
    <w:rsid w:val="0086582D"/>
    <w:rsid w:val="00865B10"/>
    <w:rsid w:val="00865B63"/>
    <w:rsid w:val="00865C46"/>
    <w:rsid w:val="00865C6B"/>
    <w:rsid w:val="00865C91"/>
    <w:rsid w:val="00865CA6"/>
    <w:rsid w:val="00865CD9"/>
    <w:rsid w:val="00865EC1"/>
    <w:rsid w:val="00865ED5"/>
    <w:rsid w:val="00865F01"/>
    <w:rsid w:val="008661A9"/>
    <w:rsid w:val="0086651F"/>
    <w:rsid w:val="0086669D"/>
    <w:rsid w:val="008666C3"/>
    <w:rsid w:val="00866DFD"/>
    <w:rsid w:val="00866F90"/>
    <w:rsid w:val="00867013"/>
    <w:rsid w:val="008670D1"/>
    <w:rsid w:val="00867176"/>
    <w:rsid w:val="008671AB"/>
    <w:rsid w:val="008671DB"/>
    <w:rsid w:val="0086754C"/>
    <w:rsid w:val="00867E83"/>
    <w:rsid w:val="00867F05"/>
    <w:rsid w:val="008703F7"/>
    <w:rsid w:val="0087044B"/>
    <w:rsid w:val="008704C9"/>
    <w:rsid w:val="0087057F"/>
    <w:rsid w:val="008705A3"/>
    <w:rsid w:val="00870665"/>
    <w:rsid w:val="00870788"/>
    <w:rsid w:val="008707FD"/>
    <w:rsid w:val="00870946"/>
    <w:rsid w:val="00870A3F"/>
    <w:rsid w:val="00870A68"/>
    <w:rsid w:val="00870ADA"/>
    <w:rsid w:val="00870AE7"/>
    <w:rsid w:val="00870B21"/>
    <w:rsid w:val="00870B56"/>
    <w:rsid w:val="00870B6F"/>
    <w:rsid w:val="00870C18"/>
    <w:rsid w:val="00870C75"/>
    <w:rsid w:val="00870D0A"/>
    <w:rsid w:val="00870D45"/>
    <w:rsid w:val="00870DB0"/>
    <w:rsid w:val="00870E94"/>
    <w:rsid w:val="00870EF3"/>
    <w:rsid w:val="00870F73"/>
    <w:rsid w:val="00871035"/>
    <w:rsid w:val="00871205"/>
    <w:rsid w:val="00871225"/>
    <w:rsid w:val="0087149B"/>
    <w:rsid w:val="0087157D"/>
    <w:rsid w:val="0087158B"/>
    <w:rsid w:val="008715B0"/>
    <w:rsid w:val="008715C4"/>
    <w:rsid w:val="0087184D"/>
    <w:rsid w:val="0087190C"/>
    <w:rsid w:val="00871957"/>
    <w:rsid w:val="00871EBE"/>
    <w:rsid w:val="0087203E"/>
    <w:rsid w:val="0087227D"/>
    <w:rsid w:val="00872438"/>
    <w:rsid w:val="0087262F"/>
    <w:rsid w:val="008726EC"/>
    <w:rsid w:val="00872711"/>
    <w:rsid w:val="0087274B"/>
    <w:rsid w:val="00872A1A"/>
    <w:rsid w:val="00872B83"/>
    <w:rsid w:val="00872C75"/>
    <w:rsid w:val="00872CAF"/>
    <w:rsid w:val="00872CC2"/>
    <w:rsid w:val="00872CCA"/>
    <w:rsid w:val="00872D84"/>
    <w:rsid w:val="00872DFA"/>
    <w:rsid w:val="00872EA9"/>
    <w:rsid w:val="00872FA2"/>
    <w:rsid w:val="00872FB6"/>
    <w:rsid w:val="00872FF2"/>
    <w:rsid w:val="0087306B"/>
    <w:rsid w:val="008730B4"/>
    <w:rsid w:val="00873179"/>
    <w:rsid w:val="00873237"/>
    <w:rsid w:val="00873378"/>
    <w:rsid w:val="008733E6"/>
    <w:rsid w:val="00873521"/>
    <w:rsid w:val="008736A9"/>
    <w:rsid w:val="00873704"/>
    <w:rsid w:val="00873847"/>
    <w:rsid w:val="008738B6"/>
    <w:rsid w:val="008738C0"/>
    <w:rsid w:val="00873A9C"/>
    <w:rsid w:val="00873B5A"/>
    <w:rsid w:val="00873CB2"/>
    <w:rsid w:val="00874093"/>
    <w:rsid w:val="00874127"/>
    <w:rsid w:val="008741A7"/>
    <w:rsid w:val="008741AD"/>
    <w:rsid w:val="008741F5"/>
    <w:rsid w:val="00874231"/>
    <w:rsid w:val="00874337"/>
    <w:rsid w:val="00874581"/>
    <w:rsid w:val="008747BE"/>
    <w:rsid w:val="00874A1C"/>
    <w:rsid w:val="00874A32"/>
    <w:rsid w:val="00874AB2"/>
    <w:rsid w:val="00874B46"/>
    <w:rsid w:val="00874B7D"/>
    <w:rsid w:val="00874F8B"/>
    <w:rsid w:val="00875013"/>
    <w:rsid w:val="00875059"/>
    <w:rsid w:val="008750D7"/>
    <w:rsid w:val="0087511E"/>
    <w:rsid w:val="0087515C"/>
    <w:rsid w:val="00875180"/>
    <w:rsid w:val="00875360"/>
    <w:rsid w:val="008753F7"/>
    <w:rsid w:val="008756F6"/>
    <w:rsid w:val="00875713"/>
    <w:rsid w:val="0087578E"/>
    <w:rsid w:val="0087580F"/>
    <w:rsid w:val="00875996"/>
    <w:rsid w:val="00875ECD"/>
    <w:rsid w:val="00875FA4"/>
    <w:rsid w:val="008761D9"/>
    <w:rsid w:val="008762CE"/>
    <w:rsid w:val="00876319"/>
    <w:rsid w:val="00876454"/>
    <w:rsid w:val="00876462"/>
    <w:rsid w:val="008764DD"/>
    <w:rsid w:val="00876503"/>
    <w:rsid w:val="00876547"/>
    <w:rsid w:val="0087655C"/>
    <w:rsid w:val="0087669F"/>
    <w:rsid w:val="00876787"/>
    <w:rsid w:val="00876799"/>
    <w:rsid w:val="00876958"/>
    <w:rsid w:val="00876A6C"/>
    <w:rsid w:val="00876A86"/>
    <w:rsid w:val="00876C6A"/>
    <w:rsid w:val="00876EA4"/>
    <w:rsid w:val="00876F75"/>
    <w:rsid w:val="00876FC2"/>
    <w:rsid w:val="0087710B"/>
    <w:rsid w:val="008774AD"/>
    <w:rsid w:val="008775CC"/>
    <w:rsid w:val="0087763B"/>
    <w:rsid w:val="0087763F"/>
    <w:rsid w:val="008777CE"/>
    <w:rsid w:val="00877B20"/>
    <w:rsid w:val="00877B5F"/>
    <w:rsid w:val="00877D08"/>
    <w:rsid w:val="00877D31"/>
    <w:rsid w:val="00877D3D"/>
    <w:rsid w:val="00877D62"/>
    <w:rsid w:val="00877D64"/>
    <w:rsid w:val="00877F8C"/>
    <w:rsid w:val="00880146"/>
    <w:rsid w:val="00880224"/>
    <w:rsid w:val="0088022B"/>
    <w:rsid w:val="0088032C"/>
    <w:rsid w:val="008804BE"/>
    <w:rsid w:val="00880758"/>
    <w:rsid w:val="00880761"/>
    <w:rsid w:val="0088086E"/>
    <w:rsid w:val="00880BA8"/>
    <w:rsid w:val="00880C41"/>
    <w:rsid w:val="00880C77"/>
    <w:rsid w:val="00880D63"/>
    <w:rsid w:val="00880F85"/>
    <w:rsid w:val="00881081"/>
    <w:rsid w:val="00881409"/>
    <w:rsid w:val="008814BF"/>
    <w:rsid w:val="00881752"/>
    <w:rsid w:val="008819BD"/>
    <w:rsid w:val="00881DEF"/>
    <w:rsid w:val="0088222A"/>
    <w:rsid w:val="00882459"/>
    <w:rsid w:val="00882478"/>
    <w:rsid w:val="008824B4"/>
    <w:rsid w:val="00882576"/>
    <w:rsid w:val="00882676"/>
    <w:rsid w:val="00882744"/>
    <w:rsid w:val="0088276B"/>
    <w:rsid w:val="008828D5"/>
    <w:rsid w:val="00882964"/>
    <w:rsid w:val="0088296B"/>
    <w:rsid w:val="008829E4"/>
    <w:rsid w:val="00882AD3"/>
    <w:rsid w:val="00882C01"/>
    <w:rsid w:val="00882C89"/>
    <w:rsid w:val="00882E29"/>
    <w:rsid w:val="00882E53"/>
    <w:rsid w:val="00882E56"/>
    <w:rsid w:val="00882E5E"/>
    <w:rsid w:val="00882FA8"/>
    <w:rsid w:val="00883201"/>
    <w:rsid w:val="0088325D"/>
    <w:rsid w:val="0088338B"/>
    <w:rsid w:val="008834E1"/>
    <w:rsid w:val="0088350D"/>
    <w:rsid w:val="00883608"/>
    <w:rsid w:val="00883654"/>
    <w:rsid w:val="00883796"/>
    <w:rsid w:val="0088380E"/>
    <w:rsid w:val="00883CA9"/>
    <w:rsid w:val="00884285"/>
    <w:rsid w:val="00884349"/>
    <w:rsid w:val="00884524"/>
    <w:rsid w:val="00884599"/>
    <w:rsid w:val="00884618"/>
    <w:rsid w:val="00884719"/>
    <w:rsid w:val="00884807"/>
    <w:rsid w:val="008848B1"/>
    <w:rsid w:val="00884945"/>
    <w:rsid w:val="00884A3C"/>
    <w:rsid w:val="00884A6F"/>
    <w:rsid w:val="00884AC1"/>
    <w:rsid w:val="00884B09"/>
    <w:rsid w:val="00884BDA"/>
    <w:rsid w:val="00884D79"/>
    <w:rsid w:val="00884D81"/>
    <w:rsid w:val="00884EB0"/>
    <w:rsid w:val="00884FE8"/>
    <w:rsid w:val="0088520E"/>
    <w:rsid w:val="00885257"/>
    <w:rsid w:val="008852CB"/>
    <w:rsid w:val="00885614"/>
    <w:rsid w:val="008856C4"/>
    <w:rsid w:val="00885876"/>
    <w:rsid w:val="008859D4"/>
    <w:rsid w:val="00885B1D"/>
    <w:rsid w:val="00885C03"/>
    <w:rsid w:val="00885C1A"/>
    <w:rsid w:val="00885C80"/>
    <w:rsid w:val="00885CBD"/>
    <w:rsid w:val="00885D93"/>
    <w:rsid w:val="00885E60"/>
    <w:rsid w:val="00885EF6"/>
    <w:rsid w:val="00885F67"/>
    <w:rsid w:val="00885FA1"/>
    <w:rsid w:val="008860EF"/>
    <w:rsid w:val="0088631E"/>
    <w:rsid w:val="008863E3"/>
    <w:rsid w:val="008868E0"/>
    <w:rsid w:val="00886C23"/>
    <w:rsid w:val="00886E47"/>
    <w:rsid w:val="00887063"/>
    <w:rsid w:val="0088739E"/>
    <w:rsid w:val="0088761A"/>
    <w:rsid w:val="008879A3"/>
    <w:rsid w:val="00887A4A"/>
    <w:rsid w:val="00887C12"/>
    <w:rsid w:val="00887F6F"/>
    <w:rsid w:val="00890011"/>
    <w:rsid w:val="00890387"/>
    <w:rsid w:val="0089044B"/>
    <w:rsid w:val="00890867"/>
    <w:rsid w:val="008908FF"/>
    <w:rsid w:val="00890A04"/>
    <w:rsid w:val="00890B70"/>
    <w:rsid w:val="00890C98"/>
    <w:rsid w:val="00890CCB"/>
    <w:rsid w:val="00890D40"/>
    <w:rsid w:val="00890FB7"/>
    <w:rsid w:val="008910E2"/>
    <w:rsid w:val="0089111C"/>
    <w:rsid w:val="008912F6"/>
    <w:rsid w:val="008914B2"/>
    <w:rsid w:val="00891655"/>
    <w:rsid w:val="008916C7"/>
    <w:rsid w:val="008918C6"/>
    <w:rsid w:val="008918F9"/>
    <w:rsid w:val="0089197E"/>
    <w:rsid w:val="00891B2A"/>
    <w:rsid w:val="00891BCF"/>
    <w:rsid w:val="00891BED"/>
    <w:rsid w:val="00891CD5"/>
    <w:rsid w:val="00891E18"/>
    <w:rsid w:val="00892164"/>
    <w:rsid w:val="008921CB"/>
    <w:rsid w:val="008921D5"/>
    <w:rsid w:val="008922D7"/>
    <w:rsid w:val="008924F3"/>
    <w:rsid w:val="0089271C"/>
    <w:rsid w:val="0089286A"/>
    <w:rsid w:val="0089294D"/>
    <w:rsid w:val="00892EC3"/>
    <w:rsid w:val="00892F80"/>
    <w:rsid w:val="008930F5"/>
    <w:rsid w:val="008932F8"/>
    <w:rsid w:val="008933CA"/>
    <w:rsid w:val="00893588"/>
    <w:rsid w:val="008936B1"/>
    <w:rsid w:val="0089374D"/>
    <w:rsid w:val="00893799"/>
    <w:rsid w:val="008938FD"/>
    <w:rsid w:val="008939C0"/>
    <w:rsid w:val="00893D39"/>
    <w:rsid w:val="0089402B"/>
    <w:rsid w:val="0089407A"/>
    <w:rsid w:val="00894509"/>
    <w:rsid w:val="00894543"/>
    <w:rsid w:val="00894692"/>
    <w:rsid w:val="00894926"/>
    <w:rsid w:val="00894956"/>
    <w:rsid w:val="00894BC1"/>
    <w:rsid w:val="00894CAD"/>
    <w:rsid w:val="00894D45"/>
    <w:rsid w:val="00894DBC"/>
    <w:rsid w:val="00894E2C"/>
    <w:rsid w:val="00894E3A"/>
    <w:rsid w:val="008951B8"/>
    <w:rsid w:val="0089526E"/>
    <w:rsid w:val="00895324"/>
    <w:rsid w:val="00895419"/>
    <w:rsid w:val="00895D37"/>
    <w:rsid w:val="00896024"/>
    <w:rsid w:val="00896094"/>
    <w:rsid w:val="00896100"/>
    <w:rsid w:val="008964C5"/>
    <w:rsid w:val="008967B1"/>
    <w:rsid w:val="0089682A"/>
    <w:rsid w:val="0089688B"/>
    <w:rsid w:val="008968D5"/>
    <w:rsid w:val="00896941"/>
    <w:rsid w:val="008969E6"/>
    <w:rsid w:val="00896A07"/>
    <w:rsid w:val="00896BD2"/>
    <w:rsid w:val="00896CF5"/>
    <w:rsid w:val="00896CFB"/>
    <w:rsid w:val="00896DA5"/>
    <w:rsid w:val="00896DE6"/>
    <w:rsid w:val="00896ECC"/>
    <w:rsid w:val="00897019"/>
    <w:rsid w:val="0089720B"/>
    <w:rsid w:val="00897228"/>
    <w:rsid w:val="008973EA"/>
    <w:rsid w:val="0089751E"/>
    <w:rsid w:val="00897633"/>
    <w:rsid w:val="008976D3"/>
    <w:rsid w:val="00897764"/>
    <w:rsid w:val="00897885"/>
    <w:rsid w:val="008978B7"/>
    <w:rsid w:val="00897997"/>
    <w:rsid w:val="00897AD6"/>
    <w:rsid w:val="00897BF8"/>
    <w:rsid w:val="00897DFD"/>
    <w:rsid w:val="00897E65"/>
    <w:rsid w:val="00897E78"/>
    <w:rsid w:val="00897EFC"/>
    <w:rsid w:val="00897F8C"/>
    <w:rsid w:val="008A000F"/>
    <w:rsid w:val="008A0171"/>
    <w:rsid w:val="008A0241"/>
    <w:rsid w:val="008A02E9"/>
    <w:rsid w:val="008A033C"/>
    <w:rsid w:val="008A051B"/>
    <w:rsid w:val="008A051C"/>
    <w:rsid w:val="008A098E"/>
    <w:rsid w:val="008A0AB7"/>
    <w:rsid w:val="008A0CBC"/>
    <w:rsid w:val="008A0D0F"/>
    <w:rsid w:val="008A0D48"/>
    <w:rsid w:val="008A0DA3"/>
    <w:rsid w:val="008A0E7E"/>
    <w:rsid w:val="008A0F77"/>
    <w:rsid w:val="008A103B"/>
    <w:rsid w:val="008A1277"/>
    <w:rsid w:val="008A13FC"/>
    <w:rsid w:val="008A14F3"/>
    <w:rsid w:val="008A1525"/>
    <w:rsid w:val="008A1549"/>
    <w:rsid w:val="008A159C"/>
    <w:rsid w:val="008A17AA"/>
    <w:rsid w:val="008A187B"/>
    <w:rsid w:val="008A1931"/>
    <w:rsid w:val="008A19AC"/>
    <w:rsid w:val="008A1A98"/>
    <w:rsid w:val="008A1B48"/>
    <w:rsid w:val="008A1C9C"/>
    <w:rsid w:val="008A1CD6"/>
    <w:rsid w:val="008A1CFA"/>
    <w:rsid w:val="008A1D17"/>
    <w:rsid w:val="008A1E30"/>
    <w:rsid w:val="008A1F57"/>
    <w:rsid w:val="008A1FEF"/>
    <w:rsid w:val="008A204A"/>
    <w:rsid w:val="008A2179"/>
    <w:rsid w:val="008A2231"/>
    <w:rsid w:val="008A227B"/>
    <w:rsid w:val="008A25BD"/>
    <w:rsid w:val="008A2673"/>
    <w:rsid w:val="008A2760"/>
    <w:rsid w:val="008A298F"/>
    <w:rsid w:val="008A29B5"/>
    <w:rsid w:val="008A2C18"/>
    <w:rsid w:val="008A2DC5"/>
    <w:rsid w:val="008A2E31"/>
    <w:rsid w:val="008A2FE1"/>
    <w:rsid w:val="008A300D"/>
    <w:rsid w:val="008A3128"/>
    <w:rsid w:val="008A34F6"/>
    <w:rsid w:val="008A370A"/>
    <w:rsid w:val="008A3746"/>
    <w:rsid w:val="008A37C9"/>
    <w:rsid w:val="008A37D1"/>
    <w:rsid w:val="008A3A18"/>
    <w:rsid w:val="008A3BC4"/>
    <w:rsid w:val="008A3E9C"/>
    <w:rsid w:val="008A3EA4"/>
    <w:rsid w:val="008A3EF2"/>
    <w:rsid w:val="008A3F61"/>
    <w:rsid w:val="008A4795"/>
    <w:rsid w:val="008A483F"/>
    <w:rsid w:val="008A49DA"/>
    <w:rsid w:val="008A49DC"/>
    <w:rsid w:val="008A4C41"/>
    <w:rsid w:val="008A4C9B"/>
    <w:rsid w:val="008A4D37"/>
    <w:rsid w:val="008A4EBB"/>
    <w:rsid w:val="008A4F09"/>
    <w:rsid w:val="008A4FDF"/>
    <w:rsid w:val="008A5062"/>
    <w:rsid w:val="008A5082"/>
    <w:rsid w:val="008A5145"/>
    <w:rsid w:val="008A519D"/>
    <w:rsid w:val="008A54D8"/>
    <w:rsid w:val="008A5555"/>
    <w:rsid w:val="008A5582"/>
    <w:rsid w:val="008A5977"/>
    <w:rsid w:val="008A59EC"/>
    <w:rsid w:val="008A5AE6"/>
    <w:rsid w:val="008A5B67"/>
    <w:rsid w:val="008A5B8D"/>
    <w:rsid w:val="008A620C"/>
    <w:rsid w:val="008A63E0"/>
    <w:rsid w:val="008A64FB"/>
    <w:rsid w:val="008A656B"/>
    <w:rsid w:val="008A66E7"/>
    <w:rsid w:val="008A670C"/>
    <w:rsid w:val="008A671E"/>
    <w:rsid w:val="008A673D"/>
    <w:rsid w:val="008A67A7"/>
    <w:rsid w:val="008A68BB"/>
    <w:rsid w:val="008A6B42"/>
    <w:rsid w:val="008A6B77"/>
    <w:rsid w:val="008A6BCD"/>
    <w:rsid w:val="008A6C77"/>
    <w:rsid w:val="008A6D47"/>
    <w:rsid w:val="008A6D74"/>
    <w:rsid w:val="008A6ED3"/>
    <w:rsid w:val="008A7039"/>
    <w:rsid w:val="008A727E"/>
    <w:rsid w:val="008A7295"/>
    <w:rsid w:val="008A73E5"/>
    <w:rsid w:val="008A7430"/>
    <w:rsid w:val="008A75E6"/>
    <w:rsid w:val="008A77BA"/>
    <w:rsid w:val="008A7886"/>
    <w:rsid w:val="008A7999"/>
    <w:rsid w:val="008A7A65"/>
    <w:rsid w:val="008A7B32"/>
    <w:rsid w:val="008A7E56"/>
    <w:rsid w:val="008A7E8F"/>
    <w:rsid w:val="008A7E9D"/>
    <w:rsid w:val="008A7FD1"/>
    <w:rsid w:val="008B005E"/>
    <w:rsid w:val="008B0106"/>
    <w:rsid w:val="008B0125"/>
    <w:rsid w:val="008B015F"/>
    <w:rsid w:val="008B0196"/>
    <w:rsid w:val="008B0317"/>
    <w:rsid w:val="008B03AB"/>
    <w:rsid w:val="008B03E0"/>
    <w:rsid w:val="008B058A"/>
    <w:rsid w:val="008B06BE"/>
    <w:rsid w:val="008B0774"/>
    <w:rsid w:val="008B0804"/>
    <w:rsid w:val="008B0A40"/>
    <w:rsid w:val="008B0C7E"/>
    <w:rsid w:val="008B0C85"/>
    <w:rsid w:val="008B0D24"/>
    <w:rsid w:val="008B0D56"/>
    <w:rsid w:val="008B0DE9"/>
    <w:rsid w:val="008B0ED3"/>
    <w:rsid w:val="008B0EF3"/>
    <w:rsid w:val="008B10D0"/>
    <w:rsid w:val="008B1110"/>
    <w:rsid w:val="008B11A8"/>
    <w:rsid w:val="008B156D"/>
    <w:rsid w:val="008B175A"/>
    <w:rsid w:val="008B183B"/>
    <w:rsid w:val="008B18B1"/>
    <w:rsid w:val="008B22EB"/>
    <w:rsid w:val="008B254E"/>
    <w:rsid w:val="008B25FA"/>
    <w:rsid w:val="008B27A7"/>
    <w:rsid w:val="008B27B5"/>
    <w:rsid w:val="008B283D"/>
    <w:rsid w:val="008B28B4"/>
    <w:rsid w:val="008B29C5"/>
    <w:rsid w:val="008B29C7"/>
    <w:rsid w:val="008B2B20"/>
    <w:rsid w:val="008B2B52"/>
    <w:rsid w:val="008B2BF4"/>
    <w:rsid w:val="008B2F13"/>
    <w:rsid w:val="008B32B5"/>
    <w:rsid w:val="008B34D0"/>
    <w:rsid w:val="008B36BB"/>
    <w:rsid w:val="008B37A6"/>
    <w:rsid w:val="008B3A82"/>
    <w:rsid w:val="008B3A88"/>
    <w:rsid w:val="008B3A8C"/>
    <w:rsid w:val="008B3AA2"/>
    <w:rsid w:val="008B3AE3"/>
    <w:rsid w:val="008B3C8A"/>
    <w:rsid w:val="008B3CC9"/>
    <w:rsid w:val="008B3DF8"/>
    <w:rsid w:val="008B3DFE"/>
    <w:rsid w:val="008B3E46"/>
    <w:rsid w:val="008B3EEA"/>
    <w:rsid w:val="008B3F1A"/>
    <w:rsid w:val="008B3F48"/>
    <w:rsid w:val="008B3FDA"/>
    <w:rsid w:val="008B3FF5"/>
    <w:rsid w:val="008B4164"/>
    <w:rsid w:val="008B422A"/>
    <w:rsid w:val="008B42C5"/>
    <w:rsid w:val="008B43F9"/>
    <w:rsid w:val="008B4478"/>
    <w:rsid w:val="008B4A62"/>
    <w:rsid w:val="008B4A91"/>
    <w:rsid w:val="008B4B38"/>
    <w:rsid w:val="008B4BB4"/>
    <w:rsid w:val="008B4D89"/>
    <w:rsid w:val="008B4E15"/>
    <w:rsid w:val="008B4E95"/>
    <w:rsid w:val="008B4F12"/>
    <w:rsid w:val="008B4FA8"/>
    <w:rsid w:val="008B505D"/>
    <w:rsid w:val="008B51AB"/>
    <w:rsid w:val="008B5365"/>
    <w:rsid w:val="008B55B5"/>
    <w:rsid w:val="008B5840"/>
    <w:rsid w:val="008B5964"/>
    <w:rsid w:val="008B596D"/>
    <w:rsid w:val="008B5B11"/>
    <w:rsid w:val="008B5EC1"/>
    <w:rsid w:val="008B5F32"/>
    <w:rsid w:val="008B5F7A"/>
    <w:rsid w:val="008B5F9A"/>
    <w:rsid w:val="008B5FED"/>
    <w:rsid w:val="008B61E0"/>
    <w:rsid w:val="008B6221"/>
    <w:rsid w:val="008B62D0"/>
    <w:rsid w:val="008B63C2"/>
    <w:rsid w:val="008B6508"/>
    <w:rsid w:val="008B6730"/>
    <w:rsid w:val="008B6869"/>
    <w:rsid w:val="008B697D"/>
    <w:rsid w:val="008B6A39"/>
    <w:rsid w:val="008B6AA1"/>
    <w:rsid w:val="008B6AC4"/>
    <w:rsid w:val="008B6B95"/>
    <w:rsid w:val="008B6C2D"/>
    <w:rsid w:val="008B6E16"/>
    <w:rsid w:val="008B6F7C"/>
    <w:rsid w:val="008B7060"/>
    <w:rsid w:val="008B7082"/>
    <w:rsid w:val="008B719E"/>
    <w:rsid w:val="008B72B9"/>
    <w:rsid w:val="008B7354"/>
    <w:rsid w:val="008B7630"/>
    <w:rsid w:val="008B78A1"/>
    <w:rsid w:val="008B79A3"/>
    <w:rsid w:val="008B7A2B"/>
    <w:rsid w:val="008B7FC1"/>
    <w:rsid w:val="008C0036"/>
    <w:rsid w:val="008C00E3"/>
    <w:rsid w:val="008C01F3"/>
    <w:rsid w:val="008C0458"/>
    <w:rsid w:val="008C04F2"/>
    <w:rsid w:val="008C062E"/>
    <w:rsid w:val="008C063C"/>
    <w:rsid w:val="008C0668"/>
    <w:rsid w:val="008C0699"/>
    <w:rsid w:val="008C07A8"/>
    <w:rsid w:val="008C087A"/>
    <w:rsid w:val="008C08B0"/>
    <w:rsid w:val="008C08B6"/>
    <w:rsid w:val="008C08FB"/>
    <w:rsid w:val="008C0AD3"/>
    <w:rsid w:val="008C0B49"/>
    <w:rsid w:val="008C0D4E"/>
    <w:rsid w:val="008C0ED6"/>
    <w:rsid w:val="008C0EE0"/>
    <w:rsid w:val="008C11B8"/>
    <w:rsid w:val="008C120C"/>
    <w:rsid w:val="008C126F"/>
    <w:rsid w:val="008C140B"/>
    <w:rsid w:val="008C1416"/>
    <w:rsid w:val="008C156D"/>
    <w:rsid w:val="008C1631"/>
    <w:rsid w:val="008C1695"/>
    <w:rsid w:val="008C1AEC"/>
    <w:rsid w:val="008C1B07"/>
    <w:rsid w:val="008C1B21"/>
    <w:rsid w:val="008C1B5D"/>
    <w:rsid w:val="008C1BAE"/>
    <w:rsid w:val="008C1BEE"/>
    <w:rsid w:val="008C1E02"/>
    <w:rsid w:val="008C21D0"/>
    <w:rsid w:val="008C22A1"/>
    <w:rsid w:val="008C2465"/>
    <w:rsid w:val="008C269E"/>
    <w:rsid w:val="008C26D8"/>
    <w:rsid w:val="008C278C"/>
    <w:rsid w:val="008C28A1"/>
    <w:rsid w:val="008C28C7"/>
    <w:rsid w:val="008C28E9"/>
    <w:rsid w:val="008C2BF8"/>
    <w:rsid w:val="008C2CA2"/>
    <w:rsid w:val="008C2CD8"/>
    <w:rsid w:val="008C2D80"/>
    <w:rsid w:val="008C3036"/>
    <w:rsid w:val="008C323C"/>
    <w:rsid w:val="008C3361"/>
    <w:rsid w:val="008C33A1"/>
    <w:rsid w:val="008C34D6"/>
    <w:rsid w:val="008C353D"/>
    <w:rsid w:val="008C35CC"/>
    <w:rsid w:val="008C35EE"/>
    <w:rsid w:val="008C37EB"/>
    <w:rsid w:val="008C383C"/>
    <w:rsid w:val="008C393D"/>
    <w:rsid w:val="008C3951"/>
    <w:rsid w:val="008C3A2D"/>
    <w:rsid w:val="008C3AA2"/>
    <w:rsid w:val="008C3B1E"/>
    <w:rsid w:val="008C3B8D"/>
    <w:rsid w:val="008C3C3F"/>
    <w:rsid w:val="008C3D45"/>
    <w:rsid w:val="008C3DC9"/>
    <w:rsid w:val="008C414A"/>
    <w:rsid w:val="008C42D7"/>
    <w:rsid w:val="008C438B"/>
    <w:rsid w:val="008C45DC"/>
    <w:rsid w:val="008C47FF"/>
    <w:rsid w:val="008C4860"/>
    <w:rsid w:val="008C4915"/>
    <w:rsid w:val="008C4B26"/>
    <w:rsid w:val="008C4C1B"/>
    <w:rsid w:val="008C4C1C"/>
    <w:rsid w:val="008C4CE5"/>
    <w:rsid w:val="008C4D04"/>
    <w:rsid w:val="008C4D40"/>
    <w:rsid w:val="008C4DB3"/>
    <w:rsid w:val="008C4DFB"/>
    <w:rsid w:val="008C4F30"/>
    <w:rsid w:val="008C4F8A"/>
    <w:rsid w:val="008C50CA"/>
    <w:rsid w:val="008C5133"/>
    <w:rsid w:val="008C51C0"/>
    <w:rsid w:val="008C51DF"/>
    <w:rsid w:val="008C5248"/>
    <w:rsid w:val="008C54A4"/>
    <w:rsid w:val="008C5522"/>
    <w:rsid w:val="008C5523"/>
    <w:rsid w:val="008C552E"/>
    <w:rsid w:val="008C5576"/>
    <w:rsid w:val="008C584C"/>
    <w:rsid w:val="008C58A4"/>
    <w:rsid w:val="008C5A2E"/>
    <w:rsid w:val="008C5ADA"/>
    <w:rsid w:val="008C5B02"/>
    <w:rsid w:val="008C5BC0"/>
    <w:rsid w:val="008C5DFA"/>
    <w:rsid w:val="008C5E24"/>
    <w:rsid w:val="008C5F0C"/>
    <w:rsid w:val="008C5F29"/>
    <w:rsid w:val="008C5FCD"/>
    <w:rsid w:val="008C6050"/>
    <w:rsid w:val="008C60CE"/>
    <w:rsid w:val="008C60F0"/>
    <w:rsid w:val="008C6160"/>
    <w:rsid w:val="008C6164"/>
    <w:rsid w:val="008C61A7"/>
    <w:rsid w:val="008C6221"/>
    <w:rsid w:val="008C6241"/>
    <w:rsid w:val="008C62BC"/>
    <w:rsid w:val="008C63B7"/>
    <w:rsid w:val="008C63E2"/>
    <w:rsid w:val="008C6621"/>
    <w:rsid w:val="008C6679"/>
    <w:rsid w:val="008C66AF"/>
    <w:rsid w:val="008C68BF"/>
    <w:rsid w:val="008C693C"/>
    <w:rsid w:val="008C6961"/>
    <w:rsid w:val="008C696B"/>
    <w:rsid w:val="008C69D2"/>
    <w:rsid w:val="008C6A81"/>
    <w:rsid w:val="008C6CC5"/>
    <w:rsid w:val="008C6D7C"/>
    <w:rsid w:val="008C6DF4"/>
    <w:rsid w:val="008C6E15"/>
    <w:rsid w:val="008C6EE8"/>
    <w:rsid w:val="008C6F10"/>
    <w:rsid w:val="008C6F40"/>
    <w:rsid w:val="008C710F"/>
    <w:rsid w:val="008C71A3"/>
    <w:rsid w:val="008C7299"/>
    <w:rsid w:val="008C731C"/>
    <w:rsid w:val="008C739E"/>
    <w:rsid w:val="008C739F"/>
    <w:rsid w:val="008C743A"/>
    <w:rsid w:val="008C7473"/>
    <w:rsid w:val="008C74AC"/>
    <w:rsid w:val="008C74E0"/>
    <w:rsid w:val="008C750A"/>
    <w:rsid w:val="008C75DB"/>
    <w:rsid w:val="008C77AE"/>
    <w:rsid w:val="008C77B8"/>
    <w:rsid w:val="008C77C7"/>
    <w:rsid w:val="008C78E5"/>
    <w:rsid w:val="008C78FE"/>
    <w:rsid w:val="008C7A24"/>
    <w:rsid w:val="008C7B01"/>
    <w:rsid w:val="008C7B6E"/>
    <w:rsid w:val="008C7C10"/>
    <w:rsid w:val="008C7C8E"/>
    <w:rsid w:val="008C7D2E"/>
    <w:rsid w:val="008C7D31"/>
    <w:rsid w:val="008C7E90"/>
    <w:rsid w:val="008D0037"/>
    <w:rsid w:val="008D00C9"/>
    <w:rsid w:val="008D01D7"/>
    <w:rsid w:val="008D038B"/>
    <w:rsid w:val="008D041C"/>
    <w:rsid w:val="008D05AA"/>
    <w:rsid w:val="008D073D"/>
    <w:rsid w:val="008D0798"/>
    <w:rsid w:val="008D07D4"/>
    <w:rsid w:val="008D091F"/>
    <w:rsid w:val="008D09B8"/>
    <w:rsid w:val="008D0B70"/>
    <w:rsid w:val="008D0B98"/>
    <w:rsid w:val="008D0CE2"/>
    <w:rsid w:val="008D0DE7"/>
    <w:rsid w:val="008D10DD"/>
    <w:rsid w:val="008D1175"/>
    <w:rsid w:val="008D1743"/>
    <w:rsid w:val="008D17C7"/>
    <w:rsid w:val="008D17DF"/>
    <w:rsid w:val="008D1AB7"/>
    <w:rsid w:val="008D1AC1"/>
    <w:rsid w:val="008D1D1F"/>
    <w:rsid w:val="008D1EE0"/>
    <w:rsid w:val="008D1F7E"/>
    <w:rsid w:val="008D1FA4"/>
    <w:rsid w:val="008D2005"/>
    <w:rsid w:val="008D201E"/>
    <w:rsid w:val="008D2187"/>
    <w:rsid w:val="008D2288"/>
    <w:rsid w:val="008D22F5"/>
    <w:rsid w:val="008D2340"/>
    <w:rsid w:val="008D25CF"/>
    <w:rsid w:val="008D26A6"/>
    <w:rsid w:val="008D2729"/>
    <w:rsid w:val="008D27EB"/>
    <w:rsid w:val="008D2802"/>
    <w:rsid w:val="008D2B37"/>
    <w:rsid w:val="008D2D2F"/>
    <w:rsid w:val="008D2F8F"/>
    <w:rsid w:val="008D2FDB"/>
    <w:rsid w:val="008D3253"/>
    <w:rsid w:val="008D346F"/>
    <w:rsid w:val="008D34BE"/>
    <w:rsid w:val="008D36E4"/>
    <w:rsid w:val="008D37D9"/>
    <w:rsid w:val="008D38C9"/>
    <w:rsid w:val="008D3A16"/>
    <w:rsid w:val="008D3A70"/>
    <w:rsid w:val="008D3CC1"/>
    <w:rsid w:val="008D3D89"/>
    <w:rsid w:val="008D3DBE"/>
    <w:rsid w:val="008D3DD9"/>
    <w:rsid w:val="008D3F78"/>
    <w:rsid w:val="008D3F7F"/>
    <w:rsid w:val="008D4009"/>
    <w:rsid w:val="008D4020"/>
    <w:rsid w:val="008D4157"/>
    <w:rsid w:val="008D41AD"/>
    <w:rsid w:val="008D43D8"/>
    <w:rsid w:val="008D43DB"/>
    <w:rsid w:val="008D4420"/>
    <w:rsid w:val="008D469A"/>
    <w:rsid w:val="008D487C"/>
    <w:rsid w:val="008D48D2"/>
    <w:rsid w:val="008D4B58"/>
    <w:rsid w:val="008D4C98"/>
    <w:rsid w:val="008D4DB9"/>
    <w:rsid w:val="008D543F"/>
    <w:rsid w:val="008D5514"/>
    <w:rsid w:val="008D55A4"/>
    <w:rsid w:val="008D5640"/>
    <w:rsid w:val="008D56DE"/>
    <w:rsid w:val="008D5771"/>
    <w:rsid w:val="008D5900"/>
    <w:rsid w:val="008D5AF2"/>
    <w:rsid w:val="008D5B07"/>
    <w:rsid w:val="008D5C90"/>
    <w:rsid w:val="008D5D4C"/>
    <w:rsid w:val="008D5DAE"/>
    <w:rsid w:val="008D5F67"/>
    <w:rsid w:val="008D5FD4"/>
    <w:rsid w:val="008D6123"/>
    <w:rsid w:val="008D62A8"/>
    <w:rsid w:val="008D652B"/>
    <w:rsid w:val="008D657A"/>
    <w:rsid w:val="008D676F"/>
    <w:rsid w:val="008D68A6"/>
    <w:rsid w:val="008D697D"/>
    <w:rsid w:val="008D6BFC"/>
    <w:rsid w:val="008D6CBA"/>
    <w:rsid w:val="008D6CF3"/>
    <w:rsid w:val="008D6E81"/>
    <w:rsid w:val="008D6F30"/>
    <w:rsid w:val="008D6F81"/>
    <w:rsid w:val="008D6F9C"/>
    <w:rsid w:val="008D6FA2"/>
    <w:rsid w:val="008D6FB4"/>
    <w:rsid w:val="008D6FE7"/>
    <w:rsid w:val="008D7250"/>
    <w:rsid w:val="008D72C7"/>
    <w:rsid w:val="008D734B"/>
    <w:rsid w:val="008D7382"/>
    <w:rsid w:val="008D7530"/>
    <w:rsid w:val="008D7617"/>
    <w:rsid w:val="008D7643"/>
    <w:rsid w:val="008D7750"/>
    <w:rsid w:val="008D77DB"/>
    <w:rsid w:val="008D77E4"/>
    <w:rsid w:val="008D787F"/>
    <w:rsid w:val="008D7DB8"/>
    <w:rsid w:val="008D7E02"/>
    <w:rsid w:val="008D7EA0"/>
    <w:rsid w:val="008D7F0A"/>
    <w:rsid w:val="008E031D"/>
    <w:rsid w:val="008E055D"/>
    <w:rsid w:val="008E0678"/>
    <w:rsid w:val="008E06D8"/>
    <w:rsid w:val="008E07AB"/>
    <w:rsid w:val="008E08AF"/>
    <w:rsid w:val="008E090F"/>
    <w:rsid w:val="008E094B"/>
    <w:rsid w:val="008E09AE"/>
    <w:rsid w:val="008E0A6D"/>
    <w:rsid w:val="008E0A77"/>
    <w:rsid w:val="008E0B63"/>
    <w:rsid w:val="008E0B65"/>
    <w:rsid w:val="008E0BA9"/>
    <w:rsid w:val="008E0D21"/>
    <w:rsid w:val="008E0E18"/>
    <w:rsid w:val="008E0E52"/>
    <w:rsid w:val="008E0F6E"/>
    <w:rsid w:val="008E0FDA"/>
    <w:rsid w:val="008E1329"/>
    <w:rsid w:val="008E13D7"/>
    <w:rsid w:val="008E141A"/>
    <w:rsid w:val="008E1480"/>
    <w:rsid w:val="008E15B5"/>
    <w:rsid w:val="008E16A1"/>
    <w:rsid w:val="008E18F7"/>
    <w:rsid w:val="008E1900"/>
    <w:rsid w:val="008E1913"/>
    <w:rsid w:val="008E19EB"/>
    <w:rsid w:val="008E1B9B"/>
    <w:rsid w:val="008E1C49"/>
    <w:rsid w:val="008E1CEC"/>
    <w:rsid w:val="008E1D76"/>
    <w:rsid w:val="008E1D89"/>
    <w:rsid w:val="008E1EE2"/>
    <w:rsid w:val="008E1F0F"/>
    <w:rsid w:val="008E1F1D"/>
    <w:rsid w:val="008E1F9B"/>
    <w:rsid w:val="008E2103"/>
    <w:rsid w:val="008E22F0"/>
    <w:rsid w:val="008E24CF"/>
    <w:rsid w:val="008E26CD"/>
    <w:rsid w:val="008E27B0"/>
    <w:rsid w:val="008E2969"/>
    <w:rsid w:val="008E29BB"/>
    <w:rsid w:val="008E2A44"/>
    <w:rsid w:val="008E2B85"/>
    <w:rsid w:val="008E2D26"/>
    <w:rsid w:val="008E2D40"/>
    <w:rsid w:val="008E2E5B"/>
    <w:rsid w:val="008E30E8"/>
    <w:rsid w:val="008E3106"/>
    <w:rsid w:val="008E32A4"/>
    <w:rsid w:val="008E33EF"/>
    <w:rsid w:val="008E3601"/>
    <w:rsid w:val="008E36DA"/>
    <w:rsid w:val="008E38E9"/>
    <w:rsid w:val="008E39A4"/>
    <w:rsid w:val="008E39D1"/>
    <w:rsid w:val="008E3AB6"/>
    <w:rsid w:val="008E3BE6"/>
    <w:rsid w:val="008E3D9D"/>
    <w:rsid w:val="008E3DC4"/>
    <w:rsid w:val="008E3E07"/>
    <w:rsid w:val="008E3E35"/>
    <w:rsid w:val="008E3EC9"/>
    <w:rsid w:val="008E3FC7"/>
    <w:rsid w:val="008E416D"/>
    <w:rsid w:val="008E42F3"/>
    <w:rsid w:val="008E434B"/>
    <w:rsid w:val="008E4467"/>
    <w:rsid w:val="008E446D"/>
    <w:rsid w:val="008E44B4"/>
    <w:rsid w:val="008E472D"/>
    <w:rsid w:val="008E47AE"/>
    <w:rsid w:val="008E47D6"/>
    <w:rsid w:val="008E47F9"/>
    <w:rsid w:val="008E4F0C"/>
    <w:rsid w:val="008E4FBF"/>
    <w:rsid w:val="008E4FFA"/>
    <w:rsid w:val="008E5294"/>
    <w:rsid w:val="008E5312"/>
    <w:rsid w:val="008E53D7"/>
    <w:rsid w:val="008E548F"/>
    <w:rsid w:val="008E5500"/>
    <w:rsid w:val="008E5507"/>
    <w:rsid w:val="008E55B5"/>
    <w:rsid w:val="008E5709"/>
    <w:rsid w:val="008E582D"/>
    <w:rsid w:val="008E5867"/>
    <w:rsid w:val="008E5873"/>
    <w:rsid w:val="008E58D5"/>
    <w:rsid w:val="008E5B3F"/>
    <w:rsid w:val="008E5BC2"/>
    <w:rsid w:val="008E5C4B"/>
    <w:rsid w:val="008E5C50"/>
    <w:rsid w:val="008E5DF9"/>
    <w:rsid w:val="008E5F6D"/>
    <w:rsid w:val="008E6224"/>
    <w:rsid w:val="008E634B"/>
    <w:rsid w:val="008E642B"/>
    <w:rsid w:val="008E6586"/>
    <w:rsid w:val="008E66BF"/>
    <w:rsid w:val="008E66E8"/>
    <w:rsid w:val="008E682A"/>
    <w:rsid w:val="008E69EC"/>
    <w:rsid w:val="008E6A25"/>
    <w:rsid w:val="008E6B5C"/>
    <w:rsid w:val="008E6B74"/>
    <w:rsid w:val="008E6DE4"/>
    <w:rsid w:val="008E6E1F"/>
    <w:rsid w:val="008E6E20"/>
    <w:rsid w:val="008E6F6D"/>
    <w:rsid w:val="008E6F77"/>
    <w:rsid w:val="008E6FC4"/>
    <w:rsid w:val="008E7026"/>
    <w:rsid w:val="008E7031"/>
    <w:rsid w:val="008E71BC"/>
    <w:rsid w:val="008E723F"/>
    <w:rsid w:val="008E7314"/>
    <w:rsid w:val="008E7317"/>
    <w:rsid w:val="008E733D"/>
    <w:rsid w:val="008E7366"/>
    <w:rsid w:val="008E7392"/>
    <w:rsid w:val="008E73BC"/>
    <w:rsid w:val="008E7411"/>
    <w:rsid w:val="008E7532"/>
    <w:rsid w:val="008E773E"/>
    <w:rsid w:val="008E781C"/>
    <w:rsid w:val="008E7868"/>
    <w:rsid w:val="008E7875"/>
    <w:rsid w:val="008E78AF"/>
    <w:rsid w:val="008E7915"/>
    <w:rsid w:val="008E797F"/>
    <w:rsid w:val="008E7A1F"/>
    <w:rsid w:val="008E7CC2"/>
    <w:rsid w:val="008E7EB7"/>
    <w:rsid w:val="008E7F3E"/>
    <w:rsid w:val="008E7F46"/>
    <w:rsid w:val="008E7FF2"/>
    <w:rsid w:val="008EA531"/>
    <w:rsid w:val="008F0055"/>
    <w:rsid w:val="008F008B"/>
    <w:rsid w:val="008F017D"/>
    <w:rsid w:val="008F0418"/>
    <w:rsid w:val="008F0518"/>
    <w:rsid w:val="008F05ED"/>
    <w:rsid w:val="008F078D"/>
    <w:rsid w:val="008F0822"/>
    <w:rsid w:val="008F08F9"/>
    <w:rsid w:val="008F0A8C"/>
    <w:rsid w:val="008F0B00"/>
    <w:rsid w:val="008F0CAA"/>
    <w:rsid w:val="008F0CAF"/>
    <w:rsid w:val="008F0CD0"/>
    <w:rsid w:val="008F0D36"/>
    <w:rsid w:val="008F0DCE"/>
    <w:rsid w:val="008F0EC5"/>
    <w:rsid w:val="008F0ECF"/>
    <w:rsid w:val="008F0F5A"/>
    <w:rsid w:val="008F10FC"/>
    <w:rsid w:val="008F128E"/>
    <w:rsid w:val="008F13E4"/>
    <w:rsid w:val="008F14AC"/>
    <w:rsid w:val="008F15CC"/>
    <w:rsid w:val="008F1622"/>
    <w:rsid w:val="008F1739"/>
    <w:rsid w:val="008F1880"/>
    <w:rsid w:val="008F19C0"/>
    <w:rsid w:val="008F1A11"/>
    <w:rsid w:val="008F1A14"/>
    <w:rsid w:val="008F1A65"/>
    <w:rsid w:val="008F1D91"/>
    <w:rsid w:val="008F1E9A"/>
    <w:rsid w:val="008F2030"/>
    <w:rsid w:val="008F21FC"/>
    <w:rsid w:val="008F2320"/>
    <w:rsid w:val="008F23B4"/>
    <w:rsid w:val="008F23B7"/>
    <w:rsid w:val="008F245A"/>
    <w:rsid w:val="008F254D"/>
    <w:rsid w:val="008F2894"/>
    <w:rsid w:val="008F28D7"/>
    <w:rsid w:val="008F2AB4"/>
    <w:rsid w:val="008F2B75"/>
    <w:rsid w:val="008F2C24"/>
    <w:rsid w:val="008F2C69"/>
    <w:rsid w:val="008F2C9E"/>
    <w:rsid w:val="008F30B3"/>
    <w:rsid w:val="008F31E7"/>
    <w:rsid w:val="008F3362"/>
    <w:rsid w:val="008F33CD"/>
    <w:rsid w:val="008F33D4"/>
    <w:rsid w:val="008F3703"/>
    <w:rsid w:val="008F3713"/>
    <w:rsid w:val="008F3847"/>
    <w:rsid w:val="008F3891"/>
    <w:rsid w:val="008F3A7F"/>
    <w:rsid w:val="008F3ABF"/>
    <w:rsid w:val="008F3D10"/>
    <w:rsid w:val="008F3F0D"/>
    <w:rsid w:val="008F3F41"/>
    <w:rsid w:val="008F3FEA"/>
    <w:rsid w:val="008F403E"/>
    <w:rsid w:val="008F4098"/>
    <w:rsid w:val="008F40DA"/>
    <w:rsid w:val="008F4179"/>
    <w:rsid w:val="008F418B"/>
    <w:rsid w:val="008F4220"/>
    <w:rsid w:val="008F4264"/>
    <w:rsid w:val="008F42E6"/>
    <w:rsid w:val="008F4377"/>
    <w:rsid w:val="008F439A"/>
    <w:rsid w:val="008F458C"/>
    <w:rsid w:val="008F4644"/>
    <w:rsid w:val="008F4703"/>
    <w:rsid w:val="008F4927"/>
    <w:rsid w:val="008F49FA"/>
    <w:rsid w:val="008F4C4C"/>
    <w:rsid w:val="008F4E0B"/>
    <w:rsid w:val="008F4E2D"/>
    <w:rsid w:val="008F51E7"/>
    <w:rsid w:val="008F523D"/>
    <w:rsid w:val="008F5491"/>
    <w:rsid w:val="008F55B7"/>
    <w:rsid w:val="008F564F"/>
    <w:rsid w:val="008F57EE"/>
    <w:rsid w:val="008F5899"/>
    <w:rsid w:val="008F58A9"/>
    <w:rsid w:val="008F590C"/>
    <w:rsid w:val="008F593C"/>
    <w:rsid w:val="008F59EB"/>
    <w:rsid w:val="008F5A24"/>
    <w:rsid w:val="008F5CD3"/>
    <w:rsid w:val="008F5D2E"/>
    <w:rsid w:val="008F5F80"/>
    <w:rsid w:val="008F616E"/>
    <w:rsid w:val="008F623F"/>
    <w:rsid w:val="008F635E"/>
    <w:rsid w:val="008F63DE"/>
    <w:rsid w:val="008F64D7"/>
    <w:rsid w:val="008F65BC"/>
    <w:rsid w:val="008F6653"/>
    <w:rsid w:val="008F6814"/>
    <w:rsid w:val="008F6827"/>
    <w:rsid w:val="008F6855"/>
    <w:rsid w:val="008F6883"/>
    <w:rsid w:val="008F68CD"/>
    <w:rsid w:val="008F68D4"/>
    <w:rsid w:val="008F6B31"/>
    <w:rsid w:val="008F6DF4"/>
    <w:rsid w:val="008F6E7A"/>
    <w:rsid w:val="008F6F1A"/>
    <w:rsid w:val="008F6F59"/>
    <w:rsid w:val="008F7015"/>
    <w:rsid w:val="008F716F"/>
    <w:rsid w:val="008F7221"/>
    <w:rsid w:val="008F7269"/>
    <w:rsid w:val="008F7361"/>
    <w:rsid w:val="008F74D4"/>
    <w:rsid w:val="008F7703"/>
    <w:rsid w:val="008F783E"/>
    <w:rsid w:val="008F7B1D"/>
    <w:rsid w:val="008F7C1C"/>
    <w:rsid w:val="008F7CDD"/>
    <w:rsid w:val="008F7D2C"/>
    <w:rsid w:val="008F7F8D"/>
    <w:rsid w:val="0090013D"/>
    <w:rsid w:val="009002C1"/>
    <w:rsid w:val="00900337"/>
    <w:rsid w:val="009008B2"/>
    <w:rsid w:val="009008DF"/>
    <w:rsid w:val="009009E3"/>
    <w:rsid w:val="00900A35"/>
    <w:rsid w:val="00900B28"/>
    <w:rsid w:val="00900B62"/>
    <w:rsid w:val="00900BB3"/>
    <w:rsid w:val="00900D43"/>
    <w:rsid w:val="00900F90"/>
    <w:rsid w:val="00900FB0"/>
    <w:rsid w:val="009010D8"/>
    <w:rsid w:val="00901145"/>
    <w:rsid w:val="00901218"/>
    <w:rsid w:val="00901248"/>
    <w:rsid w:val="009012F7"/>
    <w:rsid w:val="00901326"/>
    <w:rsid w:val="009013EE"/>
    <w:rsid w:val="009013F1"/>
    <w:rsid w:val="00901421"/>
    <w:rsid w:val="00901464"/>
    <w:rsid w:val="009014D5"/>
    <w:rsid w:val="00901705"/>
    <w:rsid w:val="00901891"/>
    <w:rsid w:val="00901999"/>
    <w:rsid w:val="009019E9"/>
    <w:rsid w:val="00901AA5"/>
    <w:rsid w:val="00901B1E"/>
    <w:rsid w:val="00901BD2"/>
    <w:rsid w:val="00901D6C"/>
    <w:rsid w:val="00901E1F"/>
    <w:rsid w:val="00901F3A"/>
    <w:rsid w:val="00901FBF"/>
    <w:rsid w:val="00901FFE"/>
    <w:rsid w:val="009020ED"/>
    <w:rsid w:val="00902137"/>
    <w:rsid w:val="00902261"/>
    <w:rsid w:val="0090234E"/>
    <w:rsid w:val="00902376"/>
    <w:rsid w:val="0090260A"/>
    <w:rsid w:val="00902695"/>
    <w:rsid w:val="0090277F"/>
    <w:rsid w:val="009028D7"/>
    <w:rsid w:val="00902918"/>
    <w:rsid w:val="009029DD"/>
    <w:rsid w:val="00902A06"/>
    <w:rsid w:val="00902AD0"/>
    <w:rsid w:val="00902AD5"/>
    <w:rsid w:val="00902C51"/>
    <w:rsid w:val="00902CBC"/>
    <w:rsid w:val="00902DE3"/>
    <w:rsid w:val="00902F2E"/>
    <w:rsid w:val="00902F49"/>
    <w:rsid w:val="00903154"/>
    <w:rsid w:val="00903238"/>
    <w:rsid w:val="0090330C"/>
    <w:rsid w:val="009034C0"/>
    <w:rsid w:val="00903547"/>
    <w:rsid w:val="009035C8"/>
    <w:rsid w:val="009036A1"/>
    <w:rsid w:val="0090386B"/>
    <w:rsid w:val="0090393E"/>
    <w:rsid w:val="009039A4"/>
    <w:rsid w:val="00903B2E"/>
    <w:rsid w:val="00903BDA"/>
    <w:rsid w:val="00903C1B"/>
    <w:rsid w:val="00903FD7"/>
    <w:rsid w:val="00904127"/>
    <w:rsid w:val="00904358"/>
    <w:rsid w:val="00904395"/>
    <w:rsid w:val="0090444E"/>
    <w:rsid w:val="00904581"/>
    <w:rsid w:val="00904589"/>
    <w:rsid w:val="009046D5"/>
    <w:rsid w:val="0090481C"/>
    <w:rsid w:val="00904B46"/>
    <w:rsid w:val="00904C65"/>
    <w:rsid w:val="00904D04"/>
    <w:rsid w:val="00904F88"/>
    <w:rsid w:val="009050AB"/>
    <w:rsid w:val="00905461"/>
    <w:rsid w:val="009054BD"/>
    <w:rsid w:val="00905547"/>
    <w:rsid w:val="009057C7"/>
    <w:rsid w:val="00905ABD"/>
    <w:rsid w:val="00905D76"/>
    <w:rsid w:val="00905ED6"/>
    <w:rsid w:val="00905F23"/>
    <w:rsid w:val="00905F45"/>
    <w:rsid w:val="00905F54"/>
    <w:rsid w:val="0090601D"/>
    <w:rsid w:val="009060C3"/>
    <w:rsid w:val="0090614D"/>
    <w:rsid w:val="0090617F"/>
    <w:rsid w:val="00906515"/>
    <w:rsid w:val="0090652E"/>
    <w:rsid w:val="00906599"/>
    <w:rsid w:val="0090678D"/>
    <w:rsid w:val="00906B67"/>
    <w:rsid w:val="00906D20"/>
    <w:rsid w:val="00906E8B"/>
    <w:rsid w:val="00907020"/>
    <w:rsid w:val="00907310"/>
    <w:rsid w:val="009073FC"/>
    <w:rsid w:val="0090754B"/>
    <w:rsid w:val="00907747"/>
    <w:rsid w:val="00907820"/>
    <w:rsid w:val="0090788E"/>
    <w:rsid w:val="00907920"/>
    <w:rsid w:val="00907AC4"/>
    <w:rsid w:val="00907B3E"/>
    <w:rsid w:val="00907D4E"/>
    <w:rsid w:val="00907D55"/>
    <w:rsid w:val="00907DC6"/>
    <w:rsid w:val="0091006A"/>
    <w:rsid w:val="009107AA"/>
    <w:rsid w:val="00910AB4"/>
    <w:rsid w:val="00910B19"/>
    <w:rsid w:val="00910B93"/>
    <w:rsid w:val="00910B9A"/>
    <w:rsid w:val="00910C85"/>
    <w:rsid w:val="00910D11"/>
    <w:rsid w:val="00910D45"/>
    <w:rsid w:val="00910DB3"/>
    <w:rsid w:val="00911286"/>
    <w:rsid w:val="009112BC"/>
    <w:rsid w:val="0091157D"/>
    <w:rsid w:val="0091169A"/>
    <w:rsid w:val="00911703"/>
    <w:rsid w:val="009117A0"/>
    <w:rsid w:val="009117EA"/>
    <w:rsid w:val="00911966"/>
    <w:rsid w:val="009119B7"/>
    <w:rsid w:val="00911B2B"/>
    <w:rsid w:val="00911C50"/>
    <w:rsid w:val="00911D7B"/>
    <w:rsid w:val="00911DDC"/>
    <w:rsid w:val="00911E61"/>
    <w:rsid w:val="00912169"/>
    <w:rsid w:val="00912179"/>
    <w:rsid w:val="00912471"/>
    <w:rsid w:val="0091247D"/>
    <w:rsid w:val="00912703"/>
    <w:rsid w:val="0091289C"/>
    <w:rsid w:val="00912A9E"/>
    <w:rsid w:val="00912AC2"/>
    <w:rsid w:val="00912BB2"/>
    <w:rsid w:val="00912D8A"/>
    <w:rsid w:val="009132A7"/>
    <w:rsid w:val="0091331B"/>
    <w:rsid w:val="0091337D"/>
    <w:rsid w:val="0091338D"/>
    <w:rsid w:val="00913478"/>
    <w:rsid w:val="009136A0"/>
    <w:rsid w:val="009136C2"/>
    <w:rsid w:val="00913704"/>
    <w:rsid w:val="00913894"/>
    <w:rsid w:val="009138D9"/>
    <w:rsid w:val="009139EF"/>
    <w:rsid w:val="00913A8F"/>
    <w:rsid w:val="00913B9D"/>
    <w:rsid w:val="00913C68"/>
    <w:rsid w:val="00913D2A"/>
    <w:rsid w:val="00913E64"/>
    <w:rsid w:val="009140C7"/>
    <w:rsid w:val="009140E1"/>
    <w:rsid w:val="00914104"/>
    <w:rsid w:val="0091419C"/>
    <w:rsid w:val="00914258"/>
    <w:rsid w:val="0091431E"/>
    <w:rsid w:val="009143AC"/>
    <w:rsid w:val="009143CB"/>
    <w:rsid w:val="009144C3"/>
    <w:rsid w:val="0091452F"/>
    <w:rsid w:val="00914582"/>
    <w:rsid w:val="00914604"/>
    <w:rsid w:val="00914623"/>
    <w:rsid w:val="009146A5"/>
    <w:rsid w:val="0091472D"/>
    <w:rsid w:val="0091483B"/>
    <w:rsid w:val="0091488A"/>
    <w:rsid w:val="00914954"/>
    <w:rsid w:val="00914B50"/>
    <w:rsid w:val="00914B54"/>
    <w:rsid w:val="00914C02"/>
    <w:rsid w:val="00914DF0"/>
    <w:rsid w:val="00914F9C"/>
    <w:rsid w:val="009150D7"/>
    <w:rsid w:val="009152DC"/>
    <w:rsid w:val="0091538D"/>
    <w:rsid w:val="00915852"/>
    <w:rsid w:val="00915863"/>
    <w:rsid w:val="00915AA4"/>
    <w:rsid w:val="00915BBE"/>
    <w:rsid w:val="00915DC0"/>
    <w:rsid w:val="00915E1A"/>
    <w:rsid w:val="00915E20"/>
    <w:rsid w:val="00915ED2"/>
    <w:rsid w:val="00915F89"/>
    <w:rsid w:val="00915F99"/>
    <w:rsid w:val="009162A9"/>
    <w:rsid w:val="009162ED"/>
    <w:rsid w:val="009162FD"/>
    <w:rsid w:val="0091642C"/>
    <w:rsid w:val="00916533"/>
    <w:rsid w:val="009165A5"/>
    <w:rsid w:val="0091684F"/>
    <w:rsid w:val="009169A8"/>
    <w:rsid w:val="00916A0D"/>
    <w:rsid w:val="00916ADB"/>
    <w:rsid w:val="00916C24"/>
    <w:rsid w:val="00916D60"/>
    <w:rsid w:val="00916FC6"/>
    <w:rsid w:val="00916FE2"/>
    <w:rsid w:val="009171D3"/>
    <w:rsid w:val="009171E3"/>
    <w:rsid w:val="009171F5"/>
    <w:rsid w:val="00917272"/>
    <w:rsid w:val="009172AD"/>
    <w:rsid w:val="0091731F"/>
    <w:rsid w:val="009174A8"/>
    <w:rsid w:val="00917780"/>
    <w:rsid w:val="009178C3"/>
    <w:rsid w:val="00917D9D"/>
    <w:rsid w:val="00917F10"/>
    <w:rsid w:val="00917F1F"/>
    <w:rsid w:val="00917F31"/>
    <w:rsid w:val="0092005A"/>
    <w:rsid w:val="00920273"/>
    <w:rsid w:val="009202AD"/>
    <w:rsid w:val="009202F7"/>
    <w:rsid w:val="009203F1"/>
    <w:rsid w:val="0092042D"/>
    <w:rsid w:val="00920498"/>
    <w:rsid w:val="009204B0"/>
    <w:rsid w:val="00920631"/>
    <w:rsid w:val="009206A2"/>
    <w:rsid w:val="009207EF"/>
    <w:rsid w:val="00920AB4"/>
    <w:rsid w:val="00920EBD"/>
    <w:rsid w:val="009210C1"/>
    <w:rsid w:val="00921131"/>
    <w:rsid w:val="00921274"/>
    <w:rsid w:val="009212B3"/>
    <w:rsid w:val="009213D4"/>
    <w:rsid w:val="00921616"/>
    <w:rsid w:val="009217A0"/>
    <w:rsid w:val="009217A4"/>
    <w:rsid w:val="009217EA"/>
    <w:rsid w:val="00921880"/>
    <w:rsid w:val="0092190E"/>
    <w:rsid w:val="00921964"/>
    <w:rsid w:val="00921990"/>
    <w:rsid w:val="00921B60"/>
    <w:rsid w:val="00921BE0"/>
    <w:rsid w:val="00921D59"/>
    <w:rsid w:val="00921D80"/>
    <w:rsid w:val="00921DF9"/>
    <w:rsid w:val="00921E33"/>
    <w:rsid w:val="00921EDD"/>
    <w:rsid w:val="00921F51"/>
    <w:rsid w:val="00921F7C"/>
    <w:rsid w:val="0092210C"/>
    <w:rsid w:val="00922119"/>
    <w:rsid w:val="00922130"/>
    <w:rsid w:val="00922176"/>
    <w:rsid w:val="00922393"/>
    <w:rsid w:val="009224E9"/>
    <w:rsid w:val="00922699"/>
    <w:rsid w:val="00922756"/>
    <w:rsid w:val="00922769"/>
    <w:rsid w:val="00922A65"/>
    <w:rsid w:val="00922AAB"/>
    <w:rsid w:val="00922B3C"/>
    <w:rsid w:val="00922B5B"/>
    <w:rsid w:val="00922C2C"/>
    <w:rsid w:val="00922F6F"/>
    <w:rsid w:val="00923060"/>
    <w:rsid w:val="00923137"/>
    <w:rsid w:val="00923335"/>
    <w:rsid w:val="009233E5"/>
    <w:rsid w:val="009233EB"/>
    <w:rsid w:val="00923423"/>
    <w:rsid w:val="00923551"/>
    <w:rsid w:val="0092355C"/>
    <w:rsid w:val="009235B5"/>
    <w:rsid w:val="00923732"/>
    <w:rsid w:val="009239A5"/>
    <w:rsid w:val="00923A8E"/>
    <w:rsid w:val="00923ABF"/>
    <w:rsid w:val="00923BBA"/>
    <w:rsid w:val="00923C83"/>
    <w:rsid w:val="00923D22"/>
    <w:rsid w:val="00923E23"/>
    <w:rsid w:val="00923ECE"/>
    <w:rsid w:val="0092403D"/>
    <w:rsid w:val="00924047"/>
    <w:rsid w:val="009240C8"/>
    <w:rsid w:val="00924190"/>
    <w:rsid w:val="0092431C"/>
    <w:rsid w:val="0092436C"/>
    <w:rsid w:val="00924430"/>
    <w:rsid w:val="0092444D"/>
    <w:rsid w:val="00924487"/>
    <w:rsid w:val="0092451B"/>
    <w:rsid w:val="00924782"/>
    <w:rsid w:val="009247F1"/>
    <w:rsid w:val="009249D7"/>
    <w:rsid w:val="00924AD1"/>
    <w:rsid w:val="00924B1B"/>
    <w:rsid w:val="00924E5D"/>
    <w:rsid w:val="00924E9D"/>
    <w:rsid w:val="00925179"/>
    <w:rsid w:val="00925572"/>
    <w:rsid w:val="009256AD"/>
    <w:rsid w:val="0092588B"/>
    <w:rsid w:val="009258E3"/>
    <w:rsid w:val="00925933"/>
    <w:rsid w:val="009259D4"/>
    <w:rsid w:val="00925AAE"/>
    <w:rsid w:val="00925CB8"/>
    <w:rsid w:val="00925D8F"/>
    <w:rsid w:val="00925DD5"/>
    <w:rsid w:val="00925F03"/>
    <w:rsid w:val="00925F75"/>
    <w:rsid w:val="009260F1"/>
    <w:rsid w:val="00926108"/>
    <w:rsid w:val="00926195"/>
    <w:rsid w:val="00926223"/>
    <w:rsid w:val="009262F2"/>
    <w:rsid w:val="0092637A"/>
    <w:rsid w:val="009264AA"/>
    <w:rsid w:val="0092651B"/>
    <w:rsid w:val="00926589"/>
    <w:rsid w:val="0092658A"/>
    <w:rsid w:val="0092662B"/>
    <w:rsid w:val="00926643"/>
    <w:rsid w:val="009269A4"/>
    <w:rsid w:val="00926BA1"/>
    <w:rsid w:val="00926DAC"/>
    <w:rsid w:val="00926F5F"/>
    <w:rsid w:val="00927090"/>
    <w:rsid w:val="00927293"/>
    <w:rsid w:val="009272EF"/>
    <w:rsid w:val="00927714"/>
    <w:rsid w:val="0092777D"/>
    <w:rsid w:val="00927869"/>
    <w:rsid w:val="009278EA"/>
    <w:rsid w:val="009279B8"/>
    <w:rsid w:val="00927ACB"/>
    <w:rsid w:val="00927BBA"/>
    <w:rsid w:val="00927C3B"/>
    <w:rsid w:val="00927C91"/>
    <w:rsid w:val="00927CDB"/>
    <w:rsid w:val="00927DB5"/>
    <w:rsid w:val="00927DE6"/>
    <w:rsid w:val="00927DE8"/>
    <w:rsid w:val="00927E5F"/>
    <w:rsid w:val="00927F4F"/>
    <w:rsid w:val="00930035"/>
    <w:rsid w:val="009301D0"/>
    <w:rsid w:val="00930230"/>
    <w:rsid w:val="00930427"/>
    <w:rsid w:val="0093048B"/>
    <w:rsid w:val="0093057F"/>
    <w:rsid w:val="009306A5"/>
    <w:rsid w:val="00930826"/>
    <w:rsid w:val="009308C3"/>
    <w:rsid w:val="0093090D"/>
    <w:rsid w:val="0093091B"/>
    <w:rsid w:val="0093092F"/>
    <w:rsid w:val="00930950"/>
    <w:rsid w:val="00930BD1"/>
    <w:rsid w:val="00930C61"/>
    <w:rsid w:val="00930C87"/>
    <w:rsid w:val="00930CF9"/>
    <w:rsid w:val="00930D3A"/>
    <w:rsid w:val="00930F8D"/>
    <w:rsid w:val="00930FA5"/>
    <w:rsid w:val="00931105"/>
    <w:rsid w:val="0093155D"/>
    <w:rsid w:val="009315D3"/>
    <w:rsid w:val="0093161C"/>
    <w:rsid w:val="00931674"/>
    <w:rsid w:val="009316F9"/>
    <w:rsid w:val="00931878"/>
    <w:rsid w:val="009319EF"/>
    <w:rsid w:val="00931A03"/>
    <w:rsid w:val="00931A17"/>
    <w:rsid w:val="00931BF9"/>
    <w:rsid w:val="00931D73"/>
    <w:rsid w:val="00931E36"/>
    <w:rsid w:val="00931E62"/>
    <w:rsid w:val="00931F10"/>
    <w:rsid w:val="00931FEC"/>
    <w:rsid w:val="009320CC"/>
    <w:rsid w:val="00932211"/>
    <w:rsid w:val="00932251"/>
    <w:rsid w:val="009322D4"/>
    <w:rsid w:val="00932670"/>
    <w:rsid w:val="00932713"/>
    <w:rsid w:val="0093291C"/>
    <w:rsid w:val="00932934"/>
    <w:rsid w:val="00932AB5"/>
    <w:rsid w:val="00932B8B"/>
    <w:rsid w:val="00932EB7"/>
    <w:rsid w:val="00932F00"/>
    <w:rsid w:val="00932F5F"/>
    <w:rsid w:val="00933006"/>
    <w:rsid w:val="009330F8"/>
    <w:rsid w:val="00933185"/>
    <w:rsid w:val="009331F5"/>
    <w:rsid w:val="009334B1"/>
    <w:rsid w:val="00933553"/>
    <w:rsid w:val="00933574"/>
    <w:rsid w:val="0093362F"/>
    <w:rsid w:val="009339B2"/>
    <w:rsid w:val="009339F0"/>
    <w:rsid w:val="00933A07"/>
    <w:rsid w:val="00933B2F"/>
    <w:rsid w:val="00933C0F"/>
    <w:rsid w:val="00933CDC"/>
    <w:rsid w:val="00933D94"/>
    <w:rsid w:val="00933E7F"/>
    <w:rsid w:val="0093427D"/>
    <w:rsid w:val="009342F8"/>
    <w:rsid w:val="00934317"/>
    <w:rsid w:val="0093441A"/>
    <w:rsid w:val="0093474C"/>
    <w:rsid w:val="0093475C"/>
    <w:rsid w:val="009347A3"/>
    <w:rsid w:val="00934980"/>
    <w:rsid w:val="00934994"/>
    <w:rsid w:val="009349C8"/>
    <w:rsid w:val="00934A2F"/>
    <w:rsid w:val="00934ABD"/>
    <w:rsid w:val="00934B2C"/>
    <w:rsid w:val="00934FAF"/>
    <w:rsid w:val="00934FF3"/>
    <w:rsid w:val="0093507C"/>
    <w:rsid w:val="009350A8"/>
    <w:rsid w:val="009350AC"/>
    <w:rsid w:val="0093523F"/>
    <w:rsid w:val="00935253"/>
    <w:rsid w:val="00935283"/>
    <w:rsid w:val="009352AC"/>
    <w:rsid w:val="00935364"/>
    <w:rsid w:val="009353C9"/>
    <w:rsid w:val="009355FE"/>
    <w:rsid w:val="00935674"/>
    <w:rsid w:val="009358A5"/>
    <w:rsid w:val="0093590A"/>
    <w:rsid w:val="00935AEE"/>
    <w:rsid w:val="00935B1C"/>
    <w:rsid w:val="00935C91"/>
    <w:rsid w:val="00935D1C"/>
    <w:rsid w:val="0093609C"/>
    <w:rsid w:val="0093615D"/>
    <w:rsid w:val="00936313"/>
    <w:rsid w:val="009363F4"/>
    <w:rsid w:val="009365C9"/>
    <w:rsid w:val="00936764"/>
    <w:rsid w:val="0093680F"/>
    <w:rsid w:val="0093691A"/>
    <w:rsid w:val="00936C07"/>
    <w:rsid w:val="00936E53"/>
    <w:rsid w:val="00936F1F"/>
    <w:rsid w:val="009371BB"/>
    <w:rsid w:val="009371C0"/>
    <w:rsid w:val="009371F9"/>
    <w:rsid w:val="00937216"/>
    <w:rsid w:val="00937512"/>
    <w:rsid w:val="00937586"/>
    <w:rsid w:val="0093767A"/>
    <w:rsid w:val="009376C1"/>
    <w:rsid w:val="00937887"/>
    <w:rsid w:val="009378B1"/>
    <w:rsid w:val="0093790C"/>
    <w:rsid w:val="00937C7C"/>
    <w:rsid w:val="00937E5F"/>
    <w:rsid w:val="00940012"/>
    <w:rsid w:val="0094012B"/>
    <w:rsid w:val="009401D0"/>
    <w:rsid w:val="0094020E"/>
    <w:rsid w:val="009404B9"/>
    <w:rsid w:val="00940503"/>
    <w:rsid w:val="009406FD"/>
    <w:rsid w:val="0094082D"/>
    <w:rsid w:val="0094085D"/>
    <w:rsid w:val="009409AB"/>
    <w:rsid w:val="00940D00"/>
    <w:rsid w:val="00940DC0"/>
    <w:rsid w:val="00940E96"/>
    <w:rsid w:val="0094115E"/>
    <w:rsid w:val="009412B4"/>
    <w:rsid w:val="00941331"/>
    <w:rsid w:val="00941366"/>
    <w:rsid w:val="009413F3"/>
    <w:rsid w:val="00941407"/>
    <w:rsid w:val="009414F2"/>
    <w:rsid w:val="0094150D"/>
    <w:rsid w:val="0094162E"/>
    <w:rsid w:val="009417A0"/>
    <w:rsid w:val="009417AC"/>
    <w:rsid w:val="00941876"/>
    <w:rsid w:val="009418B6"/>
    <w:rsid w:val="0094192D"/>
    <w:rsid w:val="009419D2"/>
    <w:rsid w:val="00941A55"/>
    <w:rsid w:val="00941C43"/>
    <w:rsid w:val="00941CD9"/>
    <w:rsid w:val="00941EB3"/>
    <w:rsid w:val="00941EB5"/>
    <w:rsid w:val="00941F35"/>
    <w:rsid w:val="00941FBF"/>
    <w:rsid w:val="00942027"/>
    <w:rsid w:val="009420DD"/>
    <w:rsid w:val="00942176"/>
    <w:rsid w:val="009421B0"/>
    <w:rsid w:val="009424A2"/>
    <w:rsid w:val="0094256A"/>
    <w:rsid w:val="0094268A"/>
    <w:rsid w:val="009427B7"/>
    <w:rsid w:val="009427DD"/>
    <w:rsid w:val="0094281E"/>
    <w:rsid w:val="00942846"/>
    <w:rsid w:val="009428F0"/>
    <w:rsid w:val="00942908"/>
    <w:rsid w:val="00942A0B"/>
    <w:rsid w:val="00942BF8"/>
    <w:rsid w:val="00942DD4"/>
    <w:rsid w:val="00942DE6"/>
    <w:rsid w:val="00942F67"/>
    <w:rsid w:val="00943075"/>
    <w:rsid w:val="009430E6"/>
    <w:rsid w:val="0094317E"/>
    <w:rsid w:val="00943183"/>
    <w:rsid w:val="00943280"/>
    <w:rsid w:val="00943341"/>
    <w:rsid w:val="00943641"/>
    <w:rsid w:val="00943713"/>
    <w:rsid w:val="00943860"/>
    <w:rsid w:val="00943966"/>
    <w:rsid w:val="0094398B"/>
    <w:rsid w:val="009439F6"/>
    <w:rsid w:val="00943B24"/>
    <w:rsid w:val="00943B54"/>
    <w:rsid w:val="00943C5A"/>
    <w:rsid w:val="00943D89"/>
    <w:rsid w:val="00943EBE"/>
    <w:rsid w:val="00943F54"/>
    <w:rsid w:val="00943FD6"/>
    <w:rsid w:val="00944075"/>
    <w:rsid w:val="009441B4"/>
    <w:rsid w:val="0094423A"/>
    <w:rsid w:val="0094438E"/>
    <w:rsid w:val="009443BE"/>
    <w:rsid w:val="00944592"/>
    <w:rsid w:val="00944610"/>
    <w:rsid w:val="009446B1"/>
    <w:rsid w:val="0094479F"/>
    <w:rsid w:val="0094480B"/>
    <w:rsid w:val="00944832"/>
    <w:rsid w:val="00944898"/>
    <w:rsid w:val="009448D4"/>
    <w:rsid w:val="00944BC0"/>
    <w:rsid w:val="00944E9F"/>
    <w:rsid w:val="00944FA3"/>
    <w:rsid w:val="0094504E"/>
    <w:rsid w:val="009450AA"/>
    <w:rsid w:val="009451C1"/>
    <w:rsid w:val="009453A4"/>
    <w:rsid w:val="009454B4"/>
    <w:rsid w:val="009454C8"/>
    <w:rsid w:val="00945685"/>
    <w:rsid w:val="0094576D"/>
    <w:rsid w:val="009457F1"/>
    <w:rsid w:val="00945845"/>
    <w:rsid w:val="00945B68"/>
    <w:rsid w:val="00945D16"/>
    <w:rsid w:val="00945D92"/>
    <w:rsid w:val="00945E0D"/>
    <w:rsid w:val="00945FDA"/>
    <w:rsid w:val="00946004"/>
    <w:rsid w:val="0094606E"/>
    <w:rsid w:val="009462F7"/>
    <w:rsid w:val="00946347"/>
    <w:rsid w:val="00946413"/>
    <w:rsid w:val="009464C9"/>
    <w:rsid w:val="00946523"/>
    <w:rsid w:val="009466E9"/>
    <w:rsid w:val="009467FD"/>
    <w:rsid w:val="00946B8F"/>
    <w:rsid w:val="00946E8F"/>
    <w:rsid w:val="00946E9C"/>
    <w:rsid w:val="00946F8C"/>
    <w:rsid w:val="0094703C"/>
    <w:rsid w:val="009470D9"/>
    <w:rsid w:val="00947155"/>
    <w:rsid w:val="0094718F"/>
    <w:rsid w:val="009471EC"/>
    <w:rsid w:val="009472B2"/>
    <w:rsid w:val="009473E8"/>
    <w:rsid w:val="009473E9"/>
    <w:rsid w:val="0094760C"/>
    <w:rsid w:val="00947644"/>
    <w:rsid w:val="0094768F"/>
    <w:rsid w:val="009476E6"/>
    <w:rsid w:val="00947914"/>
    <w:rsid w:val="00947CD3"/>
    <w:rsid w:val="00947CE1"/>
    <w:rsid w:val="00947E43"/>
    <w:rsid w:val="00947FD8"/>
    <w:rsid w:val="00950068"/>
    <w:rsid w:val="009501AD"/>
    <w:rsid w:val="009504FD"/>
    <w:rsid w:val="00950692"/>
    <w:rsid w:val="009507B1"/>
    <w:rsid w:val="009509B9"/>
    <w:rsid w:val="00950C65"/>
    <w:rsid w:val="00950CFA"/>
    <w:rsid w:val="00950D0C"/>
    <w:rsid w:val="00950D0E"/>
    <w:rsid w:val="00950E2A"/>
    <w:rsid w:val="00950E2E"/>
    <w:rsid w:val="00950EBD"/>
    <w:rsid w:val="009510A1"/>
    <w:rsid w:val="0095122A"/>
    <w:rsid w:val="00951284"/>
    <w:rsid w:val="009512CF"/>
    <w:rsid w:val="00951332"/>
    <w:rsid w:val="0095155B"/>
    <w:rsid w:val="00951660"/>
    <w:rsid w:val="009516E9"/>
    <w:rsid w:val="00951794"/>
    <w:rsid w:val="009518D0"/>
    <w:rsid w:val="00951983"/>
    <w:rsid w:val="00951A32"/>
    <w:rsid w:val="00951C79"/>
    <w:rsid w:val="00951D1A"/>
    <w:rsid w:val="00951D59"/>
    <w:rsid w:val="00951DA8"/>
    <w:rsid w:val="00951E73"/>
    <w:rsid w:val="00951E79"/>
    <w:rsid w:val="00951FEB"/>
    <w:rsid w:val="0095201F"/>
    <w:rsid w:val="00952450"/>
    <w:rsid w:val="009524D9"/>
    <w:rsid w:val="00952713"/>
    <w:rsid w:val="0095286F"/>
    <w:rsid w:val="00952B13"/>
    <w:rsid w:val="00952D93"/>
    <w:rsid w:val="00952EF0"/>
    <w:rsid w:val="00952F0F"/>
    <w:rsid w:val="00952FCC"/>
    <w:rsid w:val="00953066"/>
    <w:rsid w:val="009531CD"/>
    <w:rsid w:val="009533BA"/>
    <w:rsid w:val="009535A1"/>
    <w:rsid w:val="0095361A"/>
    <w:rsid w:val="0095373E"/>
    <w:rsid w:val="00953D54"/>
    <w:rsid w:val="00953E39"/>
    <w:rsid w:val="00953FAE"/>
    <w:rsid w:val="00954102"/>
    <w:rsid w:val="00954166"/>
    <w:rsid w:val="00954342"/>
    <w:rsid w:val="009544DC"/>
    <w:rsid w:val="009545C1"/>
    <w:rsid w:val="009547D1"/>
    <w:rsid w:val="0095488E"/>
    <w:rsid w:val="0095489E"/>
    <w:rsid w:val="00954A4D"/>
    <w:rsid w:val="00954BA2"/>
    <w:rsid w:val="00954C11"/>
    <w:rsid w:val="00954E78"/>
    <w:rsid w:val="00954E89"/>
    <w:rsid w:val="00954F97"/>
    <w:rsid w:val="0095511C"/>
    <w:rsid w:val="00955197"/>
    <w:rsid w:val="0095527E"/>
    <w:rsid w:val="009552B6"/>
    <w:rsid w:val="009553A7"/>
    <w:rsid w:val="0095542D"/>
    <w:rsid w:val="0095569A"/>
    <w:rsid w:val="009556F3"/>
    <w:rsid w:val="00955876"/>
    <w:rsid w:val="00955905"/>
    <w:rsid w:val="0095594E"/>
    <w:rsid w:val="00955974"/>
    <w:rsid w:val="00955A48"/>
    <w:rsid w:val="00955A4B"/>
    <w:rsid w:val="00955C8D"/>
    <w:rsid w:val="00955D18"/>
    <w:rsid w:val="00955EAF"/>
    <w:rsid w:val="00955FAA"/>
    <w:rsid w:val="0095605D"/>
    <w:rsid w:val="00956173"/>
    <w:rsid w:val="00956203"/>
    <w:rsid w:val="00956213"/>
    <w:rsid w:val="00956261"/>
    <w:rsid w:val="009562AA"/>
    <w:rsid w:val="009562FC"/>
    <w:rsid w:val="0095650E"/>
    <w:rsid w:val="00956618"/>
    <w:rsid w:val="00956623"/>
    <w:rsid w:val="009566BB"/>
    <w:rsid w:val="0095683A"/>
    <w:rsid w:val="00956B2D"/>
    <w:rsid w:val="00956B92"/>
    <w:rsid w:val="00956BA9"/>
    <w:rsid w:val="00956D7E"/>
    <w:rsid w:val="00956DF4"/>
    <w:rsid w:val="00956E1C"/>
    <w:rsid w:val="00956F3C"/>
    <w:rsid w:val="00957393"/>
    <w:rsid w:val="00957435"/>
    <w:rsid w:val="009575CB"/>
    <w:rsid w:val="009575CD"/>
    <w:rsid w:val="00957A34"/>
    <w:rsid w:val="00957A5A"/>
    <w:rsid w:val="00957AD6"/>
    <w:rsid w:val="00957B59"/>
    <w:rsid w:val="00957D8E"/>
    <w:rsid w:val="00957E40"/>
    <w:rsid w:val="00957F66"/>
    <w:rsid w:val="00960024"/>
    <w:rsid w:val="009601A6"/>
    <w:rsid w:val="0096050E"/>
    <w:rsid w:val="00960514"/>
    <w:rsid w:val="0096051D"/>
    <w:rsid w:val="00960583"/>
    <w:rsid w:val="0096059B"/>
    <w:rsid w:val="00960642"/>
    <w:rsid w:val="00960AA0"/>
    <w:rsid w:val="00960C4C"/>
    <w:rsid w:val="00960CB6"/>
    <w:rsid w:val="00961231"/>
    <w:rsid w:val="0096126D"/>
    <w:rsid w:val="009613E7"/>
    <w:rsid w:val="00961414"/>
    <w:rsid w:val="0096141D"/>
    <w:rsid w:val="00961649"/>
    <w:rsid w:val="009618C2"/>
    <w:rsid w:val="00961B14"/>
    <w:rsid w:val="00961C8C"/>
    <w:rsid w:val="00961EF1"/>
    <w:rsid w:val="00961F1F"/>
    <w:rsid w:val="00961F37"/>
    <w:rsid w:val="00962202"/>
    <w:rsid w:val="00962294"/>
    <w:rsid w:val="0096231B"/>
    <w:rsid w:val="0096233D"/>
    <w:rsid w:val="00962368"/>
    <w:rsid w:val="009623BF"/>
    <w:rsid w:val="009623F2"/>
    <w:rsid w:val="009625A9"/>
    <w:rsid w:val="009625B0"/>
    <w:rsid w:val="00962805"/>
    <w:rsid w:val="009629E9"/>
    <w:rsid w:val="00962A2F"/>
    <w:rsid w:val="00962A84"/>
    <w:rsid w:val="00962E52"/>
    <w:rsid w:val="00962F0A"/>
    <w:rsid w:val="00962F5C"/>
    <w:rsid w:val="00963023"/>
    <w:rsid w:val="00963052"/>
    <w:rsid w:val="009630AD"/>
    <w:rsid w:val="009630CC"/>
    <w:rsid w:val="0096310E"/>
    <w:rsid w:val="0096317F"/>
    <w:rsid w:val="0096322B"/>
    <w:rsid w:val="009632BF"/>
    <w:rsid w:val="0096347C"/>
    <w:rsid w:val="009634B5"/>
    <w:rsid w:val="00963551"/>
    <w:rsid w:val="009635F0"/>
    <w:rsid w:val="009636CD"/>
    <w:rsid w:val="0096370A"/>
    <w:rsid w:val="009637C0"/>
    <w:rsid w:val="009638A1"/>
    <w:rsid w:val="00963A43"/>
    <w:rsid w:val="00963A5C"/>
    <w:rsid w:val="00963D71"/>
    <w:rsid w:val="00964048"/>
    <w:rsid w:val="009640B1"/>
    <w:rsid w:val="009641D2"/>
    <w:rsid w:val="0096424B"/>
    <w:rsid w:val="009642B4"/>
    <w:rsid w:val="00964873"/>
    <w:rsid w:val="009648FA"/>
    <w:rsid w:val="009649BE"/>
    <w:rsid w:val="00964AD3"/>
    <w:rsid w:val="00964C18"/>
    <w:rsid w:val="00964DEB"/>
    <w:rsid w:val="00964E25"/>
    <w:rsid w:val="00964F4F"/>
    <w:rsid w:val="00965012"/>
    <w:rsid w:val="0096526E"/>
    <w:rsid w:val="00965286"/>
    <w:rsid w:val="009652B8"/>
    <w:rsid w:val="009653E4"/>
    <w:rsid w:val="00965449"/>
    <w:rsid w:val="009654B3"/>
    <w:rsid w:val="009654C8"/>
    <w:rsid w:val="0096558D"/>
    <w:rsid w:val="00965667"/>
    <w:rsid w:val="00965671"/>
    <w:rsid w:val="00965673"/>
    <w:rsid w:val="0096584B"/>
    <w:rsid w:val="00965890"/>
    <w:rsid w:val="009658D4"/>
    <w:rsid w:val="009658DD"/>
    <w:rsid w:val="0096593A"/>
    <w:rsid w:val="00965974"/>
    <w:rsid w:val="009659B2"/>
    <w:rsid w:val="00965BD6"/>
    <w:rsid w:val="00965C24"/>
    <w:rsid w:val="00965C91"/>
    <w:rsid w:val="00965EA0"/>
    <w:rsid w:val="009660F6"/>
    <w:rsid w:val="009661CC"/>
    <w:rsid w:val="0096626A"/>
    <w:rsid w:val="009662E7"/>
    <w:rsid w:val="009663E6"/>
    <w:rsid w:val="009667C8"/>
    <w:rsid w:val="00966846"/>
    <w:rsid w:val="00966C5C"/>
    <w:rsid w:val="00966CBB"/>
    <w:rsid w:val="00966CE0"/>
    <w:rsid w:val="00967023"/>
    <w:rsid w:val="00967267"/>
    <w:rsid w:val="009674CE"/>
    <w:rsid w:val="009674F3"/>
    <w:rsid w:val="00967543"/>
    <w:rsid w:val="00967555"/>
    <w:rsid w:val="009675E2"/>
    <w:rsid w:val="0096767F"/>
    <w:rsid w:val="0096779E"/>
    <w:rsid w:val="009677C5"/>
    <w:rsid w:val="0096782C"/>
    <w:rsid w:val="00967880"/>
    <w:rsid w:val="009679C9"/>
    <w:rsid w:val="00967C31"/>
    <w:rsid w:val="00967D91"/>
    <w:rsid w:val="00967FCB"/>
    <w:rsid w:val="00970019"/>
    <w:rsid w:val="00970241"/>
    <w:rsid w:val="00970259"/>
    <w:rsid w:val="009702AD"/>
    <w:rsid w:val="0097047F"/>
    <w:rsid w:val="00970663"/>
    <w:rsid w:val="00970678"/>
    <w:rsid w:val="00970955"/>
    <w:rsid w:val="009709D6"/>
    <w:rsid w:val="00970A06"/>
    <w:rsid w:val="00970AAB"/>
    <w:rsid w:val="00970B08"/>
    <w:rsid w:val="00970C2C"/>
    <w:rsid w:val="00970D0F"/>
    <w:rsid w:val="00970D84"/>
    <w:rsid w:val="00970DDF"/>
    <w:rsid w:val="00970E94"/>
    <w:rsid w:val="00970EEB"/>
    <w:rsid w:val="00970F55"/>
    <w:rsid w:val="009713FB"/>
    <w:rsid w:val="00971526"/>
    <w:rsid w:val="00971528"/>
    <w:rsid w:val="0097164B"/>
    <w:rsid w:val="0097166B"/>
    <w:rsid w:val="00971786"/>
    <w:rsid w:val="00971817"/>
    <w:rsid w:val="00971879"/>
    <w:rsid w:val="00971AFD"/>
    <w:rsid w:val="00971B68"/>
    <w:rsid w:val="00971C87"/>
    <w:rsid w:val="00971E61"/>
    <w:rsid w:val="00971E65"/>
    <w:rsid w:val="0097203B"/>
    <w:rsid w:val="00972349"/>
    <w:rsid w:val="00972394"/>
    <w:rsid w:val="009723DD"/>
    <w:rsid w:val="00972403"/>
    <w:rsid w:val="00972451"/>
    <w:rsid w:val="0097253C"/>
    <w:rsid w:val="00972A36"/>
    <w:rsid w:val="00972BFF"/>
    <w:rsid w:val="00972C79"/>
    <w:rsid w:val="00972D40"/>
    <w:rsid w:val="00972EB7"/>
    <w:rsid w:val="00972FCC"/>
    <w:rsid w:val="0097350D"/>
    <w:rsid w:val="00973619"/>
    <w:rsid w:val="009736DC"/>
    <w:rsid w:val="0097383F"/>
    <w:rsid w:val="009739F8"/>
    <w:rsid w:val="00973ABE"/>
    <w:rsid w:val="00973B28"/>
    <w:rsid w:val="00973DDD"/>
    <w:rsid w:val="00974024"/>
    <w:rsid w:val="0097423C"/>
    <w:rsid w:val="00974296"/>
    <w:rsid w:val="00974538"/>
    <w:rsid w:val="009745A4"/>
    <w:rsid w:val="009745CF"/>
    <w:rsid w:val="00974640"/>
    <w:rsid w:val="00974664"/>
    <w:rsid w:val="009746CF"/>
    <w:rsid w:val="0097471C"/>
    <w:rsid w:val="009747AE"/>
    <w:rsid w:val="00974947"/>
    <w:rsid w:val="009749F8"/>
    <w:rsid w:val="00974B6D"/>
    <w:rsid w:val="00974D8B"/>
    <w:rsid w:val="00974E1F"/>
    <w:rsid w:val="00974EBC"/>
    <w:rsid w:val="009751E5"/>
    <w:rsid w:val="00975447"/>
    <w:rsid w:val="00975460"/>
    <w:rsid w:val="009755AF"/>
    <w:rsid w:val="0097566E"/>
    <w:rsid w:val="00975799"/>
    <w:rsid w:val="009757DA"/>
    <w:rsid w:val="00975848"/>
    <w:rsid w:val="00975915"/>
    <w:rsid w:val="00975945"/>
    <w:rsid w:val="00975A52"/>
    <w:rsid w:val="00975AF0"/>
    <w:rsid w:val="00975B74"/>
    <w:rsid w:val="00975C36"/>
    <w:rsid w:val="00975C37"/>
    <w:rsid w:val="00975C64"/>
    <w:rsid w:val="00975CFB"/>
    <w:rsid w:val="00975E3F"/>
    <w:rsid w:val="009760EA"/>
    <w:rsid w:val="00976286"/>
    <w:rsid w:val="009762A8"/>
    <w:rsid w:val="009764B0"/>
    <w:rsid w:val="009764CB"/>
    <w:rsid w:val="0097664B"/>
    <w:rsid w:val="00976731"/>
    <w:rsid w:val="0097677E"/>
    <w:rsid w:val="009767DA"/>
    <w:rsid w:val="009768F7"/>
    <w:rsid w:val="00976921"/>
    <w:rsid w:val="00976A4C"/>
    <w:rsid w:val="00976ADA"/>
    <w:rsid w:val="00976B2B"/>
    <w:rsid w:val="00976B7A"/>
    <w:rsid w:val="00976E38"/>
    <w:rsid w:val="00976F86"/>
    <w:rsid w:val="00977052"/>
    <w:rsid w:val="00977357"/>
    <w:rsid w:val="00977439"/>
    <w:rsid w:val="009774AB"/>
    <w:rsid w:val="0097764D"/>
    <w:rsid w:val="009777C7"/>
    <w:rsid w:val="0097788E"/>
    <w:rsid w:val="00977928"/>
    <w:rsid w:val="00977C60"/>
    <w:rsid w:val="00977EBC"/>
    <w:rsid w:val="00977F43"/>
    <w:rsid w:val="00977F4F"/>
    <w:rsid w:val="00977FCA"/>
    <w:rsid w:val="0098031D"/>
    <w:rsid w:val="00980348"/>
    <w:rsid w:val="00980383"/>
    <w:rsid w:val="009803FF"/>
    <w:rsid w:val="0098041E"/>
    <w:rsid w:val="009804DE"/>
    <w:rsid w:val="009805BA"/>
    <w:rsid w:val="0098099A"/>
    <w:rsid w:val="00980A63"/>
    <w:rsid w:val="00980C03"/>
    <w:rsid w:val="00980C8C"/>
    <w:rsid w:val="00980DDB"/>
    <w:rsid w:val="00980DEC"/>
    <w:rsid w:val="00980F90"/>
    <w:rsid w:val="0098105E"/>
    <w:rsid w:val="009811F7"/>
    <w:rsid w:val="00981278"/>
    <w:rsid w:val="009812F6"/>
    <w:rsid w:val="009814A2"/>
    <w:rsid w:val="00981526"/>
    <w:rsid w:val="009815AD"/>
    <w:rsid w:val="00981612"/>
    <w:rsid w:val="0098188B"/>
    <w:rsid w:val="00981AEF"/>
    <w:rsid w:val="00981B0D"/>
    <w:rsid w:val="00981B7C"/>
    <w:rsid w:val="00981E60"/>
    <w:rsid w:val="00981EE5"/>
    <w:rsid w:val="00981FDF"/>
    <w:rsid w:val="009820E8"/>
    <w:rsid w:val="0098218F"/>
    <w:rsid w:val="009821B4"/>
    <w:rsid w:val="0098221B"/>
    <w:rsid w:val="009822FA"/>
    <w:rsid w:val="0098243D"/>
    <w:rsid w:val="009825B4"/>
    <w:rsid w:val="00982631"/>
    <w:rsid w:val="00982965"/>
    <w:rsid w:val="0098299D"/>
    <w:rsid w:val="00982AB8"/>
    <w:rsid w:val="00982B68"/>
    <w:rsid w:val="00982C38"/>
    <w:rsid w:val="00982CD0"/>
    <w:rsid w:val="00982CD8"/>
    <w:rsid w:val="00982D6F"/>
    <w:rsid w:val="00982DAD"/>
    <w:rsid w:val="00982DEF"/>
    <w:rsid w:val="00982DF2"/>
    <w:rsid w:val="00982E17"/>
    <w:rsid w:val="00982E8D"/>
    <w:rsid w:val="00982EB4"/>
    <w:rsid w:val="00982EE4"/>
    <w:rsid w:val="00982FFF"/>
    <w:rsid w:val="00983351"/>
    <w:rsid w:val="009833F2"/>
    <w:rsid w:val="0098340F"/>
    <w:rsid w:val="0098369D"/>
    <w:rsid w:val="009836CC"/>
    <w:rsid w:val="009837DC"/>
    <w:rsid w:val="009838BE"/>
    <w:rsid w:val="00983A84"/>
    <w:rsid w:val="00983CD5"/>
    <w:rsid w:val="00983CF1"/>
    <w:rsid w:val="00983F0A"/>
    <w:rsid w:val="009840F2"/>
    <w:rsid w:val="009841E4"/>
    <w:rsid w:val="00984224"/>
    <w:rsid w:val="00984278"/>
    <w:rsid w:val="0098435C"/>
    <w:rsid w:val="00984384"/>
    <w:rsid w:val="0098448A"/>
    <w:rsid w:val="009846A6"/>
    <w:rsid w:val="0098470E"/>
    <w:rsid w:val="00984755"/>
    <w:rsid w:val="009847C8"/>
    <w:rsid w:val="0098492C"/>
    <w:rsid w:val="009849C8"/>
    <w:rsid w:val="00984A22"/>
    <w:rsid w:val="00984AE4"/>
    <w:rsid w:val="00984B76"/>
    <w:rsid w:val="00984BBA"/>
    <w:rsid w:val="00984BEF"/>
    <w:rsid w:val="00984D9C"/>
    <w:rsid w:val="00984E50"/>
    <w:rsid w:val="00984FBA"/>
    <w:rsid w:val="00985109"/>
    <w:rsid w:val="009852AC"/>
    <w:rsid w:val="00985317"/>
    <w:rsid w:val="00985358"/>
    <w:rsid w:val="009853CC"/>
    <w:rsid w:val="009853DF"/>
    <w:rsid w:val="00985605"/>
    <w:rsid w:val="0098566E"/>
    <w:rsid w:val="00985670"/>
    <w:rsid w:val="009856F9"/>
    <w:rsid w:val="0098582A"/>
    <w:rsid w:val="00985A61"/>
    <w:rsid w:val="00985BC3"/>
    <w:rsid w:val="00985BC5"/>
    <w:rsid w:val="00985E3A"/>
    <w:rsid w:val="00986151"/>
    <w:rsid w:val="0098621C"/>
    <w:rsid w:val="00986392"/>
    <w:rsid w:val="00986528"/>
    <w:rsid w:val="0098664B"/>
    <w:rsid w:val="00986841"/>
    <w:rsid w:val="00986940"/>
    <w:rsid w:val="00986A68"/>
    <w:rsid w:val="00986AE2"/>
    <w:rsid w:val="00986BD7"/>
    <w:rsid w:val="00986C57"/>
    <w:rsid w:val="00986D24"/>
    <w:rsid w:val="00986DD0"/>
    <w:rsid w:val="00986E2A"/>
    <w:rsid w:val="00986F6A"/>
    <w:rsid w:val="00987196"/>
    <w:rsid w:val="009872B3"/>
    <w:rsid w:val="009873B4"/>
    <w:rsid w:val="00987455"/>
    <w:rsid w:val="00987578"/>
    <w:rsid w:val="009875AD"/>
    <w:rsid w:val="0098778C"/>
    <w:rsid w:val="009878DB"/>
    <w:rsid w:val="0098799F"/>
    <w:rsid w:val="00987A36"/>
    <w:rsid w:val="00987B71"/>
    <w:rsid w:val="00987BF0"/>
    <w:rsid w:val="00987CEC"/>
    <w:rsid w:val="00987E8F"/>
    <w:rsid w:val="00987F94"/>
    <w:rsid w:val="0098A149"/>
    <w:rsid w:val="00990152"/>
    <w:rsid w:val="009901E2"/>
    <w:rsid w:val="009901F0"/>
    <w:rsid w:val="009902F3"/>
    <w:rsid w:val="00990397"/>
    <w:rsid w:val="009903AB"/>
    <w:rsid w:val="00990636"/>
    <w:rsid w:val="00990785"/>
    <w:rsid w:val="009907A7"/>
    <w:rsid w:val="009908B4"/>
    <w:rsid w:val="00990A23"/>
    <w:rsid w:val="00990AA8"/>
    <w:rsid w:val="00990B7E"/>
    <w:rsid w:val="00990BA8"/>
    <w:rsid w:val="00990D89"/>
    <w:rsid w:val="00990DDE"/>
    <w:rsid w:val="00990F33"/>
    <w:rsid w:val="0099124B"/>
    <w:rsid w:val="009912AB"/>
    <w:rsid w:val="00991367"/>
    <w:rsid w:val="0099138A"/>
    <w:rsid w:val="00991650"/>
    <w:rsid w:val="0099176F"/>
    <w:rsid w:val="00991797"/>
    <w:rsid w:val="00991899"/>
    <w:rsid w:val="009918B9"/>
    <w:rsid w:val="00991A23"/>
    <w:rsid w:val="00991D45"/>
    <w:rsid w:val="00991D61"/>
    <w:rsid w:val="00991E45"/>
    <w:rsid w:val="00991F48"/>
    <w:rsid w:val="00992057"/>
    <w:rsid w:val="00992284"/>
    <w:rsid w:val="009922D8"/>
    <w:rsid w:val="009925D8"/>
    <w:rsid w:val="009926C8"/>
    <w:rsid w:val="0099275C"/>
    <w:rsid w:val="0099275F"/>
    <w:rsid w:val="00992A9D"/>
    <w:rsid w:val="00992C90"/>
    <w:rsid w:val="00992EB7"/>
    <w:rsid w:val="00992EEC"/>
    <w:rsid w:val="009931F6"/>
    <w:rsid w:val="00993294"/>
    <w:rsid w:val="009933CD"/>
    <w:rsid w:val="00993926"/>
    <w:rsid w:val="00993A15"/>
    <w:rsid w:val="00993AE6"/>
    <w:rsid w:val="00993B9C"/>
    <w:rsid w:val="00993F93"/>
    <w:rsid w:val="00993FF1"/>
    <w:rsid w:val="00993FF7"/>
    <w:rsid w:val="009940EC"/>
    <w:rsid w:val="0099416D"/>
    <w:rsid w:val="009941B9"/>
    <w:rsid w:val="009943F3"/>
    <w:rsid w:val="00994503"/>
    <w:rsid w:val="00994574"/>
    <w:rsid w:val="0099460B"/>
    <w:rsid w:val="00994961"/>
    <w:rsid w:val="00994A6E"/>
    <w:rsid w:val="00995135"/>
    <w:rsid w:val="0099518E"/>
    <w:rsid w:val="009951DA"/>
    <w:rsid w:val="00995250"/>
    <w:rsid w:val="0099547D"/>
    <w:rsid w:val="0099553A"/>
    <w:rsid w:val="00995579"/>
    <w:rsid w:val="0099571F"/>
    <w:rsid w:val="00995740"/>
    <w:rsid w:val="00995964"/>
    <w:rsid w:val="009959AC"/>
    <w:rsid w:val="00995A5B"/>
    <w:rsid w:val="00995B43"/>
    <w:rsid w:val="00995BDB"/>
    <w:rsid w:val="00995C4A"/>
    <w:rsid w:val="00995CD2"/>
    <w:rsid w:val="00995E21"/>
    <w:rsid w:val="00995F2E"/>
    <w:rsid w:val="00996061"/>
    <w:rsid w:val="009961B5"/>
    <w:rsid w:val="00996445"/>
    <w:rsid w:val="009964BB"/>
    <w:rsid w:val="0099651B"/>
    <w:rsid w:val="009965FB"/>
    <w:rsid w:val="00996935"/>
    <w:rsid w:val="00996996"/>
    <w:rsid w:val="00996B81"/>
    <w:rsid w:val="00996BA5"/>
    <w:rsid w:val="00996BF8"/>
    <w:rsid w:val="00996C36"/>
    <w:rsid w:val="00996CBE"/>
    <w:rsid w:val="00996D0F"/>
    <w:rsid w:val="00996DF9"/>
    <w:rsid w:val="00996E3B"/>
    <w:rsid w:val="00996E52"/>
    <w:rsid w:val="00996E79"/>
    <w:rsid w:val="00997021"/>
    <w:rsid w:val="00997034"/>
    <w:rsid w:val="009970DD"/>
    <w:rsid w:val="00997295"/>
    <w:rsid w:val="009972F6"/>
    <w:rsid w:val="00997490"/>
    <w:rsid w:val="009975E1"/>
    <w:rsid w:val="009976E5"/>
    <w:rsid w:val="0099779B"/>
    <w:rsid w:val="009978BC"/>
    <w:rsid w:val="009979DD"/>
    <w:rsid w:val="00997B37"/>
    <w:rsid w:val="00997B6A"/>
    <w:rsid w:val="00997CC9"/>
    <w:rsid w:val="00997D99"/>
    <w:rsid w:val="00997F01"/>
    <w:rsid w:val="00997F6C"/>
    <w:rsid w:val="009A020A"/>
    <w:rsid w:val="009A0296"/>
    <w:rsid w:val="009A02B5"/>
    <w:rsid w:val="009A0343"/>
    <w:rsid w:val="009A0464"/>
    <w:rsid w:val="009A0889"/>
    <w:rsid w:val="009A0967"/>
    <w:rsid w:val="009A0C9A"/>
    <w:rsid w:val="009A0D40"/>
    <w:rsid w:val="009A0D9F"/>
    <w:rsid w:val="009A0FFB"/>
    <w:rsid w:val="009A1034"/>
    <w:rsid w:val="009A10E7"/>
    <w:rsid w:val="009A1147"/>
    <w:rsid w:val="009A136D"/>
    <w:rsid w:val="009A139A"/>
    <w:rsid w:val="009A13DB"/>
    <w:rsid w:val="009A1487"/>
    <w:rsid w:val="009A14C2"/>
    <w:rsid w:val="009A16AE"/>
    <w:rsid w:val="009A185C"/>
    <w:rsid w:val="009A1987"/>
    <w:rsid w:val="009A1A4C"/>
    <w:rsid w:val="009A1AF2"/>
    <w:rsid w:val="009A1C82"/>
    <w:rsid w:val="009A1CB2"/>
    <w:rsid w:val="009A1DED"/>
    <w:rsid w:val="009A1E2F"/>
    <w:rsid w:val="009A1F5E"/>
    <w:rsid w:val="009A1FC7"/>
    <w:rsid w:val="009A203F"/>
    <w:rsid w:val="009A21E4"/>
    <w:rsid w:val="009A236E"/>
    <w:rsid w:val="009A244F"/>
    <w:rsid w:val="009A26B9"/>
    <w:rsid w:val="009A28E0"/>
    <w:rsid w:val="009A2902"/>
    <w:rsid w:val="009A2AD1"/>
    <w:rsid w:val="009A2B69"/>
    <w:rsid w:val="009A2BAB"/>
    <w:rsid w:val="009A2CE1"/>
    <w:rsid w:val="009A2DFF"/>
    <w:rsid w:val="009A2ECA"/>
    <w:rsid w:val="009A2EDA"/>
    <w:rsid w:val="009A2FDC"/>
    <w:rsid w:val="009A309F"/>
    <w:rsid w:val="009A33F3"/>
    <w:rsid w:val="009A33F9"/>
    <w:rsid w:val="009A3437"/>
    <w:rsid w:val="009A3616"/>
    <w:rsid w:val="009A3625"/>
    <w:rsid w:val="009A379C"/>
    <w:rsid w:val="009A37A2"/>
    <w:rsid w:val="009A3A40"/>
    <w:rsid w:val="009A3B07"/>
    <w:rsid w:val="009A3BE6"/>
    <w:rsid w:val="009A3CD5"/>
    <w:rsid w:val="009A3E95"/>
    <w:rsid w:val="009A3F0C"/>
    <w:rsid w:val="009A3F8A"/>
    <w:rsid w:val="009A40B3"/>
    <w:rsid w:val="009A43CA"/>
    <w:rsid w:val="009A442A"/>
    <w:rsid w:val="009A4584"/>
    <w:rsid w:val="009A4831"/>
    <w:rsid w:val="009A48E5"/>
    <w:rsid w:val="009A4AA8"/>
    <w:rsid w:val="009A4AC0"/>
    <w:rsid w:val="009A4B5A"/>
    <w:rsid w:val="009A4C00"/>
    <w:rsid w:val="009A4CAF"/>
    <w:rsid w:val="009A4DB4"/>
    <w:rsid w:val="009A4DF0"/>
    <w:rsid w:val="009A5160"/>
    <w:rsid w:val="009A51EB"/>
    <w:rsid w:val="009A51FF"/>
    <w:rsid w:val="009A520B"/>
    <w:rsid w:val="009A5368"/>
    <w:rsid w:val="009A54F8"/>
    <w:rsid w:val="009A5543"/>
    <w:rsid w:val="009A55CB"/>
    <w:rsid w:val="009A55DA"/>
    <w:rsid w:val="009A565E"/>
    <w:rsid w:val="009A56AD"/>
    <w:rsid w:val="009A5758"/>
    <w:rsid w:val="009A5819"/>
    <w:rsid w:val="009A585D"/>
    <w:rsid w:val="009A59A5"/>
    <w:rsid w:val="009A59EA"/>
    <w:rsid w:val="009A5AF2"/>
    <w:rsid w:val="009A5CEC"/>
    <w:rsid w:val="009A5D78"/>
    <w:rsid w:val="009A5E1F"/>
    <w:rsid w:val="009A5E67"/>
    <w:rsid w:val="009A5F3C"/>
    <w:rsid w:val="009A5F65"/>
    <w:rsid w:val="009A5FB8"/>
    <w:rsid w:val="009A6094"/>
    <w:rsid w:val="009A628D"/>
    <w:rsid w:val="009A62B8"/>
    <w:rsid w:val="009A636A"/>
    <w:rsid w:val="009A63B2"/>
    <w:rsid w:val="009A63CB"/>
    <w:rsid w:val="009A6405"/>
    <w:rsid w:val="009A6460"/>
    <w:rsid w:val="009A64B0"/>
    <w:rsid w:val="009A6502"/>
    <w:rsid w:val="009A654F"/>
    <w:rsid w:val="009A6920"/>
    <w:rsid w:val="009A6951"/>
    <w:rsid w:val="009A69EC"/>
    <w:rsid w:val="009A6A10"/>
    <w:rsid w:val="009A6C24"/>
    <w:rsid w:val="009A6C2A"/>
    <w:rsid w:val="009A6D45"/>
    <w:rsid w:val="009A6E10"/>
    <w:rsid w:val="009A7027"/>
    <w:rsid w:val="009A70A2"/>
    <w:rsid w:val="009A7208"/>
    <w:rsid w:val="009A7294"/>
    <w:rsid w:val="009A739A"/>
    <w:rsid w:val="009A74AF"/>
    <w:rsid w:val="009A753B"/>
    <w:rsid w:val="009A754E"/>
    <w:rsid w:val="009A75E0"/>
    <w:rsid w:val="009A763E"/>
    <w:rsid w:val="009A76B2"/>
    <w:rsid w:val="009A7851"/>
    <w:rsid w:val="009A793C"/>
    <w:rsid w:val="009A79C5"/>
    <w:rsid w:val="009A79C9"/>
    <w:rsid w:val="009A7AF7"/>
    <w:rsid w:val="009A7B7F"/>
    <w:rsid w:val="009A7E5B"/>
    <w:rsid w:val="009A7F85"/>
    <w:rsid w:val="009B00F7"/>
    <w:rsid w:val="009B0CC6"/>
    <w:rsid w:val="009B0E26"/>
    <w:rsid w:val="009B0EB6"/>
    <w:rsid w:val="009B0ED5"/>
    <w:rsid w:val="009B1344"/>
    <w:rsid w:val="009B13BA"/>
    <w:rsid w:val="009B19C5"/>
    <w:rsid w:val="009B1AB3"/>
    <w:rsid w:val="009B1DEB"/>
    <w:rsid w:val="009B1E03"/>
    <w:rsid w:val="009B1E96"/>
    <w:rsid w:val="009B1FDD"/>
    <w:rsid w:val="009B2095"/>
    <w:rsid w:val="009B21A0"/>
    <w:rsid w:val="009B2558"/>
    <w:rsid w:val="009B2689"/>
    <w:rsid w:val="009B26DD"/>
    <w:rsid w:val="009B2723"/>
    <w:rsid w:val="009B28BF"/>
    <w:rsid w:val="009B2BCE"/>
    <w:rsid w:val="009B2F83"/>
    <w:rsid w:val="009B30A4"/>
    <w:rsid w:val="009B30CE"/>
    <w:rsid w:val="009B315F"/>
    <w:rsid w:val="009B3240"/>
    <w:rsid w:val="009B3485"/>
    <w:rsid w:val="009B360D"/>
    <w:rsid w:val="009B3625"/>
    <w:rsid w:val="009B38EC"/>
    <w:rsid w:val="009B393D"/>
    <w:rsid w:val="009B3941"/>
    <w:rsid w:val="009B3A6E"/>
    <w:rsid w:val="009B3D16"/>
    <w:rsid w:val="009B3D7D"/>
    <w:rsid w:val="009B3F2B"/>
    <w:rsid w:val="009B4127"/>
    <w:rsid w:val="009B4209"/>
    <w:rsid w:val="009B426F"/>
    <w:rsid w:val="009B445F"/>
    <w:rsid w:val="009B453F"/>
    <w:rsid w:val="009B46F4"/>
    <w:rsid w:val="009B484D"/>
    <w:rsid w:val="009B4909"/>
    <w:rsid w:val="009B497C"/>
    <w:rsid w:val="009B4A8C"/>
    <w:rsid w:val="009B4CF9"/>
    <w:rsid w:val="009B4E59"/>
    <w:rsid w:val="009B4EBE"/>
    <w:rsid w:val="009B4FEF"/>
    <w:rsid w:val="009B504A"/>
    <w:rsid w:val="009B50CB"/>
    <w:rsid w:val="009B512A"/>
    <w:rsid w:val="009B51F8"/>
    <w:rsid w:val="009B521A"/>
    <w:rsid w:val="009B5363"/>
    <w:rsid w:val="009B54A4"/>
    <w:rsid w:val="009B5541"/>
    <w:rsid w:val="009B5880"/>
    <w:rsid w:val="009B5910"/>
    <w:rsid w:val="009B5997"/>
    <w:rsid w:val="009B5ABD"/>
    <w:rsid w:val="009B5BAD"/>
    <w:rsid w:val="009B5C70"/>
    <w:rsid w:val="009B5CCF"/>
    <w:rsid w:val="009B5FC4"/>
    <w:rsid w:val="009B600D"/>
    <w:rsid w:val="009B603D"/>
    <w:rsid w:val="009B614C"/>
    <w:rsid w:val="009B61A9"/>
    <w:rsid w:val="009B6262"/>
    <w:rsid w:val="009B657A"/>
    <w:rsid w:val="009B661D"/>
    <w:rsid w:val="009B6649"/>
    <w:rsid w:val="009B68B1"/>
    <w:rsid w:val="009B6C64"/>
    <w:rsid w:val="009B6C98"/>
    <w:rsid w:val="009B6D8A"/>
    <w:rsid w:val="009B6D98"/>
    <w:rsid w:val="009B6DCC"/>
    <w:rsid w:val="009B6E7B"/>
    <w:rsid w:val="009B6F7F"/>
    <w:rsid w:val="009B6FCF"/>
    <w:rsid w:val="009B70A9"/>
    <w:rsid w:val="009B73DD"/>
    <w:rsid w:val="009B750B"/>
    <w:rsid w:val="009B759A"/>
    <w:rsid w:val="009B77EC"/>
    <w:rsid w:val="009B7A0C"/>
    <w:rsid w:val="009B7BCB"/>
    <w:rsid w:val="009B7CC9"/>
    <w:rsid w:val="009B7E1C"/>
    <w:rsid w:val="009B7F26"/>
    <w:rsid w:val="009C00DC"/>
    <w:rsid w:val="009C0109"/>
    <w:rsid w:val="009C0153"/>
    <w:rsid w:val="009C016D"/>
    <w:rsid w:val="009C031D"/>
    <w:rsid w:val="009C03D0"/>
    <w:rsid w:val="009C042D"/>
    <w:rsid w:val="009C043B"/>
    <w:rsid w:val="009C06F0"/>
    <w:rsid w:val="009C08BA"/>
    <w:rsid w:val="009C09BB"/>
    <w:rsid w:val="009C09C3"/>
    <w:rsid w:val="009C0A4F"/>
    <w:rsid w:val="009C0AA2"/>
    <w:rsid w:val="009C0B2E"/>
    <w:rsid w:val="009C0B9C"/>
    <w:rsid w:val="009C0C7A"/>
    <w:rsid w:val="009C0E1A"/>
    <w:rsid w:val="009C0E67"/>
    <w:rsid w:val="009C110C"/>
    <w:rsid w:val="009C1130"/>
    <w:rsid w:val="009C1137"/>
    <w:rsid w:val="009C133E"/>
    <w:rsid w:val="009C13D0"/>
    <w:rsid w:val="009C15DB"/>
    <w:rsid w:val="009C1653"/>
    <w:rsid w:val="009C1725"/>
    <w:rsid w:val="009C1987"/>
    <w:rsid w:val="009C19F1"/>
    <w:rsid w:val="009C1A2B"/>
    <w:rsid w:val="009C1B42"/>
    <w:rsid w:val="009C1CE0"/>
    <w:rsid w:val="009C1DDF"/>
    <w:rsid w:val="009C1EBC"/>
    <w:rsid w:val="009C1F84"/>
    <w:rsid w:val="009C2504"/>
    <w:rsid w:val="009C2986"/>
    <w:rsid w:val="009C2A67"/>
    <w:rsid w:val="009C2A9A"/>
    <w:rsid w:val="009C2B57"/>
    <w:rsid w:val="009C2B89"/>
    <w:rsid w:val="009C2BB9"/>
    <w:rsid w:val="009C2ED4"/>
    <w:rsid w:val="009C3021"/>
    <w:rsid w:val="009C315A"/>
    <w:rsid w:val="009C31A2"/>
    <w:rsid w:val="009C32FD"/>
    <w:rsid w:val="009C3615"/>
    <w:rsid w:val="009C3771"/>
    <w:rsid w:val="009C379B"/>
    <w:rsid w:val="009C3916"/>
    <w:rsid w:val="009C391E"/>
    <w:rsid w:val="009C3956"/>
    <w:rsid w:val="009C39E4"/>
    <w:rsid w:val="009C3AAE"/>
    <w:rsid w:val="009C3B09"/>
    <w:rsid w:val="009C3C2E"/>
    <w:rsid w:val="009C3D09"/>
    <w:rsid w:val="009C3D7C"/>
    <w:rsid w:val="009C400D"/>
    <w:rsid w:val="009C4069"/>
    <w:rsid w:val="009C4303"/>
    <w:rsid w:val="009C43F8"/>
    <w:rsid w:val="009C4478"/>
    <w:rsid w:val="009C448D"/>
    <w:rsid w:val="009C44E5"/>
    <w:rsid w:val="009C4561"/>
    <w:rsid w:val="009C45C2"/>
    <w:rsid w:val="009C465A"/>
    <w:rsid w:val="009C4919"/>
    <w:rsid w:val="009C49DC"/>
    <w:rsid w:val="009C4A37"/>
    <w:rsid w:val="009C4A6E"/>
    <w:rsid w:val="009C4AFA"/>
    <w:rsid w:val="009C4C30"/>
    <w:rsid w:val="009C4EFB"/>
    <w:rsid w:val="009C4FCF"/>
    <w:rsid w:val="009C4FE0"/>
    <w:rsid w:val="009C5031"/>
    <w:rsid w:val="009C5208"/>
    <w:rsid w:val="009C526D"/>
    <w:rsid w:val="009C52AC"/>
    <w:rsid w:val="009C52B8"/>
    <w:rsid w:val="009C5303"/>
    <w:rsid w:val="009C5408"/>
    <w:rsid w:val="009C547A"/>
    <w:rsid w:val="009C5708"/>
    <w:rsid w:val="009C576B"/>
    <w:rsid w:val="009C57A5"/>
    <w:rsid w:val="009C58B2"/>
    <w:rsid w:val="009C59A5"/>
    <w:rsid w:val="009C59B6"/>
    <w:rsid w:val="009C59E9"/>
    <w:rsid w:val="009C5AB9"/>
    <w:rsid w:val="009C5E30"/>
    <w:rsid w:val="009C63C0"/>
    <w:rsid w:val="009C63E0"/>
    <w:rsid w:val="009C648C"/>
    <w:rsid w:val="009C64A7"/>
    <w:rsid w:val="009C653D"/>
    <w:rsid w:val="009C676C"/>
    <w:rsid w:val="009C6774"/>
    <w:rsid w:val="009C693C"/>
    <w:rsid w:val="009C69CA"/>
    <w:rsid w:val="009C6A22"/>
    <w:rsid w:val="009C6C6E"/>
    <w:rsid w:val="009C6D18"/>
    <w:rsid w:val="009C6DB4"/>
    <w:rsid w:val="009C6DD4"/>
    <w:rsid w:val="009C6E22"/>
    <w:rsid w:val="009C6E25"/>
    <w:rsid w:val="009C6F82"/>
    <w:rsid w:val="009C6FC7"/>
    <w:rsid w:val="009C7164"/>
    <w:rsid w:val="009C72CC"/>
    <w:rsid w:val="009C743C"/>
    <w:rsid w:val="009C75CE"/>
    <w:rsid w:val="009C75D1"/>
    <w:rsid w:val="009C75F9"/>
    <w:rsid w:val="009C776A"/>
    <w:rsid w:val="009C7895"/>
    <w:rsid w:val="009C78C0"/>
    <w:rsid w:val="009C7951"/>
    <w:rsid w:val="009C7A78"/>
    <w:rsid w:val="009C7A91"/>
    <w:rsid w:val="009C7B8D"/>
    <w:rsid w:val="009C7BB3"/>
    <w:rsid w:val="009C7BE2"/>
    <w:rsid w:val="009C7C0D"/>
    <w:rsid w:val="009C7E78"/>
    <w:rsid w:val="009C7F84"/>
    <w:rsid w:val="009D018A"/>
    <w:rsid w:val="009D0198"/>
    <w:rsid w:val="009D0331"/>
    <w:rsid w:val="009D0491"/>
    <w:rsid w:val="009D04F9"/>
    <w:rsid w:val="009D0764"/>
    <w:rsid w:val="009D07AF"/>
    <w:rsid w:val="009D0972"/>
    <w:rsid w:val="009D0B04"/>
    <w:rsid w:val="009D0BF9"/>
    <w:rsid w:val="009D0DCC"/>
    <w:rsid w:val="009D0E31"/>
    <w:rsid w:val="009D0FA7"/>
    <w:rsid w:val="009D104B"/>
    <w:rsid w:val="009D108B"/>
    <w:rsid w:val="009D1104"/>
    <w:rsid w:val="009D1139"/>
    <w:rsid w:val="009D116A"/>
    <w:rsid w:val="009D12DA"/>
    <w:rsid w:val="009D1634"/>
    <w:rsid w:val="009D1730"/>
    <w:rsid w:val="009D17F4"/>
    <w:rsid w:val="009D1874"/>
    <w:rsid w:val="009D1922"/>
    <w:rsid w:val="009D1A29"/>
    <w:rsid w:val="009D1A56"/>
    <w:rsid w:val="009D1D96"/>
    <w:rsid w:val="009D1EA6"/>
    <w:rsid w:val="009D1F5F"/>
    <w:rsid w:val="009D20D2"/>
    <w:rsid w:val="009D217F"/>
    <w:rsid w:val="009D22F6"/>
    <w:rsid w:val="009D235F"/>
    <w:rsid w:val="009D26E2"/>
    <w:rsid w:val="009D26FB"/>
    <w:rsid w:val="009D27BF"/>
    <w:rsid w:val="009D29C8"/>
    <w:rsid w:val="009D29F9"/>
    <w:rsid w:val="009D2AD1"/>
    <w:rsid w:val="009D2B39"/>
    <w:rsid w:val="009D309A"/>
    <w:rsid w:val="009D315C"/>
    <w:rsid w:val="009D31AD"/>
    <w:rsid w:val="009D33BA"/>
    <w:rsid w:val="009D3722"/>
    <w:rsid w:val="009D39AD"/>
    <w:rsid w:val="009D3BBF"/>
    <w:rsid w:val="009D3D7C"/>
    <w:rsid w:val="009D4093"/>
    <w:rsid w:val="009D40F1"/>
    <w:rsid w:val="009D41C9"/>
    <w:rsid w:val="009D424E"/>
    <w:rsid w:val="009D426A"/>
    <w:rsid w:val="009D445C"/>
    <w:rsid w:val="009D456A"/>
    <w:rsid w:val="009D45B1"/>
    <w:rsid w:val="009D46D6"/>
    <w:rsid w:val="009D46DF"/>
    <w:rsid w:val="009D47B8"/>
    <w:rsid w:val="009D4870"/>
    <w:rsid w:val="009D4960"/>
    <w:rsid w:val="009D4967"/>
    <w:rsid w:val="009D4973"/>
    <w:rsid w:val="009D4A0A"/>
    <w:rsid w:val="009D4A3E"/>
    <w:rsid w:val="009D4B05"/>
    <w:rsid w:val="009D4B6B"/>
    <w:rsid w:val="009D4BC2"/>
    <w:rsid w:val="009D4C6B"/>
    <w:rsid w:val="009D4D03"/>
    <w:rsid w:val="009D4EF6"/>
    <w:rsid w:val="009D4EFF"/>
    <w:rsid w:val="009D510D"/>
    <w:rsid w:val="009D5196"/>
    <w:rsid w:val="009D52AE"/>
    <w:rsid w:val="009D53EE"/>
    <w:rsid w:val="009D542E"/>
    <w:rsid w:val="009D5490"/>
    <w:rsid w:val="009D54D9"/>
    <w:rsid w:val="009D54FB"/>
    <w:rsid w:val="009D55C5"/>
    <w:rsid w:val="009D5892"/>
    <w:rsid w:val="009D5A36"/>
    <w:rsid w:val="009D5AE0"/>
    <w:rsid w:val="009D5BE0"/>
    <w:rsid w:val="009D5C10"/>
    <w:rsid w:val="009D5D06"/>
    <w:rsid w:val="009D5DE0"/>
    <w:rsid w:val="009D5E51"/>
    <w:rsid w:val="009D5F60"/>
    <w:rsid w:val="009D5FC0"/>
    <w:rsid w:val="009D60BD"/>
    <w:rsid w:val="009D62EC"/>
    <w:rsid w:val="009D6386"/>
    <w:rsid w:val="009D6409"/>
    <w:rsid w:val="009D651C"/>
    <w:rsid w:val="009D6705"/>
    <w:rsid w:val="009D6974"/>
    <w:rsid w:val="009D697E"/>
    <w:rsid w:val="009D6A1D"/>
    <w:rsid w:val="009D6C8B"/>
    <w:rsid w:val="009D6E35"/>
    <w:rsid w:val="009D6EFE"/>
    <w:rsid w:val="009D6FB3"/>
    <w:rsid w:val="009D7126"/>
    <w:rsid w:val="009D7293"/>
    <w:rsid w:val="009D7646"/>
    <w:rsid w:val="009D7797"/>
    <w:rsid w:val="009D77F1"/>
    <w:rsid w:val="009D786F"/>
    <w:rsid w:val="009D7B18"/>
    <w:rsid w:val="009D7CF7"/>
    <w:rsid w:val="009D7D56"/>
    <w:rsid w:val="009D7E0C"/>
    <w:rsid w:val="009D7F07"/>
    <w:rsid w:val="009E000B"/>
    <w:rsid w:val="009E00A6"/>
    <w:rsid w:val="009E0152"/>
    <w:rsid w:val="009E0183"/>
    <w:rsid w:val="009E01CC"/>
    <w:rsid w:val="009E01EF"/>
    <w:rsid w:val="009E0354"/>
    <w:rsid w:val="009E0481"/>
    <w:rsid w:val="009E049F"/>
    <w:rsid w:val="009E05EA"/>
    <w:rsid w:val="009E09C0"/>
    <w:rsid w:val="009E0B09"/>
    <w:rsid w:val="009E0B41"/>
    <w:rsid w:val="009E0B53"/>
    <w:rsid w:val="009E0B79"/>
    <w:rsid w:val="009E0C56"/>
    <w:rsid w:val="009E0C97"/>
    <w:rsid w:val="009E0D21"/>
    <w:rsid w:val="009E0DC1"/>
    <w:rsid w:val="009E0DDD"/>
    <w:rsid w:val="009E0F25"/>
    <w:rsid w:val="009E1185"/>
    <w:rsid w:val="009E11ED"/>
    <w:rsid w:val="009E1267"/>
    <w:rsid w:val="009E12F3"/>
    <w:rsid w:val="009E130B"/>
    <w:rsid w:val="009E1405"/>
    <w:rsid w:val="009E144C"/>
    <w:rsid w:val="009E15BE"/>
    <w:rsid w:val="009E15DC"/>
    <w:rsid w:val="009E160B"/>
    <w:rsid w:val="009E17E9"/>
    <w:rsid w:val="009E18FD"/>
    <w:rsid w:val="009E198C"/>
    <w:rsid w:val="009E1A73"/>
    <w:rsid w:val="009E1A98"/>
    <w:rsid w:val="009E1C8A"/>
    <w:rsid w:val="009E1E17"/>
    <w:rsid w:val="009E1E1D"/>
    <w:rsid w:val="009E1EC2"/>
    <w:rsid w:val="009E1F41"/>
    <w:rsid w:val="009E21FF"/>
    <w:rsid w:val="009E244E"/>
    <w:rsid w:val="009E25E2"/>
    <w:rsid w:val="009E26A6"/>
    <w:rsid w:val="009E287D"/>
    <w:rsid w:val="009E2926"/>
    <w:rsid w:val="009E29AA"/>
    <w:rsid w:val="009E2A37"/>
    <w:rsid w:val="009E2B0C"/>
    <w:rsid w:val="009E2C4D"/>
    <w:rsid w:val="009E2EB8"/>
    <w:rsid w:val="009E2F93"/>
    <w:rsid w:val="009E3027"/>
    <w:rsid w:val="009E3065"/>
    <w:rsid w:val="009E34CF"/>
    <w:rsid w:val="009E35DE"/>
    <w:rsid w:val="009E364D"/>
    <w:rsid w:val="009E36C8"/>
    <w:rsid w:val="009E390A"/>
    <w:rsid w:val="009E3966"/>
    <w:rsid w:val="009E3ADD"/>
    <w:rsid w:val="009E3BE9"/>
    <w:rsid w:val="009E3C68"/>
    <w:rsid w:val="009E3CD2"/>
    <w:rsid w:val="009E3D17"/>
    <w:rsid w:val="009E3DB1"/>
    <w:rsid w:val="009E3EB9"/>
    <w:rsid w:val="009E4147"/>
    <w:rsid w:val="009E427D"/>
    <w:rsid w:val="009E43A1"/>
    <w:rsid w:val="009E44DD"/>
    <w:rsid w:val="009E4571"/>
    <w:rsid w:val="009E4834"/>
    <w:rsid w:val="009E49B1"/>
    <w:rsid w:val="009E4B10"/>
    <w:rsid w:val="009E4B18"/>
    <w:rsid w:val="009E4B47"/>
    <w:rsid w:val="009E4BF2"/>
    <w:rsid w:val="009E4C40"/>
    <w:rsid w:val="009E4E54"/>
    <w:rsid w:val="009E4FF9"/>
    <w:rsid w:val="009E502F"/>
    <w:rsid w:val="009E5354"/>
    <w:rsid w:val="009E5441"/>
    <w:rsid w:val="009E545B"/>
    <w:rsid w:val="009E549D"/>
    <w:rsid w:val="009E5677"/>
    <w:rsid w:val="009E5860"/>
    <w:rsid w:val="009E588E"/>
    <w:rsid w:val="009E59A7"/>
    <w:rsid w:val="009E59BD"/>
    <w:rsid w:val="009E5AE0"/>
    <w:rsid w:val="009E5B3E"/>
    <w:rsid w:val="009E5C45"/>
    <w:rsid w:val="009E5CB7"/>
    <w:rsid w:val="009E5D22"/>
    <w:rsid w:val="009E5E75"/>
    <w:rsid w:val="009E5EB9"/>
    <w:rsid w:val="009E5F17"/>
    <w:rsid w:val="009E5F8C"/>
    <w:rsid w:val="009E6360"/>
    <w:rsid w:val="009E642B"/>
    <w:rsid w:val="009E651F"/>
    <w:rsid w:val="009E682F"/>
    <w:rsid w:val="009E69A4"/>
    <w:rsid w:val="009E6A4A"/>
    <w:rsid w:val="009E6B02"/>
    <w:rsid w:val="009E6EC8"/>
    <w:rsid w:val="009E75AA"/>
    <w:rsid w:val="009E75D5"/>
    <w:rsid w:val="009E78DE"/>
    <w:rsid w:val="009E795D"/>
    <w:rsid w:val="009E7A4B"/>
    <w:rsid w:val="009E7BC2"/>
    <w:rsid w:val="009E7C95"/>
    <w:rsid w:val="009E7DE3"/>
    <w:rsid w:val="009E7E02"/>
    <w:rsid w:val="009E7EEA"/>
    <w:rsid w:val="009E7F4A"/>
    <w:rsid w:val="009E7FE9"/>
    <w:rsid w:val="009F012F"/>
    <w:rsid w:val="009F0268"/>
    <w:rsid w:val="009F02CC"/>
    <w:rsid w:val="009F02DB"/>
    <w:rsid w:val="009F03E4"/>
    <w:rsid w:val="009F06B0"/>
    <w:rsid w:val="009F0809"/>
    <w:rsid w:val="009F084C"/>
    <w:rsid w:val="009F092F"/>
    <w:rsid w:val="009F093F"/>
    <w:rsid w:val="009F0C85"/>
    <w:rsid w:val="009F0D24"/>
    <w:rsid w:val="009F12D4"/>
    <w:rsid w:val="009F12ED"/>
    <w:rsid w:val="009F140A"/>
    <w:rsid w:val="009F14EF"/>
    <w:rsid w:val="009F15D7"/>
    <w:rsid w:val="009F171B"/>
    <w:rsid w:val="009F17B7"/>
    <w:rsid w:val="009F18B0"/>
    <w:rsid w:val="009F198C"/>
    <w:rsid w:val="009F1A57"/>
    <w:rsid w:val="009F1AD7"/>
    <w:rsid w:val="009F1C81"/>
    <w:rsid w:val="009F1CEC"/>
    <w:rsid w:val="009F1CF9"/>
    <w:rsid w:val="009F1D89"/>
    <w:rsid w:val="009F2471"/>
    <w:rsid w:val="009F285D"/>
    <w:rsid w:val="009F285F"/>
    <w:rsid w:val="009F2B39"/>
    <w:rsid w:val="009F2B51"/>
    <w:rsid w:val="009F2E64"/>
    <w:rsid w:val="009F2F04"/>
    <w:rsid w:val="009F33D9"/>
    <w:rsid w:val="009F343E"/>
    <w:rsid w:val="009F3632"/>
    <w:rsid w:val="009F36FE"/>
    <w:rsid w:val="009F3701"/>
    <w:rsid w:val="009F38C6"/>
    <w:rsid w:val="009F3935"/>
    <w:rsid w:val="009F3A26"/>
    <w:rsid w:val="009F3A28"/>
    <w:rsid w:val="009F3A71"/>
    <w:rsid w:val="009F3AD4"/>
    <w:rsid w:val="009F3AE5"/>
    <w:rsid w:val="009F3B19"/>
    <w:rsid w:val="009F3C82"/>
    <w:rsid w:val="009F3D33"/>
    <w:rsid w:val="009F3D35"/>
    <w:rsid w:val="009F3E70"/>
    <w:rsid w:val="009F3E72"/>
    <w:rsid w:val="009F40B5"/>
    <w:rsid w:val="009F41D1"/>
    <w:rsid w:val="009F42F8"/>
    <w:rsid w:val="009F43C3"/>
    <w:rsid w:val="009F43D1"/>
    <w:rsid w:val="009F47D4"/>
    <w:rsid w:val="009F4AF9"/>
    <w:rsid w:val="009F4C0E"/>
    <w:rsid w:val="009F4CA4"/>
    <w:rsid w:val="009F4E17"/>
    <w:rsid w:val="009F4E7B"/>
    <w:rsid w:val="009F4FBF"/>
    <w:rsid w:val="009F4FFD"/>
    <w:rsid w:val="009F5299"/>
    <w:rsid w:val="009F52CC"/>
    <w:rsid w:val="009F5327"/>
    <w:rsid w:val="009F53D9"/>
    <w:rsid w:val="009F554D"/>
    <w:rsid w:val="009F570B"/>
    <w:rsid w:val="009F57CF"/>
    <w:rsid w:val="009F5805"/>
    <w:rsid w:val="009F59FA"/>
    <w:rsid w:val="009F5D42"/>
    <w:rsid w:val="009F6238"/>
    <w:rsid w:val="009F625E"/>
    <w:rsid w:val="009F6285"/>
    <w:rsid w:val="009F6583"/>
    <w:rsid w:val="009F6624"/>
    <w:rsid w:val="009F664B"/>
    <w:rsid w:val="009F6724"/>
    <w:rsid w:val="009F6763"/>
    <w:rsid w:val="009F6766"/>
    <w:rsid w:val="009F6813"/>
    <w:rsid w:val="009F68C4"/>
    <w:rsid w:val="009F6A5C"/>
    <w:rsid w:val="009F6B70"/>
    <w:rsid w:val="009F6B74"/>
    <w:rsid w:val="009F6BA7"/>
    <w:rsid w:val="009F6C98"/>
    <w:rsid w:val="009F6D9A"/>
    <w:rsid w:val="009F6DB3"/>
    <w:rsid w:val="009F6E0A"/>
    <w:rsid w:val="009F6E58"/>
    <w:rsid w:val="009F6E69"/>
    <w:rsid w:val="009F7086"/>
    <w:rsid w:val="009F7112"/>
    <w:rsid w:val="009F734E"/>
    <w:rsid w:val="009F73FA"/>
    <w:rsid w:val="009F755B"/>
    <w:rsid w:val="009F7583"/>
    <w:rsid w:val="009F7655"/>
    <w:rsid w:val="009F765C"/>
    <w:rsid w:val="009F770D"/>
    <w:rsid w:val="009F7727"/>
    <w:rsid w:val="009F776A"/>
    <w:rsid w:val="009F7B54"/>
    <w:rsid w:val="009F7F16"/>
    <w:rsid w:val="009F7F44"/>
    <w:rsid w:val="00A0009A"/>
    <w:rsid w:val="00A00174"/>
    <w:rsid w:val="00A001B5"/>
    <w:rsid w:val="00A00307"/>
    <w:rsid w:val="00A00340"/>
    <w:rsid w:val="00A003CC"/>
    <w:rsid w:val="00A00512"/>
    <w:rsid w:val="00A00520"/>
    <w:rsid w:val="00A0053F"/>
    <w:rsid w:val="00A00561"/>
    <w:rsid w:val="00A00573"/>
    <w:rsid w:val="00A005F9"/>
    <w:rsid w:val="00A006D7"/>
    <w:rsid w:val="00A0093C"/>
    <w:rsid w:val="00A00B3E"/>
    <w:rsid w:val="00A00BC0"/>
    <w:rsid w:val="00A00BE1"/>
    <w:rsid w:val="00A00BE4"/>
    <w:rsid w:val="00A00C03"/>
    <w:rsid w:val="00A00D1A"/>
    <w:rsid w:val="00A00E60"/>
    <w:rsid w:val="00A00EA5"/>
    <w:rsid w:val="00A01200"/>
    <w:rsid w:val="00A013FB"/>
    <w:rsid w:val="00A0149C"/>
    <w:rsid w:val="00A0152C"/>
    <w:rsid w:val="00A01544"/>
    <w:rsid w:val="00A016DF"/>
    <w:rsid w:val="00A016F0"/>
    <w:rsid w:val="00A01A39"/>
    <w:rsid w:val="00A01A7B"/>
    <w:rsid w:val="00A01B09"/>
    <w:rsid w:val="00A01E84"/>
    <w:rsid w:val="00A01EBC"/>
    <w:rsid w:val="00A0208D"/>
    <w:rsid w:val="00A02284"/>
    <w:rsid w:val="00A02412"/>
    <w:rsid w:val="00A024DC"/>
    <w:rsid w:val="00A025B7"/>
    <w:rsid w:val="00A0261C"/>
    <w:rsid w:val="00A027DA"/>
    <w:rsid w:val="00A0280C"/>
    <w:rsid w:val="00A0282C"/>
    <w:rsid w:val="00A029F5"/>
    <w:rsid w:val="00A02A18"/>
    <w:rsid w:val="00A02AFC"/>
    <w:rsid w:val="00A02B31"/>
    <w:rsid w:val="00A02DF9"/>
    <w:rsid w:val="00A02E2E"/>
    <w:rsid w:val="00A02E61"/>
    <w:rsid w:val="00A02F28"/>
    <w:rsid w:val="00A03202"/>
    <w:rsid w:val="00A03230"/>
    <w:rsid w:val="00A032F7"/>
    <w:rsid w:val="00A0340D"/>
    <w:rsid w:val="00A0341D"/>
    <w:rsid w:val="00A03461"/>
    <w:rsid w:val="00A03697"/>
    <w:rsid w:val="00A0370B"/>
    <w:rsid w:val="00A0374A"/>
    <w:rsid w:val="00A03772"/>
    <w:rsid w:val="00A037C1"/>
    <w:rsid w:val="00A03A21"/>
    <w:rsid w:val="00A03AD8"/>
    <w:rsid w:val="00A03BE3"/>
    <w:rsid w:val="00A03CA3"/>
    <w:rsid w:val="00A03CA8"/>
    <w:rsid w:val="00A03D0A"/>
    <w:rsid w:val="00A03E11"/>
    <w:rsid w:val="00A03EC1"/>
    <w:rsid w:val="00A03F90"/>
    <w:rsid w:val="00A0402E"/>
    <w:rsid w:val="00A040CC"/>
    <w:rsid w:val="00A041ED"/>
    <w:rsid w:val="00A043AE"/>
    <w:rsid w:val="00A04433"/>
    <w:rsid w:val="00A044C8"/>
    <w:rsid w:val="00A04673"/>
    <w:rsid w:val="00A04854"/>
    <w:rsid w:val="00A0494B"/>
    <w:rsid w:val="00A049E5"/>
    <w:rsid w:val="00A04A3F"/>
    <w:rsid w:val="00A04AED"/>
    <w:rsid w:val="00A04BB5"/>
    <w:rsid w:val="00A04C8C"/>
    <w:rsid w:val="00A04E23"/>
    <w:rsid w:val="00A04E82"/>
    <w:rsid w:val="00A04EEC"/>
    <w:rsid w:val="00A04F09"/>
    <w:rsid w:val="00A04F24"/>
    <w:rsid w:val="00A04F30"/>
    <w:rsid w:val="00A04F72"/>
    <w:rsid w:val="00A05205"/>
    <w:rsid w:val="00A0544F"/>
    <w:rsid w:val="00A0551F"/>
    <w:rsid w:val="00A0558F"/>
    <w:rsid w:val="00A057FF"/>
    <w:rsid w:val="00A05C47"/>
    <w:rsid w:val="00A05CAF"/>
    <w:rsid w:val="00A05D93"/>
    <w:rsid w:val="00A05DAD"/>
    <w:rsid w:val="00A05E50"/>
    <w:rsid w:val="00A060DC"/>
    <w:rsid w:val="00A06425"/>
    <w:rsid w:val="00A06475"/>
    <w:rsid w:val="00A0657C"/>
    <w:rsid w:val="00A066F5"/>
    <w:rsid w:val="00A0676C"/>
    <w:rsid w:val="00A06A1C"/>
    <w:rsid w:val="00A06A84"/>
    <w:rsid w:val="00A06B82"/>
    <w:rsid w:val="00A06C17"/>
    <w:rsid w:val="00A06D1A"/>
    <w:rsid w:val="00A06D90"/>
    <w:rsid w:val="00A06E09"/>
    <w:rsid w:val="00A06EA3"/>
    <w:rsid w:val="00A06F21"/>
    <w:rsid w:val="00A06FE6"/>
    <w:rsid w:val="00A072B9"/>
    <w:rsid w:val="00A07534"/>
    <w:rsid w:val="00A076FE"/>
    <w:rsid w:val="00A07770"/>
    <w:rsid w:val="00A078D1"/>
    <w:rsid w:val="00A07AD4"/>
    <w:rsid w:val="00A07B57"/>
    <w:rsid w:val="00A07BB9"/>
    <w:rsid w:val="00A07C35"/>
    <w:rsid w:val="00A07C9B"/>
    <w:rsid w:val="00A07E15"/>
    <w:rsid w:val="00A07E50"/>
    <w:rsid w:val="00A07F05"/>
    <w:rsid w:val="00A10134"/>
    <w:rsid w:val="00A10400"/>
    <w:rsid w:val="00A1053E"/>
    <w:rsid w:val="00A106E7"/>
    <w:rsid w:val="00A107C1"/>
    <w:rsid w:val="00A10830"/>
    <w:rsid w:val="00A108CD"/>
    <w:rsid w:val="00A108F7"/>
    <w:rsid w:val="00A109A5"/>
    <w:rsid w:val="00A10A88"/>
    <w:rsid w:val="00A10D58"/>
    <w:rsid w:val="00A11012"/>
    <w:rsid w:val="00A1101A"/>
    <w:rsid w:val="00A11072"/>
    <w:rsid w:val="00A110E9"/>
    <w:rsid w:val="00A11324"/>
    <w:rsid w:val="00A1177B"/>
    <w:rsid w:val="00A1181E"/>
    <w:rsid w:val="00A1188D"/>
    <w:rsid w:val="00A11966"/>
    <w:rsid w:val="00A11A73"/>
    <w:rsid w:val="00A11AE3"/>
    <w:rsid w:val="00A11B21"/>
    <w:rsid w:val="00A11BF6"/>
    <w:rsid w:val="00A11C29"/>
    <w:rsid w:val="00A11CAC"/>
    <w:rsid w:val="00A11DC9"/>
    <w:rsid w:val="00A11E01"/>
    <w:rsid w:val="00A121D3"/>
    <w:rsid w:val="00A12326"/>
    <w:rsid w:val="00A1241B"/>
    <w:rsid w:val="00A124B4"/>
    <w:rsid w:val="00A12538"/>
    <w:rsid w:val="00A126C4"/>
    <w:rsid w:val="00A1273B"/>
    <w:rsid w:val="00A127DB"/>
    <w:rsid w:val="00A128DB"/>
    <w:rsid w:val="00A12948"/>
    <w:rsid w:val="00A12982"/>
    <w:rsid w:val="00A12A2C"/>
    <w:rsid w:val="00A12AAE"/>
    <w:rsid w:val="00A12ABA"/>
    <w:rsid w:val="00A12C87"/>
    <w:rsid w:val="00A12FED"/>
    <w:rsid w:val="00A1301F"/>
    <w:rsid w:val="00A13041"/>
    <w:rsid w:val="00A130A2"/>
    <w:rsid w:val="00A130A6"/>
    <w:rsid w:val="00A130DC"/>
    <w:rsid w:val="00A13230"/>
    <w:rsid w:val="00A13379"/>
    <w:rsid w:val="00A134BC"/>
    <w:rsid w:val="00A1372C"/>
    <w:rsid w:val="00A1374B"/>
    <w:rsid w:val="00A13797"/>
    <w:rsid w:val="00A13A57"/>
    <w:rsid w:val="00A13A66"/>
    <w:rsid w:val="00A13AAA"/>
    <w:rsid w:val="00A13AD2"/>
    <w:rsid w:val="00A13C9A"/>
    <w:rsid w:val="00A140DA"/>
    <w:rsid w:val="00A14609"/>
    <w:rsid w:val="00A147A5"/>
    <w:rsid w:val="00A147F8"/>
    <w:rsid w:val="00A148E1"/>
    <w:rsid w:val="00A14A98"/>
    <w:rsid w:val="00A14BBD"/>
    <w:rsid w:val="00A14C0C"/>
    <w:rsid w:val="00A14C38"/>
    <w:rsid w:val="00A14FC1"/>
    <w:rsid w:val="00A150A4"/>
    <w:rsid w:val="00A15133"/>
    <w:rsid w:val="00A1513E"/>
    <w:rsid w:val="00A1550C"/>
    <w:rsid w:val="00A15569"/>
    <w:rsid w:val="00A15709"/>
    <w:rsid w:val="00A15A86"/>
    <w:rsid w:val="00A15CFF"/>
    <w:rsid w:val="00A15DE0"/>
    <w:rsid w:val="00A15E5B"/>
    <w:rsid w:val="00A16343"/>
    <w:rsid w:val="00A1644F"/>
    <w:rsid w:val="00A16481"/>
    <w:rsid w:val="00A16588"/>
    <w:rsid w:val="00A165CC"/>
    <w:rsid w:val="00A1663E"/>
    <w:rsid w:val="00A167D4"/>
    <w:rsid w:val="00A169FA"/>
    <w:rsid w:val="00A16BB9"/>
    <w:rsid w:val="00A16E7A"/>
    <w:rsid w:val="00A16F22"/>
    <w:rsid w:val="00A16F8E"/>
    <w:rsid w:val="00A17074"/>
    <w:rsid w:val="00A17085"/>
    <w:rsid w:val="00A172AB"/>
    <w:rsid w:val="00A172EF"/>
    <w:rsid w:val="00A1733C"/>
    <w:rsid w:val="00A1739E"/>
    <w:rsid w:val="00A173B3"/>
    <w:rsid w:val="00A174AC"/>
    <w:rsid w:val="00A174DF"/>
    <w:rsid w:val="00A176EB"/>
    <w:rsid w:val="00A179DC"/>
    <w:rsid w:val="00A17BA8"/>
    <w:rsid w:val="00A17ECC"/>
    <w:rsid w:val="00A17F01"/>
    <w:rsid w:val="00A17F0D"/>
    <w:rsid w:val="00A20012"/>
    <w:rsid w:val="00A20118"/>
    <w:rsid w:val="00A201C0"/>
    <w:rsid w:val="00A202FD"/>
    <w:rsid w:val="00A203BA"/>
    <w:rsid w:val="00A2047F"/>
    <w:rsid w:val="00A2048B"/>
    <w:rsid w:val="00A2048C"/>
    <w:rsid w:val="00A2060F"/>
    <w:rsid w:val="00A20642"/>
    <w:rsid w:val="00A20661"/>
    <w:rsid w:val="00A2066D"/>
    <w:rsid w:val="00A206FC"/>
    <w:rsid w:val="00A207B5"/>
    <w:rsid w:val="00A20849"/>
    <w:rsid w:val="00A20A5E"/>
    <w:rsid w:val="00A20C4A"/>
    <w:rsid w:val="00A20D6F"/>
    <w:rsid w:val="00A20FFB"/>
    <w:rsid w:val="00A21005"/>
    <w:rsid w:val="00A210E5"/>
    <w:rsid w:val="00A21176"/>
    <w:rsid w:val="00A211F0"/>
    <w:rsid w:val="00A2126E"/>
    <w:rsid w:val="00A213CD"/>
    <w:rsid w:val="00A213FB"/>
    <w:rsid w:val="00A215C3"/>
    <w:rsid w:val="00A216C6"/>
    <w:rsid w:val="00A21845"/>
    <w:rsid w:val="00A21877"/>
    <w:rsid w:val="00A2199D"/>
    <w:rsid w:val="00A21A74"/>
    <w:rsid w:val="00A21BC4"/>
    <w:rsid w:val="00A21D45"/>
    <w:rsid w:val="00A21F62"/>
    <w:rsid w:val="00A21FAC"/>
    <w:rsid w:val="00A2201A"/>
    <w:rsid w:val="00A221AD"/>
    <w:rsid w:val="00A22279"/>
    <w:rsid w:val="00A223D5"/>
    <w:rsid w:val="00A2266E"/>
    <w:rsid w:val="00A22732"/>
    <w:rsid w:val="00A229DE"/>
    <w:rsid w:val="00A22A06"/>
    <w:rsid w:val="00A22A70"/>
    <w:rsid w:val="00A22B2B"/>
    <w:rsid w:val="00A22B92"/>
    <w:rsid w:val="00A22C17"/>
    <w:rsid w:val="00A22C77"/>
    <w:rsid w:val="00A22D1C"/>
    <w:rsid w:val="00A22D26"/>
    <w:rsid w:val="00A22D39"/>
    <w:rsid w:val="00A23014"/>
    <w:rsid w:val="00A230CC"/>
    <w:rsid w:val="00A2341D"/>
    <w:rsid w:val="00A23529"/>
    <w:rsid w:val="00A23582"/>
    <w:rsid w:val="00A235F6"/>
    <w:rsid w:val="00A2367B"/>
    <w:rsid w:val="00A239C8"/>
    <w:rsid w:val="00A23B40"/>
    <w:rsid w:val="00A23B61"/>
    <w:rsid w:val="00A23BE3"/>
    <w:rsid w:val="00A23EE0"/>
    <w:rsid w:val="00A2410B"/>
    <w:rsid w:val="00A24469"/>
    <w:rsid w:val="00A24490"/>
    <w:rsid w:val="00A2458D"/>
    <w:rsid w:val="00A246C3"/>
    <w:rsid w:val="00A248B7"/>
    <w:rsid w:val="00A24A3E"/>
    <w:rsid w:val="00A24ACE"/>
    <w:rsid w:val="00A24D89"/>
    <w:rsid w:val="00A24E76"/>
    <w:rsid w:val="00A24F0F"/>
    <w:rsid w:val="00A250D6"/>
    <w:rsid w:val="00A2510D"/>
    <w:rsid w:val="00A25162"/>
    <w:rsid w:val="00A25181"/>
    <w:rsid w:val="00A25198"/>
    <w:rsid w:val="00A252E0"/>
    <w:rsid w:val="00A25311"/>
    <w:rsid w:val="00A2536B"/>
    <w:rsid w:val="00A2547C"/>
    <w:rsid w:val="00A254B0"/>
    <w:rsid w:val="00A254BC"/>
    <w:rsid w:val="00A25685"/>
    <w:rsid w:val="00A256D7"/>
    <w:rsid w:val="00A256E4"/>
    <w:rsid w:val="00A257BF"/>
    <w:rsid w:val="00A25805"/>
    <w:rsid w:val="00A258D3"/>
    <w:rsid w:val="00A258E9"/>
    <w:rsid w:val="00A25B5F"/>
    <w:rsid w:val="00A25D91"/>
    <w:rsid w:val="00A25DC9"/>
    <w:rsid w:val="00A25F9E"/>
    <w:rsid w:val="00A26051"/>
    <w:rsid w:val="00A2606C"/>
    <w:rsid w:val="00A26278"/>
    <w:rsid w:val="00A2629E"/>
    <w:rsid w:val="00A26373"/>
    <w:rsid w:val="00A2637C"/>
    <w:rsid w:val="00A26394"/>
    <w:rsid w:val="00A26416"/>
    <w:rsid w:val="00A2643D"/>
    <w:rsid w:val="00A26473"/>
    <w:rsid w:val="00A265AF"/>
    <w:rsid w:val="00A265DB"/>
    <w:rsid w:val="00A26787"/>
    <w:rsid w:val="00A26840"/>
    <w:rsid w:val="00A2696D"/>
    <w:rsid w:val="00A269D0"/>
    <w:rsid w:val="00A26AB9"/>
    <w:rsid w:val="00A26B27"/>
    <w:rsid w:val="00A26CFF"/>
    <w:rsid w:val="00A26D44"/>
    <w:rsid w:val="00A26E9D"/>
    <w:rsid w:val="00A26F78"/>
    <w:rsid w:val="00A26FFC"/>
    <w:rsid w:val="00A2714F"/>
    <w:rsid w:val="00A2719E"/>
    <w:rsid w:val="00A27256"/>
    <w:rsid w:val="00A27550"/>
    <w:rsid w:val="00A2775E"/>
    <w:rsid w:val="00A277EB"/>
    <w:rsid w:val="00A27849"/>
    <w:rsid w:val="00A278DA"/>
    <w:rsid w:val="00A2792E"/>
    <w:rsid w:val="00A27A9D"/>
    <w:rsid w:val="00A27AC9"/>
    <w:rsid w:val="00A27AD9"/>
    <w:rsid w:val="00A27CDB"/>
    <w:rsid w:val="00A27CFF"/>
    <w:rsid w:val="00A27EBA"/>
    <w:rsid w:val="00A30051"/>
    <w:rsid w:val="00A30129"/>
    <w:rsid w:val="00A3015E"/>
    <w:rsid w:val="00A3034C"/>
    <w:rsid w:val="00A30475"/>
    <w:rsid w:val="00A305CA"/>
    <w:rsid w:val="00A306A2"/>
    <w:rsid w:val="00A30722"/>
    <w:rsid w:val="00A307E5"/>
    <w:rsid w:val="00A30827"/>
    <w:rsid w:val="00A30937"/>
    <w:rsid w:val="00A309D4"/>
    <w:rsid w:val="00A309D9"/>
    <w:rsid w:val="00A30E1C"/>
    <w:rsid w:val="00A30EA3"/>
    <w:rsid w:val="00A30EFE"/>
    <w:rsid w:val="00A30FB0"/>
    <w:rsid w:val="00A30FCB"/>
    <w:rsid w:val="00A3108B"/>
    <w:rsid w:val="00A310F8"/>
    <w:rsid w:val="00A311F6"/>
    <w:rsid w:val="00A312A9"/>
    <w:rsid w:val="00A31414"/>
    <w:rsid w:val="00A31532"/>
    <w:rsid w:val="00A316D1"/>
    <w:rsid w:val="00A317CC"/>
    <w:rsid w:val="00A31803"/>
    <w:rsid w:val="00A31874"/>
    <w:rsid w:val="00A31900"/>
    <w:rsid w:val="00A31A03"/>
    <w:rsid w:val="00A31AE0"/>
    <w:rsid w:val="00A31B2D"/>
    <w:rsid w:val="00A31D4E"/>
    <w:rsid w:val="00A32092"/>
    <w:rsid w:val="00A3212C"/>
    <w:rsid w:val="00A3287D"/>
    <w:rsid w:val="00A32E60"/>
    <w:rsid w:val="00A33054"/>
    <w:rsid w:val="00A33079"/>
    <w:rsid w:val="00A330A5"/>
    <w:rsid w:val="00A33477"/>
    <w:rsid w:val="00A335B4"/>
    <w:rsid w:val="00A3371E"/>
    <w:rsid w:val="00A337AA"/>
    <w:rsid w:val="00A3381E"/>
    <w:rsid w:val="00A33866"/>
    <w:rsid w:val="00A339A7"/>
    <w:rsid w:val="00A33A7B"/>
    <w:rsid w:val="00A33ABE"/>
    <w:rsid w:val="00A33B61"/>
    <w:rsid w:val="00A33B69"/>
    <w:rsid w:val="00A33BF6"/>
    <w:rsid w:val="00A33CD0"/>
    <w:rsid w:val="00A33F8E"/>
    <w:rsid w:val="00A34004"/>
    <w:rsid w:val="00A340FC"/>
    <w:rsid w:val="00A341E4"/>
    <w:rsid w:val="00A34365"/>
    <w:rsid w:val="00A344B7"/>
    <w:rsid w:val="00A34593"/>
    <w:rsid w:val="00A34851"/>
    <w:rsid w:val="00A34A92"/>
    <w:rsid w:val="00A34ABE"/>
    <w:rsid w:val="00A34B56"/>
    <w:rsid w:val="00A34EAC"/>
    <w:rsid w:val="00A34ED1"/>
    <w:rsid w:val="00A34EE0"/>
    <w:rsid w:val="00A34F20"/>
    <w:rsid w:val="00A34F34"/>
    <w:rsid w:val="00A35046"/>
    <w:rsid w:val="00A3504A"/>
    <w:rsid w:val="00A35054"/>
    <w:rsid w:val="00A35081"/>
    <w:rsid w:val="00A350CD"/>
    <w:rsid w:val="00A35253"/>
    <w:rsid w:val="00A353AA"/>
    <w:rsid w:val="00A356A2"/>
    <w:rsid w:val="00A35844"/>
    <w:rsid w:val="00A358F8"/>
    <w:rsid w:val="00A359BC"/>
    <w:rsid w:val="00A359F0"/>
    <w:rsid w:val="00A35A73"/>
    <w:rsid w:val="00A35B68"/>
    <w:rsid w:val="00A35BB5"/>
    <w:rsid w:val="00A35C2B"/>
    <w:rsid w:val="00A35D03"/>
    <w:rsid w:val="00A35D12"/>
    <w:rsid w:val="00A35D15"/>
    <w:rsid w:val="00A3642D"/>
    <w:rsid w:val="00A36458"/>
    <w:rsid w:val="00A3674C"/>
    <w:rsid w:val="00A36776"/>
    <w:rsid w:val="00A36806"/>
    <w:rsid w:val="00A36871"/>
    <w:rsid w:val="00A368A0"/>
    <w:rsid w:val="00A368B2"/>
    <w:rsid w:val="00A3698E"/>
    <w:rsid w:val="00A36B72"/>
    <w:rsid w:val="00A36F0A"/>
    <w:rsid w:val="00A37034"/>
    <w:rsid w:val="00A37054"/>
    <w:rsid w:val="00A37064"/>
    <w:rsid w:val="00A37410"/>
    <w:rsid w:val="00A37539"/>
    <w:rsid w:val="00A3778C"/>
    <w:rsid w:val="00A3782D"/>
    <w:rsid w:val="00A37A1F"/>
    <w:rsid w:val="00A37A85"/>
    <w:rsid w:val="00A37C52"/>
    <w:rsid w:val="00A37C53"/>
    <w:rsid w:val="00A37C5E"/>
    <w:rsid w:val="00A37C90"/>
    <w:rsid w:val="00A37D43"/>
    <w:rsid w:val="00A37D65"/>
    <w:rsid w:val="00A37EB5"/>
    <w:rsid w:val="00A37FE0"/>
    <w:rsid w:val="00A40037"/>
    <w:rsid w:val="00A400F0"/>
    <w:rsid w:val="00A402DE"/>
    <w:rsid w:val="00A4049E"/>
    <w:rsid w:val="00A40557"/>
    <w:rsid w:val="00A40680"/>
    <w:rsid w:val="00A406C8"/>
    <w:rsid w:val="00A40748"/>
    <w:rsid w:val="00A40844"/>
    <w:rsid w:val="00A40C25"/>
    <w:rsid w:val="00A40E2A"/>
    <w:rsid w:val="00A40F30"/>
    <w:rsid w:val="00A40FE9"/>
    <w:rsid w:val="00A410DD"/>
    <w:rsid w:val="00A4110B"/>
    <w:rsid w:val="00A412CE"/>
    <w:rsid w:val="00A41360"/>
    <w:rsid w:val="00A413D8"/>
    <w:rsid w:val="00A41526"/>
    <w:rsid w:val="00A4153A"/>
    <w:rsid w:val="00A41793"/>
    <w:rsid w:val="00A4182C"/>
    <w:rsid w:val="00A419CF"/>
    <w:rsid w:val="00A419E6"/>
    <w:rsid w:val="00A41A1F"/>
    <w:rsid w:val="00A41AF6"/>
    <w:rsid w:val="00A41B74"/>
    <w:rsid w:val="00A41E94"/>
    <w:rsid w:val="00A420B2"/>
    <w:rsid w:val="00A42167"/>
    <w:rsid w:val="00A4237B"/>
    <w:rsid w:val="00A4249F"/>
    <w:rsid w:val="00A42722"/>
    <w:rsid w:val="00A427AB"/>
    <w:rsid w:val="00A428AB"/>
    <w:rsid w:val="00A42A18"/>
    <w:rsid w:val="00A42A5D"/>
    <w:rsid w:val="00A42C2F"/>
    <w:rsid w:val="00A42CDA"/>
    <w:rsid w:val="00A42DA5"/>
    <w:rsid w:val="00A42DBB"/>
    <w:rsid w:val="00A42FEA"/>
    <w:rsid w:val="00A431C1"/>
    <w:rsid w:val="00A434A3"/>
    <w:rsid w:val="00A4364D"/>
    <w:rsid w:val="00A43854"/>
    <w:rsid w:val="00A43AC1"/>
    <w:rsid w:val="00A43DBA"/>
    <w:rsid w:val="00A43E06"/>
    <w:rsid w:val="00A43E1A"/>
    <w:rsid w:val="00A43F02"/>
    <w:rsid w:val="00A441A1"/>
    <w:rsid w:val="00A44256"/>
    <w:rsid w:val="00A4425C"/>
    <w:rsid w:val="00A44267"/>
    <w:rsid w:val="00A443FF"/>
    <w:rsid w:val="00A4443A"/>
    <w:rsid w:val="00A445FE"/>
    <w:rsid w:val="00A446EB"/>
    <w:rsid w:val="00A447BC"/>
    <w:rsid w:val="00A447D1"/>
    <w:rsid w:val="00A447F1"/>
    <w:rsid w:val="00A44825"/>
    <w:rsid w:val="00A44894"/>
    <w:rsid w:val="00A44A32"/>
    <w:rsid w:val="00A44AF1"/>
    <w:rsid w:val="00A44E33"/>
    <w:rsid w:val="00A44E3F"/>
    <w:rsid w:val="00A45582"/>
    <w:rsid w:val="00A45712"/>
    <w:rsid w:val="00A45822"/>
    <w:rsid w:val="00A45841"/>
    <w:rsid w:val="00A45886"/>
    <w:rsid w:val="00A459AE"/>
    <w:rsid w:val="00A45A46"/>
    <w:rsid w:val="00A45BC7"/>
    <w:rsid w:val="00A46079"/>
    <w:rsid w:val="00A461B3"/>
    <w:rsid w:val="00A46438"/>
    <w:rsid w:val="00A46685"/>
    <w:rsid w:val="00A466A1"/>
    <w:rsid w:val="00A46840"/>
    <w:rsid w:val="00A4685A"/>
    <w:rsid w:val="00A4686E"/>
    <w:rsid w:val="00A46AAE"/>
    <w:rsid w:val="00A46DE0"/>
    <w:rsid w:val="00A471E1"/>
    <w:rsid w:val="00A471F0"/>
    <w:rsid w:val="00A47371"/>
    <w:rsid w:val="00A473DA"/>
    <w:rsid w:val="00A47449"/>
    <w:rsid w:val="00A47494"/>
    <w:rsid w:val="00A4749E"/>
    <w:rsid w:val="00A476CF"/>
    <w:rsid w:val="00A47728"/>
    <w:rsid w:val="00A47760"/>
    <w:rsid w:val="00A479E3"/>
    <w:rsid w:val="00A47A79"/>
    <w:rsid w:val="00A47C4C"/>
    <w:rsid w:val="00A47C65"/>
    <w:rsid w:val="00A47E84"/>
    <w:rsid w:val="00A47FE4"/>
    <w:rsid w:val="00A501D3"/>
    <w:rsid w:val="00A50278"/>
    <w:rsid w:val="00A50282"/>
    <w:rsid w:val="00A50460"/>
    <w:rsid w:val="00A50461"/>
    <w:rsid w:val="00A504AB"/>
    <w:rsid w:val="00A505BC"/>
    <w:rsid w:val="00A5061A"/>
    <w:rsid w:val="00A508AF"/>
    <w:rsid w:val="00A50973"/>
    <w:rsid w:val="00A50A50"/>
    <w:rsid w:val="00A50A65"/>
    <w:rsid w:val="00A50B26"/>
    <w:rsid w:val="00A50D2B"/>
    <w:rsid w:val="00A50D47"/>
    <w:rsid w:val="00A50E64"/>
    <w:rsid w:val="00A50F9A"/>
    <w:rsid w:val="00A50FFC"/>
    <w:rsid w:val="00A510EF"/>
    <w:rsid w:val="00A511D8"/>
    <w:rsid w:val="00A5170E"/>
    <w:rsid w:val="00A51759"/>
    <w:rsid w:val="00A51880"/>
    <w:rsid w:val="00A518F6"/>
    <w:rsid w:val="00A51936"/>
    <w:rsid w:val="00A51BB8"/>
    <w:rsid w:val="00A51C5A"/>
    <w:rsid w:val="00A51EB2"/>
    <w:rsid w:val="00A51F8A"/>
    <w:rsid w:val="00A520D2"/>
    <w:rsid w:val="00A52159"/>
    <w:rsid w:val="00A521FC"/>
    <w:rsid w:val="00A52356"/>
    <w:rsid w:val="00A52451"/>
    <w:rsid w:val="00A5248E"/>
    <w:rsid w:val="00A5266F"/>
    <w:rsid w:val="00A52758"/>
    <w:rsid w:val="00A5277F"/>
    <w:rsid w:val="00A527C6"/>
    <w:rsid w:val="00A529B8"/>
    <w:rsid w:val="00A529BF"/>
    <w:rsid w:val="00A529E4"/>
    <w:rsid w:val="00A52AF0"/>
    <w:rsid w:val="00A52B6F"/>
    <w:rsid w:val="00A52DC0"/>
    <w:rsid w:val="00A52E21"/>
    <w:rsid w:val="00A52EB9"/>
    <w:rsid w:val="00A52F0E"/>
    <w:rsid w:val="00A5315A"/>
    <w:rsid w:val="00A53179"/>
    <w:rsid w:val="00A53212"/>
    <w:rsid w:val="00A53284"/>
    <w:rsid w:val="00A53487"/>
    <w:rsid w:val="00A5360E"/>
    <w:rsid w:val="00A536A5"/>
    <w:rsid w:val="00A536B2"/>
    <w:rsid w:val="00A53785"/>
    <w:rsid w:val="00A538B2"/>
    <w:rsid w:val="00A53981"/>
    <w:rsid w:val="00A53AEE"/>
    <w:rsid w:val="00A53B2C"/>
    <w:rsid w:val="00A53D76"/>
    <w:rsid w:val="00A53D98"/>
    <w:rsid w:val="00A540D9"/>
    <w:rsid w:val="00A542AA"/>
    <w:rsid w:val="00A5447B"/>
    <w:rsid w:val="00A5461D"/>
    <w:rsid w:val="00A5473E"/>
    <w:rsid w:val="00A54767"/>
    <w:rsid w:val="00A547DA"/>
    <w:rsid w:val="00A547EC"/>
    <w:rsid w:val="00A54816"/>
    <w:rsid w:val="00A5483B"/>
    <w:rsid w:val="00A5484B"/>
    <w:rsid w:val="00A54A7C"/>
    <w:rsid w:val="00A54AD1"/>
    <w:rsid w:val="00A54C80"/>
    <w:rsid w:val="00A54CF5"/>
    <w:rsid w:val="00A54D5A"/>
    <w:rsid w:val="00A54FA3"/>
    <w:rsid w:val="00A5514B"/>
    <w:rsid w:val="00A551C6"/>
    <w:rsid w:val="00A55279"/>
    <w:rsid w:val="00A55322"/>
    <w:rsid w:val="00A554EF"/>
    <w:rsid w:val="00A5559A"/>
    <w:rsid w:val="00A55653"/>
    <w:rsid w:val="00A55894"/>
    <w:rsid w:val="00A558C7"/>
    <w:rsid w:val="00A55A87"/>
    <w:rsid w:val="00A55BE7"/>
    <w:rsid w:val="00A55C9A"/>
    <w:rsid w:val="00A55E7B"/>
    <w:rsid w:val="00A55F00"/>
    <w:rsid w:val="00A56085"/>
    <w:rsid w:val="00A562CC"/>
    <w:rsid w:val="00A5638A"/>
    <w:rsid w:val="00A565D4"/>
    <w:rsid w:val="00A56688"/>
    <w:rsid w:val="00A56707"/>
    <w:rsid w:val="00A56720"/>
    <w:rsid w:val="00A5695E"/>
    <w:rsid w:val="00A56960"/>
    <w:rsid w:val="00A569A5"/>
    <w:rsid w:val="00A569C9"/>
    <w:rsid w:val="00A569EB"/>
    <w:rsid w:val="00A56B5A"/>
    <w:rsid w:val="00A56BC5"/>
    <w:rsid w:val="00A56CA8"/>
    <w:rsid w:val="00A56CF7"/>
    <w:rsid w:val="00A56DCC"/>
    <w:rsid w:val="00A56F2A"/>
    <w:rsid w:val="00A56F74"/>
    <w:rsid w:val="00A5702B"/>
    <w:rsid w:val="00A572AA"/>
    <w:rsid w:val="00A572D3"/>
    <w:rsid w:val="00A573FD"/>
    <w:rsid w:val="00A57512"/>
    <w:rsid w:val="00A57536"/>
    <w:rsid w:val="00A57791"/>
    <w:rsid w:val="00A577A5"/>
    <w:rsid w:val="00A57B97"/>
    <w:rsid w:val="00A57BA1"/>
    <w:rsid w:val="00A57F01"/>
    <w:rsid w:val="00A57F12"/>
    <w:rsid w:val="00A57F6D"/>
    <w:rsid w:val="00A6007F"/>
    <w:rsid w:val="00A601F1"/>
    <w:rsid w:val="00A6034D"/>
    <w:rsid w:val="00A604C7"/>
    <w:rsid w:val="00A606AE"/>
    <w:rsid w:val="00A6090A"/>
    <w:rsid w:val="00A6099F"/>
    <w:rsid w:val="00A60DD4"/>
    <w:rsid w:val="00A60DF2"/>
    <w:rsid w:val="00A60E59"/>
    <w:rsid w:val="00A60F50"/>
    <w:rsid w:val="00A60F70"/>
    <w:rsid w:val="00A60FD2"/>
    <w:rsid w:val="00A6110A"/>
    <w:rsid w:val="00A6128F"/>
    <w:rsid w:val="00A61348"/>
    <w:rsid w:val="00A613CB"/>
    <w:rsid w:val="00A613ED"/>
    <w:rsid w:val="00A614BA"/>
    <w:rsid w:val="00A6157D"/>
    <w:rsid w:val="00A61689"/>
    <w:rsid w:val="00A616CC"/>
    <w:rsid w:val="00A61869"/>
    <w:rsid w:val="00A619A5"/>
    <w:rsid w:val="00A61A46"/>
    <w:rsid w:val="00A61B56"/>
    <w:rsid w:val="00A61BBD"/>
    <w:rsid w:val="00A61BE0"/>
    <w:rsid w:val="00A61FA8"/>
    <w:rsid w:val="00A62004"/>
    <w:rsid w:val="00A625EB"/>
    <w:rsid w:val="00A625EF"/>
    <w:rsid w:val="00A62790"/>
    <w:rsid w:val="00A62C49"/>
    <w:rsid w:val="00A62D98"/>
    <w:rsid w:val="00A62E2B"/>
    <w:rsid w:val="00A62E66"/>
    <w:rsid w:val="00A62E77"/>
    <w:rsid w:val="00A62ED3"/>
    <w:rsid w:val="00A632DB"/>
    <w:rsid w:val="00A6353D"/>
    <w:rsid w:val="00A63587"/>
    <w:rsid w:val="00A6374F"/>
    <w:rsid w:val="00A638C6"/>
    <w:rsid w:val="00A6390B"/>
    <w:rsid w:val="00A639C3"/>
    <w:rsid w:val="00A63DA1"/>
    <w:rsid w:val="00A63E4D"/>
    <w:rsid w:val="00A64113"/>
    <w:rsid w:val="00A64248"/>
    <w:rsid w:val="00A6440C"/>
    <w:rsid w:val="00A644D2"/>
    <w:rsid w:val="00A6456E"/>
    <w:rsid w:val="00A64680"/>
    <w:rsid w:val="00A64810"/>
    <w:rsid w:val="00A6489C"/>
    <w:rsid w:val="00A64B63"/>
    <w:rsid w:val="00A64B87"/>
    <w:rsid w:val="00A64BBC"/>
    <w:rsid w:val="00A65086"/>
    <w:rsid w:val="00A65248"/>
    <w:rsid w:val="00A65345"/>
    <w:rsid w:val="00A653B0"/>
    <w:rsid w:val="00A654BF"/>
    <w:rsid w:val="00A654CB"/>
    <w:rsid w:val="00A6557C"/>
    <w:rsid w:val="00A65651"/>
    <w:rsid w:val="00A65868"/>
    <w:rsid w:val="00A65A38"/>
    <w:rsid w:val="00A65AC5"/>
    <w:rsid w:val="00A65AE2"/>
    <w:rsid w:val="00A65AE6"/>
    <w:rsid w:val="00A65CE1"/>
    <w:rsid w:val="00A65FC1"/>
    <w:rsid w:val="00A661BA"/>
    <w:rsid w:val="00A66423"/>
    <w:rsid w:val="00A665B2"/>
    <w:rsid w:val="00A665E3"/>
    <w:rsid w:val="00A66740"/>
    <w:rsid w:val="00A66880"/>
    <w:rsid w:val="00A6689E"/>
    <w:rsid w:val="00A66ACC"/>
    <w:rsid w:val="00A66D0F"/>
    <w:rsid w:val="00A66ECB"/>
    <w:rsid w:val="00A67236"/>
    <w:rsid w:val="00A67396"/>
    <w:rsid w:val="00A673C3"/>
    <w:rsid w:val="00A673C8"/>
    <w:rsid w:val="00A674C3"/>
    <w:rsid w:val="00A6753C"/>
    <w:rsid w:val="00A6754E"/>
    <w:rsid w:val="00A6757F"/>
    <w:rsid w:val="00A67580"/>
    <w:rsid w:val="00A676B0"/>
    <w:rsid w:val="00A67828"/>
    <w:rsid w:val="00A678B9"/>
    <w:rsid w:val="00A67C2D"/>
    <w:rsid w:val="00A67C2E"/>
    <w:rsid w:val="00A67CD9"/>
    <w:rsid w:val="00A67CE9"/>
    <w:rsid w:val="00A67E0F"/>
    <w:rsid w:val="00A67E31"/>
    <w:rsid w:val="00A67EE3"/>
    <w:rsid w:val="00A70020"/>
    <w:rsid w:val="00A70033"/>
    <w:rsid w:val="00A70467"/>
    <w:rsid w:val="00A704C9"/>
    <w:rsid w:val="00A70530"/>
    <w:rsid w:val="00A705F3"/>
    <w:rsid w:val="00A70729"/>
    <w:rsid w:val="00A70755"/>
    <w:rsid w:val="00A7079C"/>
    <w:rsid w:val="00A70A53"/>
    <w:rsid w:val="00A70B85"/>
    <w:rsid w:val="00A7114F"/>
    <w:rsid w:val="00A711E4"/>
    <w:rsid w:val="00A71231"/>
    <w:rsid w:val="00A712C9"/>
    <w:rsid w:val="00A715D7"/>
    <w:rsid w:val="00A7160B"/>
    <w:rsid w:val="00A71840"/>
    <w:rsid w:val="00A7192F"/>
    <w:rsid w:val="00A7199C"/>
    <w:rsid w:val="00A71A07"/>
    <w:rsid w:val="00A71D35"/>
    <w:rsid w:val="00A71FB8"/>
    <w:rsid w:val="00A720C7"/>
    <w:rsid w:val="00A720D3"/>
    <w:rsid w:val="00A720D9"/>
    <w:rsid w:val="00A72169"/>
    <w:rsid w:val="00A722E6"/>
    <w:rsid w:val="00A7240F"/>
    <w:rsid w:val="00A724B4"/>
    <w:rsid w:val="00A724CD"/>
    <w:rsid w:val="00A7250E"/>
    <w:rsid w:val="00A72524"/>
    <w:rsid w:val="00A726CF"/>
    <w:rsid w:val="00A72720"/>
    <w:rsid w:val="00A72755"/>
    <w:rsid w:val="00A727AE"/>
    <w:rsid w:val="00A728E5"/>
    <w:rsid w:val="00A72E8E"/>
    <w:rsid w:val="00A72F93"/>
    <w:rsid w:val="00A732A2"/>
    <w:rsid w:val="00A73390"/>
    <w:rsid w:val="00A733C0"/>
    <w:rsid w:val="00A73516"/>
    <w:rsid w:val="00A7351B"/>
    <w:rsid w:val="00A7361E"/>
    <w:rsid w:val="00A73633"/>
    <w:rsid w:val="00A73698"/>
    <w:rsid w:val="00A736D9"/>
    <w:rsid w:val="00A737DC"/>
    <w:rsid w:val="00A737F9"/>
    <w:rsid w:val="00A73951"/>
    <w:rsid w:val="00A73954"/>
    <w:rsid w:val="00A739B8"/>
    <w:rsid w:val="00A739BA"/>
    <w:rsid w:val="00A73A05"/>
    <w:rsid w:val="00A73AB8"/>
    <w:rsid w:val="00A73B53"/>
    <w:rsid w:val="00A73BF1"/>
    <w:rsid w:val="00A73C3A"/>
    <w:rsid w:val="00A73FE2"/>
    <w:rsid w:val="00A74131"/>
    <w:rsid w:val="00A7419B"/>
    <w:rsid w:val="00A741F3"/>
    <w:rsid w:val="00A7436A"/>
    <w:rsid w:val="00A743BB"/>
    <w:rsid w:val="00A74599"/>
    <w:rsid w:val="00A745BF"/>
    <w:rsid w:val="00A7463F"/>
    <w:rsid w:val="00A74668"/>
    <w:rsid w:val="00A74688"/>
    <w:rsid w:val="00A747D4"/>
    <w:rsid w:val="00A74B14"/>
    <w:rsid w:val="00A74C3B"/>
    <w:rsid w:val="00A74CCA"/>
    <w:rsid w:val="00A750CB"/>
    <w:rsid w:val="00A75161"/>
    <w:rsid w:val="00A75208"/>
    <w:rsid w:val="00A754AD"/>
    <w:rsid w:val="00A754E3"/>
    <w:rsid w:val="00A7575F"/>
    <w:rsid w:val="00A757FC"/>
    <w:rsid w:val="00A75823"/>
    <w:rsid w:val="00A75BDD"/>
    <w:rsid w:val="00A75CA4"/>
    <w:rsid w:val="00A75E87"/>
    <w:rsid w:val="00A760EF"/>
    <w:rsid w:val="00A76201"/>
    <w:rsid w:val="00A76252"/>
    <w:rsid w:val="00A762C5"/>
    <w:rsid w:val="00A76406"/>
    <w:rsid w:val="00A767CF"/>
    <w:rsid w:val="00A76813"/>
    <w:rsid w:val="00A76967"/>
    <w:rsid w:val="00A769A2"/>
    <w:rsid w:val="00A76A00"/>
    <w:rsid w:val="00A76B3D"/>
    <w:rsid w:val="00A76E44"/>
    <w:rsid w:val="00A77087"/>
    <w:rsid w:val="00A770C9"/>
    <w:rsid w:val="00A77302"/>
    <w:rsid w:val="00A77314"/>
    <w:rsid w:val="00A7734C"/>
    <w:rsid w:val="00A77414"/>
    <w:rsid w:val="00A775C1"/>
    <w:rsid w:val="00A776EE"/>
    <w:rsid w:val="00A778A0"/>
    <w:rsid w:val="00A779FE"/>
    <w:rsid w:val="00A77A59"/>
    <w:rsid w:val="00A77A5F"/>
    <w:rsid w:val="00A77A6D"/>
    <w:rsid w:val="00A77C1F"/>
    <w:rsid w:val="00A77C86"/>
    <w:rsid w:val="00A77D0D"/>
    <w:rsid w:val="00A77D39"/>
    <w:rsid w:val="00A77D82"/>
    <w:rsid w:val="00A77E61"/>
    <w:rsid w:val="00A80033"/>
    <w:rsid w:val="00A80065"/>
    <w:rsid w:val="00A800B2"/>
    <w:rsid w:val="00A80109"/>
    <w:rsid w:val="00A801E2"/>
    <w:rsid w:val="00A802D4"/>
    <w:rsid w:val="00A80410"/>
    <w:rsid w:val="00A80491"/>
    <w:rsid w:val="00A80553"/>
    <w:rsid w:val="00A8066D"/>
    <w:rsid w:val="00A807DD"/>
    <w:rsid w:val="00A8098F"/>
    <w:rsid w:val="00A80A58"/>
    <w:rsid w:val="00A80F34"/>
    <w:rsid w:val="00A81078"/>
    <w:rsid w:val="00A810C3"/>
    <w:rsid w:val="00A815D2"/>
    <w:rsid w:val="00A817A0"/>
    <w:rsid w:val="00A819D0"/>
    <w:rsid w:val="00A81A09"/>
    <w:rsid w:val="00A81AF9"/>
    <w:rsid w:val="00A81B27"/>
    <w:rsid w:val="00A81CEF"/>
    <w:rsid w:val="00A81EBE"/>
    <w:rsid w:val="00A820B8"/>
    <w:rsid w:val="00A820BA"/>
    <w:rsid w:val="00A821D1"/>
    <w:rsid w:val="00A82274"/>
    <w:rsid w:val="00A82321"/>
    <w:rsid w:val="00A823A0"/>
    <w:rsid w:val="00A823AA"/>
    <w:rsid w:val="00A82597"/>
    <w:rsid w:val="00A826BC"/>
    <w:rsid w:val="00A82880"/>
    <w:rsid w:val="00A82946"/>
    <w:rsid w:val="00A82AFB"/>
    <w:rsid w:val="00A82C33"/>
    <w:rsid w:val="00A83046"/>
    <w:rsid w:val="00A83231"/>
    <w:rsid w:val="00A83333"/>
    <w:rsid w:val="00A83353"/>
    <w:rsid w:val="00A83377"/>
    <w:rsid w:val="00A833CF"/>
    <w:rsid w:val="00A83521"/>
    <w:rsid w:val="00A8352D"/>
    <w:rsid w:val="00A836DC"/>
    <w:rsid w:val="00A83881"/>
    <w:rsid w:val="00A838B8"/>
    <w:rsid w:val="00A838F3"/>
    <w:rsid w:val="00A839AE"/>
    <w:rsid w:val="00A839E9"/>
    <w:rsid w:val="00A83AA2"/>
    <w:rsid w:val="00A83C0F"/>
    <w:rsid w:val="00A83C36"/>
    <w:rsid w:val="00A83D62"/>
    <w:rsid w:val="00A83DC2"/>
    <w:rsid w:val="00A840F0"/>
    <w:rsid w:val="00A84C31"/>
    <w:rsid w:val="00A84C58"/>
    <w:rsid w:val="00A84CAC"/>
    <w:rsid w:val="00A84D04"/>
    <w:rsid w:val="00A84FC9"/>
    <w:rsid w:val="00A850E6"/>
    <w:rsid w:val="00A85152"/>
    <w:rsid w:val="00A851DA"/>
    <w:rsid w:val="00A854A4"/>
    <w:rsid w:val="00A859E3"/>
    <w:rsid w:val="00A85BBB"/>
    <w:rsid w:val="00A85C51"/>
    <w:rsid w:val="00A85CDB"/>
    <w:rsid w:val="00A85E15"/>
    <w:rsid w:val="00A85E95"/>
    <w:rsid w:val="00A85E9E"/>
    <w:rsid w:val="00A86194"/>
    <w:rsid w:val="00A8625A"/>
    <w:rsid w:val="00A86453"/>
    <w:rsid w:val="00A8646C"/>
    <w:rsid w:val="00A86A4F"/>
    <w:rsid w:val="00A86C2F"/>
    <w:rsid w:val="00A86C77"/>
    <w:rsid w:val="00A86DBC"/>
    <w:rsid w:val="00A86E89"/>
    <w:rsid w:val="00A86EA1"/>
    <w:rsid w:val="00A86F59"/>
    <w:rsid w:val="00A87133"/>
    <w:rsid w:val="00A87436"/>
    <w:rsid w:val="00A87477"/>
    <w:rsid w:val="00A8759F"/>
    <w:rsid w:val="00A87677"/>
    <w:rsid w:val="00A876B8"/>
    <w:rsid w:val="00A87704"/>
    <w:rsid w:val="00A878DE"/>
    <w:rsid w:val="00A879F1"/>
    <w:rsid w:val="00A87A37"/>
    <w:rsid w:val="00A87BDE"/>
    <w:rsid w:val="00A87E37"/>
    <w:rsid w:val="00A90161"/>
    <w:rsid w:val="00A901C5"/>
    <w:rsid w:val="00A90206"/>
    <w:rsid w:val="00A90285"/>
    <w:rsid w:val="00A902A7"/>
    <w:rsid w:val="00A904FC"/>
    <w:rsid w:val="00A905A0"/>
    <w:rsid w:val="00A905D2"/>
    <w:rsid w:val="00A9077B"/>
    <w:rsid w:val="00A907EC"/>
    <w:rsid w:val="00A908B8"/>
    <w:rsid w:val="00A90A09"/>
    <w:rsid w:val="00A90B08"/>
    <w:rsid w:val="00A90B61"/>
    <w:rsid w:val="00A90B67"/>
    <w:rsid w:val="00A90BA0"/>
    <w:rsid w:val="00A90C42"/>
    <w:rsid w:val="00A90F97"/>
    <w:rsid w:val="00A91090"/>
    <w:rsid w:val="00A91329"/>
    <w:rsid w:val="00A9164D"/>
    <w:rsid w:val="00A91683"/>
    <w:rsid w:val="00A916DF"/>
    <w:rsid w:val="00A917B6"/>
    <w:rsid w:val="00A917F4"/>
    <w:rsid w:val="00A91881"/>
    <w:rsid w:val="00A918AF"/>
    <w:rsid w:val="00A91A20"/>
    <w:rsid w:val="00A91A48"/>
    <w:rsid w:val="00A91CF2"/>
    <w:rsid w:val="00A91E3C"/>
    <w:rsid w:val="00A91F6E"/>
    <w:rsid w:val="00A91F7A"/>
    <w:rsid w:val="00A91F8D"/>
    <w:rsid w:val="00A921B0"/>
    <w:rsid w:val="00A92230"/>
    <w:rsid w:val="00A922B6"/>
    <w:rsid w:val="00A92648"/>
    <w:rsid w:val="00A926A6"/>
    <w:rsid w:val="00A926E7"/>
    <w:rsid w:val="00A92910"/>
    <w:rsid w:val="00A92930"/>
    <w:rsid w:val="00A92957"/>
    <w:rsid w:val="00A9296D"/>
    <w:rsid w:val="00A92A33"/>
    <w:rsid w:val="00A92C95"/>
    <w:rsid w:val="00A92ED8"/>
    <w:rsid w:val="00A92EFD"/>
    <w:rsid w:val="00A930D6"/>
    <w:rsid w:val="00A93102"/>
    <w:rsid w:val="00A93140"/>
    <w:rsid w:val="00A93245"/>
    <w:rsid w:val="00A932DA"/>
    <w:rsid w:val="00A93355"/>
    <w:rsid w:val="00A933A5"/>
    <w:rsid w:val="00A93474"/>
    <w:rsid w:val="00A9363A"/>
    <w:rsid w:val="00A93938"/>
    <w:rsid w:val="00A93AD7"/>
    <w:rsid w:val="00A93BAC"/>
    <w:rsid w:val="00A93BB7"/>
    <w:rsid w:val="00A93C21"/>
    <w:rsid w:val="00A93C70"/>
    <w:rsid w:val="00A93EF5"/>
    <w:rsid w:val="00A93F44"/>
    <w:rsid w:val="00A93F4B"/>
    <w:rsid w:val="00A94188"/>
    <w:rsid w:val="00A94514"/>
    <w:rsid w:val="00A9451F"/>
    <w:rsid w:val="00A94560"/>
    <w:rsid w:val="00A9466F"/>
    <w:rsid w:val="00A946B3"/>
    <w:rsid w:val="00A94825"/>
    <w:rsid w:val="00A94876"/>
    <w:rsid w:val="00A94C16"/>
    <w:rsid w:val="00A94E03"/>
    <w:rsid w:val="00A94F09"/>
    <w:rsid w:val="00A950EE"/>
    <w:rsid w:val="00A952EE"/>
    <w:rsid w:val="00A95382"/>
    <w:rsid w:val="00A95431"/>
    <w:rsid w:val="00A954DE"/>
    <w:rsid w:val="00A95541"/>
    <w:rsid w:val="00A95630"/>
    <w:rsid w:val="00A95758"/>
    <w:rsid w:val="00A9594E"/>
    <w:rsid w:val="00A959AB"/>
    <w:rsid w:val="00A95A88"/>
    <w:rsid w:val="00A95BB1"/>
    <w:rsid w:val="00A95C8F"/>
    <w:rsid w:val="00A95D92"/>
    <w:rsid w:val="00A95D9C"/>
    <w:rsid w:val="00A95DF4"/>
    <w:rsid w:val="00A95E85"/>
    <w:rsid w:val="00A95F2F"/>
    <w:rsid w:val="00A95F5A"/>
    <w:rsid w:val="00A95FA0"/>
    <w:rsid w:val="00A96082"/>
    <w:rsid w:val="00A962A0"/>
    <w:rsid w:val="00A962B4"/>
    <w:rsid w:val="00A9630F"/>
    <w:rsid w:val="00A9653E"/>
    <w:rsid w:val="00A9668D"/>
    <w:rsid w:val="00A9669B"/>
    <w:rsid w:val="00A966ED"/>
    <w:rsid w:val="00A967FD"/>
    <w:rsid w:val="00A96A71"/>
    <w:rsid w:val="00A96A9F"/>
    <w:rsid w:val="00A96AB8"/>
    <w:rsid w:val="00A96BBA"/>
    <w:rsid w:val="00A96DF9"/>
    <w:rsid w:val="00A96ECF"/>
    <w:rsid w:val="00A96FE8"/>
    <w:rsid w:val="00A97124"/>
    <w:rsid w:val="00A972B8"/>
    <w:rsid w:val="00A9734B"/>
    <w:rsid w:val="00A97379"/>
    <w:rsid w:val="00A9737F"/>
    <w:rsid w:val="00A973E3"/>
    <w:rsid w:val="00A97431"/>
    <w:rsid w:val="00A97456"/>
    <w:rsid w:val="00A97482"/>
    <w:rsid w:val="00A97647"/>
    <w:rsid w:val="00A97731"/>
    <w:rsid w:val="00A97907"/>
    <w:rsid w:val="00A9794A"/>
    <w:rsid w:val="00A97986"/>
    <w:rsid w:val="00A97988"/>
    <w:rsid w:val="00A979ED"/>
    <w:rsid w:val="00A97A9E"/>
    <w:rsid w:val="00A97DF0"/>
    <w:rsid w:val="00A97E7F"/>
    <w:rsid w:val="00AA0117"/>
    <w:rsid w:val="00AA0161"/>
    <w:rsid w:val="00AA017E"/>
    <w:rsid w:val="00AA02EF"/>
    <w:rsid w:val="00AA043A"/>
    <w:rsid w:val="00AA065F"/>
    <w:rsid w:val="00AA0669"/>
    <w:rsid w:val="00AA06F1"/>
    <w:rsid w:val="00AA0788"/>
    <w:rsid w:val="00AA0829"/>
    <w:rsid w:val="00AA086B"/>
    <w:rsid w:val="00AA0A22"/>
    <w:rsid w:val="00AA0EF6"/>
    <w:rsid w:val="00AA109E"/>
    <w:rsid w:val="00AA14F3"/>
    <w:rsid w:val="00AA1A9E"/>
    <w:rsid w:val="00AA1B27"/>
    <w:rsid w:val="00AA1CB0"/>
    <w:rsid w:val="00AA1DF8"/>
    <w:rsid w:val="00AA2157"/>
    <w:rsid w:val="00AA2369"/>
    <w:rsid w:val="00AA2384"/>
    <w:rsid w:val="00AA23DB"/>
    <w:rsid w:val="00AA2426"/>
    <w:rsid w:val="00AA2635"/>
    <w:rsid w:val="00AA2694"/>
    <w:rsid w:val="00AA281B"/>
    <w:rsid w:val="00AA284C"/>
    <w:rsid w:val="00AA289E"/>
    <w:rsid w:val="00AA28E2"/>
    <w:rsid w:val="00AA29AB"/>
    <w:rsid w:val="00AA2CF4"/>
    <w:rsid w:val="00AA2D67"/>
    <w:rsid w:val="00AA3126"/>
    <w:rsid w:val="00AA3128"/>
    <w:rsid w:val="00AA3187"/>
    <w:rsid w:val="00AA31C7"/>
    <w:rsid w:val="00AA3226"/>
    <w:rsid w:val="00AA3492"/>
    <w:rsid w:val="00AA367D"/>
    <w:rsid w:val="00AA386E"/>
    <w:rsid w:val="00AA38B3"/>
    <w:rsid w:val="00AA38D3"/>
    <w:rsid w:val="00AA3AF3"/>
    <w:rsid w:val="00AA3C59"/>
    <w:rsid w:val="00AA3CF2"/>
    <w:rsid w:val="00AA3D3E"/>
    <w:rsid w:val="00AA3EC2"/>
    <w:rsid w:val="00AA4209"/>
    <w:rsid w:val="00AA43E9"/>
    <w:rsid w:val="00AA44FA"/>
    <w:rsid w:val="00AA45BE"/>
    <w:rsid w:val="00AA45E6"/>
    <w:rsid w:val="00AA477F"/>
    <w:rsid w:val="00AA4A05"/>
    <w:rsid w:val="00AA4AD1"/>
    <w:rsid w:val="00AA4AE3"/>
    <w:rsid w:val="00AA4B38"/>
    <w:rsid w:val="00AA4B3B"/>
    <w:rsid w:val="00AA4ED2"/>
    <w:rsid w:val="00AA4FD8"/>
    <w:rsid w:val="00AA5331"/>
    <w:rsid w:val="00AA54D2"/>
    <w:rsid w:val="00AA54D4"/>
    <w:rsid w:val="00AA54E2"/>
    <w:rsid w:val="00AA55B3"/>
    <w:rsid w:val="00AA57EE"/>
    <w:rsid w:val="00AA5852"/>
    <w:rsid w:val="00AA58C4"/>
    <w:rsid w:val="00AA5A62"/>
    <w:rsid w:val="00AA5C05"/>
    <w:rsid w:val="00AA5CD3"/>
    <w:rsid w:val="00AA5D81"/>
    <w:rsid w:val="00AA5E09"/>
    <w:rsid w:val="00AA5E55"/>
    <w:rsid w:val="00AA5EB5"/>
    <w:rsid w:val="00AA5F8F"/>
    <w:rsid w:val="00AA606B"/>
    <w:rsid w:val="00AA6126"/>
    <w:rsid w:val="00AA616B"/>
    <w:rsid w:val="00AA6231"/>
    <w:rsid w:val="00AA6285"/>
    <w:rsid w:val="00AA6506"/>
    <w:rsid w:val="00AA660B"/>
    <w:rsid w:val="00AA6A0D"/>
    <w:rsid w:val="00AA6A98"/>
    <w:rsid w:val="00AA6AFE"/>
    <w:rsid w:val="00AA6BAD"/>
    <w:rsid w:val="00AA6C16"/>
    <w:rsid w:val="00AA6C30"/>
    <w:rsid w:val="00AA6ED9"/>
    <w:rsid w:val="00AA6F43"/>
    <w:rsid w:val="00AA6FB1"/>
    <w:rsid w:val="00AA75BA"/>
    <w:rsid w:val="00AA75D4"/>
    <w:rsid w:val="00AA75D6"/>
    <w:rsid w:val="00AA76FB"/>
    <w:rsid w:val="00AA77C4"/>
    <w:rsid w:val="00AA7921"/>
    <w:rsid w:val="00AA7B22"/>
    <w:rsid w:val="00AA7B6F"/>
    <w:rsid w:val="00AA7C84"/>
    <w:rsid w:val="00AB00F3"/>
    <w:rsid w:val="00AB0185"/>
    <w:rsid w:val="00AB0220"/>
    <w:rsid w:val="00AB0243"/>
    <w:rsid w:val="00AB0429"/>
    <w:rsid w:val="00AB052E"/>
    <w:rsid w:val="00AB05FE"/>
    <w:rsid w:val="00AB09E6"/>
    <w:rsid w:val="00AB0D1B"/>
    <w:rsid w:val="00AB1099"/>
    <w:rsid w:val="00AB10C2"/>
    <w:rsid w:val="00AB1120"/>
    <w:rsid w:val="00AB1257"/>
    <w:rsid w:val="00AB139E"/>
    <w:rsid w:val="00AB13E5"/>
    <w:rsid w:val="00AB1424"/>
    <w:rsid w:val="00AB1571"/>
    <w:rsid w:val="00AB166D"/>
    <w:rsid w:val="00AB16BF"/>
    <w:rsid w:val="00AB1745"/>
    <w:rsid w:val="00AB1803"/>
    <w:rsid w:val="00AB1955"/>
    <w:rsid w:val="00AB1A57"/>
    <w:rsid w:val="00AB1CF3"/>
    <w:rsid w:val="00AB1F48"/>
    <w:rsid w:val="00AB1FFF"/>
    <w:rsid w:val="00AB202B"/>
    <w:rsid w:val="00AB227E"/>
    <w:rsid w:val="00AB2650"/>
    <w:rsid w:val="00AB2867"/>
    <w:rsid w:val="00AB2877"/>
    <w:rsid w:val="00AB28F8"/>
    <w:rsid w:val="00AB2AA7"/>
    <w:rsid w:val="00AB2B15"/>
    <w:rsid w:val="00AB2B6A"/>
    <w:rsid w:val="00AB2D61"/>
    <w:rsid w:val="00AB3031"/>
    <w:rsid w:val="00AB3160"/>
    <w:rsid w:val="00AB323A"/>
    <w:rsid w:val="00AB3334"/>
    <w:rsid w:val="00AB3384"/>
    <w:rsid w:val="00AB3528"/>
    <w:rsid w:val="00AB35C4"/>
    <w:rsid w:val="00AB3600"/>
    <w:rsid w:val="00AB3735"/>
    <w:rsid w:val="00AB388B"/>
    <w:rsid w:val="00AB39AD"/>
    <w:rsid w:val="00AB39DB"/>
    <w:rsid w:val="00AB3A5F"/>
    <w:rsid w:val="00AB3A68"/>
    <w:rsid w:val="00AB3B7C"/>
    <w:rsid w:val="00AB3D3F"/>
    <w:rsid w:val="00AB3E91"/>
    <w:rsid w:val="00AB3F86"/>
    <w:rsid w:val="00AB3FB2"/>
    <w:rsid w:val="00AB3FF5"/>
    <w:rsid w:val="00AB4111"/>
    <w:rsid w:val="00AB4117"/>
    <w:rsid w:val="00AB42E7"/>
    <w:rsid w:val="00AB4331"/>
    <w:rsid w:val="00AB4424"/>
    <w:rsid w:val="00AB44C6"/>
    <w:rsid w:val="00AB468C"/>
    <w:rsid w:val="00AB4726"/>
    <w:rsid w:val="00AB480B"/>
    <w:rsid w:val="00AB4858"/>
    <w:rsid w:val="00AB4DC6"/>
    <w:rsid w:val="00AB5287"/>
    <w:rsid w:val="00AB52FC"/>
    <w:rsid w:val="00AB5311"/>
    <w:rsid w:val="00AB53B5"/>
    <w:rsid w:val="00AB53D8"/>
    <w:rsid w:val="00AB5784"/>
    <w:rsid w:val="00AB5A92"/>
    <w:rsid w:val="00AB5F47"/>
    <w:rsid w:val="00AB5FC9"/>
    <w:rsid w:val="00AB6271"/>
    <w:rsid w:val="00AB632E"/>
    <w:rsid w:val="00AB666E"/>
    <w:rsid w:val="00AB6725"/>
    <w:rsid w:val="00AB685D"/>
    <w:rsid w:val="00AB6AA6"/>
    <w:rsid w:val="00AB6D49"/>
    <w:rsid w:val="00AB6DEE"/>
    <w:rsid w:val="00AB6E89"/>
    <w:rsid w:val="00AB6F2E"/>
    <w:rsid w:val="00AB6FDB"/>
    <w:rsid w:val="00AB7107"/>
    <w:rsid w:val="00AB71B3"/>
    <w:rsid w:val="00AB725D"/>
    <w:rsid w:val="00AB7A03"/>
    <w:rsid w:val="00AB7AA1"/>
    <w:rsid w:val="00AB7AD6"/>
    <w:rsid w:val="00AB7B34"/>
    <w:rsid w:val="00AB7B59"/>
    <w:rsid w:val="00AB7BCA"/>
    <w:rsid w:val="00AB7DBD"/>
    <w:rsid w:val="00AB7EE3"/>
    <w:rsid w:val="00AB7F0B"/>
    <w:rsid w:val="00AB7F72"/>
    <w:rsid w:val="00AB7F87"/>
    <w:rsid w:val="00AC0269"/>
    <w:rsid w:val="00AC02B8"/>
    <w:rsid w:val="00AC035E"/>
    <w:rsid w:val="00AC03E8"/>
    <w:rsid w:val="00AC0424"/>
    <w:rsid w:val="00AC05A8"/>
    <w:rsid w:val="00AC062E"/>
    <w:rsid w:val="00AC0743"/>
    <w:rsid w:val="00AC0763"/>
    <w:rsid w:val="00AC0897"/>
    <w:rsid w:val="00AC0A65"/>
    <w:rsid w:val="00AC0D6F"/>
    <w:rsid w:val="00AC0EB2"/>
    <w:rsid w:val="00AC0F3A"/>
    <w:rsid w:val="00AC0F67"/>
    <w:rsid w:val="00AC0FC9"/>
    <w:rsid w:val="00AC1099"/>
    <w:rsid w:val="00AC1325"/>
    <w:rsid w:val="00AC13CC"/>
    <w:rsid w:val="00AC13DE"/>
    <w:rsid w:val="00AC13F4"/>
    <w:rsid w:val="00AC171B"/>
    <w:rsid w:val="00AC18F2"/>
    <w:rsid w:val="00AC1B1E"/>
    <w:rsid w:val="00AC1C12"/>
    <w:rsid w:val="00AC1D6B"/>
    <w:rsid w:val="00AC206E"/>
    <w:rsid w:val="00AC21C0"/>
    <w:rsid w:val="00AC223A"/>
    <w:rsid w:val="00AC2264"/>
    <w:rsid w:val="00AC233B"/>
    <w:rsid w:val="00AC2490"/>
    <w:rsid w:val="00AC2651"/>
    <w:rsid w:val="00AC271B"/>
    <w:rsid w:val="00AC274B"/>
    <w:rsid w:val="00AC2939"/>
    <w:rsid w:val="00AC2CF2"/>
    <w:rsid w:val="00AC2EFF"/>
    <w:rsid w:val="00AC2F5E"/>
    <w:rsid w:val="00AC3105"/>
    <w:rsid w:val="00AC336E"/>
    <w:rsid w:val="00AC3577"/>
    <w:rsid w:val="00AC35C5"/>
    <w:rsid w:val="00AC35F1"/>
    <w:rsid w:val="00AC3611"/>
    <w:rsid w:val="00AC3690"/>
    <w:rsid w:val="00AC3770"/>
    <w:rsid w:val="00AC3776"/>
    <w:rsid w:val="00AC389B"/>
    <w:rsid w:val="00AC38BF"/>
    <w:rsid w:val="00AC38C0"/>
    <w:rsid w:val="00AC38ED"/>
    <w:rsid w:val="00AC38F0"/>
    <w:rsid w:val="00AC3A26"/>
    <w:rsid w:val="00AC3B97"/>
    <w:rsid w:val="00AC3DC9"/>
    <w:rsid w:val="00AC40F7"/>
    <w:rsid w:val="00AC41FA"/>
    <w:rsid w:val="00AC424F"/>
    <w:rsid w:val="00AC4330"/>
    <w:rsid w:val="00AC4405"/>
    <w:rsid w:val="00AC4410"/>
    <w:rsid w:val="00AC4609"/>
    <w:rsid w:val="00AC4690"/>
    <w:rsid w:val="00AC4698"/>
    <w:rsid w:val="00AC497C"/>
    <w:rsid w:val="00AC49E7"/>
    <w:rsid w:val="00AC4A50"/>
    <w:rsid w:val="00AC4AC4"/>
    <w:rsid w:val="00AC4DF0"/>
    <w:rsid w:val="00AC4EC4"/>
    <w:rsid w:val="00AC4EEB"/>
    <w:rsid w:val="00AC50D4"/>
    <w:rsid w:val="00AC50DA"/>
    <w:rsid w:val="00AC552A"/>
    <w:rsid w:val="00AC55E7"/>
    <w:rsid w:val="00AC5782"/>
    <w:rsid w:val="00AC57F6"/>
    <w:rsid w:val="00AC580F"/>
    <w:rsid w:val="00AC586F"/>
    <w:rsid w:val="00AC58B3"/>
    <w:rsid w:val="00AC5924"/>
    <w:rsid w:val="00AC5A02"/>
    <w:rsid w:val="00AC5B7F"/>
    <w:rsid w:val="00AC5C16"/>
    <w:rsid w:val="00AC5CD9"/>
    <w:rsid w:val="00AC5D1D"/>
    <w:rsid w:val="00AC62A7"/>
    <w:rsid w:val="00AC63A3"/>
    <w:rsid w:val="00AC63FA"/>
    <w:rsid w:val="00AC6435"/>
    <w:rsid w:val="00AC644B"/>
    <w:rsid w:val="00AC670A"/>
    <w:rsid w:val="00AC67E4"/>
    <w:rsid w:val="00AC68C6"/>
    <w:rsid w:val="00AC692E"/>
    <w:rsid w:val="00AC6CF0"/>
    <w:rsid w:val="00AC6D94"/>
    <w:rsid w:val="00AC7199"/>
    <w:rsid w:val="00AC7425"/>
    <w:rsid w:val="00AC7543"/>
    <w:rsid w:val="00AC758B"/>
    <w:rsid w:val="00AC75AF"/>
    <w:rsid w:val="00AC7678"/>
    <w:rsid w:val="00AC769C"/>
    <w:rsid w:val="00AC782C"/>
    <w:rsid w:val="00AC7A9F"/>
    <w:rsid w:val="00AC7B85"/>
    <w:rsid w:val="00AC7B9E"/>
    <w:rsid w:val="00AC7BCB"/>
    <w:rsid w:val="00AC7C54"/>
    <w:rsid w:val="00AC7C8C"/>
    <w:rsid w:val="00AC7CDF"/>
    <w:rsid w:val="00AC7D7C"/>
    <w:rsid w:val="00AC7EBD"/>
    <w:rsid w:val="00AC7ED2"/>
    <w:rsid w:val="00AC7F5A"/>
    <w:rsid w:val="00AC7F7A"/>
    <w:rsid w:val="00AD007E"/>
    <w:rsid w:val="00AD0090"/>
    <w:rsid w:val="00AD00BC"/>
    <w:rsid w:val="00AD017B"/>
    <w:rsid w:val="00AD0356"/>
    <w:rsid w:val="00AD0687"/>
    <w:rsid w:val="00AD06E5"/>
    <w:rsid w:val="00AD0722"/>
    <w:rsid w:val="00AD07E0"/>
    <w:rsid w:val="00AD07E3"/>
    <w:rsid w:val="00AD0809"/>
    <w:rsid w:val="00AD0836"/>
    <w:rsid w:val="00AD095B"/>
    <w:rsid w:val="00AD0AA4"/>
    <w:rsid w:val="00AD0B9E"/>
    <w:rsid w:val="00AD0BBE"/>
    <w:rsid w:val="00AD0BEB"/>
    <w:rsid w:val="00AD0D87"/>
    <w:rsid w:val="00AD0E67"/>
    <w:rsid w:val="00AD0F89"/>
    <w:rsid w:val="00AD1044"/>
    <w:rsid w:val="00AD1045"/>
    <w:rsid w:val="00AD10A9"/>
    <w:rsid w:val="00AD11D6"/>
    <w:rsid w:val="00AD1408"/>
    <w:rsid w:val="00AD194C"/>
    <w:rsid w:val="00AD198A"/>
    <w:rsid w:val="00AD19FB"/>
    <w:rsid w:val="00AD1C73"/>
    <w:rsid w:val="00AD1E90"/>
    <w:rsid w:val="00AD1EE5"/>
    <w:rsid w:val="00AD1F80"/>
    <w:rsid w:val="00AD205D"/>
    <w:rsid w:val="00AD20D4"/>
    <w:rsid w:val="00AD21F1"/>
    <w:rsid w:val="00AD22D3"/>
    <w:rsid w:val="00AD2481"/>
    <w:rsid w:val="00AD24D6"/>
    <w:rsid w:val="00AD252A"/>
    <w:rsid w:val="00AD25A4"/>
    <w:rsid w:val="00AD25E2"/>
    <w:rsid w:val="00AD25F6"/>
    <w:rsid w:val="00AD26C3"/>
    <w:rsid w:val="00AD26F6"/>
    <w:rsid w:val="00AD271F"/>
    <w:rsid w:val="00AD279A"/>
    <w:rsid w:val="00AD280A"/>
    <w:rsid w:val="00AD2AB2"/>
    <w:rsid w:val="00AD2BF5"/>
    <w:rsid w:val="00AD2D2B"/>
    <w:rsid w:val="00AD2DED"/>
    <w:rsid w:val="00AD2FF9"/>
    <w:rsid w:val="00AD3007"/>
    <w:rsid w:val="00AD304A"/>
    <w:rsid w:val="00AD33B8"/>
    <w:rsid w:val="00AD34AA"/>
    <w:rsid w:val="00AD3583"/>
    <w:rsid w:val="00AD35C7"/>
    <w:rsid w:val="00AD368B"/>
    <w:rsid w:val="00AD36B4"/>
    <w:rsid w:val="00AD36F6"/>
    <w:rsid w:val="00AD389B"/>
    <w:rsid w:val="00AD38B3"/>
    <w:rsid w:val="00AD39B4"/>
    <w:rsid w:val="00AD3C1F"/>
    <w:rsid w:val="00AD3C50"/>
    <w:rsid w:val="00AD3C7A"/>
    <w:rsid w:val="00AD3D49"/>
    <w:rsid w:val="00AD3EE6"/>
    <w:rsid w:val="00AD3F49"/>
    <w:rsid w:val="00AD3FDB"/>
    <w:rsid w:val="00AD3FFB"/>
    <w:rsid w:val="00AD4004"/>
    <w:rsid w:val="00AD42E7"/>
    <w:rsid w:val="00AD4584"/>
    <w:rsid w:val="00AD47F6"/>
    <w:rsid w:val="00AD483D"/>
    <w:rsid w:val="00AD4A60"/>
    <w:rsid w:val="00AD4B26"/>
    <w:rsid w:val="00AD4D6B"/>
    <w:rsid w:val="00AD4DB5"/>
    <w:rsid w:val="00AD50CE"/>
    <w:rsid w:val="00AD5249"/>
    <w:rsid w:val="00AD547E"/>
    <w:rsid w:val="00AD5684"/>
    <w:rsid w:val="00AD57B3"/>
    <w:rsid w:val="00AD57F9"/>
    <w:rsid w:val="00AD5820"/>
    <w:rsid w:val="00AD593E"/>
    <w:rsid w:val="00AD5A81"/>
    <w:rsid w:val="00AD5CD5"/>
    <w:rsid w:val="00AD5DAF"/>
    <w:rsid w:val="00AD5EAB"/>
    <w:rsid w:val="00AD5F08"/>
    <w:rsid w:val="00AD60BE"/>
    <w:rsid w:val="00AD6208"/>
    <w:rsid w:val="00AD6283"/>
    <w:rsid w:val="00AD633D"/>
    <w:rsid w:val="00AD64BB"/>
    <w:rsid w:val="00AD6657"/>
    <w:rsid w:val="00AD675F"/>
    <w:rsid w:val="00AD68AD"/>
    <w:rsid w:val="00AD691B"/>
    <w:rsid w:val="00AD6973"/>
    <w:rsid w:val="00AD6A61"/>
    <w:rsid w:val="00AD6B18"/>
    <w:rsid w:val="00AD6CD2"/>
    <w:rsid w:val="00AD6E08"/>
    <w:rsid w:val="00AD6E96"/>
    <w:rsid w:val="00AD6F19"/>
    <w:rsid w:val="00AD7025"/>
    <w:rsid w:val="00AD7050"/>
    <w:rsid w:val="00AD7105"/>
    <w:rsid w:val="00AD71AC"/>
    <w:rsid w:val="00AD71ED"/>
    <w:rsid w:val="00AD7510"/>
    <w:rsid w:val="00AD7612"/>
    <w:rsid w:val="00AD77B4"/>
    <w:rsid w:val="00AD77CB"/>
    <w:rsid w:val="00AD7836"/>
    <w:rsid w:val="00AD78E4"/>
    <w:rsid w:val="00AD79BB"/>
    <w:rsid w:val="00AD79F5"/>
    <w:rsid w:val="00AD7A1C"/>
    <w:rsid w:val="00AD7B21"/>
    <w:rsid w:val="00AD7D0F"/>
    <w:rsid w:val="00AD7E64"/>
    <w:rsid w:val="00AD7F4D"/>
    <w:rsid w:val="00AD7FAE"/>
    <w:rsid w:val="00AE0007"/>
    <w:rsid w:val="00AE03BE"/>
    <w:rsid w:val="00AE0523"/>
    <w:rsid w:val="00AE0539"/>
    <w:rsid w:val="00AE05D1"/>
    <w:rsid w:val="00AE0BB5"/>
    <w:rsid w:val="00AE0C5A"/>
    <w:rsid w:val="00AE0C8D"/>
    <w:rsid w:val="00AE0CAB"/>
    <w:rsid w:val="00AE0DE5"/>
    <w:rsid w:val="00AE0E6F"/>
    <w:rsid w:val="00AE0EDA"/>
    <w:rsid w:val="00AE0F0A"/>
    <w:rsid w:val="00AE0F92"/>
    <w:rsid w:val="00AE1253"/>
    <w:rsid w:val="00AE12F8"/>
    <w:rsid w:val="00AE143A"/>
    <w:rsid w:val="00AE14E4"/>
    <w:rsid w:val="00AE15D0"/>
    <w:rsid w:val="00AE16CE"/>
    <w:rsid w:val="00AE170B"/>
    <w:rsid w:val="00AE1763"/>
    <w:rsid w:val="00AE17D2"/>
    <w:rsid w:val="00AE182D"/>
    <w:rsid w:val="00AE193D"/>
    <w:rsid w:val="00AE1B1A"/>
    <w:rsid w:val="00AE1E04"/>
    <w:rsid w:val="00AE1F2B"/>
    <w:rsid w:val="00AE20F5"/>
    <w:rsid w:val="00AE20F9"/>
    <w:rsid w:val="00AE214E"/>
    <w:rsid w:val="00AE228B"/>
    <w:rsid w:val="00AE2295"/>
    <w:rsid w:val="00AE246B"/>
    <w:rsid w:val="00AE25B9"/>
    <w:rsid w:val="00AE25F4"/>
    <w:rsid w:val="00AE2912"/>
    <w:rsid w:val="00AE2B24"/>
    <w:rsid w:val="00AE2BDD"/>
    <w:rsid w:val="00AE2DBC"/>
    <w:rsid w:val="00AE2E28"/>
    <w:rsid w:val="00AE2FA0"/>
    <w:rsid w:val="00AE2FDE"/>
    <w:rsid w:val="00AE307A"/>
    <w:rsid w:val="00AE31EE"/>
    <w:rsid w:val="00AE3271"/>
    <w:rsid w:val="00AE346C"/>
    <w:rsid w:val="00AE34FB"/>
    <w:rsid w:val="00AE35EF"/>
    <w:rsid w:val="00AE3659"/>
    <w:rsid w:val="00AE3900"/>
    <w:rsid w:val="00AE3A13"/>
    <w:rsid w:val="00AE3AAA"/>
    <w:rsid w:val="00AE3AEA"/>
    <w:rsid w:val="00AE3CAC"/>
    <w:rsid w:val="00AE3E64"/>
    <w:rsid w:val="00AE3F97"/>
    <w:rsid w:val="00AE4036"/>
    <w:rsid w:val="00AE4372"/>
    <w:rsid w:val="00AE4430"/>
    <w:rsid w:val="00AE4511"/>
    <w:rsid w:val="00AE4526"/>
    <w:rsid w:val="00AE4588"/>
    <w:rsid w:val="00AE46B4"/>
    <w:rsid w:val="00AE4819"/>
    <w:rsid w:val="00AE484D"/>
    <w:rsid w:val="00AE486C"/>
    <w:rsid w:val="00AE488F"/>
    <w:rsid w:val="00AE48C3"/>
    <w:rsid w:val="00AE4ADD"/>
    <w:rsid w:val="00AE4B94"/>
    <w:rsid w:val="00AE4BF6"/>
    <w:rsid w:val="00AE4CA9"/>
    <w:rsid w:val="00AE4D06"/>
    <w:rsid w:val="00AE4DA3"/>
    <w:rsid w:val="00AE4FB6"/>
    <w:rsid w:val="00AE4FF5"/>
    <w:rsid w:val="00AE4FFB"/>
    <w:rsid w:val="00AE53F8"/>
    <w:rsid w:val="00AE546B"/>
    <w:rsid w:val="00AE5484"/>
    <w:rsid w:val="00AE5486"/>
    <w:rsid w:val="00AE552E"/>
    <w:rsid w:val="00AE5541"/>
    <w:rsid w:val="00AE55EA"/>
    <w:rsid w:val="00AE57CD"/>
    <w:rsid w:val="00AE5864"/>
    <w:rsid w:val="00AE5875"/>
    <w:rsid w:val="00AE59DE"/>
    <w:rsid w:val="00AE5ABA"/>
    <w:rsid w:val="00AE5B57"/>
    <w:rsid w:val="00AE5B8F"/>
    <w:rsid w:val="00AE5BE9"/>
    <w:rsid w:val="00AE5CDD"/>
    <w:rsid w:val="00AE5DAA"/>
    <w:rsid w:val="00AE60E3"/>
    <w:rsid w:val="00AE6151"/>
    <w:rsid w:val="00AE62D5"/>
    <w:rsid w:val="00AE642B"/>
    <w:rsid w:val="00AE64B0"/>
    <w:rsid w:val="00AE6500"/>
    <w:rsid w:val="00AE683E"/>
    <w:rsid w:val="00AE69C0"/>
    <w:rsid w:val="00AE6A50"/>
    <w:rsid w:val="00AE6AFD"/>
    <w:rsid w:val="00AE6B3C"/>
    <w:rsid w:val="00AE6D27"/>
    <w:rsid w:val="00AE6D8C"/>
    <w:rsid w:val="00AE6EC4"/>
    <w:rsid w:val="00AE6EF3"/>
    <w:rsid w:val="00AE6FAC"/>
    <w:rsid w:val="00AE6FB6"/>
    <w:rsid w:val="00AE71A2"/>
    <w:rsid w:val="00AE72B6"/>
    <w:rsid w:val="00AE74A4"/>
    <w:rsid w:val="00AE74EB"/>
    <w:rsid w:val="00AE7542"/>
    <w:rsid w:val="00AE76E1"/>
    <w:rsid w:val="00AE76ED"/>
    <w:rsid w:val="00AE77FF"/>
    <w:rsid w:val="00AE7893"/>
    <w:rsid w:val="00AE7938"/>
    <w:rsid w:val="00AE7952"/>
    <w:rsid w:val="00AE7956"/>
    <w:rsid w:val="00AE79A8"/>
    <w:rsid w:val="00AE7A85"/>
    <w:rsid w:val="00AE7C8F"/>
    <w:rsid w:val="00AE7CE3"/>
    <w:rsid w:val="00AE7D83"/>
    <w:rsid w:val="00AE7F4F"/>
    <w:rsid w:val="00AF033A"/>
    <w:rsid w:val="00AF0527"/>
    <w:rsid w:val="00AF0562"/>
    <w:rsid w:val="00AF05B7"/>
    <w:rsid w:val="00AF05FF"/>
    <w:rsid w:val="00AF0863"/>
    <w:rsid w:val="00AF0877"/>
    <w:rsid w:val="00AF0889"/>
    <w:rsid w:val="00AF08B5"/>
    <w:rsid w:val="00AF0A04"/>
    <w:rsid w:val="00AF0AD9"/>
    <w:rsid w:val="00AF0AE8"/>
    <w:rsid w:val="00AF0B68"/>
    <w:rsid w:val="00AF0B8A"/>
    <w:rsid w:val="00AF0EF2"/>
    <w:rsid w:val="00AF102F"/>
    <w:rsid w:val="00AF11BC"/>
    <w:rsid w:val="00AF11EC"/>
    <w:rsid w:val="00AF1332"/>
    <w:rsid w:val="00AF1353"/>
    <w:rsid w:val="00AF1362"/>
    <w:rsid w:val="00AF1422"/>
    <w:rsid w:val="00AF1733"/>
    <w:rsid w:val="00AF18B1"/>
    <w:rsid w:val="00AF1916"/>
    <w:rsid w:val="00AF1B5B"/>
    <w:rsid w:val="00AF1CDD"/>
    <w:rsid w:val="00AF1CFC"/>
    <w:rsid w:val="00AF1DA8"/>
    <w:rsid w:val="00AF1E78"/>
    <w:rsid w:val="00AF2062"/>
    <w:rsid w:val="00AF2125"/>
    <w:rsid w:val="00AF21AD"/>
    <w:rsid w:val="00AF2258"/>
    <w:rsid w:val="00AF2325"/>
    <w:rsid w:val="00AF2385"/>
    <w:rsid w:val="00AF253D"/>
    <w:rsid w:val="00AF2705"/>
    <w:rsid w:val="00AF279D"/>
    <w:rsid w:val="00AF2813"/>
    <w:rsid w:val="00AF2A38"/>
    <w:rsid w:val="00AF2B0E"/>
    <w:rsid w:val="00AF2B35"/>
    <w:rsid w:val="00AF2BB2"/>
    <w:rsid w:val="00AF2CC4"/>
    <w:rsid w:val="00AF2EA3"/>
    <w:rsid w:val="00AF2F09"/>
    <w:rsid w:val="00AF2F62"/>
    <w:rsid w:val="00AF2F8C"/>
    <w:rsid w:val="00AF2FA8"/>
    <w:rsid w:val="00AF3069"/>
    <w:rsid w:val="00AF320D"/>
    <w:rsid w:val="00AF33B4"/>
    <w:rsid w:val="00AF3495"/>
    <w:rsid w:val="00AF36D8"/>
    <w:rsid w:val="00AF37A7"/>
    <w:rsid w:val="00AF3A54"/>
    <w:rsid w:val="00AF3B63"/>
    <w:rsid w:val="00AF3BC6"/>
    <w:rsid w:val="00AF3BEB"/>
    <w:rsid w:val="00AF3DBE"/>
    <w:rsid w:val="00AF3DDB"/>
    <w:rsid w:val="00AF3F48"/>
    <w:rsid w:val="00AF4033"/>
    <w:rsid w:val="00AF4068"/>
    <w:rsid w:val="00AF4160"/>
    <w:rsid w:val="00AF4174"/>
    <w:rsid w:val="00AF41C2"/>
    <w:rsid w:val="00AF42C6"/>
    <w:rsid w:val="00AF43B0"/>
    <w:rsid w:val="00AF4789"/>
    <w:rsid w:val="00AF492F"/>
    <w:rsid w:val="00AF4A7B"/>
    <w:rsid w:val="00AF4B8A"/>
    <w:rsid w:val="00AF4C2A"/>
    <w:rsid w:val="00AF503D"/>
    <w:rsid w:val="00AF5321"/>
    <w:rsid w:val="00AF5389"/>
    <w:rsid w:val="00AF5484"/>
    <w:rsid w:val="00AF5605"/>
    <w:rsid w:val="00AF56B0"/>
    <w:rsid w:val="00AF56D4"/>
    <w:rsid w:val="00AF5823"/>
    <w:rsid w:val="00AF5A46"/>
    <w:rsid w:val="00AF5BDE"/>
    <w:rsid w:val="00AF5C09"/>
    <w:rsid w:val="00AF5C86"/>
    <w:rsid w:val="00AF5EAE"/>
    <w:rsid w:val="00AF6181"/>
    <w:rsid w:val="00AF6537"/>
    <w:rsid w:val="00AF6570"/>
    <w:rsid w:val="00AF6704"/>
    <w:rsid w:val="00AF6783"/>
    <w:rsid w:val="00AF6849"/>
    <w:rsid w:val="00AF6D41"/>
    <w:rsid w:val="00AF73BC"/>
    <w:rsid w:val="00AF73D9"/>
    <w:rsid w:val="00AF73E6"/>
    <w:rsid w:val="00AF74A3"/>
    <w:rsid w:val="00AF75D1"/>
    <w:rsid w:val="00AF75D6"/>
    <w:rsid w:val="00AF76BC"/>
    <w:rsid w:val="00AF7739"/>
    <w:rsid w:val="00AF77E3"/>
    <w:rsid w:val="00AF783C"/>
    <w:rsid w:val="00AF78B0"/>
    <w:rsid w:val="00AF78D2"/>
    <w:rsid w:val="00AF79B3"/>
    <w:rsid w:val="00AF79C7"/>
    <w:rsid w:val="00AF7A27"/>
    <w:rsid w:val="00AF7AC4"/>
    <w:rsid w:val="00AF7B26"/>
    <w:rsid w:val="00AF7C4D"/>
    <w:rsid w:val="00AF7FD6"/>
    <w:rsid w:val="00B000B0"/>
    <w:rsid w:val="00B00536"/>
    <w:rsid w:val="00B005E8"/>
    <w:rsid w:val="00B00607"/>
    <w:rsid w:val="00B006DD"/>
    <w:rsid w:val="00B00814"/>
    <w:rsid w:val="00B00A60"/>
    <w:rsid w:val="00B00AB8"/>
    <w:rsid w:val="00B00BFD"/>
    <w:rsid w:val="00B00E87"/>
    <w:rsid w:val="00B00EB1"/>
    <w:rsid w:val="00B00FA0"/>
    <w:rsid w:val="00B01328"/>
    <w:rsid w:val="00B0133A"/>
    <w:rsid w:val="00B0144A"/>
    <w:rsid w:val="00B0153D"/>
    <w:rsid w:val="00B0155B"/>
    <w:rsid w:val="00B0163E"/>
    <w:rsid w:val="00B017CB"/>
    <w:rsid w:val="00B01A65"/>
    <w:rsid w:val="00B01ACD"/>
    <w:rsid w:val="00B01B98"/>
    <w:rsid w:val="00B01E65"/>
    <w:rsid w:val="00B01F43"/>
    <w:rsid w:val="00B01FA6"/>
    <w:rsid w:val="00B02026"/>
    <w:rsid w:val="00B02048"/>
    <w:rsid w:val="00B0210F"/>
    <w:rsid w:val="00B02303"/>
    <w:rsid w:val="00B023F4"/>
    <w:rsid w:val="00B026E1"/>
    <w:rsid w:val="00B026E3"/>
    <w:rsid w:val="00B0272C"/>
    <w:rsid w:val="00B0272F"/>
    <w:rsid w:val="00B02B9E"/>
    <w:rsid w:val="00B02C4A"/>
    <w:rsid w:val="00B02D77"/>
    <w:rsid w:val="00B02F61"/>
    <w:rsid w:val="00B02FC5"/>
    <w:rsid w:val="00B0333A"/>
    <w:rsid w:val="00B03352"/>
    <w:rsid w:val="00B0335F"/>
    <w:rsid w:val="00B03584"/>
    <w:rsid w:val="00B036F5"/>
    <w:rsid w:val="00B03883"/>
    <w:rsid w:val="00B038EF"/>
    <w:rsid w:val="00B03A77"/>
    <w:rsid w:val="00B03AA0"/>
    <w:rsid w:val="00B03B19"/>
    <w:rsid w:val="00B03B58"/>
    <w:rsid w:val="00B03C00"/>
    <w:rsid w:val="00B03C16"/>
    <w:rsid w:val="00B03C69"/>
    <w:rsid w:val="00B03CCD"/>
    <w:rsid w:val="00B041C0"/>
    <w:rsid w:val="00B04422"/>
    <w:rsid w:val="00B04677"/>
    <w:rsid w:val="00B046E8"/>
    <w:rsid w:val="00B04729"/>
    <w:rsid w:val="00B04A6C"/>
    <w:rsid w:val="00B04A79"/>
    <w:rsid w:val="00B04ABA"/>
    <w:rsid w:val="00B04BCD"/>
    <w:rsid w:val="00B04D8E"/>
    <w:rsid w:val="00B04FE7"/>
    <w:rsid w:val="00B0525F"/>
    <w:rsid w:val="00B0557F"/>
    <w:rsid w:val="00B055BC"/>
    <w:rsid w:val="00B05684"/>
    <w:rsid w:val="00B056AD"/>
    <w:rsid w:val="00B05730"/>
    <w:rsid w:val="00B05983"/>
    <w:rsid w:val="00B05A99"/>
    <w:rsid w:val="00B05AC4"/>
    <w:rsid w:val="00B05CCD"/>
    <w:rsid w:val="00B05D2B"/>
    <w:rsid w:val="00B05E6A"/>
    <w:rsid w:val="00B06008"/>
    <w:rsid w:val="00B060D8"/>
    <w:rsid w:val="00B06232"/>
    <w:rsid w:val="00B06298"/>
    <w:rsid w:val="00B0653B"/>
    <w:rsid w:val="00B06578"/>
    <w:rsid w:val="00B06AE9"/>
    <w:rsid w:val="00B06BE6"/>
    <w:rsid w:val="00B06C73"/>
    <w:rsid w:val="00B06C91"/>
    <w:rsid w:val="00B06CD2"/>
    <w:rsid w:val="00B06D23"/>
    <w:rsid w:val="00B06F47"/>
    <w:rsid w:val="00B06FB1"/>
    <w:rsid w:val="00B06FC4"/>
    <w:rsid w:val="00B0706A"/>
    <w:rsid w:val="00B070D4"/>
    <w:rsid w:val="00B07292"/>
    <w:rsid w:val="00B07686"/>
    <w:rsid w:val="00B0778B"/>
    <w:rsid w:val="00B07958"/>
    <w:rsid w:val="00B079A2"/>
    <w:rsid w:val="00B07A5B"/>
    <w:rsid w:val="00B07EAD"/>
    <w:rsid w:val="00B07FDD"/>
    <w:rsid w:val="00B1005C"/>
    <w:rsid w:val="00B101DB"/>
    <w:rsid w:val="00B1049F"/>
    <w:rsid w:val="00B1053A"/>
    <w:rsid w:val="00B105DB"/>
    <w:rsid w:val="00B10824"/>
    <w:rsid w:val="00B10A52"/>
    <w:rsid w:val="00B10A6E"/>
    <w:rsid w:val="00B10B98"/>
    <w:rsid w:val="00B10CA1"/>
    <w:rsid w:val="00B10EBE"/>
    <w:rsid w:val="00B10ED1"/>
    <w:rsid w:val="00B1102F"/>
    <w:rsid w:val="00B110AA"/>
    <w:rsid w:val="00B111AF"/>
    <w:rsid w:val="00B11343"/>
    <w:rsid w:val="00B1142A"/>
    <w:rsid w:val="00B114CC"/>
    <w:rsid w:val="00B115C8"/>
    <w:rsid w:val="00B11803"/>
    <w:rsid w:val="00B1191E"/>
    <w:rsid w:val="00B11B6A"/>
    <w:rsid w:val="00B11D62"/>
    <w:rsid w:val="00B11F59"/>
    <w:rsid w:val="00B11F7F"/>
    <w:rsid w:val="00B12065"/>
    <w:rsid w:val="00B120C7"/>
    <w:rsid w:val="00B123DA"/>
    <w:rsid w:val="00B123EE"/>
    <w:rsid w:val="00B12437"/>
    <w:rsid w:val="00B12467"/>
    <w:rsid w:val="00B1249D"/>
    <w:rsid w:val="00B12530"/>
    <w:rsid w:val="00B125DD"/>
    <w:rsid w:val="00B12647"/>
    <w:rsid w:val="00B12B18"/>
    <w:rsid w:val="00B12D34"/>
    <w:rsid w:val="00B131FF"/>
    <w:rsid w:val="00B13295"/>
    <w:rsid w:val="00B1367E"/>
    <w:rsid w:val="00B136F9"/>
    <w:rsid w:val="00B1381B"/>
    <w:rsid w:val="00B13C6E"/>
    <w:rsid w:val="00B13D88"/>
    <w:rsid w:val="00B13DCA"/>
    <w:rsid w:val="00B13DF6"/>
    <w:rsid w:val="00B13EB2"/>
    <w:rsid w:val="00B13EBC"/>
    <w:rsid w:val="00B1403B"/>
    <w:rsid w:val="00B14180"/>
    <w:rsid w:val="00B144C2"/>
    <w:rsid w:val="00B145FA"/>
    <w:rsid w:val="00B14603"/>
    <w:rsid w:val="00B14615"/>
    <w:rsid w:val="00B148F1"/>
    <w:rsid w:val="00B14D57"/>
    <w:rsid w:val="00B14FC0"/>
    <w:rsid w:val="00B150DC"/>
    <w:rsid w:val="00B1515D"/>
    <w:rsid w:val="00B15187"/>
    <w:rsid w:val="00B152E7"/>
    <w:rsid w:val="00B152EA"/>
    <w:rsid w:val="00B152ED"/>
    <w:rsid w:val="00B15485"/>
    <w:rsid w:val="00B155B8"/>
    <w:rsid w:val="00B15D54"/>
    <w:rsid w:val="00B1601F"/>
    <w:rsid w:val="00B16048"/>
    <w:rsid w:val="00B16107"/>
    <w:rsid w:val="00B16116"/>
    <w:rsid w:val="00B16203"/>
    <w:rsid w:val="00B16252"/>
    <w:rsid w:val="00B1625B"/>
    <w:rsid w:val="00B16507"/>
    <w:rsid w:val="00B16635"/>
    <w:rsid w:val="00B166BC"/>
    <w:rsid w:val="00B16726"/>
    <w:rsid w:val="00B16738"/>
    <w:rsid w:val="00B167A5"/>
    <w:rsid w:val="00B16ABA"/>
    <w:rsid w:val="00B16C94"/>
    <w:rsid w:val="00B16E45"/>
    <w:rsid w:val="00B1724A"/>
    <w:rsid w:val="00B17290"/>
    <w:rsid w:val="00B17452"/>
    <w:rsid w:val="00B174C3"/>
    <w:rsid w:val="00B17744"/>
    <w:rsid w:val="00B179A3"/>
    <w:rsid w:val="00B17C3E"/>
    <w:rsid w:val="00B17D46"/>
    <w:rsid w:val="00B17E72"/>
    <w:rsid w:val="00B19A10"/>
    <w:rsid w:val="00B20030"/>
    <w:rsid w:val="00B2004C"/>
    <w:rsid w:val="00B20075"/>
    <w:rsid w:val="00B2009B"/>
    <w:rsid w:val="00B200A4"/>
    <w:rsid w:val="00B20156"/>
    <w:rsid w:val="00B20231"/>
    <w:rsid w:val="00B20374"/>
    <w:rsid w:val="00B2049B"/>
    <w:rsid w:val="00B205B0"/>
    <w:rsid w:val="00B207F1"/>
    <w:rsid w:val="00B209E6"/>
    <w:rsid w:val="00B20AB5"/>
    <w:rsid w:val="00B20C0C"/>
    <w:rsid w:val="00B20C18"/>
    <w:rsid w:val="00B20C8E"/>
    <w:rsid w:val="00B20F09"/>
    <w:rsid w:val="00B21221"/>
    <w:rsid w:val="00B21389"/>
    <w:rsid w:val="00B2161C"/>
    <w:rsid w:val="00B2166C"/>
    <w:rsid w:val="00B216A7"/>
    <w:rsid w:val="00B217B9"/>
    <w:rsid w:val="00B217F3"/>
    <w:rsid w:val="00B21CF8"/>
    <w:rsid w:val="00B21E84"/>
    <w:rsid w:val="00B21F66"/>
    <w:rsid w:val="00B22051"/>
    <w:rsid w:val="00B22076"/>
    <w:rsid w:val="00B2214A"/>
    <w:rsid w:val="00B22171"/>
    <w:rsid w:val="00B22289"/>
    <w:rsid w:val="00B22347"/>
    <w:rsid w:val="00B224C4"/>
    <w:rsid w:val="00B22595"/>
    <w:rsid w:val="00B225C4"/>
    <w:rsid w:val="00B22810"/>
    <w:rsid w:val="00B22B03"/>
    <w:rsid w:val="00B22BF9"/>
    <w:rsid w:val="00B22DB7"/>
    <w:rsid w:val="00B22DBF"/>
    <w:rsid w:val="00B2318D"/>
    <w:rsid w:val="00B23219"/>
    <w:rsid w:val="00B23352"/>
    <w:rsid w:val="00B2335A"/>
    <w:rsid w:val="00B235EE"/>
    <w:rsid w:val="00B235F0"/>
    <w:rsid w:val="00B2361D"/>
    <w:rsid w:val="00B236FC"/>
    <w:rsid w:val="00B23733"/>
    <w:rsid w:val="00B23742"/>
    <w:rsid w:val="00B23830"/>
    <w:rsid w:val="00B23936"/>
    <w:rsid w:val="00B239C0"/>
    <w:rsid w:val="00B23A0E"/>
    <w:rsid w:val="00B23A6B"/>
    <w:rsid w:val="00B23B9A"/>
    <w:rsid w:val="00B23BAD"/>
    <w:rsid w:val="00B23C38"/>
    <w:rsid w:val="00B23F10"/>
    <w:rsid w:val="00B23F54"/>
    <w:rsid w:val="00B24079"/>
    <w:rsid w:val="00B2411E"/>
    <w:rsid w:val="00B241E1"/>
    <w:rsid w:val="00B242F5"/>
    <w:rsid w:val="00B243F1"/>
    <w:rsid w:val="00B24617"/>
    <w:rsid w:val="00B24736"/>
    <w:rsid w:val="00B24785"/>
    <w:rsid w:val="00B24947"/>
    <w:rsid w:val="00B249C5"/>
    <w:rsid w:val="00B24AFE"/>
    <w:rsid w:val="00B24B24"/>
    <w:rsid w:val="00B24B4D"/>
    <w:rsid w:val="00B24C93"/>
    <w:rsid w:val="00B24CA5"/>
    <w:rsid w:val="00B24D21"/>
    <w:rsid w:val="00B24DFE"/>
    <w:rsid w:val="00B25052"/>
    <w:rsid w:val="00B25065"/>
    <w:rsid w:val="00B25141"/>
    <w:rsid w:val="00B25345"/>
    <w:rsid w:val="00B2538B"/>
    <w:rsid w:val="00B256A8"/>
    <w:rsid w:val="00B256BB"/>
    <w:rsid w:val="00B256BD"/>
    <w:rsid w:val="00B25712"/>
    <w:rsid w:val="00B25735"/>
    <w:rsid w:val="00B2577D"/>
    <w:rsid w:val="00B25848"/>
    <w:rsid w:val="00B25A1D"/>
    <w:rsid w:val="00B25A71"/>
    <w:rsid w:val="00B25AFA"/>
    <w:rsid w:val="00B25E0A"/>
    <w:rsid w:val="00B25F5B"/>
    <w:rsid w:val="00B2623B"/>
    <w:rsid w:val="00B26320"/>
    <w:rsid w:val="00B26356"/>
    <w:rsid w:val="00B2640F"/>
    <w:rsid w:val="00B2642F"/>
    <w:rsid w:val="00B2663C"/>
    <w:rsid w:val="00B2675B"/>
    <w:rsid w:val="00B2677C"/>
    <w:rsid w:val="00B26A0C"/>
    <w:rsid w:val="00B26A17"/>
    <w:rsid w:val="00B26A4A"/>
    <w:rsid w:val="00B26DF7"/>
    <w:rsid w:val="00B26F7A"/>
    <w:rsid w:val="00B27394"/>
    <w:rsid w:val="00B27671"/>
    <w:rsid w:val="00B277E8"/>
    <w:rsid w:val="00B278D4"/>
    <w:rsid w:val="00B27947"/>
    <w:rsid w:val="00B279CC"/>
    <w:rsid w:val="00B27AA9"/>
    <w:rsid w:val="00B27DDA"/>
    <w:rsid w:val="00B27DE9"/>
    <w:rsid w:val="00B300F1"/>
    <w:rsid w:val="00B301BC"/>
    <w:rsid w:val="00B3025E"/>
    <w:rsid w:val="00B3029D"/>
    <w:rsid w:val="00B30394"/>
    <w:rsid w:val="00B304AA"/>
    <w:rsid w:val="00B304B9"/>
    <w:rsid w:val="00B30500"/>
    <w:rsid w:val="00B30589"/>
    <w:rsid w:val="00B3063A"/>
    <w:rsid w:val="00B3082C"/>
    <w:rsid w:val="00B3099D"/>
    <w:rsid w:val="00B30BCF"/>
    <w:rsid w:val="00B30CF6"/>
    <w:rsid w:val="00B31026"/>
    <w:rsid w:val="00B31222"/>
    <w:rsid w:val="00B314A6"/>
    <w:rsid w:val="00B3177D"/>
    <w:rsid w:val="00B317B4"/>
    <w:rsid w:val="00B317CF"/>
    <w:rsid w:val="00B318DC"/>
    <w:rsid w:val="00B3201D"/>
    <w:rsid w:val="00B32188"/>
    <w:rsid w:val="00B321BE"/>
    <w:rsid w:val="00B328BF"/>
    <w:rsid w:val="00B329CF"/>
    <w:rsid w:val="00B32A3D"/>
    <w:rsid w:val="00B32A3E"/>
    <w:rsid w:val="00B32B11"/>
    <w:rsid w:val="00B32C20"/>
    <w:rsid w:val="00B32D10"/>
    <w:rsid w:val="00B32E4B"/>
    <w:rsid w:val="00B32F13"/>
    <w:rsid w:val="00B32F3B"/>
    <w:rsid w:val="00B32FE8"/>
    <w:rsid w:val="00B3317E"/>
    <w:rsid w:val="00B33185"/>
    <w:rsid w:val="00B332D4"/>
    <w:rsid w:val="00B335AC"/>
    <w:rsid w:val="00B335E5"/>
    <w:rsid w:val="00B337A0"/>
    <w:rsid w:val="00B33800"/>
    <w:rsid w:val="00B33CE6"/>
    <w:rsid w:val="00B33E33"/>
    <w:rsid w:val="00B33E8B"/>
    <w:rsid w:val="00B34319"/>
    <w:rsid w:val="00B34325"/>
    <w:rsid w:val="00B343F7"/>
    <w:rsid w:val="00B3464E"/>
    <w:rsid w:val="00B3496A"/>
    <w:rsid w:val="00B34BD1"/>
    <w:rsid w:val="00B34BEA"/>
    <w:rsid w:val="00B34C8B"/>
    <w:rsid w:val="00B34CCB"/>
    <w:rsid w:val="00B34CDB"/>
    <w:rsid w:val="00B34D02"/>
    <w:rsid w:val="00B34E8E"/>
    <w:rsid w:val="00B34F2E"/>
    <w:rsid w:val="00B351DE"/>
    <w:rsid w:val="00B352D5"/>
    <w:rsid w:val="00B352EF"/>
    <w:rsid w:val="00B354D5"/>
    <w:rsid w:val="00B3552B"/>
    <w:rsid w:val="00B35609"/>
    <w:rsid w:val="00B356EB"/>
    <w:rsid w:val="00B3588E"/>
    <w:rsid w:val="00B35935"/>
    <w:rsid w:val="00B35C2F"/>
    <w:rsid w:val="00B35CD4"/>
    <w:rsid w:val="00B35CED"/>
    <w:rsid w:val="00B35D39"/>
    <w:rsid w:val="00B35DE7"/>
    <w:rsid w:val="00B35E6A"/>
    <w:rsid w:val="00B35E99"/>
    <w:rsid w:val="00B35EC2"/>
    <w:rsid w:val="00B35F6A"/>
    <w:rsid w:val="00B3603B"/>
    <w:rsid w:val="00B3609F"/>
    <w:rsid w:val="00B3621E"/>
    <w:rsid w:val="00B3653D"/>
    <w:rsid w:val="00B36670"/>
    <w:rsid w:val="00B367A5"/>
    <w:rsid w:val="00B367A6"/>
    <w:rsid w:val="00B367A7"/>
    <w:rsid w:val="00B367BD"/>
    <w:rsid w:val="00B368A1"/>
    <w:rsid w:val="00B36910"/>
    <w:rsid w:val="00B36A5F"/>
    <w:rsid w:val="00B36D71"/>
    <w:rsid w:val="00B36DB4"/>
    <w:rsid w:val="00B36DE9"/>
    <w:rsid w:val="00B36E99"/>
    <w:rsid w:val="00B3721D"/>
    <w:rsid w:val="00B37292"/>
    <w:rsid w:val="00B372A4"/>
    <w:rsid w:val="00B372AF"/>
    <w:rsid w:val="00B372F3"/>
    <w:rsid w:val="00B372F4"/>
    <w:rsid w:val="00B3741F"/>
    <w:rsid w:val="00B374A1"/>
    <w:rsid w:val="00B374FB"/>
    <w:rsid w:val="00B375B3"/>
    <w:rsid w:val="00B37E8E"/>
    <w:rsid w:val="00B37EB1"/>
    <w:rsid w:val="00B37FBB"/>
    <w:rsid w:val="00B40042"/>
    <w:rsid w:val="00B402B2"/>
    <w:rsid w:val="00B404BE"/>
    <w:rsid w:val="00B40530"/>
    <w:rsid w:val="00B407AE"/>
    <w:rsid w:val="00B40951"/>
    <w:rsid w:val="00B40E43"/>
    <w:rsid w:val="00B40F29"/>
    <w:rsid w:val="00B40FF6"/>
    <w:rsid w:val="00B41136"/>
    <w:rsid w:val="00B411EF"/>
    <w:rsid w:val="00B411FC"/>
    <w:rsid w:val="00B4121F"/>
    <w:rsid w:val="00B412C3"/>
    <w:rsid w:val="00B4135A"/>
    <w:rsid w:val="00B414E1"/>
    <w:rsid w:val="00B41776"/>
    <w:rsid w:val="00B41886"/>
    <w:rsid w:val="00B41A43"/>
    <w:rsid w:val="00B41B1B"/>
    <w:rsid w:val="00B41BAE"/>
    <w:rsid w:val="00B41C6F"/>
    <w:rsid w:val="00B41E2A"/>
    <w:rsid w:val="00B41F41"/>
    <w:rsid w:val="00B420AA"/>
    <w:rsid w:val="00B42159"/>
    <w:rsid w:val="00B4239A"/>
    <w:rsid w:val="00B424AF"/>
    <w:rsid w:val="00B425B0"/>
    <w:rsid w:val="00B4282D"/>
    <w:rsid w:val="00B42854"/>
    <w:rsid w:val="00B4288F"/>
    <w:rsid w:val="00B428D2"/>
    <w:rsid w:val="00B429D9"/>
    <w:rsid w:val="00B42A17"/>
    <w:rsid w:val="00B42A28"/>
    <w:rsid w:val="00B42AED"/>
    <w:rsid w:val="00B42CB8"/>
    <w:rsid w:val="00B42EA3"/>
    <w:rsid w:val="00B42ED6"/>
    <w:rsid w:val="00B42FB2"/>
    <w:rsid w:val="00B42FC2"/>
    <w:rsid w:val="00B4300F"/>
    <w:rsid w:val="00B4321D"/>
    <w:rsid w:val="00B433DC"/>
    <w:rsid w:val="00B43422"/>
    <w:rsid w:val="00B43429"/>
    <w:rsid w:val="00B434D9"/>
    <w:rsid w:val="00B435E7"/>
    <w:rsid w:val="00B43725"/>
    <w:rsid w:val="00B43985"/>
    <w:rsid w:val="00B439A3"/>
    <w:rsid w:val="00B43B0B"/>
    <w:rsid w:val="00B43B68"/>
    <w:rsid w:val="00B43BE1"/>
    <w:rsid w:val="00B43CBF"/>
    <w:rsid w:val="00B43DEA"/>
    <w:rsid w:val="00B43E5E"/>
    <w:rsid w:val="00B441B5"/>
    <w:rsid w:val="00B44405"/>
    <w:rsid w:val="00B44589"/>
    <w:rsid w:val="00B44AA3"/>
    <w:rsid w:val="00B44B3E"/>
    <w:rsid w:val="00B44C45"/>
    <w:rsid w:val="00B44E45"/>
    <w:rsid w:val="00B44E57"/>
    <w:rsid w:val="00B44EC4"/>
    <w:rsid w:val="00B44FB3"/>
    <w:rsid w:val="00B450DB"/>
    <w:rsid w:val="00B450FB"/>
    <w:rsid w:val="00B451F0"/>
    <w:rsid w:val="00B4528D"/>
    <w:rsid w:val="00B454D6"/>
    <w:rsid w:val="00B4561C"/>
    <w:rsid w:val="00B456AB"/>
    <w:rsid w:val="00B456E2"/>
    <w:rsid w:val="00B45719"/>
    <w:rsid w:val="00B458A7"/>
    <w:rsid w:val="00B4599B"/>
    <w:rsid w:val="00B45BD5"/>
    <w:rsid w:val="00B45BE4"/>
    <w:rsid w:val="00B45C85"/>
    <w:rsid w:val="00B45CC5"/>
    <w:rsid w:val="00B45D11"/>
    <w:rsid w:val="00B45E61"/>
    <w:rsid w:val="00B45FE0"/>
    <w:rsid w:val="00B46027"/>
    <w:rsid w:val="00B460E0"/>
    <w:rsid w:val="00B46505"/>
    <w:rsid w:val="00B46606"/>
    <w:rsid w:val="00B4663F"/>
    <w:rsid w:val="00B466C7"/>
    <w:rsid w:val="00B46785"/>
    <w:rsid w:val="00B46921"/>
    <w:rsid w:val="00B46952"/>
    <w:rsid w:val="00B46C1D"/>
    <w:rsid w:val="00B46CE6"/>
    <w:rsid w:val="00B46D58"/>
    <w:rsid w:val="00B46D75"/>
    <w:rsid w:val="00B46E76"/>
    <w:rsid w:val="00B46F6E"/>
    <w:rsid w:val="00B46FC2"/>
    <w:rsid w:val="00B470F6"/>
    <w:rsid w:val="00B47112"/>
    <w:rsid w:val="00B472BD"/>
    <w:rsid w:val="00B47336"/>
    <w:rsid w:val="00B473FF"/>
    <w:rsid w:val="00B47465"/>
    <w:rsid w:val="00B4787B"/>
    <w:rsid w:val="00B47893"/>
    <w:rsid w:val="00B47B5B"/>
    <w:rsid w:val="00B47EC6"/>
    <w:rsid w:val="00B50055"/>
    <w:rsid w:val="00B500BE"/>
    <w:rsid w:val="00B501DD"/>
    <w:rsid w:val="00B504DD"/>
    <w:rsid w:val="00B505BF"/>
    <w:rsid w:val="00B505CF"/>
    <w:rsid w:val="00B50635"/>
    <w:rsid w:val="00B506EE"/>
    <w:rsid w:val="00B507ED"/>
    <w:rsid w:val="00B50835"/>
    <w:rsid w:val="00B50AF4"/>
    <w:rsid w:val="00B50B28"/>
    <w:rsid w:val="00B50D36"/>
    <w:rsid w:val="00B50E20"/>
    <w:rsid w:val="00B50E6B"/>
    <w:rsid w:val="00B50EEC"/>
    <w:rsid w:val="00B51086"/>
    <w:rsid w:val="00B512CD"/>
    <w:rsid w:val="00B513E7"/>
    <w:rsid w:val="00B51622"/>
    <w:rsid w:val="00B51765"/>
    <w:rsid w:val="00B517BB"/>
    <w:rsid w:val="00B518E0"/>
    <w:rsid w:val="00B51AE8"/>
    <w:rsid w:val="00B51CA8"/>
    <w:rsid w:val="00B51D35"/>
    <w:rsid w:val="00B51DE9"/>
    <w:rsid w:val="00B51E56"/>
    <w:rsid w:val="00B5218F"/>
    <w:rsid w:val="00B521EF"/>
    <w:rsid w:val="00B52484"/>
    <w:rsid w:val="00B5250D"/>
    <w:rsid w:val="00B5258B"/>
    <w:rsid w:val="00B525CF"/>
    <w:rsid w:val="00B52632"/>
    <w:rsid w:val="00B52639"/>
    <w:rsid w:val="00B52650"/>
    <w:rsid w:val="00B5283B"/>
    <w:rsid w:val="00B528B0"/>
    <w:rsid w:val="00B52AB3"/>
    <w:rsid w:val="00B52ABF"/>
    <w:rsid w:val="00B52D76"/>
    <w:rsid w:val="00B53352"/>
    <w:rsid w:val="00B5348D"/>
    <w:rsid w:val="00B5368E"/>
    <w:rsid w:val="00B537C4"/>
    <w:rsid w:val="00B537D7"/>
    <w:rsid w:val="00B537F0"/>
    <w:rsid w:val="00B537FD"/>
    <w:rsid w:val="00B53953"/>
    <w:rsid w:val="00B53B81"/>
    <w:rsid w:val="00B53BC0"/>
    <w:rsid w:val="00B53F28"/>
    <w:rsid w:val="00B53F98"/>
    <w:rsid w:val="00B54038"/>
    <w:rsid w:val="00B54147"/>
    <w:rsid w:val="00B541D6"/>
    <w:rsid w:val="00B542E0"/>
    <w:rsid w:val="00B54373"/>
    <w:rsid w:val="00B54455"/>
    <w:rsid w:val="00B544C2"/>
    <w:rsid w:val="00B544CE"/>
    <w:rsid w:val="00B54681"/>
    <w:rsid w:val="00B546BF"/>
    <w:rsid w:val="00B54725"/>
    <w:rsid w:val="00B54929"/>
    <w:rsid w:val="00B54AA6"/>
    <w:rsid w:val="00B54BC1"/>
    <w:rsid w:val="00B54C9D"/>
    <w:rsid w:val="00B54D0D"/>
    <w:rsid w:val="00B54E8B"/>
    <w:rsid w:val="00B54FD1"/>
    <w:rsid w:val="00B5503D"/>
    <w:rsid w:val="00B5510D"/>
    <w:rsid w:val="00B5512D"/>
    <w:rsid w:val="00B551D0"/>
    <w:rsid w:val="00B552DB"/>
    <w:rsid w:val="00B55561"/>
    <w:rsid w:val="00B55579"/>
    <w:rsid w:val="00B556B8"/>
    <w:rsid w:val="00B55727"/>
    <w:rsid w:val="00B557F5"/>
    <w:rsid w:val="00B5581D"/>
    <w:rsid w:val="00B55925"/>
    <w:rsid w:val="00B559CD"/>
    <w:rsid w:val="00B55A70"/>
    <w:rsid w:val="00B55B3F"/>
    <w:rsid w:val="00B55C3A"/>
    <w:rsid w:val="00B55C4C"/>
    <w:rsid w:val="00B55E6E"/>
    <w:rsid w:val="00B55F3E"/>
    <w:rsid w:val="00B56127"/>
    <w:rsid w:val="00B56191"/>
    <w:rsid w:val="00B56618"/>
    <w:rsid w:val="00B56828"/>
    <w:rsid w:val="00B56987"/>
    <w:rsid w:val="00B569E2"/>
    <w:rsid w:val="00B56CBA"/>
    <w:rsid w:val="00B56CCC"/>
    <w:rsid w:val="00B56D5A"/>
    <w:rsid w:val="00B56DA0"/>
    <w:rsid w:val="00B56E10"/>
    <w:rsid w:val="00B5711D"/>
    <w:rsid w:val="00B57366"/>
    <w:rsid w:val="00B5747A"/>
    <w:rsid w:val="00B57781"/>
    <w:rsid w:val="00B57982"/>
    <w:rsid w:val="00B579D3"/>
    <w:rsid w:val="00B57C2D"/>
    <w:rsid w:val="00B57C82"/>
    <w:rsid w:val="00B57D2D"/>
    <w:rsid w:val="00B57DCE"/>
    <w:rsid w:val="00B57ECF"/>
    <w:rsid w:val="00B57F14"/>
    <w:rsid w:val="00B57F47"/>
    <w:rsid w:val="00B57F9F"/>
    <w:rsid w:val="00B600BA"/>
    <w:rsid w:val="00B600C9"/>
    <w:rsid w:val="00B6012D"/>
    <w:rsid w:val="00B6029B"/>
    <w:rsid w:val="00B602E0"/>
    <w:rsid w:val="00B60341"/>
    <w:rsid w:val="00B60392"/>
    <w:rsid w:val="00B60454"/>
    <w:rsid w:val="00B6056C"/>
    <w:rsid w:val="00B605C6"/>
    <w:rsid w:val="00B605E1"/>
    <w:rsid w:val="00B60924"/>
    <w:rsid w:val="00B60AA1"/>
    <w:rsid w:val="00B60AF1"/>
    <w:rsid w:val="00B60B56"/>
    <w:rsid w:val="00B60B7E"/>
    <w:rsid w:val="00B60DF7"/>
    <w:rsid w:val="00B60E7F"/>
    <w:rsid w:val="00B60E84"/>
    <w:rsid w:val="00B60F44"/>
    <w:rsid w:val="00B61066"/>
    <w:rsid w:val="00B61342"/>
    <w:rsid w:val="00B613C2"/>
    <w:rsid w:val="00B6142C"/>
    <w:rsid w:val="00B614A9"/>
    <w:rsid w:val="00B614D6"/>
    <w:rsid w:val="00B61503"/>
    <w:rsid w:val="00B615A0"/>
    <w:rsid w:val="00B615E6"/>
    <w:rsid w:val="00B6162D"/>
    <w:rsid w:val="00B61781"/>
    <w:rsid w:val="00B61A52"/>
    <w:rsid w:val="00B61AF3"/>
    <w:rsid w:val="00B61C6E"/>
    <w:rsid w:val="00B61D87"/>
    <w:rsid w:val="00B62065"/>
    <w:rsid w:val="00B621A8"/>
    <w:rsid w:val="00B621DE"/>
    <w:rsid w:val="00B6222A"/>
    <w:rsid w:val="00B623CB"/>
    <w:rsid w:val="00B626C6"/>
    <w:rsid w:val="00B62892"/>
    <w:rsid w:val="00B62A65"/>
    <w:rsid w:val="00B62A6C"/>
    <w:rsid w:val="00B62AFF"/>
    <w:rsid w:val="00B62C6D"/>
    <w:rsid w:val="00B62D1D"/>
    <w:rsid w:val="00B62EDC"/>
    <w:rsid w:val="00B6308C"/>
    <w:rsid w:val="00B63099"/>
    <w:rsid w:val="00B63240"/>
    <w:rsid w:val="00B63252"/>
    <w:rsid w:val="00B6331C"/>
    <w:rsid w:val="00B63360"/>
    <w:rsid w:val="00B6339D"/>
    <w:rsid w:val="00B63432"/>
    <w:rsid w:val="00B634E2"/>
    <w:rsid w:val="00B63533"/>
    <w:rsid w:val="00B63A1E"/>
    <w:rsid w:val="00B63B92"/>
    <w:rsid w:val="00B63CFF"/>
    <w:rsid w:val="00B63D6A"/>
    <w:rsid w:val="00B63D82"/>
    <w:rsid w:val="00B63E4E"/>
    <w:rsid w:val="00B63EF3"/>
    <w:rsid w:val="00B64051"/>
    <w:rsid w:val="00B64328"/>
    <w:rsid w:val="00B6435B"/>
    <w:rsid w:val="00B6439E"/>
    <w:rsid w:val="00B645A0"/>
    <w:rsid w:val="00B6466F"/>
    <w:rsid w:val="00B646A5"/>
    <w:rsid w:val="00B64848"/>
    <w:rsid w:val="00B64A8F"/>
    <w:rsid w:val="00B64FD7"/>
    <w:rsid w:val="00B64FF6"/>
    <w:rsid w:val="00B6519D"/>
    <w:rsid w:val="00B652CB"/>
    <w:rsid w:val="00B65350"/>
    <w:rsid w:val="00B65434"/>
    <w:rsid w:val="00B65479"/>
    <w:rsid w:val="00B65687"/>
    <w:rsid w:val="00B65788"/>
    <w:rsid w:val="00B657AF"/>
    <w:rsid w:val="00B6593F"/>
    <w:rsid w:val="00B6596C"/>
    <w:rsid w:val="00B65A9F"/>
    <w:rsid w:val="00B65F5B"/>
    <w:rsid w:val="00B6600D"/>
    <w:rsid w:val="00B660DD"/>
    <w:rsid w:val="00B662BB"/>
    <w:rsid w:val="00B666F9"/>
    <w:rsid w:val="00B66812"/>
    <w:rsid w:val="00B66825"/>
    <w:rsid w:val="00B66870"/>
    <w:rsid w:val="00B6690B"/>
    <w:rsid w:val="00B6690F"/>
    <w:rsid w:val="00B66BC1"/>
    <w:rsid w:val="00B66C35"/>
    <w:rsid w:val="00B66F76"/>
    <w:rsid w:val="00B66FE9"/>
    <w:rsid w:val="00B671E6"/>
    <w:rsid w:val="00B67261"/>
    <w:rsid w:val="00B67281"/>
    <w:rsid w:val="00B67338"/>
    <w:rsid w:val="00B67339"/>
    <w:rsid w:val="00B6749F"/>
    <w:rsid w:val="00B674A8"/>
    <w:rsid w:val="00B6756E"/>
    <w:rsid w:val="00B67884"/>
    <w:rsid w:val="00B67B14"/>
    <w:rsid w:val="00B67C38"/>
    <w:rsid w:val="00B67C8E"/>
    <w:rsid w:val="00B67ECD"/>
    <w:rsid w:val="00B67F54"/>
    <w:rsid w:val="00B702E8"/>
    <w:rsid w:val="00B70304"/>
    <w:rsid w:val="00B70355"/>
    <w:rsid w:val="00B70390"/>
    <w:rsid w:val="00B70395"/>
    <w:rsid w:val="00B703EE"/>
    <w:rsid w:val="00B70658"/>
    <w:rsid w:val="00B70689"/>
    <w:rsid w:val="00B7072A"/>
    <w:rsid w:val="00B70A5A"/>
    <w:rsid w:val="00B70BCA"/>
    <w:rsid w:val="00B70D20"/>
    <w:rsid w:val="00B70DCA"/>
    <w:rsid w:val="00B70F21"/>
    <w:rsid w:val="00B70F26"/>
    <w:rsid w:val="00B7125C"/>
    <w:rsid w:val="00B71503"/>
    <w:rsid w:val="00B71B39"/>
    <w:rsid w:val="00B71C83"/>
    <w:rsid w:val="00B72006"/>
    <w:rsid w:val="00B721BB"/>
    <w:rsid w:val="00B7231C"/>
    <w:rsid w:val="00B7236A"/>
    <w:rsid w:val="00B7265B"/>
    <w:rsid w:val="00B7287B"/>
    <w:rsid w:val="00B7298A"/>
    <w:rsid w:val="00B72AA6"/>
    <w:rsid w:val="00B72C3E"/>
    <w:rsid w:val="00B72C59"/>
    <w:rsid w:val="00B72C77"/>
    <w:rsid w:val="00B72D32"/>
    <w:rsid w:val="00B72EBF"/>
    <w:rsid w:val="00B7310E"/>
    <w:rsid w:val="00B73307"/>
    <w:rsid w:val="00B73386"/>
    <w:rsid w:val="00B733CC"/>
    <w:rsid w:val="00B73480"/>
    <w:rsid w:val="00B734FA"/>
    <w:rsid w:val="00B73624"/>
    <w:rsid w:val="00B736F6"/>
    <w:rsid w:val="00B7375C"/>
    <w:rsid w:val="00B7385C"/>
    <w:rsid w:val="00B73BBF"/>
    <w:rsid w:val="00B73E78"/>
    <w:rsid w:val="00B73F2F"/>
    <w:rsid w:val="00B740B3"/>
    <w:rsid w:val="00B74180"/>
    <w:rsid w:val="00B742D9"/>
    <w:rsid w:val="00B74352"/>
    <w:rsid w:val="00B74545"/>
    <w:rsid w:val="00B745FC"/>
    <w:rsid w:val="00B74834"/>
    <w:rsid w:val="00B74A7A"/>
    <w:rsid w:val="00B74D23"/>
    <w:rsid w:val="00B74D6F"/>
    <w:rsid w:val="00B7509F"/>
    <w:rsid w:val="00B750E3"/>
    <w:rsid w:val="00B751A2"/>
    <w:rsid w:val="00B752B9"/>
    <w:rsid w:val="00B75553"/>
    <w:rsid w:val="00B7556C"/>
    <w:rsid w:val="00B755F5"/>
    <w:rsid w:val="00B756CE"/>
    <w:rsid w:val="00B756F8"/>
    <w:rsid w:val="00B75737"/>
    <w:rsid w:val="00B75772"/>
    <w:rsid w:val="00B757CA"/>
    <w:rsid w:val="00B75A03"/>
    <w:rsid w:val="00B75A7A"/>
    <w:rsid w:val="00B75BB2"/>
    <w:rsid w:val="00B75C1A"/>
    <w:rsid w:val="00B75DA9"/>
    <w:rsid w:val="00B75EDD"/>
    <w:rsid w:val="00B75F35"/>
    <w:rsid w:val="00B75F9F"/>
    <w:rsid w:val="00B76017"/>
    <w:rsid w:val="00B7606E"/>
    <w:rsid w:val="00B76344"/>
    <w:rsid w:val="00B763EE"/>
    <w:rsid w:val="00B7645E"/>
    <w:rsid w:val="00B76489"/>
    <w:rsid w:val="00B76674"/>
    <w:rsid w:val="00B766A9"/>
    <w:rsid w:val="00B766C3"/>
    <w:rsid w:val="00B76ABD"/>
    <w:rsid w:val="00B76AD3"/>
    <w:rsid w:val="00B76B09"/>
    <w:rsid w:val="00B76C0C"/>
    <w:rsid w:val="00B76F78"/>
    <w:rsid w:val="00B76FFC"/>
    <w:rsid w:val="00B77006"/>
    <w:rsid w:val="00B7714C"/>
    <w:rsid w:val="00B772A3"/>
    <w:rsid w:val="00B772C3"/>
    <w:rsid w:val="00B77385"/>
    <w:rsid w:val="00B7747B"/>
    <w:rsid w:val="00B775F6"/>
    <w:rsid w:val="00B7765E"/>
    <w:rsid w:val="00B77804"/>
    <w:rsid w:val="00B77A6F"/>
    <w:rsid w:val="00B77B49"/>
    <w:rsid w:val="00B77C9F"/>
    <w:rsid w:val="00B77F3C"/>
    <w:rsid w:val="00B800C1"/>
    <w:rsid w:val="00B80190"/>
    <w:rsid w:val="00B801FE"/>
    <w:rsid w:val="00B8029F"/>
    <w:rsid w:val="00B80478"/>
    <w:rsid w:val="00B80858"/>
    <w:rsid w:val="00B80AB0"/>
    <w:rsid w:val="00B80B77"/>
    <w:rsid w:val="00B80BBD"/>
    <w:rsid w:val="00B80DA4"/>
    <w:rsid w:val="00B80E01"/>
    <w:rsid w:val="00B80FA1"/>
    <w:rsid w:val="00B80FD3"/>
    <w:rsid w:val="00B81035"/>
    <w:rsid w:val="00B812B1"/>
    <w:rsid w:val="00B81505"/>
    <w:rsid w:val="00B81728"/>
    <w:rsid w:val="00B81772"/>
    <w:rsid w:val="00B8180A"/>
    <w:rsid w:val="00B81969"/>
    <w:rsid w:val="00B819EA"/>
    <w:rsid w:val="00B819F7"/>
    <w:rsid w:val="00B81C03"/>
    <w:rsid w:val="00B81C1F"/>
    <w:rsid w:val="00B81C3A"/>
    <w:rsid w:val="00B81D00"/>
    <w:rsid w:val="00B81EF3"/>
    <w:rsid w:val="00B820A3"/>
    <w:rsid w:val="00B822BE"/>
    <w:rsid w:val="00B82567"/>
    <w:rsid w:val="00B8266F"/>
    <w:rsid w:val="00B826C5"/>
    <w:rsid w:val="00B82A86"/>
    <w:rsid w:val="00B82C11"/>
    <w:rsid w:val="00B82C22"/>
    <w:rsid w:val="00B82CEC"/>
    <w:rsid w:val="00B82E84"/>
    <w:rsid w:val="00B82EE9"/>
    <w:rsid w:val="00B82F75"/>
    <w:rsid w:val="00B83131"/>
    <w:rsid w:val="00B83429"/>
    <w:rsid w:val="00B8346A"/>
    <w:rsid w:val="00B83588"/>
    <w:rsid w:val="00B835F4"/>
    <w:rsid w:val="00B83979"/>
    <w:rsid w:val="00B839DA"/>
    <w:rsid w:val="00B83AB3"/>
    <w:rsid w:val="00B83ABB"/>
    <w:rsid w:val="00B83B69"/>
    <w:rsid w:val="00B83BAD"/>
    <w:rsid w:val="00B83C02"/>
    <w:rsid w:val="00B83C7D"/>
    <w:rsid w:val="00B83FA9"/>
    <w:rsid w:val="00B840DA"/>
    <w:rsid w:val="00B8410A"/>
    <w:rsid w:val="00B8426D"/>
    <w:rsid w:val="00B842A7"/>
    <w:rsid w:val="00B842EA"/>
    <w:rsid w:val="00B843DE"/>
    <w:rsid w:val="00B843EC"/>
    <w:rsid w:val="00B84451"/>
    <w:rsid w:val="00B84583"/>
    <w:rsid w:val="00B84771"/>
    <w:rsid w:val="00B8486B"/>
    <w:rsid w:val="00B849A4"/>
    <w:rsid w:val="00B849BB"/>
    <w:rsid w:val="00B84D2F"/>
    <w:rsid w:val="00B84D8D"/>
    <w:rsid w:val="00B84EF2"/>
    <w:rsid w:val="00B84F88"/>
    <w:rsid w:val="00B84FE9"/>
    <w:rsid w:val="00B850E0"/>
    <w:rsid w:val="00B85312"/>
    <w:rsid w:val="00B8534D"/>
    <w:rsid w:val="00B855CF"/>
    <w:rsid w:val="00B855E2"/>
    <w:rsid w:val="00B8591F"/>
    <w:rsid w:val="00B85AD9"/>
    <w:rsid w:val="00B85D8C"/>
    <w:rsid w:val="00B85DC3"/>
    <w:rsid w:val="00B85DE9"/>
    <w:rsid w:val="00B85EE4"/>
    <w:rsid w:val="00B85EF0"/>
    <w:rsid w:val="00B8602E"/>
    <w:rsid w:val="00B8613E"/>
    <w:rsid w:val="00B86198"/>
    <w:rsid w:val="00B86209"/>
    <w:rsid w:val="00B8620B"/>
    <w:rsid w:val="00B8623B"/>
    <w:rsid w:val="00B862C7"/>
    <w:rsid w:val="00B86355"/>
    <w:rsid w:val="00B8644D"/>
    <w:rsid w:val="00B864B8"/>
    <w:rsid w:val="00B86503"/>
    <w:rsid w:val="00B8652F"/>
    <w:rsid w:val="00B8653C"/>
    <w:rsid w:val="00B86586"/>
    <w:rsid w:val="00B8659B"/>
    <w:rsid w:val="00B8667E"/>
    <w:rsid w:val="00B8678D"/>
    <w:rsid w:val="00B86791"/>
    <w:rsid w:val="00B86980"/>
    <w:rsid w:val="00B86A20"/>
    <w:rsid w:val="00B86B27"/>
    <w:rsid w:val="00B86C41"/>
    <w:rsid w:val="00B86DF8"/>
    <w:rsid w:val="00B87057"/>
    <w:rsid w:val="00B870BF"/>
    <w:rsid w:val="00B870E2"/>
    <w:rsid w:val="00B87320"/>
    <w:rsid w:val="00B8738F"/>
    <w:rsid w:val="00B87449"/>
    <w:rsid w:val="00B875C8"/>
    <w:rsid w:val="00B876EB"/>
    <w:rsid w:val="00B8776A"/>
    <w:rsid w:val="00B878AE"/>
    <w:rsid w:val="00B87966"/>
    <w:rsid w:val="00B87A2F"/>
    <w:rsid w:val="00B87CF2"/>
    <w:rsid w:val="00B87D92"/>
    <w:rsid w:val="00B87E70"/>
    <w:rsid w:val="00B90011"/>
    <w:rsid w:val="00B90147"/>
    <w:rsid w:val="00B901AA"/>
    <w:rsid w:val="00B90224"/>
    <w:rsid w:val="00B9043B"/>
    <w:rsid w:val="00B9046F"/>
    <w:rsid w:val="00B9048D"/>
    <w:rsid w:val="00B90503"/>
    <w:rsid w:val="00B90533"/>
    <w:rsid w:val="00B9057A"/>
    <w:rsid w:val="00B908BA"/>
    <w:rsid w:val="00B90990"/>
    <w:rsid w:val="00B909B7"/>
    <w:rsid w:val="00B909CB"/>
    <w:rsid w:val="00B90C21"/>
    <w:rsid w:val="00B90CCB"/>
    <w:rsid w:val="00B90EA2"/>
    <w:rsid w:val="00B90F30"/>
    <w:rsid w:val="00B9100E"/>
    <w:rsid w:val="00B914B0"/>
    <w:rsid w:val="00B91510"/>
    <w:rsid w:val="00B91628"/>
    <w:rsid w:val="00B9166E"/>
    <w:rsid w:val="00B916B6"/>
    <w:rsid w:val="00B91718"/>
    <w:rsid w:val="00B91745"/>
    <w:rsid w:val="00B91C6E"/>
    <w:rsid w:val="00B91E4D"/>
    <w:rsid w:val="00B91EEF"/>
    <w:rsid w:val="00B92083"/>
    <w:rsid w:val="00B920E8"/>
    <w:rsid w:val="00B9214E"/>
    <w:rsid w:val="00B922EB"/>
    <w:rsid w:val="00B9235C"/>
    <w:rsid w:val="00B92477"/>
    <w:rsid w:val="00B928C7"/>
    <w:rsid w:val="00B92AAE"/>
    <w:rsid w:val="00B92AFA"/>
    <w:rsid w:val="00B92BEC"/>
    <w:rsid w:val="00B92C4C"/>
    <w:rsid w:val="00B92C9F"/>
    <w:rsid w:val="00B92CE1"/>
    <w:rsid w:val="00B92E51"/>
    <w:rsid w:val="00B92F54"/>
    <w:rsid w:val="00B92FDD"/>
    <w:rsid w:val="00B93195"/>
    <w:rsid w:val="00B93304"/>
    <w:rsid w:val="00B9337B"/>
    <w:rsid w:val="00B933A1"/>
    <w:rsid w:val="00B93554"/>
    <w:rsid w:val="00B93588"/>
    <w:rsid w:val="00B935A6"/>
    <w:rsid w:val="00B936CB"/>
    <w:rsid w:val="00B938C3"/>
    <w:rsid w:val="00B93974"/>
    <w:rsid w:val="00B93BAB"/>
    <w:rsid w:val="00B93DF5"/>
    <w:rsid w:val="00B94043"/>
    <w:rsid w:val="00B9417F"/>
    <w:rsid w:val="00B943E1"/>
    <w:rsid w:val="00B944B2"/>
    <w:rsid w:val="00B944F7"/>
    <w:rsid w:val="00B9457D"/>
    <w:rsid w:val="00B94705"/>
    <w:rsid w:val="00B94825"/>
    <w:rsid w:val="00B94AE7"/>
    <w:rsid w:val="00B94B72"/>
    <w:rsid w:val="00B94DFD"/>
    <w:rsid w:val="00B94E04"/>
    <w:rsid w:val="00B94F21"/>
    <w:rsid w:val="00B94F72"/>
    <w:rsid w:val="00B95013"/>
    <w:rsid w:val="00B95019"/>
    <w:rsid w:val="00B95066"/>
    <w:rsid w:val="00B955CE"/>
    <w:rsid w:val="00B95996"/>
    <w:rsid w:val="00B959FA"/>
    <w:rsid w:val="00B95D87"/>
    <w:rsid w:val="00B95DF3"/>
    <w:rsid w:val="00B95E17"/>
    <w:rsid w:val="00B95EDD"/>
    <w:rsid w:val="00B9605E"/>
    <w:rsid w:val="00B96303"/>
    <w:rsid w:val="00B964F7"/>
    <w:rsid w:val="00B96528"/>
    <w:rsid w:val="00B966D0"/>
    <w:rsid w:val="00B968AF"/>
    <w:rsid w:val="00B96989"/>
    <w:rsid w:val="00B969CF"/>
    <w:rsid w:val="00B96A50"/>
    <w:rsid w:val="00B96D71"/>
    <w:rsid w:val="00B96E65"/>
    <w:rsid w:val="00B96F32"/>
    <w:rsid w:val="00B970AE"/>
    <w:rsid w:val="00B970EB"/>
    <w:rsid w:val="00B97151"/>
    <w:rsid w:val="00B97328"/>
    <w:rsid w:val="00B975AB"/>
    <w:rsid w:val="00B977C4"/>
    <w:rsid w:val="00B97DB2"/>
    <w:rsid w:val="00B97E3B"/>
    <w:rsid w:val="00BA0069"/>
    <w:rsid w:val="00BA0167"/>
    <w:rsid w:val="00BA026B"/>
    <w:rsid w:val="00BA0546"/>
    <w:rsid w:val="00BA06D4"/>
    <w:rsid w:val="00BA0736"/>
    <w:rsid w:val="00BA075C"/>
    <w:rsid w:val="00BA094A"/>
    <w:rsid w:val="00BA0964"/>
    <w:rsid w:val="00BA0E3F"/>
    <w:rsid w:val="00BA108B"/>
    <w:rsid w:val="00BA11E9"/>
    <w:rsid w:val="00BA1273"/>
    <w:rsid w:val="00BA12EC"/>
    <w:rsid w:val="00BA1311"/>
    <w:rsid w:val="00BA1345"/>
    <w:rsid w:val="00BA1589"/>
    <w:rsid w:val="00BA175C"/>
    <w:rsid w:val="00BA183D"/>
    <w:rsid w:val="00BA1857"/>
    <w:rsid w:val="00BA1880"/>
    <w:rsid w:val="00BA19C2"/>
    <w:rsid w:val="00BA1B74"/>
    <w:rsid w:val="00BA1C09"/>
    <w:rsid w:val="00BA1C44"/>
    <w:rsid w:val="00BA1D0E"/>
    <w:rsid w:val="00BA227E"/>
    <w:rsid w:val="00BA2331"/>
    <w:rsid w:val="00BA23CB"/>
    <w:rsid w:val="00BA23D8"/>
    <w:rsid w:val="00BA2427"/>
    <w:rsid w:val="00BA24F5"/>
    <w:rsid w:val="00BA2641"/>
    <w:rsid w:val="00BA26BB"/>
    <w:rsid w:val="00BA279D"/>
    <w:rsid w:val="00BA28DE"/>
    <w:rsid w:val="00BA2A51"/>
    <w:rsid w:val="00BA2A56"/>
    <w:rsid w:val="00BA2A6B"/>
    <w:rsid w:val="00BA2BA3"/>
    <w:rsid w:val="00BA2EE7"/>
    <w:rsid w:val="00BA2EEC"/>
    <w:rsid w:val="00BA2F09"/>
    <w:rsid w:val="00BA3271"/>
    <w:rsid w:val="00BA3309"/>
    <w:rsid w:val="00BA330E"/>
    <w:rsid w:val="00BA3445"/>
    <w:rsid w:val="00BA349B"/>
    <w:rsid w:val="00BA34DF"/>
    <w:rsid w:val="00BA36ED"/>
    <w:rsid w:val="00BA3741"/>
    <w:rsid w:val="00BA3A07"/>
    <w:rsid w:val="00BA3ABB"/>
    <w:rsid w:val="00BA3D55"/>
    <w:rsid w:val="00BA3E42"/>
    <w:rsid w:val="00BA3E58"/>
    <w:rsid w:val="00BA3EBC"/>
    <w:rsid w:val="00BA3F3F"/>
    <w:rsid w:val="00BA400F"/>
    <w:rsid w:val="00BA4077"/>
    <w:rsid w:val="00BA416E"/>
    <w:rsid w:val="00BA41B4"/>
    <w:rsid w:val="00BA4201"/>
    <w:rsid w:val="00BA42AD"/>
    <w:rsid w:val="00BA450A"/>
    <w:rsid w:val="00BA46BC"/>
    <w:rsid w:val="00BA46D7"/>
    <w:rsid w:val="00BA4713"/>
    <w:rsid w:val="00BA47A6"/>
    <w:rsid w:val="00BA4873"/>
    <w:rsid w:val="00BA4980"/>
    <w:rsid w:val="00BA4ADA"/>
    <w:rsid w:val="00BA4C84"/>
    <w:rsid w:val="00BA4D89"/>
    <w:rsid w:val="00BA4E6D"/>
    <w:rsid w:val="00BA4E71"/>
    <w:rsid w:val="00BA4EAA"/>
    <w:rsid w:val="00BA502C"/>
    <w:rsid w:val="00BA50AA"/>
    <w:rsid w:val="00BA519A"/>
    <w:rsid w:val="00BA53EE"/>
    <w:rsid w:val="00BA5589"/>
    <w:rsid w:val="00BA56C5"/>
    <w:rsid w:val="00BA588B"/>
    <w:rsid w:val="00BA5BD7"/>
    <w:rsid w:val="00BA5C2B"/>
    <w:rsid w:val="00BA5D7D"/>
    <w:rsid w:val="00BA5FFF"/>
    <w:rsid w:val="00BA61BF"/>
    <w:rsid w:val="00BA61D3"/>
    <w:rsid w:val="00BA6272"/>
    <w:rsid w:val="00BA63A2"/>
    <w:rsid w:val="00BA6754"/>
    <w:rsid w:val="00BA6760"/>
    <w:rsid w:val="00BA67B8"/>
    <w:rsid w:val="00BA6895"/>
    <w:rsid w:val="00BA6AE6"/>
    <w:rsid w:val="00BA6C54"/>
    <w:rsid w:val="00BA6F0C"/>
    <w:rsid w:val="00BA6F8F"/>
    <w:rsid w:val="00BA7191"/>
    <w:rsid w:val="00BA7328"/>
    <w:rsid w:val="00BA745F"/>
    <w:rsid w:val="00BA75E8"/>
    <w:rsid w:val="00BA76FC"/>
    <w:rsid w:val="00BA7710"/>
    <w:rsid w:val="00BA77F5"/>
    <w:rsid w:val="00BA7803"/>
    <w:rsid w:val="00BA783C"/>
    <w:rsid w:val="00BA7A17"/>
    <w:rsid w:val="00BA7BDF"/>
    <w:rsid w:val="00BA7D6E"/>
    <w:rsid w:val="00BA7F81"/>
    <w:rsid w:val="00BB005E"/>
    <w:rsid w:val="00BB008D"/>
    <w:rsid w:val="00BB0114"/>
    <w:rsid w:val="00BB0159"/>
    <w:rsid w:val="00BB015A"/>
    <w:rsid w:val="00BB03A8"/>
    <w:rsid w:val="00BB03DB"/>
    <w:rsid w:val="00BB0412"/>
    <w:rsid w:val="00BB044E"/>
    <w:rsid w:val="00BB0571"/>
    <w:rsid w:val="00BB0737"/>
    <w:rsid w:val="00BB0839"/>
    <w:rsid w:val="00BB09C1"/>
    <w:rsid w:val="00BB0AAD"/>
    <w:rsid w:val="00BB0D25"/>
    <w:rsid w:val="00BB0DF0"/>
    <w:rsid w:val="00BB0F2E"/>
    <w:rsid w:val="00BB194A"/>
    <w:rsid w:val="00BB1D2C"/>
    <w:rsid w:val="00BB1D5E"/>
    <w:rsid w:val="00BB1EEE"/>
    <w:rsid w:val="00BB1F13"/>
    <w:rsid w:val="00BB1F7E"/>
    <w:rsid w:val="00BB2140"/>
    <w:rsid w:val="00BB24CE"/>
    <w:rsid w:val="00BB24F6"/>
    <w:rsid w:val="00BB2648"/>
    <w:rsid w:val="00BB2941"/>
    <w:rsid w:val="00BB2AF6"/>
    <w:rsid w:val="00BB2DFC"/>
    <w:rsid w:val="00BB2E84"/>
    <w:rsid w:val="00BB2E9C"/>
    <w:rsid w:val="00BB3107"/>
    <w:rsid w:val="00BB312B"/>
    <w:rsid w:val="00BB3222"/>
    <w:rsid w:val="00BB32B6"/>
    <w:rsid w:val="00BB3399"/>
    <w:rsid w:val="00BB33E9"/>
    <w:rsid w:val="00BB370C"/>
    <w:rsid w:val="00BB3771"/>
    <w:rsid w:val="00BB37D0"/>
    <w:rsid w:val="00BB37F7"/>
    <w:rsid w:val="00BB390C"/>
    <w:rsid w:val="00BB3922"/>
    <w:rsid w:val="00BB397F"/>
    <w:rsid w:val="00BB39F4"/>
    <w:rsid w:val="00BB3A34"/>
    <w:rsid w:val="00BB3A3B"/>
    <w:rsid w:val="00BB3E45"/>
    <w:rsid w:val="00BB3ED7"/>
    <w:rsid w:val="00BB3FF8"/>
    <w:rsid w:val="00BB41D6"/>
    <w:rsid w:val="00BB42EE"/>
    <w:rsid w:val="00BB4370"/>
    <w:rsid w:val="00BB447B"/>
    <w:rsid w:val="00BB44CC"/>
    <w:rsid w:val="00BB457F"/>
    <w:rsid w:val="00BB4635"/>
    <w:rsid w:val="00BB4751"/>
    <w:rsid w:val="00BB47AE"/>
    <w:rsid w:val="00BB489E"/>
    <w:rsid w:val="00BB48C6"/>
    <w:rsid w:val="00BB4A3A"/>
    <w:rsid w:val="00BB4A5A"/>
    <w:rsid w:val="00BB4A92"/>
    <w:rsid w:val="00BB4B1F"/>
    <w:rsid w:val="00BB4BA4"/>
    <w:rsid w:val="00BB4D71"/>
    <w:rsid w:val="00BB4E72"/>
    <w:rsid w:val="00BB4F57"/>
    <w:rsid w:val="00BB4F92"/>
    <w:rsid w:val="00BB4FB6"/>
    <w:rsid w:val="00BB4FE9"/>
    <w:rsid w:val="00BB4FF6"/>
    <w:rsid w:val="00BB52FD"/>
    <w:rsid w:val="00BB53B7"/>
    <w:rsid w:val="00BB5479"/>
    <w:rsid w:val="00BB55F3"/>
    <w:rsid w:val="00BB56DA"/>
    <w:rsid w:val="00BB586B"/>
    <w:rsid w:val="00BB58B2"/>
    <w:rsid w:val="00BB5C57"/>
    <w:rsid w:val="00BB5DEC"/>
    <w:rsid w:val="00BB5E3A"/>
    <w:rsid w:val="00BB5EE6"/>
    <w:rsid w:val="00BB5EE8"/>
    <w:rsid w:val="00BB6029"/>
    <w:rsid w:val="00BB6296"/>
    <w:rsid w:val="00BB63B1"/>
    <w:rsid w:val="00BB6400"/>
    <w:rsid w:val="00BB64C8"/>
    <w:rsid w:val="00BB66E9"/>
    <w:rsid w:val="00BB671A"/>
    <w:rsid w:val="00BB672B"/>
    <w:rsid w:val="00BB6827"/>
    <w:rsid w:val="00BB6896"/>
    <w:rsid w:val="00BB68F1"/>
    <w:rsid w:val="00BB69FB"/>
    <w:rsid w:val="00BB6C10"/>
    <w:rsid w:val="00BB6C58"/>
    <w:rsid w:val="00BB6D69"/>
    <w:rsid w:val="00BB6E8D"/>
    <w:rsid w:val="00BB6F8F"/>
    <w:rsid w:val="00BB70C3"/>
    <w:rsid w:val="00BB71D5"/>
    <w:rsid w:val="00BB721A"/>
    <w:rsid w:val="00BB7231"/>
    <w:rsid w:val="00BB72F1"/>
    <w:rsid w:val="00BB7436"/>
    <w:rsid w:val="00BB75E9"/>
    <w:rsid w:val="00BB765B"/>
    <w:rsid w:val="00BB76AF"/>
    <w:rsid w:val="00BB7754"/>
    <w:rsid w:val="00BB77C2"/>
    <w:rsid w:val="00BB77F7"/>
    <w:rsid w:val="00BB787D"/>
    <w:rsid w:val="00BB7979"/>
    <w:rsid w:val="00BB7B17"/>
    <w:rsid w:val="00BB7B2E"/>
    <w:rsid w:val="00BB7C78"/>
    <w:rsid w:val="00BB7FA5"/>
    <w:rsid w:val="00BC00C3"/>
    <w:rsid w:val="00BC02D5"/>
    <w:rsid w:val="00BC02E2"/>
    <w:rsid w:val="00BC05B9"/>
    <w:rsid w:val="00BC0677"/>
    <w:rsid w:val="00BC069C"/>
    <w:rsid w:val="00BC06FC"/>
    <w:rsid w:val="00BC0736"/>
    <w:rsid w:val="00BC0743"/>
    <w:rsid w:val="00BC0756"/>
    <w:rsid w:val="00BC0855"/>
    <w:rsid w:val="00BC0A15"/>
    <w:rsid w:val="00BC0ABF"/>
    <w:rsid w:val="00BC0AC6"/>
    <w:rsid w:val="00BC0C94"/>
    <w:rsid w:val="00BC0CB4"/>
    <w:rsid w:val="00BC0D15"/>
    <w:rsid w:val="00BC0D77"/>
    <w:rsid w:val="00BC0E24"/>
    <w:rsid w:val="00BC0FDA"/>
    <w:rsid w:val="00BC119C"/>
    <w:rsid w:val="00BC1217"/>
    <w:rsid w:val="00BC123A"/>
    <w:rsid w:val="00BC1453"/>
    <w:rsid w:val="00BC14A4"/>
    <w:rsid w:val="00BC14DC"/>
    <w:rsid w:val="00BC16D3"/>
    <w:rsid w:val="00BC1871"/>
    <w:rsid w:val="00BC18C1"/>
    <w:rsid w:val="00BC18DD"/>
    <w:rsid w:val="00BC1998"/>
    <w:rsid w:val="00BC1AF1"/>
    <w:rsid w:val="00BC1C57"/>
    <w:rsid w:val="00BC1EBD"/>
    <w:rsid w:val="00BC22BF"/>
    <w:rsid w:val="00BC22C6"/>
    <w:rsid w:val="00BC25A7"/>
    <w:rsid w:val="00BC26F3"/>
    <w:rsid w:val="00BC2764"/>
    <w:rsid w:val="00BC2885"/>
    <w:rsid w:val="00BC29F2"/>
    <w:rsid w:val="00BC29FB"/>
    <w:rsid w:val="00BC2A01"/>
    <w:rsid w:val="00BC2BFD"/>
    <w:rsid w:val="00BC2C14"/>
    <w:rsid w:val="00BC2CAB"/>
    <w:rsid w:val="00BC2EC9"/>
    <w:rsid w:val="00BC2FE2"/>
    <w:rsid w:val="00BC30ED"/>
    <w:rsid w:val="00BC32D8"/>
    <w:rsid w:val="00BC336F"/>
    <w:rsid w:val="00BC3452"/>
    <w:rsid w:val="00BC3456"/>
    <w:rsid w:val="00BC357B"/>
    <w:rsid w:val="00BC362A"/>
    <w:rsid w:val="00BC363C"/>
    <w:rsid w:val="00BC3870"/>
    <w:rsid w:val="00BC3988"/>
    <w:rsid w:val="00BC3A29"/>
    <w:rsid w:val="00BC3A3E"/>
    <w:rsid w:val="00BC3B14"/>
    <w:rsid w:val="00BC3B9C"/>
    <w:rsid w:val="00BC3D77"/>
    <w:rsid w:val="00BC3E29"/>
    <w:rsid w:val="00BC4060"/>
    <w:rsid w:val="00BC4113"/>
    <w:rsid w:val="00BC4194"/>
    <w:rsid w:val="00BC4320"/>
    <w:rsid w:val="00BC44A1"/>
    <w:rsid w:val="00BC44DB"/>
    <w:rsid w:val="00BC451E"/>
    <w:rsid w:val="00BC456C"/>
    <w:rsid w:val="00BC462C"/>
    <w:rsid w:val="00BC464C"/>
    <w:rsid w:val="00BC46C1"/>
    <w:rsid w:val="00BC4AB1"/>
    <w:rsid w:val="00BC4DC0"/>
    <w:rsid w:val="00BC5176"/>
    <w:rsid w:val="00BC5177"/>
    <w:rsid w:val="00BC522F"/>
    <w:rsid w:val="00BC5253"/>
    <w:rsid w:val="00BC528B"/>
    <w:rsid w:val="00BC5317"/>
    <w:rsid w:val="00BC53DD"/>
    <w:rsid w:val="00BC54CE"/>
    <w:rsid w:val="00BC54E9"/>
    <w:rsid w:val="00BC560D"/>
    <w:rsid w:val="00BC5906"/>
    <w:rsid w:val="00BC59FE"/>
    <w:rsid w:val="00BC5B81"/>
    <w:rsid w:val="00BC5EB3"/>
    <w:rsid w:val="00BC6101"/>
    <w:rsid w:val="00BC6121"/>
    <w:rsid w:val="00BC61C1"/>
    <w:rsid w:val="00BC64D4"/>
    <w:rsid w:val="00BC66CB"/>
    <w:rsid w:val="00BC66F7"/>
    <w:rsid w:val="00BC68BB"/>
    <w:rsid w:val="00BC6A56"/>
    <w:rsid w:val="00BC6B64"/>
    <w:rsid w:val="00BC6C2D"/>
    <w:rsid w:val="00BC6E55"/>
    <w:rsid w:val="00BC6F54"/>
    <w:rsid w:val="00BC6F6C"/>
    <w:rsid w:val="00BC7338"/>
    <w:rsid w:val="00BC741A"/>
    <w:rsid w:val="00BC747C"/>
    <w:rsid w:val="00BC759A"/>
    <w:rsid w:val="00BC76D3"/>
    <w:rsid w:val="00BC7A50"/>
    <w:rsid w:val="00BC7AE0"/>
    <w:rsid w:val="00BC7DDF"/>
    <w:rsid w:val="00BC7ECD"/>
    <w:rsid w:val="00BD002B"/>
    <w:rsid w:val="00BD024F"/>
    <w:rsid w:val="00BD05A8"/>
    <w:rsid w:val="00BD063C"/>
    <w:rsid w:val="00BD06F2"/>
    <w:rsid w:val="00BD0778"/>
    <w:rsid w:val="00BD08D4"/>
    <w:rsid w:val="00BD0974"/>
    <w:rsid w:val="00BD0AC6"/>
    <w:rsid w:val="00BD0B26"/>
    <w:rsid w:val="00BD0C9C"/>
    <w:rsid w:val="00BD0CCF"/>
    <w:rsid w:val="00BD0D7B"/>
    <w:rsid w:val="00BD1138"/>
    <w:rsid w:val="00BD113B"/>
    <w:rsid w:val="00BD1395"/>
    <w:rsid w:val="00BD1421"/>
    <w:rsid w:val="00BD14FF"/>
    <w:rsid w:val="00BD1600"/>
    <w:rsid w:val="00BD1726"/>
    <w:rsid w:val="00BD1832"/>
    <w:rsid w:val="00BD197F"/>
    <w:rsid w:val="00BD1DEC"/>
    <w:rsid w:val="00BD1F3A"/>
    <w:rsid w:val="00BD1F57"/>
    <w:rsid w:val="00BD2030"/>
    <w:rsid w:val="00BD2356"/>
    <w:rsid w:val="00BD2357"/>
    <w:rsid w:val="00BD24C4"/>
    <w:rsid w:val="00BD2766"/>
    <w:rsid w:val="00BD28EB"/>
    <w:rsid w:val="00BD297C"/>
    <w:rsid w:val="00BD299B"/>
    <w:rsid w:val="00BD2BBB"/>
    <w:rsid w:val="00BD2BC0"/>
    <w:rsid w:val="00BD2C8A"/>
    <w:rsid w:val="00BD2CAF"/>
    <w:rsid w:val="00BD3024"/>
    <w:rsid w:val="00BD30A5"/>
    <w:rsid w:val="00BD34B7"/>
    <w:rsid w:val="00BD3712"/>
    <w:rsid w:val="00BD3792"/>
    <w:rsid w:val="00BD381F"/>
    <w:rsid w:val="00BD3826"/>
    <w:rsid w:val="00BD3A18"/>
    <w:rsid w:val="00BD3C94"/>
    <w:rsid w:val="00BD3CFD"/>
    <w:rsid w:val="00BD3D3D"/>
    <w:rsid w:val="00BD401C"/>
    <w:rsid w:val="00BD4325"/>
    <w:rsid w:val="00BD43DC"/>
    <w:rsid w:val="00BD43FC"/>
    <w:rsid w:val="00BD44FB"/>
    <w:rsid w:val="00BD4665"/>
    <w:rsid w:val="00BD4A01"/>
    <w:rsid w:val="00BD4A13"/>
    <w:rsid w:val="00BD4AAB"/>
    <w:rsid w:val="00BD4B7E"/>
    <w:rsid w:val="00BD4BD4"/>
    <w:rsid w:val="00BD4D70"/>
    <w:rsid w:val="00BD4E38"/>
    <w:rsid w:val="00BD51AE"/>
    <w:rsid w:val="00BD529C"/>
    <w:rsid w:val="00BD5404"/>
    <w:rsid w:val="00BD54B2"/>
    <w:rsid w:val="00BD5701"/>
    <w:rsid w:val="00BD576E"/>
    <w:rsid w:val="00BD57A6"/>
    <w:rsid w:val="00BD58FB"/>
    <w:rsid w:val="00BD597A"/>
    <w:rsid w:val="00BD5987"/>
    <w:rsid w:val="00BD5A32"/>
    <w:rsid w:val="00BD5AE2"/>
    <w:rsid w:val="00BD5C3A"/>
    <w:rsid w:val="00BD5C58"/>
    <w:rsid w:val="00BD5F4A"/>
    <w:rsid w:val="00BD6112"/>
    <w:rsid w:val="00BD63C2"/>
    <w:rsid w:val="00BD63E8"/>
    <w:rsid w:val="00BD643A"/>
    <w:rsid w:val="00BD6614"/>
    <w:rsid w:val="00BD66C8"/>
    <w:rsid w:val="00BD67DD"/>
    <w:rsid w:val="00BD6807"/>
    <w:rsid w:val="00BD68FD"/>
    <w:rsid w:val="00BD69A6"/>
    <w:rsid w:val="00BD6A10"/>
    <w:rsid w:val="00BD6A5B"/>
    <w:rsid w:val="00BD6A75"/>
    <w:rsid w:val="00BD6A89"/>
    <w:rsid w:val="00BD6D02"/>
    <w:rsid w:val="00BD6EF5"/>
    <w:rsid w:val="00BD6FAB"/>
    <w:rsid w:val="00BD7071"/>
    <w:rsid w:val="00BD7176"/>
    <w:rsid w:val="00BD7280"/>
    <w:rsid w:val="00BD73E5"/>
    <w:rsid w:val="00BD76FA"/>
    <w:rsid w:val="00BD79E2"/>
    <w:rsid w:val="00BD7E5C"/>
    <w:rsid w:val="00BD7F62"/>
    <w:rsid w:val="00BE00C9"/>
    <w:rsid w:val="00BE00CA"/>
    <w:rsid w:val="00BE00DB"/>
    <w:rsid w:val="00BE0183"/>
    <w:rsid w:val="00BE0420"/>
    <w:rsid w:val="00BE0559"/>
    <w:rsid w:val="00BE07AA"/>
    <w:rsid w:val="00BE07D8"/>
    <w:rsid w:val="00BE0850"/>
    <w:rsid w:val="00BE099B"/>
    <w:rsid w:val="00BE0BE7"/>
    <w:rsid w:val="00BE0D22"/>
    <w:rsid w:val="00BE0D90"/>
    <w:rsid w:val="00BE0EED"/>
    <w:rsid w:val="00BE1052"/>
    <w:rsid w:val="00BE1341"/>
    <w:rsid w:val="00BE135B"/>
    <w:rsid w:val="00BE13EA"/>
    <w:rsid w:val="00BE14D7"/>
    <w:rsid w:val="00BE166E"/>
    <w:rsid w:val="00BE16AA"/>
    <w:rsid w:val="00BE17D0"/>
    <w:rsid w:val="00BE181F"/>
    <w:rsid w:val="00BE1A6F"/>
    <w:rsid w:val="00BE1C04"/>
    <w:rsid w:val="00BE200E"/>
    <w:rsid w:val="00BE2040"/>
    <w:rsid w:val="00BE21E6"/>
    <w:rsid w:val="00BE22D6"/>
    <w:rsid w:val="00BE23B3"/>
    <w:rsid w:val="00BE245F"/>
    <w:rsid w:val="00BE248C"/>
    <w:rsid w:val="00BE2740"/>
    <w:rsid w:val="00BE2A8D"/>
    <w:rsid w:val="00BE2BB0"/>
    <w:rsid w:val="00BE2C4B"/>
    <w:rsid w:val="00BE2D39"/>
    <w:rsid w:val="00BE2E8B"/>
    <w:rsid w:val="00BE2EF6"/>
    <w:rsid w:val="00BE300A"/>
    <w:rsid w:val="00BE3113"/>
    <w:rsid w:val="00BE313C"/>
    <w:rsid w:val="00BE3194"/>
    <w:rsid w:val="00BE32AF"/>
    <w:rsid w:val="00BE33E4"/>
    <w:rsid w:val="00BE35D4"/>
    <w:rsid w:val="00BE3715"/>
    <w:rsid w:val="00BE3869"/>
    <w:rsid w:val="00BE3873"/>
    <w:rsid w:val="00BE3A27"/>
    <w:rsid w:val="00BE3A91"/>
    <w:rsid w:val="00BE3ADB"/>
    <w:rsid w:val="00BE3AFE"/>
    <w:rsid w:val="00BE3CFC"/>
    <w:rsid w:val="00BE3D0C"/>
    <w:rsid w:val="00BE3F8D"/>
    <w:rsid w:val="00BE4085"/>
    <w:rsid w:val="00BE4382"/>
    <w:rsid w:val="00BE4403"/>
    <w:rsid w:val="00BE4437"/>
    <w:rsid w:val="00BE447B"/>
    <w:rsid w:val="00BE454E"/>
    <w:rsid w:val="00BE470C"/>
    <w:rsid w:val="00BE4712"/>
    <w:rsid w:val="00BE4854"/>
    <w:rsid w:val="00BE489B"/>
    <w:rsid w:val="00BE48AD"/>
    <w:rsid w:val="00BE4907"/>
    <w:rsid w:val="00BE49BA"/>
    <w:rsid w:val="00BE4B77"/>
    <w:rsid w:val="00BE4BA7"/>
    <w:rsid w:val="00BE4C7B"/>
    <w:rsid w:val="00BE4D52"/>
    <w:rsid w:val="00BE4DE6"/>
    <w:rsid w:val="00BE4E69"/>
    <w:rsid w:val="00BE4FC5"/>
    <w:rsid w:val="00BE50C4"/>
    <w:rsid w:val="00BE518A"/>
    <w:rsid w:val="00BE5378"/>
    <w:rsid w:val="00BE53F6"/>
    <w:rsid w:val="00BE5496"/>
    <w:rsid w:val="00BE5630"/>
    <w:rsid w:val="00BE578E"/>
    <w:rsid w:val="00BE579F"/>
    <w:rsid w:val="00BE5944"/>
    <w:rsid w:val="00BE5E8B"/>
    <w:rsid w:val="00BE5EA3"/>
    <w:rsid w:val="00BE5F81"/>
    <w:rsid w:val="00BE5FF7"/>
    <w:rsid w:val="00BE6114"/>
    <w:rsid w:val="00BE613C"/>
    <w:rsid w:val="00BE616F"/>
    <w:rsid w:val="00BE6230"/>
    <w:rsid w:val="00BE6293"/>
    <w:rsid w:val="00BE6306"/>
    <w:rsid w:val="00BE660A"/>
    <w:rsid w:val="00BE6951"/>
    <w:rsid w:val="00BE6A06"/>
    <w:rsid w:val="00BE6C1B"/>
    <w:rsid w:val="00BE6C5B"/>
    <w:rsid w:val="00BE6CFF"/>
    <w:rsid w:val="00BE6D4D"/>
    <w:rsid w:val="00BE6DDD"/>
    <w:rsid w:val="00BE71D2"/>
    <w:rsid w:val="00BE7263"/>
    <w:rsid w:val="00BE72B0"/>
    <w:rsid w:val="00BE72EA"/>
    <w:rsid w:val="00BE7408"/>
    <w:rsid w:val="00BE74BD"/>
    <w:rsid w:val="00BE7536"/>
    <w:rsid w:val="00BE7603"/>
    <w:rsid w:val="00BE7638"/>
    <w:rsid w:val="00BE7791"/>
    <w:rsid w:val="00BE78B3"/>
    <w:rsid w:val="00BE7CD7"/>
    <w:rsid w:val="00BE7D91"/>
    <w:rsid w:val="00BE7F01"/>
    <w:rsid w:val="00BE7F4F"/>
    <w:rsid w:val="00BF0057"/>
    <w:rsid w:val="00BF0139"/>
    <w:rsid w:val="00BF0195"/>
    <w:rsid w:val="00BF01E2"/>
    <w:rsid w:val="00BF028A"/>
    <w:rsid w:val="00BF03F2"/>
    <w:rsid w:val="00BF03F3"/>
    <w:rsid w:val="00BF0432"/>
    <w:rsid w:val="00BF043C"/>
    <w:rsid w:val="00BF04F4"/>
    <w:rsid w:val="00BF064F"/>
    <w:rsid w:val="00BF06AC"/>
    <w:rsid w:val="00BF074E"/>
    <w:rsid w:val="00BF0791"/>
    <w:rsid w:val="00BF0807"/>
    <w:rsid w:val="00BF08D2"/>
    <w:rsid w:val="00BF0942"/>
    <w:rsid w:val="00BF0AA2"/>
    <w:rsid w:val="00BF0B81"/>
    <w:rsid w:val="00BF0BE9"/>
    <w:rsid w:val="00BF0CF8"/>
    <w:rsid w:val="00BF0D88"/>
    <w:rsid w:val="00BF0DAF"/>
    <w:rsid w:val="00BF0E62"/>
    <w:rsid w:val="00BF108D"/>
    <w:rsid w:val="00BF10CA"/>
    <w:rsid w:val="00BF1136"/>
    <w:rsid w:val="00BF120D"/>
    <w:rsid w:val="00BF1321"/>
    <w:rsid w:val="00BF138A"/>
    <w:rsid w:val="00BF152B"/>
    <w:rsid w:val="00BF1698"/>
    <w:rsid w:val="00BF174D"/>
    <w:rsid w:val="00BF1775"/>
    <w:rsid w:val="00BF1809"/>
    <w:rsid w:val="00BF1971"/>
    <w:rsid w:val="00BF1A60"/>
    <w:rsid w:val="00BF1A71"/>
    <w:rsid w:val="00BF1B33"/>
    <w:rsid w:val="00BF1B79"/>
    <w:rsid w:val="00BF1E47"/>
    <w:rsid w:val="00BF1F02"/>
    <w:rsid w:val="00BF1F9F"/>
    <w:rsid w:val="00BF204B"/>
    <w:rsid w:val="00BF20A0"/>
    <w:rsid w:val="00BF2233"/>
    <w:rsid w:val="00BF2517"/>
    <w:rsid w:val="00BF26AB"/>
    <w:rsid w:val="00BF270F"/>
    <w:rsid w:val="00BF274F"/>
    <w:rsid w:val="00BF2869"/>
    <w:rsid w:val="00BF28A5"/>
    <w:rsid w:val="00BF2CD2"/>
    <w:rsid w:val="00BF2CEC"/>
    <w:rsid w:val="00BF2EF1"/>
    <w:rsid w:val="00BF325B"/>
    <w:rsid w:val="00BF331F"/>
    <w:rsid w:val="00BF3388"/>
    <w:rsid w:val="00BF33E2"/>
    <w:rsid w:val="00BF34CE"/>
    <w:rsid w:val="00BF34D9"/>
    <w:rsid w:val="00BF35BF"/>
    <w:rsid w:val="00BF3653"/>
    <w:rsid w:val="00BF37BF"/>
    <w:rsid w:val="00BF38AD"/>
    <w:rsid w:val="00BF39E7"/>
    <w:rsid w:val="00BF3A03"/>
    <w:rsid w:val="00BF3A2A"/>
    <w:rsid w:val="00BF3BEE"/>
    <w:rsid w:val="00BF3C22"/>
    <w:rsid w:val="00BF3E4E"/>
    <w:rsid w:val="00BF3F75"/>
    <w:rsid w:val="00BF400D"/>
    <w:rsid w:val="00BF414B"/>
    <w:rsid w:val="00BF41CA"/>
    <w:rsid w:val="00BF41E7"/>
    <w:rsid w:val="00BF43A1"/>
    <w:rsid w:val="00BF44ED"/>
    <w:rsid w:val="00BF4908"/>
    <w:rsid w:val="00BF4AAA"/>
    <w:rsid w:val="00BF4BE4"/>
    <w:rsid w:val="00BF4C1A"/>
    <w:rsid w:val="00BF4C20"/>
    <w:rsid w:val="00BF4C4D"/>
    <w:rsid w:val="00BF5045"/>
    <w:rsid w:val="00BF50AD"/>
    <w:rsid w:val="00BF5231"/>
    <w:rsid w:val="00BF5401"/>
    <w:rsid w:val="00BF5408"/>
    <w:rsid w:val="00BF5609"/>
    <w:rsid w:val="00BF5873"/>
    <w:rsid w:val="00BF58BB"/>
    <w:rsid w:val="00BF58F3"/>
    <w:rsid w:val="00BF59FC"/>
    <w:rsid w:val="00BF5A68"/>
    <w:rsid w:val="00BF5CDA"/>
    <w:rsid w:val="00BF5D31"/>
    <w:rsid w:val="00BF5D40"/>
    <w:rsid w:val="00BF5E3D"/>
    <w:rsid w:val="00BF6062"/>
    <w:rsid w:val="00BF6081"/>
    <w:rsid w:val="00BF615E"/>
    <w:rsid w:val="00BF6358"/>
    <w:rsid w:val="00BF64C2"/>
    <w:rsid w:val="00BF656D"/>
    <w:rsid w:val="00BF66B5"/>
    <w:rsid w:val="00BF682A"/>
    <w:rsid w:val="00BF6979"/>
    <w:rsid w:val="00BF6A89"/>
    <w:rsid w:val="00BF6B9C"/>
    <w:rsid w:val="00BF6C66"/>
    <w:rsid w:val="00BF6D7B"/>
    <w:rsid w:val="00BF6E40"/>
    <w:rsid w:val="00BF6EF7"/>
    <w:rsid w:val="00BF6F60"/>
    <w:rsid w:val="00BF6FA4"/>
    <w:rsid w:val="00BF7109"/>
    <w:rsid w:val="00BF7154"/>
    <w:rsid w:val="00BF743A"/>
    <w:rsid w:val="00BF748B"/>
    <w:rsid w:val="00BF762B"/>
    <w:rsid w:val="00BF76CD"/>
    <w:rsid w:val="00BF76D2"/>
    <w:rsid w:val="00BF78F7"/>
    <w:rsid w:val="00BF7A0E"/>
    <w:rsid w:val="00BF7B1D"/>
    <w:rsid w:val="00BF7C16"/>
    <w:rsid w:val="00BF7C65"/>
    <w:rsid w:val="00BF7DA8"/>
    <w:rsid w:val="00BF7E20"/>
    <w:rsid w:val="00BF7F29"/>
    <w:rsid w:val="00C00072"/>
    <w:rsid w:val="00C000C2"/>
    <w:rsid w:val="00C00315"/>
    <w:rsid w:val="00C0055E"/>
    <w:rsid w:val="00C00756"/>
    <w:rsid w:val="00C009CB"/>
    <w:rsid w:val="00C009CF"/>
    <w:rsid w:val="00C00A51"/>
    <w:rsid w:val="00C00ADD"/>
    <w:rsid w:val="00C00B91"/>
    <w:rsid w:val="00C00C35"/>
    <w:rsid w:val="00C00DCD"/>
    <w:rsid w:val="00C00F21"/>
    <w:rsid w:val="00C01154"/>
    <w:rsid w:val="00C01297"/>
    <w:rsid w:val="00C01332"/>
    <w:rsid w:val="00C0137E"/>
    <w:rsid w:val="00C0138A"/>
    <w:rsid w:val="00C014E0"/>
    <w:rsid w:val="00C0161B"/>
    <w:rsid w:val="00C0198B"/>
    <w:rsid w:val="00C019E6"/>
    <w:rsid w:val="00C01A63"/>
    <w:rsid w:val="00C01B1C"/>
    <w:rsid w:val="00C01C82"/>
    <w:rsid w:val="00C01F12"/>
    <w:rsid w:val="00C01F53"/>
    <w:rsid w:val="00C02181"/>
    <w:rsid w:val="00C02543"/>
    <w:rsid w:val="00C0264D"/>
    <w:rsid w:val="00C0265C"/>
    <w:rsid w:val="00C029F0"/>
    <w:rsid w:val="00C02D23"/>
    <w:rsid w:val="00C02DA9"/>
    <w:rsid w:val="00C02DDA"/>
    <w:rsid w:val="00C02E80"/>
    <w:rsid w:val="00C03082"/>
    <w:rsid w:val="00C0316A"/>
    <w:rsid w:val="00C0317B"/>
    <w:rsid w:val="00C0333D"/>
    <w:rsid w:val="00C0339F"/>
    <w:rsid w:val="00C034A8"/>
    <w:rsid w:val="00C034C2"/>
    <w:rsid w:val="00C035B2"/>
    <w:rsid w:val="00C036B9"/>
    <w:rsid w:val="00C036EE"/>
    <w:rsid w:val="00C03834"/>
    <w:rsid w:val="00C038A6"/>
    <w:rsid w:val="00C039DC"/>
    <w:rsid w:val="00C03A61"/>
    <w:rsid w:val="00C03AE2"/>
    <w:rsid w:val="00C03D8E"/>
    <w:rsid w:val="00C03E1A"/>
    <w:rsid w:val="00C03E5C"/>
    <w:rsid w:val="00C03E91"/>
    <w:rsid w:val="00C03F40"/>
    <w:rsid w:val="00C040E0"/>
    <w:rsid w:val="00C04221"/>
    <w:rsid w:val="00C04246"/>
    <w:rsid w:val="00C043FB"/>
    <w:rsid w:val="00C0452B"/>
    <w:rsid w:val="00C04646"/>
    <w:rsid w:val="00C04649"/>
    <w:rsid w:val="00C04747"/>
    <w:rsid w:val="00C0491C"/>
    <w:rsid w:val="00C04A44"/>
    <w:rsid w:val="00C04A8A"/>
    <w:rsid w:val="00C04AF5"/>
    <w:rsid w:val="00C04AF8"/>
    <w:rsid w:val="00C04BB8"/>
    <w:rsid w:val="00C04C99"/>
    <w:rsid w:val="00C04D81"/>
    <w:rsid w:val="00C04EEE"/>
    <w:rsid w:val="00C04FC0"/>
    <w:rsid w:val="00C05061"/>
    <w:rsid w:val="00C050B9"/>
    <w:rsid w:val="00C050FA"/>
    <w:rsid w:val="00C05249"/>
    <w:rsid w:val="00C052D7"/>
    <w:rsid w:val="00C05347"/>
    <w:rsid w:val="00C0546E"/>
    <w:rsid w:val="00C055E3"/>
    <w:rsid w:val="00C0567B"/>
    <w:rsid w:val="00C059A8"/>
    <w:rsid w:val="00C059DC"/>
    <w:rsid w:val="00C059EF"/>
    <w:rsid w:val="00C05B0C"/>
    <w:rsid w:val="00C05C0B"/>
    <w:rsid w:val="00C05C61"/>
    <w:rsid w:val="00C05CB8"/>
    <w:rsid w:val="00C05D04"/>
    <w:rsid w:val="00C05D96"/>
    <w:rsid w:val="00C05E3A"/>
    <w:rsid w:val="00C05EEC"/>
    <w:rsid w:val="00C0609C"/>
    <w:rsid w:val="00C06175"/>
    <w:rsid w:val="00C0623A"/>
    <w:rsid w:val="00C06293"/>
    <w:rsid w:val="00C0629B"/>
    <w:rsid w:val="00C062BC"/>
    <w:rsid w:val="00C063CB"/>
    <w:rsid w:val="00C063EF"/>
    <w:rsid w:val="00C0644E"/>
    <w:rsid w:val="00C064B0"/>
    <w:rsid w:val="00C0665C"/>
    <w:rsid w:val="00C06686"/>
    <w:rsid w:val="00C06759"/>
    <w:rsid w:val="00C068B7"/>
    <w:rsid w:val="00C06C93"/>
    <w:rsid w:val="00C06F68"/>
    <w:rsid w:val="00C07211"/>
    <w:rsid w:val="00C07523"/>
    <w:rsid w:val="00C07539"/>
    <w:rsid w:val="00C075A7"/>
    <w:rsid w:val="00C078F2"/>
    <w:rsid w:val="00C07A0C"/>
    <w:rsid w:val="00C07DE5"/>
    <w:rsid w:val="00C07E26"/>
    <w:rsid w:val="00C07E70"/>
    <w:rsid w:val="00C100ED"/>
    <w:rsid w:val="00C1010C"/>
    <w:rsid w:val="00C10136"/>
    <w:rsid w:val="00C1013E"/>
    <w:rsid w:val="00C103EF"/>
    <w:rsid w:val="00C10587"/>
    <w:rsid w:val="00C10593"/>
    <w:rsid w:val="00C10657"/>
    <w:rsid w:val="00C1074E"/>
    <w:rsid w:val="00C108F3"/>
    <w:rsid w:val="00C10C1E"/>
    <w:rsid w:val="00C10C51"/>
    <w:rsid w:val="00C10CB5"/>
    <w:rsid w:val="00C10F3B"/>
    <w:rsid w:val="00C110C5"/>
    <w:rsid w:val="00C1113B"/>
    <w:rsid w:val="00C111E4"/>
    <w:rsid w:val="00C1148B"/>
    <w:rsid w:val="00C114BD"/>
    <w:rsid w:val="00C114D1"/>
    <w:rsid w:val="00C1152B"/>
    <w:rsid w:val="00C11563"/>
    <w:rsid w:val="00C116F4"/>
    <w:rsid w:val="00C1187C"/>
    <w:rsid w:val="00C11A0E"/>
    <w:rsid w:val="00C11B5E"/>
    <w:rsid w:val="00C11B6E"/>
    <w:rsid w:val="00C11CAB"/>
    <w:rsid w:val="00C11CC6"/>
    <w:rsid w:val="00C11DCF"/>
    <w:rsid w:val="00C11F0A"/>
    <w:rsid w:val="00C12186"/>
    <w:rsid w:val="00C121A9"/>
    <w:rsid w:val="00C122E1"/>
    <w:rsid w:val="00C12376"/>
    <w:rsid w:val="00C123EA"/>
    <w:rsid w:val="00C1265F"/>
    <w:rsid w:val="00C12953"/>
    <w:rsid w:val="00C129C9"/>
    <w:rsid w:val="00C12BB5"/>
    <w:rsid w:val="00C12CC9"/>
    <w:rsid w:val="00C12E83"/>
    <w:rsid w:val="00C12F92"/>
    <w:rsid w:val="00C13044"/>
    <w:rsid w:val="00C13070"/>
    <w:rsid w:val="00C1312F"/>
    <w:rsid w:val="00C1353E"/>
    <w:rsid w:val="00C139C5"/>
    <w:rsid w:val="00C13B00"/>
    <w:rsid w:val="00C13B09"/>
    <w:rsid w:val="00C13CBE"/>
    <w:rsid w:val="00C13D1B"/>
    <w:rsid w:val="00C13E59"/>
    <w:rsid w:val="00C13EC0"/>
    <w:rsid w:val="00C13F91"/>
    <w:rsid w:val="00C142D7"/>
    <w:rsid w:val="00C1452E"/>
    <w:rsid w:val="00C14699"/>
    <w:rsid w:val="00C146B6"/>
    <w:rsid w:val="00C14718"/>
    <w:rsid w:val="00C14726"/>
    <w:rsid w:val="00C1473C"/>
    <w:rsid w:val="00C14741"/>
    <w:rsid w:val="00C1489D"/>
    <w:rsid w:val="00C14BE7"/>
    <w:rsid w:val="00C14DC1"/>
    <w:rsid w:val="00C14DF3"/>
    <w:rsid w:val="00C14FFD"/>
    <w:rsid w:val="00C150CD"/>
    <w:rsid w:val="00C15196"/>
    <w:rsid w:val="00C152E5"/>
    <w:rsid w:val="00C1535A"/>
    <w:rsid w:val="00C15361"/>
    <w:rsid w:val="00C15524"/>
    <w:rsid w:val="00C1559D"/>
    <w:rsid w:val="00C15615"/>
    <w:rsid w:val="00C15665"/>
    <w:rsid w:val="00C15715"/>
    <w:rsid w:val="00C1575F"/>
    <w:rsid w:val="00C15811"/>
    <w:rsid w:val="00C15967"/>
    <w:rsid w:val="00C159EB"/>
    <w:rsid w:val="00C15B1E"/>
    <w:rsid w:val="00C15C87"/>
    <w:rsid w:val="00C15CEF"/>
    <w:rsid w:val="00C15F9B"/>
    <w:rsid w:val="00C1608A"/>
    <w:rsid w:val="00C1613D"/>
    <w:rsid w:val="00C163EF"/>
    <w:rsid w:val="00C16458"/>
    <w:rsid w:val="00C16778"/>
    <w:rsid w:val="00C1683A"/>
    <w:rsid w:val="00C168DE"/>
    <w:rsid w:val="00C16A45"/>
    <w:rsid w:val="00C16A4C"/>
    <w:rsid w:val="00C16B03"/>
    <w:rsid w:val="00C16BCE"/>
    <w:rsid w:val="00C16BE1"/>
    <w:rsid w:val="00C16D6D"/>
    <w:rsid w:val="00C16FED"/>
    <w:rsid w:val="00C17016"/>
    <w:rsid w:val="00C17029"/>
    <w:rsid w:val="00C1712B"/>
    <w:rsid w:val="00C171E5"/>
    <w:rsid w:val="00C1734E"/>
    <w:rsid w:val="00C177A2"/>
    <w:rsid w:val="00C177EE"/>
    <w:rsid w:val="00C17E8F"/>
    <w:rsid w:val="00C20053"/>
    <w:rsid w:val="00C20263"/>
    <w:rsid w:val="00C2057F"/>
    <w:rsid w:val="00C2093F"/>
    <w:rsid w:val="00C20A32"/>
    <w:rsid w:val="00C20C90"/>
    <w:rsid w:val="00C21080"/>
    <w:rsid w:val="00C210F0"/>
    <w:rsid w:val="00C21144"/>
    <w:rsid w:val="00C21268"/>
    <w:rsid w:val="00C21AC8"/>
    <w:rsid w:val="00C21AE2"/>
    <w:rsid w:val="00C21C6C"/>
    <w:rsid w:val="00C21E69"/>
    <w:rsid w:val="00C21F42"/>
    <w:rsid w:val="00C222FB"/>
    <w:rsid w:val="00C2233B"/>
    <w:rsid w:val="00C2237E"/>
    <w:rsid w:val="00C224AE"/>
    <w:rsid w:val="00C2253C"/>
    <w:rsid w:val="00C22598"/>
    <w:rsid w:val="00C22657"/>
    <w:rsid w:val="00C228E5"/>
    <w:rsid w:val="00C22A49"/>
    <w:rsid w:val="00C22B1D"/>
    <w:rsid w:val="00C22B41"/>
    <w:rsid w:val="00C22CA9"/>
    <w:rsid w:val="00C22D5A"/>
    <w:rsid w:val="00C22DC3"/>
    <w:rsid w:val="00C22E14"/>
    <w:rsid w:val="00C22FB8"/>
    <w:rsid w:val="00C22FEE"/>
    <w:rsid w:val="00C2300E"/>
    <w:rsid w:val="00C23017"/>
    <w:rsid w:val="00C2317E"/>
    <w:rsid w:val="00C235FA"/>
    <w:rsid w:val="00C238B0"/>
    <w:rsid w:val="00C2399E"/>
    <w:rsid w:val="00C23A41"/>
    <w:rsid w:val="00C23A97"/>
    <w:rsid w:val="00C23B0E"/>
    <w:rsid w:val="00C23DC6"/>
    <w:rsid w:val="00C23E10"/>
    <w:rsid w:val="00C23F6C"/>
    <w:rsid w:val="00C23F9D"/>
    <w:rsid w:val="00C2411E"/>
    <w:rsid w:val="00C24141"/>
    <w:rsid w:val="00C24146"/>
    <w:rsid w:val="00C24171"/>
    <w:rsid w:val="00C24190"/>
    <w:rsid w:val="00C24214"/>
    <w:rsid w:val="00C2435A"/>
    <w:rsid w:val="00C24375"/>
    <w:rsid w:val="00C2447A"/>
    <w:rsid w:val="00C24511"/>
    <w:rsid w:val="00C2458C"/>
    <w:rsid w:val="00C24680"/>
    <w:rsid w:val="00C248A2"/>
    <w:rsid w:val="00C248DF"/>
    <w:rsid w:val="00C24A15"/>
    <w:rsid w:val="00C24A51"/>
    <w:rsid w:val="00C24AB2"/>
    <w:rsid w:val="00C24BCB"/>
    <w:rsid w:val="00C24C6F"/>
    <w:rsid w:val="00C24CFF"/>
    <w:rsid w:val="00C24D66"/>
    <w:rsid w:val="00C24D94"/>
    <w:rsid w:val="00C24E28"/>
    <w:rsid w:val="00C24E60"/>
    <w:rsid w:val="00C25057"/>
    <w:rsid w:val="00C25109"/>
    <w:rsid w:val="00C251E1"/>
    <w:rsid w:val="00C25255"/>
    <w:rsid w:val="00C25307"/>
    <w:rsid w:val="00C253DC"/>
    <w:rsid w:val="00C253E7"/>
    <w:rsid w:val="00C25841"/>
    <w:rsid w:val="00C25BD0"/>
    <w:rsid w:val="00C25CFC"/>
    <w:rsid w:val="00C25D48"/>
    <w:rsid w:val="00C25F58"/>
    <w:rsid w:val="00C260A1"/>
    <w:rsid w:val="00C2636A"/>
    <w:rsid w:val="00C263DF"/>
    <w:rsid w:val="00C26539"/>
    <w:rsid w:val="00C26561"/>
    <w:rsid w:val="00C268E4"/>
    <w:rsid w:val="00C26C1D"/>
    <w:rsid w:val="00C26CEE"/>
    <w:rsid w:val="00C26D36"/>
    <w:rsid w:val="00C26DCD"/>
    <w:rsid w:val="00C26F5B"/>
    <w:rsid w:val="00C27037"/>
    <w:rsid w:val="00C27066"/>
    <w:rsid w:val="00C2710E"/>
    <w:rsid w:val="00C271A4"/>
    <w:rsid w:val="00C27404"/>
    <w:rsid w:val="00C2740A"/>
    <w:rsid w:val="00C274CA"/>
    <w:rsid w:val="00C2759F"/>
    <w:rsid w:val="00C275AB"/>
    <w:rsid w:val="00C275F5"/>
    <w:rsid w:val="00C2764E"/>
    <w:rsid w:val="00C2776D"/>
    <w:rsid w:val="00C278F0"/>
    <w:rsid w:val="00C2790C"/>
    <w:rsid w:val="00C279E0"/>
    <w:rsid w:val="00C27AB6"/>
    <w:rsid w:val="00C27C3B"/>
    <w:rsid w:val="00C27EE8"/>
    <w:rsid w:val="00C30143"/>
    <w:rsid w:val="00C30306"/>
    <w:rsid w:val="00C303CA"/>
    <w:rsid w:val="00C30510"/>
    <w:rsid w:val="00C30580"/>
    <w:rsid w:val="00C305F3"/>
    <w:rsid w:val="00C306CE"/>
    <w:rsid w:val="00C3074B"/>
    <w:rsid w:val="00C3083A"/>
    <w:rsid w:val="00C30873"/>
    <w:rsid w:val="00C30957"/>
    <w:rsid w:val="00C30990"/>
    <w:rsid w:val="00C30BCD"/>
    <w:rsid w:val="00C30BD7"/>
    <w:rsid w:val="00C30EA5"/>
    <w:rsid w:val="00C30F70"/>
    <w:rsid w:val="00C31022"/>
    <w:rsid w:val="00C3104A"/>
    <w:rsid w:val="00C3104D"/>
    <w:rsid w:val="00C31051"/>
    <w:rsid w:val="00C311DE"/>
    <w:rsid w:val="00C31224"/>
    <w:rsid w:val="00C31514"/>
    <w:rsid w:val="00C31602"/>
    <w:rsid w:val="00C3160D"/>
    <w:rsid w:val="00C316BD"/>
    <w:rsid w:val="00C317CA"/>
    <w:rsid w:val="00C31834"/>
    <w:rsid w:val="00C31937"/>
    <w:rsid w:val="00C319F9"/>
    <w:rsid w:val="00C31BB0"/>
    <w:rsid w:val="00C31DAF"/>
    <w:rsid w:val="00C31DDD"/>
    <w:rsid w:val="00C31FE1"/>
    <w:rsid w:val="00C32018"/>
    <w:rsid w:val="00C3228A"/>
    <w:rsid w:val="00C32342"/>
    <w:rsid w:val="00C324E9"/>
    <w:rsid w:val="00C325AC"/>
    <w:rsid w:val="00C325E6"/>
    <w:rsid w:val="00C32707"/>
    <w:rsid w:val="00C32715"/>
    <w:rsid w:val="00C32744"/>
    <w:rsid w:val="00C3274E"/>
    <w:rsid w:val="00C32836"/>
    <w:rsid w:val="00C3288B"/>
    <w:rsid w:val="00C328A7"/>
    <w:rsid w:val="00C32A82"/>
    <w:rsid w:val="00C32DEF"/>
    <w:rsid w:val="00C32E9A"/>
    <w:rsid w:val="00C32EDE"/>
    <w:rsid w:val="00C32F7E"/>
    <w:rsid w:val="00C33061"/>
    <w:rsid w:val="00C331BF"/>
    <w:rsid w:val="00C331E2"/>
    <w:rsid w:val="00C332E4"/>
    <w:rsid w:val="00C33394"/>
    <w:rsid w:val="00C333B3"/>
    <w:rsid w:val="00C333EA"/>
    <w:rsid w:val="00C335FE"/>
    <w:rsid w:val="00C3367D"/>
    <w:rsid w:val="00C33776"/>
    <w:rsid w:val="00C337F5"/>
    <w:rsid w:val="00C3382B"/>
    <w:rsid w:val="00C33A56"/>
    <w:rsid w:val="00C33DAE"/>
    <w:rsid w:val="00C3401C"/>
    <w:rsid w:val="00C3402B"/>
    <w:rsid w:val="00C342E2"/>
    <w:rsid w:val="00C344B1"/>
    <w:rsid w:val="00C34540"/>
    <w:rsid w:val="00C34600"/>
    <w:rsid w:val="00C34A3E"/>
    <w:rsid w:val="00C34C79"/>
    <w:rsid w:val="00C34F45"/>
    <w:rsid w:val="00C350A6"/>
    <w:rsid w:val="00C3511D"/>
    <w:rsid w:val="00C3514A"/>
    <w:rsid w:val="00C351A6"/>
    <w:rsid w:val="00C353D1"/>
    <w:rsid w:val="00C35607"/>
    <w:rsid w:val="00C35649"/>
    <w:rsid w:val="00C35877"/>
    <w:rsid w:val="00C35CA2"/>
    <w:rsid w:val="00C35CFF"/>
    <w:rsid w:val="00C35D4E"/>
    <w:rsid w:val="00C35D8E"/>
    <w:rsid w:val="00C35E01"/>
    <w:rsid w:val="00C35E20"/>
    <w:rsid w:val="00C35EEA"/>
    <w:rsid w:val="00C35FDA"/>
    <w:rsid w:val="00C3605B"/>
    <w:rsid w:val="00C3614C"/>
    <w:rsid w:val="00C36215"/>
    <w:rsid w:val="00C362D4"/>
    <w:rsid w:val="00C364CB"/>
    <w:rsid w:val="00C3661B"/>
    <w:rsid w:val="00C36646"/>
    <w:rsid w:val="00C366C8"/>
    <w:rsid w:val="00C36854"/>
    <w:rsid w:val="00C36990"/>
    <w:rsid w:val="00C36B89"/>
    <w:rsid w:val="00C36C82"/>
    <w:rsid w:val="00C36D22"/>
    <w:rsid w:val="00C36D84"/>
    <w:rsid w:val="00C36FF9"/>
    <w:rsid w:val="00C37135"/>
    <w:rsid w:val="00C371DA"/>
    <w:rsid w:val="00C371EA"/>
    <w:rsid w:val="00C3725D"/>
    <w:rsid w:val="00C37401"/>
    <w:rsid w:val="00C3746C"/>
    <w:rsid w:val="00C37479"/>
    <w:rsid w:val="00C37550"/>
    <w:rsid w:val="00C37581"/>
    <w:rsid w:val="00C3785F"/>
    <w:rsid w:val="00C379B5"/>
    <w:rsid w:val="00C37F80"/>
    <w:rsid w:val="00C4025D"/>
    <w:rsid w:val="00C402CD"/>
    <w:rsid w:val="00C40315"/>
    <w:rsid w:val="00C4047A"/>
    <w:rsid w:val="00C4066F"/>
    <w:rsid w:val="00C408BD"/>
    <w:rsid w:val="00C40A9F"/>
    <w:rsid w:val="00C40B43"/>
    <w:rsid w:val="00C40C3F"/>
    <w:rsid w:val="00C40C4D"/>
    <w:rsid w:val="00C40C74"/>
    <w:rsid w:val="00C40CB1"/>
    <w:rsid w:val="00C40DB4"/>
    <w:rsid w:val="00C40E55"/>
    <w:rsid w:val="00C40F2B"/>
    <w:rsid w:val="00C41111"/>
    <w:rsid w:val="00C411CD"/>
    <w:rsid w:val="00C413A9"/>
    <w:rsid w:val="00C4147D"/>
    <w:rsid w:val="00C415C6"/>
    <w:rsid w:val="00C41726"/>
    <w:rsid w:val="00C41737"/>
    <w:rsid w:val="00C418AD"/>
    <w:rsid w:val="00C41A4B"/>
    <w:rsid w:val="00C41CF2"/>
    <w:rsid w:val="00C41D33"/>
    <w:rsid w:val="00C41FC1"/>
    <w:rsid w:val="00C41FF5"/>
    <w:rsid w:val="00C421DA"/>
    <w:rsid w:val="00C421FF"/>
    <w:rsid w:val="00C422EB"/>
    <w:rsid w:val="00C42313"/>
    <w:rsid w:val="00C423BD"/>
    <w:rsid w:val="00C42582"/>
    <w:rsid w:val="00C425A0"/>
    <w:rsid w:val="00C42745"/>
    <w:rsid w:val="00C4277D"/>
    <w:rsid w:val="00C4281A"/>
    <w:rsid w:val="00C4281C"/>
    <w:rsid w:val="00C42938"/>
    <w:rsid w:val="00C42A80"/>
    <w:rsid w:val="00C42B90"/>
    <w:rsid w:val="00C42BB2"/>
    <w:rsid w:val="00C42DD4"/>
    <w:rsid w:val="00C42F98"/>
    <w:rsid w:val="00C4314E"/>
    <w:rsid w:val="00C431FD"/>
    <w:rsid w:val="00C4353D"/>
    <w:rsid w:val="00C435CC"/>
    <w:rsid w:val="00C4388C"/>
    <w:rsid w:val="00C438DF"/>
    <w:rsid w:val="00C43AF7"/>
    <w:rsid w:val="00C43DEE"/>
    <w:rsid w:val="00C43E45"/>
    <w:rsid w:val="00C43F32"/>
    <w:rsid w:val="00C43FEF"/>
    <w:rsid w:val="00C4443A"/>
    <w:rsid w:val="00C444E1"/>
    <w:rsid w:val="00C444FD"/>
    <w:rsid w:val="00C44885"/>
    <w:rsid w:val="00C44B04"/>
    <w:rsid w:val="00C44C8A"/>
    <w:rsid w:val="00C44E63"/>
    <w:rsid w:val="00C4501F"/>
    <w:rsid w:val="00C451E9"/>
    <w:rsid w:val="00C453CA"/>
    <w:rsid w:val="00C454DB"/>
    <w:rsid w:val="00C45759"/>
    <w:rsid w:val="00C45974"/>
    <w:rsid w:val="00C45DD3"/>
    <w:rsid w:val="00C46093"/>
    <w:rsid w:val="00C4627A"/>
    <w:rsid w:val="00C462C4"/>
    <w:rsid w:val="00C46348"/>
    <w:rsid w:val="00C46370"/>
    <w:rsid w:val="00C46548"/>
    <w:rsid w:val="00C465AC"/>
    <w:rsid w:val="00C46668"/>
    <w:rsid w:val="00C46827"/>
    <w:rsid w:val="00C468C1"/>
    <w:rsid w:val="00C46A41"/>
    <w:rsid w:val="00C46A48"/>
    <w:rsid w:val="00C46AD7"/>
    <w:rsid w:val="00C46B81"/>
    <w:rsid w:val="00C46C1E"/>
    <w:rsid w:val="00C46CDD"/>
    <w:rsid w:val="00C46F75"/>
    <w:rsid w:val="00C46F9F"/>
    <w:rsid w:val="00C4714E"/>
    <w:rsid w:val="00C4749B"/>
    <w:rsid w:val="00C474E8"/>
    <w:rsid w:val="00C47624"/>
    <w:rsid w:val="00C477AF"/>
    <w:rsid w:val="00C47849"/>
    <w:rsid w:val="00C4786C"/>
    <w:rsid w:val="00C4788F"/>
    <w:rsid w:val="00C47A32"/>
    <w:rsid w:val="00C47AC7"/>
    <w:rsid w:val="00C47BC9"/>
    <w:rsid w:val="00C47C38"/>
    <w:rsid w:val="00C47D5B"/>
    <w:rsid w:val="00C47DE1"/>
    <w:rsid w:val="00C47F98"/>
    <w:rsid w:val="00C47FD4"/>
    <w:rsid w:val="00C50162"/>
    <w:rsid w:val="00C501EB"/>
    <w:rsid w:val="00C50231"/>
    <w:rsid w:val="00C5039D"/>
    <w:rsid w:val="00C5052F"/>
    <w:rsid w:val="00C50549"/>
    <w:rsid w:val="00C505E4"/>
    <w:rsid w:val="00C50629"/>
    <w:rsid w:val="00C50655"/>
    <w:rsid w:val="00C507BC"/>
    <w:rsid w:val="00C5087B"/>
    <w:rsid w:val="00C50B1F"/>
    <w:rsid w:val="00C50B60"/>
    <w:rsid w:val="00C50C01"/>
    <w:rsid w:val="00C50D20"/>
    <w:rsid w:val="00C50E04"/>
    <w:rsid w:val="00C50F9B"/>
    <w:rsid w:val="00C5134F"/>
    <w:rsid w:val="00C513BC"/>
    <w:rsid w:val="00C514E6"/>
    <w:rsid w:val="00C51569"/>
    <w:rsid w:val="00C5172D"/>
    <w:rsid w:val="00C5187B"/>
    <w:rsid w:val="00C518DD"/>
    <w:rsid w:val="00C5193D"/>
    <w:rsid w:val="00C51A06"/>
    <w:rsid w:val="00C51A10"/>
    <w:rsid w:val="00C51B9E"/>
    <w:rsid w:val="00C51C94"/>
    <w:rsid w:val="00C51F9C"/>
    <w:rsid w:val="00C51FE7"/>
    <w:rsid w:val="00C52181"/>
    <w:rsid w:val="00C5218D"/>
    <w:rsid w:val="00C521C5"/>
    <w:rsid w:val="00C5256A"/>
    <w:rsid w:val="00C525B1"/>
    <w:rsid w:val="00C52613"/>
    <w:rsid w:val="00C52CFE"/>
    <w:rsid w:val="00C52E43"/>
    <w:rsid w:val="00C52F5B"/>
    <w:rsid w:val="00C530FB"/>
    <w:rsid w:val="00C53122"/>
    <w:rsid w:val="00C531D2"/>
    <w:rsid w:val="00C532D4"/>
    <w:rsid w:val="00C53397"/>
    <w:rsid w:val="00C534DB"/>
    <w:rsid w:val="00C53632"/>
    <w:rsid w:val="00C53876"/>
    <w:rsid w:val="00C539F0"/>
    <w:rsid w:val="00C53C19"/>
    <w:rsid w:val="00C53C72"/>
    <w:rsid w:val="00C53D4A"/>
    <w:rsid w:val="00C53D63"/>
    <w:rsid w:val="00C53E6D"/>
    <w:rsid w:val="00C53EE0"/>
    <w:rsid w:val="00C53F71"/>
    <w:rsid w:val="00C53FE0"/>
    <w:rsid w:val="00C54049"/>
    <w:rsid w:val="00C5421E"/>
    <w:rsid w:val="00C54786"/>
    <w:rsid w:val="00C547CD"/>
    <w:rsid w:val="00C5492B"/>
    <w:rsid w:val="00C54B18"/>
    <w:rsid w:val="00C54CAB"/>
    <w:rsid w:val="00C54CB1"/>
    <w:rsid w:val="00C54E7A"/>
    <w:rsid w:val="00C54F02"/>
    <w:rsid w:val="00C5522C"/>
    <w:rsid w:val="00C55476"/>
    <w:rsid w:val="00C5555C"/>
    <w:rsid w:val="00C557F6"/>
    <w:rsid w:val="00C558EC"/>
    <w:rsid w:val="00C5590C"/>
    <w:rsid w:val="00C559E2"/>
    <w:rsid w:val="00C55AF2"/>
    <w:rsid w:val="00C55C8D"/>
    <w:rsid w:val="00C55D82"/>
    <w:rsid w:val="00C56040"/>
    <w:rsid w:val="00C560CA"/>
    <w:rsid w:val="00C566C5"/>
    <w:rsid w:val="00C566CB"/>
    <w:rsid w:val="00C56805"/>
    <w:rsid w:val="00C56894"/>
    <w:rsid w:val="00C5693F"/>
    <w:rsid w:val="00C56A59"/>
    <w:rsid w:val="00C56AFC"/>
    <w:rsid w:val="00C56B8F"/>
    <w:rsid w:val="00C56EDE"/>
    <w:rsid w:val="00C57092"/>
    <w:rsid w:val="00C571F5"/>
    <w:rsid w:val="00C57319"/>
    <w:rsid w:val="00C574DA"/>
    <w:rsid w:val="00C5753F"/>
    <w:rsid w:val="00C57680"/>
    <w:rsid w:val="00C576E6"/>
    <w:rsid w:val="00C577AA"/>
    <w:rsid w:val="00C5783D"/>
    <w:rsid w:val="00C578CF"/>
    <w:rsid w:val="00C578D1"/>
    <w:rsid w:val="00C57926"/>
    <w:rsid w:val="00C57C20"/>
    <w:rsid w:val="00C57C3D"/>
    <w:rsid w:val="00C57DB4"/>
    <w:rsid w:val="00C57F37"/>
    <w:rsid w:val="00C57F76"/>
    <w:rsid w:val="00C57FE0"/>
    <w:rsid w:val="00C602A4"/>
    <w:rsid w:val="00C604B7"/>
    <w:rsid w:val="00C604CC"/>
    <w:rsid w:val="00C6065B"/>
    <w:rsid w:val="00C6069A"/>
    <w:rsid w:val="00C606B4"/>
    <w:rsid w:val="00C60708"/>
    <w:rsid w:val="00C6071D"/>
    <w:rsid w:val="00C609C1"/>
    <w:rsid w:val="00C60A03"/>
    <w:rsid w:val="00C60AA2"/>
    <w:rsid w:val="00C60E58"/>
    <w:rsid w:val="00C60EFC"/>
    <w:rsid w:val="00C60F5E"/>
    <w:rsid w:val="00C60FBA"/>
    <w:rsid w:val="00C612D3"/>
    <w:rsid w:val="00C612F4"/>
    <w:rsid w:val="00C61312"/>
    <w:rsid w:val="00C61388"/>
    <w:rsid w:val="00C61418"/>
    <w:rsid w:val="00C61661"/>
    <w:rsid w:val="00C616C9"/>
    <w:rsid w:val="00C61855"/>
    <w:rsid w:val="00C618C9"/>
    <w:rsid w:val="00C618CF"/>
    <w:rsid w:val="00C61991"/>
    <w:rsid w:val="00C619E6"/>
    <w:rsid w:val="00C61B0A"/>
    <w:rsid w:val="00C61B24"/>
    <w:rsid w:val="00C61D06"/>
    <w:rsid w:val="00C61E5B"/>
    <w:rsid w:val="00C61F58"/>
    <w:rsid w:val="00C61F7E"/>
    <w:rsid w:val="00C61FCE"/>
    <w:rsid w:val="00C620CE"/>
    <w:rsid w:val="00C621D5"/>
    <w:rsid w:val="00C62396"/>
    <w:rsid w:val="00C624A1"/>
    <w:rsid w:val="00C6256E"/>
    <w:rsid w:val="00C625E9"/>
    <w:rsid w:val="00C626A7"/>
    <w:rsid w:val="00C627AF"/>
    <w:rsid w:val="00C6284E"/>
    <w:rsid w:val="00C62860"/>
    <w:rsid w:val="00C628DC"/>
    <w:rsid w:val="00C628E4"/>
    <w:rsid w:val="00C62A32"/>
    <w:rsid w:val="00C62AF7"/>
    <w:rsid w:val="00C62B76"/>
    <w:rsid w:val="00C62B9A"/>
    <w:rsid w:val="00C62C1E"/>
    <w:rsid w:val="00C62E2E"/>
    <w:rsid w:val="00C62EFA"/>
    <w:rsid w:val="00C63035"/>
    <w:rsid w:val="00C63038"/>
    <w:rsid w:val="00C63419"/>
    <w:rsid w:val="00C63573"/>
    <w:rsid w:val="00C636DC"/>
    <w:rsid w:val="00C638AE"/>
    <w:rsid w:val="00C6391F"/>
    <w:rsid w:val="00C63960"/>
    <w:rsid w:val="00C63BEE"/>
    <w:rsid w:val="00C63C6A"/>
    <w:rsid w:val="00C63DF7"/>
    <w:rsid w:val="00C63E57"/>
    <w:rsid w:val="00C63E8B"/>
    <w:rsid w:val="00C63EBC"/>
    <w:rsid w:val="00C63EF7"/>
    <w:rsid w:val="00C63F3F"/>
    <w:rsid w:val="00C64045"/>
    <w:rsid w:val="00C641AF"/>
    <w:rsid w:val="00C6425B"/>
    <w:rsid w:val="00C6448E"/>
    <w:rsid w:val="00C6458C"/>
    <w:rsid w:val="00C64692"/>
    <w:rsid w:val="00C64827"/>
    <w:rsid w:val="00C64900"/>
    <w:rsid w:val="00C64D15"/>
    <w:rsid w:val="00C64D1F"/>
    <w:rsid w:val="00C64F60"/>
    <w:rsid w:val="00C64F6F"/>
    <w:rsid w:val="00C65029"/>
    <w:rsid w:val="00C65057"/>
    <w:rsid w:val="00C65157"/>
    <w:rsid w:val="00C65206"/>
    <w:rsid w:val="00C65659"/>
    <w:rsid w:val="00C656B0"/>
    <w:rsid w:val="00C6573A"/>
    <w:rsid w:val="00C6579D"/>
    <w:rsid w:val="00C658B3"/>
    <w:rsid w:val="00C658EF"/>
    <w:rsid w:val="00C65A10"/>
    <w:rsid w:val="00C65CD4"/>
    <w:rsid w:val="00C65D4E"/>
    <w:rsid w:val="00C65E0B"/>
    <w:rsid w:val="00C65F1C"/>
    <w:rsid w:val="00C66054"/>
    <w:rsid w:val="00C661A4"/>
    <w:rsid w:val="00C6632E"/>
    <w:rsid w:val="00C665B6"/>
    <w:rsid w:val="00C665BC"/>
    <w:rsid w:val="00C66793"/>
    <w:rsid w:val="00C667D7"/>
    <w:rsid w:val="00C667DE"/>
    <w:rsid w:val="00C669CC"/>
    <w:rsid w:val="00C66AC6"/>
    <w:rsid w:val="00C66B0C"/>
    <w:rsid w:val="00C66BCC"/>
    <w:rsid w:val="00C66C0E"/>
    <w:rsid w:val="00C66EF6"/>
    <w:rsid w:val="00C66FF4"/>
    <w:rsid w:val="00C6728B"/>
    <w:rsid w:val="00C6764F"/>
    <w:rsid w:val="00C67AA7"/>
    <w:rsid w:val="00C67AEF"/>
    <w:rsid w:val="00C67BDD"/>
    <w:rsid w:val="00C67C8C"/>
    <w:rsid w:val="00C67D8D"/>
    <w:rsid w:val="00C67E50"/>
    <w:rsid w:val="00C7010E"/>
    <w:rsid w:val="00C7032E"/>
    <w:rsid w:val="00C70399"/>
    <w:rsid w:val="00C70400"/>
    <w:rsid w:val="00C7045A"/>
    <w:rsid w:val="00C70646"/>
    <w:rsid w:val="00C70762"/>
    <w:rsid w:val="00C70763"/>
    <w:rsid w:val="00C7085D"/>
    <w:rsid w:val="00C70991"/>
    <w:rsid w:val="00C70DBC"/>
    <w:rsid w:val="00C70E90"/>
    <w:rsid w:val="00C70EA6"/>
    <w:rsid w:val="00C70EE1"/>
    <w:rsid w:val="00C70F3F"/>
    <w:rsid w:val="00C7102D"/>
    <w:rsid w:val="00C71196"/>
    <w:rsid w:val="00C71378"/>
    <w:rsid w:val="00C7144E"/>
    <w:rsid w:val="00C714D8"/>
    <w:rsid w:val="00C71579"/>
    <w:rsid w:val="00C715C5"/>
    <w:rsid w:val="00C7179F"/>
    <w:rsid w:val="00C7183D"/>
    <w:rsid w:val="00C71846"/>
    <w:rsid w:val="00C71893"/>
    <w:rsid w:val="00C71A9A"/>
    <w:rsid w:val="00C71AA1"/>
    <w:rsid w:val="00C71AE8"/>
    <w:rsid w:val="00C71C10"/>
    <w:rsid w:val="00C71C81"/>
    <w:rsid w:val="00C7212B"/>
    <w:rsid w:val="00C7231D"/>
    <w:rsid w:val="00C72511"/>
    <w:rsid w:val="00C72568"/>
    <w:rsid w:val="00C72575"/>
    <w:rsid w:val="00C72609"/>
    <w:rsid w:val="00C7263C"/>
    <w:rsid w:val="00C72720"/>
    <w:rsid w:val="00C72859"/>
    <w:rsid w:val="00C72946"/>
    <w:rsid w:val="00C72979"/>
    <w:rsid w:val="00C7299F"/>
    <w:rsid w:val="00C72C9D"/>
    <w:rsid w:val="00C72CA8"/>
    <w:rsid w:val="00C72CAD"/>
    <w:rsid w:val="00C72CEA"/>
    <w:rsid w:val="00C72E9E"/>
    <w:rsid w:val="00C72F48"/>
    <w:rsid w:val="00C73066"/>
    <w:rsid w:val="00C73070"/>
    <w:rsid w:val="00C730B4"/>
    <w:rsid w:val="00C73220"/>
    <w:rsid w:val="00C732C1"/>
    <w:rsid w:val="00C73532"/>
    <w:rsid w:val="00C736C3"/>
    <w:rsid w:val="00C73778"/>
    <w:rsid w:val="00C73961"/>
    <w:rsid w:val="00C73976"/>
    <w:rsid w:val="00C739B1"/>
    <w:rsid w:val="00C73A8A"/>
    <w:rsid w:val="00C73AB5"/>
    <w:rsid w:val="00C73BCE"/>
    <w:rsid w:val="00C73CC3"/>
    <w:rsid w:val="00C73F52"/>
    <w:rsid w:val="00C73FB6"/>
    <w:rsid w:val="00C73FCD"/>
    <w:rsid w:val="00C741AF"/>
    <w:rsid w:val="00C742E5"/>
    <w:rsid w:val="00C74302"/>
    <w:rsid w:val="00C74413"/>
    <w:rsid w:val="00C74486"/>
    <w:rsid w:val="00C74548"/>
    <w:rsid w:val="00C74674"/>
    <w:rsid w:val="00C746B7"/>
    <w:rsid w:val="00C74B6F"/>
    <w:rsid w:val="00C74B88"/>
    <w:rsid w:val="00C74DC2"/>
    <w:rsid w:val="00C74DF3"/>
    <w:rsid w:val="00C7507F"/>
    <w:rsid w:val="00C7508E"/>
    <w:rsid w:val="00C755DD"/>
    <w:rsid w:val="00C755F9"/>
    <w:rsid w:val="00C7564D"/>
    <w:rsid w:val="00C757B5"/>
    <w:rsid w:val="00C75AD8"/>
    <w:rsid w:val="00C75CBA"/>
    <w:rsid w:val="00C75E8B"/>
    <w:rsid w:val="00C76078"/>
    <w:rsid w:val="00C76223"/>
    <w:rsid w:val="00C762F2"/>
    <w:rsid w:val="00C763EB"/>
    <w:rsid w:val="00C764B2"/>
    <w:rsid w:val="00C764D9"/>
    <w:rsid w:val="00C764FC"/>
    <w:rsid w:val="00C76716"/>
    <w:rsid w:val="00C76783"/>
    <w:rsid w:val="00C76919"/>
    <w:rsid w:val="00C7696A"/>
    <w:rsid w:val="00C7699E"/>
    <w:rsid w:val="00C76A1B"/>
    <w:rsid w:val="00C76A2E"/>
    <w:rsid w:val="00C76C5D"/>
    <w:rsid w:val="00C76D43"/>
    <w:rsid w:val="00C76D53"/>
    <w:rsid w:val="00C76E0B"/>
    <w:rsid w:val="00C77159"/>
    <w:rsid w:val="00C771AE"/>
    <w:rsid w:val="00C77223"/>
    <w:rsid w:val="00C772CD"/>
    <w:rsid w:val="00C7746E"/>
    <w:rsid w:val="00C77548"/>
    <w:rsid w:val="00C7765C"/>
    <w:rsid w:val="00C778FF"/>
    <w:rsid w:val="00C77A2C"/>
    <w:rsid w:val="00C77C76"/>
    <w:rsid w:val="00C77D6D"/>
    <w:rsid w:val="00C77E26"/>
    <w:rsid w:val="00C77F66"/>
    <w:rsid w:val="00C8009C"/>
    <w:rsid w:val="00C800F1"/>
    <w:rsid w:val="00C8023B"/>
    <w:rsid w:val="00C802FA"/>
    <w:rsid w:val="00C803A6"/>
    <w:rsid w:val="00C808D5"/>
    <w:rsid w:val="00C80989"/>
    <w:rsid w:val="00C80AB9"/>
    <w:rsid w:val="00C80ADA"/>
    <w:rsid w:val="00C80E15"/>
    <w:rsid w:val="00C810BB"/>
    <w:rsid w:val="00C81402"/>
    <w:rsid w:val="00C81426"/>
    <w:rsid w:val="00C81432"/>
    <w:rsid w:val="00C81699"/>
    <w:rsid w:val="00C817E6"/>
    <w:rsid w:val="00C8185D"/>
    <w:rsid w:val="00C818D8"/>
    <w:rsid w:val="00C819AB"/>
    <w:rsid w:val="00C81A43"/>
    <w:rsid w:val="00C81AE2"/>
    <w:rsid w:val="00C81B3E"/>
    <w:rsid w:val="00C81BDF"/>
    <w:rsid w:val="00C81CE6"/>
    <w:rsid w:val="00C81D9E"/>
    <w:rsid w:val="00C81E2F"/>
    <w:rsid w:val="00C822BA"/>
    <w:rsid w:val="00C82338"/>
    <w:rsid w:val="00C82388"/>
    <w:rsid w:val="00C823AD"/>
    <w:rsid w:val="00C82684"/>
    <w:rsid w:val="00C826F3"/>
    <w:rsid w:val="00C82772"/>
    <w:rsid w:val="00C82C9E"/>
    <w:rsid w:val="00C82CEB"/>
    <w:rsid w:val="00C82D4D"/>
    <w:rsid w:val="00C82F51"/>
    <w:rsid w:val="00C83198"/>
    <w:rsid w:val="00C8324E"/>
    <w:rsid w:val="00C83362"/>
    <w:rsid w:val="00C835B4"/>
    <w:rsid w:val="00C835BB"/>
    <w:rsid w:val="00C836DF"/>
    <w:rsid w:val="00C83846"/>
    <w:rsid w:val="00C8390B"/>
    <w:rsid w:val="00C83A00"/>
    <w:rsid w:val="00C83ABE"/>
    <w:rsid w:val="00C83ACD"/>
    <w:rsid w:val="00C83BF8"/>
    <w:rsid w:val="00C83F58"/>
    <w:rsid w:val="00C84079"/>
    <w:rsid w:val="00C841EF"/>
    <w:rsid w:val="00C8426A"/>
    <w:rsid w:val="00C84274"/>
    <w:rsid w:val="00C8430A"/>
    <w:rsid w:val="00C8436C"/>
    <w:rsid w:val="00C84571"/>
    <w:rsid w:val="00C846BB"/>
    <w:rsid w:val="00C8476D"/>
    <w:rsid w:val="00C84C6F"/>
    <w:rsid w:val="00C84C8F"/>
    <w:rsid w:val="00C84CEE"/>
    <w:rsid w:val="00C84DEA"/>
    <w:rsid w:val="00C84E73"/>
    <w:rsid w:val="00C85015"/>
    <w:rsid w:val="00C8510C"/>
    <w:rsid w:val="00C85384"/>
    <w:rsid w:val="00C853ED"/>
    <w:rsid w:val="00C854E8"/>
    <w:rsid w:val="00C85557"/>
    <w:rsid w:val="00C8555E"/>
    <w:rsid w:val="00C855F8"/>
    <w:rsid w:val="00C85764"/>
    <w:rsid w:val="00C859D3"/>
    <w:rsid w:val="00C85AFC"/>
    <w:rsid w:val="00C85B89"/>
    <w:rsid w:val="00C8612C"/>
    <w:rsid w:val="00C863F2"/>
    <w:rsid w:val="00C8654D"/>
    <w:rsid w:val="00C865F6"/>
    <w:rsid w:val="00C86755"/>
    <w:rsid w:val="00C86778"/>
    <w:rsid w:val="00C86830"/>
    <w:rsid w:val="00C868BD"/>
    <w:rsid w:val="00C868DC"/>
    <w:rsid w:val="00C86CC5"/>
    <w:rsid w:val="00C86CDF"/>
    <w:rsid w:val="00C86CF1"/>
    <w:rsid w:val="00C86D5D"/>
    <w:rsid w:val="00C86DA0"/>
    <w:rsid w:val="00C86E61"/>
    <w:rsid w:val="00C86F2C"/>
    <w:rsid w:val="00C86F30"/>
    <w:rsid w:val="00C87010"/>
    <w:rsid w:val="00C87152"/>
    <w:rsid w:val="00C871FC"/>
    <w:rsid w:val="00C872B6"/>
    <w:rsid w:val="00C8775F"/>
    <w:rsid w:val="00C878E6"/>
    <w:rsid w:val="00C87952"/>
    <w:rsid w:val="00C87B57"/>
    <w:rsid w:val="00C87B83"/>
    <w:rsid w:val="00C87BA0"/>
    <w:rsid w:val="00C87C17"/>
    <w:rsid w:val="00C87CDD"/>
    <w:rsid w:val="00C87CFC"/>
    <w:rsid w:val="00C87DAE"/>
    <w:rsid w:val="00C87DF6"/>
    <w:rsid w:val="00C87E3B"/>
    <w:rsid w:val="00C87ED4"/>
    <w:rsid w:val="00C87FCC"/>
    <w:rsid w:val="00C90076"/>
    <w:rsid w:val="00C903EF"/>
    <w:rsid w:val="00C904E7"/>
    <w:rsid w:val="00C9068D"/>
    <w:rsid w:val="00C90774"/>
    <w:rsid w:val="00C9077F"/>
    <w:rsid w:val="00C908C1"/>
    <w:rsid w:val="00C90984"/>
    <w:rsid w:val="00C909CE"/>
    <w:rsid w:val="00C90C4E"/>
    <w:rsid w:val="00C90CF6"/>
    <w:rsid w:val="00C90E3A"/>
    <w:rsid w:val="00C90EB9"/>
    <w:rsid w:val="00C9134D"/>
    <w:rsid w:val="00C915B7"/>
    <w:rsid w:val="00C9160C"/>
    <w:rsid w:val="00C916C6"/>
    <w:rsid w:val="00C916CD"/>
    <w:rsid w:val="00C9185E"/>
    <w:rsid w:val="00C91866"/>
    <w:rsid w:val="00C91BFA"/>
    <w:rsid w:val="00C920AC"/>
    <w:rsid w:val="00C922C8"/>
    <w:rsid w:val="00C923D3"/>
    <w:rsid w:val="00C92455"/>
    <w:rsid w:val="00C92457"/>
    <w:rsid w:val="00C924CC"/>
    <w:rsid w:val="00C92662"/>
    <w:rsid w:val="00C9266C"/>
    <w:rsid w:val="00C927B0"/>
    <w:rsid w:val="00C928E0"/>
    <w:rsid w:val="00C92947"/>
    <w:rsid w:val="00C92BA2"/>
    <w:rsid w:val="00C92BE7"/>
    <w:rsid w:val="00C92D66"/>
    <w:rsid w:val="00C92EDD"/>
    <w:rsid w:val="00C92F6A"/>
    <w:rsid w:val="00C930A9"/>
    <w:rsid w:val="00C9310A"/>
    <w:rsid w:val="00C9311B"/>
    <w:rsid w:val="00C9320A"/>
    <w:rsid w:val="00C933C8"/>
    <w:rsid w:val="00C93455"/>
    <w:rsid w:val="00C93474"/>
    <w:rsid w:val="00C93526"/>
    <w:rsid w:val="00C935E6"/>
    <w:rsid w:val="00C9364D"/>
    <w:rsid w:val="00C93653"/>
    <w:rsid w:val="00C93659"/>
    <w:rsid w:val="00C93711"/>
    <w:rsid w:val="00C938D6"/>
    <w:rsid w:val="00C93C46"/>
    <w:rsid w:val="00C93D2A"/>
    <w:rsid w:val="00C93D4F"/>
    <w:rsid w:val="00C93D5D"/>
    <w:rsid w:val="00C93DCC"/>
    <w:rsid w:val="00C93E64"/>
    <w:rsid w:val="00C93F55"/>
    <w:rsid w:val="00C94158"/>
    <w:rsid w:val="00C94237"/>
    <w:rsid w:val="00C9433D"/>
    <w:rsid w:val="00C94448"/>
    <w:rsid w:val="00C94566"/>
    <w:rsid w:val="00C945F6"/>
    <w:rsid w:val="00C9468F"/>
    <w:rsid w:val="00C94865"/>
    <w:rsid w:val="00C94D82"/>
    <w:rsid w:val="00C94E3A"/>
    <w:rsid w:val="00C94E7F"/>
    <w:rsid w:val="00C95374"/>
    <w:rsid w:val="00C95393"/>
    <w:rsid w:val="00C954F6"/>
    <w:rsid w:val="00C9550D"/>
    <w:rsid w:val="00C956B0"/>
    <w:rsid w:val="00C956FC"/>
    <w:rsid w:val="00C95ADE"/>
    <w:rsid w:val="00C95AF8"/>
    <w:rsid w:val="00C95C89"/>
    <w:rsid w:val="00C95E40"/>
    <w:rsid w:val="00C95E7F"/>
    <w:rsid w:val="00C95EE3"/>
    <w:rsid w:val="00C95F5A"/>
    <w:rsid w:val="00C95F68"/>
    <w:rsid w:val="00C960CD"/>
    <w:rsid w:val="00C96275"/>
    <w:rsid w:val="00C964B0"/>
    <w:rsid w:val="00C964B6"/>
    <w:rsid w:val="00C9667E"/>
    <w:rsid w:val="00C966D9"/>
    <w:rsid w:val="00C9691C"/>
    <w:rsid w:val="00C96C41"/>
    <w:rsid w:val="00C96D03"/>
    <w:rsid w:val="00C96D43"/>
    <w:rsid w:val="00C96D54"/>
    <w:rsid w:val="00C96F43"/>
    <w:rsid w:val="00C96FA0"/>
    <w:rsid w:val="00C97025"/>
    <w:rsid w:val="00C97182"/>
    <w:rsid w:val="00C971FE"/>
    <w:rsid w:val="00C9734E"/>
    <w:rsid w:val="00C973C4"/>
    <w:rsid w:val="00C974EB"/>
    <w:rsid w:val="00C97890"/>
    <w:rsid w:val="00C97906"/>
    <w:rsid w:val="00C97B40"/>
    <w:rsid w:val="00C97B93"/>
    <w:rsid w:val="00C97C6B"/>
    <w:rsid w:val="00C97C89"/>
    <w:rsid w:val="00C97F95"/>
    <w:rsid w:val="00CA00A0"/>
    <w:rsid w:val="00CA00D3"/>
    <w:rsid w:val="00CA01A8"/>
    <w:rsid w:val="00CA01C7"/>
    <w:rsid w:val="00CA0387"/>
    <w:rsid w:val="00CA0406"/>
    <w:rsid w:val="00CA0430"/>
    <w:rsid w:val="00CA044C"/>
    <w:rsid w:val="00CA04B1"/>
    <w:rsid w:val="00CA0504"/>
    <w:rsid w:val="00CA058C"/>
    <w:rsid w:val="00CA05CA"/>
    <w:rsid w:val="00CA066E"/>
    <w:rsid w:val="00CA07C3"/>
    <w:rsid w:val="00CA0845"/>
    <w:rsid w:val="00CA089B"/>
    <w:rsid w:val="00CA08F2"/>
    <w:rsid w:val="00CA092A"/>
    <w:rsid w:val="00CA0AA5"/>
    <w:rsid w:val="00CA0BAD"/>
    <w:rsid w:val="00CA0D8A"/>
    <w:rsid w:val="00CA0DA4"/>
    <w:rsid w:val="00CA0E83"/>
    <w:rsid w:val="00CA0F82"/>
    <w:rsid w:val="00CA1036"/>
    <w:rsid w:val="00CA13A4"/>
    <w:rsid w:val="00CA146C"/>
    <w:rsid w:val="00CA1540"/>
    <w:rsid w:val="00CA1570"/>
    <w:rsid w:val="00CA15BE"/>
    <w:rsid w:val="00CA16D4"/>
    <w:rsid w:val="00CA16D8"/>
    <w:rsid w:val="00CA16E2"/>
    <w:rsid w:val="00CA1831"/>
    <w:rsid w:val="00CA192C"/>
    <w:rsid w:val="00CA194B"/>
    <w:rsid w:val="00CA1A5F"/>
    <w:rsid w:val="00CA1BDA"/>
    <w:rsid w:val="00CA1CAB"/>
    <w:rsid w:val="00CA1DE7"/>
    <w:rsid w:val="00CA1FA8"/>
    <w:rsid w:val="00CA2060"/>
    <w:rsid w:val="00CA22EA"/>
    <w:rsid w:val="00CA2346"/>
    <w:rsid w:val="00CA2447"/>
    <w:rsid w:val="00CA26ED"/>
    <w:rsid w:val="00CA27B0"/>
    <w:rsid w:val="00CA2880"/>
    <w:rsid w:val="00CA28A0"/>
    <w:rsid w:val="00CA2950"/>
    <w:rsid w:val="00CA2AE2"/>
    <w:rsid w:val="00CA2B2B"/>
    <w:rsid w:val="00CA2B75"/>
    <w:rsid w:val="00CA2BBA"/>
    <w:rsid w:val="00CA2BDD"/>
    <w:rsid w:val="00CA2DB3"/>
    <w:rsid w:val="00CA2DF5"/>
    <w:rsid w:val="00CA30FE"/>
    <w:rsid w:val="00CA319C"/>
    <w:rsid w:val="00CA31CD"/>
    <w:rsid w:val="00CA336D"/>
    <w:rsid w:val="00CA33A9"/>
    <w:rsid w:val="00CA349B"/>
    <w:rsid w:val="00CA3577"/>
    <w:rsid w:val="00CA3739"/>
    <w:rsid w:val="00CA3817"/>
    <w:rsid w:val="00CA393D"/>
    <w:rsid w:val="00CA39EB"/>
    <w:rsid w:val="00CA3D59"/>
    <w:rsid w:val="00CA3DA8"/>
    <w:rsid w:val="00CA4352"/>
    <w:rsid w:val="00CA44A2"/>
    <w:rsid w:val="00CA45E0"/>
    <w:rsid w:val="00CA4785"/>
    <w:rsid w:val="00CA47EC"/>
    <w:rsid w:val="00CA4865"/>
    <w:rsid w:val="00CA4983"/>
    <w:rsid w:val="00CA498A"/>
    <w:rsid w:val="00CA4C8E"/>
    <w:rsid w:val="00CA4D5F"/>
    <w:rsid w:val="00CA4E14"/>
    <w:rsid w:val="00CA4E21"/>
    <w:rsid w:val="00CA4F1B"/>
    <w:rsid w:val="00CA4F61"/>
    <w:rsid w:val="00CA507D"/>
    <w:rsid w:val="00CA51B5"/>
    <w:rsid w:val="00CA51C6"/>
    <w:rsid w:val="00CA524C"/>
    <w:rsid w:val="00CA565C"/>
    <w:rsid w:val="00CA5C04"/>
    <w:rsid w:val="00CA5D68"/>
    <w:rsid w:val="00CA5E8D"/>
    <w:rsid w:val="00CA5F30"/>
    <w:rsid w:val="00CA60B8"/>
    <w:rsid w:val="00CA60E9"/>
    <w:rsid w:val="00CA6127"/>
    <w:rsid w:val="00CA6222"/>
    <w:rsid w:val="00CA6371"/>
    <w:rsid w:val="00CA6573"/>
    <w:rsid w:val="00CA6614"/>
    <w:rsid w:val="00CA668D"/>
    <w:rsid w:val="00CA6733"/>
    <w:rsid w:val="00CA67A5"/>
    <w:rsid w:val="00CA689B"/>
    <w:rsid w:val="00CA6A67"/>
    <w:rsid w:val="00CA6AE9"/>
    <w:rsid w:val="00CA6BB4"/>
    <w:rsid w:val="00CA6D5A"/>
    <w:rsid w:val="00CA6E2E"/>
    <w:rsid w:val="00CA6EBA"/>
    <w:rsid w:val="00CA6FE6"/>
    <w:rsid w:val="00CA7050"/>
    <w:rsid w:val="00CA709B"/>
    <w:rsid w:val="00CA70CA"/>
    <w:rsid w:val="00CA7332"/>
    <w:rsid w:val="00CA73F8"/>
    <w:rsid w:val="00CA7493"/>
    <w:rsid w:val="00CA74A9"/>
    <w:rsid w:val="00CA74B8"/>
    <w:rsid w:val="00CA7813"/>
    <w:rsid w:val="00CA7A52"/>
    <w:rsid w:val="00CA7AE5"/>
    <w:rsid w:val="00CA7CA0"/>
    <w:rsid w:val="00CA7CE0"/>
    <w:rsid w:val="00CA7D61"/>
    <w:rsid w:val="00CB01F5"/>
    <w:rsid w:val="00CB0220"/>
    <w:rsid w:val="00CB02BA"/>
    <w:rsid w:val="00CB0341"/>
    <w:rsid w:val="00CB0364"/>
    <w:rsid w:val="00CB03E7"/>
    <w:rsid w:val="00CB0505"/>
    <w:rsid w:val="00CB05D7"/>
    <w:rsid w:val="00CB06A0"/>
    <w:rsid w:val="00CB0723"/>
    <w:rsid w:val="00CB085A"/>
    <w:rsid w:val="00CB08AA"/>
    <w:rsid w:val="00CB0937"/>
    <w:rsid w:val="00CB0B05"/>
    <w:rsid w:val="00CB0BAC"/>
    <w:rsid w:val="00CB0D75"/>
    <w:rsid w:val="00CB0E55"/>
    <w:rsid w:val="00CB0EC5"/>
    <w:rsid w:val="00CB0F11"/>
    <w:rsid w:val="00CB1094"/>
    <w:rsid w:val="00CB1119"/>
    <w:rsid w:val="00CB1482"/>
    <w:rsid w:val="00CB1518"/>
    <w:rsid w:val="00CB157E"/>
    <w:rsid w:val="00CB161E"/>
    <w:rsid w:val="00CB181C"/>
    <w:rsid w:val="00CB18EB"/>
    <w:rsid w:val="00CB1937"/>
    <w:rsid w:val="00CB1959"/>
    <w:rsid w:val="00CB19BB"/>
    <w:rsid w:val="00CB19EF"/>
    <w:rsid w:val="00CB1B0F"/>
    <w:rsid w:val="00CB1C58"/>
    <w:rsid w:val="00CB1CF1"/>
    <w:rsid w:val="00CB1DAF"/>
    <w:rsid w:val="00CB1DF1"/>
    <w:rsid w:val="00CB2007"/>
    <w:rsid w:val="00CB207D"/>
    <w:rsid w:val="00CB20F5"/>
    <w:rsid w:val="00CB211F"/>
    <w:rsid w:val="00CB215F"/>
    <w:rsid w:val="00CB2223"/>
    <w:rsid w:val="00CB2252"/>
    <w:rsid w:val="00CB2486"/>
    <w:rsid w:val="00CB24AA"/>
    <w:rsid w:val="00CB24BD"/>
    <w:rsid w:val="00CB259C"/>
    <w:rsid w:val="00CB2618"/>
    <w:rsid w:val="00CB27B4"/>
    <w:rsid w:val="00CB2934"/>
    <w:rsid w:val="00CB297D"/>
    <w:rsid w:val="00CB29E3"/>
    <w:rsid w:val="00CB29ED"/>
    <w:rsid w:val="00CB2F53"/>
    <w:rsid w:val="00CB3057"/>
    <w:rsid w:val="00CB30C3"/>
    <w:rsid w:val="00CB30DF"/>
    <w:rsid w:val="00CB3370"/>
    <w:rsid w:val="00CB33AE"/>
    <w:rsid w:val="00CB3566"/>
    <w:rsid w:val="00CB360E"/>
    <w:rsid w:val="00CB3710"/>
    <w:rsid w:val="00CB392D"/>
    <w:rsid w:val="00CB3A8B"/>
    <w:rsid w:val="00CB3DD7"/>
    <w:rsid w:val="00CB3F04"/>
    <w:rsid w:val="00CB4214"/>
    <w:rsid w:val="00CB4287"/>
    <w:rsid w:val="00CB445D"/>
    <w:rsid w:val="00CB465D"/>
    <w:rsid w:val="00CB46AA"/>
    <w:rsid w:val="00CB47B7"/>
    <w:rsid w:val="00CB487F"/>
    <w:rsid w:val="00CB498D"/>
    <w:rsid w:val="00CB4B43"/>
    <w:rsid w:val="00CB4BFB"/>
    <w:rsid w:val="00CB4C94"/>
    <w:rsid w:val="00CB4CE5"/>
    <w:rsid w:val="00CB4E8E"/>
    <w:rsid w:val="00CB4E96"/>
    <w:rsid w:val="00CB4F15"/>
    <w:rsid w:val="00CB5269"/>
    <w:rsid w:val="00CB5683"/>
    <w:rsid w:val="00CB56C3"/>
    <w:rsid w:val="00CB5774"/>
    <w:rsid w:val="00CB57F2"/>
    <w:rsid w:val="00CB5914"/>
    <w:rsid w:val="00CB593C"/>
    <w:rsid w:val="00CB5B07"/>
    <w:rsid w:val="00CB5D51"/>
    <w:rsid w:val="00CB5EFE"/>
    <w:rsid w:val="00CB5F1B"/>
    <w:rsid w:val="00CB5F9F"/>
    <w:rsid w:val="00CB61D4"/>
    <w:rsid w:val="00CB6405"/>
    <w:rsid w:val="00CB6697"/>
    <w:rsid w:val="00CB671D"/>
    <w:rsid w:val="00CB6887"/>
    <w:rsid w:val="00CB68BE"/>
    <w:rsid w:val="00CB6B6F"/>
    <w:rsid w:val="00CB6B75"/>
    <w:rsid w:val="00CB6B9B"/>
    <w:rsid w:val="00CB6DBE"/>
    <w:rsid w:val="00CB6E04"/>
    <w:rsid w:val="00CB6E07"/>
    <w:rsid w:val="00CB6F1D"/>
    <w:rsid w:val="00CB71AB"/>
    <w:rsid w:val="00CB7227"/>
    <w:rsid w:val="00CB73A0"/>
    <w:rsid w:val="00CB74CF"/>
    <w:rsid w:val="00CB75A6"/>
    <w:rsid w:val="00CB77BF"/>
    <w:rsid w:val="00CB78EC"/>
    <w:rsid w:val="00CB7AD9"/>
    <w:rsid w:val="00CB7AEE"/>
    <w:rsid w:val="00CB7C8D"/>
    <w:rsid w:val="00CB7D33"/>
    <w:rsid w:val="00CB7D39"/>
    <w:rsid w:val="00CC0060"/>
    <w:rsid w:val="00CC013E"/>
    <w:rsid w:val="00CC021D"/>
    <w:rsid w:val="00CC033F"/>
    <w:rsid w:val="00CC034C"/>
    <w:rsid w:val="00CC0498"/>
    <w:rsid w:val="00CC04BD"/>
    <w:rsid w:val="00CC051D"/>
    <w:rsid w:val="00CC0566"/>
    <w:rsid w:val="00CC0585"/>
    <w:rsid w:val="00CC05CB"/>
    <w:rsid w:val="00CC06E2"/>
    <w:rsid w:val="00CC0985"/>
    <w:rsid w:val="00CC0B5D"/>
    <w:rsid w:val="00CC0C9F"/>
    <w:rsid w:val="00CC0F73"/>
    <w:rsid w:val="00CC104F"/>
    <w:rsid w:val="00CC12BE"/>
    <w:rsid w:val="00CC13A9"/>
    <w:rsid w:val="00CC15BB"/>
    <w:rsid w:val="00CC1604"/>
    <w:rsid w:val="00CC17E8"/>
    <w:rsid w:val="00CC1843"/>
    <w:rsid w:val="00CC1853"/>
    <w:rsid w:val="00CC19E6"/>
    <w:rsid w:val="00CC1AD0"/>
    <w:rsid w:val="00CC1AFD"/>
    <w:rsid w:val="00CC1B08"/>
    <w:rsid w:val="00CC1B4A"/>
    <w:rsid w:val="00CC1EEC"/>
    <w:rsid w:val="00CC1FA1"/>
    <w:rsid w:val="00CC21E0"/>
    <w:rsid w:val="00CC22F9"/>
    <w:rsid w:val="00CC23CE"/>
    <w:rsid w:val="00CC2CBA"/>
    <w:rsid w:val="00CC3030"/>
    <w:rsid w:val="00CC3224"/>
    <w:rsid w:val="00CC33B5"/>
    <w:rsid w:val="00CC33C9"/>
    <w:rsid w:val="00CC3430"/>
    <w:rsid w:val="00CC344E"/>
    <w:rsid w:val="00CC3479"/>
    <w:rsid w:val="00CC34D8"/>
    <w:rsid w:val="00CC3579"/>
    <w:rsid w:val="00CC36E6"/>
    <w:rsid w:val="00CC36FC"/>
    <w:rsid w:val="00CC3A45"/>
    <w:rsid w:val="00CC3A68"/>
    <w:rsid w:val="00CC3C11"/>
    <w:rsid w:val="00CC3DE0"/>
    <w:rsid w:val="00CC3E65"/>
    <w:rsid w:val="00CC3E74"/>
    <w:rsid w:val="00CC3F74"/>
    <w:rsid w:val="00CC4009"/>
    <w:rsid w:val="00CC401C"/>
    <w:rsid w:val="00CC42EE"/>
    <w:rsid w:val="00CC43B0"/>
    <w:rsid w:val="00CC44DA"/>
    <w:rsid w:val="00CC4772"/>
    <w:rsid w:val="00CC4841"/>
    <w:rsid w:val="00CC4934"/>
    <w:rsid w:val="00CC4983"/>
    <w:rsid w:val="00CC4A28"/>
    <w:rsid w:val="00CC4C13"/>
    <w:rsid w:val="00CC4C9E"/>
    <w:rsid w:val="00CC4D12"/>
    <w:rsid w:val="00CC4DFE"/>
    <w:rsid w:val="00CC4E07"/>
    <w:rsid w:val="00CC4E99"/>
    <w:rsid w:val="00CC4EB6"/>
    <w:rsid w:val="00CC4F92"/>
    <w:rsid w:val="00CC500E"/>
    <w:rsid w:val="00CC5075"/>
    <w:rsid w:val="00CC5099"/>
    <w:rsid w:val="00CC50BB"/>
    <w:rsid w:val="00CC51D1"/>
    <w:rsid w:val="00CC53A9"/>
    <w:rsid w:val="00CC5433"/>
    <w:rsid w:val="00CC54B0"/>
    <w:rsid w:val="00CC5535"/>
    <w:rsid w:val="00CC5550"/>
    <w:rsid w:val="00CC557D"/>
    <w:rsid w:val="00CC559B"/>
    <w:rsid w:val="00CC5754"/>
    <w:rsid w:val="00CC58EE"/>
    <w:rsid w:val="00CC59DD"/>
    <w:rsid w:val="00CC5A0C"/>
    <w:rsid w:val="00CC5B51"/>
    <w:rsid w:val="00CC5EBA"/>
    <w:rsid w:val="00CC5F01"/>
    <w:rsid w:val="00CC61BE"/>
    <w:rsid w:val="00CC63FD"/>
    <w:rsid w:val="00CC6401"/>
    <w:rsid w:val="00CC645A"/>
    <w:rsid w:val="00CC66AD"/>
    <w:rsid w:val="00CC6745"/>
    <w:rsid w:val="00CC685E"/>
    <w:rsid w:val="00CC6874"/>
    <w:rsid w:val="00CC68FE"/>
    <w:rsid w:val="00CC69D6"/>
    <w:rsid w:val="00CC6C0E"/>
    <w:rsid w:val="00CC6C7F"/>
    <w:rsid w:val="00CC6CC5"/>
    <w:rsid w:val="00CC6CFA"/>
    <w:rsid w:val="00CC6D14"/>
    <w:rsid w:val="00CC6DBB"/>
    <w:rsid w:val="00CC6E51"/>
    <w:rsid w:val="00CC6F11"/>
    <w:rsid w:val="00CC6F6A"/>
    <w:rsid w:val="00CC7025"/>
    <w:rsid w:val="00CC7075"/>
    <w:rsid w:val="00CC7229"/>
    <w:rsid w:val="00CC7250"/>
    <w:rsid w:val="00CC72EC"/>
    <w:rsid w:val="00CC7461"/>
    <w:rsid w:val="00CC7469"/>
    <w:rsid w:val="00CC758B"/>
    <w:rsid w:val="00CC75C5"/>
    <w:rsid w:val="00CC7613"/>
    <w:rsid w:val="00CC761F"/>
    <w:rsid w:val="00CC76BF"/>
    <w:rsid w:val="00CC7825"/>
    <w:rsid w:val="00CC784C"/>
    <w:rsid w:val="00CC78A8"/>
    <w:rsid w:val="00CC78BB"/>
    <w:rsid w:val="00CC794D"/>
    <w:rsid w:val="00CC7BC0"/>
    <w:rsid w:val="00CC7CDA"/>
    <w:rsid w:val="00CC7FC9"/>
    <w:rsid w:val="00CD005D"/>
    <w:rsid w:val="00CD0085"/>
    <w:rsid w:val="00CD01B6"/>
    <w:rsid w:val="00CD02EF"/>
    <w:rsid w:val="00CD0313"/>
    <w:rsid w:val="00CD04D9"/>
    <w:rsid w:val="00CD0555"/>
    <w:rsid w:val="00CD081D"/>
    <w:rsid w:val="00CD092E"/>
    <w:rsid w:val="00CD0A27"/>
    <w:rsid w:val="00CD0A88"/>
    <w:rsid w:val="00CD0ACA"/>
    <w:rsid w:val="00CD0B57"/>
    <w:rsid w:val="00CD0B77"/>
    <w:rsid w:val="00CD0B92"/>
    <w:rsid w:val="00CD0CB9"/>
    <w:rsid w:val="00CD0D0F"/>
    <w:rsid w:val="00CD0D71"/>
    <w:rsid w:val="00CD0DCD"/>
    <w:rsid w:val="00CD11AB"/>
    <w:rsid w:val="00CD130E"/>
    <w:rsid w:val="00CD1417"/>
    <w:rsid w:val="00CD1430"/>
    <w:rsid w:val="00CD143B"/>
    <w:rsid w:val="00CD1542"/>
    <w:rsid w:val="00CD15E8"/>
    <w:rsid w:val="00CD19B9"/>
    <w:rsid w:val="00CD19C2"/>
    <w:rsid w:val="00CD1CF8"/>
    <w:rsid w:val="00CD1F40"/>
    <w:rsid w:val="00CD2015"/>
    <w:rsid w:val="00CD219C"/>
    <w:rsid w:val="00CD219F"/>
    <w:rsid w:val="00CD222A"/>
    <w:rsid w:val="00CD2381"/>
    <w:rsid w:val="00CD245A"/>
    <w:rsid w:val="00CD2539"/>
    <w:rsid w:val="00CD2635"/>
    <w:rsid w:val="00CD2893"/>
    <w:rsid w:val="00CD2CFA"/>
    <w:rsid w:val="00CD2DAD"/>
    <w:rsid w:val="00CD2F6A"/>
    <w:rsid w:val="00CD2FDF"/>
    <w:rsid w:val="00CD2FE3"/>
    <w:rsid w:val="00CD33E4"/>
    <w:rsid w:val="00CD3410"/>
    <w:rsid w:val="00CD349B"/>
    <w:rsid w:val="00CD34FD"/>
    <w:rsid w:val="00CD3539"/>
    <w:rsid w:val="00CD35FA"/>
    <w:rsid w:val="00CD366C"/>
    <w:rsid w:val="00CD3722"/>
    <w:rsid w:val="00CD37BB"/>
    <w:rsid w:val="00CD37C8"/>
    <w:rsid w:val="00CD3864"/>
    <w:rsid w:val="00CD38EA"/>
    <w:rsid w:val="00CD3B2E"/>
    <w:rsid w:val="00CD3BD8"/>
    <w:rsid w:val="00CD3CCD"/>
    <w:rsid w:val="00CD3CEF"/>
    <w:rsid w:val="00CD4109"/>
    <w:rsid w:val="00CD42A2"/>
    <w:rsid w:val="00CD48C4"/>
    <w:rsid w:val="00CD4935"/>
    <w:rsid w:val="00CD49F6"/>
    <w:rsid w:val="00CD4A43"/>
    <w:rsid w:val="00CD4ACF"/>
    <w:rsid w:val="00CD4AFD"/>
    <w:rsid w:val="00CD4BCD"/>
    <w:rsid w:val="00CD4BF7"/>
    <w:rsid w:val="00CD4E29"/>
    <w:rsid w:val="00CD5032"/>
    <w:rsid w:val="00CD52F2"/>
    <w:rsid w:val="00CD5331"/>
    <w:rsid w:val="00CD53D3"/>
    <w:rsid w:val="00CD558B"/>
    <w:rsid w:val="00CD5664"/>
    <w:rsid w:val="00CD56F0"/>
    <w:rsid w:val="00CD56F5"/>
    <w:rsid w:val="00CD586C"/>
    <w:rsid w:val="00CD590E"/>
    <w:rsid w:val="00CD59B1"/>
    <w:rsid w:val="00CD5A76"/>
    <w:rsid w:val="00CD5B3A"/>
    <w:rsid w:val="00CD5CDC"/>
    <w:rsid w:val="00CD5E7A"/>
    <w:rsid w:val="00CD6017"/>
    <w:rsid w:val="00CD6059"/>
    <w:rsid w:val="00CD6127"/>
    <w:rsid w:val="00CD6260"/>
    <w:rsid w:val="00CD6286"/>
    <w:rsid w:val="00CD62AF"/>
    <w:rsid w:val="00CD634C"/>
    <w:rsid w:val="00CD6389"/>
    <w:rsid w:val="00CD63CC"/>
    <w:rsid w:val="00CD6470"/>
    <w:rsid w:val="00CD65F2"/>
    <w:rsid w:val="00CD6649"/>
    <w:rsid w:val="00CD667E"/>
    <w:rsid w:val="00CD66FC"/>
    <w:rsid w:val="00CD6800"/>
    <w:rsid w:val="00CD6841"/>
    <w:rsid w:val="00CD6945"/>
    <w:rsid w:val="00CD6A73"/>
    <w:rsid w:val="00CD6AA8"/>
    <w:rsid w:val="00CD6B9E"/>
    <w:rsid w:val="00CD6D7F"/>
    <w:rsid w:val="00CD6E94"/>
    <w:rsid w:val="00CD6F14"/>
    <w:rsid w:val="00CD7057"/>
    <w:rsid w:val="00CD724D"/>
    <w:rsid w:val="00CD7527"/>
    <w:rsid w:val="00CD7637"/>
    <w:rsid w:val="00CD77B3"/>
    <w:rsid w:val="00CD77F3"/>
    <w:rsid w:val="00CD78AA"/>
    <w:rsid w:val="00CD78CC"/>
    <w:rsid w:val="00CD7970"/>
    <w:rsid w:val="00CD7C57"/>
    <w:rsid w:val="00CD7C66"/>
    <w:rsid w:val="00CD7D96"/>
    <w:rsid w:val="00CD7E18"/>
    <w:rsid w:val="00CD7EF4"/>
    <w:rsid w:val="00CD7F1E"/>
    <w:rsid w:val="00CD7F56"/>
    <w:rsid w:val="00CD7FA0"/>
    <w:rsid w:val="00CD7FEE"/>
    <w:rsid w:val="00CD7FFA"/>
    <w:rsid w:val="00CE021B"/>
    <w:rsid w:val="00CE0265"/>
    <w:rsid w:val="00CE028F"/>
    <w:rsid w:val="00CE041C"/>
    <w:rsid w:val="00CE04C4"/>
    <w:rsid w:val="00CE0704"/>
    <w:rsid w:val="00CE073F"/>
    <w:rsid w:val="00CE07AD"/>
    <w:rsid w:val="00CE0912"/>
    <w:rsid w:val="00CE0957"/>
    <w:rsid w:val="00CE0B08"/>
    <w:rsid w:val="00CE0D78"/>
    <w:rsid w:val="00CE0E38"/>
    <w:rsid w:val="00CE0E78"/>
    <w:rsid w:val="00CE0E7F"/>
    <w:rsid w:val="00CE0F18"/>
    <w:rsid w:val="00CE1008"/>
    <w:rsid w:val="00CE10A5"/>
    <w:rsid w:val="00CE112E"/>
    <w:rsid w:val="00CE118A"/>
    <w:rsid w:val="00CE123C"/>
    <w:rsid w:val="00CE1434"/>
    <w:rsid w:val="00CE14EA"/>
    <w:rsid w:val="00CE1559"/>
    <w:rsid w:val="00CE166C"/>
    <w:rsid w:val="00CE1915"/>
    <w:rsid w:val="00CE192B"/>
    <w:rsid w:val="00CE19DB"/>
    <w:rsid w:val="00CE1B33"/>
    <w:rsid w:val="00CE1B84"/>
    <w:rsid w:val="00CE1CBC"/>
    <w:rsid w:val="00CE1ED3"/>
    <w:rsid w:val="00CE1EDD"/>
    <w:rsid w:val="00CE1F1E"/>
    <w:rsid w:val="00CE2101"/>
    <w:rsid w:val="00CE22D7"/>
    <w:rsid w:val="00CE22FC"/>
    <w:rsid w:val="00CE25B0"/>
    <w:rsid w:val="00CE25B8"/>
    <w:rsid w:val="00CE25CD"/>
    <w:rsid w:val="00CE26D4"/>
    <w:rsid w:val="00CE2A05"/>
    <w:rsid w:val="00CE2A63"/>
    <w:rsid w:val="00CE2B36"/>
    <w:rsid w:val="00CE2CA2"/>
    <w:rsid w:val="00CE2E87"/>
    <w:rsid w:val="00CE307F"/>
    <w:rsid w:val="00CE35B1"/>
    <w:rsid w:val="00CE3648"/>
    <w:rsid w:val="00CE36CD"/>
    <w:rsid w:val="00CE3824"/>
    <w:rsid w:val="00CE3926"/>
    <w:rsid w:val="00CE3950"/>
    <w:rsid w:val="00CE3A0B"/>
    <w:rsid w:val="00CE3A76"/>
    <w:rsid w:val="00CE3A9D"/>
    <w:rsid w:val="00CE3AFB"/>
    <w:rsid w:val="00CE3BD2"/>
    <w:rsid w:val="00CE3BFC"/>
    <w:rsid w:val="00CE3CFF"/>
    <w:rsid w:val="00CE3D3E"/>
    <w:rsid w:val="00CE3F7F"/>
    <w:rsid w:val="00CE3FE2"/>
    <w:rsid w:val="00CE40BB"/>
    <w:rsid w:val="00CE41CA"/>
    <w:rsid w:val="00CE41CC"/>
    <w:rsid w:val="00CE43A1"/>
    <w:rsid w:val="00CE43B6"/>
    <w:rsid w:val="00CE441A"/>
    <w:rsid w:val="00CE44F3"/>
    <w:rsid w:val="00CE4520"/>
    <w:rsid w:val="00CE470D"/>
    <w:rsid w:val="00CE4732"/>
    <w:rsid w:val="00CE47FA"/>
    <w:rsid w:val="00CE48FE"/>
    <w:rsid w:val="00CE4A1B"/>
    <w:rsid w:val="00CE4AAD"/>
    <w:rsid w:val="00CE4AB0"/>
    <w:rsid w:val="00CE4B16"/>
    <w:rsid w:val="00CE4BE6"/>
    <w:rsid w:val="00CE4D3A"/>
    <w:rsid w:val="00CE4FDA"/>
    <w:rsid w:val="00CE51FF"/>
    <w:rsid w:val="00CE522E"/>
    <w:rsid w:val="00CE524E"/>
    <w:rsid w:val="00CE5277"/>
    <w:rsid w:val="00CE52B2"/>
    <w:rsid w:val="00CE52B4"/>
    <w:rsid w:val="00CE52ED"/>
    <w:rsid w:val="00CE5350"/>
    <w:rsid w:val="00CE54FD"/>
    <w:rsid w:val="00CE569A"/>
    <w:rsid w:val="00CE56E0"/>
    <w:rsid w:val="00CE5941"/>
    <w:rsid w:val="00CE5A21"/>
    <w:rsid w:val="00CE5A8F"/>
    <w:rsid w:val="00CE5D4E"/>
    <w:rsid w:val="00CE5D91"/>
    <w:rsid w:val="00CE6097"/>
    <w:rsid w:val="00CE60BE"/>
    <w:rsid w:val="00CE63EF"/>
    <w:rsid w:val="00CE650A"/>
    <w:rsid w:val="00CE690C"/>
    <w:rsid w:val="00CE6A0F"/>
    <w:rsid w:val="00CE6A5A"/>
    <w:rsid w:val="00CE6A65"/>
    <w:rsid w:val="00CE6B1E"/>
    <w:rsid w:val="00CE6CA2"/>
    <w:rsid w:val="00CE6D20"/>
    <w:rsid w:val="00CE6D36"/>
    <w:rsid w:val="00CE6DAF"/>
    <w:rsid w:val="00CE6DCF"/>
    <w:rsid w:val="00CE6E14"/>
    <w:rsid w:val="00CE6E8F"/>
    <w:rsid w:val="00CE704A"/>
    <w:rsid w:val="00CE707E"/>
    <w:rsid w:val="00CE715B"/>
    <w:rsid w:val="00CE7191"/>
    <w:rsid w:val="00CE71B5"/>
    <w:rsid w:val="00CE7292"/>
    <w:rsid w:val="00CE72C2"/>
    <w:rsid w:val="00CE7597"/>
    <w:rsid w:val="00CE75CD"/>
    <w:rsid w:val="00CE7677"/>
    <w:rsid w:val="00CE76A6"/>
    <w:rsid w:val="00CE7723"/>
    <w:rsid w:val="00CE7748"/>
    <w:rsid w:val="00CE77BF"/>
    <w:rsid w:val="00CE78EB"/>
    <w:rsid w:val="00CE7985"/>
    <w:rsid w:val="00CE7A05"/>
    <w:rsid w:val="00CE7B0A"/>
    <w:rsid w:val="00CE7BAB"/>
    <w:rsid w:val="00CE7BC2"/>
    <w:rsid w:val="00CE7C1B"/>
    <w:rsid w:val="00CE7E3D"/>
    <w:rsid w:val="00CE7E46"/>
    <w:rsid w:val="00CE7E8D"/>
    <w:rsid w:val="00CE7FD9"/>
    <w:rsid w:val="00CF0023"/>
    <w:rsid w:val="00CF006C"/>
    <w:rsid w:val="00CF037D"/>
    <w:rsid w:val="00CF0385"/>
    <w:rsid w:val="00CF0770"/>
    <w:rsid w:val="00CF077F"/>
    <w:rsid w:val="00CF097A"/>
    <w:rsid w:val="00CF098A"/>
    <w:rsid w:val="00CF0998"/>
    <w:rsid w:val="00CF0A04"/>
    <w:rsid w:val="00CF0A28"/>
    <w:rsid w:val="00CF0A41"/>
    <w:rsid w:val="00CF0A54"/>
    <w:rsid w:val="00CF0C1D"/>
    <w:rsid w:val="00CF0F4D"/>
    <w:rsid w:val="00CF0F91"/>
    <w:rsid w:val="00CF0FC6"/>
    <w:rsid w:val="00CF0FE0"/>
    <w:rsid w:val="00CF10DA"/>
    <w:rsid w:val="00CF116D"/>
    <w:rsid w:val="00CF1291"/>
    <w:rsid w:val="00CF146C"/>
    <w:rsid w:val="00CF14B2"/>
    <w:rsid w:val="00CF14CD"/>
    <w:rsid w:val="00CF17A7"/>
    <w:rsid w:val="00CF1B1F"/>
    <w:rsid w:val="00CF1C36"/>
    <w:rsid w:val="00CF1E23"/>
    <w:rsid w:val="00CF1E45"/>
    <w:rsid w:val="00CF2076"/>
    <w:rsid w:val="00CF221A"/>
    <w:rsid w:val="00CF23E6"/>
    <w:rsid w:val="00CF2414"/>
    <w:rsid w:val="00CF26C1"/>
    <w:rsid w:val="00CF278A"/>
    <w:rsid w:val="00CF2927"/>
    <w:rsid w:val="00CF2B9A"/>
    <w:rsid w:val="00CF2CC2"/>
    <w:rsid w:val="00CF2ED4"/>
    <w:rsid w:val="00CF2F03"/>
    <w:rsid w:val="00CF30AA"/>
    <w:rsid w:val="00CF32A2"/>
    <w:rsid w:val="00CF3472"/>
    <w:rsid w:val="00CF36DB"/>
    <w:rsid w:val="00CF378D"/>
    <w:rsid w:val="00CF37B1"/>
    <w:rsid w:val="00CF38FA"/>
    <w:rsid w:val="00CF3A51"/>
    <w:rsid w:val="00CF3AA4"/>
    <w:rsid w:val="00CF3AC9"/>
    <w:rsid w:val="00CF3B71"/>
    <w:rsid w:val="00CF3E7D"/>
    <w:rsid w:val="00CF4083"/>
    <w:rsid w:val="00CF408E"/>
    <w:rsid w:val="00CF412F"/>
    <w:rsid w:val="00CF41EC"/>
    <w:rsid w:val="00CF42E2"/>
    <w:rsid w:val="00CF4608"/>
    <w:rsid w:val="00CF48F2"/>
    <w:rsid w:val="00CF492F"/>
    <w:rsid w:val="00CF4D61"/>
    <w:rsid w:val="00CF4D88"/>
    <w:rsid w:val="00CF4E65"/>
    <w:rsid w:val="00CF4EA7"/>
    <w:rsid w:val="00CF4F09"/>
    <w:rsid w:val="00CF4F4E"/>
    <w:rsid w:val="00CF4F95"/>
    <w:rsid w:val="00CF5098"/>
    <w:rsid w:val="00CF5647"/>
    <w:rsid w:val="00CF5842"/>
    <w:rsid w:val="00CF5C2D"/>
    <w:rsid w:val="00CF5DCF"/>
    <w:rsid w:val="00CF5F44"/>
    <w:rsid w:val="00CF5FCA"/>
    <w:rsid w:val="00CF6000"/>
    <w:rsid w:val="00CF60F4"/>
    <w:rsid w:val="00CF6221"/>
    <w:rsid w:val="00CF6288"/>
    <w:rsid w:val="00CF62D1"/>
    <w:rsid w:val="00CF6384"/>
    <w:rsid w:val="00CF6629"/>
    <w:rsid w:val="00CF6A40"/>
    <w:rsid w:val="00CF6A45"/>
    <w:rsid w:val="00CF6C2D"/>
    <w:rsid w:val="00CF6C3C"/>
    <w:rsid w:val="00CF6D48"/>
    <w:rsid w:val="00CF6DEC"/>
    <w:rsid w:val="00CF6E6E"/>
    <w:rsid w:val="00CF6F2B"/>
    <w:rsid w:val="00CF6F32"/>
    <w:rsid w:val="00CF718C"/>
    <w:rsid w:val="00CF71E4"/>
    <w:rsid w:val="00CF75B3"/>
    <w:rsid w:val="00CF75EB"/>
    <w:rsid w:val="00CF7625"/>
    <w:rsid w:val="00CF7687"/>
    <w:rsid w:val="00CF77DE"/>
    <w:rsid w:val="00CF7912"/>
    <w:rsid w:val="00CF79AB"/>
    <w:rsid w:val="00CF7C7A"/>
    <w:rsid w:val="00CF7D18"/>
    <w:rsid w:val="00CF7E20"/>
    <w:rsid w:val="00CF7E8D"/>
    <w:rsid w:val="00CF7EF0"/>
    <w:rsid w:val="00CF7FA5"/>
    <w:rsid w:val="00D00083"/>
    <w:rsid w:val="00D0023E"/>
    <w:rsid w:val="00D00296"/>
    <w:rsid w:val="00D0029F"/>
    <w:rsid w:val="00D00411"/>
    <w:rsid w:val="00D0057A"/>
    <w:rsid w:val="00D005E3"/>
    <w:rsid w:val="00D005FD"/>
    <w:rsid w:val="00D00771"/>
    <w:rsid w:val="00D008F7"/>
    <w:rsid w:val="00D00A1B"/>
    <w:rsid w:val="00D00A79"/>
    <w:rsid w:val="00D00A7B"/>
    <w:rsid w:val="00D00CCD"/>
    <w:rsid w:val="00D00ECB"/>
    <w:rsid w:val="00D00ECC"/>
    <w:rsid w:val="00D00F68"/>
    <w:rsid w:val="00D00F71"/>
    <w:rsid w:val="00D01244"/>
    <w:rsid w:val="00D0149B"/>
    <w:rsid w:val="00D01549"/>
    <w:rsid w:val="00D0165F"/>
    <w:rsid w:val="00D017B2"/>
    <w:rsid w:val="00D01842"/>
    <w:rsid w:val="00D01BB7"/>
    <w:rsid w:val="00D01C32"/>
    <w:rsid w:val="00D01D04"/>
    <w:rsid w:val="00D01E20"/>
    <w:rsid w:val="00D01E2B"/>
    <w:rsid w:val="00D020FC"/>
    <w:rsid w:val="00D021FD"/>
    <w:rsid w:val="00D0220F"/>
    <w:rsid w:val="00D022A7"/>
    <w:rsid w:val="00D022B0"/>
    <w:rsid w:val="00D027DE"/>
    <w:rsid w:val="00D02865"/>
    <w:rsid w:val="00D02886"/>
    <w:rsid w:val="00D029C6"/>
    <w:rsid w:val="00D02AD9"/>
    <w:rsid w:val="00D02E9E"/>
    <w:rsid w:val="00D03478"/>
    <w:rsid w:val="00D034CC"/>
    <w:rsid w:val="00D0368B"/>
    <w:rsid w:val="00D0370A"/>
    <w:rsid w:val="00D0384D"/>
    <w:rsid w:val="00D03A0E"/>
    <w:rsid w:val="00D03A33"/>
    <w:rsid w:val="00D03CFF"/>
    <w:rsid w:val="00D03D66"/>
    <w:rsid w:val="00D03E4F"/>
    <w:rsid w:val="00D03FFB"/>
    <w:rsid w:val="00D04137"/>
    <w:rsid w:val="00D04163"/>
    <w:rsid w:val="00D041C2"/>
    <w:rsid w:val="00D04297"/>
    <w:rsid w:val="00D04392"/>
    <w:rsid w:val="00D04420"/>
    <w:rsid w:val="00D046CD"/>
    <w:rsid w:val="00D04751"/>
    <w:rsid w:val="00D049EB"/>
    <w:rsid w:val="00D04B0A"/>
    <w:rsid w:val="00D04BCE"/>
    <w:rsid w:val="00D04DE3"/>
    <w:rsid w:val="00D04F99"/>
    <w:rsid w:val="00D0512C"/>
    <w:rsid w:val="00D053DC"/>
    <w:rsid w:val="00D0569A"/>
    <w:rsid w:val="00D056F8"/>
    <w:rsid w:val="00D05708"/>
    <w:rsid w:val="00D0570F"/>
    <w:rsid w:val="00D05746"/>
    <w:rsid w:val="00D057BE"/>
    <w:rsid w:val="00D05A4F"/>
    <w:rsid w:val="00D05A72"/>
    <w:rsid w:val="00D05CCE"/>
    <w:rsid w:val="00D05CFB"/>
    <w:rsid w:val="00D05E3D"/>
    <w:rsid w:val="00D06059"/>
    <w:rsid w:val="00D06268"/>
    <w:rsid w:val="00D0652D"/>
    <w:rsid w:val="00D06856"/>
    <w:rsid w:val="00D06887"/>
    <w:rsid w:val="00D069FC"/>
    <w:rsid w:val="00D06C68"/>
    <w:rsid w:val="00D06C9A"/>
    <w:rsid w:val="00D06CEC"/>
    <w:rsid w:val="00D06D29"/>
    <w:rsid w:val="00D06DD1"/>
    <w:rsid w:val="00D06ECB"/>
    <w:rsid w:val="00D06F09"/>
    <w:rsid w:val="00D06F2E"/>
    <w:rsid w:val="00D06FF3"/>
    <w:rsid w:val="00D070F0"/>
    <w:rsid w:val="00D07293"/>
    <w:rsid w:val="00D072B3"/>
    <w:rsid w:val="00D0735F"/>
    <w:rsid w:val="00D07388"/>
    <w:rsid w:val="00D0739E"/>
    <w:rsid w:val="00D07427"/>
    <w:rsid w:val="00D0751C"/>
    <w:rsid w:val="00D07582"/>
    <w:rsid w:val="00D0766C"/>
    <w:rsid w:val="00D076C1"/>
    <w:rsid w:val="00D076D8"/>
    <w:rsid w:val="00D0772E"/>
    <w:rsid w:val="00D077BF"/>
    <w:rsid w:val="00D07AD6"/>
    <w:rsid w:val="00D07B79"/>
    <w:rsid w:val="00D07BE0"/>
    <w:rsid w:val="00D07CD6"/>
    <w:rsid w:val="00D07D87"/>
    <w:rsid w:val="00D07EE2"/>
    <w:rsid w:val="00D07F31"/>
    <w:rsid w:val="00D07FC5"/>
    <w:rsid w:val="00D1004D"/>
    <w:rsid w:val="00D1025F"/>
    <w:rsid w:val="00D10328"/>
    <w:rsid w:val="00D103A5"/>
    <w:rsid w:val="00D1040C"/>
    <w:rsid w:val="00D1065F"/>
    <w:rsid w:val="00D10820"/>
    <w:rsid w:val="00D10969"/>
    <w:rsid w:val="00D10A88"/>
    <w:rsid w:val="00D10C50"/>
    <w:rsid w:val="00D10CB8"/>
    <w:rsid w:val="00D10CEB"/>
    <w:rsid w:val="00D10DEB"/>
    <w:rsid w:val="00D111FD"/>
    <w:rsid w:val="00D11403"/>
    <w:rsid w:val="00D11543"/>
    <w:rsid w:val="00D1162F"/>
    <w:rsid w:val="00D11844"/>
    <w:rsid w:val="00D119B8"/>
    <w:rsid w:val="00D11A49"/>
    <w:rsid w:val="00D11A4A"/>
    <w:rsid w:val="00D11B20"/>
    <w:rsid w:val="00D11B98"/>
    <w:rsid w:val="00D11EF1"/>
    <w:rsid w:val="00D12220"/>
    <w:rsid w:val="00D12228"/>
    <w:rsid w:val="00D1225A"/>
    <w:rsid w:val="00D12281"/>
    <w:rsid w:val="00D124B7"/>
    <w:rsid w:val="00D124B9"/>
    <w:rsid w:val="00D1284B"/>
    <w:rsid w:val="00D129A5"/>
    <w:rsid w:val="00D12A08"/>
    <w:rsid w:val="00D12A61"/>
    <w:rsid w:val="00D12C39"/>
    <w:rsid w:val="00D12E2A"/>
    <w:rsid w:val="00D12FD1"/>
    <w:rsid w:val="00D133A4"/>
    <w:rsid w:val="00D133A5"/>
    <w:rsid w:val="00D135D6"/>
    <w:rsid w:val="00D1368F"/>
    <w:rsid w:val="00D1369D"/>
    <w:rsid w:val="00D136F0"/>
    <w:rsid w:val="00D13732"/>
    <w:rsid w:val="00D13861"/>
    <w:rsid w:val="00D13982"/>
    <w:rsid w:val="00D13A02"/>
    <w:rsid w:val="00D13B83"/>
    <w:rsid w:val="00D13B95"/>
    <w:rsid w:val="00D13C46"/>
    <w:rsid w:val="00D13E25"/>
    <w:rsid w:val="00D13ED5"/>
    <w:rsid w:val="00D13FC4"/>
    <w:rsid w:val="00D14113"/>
    <w:rsid w:val="00D14181"/>
    <w:rsid w:val="00D142C8"/>
    <w:rsid w:val="00D142DD"/>
    <w:rsid w:val="00D14335"/>
    <w:rsid w:val="00D143F0"/>
    <w:rsid w:val="00D14418"/>
    <w:rsid w:val="00D1441D"/>
    <w:rsid w:val="00D14496"/>
    <w:rsid w:val="00D14560"/>
    <w:rsid w:val="00D14721"/>
    <w:rsid w:val="00D1496A"/>
    <w:rsid w:val="00D14B71"/>
    <w:rsid w:val="00D14BC0"/>
    <w:rsid w:val="00D14C78"/>
    <w:rsid w:val="00D14CBA"/>
    <w:rsid w:val="00D14DE5"/>
    <w:rsid w:val="00D14F08"/>
    <w:rsid w:val="00D14F7B"/>
    <w:rsid w:val="00D14FC9"/>
    <w:rsid w:val="00D14FFC"/>
    <w:rsid w:val="00D150C8"/>
    <w:rsid w:val="00D15102"/>
    <w:rsid w:val="00D151C9"/>
    <w:rsid w:val="00D1538E"/>
    <w:rsid w:val="00D15496"/>
    <w:rsid w:val="00D156C9"/>
    <w:rsid w:val="00D156DB"/>
    <w:rsid w:val="00D1570A"/>
    <w:rsid w:val="00D1589C"/>
    <w:rsid w:val="00D15958"/>
    <w:rsid w:val="00D159C5"/>
    <w:rsid w:val="00D15A71"/>
    <w:rsid w:val="00D15ACB"/>
    <w:rsid w:val="00D15ADB"/>
    <w:rsid w:val="00D15B5C"/>
    <w:rsid w:val="00D15B87"/>
    <w:rsid w:val="00D15BF9"/>
    <w:rsid w:val="00D15C71"/>
    <w:rsid w:val="00D15C9D"/>
    <w:rsid w:val="00D15D30"/>
    <w:rsid w:val="00D15EC7"/>
    <w:rsid w:val="00D160C6"/>
    <w:rsid w:val="00D1628C"/>
    <w:rsid w:val="00D1647D"/>
    <w:rsid w:val="00D16484"/>
    <w:rsid w:val="00D164BC"/>
    <w:rsid w:val="00D16569"/>
    <w:rsid w:val="00D16591"/>
    <w:rsid w:val="00D16785"/>
    <w:rsid w:val="00D168E7"/>
    <w:rsid w:val="00D1696F"/>
    <w:rsid w:val="00D16D89"/>
    <w:rsid w:val="00D16EDA"/>
    <w:rsid w:val="00D16F73"/>
    <w:rsid w:val="00D170C1"/>
    <w:rsid w:val="00D17200"/>
    <w:rsid w:val="00D174D5"/>
    <w:rsid w:val="00D17508"/>
    <w:rsid w:val="00D17547"/>
    <w:rsid w:val="00D175F8"/>
    <w:rsid w:val="00D17663"/>
    <w:rsid w:val="00D17702"/>
    <w:rsid w:val="00D177E1"/>
    <w:rsid w:val="00D179A5"/>
    <w:rsid w:val="00D17ABF"/>
    <w:rsid w:val="00D17B81"/>
    <w:rsid w:val="00D17CF8"/>
    <w:rsid w:val="00D17D3A"/>
    <w:rsid w:val="00D202AC"/>
    <w:rsid w:val="00D20361"/>
    <w:rsid w:val="00D20379"/>
    <w:rsid w:val="00D20389"/>
    <w:rsid w:val="00D203D0"/>
    <w:rsid w:val="00D20678"/>
    <w:rsid w:val="00D20793"/>
    <w:rsid w:val="00D207F6"/>
    <w:rsid w:val="00D208CD"/>
    <w:rsid w:val="00D20A6F"/>
    <w:rsid w:val="00D20EDC"/>
    <w:rsid w:val="00D210D2"/>
    <w:rsid w:val="00D2110F"/>
    <w:rsid w:val="00D21298"/>
    <w:rsid w:val="00D215C9"/>
    <w:rsid w:val="00D21675"/>
    <w:rsid w:val="00D216B2"/>
    <w:rsid w:val="00D21772"/>
    <w:rsid w:val="00D21818"/>
    <w:rsid w:val="00D219B8"/>
    <w:rsid w:val="00D21BE7"/>
    <w:rsid w:val="00D21C57"/>
    <w:rsid w:val="00D21D6F"/>
    <w:rsid w:val="00D21DD5"/>
    <w:rsid w:val="00D21F5D"/>
    <w:rsid w:val="00D21FAB"/>
    <w:rsid w:val="00D221A5"/>
    <w:rsid w:val="00D22390"/>
    <w:rsid w:val="00D22484"/>
    <w:rsid w:val="00D22525"/>
    <w:rsid w:val="00D22566"/>
    <w:rsid w:val="00D2267D"/>
    <w:rsid w:val="00D226E8"/>
    <w:rsid w:val="00D2275E"/>
    <w:rsid w:val="00D22916"/>
    <w:rsid w:val="00D22936"/>
    <w:rsid w:val="00D2297C"/>
    <w:rsid w:val="00D229D7"/>
    <w:rsid w:val="00D22B00"/>
    <w:rsid w:val="00D22B2E"/>
    <w:rsid w:val="00D22BAD"/>
    <w:rsid w:val="00D22BD8"/>
    <w:rsid w:val="00D22DAB"/>
    <w:rsid w:val="00D22F9B"/>
    <w:rsid w:val="00D22FB9"/>
    <w:rsid w:val="00D2305B"/>
    <w:rsid w:val="00D230F5"/>
    <w:rsid w:val="00D231FD"/>
    <w:rsid w:val="00D23223"/>
    <w:rsid w:val="00D23228"/>
    <w:rsid w:val="00D233AE"/>
    <w:rsid w:val="00D23530"/>
    <w:rsid w:val="00D23532"/>
    <w:rsid w:val="00D23543"/>
    <w:rsid w:val="00D237B3"/>
    <w:rsid w:val="00D23809"/>
    <w:rsid w:val="00D239CB"/>
    <w:rsid w:val="00D23A08"/>
    <w:rsid w:val="00D23AAC"/>
    <w:rsid w:val="00D23C0D"/>
    <w:rsid w:val="00D23C93"/>
    <w:rsid w:val="00D23CB3"/>
    <w:rsid w:val="00D23D64"/>
    <w:rsid w:val="00D23D94"/>
    <w:rsid w:val="00D24064"/>
    <w:rsid w:val="00D24181"/>
    <w:rsid w:val="00D242D8"/>
    <w:rsid w:val="00D245E8"/>
    <w:rsid w:val="00D24742"/>
    <w:rsid w:val="00D24763"/>
    <w:rsid w:val="00D24962"/>
    <w:rsid w:val="00D2498F"/>
    <w:rsid w:val="00D249C9"/>
    <w:rsid w:val="00D24A6E"/>
    <w:rsid w:val="00D24E9A"/>
    <w:rsid w:val="00D24EED"/>
    <w:rsid w:val="00D24FB5"/>
    <w:rsid w:val="00D25069"/>
    <w:rsid w:val="00D250EF"/>
    <w:rsid w:val="00D250FA"/>
    <w:rsid w:val="00D251D0"/>
    <w:rsid w:val="00D2529E"/>
    <w:rsid w:val="00D25435"/>
    <w:rsid w:val="00D2544D"/>
    <w:rsid w:val="00D25536"/>
    <w:rsid w:val="00D25540"/>
    <w:rsid w:val="00D25658"/>
    <w:rsid w:val="00D259F0"/>
    <w:rsid w:val="00D25AFA"/>
    <w:rsid w:val="00D25DA2"/>
    <w:rsid w:val="00D25E11"/>
    <w:rsid w:val="00D25E29"/>
    <w:rsid w:val="00D25F3C"/>
    <w:rsid w:val="00D26097"/>
    <w:rsid w:val="00D260AF"/>
    <w:rsid w:val="00D261CA"/>
    <w:rsid w:val="00D262EA"/>
    <w:rsid w:val="00D26657"/>
    <w:rsid w:val="00D26891"/>
    <w:rsid w:val="00D268F0"/>
    <w:rsid w:val="00D26948"/>
    <w:rsid w:val="00D269E1"/>
    <w:rsid w:val="00D26A1C"/>
    <w:rsid w:val="00D26A43"/>
    <w:rsid w:val="00D26B78"/>
    <w:rsid w:val="00D26C49"/>
    <w:rsid w:val="00D26EFD"/>
    <w:rsid w:val="00D26F2B"/>
    <w:rsid w:val="00D26F36"/>
    <w:rsid w:val="00D26F48"/>
    <w:rsid w:val="00D27053"/>
    <w:rsid w:val="00D270B7"/>
    <w:rsid w:val="00D270E3"/>
    <w:rsid w:val="00D27175"/>
    <w:rsid w:val="00D271BD"/>
    <w:rsid w:val="00D27216"/>
    <w:rsid w:val="00D27242"/>
    <w:rsid w:val="00D272F7"/>
    <w:rsid w:val="00D2748A"/>
    <w:rsid w:val="00D27510"/>
    <w:rsid w:val="00D275C3"/>
    <w:rsid w:val="00D276C1"/>
    <w:rsid w:val="00D276C8"/>
    <w:rsid w:val="00D27B1B"/>
    <w:rsid w:val="00D27B89"/>
    <w:rsid w:val="00D27BEC"/>
    <w:rsid w:val="00D27C57"/>
    <w:rsid w:val="00D27D56"/>
    <w:rsid w:val="00D27DE7"/>
    <w:rsid w:val="00D27E1E"/>
    <w:rsid w:val="00D27F79"/>
    <w:rsid w:val="00D3003A"/>
    <w:rsid w:val="00D300D7"/>
    <w:rsid w:val="00D302DD"/>
    <w:rsid w:val="00D303A6"/>
    <w:rsid w:val="00D30439"/>
    <w:rsid w:val="00D304E2"/>
    <w:rsid w:val="00D30564"/>
    <w:rsid w:val="00D30703"/>
    <w:rsid w:val="00D30722"/>
    <w:rsid w:val="00D30748"/>
    <w:rsid w:val="00D3077F"/>
    <w:rsid w:val="00D30925"/>
    <w:rsid w:val="00D30AB3"/>
    <w:rsid w:val="00D30AEF"/>
    <w:rsid w:val="00D30AF1"/>
    <w:rsid w:val="00D30CB8"/>
    <w:rsid w:val="00D30DA0"/>
    <w:rsid w:val="00D30DDD"/>
    <w:rsid w:val="00D30E05"/>
    <w:rsid w:val="00D311E3"/>
    <w:rsid w:val="00D3127B"/>
    <w:rsid w:val="00D314AC"/>
    <w:rsid w:val="00D3156C"/>
    <w:rsid w:val="00D31694"/>
    <w:rsid w:val="00D316B0"/>
    <w:rsid w:val="00D3172C"/>
    <w:rsid w:val="00D317D6"/>
    <w:rsid w:val="00D31869"/>
    <w:rsid w:val="00D31989"/>
    <w:rsid w:val="00D31ACA"/>
    <w:rsid w:val="00D31B11"/>
    <w:rsid w:val="00D31B44"/>
    <w:rsid w:val="00D31B74"/>
    <w:rsid w:val="00D31C75"/>
    <w:rsid w:val="00D31C7A"/>
    <w:rsid w:val="00D31D00"/>
    <w:rsid w:val="00D31DEA"/>
    <w:rsid w:val="00D31E39"/>
    <w:rsid w:val="00D31EF7"/>
    <w:rsid w:val="00D31F64"/>
    <w:rsid w:val="00D32032"/>
    <w:rsid w:val="00D320B0"/>
    <w:rsid w:val="00D320B1"/>
    <w:rsid w:val="00D322DB"/>
    <w:rsid w:val="00D326BF"/>
    <w:rsid w:val="00D3280F"/>
    <w:rsid w:val="00D32871"/>
    <w:rsid w:val="00D328C6"/>
    <w:rsid w:val="00D32C39"/>
    <w:rsid w:val="00D32EB6"/>
    <w:rsid w:val="00D32F39"/>
    <w:rsid w:val="00D33120"/>
    <w:rsid w:val="00D33121"/>
    <w:rsid w:val="00D332A8"/>
    <w:rsid w:val="00D33326"/>
    <w:rsid w:val="00D3390B"/>
    <w:rsid w:val="00D3398E"/>
    <w:rsid w:val="00D33A63"/>
    <w:rsid w:val="00D33A92"/>
    <w:rsid w:val="00D33B50"/>
    <w:rsid w:val="00D33B54"/>
    <w:rsid w:val="00D33C9E"/>
    <w:rsid w:val="00D33D75"/>
    <w:rsid w:val="00D33F51"/>
    <w:rsid w:val="00D3431C"/>
    <w:rsid w:val="00D345A8"/>
    <w:rsid w:val="00D34641"/>
    <w:rsid w:val="00D34647"/>
    <w:rsid w:val="00D346DA"/>
    <w:rsid w:val="00D347B8"/>
    <w:rsid w:val="00D34856"/>
    <w:rsid w:val="00D348D1"/>
    <w:rsid w:val="00D34938"/>
    <w:rsid w:val="00D34BC6"/>
    <w:rsid w:val="00D34D17"/>
    <w:rsid w:val="00D35137"/>
    <w:rsid w:val="00D353D8"/>
    <w:rsid w:val="00D353F1"/>
    <w:rsid w:val="00D3545D"/>
    <w:rsid w:val="00D354FD"/>
    <w:rsid w:val="00D356D5"/>
    <w:rsid w:val="00D35B35"/>
    <w:rsid w:val="00D35CA5"/>
    <w:rsid w:val="00D35DDF"/>
    <w:rsid w:val="00D35E3B"/>
    <w:rsid w:val="00D35F2F"/>
    <w:rsid w:val="00D35F4A"/>
    <w:rsid w:val="00D36087"/>
    <w:rsid w:val="00D36269"/>
    <w:rsid w:val="00D3649C"/>
    <w:rsid w:val="00D364D1"/>
    <w:rsid w:val="00D36520"/>
    <w:rsid w:val="00D365C1"/>
    <w:rsid w:val="00D36604"/>
    <w:rsid w:val="00D36616"/>
    <w:rsid w:val="00D36718"/>
    <w:rsid w:val="00D3678F"/>
    <w:rsid w:val="00D3682B"/>
    <w:rsid w:val="00D368ED"/>
    <w:rsid w:val="00D369C1"/>
    <w:rsid w:val="00D36C7F"/>
    <w:rsid w:val="00D36C97"/>
    <w:rsid w:val="00D36DD4"/>
    <w:rsid w:val="00D36DDF"/>
    <w:rsid w:val="00D37212"/>
    <w:rsid w:val="00D3723E"/>
    <w:rsid w:val="00D3751F"/>
    <w:rsid w:val="00D37539"/>
    <w:rsid w:val="00D3769E"/>
    <w:rsid w:val="00D377A7"/>
    <w:rsid w:val="00D377F0"/>
    <w:rsid w:val="00D37998"/>
    <w:rsid w:val="00D37A56"/>
    <w:rsid w:val="00D37B4C"/>
    <w:rsid w:val="00D37C0C"/>
    <w:rsid w:val="00D37C90"/>
    <w:rsid w:val="00D37E36"/>
    <w:rsid w:val="00D37E88"/>
    <w:rsid w:val="00D40200"/>
    <w:rsid w:val="00D40290"/>
    <w:rsid w:val="00D402D3"/>
    <w:rsid w:val="00D403F2"/>
    <w:rsid w:val="00D40627"/>
    <w:rsid w:val="00D40796"/>
    <w:rsid w:val="00D407F0"/>
    <w:rsid w:val="00D40B56"/>
    <w:rsid w:val="00D40CF9"/>
    <w:rsid w:val="00D40D4D"/>
    <w:rsid w:val="00D40DED"/>
    <w:rsid w:val="00D40F89"/>
    <w:rsid w:val="00D41046"/>
    <w:rsid w:val="00D410C8"/>
    <w:rsid w:val="00D4131F"/>
    <w:rsid w:val="00D413C1"/>
    <w:rsid w:val="00D413CF"/>
    <w:rsid w:val="00D41444"/>
    <w:rsid w:val="00D4170C"/>
    <w:rsid w:val="00D4179E"/>
    <w:rsid w:val="00D418AD"/>
    <w:rsid w:val="00D418EC"/>
    <w:rsid w:val="00D41B71"/>
    <w:rsid w:val="00D41B7D"/>
    <w:rsid w:val="00D41B89"/>
    <w:rsid w:val="00D41B99"/>
    <w:rsid w:val="00D41BDD"/>
    <w:rsid w:val="00D41C30"/>
    <w:rsid w:val="00D41F50"/>
    <w:rsid w:val="00D422AA"/>
    <w:rsid w:val="00D4231C"/>
    <w:rsid w:val="00D4235E"/>
    <w:rsid w:val="00D424D3"/>
    <w:rsid w:val="00D42516"/>
    <w:rsid w:val="00D425C6"/>
    <w:rsid w:val="00D427A6"/>
    <w:rsid w:val="00D429E4"/>
    <w:rsid w:val="00D42DD4"/>
    <w:rsid w:val="00D42E1B"/>
    <w:rsid w:val="00D42F97"/>
    <w:rsid w:val="00D42FD8"/>
    <w:rsid w:val="00D42FDF"/>
    <w:rsid w:val="00D4300F"/>
    <w:rsid w:val="00D43064"/>
    <w:rsid w:val="00D4308F"/>
    <w:rsid w:val="00D43598"/>
    <w:rsid w:val="00D435D6"/>
    <w:rsid w:val="00D438AC"/>
    <w:rsid w:val="00D43953"/>
    <w:rsid w:val="00D43979"/>
    <w:rsid w:val="00D43996"/>
    <w:rsid w:val="00D439F6"/>
    <w:rsid w:val="00D43A93"/>
    <w:rsid w:val="00D43AA9"/>
    <w:rsid w:val="00D43B63"/>
    <w:rsid w:val="00D43BC2"/>
    <w:rsid w:val="00D43ED1"/>
    <w:rsid w:val="00D43FD4"/>
    <w:rsid w:val="00D441C3"/>
    <w:rsid w:val="00D441E0"/>
    <w:rsid w:val="00D4435B"/>
    <w:rsid w:val="00D444A9"/>
    <w:rsid w:val="00D444FF"/>
    <w:rsid w:val="00D446AF"/>
    <w:rsid w:val="00D4477A"/>
    <w:rsid w:val="00D448F0"/>
    <w:rsid w:val="00D4490C"/>
    <w:rsid w:val="00D44A92"/>
    <w:rsid w:val="00D44C5A"/>
    <w:rsid w:val="00D44DD7"/>
    <w:rsid w:val="00D450BA"/>
    <w:rsid w:val="00D450D1"/>
    <w:rsid w:val="00D451EB"/>
    <w:rsid w:val="00D45250"/>
    <w:rsid w:val="00D4563D"/>
    <w:rsid w:val="00D45796"/>
    <w:rsid w:val="00D458C5"/>
    <w:rsid w:val="00D458EB"/>
    <w:rsid w:val="00D459BD"/>
    <w:rsid w:val="00D45ABD"/>
    <w:rsid w:val="00D45B7C"/>
    <w:rsid w:val="00D45CD1"/>
    <w:rsid w:val="00D45D26"/>
    <w:rsid w:val="00D45DED"/>
    <w:rsid w:val="00D4602B"/>
    <w:rsid w:val="00D46147"/>
    <w:rsid w:val="00D461B1"/>
    <w:rsid w:val="00D4623D"/>
    <w:rsid w:val="00D46321"/>
    <w:rsid w:val="00D46380"/>
    <w:rsid w:val="00D46382"/>
    <w:rsid w:val="00D46392"/>
    <w:rsid w:val="00D465F3"/>
    <w:rsid w:val="00D4668D"/>
    <w:rsid w:val="00D46830"/>
    <w:rsid w:val="00D46870"/>
    <w:rsid w:val="00D46892"/>
    <w:rsid w:val="00D46B17"/>
    <w:rsid w:val="00D46BBF"/>
    <w:rsid w:val="00D46BFE"/>
    <w:rsid w:val="00D46CDB"/>
    <w:rsid w:val="00D46EEA"/>
    <w:rsid w:val="00D46F47"/>
    <w:rsid w:val="00D47054"/>
    <w:rsid w:val="00D4705C"/>
    <w:rsid w:val="00D4717C"/>
    <w:rsid w:val="00D471F9"/>
    <w:rsid w:val="00D47213"/>
    <w:rsid w:val="00D47233"/>
    <w:rsid w:val="00D473C7"/>
    <w:rsid w:val="00D47555"/>
    <w:rsid w:val="00D47572"/>
    <w:rsid w:val="00D4786A"/>
    <w:rsid w:val="00D4789E"/>
    <w:rsid w:val="00D47936"/>
    <w:rsid w:val="00D47AF8"/>
    <w:rsid w:val="00D47D89"/>
    <w:rsid w:val="00D47E88"/>
    <w:rsid w:val="00D50163"/>
    <w:rsid w:val="00D5024D"/>
    <w:rsid w:val="00D504AA"/>
    <w:rsid w:val="00D5054D"/>
    <w:rsid w:val="00D50647"/>
    <w:rsid w:val="00D5070F"/>
    <w:rsid w:val="00D5090F"/>
    <w:rsid w:val="00D50952"/>
    <w:rsid w:val="00D50A04"/>
    <w:rsid w:val="00D50B9B"/>
    <w:rsid w:val="00D50C7F"/>
    <w:rsid w:val="00D50CAE"/>
    <w:rsid w:val="00D50EDB"/>
    <w:rsid w:val="00D50F1F"/>
    <w:rsid w:val="00D50FC0"/>
    <w:rsid w:val="00D511A1"/>
    <w:rsid w:val="00D511C3"/>
    <w:rsid w:val="00D5159C"/>
    <w:rsid w:val="00D515F4"/>
    <w:rsid w:val="00D5173E"/>
    <w:rsid w:val="00D51740"/>
    <w:rsid w:val="00D51794"/>
    <w:rsid w:val="00D51829"/>
    <w:rsid w:val="00D51899"/>
    <w:rsid w:val="00D5198F"/>
    <w:rsid w:val="00D51994"/>
    <w:rsid w:val="00D52093"/>
    <w:rsid w:val="00D52158"/>
    <w:rsid w:val="00D523F7"/>
    <w:rsid w:val="00D524A0"/>
    <w:rsid w:val="00D52656"/>
    <w:rsid w:val="00D52663"/>
    <w:rsid w:val="00D52757"/>
    <w:rsid w:val="00D52817"/>
    <w:rsid w:val="00D528F6"/>
    <w:rsid w:val="00D52B9E"/>
    <w:rsid w:val="00D52C21"/>
    <w:rsid w:val="00D52CD5"/>
    <w:rsid w:val="00D52E57"/>
    <w:rsid w:val="00D52FEB"/>
    <w:rsid w:val="00D531AA"/>
    <w:rsid w:val="00D535EB"/>
    <w:rsid w:val="00D53752"/>
    <w:rsid w:val="00D5377E"/>
    <w:rsid w:val="00D537D1"/>
    <w:rsid w:val="00D537F6"/>
    <w:rsid w:val="00D538BE"/>
    <w:rsid w:val="00D538E8"/>
    <w:rsid w:val="00D539E7"/>
    <w:rsid w:val="00D53C29"/>
    <w:rsid w:val="00D53C2E"/>
    <w:rsid w:val="00D53ECE"/>
    <w:rsid w:val="00D53F87"/>
    <w:rsid w:val="00D5403E"/>
    <w:rsid w:val="00D5416E"/>
    <w:rsid w:val="00D541C9"/>
    <w:rsid w:val="00D542BD"/>
    <w:rsid w:val="00D542C2"/>
    <w:rsid w:val="00D5445B"/>
    <w:rsid w:val="00D5447D"/>
    <w:rsid w:val="00D5452A"/>
    <w:rsid w:val="00D54577"/>
    <w:rsid w:val="00D547F6"/>
    <w:rsid w:val="00D54BBF"/>
    <w:rsid w:val="00D54C0E"/>
    <w:rsid w:val="00D54C2E"/>
    <w:rsid w:val="00D54D6D"/>
    <w:rsid w:val="00D54E82"/>
    <w:rsid w:val="00D54EC7"/>
    <w:rsid w:val="00D54FB7"/>
    <w:rsid w:val="00D5511C"/>
    <w:rsid w:val="00D55223"/>
    <w:rsid w:val="00D552FE"/>
    <w:rsid w:val="00D553C1"/>
    <w:rsid w:val="00D554A7"/>
    <w:rsid w:val="00D5560F"/>
    <w:rsid w:val="00D5591E"/>
    <w:rsid w:val="00D5594D"/>
    <w:rsid w:val="00D55971"/>
    <w:rsid w:val="00D55BE7"/>
    <w:rsid w:val="00D55D6C"/>
    <w:rsid w:val="00D55DAA"/>
    <w:rsid w:val="00D55FD3"/>
    <w:rsid w:val="00D55FD7"/>
    <w:rsid w:val="00D56164"/>
    <w:rsid w:val="00D5629E"/>
    <w:rsid w:val="00D56318"/>
    <w:rsid w:val="00D5648C"/>
    <w:rsid w:val="00D56521"/>
    <w:rsid w:val="00D565CE"/>
    <w:rsid w:val="00D56662"/>
    <w:rsid w:val="00D568C3"/>
    <w:rsid w:val="00D56ADC"/>
    <w:rsid w:val="00D56DEE"/>
    <w:rsid w:val="00D57187"/>
    <w:rsid w:val="00D57314"/>
    <w:rsid w:val="00D574AE"/>
    <w:rsid w:val="00D574C8"/>
    <w:rsid w:val="00D577FB"/>
    <w:rsid w:val="00D5785D"/>
    <w:rsid w:val="00D5791C"/>
    <w:rsid w:val="00D57A71"/>
    <w:rsid w:val="00D57C7B"/>
    <w:rsid w:val="00D601D0"/>
    <w:rsid w:val="00D601E2"/>
    <w:rsid w:val="00D60241"/>
    <w:rsid w:val="00D6050B"/>
    <w:rsid w:val="00D605CB"/>
    <w:rsid w:val="00D60826"/>
    <w:rsid w:val="00D60A6D"/>
    <w:rsid w:val="00D60B6C"/>
    <w:rsid w:val="00D60C86"/>
    <w:rsid w:val="00D60E6A"/>
    <w:rsid w:val="00D60F53"/>
    <w:rsid w:val="00D6139B"/>
    <w:rsid w:val="00D613AA"/>
    <w:rsid w:val="00D614AE"/>
    <w:rsid w:val="00D61907"/>
    <w:rsid w:val="00D619B5"/>
    <w:rsid w:val="00D61D59"/>
    <w:rsid w:val="00D61F6A"/>
    <w:rsid w:val="00D61FE7"/>
    <w:rsid w:val="00D621AB"/>
    <w:rsid w:val="00D622F0"/>
    <w:rsid w:val="00D62416"/>
    <w:rsid w:val="00D62780"/>
    <w:rsid w:val="00D6281F"/>
    <w:rsid w:val="00D628AD"/>
    <w:rsid w:val="00D628F5"/>
    <w:rsid w:val="00D62A27"/>
    <w:rsid w:val="00D62AB0"/>
    <w:rsid w:val="00D62AB9"/>
    <w:rsid w:val="00D62E16"/>
    <w:rsid w:val="00D62F16"/>
    <w:rsid w:val="00D630CD"/>
    <w:rsid w:val="00D63159"/>
    <w:rsid w:val="00D63342"/>
    <w:rsid w:val="00D633AF"/>
    <w:rsid w:val="00D634EA"/>
    <w:rsid w:val="00D63609"/>
    <w:rsid w:val="00D6370A"/>
    <w:rsid w:val="00D637C9"/>
    <w:rsid w:val="00D637CA"/>
    <w:rsid w:val="00D6380A"/>
    <w:rsid w:val="00D6388C"/>
    <w:rsid w:val="00D63968"/>
    <w:rsid w:val="00D63BEC"/>
    <w:rsid w:val="00D63DD1"/>
    <w:rsid w:val="00D63EAE"/>
    <w:rsid w:val="00D64021"/>
    <w:rsid w:val="00D64048"/>
    <w:rsid w:val="00D64109"/>
    <w:rsid w:val="00D64145"/>
    <w:rsid w:val="00D64172"/>
    <w:rsid w:val="00D643F6"/>
    <w:rsid w:val="00D645A9"/>
    <w:rsid w:val="00D64625"/>
    <w:rsid w:val="00D64782"/>
    <w:rsid w:val="00D64865"/>
    <w:rsid w:val="00D648FA"/>
    <w:rsid w:val="00D6491B"/>
    <w:rsid w:val="00D649A8"/>
    <w:rsid w:val="00D649B1"/>
    <w:rsid w:val="00D64B4A"/>
    <w:rsid w:val="00D64C34"/>
    <w:rsid w:val="00D64CEC"/>
    <w:rsid w:val="00D64E79"/>
    <w:rsid w:val="00D64FA5"/>
    <w:rsid w:val="00D6507A"/>
    <w:rsid w:val="00D65585"/>
    <w:rsid w:val="00D6571A"/>
    <w:rsid w:val="00D65758"/>
    <w:rsid w:val="00D659E4"/>
    <w:rsid w:val="00D65A3B"/>
    <w:rsid w:val="00D65A63"/>
    <w:rsid w:val="00D65ABB"/>
    <w:rsid w:val="00D65FC7"/>
    <w:rsid w:val="00D6661D"/>
    <w:rsid w:val="00D66795"/>
    <w:rsid w:val="00D6686E"/>
    <w:rsid w:val="00D668C5"/>
    <w:rsid w:val="00D66B1D"/>
    <w:rsid w:val="00D66B40"/>
    <w:rsid w:val="00D66B8A"/>
    <w:rsid w:val="00D66BC9"/>
    <w:rsid w:val="00D66C78"/>
    <w:rsid w:val="00D66E8F"/>
    <w:rsid w:val="00D66EB2"/>
    <w:rsid w:val="00D66F30"/>
    <w:rsid w:val="00D6701A"/>
    <w:rsid w:val="00D67099"/>
    <w:rsid w:val="00D673A7"/>
    <w:rsid w:val="00D6749D"/>
    <w:rsid w:val="00D674A5"/>
    <w:rsid w:val="00D67500"/>
    <w:rsid w:val="00D6761E"/>
    <w:rsid w:val="00D67894"/>
    <w:rsid w:val="00D67A96"/>
    <w:rsid w:val="00D67A97"/>
    <w:rsid w:val="00D67AB5"/>
    <w:rsid w:val="00D67AE4"/>
    <w:rsid w:val="00D67D22"/>
    <w:rsid w:val="00D67D2D"/>
    <w:rsid w:val="00D67D4C"/>
    <w:rsid w:val="00D67E38"/>
    <w:rsid w:val="00D67E57"/>
    <w:rsid w:val="00D67F86"/>
    <w:rsid w:val="00D67FFB"/>
    <w:rsid w:val="00D7007C"/>
    <w:rsid w:val="00D700A3"/>
    <w:rsid w:val="00D70199"/>
    <w:rsid w:val="00D703AE"/>
    <w:rsid w:val="00D70407"/>
    <w:rsid w:val="00D70667"/>
    <w:rsid w:val="00D70697"/>
    <w:rsid w:val="00D708AC"/>
    <w:rsid w:val="00D70906"/>
    <w:rsid w:val="00D70965"/>
    <w:rsid w:val="00D70A70"/>
    <w:rsid w:val="00D70D44"/>
    <w:rsid w:val="00D70EF3"/>
    <w:rsid w:val="00D70F6F"/>
    <w:rsid w:val="00D7111B"/>
    <w:rsid w:val="00D712D6"/>
    <w:rsid w:val="00D7130B"/>
    <w:rsid w:val="00D714FC"/>
    <w:rsid w:val="00D715D5"/>
    <w:rsid w:val="00D71716"/>
    <w:rsid w:val="00D7171E"/>
    <w:rsid w:val="00D71903"/>
    <w:rsid w:val="00D71A07"/>
    <w:rsid w:val="00D71D08"/>
    <w:rsid w:val="00D721B0"/>
    <w:rsid w:val="00D721E8"/>
    <w:rsid w:val="00D72280"/>
    <w:rsid w:val="00D7231D"/>
    <w:rsid w:val="00D72419"/>
    <w:rsid w:val="00D72575"/>
    <w:rsid w:val="00D7265C"/>
    <w:rsid w:val="00D7274C"/>
    <w:rsid w:val="00D727CB"/>
    <w:rsid w:val="00D72893"/>
    <w:rsid w:val="00D72B3A"/>
    <w:rsid w:val="00D72B7E"/>
    <w:rsid w:val="00D72E70"/>
    <w:rsid w:val="00D72E78"/>
    <w:rsid w:val="00D73243"/>
    <w:rsid w:val="00D73871"/>
    <w:rsid w:val="00D7395E"/>
    <w:rsid w:val="00D739C7"/>
    <w:rsid w:val="00D73CA4"/>
    <w:rsid w:val="00D73D9A"/>
    <w:rsid w:val="00D73E37"/>
    <w:rsid w:val="00D73E4A"/>
    <w:rsid w:val="00D73E5F"/>
    <w:rsid w:val="00D73ED6"/>
    <w:rsid w:val="00D73F44"/>
    <w:rsid w:val="00D7401A"/>
    <w:rsid w:val="00D7421D"/>
    <w:rsid w:val="00D743CE"/>
    <w:rsid w:val="00D74448"/>
    <w:rsid w:val="00D745A0"/>
    <w:rsid w:val="00D74690"/>
    <w:rsid w:val="00D74811"/>
    <w:rsid w:val="00D74866"/>
    <w:rsid w:val="00D7489B"/>
    <w:rsid w:val="00D74A25"/>
    <w:rsid w:val="00D74C1B"/>
    <w:rsid w:val="00D74C83"/>
    <w:rsid w:val="00D74CA5"/>
    <w:rsid w:val="00D74CC1"/>
    <w:rsid w:val="00D74D02"/>
    <w:rsid w:val="00D74DEB"/>
    <w:rsid w:val="00D74E39"/>
    <w:rsid w:val="00D74EB6"/>
    <w:rsid w:val="00D74ED2"/>
    <w:rsid w:val="00D74FAD"/>
    <w:rsid w:val="00D7510A"/>
    <w:rsid w:val="00D75282"/>
    <w:rsid w:val="00D7540F"/>
    <w:rsid w:val="00D75437"/>
    <w:rsid w:val="00D7547A"/>
    <w:rsid w:val="00D75534"/>
    <w:rsid w:val="00D75603"/>
    <w:rsid w:val="00D759DF"/>
    <w:rsid w:val="00D75BE7"/>
    <w:rsid w:val="00D75C44"/>
    <w:rsid w:val="00D75C63"/>
    <w:rsid w:val="00D75D02"/>
    <w:rsid w:val="00D75DFB"/>
    <w:rsid w:val="00D76097"/>
    <w:rsid w:val="00D760F3"/>
    <w:rsid w:val="00D76104"/>
    <w:rsid w:val="00D7610A"/>
    <w:rsid w:val="00D76145"/>
    <w:rsid w:val="00D761AC"/>
    <w:rsid w:val="00D7633B"/>
    <w:rsid w:val="00D764FF"/>
    <w:rsid w:val="00D765BC"/>
    <w:rsid w:val="00D765E2"/>
    <w:rsid w:val="00D766F9"/>
    <w:rsid w:val="00D769B9"/>
    <w:rsid w:val="00D769F7"/>
    <w:rsid w:val="00D76A73"/>
    <w:rsid w:val="00D76C92"/>
    <w:rsid w:val="00D76C9B"/>
    <w:rsid w:val="00D76D57"/>
    <w:rsid w:val="00D76E60"/>
    <w:rsid w:val="00D76F82"/>
    <w:rsid w:val="00D7704D"/>
    <w:rsid w:val="00D770E6"/>
    <w:rsid w:val="00D771A9"/>
    <w:rsid w:val="00D771D8"/>
    <w:rsid w:val="00D771EF"/>
    <w:rsid w:val="00D7748C"/>
    <w:rsid w:val="00D77644"/>
    <w:rsid w:val="00D77715"/>
    <w:rsid w:val="00D77A11"/>
    <w:rsid w:val="00D77A96"/>
    <w:rsid w:val="00D77B06"/>
    <w:rsid w:val="00D77DE5"/>
    <w:rsid w:val="00D77F06"/>
    <w:rsid w:val="00D80199"/>
    <w:rsid w:val="00D801CE"/>
    <w:rsid w:val="00D8028E"/>
    <w:rsid w:val="00D802E9"/>
    <w:rsid w:val="00D802F0"/>
    <w:rsid w:val="00D80410"/>
    <w:rsid w:val="00D805AE"/>
    <w:rsid w:val="00D806CA"/>
    <w:rsid w:val="00D8070B"/>
    <w:rsid w:val="00D80717"/>
    <w:rsid w:val="00D807A3"/>
    <w:rsid w:val="00D807B8"/>
    <w:rsid w:val="00D80A0C"/>
    <w:rsid w:val="00D80A55"/>
    <w:rsid w:val="00D80ABB"/>
    <w:rsid w:val="00D80AFD"/>
    <w:rsid w:val="00D80C25"/>
    <w:rsid w:val="00D80C4B"/>
    <w:rsid w:val="00D80CFF"/>
    <w:rsid w:val="00D81052"/>
    <w:rsid w:val="00D81061"/>
    <w:rsid w:val="00D81202"/>
    <w:rsid w:val="00D8131E"/>
    <w:rsid w:val="00D8152A"/>
    <w:rsid w:val="00D815FB"/>
    <w:rsid w:val="00D818EF"/>
    <w:rsid w:val="00D81938"/>
    <w:rsid w:val="00D81948"/>
    <w:rsid w:val="00D81A73"/>
    <w:rsid w:val="00D81AAD"/>
    <w:rsid w:val="00D81BD9"/>
    <w:rsid w:val="00D81C45"/>
    <w:rsid w:val="00D81CC5"/>
    <w:rsid w:val="00D81DA7"/>
    <w:rsid w:val="00D81E41"/>
    <w:rsid w:val="00D820EE"/>
    <w:rsid w:val="00D8215B"/>
    <w:rsid w:val="00D821BE"/>
    <w:rsid w:val="00D8223C"/>
    <w:rsid w:val="00D822AF"/>
    <w:rsid w:val="00D8234D"/>
    <w:rsid w:val="00D82495"/>
    <w:rsid w:val="00D82498"/>
    <w:rsid w:val="00D82520"/>
    <w:rsid w:val="00D825F6"/>
    <w:rsid w:val="00D82767"/>
    <w:rsid w:val="00D82882"/>
    <w:rsid w:val="00D8296E"/>
    <w:rsid w:val="00D82B52"/>
    <w:rsid w:val="00D82D63"/>
    <w:rsid w:val="00D83003"/>
    <w:rsid w:val="00D83152"/>
    <w:rsid w:val="00D832FF"/>
    <w:rsid w:val="00D83486"/>
    <w:rsid w:val="00D836A2"/>
    <w:rsid w:val="00D836A3"/>
    <w:rsid w:val="00D83711"/>
    <w:rsid w:val="00D837A4"/>
    <w:rsid w:val="00D837B1"/>
    <w:rsid w:val="00D837E3"/>
    <w:rsid w:val="00D83838"/>
    <w:rsid w:val="00D83A32"/>
    <w:rsid w:val="00D83DE6"/>
    <w:rsid w:val="00D83F6B"/>
    <w:rsid w:val="00D83FAD"/>
    <w:rsid w:val="00D840D0"/>
    <w:rsid w:val="00D8412C"/>
    <w:rsid w:val="00D84260"/>
    <w:rsid w:val="00D843E0"/>
    <w:rsid w:val="00D84441"/>
    <w:rsid w:val="00D84495"/>
    <w:rsid w:val="00D8453C"/>
    <w:rsid w:val="00D84963"/>
    <w:rsid w:val="00D84BC8"/>
    <w:rsid w:val="00D84BFC"/>
    <w:rsid w:val="00D84CC5"/>
    <w:rsid w:val="00D84D84"/>
    <w:rsid w:val="00D84EC5"/>
    <w:rsid w:val="00D84EDD"/>
    <w:rsid w:val="00D84F23"/>
    <w:rsid w:val="00D84F29"/>
    <w:rsid w:val="00D852B6"/>
    <w:rsid w:val="00D852D4"/>
    <w:rsid w:val="00D85628"/>
    <w:rsid w:val="00D8565D"/>
    <w:rsid w:val="00D8568E"/>
    <w:rsid w:val="00D8575F"/>
    <w:rsid w:val="00D85CEB"/>
    <w:rsid w:val="00D85E13"/>
    <w:rsid w:val="00D85E8C"/>
    <w:rsid w:val="00D86055"/>
    <w:rsid w:val="00D8608B"/>
    <w:rsid w:val="00D860A0"/>
    <w:rsid w:val="00D860E7"/>
    <w:rsid w:val="00D86116"/>
    <w:rsid w:val="00D861FE"/>
    <w:rsid w:val="00D8622B"/>
    <w:rsid w:val="00D86503"/>
    <w:rsid w:val="00D86589"/>
    <w:rsid w:val="00D865F2"/>
    <w:rsid w:val="00D867BD"/>
    <w:rsid w:val="00D86AED"/>
    <w:rsid w:val="00D86BFA"/>
    <w:rsid w:val="00D86C14"/>
    <w:rsid w:val="00D86C34"/>
    <w:rsid w:val="00D86DDA"/>
    <w:rsid w:val="00D86F9D"/>
    <w:rsid w:val="00D86FBD"/>
    <w:rsid w:val="00D871E1"/>
    <w:rsid w:val="00D87846"/>
    <w:rsid w:val="00D87896"/>
    <w:rsid w:val="00D879DD"/>
    <w:rsid w:val="00D87A45"/>
    <w:rsid w:val="00D87A46"/>
    <w:rsid w:val="00D87B3E"/>
    <w:rsid w:val="00D87BCB"/>
    <w:rsid w:val="00D87CA8"/>
    <w:rsid w:val="00D87D86"/>
    <w:rsid w:val="00D87EE5"/>
    <w:rsid w:val="00D87F8C"/>
    <w:rsid w:val="00D87FC8"/>
    <w:rsid w:val="00D87FF9"/>
    <w:rsid w:val="00D90174"/>
    <w:rsid w:val="00D90467"/>
    <w:rsid w:val="00D905B9"/>
    <w:rsid w:val="00D90847"/>
    <w:rsid w:val="00D908AE"/>
    <w:rsid w:val="00D90A4A"/>
    <w:rsid w:val="00D90AD6"/>
    <w:rsid w:val="00D90B58"/>
    <w:rsid w:val="00D90B78"/>
    <w:rsid w:val="00D90BBB"/>
    <w:rsid w:val="00D90C24"/>
    <w:rsid w:val="00D90C6A"/>
    <w:rsid w:val="00D90F5E"/>
    <w:rsid w:val="00D90F70"/>
    <w:rsid w:val="00D90F93"/>
    <w:rsid w:val="00D912CC"/>
    <w:rsid w:val="00D912D1"/>
    <w:rsid w:val="00D914A9"/>
    <w:rsid w:val="00D91581"/>
    <w:rsid w:val="00D91583"/>
    <w:rsid w:val="00D915CD"/>
    <w:rsid w:val="00D91958"/>
    <w:rsid w:val="00D91BB4"/>
    <w:rsid w:val="00D91D38"/>
    <w:rsid w:val="00D91E8F"/>
    <w:rsid w:val="00D91F02"/>
    <w:rsid w:val="00D923AB"/>
    <w:rsid w:val="00D9240E"/>
    <w:rsid w:val="00D9251D"/>
    <w:rsid w:val="00D92637"/>
    <w:rsid w:val="00D92723"/>
    <w:rsid w:val="00D92741"/>
    <w:rsid w:val="00D92791"/>
    <w:rsid w:val="00D92B0F"/>
    <w:rsid w:val="00D92B1A"/>
    <w:rsid w:val="00D92C7F"/>
    <w:rsid w:val="00D92CE3"/>
    <w:rsid w:val="00D92EA7"/>
    <w:rsid w:val="00D9303C"/>
    <w:rsid w:val="00D93060"/>
    <w:rsid w:val="00D93074"/>
    <w:rsid w:val="00D931AA"/>
    <w:rsid w:val="00D9325D"/>
    <w:rsid w:val="00D9329B"/>
    <w:rsid w:val="00D93324"/>
    <w:rsid w:val="00D93392"/>
    <w:rsid w:val="00D935DE"/>
    <w:rsid w:val="00D9381B"/>
    <w:rsid w:val="00D939B6"/>
    <w:rsid w:val="00D93A98"/>
    <w:rsid w:val="00D93B16"/>
    <w:rsid w:val="00D93B62"/>
    <w:rsid w:val="00D93CD9"/>
    <w:rsid w:val="00D93DE6"/>
    <w:rsid w:val="00D93ED4"/>
    <w:rsid w:val="00D93F85"/>
    <w:rsid w:val="00D940A6"/>
    <w:rsid w:val="00D941B7"/>
    <w:rsid w:val="00D94213"/>
    <w:rsid w:val="00D94316"/>
    <w:rsid w:val="00D945AF"/>
    <w:rsid w:val="00D949B9"/>
    <w:rsid w:val="00D94A42"/>
    <w:rsid w:val="00D94A71"/>
    <w:rsid w:val="00D94A81"/>
    <w:rsid w:val="00D94BBC"/>
    <w:rsid w:val="00D94BF4"/>
    <w:rsid w:val="00D94E38"/>
    <w:rsid w:val="00D94E46"/>
    <w:rsid w:val="00D9517E"/>
    <w:rsid w:val="00D951C1"/>
    <w:rsid w:val="00D9525D"/>
    <w:rsid w:val="00D952B9"/>
    <w:rsid w:val="00D953EE"/>
    <w:rsid w:val="00D95514"/>
    <w:rsid w:val="00D95580"/>
    <w:rsid w:val="00D95819"/>
    <w:rsid w:val="00D95B68"/>
    <w:rsid w:val="00D95BB9"/>
    <w:rsid w:val="00D95C3D"/>
    <w:rsid w:val="00D95D36"/>
    <w:rsid w:val="00D960B9"/>
    <w:rsid w:val="00D961F6"/>
    <w:rsid w:val="00D962B1"/>
    <w:rsid w:val="00D966D3"/>
    <w:rsid w:val="00D9682D"/>
    <w:rsid w:val="00D968D4"/>
    <w:rsid w:val="00D968F9"/>
    <w:rsid w:val="00D96AF1"/>
    <w:rsid w:val="00D96AFE"/>
    <w:rsid w:val="00D96BFC"/>
    <w:rsid w:val="00D96D39"/>
    <w:rsid w:val="00D96E0F"/>
    <w:rsid w:val="00D96E2C"/>
    <w:rsid w:val="00D96F33"/>
    <w:rsid w:val="00D97047"/>
    <w:rsid w:val="00D97155"/>
    <w:rsid w:val="00D973A2"/>
    <w:rsid w:val="00D97554"/>
    <w:rsid w:val="00D9774A"/>
    <w:rsid w:val="00D9793B"/>
    <w:rsid w:val="00D9795B"/>
    <w:rsid w:val="00D97ABF"/>
    <w:rsid w:val="00D97B48"/>
    <w:rsid w:val="00D97BB7"/>
    <w:rsid w:val="00D97C24"/>
    <w:rsid w:val="00D97EA3"/>
    <w:rsid w:val="00DA007C"/>
    <w:rsid w:val="00DA013B"/>
    <w:rsid w:val="00DA0183"/>
    <w:rsid w:val="00DA01A1"/>
    <w:rsid w:val="00DA0237"/>
    <w:rsid w:val="00DA0289"/>
    <w:rsid w:val="00DA03B1"/>
    <w:rsid w:val="00DA045E"/>
    <w:rsid w:val="00DA04B7"/>
    <w:rsid w:val="00DA04DA"/>
    <w:rsid w:val="00DA0612"/>
    <w:rsid w:val="00DA061A"/>
    <w:rsid w:val="00DA06B5"/>
    <w:rsid w:val="00DA0858"/>
    <w:rsid w:val="00DA0939"/>
    <w:rsid w:val="00DA096B"/>
    <w:rsid w:val="00DA0A02"/>
    <w:rsid w:val="00DA0AB2"/>
    <w:rsid w:val="00DA0D09"/>
    <w:rsid w:val="00DA0D0D"/>
    <w:rsid w:val="00DA0DD3"/>
    <w:rsid w:val="00DA10AF"/>
    <w:rsid w:val="00DA10B3"/>
    <w:rsid w:val="00DA14A2"/>
    <w:rsid w:val="00DA1543"/>
    <w:rsid w:val="00DA16AF"/>
    <w:rsid w:val="00DA17EF"/>
    <w:rsid w:val="00DA1819"/>
    <w:rsid w:val="00DA1907"/>
    <w:rsid w:val="00DA193A"/>
    <w:rsid w:val="00DA1A41"/>
    <w:rsid w:val="00DA1ADA"/>
    <w:rsid w:val="00DA1B81"/>
    <w:rsid w:val="00DA1D73"/>
    <w:rsid w:val="00DA1E80"/>
    <w:rsid w:val="00DA1EBD"/>
    <w:rsid w:val="00DA1EDF"/>
    <w:rsid w:val="00DA2178"/>
    <w:rsid w:val="00DA23EC"/>
    <w:rsid w:val="00DA24D4"/>
    <w:rsid w:val="00DA258F"/>
    <w:rsid w:val="00DA2602"/>
    <w:rsid w:val="00DA27DF"/>
    <w:rsid w:val="00DA2858"/>
    <w:rsid w:val="00DA287C"/>
    <w:rsid w:val="00DA2AE8"/>
    <w:rsid w:val="00DA2BD7"/>
    <w:rsid w:val="00DA2F14"/>
    <w:rsid w:val="00DA2F1E"/>
    <w:rsid w:val="00DA2FD3"/>
    <w:rsid w:val="00DA30E9"/>
    <w:rsid w:val="00DA3157"/>
    <w:rsid w:val="00DA31E3"/>
    <w:rsid w:val="00DA31E5"/>
    <w:rsid w:val="00DA340C"/>
    <w:rsid w:val="00DA34B8"/>
    <w:rsid w:val="00DA3763"/>
    <w:rsid w:val="00DA37DE"/>
    <w:rsid w:val="00DA38E3"/>
    <w:rsid w:val="00DA3957"/>
    <w:rsid w:val="00DA3958"/>
    <w:rsid w:val="00DA39E4"/>
    <w:rsid w:val="00DA3AA3"/>
    <w:rsid w:val="00DA3C41"/>
    <w:rsid w:val="00DA3D23"/>
    <w:rsid w:val="00DA3D6E"/>
    <w:rsid w:val="00DA40DA"/>
    <w:rsid w:val="00DA4319"/>
    <w:rsid w:val="00DA4341"/>
    <w:rsid w:val="00DA4414"/>
    <w:rsid w:val="00DA4635"/>
    <w:rsid w:val="00DA4869"/>
    <w:rsid w:val="00DA495C"/>
    <w:rsid w:val="00DA497E"/>
    <w:rsid w:val="00DA4A3F"/>
    <w:rsid w:val="00DA4B06"/>
    <w:rsid w:val="00DA4BE2"/>
    <w:rsid w:val="00DA4BFE"/>
    <w:rsid w:val="00DA4C45"/>
    <w:rsid w:val="00DA4D01"/>
    <w:rsid w:val="00DA4D9C"/>
    <w:rsid w:val="00DA4E0D"/>
    <w:rsid w:val="00DA4F15"/>
    <w:rsid w:val="00DA4F6C"/>
    <w:rsid w:val="00DA5030"/>
    <w:rsid w:val="00DA50B7"/>
    <w:rsid w:val="00DA51EC"/>
    <w:rsid w:val="00DA51EE"/>
    <w:rsid w:val="00DA5241"/>
    <w:rsid w:val="00DA5243"/>
    <w:rsid w:val="00DA534A"/>
    <w:rsid w:val="00DA53A0"/>
    <w:rsid w:val="00DA5493"/>
    <w:rsid w:val="00DA56CF"/>
    <w:rsid w:val="00DA57B7"/>
    <w:rsid w:val="00DA57CC"/>
    <w:rsid w:val="00DA5851"/>
    <w:rsid w:val="00DA5968"/>
    <w:rsid w:val="00DA5A59"/>
    <w:rsid w:val="00DA5B82"/>
    <w:rsid w:val="00DA5CFA"/>
    <w:rsid w:val="00DA5D7A"/>
    <w:rsid w:val="00DA5E1A"/>
    <w:rsid w:val="00DA6088"/>
    <w:rsid w:val="00DA61E1"/>
    <w:rsid w:val="00DA6382"/>
    <w:rsid w:val="00DA6609"/>
    <w:rsid w:val="00DA6714"/>
    <w:rsid w:val="00DA689E"/>
    <w:rsid w:val="00DA6911"/>
    <w:rsid w:val="00DA6943"/>
    <w:rsid w:val="00DA6BC8"/>
    <w:rsid w:val="00DA6C52"/>
    <w:rsid w:val="00DA6C95"/>
    <w:rsid w:val="00DA6CAD"/>
    <w:rsid w:val="00DA6D54"/>
    <w:rsid w:val="00DA6EBD"/>
    <w:rsid w:val="00DA7011"/>
    <w:rsid w:val="00DA709C"/>
    <w:rsid w:val="00DA712C"/>
    <w:rsid w:val="00DA736C"/>
    <w:rsid w:val="00DA737E"/>
    <w:rsid w:val="00DA74DF"/>
    <w:rsid w:val="00DA75F7"/>
    <w:rsid w:val="00DA7721"/>
    <w:rsid w:val="00DA7954"/>
    <w:rsid w:val="00DA7B86"/>
    <w:rsid w:val="00DA7DB2"/>
    <w:rsid w:val="00DA7F2D"/>
    <w:rsid w:val="00DB014D"/>
    <w:rsid w:val="00DB0214"/>
    <w:rsid w:val="00DB0270"/>
    <w:rsid w:val="00DB02B0"/>
    <w:rsid w:val="00DB0332"/>
    <w:rsid w:val="00DB03F5"/>
    <w:rsid w:val="00DB06C1"/>
    <w:rsid w:val="00DB06D0"/>
    <w:rsid w:val="00DB079F"/>
    <w:rsid w:val="00DB09E3"/>
    <w:rsid w:val="00DB0C6D"/>
    <w:rsid w:val="00DB0CC1"/>
    <w:rsid w:val="00DB0CE5"/>
    <w:rsid w:val="00DB0D93"/>
    <w:rsid w:val="00DB0D94"/>
    <w:rsid w:val="00DB0E90"/>
    <w:rsid w:val="00DB0E99"/>
    <w:rsid w:val="00DB1170"/>
    <w:rsid w:val="00DB121D"/>
    <w:rsid w:val="00DB122B"/>
    <w:rsid w:val="00DB14DF"/>
    <w:rsid w:val="00DB14E3"/>
    <w:rsid w:val="00DB152E"/>
    <w:rsid w:val="00DB1552"/>
    <w:rsid w:val="00DB1579"/>
    <w:rsid w:val="00DB15B2"/>
    <w:rsid w:val="00DB1622"/>
    <w:rsid w:val="00DB1755"/>
    <w:rsid w:val="00DB1774"/>
    <w:rsid w:val="00DB1801"/>
    <w:rsid w:val="00DB1A5C"/>
    <w:rsid w:val="00DB1AA9"/>
    <w:rsid w:val="00DB1C6C"/>
    <w:rsid w:val="00DB1E9A"/>
    <w:rsid w:val="00DB1EA1"/>
    <w:rsid w:val="00DB1F03"/>
    <w:rsid w:val="00DB20CE"/>
    <w:rsid w:val="00DB2314"/>
    <w:rsid w:val="00DB2401"/>
    <w:rsid w:val="00DB2517"/>
    <w:rsid w:val="00DB25D7"/>
    <w:rsid w:val="00DB2739"/>
    <w:rsid w:val="00DB27CF"/>
    <w:rsid w:val="00DB2A14"/>
    <w:rsid w:val="00DB2A1C"/>
    <w:rsid w:val="00DB2C49"/>
    <w:rsid w:val="00DB2D3F"/>
    <w:rsid w:val="00DB2E11"/>
    <w:rsid w:val="00DB2F84"/>
    <w:rsid w:val="00DB2FDC"/>
    <w:rsid w:val="00DB2FEA"/>
    <w:rsid w:val="00DB3292"/>
    <w:rsid w:val="00DB32FC"/>
    <w:rsid w:val="00DB36C1"/>
    <w:rsid w:val="00DB3787"/>
    <w:rsid w:val="00DB37A4"/>
    <w:rsid w:val="00DB37F9"/>
    <w:rsid w:val="00DB3917"/>
    <w:rsid w:val="00DB3994"/>
    <w:rsid w:val="00DB3996"/>
    <w:rsid w:val="00DB3CA2"/>
    <w:rsid w:val="00DB3D98"/>
    <w:rsid w:val="00DB3DCF"/>
    <w:rsid w:val="00DB3E1A"/>
    <w:rsid w:val="00DB3E34"/>
    <w:rsid w:val="00DB3FB2"/>
    <w:rsid w:val="00DB4000"/>
    <w:rsid w:val="00DB4084"/>
    <w:rsid w:val="00DB42C5"/>
    <w:rsid w:val="00DB4311"/>
    <w:rsid w:val="00DB43CD"/>
    <w:rsid w:val="00DB447B"/>
    <w:rsid w:val="00DB47AE"/>
    <w:rsid w:val="00DB4A5A"/>
    <w:rsid w:val="00DB4C00"/>
    <w:rsid w:val="00DB4DA2"/>
    <w:rsid w:val="00DB4EDE"/>
    <w:rsid w:val="00DB4FCA"/>
    <w:rsid w:val="00DB5135"/>
    <w:rsid w:val="00DB51BD"/>
    <w:rsid w:val="00DB52DC"/>
    <w:rsid w:val="00DB5334"/>
    <w:rsid w:val="00DB537A"/>
    <w:rsid w:val="00DB5480"/>
    <w:rsid w:val="00DB5555"/>
    <w:rsid w:val="00DB55AF"/>
    <w:rsid w:val="00DB5701"/>
    <w:rsid w:val="00DB5770"/>
    <w:rsid w:val="00DB57EF"/>
    <w:rsid w:val="00DB5814"/>
    <w:rsid w:val="00DB583E"/>
    <w:rsid w:val="00DB58F2"/>
    <w:rsid w:val="00DB5909"/>
    <w:rsid w:val="00DB5991"/>
    <w:rsid w:val="00DB59D4"/>
    <w:rsid w:val="00DB5A35"/>
    <w:rsid w:val="00DB5AE2"/>
    <w:rsid w:val="00DB5BD8"/>
    <w:rsid w:val="00DB5BF5"/>
    <w:rsid w:val="00DB5CA8"/>
    <w:rsid w:val="00DB5E00"/>
    <w:rsid w:val="00DB5F2A"/>
    <w:rsid w:val="00DB5F6F"/>
    <w:rsid w:val="00DB603F"/>
    <w:rsid w:val="00DB6114"/>
    <w:rsid w:val="00DB6135"/>
    <w:rsid w:val="00DB618F"/>
    <w:rsid w:val="00DB61A5"/>
    <w:rsid w:val="00DB61AB"/>
    <w:rsid w:val="00DB6225"/>
    <w:rsid w:val="00DB6228"/>
    <w:rsid w:val="00DB62CC"/>
    <w:rsid w:val="00DB6343"/>
    <w:rsid w:val="00DB63CC"/>
    <w:rsid w:val="00DB64E1"/>
    <w:rsid w:val="00DB6525"/>
    <w:rsid w:val="00DB6566"/>
    <w:rsid w:val="00DB6585"/>
    <w:rsid w:val="00DB666F"/>
    <w:rsid w:val="00DB66D8"/>
    <w:rsid w:val="00DB675F"/>
    <w:rsid w:val="00DB68B6"/>
    <w:rsid w:val="00DB68CC"/>
    <w:rsid w:val="00DB6914"/>
    <w:rsid w:val="00DB697C"/>
    <w:rsid w:val="00DB6A34"/>
    <w:rsid w:val="00DB6A7A"/>
    <w:rsid w:val="00DB6AEF"/>
    <w:rsid w:val="00DB6BB2"/>
    <w:rsid w:val="00DB6C50"/>
    <w:rsid w:val="00DB6D03"/>
    <w:rsid w:val="00DB6E4A"/>
    <w:rsid w:val="00DB6ECF"/>
    <w:rsid w:val="00DB6F68"/>
    <w:rsid w:val="00DB73DE"/>
    <w:rsid w:val="00DB74B5"/>
    <w:rsid w:val="00DB7584"/>
    <w:rsid w:val="00DB7658"/>
    <w:rsid w:val="00DB78ED"/>
    <w:rsid w:val="00DB79EE"/>
    <w:rsid w:val="00DB7A39"/>
    <w:rsid w:val="00DB7C87"/>
    <w:rsid w:val="00DB7E10"/>
    <w:rsid w:val="00DB7F78"/>
    <w:rsid w:val="00DC0195"/>
    <w:rsid w:val="00DC0213"/>
    <w:rsid w:val="00DC03AB"/>
    <w:rsid w:val="00DC0489"/>
    <w:rsid w:val="00DC0568"/>
    <w:rsid w:val="00DC059C"/>
    <w:rsid w:val="00DC066D"/>
    <w:rsid w:val="00DC0725"/>
    <w:rsid w:val="00DC0794"/>
    <w:rsid w:val="00DC07C6"/>
    <w:rsid w:val="00DC081A"/>
    <w:rsid w:val="00DC094E"/>
    <w:rsid w:val="00DC097F"/>
    <w:rsid w:val="00DC0A34"/>
    <w:rsid w:val="00DC0A39"/>
    <w:rsid w:val="00DC0B2F"/>
    <w:rsid w:val="00DC0C46"/>
    <w:rsid w:val="00DC0D0F"/>
    <w:rsid w:val="00DC0D3E"/>
    <w:rsid w:val="00DC0E1D"/>
    <w:rsid w:val="00DC0F0D"/>
    <w:rsid w:val="00DC1098"/>
    <w:rsid w:val="00DC12A3"/>
    <w:rsid w:val="00DC13E6"/>
    <w:rsid w:val="00DC1578"/>
    <w:rsid w:val="00DC1683"/>
    <w:rsid w:val="00DC1687"/>
    <w:rsid w:val="00DC17BA"/>
    <w:rsid w:val="00DC17FE"/>
    <w:rsid w:val="00DC1820"/>
    <w:rsid w:val="00DC1865"/>
    <w:rsid w:val="00DC18F7"/>
    <w:rsid w:val="00DC1A04"/>
    <w:rsid w:val="00DC1A11"/>
    <w:rsid w:val="00DC1A1C"/>
    <w:rsid w:val="00DC1AF4"/>
    <w:rsid w:val="00DC1D58"/>
    <w:rsid w:val="00DC1DB7"/>
    <w:rsid w:val="00DC1E19"/>
    <w:rsid w:val="00DC1E21"/>
    <w:rsid w:val="00DC1F02"/>
    <w:rsid w:val="00DC202A"/>
    <w:rsid w:val="00DC206E"/>
    <w:rsid w:val="00DC2089"/>
    <w:rsid w:val="00DC21F8"/>
    <w:rsid w:val="00DC23A5"/>
    <w:rsid w:val="00DC240E"/>
    <w:rsid w:val="00DC2413"/>
    <w:rsid w:val="00DC24D7"/>
    <w:rsid w:val="00DC26DD"/>
    <w:rsid w:val="00DC26ED"/>
    <w:rsid w:val="00DC2721"/>
    <w:rsid w:val="00DC27DE"/>
    <w:rsid w:val="00DC2A7A"/>
    <w:rsid w:val="00DC2C19"/>
    <w:rsid w:val="00DC2D10"/>
    <w:rsid w:val="00DC2E65"/>
    <w:rsid w:val="00DC2F88"/>
    <w:rsid w:val="00DC2FF2"/>
    <w:rsid w:val="00DC30DA"/>
    <w:rsid w:val="00DC313D"/>
    <w:rsid w:val="00DC322E"/>
    <w:rsid w:val="00DC32BD"/>
    <w:rsid w:val="00DC34C6"/>
    <w:rsid w:val="00DC390B"/>
    <w:rsid w:val="00DC3AB9"/>
    <w:rsid w:val="00DC3B6B"/>
    <w:rsid w:val="00DC3BA3"/>
    <w:rsid w:val="00DC444F"/>
    <w:rsid w:val="00DC455B"/>
    <w:rsid w:val="00DC4612"/>
    <w:rsid w:val="00DC4769"/>
    <w:rsid w:val="00DC48F7"/>
    <w:rsid w:val="00DC4B1B"/>
    <w:rsid w:val="00DC4B5D"/>
    <w:rsid w:val="00DC4C92"/>
    <w:rsid w:val="00DC4D58"/>
    <w:rsid w:val="00DC4DA0"/>
    <w:rsid w:val="00DC4E0B"/>
    <w:rsid w:val="00DC4F2D"/>
    <w:rsid w:val="00DC5044"/>
    <w:rsid w:val="00DC5084"/>
    <w:rsid w:val="00DC50E4"/>
    <w:rsid w:val="00DC51BF"/>
    <w:rsid w:val="00DC5260"/>
    <w:rsid w:val="00DC529B"/>
    <w:rsid w:val="00DC52CD"/>
    <w:rsid w:val="00DC5361"/>
    <w:rsid w:val="00DC5372"/>
    <w:rsid w:val="00DC5575"/>
    <w:rsid w:val="00DC5595"/>
    <w:rsid w:val="00DC55EC"/>
    <w:rsid w:val="00DC565F"/>
    <w:rsid w:val="00DC573E"/>
    <w:rsid w:val="00DC573F"/>
    <w:rsid w:val="00DC57EC"/>
    <w:rsid w:val="00DC5908"/>
    <w:rsid w:val="00DC593D"/>
    <w:rsid w:val="00DC5A68"/>
    <w:rsid w:val="00DC5AD4"/>
    <w:rsid w:val="00DC5B37"/>
    <w:rsid w:val="00DC5B5A"/>
    <w:rsid w:val="00DC5BD6"/>
    <w:rsid w:val="00DC5C2B"/>
    <w:rsid w:val="00DC5CCE"/>
    <w:rsid w:val="00DC5D77"/>
    <w:rsid w:val="00DC5D94"/>
    <w:rsid w:val="00DC5EF0"/>
    <w:rsid w:val="00DC5F4D"/>
    <w:rsid w:val="00DC5FEB"/>
    <w:rsid w:val="00DC61B8"/>
    <w:rsid w:val="00DC627E"/>
    <w:rsid w:val="00DC6529"/>
    <w:rsid w:val="00DC6543"/>
    <w:rsid w:val="00DC655D"/>
    <w:rsid w:val="00DC6975"/>
    <w:rsid w:val="00DC6C44"/>
    <w:rsid w:val="00DC6E25"/>
    <w:rsid w:val="00DC6E99"/>
    <w:rsid w:val="00DC701A"/>
    <w:rsid w:val="00DC708D"/>
    <w:rsid w:val="00DC71A1"/>
    <w:rsid w:val="00DC71CC"/>
    <w:rsid w:val="00DC7309"/>
    <w:rsid w:val="00DC7328"/>
    <w:rsid w:val="00DC743A"/>
    <w:rsid w:val="00DC7450"/>
    <w:rsid w:val="00DC764C"/>
    <w:rsid w:val="00DC77E7"/>
    <w:rsid w:val="00DC77F2"/>
    <w:rsid w:val="00DC79A8"/>
    <w:rsid w:val="00DC7B1A"/>
    <w:rsid w:val="00DC7E37"/>
    <w:rsid w:val="00DD0039"/>
    <w:rsid w:val="00DD0285"/>
    <w:rsid w:val="00DD042D"/>
    <w:rsid w:val="00DD0442"/>
    <w:rsid w:val="00DD0479"/>
    <w:rsid w:val="00DD0487"/>
    <w:rsid w:val="00DD066F"/>
    <w:rsid w:val="00DD06AC"/>
    <w:rsid w:val="00DD06CA"/>
    <w:rsid w:val="00DD0824"/>
    <w:rsid w:val="00DD0A48"/>
    <w:rsid w:val="00DD0B43"/>
    <w:rsid w:val="00DD0BC4"/>
    <w:rsid w:val="00DD0BDE"/>
    <w:rsid w:val="00DD0FDF"/>
    <w:rsid w:val="00DD0FF3"/>
    <w:rsid w:val="00DD1054"/>
    <w:rsid w:val="00DD10FB"/>
    <w:rsid w:val="00DD1177"/>
    <w:rsid w:val="00DD117A"/>
    <w:rsid w:val="00DD1313"/>
    <w:rsid w:val="00DD13E9"/>
    <w:rsid w:val="00DD146E"/>
    <w:rsid w:val="00DD1556"/>
    <w:rsid w:val="00DD178F"/>
    <w:rsid w:val="00DD17A8"/>
    <w:rsid w:val="00DD19CD"/>
    <w:rsid w:val="00DD1B78"/>
    <w:rsid w:val="00DD1DBF"/>
    <w:rsid w:val="00DD1E33"/>
    <w:rsid w:val="00DD1E9F"/>
    <w:rsid w:val="00DD1EB9"/>
    <w:rsid w:val="00DD1ED0"/>
    <w:rsid w:val="00DD2130"/>
    <w:rsid w:val="00DD21AB"/>
    <w:rsid w:val="00DD227C"/>
    <w:rsid w:val="00DD227E"/>
    <w:rsid w:val="00DD233B"/>
    <w:rsid w:val="00DD2356"/>
    <w:rsid w:val="00DD239B"/>
    <w:rsid w:val="00DD2513"/>
    <w:rsid w:val="00DD25F3"/>
    <w:rsid w:val="00DD2687"/>
    <w:rsid w:val="00DD2893"/>
    <w:rsid w:val="00DD28FF"/>
    <w:rsid w:val="00DD2926"/>
    <w:rsid w:val="00DD2A05"/>
    <w:rsid w:val="00DD2A2E"/>
    <w:rsid w:val="00DD2A6D"/>
    <w:rsid w:val="00DD2B11"/>
    <w:rsid w:val="00DD2B58"/>
    <w:rsid w:val="00DD2EB6"/>
    <w:rsid w:val="00DD2F62"/>
    <w:rsid w:val="00DD30DE"/>
    <w:rsid w:val="00DD32A4"/>
    <w:rsid w:val="00DD3364"/>
    <w:rsid w:val="00DD33CB"/>
    <w:rsid w:val="00DD34F9"/>
    <w:rsid w:val="00DD351C"/>
    <w:rsid w:val="00DD3546"/>
    <w:rsid w:val="00DD35CA"/>
    <w:rsid w:val="00DD3645"/>
    <w:rsid w:val="00DD386F"/>
    <w:rsid w:val="00DD38BA"/>
    <w:rsid w:val="00DD3A8A"/>
    <w:rsid w:val="00DD3A8B"/>
    <w:rsid w:val="00DD3B35"/>
    <w:rsid w:val="00DD3BCE"/>
    <w:rsid w:val="00DD3C5F"/>
    <w:rsid w:val="00DD3CDB"/>
    <w:rsid w:val="00DD3D69"/>
    <w:rsid w:val="00DD3D86"/>
    <w:rsid w:val="00DD3DA6"/>
    <w:rsid w:val="00DD3E73"/>
    <w:rsid w:val="00DD3F21"/>
    <w:rsid w:val="00DD3FA9"/>
    <w:rsid w:val="00DD4297"/>
    <w:rsid w:val="00DD448C"/>
    <w:rsid w:val="00DD465A"/>
    <w:rsid w:val="00DD47F1"/>
    <w:rsid w:val="00DD48BE"/>
    <w:rsid w:val="00DD495D"/>
    <w:rsid w:val="00DD4A0D"/>
    <w:rsid w:val="00DD4AE3"/>
    <w:rsid w:val="00DD4B08"/>
    <w:rsid w:val="00DD4B9D"/>
    <w:rsid w:val="00DD4C4D"/>
    <w:rsid w:val="00DD4DE4"/>
    <w:rsid w:val="00DD4E01"/>
    <w:rsid w:val="00DD4F83"/>
    <w:rsid w:val="00DD4F8E"/>
    <w:rsid w:val="00DD4FBC"/>
    <w:rsid w:val="00DD5111"/>
    <w:rsid w:val="00DD5395"/>
    <w:rsid w:val="00DD5418"/>
    <w:rsid w:val="00DD548E"/>
    <w:rsid w:val="00DD5565"/>
    <w:rsid w:val="00DD5582"/>
    <w:rsid w:val="00DD5596"/>
    <w:rsid w:val="00DD55DE"/>
    <w:rsid w:val="00DD5715"/>
    <w:rsid w:val="00DD574B"/>
    <w:rsid w:val="00DD5914"/>
    <w:rsid w:val="00DD5990"/>
    <w:rsid w:val="00DD5B15"/>
    <w:rsid w:val="00DD5CDA"/>
    <w:rsid w:val="00DD5D7E"/>
    <w:rsid w:val="00DD5EC5"/>
    <w:rsid w:val="00DD5FFA"/>
    <w:rsid w:val="00DD608C"/>
    <w:rsid w:val="00DD60B2"/>
    <w:rsid w:val="00DD6165"/>
    <w:rsid w:val="00DD6174"/>
    <w:rsid w:val="00DD61C4"/>
    <w:rsid w:val="00DD6243"/>
    <w:rsid w:val="00DD6265"/>
    <w:rsid w:val="00DD64F6"/>
    <w:rsid w:val="00DD6601"/>
    <w:rsid w:val="00DD66F4"/>
    <w:rsid w:val="00DD6851"/>
    <w:rsid w:val="00DD6868"/>
    <w:rsid w:val="00DD6952"/>
    <w:rsid w:val="00DD6CDF"/>
    <w:rsid w:val="00DD6E0D"/>
    <w:rsid w:val="00DD6F2E"/>
    <w:rsid w:val="00DD707D"/>
    <w:rsid w:val="00DD710C"/>
    <w:rsid w:val="00DD72D4"/>
    <w:rsid w:val="00DD7528"/>
    <w:rsid w:val="00DD75CE"/>
    <w:rsid w:val="00DD75DE"/>
    <w:rsid w:val="00DD7684"/>
    <w:rsid w:val="00DD77E0"/>
    <w:rsid w:val="00DD77FA"/>
    <w:rsid w:val="00DD7862"/>
    <w:rsid w:val="00DD79BA"/>
    <w:rsid w:val="00DD7BCC"/>
    <w:rsid w:val="00DD7BFE"/>
    <w:rsid w:val="00DD7C04"/>
    <w:rsid w:val="00DD7CA8"/>
    <w:rsid w:val="00DD7E17"/>
    <w:rsid w:val="00DD7E52"/>
    <w:rsid w:val="00DE00C5"/>
    <w:rsid w:val="00DE033E"/>
    <w:rsid w:val="00DE0373"/>
    <w:rsid w:val="00DE0374"/>
    <w:rsid w:val="00DE0401"/>
    <w:rsid w:val="00DE048E"/>
    <w:rsid w:val="00DE0637"/>
    <w:rsid w:val="00DE0846"/>
    <w:rsid w:val="00DE08C0"/>
    <w:rsid w:val="00DE09CB"/>
    <w:rsid w:val="00DE0BD6"/>
    <w:rsid w:val="00DE0E0A"/>
    <w:rsid w:val="00DE0F47"/>
    <w:rsid w:val="00DE0FD5"/>
    <w:rsid w:val="00DE10E0"/>
    <w:rsid w:val="00DE12A5"/>
    <w:rsid w:val="00DE14CA"/>
    <w:rsid w:val="00DE156B"/>
    <w:rsid w:val="00DE161D"/>
    <w:rsid w:val="00DE16FE"/>
    <w:rsid w:val="00DE17A7"/>
    <w:rsid w:val="00DE1A04"/>
    <w:rsid w:val="00DE1C35"/>
    <w:rsid w:val="00DE1D54"/>
    <w:rsid w:val="00DE1E2D"/>
    <w:rsid w:val="00DE1EA1"/>
    <w:rsid w:val="00DE2085"/>
    <w:rsid w:val="00DE20DB"/>
    <w:rsid w:val="00DE21E7"/>
    <w:rsid w:val="00DE2289"/>
    <w:rsid w:val="00DE22FD"/>
    <w:rsid w:val="00DE2497"/>
    <w:rsid w:val="00DE24E1"/>
    <w:rsid w:val="00DE25D3"/>
    <w:rsid w:val="00DE26BA"/>
    <w:rsid w:val="00DE26C5"/>
    <w:rsid w:val="00DE2719"/>
    <w:rsid w:val="00DE28D4"/>
    <w:rsid w:val="00DE2945"/>
    <w:rsid w:val="00DE2BE1"/>
    <w:rsid w:val="00DE2E2B"/>
    <w:rsid w:val="00DE31CF"/>
    <w:rsid w:val="00DE3298"/>
    <w:rsid w:val="00DE3651"/>
    <w:rsid w:val="00DE36F4"/>
    <w:rsid w:val="00DE3821"/>
    <w:rsid w:val="00DE3956"/>
    <w:rsid w:val="00DE39BC"/>
    <w:rsid w:val="00DE3A28"/>
    <w:rsid w:val="00DE3A52"/>
    <w:rsid w:val="00DE3C1E"/>
    <w:rsid w:val="00DE3E9D"/>
    <w:rsid w:val="00DE3EFA"/>
    <w:rsid w:val="00DE3EFC"/>
    <w:rsid w:val="00DE3F04"/>
    <w:rsid w:val="00DE3F16"/>
    <w:rsid w:val="00DE422B"/>
    <w:rsid w:val="00DE429D"/>
    <w:rsid w:val="00DE4580"/>
    <w:rsid w:val="00DE4613"/>
    <w:rsid w:val="00DE46D3"/>
    <w:rsid w:val="00DE46DF"/>
    <w:rsid w:val="00DE472C"/>
    <w:rsid w:val="00DE47F9"/>
    <w:rsid w:val="00DE48D5"/>
    <w:rsid w:val="00DE4AB9"/>
    <w:rsid w:val="00DE4B05"/>
    <w:rsid w:val="00DE4BF4"/>
    <w:rsid w:val="00DE4C18"/>
    <w:rsid w:val="00DE4CDC"/>
    <w:rsid w:val="00DE4DFD"/>
    <w:rsid w:val="00DE507E"/>
    <w:rsid w:val="00DE50D5"/>
    <w:rsid w:val="00DE50F6"/>
    <w:rsid w:val="00DE5143"/>
    <w:rsid w:val="00DE5366"/>
    <w:rsid w:val="00DE537C"/>
    <w:rsid w:val="00DE54C1"/>
    <w:rsid w:val="00DE54E2"/>
    <w:rsid w:val="00DE54F5"/>
    <w:rsid w:val="00DE5545"/>
    <w:rsid w:val="00DE5665"/>
    <w:rsid w:val="00DE56AA"/>
    <w:rsid w:val="00DE591B"/>
    <w:rsid w:val="00DE5B8E"/>
    <w:rsid w:val="00DE5BDD"/>
    <w:rsid w:val="00DE5C34"/>
    <w:rsid w:val="00DE5CC3"/>
    <w:rsid w:val="00DE60E1"/>
    <w:rsid w:val="00DE611C"/>
    <w:rsid w:val="00DE6171"/>
    <w:rsid w:val="00DE6340"/>
    <w:rsid w:val="00DE648E"/>
    <w:rsid w:val="00DE656F"/>
    <w:rsid w:val="00DE65F0"/>
    <w:rsid w:val="00DE6696"/>
    <w:rsid w:val="00DE67FE"/>
    <w:rsid w:val="00DE68EC"/>
    <w:rsid w:val="00DE6E2F"/>
    <w:rsid w:val="00DE6F30"/>
    <w:rsid w:val="00DE7161"/>
    <w:rsid w:val="00DE7237"/>
    <w:rsid w:val="00DE7261"/>
    <w:rsid w:val="00DE72BD"/>
    <w:rsid w:val="00DE750C"/>
    <w:rsid w:val="00DE751E"/>
    <w:rsid w:val="00DE765A"/>
    <w:rsid w:val="00DE77A2"/>
    <w:rsid w:val="00DE7814"/>
    <w:rsid w:val="00DE7899"/>
    <w:rsid w:val="00DE7B8F"/>
    <w:rsid w:val="00DE7BC8"/>
    <w:rsid w:val="00DE7D24"/>
    <w:rsid w:val="00DE7D8B"/>
    <w:rsid w:val="00DF00BD"/>
    <w:rsid w:val="00DF010B"/>
    <w:rsid w:val="00DF011B"/>
    <w:rsid w:val="00DF0757"/>
    <w:rsid w:val="00DF0857"/>
    <w:rsid w:val="00DF08D2"/>
    <w:rsid w:val="00DF0981"/>
    <w:rsid w:val="00DF0A4B"/>
    <w:rsid w:val="00DF0E14"/>
    <w:rsid w:val="00DF10DA"/>
    <w:rsid w:val="00DF11FB"/>
    <w:rsid w:val="00DF13B4"/>
    <w:rsid w:val="00DF15CC"/>
    <w:rsid w:val="00DF1648"/>
    <w:rsid w:val="00DF1690"/>
    <w:rsid w:val="00DF1759"/>
    <w:rsid w:val="00DF18A2"/>
    <w:rsid w:val="00DF1B1B"/>
    <w:rsid w:val="00DF1B64"/>
    <w:rsid w:val="00DF1D1B"/>
    <w:rsid w:val="00DF1DCA"/>
    <w:rsid w:val="00DF1E3F"/>
    <w:rsid w:val="00DF1EE8"/>
    <w:rsid w:val="00DF205A"/>
    <w:rsid w:val="00DF2075"/>
    <w:rsid w:val="00DF2181"/>
    <w:rsid w:val="00DF21EA"/>
    <w:rsid w:val="00DF22DC"/>
    <w:rsid w:val="00DF232E"/>
    <w:rsid w:val="00DF2394"/>
    <w:rsid w:val="00DF24B6"/>
    <w:rsid w:val="00DF271F"/>
    <w:rsid w:val="00DF2795"/>
    <w:rsid w:val="00DF27C1"/>
    <w:rsid w:val="00DF2823"/>
    <w:rsid w:val="00DF29AB"/>
    <w:rsid w:val="00DF2DCB"/>
    <w:rsid w:val="00DF2ED8"/>
    <w:rsid w:val="00DF308F"/>
    <w:rsid w:val="00DF31A8"/>
    <w:rsid w:val="00DF31B2"/>
    <w:rsid w:val="00DF31D9"/>
    <w:rsid w:val="00DF3239"/>
    <w:rsid w:val="00DF3259"/>
    <w:rsid w:val="00DF32D6"/>
    <w:rsid w:val="00DF33EC"/>
    <w:rsid w:val="00DF366D"/>
    <w:rsid w:val="00DF3840"/>
    <w:rsid w:val="00DF3B4A"/>
    <w:rsid w:val="00DF3B74"/>
    <w:rsid w:val="00DF3CB1"/>
    <w:rsid w:val="00DF3D23"/>
    <w:rsid w:val="00DF3DCE"/>
    <w:rsid w:val="00DF3EAF"/>
    <w:rsid w:val="00DF3EEF"/>
    <w:rsid w:val="00DF3F33"/>
    <w:rsid w:val="00DF4032"/>
    <w:rsid w:val="00DF406F"/>
    <w:rsid w:val="00DF4389"/>
    <w:rsid w:val="00DF44FB"/>
    <w:rsid w:val="00DF44FC"/>
    <w:rsid w:val="00DF4818"/>
    <w:rsid w:val="00DF49E0"/>
    <w:rsid w:val="00DF4BF3"/>
    <w:rsid w:val="00DF4C6C"/>
    <w:rsid w:val="00DF4C76"/>
    <w:rsid w:val="00DF4DB8"/>
    <w:rsid w:val="00DF4EC4"/>
    <w:rsid w:val="00DF50E4"/>
    <w:rsid w:val="00DF5136"/>
    <w:rsid w:val="00DF5273"/>
    <w:rsid w:val="00DF532A"/>
    <w:rsid w:val="00DF53AE"/>
    <w:rsid w:val="00DF53D5"/>
    <w:rsid w:val="00DF53DC"/>
    <w:rsid w:val="00DF53EB"/>
    <w:rsid w:val="00DF5449"/>
    <w:rsid w:val="00DF5525"/>
    <w:rsid w:val="00DF581F"/>
    <w:rsid w:val="00DF58F8"/>
    <w:rsid w:val="00DF59EB"/>
    <w:rsid w:val="00DF5A0D"/>
    <w:rsid w:val="00DF5A11"/>
    <w:rsid w:val="00DF5C85"/>
    <w:rsid w:val="00DF5C9C"/>
    <w:rsid w:val="00DF5D09"/>
    <w:rsid w:val="00DF5D53"/>
    <w:rsid w:val="00DF5DED"/>
    <w:rsid w:val="00DF5EA4"/>
    <w:rsid w:val="00DF601E"/>
    <w:rsid w:val="00DF603E"/>
    <w:rsid w:val="00DF61A8"/>
    <w:rsid w:val="00DF6244"/>
    <w:rsid w:val="00DF624C"/>
    <w:rsid w:val="00DF62BE"/>
    <w:rsid w:val="00DF6437"/>
    <w:rsid w:val="00DF65D4"/>
    <w:rsid w:val="00DF677E"/>
    <w:rsid w:val="00DF68EB"/>
    <w:rsid w:val="00DF6948"/>
    <w:rsid w:val="00DF6997"/>
    <w:rsid w:val="00DF6A0D"/>
    <w:rsid w:val="00DF6E67"/>
    <w:rsid w:val="00DF6FD8"/>
    <w:rsid w:val="00DF705D"/>
    <w:rsid w:val="00DF70D6"/>
    <w:rsid w:val="00DF7158"/>
    <w:rsid w:val="00DF7172"/>
    <w:rsid w:val="00DF7502"/>
    <w:rsid w:val="00DF766C"/>
    <w:rsid w:val="00DF7753"/>
    <w:rsid w:val="00DF77D1"/>
    <w:rsid w:val="00DF78FE"/>
    <w:rsid w:val="00DF7A44"/>
    <w:rsid w:val="00DF7C39"/>
    <w:rsid w:val="00DF7DD6"/>
    <w:rsid w:val="00DF7FA7"/>
    <w:rsid w:val="00DF7FB5"/>
    <w:rsid w:val="00E0022F"/>
    <w:rsid w:val="00E0032E"/>
    <w:rsid w:val="00E004AE"/>
    <w:rsid w:val="00E005D7"/>
    <w:rsid w:val="00E0082E"/>
    <w:rsid w:val="00E008E4"/>
    <w:rsid w:val="00E00AA7"/>
    <w:rsid w:val="00E00ED3"/>
    <w:rsid w:val="00E00FBD"/>
    <w:rsid w:val="00E0101A"/>
    <w:rsid w:val="00E0129D"/>
    <w:rsid w:val="00E012F3"/>
    <w:rsid w:val="00E01456"/>
    <w:rsid w:val="00E017FE"/>
    <w:rsid w:val="00E018E8"/>
    <w:rsid w:val="00E0193C"/>
    <w:rsid w:val="00E0195F"/>
    <w:rsid w:val="00E019DE"/>
    <w:rsid w:val="00E01A02"/>
    <w:rsid w:val="00E01A7A"/>
    <w:rsid w:val="00E01BE9"/>
    <w:rsid w:val="00E021F5"/>
    <w:rsid w:val="00E0223F"/>
    <w:rsid w:val="00E02406"/>
    <w:rsid w:val="00E024AB"/>
    <w:rsid w:val="00E02539"/>
    <w:rsid w:val="00E025C5"/>
    <w:rsid w:val="00E027BF"/>
    <w:rsid w:val="00E02802"/>
    <w:rsid w:val="00E02A72"/>
    <w:rsid w:val="00E02B48"/>
    <w:rsid w:val="00E02DAB"/>
    <w:rsid w:val="00E02E54"/>
    <w:rsid w:val="00E02F1E"/>
    <w:rsid w:val="00E02F22"/>
    <w:rsid w:val="00E02F34"/>
    <w:rsid w:val="00E02F48"/>
    <w:rsid w:val="00E02F58"/>
    <w:rsid w:val="00E031A9"/>
    <w:rsid w:val="00E031BE"/>
    <w:rsid w:val="00E0335E"/>
    <w:rsid w:val="00E03561"/>
    <w:rsid w:val="00E03606"/>
    <w:rsid w:val="00E03713"/>
    <w:rsid w:val="00E03750"/>
    <w:rsid w:val="00E0387A"/>
    <w:rsid w:val="00E038DD"/>
    <w:rsid w:val="00E039C4"/>
    <w:rsid w:val="00E03C31"/>
    <w:rsid w:val="00E03C85"/>
    <w:rsid w:val="00E03CCD"/>
    <w:rsid w:val="00E03E47"/>
    <w:rsid w:val="00E03E94"/>
    <w:rsid w:val="00E03EE8"/>
    <w:rsid w:val="00E03F4F"/>
    <w:rsid w:val="00E04159"/>
    <w:rsid w:val="00E04194"/>
    <w:rsid w:val="00E04315"/>
    <w:rsid w:val="00E046F6"/>
    <w:rsid w:val="00E04CC7"/>
    <w:rsid w:val="00E04EEA"/>
    <w:rsid w:val="00E04FC7"/>
    <w:rsid w:val="00E05079"/>
    <w:rsid w:val="00E05144"/>
    <w:rsid w:val="00E051A3"/>
    <w:rsid w:val="00E05201"/>
    <w:rsid w:val="00E053D9"/>
    <w:rsid w:val="00E05460"/>
    <w:rsid w:val="00E0569C"/>
    <w:rsid w:val="00E05735"/>
    <w:rsid w:val="00E0581B"/>
    <w:rsid w:val="00E0597E"/>
    <w:rsid w:val="00E05C23"/>
    <w:rsid w:val="00E05D5E"/>
    <w:rsid w:val="00E05E27"/>
    <w:rsid w:val="00E05EA8"/>
    <w:rsid w:val="00E05ECE"/>
    <w:rsid w:val="00E0610E"/>
    <w:rsid w:val="00E06141"/>
    <w:rsid w:val="00E06213"/>
    <w:rsid w:val="00E062C1"/>
    <w:rsid w:val="00E062DE"/>
    <w:rsid w:val="00E063B0"/>
    <w:rsid w:val="00E064D6"/>
    <w:rsid w:val="00E06595"/>
    <w:rsid w:val="00E0693D"/>
    <w:rsid w:val="00E06AC3"/>
    <w:rsid w:val="00E06B12"/>
    <w:rsid w:val="00E06C1C"/>
    <w:rsid w:val="00E06D1F"/>
    <w:rsid w:val="00E06DAC"/>
    <w:rsid w:val="00E06F06"/>
    <w:rsid w:val="00E070F2"/>
    <w:rsid w:val="00E07238"/>
    <w:rsid w:val="00E0742F"/>
    <w:rsid w:val="00E07718"/>
    <w:rsid w:val="00E078C1"/>
    <w:rsid w:val="00E078C7"/>
    <w:rsid w:val="00E07B3A"/>
    <w:rsid w:val="00E07C50"/>
    <w:rsid w:val="00E07C97"/>
    <w:rsid w:val="00E07FB9"/>
    <w:rsid w:val="00E1025C"/>
    <w:rsid w:val="00E1030B"/>
    <w:rsid w:val="00E1046E"/>
    <w:rsid w:val="00E104DC"/>
    <w:rsid w:val="00E106ED"/>
    <w:rsid w:val="00E107C8"/>
    <w:rsid w:val="00E1081B"/>
    <w:rsid w:val="00E10861"/>
    <w:rsid w:val="00E108E7"/>
    <w:rsid w:val="00E109E6"/>
    <w:rsid w:val="00E10AEC"/>
    <w:rsid w:val="00E10C06"/>
    <w:rsid w:val="00E10C25"/>
    <w:rsid w:val="00E10DD1"/>
    <w:rsid w:val="00E10E3C"/>
    <w:rsid w:val="00E1100C"/>
    <w:rsid w:val="00E110FA"/>
    <w:rsid w:val="00E1110D"/>
    <w:rsid w:val="00E11110"/>
    <w:rsid w:val="00E11365"/>
    <w:rsid w:val="00E1159D"/>
    <w:rsid w:val="00E115BE"/>
    <w:rsid w:val="00E115E6"/>
    <w:rsid w:val="00E11674"/>
    <w:rsid w:val="00E1184D"/>
    <w:rsid w:val="00E11903"/>
    <w:rsid w:val="00E119AF"/>
    <w:rsid w:val="00E11B34"/>
    <w:rsid w:val="00E11FBF"/>
    <w:rsid w:val="00E12112"/>
    <w:rsid w:val="00E12160"/>
    <w:rsid w:val="00E12229"/>
    <w:rsid w:val="00E12276"/>
    <w:rsid w:val="00E127B5"/>
    <w:rsid w:val="00E12842"/>
    <w:rsid w:val="00E12850"/>
    <w:rsid w:val="00E12A43"/>
    <w:rsid w:val="00E12B6F"/>
    <w:rsid w:val="00E12B9B"/>
    <w:rsid w:val="00E12C36"/>
    <w:rsid w:val="00E12D2D"/>
    <w:rsid w:val="00E12FEC"/>
    <w:rsid w:val="00E13053"/>
    <w:rsid w:val="00E130C0"/>
    <w:rsid w:val="00E13277"/>
    <w:rsid w:val="00E13325"/>
    <w:rsid w:val="00E1337D"/>
    <w:rsid w:val="00E13393"/>
    <w:rsid w:val="00E13961"/>
    <w:rsid w:val="00E13B80"/>
    <w:rsid w:val="00E13BA8"/>
    <w:rsid w:val="00E13BB9"/>
    <w:rsid w:val="00E13C78"/>
    <w:rsid w:val="00E13DEC"/>
    <w:rsid w:val="00E14013"/>
    <w:rsid w:val="00E1406A"/>
    <w:rsid w:val="00E14070"/>
    <w:rsid w:val="00E14116"/>
    <w:rsid w:val="00E1455C"/>
    <w:rsid w:val="00E14657"/>
    <w:rsid w:val="00E14714"/>
    <w:rsid w:val="00E14893"/>
    <w:rsid w:val="00E148D7"/>
    <w:rsid w:val="00E14A62"/>
    <w:rsid w:val="00E14AFD"/>
    <w:rsid w:val="00E14C11"/>
    <w:rsid w:val="00E14C5C"/>
    <w:rsid w:val="00E14C9F"/>
    <w:rsid w:val="00E14EBC"/>
    <w:rsid w:val="00E14EFC"/>
    <w:rsid w:val="00E151F6"/>
    <w:rsid w:val="00E15404"/>
    <w:rsid w:val="00E156DB"/>
    <w:rsid w:val="00E1578E"/>
    <w:rsid w:val="00E1581D"/>
    <w:rsid w:val="00E158A6"/>
    <w:rsid w:val="00E15ABF"/>
    <w:rsid w:val="00E15B0B"/>
    <w:rsid w:val="00E15D99"/>
    <w:rsid w:val="00E15E5B"/>
    <w:rsid w:val="00E15E65"/>
    <w:rsid w:val="00E15EDB"/>
    <w:rsid w:val="00E15F43"/>
    <w:rsid w:val="00E16485"/>
    <w:rsid w:val="00E165E8"/>
    <w:rsid w:val="00E16885"/>
    <w:rsid w:val="00E1690B"/>
    <w:rsid w:val="00E1690F"/>
    <w:rsid w:val="00E1697B"/>
    <w:rsid w:val="00E169A1"/>
    <w:rsid w:val="00E16AAF"/>
    <w:rsid w:val="00E16BC4"/>
    <w:rsid w:val="00E16C3E"/>
    <w:rsid w:val="00E16DB8"/>
    <w:rsid w:val="00E16DC9"/>
    <w:rsid w:val="00E16EB9"/>
    <w:rsid w:val="00E17191"/>
    <w:rsid w:val="00E171A7"/>
    <w:rsid w:val="00E172E5"/>
    <w:rsid w:val="00E172E9"/>
    <w:rsid w:val="00E175F3"/>
    <w:rsid w:val="00E176B0"/>
    <w:rsid w:val="00E17704"/>
    <w:rsid w:val="00E1770D"/>
    <w:rsid w:val="00E1798A"/>
    <w:rsid w:val="00E179DD"/>
    <w:rsid w:val="00E17A87"/>
    <w:rsid w:val="00E17D6B"/>
    <w:rsid w:val="00E17F9D"/>
    <w:rsid w:val="00E200C3"/>
    <w:rsid w:val="00E2014C"/>
    <w:rsid w:val="00E20474"/>
    <w:rsid w:val="00E205FA"/>
    <w:rsid w:val="00E20608"/>
    <w:rsid w:val="00E20792"/>
    <w:rsid w:val="00E207CC"/>
    <w:rsid w:val="00E2086F"/>
    <w:rsid w:val="00E20D11"/>
    <w:rsid w:val="00E20DE2"/>
    <w:rsid w:val="00E20F83"/>
    <w:rsid w:val="00E20F98"/>
    <w:rsid w:val="00E211BD"/>
    <w:rsid w:val="00E211F7"/>
    <w:rsid w:val="00E2123C"/>
    <w:rsid w:val="00E21265"/>
    <w:rsid w:val="00E21376"/>
    <w:rsid w:val="00E2142D"/>
    <w:rsid w:val="00E215BA"/>
    <w:rsid w:val="00E216A3"/>
    <w:rsid w:val="00E216CE"/>
    <w:rsid w:val="00E21869"/>
    <w:rsid w:val="00E218B1"/>
    <w:rsid w:val="00E21A98"/>
    <w:rsid w:val="00E21F94"/>
    <w:rsid w:val="00E21FDC"/>
    <w:rsid w:val="00E220CE"/>
    <w:rsid w:val="00E220DF"/>
    <w:rsid w:val="00E2210F"/>
    <w:rsid w:val="00E221DA"/>
    <w:rsid w:val="00E221E7"/>
    <w:rsid w:val="00E22265"/>
    <w:rsid w:val="00E2229C"/>
    <w:rsid w:val="00E2233E"/>
    <w:rsid w:val="00E223D3"/>
    <w:rsid w:val="00E2247A"/>
    <w:rsid w:val="00E224CC"/>
    <w:rsid w:val="00E2263B"/>
    <w:rsid w:val="00E228C7"/>
    <w:rsid w:val="00E22962"/>
    <w:rsid w:val="00E22D89"/>
    <w:rsid w:val="00E22FF9"/>
    <w:rsid w:val="00E230B0"/>
    <w:rsid w:val="00E231EA"/>
    <w:rsid w:val="00E2327B"/>
    <w:rsid w:val="00E23298"/>
    <w:rsid w:val="00E232A0"/>
    <w:rsid w:val="00E233A6"/>
    <w:rsid w:val="00E23521"/>
    <w:rsid w:val="00E2356B"/>
    <w:rsid w:val="00E235BE"/>
    <w:rsid w:val="00E235E0"/>
    <w:rsid w:val="00E23753"/>
    <w:rsid w:val="00E238EE"/>
    <w:rsid w:val="00E2399C"/>
    <w:rsid w:val="00E23A85"/>
    <w:rsid w:val="00E23CEB"/>
    <w:rsid w:val="00E23E39"/>
    <w:rsid w:val="00E23FA9"/>
    <w:rsid w:val="00E24209"/>
    <w:rsid w:val="00E243A6"/>
    <w:rsid w:val="00E243D0"/>
    <w:rsid w:val="00E24447"/>
    <w:rsid w:val="00E2449F"/>
    <w:rsid w:val="00E244F2"/>
    <w:rsid w:val="00E24690"/>
    <w:rsid w:val="00E24858"/>
    <w:rsid w:val="00E248C7"/>
    <w:rsid w:val="00E249B6"/>
    <w:rsid w:val="00E24B0D"/>
    <w:rsid w:val="00E24BC1"/>
    <w:rsid w:val="00E24C16"/>
    <w:rsid w:val="00E24CBF"/>
    <w:rsid w:val="00E24D46"/>
    <w:rsid w:val="00E24D49"/>
    <w:rsid w:val="00E24D84"/>
    <w:rsid w:val="00E24DF9"/>
    <w:rsid w:val="00E24ED6"/>
    <w:rsid w:val="00E24F27"/>
    <w:rsid w:val="00E24FBF"/>
    <w:rsid w:val="00E25419"/>
    <w:rsid w:val="00E2571C"/>
    <w:rsid w:val="00E25A16"/>
    <w:rsid w:val="00E25A29"/>
    <w:rsid w:val="00E25AEB"/>
    <w:rsid w:val="00E25CA2"/>
    <w:rsid w:val="00E25E59"/>
    <w:rsid w:val="00E26030"/>
    <w:rsid w:val="00E262DA"/>
    <w:rsid w:val="00E2636D"/>
    <w:rsid w:val="00E26466"/>
    <w:rsid w:val="00E264A1"/>
    <w:rsid w:val="00E2657A"/>
    <w:rsid w:val="00E26591"/>
    <w:rsid w:val="00E265ED"/>
    <w:rsid w:val="00E2679A"/>
    <w:rsid w:val="00E26890"/>
    <w:rsid w:val="00E26B33"/>
    <w:rsid w:val="00E26B61"/>
    <w:rsid w:val="00E26CA4"/>
    <w:rsid w:val="00E26DC0"/>
    <w:rsid w:val="00E26E9B"/>
    <w:rsid w:val="00E26EF5"/>
    <w:rsid w:val="00E27054"/>
    <w:rsid w:val="00E271A6"/>
    <w:rsid w:val="00E2725D"/>
    <w:rsid w:val="00E272B1"/>
    <w:rsid w:val="00E273FA"/>
    <w:rsid w:val="00E2749C"/>
    <w:rsid w:val="00E274B5"/>
    <w:rsid w:val="00E274C4"/>
    <w:rsid w:val="00E274D9"/>
    <w:rsid w:val="00E275FB"/>
    <w:rsid w:val="00E2764A"/>
    <w:rsid w:val="00E277CB"/>
    <w:rsid w:val="00E27944"/>
    <w:rsid w:val="00E279F8"/>
    <w:rsid w:val="00E27A0E"/>
    <w:rsid w:val="00E27AB3"/>
    <w:rsid w:val="00E27B50"/>
    <w:rsid w:val="00E27B95"/>
    <w:rsid w:val="00E27E56"/>
    <w:rsid w:val="00E30141"/>
    <w:rsid w:val="00E30336"/>
    <w:rsid w:val="00E303AA"/>
    <w:rsid w:val="00E303C7"/>
    <w:rsid w:val="00E303E4"/>
    <w:rsid w:val="00E30520"/>
    <w:rsid w:val="00E30649"/>
    <w:rsid w:val="00E30C81"/>
    <w:rsid w:val="00E30CF2"/>
    <w:rsid w:val="00E30D30"/>
    <w:rsid w:val="00E30D31"/>
    <w:rsid w:val="00E30D3F"/>
    <w:rsid w:val="00E30DB1"/>
    <w:rsid w:val="00E30E58"/>
    <w:rsid w:val="00E30F6F"/>
    <w:rsid w:val="00E30F72"/>
    <w:rsid w:val="00E312CE"/>
    <w:rsid w:val="00E31388"/>
    <w:rsid w:val="00E314C0"/>
    <w:rsid w:val="00E3194A"/>
    <w:rsid w:val="00E31B32"/>
    <w:rsid w:val="00E31BD4"/>
    <w:rsid w:val="00E31BE7"/>
    <w:rsid w:val="00E31D26"/>
    <w:rsid w:val="00E31D4B"/>
    <w:rsid w:val="00E31D59"/>
    <w:rsid w:val="00E31E59"/>
    <w:rsid w:val="00E31ECD"/>
    <w:rsid w:val="00E31F08"/>
    <w:rsid w:val="00E32024"/>
    <w:rsid w:val="00E32070"/>
    <w:rsid w:val="00E321F1"/>
    <w:rsid w:val="00E323AD"/>
    <w:rsid w:val="00E32406"/>
    <w:rsid w:val="00E324ED"/>
    <w:rsid w:val="00E32508"/>
    <w:rsid w:val="00E328BF"/>
    <w:rsid w:val="00E32903"/>
    <w:rsid w:val="00E32978"/>
    <w:rsid w:val="00E32C15"/>
    <w:rsid w:val="00E32C3A"/>
    <w:rsid w:val="00E32C97"/>
    <w:rsid w:val="00E32EB2"/>
    <w:rsid w:val="00E32F9A"/>
    <w:rsid w:val="00E33607"/>
    <w:rsid w:val="00E336ED"/>
    <w:rsid w:val="00E33882"/>
    <w:rsid w:val="00E338AE"/>
    <w:rsid w:val="00E33A17"/>
    <w:rsid w:val="00E33B22"/>
    <w:rsid w:val="00E33DEA"/>
    <w:rsid w:val="00E341A2"/>
    <w:rsid w:val="00E34218"/>
    <w:rsid w:val="00E344A7"/>
    <w:rsid w:val="00E3474F"/>
    <w:rsid w:val="00E34F2A"/>
    <w:rsid w:val="00E34F36"/>
    <w:rsid w:val="00E34FDE"/>
    <w:rsid w:val="00E3507D"/>
    <w:rsid w:val="00E351D8"/>
    <w:rsid w:val="00E35203"/>
    <w:rsid w:val="00E35226"/>
    <w:rsid w:val="00E3531A"/>
    <w:rsid w:val="00E354BC"/>
    <w:rsid w:val="00E35930"/>
    <w:rsid w:val="00E359A3"/>
    <w:rsid w:val="00E35CE7"/>
    <w:rsid w:val="00E35D37"/>
    <w:rsid w:val="00E35D72"/>
    <w:rsid w:val="00E35EAF"/>
    <w:rsid w:val="00E35F1E"/>
    <w:rsid w:val="00E35FBD"/>
    <w:rsid w:val="00E35FFA"/>
    <w:rsid w:val="00E3605C"/>
    <w:rsid w:val="00E36083"/>
    <w:rsid w:val="00E36092"/>
    <w:rsid w:val="00E360A5"/>
    <w:rsid w:val="00E36121"/>
    <w:rsid w:val="00E362CC"/>
    <w:rsid w:val="00E3652B"/>
    <w:rsid w:val="00E365CE"/>
    <w:rsid w:val="00E36873"/>
    <w:rsid w:val="00E368B7"/>
    <w:rsid w:val="00E368BB"/>
    <w:rsid w:val="00E3698A"/>
    <w:rsid w:val="00E36A32"/>
    <w:rsid w:val="00E36A7B"/>
    <w:rsid w:val="00E36C65"/>
    <w:rsid w:val="00E36E76"/>
    <w:rsid w:val="00E36EA0"/>
    <w:rsid w:val="00E36ED2"/>
    <w:rsid w:val="00E36ED5"/>
    <w:rsid w:val="00E372C3"/>
    <w:rsid w:val="00E373A1"/>
    <w:rsid w:val="00E373DF"/>
    <w:rsid w:val="00E374AE"/>
    <w:rsid w:val="00E37636"/>
    <w:rsid w:val="00E377F0"/>
    <w:rsid w:val="00E379A1"/>
    <w:rsid w:val="00E37ADE"/>
    <w:rsid w:val="00E37B26"/>
    <w:rsid w:val="00E37C76"/>
    <w:rsid w:val="00E37C84"/>
    <w:rsid w:val="00E37C86"/>
    <w:rsid w:val="00E37CFD"/>
    <w:rsid w:val="00E37FCE"/>
    <w:rsid w:val="00E400D7"/>
    <w:rsid w:val="00E40379"/>
    <w:rsid w:val="00E4037D"/>
    <w:rsid w:val="00E40654"/>
    <w:rsid w:val="00E406D0"/>
    <w:rsid w:val="00E40718"/>
    <w:rsid w:val="00E408C6"/>
    <w:rsid w:val="00E40905"/>
    <w:rsid w:val="00E40909"/>
    <w:rsid w:val="00E40B1B"/>
    <w:rsid w:val="00E40B30"/>
    <w:rsid w:val="00E40BFB"/>
    <w:rsid w:val="00E40EAB"/>
    <w:rsid w:val="00E40F8E"/>
    <w:rsid w:val="00E41087"/>
    <w:rsid w:val="00E411D5"/>
    <w:rsid w:val="00E41202"/>
    <w:rsid w:val="00E4123B"/>
    <w:rsid w:val="00E41298"/>
    <w:rsid w:val="00E412FA"/>
    <w:rsid w:val="00E41354"/>
    <w:rsid w:val="00E413EF"/>
    <w:rsid w:val="00E413F8"/>
    <w:rsid w:val="00E41548"/>
    <w:rsid w:val="00E41582"/>
    <w:rsid w:val="00E415E3"/>
    <w:rsid w:val="00E418CE"/>
    <w:rsid w:val="00E41A1E"/>
    <w:rsid w:val="00E41A24"/>
    <w:rsid w:val="00E41D0E"/>
    <w:rsid w:val="00E41E88"/>
    <w:rsid w:val="00E41FC1"/>
    <w:rsid w:val="00E41FEB"/>
    <w:rsid w:val="00E42083"/>
    <w:rsid w:val="00E4232F"/>
    <w:rsid w:val="00E4247E"/>
    <w:rsid w:val="00E424ED"/>
    <w:rsid w:val="00E42550"/>
    <w:rsid w:val="00E425D2"/>
    <w:rsid w:val="00E428BF"/>
    <w:rsid w:val="00E42A53"/>
    <w:rsid w:val="00E42A65"/>
    <w:rsid w:val="00E42BE0"/>
    <w:rsid w:val="00E43189"/>
    <w:rsid w:val="00E4346D"/>
    <w:rsid w:val="00E435D6"/>
    <w:rsid w:val="00E436D2"/>
    <w:rsid w:val="00E4381B"/>
    <w:rsid w:val="00E43ACF"/>
    <w:rsid w:val="00E43B31"/>
    <w:rsid w:val="00E43B7F"/>
    <w:rsid w:val="00E43B9D"/>
    <w:rsid w:val="00E43C95"/>
    <w:rsid w:val="00E43CA3"/>
    <w:rsid w:val="00E43CAE"/>
    <w:rsid w:val="00E43ECE"/>
    <w:rsid w:val="00E43EF7"/>
    <w:rsid w:val="00E43F60"/>
    <w:rsid w:val="00E43F95"/>
    <w:rsid w:val="00E43FE9"/>
    <w:rsid w:val="00E44192"/>
    <w:rsid w:val="00E442ED"/>
    <w:rsid w:val="00E445C6"/>
    <w:rsid w:val="00E445D7"/>
    <w:rsid w:val="00E446EB"/>
    <w:rsid w:val="00E4475A"/>
    <w:rsid w:val="00E447E1"/>
    <w:rsid w:val="00E4488D"/>
    <w:rsid w:val="00E4498C"/>
    <w:rsid w:val="00E44B3A"/>
    <w:rsid w:val="00E44BF4"/>
    <w:rsid w:val="00E44D21"/>
    <w:rsid w:val="00E44D5F"/>
    <w:rsid w:val="00E4508E"/>
    <w:rsid w:val="00E450A8"/>
    <w:rsid w:val="00E45535"/>
    <w:rsid w:val="00E45547"/>
    <w:rsid w:val="00E455EB"/>
    <w:rsid w:val="00E45643"/>
    <w:rsid w:val="00E4578B"/>
    <w:rsid w:val="00E459FE"/>
    <w:rsid w:val="00E45C24"/>
    <w:rsid w:val="00E45D88"/>
    <w:rsid w:val="00E45F97"/>
    <w:rsid w:val="00E46119"/>
    <w:rsid w:val="00E46248"/>
    <w:rsid w:val="00E46275"/>
    <w:rsid w:val="00E462A6"/>
    <w:rsid w:val="00E4646A"/>
    <w:rsid w:val="00E466AB"/>
    <w:rsid w:val="00E46777"/>
    <w:rsid w:val="00E467F3"/>
    <w:rsid w:val="00E469AD"/>
    <w:rsid w:val="00E46A3C"/>
    <w:rsid w:val="00E46A9A"/>
    <w:rsid w:val="00E46B25"/>
    <w:rsid w:val="00E46C73"/>
    <w:rsid w:val="00E46EF6"/>
    <w:rsid w:val="00E46F62"/>
    <w:rsid w:val="00E46F69"/>
    <w:rsid w:val="00E46FFE"/>
    <w:rsid w:val="00E47116"/>
    <w:rsid w:val="00E4711C"/>
    <w:rsid w:val="00E472CD"/>
    <w:rsid w:val="00E472D8"/>
    <w:rsid w:val="00E4731D"/>
    <w:rsid w:val="00E4740B"/>
    <w:rsid w:val="00E4745C"/>
    <w:rsid w:val="00E47705"/>
    <w:rsid w:val="00E47817"/>
    <w:rsid w:val="00E4787E"/>
    <w:rsid w:val="00E47965"/>
    <w:rsid w:val="00E47B75"/>
    <w:rsid w:val="00E47BBC"/>
    <w:rsid w:val="00E47C50"/>
    <w:rsid w:val="00E47E4D"/>
    <w:rsid w:val="00E47F25"/>
    <w:rsid w:val="00E504AC"/>
    <w:rsid w:val="00E50524"/>
    <w:rsid w:val="00E505AB"/>
    <w:rsid w:val="00E505B7"/>
    <w:rsid w:val="00E505D0"/>
    <w:rsid w:val="00E505D7"/>
    <w:rsid w:val="00E50689"/>
    <w:rsid w:val="00E506B6"/>
    <w:rsid w:val="00E50774"/>
    <w:rsid w:val="00E507A8"/>
    <w:rsid w:val="00E50A4E"/>
    <w:rsid w:val="00E50A84"/>
    <w:rsid w:val="00E50BBB"/>
    <w:rsid w:val="00E50D44"/>
    <w:rsid w:val="00E50F24"/>
    <w:rsid w:val="00E50F32"/>
    <w:rsid w:val="00E50FEA"/>
    <w:rsid w:val="00E51026"/>
    <w:rsid w:val="00E51037"/>
    <w:rsid w:val="00E5111B"/>
    <w:rsid w:val="00E511EA"/>
    <w:rsid w:val="00E51339"/>
    <w:rsid w:val="00E516B3"/>
    <w:rsid w:val="00E51708"/>
    <w:rsid w:val="00E51802"/>
    <w:rsid w:val="00E5188C"/>
    <w:rsid w:val="00E518F7"/>
    <w:rsid w:val="00E51C37"/>
    <w:rsid w:val="00E51C88"/>
    <w:rsid w:val="00E51F1E"/>
    <w:rsid w:val="00E52408"/>
    <w:rsid w:val="00E524C3"/>
    <w:rsid w:val="00E52629"/>
    <w:rsid w:val="00E52897"/>
    <w:rsid w:val="00E529AB"/>
    <w:rsid w:val="00E52B44"/>
    <w:rsid w:val="00E53150"/>
    <w:rsid w:val="00E53508"/>
    <w:rsid w:val="00E53CB8"/>
    <w:rsid w:val="00E53DA5"/>
    <w:rsid w:val="00E53E8D"/>
    <w:rsid w:val="00E53EC3"/>
    <w:rsid w:val="00E53F82"/>
    <w:rsid w:val="00E54044"/>
    <w:rsid w:val="00E54244"/>
    <w:rsid w:val="00E543A4"/>
    <w:rsid w:val="00E545D2"/>
    <w:rsid w:val="00E5476F"/>
    <w:rsid w:val="00E54858"/>
    <w:rsid w:val="00E5488B"/>
    <w:rsid w:val="00E5493E"/>
    <w:rsid w:val="00E549FB"/>
    <w:rsid w:val="00E54A99"/>
    <w:rsid w:val="00E54C16"/>
    <w:rsid w:val="00E54E80"/>
    <w:rsid w:val="00E54FF1"/>
    <w:rsid w:val="00E5525A"/>
    <w:rsid w:val="00E55342"/>
    <w:rsid w:val="00E5554B"/>
    <w:rsid w:val="00E556A0"/>
    <w:rsid w:val="00E557EC"/>
    <w:rsid w:val="00E5588C"/>
    <w:rsid w:val="00E558CF"/>
    <w:rsid w:val="00E558F0"/>
    <w:rsid w:val="00E559B7"/>
    <w:rsid w:val="00E55C6D"/>
    <w:rsid w:val="00E55E25"/>
    <w:rsid w:val="00E56017"/>
    <w:rsid w:val="00E56270"/>
    <w:rsid w:val="00E56407"/>
    <w:rsid w:val="00E5657E"/>
    <w:rsid w:val="00E565A1"/>
    <w:rsid w:val="00E565FA"/>
    <w:rsid w:val="00E566FB"/>
    <w:rsid w:val="00E569FF"/>
    <w:rsid w:val="00E56A17"/>
    <w:rsid w:val="00E56AC0"/>
    <w:rsid w:val="00E56B67"/>
    <w:rsid w:val="00E56B8D"/>
    <w:rsid w:val="00E56BB5"/>
    <w:rsid w:val="00E56DF2"/>
    <w:rsid w:val="00E56E2D"/>
    <w:rsid w:val="00E56E7B"/>
    <w:rsid w:val="00E56EA7"/>
    <w:rsid w:val="00E56F27"/>
    <w:rsid w:val="00E56F3B"/>
    <w:rsid w:val="00E57051"/>
    <w:rsid w:val="00E570CA"/>
    <w:rsid w:val="00E571AF"/>
    <w:rsid w:val="00E57233"/>
    <w:rsid w:val="00E57254"/>
    <w:rsid w:val="00E5732A"/>
    <w:rsid w:val="00E5740E"/>
    <w:rsid w:val="00E5745D"/>
    <w:rsid w:val="00E574C1"/>
    <w:rsid w:val="00E5765E"/>
    <w:rsid w:val="00E57663"/>
    <w:rsid w:val="00E57891"/>
    <w:rsid w:val="00E579BF"/>
    <w:rsid w:val="00E57CC6"/>
    <w:rsid w:val="00E57CE6"/>
    <w:rsid w:val="00E57D92"/>
    <w:rsid w:val="00E57E1B"/>
    <w:rsid w:val="00E57EE9"/>
    <w:rsid w:val="00E60040"/>
    <w:rsid w:val="00E6021C"/>
    <w:rsid w:val="00E6028C"/>
    <w:rsid w:val="00E60517"/>
    <w:rsid w:val="00E60654"/>
    <w:rsid w:val="00E606C2"/>
    <w:rsid w:val="00E608DC"/>
    <w:rsid w:val="00E60A6D"/>
    <w:rsid w:val="00E60AD1"/>
    <w:rsid w:val="00E60B97"/>
    <w:rsid w:val="00E60C64"/>
    <w:rsid w:val="00E60CDF"/>
    <w:rsid w:val="00E60D2D"/>
    <w:rsid w:val="00E60E3D"/>
    <w:rsid w:val="00E60E64"/>
    <w:rsid w:val="00E60EFF"/>
    <w:rsid w:val="00E61022"/>
    <w:rsid w:val="00E610CA"/>
    <w:rsid w:val="00E61229"/>
    <w:rsid w:val="00E612F0"/>
    <w:rsid w:val="00E61353"/>
    <w:rsid w:val="00E6155E"/>
    <w:rsid w:val="00E616B5"/>
    <w:rsid w:val="00E6172B"/>
    <w:rsid w:val="00E61BEB"/>
    <w:rsid w:val="00E61C7D"/>
    <w:rsid w:val="00E61C90"/>
    <w:rsid w:val="00E61CD9"/>
    <w:rsid w:val="00E61DA9"/>
    <w:rsid w:val="00E61E85"/>
    <w:rsid w:val="00E61FD5"/>
    <w:rsid w:val="00E62062"/>
    <w:rsid w:val="00E62158"/>
    <w:rsid w:val="00E621C5"/>
    <w:rsid w:val="00E62249"/>
    <w:rsid w:val="00E622C1"/>
    <w:rsid w:val="00E625D4"/>
    <w:rsid w:val="00E626A3"/>
    <w:rsid w:val="00E626A8"/>
    <w:rsid w:val="00E626D5"/>
    <w:rsid w:val="00E626E2"/>
    <w:rsid w:val="00E62757"/>
    <w:rsid w:val="00E62827"/>
    <w:rsid w:val="00E6283F"/>
    <w:rsid w:val="00E62A5A"/>
    <w:rsid w:val="00E62AC2"/>
    <w:rsid w:val="00E62D07"/>
    <w:rsid w:val="00E62D3B"/>
    <w:rsid w:val="00E62EA8"/>
    <w:rsid w:val="00E62F71"/>
    <w:rsid w:val="00E6321A"/>
    <w:rsid w:val="00E636F6"/>
    <w:rsid w:val="00E637DE"/>
    <w:rsid w:val="00E637E9"/>
    <w:rsid w:val="00E63867"/>
    <w:rsid w:val="00E63962"/>
    <w:rsid w:val="00E63A20"/>
    <w:rsid w:val="00E63E1E"/>
    <w:rsid w:val="00E64018"/>
    <w:rsid w:val="00E641F2"/>
    <w:rsid w:val="00E64217"/>
    <w:rsid w:val="00E644BE"/>
    <w:rsid w:val="00E64611"/>
    <w:rsid w:val="00E647BF"/>
    <w:rsid w:val="00E648B4"/>
    <w:rsid w:val="00E648E2"/>
    <w:rsid w:val="00E64909"/>
    <w:rsid w:val="00E6493B"/>
    <w:rsid w:val="00E64AED"/>
    <w:rsid w:val="00E64B29"/>
    <w:rsid w:val="00E64C13"/>
    <w:rsid w:val="00E64E20"/>
    <w:rsid w:val="00E64E9A"/>
    <w:rsid w:val="00E650F5"/>
    <w:rsid w:val="00E652EE"/>
    <w:rsid w:val="00E65684"/>
    <w:rsid w:val="00E65718"/>
    <w:rsid w:val="00E65955"/>
    <w:rsid w:val="00E65C5D"/>
    <w:rsid w:val="00E65CE5"/>
    <w:rsid w:val="00E65D7E"/>
    <w:rsid w:val="00E65F84"/>
    <w:rsid w:val="00E65FDE"/>
    <w:rsid w:val="00E660B7"/>
    <w:rsid w:val="00E660CC"/>
    <w:rsid w:val="00E66128"/>
    <w:rsid w:val="00E664C9"/>
    <w:rsid w:val="00E6669A"/>
    <w:rsid w:val="00E6669C"/>
    <w:rsid w:val="00E66787"/>
    <w:rsid w:val="00E66ADE"/>
    <w:rsid w:val="00E66BBF"/>
    <w:rsid w:val="00E66C42"/>
    <w:rsid w:val="00E66DA0"/>
    <w:rsid w:val="00E66E06"/>
    <w:rsid w:val="00E66E28"/>
    <w:rsid w:val="00E66E44"/>
    <w:rsid w:val="00E66E94"/>
    <w:rsid w:val="00E670ED"/>
    <w:rsid w:val="00E6711B"/>
    <w:rsid w:val="00E6723D"/>
    <w:rsid w:val="00E67270"/>
    <w:rsid w:val="00E67311"/>
    <w:rsid w:val="00E67376"/>
    <w:rsid w:val="00E673FD"/>
    <w:rsid w:val="00E67420"/>
    <w:rsid w:val="00E676C6"/>
    <w:rsid w:val="00E6771F"/>
    <w:rsid w:val="00E67D6A"/>
    <w:rsid w:val="00E67EA1"/>
    <w:rsid w:val="00E70064"/>
    <w:rsid w:val="00E700FB"/>
    <w:rsid w:val="00E701B8"/>
    <w:rsid w:val="00E701CA"/>
    <w:rsid w:val="00E7031A"/>
    <w:rsid w:val="00E705C6"/>
    <w:rsid w:val="00E705EA"/>
    <w:rsid w:val="00E70656"/>
    <w:rsid w:val="00E70672"/>
    <w:rsid w:val="00E70754"/>
    <w:rsid w:val="00E70877"/>
    <w:rsid w:val="00E70B1B"/>
    <w:rsid w:val="00E70B21"/>
    <w:rsid w:val="00E70C4D"/>
    <w:rsid w:val="00E70EBD"/>
    <w:rsid w:val="00E70F81"/>
    <w:rsid w:val="00E71037"/>
    <w:rsid w:val="00E710D5"/>
    <w:rsid w:val="00E71258"/>
    <w:rsid w:val="00E71321"/>
    <w:rsid w:val="00E714F8"/>
    <w:rsid w:val="00E714FB"/>
    <w:rsid w:val="00E716AE"/>
    <w:rsid w:val="00E71840"/>
    <w:rsid w:val="00E719F6"/>
    <w:rsid w:val="00E71C40"/>
    <w:rsid w:val="00E71C7B"/>
    <w:rsid w:val="00E71DD0"/>
    <w:rsid w:val="00E71F7C"/>
    <w:rsid w:val="00E72135"/>
    <w:rsid w:val="00E72156"/>
    <w:rsid w:val="00E721B3"/>
    <w:rsid w:val="00E722B0"/>
    <w:rsid w:val="00E7233E"/>
    <w:rsid w:val="00E7246A"/>
    <w:rsid w:val="00E724E5"/>
    <w:rsid w:val="00E725A8"/>
    <w:rsid w:val="00E72867"/>
    <w:rsid w:val="00E72AB9"/>
    <w:rsid w:val="00E72D4C"/>
    <w:rsid w:val="00E7306C"/>
    <w:rsid w:val="00E73308"/>
    <w:rsid w:val="00E73327"/>
    <w:rsid w:val="00E73414"/>
    <w:rsid w:val="00E735AC"/>
    <w:rsid w:val="00E735D3"/>
    <w:rsid w:val="00E73608"/>
    <w:rsid w:val="00E737A7"/>
    <w:rsid w:val="00E73848"/>
    <w:rsid w:val="00E73895"/>
    <w:rsid w:val="00E73913"/>
    <w:rsid w:val="00E7394B"/>
    <w:rsid w:val="00E73974"/>
    <w:rsid w:val="00E73A30"/>
    <w:rsid w:val="00E73AC5"/>
    <w:rsid w:val="00E73B91"/>
    <w:rsid w:val="00E73C58"/>
    <w:rsid w:val="00E73C6D"/>
    <w:rsid w:val="00E73EBB"/>
    <w:rsid w:val="00E73F6C"/>
    <w:rsid w:val="00E73F6E"/>
    <w:rsid w:val="00E74016"/>
    <w:rsid w:val="00E74075"/>
    <w:rsid w:val="00E740C4"/>
    <w:rsid w:val="00E742B8"/>
    <w:rsid w:val="00E74331"/>
    <w:rsid w:val="00E74395"/>
    <w:rsid w:val="00E7448E"/>
    <w:rsid w:val="00E748FF"/>
    <w:rsid w:val="00E7496D"/>
    <w:rsid w:val="00E74A07"/>
    <w:rsid w:val="00E74B18"/>
    <w:rsid w:val="00E74B9E"/>
    <w:rsid w:val="00E74F5C"/>
    <w:rsid w:val="00E74FA5"/>
    <w:rsid w:val="00E752E4"/>
    <w:rsid w:val="00E7548D"/>
    <w:rsid w:val="00E75588"/>
    <w:rsid w:val="00E75677"/>
    <w:rsid w:val="00E756EE"/>
    <w:rsid w:val="00E759B0"/>
    <w:rsid w:val="00E75A9E"/>
    <w:rsid w:val="00E75C13"/>
    <w:rsid w:val="00E75C7E"/>
    <w:rsid w:val="00E75E8C"/>
    <w:rsid w:val="00E75F47"/>
    <w:rsid w:val="00E7604B"/>
    <w:rsid w:val="00E760FB"/>
    <w:rsid w:val="00E7620C"/>
    <w:rsid w:val="00E76230"/>
    <w:rsid w:val="00E762CB"/>
    <w:rsid w:val="00E7638D"/>
    <w:rsid w:val="00E7639F"/>
    <w:rsid w:val="00E76488"/>
    <w:rsid w:val="00E765E0"/>
    <w:rsid w:val="00E76634"/>
    <w:rsid w:val="00E7676D"/>
    <w:rsid w:val="00E768E4"/>
    <w:rsid w:val="00E76998"/>
    <w:rsid w:val="00E76A01"/>
    <w:rsid w:val="00E76A33"/>
    <w:rsid w:val="00E76A88"/>
    <w:rsid w:val="00E76B32"/>
    <w:rsid w:val="00E76B50"/>
    <w:rsid w:val="00E76CCC"/>
    <w:rsid w:val="00E76E57"/>
    <w:rsid w:val="00E76EBF"/>
    <w:rsid w:val="00E76FF8"/>
    <w:rsid w:val="00E7716A"/>
    <w:rsid w:val="00E772EE"/>
    <w:rsid w:val="00E7736E"/>
    <w:rsid w:val="00E77392"/>
    <w:rsid w:val="00E773E6"/>
    <w:rsid w:val="00E774A6"/>
    <w:rsid w:val="00E77613"/>
    <w:rsid w:val="00E776F8"/>
    <w:rsid w:val="00E777DA"/>
    <w:rsid w:val="00E77926"/>
    <w:rsid w:val="00E7793C"/>
    <w:rsid w:val="00E7797C"/>
    <w:rsid w:val="00E77A12"/>
    <w:rsid w:val="00E77AF3"/>
    <w:rsid w:val="00E77B1A"/>
    <w:rsid w:val="00E77DE7"/>
    <w:rsid w:val="00E8010A"/>
    <w:rsid w:val="00E80166"/>
    <w:rsid w:val="00E80441"/>
    <w:rsid w:val="00E805BF"/>
    <w:rsid w:val="00E80738"/>
    <w:rsid w:val="00E808CA"/>
    <w:rsid w:val="00E80933"/>
    <w:rsid w:val="00E809ED"/>
    <w:rsid w:val="00E80A20"/>
    <w:rsid w:val="00E80C9C"/>
    <w:rsid w:val="00E80D4B"/>
    <w:rsid w:val="00E80F39"/>
    <w:rsid w:val="00E80F3F"/>
    <w:rsid w:val="00E8103D"/>
    <w:rsid w:val="00E8105C"/>
    <w:rsid w:val="00E8134C"/>
    <w:rsid w:val="00E8138D"/>
    <w:rsid w:val="00E814B2"/>
    <w:rsid w:val="00E816D4"/>
    <w:rsid w:val="00E81717"/>
    <w:rsid w:val="00E81922"/>
    <w:rsid w:val="00E819F3"/>
    <w:rsid w:val="00E81B03"/>
    <w:rsid w:val="00E81CD1"/>
    <w:rsid w:val="00E81CF5"/>
    <w:rsid w:val="00E81D3A"/>
    <w:rsid w:val="00E81DBB"/>
    <w:rsid w:val="00E81DF8"/>
    <w:rsid w:val="00E82302"/>
    <w:rsid w:val="00E82310"/>
    <w:rsid w:val="00E823FB"/>
    <w:rsid w:val="00E826D2"/>
    <w:rsid w:val="00E82794"/>
    <w:rsid w:val="00E8282A"/>
    <w:rsid w:val="00E829C8"/>
    <w:rsid w:val="00E829F8"/>
    <w:rsid w:val="00E82AA4"/>
    <w:rsid w:val="00E82B1B"/>
    <w:rsid w:val="00E82B31"/>
    <w:rsid w:val="00E82BF8"/>
    <w:rsid w:val="00E82E69"/>
    <w:rsid w:val="00E8308C"/>
    <w:rsid w:val="00E830BF"/>
    <w:rsid w:val="00E83129"/>
    <w:rsid w:val="00E8344F"/>
    <w:rsid w:val="00E8349C"/>
    <w:rsid w:val="00E8353E"/>
    <w:rsid w:val="00E83549"/>
    <w:rsid w:val="00E835EC"/>
    <w:rsid w:val="00E835F5"/>
    <w:rsid w:val="00E8372C"/>
    <w:rsid w:val="00E837B7"/>
    <w:rsid w:val="00E837EF"/>
    <w:rsid w:val="00E838FC"/>
    <w:rsid w:val="00E8391C"/>
    <w:rsid w:val="00E83B92"/>
    <w:rsid w:val="00E83EE1"/>
    <w:rsid w:val="00E83F13"/>
    <w:rsid w:val="00E83F71"/>
    <w:rsid w:val="00E83FB0"/>
    <w:rsid w:val="00E84061"/>
    <w:rsid w:val="00E84101"/>
    <w:rsid w:val="00E8414F"/>
    <w:rsid w:val="00E84622"/>
    <w:rsid w:val="00E84727"/>
    <w:rsid w:val="00E848D8"/>
    <w:rsid w:val="00E848E4"/>
    <w:rsid w:val="00E84B5F"/>
    <w:rsid w:val="00E84C3D"/>
    <w:rsid w:val="00E84CC0"/>
    <w:rsid w:val="00E84EC8"/>
    <w:rsid w:val="00E8515F"/>
    <w:rsid w:val="00E85173"/>
    <w:rsid w:val="00E852E1"/>
    <w:rsid w:val="00E855A0"/>
    <w:rsid w:val="00E85661"/>
    <w:rsid w:val="00E85735"/>
    <w:rsid w:val="00E85905"/>
    <w:rsid w:val="00E85A8B"/>
    <w:rsid w:val="00E85BD6"/>
    <w:rsid w:val="00E85C21"/>
    <w:rsid w:val="00E85E7A"/>
    <w:rsid w:val="00E861B2"/>
    <w:rsid w:val="00E861BF"/>
    <w:rsid w:val="00E861FE"/>
    <w:rsid w:val="00E86335"/>
    <w:rsid w:val="00E863AA"/>
    <w:rsid w:val="00E8647C"/>
    <w:rsid w:val="00E8657C"/>
    <w:rsid w:val="00E865CC"/>
    <w:rsid w:val="00E865E4"/>
    <w:rsid w:val="00E866CE"/>
    <w:rsid w:val="00E86775"/>
    <w:rsid w:val="00E86818"/>
    <w:rsid w:val="00E86886"/>
    <w:rsid w:val="00E86908"/>
    <w:rsid w:val="00E86C63"/>
    <w:rsid w:val="00E87049"/>
    <w:rsid w:val="00E872B7"/>
    <w:rsid w:val="00E8739A"/>
    <w:rsid w:val="00E87413"/>
    <w:rsid w:val="00E87608"/>
    <w:rsid w:val="00E87631"/>
    <w:rsid w:val="00E876F8"/>
    <w:rsid w:val="00E87806"/>
    <w:rsid w:val="00E8780F"/>
    <w:rsid w:val="00E878A9"/>
    <w:rsid w:val="00E87A05"/>
    <w:rsid w:val="00E87A90"/>
    <w:rsid w:val="00E87D6B"/>
    <w:rsid w:val="00E87EC7"/>
    <w:rsid w:val="00E90129"/>
    <w:rsid w:val="00E901A4"/>
    <w:rsid w:val="00E901AE"/>
    <w:rsid w:val="00E901E2"/>
    <w:rsid w:val="00E902F2"/>
    <w:rsid w:val="00E9031C"/>
    <w:rsid w:val="00E903FC"/>
    <w:rsid w:val="00E905F8"/>
    <w:rsid w:val="00E90603"/>
    <w:rsid w:val="00E90630"/>
    <w:rsid w:val="00E907BB"/>
    <w:rsid w:val="00E907F4"/>
    <w:rsid w:val="00E907FF"/>
    <w:rsid w:val="00E90B9E"/>
    <w:rsid w:val="00E90BEA"/>
    <w:rsid w:val="00E90D42"/>
    <w:rsid w:val="00E90F10"/>
    <w:rsid w:val="00E90F59"/>
    <w:rsid w:val="00E9107A"/>
    <w:rsid w:val="00E91165"/>
    <w:rsid w:val="00E911AD"/>
    <w:rsid w:val="00E911BC"/>
    <w:rsid w:val="00E9126B"/>
    <w:rsid w:val="00E912D9"/>
    <w:rsid w:val="00E913A0"/>
    <w:rsid w:val="00E91616"/>
    <w:rsid w:val="00E91732"/>
    <w:rsid w:val="00E91825"/>
    <w:rsid w:val="00E91843"/>
    <w:rsid w:val="00E91910"/>
    <w:rsid w:val="00E91960"/>
    <w:rsid w:val="00E91971"/>
    <w:rsid w:val="00E919D8"/>
    <w:rsid w:val="00E91C75"/>
    <w:rsid w:val="00E91D0D"/>
    <w:rsid w:val="00E91E87"/>
    <w:rsid w:val="00E91FB7"/>
    <w:rsid w:val="00E91FD8"/>
    <w:rsid w:val="00E92018"/>
    <w:rsid w:val="00E920BC"/>
    <w:rsid w:val="00E9213F"/>
    <w:rsid w:val="00E921DA"/>
    <w:rsid w:val="00E9221D"/>
    <w:rsid w:val="00E92295"/>
    <w:rsid w:val="00E923E1"/>
    <w:rsid w:val="00E92462"/>
    <w:rsid w:val="00E9247C"/>
    <w:rsid w:val="00E92495"/>
    <w:rsid w:val="00E924A0"/>
    <w:rsid w:val="00E92512"/>
    <w:rsid w:val="00E92A46"/>
    <w:rsid w:val="00E92AA2"/>
    <w:rsid w:val="00E92B6C"/>
    <w:rsid w:val="00E92C37"/>
    <w:rsid w:val="00E92DF4"/>
    <w:rsid w:val="00E92E80"/>
    <w:rsid w:val="00E92EBB"/>
    <w:rsid w:val="00E92ED3"/>
    <w:rsid w:val="00E92F34"/>
    <w:rsid w:val="00E92F54"/>
    <w:rsid w:val="00E92FEB"/>
    <w:rsid w:val="00E93022"/>
    <w:rsid w:val="00E93223"/>
    <w:rsid w:val="00E932CC"/>
    <w:rsid w:val="00E93304"/>
    <w:rsid w:val="00E934A5"/>
    <w:rsid w:val="00E93613"/>
    <w:rsid w:val="00E936FD"/>
    <w:rsid w:val="00E9370B"/>
    <w:rsid w:val="00E93772"/>
    <w:rsid w:val="00E93798"/>
    <w:rsid w:val="00E9394E"/>
    <w:rsid w:val="00E93B7C"/>
    <w:rsid w:val="00E93C99"/>
    <w:rsid w:val="00E93E10"/>
    <w:rsid w:val="00E93F43"/>
    <w:rsid w:val="00E93F44"/>
    <w:rsid w:val="00E93F5E"/>
    <w:rsid w:val="00E93F75"/>
    <w:rsid w:val="00E9425B"/>
    <w:rsid w:val="00E94306"/>
    <w:rsid w:val="00E94397"/>
    <w:rsid w:val="00E943C8"/>
    <w:rsid w:val="00E944F9"/>
    <w:rsid w:val="00E94692"/>
    <w:rsid w:val="00E9489F"/>
    <w:rsid w:val="00E948D6"/>
    <w:rsid w:val="00E94969"/>
    <w:rsid w:val="00E94BF2"/>
    <w:rsid w:val="00E94C2F"/>
    <w:rsid w:val="00E94C82"/>
    <w:rsid w:val="00E94D6C"/>
    <w:rsid w:val="00E94D74"/>
    <w:rsid w:val="00E94E67"/>
    <w:rsid w:val="00E950D7"/>
    <w:rsid w:val="00E951E8"/>
    <w:rsid w:val="00E95267"/>
    <w:rsid w:val="00E952A2"/>
    <w:rsid w:val="00E953F0"/>
    <w:rsid w:val="00E954B1"/>
    <w:rsid w:val="00E95603"/>
    <w:rsid w:val="00E95682"/>
    <w:rsid w:val="00E95754"/>
    <w:rsid w:val="00E95777"/>
    <w:rsid w:val="00E957EA"/>
    <w:rsid w:val="00E959B7"/>
    <w:rsid w:val="00E95AEF"/>
    <w:rsid w:val="00E95B1D"/>
    <w:rsid w:val="00E95C21"/>
    <w:rsid w:val="00E95D86"/>
    <w:rsid w:val="00E95DC8"/>
    <w:rsid w:val="00E95E7C"/>
    <w:rsid w:val="00E95F3B"/>
    <w:rsid w:val="00E962C8"/>
    <w:rsid w:val="00E9630C"/>
    <w:rsid w:val="00E963B1"/>
    <w:rsid w:val="00E96524"/>
    <w:rsid w:val="00E96574"/>
    <w:rsid w:val="00E9668E"/>
    <w:rsid w:val="00E966D0"/>
    <w:rsid w:val="00E96791"/>
    <w:rsid w:val="00E967CF"/>
    <w:rsid w:val="00E96AB9"/>
    <w:rsid w:val="00E96ABB"/>
    <w:rsid w:val="00E96BBB"/>
    <w:rsid w:val="00E96D69"/>
    <w:rsid w:val="00E96EA2"/>
    <w:rsid w:val="00E97378"/>
    <w:rsid w:val="00E97431"/>
    <w:rsid w:val="00E97490"/>
    <w:rsid w:val="00E974DB"/>
    <w:rsid w:val="00E9755A"/>
    <w:rsid w:val="00E9759A"/>
    <w:rsid w:val="00E975A6"/>
    <w:rsid w:val="00E9763D"/>
    <w:rsid w:val="00E97783"/>
    <w:rsid w:val="00E97820"/>
    <w:rsid w:val="00E97A98"/>
    <w:rsid w:val="00E97BA8"/>
    <w:rsid w:val="00E97BA9"/>
    <w:rsid w:val="00E97DBB"/>
    <w:rsid w:val="00E97E74"/>
    <w:rsid w:val="00E97EEA"/>
    <w:rsid w:val="00E97F84"/>
    <w:rsid w:val="00EA0366"/>
    <w:rsid w:val="00EA04C5"/>
    <w:rsid w:val="00EA0552"/>
    <w:rsid w:val="00EA05AE"/>
    <w:rsid w:val="00EA0692"/>
    <w:rsid w:val="00EA0836"/>
    <w:rsid w:val="00EA086B"/>
    <w:rsid w:val="00EA08DB"/>
    <w:rsid w:val="00EA08F4"/>
    <w:rsid w:val="00EA09BC"/>
    <w:rsid w:val="00EA0A0F"/>
    <w:rsid w:val="00EA0A96"/>
    <w:rsid w:val="00EA0BFA"/>
    <w:rsid w:val="00EA0C35"/>
    <w:rsid w:val="00EA0CEB"/>
    <w:rsid w:val="00EA0F8B"/>
    <w:rsid w:val="00EA12FE"/>
    <w:rsid w:val="00EA1346"/>
    <w:rsid w:val="00EA1385"/>
    <w:rsid w:val="00EA16A2"/>
    <w:rsid w:val="00EA1794"/>
    <w:rsid w:val="00EA1890"/>
    <w:rsid w:val="00EA1C78"/>
    <w:rsid w:val="00EA1C7B"/>
    <w:rsid w:val="00EA1F15"/>
    <w:rsid w:val="00EA1FB4"/>
    <w:rsid w:val="00EA1FDD"/>
    <w:rsid w:val="00EA2AFC"/>
    <w:rsid w:val="00EA2B02"/>
    <w:rsid w:val="00EA2CA6"/>
    <w:rsid w:val="00EA2D16"/>
    <w:rsid w:val="00EA2F6E"/>
    <w:rsid w:val="00EA313B"/>
    <w:rsid w:val="00EA317D"/>
    <w:rsid w:val="00EA3374"/>
    <w:rsid w:val="00EA35CA"/>
    <w:rsid w:val="00EA3604"/>
    <w:rsid w:val="00EA3668"/>
    <w:rsid w:val="00EA369E"/>
    <w:rsid w:val="00EA3730"/>
    <w:rsid w:val="00EA39DE"/>
    <w:rsid w:val="00EA3A84"/>
    <w:rsid w:val="00EA3B0E"/>
    <w:rsid w:val="00EA3B1B"/>
    <w:rsid w:val="00EA3B55"/>
    <w:rsid w:val="00EA401C"/>
    <w:rsid w:val="00EA403D"/>
    <w:rsid w:val="00EA4074"/>
    <w:rsid w:val="00EA415C"/>
    <w:rsid w:val="00EA4173"/>
    <w:rsid w:val="00EA43A4"/>
    <w:rsid w:val="00EA4482"/>
    <w:rsid w:val="00EA4489"/>
    <w:rsid w:val="00EA45C8"/>
    <w:rsid w:val="00EA49F7"/>
    <w:rsid w:val="00EA4A4C"/>
    <w:rsid w:val="00EA4A94"/>
    <w:rsid w:val="00EA4D9A"/>
    <w:rsid w:val="00EA4F72"/>
    <w:rsid w:val="00EA50BE"/>
    <w:rsid w:val="00EA50C8"/>
    <w:rsid w:val="00EA5274"/>
    <w:rsid w:val="00EA5369"/>
    <w:rsid w:val="00EA558D"/>
    <w:rsid w:val="00EA5611"/>
    <w:rsid w:val="00EA563C"/>
    <w:rsid w:val="00EA56E2"/>
    <w:rsid w:val="00EA5735"/>
    <w:rsid w:val="00EA5A6E"/>
    <w:rsid w:val="00EA5AF5"/>
    <w:rsid w:val="00EA5B34"/>
    <w:rsid w:val="00EA5C61"/>
    <w:rsid w:val="00EA5F18"/>
    <w:rsid w:val="00EA5F52"/>
    <w:rsid w:val="00EA5F8D"/>
    <w:rsid w:val="00EA61B7"/>
    <w:rsid w:val="00EA6384"/>
    <w:rsid w:val="00EA6499"/>
    <w:rsid w:val="00EA655C"/>
    <w:rsid w:val="00EA65EA"/>
    <w:rsid w:val="00EA68E4"/>
    <w:rsid w:val="00EA698D"/>
    <w:rsid w:val="00EA6AAF"/>
    <w:rsid w:val="00EA6AC6"/>
    <w:rsid w:val="00EA6B36"/>
    <w:rsid w:val="00EA6BBA"/>
    <w:rsid w:val="00EA6C97"/>
    <w:rsid w:val="00EA6D0F"/>
    <w:rsid w:val="00EA6D68"/>
    <w:rsid w:val="00EA6E69"/>
    <w:rsid w:val="00EA6EAF"/>
    <w:rsid w:val="00EA6F72"/>
    <w:rsid w:val="00EA70FC"/>
    <w:rsid w:val="00EA711B"/>
    <w:rsid w:val="00EA738B"/>
    <w:rsid w:val="00EA73DB"/>
    <w:rsid w:val="00EA759A"/>
    <w:rsid w:val="00EA767C"/>
    <w:rsid w:val="00EA76FE"/>
    <w:rsid w:val="00EA7807"/>
    <w:rsid w:val="00EA7900"/>
    <w:rsid w:val="00EA7B0D"/>
    <w:rsid w:val="00EA7D2D"/>
    <w:rsid w:val="00EA7DD2"/>
    <w:rsid w:val="00EA7FB0"/>
    <w:rsid w:val="00EB0159"/>
    <w:rsid w:val="00EB0257"/>
    <w:rsid w:val="00EB02BE"/>
    <w:rsid w:val="00EB050C"/>
    <w:rsid w:val="00EB07A1"/>
    <w:rsid w:val="00EB0824"/>
    <w:rsid w:val="00EB0A42"/>
    <w:rsid w:val="00EB1359"/>
    <w:rsid w:val="00EB13AF"/>
    <w:rsid w:val="00EB13F3"/>
    <w:rsid w:val="00EB143F"/>
    <w:rsid w:val="00EB1543"/>
    <w:rsid w:val="00EB1585"/>
    <w:rsid w:val="00EB19AD"/>
    <w:rsid w:val="00EB1C96"/>
    <w:rsid w:val="00EB1D13"/>
    <w:rsid w:val="00EB1EAB"/>
    <w:rsid w:val="00EB1F4F"/>
    <w:rsid w:val="00EB1FD0"/>
    <w:rsid w:val="00EB1FE7"/>
    <w:rsid w:val="00EB2621"/>
    <w:rsid w:val="00EB2701"/>
    <w:rsid w:val="00EB2858"/>
    <w:rsid w:val="00EB292D"/>
    <w:rsid w:val="00EB2948"/>
    <w:rsid w:val="00EB2A2D"/>
    <w:rsid w:val="00EB2C01"/>
    <w:rsid w:val="00EB2C3A"/>
    <w:rsid w:val="00EB2FB9"/>
    <w:rsid w:val="00EB305B"/>
    <w:rsid w:val="00EB3129"/>
    <w:rsid w:val="00EB322A"/>
    <w:rsid w:val="00EB3404"/>
    <w:rsid w:val="00EB35FF"/>
    <w:rsid w:val="00EB36F4"/>
    <w:rsid w:val="00EB36FF"/>
    <w:rsid w:val="00EB3738"/>
    <w:rsid w:val="00EB38FA"/>
    <w:rsid w:val="00EB39CC"/>
    <w:rsid w:val="00EB3B93"/>
    <w:rsid w:val="00EB3E00"/>
    <w:rsid w:val="00EB3E10"/>
    <w:rsid w:val="00EB3F00"/>
    <w:rsid w:val="00EB3F1B"/>
    <w:rsid w:val="00EB3F85"/>
    <w:rsid w:val="00EB3FFF"/>
    <w:rsid w:val="00EB408C"/>
    <w:rsid w:val="00EB40D2"/>
    <w:rsid w:val="00EB4106"/>
    <w:rsid w:val="00EB424C"/>
    <w:rsid w:val="00EB4480"/>
    <w:rsid w:val="00EB460A"/>
    <w:rsid w:val="00EB4924"/>
    <w:rsid w:val="00EB4972"/>
    <w:rsid w:val="00EB4A24"/>
    <w:rsid w:val="00EB4A8A"/>
    <w:rsid w:val="00EB4AA4"/>
    <w:rsid w:val="00EB4B94"/>
    <w:rsid w:val="00EB4C30"/>
    <w:rsid w:val="00EB4C45"/>
    <w:rsid w:val="00EB4CC5"/>
    <w:rsid w:val="00EB4CCF"/>
    <w:rsid w:val="00EB4D29"/>
    <w:rsid w:val="00EB4D47"/>
    <w:rsid w:val="00EB5024"/>
    <w:rsid w:val="00EB504E"/>
    <w:rsid w:val="00EB5214"/>
    <w:rsid w:val="00EB52C6"/>
    <w:rsid w:val="00EB5318"/>
    <w:rsid w:val="00EB534D"/>
    <w:rsid w:val="00EB5351"/>
    <w:rsid w:val="00EB539C"/>
    <w:rsid w:val="00EB53FC"/>
    <w:rsid w:val="00EB55CE"/>
    <w:rsid w:val="00EB55D4"/>
    <w:rsid w:val="00EB5881"/>
    <w:rsid w:val="00EB5889"/>
    <w:rsid w:val="00EB593F"/>
    <w:rsid w:val="00EB59F2"/>
    <w:rsid w:val="00EB5A50"/>
    <w:rsid w:val="00EB5B05"/>
    <w:rsid w:val="00EB5F21"/>
    <w:rsid w:val="00EB5F4E"/>
    <w:rsid w:val="00EB5F74"/>
    <w:rsid w:val="00EB5FF7"/>
    <w:rsid w:val="00EB604D"/>
    <w:rsid w:val="00EB6074"/>
    <w:rsid w:val="00EB60E8"/>
    <w:rsid w:val="00EB61A0"/>
    <w:rsid w:val="00EB627C"/>
    <w:rsid w:val="00EB6345"/>
    <w:rsid w:val="00EB65BB"/>
    <w:rsid w:val="00EB6618"/>
    <w:rsid w:val="00EB6667"/>
    <w:rsid w:val="00EB6673"/>
    <w:rsid w:val="00EB66F6"/>
    <w:rsid w:val="00EB6757"/>
    <w:rsid w:val="00EB67BA"/>
    <w:rsid w:val="00EB6AC6"/>
    <w:rsid w:val="00EB6D5B"/>
    <w:rsid w:val="00EB6EE0"/>
    <w:rsid w:val="00EB7163"/>
    <w:rsid w:val="00EB71C6"/>
    <w:rsid w:val="00EB71CB"/>
    <w:rsid w:val="00EB739D"/>
    <w:rsid w:val="00EB7414"/>
    <w:rsid w:val="00EB746B"/>
    <w:rsid w:val="00EB7477"/>
    <w:rsid w:val="00EB75BB"/>
    <w:rsid w:val="00EB75BC"/>
    <w:rsid w:val="00EB7797"/>
    <w:rsid w:val="00EB7917"/>
    <w:rsid w:val="00EB799D"/>
    <w:rsid w:val="00EB79D8"/>
    <w:rsid w:val="00EB7ACF"/>
    <w:rsid w:val="00EB7CF6"/>
    <w:rsid w:val="00EB7D07"/>
    <w:rsid w:val="00EB7D6A"/>
    <w:rsid w:val="00EB7EBA"/>
    <w:rsid w:val="00EB7F57"/>
    <w:rsid w:val="00EB7F5C"/>
    <w:rsid w:val="00EB7F82"/>
    <w:rsid w:val="00EC013F"/>
    <w:rsid w:val="00EC01D7"/>
    <w:rsid w:val="00EC032E"/>
    <w:rsid w:val="00EC039B"/>
    <w:rsid w:val="00EC07E6"/>
    <w:rsid w:val="00EC08D3"/>
    <w:rsid w:val="00EC09C0"/>
    <w:rsid w:val="00EC09F0"/>
    <w:rsid w:val="00EC0BBB"/>
    <w:rsid w:val="00EC0EA7"/>
    <w:rsid w:val="00EC0EF0"/>
    <w:rsid w:val="00EC1087"/>
    <w:rsid w:val="00EC126A"/>
    <w:rsid w:val="00EC1348"/>
    <w:rsid w:val="00EC137A"/>
    <w:rsid w:val="00EC13EF"/>
    <w:rsid w:val="00EC15D7"/>
    <w:rsid w:val="00EC15F8"/>
    <w:rsid w:val="00EC1617"/>
    <w:rsid w:val="00EC16F3"/>
    <w:rsid w:val="00EC1A07"/>
    <w:rsid w:val="00EC1AE4"/>
    <w:rsid w:val="00EC1D4D"/>
    <w:rsid w:val="00EC1DA0"/>
    <w:rsid w:val="00EC1ED0"/>
    <w:rsid w:val="00EC1EF1"/>
    <w:rsid w:val="00EC2006"/>
    <w:rsid w:val="00EC20CD"/>
    <w:rsid w:val="00EC2346"/>
    <w:rsid w:val="00EC2504"/>
    <w:rsid w:val="00EC2650"/>
    <w:rsid w:val="00EC265D"/>
    <w:rsid w:val="00EC2802"/>
    <w:rsid w:val="00EC2813"/>
    <w:rsid w:val="00EC2AA1"/>
    <w:rsid w:val="00EC2BEF"/>
    <w:rsid w:val="00EC2C2F"/>
    <w:rsid w:val="00EC2E28"/>
    <w:rsid w:val="00EC2F1C"/>
    <w:rsid w:val="00EC2FB3"/>
    <w:rsid w:val="00EC30E5"/>
    <w:rsid w:val="00EC3694"/>
    <w:rsid w:val="00EC3795"/>
    <w:rsid w:val="00EC387C"/>
    <w:rsid w:val="00EC38BC"/>
    <w:rsid w:val="00EC3A65"/>
    <w:rsid w:val="00EC3BD8"/>
    <w:rsid w:val="00EC3C24"/>
    <w:rsid w:val="00EC3DBD"/>
    <w:rsid w:val="00EC3DF1"/>
    <w:rsid w:val="00EC3E0B"/>
    <w:rsid w:val="00EC3E11"/>
    <w:rsid w:val="00EC408A"/>
    <w:rsid w:val="00EC41A4"/>
    <w:rsid w:val="00EC41C1"/>
    <w:rsid w:val="00EC4241"/>
    <w:rsid w:val="00EC4255"/>
    <w:rsid w:val="00EC42F4"/>
    <w:rsid w:val="00EC4499"/>
    <w:rsid w:val="00EC449E"/>
    <w:rsid w:val="00EC4575"/>
    <w:rsid w:val="00EC469F"/>
    <w:rsid w:val="00EC475E"/>
    <w:rsid w:val="00EC4AD0"/>
    <w:rsid w:val="00EC4B03"/>
    <w:rsid w:val="00EC4CD1"/>
    <w:rsid w:val="00EC4D07"/>
    <w:rsid w:val="00EC4E7E"/>
    <w:rsid w:val="00EC4F0D"/>
    <w:rsid w:val="00EC50E8"/>
    <w:rsid w:val="00EC52D0"/>
    <w:rsid w:val="00EC52FD"/>
    <w:rsid w:val="00EC53D8"/>
    <w:rsid w:val="00EC5552"/>
    <w:rsid w:val="00EC55C6"/>
    <w:rsid w:val="00EC568E"/>
    <w:rsid w:val="00EC587C"/>
    <w:rsid w:val="00EC5942"/>
    <w:rsid w:val="00EC5994"/>
    <w:rsid w:val="00EC59BC"/>
    <w:rsid w:val="00EC59C4"/>
    <w:rsid w:val="00EC59F7"/>
    <w:rsid w:val="00EC5B9C"/>
    <w:rsid w:val="00EC5BFE"/>
    <w:rsid w:val="00EC5C13"/>
    <w:rsid w:val="00EC5F9C"/>
    <w:rsid w:val="00EC61EE"/>
    <w:rsid w:val="00EC628D"/>
    <w:rsid w:val="00EC66DB"/>
    <w:rsid w:val="00EC676A"/>
    <w:rsid w:val="00EC67EA"/>
    <w:rsid w:val="00EC68AE"/>
    <w:rsid w:val="00EC6939"/>
    <w:rsid w:val="00EC694A"/>
    <w:rsid w:val="00EC6B85"/>
    <w:rsid w:val="00EC6DCB"/>
    <w:rsid w:val="00EC6ECC"/>
    <w:rsid w:val="00EC6F41"/>
    <w:rsid w:val="00EC705C"/>
    <w:rsid w:val="00EC718C"/>
    <w:rsid w:val="00EC720D"/>
    <w:rsid w:val="00EC72B1"/>
    <w:rsid w:val="00EC72D8"/>
    <w:rsid w:val="00EC73A3"/>
    <w:rsid w:val="00EC75FB"/>
    <w:rsid w:val="00EC75FC"/>
    <w:rsid w:val="00EC7697"/>
    <w:rsid w:val="00EC77EE"/>
    <w:rsid w:val="00EC7ADA"/>
    <w:rsid w:val="00EC7E71"/>
    <w:rsid w:val="00ED005E"/>
    <w:rsid w:val="00ED00BC"/>
    <w:rsid w:val="00ED011F"/>
    <w:rsid w:val="00ED0270"/>
    <w:rsid w:val="00ED06DC"/>
    <w:rsid w:val="00ED083D"/>
    <w:rsid w:val="00ED0945"/>
    <w:rsid w:val="00ED09E5"/>
    <w:rsid w:val="00ED0A11"/>
    <w:rsid w:val="00ED0A86"/>
    <w:rsid w:val="00ED1058"/>
    <w:rsid w:val="00ED13B6"/>
    <w:rsid w:val="00ED13D8"/>
    <w:rsid w:val="00ED142A"/>
    <w:rsid w:val="00ED15D3"/>
    <w:rsid w:val="00ED1707"/>
    <w:rsid w:val="00ED1867"/>
    <w:rsid w:val="00ED1A96"/>
    <w:rsid w:val="00ED1AC7"/>
    <w:rsid w:val="00ED1D04"/>
    <w:rsid w:val="00ED1E43"/>
    <w:rsid w:val="00ED1F81"/>
    <w:rsid w:val="00ED21CD"/>
    <w:rsid w:val="00ED223D"/>
    <w:rsid w:val="00ED25B0"/>
    <w:rsid w:val="00ED25B9"/>
    <w:rsid w:val="00ED2781"/>
    <w:rsid w:val="00ED27BF"/>
    <w:rsid w:val="00ED27FB"/>
    <w:rsid w:val="00ED2AD1"/>
    <w:rsid w:val="00ED2BE4"/>
    <w:rsid w:val="00ED2C0A"/>
    <w:rsid w:val="00ED2D5F"/>
    <w:rsid w:val="00ED2DFE"/>
    <w:rsid w:val="00ED2E09"/>
    <w:rsid w:val="00ED2F57"/>
    <w:rsid w:val="00ED2FA4"/>
    <w:rsid w:val="00ED312E"/>
    <w:rsid w:val="00ED31F1"/>
    <w:rsid w:val="00ED32B3"/>
    <w:rsid w:val="00ED32C3"/>
    <w:rsid w:val="00ED3398"/>
    <w:rsid w:val="00ED33E2"/>
    <w:rsid w:val="00ED354C"/>
    <w:rsid w:val="00ED36D2"/>
    <w:rsid w:val="00ED36FE"/>
    <w:rsid w:val="00ED3EC9"/>
    <w:rsid w:val="00ED3F0F"/>
    <w:rsid w:val="00ED418E"/>
    <w:rsid w:val="00ED42BE"/>
    <w:rsid w:val="00ED45C4"/>
    <w:rsid w:val="00ED46CB"/>
    <w:rsid w:val="00ED4720"/>
    <w:rsid w:val="00ED48C6"/>
    <w:rsid w:val="00ED497F"/>
    <w:rsid w:val="00ED4B27"/>
    <w:rsid w:val="00ED4B89"/>
    <w:rsid w:val="00ED4C04"/>
    <w:rsid w:val="00ED4EA2"/>
    <w:rsid w:val="00ED4FF4"/>
    <w:rsid w:val="00ED587A"/>
    <w:rsid w:val="00ED5B27"/>
    <w:rsid w:val="00ED5BD6"/>
    <w:rsid w:val="00ED5BED"/>
    <w:rsid w:val="00ED5FCF"/>
    <w:rsid w:val="00ED619D"/>
    <w:rsid w:val="00ED6409"/>
    <w:rsid w:val="00ED6499"/>
    <w:rsid w:val="00ED64FE"/>
    <w:rsid w:val="00ED650F"/>
    <w:rsid w:val="00ED664C"/>
    <w:rsid w:val="00ED6A38"/>
    <w:rsid w:val="00ED6AD7"/>
    <w:rsid w:val="00ED6BC0"/>
    <w:rsid w:val="00ED6E5E"/>
    <w:rsid w:val="00ED6F3F"/>
    <w:rsid w:val="00ED6F77"/>
    <w:rsid w:val="00ED706F"/>
    <w:rsid w:val="00ED70A9"/>
    <w:rsid w:val="00ED716B"/>
    <w:rsid w:val="00ED71A2"/>
    <w:rsid w:val="00ED73AA"/>
    <w:rsid w:val="00ED7421"/>
    <w:rsid w:val="00ED7430"/>
    <w:rsid w:val="00ED7475"/>
    <w:rsid w:val="00ED772E"/>
    <w:rsid w:val="00ED7B1F"/>
    <w:rsid w:val="00ED7D59"/>
    <w:rsid w:val="00ED7F57"/>
    <w:rsid w:val="00ED7F7D"/>
    <w:rsid w:val="00EE000B"/>
    <w:rsid w:val="00EE0210"/>
    <w:rsid w:val="00EE026D"/>
    <w:rsid w:val="00EE043A"/>
    <w:rsid w:val="00EE0519"/>
    <w:rsid w:val="00EE081B"/>
    <w:rsid w:val="00EE0895"/>
    <w:rsid w:val="00EE08EC"/>
    <w:rsid w:val="00EE0AC5"/>
    <w:rsid w:val="00EE0B06"/>
    <w:rsid w:val="00EE0BDC"/>
    <w:rsid w:val="00EE0BDE"/>
    <w:rsid w:val="00EE0CE4"/>
    <w:rsid w:val="00EE0D42"/>
    <w:rsid w:val="00EE12AD"/>
    <w:rsid w:val="00EE1633"/>
    <w:rsid w:val="00EE164C"/>
    <w:rsid w:val="00EE16D6"/>
    <w:rsid w:val="00EE17C2"/>
    <w:rsid w:val="00EE1827"/>
    <w:rsid w:val="00EE188A"/>
    <w:rsid w:val="00EE1A70"/>
    <w:rsid w:val="00EE1A82"/>
    <w:rsid w:val="00EE1AB4"/>
    <w:rsid w:val="00EE1B8C"/>
    <w:rsid w:val="00EE1BED"/>
    <w:rsid w:val="00EE1C01"/>
    <w:rsid w:val="00EE1E11"/>
    <w:rsid w:val="00EE1E2C"/>
    <w:rsid w:val="00EE1F72"/>
    <w:rsid w:val="00EE2006"/>
    <w:rsid w:val="00EE206D"/>
    <w:rsid w:val="00EE20AB"/>
    <w:rsid w:val="00EE211B"/>
    <w:rsid w:val="00EE2291"/>
    <w:rsid w:val="00EE22BE"/>
    <w:rsid w:val="00EE230B"/>
    <w:rsid w:val="00EE2388"/>
    <w:rsid w:val="00EE244D"/>
    <w:rsid w:val="00EE2475"/>
    <w:rsid w:val="00EE265A"/>
    <w:rsid w:val="00EE26D7"/>
    <w:rsid w:val="00EE27E7"/>
    <w:rsid w:val="00EE292C"/>
    <w:rsid w:val="00EE29B6"/>
    <w:rsid w:val="00EE2ADE"/>
    <w:rsid w:val="00EE2B46"/>
    <w:rsid w:val="00EE2CCD"/>
    <w:rsid w:val="00EE2D89"/>
    <w:rsid w:val="00EE2FAA"/>
    <w:rsid w:val="00EE30A0"/>
    <w:rsid w:val="00EE30A4"/>
    <w:rsid w:val="00EE3469"/>
    <w:rsid w:val="00EE34A5"/>
    <w:rsid w:val="00EE35D1"/>
    <w:rsid w:val="00EE3625"/>
    <w:rsid w:val="00EE3673"/>
    <w:rsid w:val="00EE36E2"/>
    <w:rsid w:val="00EE37B1"/>
    <w:rsid w:val="00EE392E"/>
    <w:rsid w:val="00EE3AB2"/>
    <w:rsid w:val="00EE3AC2"/>
    <w:rsid w:val="00EE3C5C"/>
    <w:rsid w:val="00EE3F4B"/>
    <w:rsid w:val="00EE41BA"/>
    <w:rsid w:val="00EE4265"/>
    <w:rsid w:val="00EE4282"/>
    <w:rsid w:val="00EE4796"/>
    <w:rsid w:val="00EE48FF"/>
    <w:rsid w:val="00EE4906"/>
    <w:rsid w:val="00EE4930"/>
    <w:rsid w:val="00EE4B9A"/>
    <w:rsid w:val="00EE4D29"/>
    <w:rsid w:val="00EE4DE7"/>
    <w:rsid w:val="00EE56DA"/>
    <w:rsid w:val="00EE574F"/>
    <w:rsid w:val="00EE57BE"/>
    <w:rsid w:val="00EE5849"/>
    <w:rsid w:val="00EE5904"/>
    <w:rsid w:val="00EE59C5"/>
    <w:rsid w:val="00EE5D67"/>
    <w:rsid w:val="00EE5DFE"/>
    <w:rsid w:val="00EE5EB3"/>
    <w:rsid w:val="00EE60A8"/>
    <w:rsid w:val="00EE6275"/>
    <w:rsid w:val="00EE627B"/>
    <w:rsid w:val="00EE6326"/>
    <w:rsid w:val="00EE6338"/>
    <w:rsid w:val="00EE635E"/>
    <w:rsid w:val="00EE66B5"/>
    <w:rsid w:val="00EE672C"/>
    <w:rsid w:val="00EE674B"/>
    <w:rsid w:val="00EE6880"/>
    <w:rsid w:val="00EE68FB"/>
    <w:rsid w:val="00EE6AD7"/>
    <w:rsid w:val="00EE6C6C"/>
    <w:rsid w:val="00EE6E47"/>
    <w:rsid w:val="00EE6E59"/>
    <w:rsid w:val="00EE7059"/>
    <w:rsid w:val="00EE7060"/>
    <w:rsid w:val="00EE7151"/>
    <w:rsid w:val="00EE7273"/>
    <w:rsid w:val="00EE728B"/>
    <w:rsid w:val="00EE7296"/>
    <w:rsid w:val="00EE75B0"/>
    <w:rsid w:val="00EE7772"/>
    <w:rsid w:val="00EE777F"/>
    <w:rsid w:val="00EE780B"/>
    <w:rsid w:val="00EE788E"/>
    <w:rsid w:val="00EE78EA"/>
    <w:rsid w:val="00EE7967"/>
    <w:rsid w:val="00EE797B"/>
    <w:rsid w:val="00EE7AF8"/>
    <w:rsid w:val="00EE7C1F"/>
    <w:rsid w:val="00EE7C86"/>
    <w:rsid w:val="00EE7CE9"/>
    <w:rsid w:val="00EE7D39"/>
    <w:rsid w:val="00EE7D9A"/>
    <w:rsid w:val="00EE7EBC"/>
    <w:rsid w:val="00EE7F41"/>
    <w:rsid w:val="00EE7F8E"/>
    <w:rsid w:val="00EE7FD3"/>
    <w:rsid w:val="00EF00AD"/>
    <w:rsid w:val="00EF00E3"/>
    <w:rsid w:val="00EF0150"/>
    <w:rsid w:val="00EF0173"/>
    <w:rsid w:val="00EF01D4"/>
    <w:rsid w:val="00EF02A0"/>
    <w:rsid w:val="00EF0313"/>
    <w:rsid w:val="00EF05FE"/>
    <w:rsid w:val="00EF070F"/>
    <w:rsid w:val="00EF094C"/>
    <w:rsid w:val="00EF096A"/>
    <w:rsid w:val="00EF09E7"/>
    <w:rsid w:val="00EF0B4E"/>
    <w:rsid w:val="00EF0BAC"/>
    <w:rsid w:val="00EF0D6D"/>
    <w:rsid w:val="00EF0EC5"/>
    <w:rsid w:val="00EF0FA3"/>
    <w:rsid w:val="00EF0FC0"/>
    <w:rsid w:val="00EF0FEF"/>
    <w:rsid w:val="00EF1186"/>
    <w:rsid w:val="00EF1348"/>
    <w:rsid w:val="00EF1525"/>
    <w:rsid w:val="00EF16E8"/>
    <w:rsid w:val="00EF190B"/>
    <w:rsid w:val="00EF1964"/>
    <w:rsid w:val="00EF1BE8"/>
    <w:rsid w:val="00EF1CF2"/>
    <w:rsid w:val="00EF1D00"/>
    <w:rsid w:val="00EF1E44"/>
    <w:rsid w:val="00EF1E72"/>
    <w:rsid w:val="00EF20A2"/>
    <w:rsid w:val="00EF2195"/>
    <w:rsid w:val="00EF2251"/>
    <w:rsid w:val="00EF22D0"/>
    <w:rsid w:val="00EF23D0"/>
    <w:rsid w:val="00EF24EB"/>
    <w:rsid w:val="00EF2616"/>
    <w:rsid w:val="00EF2621"/>
    <w:rsid w:val="00EF26D4"/>
    <w:rsid w:val="00EF2A8A"/>
    <w:rsid w:val="00EF2C33"/>
    <w:rsid w:val="00EF2DC0"/>
    <w:rsid w:val="00EF306F"/>
    <w:rsid w:val="00EF310F"/>
    <w:rsid w:val="00EF31CB"/>
    <w:rsid w:val="00EF31CC"/>
    <w:rsid w:val="00EF3290"/>
    <w:rsid w:val="00EF32A9"/>
    <w:rsid w:val="00EF3304"/>
    <w:rsid w:val="00EF33A1"/>
    <w:rsid w:val="00EF35CA"/>
    <w:rsid w:val="00EF3676"/>
    <w:rsid w:val="00EF3707"/>
    <w:rsid w:val="00EF37E4"/>
    <w:rsid w:val="00EF38D6"/>
    <w:rsid w:val="00EF3A34"/>
    <w:rsid w:val="00EF3A5C"/>
    <w:rsid w:val="00EF3C78"/>
    <w:rsid w:val="00EF3CC1"/>
    <w:rsid w:val="00EF3E06"/>
    <w:rsid w:val="00EF3ECF"/>
    <w:rsid w:val="00EF3EE2"/>
    <w:rsid w:val="00EF417A"/>
    <w:rsid w:val="00EF42E0"/>
    <w:rsid w:val="00EF433B"/>
    <w:rsid w:val="00EF43A2"/>
    <w:rsid w:val="00EF4418"/>
    <w:rsid w:val="00EF44A1"/>
    <w:rsid w:val="00EF44C9"/>
    <w:rsid w:val="00EF465F"/>
    <w:rsid w:val="00EF4740"/>
    <w:rsid w:val="00EF4772"/>
    <w:rsid w:val="00EF47C9"/>
    <w:rsid w:val="00EF48F7"/>
    <w:rsid w:val="00EF4A7E"/>
    <w:rsid w:val="00EF4D48"/>
    <w:rsid w:val="00EF4D71"/>
    <w:rsid w:val="00EF4E92"/>
    <w:rsid w:val="00EF5069"/>
    <w:rsid w:val="00EF51CF"/>
    <w:rsid w:val="00EF52A2"/>
    <w:rsid w:val="00EF5328"/>
    <w:rsid w:val="00EF5365"/>
    <w:rsid w:val="00EF5389"/>
    <w:rsid w:val="00EF557E"/>
    <w:rsid w:val="00EF559D"/>
    <w:rsid w:val="00EF56C5"/>
    <w:rsid w:val="00EF5764"/>
    <w:rsid w:val="00EF579E"/>
    <w:rsid w:val="00EF57D7"/>
    <w:rsid w:val="00EF5859"/>
    <w:rsid w:val="00EF5865"/>
    <w:rsid w:val="00EF5921"/>
    <w:rsid w:val="00EF5AB8"/>
    <w:rsid w:val="00EF5D48"/>
    <w:rsid w:val="00EF5DA8"/>
    <w:rsid w:val="00EF5DEA"/>
    <w:rsid w:val="00EF5E74"/>
    <w:rsid w:val="00EF5F4F"/>
    <w:rsid w:val="00EF60A9"/>
    <w:rsid w:val="00EF61F8"/>
    <w:rsid w:val="00EF6201"/>
    <w:rsid w:val="00EF6216"/>
    <w:rsid w:val="00EF6317"/>
    <w:rsid w:val="00EF63A4"/>
    <w:rsid w:val="00EF64C8"/>
    <w:rsid w:val="00EF64F5"/>
    <w:rsid w:val="00EF653F"/>
    <w:rsid w:val="00EF66D9"/>
    <w:rsid w:val="00EF67E9"/>
    <w:rsid w:val="00EF67EE"/>
    <w:rsid w:val="00EF683D"/>
    <w:rsid w:val="00EF6884"/>
    <w:rsid w:val="00EF6CDD"/>
    <w:rsid w:val="00EF6D09"/>
    <w:rsid w:val="00EF6D5D"/>
    <w:rsid w:val="00EF7134"/>
    <w:rsid w:val="00EF7176"/>
    <w:rsid w:val="00EF71C6"/>
    <w:rsid w:val="00EF71D4"/>
    <w:rsid w:val="00EF7242"/>
    <w:rsid w:val="00EF739D"/>
    <w:rsid w:val="00EF7433"/>
    <w:rsid w:val="00EF7585"/>
    <w:rsid w:val="00EF76D3"/>
    <w:rsid w:val="00EF77D4"/>
    <w:rsid w:val="00EF79E4"/>
    <w:rsid w:val="00EF7A7D"/>
    <w:rsid w:val="00EF7BA4"/>
    <w:rsid w:val="00EF7C0C"/>
    <w:rsid w:val="00EF7C43"/>
    <w:rsid w:val="00EF7CD5"/>
    <w:rsid w:val="00EF7D08"/>
    <w:rsid w:val="00F000D5"/>
    <w:rsid w:val="00F0012F"/>
    <w:rsid w:val="00F00159"/>
    <w:rsid w:val="00F001D9"/>
    <w:rsid w:val="00F00579"/>
    <w:rsid w:val="00F0074F"/>
    <w:rsid w:val="00F007FB"/>
    <w:rsid w:val="00F00856"/>
    <w:rsid w:val="00F00917"/>
    <w:rsid w:val="00F00A4E"/>
    <w:rsid w:val="00F00B55"/>
    <w:rsid w:val="00F00B63"/>
    <w:rsid w:val="00F00BEC"/>
    <w:rsid w:val="00F00E6C"/>
    <w:rsid w:val="00F01071"/>
    <w:rsid w:val="00F0109A"/>
    <w:rsid w:val="00F010DC"/>
    <w:rsid w:val="00F01259"/>
    <w:rsid w:val="00F01338"/>
    <w:rsid w:val="00F014B2"/>
    <w:rsid w:val="00F01641"/>
    <w:rsid w:val="00F016FD"/>
    <w:rsid w:val="00F01849"/>
    <w:rsid w:val="00F01877"/>
    <w:rsid w:val="00F01ADF"/>
    <w:rsid w:val="00F01B98"/>
    <w:rsid w:val="00F01CDE"/>
    <w:rsid w:val="00F01D9E"/>
    <w:rsid w:val="00F01EB5"/>
    <w:rsid w:val="00F01F49"/>
    <w:rsid w:val="00F01FD3"/>
    <w:rsid w:val="00F021DB"/>
    <w:rsid w:val="00F02251"/>
    <w:rsid w:val="00F0243C"/>
    <w:rsid w:val="00F02444"/>
    <w:rsid w:val="00F02538"/>
    <w:rsid w:val="00F02613"/>
    <w:rsid w:val="00F02706"/>
    <w:rsid w:val="00F02747"/>
    <w:rsid w:val="00F027A3"/>
    <w:rsid w:val="00F02820"/>
    <w:rsid w:val="00F02928"/>
    <w:rsid w:val="00F02C7F"/>
    <w:rsid w:val="00F02CCC"/>
    <w:rsid w:val="00F02D78"/>
    <w:rsid w:val="00F02E1C"/>
    <w:rsid w:val="00F02EC1"/>
    <w:rsid w:val="00F02F2D"/>
    <w:rsid w:val="00F03117"/>
    <w:rsid w:val="00F0318D"/>
    <w:rsid w:val="00F0319B"/>
    <w:rsid w:val="00F03238"/>
    <w:rsid w:val="00F03316"/>
    <w:rsid w:val="00F0356A"/>
    <w:rsid w:val="00F0356C"/>
    <w:rsid w:val="00F03612"/>
    <w:rsid w:val="00F03852"/>
    <w:rsid w:val="00F03927"/>
    <w:rsid w:val="00F03A7C"/>
    <w:rsid w:val="00F03BE9"/>
    <w:rsid w:val="00F03C16"/>
    <w:rsid w:val="00F03D57"/>
    <w:rsid w:val="00F03D89"/>
    <w:rsid w:val="00F03F94"/>
    <w:rsid w:val="00F04196"/>
    <w:rsid w:val="00F04632"/>
    <w:rsid w:val="00F04713"/>
    <w:rsid w:val="00F04804"/>
    <w:rsid w:val="00F04816"/>
    <w:rsid w:val="00F04868"/>
    <w:rsid w:val="00F04B9C"/>
    <w:rsid w:val="00F04BDF"/>
    <w:rsid w:val="00F04DCA"/>
    <w:rsid w:val="00F04E05"/>
    <w:rsid w:val="00F04E6C"/>
    <w:rsid w:val="00F04F1F"/>
    <w:rsid w:val="00F0508A"/>
    <w:rsid w:val="00F05253"/>
    <w:rsid w:val="00F052D3"/>
    <w:rsid w:val="00F052F6"/>
    <w:rsid w:val="00F0536A"/>
    <w:rsid w:val="00F0546C"/>
    <w:rsid w:val="00F05511"/>
    <w:rsid w:val="00F05939"/>
    <w:rsid w:val="00F05AA5"/>
    <w:rsid w:val="00F05ABF"/>
    <w:rsid w:val="00F05AFE"/>
    <w:rsid w:val="00F05CEF"/>
    <w:rsid w:val="00F05E9E"/>
    <w:rsid w:val="00F05F26"/>
    <w:rsid w:val="00F05F2B"/>
    <w:rsid w:val="00F06204"/>
    <w:rsid w:val="00F062F7"/>
    <w:rsid w:val="00F063A8"/>
    <w:rsid w:val="00F0649B"/>
    <w:rsid w:val="00F0657E"/>
    <w:rsid w:val="00F0671F"/>
    <w:rsid w:val="00F06860"/>
    <w:rsid w:val="00F06933"/>
    <w:rsid w:val="00F06A49"/>
    <w:rsid w:val="00F06BB8"/>
    <w:rsid w:val="00F06BC0"/>
    <w:rsid w:val="00F06CF5"/>
    <w:rsid w:val="00F06E37"/>
    <w:rsid w:val="00F06F50"/>
    <w:rsid w:val="00F07178"/>
    <w:rsid w:val="00F0754C"/>
    <w:rsid w:val="00F075E0"/>
    <w:rsid w:val="00F076A6"/>
    <w:rsid w:val="00F0780D"/>
    <w:rsid w:val="00F07DFA"/>
    <w:rsid w:val="00F10017"/>
    <w:rsid w:val="00F10462"/>
    <w:rsid w:val="00F10621"/>
    <w:rsid w:val="00F109BE"/>
    <w:rsid w:val="00F10BF1"/>
    <w:rsid w:val="00F10C10"/>
    <w:rsid w:val="00F10C22"/>
    <w:rsid w:val="00F10CDC"/>
    <w:rsid w:val="00F10CEC"/>
    <w:rsid w:val="00F10E2C"/>
    <w:rsid w:val="00F10EEC"/>
    <w:rsid w:val="00F10FC9"/>
    <w:rsid w:val="00F11055"/>
    <w:rsid w:val="00F1107A"/>
    <w:rsid w:val="00F11295"/>
    <w:rsid w:val="00F11408"/>
    <w:rsid w:val="00F1142A"/>
    <w:rsid w:val="00F1146F"/>
    <w:rsid w:val="00F1154A"/>
    <w:rsid w:val="00F11579"/>
    <w:rsid w:val="00F1175C"/>
    <w:rsid w:val="00F11B92"/>
    <w:rsid w:val="00F11EA8"/>
    <w:rsid w:val="00F11EAC"/>
    <w:rsid w:val="00F11ED5"/>
    <w:rsid w:val="00F11F0B"/>
    <w:rsid w:val="00F120EE"/>
    <w:rsid w:val="00F121CB"/>
    <w:rsid w:val="00F121FC"/>
    <w:rsid w:val="00F122B4"/>
    <w:rsid w:val="00F12335"/>
    <w:rsid w:val="00F123B4"/>
    <w:rsid w:val="00F12520"/>
    <w:rsid w:val="00F127B9"/>
    <w:rsid w:val="00F127BF"/>
    <w:rsid w:val="00F127F3"/>
    <w:rsid w:val="00F12972"/>
    <w:rsid w:val="00F12D2E"/>
    <w:rsid w:val="00F12DF6"/>
    <w:rsid w:val="00F130B4"/>
    <w:rsid w:val="00F130D3"/>
    <w:rsid w:val="00F1326B"/>
    <w:rsid w:val="00F1332D"/>
    <w:rsid w:val="00F13422"/>
    <w:rsid w:val="00F13503"/>
    <w:rsid w:val="00F13594"/>
    <w:rsid w:val="00F137BF"/>
    <w:rsid w:val="00F13901"/>
    <w:rsid w:val="00F13ADC"/>
    <w:rsid w:val="00F13D06"/>
    <w:rsid w:val="00F13E30"/>
    <w:rsid w:val="00F13F55"/>
    <w:rsid w:val="00F13F7F"/>
    <w:rsid w:val="00F13FB6"/>
    <w:rsid w:val="00F13FCC"/>
    <w:rsid w:val="00F140AD"/>
    <w:rsid w:val="00F14204"/>
    <w:rsid w:val="00F14387"/>
    <w:rsid w:val="00F143B1"/>
    <w:rsid w:val="00F1443A"/>
    <w:rsid w:val="00F14477"/>
    <w:rsid w:val="00F1476F"/>
    <w:rsid w:val="00F1489D"/>
    <w:rsid w:val="00F1495A"/>
    <w:rsid w:val="00F14A8E"/>
    <w:rsid w:val="00F14A97"/>
    <w:rsid w:val="00F14AF7"/>
    <w:rsid w:val="00F14BCE"/>
    <w:rsid w:val="00F14D33"/>
    <w:rsid w:val="00F14D3E"/>
    <w:rsid w:val="00F14FC6"/>
    <w:rsid w:val="00F1507A"/>
    <w:rsid w:val="00F15388"/>
    <w:rsid w:val="00F1539A"/>
    <w:rsid w:val="00F15430"/>
    <w:rsid w:val="00F15551"/>
    <w:rsid w:val="00F15607"/>
    <w:rsid w:val="00F15664"/>
    <w:rsid w:val="00F15690"/>
    <w:rsid w:val="00F15692"/>
    <w:rsid w:val="00F156BD"/>
    <w:rsid w:val="00F15802"/>
    <w:rsid w:val="00F15986"/>
    <w:rsid w:val="00F15A07"/>
    <w:rsid w:val="00F15B4E"/>
    <w:rsid w:val="00F15C52"/>
    <w:rsid w:val="00F15DBD"/>
    <w:rsid w:val="00F15EEB"/>
    <w:rsid w:val="00F15EF3"/>
    <w:rsid w:val="00F15F33"/>
    <w:rsid w:val="00F16065"/>
    <w:rsid w:val="00F16092"/>
    <w:rsid w:val="00F163AB"/>
    <w:rsid w:val="00F163CF"/>
    <w:rsid w:val="00F16422"/>
    <w:rsid w:val="00F16429"/>
    <w:rsid w:val="00F16460"/>
    <w:rsid w:val="00F1665E"/>
    <w:rsid w:val="00F166B0"/>
    <w:rsid w:val="00F16847"/>
    <w:rsid w:val="00F168B5"/>
    <w:rsid w:val="00F16918"/>
    <w:rsid w:val="00F16945"/>
    <w:rsid w:val="00F16C3B"/>
    <w:rsid w:val="00F16DD7"/>
    <w:rsid w:val="00F16E5E"/>
    <w:rsid w:val="00F16E83"/>
    <w:rsid w:val="00F1700C"/>
    <w:rsid w:val="00F170BB"/>
    <w:rsid w:val="00F170C1"/>
    <w:rsid w:val="00F171AA"/>
    <w:rsid w:val="00F174F1"/>
    <w:rsid w:val="00F17575"/>
    <w:rsid w:val="00F17649"/>
    <w:rsid w:val="00F17751"/>
    <w:rsid w:val="00F17854"/>
    <w:rsid w:val="00F179CE"/>
    <w:rsid w:val="00F17A64"/>
    <w:rsid w:val="00F17C9D"/>
    <w:rsid w:val="00F17EB3"/>
    <w:rsid w:val="00F20047"/>
    <w:rsid w:val="00F2031C"/>
    <w:rsid w:val="00F20414"/>
    <w:rsid w:val="00F204AE"/>
    <w:rsid w:val="00F20675"/>
    <w:rsid w:val="00F20691"/>
    <w:rsid w:val="00F207A1"/>
    <w:rsid w:val="00F20A49"/>
    <w:rsid w:val="00F20AAF"/>
    <w:rsid w:val="00F20B19"/>
    <w:rsid w:val="00F20D40"/>
    <w:rsid w:val="00F20E11"/>
    <w:rsid w:val="00F20FA2"/>
    <w:rsid w:val="00F2103F"/>
    <w:rsid w:val="00F210F0"/>
    <w:rsid w:val="00F2127B"/>
    <w:rsid w:val="00F212DC"/>
    <w:rsid w:val="00F21314"/>
    <w:rsid w:val="00F213DE"/>
    <w:rsid w:val="00F215DE"/>
    <w:rsid w:val="00F21684"/>
    <w:rsid w:val="00F2186A"/>
    <w:rsid w:val="00F21887"/>
    <w:rsid w:val="00F2197E"/>
    <w:rsid w:val="00F21A0E"/>
    <w:rsid w:val="00F21AA7"/>
    <w:rsid w:val="00F21B11"/>
    <w:rsid w:val="00F21B98"/>
    <w:rsid w:val="00F21C44"/>
    <w:rsid w:val="00F21D3F"/>
    <w:rsid w:val="00F222F1"/>
    <w:rsid w:val="00F223A1"/>
    <w:rsid w:val="00F223A4"/>
    <w:rsid w:val="00F22446"/>
    <w:rsid w:val="00F22862"/>
    <w:rsid w:val="00F22949"/>
    <w:rsid w:val="00F22956"/>
    <w:rsid w:val="00F22976"/>
    <w:rsid w:val="00F229EF"/>
    <w:rsid w:val="00F22A61"/>
    <w:rsid w:val="00F22B9A"/>
    <w:rsid w:val="00F22C93"/>
    <w:rsid w:val="00F22D6B"/>
    <w:rsid w:val="00F22E0A"/>
    <w:rsid w:val="00F2311C"/>
    <w:rsid w:val="00F23228"/>
    <w:rsid w:val="00F2330A"/>
    <w:rsid w:val="00F2344B"/>
    <w:rsid w:val="00F234C1"/>
    <w:rsid w:val="00F235F5"/>
    <w:rsid w:val="00F23987"/>
    <w:rsid w:val="00F2398F"/>
    <w:rsid w:val="00F23A87"/>
    <w:rsid w:val="00F23D93"/>
    <w:rsid w:val="00F23E7B"/>
    <w:rsid w:val="00F23FAA"/>
    <w:rsid w:val="00F24019"/>
    <w:rsid w:val="00F24131"/>
    <w:rsid w:val="00F241DF"/>
    <w:rsid w:val="00F242E2"/>
    <w:rsid w:val="00F242FF"/>
    <w:rsid w:val="00F2437F"/>
    <w:rsid w:val="00F24501"/>
    <w:rsid w:val="00F24946"/>
    <w:rsid w:val="00F24A2A"/>
    <w:rsid w:val="00F24A6B"/>
    <w:rsid w:val="00F24AB2"/>
    <w:rsid w:val="00F24BAB"/>
    <w:rsid w:val="00F24C2A"/>
    <w:rsid w:val="00F24C31"/>
    <w:rsid w:val="00F24D6F"/>
    <w:rsid w:val="00F24DAF"/>
    <w:rsid w:val="00F24EEB"/>
    <w:rsid w:val="00F24FA7"/>
    <w:rsid w:val="00F24FDB"/>
    <w:rsid w:val="00F2505C"/>
    <w:rsid w:val="00F250F2"/>
    <w:rsid w:val="00F25131"/>
    <w:rsid w:val="00F253B2"/>
    <w:rsid w:val="00F253ED"/>
    <w:rsid w:val="00F25626"/>
    <w:rsid w:val="00F2576E"/>
    <w:rsid w:val="00F25917"/>
    <w:rsid w:val="00F2591D"/>
    <w:rsid w:val="00F25954"/>
    <w:rsid w:val="00F25964"/>
    <w:rsid w:val="00F25AB6"/>
    <w:rsid w:val="00F25AED"/>
    <w:rsid w:val="00F25BFE"/>
    <w:rsid w:val="00F25C97"/>
    <w:rsid w:val="00F26003"/>
    <w:rsid w:val="00F26242"/>
    <w:rsid w:val="00F2631B"/>
    <w:rsid w:val="00F2672E"/>
    <w:rsid w:val="00F26823"/>
    <w:rsid w:val="00F2686B"/>
    <w:rsid w:val="00F26905"/>
    <w:rsid w:val="00F2693D"/>
    <w:rsid w:val="00F26A9E"/>
    <w:rsid w:val="00F26AC2"/>
    <w:rsid w:val="00F26C45"/>
    <w:rsid w:val="00F26C63"/>
    <w:rsid w:val="00F26D84"/>
    <w:rsid w:val="00F26E4F"/>
    <w:rsid w:val="00F26F55"/>
    <w:rsid w:val="00F271A4"/>
    <w:rsid w:val="00F272A9"/>
    <w:rsid w:val="00F27353"/>
    <w:rsid w:val="00F273BF"/>
    <w:rsid w:val="00F2762B"/>
    <w:rsid w:val="00F278E3"/>
    <w:rsid w:val="00F278EB"/>
    <w:rsid w:val="00F27900"/>
    <w:rsid w:val="00F27955"/>
    <w:rsid w:val="00F27A13"/>
    <w:rsid w:val="00F27A28"/>
    <w:rsid w:val="00F27A45"/>
    <w:rsid w:val="00F27AC3"/>
    <w:rsid w:val="00F27B43"/>
    <w:rsid w:val="00F27E9A"/>
    <w:rsid w:val="00F27F55"/>
    <w:rsid w:val="00F3004D"/>
    <w:rsid w:val="00F30179"/>
    <w:rsid w:val="00F3038A"/>
    <w:rsid w:val="00F3046D"/>
    <w:rsid w:val="00F30623"/>
    <w:rsid w:val="00F3065D"/>
    <w:rsid w:val="00F306A0"/>
    <w:rsid w:val="00F307AC"/>
    <w:rsid w:val="00F3085A"/>
    <w:rsid w:val="00F308D4"/>
    <w:rsid w:val="00F308E7"/>
    <w:rsid w:val="00F30B85"/>
    <w:rsid w:val="00F30CD0"/>
    <w:rsid w:val="00F30D05"/>
    <w:rsid w:val="00F30DEE"/>
    <w:rsid w:val="00F30EFE"/>
    <w:rsid w:val="00F310EC"/>
    <w:rsid w:val="00F311DF"/>
    <w:rsid w:val="00F312CA"/>
    <w:rsid w:val="00F312EB"/>
    <w:rsid w:val="00F3138E"/>
    <w:rsid w:val="00F31397"/>
    <w:rsid w:val="00F3151A"/>
    <w:rsid w:val="00F3151C"/>
    <w:rsid w:val="00F317BE"/>
    <w:rsid w:val="00F3197D"/>
    <w:rsid w:val="00F319D4"/>
    <w:rsid w:val="00F31A49"/>
    <w:rsid w:val="00F31B88"/>
    <w:rsid w:val="00F31D86"/>
    <w:rsid w:val="00F31DD7"/>
    <w:rsid w:val="00F31F44"/>
    <w:rsid w:val="00F31F52"/>
    <w:rsid w:val="00F320FA"/>
    <w:rsid w:val="00F3225B"/>
    <w:rsid w:val="00F323F4"/>
    <w:rsid w:val="00F326AA"/>
    <w:rsid w:val="00F3271A"/>
    <w:rsid w:val="00F327BE"/>
    <w:rsid w:val="00F3294F"/>
    <w:rsid w:val="00F32C04"/>
    <w:rsid w:val="00F32C45"/>
    <w:rsid w:val="00F32CA7"/>
    <w:rsid w:val="00F32CF5"/>
    <w:rsid w:val="00F32DD2"/>
    <w:rsid w:val="00F32EAB"/>
    <w:rsid w:val="00F32FB1"/>
    <w:rsid w:val="00F33084"/>
    <w:rsid w:val="00F3321A"/>
    <w:rsid w:val="00F33410"/>
    <w:rsid w:val="00F33522"/>
    <w:rsid w:val="00F33632"/>
    <w:rsid w:val="00F336DE"/>
    <w:rsid w:val="00F338C1"/>
    <w:rsid w:val="00F33983"/>
    <w:rsid w:val="00F3398A"/>
    <w:rsid w:val="00F33A1B"/>
    <w:rsid w:val="00F33B7B"/>
    <w:rsid w:val="00F33C88"/>
    <w:rsid w:val="00F33D45"/>
    <w:rsid w:val="00F33DDC"/>
    <w:rsid w:val="00F33F49"/>
    <w:rsid w:val="00F3410F"/>
    <w:rsid w:val="00F34216"/>
    <w:rsid w:val="00F34335"/>
    <w:rsid w:val="00F345C2"/>
    <w:rsid w:val="00F345D2"/>
    <w:rsid w:val="00F34662"/>
    <w:rsid w:val="00F34866"/>
    <w:rsid w:val="00F349DF"/>
    <w:rsid w:val="00F34EE0"/>
    <w:rsid w:val="00F35010"/>
    <w:rsid w:val="00F350CB"/>
    <w:rsid w:val="00F350E0"/>
    <w:rsid w:val="00F3510F"/>
    <w:rsid w:val="00F35260"/>
    <w:rsid w:val="00F352D5"/>
    <w:rsid w:val="00F352EB"/>
    <w:rsid w:val="00F356BF"/>
    <w:rsid w:val="00F35715"/>
    <w:rsid w:val="00F35765"/>
    <w:rsid w:val="00F35818"/>
    <w:rsid w:val="00F35828"/>
    <w:rsid w:val="00F35A92"/>
    <w:rsid w:val="00F35BCF"/>
    <w:rsid w:val="00F35CD5"/>
    <w:rsid w:val="00F35D2F"/>
    <w:rsid w:val="00F35FA9"/>
    <w:rsid w:val="00F362C0"/>
    <w:rsid w:val="00F3632E"/>
    <w:rsid w:val="00F36480"/>
    <w:rsid w:val="00F365C0"/>
    <w:rsid w:val="00F36619"/>
    <w:rsid w:val="00F366F5"/>
    <w:rsid w:val="00F36886"/>
    <w:rsid w:val="00F36B44"/>
    <w:rsid w:val="00F37660"/>
    <w:rsid w:val="00F376C5"/>
    <w:rsid w:val="00F37792"/>
    <w:rsid w:val="00F37845"/>
    <w:rsid w:val="00F37A0D"/>
    <w:rsid w:val="00F37B14"/>
    <w:rsid w:val="00F37B2F"/>
    <w:rsid w:val="00F37CBD"/>
    <w:rsid w:val="00F37CC3"/>
    <w:rsid w:val="00F37FF9"/>
    <w:rsid w:val="00F400B0"/>
    <w:rsid w:val="00F40228"/>
    <w:rsid w:val="00F4025E"/>
    <w:rsid w:val="00F4041D"/>
    <w:rsid w:val="00F40443"/>
    <w:rsid w:val="00F40489"/>
    <w:rsid w:val="00F405A1"/>
    <w:rsid w:val="00F405A3"/>
    <w:rsid w:val="00F40758"/>
    <w:rsid w:val="00F407E7"/>
    <w:rsid w:val="00F408D1"/>
    <w:rsid w:val="00F40979"/>
    <w:rsid w:val="00F40A84"/>
    <w:rsid w:val="00F40CA0"/>
    <w:rsid w:val="00F40CA6"/>
    <w:rsid w:val="00F40D31"/>
    <w:rsid w:val="00F40DFE"/>
    <w:rsid w:val="00F413B8"/>
    <w:rsid w:val="00F413DB"/>
    <w:rsid w:val="00F414AA"/>
    <w:rsid w:val="00F415DD"/>
    <w:rsid w:val="00F41648"/>
    <w:rsid w:val="00F418DA"/>
    <w:rsid w:val="00F41ACA"/>
    <w:rsid w:val="00F41BA0"/>
    <w:rsid w:val="00F41BEB"/>
    <w:rsid w:val="00F41C23"/>
    <w:rsid w:val="00F41C39"/>
    <w:rsid w:val="00F41CDA"/>
    <w:rsid w:val="00F41CE5"/>
    <w:rsid w:val="00F41DE5"/>
    <w:rsid w:val="00F41E08"/>
    <w:rsid w:val="00F41F05"/>
    <w:rsid w:val="00F420A0"/>
    <w:rsid w:val="00F42251"/>
    <w:rsid w:val="00F422CF"/>
    <w:rsid w:val="00F42310"/>
    <w:rsid w:val="00F42351"/>
    <w:rsid w:val="00F4248A"/>
    <w:rsid w:val="00F424A9"/>
    <w:rsid w:val="00F424D6"/>
    <w:rsid w:val="00F424F9"/>
    <w:rsid w:val="00F42553"/>
    <w:rsid w:val="00F4261A"/>
    <w:rsid w:val="00F42670"/>
    <w:rsid w:val="00F428CF"/>
    <w:rsid w:val="00F428D1"/>
    <w:rsid w:val="00F42B39"/>
    <w:rsid w:val="00F42B61"/>
    <w:rsid w:val="00F42BE4"/>
    <w:rsid w:val="00F42D4F"/>
    <w:rsid w:val="00F42E42"/>
    <w:rsid w:val="00F42E71"/>
    <w:rsid w:val="00F42E82"/>
    <w:rsid w:val="00F42EA4"/>
    <w:rsid w:val="00F42EF2"/>
    <w:rsid w:val="00F430AC"/>
    <w:rsid w:val="00F4330F"/>
    <w:rsid w:val="00F43324"/>
    <w:rsid w:val="00F43385"/>
    <w:rsid w:val="00F43698"/>
    <w:rsid w:val="00F436B4"/>
    <w:rsid w:val="00F4376A"/>
    <w:rsid w:val="00F437BE"/>
    <w:rsid w:val="00F438B2"/>
    <w:rsid w:val="00F4391E"/>
    <w:rsid w:val="00F43AA0"/>
    <w:rsid w:val="00F43B8A"/>
    <w:rsid w:val="00F43D11"/>
    <w:rsid w:val="00F43D4F"/>
    <w:rsid w:val="00F4402C"/>
    <w:rsid w:val="00F4403F"/>
    <w:rsid w:val="00F440D3"/>
    <w:rsid w:val="00F441E2"/>
    <w:rsid w:val="00F44270"/>
    <w:rsid w:val="00F443DF"/>
    <w:rsid w:val="00F444F8"/>
    <w:rsid w:val="00F4461A"/>
    <w:rsid w:val="00F4461E"/>
    <w:rsid w:val="00F44752"/>
    <w:rsid w:val="00F447F3"/>
    <w:rsid w:val="00F449E6"/>
    <w:rsid w:val="00F44A9B"/>
    <w:rsid w:val="00F44B57"/>
    <w:rsid w:val="00F44D89"/>
    <w:rsid w:val="00F44DD9"/>
    <w:rsid w:val="00F4551C"/>
    <w:rsid w:val="00F455CF"/>
    <w:rsid w:val="00F4571C"/>
    <w:rsid w:val="00F4573D"/>
    <w:rsid w:val="00F4576E"/>
    <w:rsid w:val="00F458C6"/>
    <w:rsid w:val="00F45913"/>
    <w:rsid w:val="00F4594B"/>
    <w:rsid w:val="00F459A0"/>
    <w:rsid w:val="00F45A08"/>
    <w:rsid w:val="00F45B53"/>
    <w:rsid w:val="00F45CE7"/>
    <w:rsid w:val="00F45D42"/>
    <w:rsid w:val="00F45E44"/>
    <w:rsid w:val="00F4614D"/>
    <w:rsid w:val="00F46189"/>
    <w:rsid w:val="00F461D6"/>
    <w:rsid w:val="00F46319"/>
    <w:rsid w:val="00F46546"/>
    <w:rsid w:val="00F46594"/>
    <w:rsid w:val="00F4677D"/>
    <w:rsid w:val="00F467F6"/>
    <w:rsid w:val="00F46926"/>
    <w:rsid w:val="00F4698B"/>
    <w:rsid w:val="00F46BD5"/>
    <w:rsid w:val="00F46CB1"/>
    <w:rsid w:val="00F46D45"/>
    <w:rsid w:val="00F46D6E"/>
    <w:rsid w:val="00F46D77"/>
    <w:rsid w:val="00F46DD8"/>
    <w:rsid w:val="00F46DE5"/>
    <w:rsid w:val="00F46E65"/>
    <w:rsid w:val="00F47030"/>
    <w:rsid w:val="00F4708D"/>
    <w:rsid w:val="00F47150"/>
    <w:rsid w:val="00F4729C"/>
    <w:rsid w:val="00F4754B"/>
    <w:rsid w:val="00F47A52"/>
    <w:rsid w:val="00F47B82"/>
    <w:rsid w:val="00F47D23"/>
    <w:rsid w:val="00F47E43"/>
    <w:rsid w:val="00F47E71"/>
    <w:rsid w:val="00F47FEA"/>
    <w:rsid w:val="00F50006"/>
    <w:rsid w:val="00F50116"/>
    <w:rsid w:val="00F501C1"/>
    <w:rsid w:val="00F50300"/>
    <w:rsid w:val="00F50338"/>
    <w:rsid w:val="00F50889"/>
    <w:rsid w:val="00F508C9"/>
    <w:rsid w:val="00F5095E"/>
    <w:rsid w:val="00F50967"/>
    <w:rsid w:val="00F509DD"/>
    <w:rsid w:val="00F50AC5"/>
    <w:rsid w:val="00F50C70"/>
    <w:rsid w:val="00F50CA7"/>
    <w:rsid w:val="00F50DEB"/>
    <w:rsid w:val="00F50FF2"/>
    <w:rsid w:val="00F513A1"/>
    <w:rsid w:val="00F51781"/>
    <w:rsid w:val="00F51790"/>
    <w:rsid w:val="00F518E7"/>
    <w:rsid w:val="00F51984"/>
    <w:rsid w:val="00F51B6E"/>
    <w:rsid w:val="00F51BDE"/>
    <w:rsid w:val="00F51ED9"/>
    <w:rsid w:val="00F520CC"/>
    <w:rsid w:val="00F521A9"/>
    <w:rsid w:val="00F521C3"/>
    <w:rsid w:val="00F52215"/>
    <w:rsid w:val="00F52236"/>
    <w:rsid w:val="00F52275"/>
    <w:rsid w:val="00F522FE"/>
    <w:rsid w:val="00F523D1"/>
    <w:rsid w:val="00F523E4"/>
    <w:rsid w:val="00F525A9"/>
    <w:rsid w:val="00F525B1"/>
    <w:rsid w:val="00F526C2"/>
    <w:rsid w:val="00F52740"/>
    <w:rsid w:val="00F52867"/>
    <w:rsid w:val="00F5286A"/>
    <w:rsid w:val="00F52A82"/>
    <w:rsid w:val="00F52C56"/>
    <w:rsid w:val="00F52EDA"/>
    <w:rsid w:val="00F52FD7"/>
    <w:rsid w:val="00F5308B"/>
    <w:rsid w:val="00F531B6"/>
    <w:rsid w:val="00F532EC"/>
    <w:rsid w:val="00F5337E"/>
    <w:rsid w:val="00F53463"/>
    <w:rsid w:val="00F534A0"/>
    <w:rsid w:val="00F53501"/>
    <w:rsid w:val="00F5352A"/>
    <w:rsid w:val="00F53546"/>
    <w:rsid w:val="00F535AE"/>
    <w:rsid w:val="00F535D6"/>
    <w:rsid w:val="00F535DA"/>
    <w:rsid w:val="00F535E1"/>
    <w:rsid w:val="00F53647"/>
    <w:rsid w:val="00F5384D"/>
    <w:rsid w:val="00F53AC3"/>
    <w:rsid w:val="00F53AD3"/>
    <w:rsid w:val="00F53D0C"/>
    <w:rsid w:val="00F53D72"/>
    <w:rsid w:val="00F53D8D"/>
    <w:rsid w:val="00F53FE2"/>
    <w:rsid w:val="00F53FEC"/>
    <w:rsid w:val="00F540C5"/>
    <w:rsid w:val="00F5411C"/>
    <w:rsid w:val="00F54144"/>
    <w:rsid w:val="00F5428E"/>
    <w:rsid w:val="00F542AC"/>
    <w:rsid w:val="00F544D0"/>
    <w:rsid w:val="00F544D4"/>
    <w:rsid w:val="00F5461A"/>
    <w:rsid w:val="00F547A0"/>
    <w:rsid w:val="00F54805"/>
    <w:rsid w:val="00F54956"/>
    <w:rsid w:val="00F54AC5"/>
    <w:rsid w:val="00F54B7D"/>
    <w:rsid w:val="00F54D16"/>
    <w:rsid w:val="00F54FA3"/>
    <w:rsid w:val="00F55007"/>
    <w:rsid w:val="00F551E9"/>
    <w:rsid w:val="00F552FC"/>
    <w:rsid w:val="00F5535C"/>
    <w:rsid w:val="00F55499"/>
    <w:rsid w:val="00F555F0"/>
    <w:rsid w:val="00F5560F"/>
    <w:rsid w:val="00F55801"/>
    <w:rsid w:val="00F559FA"/>
    <w:rsid w:val="00F55C73"/>
    <w:rsid w:val="00F55CFC"/>
    <w:rsid w:val="00F56152"/>
    <w:rsid w:val="00F5628C"/>
    <w:rsid w:val="00F56333"/>
    <w:rsid w:val="00F5636C"/>
    <w:rsid w:val="00F56498"/>
    <w:rsid w:val="00F56616"/>
    <w:rsid w:val="00F5669C"/>
    <w:rsid w:val="00F567C9"/>
    <w:rsid w:val="00F56850"/>
    <w:rsid w:val="00F5690C"/>
    <w:rsid w:val="00F569E9"/>
    <w:rsid w:val="00F56A7F"/>
    <w:rsid w:val="00F56C7E"/>
    <w:rsid w:val="00F56D1C"/>
    <w:rsid w:val="00F570CB"/>
    <w:rsid w:val="00F570E8"/>
    <w:rsid w:val="00F572A1"/>
    <w:rsid w:val="00F5740A"/>
    <w:rsid w:val="00F57416"/>
    <w:rsid w:val="00F574AA"/>
    <w:rsid w:val="00F574F6"/>
    <w:rsid w:val="00F57621"/>
    <w:rsid w:val="00F576DA"/>
    <w:rsid w:val="00F577B0"/>
    <w:rsid w:val="00F577D4"/>
    <w:rsid w:val="00F57834"/>
    <w:rsid w:val="00F578A7"/>
    <w:rsid w:val="00F57984"/>
    <w:rsid w:val="00F57A75"/>
    <w:rsid w:val="00F57AD7"/>
    <w:rsid w:val="00F57BA7"/>
    <w:rsid w:val="00F57F31"/>
    <w:rsid w:val="00F57F83"/>
    <w:rsid w:val="00F601BE"/>
    <w:rsid w:val="00F60312"/>
    <w:rsid w:val="00F6034F"/>
    <w:rsid w:val="00F60379"/>
    <w:rsid w:val="00F60399"/>
    <w:rsid w:val="00F6045F"/>
    <w:rsid w:val="00F604D4"/>
    <w:rsid w:val="00F605EC"/>
    <w:rsid w:val="00F6064A"/>
    <w:rsid w:val="00F60703"/>
    <w:rsid w:val="00F6079F"/>
    <w:rsid w:val="00F60856"/>
    <w:rsid w:val="00F60E93"/>
    <w:rsid w:val="00F60EA1"/>
    <w:rsid w:val="00F60F23"/>
    <w:rsid w:val="00F60FD4"/>
    <w:rsid w:val="00F60FE0"/>
    <w:rsid w:val="00F61061"/>
    <w:rsid w:val="00F61139"/>
    <w:rsid w:val="00F61314"/>
    <w:rsid w:val="00F6132A"/>
    <w:rsid w:val="00F615D9"/>
    <w:rsid w:val="00F6195E"/>
    <w:rsid w:val="00F61990"/>
    <w:rsid w:val="00F61A66"/>
    <w:rsid w:val="00F61AB4"/>
    <w:rsid w:val="00F61B17"/>
    <w:rsid w:val="00F61B24"/>
    <w:rsid w:val="00F61B25"/>
    <w:rsid w:val="00F62109"/>
    <w:rsid w:val="00F62143"/>
    <w:rsid w:val="00F621F7"/>
    <w:rsid w:val="00F62231"/>
    <w:rsid w:val="00F623F2"/>
    <w:rsid w:val="00F62591"/>
    <w:rsid w:val="00F62676"/>
    <w:rsid w:val="00F62A42"/>
    <w:rsid w:val="00F62C5C"/>
    <w:rsid w:val="00F62E5C"/>
    <w:rsid w:val="00F6319A"/>
    <w:rsid w:val="00F632F1"/>
    <w:rsid w:val="00F634D1"/>
    <w:rsid w:val="00F63511"/>
    <w:rsid w:val="00F63699"/>
    <w:rsid w:val="00F6371C"/>
    <w:rsid w:val="00F6375D"/>
    <w:rsid w:val="00F63801"/>
    <w:rsid w:val="00F638D9"/>
    <w:rsid w:val="00F63ACD"/>
    <w:rsid w:val="00F63C4A"/>
    <w:rsid w:val="00F63CDB"/>
    <w:rsid w:val="00F641B5"/>
    <w:rsid w:val="00F6434F"/>
    <w:rsid w:val="00F6436E"/>
    <w:rsid w:val="00F64410"/>
    <w:rsid w:val="00F64487"/>
    <w:rsid w:val="00F645CC"/>
    <w:rsid w:val="00F645D2"/>
    <w:rsid w:val="00F64BC1"/>
    <w:rsid w:val="00F64C10"/>
    <w:rsid w:val="00F64C74"/>
    <w:rsid w:val="00F64CB7"/>
    <w:rsid w:val="00F64D2C"/>
    <w:rsid w:val="00F64F7E"/>
    <w:rsid w:val="00F650C1"/>
    <w:rsid w:val="00F651DA"/>
    <w:rsid w:val="00F651FA"/>
    <w:rsid w:val="00F65921"/>
    <w:rsid w:val="00F6592B"/>
    <w:rsid w:val="00F65A78"/>
    <w:rsid w:val="00F65AB1"/>
    <w:rsid w:val="00F65B47"/>
    <w:rsid w:val="00F65D8E"/>
    <w:rsid w:val="00F65DAF"/>
    <w:rsid w:val="00F65DF1"/>
    <w:rsid w:val="00F65DFC"/>
    <w:rsid w:val="00F65E86"/>
    <w:rsid w:val="00F65EC6"/>
    <w:rsid w:val="00F65F7A"/>
    <w:rsid w:val="00F66190"/>
    <w:rsid w:val="00F661D9"/>
    <w:rsid w:val="00F6623E"/>
    <w:rsid w:val="00F66326"/>
    <w:rsid w:val="00F66530"/>
    <w:rsid w:val="00F66679"/>
    <w:rsid w:val="00F6669D"/>
    <w:rsid w:val="00F669AD"/>
    <w:rsid w:val="00F66A0F"/>
    <w:rsid w:val="00F66B00"/>
    <w:rsid w:val="00F66B0F"/>
    <w:rsid w:val="00F66E05"/>
    <w:rsid w:val="00F66FC8"/>
    <w:rsid w:val="00F66FCE"/>
    <w:rsid w:val="00F67000"/>
    <w:rsid w:val="00F67213"/>
    <w:rsid w:val="00F67346"/>
    <w:rsid w:val="00F673AE"/>
    <w:rsid w:val="00F673F1"/>
    <w:rsid w:val="00F674C4"/>
    <w:rsid w:val="00F674D0"/>
    <w:rsid w:val="00F67687"/>
    <w:rsid w:val="00F677A6"/>
    <w:rsid w:val="00F677D8"/>
    <w:rsid w:val="00F677F2"/>
    <w:rsid w:val="00F67834"/>
    <w:rsid w:val="00F678D0"/>
    <w:rsid w:val="00F679E7"/>
    <w:rsid w:val="00F67C62"/>
    <w:rsid w:val="00F67D5D"/>
    <w:rsid w:val="00F67E27"/>
    <w:rsid w:val="00F67F1B"/>
    <w:rsid w:val="00F67F35"/>
    <w:rsid w:val="00F67FCD"/>
    <w:rsid w:val="00F67FE3"/>
    <w:rsid w:val="00F70109"/>
    <w:rsid w:val="00F7015F"/>
    <w:rsid w:val="00F7027B"/>
    <w:rsid w:val="00F702C9"/>
    <w:rsid w:val="00F704BD"/>
    <w:rsid w:val="00F70542"/>
    <w:rsid w:val="00F705AA"/>
    <w:rsid w:val="00F70767"/>
    <w:rsid w:val="00F70AE4"/>
    <w:rsid w:val="00F70C30"/>
    <w:rsid w:val="00F70C47"/>
    <w:rsid w:val="00F70CB8"/>
    <w:rsid w:val="00F70DCA"/>
    <w:rsid w:val="00F70F43"/>
    <w:rsid w:val="00F70FA5"/>
    <w:rsid w:val="00F713A5"/>
    <w:rsid w:val="00F713D3"/>
    <w:rsid w:val="00F714E0"/>
    <w:rsid w:val="00F71563"/>
    <w:rsid w:val="00F71586"/>
    <w:rsid w:val="00F71646"/>
    <w:rsid w:val="00F7164D"/>
    <w:rsid w:val="00F718A3"/>
    <w:rsid w:val="00F71B41"/>
    <w:rsid w:val="00F71D51"/>
    <w:rsid w:val="00F71EAE"/>
    <w:rsid w:val="00F71F8B"/>
    <w:rsid w:val="00F71FCD"/>
    <w:rsid w:val="00F720A8"/>
    <w:rsid w:val="00F720B5"/>
    <w:rsid w:val="00F7218F"/>
    <w:rsid w:val="00F72599"/>
    <w:rsid w:val="00F725D3"/>
    <w:rsid w:val="00F726E3"/>
    <w:rsid w:val="00F727C6"/>
    <w:rsid w:val="00F728AD"/>
    <w:rsid w:val="00F72E12"/>
    <w:rsid w:val="00F72EA2"/>
    <w:rsid w:val="00F73082"/>
    <w:rsid w:val="00F730C3"/>
    <w:rsid w:val="00F73100"/>
    <w:rsid w:val="00F732E1"/>
    <w:rsid w:val="00F732E4"/>
    <w:rsid w:val="00F7335D"/>
    <w:rsid w:val="00F737DD"/>
    <w:rsid w:val="00F73D7C"/>
    <w:rsid w:val="00F73DC7"/>
    <w:rsid w:val="00F73E4D"/>
    <w:rsid w:val="00F74018"/>
    <w:rsid w:val="00F74024"/>
    <w:rsid w:val="00F74072"/>
    <w:rsid w:val="00F740EB"/>
    <w:rsid w:val="00F74128"/>
    <w:rsid w:val="00F741B9"/>
    <w:rsid w:val="00F745AE"/>
    <w:rsid w:val="00F7462D"/>
    <w:rsid w:val="00F746FA"/>
    <w:rsid w:val="00F74874"/>
    <w:rsid w:val="00F74C36"/>
    <w:rsid w:val="00F74C99"/>
    <w:rsid w:val="00F74CD8"/>
    <w:rsid w:val="00F74D8F"/>
    <w:rsid w:val="00F74E6F"/>
    <w:rsid w:val="00F75035"/>
    <w:rsid w:val="00F750A3"/>
    <w:rsid w:val="00F75100"/>
    <w:rsid w:val="00F753D8"/>
    <w:rsid w:val="00F75407"/>
    <w:rsid w:val="00F75537"/>
    <w:rsid w:val="00F75546"/>
    <w:rsid w:val="00F7556A"/>
    <w:rsid w:val="00F7588C"/>
    <w:rsid w:val="00F758BD"/>
    <w:rsid w:val="00F75AB6"/>
    <w:rsid w:val="00F75CED"/>
    <w:rsid w:val="00F75FA2"/>
    <w:rsid w:val="00F760FD"/>
    <w:rsid w:val="00F7640B"/>
    <w:rsid w:val="00F76423"/>
    <w:rsid w:val="00F764D7"/>
    <w:rsid w:val="00F76667"/>
    <w:rsid w:val="00F766BF"/>
    <w:rsid w:val="00F7682D"/>
    <w:rsid w:val="00F768FF"/>
    <w:rsid w:val="00F7690A"/>
    <w:rsid w:val="00F76991"/>
    <w:rsid w:val="00F76C22"/>
    <w:rsid w:val="00F76C7A"/>
    <w:rsid w:val="00F76CAD"/>
    <w:rsid w:val="00F76CF3"/>
    <w:rsid w:val="00F76D8A"/>
    <w:rsid w:val="00F76E0C"/>
    <w:rsid w:val="00F76F96"/>
    <w:rsid w:val="00F77070"/>
    <w:rsid w:val="00F77098"/>
    <w:rsid w:val="00F772C3"/>
    <w:rsid w:val="00F772D2"/>
    <w:rsid w:val="00F7758E"/>
    <w:rsid w:val="00F775B3"/>
    <w:rsid w:val="00F77675"/>
    <w:rsid w:val="00F7787E"/>
    <w:rsid w:val="00F77885"/>
    <w:rsid w:val="00F7788F"/>
    <w:rsid w:val="00F77904"/>
    <w:rsid w:val="00F77B16"/>
    <w:rsid w:val="00F77EF1"/>
    <w:rsid w:val="00F801BC"/>
    <w:rsid w:val="00F80208"/>
    <w:rsid w:val="00F80221"/>
    <w:rsid w:val="00F80234"/>
    <w:rsid w:val="00F8050E"/>
    <w:rsid w:val="00F8051E"/>
    <w:rsid w:val="00F80621"/>
    <w:rsid w:val="00F8072C"/>
    <w:rsid w:val="00F8079A"/>
    <w:rsid w:val="00F8091F"/>
    <w:rsid w:val="00F809DF"/>
    <w:rsid w:val="00F80B57"/>
    <w:rsid w:val="00F80CAC"/>
    <w:rsid w:val="00F80CC8"/>
    <w:rsid w:val="00F80D26"/>
    <w:rsid w:val="00F80D5A"/>
    <w:rsid w:val="00F80D60"/>
    <w:rsid w:val="00F80DF8"/>
    <w:rsid w:val="00F81025"/>
    <w:rsid w:val="00F81207"/>
    <w:rsid w:val="00F81257"/>
    <w:rsid w:val="00F8129B"/>
    <w:rsid w:val="00F813BE"/>
    <w:rsid w:val="00F813D4"/>
    <w:rsid w:val="00F8152B"/>
    <w:rsid w:val="00F8182F"/>
    <w:rsid w:val="00F8194A"/>
    <w:rsid w:val="00F81D66"/>
    <w:rsid w:val="00F81DF5"/>
    <w:rsid w:val="00F81E05"/>
    <w:rsid w:val="00F81E7B"/>
    <w:rsid w:val="00F81E9F"/>
    <w:rsid w:val="00F81EB2"/>
    <w:rsid w:val="00F81EB6"/>
    <w:rsid w:val="00F81FD2"/>
    <w:rsid w:val="00F820E9"/>
    <w:rsid w:val="00F82101"/>
    <w:rsid w:val="00F82336"/>
    <w:rsid w:val="00F824CF"/>
    <w:rsid w:val="00F82637"/>
    <w:rsid w:val="00F8276A"/>
    <w:rsid w:val="00F8278E"/>
    <w:rsid w:val="00F827E5"/>
    <w:rsid w:val="00F82A3D"/>
    <w:rsid w:val="00F82AA4"/>
    <w:rsid w:val="00F82B56"/>
    <w:rsid w:val="00F82CBC"/>
    <w:rsid w:val="00F82FBB"/>
    <w:rsid w:val="00F82FDE"/>
    <w:rsid w:val="00F82FEB"/>
    <w:rsid w:val="00F83017"/>
    <w:rsid w:val="00F83251"/>
    <w:rsid w:val="00F83261"/>
    <w:rsid w:val="00F8326E"/>
    <w:rsid w:val="00F8329D"/>
    <w:rsid w:val="00F837AF"/>
    <w:rsid w:val="00F837DD"/>
    <w:rsid w:val="00F8381A"/>
    <w:rsid w:val="00F83A0D"/>
    <w:rsid w:val="00F83B8D"/>
    <w:rsid w:val="00F83C76"/>
    <w:rsid w:val="00F83CF6"/>
    <w:rsid w:val="00F83DD0"/>
    <w:rsid w:val="00F8423A"/>
    <w:rsid w:val="00F842C1"/>
    <w:rsid w:val="00F842D0"/>
    <w:rsid w:val="00F84352"/>
    <w:rsid w:val="00F844C2"/>
    <w:rsid w:val="00F84715"/>
    <w:rsid w:val="00F8483A"/>
    <w:rsid w:val="00F84921"/>
    <w:rsid w:val="00F84B09"/>
    <w:rsid w:val="00F84B5A"/>
    <w:rsid w:val="00F84BDC"/>
    <w:rsid w:val="00F84D18"/>
    <w:rsid w:val="00F84DED"/>
    <w:rsid w:val="00F84EDF"/>
    <w:rsid w:val="00F84EEA"/>
    <w:rsid w:val="00F851F0"/>
    <w:rsid w:val="00F85207"/>
    <w:rsid w:val="00F8533A"/>
    <w:rsid w:val="00F853FA"/>
    <w:rsid w:val="00F8541A"/>
    <w:rsid w:val="00F856D5"/>
    <w:rsid w:val="00F858C8"/>
    <w:rsid w:val="00F85931"/>
    <w:rsid w:val="00F85A13"/>
    <w:rsid w:val="00F85A58"/>
    <w:rsid w:val="00F85AE9"/>
    <w:rsid w:val="00F85AF6"/>
    <w:rsid w:val="00F85B96"/>
    <w:rsid w:val="00F85CCF"/>
    <w:rsid w:val="00F85D15"/>
    <w:rsid w:val="00F85DAA"/>
    <w:rsid w:val="00F85F55"/>
    <w:rsid w:val="00F861AC"/>
    <w:rsid w:val="00F861CA"/>
    <w:rsid w:val="00F862E3"/>
    <w:rsid w:val="00F864E0"/>
    <w:rsid w:val="00F8667C"/>
    <w:rsid w:val="00F866D7"/>
    <w:rsid w:val="00F866FA"/>
    <w:rsid w:val="00F86787"/>
    <w:rsid w:val="00F86A07"/>
    <w:rsid w:val="00F86AA1"/>
    <w:rsid w:val="00F86AC8"/>
    <w:rsid w:val="00F86AD1"/>
    <w:rsid w:val="00F86C05"/>
    <w:rsid w:val="00F86DA5"/>
    <w:rsid w:val="00F86E07"/>
    <w:rsid w:val="00F86F17"/>
    <w:rsid w:val="00F87286"/>
    <w:rsid w:val="00F873E7"/>
    <w:rsid w:val="00F87410"/>
    <w:rsid w:val="00F8748A"/>
    <w:rsid w:val="00F875A3"/>
    <w:rsid w:val="00F87666"/>
    <w:rsid w:val="00F87832"/>
    <w:rsid w:val="00F87AC8"/>
    <w:rsid w:val="00F87B0E"/>
    <w:rsid w:val="00F87B43"/>
    <w:rsid w:val="00F87B5B"/>
    <w:rsid w:val="00F87ECD"/>
    <w:rsid w:val="00F87EFC"/>
    <w:rsid w:val="00F9021A"/>
    <w:rsid w:val="00F90430"/>
    <w:rsid w:val="00F904F0"/>
    <w:rsid w:val="00F9056A"/>
    <w:rsid w:val="00F90657"/>
    <w:rsid w:val="00F9066A"/>
    <w:rsid w:val="00F906EB"/>
    <w:rsid w:val="00F90988"/>
    <w:rsid w:val="00F90C38"/>
    <w:rsid w:val="00F90D53"/>
    <w:rsid w:val="00F90DB6"/>
    <w:rsid w:val="00F90E78"/>
    <w:rsid w:val="00F90F96"/>
    <w:rsid w:val="00F91014"/>
    <w:rsid w:val="00F911FA"/>
    <w:rsid w:val="00F913E2"/>
    <w:rsid w:val="00F91447"/>
    <w:rsid w:val="00F9154F"/>
    <w:rsid w:val="00F91837"/>
    <w:rsid w:val="00F91BF2"/>
    <w:rsid w:val="00F91E94"/>
    <w:rsid w:val="00F91EE8"/>
    <w:rsid w:val="00F91F50"/>
    <w:rsid w:val="00F92089"/>
    <w:rsid w:val="00F92193"/>
    <w:rsid w:val="00F922B3"/>
    <w:rsid w:val="00F922D6"/>
    <w:rsid w:val="00F92476"/>
    <w:rsid w:val="00F924AD"/>
    <w:rsid w:val="00F92A4A"/>
    <w:rsid w:val="00F92A89"/>
    <w:rsid w:val="00F92AFB"/>
    <w:rsid w:val="00F92C63"/>
    <w:rsid w:val="00F92CAC"/>
    <w:rsid w:val="00F92CB7"/>
    <w:rsid w:val="00F92DEF"/>
    <w:rsid w:val="00F92EFE"/>
    <w:rsid w:val="00F92F5C"/>
    <w:rsid w:val="00F932A3"/>
    <w:rsid w:val="00F9349E"/>
    <w:rsid w:val="00F93547"/>
    <w:rsid w:val="00F937C4"/>
    <w:rsid w:val="00F937F0"/>
    <w:rsid w:val="00F938D3"/>
    <w:rsid w:val="00F93991"/>
    <w:rsid w:val="00F93A97"/>
    <w:rsid w:val="00F93B27"/>
    <w:rsid w:val="00F93D09"/>
    <w:rsid w:val="00F93F6C"/>
    <w:rsid w:val="00F940AB"/>
    <w:rsid w:val="00F94135"/>
    <w:rsid w:val="00F9418F"/>
    <w:rsid w:val="00F9432C"/>
    <w:rsid w:val="00F94606"/>
    <w:rsid w:val="00F9475E"/>
    <w:rsid w:val="00F949B1"/>
    <w:rsid w:val="00F94A2A"/>
    <w:rsid w:val="00F94A6B"/>
    <w:rsid w:val="00F94A80"/>
    <w:rsid w:val="00F94A8B"/>
    <w:rsid w:val="00F94B1A"/>
    <w:rsid w:val="00F94DCF"/>
    <w:rsid w:val="00F94F03"/>
    <w:rsid w:val="00F94FF1"/>
    <w:rsid w:val="00F95266"/>
    <w:rsid w:val="00F952E3"/>
    <w:rsid w:val="00F952F8"/>
    <w:rsid w:val="00F9536D"/>
    <w:rsid w:val="00F953C6"/>
    <w:rsid w:val="00F95420"/>
    <w:rsid w:val="00F954C4"/>
    <w:rsid w:val="00F95502"/>
    <w:rsid w:val="00F95727"/>
    <w:rsid w:val="00F957DB"/>
    <w:rsid w:val="00F95825"/>
    <w:rsid w:val="00F9596C"/>
    <w:rsid w:val="00F959F8"/>
    <w:rsid w:val="00F95C1A"/>
    <w:rsid w:val="00F95C34"/>
    <w:rsid w:val="00F95D41"/>
    <w:rsid w:val="00F95D4F"/>
    <w:rsid w:val="00F95DCC"/>
    <w:rsid w:val="00F95E37"/>
    <w:rsid w:val="00F96012"/>
    <w:rsid w:val="00F960FC"/>
    <w:rsid w:val="00F96113"/>
    <w:rsid w:val="00F96365"/>
    <w:rsid w:val="00F9636A"/>
    <w:rsid w:val="00F96417"/>
    <w:rsid w:val="00F966C0"/>
    <w:rsid w:val="00F9681C"/>
    <w:rsid w:val="00F968D8"/>
    <w:rsid w:val="00F96903"/>
    <w:rsid w:val="00F96A40"/>
    <w:rsid w:val="00F96A64"/>
    <w:rsid w:val="00F96B82"/>
    <w:rsid w:val="00F96CBB"/>
    <w:rsid w:val="00F96D72"/>
    <w:rsid w:val="00F96E39"/>
    <w:rsid w:val="00F96E54"/>
    <w:rsid w:val="00F96E5D"/>
    <w:rsid w:val="00F96E9F"/>
    <w:rsid w:val="00F96FBC"/>
    <w:rsid w:val="00F9710A"/>
    <w:rsid w:val="00F97125"/>
    <w:rsid w:val="00F972A6"/>
    <w:rsid w:val="00F973D5"/>
    <w:rsid w:val="00F97425"/>
    <w:rsid w:val="00F97476"/>
    <w:rsid w:val="00F97573"/>
    <w:rsid w:val="00F97595"/>
    <w:rsid w:val="00F975CE"/>
    <w:rsid w:val="00F97699"/>
    <w:rsid w:val="00F978D4"/>
    <w:rsid w:val="00F979B5"/>
    <w:rsid w:val="00F97AC4"/>
    <w:rsid w:val="00F97BBA"/>
    <w:rsid w:val="00F97BBD"/>
    <w:rsid w:val="00F97F17"/>
    <w:rsid w:val="00FA0006"/>
    <w:rsid w:val="00FA021F"/>
    <w:rsid w:val="00FA02B0"/>
    <w:rsid w:val="00FA04E7"/>
    <w:rsid w:val="00FA05E2"/>
    <w:rsid w:val="00FA0913"/>
    <w:rsid w:val="00FA0A36"/>
    <w:rsid w:val="00FA0CA4"/>
    <w:rsid w:val="00FA10F4"/>
    <w:rsid w:val="00FA11EF"/>
    <w:rsid w:val="00FA11F2"/>
    <w:rsid w:val="00FA140D"/>
    <w:rsid w:val="00FA1585"/>
    <w:rsid w:val="00FA1676"/>
    <w:rsid w:val="00FA1679"/>
    <w:rsid w:val="00FA187B"/>
    <w:rsid w:val="00FA1A16"/>
    <w:rsid w:val="00FA1B3B"/>
    <w:rsid w:val="00FA1B4B"/>
    <w:rsid w:val="00FA1B90"/>
    <w:rsid w:val="00FA1C45"/>
    <w:rsid w:val="00FA1D3D"/>
    <w:rsid w:val="00FA1E6C"/>
    <w:rsid w:val="00FA226F"/>
    <w:rsid w:val="00FA2477"/>
    <w:rsid w:val="00FA2712"/>
    <w:rsid w:val="00FA278D"/>
    <w:rsid w:val="00FA2951"/>
    <w:rsid w:val="00FA295F"/>
    <w:rsid w:val="00FA29B0"/>
    <w:rsid w:val="00FA2BC7"/>
    <w:rsid w:val="00FA2C2F"/>
    <w:rsid w:val="00FA2CC1"/>
    <w:rsid w:val="00FA2CFB"/>
    <w:rsid w:val="00FA2D4A"/>
    <w:rsid w:val="00FA2E69"/>
    <w:rsid w:val="00FA2E85"/>
    <w:rsid w:val="00FA2F75"/>
    <w:rsid w:val="00FA2F80"/>
    <w:rsid w:val="00FA2F81"/>
    <w:rsid w:val="00FA3114"/>
    <w:rsid w:val="00FA341A"/>
    <w:rsid w:val="00FA3558"/>
    <w:rsid w:val="00FA3590"/>
    <w:rsid w:val="00FA37F6"/>
    <w:rsid w:val="00FA3836"/>
    <w:rsid w:val="00FA3892"/>
    <w:rsid w:val="00FA39CB"/>
    <w:rsid w:val="00FA3A54"/>
    <w:rsid w:val="00FA3AC3"/>
    <w:rsid w:val="00FA3F0F"/>
    <w:rsid w:val="00FA407A"/>
    <w:rsid w:val="00FA41A1"/>
    <w:rsid w:val="00FA41C0"/>
    <w:rsid w:val="00FA4306"/>
    <w:rsid w:val="00FA4330"/>
    <w:rsid w:val="00FA4449"/>
    <w:rsid w:val="00FA4479"/>
    <w:rsid w:val="00FA4565"/>
    <w:rsid w:val="00FA4696"/>
    <w:rsid w:val="00FA46E4"/>
    <w:rsid w:val="00FA49AD"/>
    <w:rsid w:val="00FA49B1"/>
    <w:rsid w:val="00FA4A67"/>
    <w:rsid w:val="00FA4AD9"/>
    <w:rsid w:val="00FA4B1B"/>
    <w:rsid w:val="00FA4BEE"/>
    <w:rsid w:val="00FA4D0F"/>
    <w:rsid w:val="00FA4E5D"/>
    <w:rsid w:val="00FA5166"/>
    <w:rsid w:val="00FA51AF"/>
    <w:rsid w:val="00FA5231"/>
    <w:rsid w:val="00FA528D"/>
    <w:rsid w:val="00FA5507"/>
    <w:rsid w:val="00FA56E0"/>
    <w:rsid w:val="00FA5756"/>
    <w:rsid w:val="00FA5BC3"/>
    <w:rsid w:val="00FA5BD7"/>
    <w:rsid w:val="00FA5C02"/>
    <w:rsid w:val="00FA5D37"/>
    <w:rsid w:val="00FA5D66"/>
    <w:rsid w:val="00FA5E7D"/>
    <w:rsid w:val="00FA5FB9"/>
    <w:rsid w:val="00FA61B1"/>
    <w:rsid w:val="00FA63C9"/>
    <w:rsid w:val="00FA6466"/>
    <w:rsid w:val="00FA64AE"/>
    <w:rsid w:val="00FA65F5"/>
    <w:rsid w:val="00FA6C7B"/>
    <w:rsid w:val="00FA6CD0"/>
    <w:rsid w:val="00FA6CDB"/>
    <w:rsid w:val="00FA6D70"/>
    <w:rsid w:val="00FA6F1B"/>
    <w:rsid w:val="00FA6F43"/>
    <w:rsid w:val="00FA6F96"/>
    <w:rsid w:val="00FA7011"/>
    <w:rsid w:val="00FA71CA"/>
    <w:rsid w:val="00FA7224"/>
    <w:rsid w:val="00FA7297"/>
    <w:rsid w:val="00FA72E3"/>
    <w:rsid w:val="00FA733D"/>
    <w:rsid w:val="00FA7389"/>
    <w:rsid w:val="00FA738A"/>
    <w:rsid w:val="00FA7674"/>
    <w:rsid w:val="00FA7703"/>
    <w:rsid w:val="00FA7730"/>
    <w:rsid w:val="00FA77F5"/>
    <w:rsid w:val="00FA781C"/>
    <w:rsid w:val="00FA78BF"/>
    <w:rsid w:val="00FA7925"/>
    <w:rsid w:val="00FA7A7B"/>
    <w:rsid w:val="00FA7AE2"/>
    <w:rsid w:val="00FA7B02"/>
    <w:rsid w:val="00FA7B1E"/>
    <w:rsid w:val="00FA7B3F"/>
    <w:rsid w:val="00FA7B53"/>
    <w:rsid w:val="00FA7BC3"/>
    <w:rsid w:val="00FA7C33"/>
    <w:rsid w:val="00FA7C4F"/>
    <w:rsid w:val="00FA7C51"/>
    <w:rsid w:val="00FA7C7F"/>
    <w:rsid w:val="00FA7C94"/>
    <w:rsid w:val="00FA7CD2"/>
    <w:rsid w:val="00FA7D88"/>
    <w:rsid w:val="00FA7DC6"/>
    <w:rsid w:val="00FA7E8F"/>
    <w:rsid w:val="00FA7FD8"/>
    <w:rsid w:val="00FB0105"/>
    <w:rsid w:val="00FB0197"/>
    <w:rsid w:val="00FB025B"/>
    <w:rsid w:val="00FB02BB"/>
    <w:rsid w:val="00FB052C"/>
    <w:rsid w:val="00FB05AB"/>
    <w:rsid w:val="00FB078C"/>
    <w:rsid w:val="00FB09CF"/>
    <w:rsid w:val="00FB09E7"/>
    <w:rsid w:val="00FB0A2E"/>
    <w:rsid w:val="00FB0BCB"/>
    <w:rsid w:val="00FB0C5F"/>
    <w:rsid w:val="00FB0CC8"/>
    <w:rsid w:val="00FB0E49"/>
    <w:rsid w:val="00FB0EFC"/>
    <w:rsid w:val="00FB124B"/>
    <w:rsid w:val="00FB13E7"/>
    <w:rsid w:val="00FB162A"/>
    <w:rsid w:val="00FB1639"/>
    <w:rsid w:val="00FB1818"/>
    <w:rsid w:val="00FB18C4"/>
    <w:rsid w:val="00FB1A83"/>
    <w:rsid w:val="00FB1C9C"/>
    <w:rsid w:val="00FB1CC3"/>
    <w:rsid w:val="00FB1CD4"/>
    <w:rsid w:val="00FB1D64"/>
    <w:rsid w:val="00FB1F91"/>
    <w:rsid w:val="00FB20A9"/>
    <w:rsid w:val="00FB2184"/>
    <w:rsid w:val="00FB219B"/>
    <w:rsid w:val="00FB2313"/>
    <w:rsid w:val="00FB23C3"/>
    <w:rsid w:val="00FB2493"/>
    <w:rsid w:val="00FB2831"/>
    <w:rsid w:val="00FB285C"/>
    <w:rsid w:val="00FB2C0E"/>
    <w:rsid w:val="00FB2D84"/>
    <w:rsid w:val="00FB302C"/>
    <w:rsid w:val="00FB30F0"/>
    <w:rsid w:val="00FB331E"/>
    <w:rsid w:val="00FB351F"/>
    <w:rsid w:val="00FB357D"/>
    <w:rsid w:val="00FB3854"/>
    <w:rsid w:val="00FB3901"/>
    <w:rsid w:val="00FB3945"/>
    <w:rsid w:val="00FB3963"/>
    <w:rsid w:val="00FB3EAE"/>
    <w:rsid w:val="00FB409F"/>
    <w:rsid w:val="00FB40BD"/>
    <w:rsid w:val="00FB41B0"/>
    <w:rsid w:val="00FB44A5"/>
    <w:rsid w:val="00FB46CA"/>
    <w:rsid w:val="00FB4A98"/>
    <w:rsid w:val="00FB4AA1"/>
    <w:rsid w:val="00FB4AB5"/>
    <w:rsid w:val="00FB50B7"/>
    <w:rsid w:val="00FB5154"/>
    <w:rsid w:val="00FB5198"/>
    <w:rsid w:val="00FB52F7"/>
    <w:rsid w:val="00FB5322"/>
    <w:rsid w:val="00FB54FD"/>
    <w:rsid w:val="00FB5512"/>
    <w:rsid w:val="00FB5591"/>
    <w:rsid w:val="00FB55E4"/>
    <w:rsid w:val="00FB568F"/>
    <w:rsid w:val="00FB57A7"/>
    <w:rsid w:val="00FB585A"/>
    <w:rsid w:val="00FB5C49"/>
    <w:rsid w:val="00FB5D57"/>
    <w:rsid w:val="00FB5E76"/>
    <w:rsid w:val="00FB60A6"/>
    <w:rsid w:val="00FB6123"/>
    <w:rsid w:val="00FB62FA"/>
    <w:rsid w:val="00FB6458"/>
    <w:rsid w:val="00FB6530"/>
    <w:rsid w:val="00FB661D"/>
    <w:rsid w:val="00FB671E"/>
    <w:rsid w:val="00FB6928"/>
    <w:rsid w:val="00FB69A2"/>
    <w:rsid w:val="00FB6E78"/>
    <w:rsid w:val="00FB6EC1"/>
    <w:rsid w:val="00FB70D9"/>
    <w:rsid w:val="00FB721D"/>
    <w:rsid w:val="00FB726E"/>
    <w:rsid w:val="00FB7290"/>
    <w:rsid w:val="00FB7397"/>
    <w:rsid w:val="00FB73D0"/>
    <w:rsid w:val="00FB742A"/>
    <w:rsid w:val="00FB74A6"/>
    <w:rsid w:val="00FB74B8"/>
    <w:rsid w:val="00FB74CC"/>
    <w:rsid w:val="00FB75BA"/>
    <w:rsid w:val="00FB77E5"/>
    <w:rsid w:val="00FB7879"/>
    <w:rsid w:val="00FB796C"/>
    <w:rsid w:val="00FB7B7B"/>
    <w:rsid w:val="00FB7C4B"/>
    <w:rsid w:val="00FB7D91"/>
    <w:rsid w:val="00FC001A"/>
    <w:rsid w:val="00FC00E5"/>
    <w:rsid w:val="00FC016C"/>
    <w:rsid w:val="00FC019A"/>
    <w:rsid w:val="00FC0292"/>
    <w:rsid w:val="00FC02E4"/>
    <w:rsid w:val="00FC038E"/>
    <w:rsid w:val="00FC04DF"/>
    <w:rsid w:val="00FC0597"/>
    <w:rsid w:val="00FC0683"/>
    <w:rsid w:val="00FC07B6"/>
    <w:rsid w:val="00FC07E8"/>
    <w:rsid w:val="00FC0850"/>
    <w:rsid w:val="00FC0870"/>
    <w:rsid w:val="00FC0A71"/>
    <w:rsid w:val="00FC0FF2"/>
    <w:rsid w:val="00FC1051"/>
    <w:rsid w:val="00FC10DE"/>
    <w:rsid w:val="00FC110D"/>
    <w:rsid w:val="00FC11AF"/>
    <w:rsid w:val="00FC172E"/>
    <w:rsid w:val="00FC1758"/>
    <w:rsid w:val="00FC1771"/>
    <w:rsid w:val="00FC1968"/>
    <w:rsid w:val="00FC1A79"/>
    <w:rsid w:val="00FC1A83"/>
    <w:rsid w:val="00FC1B62"/>
    <w:rsid w:val="00FC1FF2"/>
    <w:rsid w:val="00FC201C"/>
    <w:rsid w:val="00FC2083"/>
    <w:rsid w:val="00FC211D"/>
    <w:rsid w:val="00FC21F6"/>
    <w:rsid w:val="00FC230B"/>
    <w:rsid w:val="00FC238D"/>
    <w:rsid w:val="00FC25A5"/>
    <w:rsid w:val="00FC2681"/>
    <w:rsid w:val="00FC2721"/>
    <w:rsid w:val="00FC293F"/>
    <w:rsid w:val="00FC2AA7"/>
    <w:rsid w:val="00FC2AAD"/>
    <w:rsid w:val="00FC2AC3"/>
    <w:rsid w:val="00FC2BB6"/>
    <w:rsid w:val="00FC2CBE"/>
    <w:rsid w:val="00FC2D33"/>
    <w:rsid w:val="00FC2EC7"/>
    <w:rsid w:val="00FC2EDB"/>
    <w:rsid w:val="00FC2F33"/>
    <w:rsid w:val="00FC31F9"/>
    <w:rsid w:val="00FC3256"/>
    <w:rsid w:val="00FC345D"/>
    <w:rsid w:val="00FC346C"/>
    <w:rsid w:val="00FC350A"/>
    <w:rsid w:val="00FC3527"/>
    <w:rsid w:val="00FC3558"/>
    <w:rsid w:val="00FC37A7"/>
    <w:rsid w:val="00FC39BD"/>
    <w:rsid w:val="00FC39D4"/>
    <w:rsid w:val="00FC3B96"/>
    <w:rsid w:val="00FC3C64"/>
    <w:rsid w:val="00FC3DF8"/>
    <w:rsid w:val="00FC40EA"/>
    <w:rsid w:val="00FC4483"/>
    <w:rsid w:val="00FC45C3"/>
    <w:rsid w:val="00FC46CA"/>
    <w:rsid w:val="00FC481B"/>
    <w:rsid w:val="00FC48C1"/>
    <w:rsid w:val="00FC49DA"/>
    <w:rsid w:val="00FC4A1E"/>
    <w:rsid w:val="00FC4AD8"/>
    <w:rsid w:val="00FC4B15"/>
    <w:rsid w:val="00FC4C24"/>
    <w:rsid w:val="00FC4C92"/>
    <w:rsid w:val="00FC4D11"/>
    <w:rsid w:val="00FC4E7F"/>
    <w:rsid w:val="00FC4F49"/>
    <w:rsid w:val="00FC4FB0"/>
    <w:rsid w:val="00FC5054"/>
    <w:rsid w:val="00FC50E3"/>
    <w:rsid w:val="00FC5195"/>
    <w:rsid w:val="00FC5205"/>
    <w:rsid w:val="00FC5251"/>
    <w:rsid w:val="00FC5293"/>
    <w:rsid w:val="00FC52BC"/>
    <w:rsid w:val="00FC52DB"/>
    <w:rsid w:val="00FC52DE"/>
    <w:rsid w:val="00FC53F6"/>
    <w:rsid w:val="00FC5531"/>
    <w:rsid w:val="00FC557B"/>
    <w:rsid w:val="00FC55AF"/>
    <w:rsid w:val="00FC5713"/>
    <w:rsid w:val="00FC5797"/>
    <w:rsid w:val="00FC58B9"/>
    <w:rsid w:val="00FC5915"/>
    <w:rsid w:val="00FC5A1D"/>
    <w:rsid w:val="00FC5A4A"/>
    <w:rsid w:val="00FC5ADD"/>
    <w:rsid w:val="00FC5B1C"/>
    <w:rsid w:val="00FC5BE6"/>
    <w:rsid w:val="00FC5BFB"/>
    <w:rsid w:val="00FC5DAF"/>
    <w:rsid w:val="00FC5DD3"/>
    <w:rsid w:val="00FC5DF3"/>
    <w:rsid w:val="00FC601C"/>
    <w:rsid w:val="00FC60FF"/>
    <w:rsid w:val="00FC63DB"/>
    <w:rsid w:val="00FC68FA"/>
    <w:rsid w:val="00FC6959"/>
    <w:rsid w:val="00FC6B80"/>
    <w:rsid w:val="00FC6C14"/>
    <w:rsid w:val="00FC6C93"/>
    <w:rsid w:val="00FC6F6E"/>
    <w:rsid w:val="00FC6FC6"/>
    <w:rsid w:val="00FC717F"/>
    <w:rsid w:val="00FC7196"/>
    <w:rsid w:val="00FC730A"/>
    <w:rsid w:val="00FC7399"/>
    <w:rsid w:val="00FC75FB"/>
    <w:rsid w:val="00FC76CA"/>
    <w:rsid w:val="00FC76CC"/>
    <w:rsid w:val="00FC7713"/>
    <w:rsid w:val="00FC7793"/>
    <w:rsid w:val="00FC79DD"/>
    <w:rsid w:val="00FC7A32"/>
    <w:rsid w:val="00FC7B3B"/>
    <w:rsid w:val="00FC7C19"/>
    <w:rsid w:val="00FC7D5C"/>
    <w:rsid w:val="00FC7D72"/>
    <w:rsid w:val="00FC7F47"/>
    <w:rsid w:val="00FC7F65"/>
    <w:rsid w:val="00FC7F67"/>
    <w:rsid w:val="00FD003A"/>
    <w:rsid w:val="00FD0234"/>
    <w:rsid w:val="00FD0255"/>
    <w:rsid w:val="00FD0302"/>
    <w:rsid w:val="00FD0303"/>
    <w:rsid w:val="00FD035D"/>
    <w:rsid w:val="00FD03A6"/>
    <w:rsid w:val="00FD03BF"/>
    <w:rsid w:val="00FD047C"/>
    <w:rsid w:val="00FD054F"/>
    <w:rsid w:val="00FD0566"/>
    <w:rsid w:val="00FD05C8"/>
    <w:rsid w:val="00FD09D8"/>
    <w:rsid w:val="00FD0CAB"/>
    <w:rsid w:val="00FD0E73"/>
    <w:rsid w:val="00FD0E8E"/>
    <w:rsid w:val="00FD0EDB"/>
    <w:rsid w:val="00FD0F37"/>
    <w:rsid w:val="00FD1177"/>
    <w:rsid w:val="00FD135B"/>
    <w:rsid w:val="00FD1433"/>
    <w:rsid w:val="00FD1444"/>
    <w:rsid w:val="00FD15E2"/>
    <w:rsid w:val="00FD1620"/>
    <w:rsid w:val="00FD1847"/>
    <w:rsid w:val="00FD18E3"/>
    <w:rsid w:val="00FD1CCC"/>
    <w:rsid w:val="00FD1CD5"/>
    <w:rsid w:val="00FD200E"/>
    <w:rsid w:val="00FD2199"/>
    <w:rsid w:val="00FD220E"/>
    <w:rsid w:val="00FD228E"/>
    <w:rsid w:val="00FD229C"/>
    <w:rsid w:val="00FD22D7"/>
    <w:rsid w:val="00FD2572"/>
    <w:rsid w:val="00FD2607"/>
    <w:rsid w:val="00FD268E"/>
    <w:rsid w:val="00FD289B"/>
    <w:rsid w:val="00FD29BC"/>
    <w:rsid w:val="00FD29C7"/>
    <w:rsid w:val="00FD2A79"/>
    <w:rsid w:val="00FD2AEB"/>
    <w:rsid w:val="00FD2C41"/>
    <w:rsid w:val="00FD2D6F"/>
    <w:rsid w:val="00FD2DB4"/>
    <w:rsid w:val="00FD2DE0"/>
    <w:rsid w:val="00FD2E76"/>
    <w:rsid w:val="00FD2EF8"/>
    <w:rsid w:val="00FD2FCF"/>
    <w:rsid w:val="00FD2FF8"/>
    <w:rsid w:val="00FD3012"/>
    <w:rsid w:val="00FD30F6"/>
    <w:rsid w:val="00FD310F"/>
    <w:rsid w:val="00FD338B"/>
    <w:rsid w:val="00FD3475"/>
    <w:rsid w:val="00FD34AC"/>
    <w:rsid w:val="00FD3581"/>
    <w:rsid w:val="00FD35D0"/>
    <w:rsid w:val="00FD376F"/>
    <w:rsid w:val="00FD379B"/>
    <w:rsid w:val="00FD382A"/>
    <w:rsid w:val="00FD3856"/>
    <w:rsid w:val="00FD3B42"/>
    <w:rsid w:val="00FD3CCB"/>
    <w:rsid w:val="00FD3CDD"/>
    <w:rsid w:val="00FD3D99"/>
    <w:rsid w:val="00FD3E20"/>
    <w:rsid w:val="00FD3E4E"/>
    <w:rsid w:val="00FD3F3C"/>
    <w:rsid w:val="00FD3F4E"/>
    <w:rsid w:val="00FD4027"/>
    <w:rsid w:val="00FD4055"/>
    <w:rsid w:val="00FD40A5"/>
    <w:rsid w:val="00FD44E2"/>
    <w:rsid w:val="00FD44F5"/>
    <w:rsid w:val="00FD4564"/>
    <w:rsid w:val="00FD4614"/>
    <w:rsid w:val="00FD472F"/>
    <w:rsid w:val="00FD4791"/>
    <w:rsid w:val="00FD48C2"/>
    <w:rsid w:val="00FD4A26"/>
    <w:rsid w:val="00FD4A4E"/>
    <w:rsid w:val="00FD4C67"/>
    <w:rsid w:val="00FD4DDE"/>
    <w:rsid w:val="00FD50C8"/>
    <w:rsid w:val="00FD5397"/>
    <w:rsid w:val="00FD557B"/>
    <w:rsid w:val="00FD5675"/>
    <w:rsid w:val="00FD5897"/>
    <w:rsid w:val="00FD5983"/>
    <w:rsid w:val="00FD5996"/>
    <w:rsid w:val="00FD59DE"/>
    <w:rsid w:val="00FD5AAB"/>
    <w:rsid w:val="00FD5B17"/>
    <w:rsid w:val="00FD5C3A"/>
    <w:rsid w:val="00FD5CD2"/>
    <w:rsid w:val="00FD5E19"/>
    <w:rsid w:val="00FD5F48"/>
    <w:rsid w:val="00FD6205"/>
    <w:rsid w:val="00FD6556"/>
    <w:rsid w:val="00FD6634"/>
    <w:rsid w:val="00FD6865"/>
    <w:rsid w:val="00FD698B"/>
    <w:rsid w:val="00FD6C7D"/>
    <w:rsid w:val="00FD6F27"/>
    <w:rsid w:val="00FD6F2C"/>
    <w:rsid w:val="00FD71F9"/>
    <w:rsid w:val="00FD73CB"/>
    <w:rsid w:val="00FD74DA"/>
    <w:rsid w:val="00FD7544"/>
    <w:rsid w:val="00FD759B"/>
    <w:rsid w:val="00FD7728"/>
    <w:rsid w:val="00FD7A03"/>
    <w:rsid w:val="00FD7FBE"/>
    <w:rsid w:val="00FE01A4"/>
    <w:rsid w:val="00FE01EF"/>
    <w:rsid w:val="00FE02D4"/>
    <w:rsid w:val="00FE03D9"/>
    <w:rsid w:val="00FE03F3"/>
    <w:rsid w:val="00FE03FB"/>
    <w:rsid w:val="00FE0445"/>
    <w:rsid w:val="00FE044E"/>
    <w:rsid w:val="00FE04B0"/>
    <w:rsid w:val="00FE0555"/>
    <w:rsid w:val="00FE05FB"/>
    <w:rsid w:val="00FE06F0"/>
    <w:rsid w:val="00FE07F1"/>
    <w:rsid w:val="00FE0850"/>
    <w:rsid w:val="00FE08B8"/>
    <w:rsid w:val="00FE08FA"/>
    <w:rsid w:val="00FE0949"/>
    <w:rsid w:val="00FE0A8A"/>
    <w:rsid w:val="00FE0C69"/>
    <w:rsid w:val="00FE0C9F"/>
    <w:rsid w:val="00FE0CAF"/>
    <w:rsid w:val="00FE0D1E"/>
    <w:rsid w:val="00FE0EAA"/>
    <w:rsid w:val="00FE0F43"/>
    <w:rsid w:val="00FE1172"/>
    <w:rsid w:val="00FE130F"/>
    <w:rsid w:val="00FE13EA"/>
    <w:rsid w:val="00FE1468"/>
    <w:rsid w:val="00FE15A1"/>
    <w:rsid w:val="00FE15AF"/>
    <w:rsid w:val="00FE15C6"/>
    <w:rsid w:val="00FE1623"/>
    <w:rsid w:val="00FE1629"/>
    <w:rsid w:val="00FE163A"/>
    <w:rsid w:val="00FE167A"/>
    <w:rsid w:val="00FE169E"/>
    <w:rsid w:val="00FE1973"/>
    <w:rsid w:val="00FE19A4"/>
    <w:rsid w:val="00FE19F2"/>
    <w:rsid w:val="00FE1A57"/>
    <w:rsid w:val="00FE1C8E"/>
    <w:rsid w:val="00FE2010"/>
    <w:rsid w:val="00FE2052"/>
    <w:rsid w:val="00FE2085"/>
    <w:rsid w:val="00FE230F"/>
    <w:rsid w:val="00FE23AC"/>
    <w:rsid w:val="00FE241E"/>
    <w:rsid w:val="00FE2443"/>
    <w:rsid w:val="00FE2456"/>
    <w:rsid w:val="00FE24F5"/>
    <w:rsid w:val="00FE2579"/>
    <w:rsid w:val="00FE260D"/>
    <w:rsid w:val="00FE27A4"/>
    <w:rsid w:val="00FE27F7"/>
    <w:rsid w:val="00FE2877"/>
    <w:rsid w:val="00FE289E"/>
    <w:rsid w:val="00FE28F1"/>
    <w:rsid w:val="00FE29CB"/>
    <w:rsid w:val="00FE29EB"/>
    <w:rsid w:val="00FE2BB4"/>
    <w:rsid w:val="00FE2C50"/>
    <w:rsid w:val="00FE2C7E"/>
    <w:rsid w:val="00FE2F2B"/>
    <w:rsid w:val="00FE2FB3"/>
    <w:rsid w:val="00FE308D"/>
    <w:rsid w:val="00FE318F"/>
    <w:rsid w:val="00FE3288"/>
    <w:rsid w:val="00FE33C6"/>
    <w:rsid w:val="00FE37EB"/>
    <w:rsid w:val="00FE3804"/>
    <w:rsid w:val="00FE3A7A"/>
    <w:rsid w:val="00FE3B04"/>
    <w:rsid w:val="00FE3BB2"/>
    <w:rsid w:val="00FE3C26"/>
    <w:rsid w:val="00FE3CD9"/>
    <w:rsid w:val="00FE3D29"/>
    <w:rsid w:val="00FE3FF8"/>
    <w:rsid w:val="00FE400A"/>
    <w:rsid w:val="00FE4091"/>
    <w:rsid w:val="00FE4200"/>
    <w:rsid w:val="00FE424D"/>
    <w:rsid w:val="00FE447C"/>
    <w:rsid w:val="00FE4871"/>
    <w:rsid w:val="00FE4996"/>
    <w:rsid w:val="00FE49B4"/>
    <w:rsid w:val="00FE4BD3"/>
    <w:rsid w:val="00FE4C26"/>
    <w:rsid w:val="00FE4C36"/>
    <w:rsid w:val="00FE4CA3"/>
    <w:rsid w:val="00FE4CAD"/>
    <w:rsid w:val="00FE4CB5"/>
    <w:rsid w:val="00FE4D1D"/>
    <w:rsid w:val="00FE4D5D"/>
    <w:rsid w:val="00FE4E89"/>
    <w:rsid w:val="00FE4EB7"/>
    <w:rsid w:val="00FE4F37"/>
    <w:rsid w:val="00FE4F97"/>
    <w:rsid w:val="00FE4FD4"/>
    <w:rsid w:val="00FE502A"/>
    <w:rsid w:val="00FE505B"/>
    <w:rsid w:val="00FE5394"/>
    <w:rsid w:val="00FE53D0"/>
    <w:rsid w:val="00FE53FD"/>
    <w:rsid w:val="00FE573C"/>
    <w:rsid w:val="00FE5BE1"/>
    <w:rsid w:val="00FE5D2F"/>
    <w:rsid w:val="00FE5E7D"/>
    <w:rsid w:val="00FE5F26"/>
    <w:rsid w:val="00FE5F9C"/>
    <w:rsid w:val="00FE6047"/>
    <w:rsid w:val="00FE60CA"/>
    <w:rsid w:val="00FE6302"/>
    <w:rsid w:val="00FE6310"/>
    <w:rsid w:val="00FE6471"/>
    <w:rsid w:val="00FE64B9"/>
    <w:rsid w:val="00FE6814"/>
    <w:rsid w:val="00FE68D4"/>
    <w:rsid w:val="00FE6A01"/>
    <w:rsid w:val="00FE6AD5"/>
    <w:rsid w:val="00FE6B24"/>
    <w:rsid w:val="00FE6C75"/>
    <w:rsid w:val="00FE702D"/>
    <w:rsid w:val="00FE7031"/>
    <w:rsid w:val="00FE7097"/>
    <w:rsid w:val="00FE713C"/>
    <w:rsid w:val="00FE716F"/>
    <w:rsid w:val="00FE7216"/>
    <w:rsid w:val="00FE7241"/>
    <w:rsid w:val="00FE72F6"/>
    <w:rsid w:val="00FE748C"/>
    <w:rsid w:val="00FE75D9"/>
    <w:rsid w:val="00FE7815"/>
    <w:rsid w:val="00FE7A1E"/>
    <w:rsid w:val="00FE7A4D"/>
    <w:rsid w:val="00FE7AA8"/>
    <w:rsid w:val="00FE7B99"/>
    <w:rsid w:val="00FE7DF6"/>
    <w:rsid w:val="00FE7EC0"/>
    <w:rsid w:val="00FF00A3"/>
    <w:rsid w:val="00FF01B5"/>
    <w:rsid w:val="00FF0266"/>
    <w:rsid w:val="00FF0289"/>
    <w:rsid w:val="00FF042E"/>
    <w:rsid w:val="00FF044F"/>
    <w:rsid w:val="00FF0819"/>
    <w:rsid w:val="00FF085E"/>
    <w:rsid w:val="00FF08B4"/>
    <w:rsid w:val="00FF0A61"/>
    <w:rsid w:val="00FF0D6D"/>
    <w:rsid w:val="00FF0D88"/>
    <w:rsid w:val="00FF1000"/>
    <w:rsid w:val="00FF105E"/>
    <w:rsid w:val="00FF1153"/>
    <w:rsid w:val="00FF1406"/>
    <w:rsid w:val="00FF1579"/>
    <w:rsid w:val="00FF1753"/>
    <w:rsid w:val="00FF18B6"/>
    <w:rsid w:val="00FF19A2"/>
    <w:rsid w:val="00FF1B38"/>
    <w:rsid w:val="00FF1E1F"/>
    <w:rsid w:val="00FF1FC2"/>
    <w:rsid w:val="00FF200B"/>
    <w:rsid w:val="00FF223B"/>
    <w:rsid w:val="00FF2292"/>
    <w:rsid w:val="00FF2489"/>
    <w:rsid w:val="00FF26A7"/>
    <w:rsid w:val="00FF2978"/>
    <w:rsid w:val="00FF2991"/>
    <w:rsid w:val="00FF2A17"/>
    <w:rsid w:val="00FF2C51"/>
    <w:rsid w:val="00FF2D09"/>
    <w:rsid w:val="00FF2D6D"/>
    <w:rsid w:val="00FF2F70"/>
    <w:rsid w:val="00FF3442"/>
    <w:rsid w:val="00FF347A"/>
    <w:rsid w:val="00FF39D7"/>
    <w:rsid w:val="00FF39DC"/>
    <w:rsid w:val="00FF3BE9"/>
    <w:rsid w:val="00FF3C3F"/>
    <w:rsid w:val="00FF3EFB"/>
    <w:rsid w:val="00FF3F27"/>
    <w:rsid w:val="00FF4055"/>
    <w:rsid w:val="00FF40B0"/>
    <w:rsid w:val="00FF40F6"/>
    <w:rsid w:val="00FF411B"/>
    <w:rsid w:val="00FF4348"/>
    <w:rsid w:val="00FF43C5"/>
    <w:rsid w:val="00FF45E9"/>
    <w:rsid w:val="00FF45F3"/>
    <w:rsid w:val="00FF489F"/>
    <w:rsid w:val="00FF4A1C"/>
    <w:rsid w:val="00FF4AEF"/>
    <w:rsid w:val="00FF4D2A"/>
    <w:rsid w:val="00FF4DB8"/>
    <w:rsid w:val="00FF4FBB"/>
    <w:rsid w:val="00FF5298"/>
    <w:rsid w:val="00FF52C0"/>
    <w:rsid w:val="00FF5389"/>
    <w:rsid w:val="00FF5608"/>
    <w:rsid w:val="00FF5644"/>
    <w:rsid w:val="00FF5768"/>
    <w:rsid w:val="00FF58E0"/>
    <w:rsid w:val="00FF5A42"/>
    <w:rsid w:val="00FF5B25"/>
    <w:rsid w:val="00FF5C9F"/>
    <w:rsid w:val="00FF5CC7"/>
    <w:rsid w:val="00FF5DEC"/>
    <w:rsid w:val="00FF5E6E"/>
    <w:rsid w:val="00FF5EFE"/>
    <w:rsid w:val="00FF5F04"/>
    <w:rsid w:val="00FF5F97"/>
    <w:rsid w:val="00FF5FD5"/>
    <w:rsid w:val="00FF5FDB"/>
    <w:rsid w:val="00FF6041"/>
    <w:rsid w:val="00FF6054"/>
    <w:rsid w:val="00FF606B"/>
    <w:rsid w:val="00FF61A4"/>
    <w:rsid w:val="00FF63BD"/>
    <w:rsid w:val="00FF662B"/>
    <w:rsid w:val="00FF6675"/>
    <w:rsid w:val="00FF668E"/>
    <w:rsid w:val="00FF66CA"/>
    <w:rsid w:val="00FF67AB"/>
    <w:rsid w:val="00FF68BC"/>
    <w:rsid w:val="00FF699D"/>
    <w:rsid w:val="00FF69FF"/>
    <w:rsid w:val="00FF6B25"/>
    <w:rsid w:val="00FF6C45"/>
    <w:rsid w:val="00FF6CC5"/>
    <w:rsid w:val="00FF6D99"/>
    <w:rsid w:val="00FF6E09"/>
    <w:rsid w:val="00FF6F12"/>
    <w:rsid w:val="00FF7143"/>
    <w:rsid w:val="00FF71CF"/>
    <w:rsid w:val="00FF721A"/>
    <w:rsid w:val="00FF7475"/>
    <w:rsid w:val="00FF7615"/>
    <w:rsid w:val="00FF772C"/>
    <w:rsid w:val="00FF77C2"/>
    <w:rsid w:val="00FF786A"/>
    <w:rsid w:val="00FF79FF"/>
    <w:rsid w:val="00FF7A5D"/>
    <w:rsid w:val="00FF7A93"/>
    <w:rsid w:val="00FF7D43"/>
    <w:rsid w:val="00FF7F5B"/>
    <w:rsid w:val="00FF7FBE"/>
    <w:rsid w:val="011965E4"/>
    <w:rsid w:val="0192818A"/>
    <w:rsid w:val="021207B5"/>
    <w:rsid w:val="0216299A"/>
    <w:rsid w:val="022C0803"/>
    <w:rsid w:val="023F5E96"/>
    <w:rsid w:val="02591011"/>
    <w:rsid w:val="02620173"/>
    <w:rsid w:val="0269AAEE"/>
    <w:rsid w:val="029E02FF"/>
    <w:rsid w:val="02B1B81F"/>
    <w:rsid w:val="02B96550"/>
    <w:rsid w:val="02D4FF25"/>
    <w:rsid w:val="02EABB32"/>
    <w:rsid w:val="02F5B5F8"/>
    <w:rsid w:val="02F7ACD9"/>
    <w:rsid w:val="030A35B0"/>
    <w:rsid w:val="0337E971"/>
    <w:rsid w:val="033ACB0B"/>
    <w:rsid w:val="033B7219"/>
    <w:rsid w:val="03988A99"/>
    <w:rsid w:val="03C7DB25"/>
    <w:rsid w:val="04489CBF"/>
    <w:rsid w:val="04ABAEE0"/>
    <w:rsid w:val="04B7FFDA"/>
    <w:rsid w:val="04F0F0A5"/>
    <w:rsid w:val="05408304"/>
    <w:rsid w:val="054E1F5A"/>
    <w:rsid w:val="0550C435"/>
    <w:rsid w:val="0590CC9B"/>
    <w:rsid w:val="05C8B582"/>
    <w:rsid w:val="05D6EB26"/>
    <w:rsid w:val="0602BC2D"/>
    <w:rsid w:val="061DD211"/>
    <w:rsid w:val="062F90B1"/>
    <w:rsid w:val="0631475A"/>
    <w:rsid w:val="0639BFA1"/>
    <w:rsid w:val="06486151"/>
    <w:rsid w:val="064D2000"/>
    <w:rsid w:val="06A3F527"/>
    <w:rsid w:val="06C7D37E"/>
    <w:rsid w:val="06CB9873"/>
    <w:rsid w:val="07319BAB"/>
    <w:rsid w:val="077158BB"/>
    <w:rsid w:val="07795865"/>
    <w:rsid w:val="078F2C11"/>
    <w:rsid w:val="07C968AA"/>
    <w:rsid w:val="07CAD1A8"/>
    <w:rsid w:val="07E6C2D0"/>
    <w:rsid w:val="082DAE4D"/>
    <w:rsid w:val="08364FD6"/>
    <w:rsid w:val="08426351"/>
    <w:rsid w:val="084A4A79"/>
    <w:rsid w:val="084D0F46"/>
    <w:rsid w:val="084EC651"/>
    <w:rsid w:val="08545155"/>
    <w:rsid w:val="086366DC"/>
    <w:rsid w:val="0866B80D"/>
    <w:rsid w:val="08CA968E"/>
    <w:rsid w:val="08CE8043"/>
    <w:rsid w:val="08D45290"/>
    <w:rsid w:val="08EC88EA"/>
    <w:rsid w:val="09078F4B"/>
    <w:rsid w:val="0912DA27"/>
    <w:rsid w:val="09179852"/>
    <w:rsid w:val="09260EE6"/>
    <w:rsid w:val="0932BC78"/>
    <w:rsid w:val="093BE5C6"/>
    <w:rsid w:val="0949A26E"/>
    <w:rsid w:val="099B5E5E"/>
    <w:rsid w:val="09C57BBB"/>
    <w:rsid w:val="09DDE3F9"/>
    <w:rsid w:val="0A5261F4"/>
    <w:rsid w:val="0A6A8CED"/>
    <w:rsid w:val="0A8B47CB"/>
    <w:rsid w:val="0B0567C0"/>
    <w:rsid w:val="0B0AAE51"/>
    <w:rsid w:val="0B0E8D40"/>
    <w:rsid w:val="0B385864"/>
    <w:rsid w:val="0B3F2654"/>
    <w:rsid w:val="0B6D17E3"/>
    <w:rsid w:val="0B877409"/>
    <w:rsid w:val="0BD94AEB"/>
    <w:rsid w:val="0BF48E05"/>
    <w:rsid w:val="0C14CCF2"/>
    <w:rsid w:val="0C4BE738"/>
    <w:rsid w:val="0C4FE5EE"/>
    <w:rsid w:val="0C6E54BA"/>
    <w:rsid w:val="0CB24770"/>
    <w:rsid w:val="0CB28E6D"/>
    <w:rsid w:val="0CBDF211"/>
    <w:rsid w:val="0CBF51F1"/>
    <w:rsid w:val="0D203922"/>
    <w:rsid w:val="0D20D885"/>
    <w:rsid w:val="0D71A1A4"/>
    <w:rsid w:val="0D9B8650"/>
    <w:rsid w:val="0D9BE13F"/>
    <w:rsid w:val="0DFF05EB"/>
    <w:rsid w:val="0E1C2EAF"/>
    <w:rsid w:val="0E395980"/>
    <w:rsid w:val="0E7F899F"/>
    <w:rsid w:val="0E802490"/>
    <w:rsid w:val="0E852EB0"/>
    <w:rsid w:val="0E8BAAB7"/>
    <w:rsid w:val="0ECCC8DE"/>
    <w:rsid w:val="0EE001C8"/>
    <w:rsid w:val="0EECF467"/>
    <w:rsid w:val="0F17C5B5"/>
    <w:rsid w:val="0F1FD37C"/>
    <w:rsid w:val="0F6DA4C5"/>
    <w:rsid w:val="0F913B9C"/>
    <w:rsid w:val="0FB80628"/>
    <w:rsid w:val="101891AE"/>
    <w:rsid w:val="10571E1C"/>
    <w:rsid w:val="10638939"/>
    <w:rsid w:val="10662B65"/>
    <w:rsid w:val="10783F45"/>
    <w:rsid w:val="109E2C24"/>
    <w:rsid w:val="114A1F47"/>
    <w:rsid w:val="1159EFD3"/>
    <w:rsid w:val="115CC51C"/>
    <w:rsid w:val="11809C67"/>
    <w:rsid w:val="11BBEE7C"/>
    <w:rsid w:val="11F91D49"/>
    <w:rsid w:val="126A8EA7"/>
    <w:rsid w:val="12BF762D"/>
    <w:rsid w:val="12C89271"/>
    <w:rsid w:val="12F3CB23"/>
    <w:rsid w:val="12F4BFA4"/>
    <w:rsid w:val="1301F723"/>
    <w:rsid w:val="131CEC23"/>
    <w:rsid w:val="132A8D1D"/>
    <w:rsid w:val="136BC0D8"/>
    <w:rsid w:val="138037C2"/>
    <w:rsid w:val="1388FB35"/>
    <w:rsid w:val="1398288F"/>
    <w:rsid w:val="13B5C05B"/>
    <w:rsid w:val="13B9B3AE"/>
    <w:rsid w:val="13D10C36"/>
    <w:rsid w:val="14213187"/>
    <w:rsid w:val="148C8D0E"/>
    <w:rsid w:val="149E3B89"/>
    <w:rsid w:val="149F445A"/>
    <w:rsid w:val="14AC0BFA"/>
    <w:rsid w:val="14BD3500"/>
    <w:rsid w:val="14DA2F8A"/>
    <w:rsid w:val="14DCA9E2"/>
    <w:rsid w:val="14F16B67"/>
    <w:rsid w:val="14F22084"/>
    <w:rsid w:val="150169E1"/>
    <w:rsid w:val="15215A0F"/>
    <w:rsid w:val="152458ED"/>
    <w:rsid w:val="154D7CC5"/>
    <w:rsid w:val="155D69BE"/>
    <w:rsid w:val="155EAB9D"/>
    <w:rsid w:val="15841CCE"/>
    <w:rsid w:val="15CF60B2"/>
    <w:rsid w:val="15E182F4"/>
    <w:rsid w:val="163ABD17"/>
    <w:rsid w:val="1648A2ED"/>
    <w:rsid w:val="164F755D"/>
    <w:rsid w:val="16775BE7"/>
    <w:rsid w:val="167858F2"/>
    <w:rsid w:val="167C80F9"/>
    <w:rsid w:val="1685B8F3"/>
    <w:rsid w:val="16A95FE3"/>
    <w:rsid w:val="16C275E0"/>
    <w:rsid w:val="16ECAA5E"/>
    <w:rsid w:val="171B66C4"/>
    <w:rsid w:val="17230BA4"/>
    <w:rsid w:val="172509AA"/>
    <w:rsid w:val="178A531C"/>
    <w:rsid w:val="17F60437"/>
    <w:rsid w:val="1810F24F"/>
    <w:rsid w:val="185EF046"/>
    <w:rsid w:val="18723421"/>
    <w:rsid w:val="18894FA6"/>
    <w:rsid w:val="18E5DB66"/>
    <w:rsid w:val="19123C3B"/>
    <w:rsid w:val="1942B56C"/>
    <w:rsid w:val="194AE2B2"/>
    <w:rsid w:val="1969AD1E"/>
    <w:rsid w:val="19A3E689"/>
    <w:rsid w:val="19C24F31"/>
    <w:rsid w:val="19D358F7"/>
    <w:rsid w:val="19DBC630"/>
    <w:rsid w:val="1A452B46"/>
    <w:rsid w:val="1A50E641"/>
    <w:rsid w:val="1A7C1DCA"/>
    <w:rsid w:val="1A94D862"/>
    <w:rsid w:val="1AB6EB1B"/>
    <w:rsid w:val="1AF4A56C"/>
    <w:rsid w:val="1AFC78BE"/>
    <w:rsid w:val="1B1092EF"/>
    <w:rsid w:val="1B23C78A"/>
    <w:rsid w:val="1B26FC50"/>
    <w:rsid w:val="1B70F1A0"/>
    <w:rsid w:val="1B7ECCA1"/>
    <w:rsid w:val="1BAC3C22"/>
    <w:rsid w:val="1BD172BD"/>
    <w:rsid w:val="1C1C1D63"/>
    <w:rsid w:val="1C1C5CCC"/>
    <w:rsid w:val="1C207E49"/>
    <w:rsid w:val="1C272B37"/>
    <w:rsid w:val="1C46EB8A"/>
    <w:rsid w:val="1C6702ED"/>
    <w:rsid w:val="1C8655A1"/>
    <w:rsid w:val="1C9E42B4"/>
    <w:rsid w:val="1CDF846A"/>
    <w:rsid w:val="1D127863"/>
    <w:rsid w:val="1D1A71FA"/>
    <w:rsid w:val="1D2F1B76"/>
    <w:rsid w:val="1DAD4132"/>
    <w:rsid w:val="1DF8FC02"/>
    <w:rsid w:val="1DFB1A59"/>
    <w:rsid w:val="1E0407F6"/>
    <w:rsid w:val="1E23359A"/>
    <w:rsid w:val="1E25FFDC"/>
    <w:rsid w:val="1E458009"/>
    <w:rsid w:val="1E6589DE"/>
    <w:rsid w:val="1E8B238D"/>
    <w:rsid w:val="1EB112E0"/>
    <w:rsid w:val="1EBB1F97"/>
    <w:rsid w:val="1EBEE26D"/>
    <w:rsid w:val="1ED07A51"/>
    <w:rsid w:val="1ED6E092"/>
    <w:rsid w:val="1EFA9F44"/>
    <w:rsid w:val="1F0405C5"/>
    <w:rsid w:val="1F1DE8AD"/>
    <w:rsid w:val="1F2524C0"/>
    <w:rsid w:val="1F5A9ABD"/>
    <w:rsid w:val="1F825C61"/>
    <w:rsid w:val="1F848E32"/>
    <w:rsid w:val="1FA4BCA0"/>
    <w:rsid w:val="1FA4FD1E"/>
    <w:rsid w:val="1FE102D7"/>
    <w:rsid w:val="1FFF1AE8"/>
    <w:rsid w:val="2003277B"/>
    <w:rsid w:val="2005F7C2"/>
    <w:rsid w:val="200DC1EA"/>
    <w:rsid w:val="203FC953"/>
    <w:rsid w:val="2042F237"/>
    <w:rsid w:val="206760C5"/>
    <w:rsid w:val="207A8ED6"/>
    <w:rsid w:val="209EEEB8"/>
    <w:rsid w:val="20A502AB"/>
    <w:rsid w:val="20CCEC72"/>
    <w:rsid w:val="210F2DD0"/>
    <w:rsid w:val="212AD968"/>
    <w:rsid w:val="214E8FEF"/>
    <w:rsid w:val="21916A89"/>
    <w:rsid w:val="2192C891"/>
    <w:rsid w:val="21F20D4B"/>
    <w:rsid w:val="22228E9F"/>
    <w:rsid w:val="22246C67"/>
    <w:rsid w:val="224294E3"/>
    <w:rsid w:val="2251632C"/>
    <w:rsid w:val="226DFC07"/>
    <w:rsid w:val="22AEA1E3"/>
    <w:rsid w:val="22B0CEF6"/>
    <w:rsid w:val="22C161B6"/>
    <w:rsid w:val="22DD5FF3"/>
    <w:rsid w:val="2305C6DE"/>
    <w:rsid w:val="232ED99E"/>
    <w:rsid w:val="233990B6"/>
    <w:rsid w:val="234785E3"/>
    <w:rsid w:val="234F1983"/>
    <w:rsid w:val="236FCB3A"/>
    <w:rsid w:val="239E62AA"/>
    <w:rsid w:val="239E6673"/>
    <w:rsid w:val="23C23155"/>
    <w:rsid w:val="23D77801"/>
    <w:rsid w:val="23E8FCCF"/>
    <w:rsid w:val="240592FC"/>
    <w:rsid w:val="2409FFEC"/>
    <w:rsid w:val="242E0AE7"/>
    <w:rsid w:val="24CE17FB"/>
    <w:rsid w:val="24F075E0"/>
    <w:rsid w:val="24F94004"/>
    <w:rsid w:val="251BB3BA"/>
    <w:rsid w:val="254E7A08"/>
    <w:rsid w:val="2555E9C6"/>
    <w:rsid w:val="255838BF"/>
    <w:rsid w:val="25A05B9F"/>
    <w:rsid w:val="25B3B32F"/>
    <w:rsid w:val="25B50EBA"/>
    <w:rsid w:val="25E5789F"/>
    <w:rsid w:val="25EF8170"/>
    <w:rsid w:val="25F49A87"/>
    <w:rsid w:val="25F6E069"/>
    <w:rsid w:val="26176261"/>
    <w:rsid w:val="26CB068A"/>
    <w:rsid w:val="26EA4AD0"/>
    <w:rsid w:val="27269925"/>
    <w:rsid w:val="27281D86"/>
    <w:rsid w:val="275C6B91"/>
    <w:rsid w:val="276AC5FC"/>
    <w:rsid w:val="277BE2FC"/>
    <w:rsid w:val="27AA83D1"/>
    <w:rsid w:val="27F7746E"/>
    <w:rsid w:val="2804C1D6"/>
    <w:rsid w:val="281A5CA6"/>
    <w:rsid w:val="282D3F88"/>
    <w:rsid w:val="2831960F"/>
    <w:rsid w:val="28338EF8"/>
    <w:rsid w:val="28D2F360"/>
    <w:rsid w:val="292A15DE"/>
    <w:rsid w:val="2956DCE6"/>
    <w:rsid w:val="29FC5EC5"/>
    <w:rsid w:val="2A6B75F0"/>
    <w:rsid w:val="2A7CC082"/>
    <w:rsid w:val="2A998763"/>
    <w:rsid w:val="2AA32D48"/>
    <w:rsid w:val="2AC3A7E4"/>
    <w:rsid w:val="2AD260A6"/>
    <w:rsid w:val="2AD3B883"/>
    <w:rsid w:val="2ADEDB36"/>
    <w:rsid w:val="2AE3E3BB"/>
    <w:rsid w:val="2B2F418F"/>
    <w:rsid w:val="2B75063F"/>
    <w:rsid w:val="2B785264"/>
    <w:rsid w:val="2B850C7C"/>
    <w:rsid w:val="2B96FF37"/>
    <w:rsid w:val="2BA87766"/>
    <w:rsid w:val="2BB7D3F4"/>
    <w:rsid w:val="2BFC3568"/>
    <w:rsid w:val="2C059BE2"/>
    <w:rsid w:val="2C14D4D4"/>
    <w:rsid w:val="2C1740C0"/>
    <w:rsid w:val="2C190794"/>
    <w:rsid w:val="2C1D5947"/>
    <w:rsid w:val="2C92D8BB"/>
    <w:rsid w:val="2CBB07FE"/>
    <w:rsid w:val="2CF136F5"/>
    <w:rsid w:val="2CF8A718"/>
    <w:rsid w:val="2D1890DB"/>
    <w:rsid w:val="2D360D0C"/>
    <w:rsid w:val="2D3C75D1"/>
    <w:rsid w:val="2D51E756"/>
    <w:rsid w:val="2DC4D96B"/>
    <w:rsid w:val="2DDD291F"/>
    <w:rsid w:val="2DE5DE11"/>
    <w:rsid w:val="2DF59045"/>
    <w:rsid w:val="2E85C91B"/>
    <w:rsid w:val="2E85D9B3"/>
    <w:rsid w:val="2EB82AD5"/>
    <w:rsid w:val="2EC84857"/>
    <w:rsid w:val="2ED93B3A"/>
    <w:rsid w:val="2F00FC57"/>
    <w:rsid w:val="2F3F756B"/>
    <w:rsid w:val="2FAD03EC"/>
    <w:rsid w:val="2FD30E12"/>
    <w:rsid w:val="2FF7CC00"/>
    <w:rsid w:val="3029D86A"/>
    <w:rsid w:val="30331C5C"/>
    <w:rsid w:val="3043548E"/>
    <w:rsid w:val="307C17A1"/>
    <w:rsid w:val="30874182"/>
    <w:rsid w:val="308CC42A"/>
    <w:rsid w:val="30EB4F03"/>
    <w:rsid w:val="30F5FE19"/>
    <w:rsid w:val="30FBD3EB"/>
    <w:rsid w:val="31397FFC"/>
    <w:rsid w:val="316C5126"/>
    <w:rsid w:val="3192949F"/>
    <w:rsid w:val="3195AEC8"/>
    <w:rsid w:val="31E3367E"/>
    <w:rsid w:val="31F31E0A"/>
    <w:rsid w:val="31F5F1FB"/>
    <w:rsid w:val="32029DE3"/>
    <w:rsid w:val="3225A43E"/>
    <w:rsid w:val="328E12B0"/>
    <w:rsid w:val="3291826C"/>
    <w:rsid w:val="32A72034"/>
    <w:rsid w:val="330830AC"/>
    <w:rsid w:val="333E38C5"/>
    <w:rsid w:val="3340E58B"/>
    <w:rsid w:val="3377FEB2"/>
    <w:rsid w:val="338CD50E"/>
    <w:rsid w:val="33B277FD"/>
    <w:rsid w:val="33E36A0E"/>
    <w:rsid w:val="33E9079A"/>
    <w:rsid w:val="33F2E173"/>
    <w:rsid w:val="34138267"/>
    <w:rsid w:val="341EA1AB"/>
    <w:rsid w:val="34311C97"/>
    <w:rsid w:val="344926D4"/>
    <w:rsid w:val="3480A900"/>
    <w:rsid w:val="3488E7C7"/>
    <w:rsid w:val="34A9A426"/>
    <w:rsid w:val="34BA8B0C"/>
    <w:rsid w:val="34DEC53D"/>
    <w:rsid w:val="34E58A76"/>
    <w:rsid w:val="3506DDF9"/>
    <w:rsid w:val="3566209A"/>
    <w:rsid w:val="3581F609"/>
    <w:rsid w:val="35A326BE"/>
    <w:rsid w:val="35BD57EC"/>
    <w:rsid w:val="35D52E8F"/>
    <w:rsid w:val="35F0242F"/>
    <w:rsid w:val="360A885B"/>
    <w:rsid w:val="3644E5A1"/>
    <w:rsid w:val="3674066D"/>
    <w:rsid w:val="36805CA3"/>
    <w:rsid w:val="3692B2EC"/>
    <w:rsid w:val="36A57F87"/>
    <w:rsid w:val="36F80932"/>
    <w:rsid w:val="36FDAAA3"/>
    <w:rsid w:val="37000CBE"/>
    <w:rsid w:val="370BA696"/>
    <w:rsid w:val="371C8904"/>
    <w:rsid w:val="3732A1E5"/>
    <w:rsid w:val="376E756F"/>
    <w:rsid w:val="37947ED5"/>
    <w:rsid w:val="3795815C"/>
    <w:rsid w:val="37ADEF21"/>
    <w:rsid w:val="37C4C7A6"/>
    <w:rsid w:val="37D2D883"/>
    <w:rsid w:val="382C1898"/>
    <w:rsid w:val="382FE229"/>
    <w:rsid w:val="385F3D31"/>
    <w:rsid w:val="38AC78B9"/>
    <w:rsid w:val="39007967"/>
    <w:rsid w:val="3950A58A"/>
    <w:rsid w:val="3975D3C1"/>
    <w:rsid w:val="398B2754"/>
    <w:rsid w:val="399DD83A"/>
    <w:rsid w:val="39CC8E68"/>
    <w:rsid w:val="39E03BC7"/>
    <w:rsid w:val="39E78726"/>
    <w:rsid w:val="39E8BF20"/>
    <w:rsid w:val="3A1068CD"/>
    <w:rsid w:val="3A15C455"/>
    <w:rsid w:val="3A2C71B8"/>
    <w:rsid w:val="3A3C834D"/>
    <w:rsid w:val="3A4039EF"/>
    <w:rsid w:val="3A47696D"/>
    <w:rsid w:val="3A80422F"/>
    <w:rsid w:val="3AE5376B"/>
    <w:rsid w:val="3AE973CA"/>
    <w:rsid w:val="3AEF9C80"/>
    <w:rsid w:val="3B0BB2D6"/>
    <w:rsid w:val="3B116ED3"/>
    <w:rsid w:val="3B3DDD4F"/>
    <w:rsid w:val="3B5CD22C"/>
    <w:rsid w:val="3B98A4B2"/>
    <w:rsid w:val="3BAA078A"/>
    <w:rsid w:val="3BB345E4"/>
    <w:rsid w:val="3BCF0BEE"/>
    <w:rsid w:val="3C1DE434"/>
    <w:rsid w:val="3C4295E6"/>
    <w:rsid w:val="3C880226"/>
    <w:rsid w:val="3C9C74D9"/>
    <w:rsid w:val="3CC25B80"/>
    <w:rsid w:val="3CEAEE11"/>
    <w:rsid w:val="3D2B6C15"/>
    <w:rsid w:val="3D775260"/>
    <w:rsid w:val="3D88C5D2"/>
    <w:rsid w:val="3D9D6FC7"/>
    <w:rsid w:val="3DAF2F58"/>
    <w:rsid w:val="3DAFC40A"/>
    <w:rsid w:val="3E6DC060"/>
    <w:rsid w:val="3E7D3166"/>
    <w:rsid w:val="3E9CBE93"/>
    <w:rsid w:val="3EC88871"/>
    <w:rsid w:val="3EDE83ED"/>
    <w:rsid w:val="3F0838E4"/>
    <w:rsid w:val="3F0C1483"/>
    <w:rsid w:val="3F485FFD"/>
    <w:rsid w:val="3FCA1A55"/>
    <w:rsid w:val="3FCCD9E3"/>
    <w:rsid w:val="4037505E"/>
    <w:rsid w:val="405787D0"/>
    <w:rsid w:val="4068C448"/>
    <w:rsid w:val="4076BE3E"/>
    <w:rsid w:val="407EB591"/>
    <w:rsid w:val="409C9621"/>
    <w:rsid w:val="40CB9656"/>
    <w:rsid w:val="40E0D280"/>
    <w:rsid w:val="412F0141"/>
    <w:rsid w:val="41315FB0"/>
    <w:rsid w:val="41414491"/>
    <w:rsid w:val="414C21DA"/>
    <w:rsid w:val="4154E509"/>
    <w:rsid w:val="415627BD"/>
    <w:rsid w:val="41920959"/>
    <w:rsid w:val="41A01BC4"/>
    <w:rsid w:val="41AB8DA7"/>
    <w:rsid w:val="41B92F12"/>
    <w:rsid w:val="41D62220"/>
    <w:rsid w:val="41D7C1C3"/>
    <w:rsid w:val="423C6D19"/>
    <w:rsid w:val="4243EF8C"/>
    <w:rsid w:val="425ED94E"/>
    <w:rsid w:val="42A48E1C"/>
    <w:rsid w:val="42AD1C2F"/>
    <w:rsid w:val="42B87EE1"/>
    <w:rsid w:val="42C5C188"/>
    <w:rsid w:val="42CD88BA"/>
    <w:rsid w:val="42EDA528"/>
    <w:rsid w:val="430614C3"/>
    <w:rsid w:val="43074550"/>
    <w:rsid w:val="432EC473"/>
    <w:rsid w:val="4361224C"/>
    <w:rsid w:val="4379A507"/>
    <w:rsid w:val="44170A64"/>
    <w:rsid w:val="44233788"/>
    <w:rsid w:val="4444C348"/>
    <w:rsid w:val="4475BBBC"/>
    <w:rsid w:val="447D31BD"/>
    <w:rsid w:val="44A9D885"/>
    <w:rsid w:val="44BAC03B"/>
    <w:rsid w:val="44F3D0F6"/>
    <w:rsid w:val="456C2811"/>
    <w:rsid w:val="45761772"/>
    <w:rsid w:val="4578F261"/>
    <w:rsid w:val="45C7FE15"/>
    <w:rsid w:val="45DEF0FD"/>
    <w:rsid w:val="46291922"/>
    <w:rsid w:val="469CD26A"/>
    <w:rsid w:val="46CAD6D1"/>
    <w:rsid w:val="46E5EFCF"/>
    <w:rsid w:val="46F12780"/>
    <w:rsid w:val="46F242D0"/>
    <w:rsid w:val="470B6377"/>
    <w:rsid w:val="47252D56"/>
    <w:rsid w:val="477CB44E"/>
    <w:rsid w:val="47837E23"/>
    <w:rsid w:val="47BF973E"/>
    <w:rsid w:val="47C97025"/>
    <w:rsid w:val="48612EFA"/>
    <w:rsid w:val="486BE474"/>
    <w:rsid w:val="488F137A"/>
    <w:rsid w:val="489C3C77"/>
    <w:rsid w:val="48C4F463"/>
    <w:rsid w:val="48CE7497"/>
    <w:rsid w:val="48FC9C3A"/>
    <w:rsid w:val="4907F40E"/>
    <w:rsid w:val="49287B30"/>
    <w:rsid w:val="492CA7A9"/>
    <w:rsid w:val="49383518"/>
    <w:rsid w:val="49481C4B"/>
    <w:rsid w:val="495380C6"/>
    <w:rsid w:val="4973E965"/>
    <w:rsid w:val="498AF4CF"/>
    <w:rsid w:val="49DD3CB9"/>
    <w:rsid w:val="49FE497C"/>
    <w:rsid w:val="4A212ADF"/>
    <w:rsid w:val="4A38D252"/>
    <w:rsid w:val="4A3F1008"/>
    <w:rsid w:val="4A71A5BE"/>
    <w:rsid w:val="4A942B08"/>
    <w:rsid w:val="4A9AAE51"/>
    <w:rsid w:val="4AC25D8C"/>
    <w:rsid w:val="4ACC9749"/>
    <w:rsid w:val="4AD5EDC1"/>
    <w:rsid w:val="4ADE0EC1"/>
    <w:rsid w:val="4AE54D27"/>
    <w:rsid w:val="4B009ABC"/>
    <w:rsid w:val="4B180771"/>
    <w:rsid w:val="4B28E54C"/>
    <w:rsid w:val="4B32E10D"/>
    <w:rsid w:val="4B6B5194"/>
    <w:rsid w:val="4BAF946A"/>
    <w:rsid w:val="4BB1106D"/>
    <w:rsid w:val="4BE25530"/>
    <w:rsid w:val="4BF65F0C"/>
    <w:rsid w:val="4BF890C5"/>
    <w:rsid w:val="4BFE9B17"/>
    <w:rsid w:val="4C1FFAC4"/>
    <w:rsid w:val="4C385767"/>
    <w:rsid w:val="4C7E49E0"/>
    <w:rsid w:val="4C85ED08"/>
    <w:rsid w:val="4C8A6A91"/>
    <w:rsid w:val="4CC79987"/>
    <w:rsid w:val="4D1D75AA"/>
    <w:rsid w:val="4D21DA97"/>
    <w:rsid w:val="4D63FC59"/>
    <w:rsid w:val="4DB08A35"/>
    <w:rsid w:val="4DB79E99"/>
    <w:rsid w:val="4DDD1ECD"/>
    <w:rsid w:val="4DE971A0"/>
    <w:rsid w:val="4DF6FC0D"/>
    <w:rsid w:val="4E442767"/>
    <w:rsid w:val="4E50B673"/>
    <w:rsid w:val="4E56B189"/>
    <w:rsid w:val="4E656E93"/>
    <w:rsid w:val="4E7F0A1F"/>
    <w:rsid w:val="4E8BE10E"/>
    <w:rsid w:val="4EA8E26B"/>
    <w:rsid w:val="4EDC7F75"/>
    <w:rsid w:val="4EE813DF"/>
    <w:rsid w:val="4EED2527"/>
    <w:rsid w:val="4EF2D61B"/>
    <w:rsid w:val="4EF2DC01"/>
    <w:rsid w:val="4F372877"/>
    <w:rsid w:val="4FB99FAC"/>
    <w:rsid w:val="4FC2FD7D"/>
    <w:rsid w:val="4FCBB2F2"/>
    <w:rsid w:val="4FD1CBBA"/>
    <w:rsid w:val="4FD31EC5"/>
    <w:rsid w:val="4FD7545A"/>
    <w:rsid w:val="4FD80D25"/>
    <w:rsid w:val="4FFDAAD1"/>
    <w:rsid w:val="50262107"/>
    <w:rsid w:val="50561535"/>
    <w:rsid w:val="505DDB7B"/>
    <w:rsid w:val="507917FB"/>
    <w:rsid w:val="50884D2E"/>
    <w:rsid w:val="50C9872F"/>
    <w:rsid w:val="5116EDAD"/>
    <w:rsid w:val="5128EE9D"/>
    <w:rsid w:val="512DED22"/>
    <w:rsid w:val="5136BC12"/>
    <w:rsid w:val="5148107C"/>
    <w:rsid w:val="52051D60"/>
    <w:rsid w:val="521E3E1D"/>
    <w:rsid w:val="5242182E"/>
    <w:rsid w:val="52554A78"/>
    <w:rsid w:val="52604A3F"/>
    <w:rsid w:val="52805BBA"/>
    <w:rsid w:val="5291ED01"/>
    <w:rsid w:val="5291FB8E"/>
    <w:rsid w:val="532D9B85"/>
    <w:rsid w:val="5377400A"/>
    <w:rsid w:val="53B5D8C7"/>
    <w:rsid w:val="53D17177"/>
    <w:rsid w:val="53E3AB10"/>
    <w:rsid w:val="54092966"/>
    <w:rsid w:val="5445ECBD"/>
    <w:rsid w:val="54689EFB"/>
    <w:rsid w:val="547D0744"/>
    <w:rsid w:val="54B2C5E2"/>
    <w:rsid w:val="54B49CE5"/>
    <w:rsid w:val="54DD6E64"/>
    <w:rsid w:val="54E7335B"/>
    <w:rsid w:val="54EE214E"/>
    <w:rsid w:val="54F8171F"/>
    <w:rsid w:val="551CEBF4"/>
    <w:rsid w:val="5524296F"/>
    <w:rsid w:val="5539B4F6"/>
    <w:rsid w:val="5554BFAF"/>
    <w:rsid w:val="55777908"/>
    <w:rsid w:val="5584BFDD"/>
    <w:rsid w:val="55B5C2BC"/>
    <w:rsid w:val="55BFDEF5"/>
    <w:rsid w:val="55D2DFB0"/>
    <w:rsid w:val="55E08715"/>
    <w:rsid w:val="56082F1C"/>
    <w:rsid w:val="56A36DD0"/>
    <w:rsid w:val="56B2790A"/>
    <w:rsid w:val="570FC894"/>
    <w:rsid w:val="571B08B5"/>
    <w:rsid w:val="575DCB10"/>
    <w:rsid w:val="57A4D735"/>
    <w:rsid w:val="57AFA1A7"/>
    <w:rsid w:val="57C28C82"/>
    <w:rsid w:val="580F5471"/>
    <w:rsid w:val="580F6083"/>
    <w:rsid w:val="58218918"/>
    <w:rsid w:val="5843F806"/>
    <w:rsid w:val="5851FF29"/>
    <w:rsid w:val="58FCF025"/>
    <w:rsid w:val="5919C3AA"/>
    <w:rsid w:val="5929C488"/>
    <w:rsid w:val="594BF051"/>
    <w:rsid w:val="59638D51"/>
    <w:rsid w:val="597D9357"/>
    <w:rsid w:val="599CC82F"/>
    <w:rsid w:val="59BD168B"/>
    <w:rsid w:val="5A00CD3A"/>
    <w:rsid w:val="5A077E7C"/>
    <w:rsid w:val="5A12B695"/>
    <w:rsid w:val="5A502EA5"/>
    <w:rsid w:val="5A7C2542"/>
    <w:rsid w:val="5AA0F174"/>
    <w:rsid w:val="5ABC6820"/>
    <w:rsid w:val="5ACC4FF8"/>
    <w:rsid w:val="5ADDF512"/>
    <w:rsid w:val="5B046407"/>
    <w:rsid w:val="5B0F044D"/>
    <w:rsid w:val="5B3D8815"/>
    <w:rsid w:val="5B42CFC0"/>
    <w:rsid w:val="5B75E4A2"/>
    <w:rsid w:val="5B81DD00"/>
    <w:rsid w:val="5BB1D6F1"/>
    <w:rsid w:val="5BC0770D"/>
    <w:rsid w:val="5BCD17F9"/>
    <w:rsid w:val="5BD84762"/>
    <w:rsid w:val="5C1CC5CD"/>
    <w:rsid w:val="5C2ABC62"/>
    <w:rsid w:val="5C2B39DB"/>
    <w:rsid w:val="5C3CDA31"/>
    <w:rsid w:val="5C45C4A8"/>
    <w:rsid w:val="5C7190A6"/>
    <w:rsid w:val="5C9F7801"/>
    <w:rsid w:val="5CD0E02F"/>
    <w:rsid w:val="5CD18683"/>
    <w:rsid w:val="5D28E63F"/>
    <w:rsid w:val="5D2A9732"/>
    <w:rsid w:val="5D67F51F"/>
    <w:rsid w:val="5D73F693"/>
    <w:rsid w:val="5D98C8D3"/>
    <w:rsid w:val="5D9BCD19"/>
    <w:rsid w:val="5DC6CCB2"/>
    <w:rsid w:val="5DC793F2"/>
    <w:rsid w:val="5DD85D98"/>
    <w:rsid w:val="5E3A63A8"/>
    <w:rsid w:val="5E59ED5A"/>
    <w:rsid w:val="5E688052"/>
    <w:rsid w:val="5E9D699A"/>
    <w:rsid w:val="5EB596A3"/>
    <w:rsid w:val="5F38F6D1"/>
    <w:rsid w:val="5F462C7F"/>
    <w:rsid w:val="5F5BE7F0"/>
    <w:rsid w:val="5FA63EE3"/>
    <w:rsid w:val="5FA8AC30"/>
    <w:rsid w:val="5FD63C1E"/>
    <w:rsid w:val="600CB668"/>
    <w:rsid w:val="601CFFE3"/>
    <w:rsid w:val="60258B5B"/>
    <w:rsid w:val="6026C67C"/>
    <w:rsid w:val="6027AB08"/>
    <w:rsid w:val="602FF2A6"/>
    <w:rsid w:val="6065F6A1"/>
    <w:rsid w:val="607A4DA6"/>
    <w:rsid w:val="609A3BCE"/>
    <w:rsid w:val="60FBA3BA"/>
    <w:rsid w:val="6149D6A9"/>
    <w:rsid w:val="6151407D"/>
    <w:rsid w:val="618C8068"/>
    <w:rsid w:val="619A5CC9"/>
    <w:rsid w:val="619DC1CC"/>
    <w:rsid w:val="61A6DC5E"/>
    <w:rsid w:val="62125B1F"/>
    <w:rsid w:val="6223DDFC"/>
    <w:rsid w:val="622D68AF"/>
    <w:rsid w:val="623FFF1A"/>
    <w:rsid w:val="625165ED"/>
    <w:rsid w:val="6258D649"/>
    <w:rsid w:val="62713B4D"/>
    <w:rsid w:val="62952B89"/>
    <w:rsid w:val="6296B032"/>
    <w:rsid w:val="62B860CF"/>
    <w:rsid w:val="634012C2"/>
    <w:rsid w:val="63ADB509"/>
    <w:rsid w:val="63ADBD13"/>
    <w:rsid w:val="63BFC861"/>
    <w:rsid w:val="6418B47B"/>
    <w:rsid w:val="64203AB1"/>
    <w:rsid w:val="643F654A"/>
    <w:rsid w:val="6464B9F8"/>
    <w:rsid w:val="6493E223"/>
    <w:rsid w:val="64C0CE02"/>
    <w:rsid w:val="64DD370D"/>
    <w:rsid w:val="651365C5"/>
    <w:rsid w:val="6516ED5A"/>
    <w:rsid w:val="656E8E8F"/>
    <w:rsid w:val="6571CB32"/>
    <w:rsid w:val="658AAC26"/>
    <w:rsid w:val="6598D3D7"/>
    <w:rsid w:val="659F01A3"/>
    <w:rsid w:val="65AAB8F1"/>
    <w:rsid w:val="65AE0A5F"/>
    <w:rsid w:val="65B1C4D8"/>
    <w:rsid w:val="661025CD"/>
    <w:rsid w:val="667B76EE"/>
    <w:rsid w:val="667D81D8"/>
    <w:rsid w:val="669662A4"/>
    <w:rsid w:val="66B488DD"/>
    <w:rsid w:val="66D8306B"/>
    <w:rsid w:val="671ED511"/>
    <w:rsid w:val="6730797F"/>
    <w:rsid w:val="6783A001"/>
    <w:rsid w:val="678D7EE8"/>
    <w:rsid w:val="679B46CD"/>
    <w:rsid w:val="67B02869"/>
    <w:rsid w:val="67B09C42"/>
    <w:rsid w:val="6814EF79"/>
    <w:rsid w:val="681A2A75"/>
    <w:rsid w:val="685C3DCC"/>
    <w:rsid w:val="68BBC759"/>
    <w:rsid w:val="68F66E0B"/>
    <w:rsid w:val="68FC9E0B"/>
    <w:rsid w:val="6916F649"/>
    <w:rsid w:val="6932F5AB"/>
    <w:rsid w:val="695D739F"/>
    <w:rsid w:val="6965E470"/>
    <w:rsid w:val="697EFC44"/>
    <w:rsid w:val="69FF30D4"/>
    <w:rsid w:val="6A15C50D"/>
    <w:rsid w:val="6A1F8028"/>
    <w:rsid w:val="6A2428B5"/>
    <w:rsid w:val="6A48D725"/>
    <w:rsid w:val="6A6F6340"/>
    <w:rsid w:val="6A92FADF"/>
    <w:rsid w:val="6ADED576"/>
    <w:rsid w:val="6AE9B777"/>
    <w:rsid w:val="6B736BD8"/>
    <w:rsid w:val="6B94C786"/>
    <w:rsid w:val="6BA3A9F8"/>
    <w:rsid w:val="6BBF8934"/>
    <w:rsid w:val="6C08C231"/>
    <w:rsid w:val="6C67C362"/>
    <w:rsid w:val="6C72451F"/>
    <w:rsid w:val="6CAB5029"/>
    <w:rsid w:val="6CBD6A73"/>
    <w:rsid w:val="6CD56158"/>
    <w:rsid w:val="6D08A2E3"/>
    <w:rsid w:val="6D1E043B"/>
    <w:rsid w:val="6D2D8B55"/>
    <w:rsid w:val="6D5D0F81"/>
    <w:rsid w:val="6DA24505"/>
    <w:rsid w:val="6DDD49BF"/>
    <w:rsid w:val="6DE770C8"/>
    <w:rsid w:val="6DF757D8"/>
    <w:rsid w:val="6E0EEC21"/>
    <w:rsid w:val="6E10DEDB"/>
    <w:rsid w:val="6E60D1A0"/>
    <w:rsid w:val="6E63577F"/>
    <w:rsid w:val="6E69E29E"/>
    <w:rsid w:val="6E7D48F4"/>
    <w:rsid w:val="6EA76F2E"/>
    <w:rsid w:val="6ED65148"/>
    <w:rsid w:val="6F44A1F7"/>
    <w:rsid w:val="6F58CD67"/>
    <w:rsid w:val="6F5CDAFD"/>
    <w:rsid w:val="6F605D05"/>
    <w:rsid w:val="6F66D479"/>
    <w:rsid w:val="6FB17339"/>
    <w:rsid w:val="6FBC6C8C"/>
    <w:rsid w:val="6FD28CA7"/>
    <w:rsid w:val="6FD89328"/>
    <w:rsid w:val="700A7C29"/>
    <w:rsid w:val="70340AC3"/>
    <w:rsid w:val="703650BC"/>
    <w:rsid w:val="703A398D"/>
    <w:rsid w:val="70495090"/>
    <w:rsid w:val="705197B3"/>
    <w:rsid w:val="7072C802"/>
    <w:rsid w:val="707D6434"/>
    <w:rsid w:val="70B7EC2C"/>
    <w:rsid w:val="70CA6A05"/>
    <w:rsid w:val="710B8609"/>
    <w:rsid w:val="71658C46"/>
    <w:rsid w:val="717AF314"/>
    <w:rsid w:val="7183462F"/>
    <w:rsid w:val="71A061FD"/>
    <w:rsid w:val="71A8CCFB"/>
    <w:rsid w:val="72067172"/>
    <w:rsid w:val="723A4F0F"/>
    <w:rsid w:val="72C33E93"/>
    <w:rsid w:val="72C877D2"/>
    <w:rsid w:val="72C953CC"/>
    <w:rsid w:val="7321EED4"/>
    <w:rsid w:val="732DD5F4"/>
    <w:rsid w:val="7332C230"/>
    <w:rsid w:val="73554E58"/>
    <w:rsid w:val="737DCCF8"/>
    <w:rsid w:val="73C5312D"/>
    <w:rsid w:val="73F6D62C"/>
    <w:rsid w:val="740DC7E6"/>
    <w:rsid w:val="742F7D7F"/>
    <w:rsid w:val="746CFBC8"/>
    <w:rsid w:val="7475E9E3"/>
    <w:rsid w:val="74ADFB84"/>
    <w:rsid w:val="74C4B8A6"/>
    <w:rsid w:val="74C89C80"/>
    <w:rsid w:val="74E44412"/>
    <w:rsid w:val="7505AB01"/>
    <w:rsid w:val="75706570"/>
    <w:rsid w:val="7586CB93"/>
    <w:rsid w:val="75A1B84B"/>
    <w:rsid w:val="75ACB057"/>
    <w:rsid w:val="75C2F13B"/>
    <w:rsid w:val="75E03EAB"/>
    <w:rsid w:val="75E1D40C"/>
    <w:rsid w:val="7614AD56"/>
    <w:rsid w:val="761A37A5"/>
    <w:rsid w:val="76337707"/>
    <w:rsid w:val="7674AF5F"/>
    <w:rsid w:val="76D60A35"/>
    <w:rsid w:val="77155D4B"/>
    <w:rsid w:val="7731CCA0"/>
    <w:rsid w:val="7734E13C"/>
    <w:rsid w:val="77A9CE56"/>
    <w:rsid w:val="77AC69CC"/>
    <w:rsid w:val="7845D488"/>
    <w:rsid w:val="78614702"/>
    <w:rsid w:val="787601B5"/>
    <w:rsid w:val="78A81177"/>
    <w:rsid w:val="78D22CF5"/>
    <w:rsid w:val="78D69931"/>
    <w:rsid w:val="78FF5C0B"/>
    <w:rsid w:val="79230C28"/>
    <w:rsid w:val="79286E69"/>
    <w:rsid w:val="792D7AD2"/>
    <w:rsid w:val="796E5148"/>
    <w:rsid w:val="79762373"/>
    <w:rsid w:val="797D0BB4"/>
    <w:rsid w:val="7997B88F"/>
    <w:rsid w:val="79C97D83"/>
    <w:rsid w:val="79D8DFB3"/>
    <w:rsid w:val="79DE4098"/>
    <w:rsid w:val="7A122494"/>
    <w:rsid w:val="7A7BE6AF"/>
    <w:rsid w:val="7A80B020"/>
    <w:rsid w:val="7AA7EEC9"/>
    <w:rsid w:val="7AC25B2A"/>
    <w:rsid w:val="7AE2C3DE"/>
    <w:rsid w:val="7B0675E4"/>
    <w:rsid w:val="7B07F3E9"/>
    <w:rsid w:val="7B5FC8BF"/>
    <w:rsid w:val="7BD97A6E"/>
    <w:rsid w:val="7C003AAE"/>
    <w:rsid w:val="7C93D4EF"/>
    <w:rsid w:val="7CDAD9EE"/>
    <w:rsid w:val="7CDBB962"/>
    <w:rsid w:val="7D123D18"/>
    <w:rsid w:val="7D17F090"/>
    <w:rsid w:val="7D31F47B"/>
    <w:rsid w:val="7D9D88C7"/>
    <w:rsid w:val="7DF4A262"/>
    <w:rsid w:val="7E2891C7"/>
    <w:rsid w:val="7E2955F5"/>
    <w:rsid w:val="7E6819D9"/>
    <w:rsid w:val="7E8CE15B"/>
    <w:rsid w:val="7E8E8981"/>
    <w:rsid w:val="7EB434B6"/>
    <w:rsid w:val="7EBCF786"/>
    <w:rsid w:val="7EE6C067"/>
    <w:rsid w:val="7EEEBB75"/>
    <w:rsid w:val="7EF2C4B6"/>
    <w:rsid w:val="7F0F6D24"/>
    <w:rsid w:val="7F1D1AA6"/>
    <w:rsid w:val="7F2514C0"/>
    <w:rsid w:val="7F308747"/>
    <w:rsid w:val="7F3EDE0F"/>
    <w:rsid w:val="7F6608C1"/>
    <w:rsid w:val="7FCBE38F"/>
    <w:rsid w:val="7FE3556F"/>
    <w:rsid w:val="7FEFA2DC"/>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61CF5E"/>
  <w15:chartTrackingRefBased/>
  <w15:docId w15:val="{7A66017F-67F0-4F2D-AF4D-D796C9A2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729"/>
  </w:style>
  <w:style w:type="paragraph" w:styleId="Heading1">
    <w:name w:val="heading 1"/>
    <w:basedOn w:val="Normal"/>
    <w:next w:val="Normal"/>
    <w:link w:val="Heading1Char"/>
    <w:uiPriority w:val="9"/>
    <w:qFormat/>
    <w:rsid w:val="00AE6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6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6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E6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6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6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6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6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E6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6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6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83E"/>
    <w:rPr>
      <w:rFonts w:eastAsiaTheme="majorEastAsia" w:cstheme="majorBidi"/>
      <w:color w:val="272727" w:themeColor="text1" w:themeTint="D8"/>
    </w:rPr>
  </w:style>
  <w:style w:type="paragraph" w:styleId="Title">
    <w:name w:val="Title"/>
    <w:basedOn w:val="Normal"/>
    <w:next w:val="Normal"/>
    <w:link w:val="TitleChar"/>
    <w:uiPriority w:val="10"/>
    <w:qFormat/>
    <w:rsid w:val="00AE6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83E"/>
    <w:pPr>
      <w:spacing w:before="160"/>
      <w:jc w:val="center"/>
    </w:pPr>
    <w:rPr>
      <w:i/>
      <w:iCs/>
      <w:color w:val="404040" w:themeColor="text1" w:themeTint="BF"/>
    </w:rPr>
  </w:style>
  <w:style w:type="character" w:customStyle="1" w:styleId="QuoteChar">
    <w:name w:val="Quote Char"/>
    <w:basedOn w:val="DefaultParagraphFont"/>
    <w:link w:val="Quote"/>
    <w:uiPriority w:val="29"/>
    <w:rsid w:val="00AE683E"/>
    <w:rPr>
      <w:i/>
      <w:iCs/>
      <w:color w:val="404040" w:themeColor="text1" w:themeTint="BF"/>
    </w:rPr>
  </w:style>
  <w:style w:type="paragraph" w:styleId="ListParagraph">
    <w:name w:val="List Paragraph"/>
    <w:basedOn w:val="Normal"/>
    <w:uiPriority w:val="34"/>
    <w:qFormat/>
    <w:rsid w:val="00AE683E"/>
    <w:pPr>
      <w:ind w:left="720"/>
      <w:contextualSpacing/>
    </w:pPr>
  </w:style>
  <w:style w:type="character" w:styleId="IntenseEmphasis">
    <w:name w:val="Intense Emphasis"/>
    <w:basedOn w:val="DefaultParagraphFont"/>
    <w:uiPriority w:val="21"/>
    <w:qFormat/>
    <w:rsid w:val="00AE683E"/>
    <w:rPr>
      <w:i/>
      <w:iCs/>
      <w:color w:val="0F4761" w:themeColor="accent1" w:themeShade="BF"/>
    </w:rPr>
  </w:style>
  <w:style w:type="paragraph" w:styleId="IntenseQuote">
    <w:name w:val="Intense Quote"/>
    <w:basedOn w:val="Normal"/>
    <w:next w:val="Normal"/>
    <w:link w:val="IntenseQuoteChar"/>
    <w:uiPriority w:val="30"/>
    <w:qFormat/>
    <w:rsid w:val="00AE6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683E"/>
    <w:rPr>
      <w:i/>
      <w:iCs/>
      <w:color w:val="0F4761" w:themeColor="accent1" w:themeShade="BF"/>
    </w:rPr>
  </w:style>
  <w:style w:type="character" w:styleId="IntenseReference">
    <w:name w:val="Intense Reference"/>
    <w:basedOn w:val="DefaultParagraphFont"/>
    <w:uiPriority w:val="32"/>
    <w:qFormat/>
    <w:rsid w:val="00AE683E"/>
    <w:rPr>
      <w:b/>
      <w:bCs/>
      <w:smallCaps/>
      <w:color w:val="0F4761" w:themeColor="accent1" w:themeShade="BF"/>
      <w:spacing w:val="5"/>
    </w:rPr>
  </w:style>
  <w:style w:type="character" w:customStyle="1" w:styleId="Marker">
    <w:name w:val="Marker"/>
    <w:basedOn w:val="DefaultParagraphFont"/>
    <w:rsid w:val="00AE683E"/>
    <w:rPr>
      <w:color w:val="0000FF"/>
      <w:shd w:val="clear" w:color="auto" w:fill="auto"/>
    </w:rPr>
  </w:style>
  <w:style w:type="paragraph" w:styleId="Header">
    <w:name w:val="header"/>
    <w:basedOn w:val="Normal"/>
    <w:link w:val="HeaderChar"/>
    <w:uiPriority w:val="99"/>
    <w:unhideWhenUsed/>
    <w:rsid w:val="00AE68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83E"/>
  </w:style>
  <w:style w:type="paragraph" w:styleId="Footer">
    <w:name w:val="footer"/>
    <w:basedOn w:val="Normal"/>
    <w:link w:val="FooterChar"/>
    <w:uiPriority w:val="99"/>
    <w:unhideWhenUsed/>
    <w:rsid w:val="00AE68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83E"/>
  </w:style>
  <w:style w:type="paragraph" w:customStyle="1" w:styleId="Pagedecouverture">
    <w:name w:val="Page de couverture"/>
    <w:basedOn w:val="Normal"/>
    <w:next w:val="Normal"/>
    <w:rsid w:val="00AE683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E683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E683E"/>
    <w:rPr>
      <w:rFonts w:ascii="Times New Roman" w:hAnsi="Times New Roman" w:cs="Times New Roman"/>
      <w:sz w:val="24"/>
    </w:rPr>
  </w:style>
  <w:style w:type="paragraph" w:customStyle="1" w:styleId="FooterSensitivity">
    <w:name w:val="Footer Sensitivity"/>
    <w:basedOn w:val="Normal"/>
    <w:link w:val="FooterSensitivityChar"/>
    <w:rsid w:val="00AE683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E683E"/>
    <w:rPr>
      <w:rFonts w:ascii="Times New Roman" w:hAnsi="Times New Roman" w:cs="Times New Roman"/>
      <w:b/>
      <w:sz w:val="32"/>
    </w:rPr>
  </w:style>
  <w:style w:type="paragraph" w:customStyle="1" w:styleId="HeaderCoverPage">
    <w:name w:val="Header Cover Page"/>
    <w:basedOn w:val="Normal"/>
    <w:link w:val="HeaderCoverPageChar"/>
    <w:rsid w:val="00AE683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E683E"/>
    <w:rPr>
      <w:rFonts w:ascii="Times New Roman" w:hAnsi="Times New Roman" w:cs="Times New Roman"/>
      <w:sz w:val="24"/>
    </w:rPr>
  </w:style>
  <w:style w:type="paragraph" w:customStyle="1" w:styleId="HeaderSensitivity">
    <w:name w:val="Header Sensitivity"/>
    <w:basedOn w:val="Normal"/>
    <w:link w:val="HeaderSensitivityChar"/>
    <w:rsid w:val="00AE683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E683E"/>
    <w:rPr>
      <w:rFonts w:ascii="Times New Roman" w:hAnsi="Times New Roman" w:cs="Times New Roman"/>
      <w:b/>
      <w:sz w:val="32"/>
    </w:rPr>
  </w:style>
  <w:style w:type="paragraph" w:customStyle="1" w:styleId="HeaderSensitivityRight">
    <w:name w:val="Header Sensitivity Right"/>
    <w:basedOn w:val="Normal"/>
    <w:link w:val="HeaderSensitivityRightChar"/>
    <w:rsid w:val="006B5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E683E"/>
    <w:rPr>
      <w:rFonts w:ascii="Times New Roman" w:hAnsi="Times New Roman" w:cs="Times New Roman"/>
      <w:sz w:val="28"/>
    </w:rPr>
  </w:style>
  <w:style w:type="numbering" w:customStyle="1" w:styleId="NoList1">
    <w:name w:val="No List1"/>
    <w:next w:val="NoList"/>
    <w:uiPriority w:val="99"/>
    <w:semiHidden/>
    <w:unhideWhenUsed/>
    <w:rsid w:val="000E4822"/>
  </w:style>
  <w:style w:type="character" w:styleId="CommentReference">
    <w:name w:val="annotation reference"/>
    <w:basedOn w:val="DefaultParagraphFont"/>
    <w:uiPriority w:val="99"/>
    <w:unhideWhenUsed/>
    <w:rsid w:val="000E4822"/>
    <w:rPr>
      <w:sz w:val="16"/>
      <w:szCs w:val="16"/>
    </w:rPr>
  </w:style>
  <w:style w:type="paragraph" w:styleId="CommentText">
    <w:name w:val="annotation text"/>
    <w:basedOn w:val="Normal"/>
    <w:link w:val="CommentTextChar"/>
    <w:uiPriority w:val="99"/>
    <w:unhideWhenUsed/>
    <w:rsid w:val="000E4822"/>
    <w:pPr>
      <w:spacing w:line="240" w:lineRule="auto"/>
    </w:pPr>
    <w:rPr>
      <w:sz w:val="20"/>
      <w:szCs w:val="20"/>
    </w:rPr>
  </w:style>
  <w:style w:type="character" w:customStyle="1" w:styleId="CommentTextChar">
    <w:name w:val="Comment Text Char"/>
    <w:basedOn w:val="DefaultParagraphFont"/>
    <w:link w:val="CommentText"/>
    <w:uiPriority w:val="99"/>
    <w:rsid w:val="000E4822"/>
    <w:rPr>
      <w:sz w:val="20"/>
      <w:szCs w:val="20"/>
      <w:lang w:val="fr-FR"/>
    </w:rPr>
  </w:style>
  <w:style w:type="paragraph" w:styleId="CommentSubject">
    <w:name w:val="annotation subject"/>
    <w:basedOn w:val="CommentText"/>
    <w:next w:val="CommentText"/>
    <w:link w:val="CommentSubjectChar"/>
    <w:uiPriority w:val="99"/>
    <w:semiHidden/>
    <w:unhideWhenUsed/>
    <w:rsid w:val="000E4822"/>
    <w:rPr>
      <w:b/>
      <w:bCs/>
    </w:rPr>
  </w:style>
  <w:style w:type="character" w:customStyle="1" w:styleId="CommentSubjectChar">
    <w:name w:val="Comment Subject Char"/>
    <w:basedOn w:val="CommentTextChar"/>
    <w:link w:val="CommentSubject"/>
    <w:uiPriority w:val="99"/>
    <w:semiHidden/>
    <w:rsid w:val="000E4822"/>
    <w:rPr>
      <w:b/>
      <w:bCs/>
      <w:sz w:val="20"/>
      <w:szCs w:val="20"/>
      <w:lang w:val="fr-FR"/>
    </w:rPr>
  </w:style>
  <w:style w:type="paragraph" w:customStyle="1" w:styleId="ft1">
    <w:name w:val="ft1"/>
    <w:basedOn w:val="Normal"/>
    <w:next w:val="FootnoteText"/>
    <w:link w:val="FootnoteTextChar"/>
    <w:unhideWhenUsed/>
    <w:qFormat/>
    <w:rsid w:val="000E4822"/>
    <w:pPr>
      <w:spacing w:after="0" w:line="240" w:lineRule="auto"/>
      <w:jc w:val="both"/>
    </w:pPr>
    <w:rPr>
      <w:rFonts w:ascii="Times New Roman" w:eastAsia="Yu Mincho" w:hAnsi="Times New Roman"/>
      <w:kern w:val="0"/>
      <w:sz w:val="20"/>
      <w:szCs w:val="20"/>
      <w:lang w:eastAsia="ja-JP"/>
      <w14:ligatures w14:val="none"/>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fn Cha"/>
    <w:basedOn w:val="DefaultParagraphFont"/>
    <w:link w:val="ft1"/>
    <w:uiPriority w:val="99"/>
    <w:qFormat/>
    <w:rsid w:val="000E4822"/>
    <w:rPr>
      <w:rFonts w:ascii="Times New Roman" w:eastAsia="Yu Mincho" w:hAnsi="Times New Roman"/>
      <w:kern w:val="0"/>
      <w:sz w:val="20"/>
      <w:szCs w:val="20"/>
      <w:lang w:val="fr-FR" w:eastAsia="ja-JP"/>
      <w14:ligatures w14:val="none"/>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basedOn w:val="DefaultParagraphFont"/>
    <w:link w:val="ftrefCharCharCharCharCharCharCharCharChar"/>
    <w:uiPriority w:val="99"/>
    <w:unhideWhenUsed/>
    <w:qFormat/>
    <w:rsid w:val="000E4822"/>
    <w:rPr>
      <w:vertAlign w:val="superscript"/>
    </w:rPr>
  </w:style>
  <w:style w:type="character" w:customStyle="1" w:styleId="TOC211">
    <w:name w:val="TOC 211"/>
    <w:basedOn w:val="DefaultParagraphFont"/>
    <w:uiPriority w:val="99"/>
    <w:unhideWhenUsed/>
    <w:rsid w:val="000E4822"/>
    <w:rPr>
      <w:color w:val="467886"/>
      <w:u w:val="singl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E4822"/>
    <w:pPr>
      <w:spacing w:line="240" w:lineRule="exact"/>
      <w:jc w:val="both"/>
    </w:pPr>
    <w:rPr>
      <w:vertAlign w:val="superscript"/>
    </w:rPr>
  </w:style>
  <w:style w:type="character" w:customStyle="1" w:styleId="FollowedHyperlink1">
    <w:name w:val="FollowedHyperlink1"/>
    <w:basedOn w:val="DefaultParagraphFont"/>
    <w:uiPriority w:val="99"/>
    <w:semiHidden/>
    <w:unhideWhenUsed/>
    <w:rsid w:val="000E4822"/>
    <w:rPr>
      <w:color w:val="96607D"/>
      <w:u w:val="single"/>
    </w:rPr>
  </w:style>
  <w:style w:type="character" w:customStyle="1" w:styleId="UnresolvedMention1">
    <w:name w:val="Unresolved Mention1"/>
    <w:basedOn w:val="DefaultParagraphFont"/>
    <w:uiPriority w:val="99"/>
    <w:semiHidden/>
    <w:unhideWhenUsed/>
    <w:rsid w:val="000E4822"/>
    <w:rPr>
      <w:color w:val="605E5C"/>
      <w:shd w:val="clear" w:color="auto" w:fill="E1DFDD"/>
    </w:rPr>
  </w:style>
  <w:style w:type="table" w:styleId="TableGrid">
    <w:name w:val="Table Grid"/>
    <w:basedOn w:val="TableNormal"/>
    <w:uiPriority w:val="39"/>
    <w:rsid w:val="000E4822"/>
    <w:pPr>
      <w:spacing w:after="0" w:line="240" w:lineRule="auto"/>
    </w:pPr>
    <w:rPr>
      <w:sz w:val="24"/>
      <w:szCs w:val="24"/>
    </w:rPr>
    <w:tblPr/>
  </w:style>
  <w:style w:type="character" w:customStyle="1" w:styleId="Mention1">
    <w:name w:val="Mention1"/>
    <w:basedOn w:val="DefaultParagraphFont"/>
    <w:uiPriority w:val="99"/>
    <w:unhideWhenUsed/>
    <w:rsid w:val="000E4822"/>
    <w:rPr>
      <w:color w:val="2B579A"/>
      <w:shd w:val="clear" w:color="auto" w:fill="E1DFDD"/>
    </w:rPr>
  </w:style>
  <w:style w:type="paragraph" w:styleId="Revision">
    <w:name w:val="Revision"/>
    <w:hidden/>
    <w:uiPriority w:val="99"/>
    <w:semiHidden/>
    <w:rsid w:val="000E4822"/>
    <w:pPr>
      <w:spacing w:after="0" w:line="240" w:lineRule="auto"/>
    </w:pPr>
    <w:rPr>
      <w:sz w:val="24"/>
      <w:szCs w:val="24"/>
    </w:rPr>
  </w:style>
  <w:style w:type="paragraph" w:customStyle="1" w:styleId="TableParagraph">
    <w:name w:val="Table Paragraph"/>
    <w:basedOn w:val="Normal"/>
    <w:uiPriority w:val="1"/>
    <w:qFormat/>
    <w:rsid w:val="000E4822"/>
    <w:pPr>
      <w:widowControl w:val="0"/>
      <w:spacing w:after="0" w:line="268" w:lineRule="exact"/>
      <w:ind w:left="108"/>
    </w:pPr>
    <w:rPr>
      <w:rFonts w:ascii="Calibri" w:eastAsia="Times New Roman" w:hAnsi="Calibri" w:cs="Calibri"/>
      <w:sz w:val="24"/>
      <w:szCs w:val="24"/>
    </w:rPr>
  </w:style>
  <w:style w:type="table" w:customStyle="1" w:styleId="TableGrid1">
    <w:name w:val="Table Grid1"/>
    <w:basedOn w:val="TableNormal"/>
    <w:next w:val="TableGrid"/>
    <w:uiPriority w:val="39"/>
    <w:rsid w:val="000E4822"/>
    <w:pPr>
      <w:spacing w:after="0" w:line="240" w:lineRule="auto"/>
    </w:pPr>
    <w:tblPr/>
  </w:style>
  <w:style w:type="paragraph" w:styleId="EndnoteText">
    <w:name w:val="endnote text"/>
    <w:basedOn w:val="Normal"/>
    <w:link w:val="EndnoteTextChar"/>
    <w:uiPriority w:val="99"/>
    <w:semiHidden/>
    <w:unhideWhenUsed/>
    <w:rsid w:val="000E48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4822"/>
    <w:rPr>
      <w:sz w:val="20"/>
      <w:szCs w:val="20"/>
      <w:lang w:val="fr-FR"/>
    </w:rPr>
  </w:style>
  <w:style w:type="character" w:styleId="EndnoteReference">
    <w:name w:val="endnote reference"/>
    <w:basedOn w:val="DefaultParagraphFont"/>
    <w:uiPriority w:val="99"/>
    <w:semiHidden/>
    <w:unhideWhenUsed/>
    <w:rsid w:val="000E4822"/>
    <w:rPr>
      <w:vertAlign w:val="superscript"/>
    </w:rPr>
  </w:style>
  <w:style w:type="character" w:customStyle="1" w:styleId="normaltextrun">
    <w:name w:val="normaltextrun"/>
    <w:basedOn w:val="DefaultParagraphFont"/>
    <w:rsid w:val="000E4822"/>
  </w:style>
  <w:style w:type="character" w:customStyle="1" w:styleId="eop">
    <w:name w:val="eop"/>
    <w:basedOn w:val="DefaultParagraphFont"/>
    <w:rsid w:val="000E4822"/>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 Char,fn,Fußnote,9 pt,ft,Footnotes,Footnote "/>
    <w:basedOn w:val="Normal"/>
    <w:link w:val="FootnoteTextChar1"/>
    <w:uiPriority w:val="99"/>
    <w:unhideWhenUsed/>
    <w:qFormat/>
    <w:rsid w:val="000E4822"/>
    <w:pPr>
      <w:spacing w:after="0" w:line="240" w:lineRule="auto"/>
    </w:pPr>
    <w:rPr>
      <w:sz w:val="20"/>
      <w:szCs w:val="20"/>
    </w:rPr>
  </w:style>
  <w:style w:type="character" w:customStyle="1" w:styleId="FootnoteTextChar1">
    <w:name w:val="Footnote Text Char1"/>
    <w:aliases w:val="Footnote Text Char1 Char Char1,Footnote Text Char Char Char Char1,Fußnotentext Char Char1 Char Char Char1,Fußnotentext Char1 Char1 Char Char Char Char1,Fußnotentext Char Char Char Char Char Char Char1 Char1,fn Char,Fußnote Char"/>
    <w:basedOn w:val="DefaultParagraphFont"/>
    <w:link w:val="FootnoteText"/>
    <w:uiPriority w:val="99"/>
    <w:rsid w:val="000E4822"/>
    <w:rPr>
      <w:sz w:val="20"/>
      <w:szCs w:val="20"/>
    </w:rPr>
  </w:style>
  <w:style w:type="character" w:styleId="Hyperlink">
    <w:name w:val="Hyperlink"/>
    <w:aliases w:val="Hyperlink CE Delft,toc 2,TOC 21"/>
    <w:basedOn w:val="DefaultParagraphFont"/>
    <w:uiPriority w:val="99"/>
    <w:unhideWhenUsed/>
    <w:rsid w:val="000E4822"/>
    <w:rPr>
      <w:color w:val="467886" w:themeColor="hyperlink"/>
      <w:u w:val="single"/>
    </w:rPr>
  </w:style>
  <w:style w:type="character" w:styleId="FollowedHyperlink">
    <w:name w:val="FollowedHyperlink"/>
    <w:basedOn w:val="DefaultParagraphFont"/>
    <w:uiPriority w:val="99"/>
    <w:semiHidden/>
    <w:unhideWhenUsed/>
    <w:rsid w:val="000E4822"/>
    <w:rPr>
      <w:color w:val="96607D" w:themeColor="followedHyperlink"/>
      <w:u w:val="single"/>
    </w:rPr>
  </w:style>
  <w:style w:type="paragraph" w:styleId="ListNumber2">
    <w:name w:val="List Number 2"/>
    <w:basedOn w:val="Normal"/>
    <w:uiPriority w:val="30"/>
    <w:rsid w:val="00B02F61"/>
    <w:p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Default">
    <w:name w:val="Default"/>
    <w:rsid w:val="00D55D6C"/>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6528F"/>
    <w:pPr>
      <w:spacing w:line="240" w:lineRule="exact"/>
      <w:jc w:val="both"/>
    </w:pPr>
    <w:rPr>
      <w:vertAlign w:val="superscript"/>
    </w:rPr>
  </w:style>
  <w:style w:type="paragraph" w:styleId="NormalWeb">
    <w:name w:val="Normal (Web)"/>
    <w:basedOn w:val="Normal"/>
    <w:uiPriority w:val="99"/>
    <w:semiHidden/>
    <w:unhideWhenUsed/>
    <w:rsid w:val="004668D9"/>
    <w:rPr>
      <w:rFonts w:ascii="Times New Roman" w:hAnsi="Times New Roman" w:cs="Times New Roman"/>
      <w:sz w:val="24"/>
      <w:szCs w:val="24"/>
    </w:rPr>
  </w:style>
  <w:style w:type="paragraph" w:customStyle="1" w:styleId="Disclaimer">
    <w:name w:val="Disclaimer"/>
    <w:basedOn w:val="Normal"/>
    <w:rsid w:val="006B50E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B50E8"/>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B50E8"/>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B50E8"/>
    <w:pPr>
      <w:spacing w:after="0" w:line="276" w:lineRule="auto"/>
      <w:ind w:left="5103"/>
    </w:pPr>
    <w:rPr>
      <w:rFonts w:ascii="Times New Roman" w:hAnsi="Times New Roman" w:cs="Times New Roman"/>
      <w:i/>
      <w:kern w:val="0"/>
      <w:sz w:val="28"/>
      <w14:ligatures w14:val="none"/>
    </w:rPr>
  </w:style>
  <w:style w:type="character" w:customStyle="1" w:styleId="UnresolvedMention">
    <w:name w:val="Unresolved Mention"/>
    <w:basedOn w:val="DefaultParagraphFont"/>
    <w:uiPriority w:val="99"/>
    <w:semiHidden/>
    <w:unhideWhenUsed/>
    <w:rsid w:val="00BC0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66870">
      <w:bodyDiv w:val="1"/>
      <w:marLeft w:val="0"/>
      <w:marRight w:val="0"/>
      <w:marTop w:val="0"/>
      <w:marBottom w:val="0"/>
      <w:divBdr>
        <w:top w:val="none" w:sz="0" w:space="0" w:color="auto"/>
        <w:left w:val="none" w:sz="0" w:space="0" w:color="auto"/>
        <w:bottom w:val="none" w:sz="0" w:space="0" w:color="auto"/>
        <w:right w:val="none" w:sz="0" w:space="0" w:color="auto"/>
      </w:divBdr>
    </w:div>
    <w:div w:id="134759633">
      <w:bodyDiv w:val="1"/>
      <w:marLeft w:val="0"/>
      <w:marRight w:val="0"/>
      <w:marTop w:val="0"/>
      <w:marBottom w:val="0"/>
      <w:divBdr>
        <w:top w:val="none" w:sz="0" w:space="0" w:color="auto"/>
        <w:left w:val="none" w:sz="0" w:space="0" w:color="auto"/>
        <w:bottom w:val="none" w:sz="0" w:space="0" w:color="auto"/>
        <w:right w:val="none" w:sz="0" w:space="0" w:color="auto"/>
      </w:divBdr>
    </w:div>
    <w:div w:id="151263681">
      <w:bodyDiv w:val="1"/>
      <w:marLeft w:val="0"/>
      <w:marRight w:val="0"/>
      <w:marTop w:val="0"/>
      <w:marBottom w:val="0"/>
      <w:divBdr>
        <w:top w:val="none" w:sz="0" w:space="0" w:color="auto"/>
        <w:left w:val="none" w:sz="0" w:space="0" w:color="auto"/>
        <w:bottom w:val="none" w:sz="0" w:space="0" w:color="auto"/>
        <w:right w:val="none" w:sz="0" w:space="0" w:color="auto"/>
      </w:divBdr>
    </w:div>
    <w:div w:id="235630383">
      <w:bodyDiv w:val="1"/>
      <w:marLeft w:val="0"/>
      <w:marRight w:val="0"/>
      <w:marTop w:val="0"/>
      <w:marBottom w:val="0"/>
      <w:divBdr>
        <w:top w:val="none" w:sz="0" w:space="0" w:color="auto"/>
        <w:left w:val="none" w:sz="0" w:space="0" w:color="auto"/>
        <w:bottom w:val="none" w:sz="0" w:space="0" w:color="auto"/>
        <w:right w:val="none" w:sz="0" w:space="0" w:color="auto"/>
      </w:divBdr>
    </w:div>
    <w:div w:id="316307163">
      <w:bodyDiv w:val="1"/>
      <w:marLeft w:val="0"/>
      <w:marRight w:val="0"/>
      <w:marTop w:val="0"/>
      <w:marBottom w:val="0"/>
      <w:divBdr>
        <w:top w:val="none" w:sz="0" w:space="0" w:color="auto"/>
        <w:left w:val="none" w:sz="0" w:space="0" w:color="auto"/>
        <w:bottom w:val="none" w:sz="0" w:space="0" w:color="auto"/>
        <w:right w:val="none" w:sz="0" w:space="0" w:color="auto"/>
      </w:divBdr>
    </w:div>
    <w:div w:id="388529466">
      <w:bodyDiv w:val="1"/>
      <w:marLeft w:val="0"/>
      <w:marRight w:val="0"/>
      <w:marTop w:val="0"/>
      <w:marBottom w:val="0"/>
      <w:divBdr>
        <w:top w:val="none" w:sz="0" w:space="0" w:color="auto"/>
        <w:left w:val="none" w:sz="0" w:space="0" w:color="auto"/>
        <w:bottom w:val="none" w:sz="0" w:space="0" w:color="auto"/>
        <w:right w:val="none" w:sz="0" w:space="0" w:color="auto"/>
      </w:divBdr>
    </w:div>
    <w:div w:id="486091493">
      <w:bodyDiv w:val="1"/>
      <w:marLeft w:val="0"/>
      <w:marRight w:val="0"/>
      <w:marTop w:val="0"/>
      <w:marBottom w:val="0"/>
      <w:divBdr>
        <w:top w:val="none" w:sz="0" w:space="0" w:color="auto"/>
        <w:left w:val="none" w:sz="0" w:space="0" w:color="auto"/>
        <w:bottom w:val="none" w:sz="0" w:space="0" w:color="auto"/>
        <w:right w:val="none" w:sz="0" w:space="0" w:color="auto"/>
      </w:divBdr>
    </w:div>
    <w:div w:id="522402074">
      <w:bodyDiv w:val="1"/>
      <w:marLeft w:val="0"/>
      <w:marRight w:val="0"/>
      <w:marTop w:val="0"/>
      <w:marBottom w:val="0"/>
      <w:divBdr>
        <w:top w:val="none" w:sz="0" w:space="0" w:color="auto"/>
        <w:left w:val="none" w:sz="0" w:space="0" w:color="auto"/>
        <w:bottom w:val="none" w:sz="0" w:space="0" w:color="auto"/>
        <w:right w:val="none" w:sz="0" w:space="0" w:color="auto"/>
      </w:divBdr>
    </w:div>
    <w:div w:id="529151240">
      <w:bodyDiv w:val="1"/>
      <w:marLeft w:val="0"/>
      <w:marRight w:val="0"/>
      <w:marTop w:val="0"/>
      <w:marBottom w:val="0"/>
      <w:divBdr>
        <w:top w:val="none" w:sz="0" w:space="0" w:color="auto"/>
        <w:left w:val="none" w:sz="0" w:space="0" w:color="auto"/>
        <w:bottom w:val="none" w:sz="0" w:space="0" w:color="auto"/>
        <w:right w:val="none" w:sz="0" w:space="0" w:color="auto"/>
      </w:divBdr>
    </w:div>
    <w:div w:id="582375121">
      <w:bodyDiv w:val="1"/>
      <w:marLeft w:val="0"/>
      <w:marRight w:val="0"/>
      <w:marTop w:val="0"/>
      <w:marBottom w:val="0"/>
      <w:divBdr>
        <w:top w:val="none" w:sz="0" w:space="0" w:color="auto"/>
        <w:left w:val="none" w:sz="0" w:space="0" w:color="auto"/>
        <w:bottom w:val="none" w:sz="0" w:space="0" w:color="auto"/>
        <w:right w:val="none" w:sz="0" w:space="0" w:color="auto"/>
      </w:divBdr>
    </w:div>
    <w:div w:id="597568264">
      <w:bodyDiv w:val="1"/>
      <w:marLeft w:val="0"/>
      <w:marRight w:val="0"/>
      <w:marTop w:val="0"/>
      <w:marBottom w:val="0"/>
      <w:divBdr>
        <w:top w:val="none" w:sz="0" w:space="0" w:color="auto"/>
        <w:left w:val="none" w:sz="0" w:space="0" w:color="auto"/>
        <w:bottom w:val="none" w:sz="0" w:space="0" w:color="auto"/>
        <w:right w:val="none" w:sz="0" w:space="0" w:color="auto"/>
      </w:divBdr>
      <w:divsChild>
        <w:div w:id="90049637">
          <w:marLeft w:val="0"/>
          <w:marRight w:val="0"/>
          <w:marTop w:val="0"/>
          <w:marBottom w:val="0"/>
          <w:divBdr>
            <w:top w:val="none" w:sz="0" w:space="0" w:color="auto"/>
            <w:left w:val="none" w:sz="0" w:space="0" w:color="auto"/>
            <w:bottom w:val="none" w:sz="0" w:space="0" w:color="auto"/>
            <w:right w:val="none" w:sz="0" w:space="0" w:color="auto"/>
          </w:divBdr>
        </w:div>
        <w:div w:id="232544997">
          <w:marLeft w:val="0"/>
          <w:marRight w:val="0"/>
          <w:marTop w:val="0"/>
          <w:marBottom w:val="0"/>
          <w:divBdr>
            <w:top w:val="none" w:sz="0" w:space="0" w:color="auto"/>
            <w:left w:val="none" w:sz="0" w:space="0" w:color="auto"/>
            <w:bottom w:val="none" w:sz="0" w:space="0" w:color="auto"/>
            <w:right w:val="none" w:sz="0" w:space="0" w:color="auto"/>
          </w:divBdr>
        </w:div>
        <w:div w:id="563830835">
          <w:marLeft w:val="0"/>
          <w:marRight w:val="0"/>
          <w:marTop w:val="0"/>
          <w:marBottom w:val="0"/>
          <w:divBdr>
            <w:top w:val="none" w:sz="0" w:space="0" w:color="auto"/>
            <w:left w:val="none" w:sz="0" w:space="0" w:color="auto"/>
            <w:bottom w:val="none" w:sz="0" w:space="0" w:color="auto"/>
            <w:right w:val="none" w:sz="0" w:space="0" w:color="auto"/>
          </w:divBdr>
        </w:div>
        <w:div w:id="1252663593">
          <w:marLeft w:val="0"/>
          <w:marRight w:val="0"/>
          <w:marTop w:val="0"/>
          <w:marBottom w:val="0"/>
          <w:divBdr>
            <w:top w:val="none" w:sz="0" w:space="0" w:color="auto"/>
            <w:left w:val="none" w:sz="0" w:space="0" w:color="auto"/>
            <w:bottom w:val="none" w:sz="0" w:space="0" w:color="auto"/>
            <w:right w:val="none" w:sz="0" w:space="0" w:color="auto"/>
          </w:divBdr>
        </w:div>
        <w:div w:id="1253005427">
          <w:marLeft w:val="0"/>
          <w:marRight w:val="0"/>
          <w:marTop w:val="0"/>
          <w:marBottom w:val="0"/>
          <w:divBdr>
            <w:top w:val="none" w:sz="0" w:space="0" w:color="auto"/>
            <w:left w:val="none" w:sz="0" w:space="0" w:color="auto"/>
            <w:bottom w:val="none" w:sz="0" w:space="0" w:color="auto"/>
            <w:right w:val="none" w:sz="0" w:space="0" w:color="auto"/>
          </w:divBdr>
        </w:div>
        <w:div w:id="1361708416">
          <w:marLeft w:val="0"/>
          <w:marRight w:val="0"/>
          <w:marTop w:val="0"/>
          <w:marBottom w:val="0"/>
          <w:divBdr>
            <w:top w:val="none" w:sz="0" w:space="0" w:color="auto"/>
            <w:left w:val="none" w:sz="0" w:space="0" w:color="auto"/>
            <w:bottom w:val="none" w:sz="0" w:space="0" w:color="auto"/>
            <w:right w:val="none" w:sz="0" w:space="0" w:color="auto"/>
          </w:divBdr>
        </w:div>
        <w:div w:id="1529756960">
          <w:marLeft w:val="0"/>
          <w:marRight w:val="0"/>
          <w:marTop w:val="0"/>
          <w:marBottom w:val="0"/>
          <w:divBdr>
            <w:top w:val="none" w:sz="0" w:space="0" w:color="auto"/>
            <w:left w:val="none" w:sz="0" w:space="0" w:color="auto"/>
            <w:bottom w:val="none" w:sz="0" w:space="0" w:color="auto"/>
            <w:right w:val="none" w:sz="0" w:space="0" w:color="auto"/>
          </w:divBdr>
        </w:div>
        <w:div w:id="1696997059">
          <w:marLeft w:val="0"/>
          <w:marRight w:val="0"/>
          <w:marTop w:val="0"/>
          <w:marBottom w:val="0"/>
          <w:divBdr>
            <w:top w:val="none" w:sz="0" w:space="0" w:color="auto"/>
            <w:left w:val="none" w:sz="0" w:space="0" w:color="auto"/>
            <w:bottom w:val="none" w:sz="0" w:space="0" w:color="auto"/>
            <w:right w:val="none" w:sz="0" w:space="0" w:color="auto"/>
          </w:divBdr>
        </w:div>
        <w:div w:id="1736395918">
          <w:marLeft w:val="0"/>
          <w:marRight w:val="0"/>
          <w:marTop w:val="0"/>
          <w:marBottom w:val="0"/>
          <w:divBdr>
            <w:top w:val="none" w:sz="0" w:space="0" w:color="auto"/>
            <w:left w:val="none" w:sz="0" w:space="0" w:color="auto"/>
            <w:bottom w:val="none" w:sz="0" w:space="0" w:color="auto"/>
            <w:right w:val="none" w:sz="0" w:space="0" w:color="auto"/>
          </w:divBdr>
        </w:div>
        <w:div w:id="1741519317">
          <w:marLeft w:val="0"/>
          <w:marRight w:val="0"/>
          <w:marTop w:val="0"/>
          <w:marBottom w:val="0"/>
          <w:divBdr>
            <w:top w:val="none" w:sz="0" w:space="0" w:color="auto"/>
            <w:left w:val="none" w:sz="0" w:space="0" w:color="auto"/>
            <w:bottom w:val="none" w:sz="0" w:space="0" w:color="auto"/>
            <w:right w:val="none" w:sz="0" w:space="0" w:color="auto"/>
          </w:divBdr>
        </w:div>
        <w:div w:id="1748723450">
          <w:marLeft w:val="0"/>
          <w:marRight w:val="0"/>
          <w:marTop w:val="0"/>
          <w:marBottom w:val="0"/>
          <w:divBdr>
            <w:top w:val="none" w:sz="0" w:space="0" w:color="auto"/>
            <w:left w:val="none" w:sz="0" w:space="0" w:color="auto"/>
            <w:bottom w:val="none" w:sz="0" w:space="0" w:color="auto"/>
            <w:right w:val="none" w:sz="0" w:space="0" w:color="auto"/>
          </w:divBdr>
        </w:div>
        <w:div w:id="1817990532">
          <w:marLeft w:val="0"/>
          <w:marRight w:val="0"/>
          <w:marTop w:val="0"/>
          <w:marBottom w:val="0"/>
          <w:divBdr>
            <w:top w:val="none" w:sz="0" w:space="0" w:color="auto"/>
            <w:left w:val="none" w:sz="0" w:space="0" w:color="auto"/>
            <w:bottom w:val="none" w:sz="0" w:space="0" w:color="auto"/>
            <w:right w:val="none" w:sz="0" w:space="0" w:color="auto"/>
          </w:divBdr>
        </w:div>
        <w:div w:id="1824619554">
          <w:marLeft w:val="0"/>
          <w:marRight w:val="0"/>
          <w:marTop w:val="0"/>
          <w:marBottom w:val="0"/>
          <w:divBdr>
            <w:top w:val="none" w:sz="0" w:space="0" w:color="auto"/>
            <w:left w:val="none" w:sz="0" w:space="0" w:color="auto"/>
            <w:bottom w:val="none" w:sz="0" w:space="0" w:color="auto"/>
            <w:right w:val="none" w:sz="0" w:space="0" w:color="auto"/>
          </w:divBdr>
        </w:div>
        <w:div w:id="1885096854">
          <w:marLeft w:val="0"/>
          <w:marRight w:val="0"/>
          <w:marTop w:val="0"/>
          <w:marBottom w:val="0"/>
          <w:divBdr>
            <w:top w:val="none" w:sz="0" w:space="0" w:color="auto"/>
            <w:left w:val="none" w:sz="0" w:space="0" w:color="auto"/>
            <w:bottom w:val="none" w:sz="0" w:space="0" w:color="auto"/>
            <w:right w:val="none" w:sz="0" w:space="0" w:color="auto"/>
          </w:divBdr>
        </w:div>
        <w:div w:id="1996058820">
          <w:marLeft w:val="0"/>
          <w:marRight w:val="0"/>
          <w:marTop w:val="0"/>
          <w:marBottom w:val="0"/>
          <w:divBdr>
            <w:top w:val="none" w:sz="0" w:space="0" w:color="auto"/>
            <w:left w:val="none" w:sz="0" w:space="0" w:color="auto"/>
            <w:bottom w:val="none" w:sz="0" w:space="0" w:color="auto"/>
            <w:right w:val="none" w:sz="0" w:space="0" w:color="auto"/>
          </w:divBdr>
        </w:div>
        <w:div w:id="2009360337">
          <w:marLeft w:val="0"/>
          <w:marRight w:val="0"/>
          <w:marTop w:val="0"/>
          <w:marBottom w:val="0"/>
          <w:divBdr>
            <w:top w:val="none" w:sz="0" w:space="0" w:color="auto"/>
            <w:left w:val="none" w:sz="0" w:space="0" w:color="auto"/>
            <w:bottom w:val="none" w:sz="0" w:space="0" w:color="auto"/>
            <w:right w:val="none" w:sz="0" w:space="0" w:color="auto"/>
          </w:divBdr>
        </w:div>
        <w:div w:id="2010910049">
          <w:marLeft w:val="0"/>
          <w:marRight w:val="0"/>
          <w:marTop w:val="0"/>
          <w:marBottom w:val="0"/>
          <w:divBdr>
            <w:top w:val="none" w:sz="0" w:space="0" w:color="auto"/>
            <w:left w:val="none" w:sz="0" w:space="0" w:color="auto"/>
            <w:bottom w:val="none" w:sz="0" w:space="0" w:color="auto"/>
            <w:right w:val="none" w:sz="0" w:space="0" w:color="auto"/>
          </w:divBdr>
        </w:div>
      </w:divsChild>
    </w:div>
    <w:div w:id="766971169">
      <w:bodyDiv w:val="1"/>
      <w:marLeft w:val="0"/>
      <w:marRight w:val="0"/>
      <w:marTop w:val="0"/>
      <w:marBottom w:val="0"/>
      <w:divBdr>
        <w:top w:val="none" w:sz="0" w:space="0" w:color="auto"/>
        <w:left w:val="none" w:sz="0" w:space="0" w:color="auto"/>
        <w:bottom w:val="none" w:sz="0" w:space="0" w:color="auto"/>
        <w:right w:val="none" w:sz="0" w:space="0" w:color="auto"/>
      </w:divBdr>
    </w:div>
    <w:div w:id="788938798">
      <w:bodyDiv w:val="1"/>
      <w:marLeft w:val="0"/>
      <w:marRight w:val="0"/>
      <w:marTop w:val="0"/>
      <w:marBottom w:val="0"/>
      <w:divBdr>
        <w:top w:val="none" w:sz="0" w:space="0" w:color="auto"/>
        <w:left w:val="none" w:sz="0" w:space="0" w:color="auto"/>
        <w:bottom w:val="none" w:sz="0" w:space="0" w:color="auto"/>
        <w:right w:val="none" w:sz="0" w:space="0" w:color="auto"/>
      </w:divBdr>
    </w:div>
    <w:div w:id="922645093">
      <w:bodyDiv w:val="1"/>
      <w:marLeft w:val="0"/>
      <w:marRight w:val="0"/>
      <w:marTop w:val="0"/>
      <w:marBottom w:val="0"/>
      <w:divBdr>
        <w:top w:val="none" w:sz="0" w:space="0" w:color="auto"/>
        <w:left w:val="none" w:sz="0" w:space="0" w:color="auto"/>
        <w:bottom w:val="none" w:sz="0" w:space="0" w:color="auto"/>
        <w:right w:val="none" w:sz="0" w:space="0" w:color="auto"/>
      </w:divBdr>
    </w:div>
    <w:div w:id="1043287802">
      <w:bodyDiv w:val="1"/>
      <w:marLeft w:val="0"/>
      <w:marRight w:val="0"/>
      <w:marTop w:val="0"/>
      <w:marBottom w:val="0"/>
      <w:divBdr>
        <w:top w:val="none" w:sz="0" w:space="0" w:color="auto"/>
        <w:left w:val="none" w:sz="0" w:space="0" w:color="auto"/>
        <w:bottom w:val="none" w:sz="0" w:space="0" w:color="auto"/>
        <w:right w:val="none" w:sz="0" w:space="0" w:color="auto"/>
      </w:divBdr>
    </w:div>
    <w:div w:id="1053381808">
      <w:bodyDiv w:val="1"/>
      <w:marLeft w:val="0"/>
      <w:marRight w:val="0"/>
      <w:marTop w:val="0"/>
      <w:marBottom w:val="0"/>
      <w:divBdr>
        <w:top w:val="none" w:sz="0" w:space="0" w:color="auto"/>
        <w:left w:val="none" w:sz="0" w:space="0" w:color="auto"/>
        <w:bottom w:val="none" w:sz="0" w:space="0" w:color="auto"/>
        <w:right w:val="none" w:sz="0" w:space="0" w:color="auto"/>
      </w:divBdr>
    </w:div>
    <w:div w:id="1264802066">
      <w:bodyDiv w:val="1"/>
      <w:marLeft w:val="0"/>
      <w:marRight w:val="0"/>
      <w:marTop w:val="0"/>
      <w:marBottom w:val="0"/>
      <w:divBdr>
        <w:top w:val="none" w:sz="0" w:space="0" w:color="auto"/>
        <w:left w:val="none" w:sz="0" w:space="0" w:color="auto"/>
        <w:bottom w:val="none" w:sz="0" w:space="0" w:color="auto"/>
        <w:right w:val="none" w:sz="0" w:space="0" w:color="auto"/>
      </w:divBdr>
    </w:div>
    <w:div w:id="1317681882">
      <w:bodyDiv w:val="1"/>
      <w:marLeft w:val="0"/>
      <w:marRight w:val="0"/>
      <w:marTop w:val="0"/>
      <w:marBottom w:val="0"/>
      <w:divBdr>
        <w:top w:val="none" w:sz="0" w:space="0" w:color="auto"/>
        <w:left w:val="none" w:sz="0" w:space="0" w:color="auto"/>
        <w:bottom w:val="none" w:sz="0" w:space="0" w:color="auto"/>
        <w:right w:val="none" w:sz="0" w:space="0" w:color="auto"/>
      </w:divBdr>
    </w:div>
    <w:div w:id="1353608288">
      <w:bodyDiv w:val="1"/>
      <w:marLeft w:val="0"/>
      <w:marRight w:val="0"/>
      <w:marTop w:val="0"/>
      <w:marBottom w:val="0"/>
      <w:divBdr>
        <w:top w:val="none" w:sz="0" w:space="0" w:color="auto"/>
        <w:left w:val="none" w:sz="0" w:space="0" w:color="auto"/>
        <w:bottom w:val="none" w:sz="0" w:space="0" w:color="auto"/>
        <w:right w:val="none" w:sz="0" w:space="0" w:color="auto"/>
      </w:divBdr>
    </w:div>
    <w:div w:id="1366832780">
      <w:bodyDiv w:val="1"/>
      <w:marLeft w:val="0"/>
      <w:marRight w:val="0"/>
      <w:marTop w:val="0"/>
      <w:marBottom w:val="0"/>
      <w:divBdr>
        <w:top w:val="none" w:sz="0" w:space="0" w:color="auto"/>
        <w:left w:val="none" w:sz="0" w:space="0" w:color="auto"/>
        <w:bottom w:val="none" w:sz="0" w:space="0" w:color="auto"/>
        <w:right w:val="none" w:sz="0" w:space="0" w:color="auto"/>
      </w:divBdr>
    </w:div>
    <w:div w:id="1411805054">
      <w:bodyDiv w:val="1"/>
      <w:marLeft w:val="0"/>
      <w:marRight w:val="0"/>
      <w:marTop w:val="0"/>
      <w:marBottom w:val="0"/>
      <w:divBdr>
        <w:top w:val="none" w:sz="0" w:space="0" w:color="auto"/>
        <w:left w:val="none" w:sz="0" w:space="0" w:color="auto"/>
        <w:bottom w:val="none" w:sz="0" w:space="0" w:color="auto"/>
        <w:right w:val="none" w:sz="0" w:space="0" w:color="auto"/>
      </w:divBdr>
    </w:div>
    <w:div w:id="1680768783">
      <w:bodyDiv w:val="1"/>
      <w:marLeft w:val="0"/>
      <w:marRight w:val="0"/>
      <w:marTop w:val="0"/>
      <w:marBottom w:val="0"/>
      <w:divBdr>
        <w:top w:val="none" w:sz="0" w:space="0" w:color="auto"/>
        <w:left w:val="none" w:sz="0" w:space="0" w:color="auto"/>
        <w:bottom w:val="none" w:sz="0" w:space="0" w:color="auto"/>
        <w:right w:val="none" w:sz="0" w:space="0" w:color="auto"/>
      </w:divBdr>
    </w:div>
    <w:div w:id="1776944127">
      <w:bodyDiv w:val="1"/>
      <w:marLeft w:val="0"/>
      <w:marRight w:val="0"/>
      <w:marTop w:val="0"/>
      <w:marBottom w:val="0"/>
      <w:divBdr>
        <w:top w:val="none" w:sz="0" w:space="0" w:color="auto"/>
        <w:left w:val="none" w:sz="0" w:space="0" w:color="auto"/>
        <w:bottom w:val="none" w:sz="0" w:space="0" w:color="auto"/>
        <w:right w:val="none" w:sz="0" w:space="0" w:color="auto"/>
      </w:divBdr>
    </w:div>
    <w:div w:id="1843934970">
      <w:bodyDiv w:val="1"/>
      <w:marLeft w:val="0"/>
      <w:marRight w:val="0"/>
      <w:marTop w:val="0"/>
      <w:marBottom w:val="0"/>
      <w:divBdr>
        <w:top w:val="none" w:sz="0" w:space="0" w:color="auto"/>
        <w:left w:val="none" w:sz="0" w:space="0" w:color="auto"/>
        <w:bottom w:val="none" w:sz="0" w:space="0" w:color="auto"/>
        <w:right w:val="none" w:sz="0" w:space="0" w:color="auto"/>
      </w:divBdr>
    </w:div>
    <w:div w:id="1854757369">
      <w:bodyDiv w:val="1"/>
      <w:marLeft w:val="0"/>
      <w:marRight w:val="0"/>
      <w:marTop w:val="0"/>
      <w:marBottom w:val="0"/>
      <w:divBdr>
        <w:top w:val="none" w:sz="0" w:space="0" w:color="auto"/>
        <w:left w:val="none" w:sz="0" w:space="0" w:color="auto"/>
        <w:bottom w:val="none" w:sz="0" w:space="0" w:color="auto"/>
        <w:right w:val="none" w:sz="0" w:space="0" w:color="auto"/>
      </w:divBdr>
    </w:div>
    <w:div w:id="2035113631">
      <w:bodyDiv w:val="1"/>
      <w:marLeft w:val="0"/>
      <w:marRight w:val="0"/>
      <w:marTop w:val="0"/>
      <w:marBottom w:val="0"/>
      <w:divBdr>
        <w:top w:val="none" w:sz="0" w:space="0" w:color="auto"/>
        <w:left w:val="none" w:sz="0" w:space="0" w:color="auto"/>
        <w:bottom w:val="none" w:sz="0" w:space="0" w:color="auto"/>
        <w:right w:val="none" w:sz="0" w:space="0" w:color="auto"/>
      </w:divBdr>
    </w:div>
    <w:div w:id="214330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google.com/search?q=Global+Navigation+Satellite+Systems&amp;rlz=1C1GCEB_enNL1153NL1153&amp;oq=GNSS&amp;gs_lcrp=EgZjaHJvbWUyBggAEEUYOdIBCTIzNjVqMGoxNagCCLACAQ&amp;sourceid=chrome&amp;ie=UTF-8&amp;ved=2ahUKEwjVqYai8-ySAxUw_rsIHRTOGiwQgK4QegYIAQgAEAQ"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edic" TargetMode="External"/><Relationship Id="rId13" Type="http://schemas.openxmlformats.org/officeDocument/2006/relationships/hyperlink" Target="https://www.clean-hydrogen.europa.eu/media/publications/study-hydrogen-ports-and-industrial-coastal-areas-reports_en" TargetMode="External"/><Relationship Id="rId18" Type="http://schemas.openxmlformats.org/officeDocument/2006/relationships/hyperlink" Target="https://eur-lex.europa.eu/eli/reg/2021/1119/oj?eliuri=eli%3Areg%3A2021%3A1119%3Aoj&amp;locale=fr" TargetMode="External"/><Relationship Id="rId3" Type="http://schemas.openxmlformats.org/officeDocument/2006/relationships/hyperlink" Target="https://ec.europa.eu/info/law/better-regulation/have-your-say/initiatives/14659-Strategie-portuaire-de-lUE_fr" TargetMode="External"/><Relationship Id="rId21" Type="http://schemas.openxmlformats.org/officeDocument/2006/relationships/hyperlink" Target="https://www.emsa.europa.eu/publications/inventories/download/7660/5074/23.html" TargetMode="External"/><Relationship Id="rId7" Type="http://schemas.openxmlformats.org/officeDocument/2006/relationships/hyperlink" Target="http://data.europa.eu/eli/reg_impl/2017/2177/oj" TargetMode="External"/><Relationship Id="rId12" Type="http://schemas.openxmlformats.org/officeDocument/2006/relationships/hyperlink" Target="http://data.europa.eu/eli/reg/2023/1804/oj" TargetMode="External"/><Relationship Id="rId17" Type="http://schemas.openxmlformats.org/officeDocument/2006/relationships/hyperlink" Target="https://www.eea.europa.eu/en/analysis/publications/maritime-transport-2025" TargetMode="External"/><Relationship Id="rId25" Type="http://schemas.openxmlformats.org/officeDocument/2006/relationships/hyperlink" Target="http://data.europa.eu/eli/dir/2024/3099/oj" TargetMode="External"/><Relationship Id="rId2" Type="http://schemas.openxmlformats.org/officeDocument/2006/relationships/hyperlink" Target="https://data.europa.eu/doi/10.2771/2333701" TargetMode="External"/><Relationship Id="rId16" Type="http://schemas.openxmlformats.org/officeDocument/2006/relationships/hyperlink" Target="http://data.europa.eu/eli/dir/2000/60/oj" TargetMode="External"/><Relationship Id="rId20" Type="http://schemas.openxmlformats.org/officeDocument/2006/relationships/hyperlink" Target="https://www.enisa.europa.eu/publications/guidelines-cyber-risk-management-for-ports" TargetMode="External"/><Relationship Id="rId1" Type="http://schemas.openxmlformats.org/officeDocument/2006/relationships/hyperlink" Target="https://ec.europa.eu/eurostat/statistics-explained/index.php?title=Maritime_transport_of_goods_-_annual_data" TargetMode="External"/><Relationship Id="rId6" Type="http://schemas.openxmlformats.org/officeDocument/2006/relationships/hyperlink" Target="https://www.beacon.com/resources/global-port-congestion-2024-year-in-review" TargetMode="External"/><Relationship Id="rId11" Type="http://schemas.openxmlformats.org/officeDocument/2006/relationships/hyperlink" Target="https://data.europa.eu/doi/10.2833/7036399" TargetMode="External"/><Relationship Id="rId24" Type="http://schemas.openxmlformats.org/officeDocument/2006/relationships/hyperlink" Target="http://data.europa.eu/eli/dir/2024/3017/oj" TargetMode="External"/><Relationship Id="rId5" Type="http://schemas.openxmlformats.org/officeDocument/2006/relationships/hyperlink" Target="https://maritime-forum.ec.europa.eu/theme/investments/blueinvest_en" TargetMode="External"/><Relationship Id="rId15" Type="http://schemas.openxmlformats.org/officeDocument/2006/relationships/hyperlink" Target="http://data.europa.eu/eli/reg_del/2021/2139/oj" TargetMode="External"/><Relationship Id="rId23" Type="http://schemas.openxmlformats.org/officeDocument/2006/relationships/hyperlink" Target="https://www.eib.org/fr/index.htm" TargetMode="External"/><Relationship Id="rId10" Type="http://schemas.openxmlformats.org/officeDocument/2006/relationships/hyperlink" Target="https://www.espo.be/media/esp-0135_sustainability-report-2025.pdf" TargetMode="External"/><Relationship Id="rId19" Type="http://schemas.openxmlformats.org/officeDocument/2006/relationships/hyperlink" Target="http://data.europa.eu/eli/dir/2022/2557/oj" TargetMode="External"/><Relationship Id="rId4" Type="http://schemas.openxmlformats.org/officeDocument/2006/relationships/hyperlink" Target="https://single-market-economy.ec.europa.eu/single-market/goods/european-standards/standardisation-policy_fr" TargetMode="External"/><Relationship Id="rId9" Type="http://schemas.openxmlformats.org/officeDocument/2006/relationships/hyperlink" Target="http://data.europa.eu/eli/dec/2025/2630/oj" TargetMode="External"/><Relationship Id="rId14" Type="http://schemas.openxmlformats.org/officeDocument/2006/relationships/hyperlink" Target="https://data.europa.eu/doi/10.2832/3479075" TargetMode="External"/><Relationship Id="rId22" Type="http://schemas.openxmlformats.org/officeDocument/2006/relationships/hyperlink" Target="https://www.espo.be/media/ESP-3217_InvestmentStudyReport2024_L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D957C-2B0C-4C64-A5FE-C17FB6850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14</Pages>
  <Words>14598</Words>
  <Characters>83215</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97618</CharactersWithSpaces>
  <SharedDoc>false</SharedDoc>
  <HLinks>
    <vt:vector size="168" baseType="variant">
      <vt:variant>
        <vt:i4>3997765</vt:i4>
      </vt:variant>
      <vt:variant>
        <vt:i4>0</vt:i4>
      </vt:variant>
      <vt:variant>
        <vt:i4>0</vt:i4>
      </vt:variant>
      <vt:variant>
        <vt:i4>5</vt:i4>
      </vt:variant>
      <vt:variant>
        <vt:lpwstr>https://www.google.com/search?q=Global+Navigation+Satellite+Systems&amp;rlz=1C1GCEB_enNL1153NL1153&amp;oq=GNSS&amp;gs_lcrp=EgZjaHJvbWUyBggAEEUYOdIBCTIzNjVqMGoxNagCCLACAQ&amp;sourceid=chrome&amp;ie=UTF-8&amp;ved=2ahUKEwjVqYai8-ySAxUw_rsIHRTOGiwQgK4QegYIAQgAEAQ</vt:lpwstr>
      </vt:variant>
      <vt:variant>
        <vt:lpwstr/>
      </vt:variant>
      <vt:variant>
        <vt:i4>6946918</vt:i4>
      </vt:variant>
      <vt:variant>
        <vt:i4>75</vt:i4>
      </vt:variant>
      <vt:variant>
        <vt:i4>0</vt:i4>
      </vt:variant>
      <vt:variant>
        <vt:i4>5</vt:i4>
      </vt:variant>
      <vt:variant>
        <vt:lpwstr>http://data.europa.eu/eli/dir/2024/3099/oj</vt:lpwstr>
      </vt:variant>
      <vt:variant>
        <vt:lpwstr/>
      </vt:variant>
      <vt:variant>
        <vt:i4>6422632</vt:i4>
      </vt:variant>
      <vt:variant>
        <vt:i4>72</vt:i4>
      </vt:variant>
      <vt:variant>
        <vt:i4>0</vt:i4>
      </vt:variant>
      <vt:variant>
        <vt:i4>5</vt:i4>
      </vt:variant>
      <vt:variant>
        <vt:lpwstr>http://data.europa.eu/eli/dir/2024/3017/oj</vt:lpwstr>
      </vt:variant>
      <vt:variant>
        <vt:lpwstr/>
      </vt:variant>
      <vt:variant>
        <vt:i4>393230</vt:i4>
      </vt:variant>
      <vt:variant>
        <vt:i4>69</vt:i4>
      </vt:variant>
      <vt:variant>
        <vt:i4>0</vt:i4>
      </vt:variant>
      <vt:variant>
        <vt:i4>5</vt:i4>
      </vt:variant>
      <vt:variant>
        <vt:lpwstr>https://www.eib.org/en/products/index</vt:lpwstr>
      </vt:variant>
      <vt:variant>
        <vt:lpwstr/>
      </vt:variant>
      <vt:variant>
        <vt:i4>2949229</vt:i4>
      </vt:variant>
      <vt:variant>
        <vt:i4>66</vt:i4>
      </vt:variant>
      <vt:variant>
        <vt:i4>0</vt:i4>
      </vt:variant>
      <vt:variant>
        <vt:i4>5</vt:i4>
      </vt:variant>
      <vt:variant>
        <vt:lpwstr>https://www.espo.be/media/ESP-3217_InvestmentStudyReport2024_LR.pdf</vt:lpwstr>
      </vt:variant>
      <vt:variant>
        <vt:lpwstr/>
      </vt:variant>
      <vt:variant>
        <vt:i4>2687091</vt:i4>
      </vt:variant>
      <vt:variant>
        <vt:i4>63</vt:i4>
      </vt:variant>
      <vt:variant>
        <vt:i4>0</vt:i4>
      </vt:variant>
      <vt:variant>
        <vt:i4>5</vt:i4>
      </vt:variant>
      <vt:variant>
        <vt:lpwstr>https://www.emsa.europa.eu/publications/inventories/download/7660/5074/23.html</vt:lpwstr>
      </vt:variant>
      <vt:variant>
        <vt:lpwstr/>
      </vt:variant>
      <vt:variant>
        <vt:i4>3276926</vt:i4>
      </vt:variant>
      <vt:variant>
        <vt:i4>60</vt:i4>
      </vt:variant>
      <vt:variant>
        <vt:i4>0</vt:i4>
      </vt:variant>
      <vt:variant>
        <vt:i4>5</vt:i4>
      </vt:variant>
      <vt:variant>
        <vt:lpwstr>https://www.enisa.europa.eu/publications/guidelines-cyber-risk-management-for-ports</vt:lpwstr>
      </vt:variant>
      <vt:variant>
        <vt:lpwstr/>
      </vt:variant>
      <vt:variant>
        <vt:i4>6357101</vt:i4>
      </vt:variant>
      <vt:variant>
        <vt:i4>57</vt:i4>
      </vt:variant>
      <vt:variant>
        <vt:i4>0</vt:i4>
      </vt:variant>
      <vt:variant>
        <vt:i4>5</vt:i4>
      </vt:variant>
      <vt:variant>
        <vt:lpwstr>http://data.europa.eu/eli/dir/2022/2557/oj</vt:lpwstr>
      </vt:variant>
      <vt:variant>
        <vt:lpwstr/>
      </vt:variant>
      <vt:variant>
        <vt:i4>6881380</vt:i4>
      </vt:variant>
      <vt:variant>
        <vt:i4>54</vt:i4>
      </vt:variant>
      <vt:variant>
        <vt:i4>0</vt:i4>
      </vt:variant>
      <vt:variant>
        <vt:i4>5</vt:i4>
      </vt:variant>
      <vt:variant>
        <vt:lpwstr>http://data.europa.eu/eli/reg/2021/1119/oj</vt:lpwstr>
      </vt:variant>
      <vt:variant>
        <vt:lpwstr/>
      </vt:variant>
      <vt:variant>
        <vt:i4>7078011</vt:i4>
      </vt:variant>
      <vt:variant>
        <vt:i4>51</vt:i4>
      </vt:variant>
      <vt:variant>
        <vt:i4>0</vt:i4>
      </vt:variant>
      <vt:variant>
        <vt:i4>5</vt:i4>
      </vt:variant>
      <vt:variant>
        <vt:lpwstr>https://www.eea.europa.eu/en/analysis/publications/maritime-transport-2025</vt:lpwstr>
      </vt:variant>
      <vt:variant>
        <vt:lpwstr/>
      </vt:variant>
      <vt:variant>
        <vt:i4>5374045</vt:i4>
      </vt:variant>
      <vt:variant>
        <vt:i4>48</vt:i4>
      </vt:variant>
      <vt:variant>
        <vt:i4>0</vt:i4>
      </vt:variant>
      <vt:variant>
        <vt:i4>5</vt:i4>
      </vt:variant>
      <vt:variant>
        <vt:lpwstr>http://data.europa.eu/eli/dir/2000/60/oj</vt:lpwstr>
      </vt:variant>
      <vt:variant>
        <vt:lpwstr/>
      </vt:variant>
      <vt:variant>
        <vt:i4>5374060</vt:i4>
      </vt:variant>
      <vt:variant>
        <vt:i4>45</vt:i4>
      </vt:variant>
      <vt:variant>
        <vt:i4>0</vt:i4>
      </vt:variant>
      <vt:variant>
        <vt:i4>5</vt:i4>
      </vt:variant>
      <vt:variant>
        <vt:lpwstr>http://data.europa.eu/eli/reg_del/2021/2139/oj</vt:lpwstr>
      </vt:variant>
      <vt:variant>
        <vt:lpwstr/>
      </vt:variant>
      <vt:variant>
        <vt:i4>3407915</vt:i4>
      </vt:variant>
      <vt:variant>
        <vt:i4>42</vt:i4>
      </vt:variant>
      <vt:variant>
        <vt:i4>0</vt:i4>
      </vt:variant>
      <vt:variant>
        <vt:i4>5</vt:i4>
      </vt:variant>
      <vt:variant>
        <vt:lpwstr>https://data.europa.eu/doi/10.2832/3479075</vt:lpwstr>
      </vt:variant>
      <vt:variant>
        <vt:lpwstr/>
      </vt:variant>
      <vt:variant>
        <vt:i4>5374012</vt:i4>
      </vt:variant>
      <vt:variant>
        <vt:i4>39</vt:i4>
      </vt:variant>
      <vt:variant>
        <vt:i4>0</vt:i4>
      </vt:variant>
      <vt:variant>
        <vt:i4>5</vt:i4>
      </vt:variant>
      <vt:variant>
        <vt:lpwstr>https://www.clean-hydrogen.europa.eu/media/publications/study-hydrogen-ports-and-industrial-coastal-areas-reports_en</vt:lpwstr>
      </vt:variant>
      <vt:variant>
        <vt:lpwstr>description</vt:lpwstr>
      </vt:variant>
      <vt:variant>
        <vt:i4>6946912</vt:i4>
      </vt:variant>
      <vt:variant>
        <vt:i4>36</vt:i4>
      </vt:variant>
      <vt:variant>
        <vt:i4>0</vt:i4>
      </vt:variant>
      <vt:variant>
        <vt:i4>5</vt:i4>
      </vt:variant>
      <vt:variant>
        <vt:lpwstr>http://data.europa.eu/eli/reg/2023/1804/oj</vt:lpwstr>
      </vt:variant>
      <vt:variant>
        <vt:lpwstr/>
      </vt:variant>
      <vt:variant>
        <vt:i4>3801134</vt:i4>
      </vt:variant>
      <vt:variant>
        <vt:i4>33</vt:i4>
      </vt:variant>
      <vt:variant>
        <vt:i4>0</vt:i4>
      </vt:variant>
      <vt:variant>
        <vt:i4>5</vt:i4>
      </vt:variant>
      <vt:variant>
        <vt:lpwstr>https://data.europa.eu/doi/10.2833/7036399</vt:lpwstr>
      </vt:variant>
      <vt:variant>
        <vt:lpwstr/>
      </vt:variant>
      <vt:variant>
        <vt:i4>786535</vt:i4>
      </vt:variant>
      <vt:variant>
        <vt:i4>30</vt:i4>
      </vt:variant>
      <vt:variant>
        <vt:i4>0</vt:i4>
      </vt:variant>
      <vt:variant>
        <vt:i4>5</vt:i4>
      </vt:variant>
      <vt:variant>
        <vt:lpwstr>https://www.espo.be/media/esp-0135_sustainability-report-2025.pdf</vt:lpwstr>
      </vt:variant>
      <vt:variant>
        <vt:lpwstr/>
      </vt:variant>
      <vt:variant>
        <vt:i4>7078008</vt:i4>
      </vt:variant>
      <vt:variant>
        <vt:i4>27</vt:i4>
      </vt:variant>
      <vt:variant>
        <vt:i4>0</vt:i4>
      </vt:variant>
      <vt:variant>
        <vt:i4>5</vt:i4>
      </vt:variant>
      <vt:variant>
        <vt:lpwstr>http://data.europa.eu/eli/dec/2025/2630/oj</vt:lpwstr>
      </vt:variant>
      <vt:variant>
        <vt:lpwstr/>
      </vt:variant>
      <vt:variant>
        <vt:i4>7471202</vt:i4>
      </vt:variant>
      <vt:variant>
        <vt:i4>24</vt:i4>
      </vt:variant>
      <vt:variant>
        <vt:i4>0</vt:i4>
      </vt:variant>
      <vt:variant>
        <vt:i4>5</vt:i4>
      </vt:variant>
      <vt:variant>
        <vt:lpwstr>https://digital-strategy.ec.europa.eu/en/policies/edic</vt:lpwstr>
      </vt:variant>
      <vt:variant>
        <vt:lpwstr/>
      </vt:variant>
      <vt:variant>
        <vt:i4>1638455</vt:i4>
      </vt:variant>
      <vt:variant>
        <vt:i4>21</vt:i4>
      </vt:variant>
      <vt:variant>
        <vt:i4>0</vt:i4>
      </vt:variant>
      <vt:variant>
        <vt:i4>5</vt:i4>
      </vt:variant>
      <vt:variant>
        <vt:lpwstr>http://data.europa.eu/eli/reg_impl/2017/2177/oj</vt:lpwstr>
      </vt:variant>
      <vt:variant>
        <vt:lpwstr/>
      </vt:variant>
      <vt:variant>
        <vt:i4>7667763</vt:i4>
      </vt:variant>
      <vt:variant>
        <vt:i4>18</vt:i4>
      </vt:variant>
      <vt:variant>
        <vt:i4>0</vt:i4>
      </vt:variant>
      <vt:variant>
        <vt:i4>5</vt:i4>
      </vt:variant>
      <vt:variant>
        <vt:lpwstr>https://www.beacon.com/resources/global-port-congestion-2024-year-in-review</vt:lpwstr>
      </vt:variant>
      <vt:variant>
        <vt:lpwstr/>
      </vt:variant>
      <vt:variant>
        <vt:i4>7209036</vt:i4>
      </vt:variant>
      <vt:variant>
        <vt:i4>15</vt:i4>
      </vt:variant>
      <vt:variant>
        <vt:i4>0</vt:i4>
      </vt:variant>
      <vt:variant>
        <vt:i4>5</vt:i4>
      </vt:variant>
      <vt:variant>
        <vt:lpwstr>https://maritime-forum.ec.europa.eu/theme/investments/blueinvest_en</vt:lpwstr>
      </vt:variant>
      <vt:variant>
        <vt:lpwstr/>
      </vt:variant>
      <vt:variant>
        <vt:i4>4063315</vt:i4>
      </vt:variant>
      <vt:variant>
        <vt:i4>9</vt:i4>
      </vt:variant>
      <vt:variant>
        <vt:i4>0</vt:i4>
      </vt:variant>
      <vt:variant>
        <vt:i4>5</vt:i4>
      </vt:variant>
      <vt:variant>
        <vt:lpwstr>https://single-market-economy.ec.europa.eu/single-market/goods/european-standards/standardisation-policy_en</vt:lpwstr>
      </vt:variant>
      <vt:variant>
        <vt:lpwstr/>
      </vt:variant>
      <vt:variant>
        <vt:i4>3538968</vt:i4>
      </vt:variant>
      <vt:variant>
        <vt:i4>6</vt:i4>
      </vt:variant>
      <vt:variant>
        <vt:i4>0</vt:i4>
      </vt:variant>
      <vt:variant>
        <vt:i4>5</vt:i4>
      </vt:variant>
      <vt:variant>
        <vt:lpwstr>https://ec.europa.eu/info/law/better-regulation/have-your-say/initiatives/14659-EU-Ports-Strategy_en</vt:lpwstr>
      </vt:variant>
      <vt:variant>
        <vt:lpwstr/>
      </vt:variant>
      <vt:variant>
        <vt:i4>4063269</vt:i4>
      </vt:variant>
      <vt:variant>
        <vt:i4>3</vt:i4>
      </vt:variant>
      <vt:variant>
        <vt:i4>0</vt:i4>
      </vt:variant>
      <vt:variant>
        <vt:i4>5</vt:i4>
      </vt:variant>
      <vt:variant>
        <vt:lpwstr>https://data.europa.eu/doi/10.2771/2333701</vt:lpwstr>
      </vt:variant>
      <vt:variant>
        <vt:lpwstr/>
      </vt:variant>
      <vt:variant>
        <vt:i4>7995449</vt:i4>
      </vt:variant>
      <vt:variant>
        <vt:i4>0</vt:i4>
      </vt:variant>
      <vt:variant>
        <vt:i4>0</vt:i4>
      </vt:variant>
      <vt:variant>
        <vt:i4>5</vt:i4>
      </vt:variant>
      <vt:variant>
        <vt:lpwstr>https://ec.europa.eu/eurostat/statistics-explained/index.php?title=Maritime_transport_of_goods_-_annual_data</vt:lpwstr>
      </vt:variant>
      <vt:variant>
        <vt:lpwstr/>
      </vt:variant>
      <vt:variant>
        <vt:i4>2031630</vt:i4>
      </vt:variant>
      <vt:variant>
        <vt:i4>3</vt:i4>
      </vt:variant>
      <vt:variant>
        <vt:i4>0</vt:i4>
      </vt:variant>
      <vt:variant>
        <vt:i4>5</vt:i4>
      </vt:variant>
      <vt:variant>
        <vt:lpwstr>https://eur-lex.europa.eu/legal-content/EN/TXT/?uri=CELEX%3A52025PC1007&amp;qid=1770212786010</vt:lpwstr>
      </vt:variant>
      <vt:variant>
        <vt:lpwstr/>
      </vt:variant>
      <vt:variant>
        <vt:i4>2031630</vt:i4>
      </vt:variant>
      <vt:variant>
        <vt:i4>0</vt:i4>
      </vt:variant>
      <vt:variant>
        <vt:i4>0</vt:i4>
      </vt:variant>
      <vt:variant>
        <vt:i4>5</vt:i4>
      </vt:variant>
      <vt:variant>
        <vt:lpwstr>https://eur-lex.europa.eu/legal-content/EN/TXT/?uri=CELEX%3A52025PC1007&amp;qid=1770212786010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2026-03-03T11:37:00Z</dcterms:created>
  <dcterms:modified xsi:type="dcterms:W3CDTF">2026-03-30T05:56:00Z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2026-03-03T09:01:04Z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761a4702-f100-4949-951c-01eca3be45e7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