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125A9D" w14:textId="6DD54619" w:rsidR="00A54997" w:rsidRPr="00C7317B" w:rsidRDefault="00890249" w:rsidP="00890249">
      <w:pPr>
        <w:pStyle w:val="Pagedecouverture"/>
        <w:rPr>
          <w:noProof/>
        </w:rPr>
      </w:pPr>
      <w:bookmarkStart w:id="0" w:name="LW_BM_COVERPAGE"/>
      <w:r>
        <w:rPr>
          <w:noProof/>
        </w:rPr>
        <w:pict w14:anchorId="4C68CB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12B4BD4-7548-4CE1-B40E-7DD75BB69AAF" style="width:455.25pt;height:313.5pt">
            <v:imagedata r:id="rId9" o:title=""/>
          </v:shape>
        </w:pict>
      </w:r>
    </w:p>
    <w:bookmarkEnd w:id="0"/>
    <w:p w14:paraId="3F924F0C" w14:textId="55AFBA2A" w:rsidR="00E2252D" w:rsidRPr="00C7317B" w:rsidRDefault="00E2252D" w:rsidP="00E2252D">
      <w:pPr>
        <w:pStyle w:val="Pagedecouverture"/>
        <w:rPr>
          <w:noProof/>
        </w:rPr>
        <w:sectPr w:rsidR="00E2252D" w:rsidRPr="00C7317B" w:rsidSect="00890249">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14:paraId="1929E4EE" w14:textId="0A33BAD2" w:rsidR="00FA581B" w:rsidRPr="00300B33" w:rsidRDefault="00EB31B8" w:rsidP="00F9606A">
      <w:pPr>
        <w:pStyle w:val="ListParagraph"/>
        <w:numPr>
          <w:ilvl w:val="0"/>
          <w:numId w:val="1"/>
        </w:numPr>
        <w:spacing w:after="0" w:line="276" w:lineRule="auto"/>
        <w:jc w:val="both"/>
        <w:rPr>
          <w:rFonts w:ascii="Times New Roman" w:hAnsi="Times New Roman" w:cs="Times New Roman"/>
          <w:b/>
          <w:noProof/>
          <w:color w:val="000000" w:themeColor="text1"/>
          <w:sz w:val="24"/>
          <w:szCs w:val="24"/>
        </w:rPr>
      </w:pPr>
      <w:bookmarkStart w:id="1" w:name="_GoBack"/>
      <w:bookmarkEnd w:id="1"/>
      <w:r>
        <w:rPr>
          <w:rFonts w:ascii="Times New Roman" w:hAnsi="Times New Roman"/>
          <w:b/>
          <w:noProof/>
          <w:color w:val="000000" w:themeColor="text1"/>
          <w:sz w:val="24"/>
        </w:rPr>
        <w:lastRenderedPageBreak/>
        <w:t xml:space="preserve">Introduction </w:t>
      </w:r>
    </w:p>
    <w:p w14:paraId="11BA2070" w14:textId="77777777" w:rsidR="004D3821" w:rsidRPr="00300B33" w:rsidRDefault="004D3821" w:rsidP="00B764A1">
      <w:pPr>
        <w:pStyle w:val="ListParagraph"/>
        <w:spacing w:after="0" w:line="276" w:lineRule="auto"/>
        <w:ind w:left="360"/>
        <w:jc w:val="both"/>
        <w:rPr>
          <w:rFonts w:ascii="Times New Roman" w:hAnsi="Times New Roman" w:cs="Times New Roman"/>
          <w:b/>
          <w:noProof/>
          <w:color w:val="000000" w:themeColor="text1"/>
          <w:sz w:val="24"/>
          <w:szCs w:val="24"/>
        </w:rPr>
      </w:pPr>
    </w:p>
    <w:p w14:paraId="1C0EB0D4" w14:textId="2D47E47A" w:rsidR="00485EAE" w:rsidRPr="00300B33" w:rsidRDefault="009363C1" w:rsidP="00007DE0">
      <w:pPr>
        <w:spacing w:after="0" w:line="276" w:lineRule="auto"/>
        <w:jc w:val="both"/>
        <w:rPr>
          <w:rFonts w:ascii="Times New Roman" w:hAnsi="Times New Roman" w:cs="Times New Roman"/>
          <w:noProof/>
          <w:color w:val="000000" w:themeColor="text1"/>
          <w:sz w:val="24"/>
          <w:szCs w:val="24"/>
        </w:rPr>
      </w:pPr>
      <w:r>
        <w:rPr>
          <w:rFonts w:ascii="Times New Roman" w:hAnsi="Times New Roman"/>
          <w:b/>
          <w:bCs/>
          <w:noProof/>
          <w:color w:val="000000" w:themeColor="text1"/>
          <w:sz w:val="24"/>
        </w:rPr>
        <w:t>L’</w:t>
      </w:r>
      <w:r>
        <w:rPr>
          <w:rFonts w:ascii="Times New Roman" w:hAnsi="Times New Roman"/>
          <w:b/>
          <w:noProof/>
          <w:color w:val="000000" w:themeColor="text1"/>
          <w:sz w:val="24"/>
        </w:rPr>
        <w:t>égalité de genre est une valeur fondamentale de l’UE</w:t>
      </w:r>
      <w:r>
        <w:rPr>
          <w:rFonts w:ascii="Times New Roman" w:hAnsi="Times New Roman"/>
          <w:noProof/>
          <w:color w:val="000000" w:themeColor="text1"/>
          <w:sz w:val="24"/>
        </w:rPr>
        <w:t xml:space="preserve"> et une aspiration qui unit les institutions européennes, les gouvernements et les citoyens</w:t>
      </w:r>
      <w:r>
        <w:rPr>
          <w:rStyle w:val="FootnoteReference"/>
          <w:rFonts w:ascii="Times New Roman" w:hAnsi="Times New Roman" w:cs="Times New Roman"/>
          <w:noProof/>
          <w:color w:val="000000" w:themeColor="text1"/>
          <w:sz w:val="24"/>
          <w:szCs w:val="24"/>
        </w:rPr>
        <w:footnoteReference w:id="2"/>
      </w:r>
      <w:r>
        <w:rPr>
          <w:rFonts w:ascii="Times New Roman" w:hAnsi="Times New Roman"/>
          <w:noProof/>
          <w:color w:val="000000" w:themeColor="text1"/>
          <w:sz w:val="24"/>
        </w:rPr>
        <w:t xml:space="preserve">. </w:t>
      </w:r>
      <w:r>
        <w:rPr>
          <w:rFonts w:ascii="Times New Roman" w:hAnsi="Times New Roman"/>
          <w:b/>
          <w:bCs/>
          <w:noProof/>
          <w:color w:val="000000" w:themeColor="text1"/>
          <w:sz w:val="24"/>
        </w:rPr>
        <w:t>L’UE</w:t>
      </w:r>
      <w:r>
        <w:rPr>
          <w:rFonts w:ascii="Times New Roman" w:hAnsi="Times New Roman"/>
          <w:noProof/>
          <w:color w:val="000000" w:themeColor="text1"/>
          <w:sz w:val="24"/>
        </w:rPr>
        <w:t xml:space="preserve"> </w:t>
      </w:r>
      <w:r>
        <w:rPr>
          <w:rFonts w:ascii="Times New Roman" w:hAnsi="Times New Roman"/>
          <w:b/>
          <w:noProof/>
          <w:color w:val="000000" w:themeColor="text1"/>
          <w:sz w:val="24"/>
        </w:rPr>
        <w:t>a accompli des progrès significatifs</w:t>
      </w:r>
      <w:r>
        <w:rPr>
          <w:rFonts w:ascii="Times New Roman" w:hAnsi="Times New Roman"/>
          <w:noProof/>
          <w:color w:val="000000" w:themeColor="text1"/>
          <w:sz w:val="24"/>
        </w:rPr>
        <w:t xml:space="preserve"> dans la mise en place d’une Union de l’égalité et est un </w:t>
      </w:r>
      <w:r>
        <w:rPr>
          <w:rFonts w:ascii="Times New Roman" w:hAnsi="Times New Roman"/>
          <w:b/>
          <w:noProof/>
          <w:color w:val="000000" w:themeColor="text1"/>
          <w:sz w:val="24"/>
        </w:rPr>
        <w:t>défenseur mondial des droits des femmes</w:t>
      </w:r>
      <w:r>
        <w:rPr>
          <w:rFonts w:ascii="Times New Roman" w:hAnsi="Times New Roman"/>
          <w:noProof/>
          <w:color w:val="000000" w:themeColor="text1"/>
          <w:sz w:val="24"/>
        </w:rPr>
        <w:t xml:space="preserve">. Les Européens bénéficient d’une législation parmi les plus avancées au monde pour protéger leurs droits et lutter contre la violence fondée sur le genre. </w:t>
      </w:r>
    </w:p>
    <w:p w14:paraId="43B5B024" w14:textId="77777777" w:rsidR="00485EAE" w:rsidRPr="00300B33" w:rsidRDefault="00485EAE" w:rsidP="00007DE0">
      <w:pPr>
        <w:spacing w:after="0" w:line="276" w:lineRule="auto"/>
        <w:jc w:val="both"/>
        <w:rPr>
          <w:rFonts w:ascii="Times New Roman" w:hAnsi="Times New Roman" w:cs="Times New Roman"/>
          <w:noProof/>
          <w:color w:val="000000" w:themeColor="text1"/>
          <w:sz w:val="24"/>
          <w:szCs w:val="24"/>
        </w:rPr>
      </w:pPr>
    </w:p>
    <w:p w14:paraId="329C2CE7" w14:textId="5DE6A5EA" w:rsidR="00B21661" w:rsidRPr="00300B33" w:rsidRDefault="00B01096" w:rsidP="00007DE0">
      <w:pPr>
        <w:spacing w:after="0" w:line="276" w:lineRule="auto"/>
        <w:jc w:val="both"/>
        <w:rPr>
          <w:rFonts w:ascii="Times New Roman" w:hAnsi="Times New Roman" w:cs="Times New Roman"/>
          <w:noProof/>
          <w:color w:val="000000" w:themeColor="text1"/>
          <w:sz w:val="24"/>
          <w:szCs w:val="24"/>
        </w:rPr>
      </w:pPr>
      <w:r>
        <w:rPr>
          <w:rFonts w:ascii="Times New Roman" w:hAnsi="Times New Roman"/>
          <w:b/>
          <w:noProof/>
          <w:color w:val="000000" w:themeColor="text1"/>
          <w:sz w:val="24"/>
        </w:rPr>
        <w:t>L’égalité de genre est indispensable pour atteindre les objectifs stratégiques de l’UE</w:t>
      </w:r>
      <w:r>
        <w:rPr>
          <w:rFonts w:ascii="Times New Roman" w:hAnsi="Times New Roman"/>
          <w:noProof/>
          <w:color w:val="000000" w:themeColor="text1"/>
          <w:sz w:val="24"/>
        </w:rPr>
        <w:t xml:space="preserve">, qu’il s’agisse de défendre la </w:t>
      </w:r>
      <w:r>
        <w:rPr>
          <w:rFonts w:ascii="Times New Roman" w:hAnsi="Times New Roman"/>
          <w:b/>
          <w:noProof/>
          <w:color w:val="000000" w:themeColor="text1"/>
          <w:sz w:val="24"/>
        </w:rPr>
        <w:t>démocratie</w:t>
      </w:r>
      <w:r>
        <w:rPr>
          <w:rFonts w:ascii="Times New Roman" w:hAnsi="Times New Roman"/>
          <w:noProof/>
          <w:color w:val="000000" w:themeColor="text1"/>
          <w:sz w:val="24"/>
        </w:rPr>
        <w:t xml:space="preserve"> et l’</w:t>
      </w:r>
      <w:r>
        <w:rPr>
          <w:rFonts w:ascii="Times New Roman" w:hAnsi="Times New Roman"/>
          <w:b/>
          <w:noProof/>
          <w:color w:val="000000" w:themeColor="text1"/>
          <w:sz w:val="24"/>
        </w:rPr>
        <w:t>état de droit</w:t>
      </w:r>
      <w:r>
        <w:rPr>
          <w:rFonts w:ascii="Times New Roman" w:hAnsi="Times New Roman"/>
          <w:noProof/>
          <w:color w:val="000000" w:themeColor="text1"/>
          <w:sz w:val="24"/>
        </w:rPr>
        <w:t xml:space="preserve">, de favoriser la </w:t>
      </w:r>
      <w:r>
        <w:rPr>
          <w:rFonts w:ascii="Times New Roman" w:hAnsi="Times New Roman"/>
          <w:b/>
          <w:noProof/>
          <w:color w:val="000000" w:themeColor="text1"/>
          <w:sz w:val="24"/>
        </w:rPr>
        <w:t>cohésion sociale</w:t>
      </w:r>
      <w:r>
        <w:rPr>
          <w:rFonts w:ascii="Times New Roman" w:hAnsi="Times New Roman"/>
          <w:noProof/>
          <w:color w:val="000000" w:themeColor="text1"/>
          <w:sz w:val="24"/>
        </w:rPr>
        <w:t xml:space="preserve"> ou de renforcer la </w:t>
      </w:r>
      <w:r>
        <w:rPr>
          <w:rFonts w:ascii="Times New Roman" w:hAnsi="Times New Roman"/>
          <w:b/>
          <w:noProof/>
          <w:color w:val="000000" w:themeColor="text1"/>
          <w:sz w:val="24"/>
        </w:rPr>
        <w:t>sécurité</w:t>
      </w:r>
      <w:r>
        <w:rPr>
          <w:rFonts w:ascii="Times New Roman" w:hAnsi="Times New Roman"/>
          <w:noProof/>
          <w:color w:val="000000" w:themeColor="text1"/>
          <w:sz w:val="24"/>
        </w:rPr>
        <w:t xml:space="preserve"> et la </w:t>
      </w:r>
      <w:r>
        <w:rPr>
          <w:rFonts w:ascii="Times New Roman" w:hAnsi="Times New Roman"/>
          <w:b/>
          <w:noProof/>
          <w:color w:val="000000" w:themeColor="text1"/>
          <w:sz w:val="24"/>
        </w:rPr>
        <w:t>compétitivité</w:t>
      </w:r>
      <w:r>
        <w:rPr>
          <w:rFonts w:ascii="Times New Roman" w:hAnsi="Times New Roman"/>
          <w:noProof/>
          <w:color w:val="000000" w:themeColor="text1"/>
          <w:sz w:val="24"/>
        </w:rPr>
        <w:t xml:space="preserve">. L’égalité des droits et des chances pour les femmes et les hommes, dans toute leur diversité, est essentielle pour soutenir la démocratie dynamique de l’Europe ainsi que pour renforcer la représentativité, la légitimité institutionnelle et la prise de décision démocratique. Les inégalités gaspillent les talents, bloquent les carrières et réduisent la productivité. </w:t>
      </w:r>
      <w:r>
        <w:rPr>
          <w:rFonts w:ascii="Times New Roman" w:hAnsi="Times New Roman"/>
          <w:b/>
          <w:noProof/>
          <w:color w:val="000000" w:themeColor="text1"/>
          <w:sz w:val="24"/>
        </w:rPr>
        <w:t>L’amélioration de l’égalité de genre dans l’UE pourrait entraîner une augmentation de 9,6 % du PIB par habitant</w:t>
      </w:r>
      <w:r>
        <w:rPr>
          <w:rFonts w:ascii="Times New Roman" w:hAnsi="Times New Roman"/>
          <w:noProof/>
          <w:color w:val="000000" w:themeColor="text1"/>
          <w:sz w:val="24"/>
        </w:rPr>
        <w:t xml:space="preserve"> et créer 10,5 millions d’emplois supplémentaires d’ici à 2050</w:t>
      </w:r>
      <w:r>
        <w:rPr>
          <w:rStyle w:val="FootnoteReference"/>
          <w:rFonts w:ascii="Times New Roman" w:hAnsi="Times New Roman" w:cs="Times New Roman"/>
          <w:noProof/>
          <w:color w:val="000000" w:themeColor="text1"/>
          <w:sz w:val="24"/>
          <w:szCs w:val="24"/>
        </w:rPr>
        <w:footnoteReference w:id="3"/>
      </w:r>
      <w:r>
        <w:rPr>
          <w:rFonts w:ascii="Times New Roman" w:hAnsi="Times New Roman"/>
          <w:noProof/>
          <w:color w:val="000000" w:themeColor="text1"/>
          <w:sz w:val="24"/>
        </w:rPr>
        <w:t xml:space="preserve">. </w:t>
      </w:r>
    </w:p>
    <w:p w14:paraId="4954C145" w14:textId="77777777" w:rsidR="001D109E" w:rsidRPr="00300B33" w:rsidRDefault="001D109E" w:rsidP="1B861BBA">
      <w:pPr>
        <w:spacing w:after="0" w:line="276" w:lineRule="auto"/>
        <w:jc w:val="both"/>
        <w:rPr>
          <w:rFonts w:ascii="Times New Roman" w:hAnsi="Times New Roman" w:cs="Times New Roman"/>
          <w:noProof/>
          <w:color w:val="000000" w:themeColor="text1"/>
          <w:sz w:val="24"/>
          <w:szCs w:val="24"/>
        </w:rPr>
      </w:pPr>
    </w:p>
    <w:p w14:paraId="08C1AF16" w14:textId="2385A558" w:rsidR="001D109E" w:rsidRPr="00300B33" w:rsidRDefault="00FB0278" w:rsidP="1B861BBA">
      <w:pPr>
        <w:spacing w:after="0" w:line="276"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Une recrudescence des réactions hostiles à l’égard de l’égalité de genre menace les progrès durement accomplis, tandis que l’ambition d’une Europe respectueuse de l’égalité de genre n’est pas encore atteinte</w:t>
      </w:r>
      <w:r>
        <w:rPr>
          <w:rStyle w:val="FootnoteReference"/>
          <w:rFonts w:ascii="Times New Roman" w:hAnsi="Times New Roman" w:cs="Times New Roman"/>
          <w:noProof/>
          <w:color w:val="000000" w:themeColor="text1"/>
          <w:sz w:val="24"/>
          <w:szCs w:val="24"/>
        </w:rPr>
        <w:footnoteReference w:id="4"/>
      </w:r>
      <w:r>
        <w:rPr>
          <w:rFonts w:ascii="Times New Roman" w:hAnsi="Times New Roman"/>
          <w:noProof/>
          <w:color w:val="000000" w:themeColor="text1"/>
          <w:sz w:val="24"/>
        </w:rPr>
        <w:t>. Dans ce contexte, la Commission a réaffirmé sa ferme volonté de promouvoir l’égalité de genre dans la</w:t>
      </w:r>
      <w:r>
        <w:rPr>
          <w:rFonts w:ascii="Times New Roman" w:hAnsi="Times New Roman"/>
          <w:b/>
          <w:noProof/>
          <w:color w:val="000000" w:themeColor="text1"/>
          <w:sz w:val="24"/>
        </w:rPr>
        <w:t xml:space="preserve"> </w:t>
      </w:r>
      <w:hyperlink r:id="rId16" w:history="1">
        <w:r>
          <w:rPr>
            <w:rStyle w:val="Hyperlink"/>
            <w:rFonts w:ascii="Times New Roman" w:hAnsi="Times New Roman"/>
            <w:b/>
            <w:noProof/>
            <w:sz w:val="24"/>
          </w:rPr>
          <w:t>feuille de route pour les droits des femmes</w:t>
        </w:r>
      </w:hyperlink>
      <w:r>
        <w:rPr>
          <w:noProof/>
        </w:rPr>
        <w:t xml:space="preserve">, </w:t>
      </w:r>
      <w:r>
        <w:rPr>
          <w:rFonts w:ascii="Times New Roman" w:hAnsi="Times New Roman"/>
          <w:noProof/>
          <w:color w:val="000000" w:themeColor="text1"/>
          <w:sz w:val="24"/>
        </w:rPr>
        <w:t xml:space="preserve">adoptée en mars 2025. Les 27 États membres, les institutions de l’UE et de nombreuses organisations de la société civile et organisations internationales ont tous approuvé les objectifs de la feuille de route. </w:t>
      </w:r>
    </w:p>
    <w:p w14:paraId="4D34B8DF" w14:textId="77777777" w:rsidR="00426D13" w:rsidRPr="00300B33" w:rsidRDefault="00426D13" w:rsidP="1B861BBA">
      <w:pPr>
        <w:spacing w:after="0" w:line="276" w:lineRule="auto"/>
        <w:jc w:val="both"/>
        <w:rPr>
          <w:rFonts w:ascii="Times New Roman" w:hAnsi="Times New Roman" w:cs="Times New Roman"/>
          <w:noProof/>
          <w:color w:val="000000" w:themeColor="text1"/>
          <w:sz w:val="24"/>
          <w:szCs w:val="24"/>
        </w:rPr>
      </w:pPr>
    </w:p>
    <w:p w14:paraId="7DFB30A8" w14:textId="688804C3" w:rsidR="00D52855" w:rsidRPr="00300B33" w:rsidRDefault="00857857" w:rsidP="00C0526E">
      <w:pPr>
        <w:spacing w:after="0" w:line="276"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La présente stratégie en faveur de l’égalité de genre s’appuie sur les résultats obtenus par la stratégie précédente</w:t>
      </w:r>
      <w:r>
        <w:rPr>
          <w:rStyle w:val="FootnoteReference"/>
          <w:rFonts w:ascii="Times New Roman" w:hAnsi="Times New Roman" w:cs="Times New Roman"/>
          <w:noProof/>
          <w:color w:val="000000" w:themeColor="text1"/>
          <w:sz w:val="24"/>
          <w:szCs w:val="24"/>
        </w:rPr>
        <w:footnoteReference w:id="5"/>
      </w:r>
      <w:r>
        <w:rPr>
          <w:rFonts w:ascii="Times New Roman" w:hAnsi="Times New Roman"/>
          <w:noProof/>
          <w:color w:val="000000" w:themeColor="text1"/>
          <w:sz w:val="24"/>
        </w:rPr>
        <w:t xml:space="preserve"> et traduit en actions concrètes la vision à long terme de la feuille de route pour les droits des femmes. Elle permettra à l’UE de contribuer à la réalisation de l’</w:t>
      </w:r>
      <w:r>
        <w:rPr>
          <w:rFonts w:ascii="Times New Roman" w:hAnsi="Times New Roman"/>
          <w:b/>
          <w:noProof/>
          <w:color w:val="000000" w:themeColor="text1"/>
          <w:sz w:val="24"/>
        </w:rPr>
        <w:t>objectif de développement durable n° 5 relatif à l’égalité de genre</w:t>
      </w:r>
      <w:r>
        <w:rPr>
          <w:rFonts w:ascii="Times New Roman" w:hAnsi="Times New Roman"/>
          <w:noProof/>
          <w:color w:val="000000" w:themeColor="text1"/>
          <w:sz w:val="24"/>
        </w:rPr>
        <w:t xml:space="preserve"> d’ici à 2030, des objectifs renouvelés du </w:t>
      </w:r>
      <w:r>
        <w:rPr>
          <w:rFonts w:ascii="Times New Roman" w:hAnsi="Times New Roman"/>
          <w:b/>
          <w:noProof/>
          <w:color w:val="000000" w:themeColor="text1"/>
          <w:sz w:val="24"/>
        </w:rPr>
        <w:t>programme d’action de Beijing</w:t>
      </w:r>
      <w:r>
        <w:rPr>
          <w:rFonts w:ascii="Times New Roman" w:hAnsi="Times New Roman"/>
          <w:noProof/>
          <w:color w:val="000000" w:themeColor="text1"/>
          <w:sz w:val="24"/>
        </w:rPr>
        <w:t xml:space="preserve"> et des obligations découlant de la </w:t>
      </w:r>
      <w:r>
        <w:rPr>
          <w:rFonts w:ascii="Times New Roman" w:hAnsi="Times New Roman"/>
          <w:b/>
          <w:noProof/>
          <w:color w:val="000000" w:themeColor="text1"/>
          <w:sz w:val="24"/>
        </w:rPr>
        <w:t>convention sur l’élimination de toutes les formes de discrimination à l’égard des femmes</w:t>
      </w:r>
      <w:r>
        <w:rPr>
          <w:rFonts w:ascii="Times New Roman" w:hAnsi="Times New Roman"/>
          <w:noProof/>
          <w:color w:val="000000" w:themeColor="text1"/>
          <w:sz w:val="24"/>
        </w:rPr>
        <w:t xml:space="preserve">. Pour ce faire, la présente stratégie propose des </w:t>
      </w:r>
      <w:r>
        <w:rPr>
          <w:rFonts w:ascii="Times New Roman" w:hAnsi="Times New Roman"/>
          <w:b/>
          <w:noProof/>
          <w:color w:val="000000" w:themeColor="text1"/>
          <w:sz w:val="24"/>
        </w:rPr>
        <w:t>actions concrètes</w:t>
      </w:r>
      <w:r>
        <w:rPr>
          <w:rFonts w:ascii="Times New Roman" w:hAnsi="Times New Roman"/>
          <w:noProof/>
          <w:color w:val="000000" w:themeColor="text1"/>
          <w:sz w:val="24"/>
        </w:rPr>
        <w:t xml:space="preserve"> pour chacun des huit principes de la feuille de route pour les droits des femmes, en maintenant l’égalité de genre au cœur de l’action de l’UE, tant au sein de l’UE que dans le monde entier</w:t>
      </w:r>
      <w:r>
        <w:rPr>
          <w:rStyle w:val="FootnoteReference"/>
          <w:rFonts w:ascii="Times New Roman" w:hAnsi="Times New Roman" w:cs="Times New Roman"/>
          <w:noProof/>
          <w:color w:val="000000" w:themeColor="text1"/>
          <w:sz w:val="24"/>
          <w:szCs w:val="24"/>
        </w:rPr>
        <w:footnoteReference w:id="6"/>
      </w:r>
      <w:r>
        <w:rPr>
          <w:rFonts w:ascii="Times New Roman" w:hAnsi="Times New Roman"/>
          <w:noProof/>
          <w:color w:val="000000" w:themeColor="text1"/>
          <w:sz w:val="24"/>
        </w:rPr>
        <w:t xml:space="preserve">. La stratégie suit une </w:t>
      </w:r>
      <w:r>
        <w:rPr>
          <w:rFonts w:ascii="Times New Roman" w:hAnsi="Times New Roman"/>
          <w:b/>
          <w:noProof/>
          <w:color w:val="000000" w:themeColor="text1"/>
          <w:sz w:val="24"/>
        </w:rPr>
        <w:t>double approche</w:t>
      </w:r>
      <w:r>
        <w:rPr>
          <w:rFonts w:ascii="Times New Roman" w:hAnsi="Times New Roman"/>
          <w:noProof/>
          <w:color w:val="000000" w:themeColor="text1"/>
          <w:sz w:val="24"/>
        </w:rPr>
        <w:t xml:space="preserve">, combinant des </w:t>
      </w:r>
      <w:r>
        <w:rPr>
          <w:rFonts w:ascii="Times New Roman" w:hAnsi="Times New Roman"/>
          <w:b/>
          <w:noProof/>
          <w:color w:val="000000" w:themeColor="text1"/>
          <w:sz w:val="24"/>
        </w:rPr>
        <w:t>actions ciblées</w:t>
      </w:r>
      <w:r>
        <w:rPr>
          <w:rFonts w:ascii="Times New Roman" w:hAnsi="Times New Roman"/>
          <w:noProof/>
          <w:color w:val="000000" w:themeColor="text1"/>
          <w:sz w:val="24"/>
        </w:rPr>
        <w:t xml:space="preserve"> et l’</w:t>
      </w:r>
      <w:r>
        <w:rPr>
          <w:rFonts w:ascii="Times New Roman" w:hAnsi="Times New Roman"/>
          <w:b/>
          <w:noProof/>
          <w:color w:val="000000" w:themeColor="text1"/>
          <w:sz w:val="24"/>
        </w:rPr>
        <w:t>intégration systématique de la dimension de genre</w:t>
      </w:r>
      <w:r>
        <w:rPr>
          <w:rFonts w:ascii="Times New Roman" w:hAnsi="Times New Roman"/>
          <w:noProof/>
          <w:color w:val="000000" w:themeColor="text1"/>
          <w:sz w:val="24"/>
        </w:rPr>
        <w:t xml:space="preserve"> dans tous les domaines d’action.</w:t>
      </w:r>
    </w:p>
    <w:p w14:paraId="131DC208" w14:textId="77777777" w:rsidR="00D52855" w:rsidRPr="00300B33" w:rsidRDefault="00D52855" w:rsidP="00C0526E">
      <w:pPr>
        <w:spacing w:after="0" w:line="276" w:lineRule="auto"/>
        <w:jc w:val="both"/>
        <w:rPr>
          <w:rFonts w:ascii="Times New Roman" w:hAnsi="Times New Roman" w:cs="Times New Roman"/>
          <w:noProof/>
          <w:color w:val="000000" w:themeColor="text1"/>
          <w:sz w:val="24"/>
          <w:szCs w:val="24"/>
        </w:rPr>
      </w:pPr>
    </w:p>
    <w:p w14:paraId="5FFB71FE" w14:textId="78239A68" w:rsidR="000A4F95" w:rsidRPr="00300B33" w:rsidRDefault="00BE3E6D" w:rsidP="00BE3E6D">
      <w:pPr>
        <w:spacing w:after="0" w:line="276" w:lineRule="auto"/>
        <w:jc w:val="both"/>
        <w:rPr>
          <w:rFonts w:ascii="Times New Roman" w:hAnsi="Times New Roman" w:cs="Times New Roman"/>
          <w:noProof/>
          <w:color w:val="000000" w:themeColor="text1"/>
          <w:sz w:val="24"/>
          <w:szCs w:val="24"/>
        </w:rPr>
      </w:pPr>
      <w:r>
        <w:rPr>
          <w:rFonts w:ascii="Times New Roman" w:hAnsi="Times New Roman"/>
          <w:b/>
          <w:noProof/>
          <w:color w:val="000000" w:themeColor="text1"/>
          <w:sz w:val="24"/>
        </w:rPr>
        <w:t>L’égalité de genre profite à tous</w:t>
      </w:r>
      <w:r>
        <w:rPr>
          <w:rFonts w:ascii="Times New Roman" w:hAnsi="Times New Roman"/>
          <w:noProof/>
          <w:color w:val="000000" w:themeColor="text1"/>
          <w:sz w:val="24"/>
        </w:rPr>
        <w:t xml:space="preserve">: il s’agit de tirer pleinement parti du potentiel des femmes et des hommes, au profit de la société tout entière. Cette stratégie vise à parvenir à l’égalité entre les femmes et les hommes, les filles et les garçons, dans toute leur diversité. Elle reconnaît le </w:t>
      </w:r>
      <w:r>
        <w:rPr>
          <w:rFonts w:ascii="Times New Roman" w:hAnsi="Times New Roman"/>
          <w:b/>
          <w:noProof/>
          <w:color w:val="000000" w:themeColor="text1"/>
          <w:sz w:val="24"/>
        </w:rPr>
        <w:t>rôle crucial des hommes et des garçons</w:t>
      </w:r>
      <w:r>
        <w:rPr>
          <w:rFonts w:ascii="Times New Roman" w:hAnsi="Times New Roman"/>
          <w:noProof/>
          <w:color w:val="000000" w:themeColor="text1"/>
          <w:sz w:val="24"/>
        </w:rPr>
        <w:t>, en tant qu’agents et bénéficiaires de l’égalité de genre</w:t>
      </w:r>
      <w:r>
        <w:rPr>
          <w:rStyle w:val="FootnoteReference"/>
          <w:rFonts w:ascii="Times New Roman" w:hAnsi="Times New Roman" w:cs="Times New Roman"/>
          <w:noProof/>
          <w:color w:val="000000" w:themeColor="text1"/>
          <w:sz w:val="24"/>
          <w:szCs w:val="24"/>
          <w:lang w:val="en-GB"/>
        </w:rPr>
        <w:footnoteReference w:id="7"/>
      </w:r>
      <w:r>
        <w:rPr>
          <w:rFonts w:ascii="Times New Roman" w:hAnsi="Times New Roman"/>
          <w:noProof/>
          <w:color w:val="000000" w:themeColor="text1"/>
          <w:sz w:val="24"/>
        </w:rPr>
        <w:t xml:space="preserve">. Elle adopte une </w:t>
      </w:r>
      <w:r>
        <w:rPr>
          <w:rFonts w:ascii="Times New Roman" w:hAnsi="Times New Roman"/>
          <w:b/>
          <w:noProof/>
          <w:color w:val="000000" w:themeColor="text1"/>
          <w:sz w:val="24"/>
        </w:rPr>
        <w:t>approche intersectionnelle de l’égalité de genre</w:t>
      </w:r>
      <w:r>
        <w:rPr>
          <w:rFonts w:ascii="Times New Roman" w:hAnsi="Times New Roman"/>
          <w:noProof/>
          <w:color w:val="000000" w:themeColor="text1"/>
          <w:sz w:val="24"/>
        </w:rPr>
        <w:t>, reconnaissant que le sexe et le genre se recoupent avec d’autres motifs de discrimination, ce qui entraîne des inégalités spécifiques et des expériences uniques de discrimination</w:t>
      </w:r>
      <w:r>
        <w:rPr>
          <w:rStyle w:val="FootnoteReference"/>
          <w:rFonts w:ascii="Times New Roman" w:hAnsi="Times New Roman" w:cs="Times New Roman"/>
          <w:noProof/>
          <w:color w:val="000000" w:themeColor="text1"/>
          <w:sz w:val="24"/>
          <w:szCs w:val="24"/>
          <w:lang w:val="en-GB"/>
        </w:rPr>
        <w:footnoteReference w:id="8"/>
      </w:r>
      <w:r>
        <w:rPr>
          <w:rFonts w:ascii="Times New Roman" w:hAnsi="Times New Roman"/>
          <w:noProof/>
          <w:color w:val="000000" w:themeColor="text1"/>
          <w:sz w:val="24"/>
        </w:rPr>
        <w:t>.</w:t>
      </w:r>
    </w:p>
    <w:p w14:paraId="692725B1" w14:textId="4691BC8E" w:rsidR="0071350B" w:rsidRPr="00300B33" w:rsidRDefault="7F69D32B" w:rsidP="00BE3E6D">
      <w:pPr>
        <w:spacing w:after="0" w:line="276"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 </w:t>
      </w:r>
    </w:p>
    <w:p w14:paraId="3915C92D" w14:textId="34DA25FC" w:rsidR="000E2C0B" w:rsidRPr="00300B33" w:rsidRDefault="00BE3E6D" w:rsidP="00C0526E">
      <w:pPr>
        <w:spacing w:after="0" w:line="276" w:lineRule="auto"/>
        <w:jc w:val="both"/>
        <w:rPr>
          <w:rFonts w:ascii="Times New Roman" w:hAnsi="Times New Roman" w:cs="Times New Roman"/>
          <w:noProof/>
          <w:sz w:val="24"/>
          <w:szCs w:val="24"/>
        </w:rPr>
      </w:pPr>
      <w:r>
        <w:rPr>
          <w:rFonts w:ascii="Times New Roman" w:hAnsi="Times New Roman"/>
          <w:noProof/>
          <w:color w:val="000000" w:themeColor="text1"/>
          <w:sz w:val="24"/>
        </w:rPr>
        <w:t xml:space="preserve">Cette stratégie sera mise en œuvre parallèlement à d’autres </w:t>
      </w:r>
      <w:r>
        <w:rPr>
          <w:rFonts w:ascii="Times New Roman" w:hAnsi="Times New Roman"/>
          <w:b/>
          <w:noProof/>
          <w:color w:val="000000" w:themeColor="text1"/>
          <w:sz w:val="24"/>
        </w:rPr>
        <w:t>stratégies pour une Union de l’égalité</w:t>
      </w:r>
      <w:r>
        <w:rPr>
          <w:rFonts w:ascii="Times New Roman" w:hAnsi="Times New Roman"/>
          <w:noProof/>
          <w:color w:val="000000" w:themeColor="text1"/>
          <w:sz w:val="24"/>
        </w:rPr>
        <w:t xml:space="preserve"> afin de permettre </w:t>
      </w:r>
      <w:r>
        <w:rPr>
          <w:rFonts w:ascii="Times New Roman" w:hAnsi="Times New Roman"/>
          <w:b/>
          <w:noProof/>
          <w:color w:val="000000" w:themeColor="text1"/>
          <w:sz w:val="24"/>
        </w:rPr>
        <w:t>à chacun de choisir librement sa voie, de s’épanouir et de prendre des initiatives</w:t>
      </w:r>
      <w:r>
        <w:rPr>
          <w:rFonts w:ascii="Times New Roman" w:hAnsi="Times New Roman"/>
          <w:noProof/>
          <w:color w:val="000000" w:themeColor="text1"/>
          <w:sz w:val="24"/>
        </w:rPr>
        <w:t>, indépendamment de son genre, de sa race ou de son origine ethnique, de sa religion ou de ses convictions, de son handicap, de son âge ou de son orientation sexuelle</w:t>
      </w:r>
      <w:r>
        <w:rPr>
          <w:rStyle w:val="FootnoteReference"/>
          <w:rFonts w:ascii="Times New Roman" w:hAnsi="Times New Roman" w:cs="Times New Roman"/>
          <w:noProof/>
          <w:color w:val="000000" w:themeColor="text1"/>
          <w:sz w:val="24"/>
          <w:szCs w:val="24"/>
        </w:rPr>
        <w:footnoteReference w:id="9"/>
      </w:r>
      <w:r>
        <w:rPr>
          <w:rFonts w:ascii="Times New Roman" w:hAnsi="Times New Roman"/>
          <w:noProof/>
          <w:color w:val="000000" w:themeColor="text1"/>
          <w:sz w:val="24"/>
        </w:rPr>
        <w:t xml:space="preserve">. Cette stratégie a bénéficié d’un </w:t>
      </w:r>
      <w:r>
        <w:rPr>
          <w:rFonts w:ascii="Times New Roman" w:hAnsi="Times New Roman"/>
          <w:b/>
          <w:noProof/>
          <w:color w:val="000000" w:themeColor="text1"/>
          <w:sz w:val="24"/>
        </w:rPr>
        <w:t>processus de consultation inclusif</w:t>
      </w:r>
      <w:r>
        <w:rPr>
          <w:rFonts w:ascii="Times New Roman" w:hAnsi="Times New Roman"/>
          <w:noProof/>
          <w:color w:val="000000" w:themeColor="text1"/>
          <w:sz w:val="24"/>
        </w:rPr>
        <w:t>, réunissant les citoyens, les États membres, les institutions européennes, les partenaires sociaux, les organismes de promotion de l’égalité, ainsi que les organisations internationales et de la société civile</w:t>
      </w:r>
      <w:r>
        <w:rPr>
          <w:rStyle w:val="FootnoteReference"/>
          <w:rFonts w:ascii="Times New Roman" w:hAnsi="Times New Roman" w:cs="Times New Roman"/>
          <w:noProof/>
          <w:color w:val="000000" w:themeColor="text1"/>
          <w:sz w:val="24"/>
          <w:szCs w:val="24"/>
          <w:lang w:val="en-GB"/>
        </w:rPr>
        <w:footnoteReference w:id="10"/>
      </w:r>
      <w:r>
        <w:rPr>
          <w:rFonts w:ascii="Times New Roman" w:hAnsi="Times New Roman"/>
          <w:noProof/>
          <w:color w:val="000000" w:themeColor="text1"/>
          <w:sz w:val="24"/>
        </w:rPr>
        <w:t>. Le Conseil et le Parlement européen ont tous deux invité la Commission à présenter une stratégie en faveur de l’égalité de genre pour la période 2026-2030</w:t>
      </w:r>
      <w:r>
        <w:rPr>
          <w:rStyle w:val="FootnoteReference"/>
          <w:rFonts w:ascii="Times New Roman" w:eastAsia="Aptos" w:hAnsi="Times New Roman" w:cs="Times New Roman"/>
          <w:noProof/>
          <w:sz w:val="24"/>
          <w:szCs w:val="24"/>
          <w:lang w:val="en-GB"/>
        </w:rPr>
        <w:footnoteReference w:id="11"/>
      </w:r>
      <w:r>
        <w:rPr>
          <w:rFonts w:ascii="Times New Roman" w:hAnsi="Times New Roman"/>
          <w:noProof/>
          <w:color w:val="000000" w:themeColor="text1"/>
          <w:sz w:val="24"/>
        </w:rPr>
        <w:t>.</w:t>
      </w:r>
    </w:p>
    <w:p w14:paraId="4EC9E6C0" w14:textId="6DB606F9" w:rsidR="00A057FE" w:rsidRPr="00300B33" w:rsidDel="00216FA5" w:rsidRDefault="00A057FE" w:rsidP="00C0526E">
      <w:pPr>
        <w:spacing w:after="0" w:line="276" w:lineRule="auto"/>
        <w:jc w:val="both"/>
        <w:rPr>
          <w:rFonts w:ascii="Times New Roman" w:hAnsi="Times New Roman" w:cs="Times New Roman"/>
          <w:noProof/>
          <w:color w:val="000000" w:themeColor="text1"/>
          <w:sz w:val="24"/>
          <w:szCs w:val="24"/>
        </w:rPr>
      </w:pPr>
    </w:p>
    <w:p w14:paraId="74064C32" w14:textId="3BD6AAE1" w:rsidR="00EB31B8" w:rsidRPr="00300B33" w:rsidRDefault="00CF4B59" w:rsidP="00F9606A">
      <w:pPr>
        <w:pStyle w:val="ListParagraph"/>
        <w:numPr>
          <w:ilvl w:val="0"/>
          <w:numId w:val="1"/>
        </w:numPr>
        <w:spacing w:after="0" w:line="276" w:lineRule="auto"/>
        <w:jc w:val="both"/>
        <w:rPr>
          <w:rFonts w:ascii="Times New Roman" w:hAnsi="Times New Roman" w:cs="Times New Roman"/>
          <w:b/>
          <w:noProof/>
          <w:sz w:val="24"/>
          <w:szCs w:val="24"/>
        </w:rPr>
      </w:pPr>
      <w:r>
        <w:rPr>
          <w:rFonts w:ascii="Times New Roman" w:hAnsi="Times New Roman"/>
          <w:b/>
          <w:noProof/>
          <w:sz w:val="24"/>
        </w:rPr>
        <w:t xml:space="preserve">Faire progresser l’égalité de genre et les droits des femmes </w:t>
      </w:r>
    </w:p>
    <w:p w14:paraId="240DDEF7" w14:textId="77777777" w:rsidR="000C360D" w:rsidRPr="00300B33" w:rsidRDefault="000C360D" w:rsidP="000C360D">
      <w:pPr>
        <w:spacing w:after="0" w:line="276" w:lineRule="auto"/>
        <w:jc w:val="both"/>
        <w:rPr>
          <w:rFonts w:ascii="Times New Roman" w:hAnsi="Times New Roman" w:cs="Times New Roman"/>
          <w:b/>
          <w:noProof/>
          <w:sz w:val="24"/>
          <w:szCs w:val="24"/>
        </w:rPr>
      </w:pPr>
    </w:p>
    <w:p w14:paraId="5921A2A5" w14:textId="0C761B3C" w:rsidR="00E405E5" w:rsidRPr="00300B33" w:rsidRDefault="00EB31B8" w:rsidP="6FD3B558">
      <w:pPr>
        <w:pBdr>
          <w:top w:val="single" w:sz="4" w:space="1" w:color="auto"/>
          <w:left w:val="single" w:sz="4" w:space="4" w:color="auto"/>
          <w:bottom w:val="single" w:sz="4" w:space="1" w:color="auto"/>
          <w:right w:val="single" w:sz="4" w:space="4" w:color="auto"/>
        </w:pBdr>
        <w:spacing w:after="0" w:line="276" w:lineRule="auto"/>
        <w:contextualSpacing/>
        <w:jc w:val="both"/>
        <w:rPr>
          <w:rFonts w:ascii="Times New Roman" w:hAnsi="Times New Roman" w:cs="Times New Roman"/>
          <w:b/>
          <w:bCs/>
          <w:i/>
          <w:iCs/>
          <w:noProof/>
          <w:sz w:val="24"/>
          <w:szCs w:val="24"/>
        </w:rPr>
      </w:pPr>
      <w:r>
        <w:rPr>
          <w:rFonts w:ascii="Times New Roman" w:hAnsi="Times New Roman"/>
          <w:b/>
          <w:i/>
          <w:noProof/>
          <w:sz w:val="24"/>
        </w:rPr>
        <w:t xml:space="preserve">Principe 1 de la feuille de route: l’absence de violence fondée sur le genre </w:t>
      </w:r>
      <w:r w:rsidR="00DE7666">
        <w:rPr>
          <w:rFonts w:ascii="Times New Roman" w:hAnsi="Times New Roman"/>
          <w:b/>
          <w:i/>
          <w:noProof/>
          <w:sz w:val="24"/>
        </w:rPr>
        <w:t>–</w:t>
      </w:r>
      <w:r>
        <w:rPr>
          <w:rFonts w:ascii="Times New Roman" w:hAnsi="Times New Roman"/>
          <w:b/>
          <w:i/>
          <w:noProof/>
          <w:sz w:val="24"/>
        </w:rPr>
        <w:t xml:space="preserve"> le droit à la sécurité et à la dignité</w:t>
      </w:r>
    </w:p>
    <w:p w14:paraId="362E37EB" w14:textId="77777777" w:rsidR="00946B03" w:rsidRPr="00300B33" w:rsidRDefault="00946B03" w:rsidP="00E24617">
      <w:pPr>
        <w:spacing w:after="0" w:line="276" w:lineRule="auto"/>
        <w:jc w:val="both"/>
        <w:rPr>
          <w:rFonts w:ascii="Times New Roman" w:hAnsi="Times New Roman" w:cs="Times New Roman"/>
          <w:b/>
          <w:bCs/>
          <w:i/>
          <w:iCs/>
          <w:noProof/>
          <w:sz w:val="24"/>
          <w:szCs w:val="24"/>
        </w:rPr>
      </w:pPr>
    </w:p>
    <w:p w14:paraId="3665398F" w14:textId="4BB4BA69" w:rsidR="00A16396" w:rsidRPr="00300B33" w:rsidRDefault="003A2CAD" w:rsidP="00A16396">
      <w:pPr>
        <w:spacing w:after="0" w:line="276" w:lineRule="auto"/>
        <w:jc w:val="both"/>
        <w:rPr>
          <w:rFonts w:ascii="Times New Roman" w:hAnsi="Times New Roman" w:cs="Times New Roman"/>
          <w:noProof/>
          <w:sz w:val="24"/>
          <w:szCs w:val="24"/>
        </w:rPr>
      </w:pPr>
      <w:r>
        <w:rPr>
          <w:rFonts w:ascii="Times New Roman" w:hAnsi="Times New Roman"/>
          <w:b/>
          <w:noProof/>
          <w:sz w:val="24"/>
        </w:rPr>
        <w:t>La violence fondée sur le genre</w:t>
      </w:r>
      <w:r>
        <w:rPr>
          <w:rFonts w:ascii="Times New Roman" w:hAnsi="Times New Roman"/>
          <w:noProof/>
          <w:sz w:val="24"/>
        </w:rPr>
        <w:t xml:space="preserve"> constitue non seulement une violation des droits fondamentaux, mais aussi une menace grave pour la sécurité commune de l’UE, car elle porte atteinte à la sécurité, à la dignité et à l’égalité des personnes et des communautés. </w:t>
      </w:r>
      <w:r>
        <w:rPr>
          <w:rFonts w:ascii="Times New Roman" w:hAnsi="Times New Roman"/>
          <w:b/>
          <w:noProof/>
          <w:sz w:val="24"/>
        </w:rPr>
        <w:t>Une femme sur trois</w:t>
      </w:r>
      <w:r>
        <w:rPr>
          <w:rFonts w:ascii="Times New Roman" w:hAnsi="Times New Roman"/>
          <w:noProof/>
          <w:sz w:val="24"/>
        </w:rPr>
        <w:t xml:space="preserve"> dans l’UE a subi des violences fondées sur le genre au cours de sa vie. La </w:t>
      </w:r>
      <w:r>
        <w:rPr>
          <w:rFonts w:ascii="Times New Roman" w:hAnsi="Times New Roman"/>
          <w:b/>
          <w:noProof/>
          <w:sz w:val="24"/>
        </w:rPr>
        <w:t>violence domestique</w:t>
      </w:r>
      <w:r>
        <w:rPr>
          <w:rFonts w:ascii="Times New Roman" w:hAnsi="Times New Roman"/>
          <w:noProof/>
          <w:sz w:val="24"/>
        </w:rPr>
        <w:t xml:space="preserve"> est une forme répandue de violence fondée sur le genre, une femme sur cinq dans l’UE ayant subi des </w:t>
      </w:r>
      <w:r>
        <w:rPr>
          <w:rFonts w:ascii="Times New Roman" w:hAnsi="Times New Roman"/>
          <w:b/>
          <w:noProof/>
          <w:sz w:val="24"/>
        </w:rPr>
        <w:t>violences physiques ou sexuelles</w:t>
      </w:r>
      <w:r>
        <w:rPr>
          <w:rFonts w:ascii="Times New Roman" w:hAnsi="Times New Roman"/>
          <w:noProof/>
          <w:sz w:val="24"/>
        </w:rPr>
        <w:t xml:space="preserve"> de la part de son partenaire ou ex-partenaire, d’un parent ou d’un autre membre de son ménage. Trop souvent, la violence domestique conduit à la forme la plus extrême de violence à l’égard des femmes: le </w:t>
      </w:r>
      <w:r>
        <w:rPr>
          <w:rFonts w:ascii="Times New Roman" w:hAnsi="Times New Roman"/>
          <w:b/>
          <w:noProof/>
          <w:sz w:val="24"/>
        </w:rPr>
        <w:t>féminicide</w:t>
      </w:r>
      <w:r>
        <w:rPr>
          <w:rFonts w:ascii="Times New Roman" w:hAnsi="Times New Roman"/>
          <w:noProof/>
          <w:sz w:val="24"/>
        </w:rPr>
        <w:t>, qui coûte la vie à 18 femmes par semaine dans l’UE</w:t>
      </w:r>
      <w:r>
        <w:rPr>
          <w:rStyle w:val="FootnoteReference"/>
          <w:rFonts w:ascii="Times New Roman" w:hAnsi="Times New Roman" w:cs="Times New Roman"/>
          <w:noProof/>
          <w:sz w:val="24"/>
          <w:szCs w:val="24"/>
        </w:rPr>
        <w:footnoteReference w:id="12"/>
      </w:r>
      <w:r>
        <w:rPr>
          <w:rFonts w:ascii="Times New Roman" w:hAnsi="Times New Roman"/>
          <w:noProof/>
          <w:sz w:val="24"/>
        </w:rPr>
        <w:t xml:space="preserve">. De nombreux </w:t>
      </w:r>
      <w:r>
        <w:rPr>
          <w:rFonts w:ascii="Times New Roman" w:hAnsi="Times New Roman"/>
          <w:b/>
          <w:noProof/>
          <w:sz w:val="24"/>
        </w:rPr>
        <w:t>enfants</w:t>
      </w:r>
      <w:r>
        <w:rPr>
          <w:rFonts w:ascii="Times New Roman" w:hAnsi="Times New Roman"/>
          <w:noProof/>
          <w:sz w:val="24"/>
        </w:rPr>
        <w:t xml:space="preserve"> souffrent également de violence domestique et de violence fondée sur le genre, en tant que victimes directes ou témoins. </w:t>
      </w:r>
      <w:r>
        <w:rPr>
          <w:rFonts w:ascii="Times New Roman" w:hAnsi="Times New Roman"/>
          <w:b/>
          <w:noProof/>
          <w:sz w:val="24"/>
        </w:rPr>
        <w:t>Il est essentiel d’agir à l’égard des attitudes et des comportements</w:t>
      </w:r>
      <w:r>
        <w:rPr>
          <w:rFonts w:ascii="Times New Roman" w:hAnsi="Times New Roman"/>
          <w:noProof/>
          <w:sz w:val="24"/>
        </w:rPr>
        <w:t xml:space="preserve"> pour prévenir la violence fondée sur le genre, et il est crucial de </w:t>
      </w:r>
      <w:r>
        <w:rPr>
          <w:rFonts w:ascii="Times New Roman" w:hAnsi="Times New Roman"/>
          <w:b/>
          <w:noProof/>
          <w:sz w:val="24"/>
        </w:rPr>
        <w:t>faire participer les hommes et les garçons</w:t>
      </w:r>
      <w:r>
        <w:rPr>
          <w:rFonts w:ascii="Times New Roman" w:hAnsi="Times New Roman"/>
          <w:noProof/>
          <w:sz w:val="24"/>
        </w:rPr>
        <w:t>.</w:t>
      </w:r>
    </w:p>
    <w:p w14:paraId="451100B4" w14:textId="645DFD63" w:rsidR="00E24617" w:rsidRPr="00300B33" w:rsidRDefault="00E24617" w:rsidP="00E24617">
      <w:pPr>
        <w:spacing w:after="0" w:line="276" w:lineRule="auto"/>
        <w:jc w:val="both"/>
        <w:rPr>
          <w:rFonts w:ascii="Times New Roman" w:hAnsi="Times New Roman" w:cs="Times New Roman"/>
          <w:noProof/>
          <w:sz w:val="24"/>
          <w:szCs w:val="24"/>
        </w:rPr>
      </w:pPr>
    </w:p>
    <w:p w14:paraId="3FCAE4D5" w14:textId="66209AD1" w:rsidR="00C23F15" w:rsidRPr="000E2AA0" w:rsidRDefault="00803FF7" w:rsidP="00C23F15">
      <w:pPr>
        <w:spacing w:after="0" w:line="276" w:lineRule="auto"/>
        <w:jc w:val="both"/>
        <w:rPr>
          <w:rFonts w:ascii="Times New Roman" w:hAnsi="Times New Roman" w:cs="Times New Roman"/>
          <w:noProof/>
          <w:sz w:val="24"/>
          <w:szCs w:val="24"/>
        </w:rPr>
      </w:pPr>
      <w:r>
        <w:rPr>
          <w:rFonts w:ascii="Times New Roman" w:hAnsi="Times New Roman"/>
          <w:noProof/>
          <w:sz w:val="24"/>
        </w:rPr>
        <w:t xml:space="preserve">La </w:t>
      </w:r>
      <w:r>
        <w:rPr>
          <w:rFonts w:ascii="Times New Roman" w:hAnsi="Times New Roman"/>
          <w:b/>
          <w:noProof/>
          <w:sz w:val="24"/>
        </w:rPr>
        <w:t>cyberviolence fondée sur le genre</w:t>
      </w:r>
      <w:r>
        <w:rPr>
          <w:rFonts w:ascii="Times New Roman" w:hAnsi="Times New Roman"/>
          <w:noProof/>
          <w:sz w:val="24"/>
        </w:rPr>
        <w:t xml:space="preserve"> constitue une menace qui s’intensifie rapidement pour les femmes et les filles, avec la propagation rapide d’images intimes non consenties sur l’internet, les difficultés à faire supprimer ces contenus illicites et les menaces haineuses et violentes en ligne. Certaines études montrent que 98 % de l’ensemble des </w:t>
      </w:r>
      <w:r>
        <w:rPr>
          <w:rFonts w:ascii="Times New Roman" w:hAnsi="Times New Roman"/>
          <w:b/>
          <w:noProof/>
          <w:sz w:val="24"/>
        </w:rPr>
        <w:t>hypertrucages</w:t>
      </w:r>
      <w:r>
        <w:rPr>
          <w:rFonts w:ascii="Times New Roman" w:hAnsi="Times New Roman"/>
          <w:noProof/>
          <w:sz w:val="24"/>
        </w:rPr>
        <w:t xml:space="preserve"> sur l’internet sont de nature pornographique et que 99 % d’entre eux représentent des femmes</w:t>
      </w:r>
      <w:r>
        <w:rPr>
          <w:rStyle w:val="FootnoteReference"/>
          <w:rFonts w:ascii="Times New Roman" w:hAnsi="Times New Roman" w:cs="Times New Roman"/>
          <w:noProof/>
          <w:sz w:val="24"/>
          <w:szCs w:val="24"/>
        </w:rPr>
        <w:footnoteReference w:id="13"/>
      </w:r>
      <w:r>
        <w:rPr>
          <w:rFonts w:ascii="Times New Roman" w:hAnsi="Times New Roman"/>
          <w:noProof/>
          <w:sz w:val="24"/>
        </w:rPr>
        <w:t>. Cela nuit à l’intégrité des femmes et force nombre d’entre elles à sortir de l’environnement en ligne, des débats en ligne et de l’économie numérique, menaçant ainsi la démocratie et la compétitivité de l’UE.</w:t>
      </w:r>
      <w:r>
        <w:rPr>
          <w:rFonts w:ascii="Times New Roman" w:hAnsi="Times New Roman"/>
          <w:b/>
          <w:noProof/>
          <w:sz w:val="24"/>
        </w:rPr>
        <w:t xml:space="preserve"> </w:t>
      </w:r>
      <w:r>
        <w:rPr>
          <w:rFonts w:ascii="Times New Roman" w:hAnsi="Times New Roman"/>
          <w:noProof/>
          <w:sz w:val="24"/>
        </w:rPr>
        <w:t>La Commission accordera une attention particulière au rôle de l’intelligence artificielle dans la production et la diffusion d’hypertrucages et de nus ultraréalistes sexuellement explicites et préjudiciables. </w:t>
      </w:r>
    </w:p>
    <w:p w14:paraId="65B9A355" w14:textId="77777777" w:rsidR="00C23F15" w:rsidRPr="000E2AA0" w:rsidRDefault="00C23F15" w:rsidP="00C23F15">
      <w:pPr>
        <w:spacing w:after="0" w:line="276" w:lineRule="auto"/>
        <w:jc w:val="both"/>
        <w:rPr>
          <w:rFonts w:ascii="Times New Roman" w:hAnsi="Times New Roman" w:cs="Times New Roman"/>
          <w:noProof/>
          <w:sz w:val="24"/>
          <w:szCs w:val="24"/>
        </w:rPr>
      </w:pPr>
      <w:r>
        <w:rPr>
          <w:rFonts w:ascii="Times New Roman" w:hAnsi="Times New Roman"/>
          <w:noProof/>
          <w:sz w:val="24"/>
        </w:rPr>
        <w:t xml:space="preserve"> </w:t>
      </w:r>
    </w:p>
    <w:p w14:paraId="390C59AC" w14:textId="5F53220D" w:rsidR="00B65374" w:rsidRPr="00300B33" w:rsidRDefault="006B14AD" w:rsidP="6FD3B558">
      <w:pPr>
        <w:spacing w:after="0" w:line="276" w:lineRule="auto"/>
        <w:jc w:val="both"/>
        <w:rPr>
          <w:rFonts w:ascii="Times New Roman" w:hAnsi="Times New Roman" w:cs="Times New Roman"/>
          <w:noProof/>
          <w:sz w:val="24"/>
          <w:szCs w:val="24"/>
        </w:rPr>
      </w:pPr>
      <w:r w:rsidRPr="00F5535E">
        <w:rPr>
          <w:rFonts w:ascii="Times New Roman" w:hAnsi="Times New Roman"/>
          <w:bCs/>
          <w:noProof/>
          <w:sz w:val="24"/>
        </w:rPr>
        <w:t>La</w:t>
      </w:r>
      <w:r>
        <w:rPr>
          <w:rFonts w:ascii="Times New Roman" w:hAnsi="Times New Roman"/>
          <w:b/>
          <w:noProof/>
          <w:sz w:val="24"/>
        </w:rPr>
        <w:t xml:space="preserve"> </w:t>
      </w:r>
      <w:hyperlink r:id="rId17" w:history="1">
        <w:r>
          <w:rPr>
            <w:rStyle w:val="Hyperlink"/>
            <w:rFonts w:ascii="Times New Roman" w:hAnsi="Times New Roman"/>
            <w:b/>
            <w:noProof/>
            <w:sz w:val="24"/>
          </w:rPr>
          <w:t>directive sur la lutte contre la violence à l’égard des femmes et la violence domestique</w:t>
        </w:r>
      </w:hyperlink>
      <w:r>
        <w:rPr>
          <w:rFonts w:ascii="Times New Roman" w:hAnsi="Times New Roman"/>
          <w:noProof/>
          <w:sz w:val="24"/>
        </w:rPr>
        <w:t xml:space="preserve"> est le principal outil dont dispose l’UE pour combattre la violence fondée sur le genre. La directive fournit un cadre juridique solide qui prévient la violence et protège les victimes dans l’ensemble de l’UE. Elle érige en infractions pénales les mutilations génitales féminines, le mariage forcé et plusieurs formes de cyberviolences fondées sur le genre</w:t>
      </w:r>
      <w:r>
        <w:rPr>
          <w:rStyle w:val="FootnoteReference"/>
          <w:rFonts w:ascii="Times New Roman" w:hAnsi="Times New Roman" w:cs="Times New Roman"/>
          <w:noProof/>
          <w:sz w:val="24"/>
          <w:szCs w:val="24"/>
        </w:rPr>
        <w:footnoteReference w:id="14"/>
      </w:r>
      <w:r>
        <w:rPr>
          <w:rFonts w:ascii="Times New Roman" w:hAnsi="Times New Roman"/>
          <w:noProof/>
          <w:sz w:val="24"/>
        </w:rPr>
        <w:t>. La Commission continuera à soutenir les États membres dans la transposition de la directive le plus rapidement possible (délai: 14 juin 2027) et la mise en œuvre effective par la suite, notamment en organisant des ateliers de mise en œuvre et des échanges bilatéraux. Une attention particulière sera accordée aux dispositions relatives aux infractions liées à la cyberviolence, à la suppression des contenus illicites, aux canaux de signalement en ligne accessibles et aux services spécialisés pour les victimes de la cybercriminalité.</w:t>
      </w:r>
    </w:p>
    <w:p w14:paraId="6DD794B3" w14:textId="77777777" w:rsidR="00A40482" w:rsidRPr="00300B33" w:rsidRDefault="00A40482" w:rsidP="6FD3B558">
      <w:pPr>
        <w:spacing w:after="0" w:line="276" w:lineRule="auto"/>
        <w:jc w:val="both"/>
        <w:rPr>
          <w:rFonts w:ascii="Times New Roman" w:hAnsi="Times New Roman" w:cs="Times New Roman"/>
          <w:noProof/>
          <w:sz w:val="24"/>
          <w:szCs w:val="24"/>
        </w:rPr>
      </w:pPr>
    </w:p>
    <w:p w14:paraId="62F9C8A0" w14:textId="0BD4D8DB" w:rsidR="005C38CD" w:rsidRPr="00300B33" w:rsidRDefault="00A40482" w:rsidP="005C38CD">
      <w:pPr>
        <w:spacing w:after="0" w:line="276" w:lineRule="auto"/>
        <w:jc w:val="both"/>
        <w:rPr>
          <w:rFonts w:ascii="Times New Roman" w:hAnsi="Times New Roman" w:cs="Times New Roman"/>
          <w:noProof/>
          <w:sz w:val="24"/>
          <w:szCs w:val="24"/>
        </w:rPr>
      </w:pPr>
      <w:r>
        <w:rPr>
          <w:rFonts w:ascii="Times New Roman" w:hAnsi="Times New Roman"/>
          <w:noProof/>
          <w:sz w:val="24"/>
        </w:rPr>
        <w:t xml:space="preserve">La Commission soutiendra les réformes nationales mettant en place des définitions du viol fondées sur la notion de consentement. S’appuyant sur sa proposition de directive de 2022 sur la lutte contre la violence à l’égard des femmes et la violence domestique, qui intégrait une définition du viol à l’échelle de l’UE, la Commission actualisera sa </w:t>
      </w:r>
      <w:r>
        <w:rPr>
          <w:rFonts w:ascii="Times New Roman" w:hAnsi="Times New Roman"/>
          <w:b/>
          <w:noProof/>
          <w:sz w:val="24"/>
        </w:rPr>
        <w:t>cartographie du paysage juridique dans l’UE</w:t>
      </w:r>
      <w:r>
        <w:rPr>
          <w:rFonts w:ascii="Times New Roman" w:hAnsi="Times New Roman"/>
          <w:noProof/>
          <w:sz w:val="24"/>
        </w:rPr>
        <w:t xml:space="preserve"> en vue de définir </w:t>
      </w:r>
      <w:r>
        <w:rPr>
          <w:rFonts w:ascii="Times New Roman" w:hAnsi="Times New Roman"/>
          <w:b/>
          <w:noProof/>
          <w:sz w:val="24"/>
        </w:rPr>
        <w:t>de nouvelles mesures, y compris législatives, pour faire en sorte que le sexe sans consentement soit défini comme constituant un viol dans l’ensemble de l’UE</w:t>
      </w:r>
      <w:r>
        <w:rPr>
          <w:rFonts w:ascii="Times New Roman" w:hAnsi="Times New Roman"/>
          <w:noProof/>
          <w:sz w:val="24"/>
        </w:rPr>
        <w:t xml:space="preserve">. La Commission aidera également les États membres à mettre en œuvre l’article 35 de la directive sur la lutte contre la violence à l’égard des femmes et la violence domestique, qui leur impose de mettre à disposition et de distribuer du matériel éducatif favorisant la compréhension selon laquelle le consentement doit être donné volontairement sur la base du libre arbitre d’une personne, du respect mutuel et du droit à l’intégrité sexuelle et à l’autonomie corporelle, y compris en fournissant des orientations si nécessaire. </w:t>
      </w:r>
    </w:p>
    <w:p w14:paraId="6D6FBDB0" w14:textId="77777777" w:rsidR="005C38CD" w:rsidRPr="00300B33" w:rsidRDefault="005C38CD" w:rsidP="00803FF7">
      <w:pPr>
        <w:spacing w:after="0" w:line="276" w:lineRule="auto"/>
        <w:jc w:val="both"/>
        <w:rPr>
          <w:rFonts w:ascii="Times New Roman" w:hAnsi="Times New Roman" w:cs="Times New Roman"/>
          <w:noProof/>
          <w:sz w:val="24"/>
          <w:szCs w:val="24"/>
        </w:rPr>
      </w:pPr>
    </w:p>
    <w:p w14:paraId="64BB8728" w14:textId="4D58868C" w:rsidR="006B14AD" w:rsidRPr="00300B33" w:rsidRDefault="004800DD" w:rsidP="00803FF7">
      <w:pPr>
        <w:spacing w:after="0" w:line="276" w:lineRule="auto"/>
        <w:jc w:val="both"/>
        <w:rPr>
          <w:rFonts w:ascii="Times New Roman" w:hAnsi="Times New Roman" w:cs="Times New Roman"/>
          <w:b/>
          <w:bCs/>
          <w:noProof/>
          <w:sz w:val="24"/>
          <w:szCs w:val="24"/>
        </w:rPr>
      </w:pPr>
      <w:r>
        <w:rPr>
          <w:rFonts w:ascii="Times New Roman" w:hAnsi="Times New Roman"/>
          <w:noProof/>
          <w:sz w:val="24"/>
        </w:rPr>
        <w:t xml:space="preserve">La Commission aidera également les États membres à élaborer leurs </w:t>
      </w:r>
      <w:r>
        <w:rPr>
          <w:rFonts w:ascii="Times New Roman" w:hAnsi="Times New Roman"/>
          <w:b/>
          <w:noProof/>
          <w:sz w:val="24"/>
        </w:rPr>
        <w:t>plans d’action nationaux pour prévenir et combattre la violence à l’égard des femmes et la violence domestique</w:t>
      </w:r>
      <w:r>
        <w:rPr>
          <w:rStyle w:val="FootnoteReference"/>
          <w:rFonts w:ascii="Times New Roman" w:hAnsi="Times New Roman" w:cs="Times New Roman"/>
          <w:noProof/>
          <w:sz w:val="24"/>
          <w:szCs w:val="24"/>
        </w:rPr>
        <w:footnoteReference w:id="15"/>
      </w:r>
      <w:r>
        <w:rPr>
          <w:rFonts w:ascii="Times New Roman" w:hAnsi="Times New Roman"/>
          <w:noProof/>
          <w:sz w:val="24"/>
        </w:rPr>
        <w:t xml:space="preserve">, qui doivent être présentés d’ici juin 2029. La mise en œuvre de la directive sur la lutte contre la violence à l’égard des femmes et la violence domestique et des plans nationaux sera soutenue par le partage des bonnes pratiques entre les États membres, notamment par l’intermédiaire du </w:t>
      </w:r>
      <w:hyperlink r:id="rId18" w:history="1">
        <w:r>
          <w:rPr>
            <w:rStyle w:val="Hyperlink"/>
            <w:rFonts w:ascii="Times New Roman" w:hAnsi="Times New Roman"/>
            <w:b/>
            <w:noProof/>
            <w:sz w:val="24"/>
          </w:rPr>
          <w:t>programme d’apprentissage mutuel en matière d’égalité hommes-femmes</w:t>
        </w:r>
      </w:hyperlink>
      <w:r>
        <w:rPr>
          <w:rFonts w:ascii="Times New Roman" w:hAnsi="Times New Roman"/>
          <w:noProof/>
          <w:sz w:val="24"/>
        </w:rPr>
        <w:t xml:space="preserve"> et du </w:t>
      </w:r>
      <w:r>
        <w:rPr>
          <w:rFonts w:ascii="Times New Roman" w:hAnsi="Times New Roman"/>
          <w:b/>
          <w:noProof/>
          <w:sz w:val="24"/>
        </w:rPr>
        <w:t>réseau de prévention de la violence fondée sur le genre et de la violence domestique</w:t>
      </w:r>
      <w:r>
        <w:rPr>
          <w:rFonts w:ascii="Times New Roman" w:hAnsi="Times New Roman"/>
          <w:noProof/>
          <w:sz w:val="24"/>
        </w:rPr>
        <w:t>.</w:t>
      </w:r>
      <w:r>
        <w:rPr>
          <w:rFonts w:ascii="Times New Roman" w:hAnsi="Times New Roman"/>
          <w:b/>
          <w:noProof/>
          <w:sz w:val="24"/>
        </w:rPr>
        <w:t xml:space="preserve"> </w:t>
      </w:r>
    </w:p>
    <w:p w14:paraId="5D9E28D3" w14:textId="77777777" w:rsidR="0076421C" w:rsidRPr="00300B33" w:rsidRDefault="0076421C" w:rsidP="0076421C">
      <w:pPr>
        <w:spacing w:after="0" w:line="276" w:lineRule="auto"/>
        <w:jc w:val="both"/>
        <w:rPr>
          <w:rFonts w:ascii="Times New Roman" w:hAnsi="Times New Roman" w:cs="Times New Roman"/>
          <w:noProof/>
          <w:sz w:val="24"/>
          <w:szCs w:val="24"/>
        </w:rPr>
      </w:pPr>
    </w:p>
    <w:p w14:paraId="10974486" w14:textId="5407099B" w:rsidR="009961D9" w:rsidRPr="00300B33" w:rsidRDefault="009961D9" w:rsidP="002D61CA">
      <w:pPr>
        <w:spacing w:after="0" w:line="276" w:lineRule="auto"/>
        <w:jc w:val="both"/>
        <w:rPr>
          <w:rFonts w:ascii="Times New Roman" w:hAnsi="Times New Roman" w:cs="Times New Roman"/>
          <w:noProof/>
          <w:sz w:val="24"/>
          <w:szCs w:val="24"/>
        </w:rPr>
      </w:pPr>
      <w:r>
        <w:rPr>
          <w:rFonts w:ascii="Times New Roman" w:hAnsi="Times New Roman"/>
          <w:noProof/>
          <w:sz w:val="24"/>
        </w:rPr>
        <w:t xml:space="preserve">En outre, la </w:t>
      </w:r>
      <w:r>
        <w:rPr>
          <w:rFonts w:ascii="Times New Roman" w:hAnsi="Times New Roman"/>
          <w:b/>
          <w:noProof/>
          <w:sz w:val="24"/>
        </w:rPr>
        <w:t>directive sur les droits des victimes</w:t>
      </w:r>
      <w:r>
        <w:rPr>
          <w:rStyle w:val="FootnoteReference"/>
          <w:rFonts w:ascii="Times New Roman" w:hAnsi="Times New Roman" w:cs="Times New Roman"/>
          <w:noProof/>
          <w:sz w:val="24"/>
          <w:szCs w:val="24"/>
        </w:rPr>
        <w:footnoteReference w:id="16"/>
      </w:r>
      <w:r>
        <w:rPr>
          <w:rFonts w:ascii="Times New Roman" w:hAnsi="Times New Roman"/>
          <w:noProof/>
          <w:sz w:val="24"/>
        </w:rPr>
        <w:t xml:space="preserve"> garantit que les victimes de violences fondées sur le genre bénéficieront d’un meilleur accès à des services d’aide intégrés et à une aide juridictionnelle, d’un signalement facilité des infractions, d’une meilleure protection de leurs données à caractère personnel et de mesures de protection renforcées.</w:t>
      </w:r>
    </w:p>
    <w:p w14:paraId="6DCC769C" w14:textId="61AF58A2" w:rsidR="436A2302" w:rsidRPr="00300B33" w:rsidRDefault="436A2302" w:rsidP="002D61CA">
      <w:pPr>
        <w:spacing w:after="0" w:line="276" w:lineRule="auto"/>
        <w:jc w:val="both"/>
        <w:rPr>
          <w:rFonts w:ascii="Times New Roman" w:hAnsi="Times New Roman" w:cs="Times New Roman"/>
          <w:noProof/>
          <w:sz w:val="24"/>
          <w:szCs w:val="24"/>
        </w:rPr>
      </w:pPr>
    </w:p>
    <w:p w14:paraId="4323EBDE" w14:textId="49C7CEF5" w:rsidR="00EB4B29" w:rsidRDefault="00DF733B" w:rsidP="007638B3">
      <w:pPr>
        <w:spacing w:after="0" w:line="276" w:lineRule="auto"/>
        <w:jc w:val="both"/>
        <w:rPr>
          <w:rFonts w:ascii="Times New Roman" w:hAnsi="Times New Roman" w:cs="Times New Roman"/>
          <w:noProof/>
          <w:sz w:val="24"/>
          <w:szCs w:val="24"/>
        </w:rPr>
      </w:pPr>
      <w:r>
        <w:rPr>
          <w:rFonts w:ascii="Times New Roman" w:hAnsi="Times New Roman"/>
          <w:noProof/>
          <w:sz w:val="24"/>
        </w:rPr>
        <w:t xml:space="preserve">Les services répressifs et les autorités chargées des poursuites jouent un rôle essentiel dans la prévention et la lutte contre la violence domestique et les féminicides. Il est essentiel d’améliorer leur capacité à détecter rapidement les risques et à intervenir pour garantir la sécurité des victimes et mettre fin à l’impunité. La Commission contribuera donc à l’élaboration de </w:t>
      </w:r>
      <w:r>
        <w:rPr>
          <w:rFonts w:ascii="Times New Roman" w:hAnsi="Times New Roman"/>
          <w:b/>
          <w:noProof/>
          <w:sz w:val="24"/>
        </w:rPr>
        <w:t>lignes directrices pour la prévention, la détection, le traitement efficace et la poursuite des cas de violence à l’égard des femmes</w:t>
      </w:r>
      <w:r>
        <w:rPr>
          <w:rFonts w:ascii="Times New Roman" w:hAnsi="Times New Roman"/>
          <w:noProof/>
          <w:sz w:val="24"/>
        </w:rPr>
        <w:t xml:space="preserve">, dans un souci de synergie avec les réseaux, les activités et l’expertise des agences de l’UE, en particulier Europol, Eurojust et le CEPOL. Dans le cadre de ces travaux, la Commission examinera comment </w:t>
      </w:r>
      <w:r>
        <w:rPr>
          <w:rFonts w:ascii="Times New Roman" w:hAnsi="Times New Roman"/>
          <w:b/>
          <w:noProof/>
          <w:sz w:val="24"/>
        </w:rPr>
        <w:t>faciliter la coopération transfrontière</w:t>
      </w:r>
      <w:r>
        <w:rPr>
          <w:rFonts w:ascii="Times New Roman" w:hAnsi="Times New Roman"/>
          <w:noProof/>
          <w:sz w:val="24"/>
        </w:rPr>
        <w:t xml:space="preserve"> entre les autorités compétentes, qui est nécessaire en particulier pour lutter contre la cyberviolence fondée sur le genre, impliquant souvent des auteurs, des victimes, des plateformes et des serveurs situés dans différentes juridictions. Cela sera essentiel pour éviter que les auteurs n’exploitent les vides juridiques et ne se soustraient à l’obligation de rendre des comptes, ce qui priverait les victimes d’une protection ou d’un recours effectifs.</w:t>
      </w:r>
    </w:p>
    <w:p w14:paraId="0AD8DCFF" w14:textId="77777777" w:rsidR="00EB4B29" w:rsidRPr="007C2998" w:rsidRDefault="00EB4B29" w:rsidP="007638B3">
      <w:pPr>
        <w:spacing w:after="0" w:line="276" w:lineRule="auto"/>
        <w:jc w:val="both"/>
        <w:rPr>
          <w:rFonts w:ascii="Times New Roman" w:hAnsi="Times New Roman" w:cs="Times New Roman"/>
          <w:noProof/>
          <w:sz w:val="18"/>
          <w:szCs w:val="18"/>
          <w:lang w:val="fr-BE"/>
        </w:rPr>
      </w:pPr>
    </w:p>
    <w:p w14:paraId="6F97C463" w14:textId="6C1F60FE" w:rsidR="00166F24" w:rsidRPr="00300B33" w:rsidRDefault="003C6E31" w:rsidP="007638B3">
      <w:pPr>
        <w:spacing w:after="0" w:line="276" w:lineRule="auto"/>
        <w:jc w:val="both"/>
        <w:rPr>
          <w:rFonts w:ascii="Times New Roman" w:hAnsi="Times New Roman" w:cs="Times New Roman"/>
          <w:noProof/>
          <w:sz w:val="24"/>
          <w:szCs w:val="24"/>
        </w:rPr>
      </w:pPr>
      <w:r>
        <w:rPr>
          <w:rFonts w:ascii="Times New Roman" w:hAnsi="Times New Roman"/>
          <w:noProof/>
          <w:sz w:val="24"/>
        </w:rPr>
        <w:t xml:space="preserve">Le </w:t>
      </w:r>
      <w:hyperlink r:id="rId19" w:history="1">
        <w:r>
          <w:rPr>
            <w:rStyle w:val="Hyperlink"/>
            <w:rFonts w:ascii="Times New Roman" w:hAnsi="Times New Roman"/>
            <w:b/>
            <w:noProof/>
            <w:sz w:val="24"/>
          </w:rPr>
          <w:t>règlement sur les services numériques</w:t>
        </w:r>
      </w:hyperlink>
      <w:r>
        <w:rPr>
          <w:rFonts w:ascii="Times New Roman" w:hAnsi="Times New Roman"/>
          <w:b/>
          <w:noProof/>
          <w:sz w:val="24"/>
        </w:rPr>
        <w:t xml:space="preserve"> (DSA)</w:t>
      </w:r>
      <w:r>
        <w:rPr>
          <w:rFonts w:ascii="Times New Roman" w:hAnsi="Times New Roman"/>
          <w:noProof/>
          <w:sz w:val="24"/>
        </w:rPr>
        <w:t xml:space="preserve"> considère la violence fondée sur le genre comme un risque systémique</w:t>
      </w:r>
      <w:r>
        <w:rPr>
          <w:rStyle w:val="FootnoteReference"/>
          <w:rFonts w:ascii="Times New Roman" w:hAnsi="Times New Roman" w:cs="Times New Roman"/>
          <w:noProof/>
          <w:sz w:val="24"/>
          <w:szCs w:val="24"/>
          <w:lang w:val="en-US"/>
        </w:rPr>
        <w:footnoteReference w:id="17"/>
      </w:r>
      <w:r>
        <w:rPr>
          <w:rFonts w:ascii="Times New Roman" w:hAnsi="Times New Roman"/>
          <w:noProof/>
          <w:sz w:val="24"/>
        </w:rPr>
        <w:t xml:space="preserve">, que les fournisseurs de très grandes plateformes en ligne (TGPL) et de très grands moteurs de recherche en ligne (TGMRL) doivent évaluer et atténuer. Dans ce contexte, par exemple, la Commission enquête actuellement sur la question de savoir si le fournisseur de X a correctement évalué et atténué les risques de diffusion de contenus illicites tels que les images sexuellement explicites manipulées en lien avec le déploiement des fonctionnalités de Grok AI. La Commission mène également des enquêtes à l’encontre des fournisseurs de quatre plateformes en ligne diffusant des contenus pornographiques afin de veiller à ce que les mineurs n’aient pas accès à ces contenus. La Commission continuera à veiller à l’application rigoureuse de ces cas et de la législation dans son ensemble. </w:t>
      </w:r>
    </w:p>
    <w:p w14:paraId="3C9A4A23" w14:textId="77777777" w:rsidR="007638B3" w:rsidRPr="007C2998" w:rsidRDefault="007638B3" w:rsidP="000E2AA0">
      <w:pPr>
        <w:spacing w:after="0" w:line="276" w:lineRule="auto"/>
        <w:jc w:val="both"/>
        <w:rPr>
          <w:rFonts w:ascii="Times New Roman" w:hAnsi="Times New Roman" w:cs="Times New Roman"/>
          <w:noProof/>
          <w:sz w:val="24"/>
          <w:szCs w:val="24"/>
          <w:lang w:val="fr-BE"/>
        </w:rPr>
      </w:pPr>
    </w:p>
    <w:p w14:paraId="252C57F6" w14:textId="312F0873" w:rsidR="00906C65" w:rsidRPr="00300B33" w:rsidRDefault="003E2FB5" w:rsidP="007638B3">
      <w:pPr>
        <w:spacing w:after="0" w:line="276" w:lineRule="auto"/>
        <w:jc w:val="both"/>
        <w:rPr>
          <w:rFonts w:ascii="Times New Roman" w:hAnsi="Times New Roman" w:cs="Times New Roman"/>
          <w:noProof/>
          <w:sz w:val="24"/>
          <w:szCs w:val="24"/>
        </w:rPr>
      </w:pPr>
      <w:r>
        <w:rPr>
          <w:rFonts w:ascii="Times New Roman" w:hAnsi="Times New Roman"/>
          <w:noProof/>
          <w:sz w:val="24"/>
        </w:rPr>
        <w:t xml:space="preserve">Aux fins de cette mise en œuvre, la Commission poursuivra également ses </w:t>
      </w:r>
      <w:r>
        <w:rPr>
          <w:rFonts w:ascii="Times New Roman" w:hAnsi="Times New Roman"/>
          <w:b/>
          <w:noProof/>
          <w:sz w:val="24"/>
        </w:rPr>
        <w:t>travaux de suivi des risques et de collecte de données probantes</w:t>
      </w:r>
      <w:r>
        <w:rPr>
          <w:rFonts w:ascii="Times New Roman" w:hAnsi="Times New Roman"/>
          <w:noProof/>
          <w:sz w:val="24"/>
        </w:rPr>
        <w:t xml:space="preserve"> dans le cadre du DSA, y compris au moyen d’études spécifiques à l’appui de l’évaluation des risques systémiques liés à la violence fondée sur le genre. Parallèlement, la Commission maintiendra </w:t>
      </w:r>
      <w:r>
        <w:rPr>
          <w:rFonts w:ascii="Times New Roman" w:hAnsi="Times New Roman"/>
          <w:b/>
          <w:bCs/>
          <w:noProof/>
          <w:sz w:val="24"/>
        </w:rPr>
        <w:t>un dialogue réglementaire structuré avec les TGPL</w:t>
      </w:r>
      <w:r>
        <w:rPr>
          <w:rFonts w:ascii="Times New Roman" w:hAnsi="Times New Roman"/>
          <w:noProof/>
          <w:sz w:val="24"/>
        </w:rPr>
        <w:t xml:space="preserve"> afin de renforcer le respect des règles. Sur la base d’une analyse des risques et en coopération avec les autorités nationales, la Commission utilisera </w:t>
      </w:r>
      <w:r>
        <w:rPr>
          <w:rFonts w:ascii="Times New Roman" w:hAnsi="Times New Roman"/>
          <w:b/>
          <w:noProof/>
          <w:sz w:val="24"/>
        </w:rPr>
        <w:t>tous les outils disponibles pour garantir une atténuation efficace des risques de violence fondée sur le genre</w:t>
      </w:r>
      <w:r>
        <w:rPr>
          <w:rFonts w:ascii="Times New Roman" w:hAnsi="Times New Roman"/>
          <w:noProof/>
          <w:sz w:val="24"/>
        </w:rPr>
        <w:t xml:space="preserve">, y compris, le cas échéant, en publiant des </w:t>
      </w:r>
      <w:r>
        <w:rPr>
          <w:rFonts w:ascii="Times New Roman" w:hAnsi="Times New Roman"/>
          <w:b/>
          <w:noProof/>
          <w:sz w:val="24"/>
        </w:rPr>
        <w:t>lignes directrices pour les TGPL et les TGMRL</w:t>
      </w:r>
      <w:r>
        <w:rPr>
          <w:rFonts w:ascii="Times New Roman" w:hAnsi="Times New Roman"/>
          <w:noProof/>
          <w:sz w:val="24"/>
        </w:rPr>
        <w:t xml:space="preserve">. Ces lignes directrices sont prévues par le DSA et visent à présenter les bonnes pratiques et à recommander des mesures envisageables en ce qui concerne des risques spécifiques, en l’occurrence ceux liés à la violence fondée sur le genre. Elles peuvent permettre à la Commission de définir les mesures qu’elle considère que les fournisseurs de TGPL et de TGMRL devraient mettre en place pour se conformer aux obligations qui leur incombent en vertu du DSA. </w:t>
      </w:r>
    </w:p>
    <w:p w14:paraId="653CB7F9" w14:textId="77777777" w:rsidR="007638B3" w:rsidRPr="007C2998" w:rsidRDefault="007638B3" w:rsidP="000E2AA0">
      <w:pPr>
        <w:spacing w:after="0" w:line="276" w:lineRule="auto"/>
        <w:jc w:val="both"/>
        <w:rPr>
          <w:rFonts w:ascii="Times New Roman" w:hAnsi="Times New Roman" w:cs="Times New Roman"/>
          <w:noProof/>
          <w:sz w:val="24"/>
          <w:szCs w:val="24"/>
          <w:lang w:val="fr-BE"/>
        </w:rPr>
      </w:pPr>
    </w:p>
    <w:p w14:paraId="088EB8D7" w14:textId="000414E3" w:rsidR="003E2FB5" w:rsidRPr="00300B33" w:rsidRDefault="003E2FB5" w:rsidP="007638B3">
      <w:pPr>
        <w:spacing w:after="0" w:line="276" w:lineRule="auto"/>
        <w:jc w:val="both"/>
        <w:rPr>
          <w:rFonts w:ascii="Times New Roman" w:hAnsi="Times New Roman" w:cs="Times New Roman"/>
          <w:noProof/>
          <w:sz w:val="24"/>
          <w:szCs w:val="24"/>
        </w:rPr>
      </w:pPr>
      <w:r>
        <w:rPr>
          <w:rFonts w:ascii="Times New Roman" w:hAnsi="Times New Roman"/>
          <w:noProof/>
          <w:sz w:val="24"/>
        </w:rPr>
        <w:t xml:space="preserve">Dans le même ordre d’idées, la Commission assurera le suivi auprès des plateformes en ligne afin de veiller à ce qu’elles mettent en œuvre les </w:t>
      </w:r>
      <w:hyperlink r:id="rId20" w:history="1">
        <w:r>
          <w:rPr>
            <w:rStyle w:val="Hyperlink"/>
            <w:rFonts w:ascii="Times New Roman" w:hAnsi="Times New Roman"/>
            <w:b/>
            <w:noProof/>
            <w:sz w:val="24"/>
          </w:rPr>
          <w:t>lignes directrices de 2025 sur la protection des mineurs</w:t>
        </w:r>
      </w:hyperlink>
      <w:r>
        <w:rPr>
          <w:rFonts w:ascii="Times New Roman" w:hAnsi="Times New Roman"/>
          <w:noProof/>
          <w:sz w:val="24"/>
        </w:rPr>
        <w:t xml:space="preserve">, dans le cadre du </w:t>
      </w:r>
      <w:r>
        <w:rPr>
          <w:rFonts w:ascii="Times New Roman" w:hAnsi="Times New Roman"/>
          <w:b/>
          <w:noProof/>
          <w:sz w:val="24"/>
        </w:rPr>
        <w:t>DSA</w:t>
      </w:r>
      <w:r>
        <w:rPr>
          <w:rFonts w:ascii="Times New Roman" w:hAnsi="Times New Roman"/>
          <w:noProof/>
          <w:sz w:val="24"/>
        </w:rPr>
        <w:t>, dans lesquelles la Commission expose les mesures que les fournisseurs de plateformes en ligne accessibles aux mineurs devraient mettre en place pour garantir un niveau élevé de protection de confidentialité, de sécurité et de sûreté des mineurs utilisant leurs services, y compris des mesures visant à prévenir la diffusion non désirée de contenus sexualisés ou intimes mettant en scène des enfants. La Commission a formulé des demandes d’informations et continuera de dialoguer avec plusieurs fournisseurs de TGPL sur la manière dont ils gèrent les risques liés à la possibilité pour les utilisateurs de télécharger des applications illégales ou préjudiciables, y compris des applications de «déshabillage».</w:t>
      </w:r>
    </w:p>
    <w:p w14:paraId="3A370414" w14:textId="77777777" w:rsidR="007638B3" w:rsidRPr="007C2998" w:rsidRDefault="007638B3" w:rsidP="000E2AA0">
      <w:pPr>
        <w:spacing w:after="0" w:line="276" w:lineRule="auto"/>
        <w:jc w:val="both"/>
        <w:rPr>
          <w:rFonts w:ascii="Times New Roman" w:hAnsi="Times New Roman" w:cs="Times New Roman"/>
          <w:noProof/>
          <w:sz w:val="24"/>
          <w:szCs w:val="24"/>
          <w:lang w:val="fr-BE"/>
        </w:rPr>
      </w:pPr>
    </w:p>
    <w:p w14:paraId="7432C1A4" w14:textId="1C7F1D54" w:rsidR="001D3C38" w:rsidRPr="00300B33" w:rsidRDefault="00814129" w:rsidP="00300F39">
      <w:pPr>
        <w:spacing w:after="0" w:line="276" w:lineRule="auto"/>
        <w:jc w:val="both"/>
        <w:rPr>
          <w:rFonts w:ascii="Times New Roman" w:hAnsi="Times New Roman" w:cs="Times New Roman"/>
          <w:noProof/>
          <w:sz w:val="24"/>
          <w:szCs w:val="24"/>
        </w:rPr>
      </w:pPr>
      <w:bookmarkStart w:id="2" w:name="_Hlk221727382"/>
      <w:r>
        <w:rPr>
          <w:rFonts w:ascii="Times New Roman" w:hAnsi="Times New Roman"/>
          <w:noProof/>
          <w:sz w:val="24"/>
        </w:rPr>
        <w:t xml:space="preserve">La Commission contribuera également à renforcer les capacités des signaleurs de confiance en matière de cyberviolence fondée sur le genre afin de veiller à ce qu’un plus grand nombre de ces contenus soient signalés aux fournisseurs de plateformes en ligne. Elle publiera des </w:t>
      </w:r>
      <w:r>
        <w:rPr>
          <w:rFonts w:ascii="Times New Roman" w:hAnsi="Times New Roman"/>
          <w:b/>
          <w:noProof/>
          <w:sz w:val="24"/>
        </w:rPr>
        <w:t>lignes directrices sur les signaleurs de confiance</w:t>
      </w:r>
      <w:r>
        <w:rPr>
          <w:rFonts w:ascii="Times New Roman" w:hAnsi="Times New Roman"/>
          <w:noProof/>
          <w:sz w:val="24"/>
        </w:rPr>
        <w:t xml:space="preserve"> visant à clarifier leur rôle dans la lutte contre les contenus illicites, y compris la violence fondée sur le genre. Ces lignes directrices permettront également de préciser les obligations incombant aux fournisseurs de plateformes en ligne en ce qui concerne les notifications reçues de la part des signaleurs de confiance</w:t>
      </w:r>
      <w:bookmarkEnd w:id="2"/>
      <w:r>
        <w:rPr>
          <w:noProof/>
        </w:rPr>
        <w:t>.</w:t>
      </w:r>
    </w:p>
    <w:p w14:paraId="60F9C7D5" w14:textId="77777777" w:rsidR="00557718" w:rsidRPr="00300B33" w:rsidRDefault="00557718" w:rsidP="00175A72">
      <w:pPr>
        <w:spacing w:after="0" w:line="276" w:lineRule="auto"/>
        <w:jc w:val="both"/>
        <w:rPr>
          <w:rFonts w:ascii="Times New Roman" w:hAnsi="Times New Roman" w:cs="Times New Roman"/>
          <w:noProof/>
          <w:sz w:val="24"/>
          <w:szCs w:val="24"/>
        </w:rPr>
      </w:pPr>
    </w:p>
    <w:p w14:paraId="49A27024" w14:textId="115B6832" w:rsidR="00F81B01" w:rsidRPr="00300B33" w:rsidRDefault="007126E4" w:rsidP="00F81B01">
      <w:pPr>
        <w:spacing w:after="0" w:line="276" w:lineRule="auto"/>
        <w:jc w:val="both"/>
        <w:rPr>
          <w:rFonts w:ascii="Times New Roman" w:hAnsi="Times New Roman" w:cs="Times New Roman"/>
          <w:noProof/>
          <w:sz w:val="24"/>
          <w:szCs w:val="24"/>
        </w:rPr>
      </w:pPr>
      <w:r>
        <w:rPr>
          <w:rFonts w:ascii="Times New Roman" w:hAnsi="Times New Roman"/>
          <w:noProof/>
          <w:sz w:val="24"/>
        </w:rPr>
        <w:t xml:space="preserve">La protection des enfants victimes de violences fondées sur le genre fait également l’objet d’une attention particulière. La Commission veillera à l’application des dispositions juridiques de l’UE relatives à la protection des enfants victimes. Ces efforts seront renforcés par un </w:t>
      </w:r>
      <w:r>
        <w:rPr>
          <w:rFonts w:ascii="Times New Roman" w:hAnsi="Times New Roman"/>
          <w:b/>
          <w:noProof/>
          <w:sz w:val="24"/>
        </w:rPr>
        <w:t>plan d’action sur la protection des enfants contre la criminalité</w:t>
      </w:r>
      <w:r>
        <w:rPr>
          <w:rFonts w:ascii="Times New Roman" w:hAnsi="Times New Roman"/>
          <w:noProof/>
          <w:sz w:val="24"/>
        </w:rPr>
        <w:t xml:space="preserve">, qui contribuera également à lutter contre la violence à l’égard des filles et à rendre l’environnement numérique plus sûr pour elles. La Commission a également lancé son </w:t>
      </w:r>
      <w:hyperlink r:id="rId21" w:history="1">
        <w:r>
          <w:rPr>
            <w:rStyle w:val="Hyperlink"/>
            <w:rFonts w:ascii="Times New Roman" w:hAnsi="Times New Roman"/>
            <w:b/>
            <w:noProof/>
            <w:sz w:val="24"/>
          </w:rPr>
          <w:t>plan d’action contre le cyberharcèlement</w:t>
        </w:r>
      </w:hyperlink>
      <w:r>
        <w:rPr>
          <w:rFonts w:ascii="Times New Roman" w:hAnsi="Times New Roman"/>
          <w:noProof/>
          <w:sz w:val="24"/>
        </w:rPr>
        <w:t xml:space="preserve">, soulignant que les femmes et les filles sont ciblées de manière disproportionnée et invitant les États membres à mettre en place des politiques nationales globales de lutte contre le cyberharcèlement. </w:t>
      </w:r>
    </w:p>
    <w:p w14:paraId="2AE2CFD9" w14:textId="77B4F44F" w:rsidR="00FD66B6" w:rsidRPr="00300B33" w:rsidRDefault="00FD66B6" w:rsidP="009317A9">
      <w:pPr>
        <w:spacing w:after="0" w:line="276" w:lineRule="auto"/>
        <w:jc w:val="both"/>
        <w:rPr>
          <w:rFonts w:ascii="Times New Roman" w:eastAsia="Times New Roman" w:hAnsi="Times New Roman" w:cs="Times New Roman"/>
          <w:noProof/>
          <w:sz w:val="24"/>
          <w:szCs w:val="24"/>
        </w:rPr>
      </w:pPr>
    </w:p>
    <w:p w14:paraId="2BDF82E0" w14:textId="7AB8FBCF" w:rsidR="009317A9" w:rsidRPr="00300B33" w:rsidRDefault="005C29F3" w:rsidP="009317A9">
      <w:pPr>
        <w:spacing w:after="0" w:line="276" w:lineRule="auto"/>
        <w:jc w:val="both"/>
        <w:rPr>
          <w:rFonts w:ascii="Times New Roman" w:eastAsia="Times New Roman" w:hAnsi="Times New Roman" w:cs="Times New Roman"/>
          <w:noProof/>
          <w:sz w:val="24"/>
          <w:szCs w:val="24"/>
        </w:rPr>
      </w:pPr>
      <w:r>
        <w:rPr>
          <w:rFonts w:ascii="Times New Roman" w:hAnsi="Times New Roman"/>
          <w:noProof/>
          <w:sz w:val="24"/>
        </w:rPr>
        <w:t>La plupart des victimes de la traite sont des femmes et des filles, principalement victimes de la traite à des fins d’exploitation sexuelle</w:t>
      </w:r>
      <w:r>
        <w:rPr>
          <w:rStyle w:val="FootnoteReference"/>
          <w:rFonts w:ascii="Times New Roman" w:eastAsia="Times New Roman" w:hAnsi="Times New Roman" w:cs="Times New Roman"/>
          <w:noProof/>
          <w:sz w:val="24"/>
          <w:szCs w:val="24"/>
        </w:rPr>
        <w:footnoteReference w:id="18"/>
      </w:r>
      <w:r>
        <w:rPr>
          <w:rFonts w:ascii="Times New Roman" w:hAnsi="Times New Roman"/>
          <w:noProof/>
          <w:sz w:val="24"/>
        </w:rPr>
        <w:t xml:space="preserve">. La </w:t>
      </w:r>
      <w:hyperlink r:id="rId22" w:history="1">
        <w:r>
          <w:rPr>
            <w:rStyle w:val="Hyperlink"/>
            <w:rFonts w:ascii="Times New Roman" w:hAnsi="Times New Roman"/>
            <w:b/>
            <w:noProof/>
            <w:sz w:val="24"/>
          </w:rPr>
          <w:t>directive modifiée relative à la lutte contre la traite des êtres humains</w:t>
        </w:r>
      </w:hyperlink>
      <w:r>
        <w:rPr>
          <w:rFonts w:ascii="Times New Roman" w:hAnsi="Times New Roman"/>
          <w:noProof/>
          <w:sz w:val="24"/>
        </w:rPr>
        <w:t xml:space="preserve"> comprend une approche tenant compte de la dimension de genre et une réponse renforcée. En 2026, la Commission présentera une </w:t>
      </w:r>
      <w:r>
        <w:rPr>
          <w:rFonts w:ascii="Times New Roman" w:hAnsi="Times New Roman"/>
          <w:b/>
          <w:noProof/>
          <w:sz w:val="24"/>
        </w:rPr>
        <w:t>nouvelle stratégie</w:t>
      </w:r>
      <w:r>
        <w:rPr>
          <w:rFonts w:ascii="Times New Roman" w:hAnsi="Times New Roman"/>
          <w:noProof/>
          <w:sz w:val="24"/>
        </w:rPr>
        <w:t xml:space="preserve"> visant à répondre aux nouveaux défis et besoins en matière de prévention de la traite des êtres humains et de lutte contre ce phénomène, ainsi que de protection des victimes, en particulier des femmes et des enfants.</w:t>
      </w:r>
    </w:p>
    <w:p w14:paraId="637A685D" w14:textId="571D2E98" w:rsidR="00BE1D83" w:rsidRPr="00300B33" w:rsidRDefault="00BE1D83" w:rsidP="00300F39">
      <w:pPr>
        <w:spacing w:after="0" w:line="276" w:lineRule="auto"/>
        <w:jc w:val="both"/>
        <w:rPr>
          <w:rFonts w:ascii="Times New Roman" w:hAnsi="Times New Roman" w:cs="Times New Roman"/>
          <w:noProof/>
          <w:sz w:val="24"/>
          <w:szCs w:val="24"/>
        </w:rPr>
      </w:pPr>
    </w:p>
    <w:p w14:paraId="188DE23E" w14:textId="4CE9DC76" w:rsidR="00803FF7" w:rsidRPr="00300B33" w:rsidRDefault="003019E5" w:rsidP="00803FF7">
      <w:pPr>
        <w:spacing w:after="0" w:line="276" w:lineRule="auto"/>
        <w:jc w:val="both"/>
        <w:rPr>
          <w:rStyle w:val="FootnoteReference"/>
          <w:rFonts w:ascii="Times New Roman" w:hAnsi="Times New Roman" w:cs="Times New Roman"/>
          <w:noProof/>
          <w:sz w:val="24"/>
          <w:szCs w:val="24"/>
        </w:rPr>
      </w:pPr>
      <w:r>
        <w:rPr>
          <w:rFonts w:ascii="Times New Roman" w:hAnsi="Times New Roman"/>
          <w:noProof/>
          <w:sz w:val="24"/>
        </w:rPr>
        <w:t xml:space="preserve">Des données solides sont essentielles pour lutter efficacement contre tous les aspects de la violence fondée sur le genre. La Commission financera une </w:t>
      </w:r>
      <w:r>
        <w:rPr>
          <w:rFonts w:ascii="Times New Roman" w:hAnsi="Times New Roman"/>
          <w:b/>
          <w:noProof/>
          <w:sz w:val="24"/>
        </w:rPr>
        <w:t>deuxième vague étendue de l’enquête à l’échelle de l’UE sur la violence fondée sur le genre</w:t>
      </w:r>
      <w:r>
        <w:rPr>
          <w:rFonts w:ascii="Times New Roman" w:hAnsi="Times New Roman"/>
          <w:noProof/>
          <w:sz w:val="24"/>
        </w:rPr>
        <w:t>, couvrant également les nouvelles formes de cyberviolence, qui sera réalisée par Eurostat. La Commission et l’Institut européen pour l’égalité entre les hommes et les femmes (EIGE) aideront également les États membres à</w:t>
      </w:r>
      <w:r>
        <w:rPr>
          <w:rFonts w:ascii="Times New Roman" w:hAnsi="Times New Roman"/>
          <w:b/>
          <w:noProof/>
          <w:sz w:val="24"/>
        </w:rPr>
        <w:t xml:space="preserve"> améliorer la collecte de données administratives sur la violence fondée sur le genre</w:t>
      </w:r>
      <w:r>
        <w:rPr>
          <w:rFonts w:ascii="Times New Roman" w:hAnsi="Times New Roman"/>
          <w:noProof/>
          <w:sz w:val="24"/>
        </w:rPr>
        <w:t>.</w:t>
      </w:r>
      <w:r>
        <w:rPr>
          <w:rStyle w:val="FootnoteReference"/>
          <w:rFonts w:ascii="Times New Roman" w:hAnsi="Times New Roman"/>
          <w:noProof/>
          <w:sz w:val="24"/>
        </w:rPr>
        <w:t xml:space="preserve"> </w:t>
      </w:r>
    </w:p>
    <w:p w14:paraId="45E70B80" w14:textId="54CB73BB" w:rsidR="006C4103" w:rsidRPr="00300B33" w:rsidRDefault="006C4103" w:rsidP="00803FF7">
      <w:pPr>
        <w:spacing w:after="0" w:line="276" w:lineRule="auto"/>
        <w:jc w:val="both"/>
        <w:rPr>
          <w:rFonts w:ascii="Times New Roman" w:hAnsi="Times New Roman" w:cs="Times New Roman"/>
          <w:noProof/>
          <w:sz w:val="24"/>
          <w:szCs w:val="24"/>
        </w:rPr>
      </w:pPr>
    </w:p>
    <w:p w14:paraId="4473BC81" w14:textId="03038D60" w:rsidR="00A8191A" w:rsidRPr="00300B33" w:rsidRDefault="00803FF7" w:rsidP="6FD3B558">
      <w:pPr>
        <w:spacing w:after="0" w:line="276" w:lineRule="auto"/>
        <w:jc w:val="both"/>
        <w:rPr>
          <w:rFonts w:ascii="Times New Roman" w:hAnsi="Times New Roman" w:cs="Times New Roman"/>
          <w:noProof/>
          <w:sz w:val="24"/>
          <w:szCs w:val="24"/>
        </w:rPr>
      </w:pPr>
      <w:r>
        <w:rPr>
          <w:rFonts w:ascii="Times New Roman" w:hAnsi="Times New Roman"/>
          <w:noProof/>
          <w:sz w:val="24"/>
        </w:rPr>
        <w:t xml:space="preserve">La Commission continuera d’offrir un financement pour lutter contre la violence fondée sur le genre par l’intermédiaire du </w:t>
      </w:r>
      <w:r>
        <w:rPr>
          <w:rFonts w:ascii="Times New Roman" w:hAnsi="Times New Roman"/>
          <w:b/>
          <w:noProof/>
          <w:sz w:val="24"/>
        </w:rPr>
        <w:t>volet Daphné du programme «Citoyens, égalité, droits et valeurs» (CERV)</w:t>
      </w:r>
      <w:r>
        <w:rPr>
          <w:rFonts w:ascii="Times New Roman" w:hAnsi="Times New Roman"/>
          <w:noProof/>
          <w:sz w:val="24"/>
        </w:rPr>
        <w:t>, doté d’un budget de 200 millions d’EUR pour la période 2021-2027</w:t>
      </w:r>
      <w:r>
        <w:rPr>
          <w:rStyle w:val="FootnoteReference"/>
          <w:rFonts w:ascii="Times New Roman" w:hAnsi="Times New Roman" w:cs="Times New Roman"/>
          <w:noProof/>
          <w:sz w:val="24"/>
          <w:szCs w:val="24"/>
        </w:rPr>
        <w:footnoteReference w:id="19"/>
      </w:r>
      <w:r>
        <w:rPr>
          <w:rFonts w:ascii="Times New Roman" w:hAnsi="Times New Roman"/>
          <w:noProof/>
          <w:sz w:val="24"/>
        </w:rPr>
        <w:t xml:space="preserve">. La Commission a l’intention de poursuivre cette action au titre du </w:t>
      </w:r>
      <w:hyperlink r:id="rId23" w:history="1">
        <w:r>
          <w:rPr>
            <w:rStyle w:val="Hyperlink"/>
            <w:rFonts w:ascii="Times New Roman" w:hAnsi="Times New Roman"/>
            <w:b/>
            <w:noProof/>
            <w:sz w:val="24"/>
          </w:rPr>
          <w:t>programme AgoraEU proposé</w:t>
        </w:r>
      </w:hyperlink>
      <w:r>
        <w:rPr>
          <w:rFonts w:ascii="Times New Roman" w:hAnsi="Times New Roman"/>
          <w:noProof/>
          <w:sz w:val="24"/>
        </w:rPr>
        <w:t xml:space="preserve"> dans le cadre financier pluriannuel (CFP) 2028-2034, dans l’attente de négociations interinstitutionnelles. En outre, la Commission </w:t>
      </w:r>
      <w:r>
        <w:rPr>
          <w:rFonts w:ascii="Times New Roman" w:hAnsi="Times New Roman"/>
          <w:b/>
          <w:noProof/>
          <w:sz w:val="24"/>
        </w:rPr>
        <w:t>soutiendra les effets à long terme des projets</w:t>
      </w:r>
      <w:r>
        <w:rPr>
          <w:rFonts w:ascii="Times New Roman" w:hAnsi="Times New Roman"/>
          <w:noProof/>
          <w:sz w:val="24"/>
        </w:rPr>
        <w:t xml:space="preserve"> en améliorant la visibilité de leurs résultats, en encourageant les échanges entre les partenaires des projets et en recensant les actions à développer. </w:t>
      </w:r>
    </w:p>
    <w:p w14:paraId="5DD77646" w14:textId="77777777" w:rsidR="00803FF7" w:rsidRPr="00300B33" w:rsidRDefault="00803FF7" w:rsidP="3F25DB50">
      <w:pPr>
        <w:spacing w:after="0" w:line="276" w:lineRule="auto"/>
        <w:contextualSpacing/>
        <w:jc w:val="both"/>
        <w:rPr>
          <w:rFonts w:ascii="Times New Roman" w:hAnsi="Times New Roman" w:cs="Times New Roman"/>
          <w:noProof/>
          <w:sz w:val="24"/>
          <w:szCs w:val="24"/>
        </w:rPr>
      </w:pPr>
    </w:p>
    <w:p w14:paraId="235C2D0D" w14:textId="05AD058B" w:rsidR="00846984" w:rsidRPr="00300B33" w:rsidRDefault="000B41DB" w:rsidP="6FD3B558">
      <w:pPr>
        <w:spacing w:line="276" w:lineRule="auto"/>
        <w:contextualSpacing/>
        <w:jc w:val="both"/>
        <w:rPr>
          <w:rFonts w:ascii="Times New Roman" w:hAnsi="Times New Roman" w:cs="Times New Roman"/>
          <w:noProof/>
          <w:sz w:val="24"/>
          <w:szCs w:val="24"/>
        </w:rPr>
      </w:pPr>
      <w:r>
        <w:rPr>
          <w:rFonts w:ascii="Times New Roman" w:hAnsi="Times New Roman"/>
          <w:noProof/>
          <w:sz w:val="24"/>
        </w:rPr>
        <w:t xml:space="preserve">Tous ces efforts contribueront à la mise en œuvre effective par l’UE de la </w:t>
      </w:r>
      <w:r>
        <w:rPr>
          <w:rFonts w:ascii="Times New Roman" w:hAnsi="Times New Roman"/>
          <w:b/>
          <w:noProof/>
          <w:sz w:val="24"/>
        </w:rPr>
        <w:t>convention du Conseil de l’Europe sur la prévention et la lutte contre la violence à l’égard des femmes et la violence domestique (convention d’Istanbul)</w:t>
      </w:r>
      <w:r>
        <w:rPr>
          <w:rFonts w:ascii="Times New Roman" w:hAnsi="Times New Roman"/>
          <w:noProof/>
          <w:sz w:val="24"/>
        </w:rPr>
        <w:t xml:space="preserve">, à laquelle l’UE a adhéré en 2023. Il est essentiel d’assurer la mise en œuvre de la convention, notamment en donnant suite au rapport d’évaluation de référence de 2027 du groupe d’experts indépendants sur la lutte contre la violence à l’égard des femmes et la violence domestique et en mettant en œuvre les recommandations ultérieures. La Commission </w:t>
      </w:r>
      <w:r>
        <w:rPr>
          <w:rFonts w:ascii="Times New Roman" w:hAnsi="Times New Roman"/>
          <w:b/>
          <w:noProof/>
          <w:sz w:val="24"/>
        </w:rPr>
        <w:t>demande également une nouvelle fois à tous les États membres de ratifier et de mettre pleinement en œuvre la convention d’Istanbul</w:t>
      </w:r>
      <w:r>
        <w:rPr>
          <w:rFonts w:ascii="Times New Roman" w:hAnsi="Times New Roman"/>
          <w:noProof/>
          <w:sz w:val="24"/>
        </w:rPr>
        <w:t xml:space="preserve"> en tant que principal cadre international de lutte contre la violence à l’égard des femmes.</w:t>
      </w:r>
    </w:p>
    <w:p w14:paraId="17E36A6B" w14:textId="77777777" w:rsidR="005505B6" w:rsidRPr="00300B33" w:rsidRDefault="005505B6" w:rsidP="00175A72">
      <w:pPr>
        <w:spacing w:line="276" w:lineRule="auto"/>
        <w:contextualSpacing/>
        <w:jc w:val="both"/>
        <w:rPr>
          <w:rFonts w:ascii="Times New Roman" w:hAnsi="Times New Roman" w:cs="Times New Roman"/>
          <w:noProof/>
          <w:sz w:val="24"/>
          <w:szCs w:val="24"/>
        </w:rPr>
      </w:pPr>
    </w:p>
    <w:p w14:paraId="75307B1F" w14:textId="533F7832" w:rsidR="00BA2A63" w:rsidRPr="00300B33" w:rsidRDefault="00803FF7" w:rsidP="3F25DB50">
      <w:pPr>
        <w:pBdr>
          <w:top w:val="single" w:sz="4" w:space="1" w:color="auto"/>
          <w:left w:val="single" w:sz="4" w:space="4" w:color="auto"/>
          <w:bottom w:val="single" w:sz="4" w:space="1" w:color="auto"/>
          <w:right w:val="single" w:sz="4" w:space="4" w:color="auto"/>
        </w:pBdr>
        <w:spacing w:after="0" w:line="276" w:lineRule="auto"/>
        <w:contextualSpacing/>
        <w:jc w:val="both"/>
        <w:rPr>
          <w:rFonts w:ascii="Times New Roman" w:hAnsi="Times New Roman" w:cs="Times New Roman"/>
          <w:b/>
          <w:bCs/>
          <w:noProof/>
          <w:sz w:val="24"/>
          <w:szCs w:val="24"/>
        </w:rPr>
      </w:pPr>
      <w:r>
        <w:rPr>
          <w:rFonts w:ascii="Times New Roman" w:hAnsi="Times New Roman"/>
          <w:b/>
          <w:noProof/>
          <w:sz w:val="24"/>
        </w:rPr>
        <w:t>Actions clés de la Commission:</w:t>
      </w:r>
    </w:p>
    <w:p w14:paraId="7EEC958D" w14:textId="25A13680" w:rsidR="00F96BF4" w:rsidRPr="000E2AA0" w:rsidRDefault="00EF2275" w:rsidP="00F96BF4">
      <w:pPr>
        <w:pStyle w:val="ListParagraph"/>
        <w:numPr>
          <w:ilvl w:val="0"/>
          <w:numId w:val="5"/>
        </w:numPr>
        <w:pBdr>
          <w:top w:val="single" w:sz="4" w:space="1" w:color="auto"/>
          <w:left w:val="single" w:sz="4" w:space="4" w:color="auto"/>
          <w:bottom w:val="single" w:sz="4" w:space="1" w:color="auto"/>
          <w:right w:val="single" w:sz="4" w:space="4" w:color="auto"/>
        </w:pBdr>
        <w:spacing w:after="0" w:line="276" w:lineRule="auto"/>
        <w:jc w:val="both"/>
        <w:rPr>
          <w:rFonts w:ascii="Times New Roman" w:hAnsi="Times New Roman" w:cs="Times New Roman"/>
          <w:b/>
          <w:bCs/>
          <w:i/>
          <w:iCs/>
          <w:noProof/>
          <w:sz w:val="24"/>
          <w:szCs w:val="24"/>
        </w:rPr>
      </w:pPr>
      <w:r>
        <w:rPr>
          <w:rFonts w:ascii="Times New Roman" w:hAnsi="Times New Roman"/>
          <w:noProof/>
          <w:sz w:val="24"/>
        </w:rPr>
        <w:t xml:space="preserve">aider les États membres à transposer et à mettre en œuvre la directive sur la lutte contre la violence à l’égard des femmes et la violence domestique, suivre les plans nationaux et élaborer des lignes directrices à l’intention des services répressifs et des autorités chargées des poursuites, y compris en ce qui concerne la coopération transfrontière (2026-2030); </w:t>
      </w:r>
    </w:p>
    <w:p w14:paraId="370E7B96" w14:textId="59BA5E5E" w:rsidR="008A5410" w:rsidRPr="000E2AA0" w:rsidRDefault="00F96BF4" w:rsidP="00294D2D">
      <w:pPr>
        <w:pStyle w:val="ListParagraph"/>
        <w:numPr>
          <w:ilvl w:val="0"/>
          <w:numId w:val="5"/>
        </w:numPr>
        <w:pBdr>
          <w:top w:val="single" w:sz="4" w:space="1" w:color="auto"/>
          <w:left w:val="single" w:sz="4" w:space="4" w:color="auto"/>
          <w:bottom w:val="single" w:sz="4" w:space="1" w:color="auto"/>
          <w:right w:val="single" w:sz="4" w:space="4" w:color="auto"/>
        </w:pBdr>
        <w:spacing w:after="0" w:line="276" w:lineRule="auto"/>
        <w:jc w:val="both"/>
        <w:rPr>
          <w:rFonts w:ascii="Times New Roman" w:hAnsi="Times New Roman" w:cs="Times New Roman"/>
          <w:b/>
          <w:i/>
          <w:noProof/>
          <w:sz w:val="24"/>
          <w:szCs w:val="24"/>
        </w:rPr>
      </w:pPr>
      <w:r>
        <w:rPr>
          <w:rFonts w:ascii="Times New Roman" w:hAnsi="Times New Roman"/>
          <w:noProof/>
          <w:sz w:val="24"/>
        </w:rPr>
        <w:t>mettre à jour la cartographie du paysage juridique en matière de législation sur le viol sur la base du concept de consentement dans l’ensemble de l’UE, en vue de définir de nouvelles actions à mettre en place au niveau de l’UE (2027);</w:t>
      </w:r>
    </w:p>
    <w:p w14:paraId="145596B7" w14:textId="10A6318F" w:rsidR="00914DED" w:rsidRPr="00300B33" w:rsidRDefault="00892BF9" w:rsidP="00F9606A">
      <w:pPr>
        <w:pStyle w:val="ListParagraph"/>
        <w:numPr>
          <w:ilvl w:val="0"/>
          <w:numId w:val="5"/>
        </w:numPr>
        <w:pBdr>
          <w:top w:val="single" w:sz="4" w:space="1" w:color="auto"/>
          <w:left w:val="single" w:sz="4" w:space="4" w:color="auto"/>
          <w:bottom w:val="single" w:sz="4" w:space="1" w:color="auto"/>
          <w:right w:val="single" w:sz="4" w:space="4" w:color="auto"/>
        </w:pBdr>
        <w:spacing w:after="0" w:line="276" w:lineRule="auto"/>
        <w:jc w:val="both"/>
        <w:rPr>
          <w:rFonts w:ascii="Times New Roman" w:hAnsi="Times New Roman" w:cs="Times New Roman"/>
          <w:noProof/>
          <w:sz w:val="24"/>
          <w:szCs w:val="24"/>
        </w:rPr>
      </w:pPr>
      <w:r>
        <w:rPr>
          <w:rFonts w:ascii="Times New Roman" w:hAnsi="Times New Roman"/>
          <w:noProof/>
          <w:sz w:val="24"/>
        </w:rPr>
        <w:t>poursuivre un dialogue réglementaire et structuré avec les TGPL sur la cyberviolence fondée sur le genre et contribuer à renforcer les capacités des signaleurs de confiance</w:t>
      </w:r>
      <w:r>
        <w:rPr>
          <w:rFonts w:ascii="Times New Roman" w:hAnsi="Times New Roman"/>
          <w:noProof/>
          <w:color w:val="000000" w:themeColor="text1"/>
          <w:sz w:val="24"/>
        </w:rPr>
        <w:t>;</w:t>
      </w:r>
    </w:p>
    <w:p w14:paraId="08AA6A18" w14:textId="5A496652" w:rsidR="00972D5A" w:rsidRPr="00300B33" w:rsidRDefault="007C4A63" w:rsidP="005F43EF">
      <w:pPr>
        <w:pStyle w:val="ListParagraph"/>
        <w:numPr>
          <w:ilvl w:val="0"/>
          <w:numId w:val="5"/>
        </w:numPr>
        <w:pBdr>
          <w:top w:val="single" w:sz="4" w:space="1" w:color="auto"/>
          <w:left w:val="single" w:sz="4" w:space="4" w:color="auto"/>
          <w:bottom w:val="single" w:sz="4" w:space="1" w:color="auto"/>
          <w:right w:val="single" w:sz="4" w:space="4" w:color="auto"/>
        </w:pBdr>
        <w:spacing w:after="0" w:line="276" w:lineRule="auto"/>
        <w:jc w:val="both"/>
        <w:rPr>
          <w:rFonts w:ascii="Times New Roman" w:hAnsi="Times New Roman" w:cs="Times New Roman"/>
          <w:b/>
          <w:bCs/>
          <w:noProof/>
          <w:sz w:val="24"/>
          <w:szCs w:val="24"/>
        </w:rPr>
      </w:pPr>
      <w:r>
        <w:rPr>
          <w:rFonts w:ascii="Times New Roman" w:hAnsi="Times New Roman"/>
          <w:noProof/>
          <w:sz w:val="24"/>
        </w:rPr>
        <w:t>soutenir la mise en œuvre de la prochaine enquête de l’UE sur la violence fondée sur le genre (</w:t>
      </w:r>
      <w:r>
        <w:rPr>
          <w:rFonts w:ascii="Times New Roman" w:hAnsi="Times New Roman"/>
          <w:noProof/>
          <w:color w:val="000000" w:themeColor="text1"/>
          <w:sz w:val="24"/>
        </w:rPr>
        <w:t>2027-2028)</w:t>
      </w:r>
      <w:r>
        <w:rPr>
          <w:rFonts w:ascii="Times New Roman" w:hAnsi="Times New Roman"/>
          <w:noProof/>
          <w:sz w:val="24"/>
        </w:rPr>
        <w:t xml:space="preserve"> et la collecte de données administratives (2026-2030).</w:t>
      </w:r>
    </w:p>
    <w:p w14:paraId="0E4C175E" w14:textId="77777777" w:rsidR="00A662B0" w:rsidRPr="000E2AA0" w:rsidRDefault="00A662B0" w:rsidP="00A662B0">
      <w:pPr>
        <w:spacing w:before="120" w:after="120" w:line="240" w:lineRule="auto"/>
        <w:jc w:val="center"/>
        <w:rPr>
          <w:rFonts w:ascii="Times New Roman" w:hAnsi="Times New Roman" w:cs="Times New Roman"/>
          <w:noProof/>
          <w:sz w:val="24"/>
          <w:szCs w:val="24"/>
        </w:rPr>
      </w:pPr>
      <w:bookmarkStart w:id="3" w:name="_Hlk219911505"/>
      <w:r>
        <w:rPr>
          <w:rFonts w:ascii="Times New Roman" w:hAnsi="Times New Roman"/>
          <w:noProof/>
          <w:sz w:val="24"/>
        </w:rPr>
        <w:t>***</w:t>
      </w:r>
    </w:p>
    <w:bookmarkEnd w:id="3"/>
    <w:p w14:paraId="628204D8" w14:textId="15669512" w:rsidR="00E405E5" w:rsidRPr="00300B33" w:rsidRDefault="56DA5062" w:rsidP="3F25DB50">
      <w:pPr>
        <w:pBdr>
          <w:top w:val="single" w:sz="4" w:space="1" w:color="auto"/>
          <w:left w:val="single" w:sz="4" w:space="4" w:color="auto"/>
          <w:bottom w:val="single" w:sz="4" w:space="1" w:color="auto"/>
          <w:right w:val="single" w:sz="4" w:space="4" w:color="auto"/>
        </w:pBdr>
        <w:spacing w:after="0" w:line="276" w:lineRule="auto"/>
        <w:contextualSpacing/>
        <w:jc w:val="both"/>
        <w:rPr>
          <w:rFonts w:ascii="Times New Roman" w:hAnsi="Times New Roman" w:cs="Times New Roman"/>
          <w:b/>
          <w:bCs/>
          <w:i/>
          <w:iCs/>
          <w:noProof/>
          <w:sz w:val="24"/>
          <w:szCs w:val="24"/>
        </w:rPr>
      </w:pPr>
      <w:r>
        <w:rPr>
          <w:rFonts w:ascii="Times New Roman" w:hAnsi="Times New Roman"/>
          <w:b/>
          <w:i/>
          <w:noProof/>
          <w:sz w:val="24"/>
        </w:rPr>
        <w:t>Principe 2 de la feuille de route: les normes les plus élevées en matière de santé physique et mentale</w:t>
      </w:r>
    </w:p>
    <w:p w14:paraId="7808AE0F" w14:textId="77777777" w:rsidR="005505B6" w:rsidRPr="00300B33" w:rsidRDefault="005505B6" w:rsidP="000D302D">
      <w:pPr>
        <w:pStyle w:val="BodyText"/>
        <w:spacing w:after="0"/>
        <w:jc w:val="both"/>
        <w:rPr>
          <w:rFonts w:ascii="Times New Roman" w:hAnsi="Times New Roman"/>
          <w:b/>
          <w:bCs/>
          <w:noProof/>
          <w:sz w:val="24"/>
          <w:szCs w:val="24"/>
        </w:rPr>
      </w:pPr>
    </w:p>
    <w:p w14:paraId="192A37B1" w14:textId="7E41331E" w:rsidR="00232142" w:rsidRPr="00300B33" w:rsidRDefault="00B40169" w:rsidP="00D458A5">
      <w:pPr>
        <w:pStyle w:val="BodyText"/>
        <w:spacing w:after="0"/>
        <w:jc w:val="both"/>
        <w:rPr>
          <w:rFonts w:ascii="Times New Roman" w:hAnsi="Times New Roman"/>
          <w:noProof/>
          <w:sz w:val="24"/>
          <w:szCs w:val="24"/>
        </w:rPr>
      </w:pPr>
      <w:r>
        <w:rPr>
          <w:rFonts w:ascii="Times New Roman" w:hAnsi="Times New Roman"/>
          <w:b/>
          <w:noProof/>
          <w:sz w:val="24"/>
        </w:rPr>
        <w:t>Les inégalités de genre ont une incidence significative sur l’accès aux soins de santé.</w:t>
      </w:r>
      <w:r>
        <w:rPr>
          <w:rFonts w:ascii="Times New Roman" w:hAnsi="Times New Roman"/>
          <w:noProof/>
          <w:sz w:val="24"/>
        </w:rPr>
        <w:t xml:space="preserve"> Les femmes sont confrontées à toute une série d’obstacles liés au genre qui nuisent à leur accès aux soins de santé et subissent les effets d’un </w:t>
      </w:r>
      <w:r>
        <w:rPr>
          <w:rFonts w:ascii="Times New Roman" w:hAnsi="Times New Roman"/>
          <w:b/>
          <w:noProof/>
          <w:sz w:val="24"/>
        </w:rPr>
        <w:t>manque de recherche médicale, de diagnostics et de traitements tenant compte de la dimension de genre</w:t>
      </w:r>
      <w:r>
        <w:rPr>
          <w:rStyle w:val="FootnoteReference"/>
          <w:rFonts w:ascii="Times New Roman" w:hAnsi="Times New Roman"/>
          <w:noProof/>
          <w:sz w:val="24"/>
          <w:szCs w:val="24"/>
        </w:rPr>
        <w:footnoteReference w:id="20"/>
      </w:r>
      <w:r>
        <w:rPr>
          <w:rFonts w:ascii="Times New Roman" w:hAnsi="Times New Roman"/>
          <w:noProof/>
          <w:sz w:val="24"/>
        </w:rPr>
        <w:t xml:space="preserve">. Par exemple, la prise de conscience du fait que les risques et les symptômes de plusieurs maladies, telles que les maladies cardiovasculaires, diffèrent entre les hommes et les femmes est insuffisante. En outre, cette question est souvent absente des programmes d’enseignement médical. Les normes de genre associées à la masculinité traditionnelle peuvent également avoir une incidence négative sur la santé des hommes et des garçons, notamment en les dissuadant de demander de l’aide et en les incitant à adopter des comportements dangereux. En outre, les </w:t>
      </w:r>
      <w:r>
        <w:rPr>
          <w:rFonts w:ascii="Times New Roman" w:hAnsi="Times New Roman"/>
          <w:b/>
          <w:noProof/>
          <w:sz w:val="24"/>
        </w:rPr>
        <w:t>inégalités croisées</w:t>
      </w:r>
      <w:r>
        <w:rPr>
          <w:rFonts w:ascii="Times New Roman" w:hAnsi="Times New Roman"/>
          <w:noProof/>
          <w:sz w:val="24"/>
        </w:rPr>
        <w:t xml:space="preserve"> aggravent les obstacles à l’accès aux soins de santé et peuvent entraîner une discrimination en matière de traitement, par exemple pour les femmes handicapées, les femmes migrantes, les femmes en situation de vulnérabilité financière, les femmes LBTIQ +, les femmes roms ou les femmes vivant dans des zones rurales et reculées. </w:t>
      </w:r>
    </w:p>
    <w:p w14:paraId="1F8A500E" w14:textId="77777777" w:rsidR="00C5719E" w:rsidRPr="00300B33" w:rsidRDefault="00C5719E" w:rsidP="00D458A5">
      <w:pPr>
        <w:pStyle w:val="BodyText"/>
        <w:spacing w:after="0"/>
        <w:jc w:val="both"/>
        <w:rPr>
          <w:rFonts w:ascii="Times New Roman" w:hAnsi="Times New Roman"/>
          <w:noProof/>
          <w:sz w:val="24"/>
          <w:szCs w:val="24"/>
        </w:rPr>
      </w:pPr>
    </w:p>
    <w:p w14:paraId="325F36FF" w14:textId="77777777" w:rsidR="007438DA" w:rsidRPr="00300B33" w:rsidRDefault="007438DA" w:rsidP="007438DA">
      <w:pPr>
        <w:pStyle w:val="BodyText"/>
        <w:spacing w:after="0"/>
        <w:jc w:val="both"/>
        <w:rPr>
          <w:rFonts w:ascii="Times New Roman" w:hAnsi="Times New Roman"/>
          <w:noProof/>
          <w:sz w:val="24"/>
          <w:szCs w:val="24"/>
        </w:rPr>
      </w:pPr>
      <w:r>
        <w:rPr>
          <w:rFonts w:ascii="Times New Roman" w:hAnsi="Times New Roman"/>
          <w:noProof/>
          <w:sz w:val="24"/>
        </w:rPr>
        <w:t xml:space="preserve">Pour faire progresser la santé des femmes, il est nécessaire de renforcer la </w:t>
      </w:r>
      <w:r>
        <w:rPr>
          <w:rFonts w:ascii="Times New Roman" w:hAnsi="Times New Roman"/>
          <w:b/>
          <w:noProof/>
          <w:sz w:val="24"/>
        </w:rPr>
        <w:t>formation des professionnels de la santé</w:t>
      </w:r>
      <w:r>
        <w:rPr>
          <w:rFonts w:ascii="Times New Roman" w:hAnsi="Times New Roman"/>
          <w:noProof/>
          <w:sz w:val="24"/>
        </w:rPr>
        <w:t>. L’intégration de contenus tenant compte de la dimension de genre dans les programmes médicaux, infirmiers et autres programmes de santé tout au long de la formation et du cycle de vie professionnel peut contribuer à faire en sorte que les professionnels de la santé comprennent mieux comment les différentes maladies se manifestent chez les femmes, comment les facteurs de risque liés au genre influencent les résultats et comment les préjugés structurels contribuent aux erreurs de diagnostic et aux retards de soins.</w:t>
      </w:r>
    </w:p>
    <w:p w14:paraId="2081526E" w14:textId="77777777" w:rsidR="007438DA" w:rsidRPr="00300B33" w:rsidRDefault="007438DA" w:rsidP="000D302D">
      <w:pPr>
        <w:pStyle w:val="BodyText"/>
        <w:spacing w:after="0"/>
        <w:jc w:val="both"/>
        <w:rPr>
          <w:rFonts w:ascii="Times New Roman" w:hAnsi="Times New Roman"/>
          <w:noProof/>
          <w:sz w:val="24"/>
          <w:szCs w:val="24"/>
        </w:rPr>
      </w:pPr>
    </w:p>
    <w:p w14:paraId="27226595" w14:textId="119C7FF3" w:rsidR="00E406A6" w:rsidRPr="00300B33" w:rsidRDefault="00A53EE3" w:rsidP="000D302D">
      <w:pPr>
        <w:pStyle w:val="BodyText"/>
        <w:spacing w:after="0"/>
        <w:jc w:val="both"/>
        <w:rPr>
          <w:rFonts w:ascii="Times New Roman" w:hAnsi="Times New Roman"/>
          <w:noProof/>
          <w:sz w:val="24"/>
          <w:szCs w:val="24"/>
        </w:rPr>
      </w:pPr>
      <w:r>
        <w:rPr>
          <w:rFonts w:ascii="Times New Roman" w:hAnsi="Times New Roman"/>
          <w:noProof/>
          <w:sz w:val="24"/>
        </w:rPr>
        <w:t>Des difficultés subsistent pour améliorer l’</w:t>
      </w:r>
      <w:r>
        <w:rPr>
          <w:rFonts w:ascii="Times New Roman" w:hAnsi="Times New Roman"/>
          <w:b/>
          <w:noProof/>
          <w:sz w:val="24"/>
        </w:rPr>
        <w:t>accès des femmes à la santé et aux droits en matière de sexualité et de procréation</w:t>
      </w:r>
      <w:r>
        <w:rPr>
          <w:rFonts w:ascii="Times New Roman" w:hAnsi="Times New Roman"/>
          <w:noProof/>
          <w:sz w:val="24"/>
        </w:rPr>
        <w:t>.</w:t>
      </w:r>
      <w:r>
        <w:rPr>
          <w:rFonts w:ascii="Times New Roman" w:hAnsi="Times New Roman"/>
          <w:b/>
          <w:bCs/>
          <w:noProof/>
          <w:sz w:val="24"/>
        </w:rPr>
        <w:t xml:space="preserve"> </w:t>
      </w:r>
      <w:r>
        <w:rPr>
          <w:rFonts w:ascii="Times New Roman" w:hAnsi="Times New Roman"/>
          <w:noProof/>
          <w:sz w:val="24"/>
        </w:rPr>
        <w:t>L’</w:t>
      </w:r>
      <w:r>
        <w:rPr>
          <w:rFonts w:ascii="Times New Roman" w:hAnsi="Times New Roman"/>
          <w:b/>
          <w:noProof/>
          <w:sz w:val="24"/>
        </w:rPr>
        <w:t>accès à la contraception</w:t>
      </w:r>
      <w:r>
        <w:rPr>
          <w:rFonts w:ascii="Times New Roman" w:hAnsi="Times New Roman"/>
          <w:noProof/>
          <w:sz w:val="24"/>
        </w:rPr>
        <w:t xml:space="preserve"> reste inégal dans l’ensemble de l’UE et les solutions contraceptives alternatives pour les hommes sont sous-développées. En outre, trop de femmes et de filles n’ont pas </w:t>
      </w:r>
      <w:r>
        <w:rPr>
          <w:rFonts w:ascii="Times New Roman" w:hAnsi="Times New Roman"/>
          <w:b/>
          <w:noProof/>
          <w:sz w:val="24"/>
        </w:rPr>
        <w:t>accès à des produits menstruels abordables</w:t>
      </w:r>
      <w:r>
        <w:rPr>
          <w:rStyle w:val="FootnoteReference"/>
          <w:rFonts w:ascii="Times New Roman" w:hAnsi="Times New Roman"/>
          <w:noProof/>
          <w:sz w:val="24"/>
          <w:szCs w:val="24"/>
        </w:rPr>
        <w:footnoteReference w:id="21"/>
      </w:r>
      <w:r>
        <w:rPr>
          <w:rFonts w:ascii="Times New Roman" w:hAnsi="Times New Roman"/>
          <w:noProof/>
          <w:sz w:val="24"/>
        </w:rPr>
        <w:t xml:space="preserve">. Les expériences et les pathologies liées à la santé des femmes, telles que </w:t>
      </w:r>
      <w:r>
        <w:rPr>
          <w:rFonts w:ascii="Times New Roman" w:hAnsi="Times New Roman"/>
          <w:b/>
          <w:noProof/>
          <w:sz w:val="24"/>
        </w:rPr>
        <w:t>les menstruations, la ménopause, l’endométriose et la dépression post-partum</w:t>
      </w:r>
      <w:r>
        <w:rPr>
          <w:rFonts w:ascii="Times New Roman" w:hAnsi="Times New Roman"/>
          <w:noProof/>
          <w:sz w:val="24"/>
        </w:rPr>
        <w:t>, n’ont pas fait l’objet d’une attention suffisante dans la recherche ou les traitements médicaux</w:t>
      </w:r>
      <w:r>
        <w:rPr>
          <w:rStyle w:val="FootnoteReference"/>
          <w:rFonts w:ascii="Times New Roman" w:hAnsi="Times New Roman"/>
          <w:noProof/>
          <w:sz w:val="24"/>
          <w:szCs w:val="24"/>
        </w:rPr>
        <w:footnoteReference w:id="22"/>
      </w:r>
      <w:r>
        <w:rPr>
          <w:rFonts w:ascii="Times New Roman" w:hAnsi="Times New Roman"/>
          <w:noProof/>
          <w:sz w:val="24"/>
        </w:rPr>
        <w:t xml:space="preserve">. </w:t>
      </w:r>
    </w:p>
    <w:p w14:paraId="613CD15B" w14:textId="77777777" w:rsidR="00AF619A" w:rsidRPr="00300B33" w:rsidRDefault="00AF619A" w:rsidP="00D0345A">
      <w:pPr>
        <w:pStyle w:val="BodyText"/>
        <w:spacing w:after="0"/>
        <w:jc w:val="both"/>
        <w:rPr>
          <w:rFonts w:ascii="Times New Roman" w:hAnsi="Times New Roman"/>
          <w:noProof/>
          <w:sz w:val="24"/>
          <w:szCs w:val="24"/>
        </w:rPr>
      </w:pPr>
    </w:p>
    <w:p w14:paraId="487C177D" w14:textId="03056CAA" w:rsidR="00451FC0" w:rsidRPr="00300B33" w:rsidRDefault="00F0711C" w:rsidP="00A22417">
      <w:pPr>
        <w:spacing w:after="0" w:line="276" w:lineRule="auto"/>
        <w:jc w:val="both"/>
        <w:rPr>
          <w:rFonts w:ascii="Times New Roman" w:hAnsi="Times New Roman" w:cs="Times New Roman"/>
          <w:noProof/>
          <w:sz w:val="24"/>
          <w:szCs w:val="24"/>
        </w:rPr>
      </w:pPr>
      <w:r>
        <w:rPr>
          <w:rFonts w:ascii="Times New Roman" w:hAnsi="Times New Roman"/>
          <w:noProof/>
          <w:sz w:val="24"/>
        </w:rPr>
        <w:t xml:space="preserve">La Commission </w:t>
      </w:r>
      <w:r>
        <w:rPr>
          <w:rFonts w:ascii="Times New Roman" w:hAnsi="Times New Roman"/>
          <w:b/>
          <w:noProof/>
          <w:sz w:val="24"/>
        </w:rPr>
        <w:t>a intégré la dimension de genre dans la recherche en matière de santé et a fourni un financement ciblé</w:t>
      </w:r>
      <w:r>
        <w:rPr>
          <w:rFonts w:ascii="Times New Roman" w:hAnsi="Times New Roman"/>
          <w:noProof/>
          <w:sz w:val="24"/>
        </w:rPr>
        <w:t xml:space="preserve"> sur les questions relatives à la santé des femmes, notamment celles en lien avec l’endométriose et le syndrome des ovaires polykystiques, au titre du </w:t>
      </w:r>
      <w:hyperlink r:id="rId24" w:history="1">
        <w:r>
          <w:rPr>
            <w:rStyle w:val="Hyperlink"/>
            <w:rFonts w:ascii="Times New Roman" w:hAnsi="Times New Roman"/>
            <w:noProof/>
            <w:sz w:val="24"/>
          </w:rPr>
          <w:t>programme-cadre pour la recherche et l’innovation (Horizon 2020 et Horizon Europe)</w:t>
        </w:r>
      </w:hyperlink>
      <w:r>
        <w:rPr>
          <w:rStyle w:val="FootnoteReference"/>
          <w:rFonts w:ascii="Times New Roman" w:hAnsi="Times New Roman" w:cs="Times New Roman"/>
          <w:noProof/>
          <w:sz w:val="24"/>
          <w:szCs w:val="24"/>
        </w:rPr>
        <w:footnoteReference w:id="23"/>
      </w:r>
      <w:r>
        <w:rPr>
          <w:rFonts w:ascii="Times New Roman" w:hAnsi="Times New Roman"/>
          <w:noProof/>
          <w:sz w:val="24"/>
        </w:rPr>
        <w:t xml:space="preserve">. En outre, elle a intégré une perspective de genre dans le </w:t>
      </w:r>
      <w:hyperlink r:id="rId25" w:history="1">
        <w:r>
          <w:rPr>
            <w:rStyle w:val="Hyperlink"/>
            <w:rFonts w:ascii="Times New Roman" w:hAnsi="Times New Roman"/>
            <w:noProof/>
            <w:sz w:val="24"/>
          </w:rPr>
          <w:t>plan européen pour vaincre le cancer</w:t>
        </w:r>
      </w:hyperlink>
      <w:r>
        <w:rPr>
          <w:rStyle w:val="FootnoteReference"/>
          <w:rFonts w:ascii="Times New Roman" w:hAnsi="Times New Roman" w:cs="Times New Roman"/>
          <w:noProof/>
          <w:sz w:val="24"/>
          <w:szCs w:val="24"/>
        </w:rPr>
        <w:footnoteReference w:id="24"/>
      </w:r>
      <w:r>
        <w:rPr>
          <w:rFonts w:ascii="Times New Roman" w:hAnsi="Times New Roman"/>
          <w:noProof/>
          <w:sz w:val="24"/>
        </w:rPr>
        <w:t xml:space="preserve"> et le </w:t>
      </w:r>
      <w:hyperlink r:id="rId26" w:history="1">
        <w:r>
          <w:rPr>
            <w:rStyle w:val="Hyperlink"/>
            <w:rFonts w:ascii="Times New Roman" w:hAnsi="Times New Roman"/>
            <w:noProof/>
            <w:sz w:val="24"/>
          </w:rPr>
          <w:t>train de mesures en matière de santé</w:t>
        </w:r>
      </w:hyperlink>
      <w:r>
        <w:rPr>
          <w:rFonts w:ascii="Times New Roman" w:hAnsi="Times New Roman"/>
          <w:noProof/>
          <w:sz w:val="24"/>
        </w:rPr>
        <w:t xml:space="preserve">, y compris le </w:t>
      </w:r>
      <w:hyperlink r:id="rId27" w:history="1">
        <w:r>
          <w:rPr>
            <w:rStyle w:val="Hyperlink"/>
            <w:rFonts w:ascii="Times New Roman" w:hAnsi="Times New Roman"/>
            <w:noProof/>
            <w:sz w:val="24"/>
          </w:rPr>
          <w:t>plan de l’Union européenne pour la santé cardiovasculaire</w:t>
        </w:r>
      </w:hyperlink>
      <w:r>
        <w:rPr>
          <w:rFonts w:ascii="Times New Roman" w:hAnsi="Times New Roman"/>
          <w:noProof/>
          <w:sz w:val="24"/>
        </w:rPr>
        <w:t>.</w:t>
      </w:r>
    </w:p>
    <w:p w14:paraId="5C4B533B" w14:textId="18154947" w:rsidR="00C1523D" w:rsidRPr="00300B33" w:rsidRDefault="00367FE7" w:rsidP="00A22417">
      <w:pPr>
        <w:spacing w:after="0" w:line="276" w:lineRule="auto"/>
        <w:jc w:val="both"/>
        <w:rPr>
          <w:rFonts w:ascii="Times New Roman" w:eastAsia="Calibri" w:hAnsi="Times New Roman" w:cs="Times New Roman"/>
          <w:noProof/>
          <w:kern w:val="0"/>
          <w:sz w:val="24"/>
          <w:szCs w:val="24"/>
          <w14:ligatures w14:val="none"/>
        </w:rPr>
      </w:pPr>
      <w:r>
        <w:rPr>
          <w:rFonts w:ascii="Times New Roman" w:hAnsi="Times New Roman"/>
          <w:noProof/>
          <w:sz w:val="24"/>
        </w:rPr>
        <w:t xml:space="preserve"> </w:t>
      </w:r>
    </w:p>
    <w:p w14:paraId="277DE715" w14:textId="730B6FFB" w:rsidR="009B4507" w:rsidRPr="00300B33" w:rsidRDefault="005365E5" w:rsidP="004C78A4">
      <w:pPr>
        <w:pStyle w:val="BodyText"/>
        <w:spacing w:after="0"/>
        <w:jc w:val="both"/>
        <w:rPr>
          <w:rFonts w:ascii="Times New Roman" w:hAnsi="Times New Roman"/>
          <w:noProof/>
          <w:sz w:val="24"/>
          <w:szCs w:val="24"/>
        </w:rPr>
      </w:pPr>
      <w:r>
        <w:rPr>
          <w:rFonts w:ascii="Times New Roman" w:hAnsi="Times New Roman"/>
          <w:noProof/>
          <w:sz w:val="24"/>
        </w:rPr>
        <w:t xml:space="preserve">La Commission lancera une </w:t>
      </w:r>
      <w:r>
        <w:rPr>
          <w:rFonts w:ascii="Times New Roman" w:hAnsi="Times New Roman"/>
          <w:b/>
          <w:noProof/>
          <w:sz w:val="24"/>
        </w:rPr>
        <w:t>nouvelle initiative avec l’Organisation mondiale de la santé (OMS)</w:t>
      </w:r>
      <w:r>
        <w:rPr>
          <w:rFonts w:ascii="Times New Roman" w:hAnsi="Times New Roman"/>
          <w:noProof/>
          <w:sz w:val="24"/>
        </w:rPr>
        <w:t xml:space="preserve"> afin d’étudier les moyens d’</w:t>
      </w:r>
      <w:r>
        <w:rPr>
          <w:rFonts w:ascii="Times New Roman" w:hAnsi="Times New Roman"/>
          <w:b/>
          <w:noProof/>
          <w:sz w:val="24"/>
        </w:rPr>
        <w:t>améliorer la qualité et l’accessibilité des soins de santé pour les femmes</w:t>
      </w:r>
      <w:r>
        <w:rPr>
          <w:rFonts w:ascii="Times New Roman" w:hAnsi="Times New Roman"/>
          <w:noProof/>
          <w:sz w:val="24"/>
        </w:rPr>
        <w:t xml:space="preserve">, y compris pour les personnes handicapées. Le projet permettra d’échanger les bonnes pratiques sur l’amélioration du suivi et de l’analyse des inégalités de genre, d’aider les décideurs politiques à définir des priorités et de proposer des solutions fondées sur des données probantes pour la santé des femmes. Ses résultats peuvent contribuer à renforcer l’intégration de la dimension de genre dans toutes les initiatives liées à la santé, y compris la recherche en matière de santé financée par l’UE. </w:t>
      </w:r>
    </w:p>
    <w:p w14:paraId="5B749B0C" w14:textId="77777777" w:rsidR="00E9029F" w:rsidRPr="00300B33" w:rsidRDefault="00E9029F" w:rsidP="004C78A4">
      <w:pPr>
        <w:pStyle w:val="BodyText"/>
        <w:spacing w:after="0"/>
        <w:jc w:val="both"/>
        <w:rPr>
          <w:rFonts w:ascii="Times New Roman" w:hAnsi="Times New Roman"/>
          <w:noProof/>
          <w:sz w:val="24"/>
          <w:szCs w:val="24"/>
        </w:rPr>
      </w:pPr>
    </w:p>
    <w:p w14:paraId="2EB0DBE7" w14:textId="2652F83E" w:rsidR="004C78A4" w:rsidRPr="00300B33" w:rsidRDefault="00204BA4" w:rsidP="004C78A4">
      <w:pPr>
        <w:pStyle w:val="BodyText"/>
        <w:spacing w:after="0"/>
        <w:jc w:val="both"/>
        <w:rPr>
          <w:rFonts w:ascii="Times New Roman" w:hAnsi="Times New Roman"/>
          <w:noProof/>
          <w:sz w:val="24"/>
          <w:szCs w:val="24"/>
        </w:rPr>
      </w:pPr>
      <w:r>
        <w:rPr>
          <w:rFonts w:ascii="Times New Roman" w:hAnsi="Times New Roman"/>
          <w:noProof/>
          <w:sz w:val="24"/>
        </w:rPr>
        <w:t xml:space="preserve">La Commission financera également une </w:t>
      </w:r>
      <w:r>
        <w:rPr>
          <w:rFonts w:ascii="Times New Roman" w:hAnsi="Times New Roman"/>
          <w:b/>
          <w:noProof/>
          <w:sz w:val="24"/>
        </w:rPr>
        <w:t>étude sur les avantages macro- et microéconomiques et sociétaux de la réduction des disparités en matière de santé des femmes</w:t>
      </w:r>
      <w:r>
        <w:rPr>
          <w:rFonts w:ascii="Times New Roman" w:hAnsi="Times New Roman"/>
          <w:noProof/>
          <w:sz w:val="24"/>
        </w:rPr>
        <w:t xml:space="preserve"> liées à certaines affections, telles que la ménopause. Afin de veiller à ce que les médicaments soient sûrs et efficaces pour tous, la Commission, en collaboration avec l’Agence européenne des médicaments, étudiera la possibilité de mettre en place un </w:t>
      </w:r>
      <w:r>
        <w:rPr>
          <w:rFonts w:ascii="Times New Roman" w:hAnsi="Times New Roman"/>
          <w:b/>
          <w:noProof/>
          <w:sz w:val="24"/>
        </w:rPr>
        <w:t>contrôle systématique tenant compte de la dimension de genre dans le cycle de vie des produits de médecine humaine</w:t>
      </w:r>
      <w:r>
        <w:rPr>
          <w:rFonts w:ascii="Times New Roman" w:hAnsi="Times New Roman"/>
          <w:noProof/>
          <w:sz w:val="24"/>
        </w:rPr>
        <w:t xml:space="preserve">, y compris la recherche et le développement. Cette démarche s’appuiera sur les travaux relatifs aux essais cliniques tenant compte de la dimension de genre dans le cadre de l’initiative «Accélérer les essais cliniques dans l’UE», étant donné que la législation pharmaceutique de l’UE, y compris la </w:t>
      </w:r>
      <w:hyperlink r:id="rId28" w:history="1">
        <w:r>
          <w:rPr>
            <w:rStyle w:val="Hyperlink"/>
            <w:rFonts w:ascii="Times New Roman" w:hAnsi="Times New Roman"/>
            <w:noProof/>
            <w:sz w:val="24"/>
          </w:rPr>
          <w:t>directive sur les médicaments</w:t>
        </w:r>
      </w:hyperlink>
      <w:r>
        <w:rPr>
          <w:rFonts w:ascii="Times New Roman" w:hAnsi="Times New Roman"/>
          <w:noProof/>
          <w:sz w:val="24"/>
        </w:rPr>
        <w:t xml:space="preserve">, garantit que seuls les médicaments satisfaisant aux exigences en matière de qualité, de sécurité et d’efficacité sont autorisés pour tous les patients. En outre, la proposition de </w:t>
      </w:r>
      <w:r>
        <w:rPr>
          <w:rFonts w:ascii="Times New Roman" w:hAnsi="Times New Roman"/>
          <w:b/>
          <w:noProof/>
          <w:sz w:val="24"/>
        </w:rPr>
        <w:t>révision du règlement sur les essais cliniques</w:t>
      </w:r>
      <w:r>
        <w:rPr>
          <w:rFonts w:ascii="Times New Roman" w:hAnsi="Times New Roman"/>
          <w:noProof/>
          <w:sz w:val="24"/>
        </w:rPr>
        <w:t xml:space="preserve"> dans le cadre du </w:t>
      </w:r>
      <w:hyperlink r:id="rId29">
        <w:r>
          <w:rPr>
            <w:rStyle w:val="Hyperlink"/>
            <w:rFonts w:ascii="Times New Roman" w:hAnsi="Times New Roman"/>
            <w:noProof/>
            <w:sz w:val="24"/>
          </w:rPr>
          <w:t>règlement européen sur les biotechnologies</w:t>
        </w:r>
      </w:hyperlink>
      <w:r>
        <w:rPr>
          <w:rFonts w:ascii="Times New Roman" w:hAnsi="Times New Roman"/>
          <w:noProof/>
          <w:sz w:val="24"/>
        </w:rPr>
        <w:t xml:space="preserve"> doit être prise en considération afin de garantir que </w:t>
      </w:r>
      <w:r>
        <w:rPr>
          <w:rFonts w:ascii="Times New Roman" w:hAnsi="Times New Roman"/>
          <w:b/>
          <w:noProof/>
          <w:sz w:val="24"/>
        </w:rPr>
        <w:t>les essais reflètent la diversité de la population et améliorent les traitements destinés aux groupes vulnérables</w:t>
      </w:r>
      <w:r>
        <w:rPr>
          <w:rFonts w:ascii="Times New Roman" w:hAnsi="Times New Roman"/>
          <w:noProof/>
          <w:sz w:val="24"/>
        </w:rPr>
        <w:t xml:space="preserve">. En outre, les femmes qui tombent enceintes ou qui commencent à allaiter ne seront pas automatiquement exclues de la participation aux essais. La Commission adoptera également une approche tenant compte de la dimension de genre lorsqu’elle garantira l’accès aux </w:t>
      </w:r>
      <w:r>
        <w:rPr>
          <w:rFonts w:ascii="Times New Roman" w:hAnsi="Times New Roman"/>
          <w:b/>
          <w:noProof/>
          <w:sz w:val="24"/>
        </w:rPr>
        <w:t>contre-mesures médicales</w:t>
      </w:r>
      <w:r>
        <w:rPr>
          <w:rFonts w:ascii="Times New Roman" w:hAnsi="Times New Roman"/>
          <w:noProof/>
          <w:sz w:val="24"/>
        </w:rPr>
        <w:t>, telles que les vaccins, les traitements, les diagnostics et les équipements de protection individuelle, ainsi que leur disponibilité.</w:t>
      </w:r>
    </w:p>
    <w:p w14:paraId="643F94F6" w14:textId="77777777" w:rsidR="00136C47" w:rsidRPr="00300B33" w:rsidRDefault="00136C47" w:rsidP="004C78A4">
      <w:pPr>
        <w:pStyle w:val="BodyText"/>
        <w:spacing w:after="0"/>
        <w:jc w:val="both"/>
        <w:rPr>
          <w:rFonts w:ascii="Times New Roman" w:hAnsi="Times New Roman"/>
          <w:noProof/>
          <w:sz w:val="24"/>
          <w:szCs w:val="24"/>
        </w:rPr>
      </w:pPr>
    </w:p>
    <w:p w14:paraId="551E5EC8" w14:textId="369407AA" w:rsidR="00AC31F2" w:rsidRPr="00300B33" w:rsidRDefault="00136C47" w:rsidP="55B414C7">
      <w:pPr>
        <w:spacing w:after="0" w:line="276" w:lineRule="auto"/>
        <w:jc w:val="both"/>
        <w:rPr>
          <w:rFonts w:ascii="Times New Roman" w:hAnsi="Times New Roman" w:cs="Times New Roman"/>
          <w:noProof/>
          <w:sz w:val="24"/>
          <w:szCs w:val="24"/>
        </w:rPr>
      </w:pPr>
      <w:r>
        <w:rPr>
          <w:rFonts w:ascii="Times New Roman" w:hAnsi="Times New Roman"/>
          <w:noProof/>
          <w:sz w:val="24"/>
        </w:rPr>
        <w:t xml:space="preserve">Dans le plein respect des traités, et en particulier des responsabilités des États membres en ce qui concerne la définition de leur politique de santé, y compris les questions bioéthiques, et l’organisation des services de santé et des soins médicaux, afin de protéger la santé des femmes en soutenant et en complétant l’action des États membres en matière de santé concernant l’accès des femmes </w:t>
      </w:r>
      <w:r>
        <w:rPr>
          <w:rFonts w:ascii="Times New Roman" w:hAnsi="Times New Roman"/>
          <w:b/>
          <w:noProof/>
          <w:sz w:val="24"/>
        </w:rPr>
        <w:t>à la santé et aux droits en matière de sexualité et de procréation</w:t>
      </w:r>
      <w:r>
        <w:rPr>
          <w:rFonts w:ascii="Times New Roman" w:hAnsi="Times New Roman"/>
          <w:noProof/>
          <w:sz w:val="24"/>
        </w:rPr>
        <w:t xml:space="preserve">, la Commission envisage de procéder à une </w:t>
      </w:r>
      <w:r>
        <w:rPr>
          <w:rFonts w:ascii="Times New Roman" w:hAnsi="Times New Roman"/>
          <w:b/>
          <w:noProof/>
          <w:sz w:val="24"/>
        </w:rPr>
        <w:t>cartographie des pratiques et des cadres internationaux</w:t>
      </w:r>
      <w:r>
        <w:rPr>
          <w:rFonts w:ascii="Times New Roman" w:hAnsi="Times New Roman"/>
          <w:noProof/>
          <w:sz w:val="24"/>
        </w:rPr>
        <w:t xml:space="preserve"> dans ce domaine. Elle prévoit également d’</w:t>
      </w:r>
      <w:r>
        <w:rPr>
          <w:rFonts w:ascii="Times New Roman" w:hAnsi="Times New Roman"/>
          <w:b/>
          <w:noProof/>
          <w:sz w:val="24"/>
        </w:rPr>
        <w:t>élaborer un cadre et une méthodologie pour la collecte de données systémiques</w:t>
      </w:r>
      <w:r>
        <w:rPr>
          <w:rFonts w:ascii="Times New Roman" w:hAnsi="Times New Roman"/>
          <w:noProof/>
          <w:sz w:val="24"/>
        </w:rPr>
        <w:t xml:space="preserve"> afin d’améliorer la base d’informations sur la santé et les droits en matière de sexualité et de procréation. En outre, la Commission a l’intention de soutenir les initiatives visant à </w:t>
      </w:r>
      <w:r>
        <w:rPr>
          <w:rFonts w:ascii="Times New Roman" w:hAnsi="Times New Roman"/>
          <w:b/>
          <w:noProof/>
          <w:sz w:val="24"/>
        </w:rPr>
        <w:t>renforcer l’accès à la contraception dans l’UE</w:t>
      </w:r>
      <w:r>
        <w:rPr>
          <w:rFonts w:ascii="Times New Roman" w:hAnsi="Times New Roman"/>
          <w:noProof/>
          <w:sz w:val="24"/>
        </w:rPr>
        <w:t>, afin d’améliorer la disponibilité et l’accessibilité.</w:t>
      </w:r>
    </w:p>
    <w:p w14:paraId="194E9B7D" w14:textId="77777777" w:rsidR="00AC31F2" w:rsidRPr="00300B33" w:rsidRDefault="00AC31F2" w:rsidP="55B414C7">
      <w:pPr>
        <w:spacing w:after="0" w:line="276" w:lineRule="auto"/>
        <w:jc w:val="both"/>
        <w:rPr>
          <w:rFonts w:ascii="Times New Roman" w:hAnsi="Times New Roman" w:cs="Times New Roman"/>
          <w:noProof/>
          <w:sz w:val="24"/>
          <w:szCs w:val="24"/>
        </w:rPr>
      </w:pPr>
    </w:p>
    <w:p w14:paraId="48E716C9" w14:textId="1212F43B" w:rsidR="00412FF4" w:rsidRPr="00300B33" w:rsidRDefault="00177BA8" w:rsidP="55B414C7">
      <w:pPr>
        <w:spacing w:after="0" w:line="276" w:lineRule="auto"/>
        <w:jc w:val="both"/>
        <w:rPr>
          <w:rFonts w:ascii="Times New Roman" w:hAnsi="Times New Roman" w:cs="Times New Roman"/>
          <w:noProof/>
          <w:sz w:val="24"/>
          <w:szCs w:val="24"/>
        </w:rPr>
      </w:pPr>
      <w:r>
        <w:rPr>
          <w:rFonts w:ascii="Times New Roman" w:hAnsi="Times New Roman"/>
          <w:noProof/>
          <w:sz w:val="24"/>
        </w:rPr>
        <w:t xml:space="preserve">De plus, en février 2026, la Commission a </w:t>
      </w:r>
      <w:hyperlink r:id="rId30" w:history="1">
        <w:r>
          <w:rPr>
            <w:rStyle w:val="Hyperlink"/>
            <w:rFonts w:ascii="Times New Roman" w:hAnsi="Times New Roman"/>
            <w:noProof/>
            <w:sz w:val="24"/>
          </w:rPr>
          <w:t>répondu</w:t>
        </w:r>
      </w:hyperlink>
      <w:r>
        <w:rPr>
          <w:rFonts w:ascii="Times New Roman" w:hAnsi="Times New Roman"/>
          <w:noProof/>
          <w:sz w:val="24"/>
        </w:rPr>
        <w:t xml:space="preserve"> à l’initiative citoyenne européenne (ICE) </w:t>
      </w:r>
      <w:r>
        <w:rPr>
          <w:rFonts w:ascii="Times New Roman" w:hAnsi="Times New Roman"/>
          <w:b/>
          <w:noProof/>
          <w:sz w:val="24"/>
        </w:rPr>
        <w:t>«My Voice My Choice: pour un avortement sans danger et accessible»</w:t>
      </w:r>
      <w:r>
        <w:rPr>
          <w:rFonts w:ascii="Times New Roman" w:hAnsi="Times New Roman"/>
          <w:noProof/>
          <w:sz w:val="24"/>
        </w:rPr>
        <w:t>. Dans sa réponse, elle reconnaît que les avortements dangereux sont une question de santé publique et souligne que les États membres peuvent, s’ils le souhaitent, recourir au Fonds social européen plus pour améliorer l’égalité d’accès à des services d’avortement sûrs, légalement disponibles et abordables.</w:t>
      </w:r>
    </w:p>
    <w:p w14:paraId="4AE768E3" w14:textId="77777777" w:rsidR="00E406A6" w:rsidRPr="00300B33" w:rsidRDefault="00E406A6" w:rsidP="55B414C7">
      <w:pPr>
        <w:spacing w:after="0" w:line="276" w:lineRule="auto"/>
        <w:jc w:val="both"/>
        <w:rPr>
          <w:rFonts w:ascii="Times New Roman" w:hAnsi="Times New Roman" w:cs="Times New Roman"/>
          <w:noProof/>
          <w:sz w:val="24"/>
          <w:szCs w:val="24"/>
        </w:rPr>
      </w:pPr>
    </w:p>
    <w:p w14:paraId="0C9825E8" w14:textId="0B48A161" w:rsidR="003F3B2D" w:rsidRPr="00300B33" w:rsidRDefault="00D367D9" w:rsidP="3F25DB50">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cs="Times New Roman"/>
          <w:b/>
          <w:bCs/>
          <w:noProof/>
          <w:sz w:val="24"/>
          <w:szCs w:val="24"/>
        </w:rPr>
      </w:pPr>
      <w:r>
        <w:rPr>
          <w:rFonts w:ascii="Times New Roman" w:hAnsi="Times New Roman"/>
          <w:noProof/>
          <w:sz w:val="24"/>
        </w:rPr>
        <w:t xml:space="preserve"> </w:t>
      </w:r>
      <w:r>
        <w:rPr>
          <w:rFonts w:ascii="Times New Roman" w:hAnsi="Times New Roman"/>
          <w:b/>
          <w:noProof/>
          <w:sz w:val="24"/>
        </w:rPr>
        <w:t>Actions clés de la Commission:</w:t>
      </w:r>
    </w:p>
    <w:p w14:paraId="1455FFA1" w14:textId="580A341F" w:rsidR="007B16AE" w:rsidRPr="00300B33" w:rsidRDefault="00A2114C" w:rsidP="00F9606A">
      <w:pPr>
        <w:pStyle w:val="ListParagraph"/>
        <w:numPr>
          <w:ilvl w:val="0"/>
          <w:numId w:val="4"/>
        </w:numPr>
        <w:pBdr>
          <w:top w:val="single" w:sz="4" w:space="1" w:color="auto"/>
          <w:left w:val="single" w:sz="4" w:space="4" w:color="auto"/>
          <w:bottom w:val="single" w:sz="4" w:space="1" w:color="auto"/>
          <w:right w:val="single" w:sz="4" w:space="4" w:color="auto"/>
        </w:pBdr>
        <w:spacing w:after="0" w:line="276" w:lineRule="auto"/>
        <w:jc w:val="both"/>
        <w:rPr>
          <w:rFonts w:ascii="Times New Roman" w:hAnsi="Times New Roman" w:cs="Times New Roman"/>
          <w:noProof/>
          <w:sz w:val="24"/>
          <w:szCs w:val="24"/>
        </w:rPr>
      </w:pPr>
      <w:r>
        <w:rPr>
          <w:rFonts w:ascii="Times New Roman" w:hAnsi="Times New Roman"/>
          <w:noProof/>
          <w:sz w:val="24"/>
        </w:rPr>
        <w:t>lancer une nouvelle initiative avec l’Organisation mondiale de la santé sur la santé des femmes (2026);</w:t>
      </w:r>
    </w:p>
    <w:p w14:paraId="2F1D9C53" w14:textId="482EEA13" w:rsidR="007B16AE" w:rsidRPr="00300B33" w:rsidRDefault="007B16AE" w:rsidP="00F9606A">
      <w:pPr>
        <w:pStyle w:val="ListParagraph"/>
        <w:numPr>
          <w:ilvl w:val="0"/>
          <w:numId w:val="4"/>
        </w:numPr>
        <w:pBdr>
          <w:top w:val="single" w:sz="4" w:space="1" w:color="auto"/>
          <w:left w:val="single" w:sz="4" w:space="4" w:color="auto"/>
          <w:bottom w:val="single" w:sz="4" w:space="1" w:color="auto"/>
          <w:right w:val="single" w:sz="4" w:space="4" w:color="auto"/>
        </w:pBdr>
        <w:spacing w:after="0" w:line="276" w:lineRule="auto"/>
        <w:jc w:val="both"/>
        <w:rPr>
          <w:rFonts w:ascii="Times New Roman" w:eastAsia="Times New Roman" w:hAnsi="Times New Roman" w:cs="Times New Roman"/>
          <w:noProof/>
          <w:sz w:val="24"/>
          <w:szCs w:val="24"/>
        </w:rPr>
      </w:pPr>
      <w:r>
        <w:rPr>
          <w:rFonts w:ascii="Times New Roman" w:hAnsi="Times New Roman"/>
          <w:noProof/>
          <w:sz w:val="24"/>
        </w:rPr>
        <w:t>lancer une étude sur les avantages économiques et sociétaux de la réduction des disparités en matière de santé des femmes liées à certaines affections, telles que la ménopause (2028);</w:t>
      </w:r>
    </w:p>
    <w:p w14:paraId="5FFE40FF" w14:textId="1A7E5BAF" w:rsidR="00876040" w:rsidRPr="00300B33" w:rsidRDefault="00427423" w:rsidP="00F9606A">
      <w:pPr>
        <w:pStyle w:val="ListParagraph"/>
        <w:numPr>
          <w:ilvl w:val="0"/>
          <w:numId w:val="4"/>
        </w:numPr>
        <w:pBdr>
          <w:top w:val="single" w:sz="4" w:space="1" w:color="auto"/>
          <w:left w:val="single" w:sz="4" w:space="4" w:color="auto"/>
          <w:bottom w:val="single" w:sz="4" w:space="1" w:color="auto"/>
          <w:right w:val="single" w:sz="4" w:space="4" w:color="auto"/>
        </w:pBdr>
        <w:spacing w:after="0" w:line="276" w:lineRule="auto"/>
        <w:jc w:val="both"/>
        <w:rPr>
          <w:rFonts w:ascii="Times New Roman" w:hAnsi="Times New Roman" w:cs="Times New Roman"/>
          <w:noProof/>
          <w:sz w:val="24"/>
          <w:szCs w:val="24"/>
        </w:rPr>
      </w:pPr>
      <w:r>
        <w:rPr>
          <w:rFonts w:ascii="Times New Roman" w:hAnsi="Times New Roman"/>
          <w:noProof/>
          <w:sz w:val="24"/>
        </w:rPr>
        <w:t>soutenir l’action des États membres en matière de santé, plus précisément en ce qui concerne la santé et les droits en matière de sexualité et de procréation en recensant les pratiques et les cadres internationaux (</w:t>
      </w:r>
      <w:r>
        <w:rPr>
          <w:rFonts w:ascii="Times New Roman" w:hAnsi="Times New Roman"/>
          <w:noProof/>
          <w:color w:val="000000" w:themeColor="text1"/>
          <w:sz w:val="24"/>
        </w:rPr>
        <w:t>2028)</w:t>
      </w:r>
      <w:r>
        <w:rPr>
          <w:rFonts w:ascii="Times New Roman" w:hAnsi="Times New Roman"/>
          <w:noProof/>
          <w:sz w:val="24"/>
        </w:rPr>
        <w:t>;</w:t>
      </w:r>
    </w:p>
    <w:p w14:paraId="20CCA8D6" w14:textId="373A1BC4" w:rsidR="0013669B" w:rsidRPr="000E2AA0" w:rsidRDefault="005A6D6D" w:rsidP="0013669B">
      <w:pPr>
        <w:pStyle w:val="ListParagraph"/>
        <w:numPr>
          <w:ilvl w:val="0"/>
          <w:numId w:val="4"/>
        </w:numPr>
        <w:pBdr>
          <w:top w:val="single" w:sz="4" w:space="1" w:color="auto"/>
          <w:left w:val="single" w:sz="4" w:space="4" w:color="auto"/>
          <w:bottom w:val="single" w:sz="4" w:space="1" w:color="auto"/>
          <w:right w:val="single" w:sz="4" w:space="4" w:color="auto"/>
        </w:pBdr>
        <w:spacing w:after="0" w:line="276" w:lineRule="auto"/>
        <w:jc w:val="both"/>
        <w:rPr>
          <w:rFonts w:ascii="Times New Roman" w:hAnsi="Times New Roman" w:cs="Times New Roman"/>
          <w:noProof/>
          <w:sz w:val="24"/>
          <w:szCs w:val="24"/>
        </w:rPr>
      </w:pPr>
      <w:r>
        <w:rPr>
          <w:rFonts w:ascii="Times New Roman" w:hAnsi="Times New Roman"/>
          <w:noProof/>
          <w:sz w:val="24"/>
        </w:rPr>
        <w:t>mettre en œuvre la réponse de la Commission à l’initiative citoyenne européenne: «My Voice My Choice: pour un avortement sans danger et accessible» (2026-2027).</w:t>
      </w:r>
    </w:p>
    <w:p w14:paraId="4EC0C385" w14:textId="4F1B5203" w:rsidR="00FB0278" w:rsidRPr="000E2AA0" w:rsidRDefault="000F0D28" w:rsidP="008F3F65">
      <w:pPr>
        <w:spacing w:before="120" w:after="120" w:line="276" w:lineRule="auto"/>
        <w:jc w:val="center"/>
        <w:rPr>
          <w:rFonts w:ascii="Times New Roman" w:hAnsi="Times New Roman" w:cs="Times New Roman"/>
          <w:noProof/>
          <w:sz w:val="24"/>
          <w:szCs w:val="24"/>
        </w:rPr>
      </w:pPr>
      <w:r>
        <w:rPr>
          <w:rFonts w:ascii="Times New Roman" w:hAnsi="Times New Roman"/>
          <w:noProof/>
          <w:sz w:val="24"/>
        </w:rPr>
        <w:t>***</w:t>
      </w:r>
    </w:p>
    <w:p w14:paraId="61C6E57F" w14:textId="5E5EE48F" w:rsidR="00E405E5" w:rsidRPr="00300B33" w:rsidRDefault="00EB31B8" w:rsidP="3F25DB50">
      <w:pPr>
        <w:pBdr>
          <w:top w:val="single" w:sz="4" w:space="1" w:color="auto"/>
          <w:left w:val="single" w:sz="4" w:space="4" w:color="auto"/>
          <w:bottom w:val="single" w:sz="4" w:space="1" w:color="auto"/>
          <w:right w:val="single" w:sz="4" w:space="4" w:color="auto"/>
        </w:pBdr>
        <w:spacing w:after="0" w:line="276" w:lineRule="auto"/>
        <w:jc w:val="both"/>
        <w:rPr>
          <w:rFonts w:ascii="Times New Roman" w:hAnsi="Times New Roman" w:cs="Times New Roman"/>
          <w:b/>
          <w:bCs/>
          <w:i/>
          <w:iCs/>
          <w:noProof/>
          <w:sz w:val="24"/>
          <w:szCs w:val="24"/>
        </w:rPr>
      </w:pPr>
      <w:bookmarkStart w:id="4" w:name="_Hlk206420383"/>
      <w:r>
        <w:rPr>
          <w:rFonts w:ascii="Times New Roman" w:hAnsi="Times New Roman"/>
          <w:b/>
          <w:i/>
          <w:noProof/>
          <w:sz w:val="24"/>
        </w:rPr>
        <w:t xml:space="preserve">Principe 3 de la feuille de route: </w:t>
      </w:r>
      <w:bookmarkEnd w:id="4"/>
      <w:r>
        <w:rPr>
          <w:rFonts w:ascii="Times New Roman" w:hAnsi="Times New Roman"/>
          <w:b/>
          <w:i/>
          <w:noProof/>
          <w:sz w:val="24"/>
        </w:rPr>
        <w:t>égalité de rémunération, autonomisation économique et indépendance financière</w:t>
      </w:r>
    </w:p>
    <w:p w14:paraId="2C0528B5" w14:textId="77777777" w:rsidR="00CE52FD" w:rsidRPr="00300B33" w:rsidRDefault="00CE52FD" w:rsidP="00EA7DC6">
      <w:pPr>
        <w:spacing w:after="0" w:line="276" w:lineRule="auto"/>
        <w:contextualSpacing/>
        <w:jc w:val="both"/>
        <w:rPr>
          <w:rFonts w:ascii="Times New Roman" w:hAnsi="Times New Roman" w:cs="Times New Roman"/>
          <w:b/>
          <w:noProof/>
          <w:sz w:val="24"/>
          <w:szCs w:val="24"/>
        </w:rPr>
      </w:pPr>
    </w:p>
    <w:p w14:paraId="6A16B024" w14:textId="7AA1FEAD" w:rsidR="00717736" w:rsidRPr="00300B33" w:rsidRDefault="00EB31B8" w:rsidP="15445616">
      <w:pPr>
        <w:spacing w:after="0" w:line="276" w:lineRule="auto"/>
        <w:contextualSpacing/>
        <w:jc w:val="both"/>
        <w:rPr>
          <w:rStyle w:val="FootnoteReference"/>
          <w:rFonts w:ascii="Times New Roman" w:hAnsi="Times New Roman" w:cs="Times New Roman"/>
          <w:noProof/>
          <w:sz w:val="24"/>
          <w:szCs w:val="24"/>
        </w:rPr>
      </w:pPr>
      <w:r>
        <w:rPr>
          <w:rFonts w:ascii="Times New Roman" w:hAnsi="Times New Roman"/>
          <w:b/>
          <w:noProof/>
          <w:sz w:val="24"/>
        </w:rPr>
        <w:t>Les femmes gagnent encore en moyenne 12 % de moins par heure que les hommes dans l’UE</w:t>
      </w:r>
      <w:r>
        <w:rPr>
          <w:rStyle w:val="FootnoteReference"/>
          <w:rFonts w:ascii="Times New Roman" w:hAnsi="Times New Roman" w:cs="Times New Roman"/>
          <w:b/>
          <w:bCs/>
          <w:noProof/>
          <w:sz w:val="24"/>
          <w:szCs w:val="24"/>
        </w:rPr>
        <w:footnoteReference w:id="25"/>
      </w:r>
      <w:r>
        <w:rPr>
          <w:rFonts w:ascii="Times New Roman" w:hAnsi="Times New Roman"/>
          <w:noProof/>
          <w:sz w:val="24"/>
        </w:rPr>
        <w:t>, ce qui met en évidence les inégalités persistantes de genre sur le marché du travail. Pour remédier à cette situation, il convient de corriger cette injustice et de respecter les traités et la charte des droits fondamentaux de l’UE</w:t>
      </w:r>
      <w:r>
        <w:rPr>
          <w:rStyle w:val="FootnoteReference"/>
          <w:rFonts w:ascii="Times New Roman" w:hAnsi="Times New Roman" w:cs="Times New Roman"/>
          <w:noProof/>
          <w:sz w:val="24"/>
          <w:szCs w:val="24"/>
        </w:rPr>
        <w:footnoteReference w:id="26"/>
      </w:r>
      <w:r>
        <w:rPr>
          <w:rFonts w:ascii="Times New Roman" w:hAnsi="Times New Roman"/>
          <w:noProof/>
          <w:sz w:val="24"/>
        </w:rPr>
        <w:t>, ce qui libérera le potentiel économique d’une meilleure égalité de genre</w:t>
      </w:r>
      <w:r>
        <w:rPr>
          <w:rStyle w:val="FootnoteReference"/>
          <w:rFonts w:ascii="Times New Roman" w:hAnsi="Times New Roman"/>
          <w:noProof/>
          <w:sz w:val="24"/>
          <w:vertAlign w:val="baseline"/>
        </w:rPr>
        <w:t>.</w:t>
      </w:r>
    </w:p>
    <w:p w14:paraId="01128086" w14:textId="77777777" w:rsidR="00717736" w:rsidRPr="00300B33" w:rsidRDefault="00717736" w:rsidP="00CE049F">
      <w:pPr>
        <w:spacing w:after="0" w:line="276" w:lineRule="auto"/>
        <w:contextualSpacing/>
        <w:jc w:val="both"/>
        <w:rPr>
          <w:rFonts w:ascii="Times New Roman" w:hAnsi="Times New Roman" w:cs="Times New Roman"/>
          <w:noProof/>
          <w:sz w:val="24"/>
          <w:szCs w:val="24"/>
        </w:rPr>
      </w:pPr>
    </w:p>
    <w:p w14:paraId="7950F6FE" w14:textId="43D2E719" w:rsidR="00CE049F" w:rsidRPr="00300B33" w:rsidRDefault="00421B32" w:rsidP="40D41AEE">
      <w:pPr>
        <w:spacing w:after="0" w:line="276" w:lineRule="auto"/>
        <w:contextualSpacing/>
        <w:jc w:val="both"/>
        <w:rPr>
          <w:rFonts w:ascii="Times New Roman" w:hAnsi="Times New Roman" w:cs="Times New Roman"/>
          <w:noProof/>
          <w:sz w:val="24"/>
          <w:szCs w:val="24"/>
        </w:rPr>
      </w:pPr>
      <w:r>
        <w:rPr>
          <w:rFonts w:ascii="Times New Roman" w:hAnsi="Times New Roman"/>
          <w:noProof/>
          <w:sz w:val="24"/>
        </w:rPr>
        <w:t>La</w:t>
      </w:r>
      <w:r>
        <w:rPr>
          <w:noProof/>
        </w:rPr>
        <w:t xml:space="preserve"> </w:t>
      </w:r>
      <w:hyperlink r:id="rId31" w:history="1">
        <w:r>
          <w:rPr>
            <w:rStyle w:val="Hyperlink"/>
            <w:rFonts w:ascii="Times New Roman" w:hAnsi="Times New Roman"/>
            <w:b/>
            <w:noProof/>
            <w:sz w:val="24"/>
          </w:rPr>
          <w:t>directive sur la transparence des rémunérations</w:t>
        </w:r>
      </w:hyperlink>
      <w:r>
        <w:rPr>
          <w:rFonts w:ascii="Times New Roman" w:hAnsi="Times New Roman"/>
          <w:noProof/>
          <w:sz w:val="24"/>
        </w:rPr>
        <w:t xml:space="preserve"> change la donne en ce qui concerne la lutte contre la discrimination salariale et la sous-évaluation des emplois à prédominance féminine, qui sont les causes profondes de l’écart de rémunération entre les genres. La Commission continuera de soutenir les États membres dans la </w:t>
      </w:r>
      <w:r>
        <w:rPr>
          <w:rFonts w:ascii="Times New Roman" w:hAnsi="Times New Roman"/>
          <w:b/>
          <w:noProof/>
          <w:sz w:val="24"/>
        </w:rPr>
        <w:t>mise en œuvre effective et en temps utile</w:t>
      </w:r>
      <w:r>
        <w:rPr>
          <w:rFonts w:ascii="Times New Roman" w:hAnsi="Times New Roman"/>
          <w:noProof/>
          <w:sz w:val="24"/>
        </w:rPr>
        <w:t xml:space="preserve"> de cette directive. En coopération avec l’EIGE, elle publiera une </w:t>
      </w:r>
      <w:r>
        <w:rPr>
          <w:rFonts w:ascii="Times New Roman" w:hAnsi="Times New Roman"/>
          <w:b/>
          <w:noProof/>
          <w:sz w:val="24"/>
        </w:rPr>
        <w:t>boîte à outils sur l’évaluation et la classification non sexistes des emplois</w:t>
      </w:r>
      <w:r>
        <w:rPr>
          <w:rFonts w:ascii="Times New Roman" w:hAnsi="Times New Roman"/>
          <w:noProof/>
          <w:sz w:val="24"/>
        </w:rPr>
        <w:t xml:space="preserve"> en 2026. La boîte à outils comprendra des outils sur mesure pour aider les petites et moyennes entreprises à mener à bien ces processus en interne, sans qu’il soit nécessaire de recourir à des consultants externes. En outre, la Commission </w:t>
      </w:r>
      <w:r>
        <w:rPr>
          <w:rFonts w:ascii="Times New Roman" w:hAnsi="Times New Roman"/>
          <w:b/>
          <w:noProof/>
          <w:sz w:val="24"/>
        </w:rPr>
        <w:t>fournira un financement supplémentaire pour soutenir</w:t>
      </w:r>
      <w:r>
        <w:rPr>
          <w:rFonts w:ascii="Times New Roman" w:hAnsi="Times New Roman"/>
          <w:noProof/>
          <w:sz w:val="24"/>
        </w:rPr>
        <w:t xml:space="preserve"> la mise en œuvre de la directive et organisera un </w:t>
      </w:r>
      <w:r>
        <w:rPr>
          <w:rFonts w:ascii="Times New Roman" w:hAnsi="Times New Roman"/>
          <w:b/>
          <w:noProof/>
          <w:sz w:val="24"/>
        </w:rPr>
        <w:t>atelier à l’intention des partenaires sociaux</w:t>
      </w:r>
      <w:r>
        <w:rPr>
          <w:rFonts w:ascii="Times New Roman" w:hAnsi="Times New Roman"/>
          <w:noProof/>
          <w:sz w:val="24"/>
        </w:rPr>
        <w:t xml:space="preserve"> sur la manière dont ils peuvent soutenir sa mise en œuvre. </w:t>
      </w:r>
    </w:p>
    <w:p w14:paraId="77659427" w14:textId="77777777" w:rsidR="005C348C" w:rsidRPr="00300B33" w:rsidRDefault="005C348C" w:rsidP="40D41AEE">
      <w:pPr>
        <w:spacing w:after="0" w:line="276" w:lineRule="auto"/>
        <w:contextualSpacing/>
        <w:jc w:val="both"/>
        <w:rPr>
          <w:rFonts w:ascii="Times New Roman" w:hAnsi="Times New Roman" w:cs="Times New Roman"/>
          <w:noProof/>
          <w:sz w:val="24"/>
          <w:szCs w:val="24"/>
        </w:rPr>
      </w:pPr>
    </w:p>
    <w:p w14:paraId="74C36886" w14:textId="44F3282A" w:rsidR="005C348C" w:rsidRPr="00300B33" w:rsidRDefault="004900A7" w:rsidP="40D41AEE">
      <w:pPr>
        <w:spacing w:after="0" w:line="276" w:lineRule="auto"/>
        <w:contextualSpacing/>
        <w:jc w:val="both"/>
        <w:rPr>
          <w:rFonts w:ascii="Times New Roman" w:hAnsi="Times New Roman" w:cs="Times New Roman"/>
          <w:noProof/>
          <w:sz w:val="24"/>
          <w:szCs w:val="24"/>
        </w:rPr>
      </w:pPr>
      <w:r>
        <w:rPr>
          <w:rFonts w:ascii="Times New Roman" w:hAnsi="Times New Roman"/>
          <w:noProof/>
          <w:sz w:val="24"/>
        </w:rPr>
        <w:t xml:space="preserve">Par ailleurs, la directive sur la transparence des rémunérations fait référence aux dispositions des </w:t>
      </w:r>
      <w:hyperlink r:id="rId32" w:history="1">
        <w:r>
          <w:rPr>
            <w:rStyle w:val="Hyperlink"/>
            <w:rFonts w:ascii="Times New Roman" w:hAnsi="Times New Roman"/>
            <w:noProof/>
            <w:sz w:val="24"/>
          </w:rPr>
          <w:t>directives de 2014 sur les marchés publics</w:t>
        </w:r>
      </w:hyperlink>
      <w:r>
        <w:rPr>
          <w:rFonts w:ascii="Times New Roman" w:hAnsi="Times New Roman"/>
          <w:noProof/>
          <w:sz w:val="24"/>
        </w:rPr>
        <w:t xml:space="preserve"> et impose aux États membres de prendre des mesures appropriées pour garantir que, dans l’exécution des marchés publics, les opérateurs économiques respectent leurs obligations liées au principe de l’égalité des rémunérations</w:t>
      </w:r>
      <w:r>
        <w:rPr>
          <w:rStyle w:val="FootnoteReference"/>
          <w:rFonts w:ascii="Times New Roman" w:eastAsia="Calibri" w:hAnsi="Times New Roman" w:cs="Times New Roman"/>
          <w:noProof/>
          <w:kern w:val="0"/>
          <w:sz w:val="24"/>
          <w:szCs w:val="24"/>
          <w:lang w:val="en-US"/>
        </w:rPr>
        <w:footnoteReference w:id="27"/>
      </w:r>
      <w:r>
        <w:rPr>
          <w:rFonts w:ascii="Times New Roman" w:hAnsi="Times New Roman"/>
          <w:noProof/>
          <w:sz w:val="24"/>
        </w:rPr>
        <w:t>.</w:t>
      </w:r>
    </w:p>
    <w:p w14:paraId="230F13F5" w14:textId="77777777" w:rsidR="004F387A" w:rsidRPr="00300B33" w:rsidRDefault="004F387A" w:rsidP="00CE049F">
      <w:pPr>
        <w:spacing w:after="0" w:line="276" w:lineRule="auto"/>
        <w:contextualSpacing/>
        <w:jc w:val="both"/>
        <w:rPr>
          <w:rFonts w:ascii="Times New Roman" w:hAnsi="Times New Roman" w:cs="Times New Roman"/>
          <w:noProof/>
          <w:sz w:val="24"/>
          <w:szCs w:val="24"/>
        </w:rPr>
      </w:pPr>
    </w:p>
    <w:p w14:paraId="7BDFBB68" w14:textId="1F9714DC" w:rsidR="00EB31B8" w:rsidRPr="00300B33" w:rsidRDefault="00771F66" w:rsidP="40D41AEE">
      <w:pPr>
        <w:spacing w:after="0" w:line="276" w:lineRule="auto"/>
        <w:contextualSpacing/>
        <w:jc w:val="both"/>
        <w:rPr>
          <w:rFonts w:ascii="Times New Roman" w:hAnsi="Times New Roman" w:cs="Times New Roman"/>
          <w:noProof/>
          <w:sz w:val="24"/>
          <w:szCs w:val="24"/>
        </w:rPr>
      </w:pPr>
      <w:r>
        <w:rPr>
          <w:rFonts w:ascii="Times New Roman" w:hAnsi="Times New Roman"/>
          <w:noProof/>
          <w:sz w:val="24"/>
        </w:rPr>
        <w:t>Dans l’ensemble de l’UE, les femmes rencontrent également des difficultés à accéder aux investissements, ce qui représente un frein considérable pour les entreprises dirigées par des femmes. Pour 100 EUR d’investissement en capital-risque, moins de 3 EUR vont à des équipes dirigées par des femmes, et seulement 15 EUR vont à des équipes mixtes</w:t>
      </w:r>
      <w:r>
        <w:rPr>
          <w:rStyle w:val="FootnoteReference"/>
          <w:rFonts w:ascii="Times New Roman" w:hAnsi="Times New Roman" w:cs="Times New Roman"/>
          <w:noProof/>
          <w:sz w:val="24"/>
          <w:szCs w:val="24"/>
        </w:rPr>
        <w:footnoteReference w:id="28"/>
      </w:r>
      <w:r>
        <w:rPr>
          <w:rFonts w:ascii="Times New Roman" w:hAnsi="Times New Roman"/>
          <w:noProof/>
          <w:sz w:val="24"/>
        </w:rPr>
        <w:t xml:space="preserve">. Il est essentiel, pour la compétitivité de l’UE, de </w:t>
      </w:r>
      <w:r w:rsidRPr="004A034B">
        <w:rPr>
          <w:rFonts w:ascii="Times New Roman" w:hAnsi="Times New Roman"/>
          <w:bCs/>
          <w:noProof/>
          <w:sz w:val="24"/>
        </w:rPr>
        <w:t>combler</w:t>
      </w:r>
      <w:r>
        <w:rPr>
          <w:rFonts w:ascii="Times New Roman" w:hAnsi="Times New Roman"/>
          <w:b/>
          <w:noProof/>
          <w:sz w:val="24"/>
        </w:rPr>
        <w:t xml:space="preserve"> cet écart d’investissement</w:t>
      </w:r>
      <w:r>
        <w:rPr>
          <w:rFonts w:ascii="Times New Roman" w:hAnsi="Times New Roman"/>
          <w:noProof/>
          <w:sz w:val="24"/>
        </w:rPr>
        <w:t xml:space="preserve"> entre les genres. En outre, il est essentiel de combler l’</w:t>
      </w:r>
      <w:r>
        <w:rPr>
          <w:rFonts w:ascii="Times New Roman" w:hAnsi="Times New Roman"/>
          <w:b/>
          <w:noProof/>
          <w:sz w:val="24"/>
        </w:rPr>
        <w:t>écart entre les genres en matière de culture financière</w:t>
      </w:r>
      <w:r>
        <w:rPr>
          <w:rStyle w:val="FootnoteReference"/>
          <w:rFonts w:ascii="Times New Roman" w:hAnsi="Times New Roman" w:cs="Times New Roman"/>
          <w:noProof/>
          <w:sz w:val="24"/>
          <w:szCs w:val="24"/>
        </w:rPr>
        <w:footnoteReference w:id="29"/>
      </w:r>
      <w:r>
        <w:rPr>
          <w:rFonts w:ascii="Times New Roman" w:hAnsi="Times New Roman"/>
          <w:noProof/>
          <w:sz w:val="24"/>
        </w:rPr>
        <w:t xml:space="preserve"> pour stimuler l’entrepreneuriat et les investissements des femmes et leur donner les moyens de prendre des décisions financières. </w:t>
      </w:r>
    </w:p>
    <w:p w14:paraId="03C356EA" w14:textId="77777777" w:rsidR="005304A6" w:rsidRPr="00300B33" w:rsidRDefault="005304A6" w:rsidP="3F25DB50">
      <w:pPr>
        <w:spacing w:after="0" w:line="276" w:lineRule="auto"/>
        <w:contextualSpacing/>
        <w:jc w:val="both"/>
        <w:rPr>
          <w:rFonts w:ascii="Times New Roman" w:hAnsi="Times New Roman" w:cs="Times New Roman"/>
          <w:noProof/>
          <w:sz w:val="24"/>
          <w:szCs w:val="24"/>
        </w:rPr>
      </w:pPr>
    </w:p>
    <w:p w14:paraId="78AF8CB4" w14:textId="0207FBD7" w:rsidR="00207751" w:rsidRPr="00300B33" w:rsidRDefault="00136C47" w:rsidP="00207751">
      <w:pPr>
        <w:spacing w:after="0" w:line="276" w:lineRule="auto"/>
        <w:jc w:val="both"/>
        <w:rPr>
          <w:rFonts w:ascii="Times New Roman" w:hAnsi="Times New Roman" w:cs="Times New Roman"/>
          <w:noProof/>
          <w:sz w:val="24"/>
          <w:szCs w:val="24"/>
        </w:rPr>
      </w:pPr>
      <w:r>
        <w:rPr>
          <w:rFonts w:ascii="Times New Roman" w:hAnsi="Times New Roman"/>
          <w:noProof/>
          <w:sz w:val="24"/>
        </w:rPr>
        <w:t xml:space="preserve">Les </w:t>
      </w:r>
      <w:r>
        <w:rPr>
          <w:rFonts w:ascii="Times New Roman" w:hAnsi="Times New Roman"/>
          <w:b/>
          <w:noProof/>
          <w:sz w:val="24"/>
        </w:rPr>
        <w:t>objectifs de financement intégrant la dimension de genre</w:t>
      </w:r>
      <w:r>
        <w:rPr>
          <w:rFonts w:ascii="Times New Roman" w:hAnsi="Times New Roman"/>
          <w:noProof/>
          <w:sz w:val="24"/>
        </w:rPr>
        <w:t xml:space="preserve"> dans les accords d’exécution de </w:t>
      </w:r>
      <w:r>
        <w:rPr>
          <w:rFonts w:ascii="Times New Roman" w:hAnsi="Times New Roman"/>
          <w:b/>
          <w:noProof/>
          <w:sz w:val="24"/>
        </w:rPr>
        <w:t>financement des investissements de l’UE</w:t>
      </w:r>
      <w:r>
        <w:rPr>
          <w:rFonts w:ascii="Times New Roman" w:hAnsi="Times New Roman"/>
          <w:noProof/>
          <w:sz w:val="24"/>
        </w:rPr>
        <w:t xml:space="preserve"> jouent un rôle crucial dans l’amélioration de l’accès au financement. En s’appuyant sur l’expérience de la Banque européenne d’investissement (BEI), un partenaire chargé de la mise en œuvre d’InvestEU, qui a largement dépassé l’</w:t>
      </w:r>
      <w:r>
        <w:rPr>
          <w:rFonts w:ascii="Times New Roman" w:hAnsi="Times New Roman"/>
          <w:b/>
          <w:noProof/>
          <w:sz w:val="24"/>
        </w:rPr>
        <w:t>objectif actuel de financement tenant compte de la dimension de genre</w:t>
      </w:r>
      <w:r>
        <w:rPr>
          <w:rFonts w:ascii="Times New Roman" w:hAnsi="Times New Roman"/>
          <w:noProof/>
          <w:sz w:val="24"/>
        </w:rPr>
        <w:t xml:space="preserve"> de 25 %, la Commission proposera d’élargir encore les objectifs tenant compte de cette dimension dans le cadre des futurs programmes de financement. En collaboration avec le groupe BEI, la Commission poursuivra les actions visant à améliorer l’accès au financement pour les femmes entrepreneurs dans l’UE et à accroître la représentation des femmes dans le secteur financier (par exemple par l’intermédiaire du</w:t>
      </w:r>
      <w:r>
        <w:rPr>
          <w:noProof/>
        </w:rPr>
        <w:t xml:space="preserve"> </w:t>
      </w:r>
      <w:hyperlink r:id="rId33" w:history="1">
        <w:r>
          <w:rPr>
            <w:rStyle w:val="Hyperlink"/>
            <w:rFonts w:ascii="Times New Roman" w:hAnsi="Times New Roman"/>
            <w:noProof/>
            <w:sz w:val="24"/>
          </w:rPr>
          <w:t>Gender Finance Lab</w:t>
        </w:r>
      </w:hyperlink>
      <w:r>
        <w:rPr>
          <w:rFonts w:ascii="Times New Roman" w:hAnsi="Times New Roman"/>
          <w:noProof/>
          <w:sz w:val="24"/>
        </w:rPr>
        <w:t xml:space="preserve">). Les futurs programmes tels que le </w:t>
      </w:r>
      <w:hyperlink r:id="rId34" w:history="1">
        <w:r>
          <w:rPr>
            <w:rStyle w:val="Hyperlink"/>
            <w:rFonts w:ascii="Times New Roman" w:hAnsi="Times New Roman"/>
            <w:b/>
            <w:noProof/>
            <w:sz w:val="24"/>
          </w:rPr>
          <w:t>Fonds européen pour la compétitivité</w:t>
        </w:r>
      </w:hyperlink>
      <w:r>
        <w:rPr>
          <w:rFonts w:ascii="Times New Roman" w:hAnsi="Times New Roman"/>
          <w:noProof/>
          <w:sz w:val="24"/>
        </w:rPr>
        <w:t xml:space="preserve"> (dans l’attente de négociations interinstitutionnelles) pourraient également apporter un soutien au développement des entreprises dirigées par des femmes et promouvoir l’entrepreneuriat féminin. En outre, la mise en œuvre de la </w:t>
      </w:r>
      <w:hyperlink r:id="rId35" w:history="1">
        <w:r>
          <w:rPr>
            <w:rStyle w:val="Hyperlink"/>
            <w:rFonts w:ascii="Times New Roman" w:hAnsi="Times New Roman"/>
            <w:b/>
            <w:noProof/>
            <w:sz w:val="24"/>
          </w:rPr>
          <w:t>stratégie de promotion de la culture financière</w:t>
        </w:r>
      </w:hyperlink>
      <w:r>
        <w:rPr>
          <w:rFonts w:ascii="Times New Roman" w:hAnsi="Times New Roman"/>
          <w:noProof/>
          <w:sz w:val="24"/>
        </w:rPr>
        <w:t xml:space="preserve"> visera à renforcer son approche tenant compte de la dimension de genre. L’</w:t>
      </w:r>
      <w:hyperlink r:id="rId36" w:history="1">
        <w:r>
          <w:rPr>
            <w:rStyle w:val="Hyperlink"/>
            <w:rFonts w:ascii="Times New Roman" w:hAnsi="Times New Roman"/>
            <w:noProof/>
            <w:sz w:val="24"/>
          </w:rPr>
          <w:t>initiative ESTEAM</w:t>
        </w:r>
      </w:hyperlink>
      <w:r>
        <w:rPr>
          <w:rFonts w:ascii="Times New Roman" w:hAnsi="Times New Roman"/>
          <w:noProof/>
          <w:sz w:val="24"/>
        </w:rPr>
        <w:t xml:space="preserve">, qui vise à renforcer les compétences numériques et entrepreneuriales des femmes et des filles, formera environ 10 000 filles et femmes d’ici à 2028. </w:t>
      </w:r>
    </w:p>
    <w:p w14:paraId="01B5DDFD" w14:textId="77777777" w:rsidR="00207751" w:rsidRPr="00300B33" w:rsidRDefault="00207751" w:rsidP="00207751">
      <w:pPr>
        <w:spacing w:after="0" w:line="276" w:lineRule="auto"/>
        <w:jc w:val="both"/>
        <w:rPr>
          <w:rFonts w:ascii="Times New Roman" w:hAnsi="Times New Roman" w:cs="Times New Roman"/>
          <w:noProof/>
          <w:sz w:val="24"/>
          <w:szCs w:val="24"/>
        </w:rPr>
      </w:pPr>
    </w:p>
    <w:p w14:paraId="79C71A1B" w14:textId="07551843" w:rsidR="002F3E28" w:rsidRPr="00300B33" w:rsidRDefault="00A06E86" w:rsidP="40D41AEE">
      <w:pPr>
        <w:spacing w:after="0" w:line="276" w:lineRule="auto"/>
        <w:jc w:val="both"/>
        <w:rPr>
          <w:rFonts w:ascii="Times New Roman" w:hAnsi="Times New Roman" w:cs="Times New Roman"/>
          <w:noProof/>
          <w:sz w:val="24"/>
          <w:szCs w:val="24"/>
        </w:rPr>
      </w:pPr>
      <w:r>
        <w:rPr>
          <w:rFonts w:ascii="Times New Roman" w:hAnsi="Times New Roman"/>
          <w:noProof/>
          <w:sz w:val="24"/>
        </w:rPr>
        <w:t>En outre, la Commission publiera un rapport sur la mise en œuvre de la</w:t>
      </w:r>
      <w:r>
        <w:rPr>
          <w:noProof/>
        </w:rPr>
        <w:t xml:space="preserve"> </w:t>
      </w:r>
      <w:hyperlink r:id="rId37">
        <w:r>
          <w:rPr>
            <w:rStyle w:val="Hyperlink"/>
            <w:rFonts w:ascii="Times New Roman" w:hAnsi="Times New Roman"/>
            <w:b/>
            <w:noProof/>
            <w:sz w:val="24"/>
          </w:rPr>
          <w:t>directive 2004/113</w:t>
        </w:r>
      </w:hyperlink>
      <w:r>
        <w:rPr>
          <w:rFonts w:ascii="Times New Roman" w:hAnsi="Times New Roman"/>
          <w:b/>
          <w:noProof/>
          <w:sz w:val="24"/>
        </w:rPr>
        <w:t xml:space="preserve"> relative à l’accès à des biens et services et à la fourniture de biens et services</w:t>
      </w:r>
      <w:r>
        <w:rPr>
          <w:rFonts w:ascii="Times New Roman" w:hAnsi="Times New Roman"/>
          <w:noProof/>
          <w:sz w:val="24"/>
        </w:rPr>
        <w:t xml:space="preserve"> et procédera à un test de résistance concernant la </w:t>
      </w:r>
      <w:hyperlink r:id="rId38">
        <w:r>
          <w:rPr>
            <w:rStyle w:val="Hyperlink"/>
            <w:rFonts w:ascii="Times New Roman" w:hAnsi="Times New Roman"/>
            <w:b/>
            <w:noProof/>
            <w:sz w:val="24"/>
          </w:rPr>
          <w:t>directive 2010/41</w:t>
        </w:r>
      </w:hyperlink>
      <w:r>
        <w:rPr>
          <w:rFonts w:ascii="Times New Roman" w:hAnsi="Times New Roman"/>
          <w:b/>
          <w:noProof/>
          <w:sz w:val="24"/>
        </w:rPr>
        <w:t xml:space="preserve"> sur le travail indépendant</w:t>
      </w:r>
      <w:r>
        <w:rPr>
          <w:rFonts w:ascii="Times New Roman" w:hAnsi="Times New Roman"/>
          <w:noProof/>
          <w:sz w:val="24"/>
        </w:rPr>
        <w:t>. L’objectif est de déterminer les raisons pour lesquelles les directives sont actuellement sous-utilisées, bien que des problèmes d’égalité de genre persistent dans ces deux domaines. Cela permettra de fournir une base factuelle complète pour les actions futures visant à combler les lacunes dans le champ d’application et la mise en œuvre de la législation existante.</w:t>
      </w:r>
    </w:p>
    <w:p w14:paraId="6A75803B" w14:textId="4AAA13D1" w:rsidR="00207751" w:rsidRPr="00300B33" w:rsidRDefault="005304A6" w:rsidP="40D41AEE">
      <w:pPr>
        <w:spacing w:after="0" w:line="276" w:lineRule="auto"/>
        <w:jc w:val="both"/>
        <w:rPr>
          <w:rFonts w:ascii="Times New Roman" w:hAnsi="Times New Roman" w:cs="Times New Roman"/>
          <w:noProof/>
          <w:sz w:val="24"/>
          <w:szCs w:val="24"/>
        </w:rPr>
      </w:pPr>
      <w:r>
        <w:rPr>
          <w:rFonts w:ascii="Times New Roman" w:hAnsi="Times New Roman"/>
          <w:noProof/>
          <w:sz w:val="24"/>
        </w:rPr>
        <w:t xml:space="preserve">  </w:t>
      </w:r>
    </w:p>
    <w:p w14:paraId="0EB5C27E" w14:textId="4921F029" w:rsidR="00BF5669" w:rsidRPr="00300B33" w:rsidRDefault="00FC746E" w:rsidP="00E54F57">
      <w:pPr>
        <w:spacing w:after="0" w:line="276" w:lineRule="auto"/>
        <w:jc w:val="both"/>
        <w:rPr>
          <w:rFonts w:ascii="Times New Roman" w:hAnsi="Times New Roman" w:cs="Times New Roman"/>
          <w:noProof/>
          <w:color w:val="0070C0"/>
          <w:sz w:val="24"/>
          <w:szCs w:val="24"/>
        </w:rPr>
      </w:pPr>
      <w:r>
        <w:rPr>
          <w:rFonts w:ascii="Times New Roman" w:hAnsi="Times New Roman"/>
          <w:b/>
          <w:noProof/>
          <w:sz w:val="24"/>
        </w:rPr>
        <w:t>Les femmes</w:t>
      </w:r>
      <w:r>
        <w:rPr>
          <w:rFonts w:ascii="Times New Roman" w:hAnsi="Times New Roman"/>
          <w:noProof/>
          <w:sz w:val="24"/>
        </w:rPr>
        <w:t xml:space="preserve">, en particulier les femmes en situation de vulnérabilité, </w:t>
      </w:r>
      <w:r>
        <w:rPr>
          <w:rFonts w:ascii="Times New Roman" w:hAnsi="Times New Roman"/>
          <w:b/>
          <w:noProof/>
          <w:sz w:val="24"/>
        </w:rPr>
        <w:t>sont exposées à un risque accru de pauvreté ou d’exclusion sociale</w:t>
      </w:r>
      <w:r>
        <w:rPr>
          <w:rFonts w:ascii="Times New Roman" w:hAnsi="Times New Roman"/>
          <w:noProof/>
          <w:sz w:val="24"/>
        </w:rPr>
        <w:t xml:space="preserve"> dans l’ensemble de l’UE. Par exemple, les parents isolés, principalement des femmes, éprouvent des difficultés à joindre les deux bouts et sont exposés à un risque de pauvreté ou d’exclusion sociale deux fois plus élevé que la population en général. La </w:t>
      </w:r>
      <w:hyperlink r:id="rId39" w:history="1">
        <w:r>
          <w:rPr>
            <w:rStyle w:val="Hyperlink"/>
            <w:rFonts w:ascii="Times New Roman" w:hAnsi="Times New Roman"/>
            <w:b/>
            <w:noProof/>
            <w:sz w:val="24"/>
          </w:rPr>
          <w:t>recommandation du Conseil relative à un revenu minimum adéquat pour garantir une inclusion active</w:t>
        </w:r>
      </w:hyperlink>
      <w:r>
        <w:rPr>
          <w:rFonts w:ascii="Times New Roman" w:hAnsi="Times New Roman"/>
          <w:noProof/>
          <w:sz w:val="24"/>
        </w:rPr>
        <w:t xml:space="preserve"> invite les États membres à garantir la possibilité de demander que le revenu minimum soit fourni aux membres individuels du ménage. Les avantages individuels peuvent promouvoir l’égalité de genre, la sécurité des revenus et l’indépendance économique des femmes. À l’avenir, la Commission a l’intention d’intégrer une perspective de genre renforcée dans la </w:t>
      </w:r>
      <w:r>
        <w:rPr>
          <w:rFonts w:ascii="Times New Roman" w:hAnsi="Times New Roman"/>
          <w:b/>
          <w:noProof/>
          <w:sz w:val="24"/>
        </w:rPr>
        <w:t>toute première stratégie européenne de lutte contre la pauvreté</w:t>
      </w:r>
      <w:r>
        <w:rPr>
          <w:rFonts w:ascii="Times New Roman" w:hAnsi="Times New Roman"/>
          <w:noProof/>
          <w:sz w:val="24"/>
        </w:rPr>
        <w:t xml:space="preserve">. </w:t>
      </w:r>
    </w:p>
    <w:p w14:paraId="3D047B83" w14:textId="409B74D5" w:rsidR="00EB26B0" w:rsidRPr="00300B33" w:rsidRDefault="00EB26B0" w:rsidP="00E54F57">
      <w:pPr>
        <w:spacing w:after="0" w:line="276" w:lineRule="auto"/>
        <w:jc w:val="both"/>
        <w:rPr>
          <w:rFonts w:ascii="Times New Roman" w:hAnsi="Times New Roman" w:cs="Times New Roman"/>
          <w:noProof/>
          <w:sz w:val="24"/>
          <w:szCs w:val="24"/>
        </w:rPr>
      </w:pPr>
    </w:p>
    <w:p w14:paraId="36D3E783" w14:textId="11A17A3B" w:rsidR="00E27331" w:rsidRPr="00300B33" w:rsidRDefault="00BF5669" w:rsidP="00E54F57">
      <w:pPr>
        <w:spacing w:after="0" w:line="276" w:lineRule="auto"/>
        <w:jc w:val="both"/>
        <w:rPr>
          <w:rFonts w:ascii="Times New Roman" w:hAnsi="Times New Roman" w:cs="Times New Roman"/>
          <w:noProof/>
          <w:sz w:val="24"/>
          <w:szCs w:val="24"/>
        </w:rPr>
      </w:pPr>
      <w:r>
        <w:rPr>
          <w:rFonts w:ascii="Times New Roman" w:hAnsi="Times New Roman"/>
          <w:noProof/>
          <w:sz w:val="24"/>
        </w:rPr>
        <w:t xml:space="preserve">Conformément au </w:t>
      </w:r>
      <w:hyperlink r:id="rId40" w:history="1">
        <w:r>
          <w:rPr>
            <w:rStyle w:val="Hyperlink"/>
            <w:rFonts w:ascii="Times New Roman" w:hAnsi="Times New Roman"/>
            <w:b/>
            <w:noProof/>
            <w:sz w:val="24"/>
          </w:rPr>
          <w:t>plan européen pour des logements abordables</w:t>
        </w:r>
      </w:hyperlink>
      <w:r>
        <w:rPr>
          <w:rFonts w:ascii="Times New Roman" w:hAnsi="Times New Roman"/>
          <w:noProof/>
          <w:sz w:val="24"/>
        </w:rPr>
        <w:t xml:space="preserve">, la Commission proposera une </w:t>
      </w:r>
      <w:r>
        <w:rPr>
          <w:rFonts w:ascii="Times New Roman" w:hAnsi="Times New Roman"/>
          <w:b/>
          <w:noProof/>
          <w:sz w:val="24"/>
        </w:rPr>
        <w:t>recommandation du Conseil sur la lutte contre l’exclusion en matière de logement</w:t>
      </w:r>
      <w:r>
        <w:rPr>
          <w:rFonts w:ascii="Times New Roman" w:hAnsi="Times New Roman"/>
          <w:noProof/>
          <w:sz w:val="24"/>
        </w:rPr>
        <w:t xml:space="preserve"> afin de promouvoir une collecte de données inclusive et de soutenir les personnes vulnérables en situation de logement précaire, y compris les parents isolés (majoritairement des femmes), les personnes âgées (les femmes vivent plus longtemps) et les victimes de violence fondée sur le genre. La Commission publiera également </w:t>
      </w:r>
      <w:r>
        <w:rPr>
          <w:rFonts w:ascii="Times New Roman" w:hAnsi="Times New Roman"/>
          <w:b/>
          <w:noProof/>
          <w:sz w:val="24"/>
        </w:rPr>
        <w:t>une étude sur les inégalités et la discrimination en matière de logement</w:t>
      </w:r>
      <w:r>
        <w:rPr>
          <w:rFonts w:ascii="Times New Roman" w:hAnsi="Times New Roman"/>
          <w:noProof/>
          <w:sz w:val="24"/>
        </w:rPr>
        <w:t>, en adoptant une approche intersectionnelle.</w:t>
      </w:r>
    </w:p>
    <w:p w14:paraId="286EDF26" w14:textId="77777777" w:rsidR="002B5079" w:rsidRPr="00300B33" w:rsidRDefault="002B5079" w:rsidP="00E54F57">
      <w:pPr>
        <w:spacing w:after="0" w:line="276" w:lineRule="auto"/>
        <w:jc w:val="both"/>
        <w:rPr>
          <w:rFonts w:ascii="Times New Roman" w:eastAsia="Times New Roman" w:hAnsi="Times New Roman" w:cs="Times New Roman"/>
          <w:noProof/>
          <w:color w:val="0070C0"/>
          <w:sz w:val="24"/>
          <w:szCs w:val="24"/>
        </w:rPr>
      </w:pPr>
    </w:p>
    <w:p w14:paraId="5B15E6B8" w14:textId="2F682BF1" w:rsidR="0077537A" w:rsidRPr="00300B33" w:rsidRDefault="00E90BC0" w:rsidP="3F25DB50">
      <w:pPr>
        <w:spacing w:after="0" w:line="276" w:lineRule="auto"/>
        <w:contextualSpacing/>
        <w:jc w:val="both"/>
        <w:rPr>
          <w:rFonts w:ascii="Times New Roman" w:hAnsi="Times New Roman" w:cs="Times New Roman"/>
          <w:noProof/>
          <w:sz w:val="24"/>
          <w:szCs w:val="24"/>
        </w:rPr>
      </w:pPr>
      <w:r>
        <w:rPr>
          <w:rFonts w:ascii="Times New Roman" w:hAnsi="Times New Roman"/>
          <w:b/>
          <w:noProof/>
          <w:sz w:val="24"/>
        </w:rPr>
        <w:t>La précarité menstruelle et la précarité liée à la ménopause</w:t>
      </w:r>
      <w:r>
        <w:rPr>
          <w:rFonts w:ascii="Times New Roman" w:hAnsi="Times New Roman"/>
          <w:noProof/>
          <w:sz w:val="24"/>
        </w:rPr>
        <w:t xml:space="preserve"> touchent de nombreuses femmes dans l’ensemble de l’UE. Bien que les taux réduits de TVA ne puissent pas s’appliquer uniquement aux groupes à faibles revenus (ou à certains groupes spécifiques), la révision de la directive TVA en 2022 a permis aux États membres d’appliquer un taux réduit ou de 0 % aux produits d’hygiène féminine. Parmi les autres mesures possibles, qui peuvent être mieux ciblées sur les personnes dans le besoin, figurent la gratuité des produits menstruels ou l’organisation de la distribution gratuite à des groupes spécifiques. La Commission organisera un </w:t>
      </w:r>
      <w:r>
        <w:rPr>
          <w:rFonts w:ascii="Times New Roman" w:hAnsi="Times New Roman"/>
          <w:b/>
          <w:noProof/>
          <w:sz w:val="24"/>
        </w:rPr>
        <w:t>échange de bonnes pratiques sur les mesures visant à lutter efficacement contre la précarité menstruelle et la précarité liée à la ménopause</w:t>
      </w:r>
      <w:r>
        <w:rPr>
          <w:rFonts w:ascii="Times New Roman" w:hAnsi="Times New Roman"/>
          <w:noProof/>
          <w:sz w:val="24"/>
        </w:rPr>
        <w:t xml:space="preserve"> au niveau national.</w:t>
      </w:r>
    </w:p>
    <w:p w14:paraId="124883EF" w14:textId="77777777" w:rsidR="00F01538" w:rsidRPr="00300B33" w:rsidRDefault="00F01538" w:rsidP="3F25DB50">
      <w:pPr>
        <w:spacing w:after="0" w:line="276" w:lineRule="auto"/>
        <w:contextualSpacing/>
        <w:jc w:val="both"/>
        <w:rPr>
          <w:rFonts w:ascii="Times New Roman" w:hAnsi="Times New Roman" w:cs="Times New Roman"/>
          <w:noProof/>
          <w:sz w:val="24"/>
          <w:szCs w:val="24"/>
        </w:rPr>
      </w:pPr>
    </w:p>
    <w:p w14:paraId="40C2CF8C" w14:textId="29B51848" w:rsidR="0058293B" w:rsidRPr="00300B33" w:rsidRDefault="00FC746E" w:rsidP="40D41AEE">
      <w:pPr>
        <w:spacing w:after="0" w:line="276" w:lineRule="auto"/>
        <w:contextualSpacing/>
        <w:jc w:val="both"/>
        <w:rPr>
          <w:rFonts w:ascii="Times New Roman" w:hAnsi="Times New Roman" w:cs="Times New Roman"/>
          <w:noProof/>
          <w:sz w:val="24"/>
          <w:szCs w:val="24"/>
        </w:rPr>
      </w:pPr>
      <w:r>
        <w:rPr>
          <w:rFonts w:ascii="Times New Roman" w:hAnsi="Times New Roman"/>
          <w:noProof/>
          <w:sz w:val="24"/>
        </w:rPr>
        <w:t>L’</w:t>
      </w:r>
      <w:r>
        <w:rPr>
          <w:rFonts w:ascii="Times New Roman" w:hAnsi="Times New Roman"/>
          <w:b/>
          <w:noProof/>
          <w:sz w:val="24"/>
        </w:rPr>
        <w:t>écart de retraite entre les femmes et les hommes</w:t>
      </w:r>
      <w:r>
        <w:rPr>
          <w:rFonts w:ascii="Times New Roman" w:hAnsi="Times New Roman"/>
          <w:noProof/>
          <w:sz w:val="24"/>
        </w:rPr>
        <w:t xml:space="preserve"> dans l’UE s’élève toujours à 25 %</w:t>
      </w:r>
      <w:r>
        <w:rPr>
          <w:rStyle w:val="FootnoteReference"/>
          <w:rFonts w:ascii="Times New Roman" w:hAnsi="Times New Roman" w:cs="Times New Roman"/>
          <w:noProof/>
          <w:sz w:val="24"/>
          <w:szCs w:val="24"/>
        </w:rPr>
        <w:footnoteReference w:id="30"/>
      </w:r>
      <w:r>
        <w:rPr>
          <w:rFonts w:ascii="Times New Roman" w:hAnsi="Times New Roman"/>
          <w:noProof/>
          <w:sz w:val="24"/>
        </w:rPr>
        <w:t xml:space="preserve">, ce qui contribue à exposer les femmes âgées à un risque plus élevé de pauvreté et d’exclusion sociale que les hommes âgés. La </w:t>
      </w:r>
      <w:r>
        <w:rPr>
          <w:rFonts w:ascii="Times New Roman" w:hAnsi="Times New Roman"/>
          <w:b/>
          <w:noProof/>
          <w:sz w:val="24"/>
        </w:rPr>
        <w:t>stratégie sur l’équité intergénérationnelle</w:t>
      </w:r>
      <w:r>
        <w:rPr>
          <w:rFonts w:ascii="Times New Roman" w:hAnsi="Times New Roman"/>
          <w:noProof/>
          <w:sz w:val="24"/>
        </w:rPr>
        <w:t xml:space="preserve"> met en évidence la manière dont les inégalités en matière d’emploi, de rémunération et de responsabilités familiales creusent les écarts entre les genres en matière de sécurité des revenus et de pensions à un âge avancé. Des efforts supplémentaires sont nécessaires pour s’attaquer aux causes profondes de l’écart de retraite entre les femmes et les hommes, notamment les interruptions de carrière, l’emploi à temps partiel et l’insuffisance de l’épargne, et pour adapter la conception des systèmes de retraite afin de combler cet écart. À cette fin, la Commission </w:t>
      </w:r>
      <w:r>
        <w:rPr>
          <w:rFonts w:ascii="Times New Roman" w:hAnsi="Times New Roman"/>
          <w:b/>
          <w:noProof/>
          <w:sz w:val="24"/>
        </w:rPr>
        <w:t>étudiera les moyens de tenir compte des résultats sur le marché du travail et des caractéristiques pertinentes des systèmes de retraite qui alimentent l’écart de retraite entre les femmes et les hommes</w:t>
      </w:r>
      <w:r>
        <w:rPr>
          <w:rFonts w:ascii="Times New Roman" w:hAnsi="Times New Roman"/>
          <w:noProof/>
          <w:sz w:val="24"/>
        </w:rPr>
        <w:t xml:space="preserve"> et cartographiera et soutiendra l’échange de bonnes pratiques pour remédier à cet écart. La Commission renforcera le suivi de l’écart et de ses causes profondes au titre du </w:t>
      </w:r>
      <w:hyperlink r:id="rId41" w:history="1">
        <w:r>
          <w:rPr>
            <w:rStyle w:val="Hyperlink"/>
            <w:rFonts w:ascii="Times New Roman" w:hAnsi="Times New Roman"/>
            <w:b/>
            <w:noProof/>
            <w:sz w:val="24"/>
          </w:rPr>
          <w:t>tableau de bord social</w:t>
        </w:r>
      </w:hyperlink>
      <w:r>
        <w:rPr>
          <w:rFonts w:ascii="Times New Roman" w:hAnsi="Times New Roman"/>
          <w:noProof/>
          <w:sz w:val="24"/>
        </w:rPr>
        <w:t xml:space="preserve"> et formulera des recommandations dans le cadre du </w:t>
      </w:r>
      <w:r>
        <w:rPr>
          <w:rFonts w:ascii="Times New Roman" w:hAnsi="Times New Roman"/>
          <w:b/>
          <w:noProof/>
          <w:sz w:val="24"/>
        </w:rPr>
        <w:t>Semestre européen</w:t>
      </w:r>
      <w:r>
        <w:rPr>
          <w:rFonts w:ascii="Times New Roman" w:hAnsi="Times New Roman"/>
          <w:noProof/>
          <w:sz w:val="24"/>
        </w:rPr>
        <w:t xml:space="preserve">. En outre, le principe de l’égalité des chances pour les femmes et les hommes en matière d’acquisition de droits à pension est mis en œuvre dans le cadre du </w:t>
      </w:r>
      <w:hyperlink r:id="rId42" w:history="1">
        <w:r>
          <w:rPr>
            <w:rStyle w:val="Hyperlink"/>
            <w:rFonts w:ascii="Times New Roman" w:hAnsi="Times New Roman"/>
            <w:b/>
            <w:noProof/>
            <w:sz w:val="24"/>
          </w:rPr>
          <w:t>socle européen des droits sociaux</w:t>
        </w:r>
      </w:hyperlink>
      <w:r>
        <w:rPr>
          <w:rFonts w:ascii="Times New Roman" w:hAnsi="Times New Roman"/>
          <w:noProof/>
          <w:sz w:val="24"/>
        </w:rPr>
        <w:t xml:space="preserve">. La Commission fournira également une analyse de la situation des femmes âgées et des écarts entre les genres en matière de prestations de retraite et de pauvreté dans le </w:t>
      </w:r>
      <w:r>
        <w:rPr>
          <w:rFonts w:ascii="Times New Roman" w:hAnsi="Times New Roman"/>
          <w:b/>
          <w:noProof/>
          <w:sz w:val="24"/>
        </w:rPr>
        <w:t>rapport 2027 sur une protection sociale adéquate pour les personnes âgées</w:t>
      </w:r>
      <w:r>
        <w:rPr>
          <w:rFonts w:ascii="Times New Roman" w:hAnsi="Times New Roman"/>
          <w:noProof/>
          <w:sz w:val="24"/>
        </w:rPr>
        <w:t xml:space="preserve">. </w:t>
      </w:r>
    </w:p>
    <w:p w14:paraId="23B62AF0" w14:textId="2D5A582F" w:rsidR="18753AFA" w:rsidRPr="00300B33" w:rsidRDefault="18753AFA" w:rsidP="18753AFA">
      <w:pPr>
        <w:spacing w:after="0" w:line="276" w:lineRule="auto"/>
        <w:jc w:val="both"/>
        <w:rPr>
          <w:rFonts w:ascii="Times New Roman" w:hAnsi="Times New Roman" w:cs="Times New Roman"/>
          <w:noProof/>
          <w:sz w:val="24"/>
          <w:szCs w:val="24"/>
        </w:rPr>
      </w:pPr>
    </w:p>
    <w:p w14:paraId="18FB40A3" w14:textId="3E2BED0E" w:rsidR="007C0435" w:rsidRPr="00300B33" w:rsidRDefault="5590E622" w:rsidP="00175A72">
      <w:pPr>
        <w:pStyle w:val="BodyText"/>
        <w:pBdr>
          <w:top w:val="single" w:sz="4" w:space="1" w:color="auto"/>
          <w:left w:val="single" w:sz="4" w:space="1" w:color="auto"/>
          <w:bottom w:val="single" w:sz="4" w:space="0" w:color="auto"/>
          <w:right w:val="single" w:sz="4" w:space="1" w:color="auto"/>
        </w:pBdr>
        <w:spacing w:after="0"/>
        <w:jc w:val="both"/>
        <w:rPr>
          <w:rFonts w:ascii="Times New Roman" w:hAnsi="Times New Roman"/>
          <w:b/>
          <w:bCs/>
          <w:noProof/>
          <w:sz w:val="24"/>
          <w:szCs w:val="24"/>
        </w:rPr>
      </w:pPr>
      <w:r>
        <w:rPr>
          <w:rFonts w:ascii="Times New Roman" w:hAnsi="Times New Roman"/>
          <w:b/>
          <w:noProof/>
          <w:sz w:val="24"/>
        </w:rPr>
        <w:t>Actions clés de la Commission:</w:t>
      </w:r>
    </w:p>
    <w:p w14:paraId="0759A4D7" w14:textId="4FEAB13F" w:rsidR="47F5B065" w:rsidRPr="00300B33" w:rsidRDefault="00DB346D" w:rsidP="00085FB0">
      <w:pPr>
        <w:pStyle w:val="BodyText"/>
        <w:numPr>
          <w:ilvl w:val="0"/>
          <w:numId w:val="6"/>
        </w:numPr>
        <w:pBdr>
          <w:top w:val="single" w:sz="4" w:space="1" w:color="auto"/>
          <w:left w:val="single" w:sz="4" w:space="1" w:color="auto"/>
          <w:bottom w:val="single" w:sz="4" w:space="0" w:color="auto"/>
          <w:right w:val="single" w:sz="4" w:space="1" w:color="auto"/>
        </w:pBdr>
        <w:spacing w:after="0"/>
        <w:jc w:val="both"/>
        <w:rPr>
          <w:rFonts w:ascii="Times New Roman" w:hAnsi="Times New Roman"/>
          <w:noProof/>
          <w:sz w:val="24"/>
          <w:szCs w:val="24"/>
        </w:rPr>
      </w:pPr>
      <w:r>
        <w:rPr>
          <w:rFonts w:ascii="Times New Roman" w:hAnsi="Times New Roman"/>
          <w:noProof/>
          <w:sz w:val="24"/>
        </w:rPr>
        <w:t xml:space="preserve">publier, en collaboration avec l’Institut européen pour l’égalité entre les hommes et les femmes, une boîte à outils sur l’évaluation et la classification non sexistes des emplois, et soutenir les partenaires sociaux dans la mise en œuvre de la directive sur la transparence des rémunérations (2026); </w:t>
      </w:r>
    </w:p>
    <w:p w14:paraId="7FBE37A0" w14:textId="5668AA9E" w:rsidR="00ED5AE4" w:rsidRPr="00300B33" w:rsidRDefault="00783E5F" w:rsidP="00F9606A">
      <w:pPr>
        <w:pStyle w:val="BodyText"/>
        <w:numPr>
          <w:ilvl w:val="0"/>
          <w:numId w:val="6"/>
        </w:numPr>
        <w:pBdr>
          <w:top w:val="single" w:sz="4" w:space="1" w:color="auto"/>
          <w:left w:val="single" w:sz="4" w:space="1" w:color="auto"/>
          <w:bottom w:val="single" w:sz="4" w:space="0" w:color="auto"/>
          <w:right w:val="single" w:sz="4" w:space="1" w:color="auto"/>
        </w:pBdr>
        <w:spacing w:after="0"/>
        <w:jc w:val="both"/>
        <w:rPr>
          <w:rFonts w:ascii="Times New Roman" w:hAnsi="Times New Roman"/>
          <w:noProof/>
          <w:sz w:val="24"/>
          <w:szCs w:val="24"/>
        </w:rPr>
      </w:pPr>
      <w:r>
        <w:rPr>
          <w:rFonts w:ascii="Times New Roman" w:hAnsi="Times New Roman"/>
          <w:noProof/>
          <w:sz w:val="24"/>
        </w:rPr>
        <w:t>publier un rapport sur la directive 2004/113/CE relative à l’accès à des biens et services et à la fourniture de biens et services (2029) et réaliser un test de résistance concernant la directive 2010/41/UE relative au travail indépendant (2028);</w:t>
      </w:r>
    </w:p>
    <w:p w14:paraId="786AE4A5" w14:textId="207FC969" w:rsidR="00752624" w:rsidRPr="00300B33" w:rsidRDefault="00E64204" w:rsidP="00F9606A">
      <w:pPr>
        <w:pStyle w:val="BodyText"/>
        <w:numPr>
          <w:ilvl w:val="0"/>
          <w:numId w:val="6"/>
        </w:numPr>
        <w:pBdr>
          <w:top w:val="single" w:sz="4" w:space="1" w:color="auto"/>
          <w:left w:val="single" w:sz="4" w:space="1" w:color="auto"/>
          <w:bottom w:val="single" w:sz="4" w:space="0" w:color="auto"/>
          <w:right w:val="single" w:sz="4" w:space="1" w:color="auto"/>
        </w:pBdr>
        <w:spacing w:after="0"/>
        <w:jc w:val="both"/>
        <w:rPr>
          <w:rFonts w:ascii="Times New Roman" w:hAnsi="Times New Roman"/>
          <w:noProof/>
          <w:sz w:val="24"/>
          <w:szCs w:val="24"/>
        </w:rPr>
      </w:pPr>
      <w:r>
        <w:rPr>
          <w:rFonts w:ascii="Times New Roman" w:hAnsi="Times New Roman"/>
          <w:noProof/>
          <w:sz w:val="24"/>
        </w:rPr>
        <w:t>recenser et soutenir l’échange de bonnes pratiques en matière de lutte contre l’écart de retraite entre les femmes et les hommes et étudier les moyens de s’attaquer à ses causes (2026-2030).</w:t>
      </w:r>
    </w:p>
    <w:p w14:paraId="56C6D97A" w14:textId="77777777" w:rsidR="00FB0278" w:rsidRPr="000E2AA0" w:rsidRDefault="00FB0278" w:rsidP="000E2AA0">
      <w:pPr>
        <w:spacing w:before="120" w:after="120" w:line="276" w:lineRule="auto"/>
        <w:jc w:val="center"/>
        <w:rPr>
          <w:rFonts w:ascii="Times New Roman" w:hAnsi="Times New Roman" w:cs="Times New Roman"/>
          <w:noProof/>
          <w:sz w:val="24"/>
          <w:szCs w:val="24"/>
        </w:rPr>
      </w:pPr>
      <w:r>
        <w:rPr>
          <w:rFonts w:ascii="Times New Roman" w:hAnsi="Times New Roman"/>
          <w:noProof/>
          <w:sz w:val="24"/>
        </w:rPr>
        <w:t>***</w:t>
      </w:r>
    </w:p>
    <w:p w14:paraId="153FE621" w14:textId="6D47B778" w:rsidR="00E405E5" w:rsidRPr="00300B33" w:rsidRDefault="00EB31B8" w:rsidP="3F25DB50">
      <w:pPr>
        <w:pBdr>
          <w:top w:val="single" w:sz="4" w:space="1" w:color="auto"/>
          <w:left w:val="single" w:sz="4" w:space="4" w:color="auto"/>
          <w:bottom w:val="single" w:sz="4" w:space="1" w:color="auto"/>
          <w:right w:val="single" w:sz="4" w:space="4" w:color="auto"/>
        </w:pBdr>
        <w:spacing w:after="0" w:line="276" w:lineRule="auto"/>
        <w:jc w:val="both"/>
        <w:rPr>
          <w:rFonts w:ascii="Times New Roman" w:hAnsi="Times New Roman" w:cs="Times New Roman"/>
          <w:b/>
          <w:bCs/>
          <w:i/>
          <w:iCs/>
          <w:noProof/>
          <w:sz w:val="24"/>
          <w:szCs w:val="24"/>
        </w:rPr>
      </w:pPr>
      <w:bookmarkStart w:id="5" w:name="_Hlk210223819"/>
      <w:r>
        <w:rPr>
          <w:rFonts w:ascii="Times New Roman" w:hAnsi="Times New Roman"/>
          <w:b/>
          <w:i/>
          <w:noProof/>
          <w:sz w:val="24"/>
        </w:rPr>
        <w:t xml:space="preserve">Principe 4 de la feuille de route: </w:t>
      </w:r>
      <w:bookmarkEnd w:id="5"/>
      <w:r>
        <w:rPr>
          <w:rFonts w:ascii="Times New Roman" w:hAnsi="Times New Roman"/>
          <w:b/>
          <w:i/>
          <w:noProof/>
          <w:sz w:val="24"/>
        </w:rPr>
        <w:t>équilibre entre vie professionnelle et vie privée et égalité de genre dans le domaine des soins</w:t>
      </w:r>
    </w:p>
    <w:p w14:paraId="31D58311" w14:textId="77777777" w:rsidR="006E43DB" w:rsidRPr="00300B33" w:rsidRDefault="006E43DB" w:rsidP="00EA7DC6">
      <w:pPr>
        <w:spacing w:after="0" w:line="276" w:lineRule="auto"/>
        <w:jc w:val="both"/>
        <w:rPr>
          <w:rFonts w:ascii="Times New Roman" w:hAnsi="Times New Roman" w:cs="Times New Roman"/>
          <w:noProof/>
          <w:sz w:val="24"/>
          <w:szCs w:val="24"/>
        </w:rPr>
      </w:pPr>
    </w:p>
    <w:p w14:paraId="221E8DA4" w14:textId="08C5F137" w:rsidR="00EB31B8" w:rsidRPr="00300B33" w:rsidRDefault="00230927" w:rsidP="00BA6690">
      <w:pPr>
        <w:spacing w:after="0" w:line="276" w:lineRule="auto"/>
        <w:jc w:val="both"/>
        <w:rPr>
          <w:rFonts w:ascii="Times New Roman" w:hAnsi="Times New Roman" w:cs="Times New Roman"/>
          <w:noProof/>
          <w:sz w:val="24"/>
          <w:szCs w:val="24"/>
        </w:rPr>
      </w:pPr>
      <w:r>
        <w:rPr>
          <w:rFonts w:ascii="Times New Roman" w:hAnsi="Times New Roman"/>
          <w:b/>
          <w:noProof/>
          <w:sz w:val="24"/>
        </w:rPr>
        <w:t>De nombreuses femmes peinent à combiner leur vie professionnelle et leur vie privée</w:t>
      </w:r>
      <w:r>
        <w:rPr>
          <w:rFonts w:ascii="Times New Roman" w:hAnsi="Times New Roman"/>
          <w:noProof/>
          <w:sz w:val="24"/>
        </w:rPr>
        <w:t xml:space="preserve">, car elles continuent d’assumer </w:t>
      </w:r>
      <w:r>
        <w:rPr>
          <w:rFonts w:ascii="Times New Roman" w:hAnsi="Times New Roman"/>
          <w:b/>
          <w:noProof/>
          <w:sz w:val="24"/>
        </w:rPr>
        <w:t>la plus grande part des responsabilités familiales et domestiques non rémunérées</w:t>
      </w:r>
      <w:r>
        <w:rPr>
          <w:rFonts w:ascii="Times New Roman" w:hAnsi="Times New Roman"/>
          <w:noProof/>
          <w:sz w:val="24"/>
        </w:rPr>
        <w:t>. Plus du double de la proportion de femmes (41 %) par rapport aux hommes (20 %) dans l’UE consacrent plus de 35 heures par semaine à la garde d’enfants</w:t>
      </w:r>
      <w:r>
        <w:rPr>
          <w:rStyle w:val="FootnoteReference"/>
          <w:rFonts w:ascii="Times New Roman" w:hAnsi="Times New Roman" w:cs="Times New Roman"/>
          <w:noProof/>
          <w:sz w:val="24"/>
          <w:szCs w:val="24"/>
        </w:rPr>
        <w:footnoteReference w:id="31"/>
      </w:r>
      <w:r>
        <w:rPr>
          <w:rFonts w:ascii="Times New Roman" w:hAnsi="Times New Roman"/>
          <w:noProof/>
          <w:sz w:val="24"/>
        </w:rPr>
        <w:t>. Les responsabilités familiales figurent parmi les principales raisons pour lesquelles les femmes travaillent à temps partiel ou sont économiquement inactives</w:t>
      </w:r>
      <w:r>
        <w:rPr>
          <w:rStyle w:val="FootnoteReference"/>
          <w:rFonts w:ascii="Times New Roman" w:hAnsi="Times New Roman" w:cs="Times New Roman"/>
          <w:noProof/>
          <w:sz w:val="24"/>
          <w:szCs w:val="24"/>
        </w:rPr>
        <w:footnoteReference w:id="32"/>
      </w:r>
      <w:r>
        <w:rPr>
          <w:rFonts w:ascii="Times New Roman" w:hAnsi="Times New Roman"/>
          <w:noProof/>
          <w:sz w:val="24"/>
        </w:rPr>
        <w:t xml:space="preserve">. L’augmentation du recours au congé familial et aux formules souples de travail par les pères et les hommes aidants est essentielle pour combler cet </w:t>
      </w:r>
      <w:r>
        <w:rPr>
          <w:rFonts w:ascii="Times New Roman" w:hAnsi="Times New Roman"/>
          <w:b/>
          <w:noProof/>
          <w:sz w:val="24"/>
        </w:rPr>
        <w:t>écart entre les genres en matière de prise en charge des responsabilités familiales</w:t>
      </w:r>
      <w:r>
        <w:rPr>
          <w:rFonts w:ascii="Times New Roman" w:hAnsi="Times New Roman"/>
          <w:noProof/>
          <w:sz w:val="24"/>
        </w:rPr>
        <w:t xml:space="preserve"> et aidera les hommes à bénéficier davantage de leurs droits. En outre, malgré des investissements importants au titre de la </w:t>
      </w:r>
      <w:hyperlink r:id="rId43" w:history="1">
        <w:r>
          <w:rPr>
            <w:rStyle w:val="Hyperlink"/>
            <w:rFonts w:ascii="Times New Roman" w:hAnsi="Times New Roman"/>
            <w:b/>
            <w:noProof/>
            <w:sz w:val="24"/>
          </w:rPr>
          <w:t>facilité pour la reprise et la résilience</w:t>
        </w:r>
      </w:hyperlink>
      <w:r>
        <w:rPr>
          <w:rFonts w:ascii="Times New Roman" w:hAnsi="Times New Roman"/>
          <w:noProof/>
          <w:sz w:val="24"/>
        </w:rPr>
        <w:t xml:space="preserve"> afin de mettre en place et de développer des services de garde d’enfants</w:t>
      </w:r>
      <w:r>
        <w:rPr>
          <w:rStyle w:val="FootnoteReference"/>
          <w:rFonts w:ascii="Times New Roman" w:hAnsi="Times New Roman" w:cs="Times New Roman"/>
          <w:noProof/>
          <w:sz w:val="24"/>
          <w:szCs w:val="24"/>
        </w:rPr>
        <w:footnoteReference w:id="33"/>
      </w:r>
      <w:r>
        <w:rPr>
          <w:rFonts w:ascii="Times New Roman" w:hAnsi="Times New Roman"/>
          <w:noProof/>
          <w:sz w:val="24"/>
        </w:rPr>
        <w:t xml:space="preserve">, de nombreuses familles n’ont toujours pas accès à des </w:t>
      </w:r>
      <w:r>
        <w:rPr>
          <w:rFonts w:ascii="Times New Roman" w:hAnsi="Times New Roman"/>
          <w:b/>
          <w:noProof/>
          <w:sz w:val="24"/>
        </w:rPr>
        <w:t>services abordables et de qualité en matière d’éducation et d’accueil de la petite enfance ou de soins de longue durée</w:t>
      </w:r>
      <w:r>
        <w:rPr>
          <w:rFonts w:ascii="Times New Roman" w:hAnsi="Times New Roman"/>
          <w:noProof/>
          <w:sz w:val="24"/>
        </w:rPr>
        <w:t>, ce qui entrave la participation des femmes au marché du travail.</w:t>
      </w:r>
      <w:r>
        <w:rPr>
          <w:rFonts w:ascii="Times New Roman" w:hAnsi="Times New Roman"/>
          <w:b/>
          <w:noProof/>
          <w:sz w:val="24"/>
        </w:rPr>
        <w:t xml:space="preserve"> </w:t>
      </w:r>
      <w:r>
        <w:rPr>
          <w:rFonts w:ascii="Times New Roman" w:hAnsi="Times New Roman"/>
          <w:noProof/>
          <w:sz w:val="24"/>
        </w:rPr>
        <w:t xml:space="preserve">Le </w:t>
      </w:r>
      <w:r>
        <w:rPr>
          <w:rFonts w:ascii="Times New Roman" w:hAnsi="Times New Roman"/>
          <w:b/>
          <w:noProof/>
          <w:sz w:val="24"/>
        </w:rPr>
        <w:t>secteur des soins lui-même est caractérisé par une forte ségrégation entre les genres</w:t>
      </w:r>
      <w:r>
        <w:rPr>
          <w:rFonts w:ascii="Times New Roman" w:hAnsi="Times New Roman"/>
          <w:noProof/>
          <w:sz w:val="24"/>
        </w:rPr>
        <w:t xml:space="preserve">, avec des salaires structurellement bas et des conditions de travail difficiles, ce qui nécessite des mesures tenant compte de la dimension de genre. </w:t>
      </w:r>
    </w:p>
    <w:p w14:paraId="47880E83" w14:textId="77777777" w:rsidR="00EA7DC6" w:rsidRPr="00300B33" w:rsidRDefault="00EA7DC6" w:rsidP="00EA7DC6">
      <w:pPr>
        <w:spacing w:after="0" w:line="276" w:lineRule="auto"/>
        <w:jc w:val="both"/>
        <w:rPr>
          <w:rFonts w:ascii="Times New Roman" w:hAnsi="Times New Roman" w:cs="Times New Roman"/>
          <w:noProof/>
          <w:sz w:val="24"/>
          <w:szCs w:val="24"/>
        </w:rPr>
      </w:pPr>
    </w:p>
    <w:p w14:paraId="72C43A8B" w14:textId="23C747C2" w:rsidR="008A0DB3" w:rsidRPr="00300B33" w:rsidRDefault="00DC44DE" w:rsidP="00EA7DC6">
      <w:pPr>
        <w:spacing w:after="0" w:line="276" w:lineRule="auto"/>
        <w:jc w:val="both"/>
        <w:rPr>
          <w:rFonts w:ascii="Times New Roman" w:hAnsi="Times New Roman" w:cs="Times New Roman"/>
          <w:noProof/>
          <w:sz w:val="24"/>
          <w:szCs w:val="24"/>
        </w:rPr>
      </w:pPr>
      <w:r>
        <w:rPr>
          <w:rFonts w:ascii="Times New Roman" w:hAnsi="Times New Roman"/>
          <w:noProof/>
          <w:sz w:val="24"/>
        </w:rPr>
        <w:t>La</w:t>
      </w:r>
      <w:r>
        <w:rPr>
          <w:noProof/>
        </w:rPr>
        <w:t xml:space="preserve"> </w:t>
      </w:r>
      <w:hyperlink r:id="rId44" w:history="1">
        <w:r>
          <w:rPr>
            <w:rStyle w:val="Hyperlink"/>
            <w:rFonts w:ascii="Times New Roman" w:hAnsi="Times New Roman"/>
            <w:b/>
            <w:noProof/>
            <w:sz w:val="24"/>
          </w:rPr>
          <w:t>stratégie européenne en matière de soins</w:t>
        </w:r>
      </w:hyperlink>
      <w:r>
        <w:rPr>
          <w:rFonts w:ascii="Times New Roman" w:hAnsi="Times New Roman"/>
          <w:noProof/>
          <w:sz w:val="24"/>
        </w:rPr>
        <w:t xml:space="preserve"> définit un cadre pour des services de soins de qualité, abordables et accessibles et améliore la situation tant des aidants que des bénéficiaires de soins. La </w:t>
      </w:r>
      <w:hyperlink r:id="rId45" w:history="1">
        <w:r>
          <w:rPr>
            <w:rStyle w:val="Hyperlink"/>
            <w:rFonts w:ascii="Times New Roman" w:hAnsi="Times New Roman"/>
            <w:b/>
            <w:noProof/>
            <w:sz w:val="24"/>
          </w:rPr>
          <w:t>directive concernant l’équilibre entre vie professionnelle et vie privée des parents et des aidants</w:t>
        </w:r>
      </w:hyperlink>
      <w:r>
        <w:rPr>
          <w:rFonts w:ascii="Times New Roman" w:hAnsi="Times New Roman"/>
          <w:noProof/>
          <w:sz w:val="24"/>
        </w:rPr>
        <w:t xml:space="preserve"> établit un cadre juridique solide visant à garantir l’existence de formules souples de travail et de congés familiaux correctement rémunérés pour les parents et les aidants, en encourageant les pères à prendre un congé de paternité ou un congé familial. La proposition relative à la future politique agricole commune prévoit la possibilité pour les États membres d’apporter un soutien aux services de remplacement dans les exploitations agricoles, permettant aux agriculteurs de prendre un congé parental et familial. En adoptant la </w:t>
      </w:r>
      <w:hyperlink r:id="rId46" w:history="1">
        <w:r>
          <w:rPr>
            <w:rStyle w:val="Hyperlink"/>
            <w:rFonts w:ascii="Times New Roman" w:hAnsi="Times New Roman"/>
            <w:b/>
            <w:noProof/>
            <w:sz w:val="24"/>
          </w:rPr>
          <w:t>recommandation du Conseil concernant les objectifs de Barcelone pour 2030</w:t>
        </w:r>
      </w:hyperlink>
      <w:r>
        <w:rPr>
          <w:rFonts w:ascii="Times New Roman" w:hAnsi="Times New Roman"/>
          <w:noProof/>
          <w:sz w:val="24"/>
        </w:rPr>
        <w:t xml:space="preserve">, les États membres se sont engagés à atteindre certains objectifs en matière de participation à l’éducation et à l’accueil des jeunes enfants, ainsi qu’à respecter des normes de qualité et d’accessibilité financière. De même, avec la </w:t>
      </w:r>
      <w:hyperlink r:id="rId47" w:history="1">
        <w:r>
          <w:rPr>
            <w:rStyle w:val="Hyperlink"/>
            <w:rFonts w:ascii="Times New Roman" w:hAnsi="Times New Roman"/>
            <w:b/>
            <w:noProof/>
            <w:sz w:val="24"/>
          </w:rPr>
          <w:t>recommandation du Conseil sur l’accès à des soins de longue durée abordables et de haute qualité</w:t>
        </w:r>
      </w:hyperlink>
      <w:r>
        <w:rPr>
          <w:rFonts w:ascii="Times New Roman" w:hAnsi="Times New Roman"/>
          <w:noProof/>
          <w:sz w:val="24"/>
        </w:rPr>
        <w:t xml:space="preserve">, les États membres se sont engagés à améliorer les services et à relever les défis en matière de main-d’œuvre. </w:t>
      </w:r>
    </w:p>
    <w:p w14:paraId="6D06E63F" w14:textId="77777777" w:rsidR="008E725D" w:rsidRPr="00300B33" w:rsidRDefault="008E725D" w:rsidP="00EA7DC6">
      <w:pPr>
        <w:spacing w:after="0" w:line="276" w:lineRule="auto"/>
        <w:jc w:val="both"/>
        <w:rPr>
          <w:rFonts w:ascii="Times New Roman" w:hAnsi="Times New Roman" w:cs="Times New Roman"/>
          <w:noProof/>
          <w:sz w:val="24"/>
          <w:szCs w:val="24"/>
        </w:rPr>
      </w:pPr>
    </w:p>
    <w:p w14:paraId="2C28ED8C" w14:textId="783D3405" w:rsidR="00AD63AE" w:rsidRPr="00300B33" w:rsidRDefault="00793A4D" w:rsidP="678ABEF5">
      <w:pPr>
        <w:spacing w:after="0" w:line="276" w:lineRule="auto"/>
        <w:jc w:val="both"/>
        <w:rPr>
          <w:rFonts w:ascii="Times New Roman" w:hAnsi="Times New Roman" w:cs="Times New Roman"/>
          <w:noProof/>
          <w:sz w:val="24"/>
          <w:szCs w:val="24"/>
        </w:rPr>
      </w:pPr>
      <w:r>
        <w:rPr>
          <w:rFonts w:ascii="Times New Roman" w:hAnsi="Times New Roman"/>
          <w:noProof/>
          <w:sz w:val="24"/>
        </w:rPr>
        <w:t xml:space="preserve">La Commission évaluera la mise en œuvre par tous les États membres de la </w:t>
      </w:r>
      <w:r>
        <w:rPr>
          <w:rFonts w:ascii="Times New Roman" w:hAnsi="Times New Roman"/>
          <w:b/>
          <w:noProof/>
          <w:sz w:val="24"/>
        </w:rPr>
        <w:t>directive concernant l’équilibre entre vie professionnelle et vie privée</w:t>
      </w:r>
      <w:r>
        <w:rPr>
          <w:rFonts w:ascii="Times New Roman" w:hAnsi="Times New Roman"/>
          <w:noProof/>
          <w:sz w:val="24"/>
        </w:rPr>
        <w:t xml:space="preserve"> et </w:t>
      </w:r>
      <w:r>
        <w:rPr>
          <w:rFonts w:ascii="Times New Roman" w:hAnsi="Times New Roman"/>
          <w:b/>
          <w:noProof/>
          <w:sz w:val="24"/>
        </w:rPr>
        <w:t>fera rapport</w:t>
      </w:r>
      <w:r>
        <w:rPr>
          <w:rFonts w:ascii="Times New Roman" w:hAnsi="Times New Roman"/>
          <w:noProof/>
          <w:sz w:val="24"/>
        </w:rPr>
        <w:t xml:space="preserve"> à ce sujet d’ici à 2028. Ce rapport sera accompagné de </w:t>
      </w:r>
      <w:r>
        <w:rPr>
          <w:rFonts w:ascii="Times New Roman" w:hAnsi="Times New Roman"/>
          <w:b/>
          <w:noProof/>
          <w:sz w:val="24"/>
        </w:rPr>
        <w:t>deux études</w:t>
      </w:r>
      <w:r>
        <w:rPr>
          <w:rFonts w:ascii="Times New Roman" w:hAnsi="Times New Roman"/>
          <w:noProof/>
          <w:sz w:val="24"/>
        </w:rPr>
        <w:t xml:space="preserve"> sur les droits au congé familial pour les travailleurs indépendants et sur les interactions entre les congés prévus par la directive et d’autres types de congés familiaux. La Commission s’attaquera également aux </w:t>
      </w:r>
      <w:r>
        <w:rPr>
          <w:rFonts w:ascii="Times New Roman" w:hAnsi="Times New Roman"/>
          <w:b/>
          <w:noProof/>
          <w:sz w:val="24"/>
        </w:rPr>
        <w:t>stéréotypes persistants qui conduisent les hommes à ne pas prendre de congés</w:t>
      </w:r>
      <w:r>
        <w:rPr>
          <w:rFonts w:ascii="Times New Roman" w:hAnsi="Times New Roman"/>
          <w:noProof/>
          <w:sz w:val="24"/>
        </w:rPr>
        <w:t xml:space="preserve"> et soutiendra </w:t>
      </w:r>
      <w:r>
        <w:rPr>
          <w:rFonts w:ascii="Times New Roman" w:hAnsi="Times New Roman"/>
          <w:b/>
          <w:noProof/>
          <w:sz w:val="24"/>
        </w:rPr>
        <w:t>le suivi de l’utilisation des congés par les hommes</w:t>
      </w:r>
      <w:r>
        <w:rPr>
          <w:rFonts w:ascii="Times New Roman" w:hAnsi="Times New Roman"/>
          <w:noProof/>
          <w:sz w:val="24"/>
        </w:rPr>
        <w:t xml:space="preserve"> en encourageant les États membres à adopter le cadre d’indicateurs de l’équilibre entre vie professionnelle et vie privée, élaboré conjointement au sein des comités consultatifs du Conseil «Emploi et affaires sociales»</w:t>
      </w:r>
      <w:r>
        <w:rPr>
          <w:rStyle w:val="FootnoteReference"/>
          <w:rFonts w:ascii="Times New Roman" w:hAnsi="Times New Roman" w:cs="Times New Roman"/>
          <w:noProof/>
          <w:sz w:val="24"/>
          <w:szCs w:val="24"/>
        </w:rPr>
        <w:footnoteReference w:id="34"/>
      </w:r>
      <w:r>
        <w:rPr>
          <w:rFonts w:ascii="Times New Roman" w:hAnsi="Times New Roman"/>
          <w:noProof/>
          <w:sz w:val="24"/>
        </w:rPr>
        <w:t xml:space="preserve">. Parallèlement, la Commission présentera des </w:t>
      </w:r>
      <w:r>
        <w:rPr>
          <w:rFonts w:ascii="Times New Roman" w:hAnsi="Times New Roman"/>
          <w:b/>
          <w:noProof/>
          <w:sz w:val="24"/>
        </w:rPr>
        <w:t>rapports sur la mise en œuvre de la recommandation du Conseil relative aux objectifs de Barcelone</w:t>
      </w:r>
      <w:r>
        <w:rPr>
          <w:rFonts w:ascii="Times New Roman" w:hAnsi="Times New Roman"/>
          <w:noProof/>
          <w:sz w:val="24"/>
        </w:rPr>
        <w:t xml:space="preserve"> et </w:t>
      </w:r>
      <w:r>
        <w:rPr>
          <w:rFonts w:ascii="Times New Roman" w:hAnsi="Times New Roman"/>
          <w:b/>
          <w:noProof/>
          <w:sz w:val="24"/>
        </w:rPr>
        <w:t>sur la mise en œuvre de la recommandation du Conseil sur les soins de longue durée</w:t>
      </w:r>
      <w:r>
        <w:rPr>
          <w:rFonts w:ascii="Times New Roman" w:hAnsi="Times New Roman"/>
          <w:noProof/>
          <w:sz w:val="24"/>
        </w:rPr>
        <w:t xml:space="preserve">. En outre, le </w:t>
      </w:r>
      <w:r>
        <w:rPr>
          <w:rFonts w:ascii="Times New Roman" w:hAnsi="Times New Roman"/>
          <w:b/>
          <w:noProof/>
          <w:sz w:val="24"/>
        </w:rPr>
        <w:t>forum de l’UE sur la démographie</w:t>
      </w:r>
      <w:r>
        <w:rPr>
          <w:rFonts w:ascii="Times New Roman" w:hAnsi="Times New Roman"/>
          <w:noProof/>
          <w:sz w:val="24"/>
        </w:rPr>
        <w:t xml:space="preserve"> abordera les aspects de l’évolution démographique liés à l’égalité de genre, en s’appuyant sur les données du </w:t>
      </w:r>
      <w:r>
        <w:rPr>
          <w:rFonts w:ascii="Times New Roman" w:hAnsi="Times New Roman"/>
          <w:b/>
          <w:noProof/>
          <w:sz w:val="24"/>
        </w:rPr>
        <w:t>rapport sur la démographie</w:t>
      </w:r>
      <w:r>
        <w:rPr>
          <w:rFonts w:ascii="Times New Roman" w:hAnsi="Times New Roman"/>
          <w:noProof/>
          <w:sz w:val="24"/>
        </w:rPr>
        <w:t>. </w:t>
      </w:r>
    </w:p>
    <w:p w14:paraId="0BEEFB88" w14:textId="77777777" w:rsidR="00AD63AE" w:rsidRPr="00300B33" w:rsidRDefault="00AD63AE" w:rsidP="678ABEF5">
      <w:pPr>
        <w:spacing w:after="0" w:line="276" w:lineRule="auto"/>
        <w:jc w:val="both"/>
        <w:rPr>
          <w:rFonts w:ascii="Times New Roman" w:hAnsi="Times New Roman" w:cs="Times New Roman"/>
          <w:noProof/>
          <w:sz w:val="24"/>
          <w:szCs w:val="24"/>
        </w:rPr>
      </w:pPr>
    </w:p>
    <w:p w14:paraId="76380274" w14:textId="27A4D445" w:rsidR="00DC4BD7" w:rsidRPr="00300B33" w:rsidRDefault="2396EEBE" w:rsidP="40D41AEE">
      <w:pPr>
        <w:spacing w:after="0" w:line="276" w:lineRule="auto"/>
        <w:jc w:val="both"/>
        <w:rPr>
          <w:rFonts w:ascii="Times New Roman" w:hAnsi="Times New Roman" w:cs="Times New Roman"/>
          <w:noProof/>
          <w:sz w:val="24"/>
          <w:szCs w:val="24"/>
        </w:rPr>
      </w:pPr>
      <w:r>
        <w:rPr>
          <w:rFonts w:ascii="Times New Roman" w:hAnsi="Times New Roman"/>
          <w:b/>
          <w:noProof/>
          <w:sz w:val="24"/>
        </w:rPr>
        <w:t>Les conditions de travail dans le secteur des soins</w:t>
      </w:r>
      <w:r>
        <w:rPr>
          <w:rFonts w:ascii="Times New Roman" w:hAnsi="Times New Roman"/>
          <w:noProof/>
          <w:sz w:val="24"/>
        </w:rPr>
        <w:t xml:space="preserve"> continuent de faire l’objet d’une attention particulière. Ce secteur à prédominance féminine se caractérise par de faibles salaires, une prévalence plus élevée des contrats de travail précaires par rapport à d’autres secteurs, des horaires de travail précaires, un manque de négociations collectives et un manque d’accès à la formation. Un comité de dialogue social sectoriel a été mis en place au niveau européen pour soutenir le dialogue social dans le secteur. Les travailleurs domestiques, souvent issus de l’immigration, sont particulièrement vulnérables. La Commission invite donc instamment les États membres à ratifier et à mettre en œuvre la </w:t>
      </w:r>
      <w:hyperlink r:id="rId48" w:history="1">
        <w:r>
          <w:rPr>
            <w:rStyle w:val="Hyperlink"/>
            <w:rFonts w:ascii="Times New Roman" w:hAnsi="Times New Roman"/>
            <w:b/>
            <w:noProof/>
            <w:sz w:val="24"/>
          </w:rPr>
          <w:t>convention nº 189</w:t>
        </w:r>
        <w:r w:rsidR="00CA3293">
          <w:rPr>
            <w:rStyle w:val="Hyperlink"/>
            <w:rFonts w:ascii="Times New Roman" w:hAnsi="Times New Roman"/>
            <w:b/>
            <w:noProof/>
            <w:sz w:val="24"/>
          </w:rPr>
          <w:t xml:space="preserve"> </w:t>
        </w:r>
        <w:r w:rsidR="00CA3293" w:rsidRPr="00CA3293">
          <w:rPr>
            <w:rStyle w:val="Hyperlink"/>
            <w:rFonts w:ascii="Times New Roman" w:hAnsi="Times New Roman"/>
            <w:b/>
            <w:noProof/>
            <w:sz w:val="24"/>
          </w:rPr>
          <w:t>de l’OIT</w:t>
        </w:r>
        <w:r w:rsidRPr="00CA3293">
          <w:rPr>
            <w:rStyle w:val="Hyperlink"/>
            <w:rFonts w:ascii="Times New Roman" w:hAnsi="Times New Roman"/>
            <w:bCs/>
            <w:noProof/>
            <w:sz w:val="24"/>
            <w:u w:val="none"/>
          </w:rPr>
          <w:t xml:space="preserve"> </w:t>
        </w:r>
      </w:hyperlink>
      <w:r>
        <w:rPr>
          <w:rFonts w:ascii="Times New Roman" w:hAnsi="Times New Roman"/>
          <w:b/>
          <w:noProof/>
          <w:sz w:val="24"/>
        </w:rPr>
        <w:t>sur le travail décent pour les travailleuses et travailleurs domestiques</w:t>
      </w:r>
      <w:r>
        <w:rPr>
          <w:rFonts w:ascii="Times New Roman" w:hAnsi="Times New Roman"/>
          <w:noProof/>
          <w:sz w:val="24"/>
        </w:rPr>
        <w:t xml:space="preserve">. </w:t>
      </w:r>
    </w:p>
    <w:p w14:paraId="30C07219" w14:textId="77777777" w:rsidR="00DC4BD7" w:rsidRPr="00300B33" w:rsidRDefault="00DC4BD7" w:rsidP="678ABEF5">
      <w:pPr>
        <w:spacing w:after="0" w:line="276" w:lineRule="auto"/>
        <w:jc w:val="both"/>
        <w:rPr>
          <w:rFonts w:ascii="Times New Roman" w:hAnsi="Times New Roman" w:cs="Times New Roman"/>
          <w:noProof/>
          <w:sz w:val="24"/>
          <w:szCs w:val="24"/>
        </w:rPr>
      </w:pPr>
    </w:p>
    <w:p w14:paraId="5F25AA23" w14:textId="22540A94" w:rsidR="001F2B7D" w:rsidRPr="00300B33" w:rsidRDefault="005C7A15" w:rsidP="00AD63AE">
      <w:pPr>
        <w:spacing w:after="0" w:line="276" w:lineRule="auto"/>
        <w:jc w:val="both"/>
        <w:rPr>
          <w:rFonts w:ascii="Times New Roman" w:hAnsi="Times New Roman" w:cs="Times New Roman"/>
          <w:noProof/>
          <w:sz w:val="24"/>
          <w:szCs w:val="24"/>
        </w:rPr>
      </w:pPr>
      <w:bookmarkStart w:id="6" w:name="_Hlk214894221"/>
      <w:r>
        <w:rPr>
          <w:rFonts w:ascii="Times New Roman" w:hAnsi="Times New Roman"/>
          <w:noProof/>
          <w:sz w:val="24"/>
        </w:rPr>
        <w:t xml:space="preserve">Afin d’examiner les progrès accomplis dans le cadre de la stratégie européenne en matière de soins, la Commission mènera un </w:t>
      </w:r>
      <w:r>
        <w:rPr>
          <w:rFonts w:ascii="Times New Roman" w:hAnsi="Times New Roman"/>
          <w:b/>
          <w:bCs/>
          <w:noProof/>
          <w:sz w:val="24"/>
        </w:rPr>
        <w:t>dialogue sur la</w:t>
      </w:r>
      <w:r>
        <w:rPr>
          <w:rFonts w:ascii="Times New Roman" w:hAnsi="Times New Roman"/>
          <w:noProof/>
          <w:sz w:val="24"/>
        </w:rPr>
        <w:t xml:space="preserve"> </w:t>
      </w:r>
      <w:r>
        <w:rPr>
          <w:rFonts w:ascii="Times New Roman" w:hAnsi="Times New Roman"/>
          <w:b/>
          <w:noProof/>
          <w:sz w:val="24"/>
        </w:rPr>
        <w:t>mise en œuvre des soins</w:t>
      </w:r>
      <w:r>
        <w:rPr>
          <w:rFonts w:ascii="Times New Roman" w:hAnsi="Times New Roman"/>
          <w:noProof/>
          <w:sz w:val="24"/>
        </w:rPr>
        <w:t xml:space="preserve">. Ce dialogue permettra d’examiner les progrès accomplis dans la fourniture de services d’éducation et d’accueil de la petite enfance, de services de soins de longue durée, de conditions de travail équitables et de formation dans le secteur des soins. Le dialogue alimentera le </w:t>
      </w:r>
      <w:r>
        <w:rPr>
          <w:rFonts w:ascii="Times New Roman" w:hAnsi="Times New Roman"/>
          <w:b/>
          <w:noProof/>
          <w:sz w:val="24"/>
        </w:rPr>
        <w:t>pacte européen en matière de soins</w:t>
      </w:r>
      <w:bookmarkEnd w:id="6"/>
      <w:r>
        <w:rPr>
          <w:rFonts w:ascii="Times New Roman" w:hAnsi="Times New Roman"/>
          <w:noProof/>
          <w:sz w:val="24"/>
        </w:rPr>
        <w:t>, qui intégrera une forte perspective de genre. Il définira un ensemble complet de mesures visant à relever les défis du secteur des soins et de la main-d’œuvre. Il s’agit notamment d’améliorer les conditions de travail et l’évolution de carrière des aidants ainsi que le caractère abordable, l’accessibilité et la qualité des soins. Le pacte en matière de soins permettra d’encourager également une participation plus égale des hommes et des femmes aux soins formels et informels et d’examiner les investissements dans les soins, en explorant les possibilités offertes par la numérisation et les différents modèles d’entreprise, afin de promouvoir un emploi équitable et des soins de qualité.</w:t>
      </w:r>
    </w:p>
    <w:p w14:paraId="1B57AA37" w14:textId="77777777" w:rsidR="00704285" w:rsidRPr="00300B33" w:rsidRDefault="00704285" w:rsidP="00AD63AE">
      <w:pPr>
        <w:spacing w:after="0" w:line="276" w:lineRule="auto"/>
        <w:jc w:val="both"/>
        <w:rPr>
          <w:rFonts w:ascii="Times New Roman" w:eastAsia="Aptos" w:hAnsi="Times New Roman" w:cs="Times New Roman"/>
          <w:noProof/>
          <w:sz w:val="24"/>
          <w:szCs w:val="24"/>
        </w:rPr>
      </w:pPr>
    </w:p>
    <w:p w14:paraId="4A362AD2" w14:textId="2BAD5B06" w:rsidR="01B1F9C4" w:rsidRPr="00300B33" w:rsidRDefault="01B1F9C4" w:rsidP="3F25DB50">
      <w:pPr>
        <w:pStyle w:val="BodyText"/>
        <w:pBdr>
          <w:top w:val="single" w:sz="4" w:space="1" w:color="auto"/>
          <w:left w:val="single" w:sz="4" w:space="4" w:color="auto"/>
          <w:bottom w:val="single" w:sz="4" w:space="1" w:color="auto"/>
          <w:right w:val="single" w:sz="4" w:space="4" w:color="auto"/>
        </w:pBdr>
        <w:spacing w:after="0"/>
        <w:jc w:val="both"/>
        <w:rPr>
          <w:rFonts w:ascii="Times New Roman" w:hAnsi="Times New Roman"/>
          <w:b/>
          <w:bCs/>
          <w:noProof/>
          <w:sz w:val="24"/>
          <w:szCs w:val="24"/>
        </w:rPr>
      </w:pPr>
      <w:r>
        <w:rPr>
          <w:rFonts w:ascii="Times New Roman" w:hAnsi="Times New Roman"/>
          <w:b/>
          <w:noProof/>
          <w:sz w:val="24"/>
        </w:rPr>
        <w:t>Actions clés de la Commission:</w:t>
      </w:r>
    </w:p>
    <w:p w14:paraId="066F6323" w14:textId="0D2682F2" w:rsidR="424CDF33" w:rsidRPr="00300B33" w:rsidRDefault="00BB331A" w:rsidP="2368FBF3">
      <w:pPr>
        <w:pStyle w:val="BodyText"/>
        <w:numPr>
          <w:ilvl w:val="0"/>
          <w:numId w:val="2"/>
        </w:numPr>
        <w:pBdr>
          <w:top w:val="single" w:sz="4" w:space="1" w:color="auto"/>
          <w:left w:val="single" w:sz="4" w:space="4" w:color="auto"/>
          <w:bottom w:val="single" w:sz="4" w:space="1" w:color="auto"/>
          <w:right w:val="single" w:sz="4" w:space="4" w:color="auto"/>
        </w:pBdr>
        <w:spacing w:after="0"/>
        <w:jc w:val="both"/>
        <w:rPr>
          <w:rFonts w:ascii="Times New Roman" w:hAnsi="Times New Roman"/>
          <w:noProof/>
          <w:sz w:val="24"/>
          <w:szCs w:val="24"/>
        </w:rPr>
      </w:pPr>
      <w:r>
        <w:rPr>
          <w:rFonts w:ascii="Times New Roman" w:hAnsi="Times New Roman"/>
          <w:noProof/>
          <w:sz w:val="24"/>
        </w:rPr>
        <w:t xml:space="preserve">publier un rapport sur la mise en œuvre de la directive concernant l’équilibre entre vie professionnelle et vie privée des parents et des aidants (2028); </w:t>
      </w:r>
    </w:p>
    <w:p w14:paraId="76060F96" w14:textId="2164145A" w:rsidR="00D42804" w:rsidRPr="00300B33" w:rsidRDefault="00BB331A" w:rsidP="00F9606A">
      <w:pPr>
        <w:pStyle w:val="BodyText"/>
        <w:numPr>
          <w:ilvl w:val="0"/>
          <w:numId w:val="2"/>
        </w:numPr>
        <w:pBdr>
          <w:top w:val="single" w:sz="4" w:space="1" w:color="auto"/>
          <w:left w:val="single" w:sz="4" w:space="4" w:color="auto"/>
          <w:bottom w:val="single" w:sz="4" w:space="1" w:color="auto"/>
          <w:right w:val="single" w:sz="4" w:space="4" w:color="auto"/>
        </w:pBdr>
        <w:spacing w:after="0"/>
        <w:jc w:val="both"/>
        <w:rPr>
          <w:rFonts w:ascii="Times New Roman" w:hAnsi="Times New Roman"/>
          <w:noProof/>
          <w:sz w:val="24"/>
          <w:szCs w:val="24"/>
        </w:rPr>
      </w:pPr>
      <w:r>
        <w:rPr>
          <w:rFonts w:ascii="Times New Roman" w:hAnsi="Times New Roman"/>
          <w:noProof/>
          <w:sz w:val="24"/>
        </w:rPr>
        <w:t>publier des rapports sur la mise en œuvre de la recommandation du Conseil concernant l’éducation et l’accueil de la petite enfance et de la recommandation du Conseil sur les soins de longue durée (2027);</w:t>
      </w:r>
    </w:p>
    <w:p w14:paraId="13D1FEFF" w14:textId="3E141F1C" w:rsidR="00E62AB8" w:rsidRPr="00300B33" w:rsidRDefault="008D024D" w:rsidP="00F9606A">
      <w:pPr>
        <w:pStyle w:val="BodyText"/>
        <w:numPr>
          <w:ilvl w:val="0"/>
          <w:numId w:val="2"/>
        </w:numPr>
        <w:pBdr>
          <w:top w:val="single" w:sz="4" w:space="1" w:color="auto"/>
          <w:left w:val="single" w:sz="4" w:space="4" w:color="auto"/>
          <w:bottom w:val="single" w:sz="4" w:space="1" w:color="auto"/>
          <w:right w:val="single" w:sz="4" w:space="4" w:color="auto"/>
        </w:pBdr>
        <w:spacing w:after="0"/>
        <w:jc w:val="both"/>
        <w:rPr>
          <w:rFonts w:ascii="Times New Roman" w:hAnsi="Times New Roman"/>
          <w:b/>
          <w:noProof/>
          <w:sz w:val="24"/>
          <w:szCs w:val="24"/>
        </w:rPr>
      </w:pPr>
      <w:r>
        <w:rPr>
          <w:rFonts w:ascii="Times New Roman" w:hAnsi="Times New Roman"/>
          <w:noProof/>
          <w:sz w:val="24"/>
        </w:rPr>
        <w:t>présenter un pacte européen global en matière de soins (2027).</w:t>
      </w:r>
    </w:p>
    <w:p w14:paraId="2DF3A43E" w14:textId="77777777" w:rsidR="00FE38DB" w:rsidRPr="000E2AA0" w:rsidRDefault="00FE38DB" w:rsidP="000E2AA0">
      <w:pPr>
        <w:spacing w:before="120" w:after="120" w:line="276" w:lineRule="auto"/>
        <w:jc w:val="center"/>
        <w:rPr>
          <w:rFonts w:ascii="Times New Roman" w:hAnsi="Times New Roman" w:cs="Times New Roman"/>
          <w:noProof/>
          <w:sz w:val="24"/>
          <w:szCs w:val="24"/>
        </w:rPr>
      </w:pPr>
      <w:r>
        <w:rPr>
          <w:rFonts w:ascii="Times New Roman" w:hAnsi="Times New Roman"/>
          <w:noProof/>
          <w:sz w:val="24"/>
        </w:rPr>
        <w:t>***</w:t>
      </w:r>
    </w:p>
    <w:p w14:paraId="1755EB50" w14:textId="7467D5E0" w:rsidR="00E405E5" w:rsidRPr="00300B33" w:rsidRDefault="00EB31B8" w:rsidP="3F25DB50">
      <w:pPr>
        <w:pBdr>
          <w:top w:val="single" w:sz="4" w:space="1" w:color="auto"/>
          <w:left w:val="single" w:sz="4" w:space="4" w:color="auto"/>
          <w:bottom w:val="single" w:sz="4" w:space="1" w:color="auto"/>
          <w:right w:val="single" w:sz="4" w:space="4" w:color="auto"/>
        </w:pBdr>
        <w:spacing w:after="0" w:line="276" w:lineRule="auto"/>
        <w:jc w:val="both"/>
        <w:rPr>
          <w:rFonts w:ascii="Times New Roman" w:hAnsi="Times New Roman" w:cs="Times New Roman"/>
          <w:b/>
          <w:bCs/>
          <w:i/>
          <w:iCs/>
          <w:noProof/>
          <w:sz w:val="24"/>
          <w:szCs w:val="24"/>
        </w:rPr>
      </w:pPr>
      <w:r>
        <w:rPr>
          <w:rFonts w:ascii="Times New Roman" w:hAnsi="Times New Roman"/>
          <w:b/>
          <w:i/>
          <w:noProof/>
          <w:sz w:val="24"/>
        </w:rPr>
        <w:t>Principe 5 de la feuille de route: égalité des chances en matière d’emploi et conditions de travail adéquates</w:t>
      </w:r>
    </w:p>
    <w:p w14:paraId="6710A5B8" w14:textId="77777777" w:rsidR="0049724B" w:rsidRPr="00300B33" w:rsidRDefault="0049724B" w:rsidP="00EA7DC6">
      <w:pPr>
        <w:spacing w:after="0" w:line="276" w:lineRule="auto"/>
        <w:jc w:val="both"/>
        <w:rPr>
          <w:rFonts w:ascii="Times New Roman" w:hAnsi="Times New Roman" w:cs="Times New Roman"/>
          <w:noProof/>
          <w:sz w:val="24"/>
          <w:szCs w:val="24"/>
        </w:rPr>
      </w:pPr>
    </w:p>
    <w:p w14:paraId="25F606CE" w14:textId="55977AD8" w:rsidR="00DC4BD7" w:rsidRPr="00300B33" w:rsidRDefault="3056731F" w:rsidP="00953F87">
      <w:pPr>
        <w:spacing w:after="0" w:line="276" w:lineRule="auto"/>
        <w:jc w:val="both"/>
        <w:rPr>
          <w:rFonts w:ascii="Times New Roman" w:hAnsi="Times New Roman" w:cs="Times New Roman"/>
          <w:noProof/>
          <w:sz w:val="24"/>
          <w:szCs w:val="24"/>
        </w:rPr>
      </w:pPr>
      <w:r>
        <w:rPr>
          <w:rFonts w:ascii="Times New Roman" w:hAnsi="Times New Roman"/>
          <w:noProof/>
          <w:sz w:val="24"/>
        </w:rPr>
        <w:t>L’objectif principal de l’UE en matière d’emploi pour 2030 vise à réduire de moitié l’</w:t>
      </w:r>
      <w:r>
        <w:rPr>
          <w:rFonts w:ascii="Times New Roman" w:hAnsi="Times New Roman"/>
          <w:b/>
          <w:noProof/>
          <w:sz w:val="24"/>
        </w:rPr>
        <w:t>écart du taux d’emploi entre les femmes et les hommes</w:t>
      </w:r>
      <w:r>
        <w:rPr>
          <w:rFonts w:ascii="Times New Roman" w:hAnsi="Times New Roman"/>
          <w:noProof/>
          <w:sz w:val="24"/>
        </w:rPr>
        <w:t>. Or, le taux d’emploi des femmes reste inférieur de 10 points de pourcentage à celui des hommes</w:t>
      </w:r>
      <w:r>
        <w:rPr>
          <w:rStyle w:val="FootnoteReference"/>
          <w:rFonts w:ascii="Times New Roman" w:hAnsi="Times New Roman" w:cs="Times New Roman"/>
          <w:noProof/>
          <w:sz w:val="24"/>
          <w:szCs w:val="24"/>
        </w:rPr>
        <w:footnoteReference w:id="35"/>
      </w:r>
      <w:r>
        <w:rPr>
          <w:rFonts w:ascii="Times New Roman" w:hAnsi="Times New Roman"/>
          <w:noProof/>
          <w:sz w:val="24"/>
        </w:rPr>
        <w:t xml:space="preserve">. Selon les estimations, cet écart à lui seul représentait une </w:t>
      </w:r>
      <w:r>
        <w:rPr>
          <w:rFonts w:ascii="Times New Roman" w:hAnsi="Times New Roman"/>
          <w:b/>
          <w:noProof/>
          <w:sz w:val="24"/>
        </w:rPr>
        <w:t>perte de 390 milliards d’EUR pour l’économie de l’UE en 2023</w:t>
      </w:r>
      <w:r>
        <w:rPr>
          <w:rStyle w:val="FootnoteReference"/>
          <w:rFonts w:ascii="Times New Roman" w:hAnsi="Times New Roman" w:cs="Times New Roman"/>
          <w:noProof/>
          <w:sz w:val="24"/>
          <w:szCs w:val="24"/>
        </w:rPr>
        <w:footnoteReference w:id="36"/>
      </w:r>
      <w:r>
        <w:rPr>
          <w:rFonts w:ascii="Times New Roman" w:hAnsi="Times New Roman"/>
          <w:noProof/>
          <w:sz w:val="24"/>
        </w:rPr>
        <w:t>. L’écart du taux d’emploi entre les femmes et les hommes résulte de divers obstacles et structures d’incitation, tels que ceux liés aux systèmes fiscaux nationaux, de l’absence de formules souples de travail et de l’inégalité des salaires. Les stéréotypes de genre empêchent de nombreuses femmes et de nombreux hommes de poursuivre leurs objectifs professionnels et conduisent à des secteurs à prédominance masculine et féminine. L’écart du taux d’emploi entre les femmes et les hommes est particulièrement prononcé pour les mères, les migrantes et les femmes roms, les femmes handicapées et les femmes des zones rurales.</w:t>
      </w:r>
    </w:p>
    <w:p w14:paraId="4EBBD49A" w14:textId="77777777" w:rsidR="0081683B" w:rsidRPr="00300B33" w:rsidRDefault="0081683B" w:rsidP="3F25DB50">
      <w:pPr>
        <w:spacing w:after="0" w:line="276" w:lineRule="auto"/>
        <w:contextualSpacing/>
        <w:jc w:val="both"/>
        <w:rPr>
          <w:rFonts w:ascii="Times New Roman" w:hAnsi="Times New Roman" w:cs="Times New Roman"/>
          <w:noProof/>
          <w:sz w:val="24"/>
          <w:szCs w:val="24"/>
        </w:rPr>
      </w:pPr>
    </w:p>
    <w:p w14:paraId="2C66A0B3" w14:textId="6742A6D2" w:rsidR="00016244" w:rsidRPr="00300B33" w:rsidRDefault="00016244" w:rsidP="00300F39">
      <w:pPr>
        <w:spacing w:after="0" w:line="276" w:lineRule="auto"/>
        <w:jc w:val="both"/>
        <w:rPr>
          <w:rFonts w:ascii="Times New Roman" w:hAnsi="Times New Roman" w:cs="Times New Roman"/>
          <w:noProof/>
          <w:sz w:val="24"/>
          <w:szCs w:val="24"/>
        </w:rPr>
      </w:pPr>
      <w:r>
        <w:rPr>
          <w:rFonts w:ascii="Times New Roman" w:hAnsi="Times New Roman"/>
          <w:noProof/>
          <w:sz w:val="24"/>
        </w:rPr>
        <w:t xml:space="preserve">La Commission renforcera la dimension de genre et l’approche intersectionnelle dans les actions menées au titre du </w:t>
      </w:r>
      <w:r>
        <w:rPr>
          <w:rFonts w:ascii="Times New Roman" w:hAnsi="Times New Roman"/>
          <w:b/>
          <w:noProof/>
          <w:sz w:val="24"/>
        </w:rPr>
        <w:t>socle européen des droits sociaux</w:t>
      </w:r>
      <w:r>
        <w:rPr>
          <w:rFonts w:ascii="Times New Roman" w:hAnsi="Times New Roman"/>
          <w:noProof/>
          <w:sz w:val="24"/>
        </w:rPr>
        <w:t xml:space="preserve">, notamment pour accroître la participation des femmes au marché du travail. Elle continuera également à promouvoir la diversité et l’inclusion par l’intermédiaire de la </w:t>
      </w:r>
      <w:hyperlink r:id="rId49" w:history="1">
        <w:r>
          <w:rPr>
            <w:rStyle w:val="Hyperlink"/>
            <w:rFonts w:ascii="Times New Roman" w:hAnsi="Times New Roman"/>
            <w:b/>
            <w:noProof/>
            <w:sz w:val="24"/>
          </w:rPr>
          <w:t>plateforme européenne des chartes de la diversité</w:t>
        </w:r>
      </w:hyperlink>
      <w:r>
        <w:rPr>
          <w:rFonts w:ascii="Times New Roman" w:hAnsi="Times New Roman"/>
          <w:noProof/>
          <w:sz w:val="24"/>
        </w:rPr>
        <w:t>, en facilitant le dialogue et en fournissant des orientations, y compris en ce qui concerne les pratiques d’embauche inclusives.</w:t>
      </w:r>
    </w:p>
    <w:p w14:paraId="14E452D2" w14:textId="77777777" w:rsidR="00016244" w:rsidRPr="00300B33" w:rsidRDefault="00016244" w:rsidP="3F25DB50">
      <w:pPr>
        <w:spacing w:after="0" w:line="276" w:lineRule="auto"/>
        <w:contextualSpacing/>
        <w:jc w:val="both"/>
        <w:rPr>
          <w:rFonts w:ascii="Times New Roman" w:hAnsi="Times New Roman" w:cs="Times New Roman"/>
          <w:noProof/>
          <w:sz w:val="24"/>
          <w:szCs w:val="24"/>
        </w:rPr>
      </w:pPr>
    </w:p>
    <w:p w14:paraId="3486A671" w14:textId="308850C0" w:rsidR="00016244" w:rsidRPr="00300B33" w:rsidRDefault="00016244" w:rsidP="40D41AEE">
      <w:pPr>
        <w:spacing w:after="0" w:line="276" w:lineRule="auto"/>
        <w:contextualSpacing/>
        <w:jc w:val="both"/>
        <w:rPr>
          <w:rFonts w:ascii="Times New Roman" w:hAnsi="Times New Roman" w:cs="Times New Roman"/>
          <w:noProof/>
          <w:sz w:val="24"/>
          <w:szCs w:val="24"/>
        </w:rPr>
      </w:pPr>
      <w:r>
        <w:rPr>
          <w:rFonts w:ascii="Times New Roman" w:hAnsi="Times New Roman"/>
          <w:noProof/>
          <w:sz w:val="24"/>
        </w:rPr>
        <w:t xml:space="preserve">Les femmes se heurtent à des obstacles pour accéder à des postes élevés d’encadrement, en raison des stéréotypes de genre, de la discrimination, des interruptions de carrière (liées aux responsabilités familiales) et de l’absence de formules souples de travail. La </w:t>
      </w:r>
      <w:hyperlink r:id="rId50" w:history="1">
        <w:r>
          <w:rPr>
            <w:rStyle w:val="Hyperlink"/>
            <w:rFonts w:ascii="Times New Roman" w:hAnsi="Times New Roman"/>
            <w:b/>
            <w:noProof/>
            <w:sz w:val="24"/>
          </w:rPr>
          <w:t>directive sur l’équilibre entre les femmes et les hommes dans les conseils des entreprises</w:t>
        </w:r>
      </w:hyperlink>
      <w:r>
        <w:rPr>
          <w:noProof/>
        </w:rPr>
        <w:t xml:space="preserve"> </w:t>
      </w:r>
      <w:r>
        <w:rPr>
          <w:rFonts w:ascii="Times New Roman" w:hAnsi="Times New Roman"/>
          <w:noProof/>
          <w:sz w:val="24"/>
        </w:rPr>
        <w:t xml:space="preserve">constitue un cadre législatif important pour remédier aux déséquilibres entre les genres dans la direction des entreprises. En 2026, la Commission fera rapport sur les mesures adoptées par les États membres qui sont tout aussi efficaces et permettent de suspendre l’application de la procédure de sélection fondée sur le mérite prévue par la directive. La Commission présentera une </w:t>
      </w:r>
      <w:r>
        <w:rPr>
          <w:rFonts w:ascii="Times New Roman" w:hAnsi="Times New Roman"/>
          <w:b/>
          <w:noProof/>
          <w:sz w:val="24"/>
        </w:rPr>
        <w:t>évaluation complète de l’efficacité et de l’efficience de la directive</w:t>
      </w:r>
      <w:r>
        <w:rPr>
          <w:rFonts w:ascii="Times New Roman" w:hAnsi="Times New Roman"/>
          <w:noProof/>
          <w:sz w:val="24"/>
        </w:rPr>
        <w:t xml:space="preserve"> d’ici à 2029. L’équilibre entre les genres en matière de direction et de participation est également essentiel dans l’administration publique afin de garantir que l’élaboration des politiques reflète la diversité de la société</w:t>
      </w:r>
      <w:r>
        <w:rPr>
          <w:rStyle w:val="FootnoteReference"/>
          <w:rFonts w:ascii="Times New Roman" w:hAnsi="Times New Roman" w:cs="Times New Roman"/>
          <w:noProof/>
          <w:sz w:val="24"/>
          <w:szCs w:val="24"/>
        </w:rPr>
        <w:footnoteReference w:id="37"/>
      </w:r>
      <w:r>
        <w:rPr>
          <w:rFonts w:ascii="Times New Roman" w:hAnsi="Times New Roman"/>
          <w:noProof/>
          <w:sz w:val="24"/>
        </w:rPr>
        <w:t xml:space="preserve">. Au sein de sa propre organisation, la Commission a pris des mesures pour atteindre la </w:t>
      </w:r>
      <w:r>
        <w:rPr>
          <w:rFonts w:ascii="Times New Roman" w:hAnsi="Times New Roman"/>
          <w:b/>
          <w:noProof/>
          <w:sz w:val="24"/>
        </w:rPr>
        <w:t>parité entre les genres aux postes d’encadrement</w:t>
      </w:r>
      <w:r>
        <w:rPr>
          <w:rFonts w:ascii="Times New Roman" w:hAnsi="Times New Roman"/>
          <w:noProof/>
          <w:sz w:val="24"/>
        </w:rPr>
        <w:t xml:space="preserve">, ce qui a permis d’atteindre un taux de 49 % de femmes occupant des postes d’encadrement, contre 40 % en 2019. Cette réalisation sera soutenue par des mesures ciblées, étant donné que la consolidation des progrès reste une priorité politique. </w:t>
      </w:r>
    </w:p>
    <w:p w14:paraId="08CDC031" w14:textId="77777777" w:rsidR="00016244" w:rsidRPr="00300B33" w:rsidRDefault="00016244" w:rsidP="3F25DB50">
      <w:pPr>
        <w:spacing w:after="0" w:line="276" w:lineRule="auto"/>
        <w:contextualSpacing/>
        <w:jc w:val="both"/>
        <w:rPr>
          <w:rFonts w:ascii="Times New Roman" w:hAnsi="Times New Roman" w:cs="Times New Roman"/>
          <w:noProof/>
          <w:sz w:val="24"/>
          <w:szCs w:val="24"/>
        </w:rPr>
      </w:pPr>
    </w:p>
    <w:p w14:paraId="5711DFCB" w14:textId="434F1F70" w:rsidR="00BD3B98" w:rsidRPr="00300B33" w:rsidRDefault="00B71DCE" w:rsidP="00175A72">
      <w:pPr>
        <w:spacing w:after="0" w:line="276" w:lineRule="auto"/>
        <w:contextualSpacing/>
        <w:jc w:val="both"/>
        <w:rPr>
          <w:rFonts w:ascii="Times New Roman" w:hAnsi="Times New Roman" w:cs="Times New Roman"/>
          <w:noProof/>
          <w:sz w:val="24"/>
          <w:szCs w:val="24"/>
        </w:rPr>
      </w:pPr>
      <w:r>
        <w:rPr>
          <w:rFonts w:ascii="Times New Roman" w:hAnsi="Times New Roman"/>
          <w:noProof/>
          <w:sz w:val="24"/>
        </w:rPr>
        <w:t xml:space="preserve">Les femmes sont également exposées à des </w:t>
      </w:r>
      <w:r>
        <w:rPr>
          <w:rFonts w:ascii="Times New Roman" w:hAnsi="Times New Roman"/>
          <w:b/>
          <w:noProof/>
          <w:sz w:val="24"/>
        </w:rPr>
        <w:t>risques spécifiques au travail</w:t>
      </w:r>
      <w:r>
        <w:rPr>
          <w:rFonts w:ascii="Times New Roman" w:hAnsi="Times New Roman"/>
          <w:noProof/>
          <w:sz w:val="24"/>
        </w:rPr>
        <w:t xml:space="preserve"> dans différents secteurs et types de travail, y compris sur les lieux de travail mobiles et saisonniers. Une femme sur trois dans l’UE a déjà été victime de </w:t>
      </w:r>
      <w:r>
        <w:rPr>
          <w:rFonts w:ascii="Times New Roman" w:hAnsi="Times New Roman"/>
          <w:b/>
          <w:noProof/>
          <w:sz w:val="24"/>
        </w:rPr>
        <w:t>harcèlement sexuel au travail</w:t>
      </w:r>
      <w:r>
        <w:rPr>
          <w:rFonts w:ascii="Times New Roman" w:hAnsi="Times New Roman"/>
          <w:noProof/>
          <w:sz w:val="24"/>
        </w:rPr>
        <w:t xml:space="preserve">, un chiffre qui atteint </w:t>
      </w:r>
      <w:r>
        <w:rPr>
          <w:rFonts w:ascii="Times New Roman" w:hAnsi="Times New Roman"/>
          <w:b/>
          <w:noProof/>
          <w:sz w:val="24"/>
        </w:rPr>
        <w:t>41,6 % chez les femmes âgées de 18 à 29 ans</w:t>
      </w:r>
      <w:r>
        <w:rPr>
          <w:rStyle w:val="FootnoteReference"/>
          <w:rFonts w:ascii="Times New Roman" w:hAnsi="Times New Roman" w:cs="Times New Roman"/>
          <w:noProof/>
          <w:sz w:val="24"/>
          <w:szCs w:val="24"/>
        </w:rPr>
        <w:footnoteReference w:id="38"/>
      </w:r>
      <w:r>
        <w:rPr>
          <w:rFonts w:ascii="Times New Roman" w:hAnsi="Times New Roman"/>
          <w:noProof/>
          <w:sz w:val="24"/>
        </w:rPr>
        <w:t>. Le harcèlement sexuel au travail est interdit par la législation de l’UE</w:t>
      </w:r>
      <w:r>
        <w:rPr>
          <w:rStyle w:val="FootnoteReference"/>
          <w:rFonts w:ascii="Times New Roman" w:hAnsi="Times New Roman" w:cs="Times New Roman"/>
          <w:noProof/>
          <w:sz w:val="24"/>
          <w:szCs w:val="24"/>
        </w:rPr>
        <w:footnoteReference w:id="39"/>
      </w:r>
      <w:r>
        <w:rPr>
          <w:rFonts w:ascii="Times New Roman" w:hAnsi="Times New Roman"/>
          <w:noProof/>
          <w:sz w:val="24"/>
        </w:rPr>
        <w:t xml:space="preserve">, mais il n’existe pas de mécanismes spécifiques de prévention, de signalement et d’aide aux victimes. Si l’UE dispose d’un cadre solide en matière de santé et de sécurité au travail (SST), des mesures supplémentaires sont nécessaires pour prévenir le harcèlement sexuel au travail en tant que risque psychosocial et y remédier, y compris une éventuelle action législative. Dans le cadre de la </w:t>
      </w:r>
      <w:r>
        <w:rPr>
          <w:rFonts w:ascii="Times New Roman" w:hAnsi="Times New Roman"/>
          <w:b/>
          <w:noProof/>
          <w:sz w:val="24"/>
        </w:rPr>
        <w:t>loi sur les emplois de qualité</w:t>
      </w:r>
      <w:r>
        <w:rPr>
          <w:rFonts w:ascii="Times New Roman" w:hAnsi="Times New Roman"/>
          <w:noProof/>
          <w:sz w:val="24"/>
        </w:rPr>
        <w:t>, sur la base des réponses des partenaires sociaux à la première phase de consultation</w:t>
      </w:r>
      <w:r>
        <w:rPr>
          <w:rStyle w:val="FootnoteReference"/>
          <w:rFonts w:ascii="Times New Roman" w:hAnsi="Times New Roman" w:cs="Times New Roman"/>
          <w:noProof/>
          <w:sz w:val="24"/>
          <w:szCs w:val="24"/>
        </w:rPr>
        <w:footnoteReference w:id="40"/>
      </w:r>
      <w:r>
        <w:rPr>
          <w:rFonts w:ascii="Times New Roman" w:hAnsi="Times New Roman"/>
          <w:noProof/>
          <w:sz w:val="24"/>
        </w:rPr>
        <w:t xml:space="preserve"> et dans l’attente de la deuxième phase de consultation, la </w:t>
      </w:r>
      <w:r>
        <w:rPr>
          <w:rFonts w:ascii="Times New Roman" w:hAnsi="Times New Roman"/>
          <w:b/>
          <w:noProof/>
          <w:sz w:val="24"/>
        </w:rPr>
        <w:t>Commission envisagera des mesures visant à mieux lutter contre le harcèlement sexuel sur le lieu de travail</w:t>
      </w:r>
      <w:r>
        <w:rPr>
          <w:rFonts w:ascii="Times New Roman" w:hAnsi="Times New Roman"/>
          <w:noProof/>
          <w:sz w:val="24"/>
        </w:rPr>
        <w:t xml:space="preserve">. Le futur </w:t>
      </w:r>
      <w:hyperlink r:id="rId51" w:anchor="PP1Contents">
        <w:r>
          <w:rPr>
            <w:rStyle w:val="Hyperlink"/>
            <w:rFonts w:ascii="Times New Roman" w:hAnsi="Times New Roman"/>
            <w:b/>
            <w:noProof/>
            <w:sz w:val="24"/>
          </w:rPr>
          <w:t>cadre stratégique de l’UE en matière de santé et de sécurité au travail</w:t>
        </w:r>
      </w:hyperlink>
      <w:r>
        <w:rPr>
          <w:rFonts w:ascii="Times New Roman" w:hAnsi="Times New Roman"/>
          <w:noProof/>
          <w:sz w:val="24"/>
        </w:rPr>
        <w:t xml:space="preserve"> sera également l’occasion d’adopter une approche plus large tenant compte de la dimension de genre, y compris en ce qui concerne la violence de tiers. L’outil interactif d’évaluation des risques en ligne sur le harcèlement sexuel et la violence de tiers mis au point par l’Agence européenne pour la sécurité et la santé au travail (EU-OSHA) apporte un soutien pratique aux employeurs et aux travailleurs en matière de prévention et de détection du harcèlement sexuel. En 2027, l’EU-OSHA lancera également une </w:t>
      </w:r>
      <w:r>
        <w:rPr>
          <w:rFonts w:ascii="Times New Roman" w:hAnsi="Times New Roman"/>
          <w:b/>
          <w:noProof/>
          <w:sz w:val="24"/>
        </w:rPr>
        <w:t>campagne «Lieux de travail sains»</w:t>
      </w:r>
      <w:r>
        <w:rPr>
          <w:rFonts w:ascii="Times New Roman" w:hAnsi="Times New Roman"/>
          <w:noProof/>
          <w:sz w:val="24"/>
        </w:rPr>
        <w:t xml:space="preserve"> sur la santé mentale au travail et la prévention des risques psychosociaux, y compris le harcèlement et la violence sexuels. </w:t>
      </w:r>
    </w:p>
    <w:p w14:paraId="3FA37962" w14:textId="77777777" w:rsidR="00BD3B98" w:rsidRPr="00300B33" w:rsidRDefault="00BD3B98" w:rsidP="00175A72">
      <w:pPr>
        <w:spacing w:after="0" w:line="276" w:lineRule="auto"/>
        <w:contextualSpacing/>
        <w:jc w:val="both"/>
        <w:rPr>
          <w:rFonts w:ascii="Times New Roman" w:hAnsi="Times New Roman" w:cs="Times New Roman"/>
          <w:noProof/>
          <w:sz w:val="24"/>
          <w:szCs w:val="24"/>
        </w:rPr>
      </w:pPr>
    </w:p>
    <w:p w14:paraId="0C6A5FFC" w14:textId="47F6E36A" w:rsidR="002C07B4" w:rsidRPr="00300B33" w:rsidRDefault="00C64B32" w:rsidP="00175A72">
      <w:pPr>
        <w:spacing w:after="0" w:line="276" w:lineRule="auto"/>
        <w:contextualSpacing/>
        <w:jc w:val="both"/>
        <w:rPr>
          <w:rFonts w:ascii="Times New Roman" w:hAnsi="Times New Roman" w:cs="Times New Roman"/>
          <w:noProof/>
          <w:sz w:val="24"/>
          <w:szCs w:val="24"/>
        </w:rPr>
      </w:pPr>
      <w:r>
        <w:rPr>
          <w:rFonts w:ascii="Times New Roman" w:hAnsi="Times New Roman"/>
          <w:noProof/>
          <w:sz w:val="24"/>
        </w:rPr>
        <w:t>En outre, la Commission poursuivra ses travaux visant à éliminer le harcèlement moral et sexuel dans sa propre administration publique. Pour ce faire, elle s’appuiera sur les travaux de la conseillère confidentielle en chef et sur le cadre renouvelé de lutte contre le harcèlement, en mettant en œuvre des plans d’action spécifiques sur la prévention du harcèlement et en s’attaquant aux répercussions de la violence domestique sur le lieu de travail, conformément aux obligations de l’UE au titre de la convention d’Istanbul.</w:t>
      </w:r>
    </w:p>
    <w:p w14:paraId="7FC5F4BF" w14:textId="77777777" w:rsidR="00E61F00" w:rsidRPr="00300B33" w:rsidRDefault="00E61F00" w:rsidP="00EA7DC6">
      <w:pPr>
        <w:spacing w:after="0" w:line="276" w:lineRule="auto"/>
        <w:jc w:val="both"/>
        <w:rPr>
          <w:rFonts w:ascii="Times New Roman" w:hAnsi="Times New Roman" w:cs="Times New Roman"/>
          <w:noProof/>
          <w:sz w:val="24"/>
          <w:szCs w:val="24"/>
        </w:rPr>
      </w:pPr>
    </w:p>
    <w:p w14:paraId="42B1D8E1" w14:textId="657F24E2" w:rsidR="004A3227" w:rsidRPr="00300B33" w:rsidRDefault="00537B68" w:rsidP="3F25DB50">
      <w:pPr>
        <w:spacing w:after="0" w:line="276" w:lineRule="auto"/>
        <w:contextualSpacing/>
        <w:jc w:val="both"/>
        <w:rPr>
          <w:rFonts w:ascii="Times New Roman" w:hAnsi="Times New Roman" w:cs="Times New Roman"/>
          <w:noProof/>
          <w:sz w:val="24"/>
          <w:szCs w:val="24"/>
        </w:rPr>
      </w:pPr>
      <w:r>
        <w:rPr>
          <w:rFonts w:ascii="Times New Roman" w:hAnsi="Times New Roman"/>
          <w:b/>
          <w:noProof/>
          <w:sz w:val="24"/>
        </w:rPr>
        <w:t>De nouveaux risques pour les femmes apparaissent également en raison de l’intelligence artificielle</w:t>
      </w:r>
      <w:r>
        <w:rPr>
          <w:rFonts w:ascii="Times New Roman" w:hAnsi="Times New Roman"/>
          <w:noProof/>
          <w:sz w:val="24"/>
        </w:rPr>
        <w:t xml:space="preserve">, tels que les stéréotypes de genre dans le recrutement, l’évaluation ou la gestion algorithmique. Le </w:t>
      </w:r>
      <w:hyperlink r:id="rId52" w:history="1">
        <w:r>
          <w:rPr>
            <w:rStyle w:val="Hyperlink"/>
            <w:rFonts w:ascii="Times New Roman" w:hAnsi="Times New Roman"/>
            <w:b/>
            <w:noProof/>
            <w:sz w:val="24"/>
          </w:rPr>
          <w:t>règlement sur l’IA</w:t>
        </w:r>
      </w:hyperlink>
      <w:r>
        <w:rPr>
          <w:rFonts w:ascii="Times New Roman" w:hAnsi="Times New Roman"/>
          <w:noProof/>
          <w:sz w:val="24"/>
        </w:rPr>
        <w:t xml:space="preserve"> impose des obligations aux fournisseurs et aux déployeurs de systèmes d’IA à haut risque dans les domaines de l’emploi, de la gestion des travailleurs et de l’emploi indépendant. Certains déployeurs de systèmes d’IA à haut risque doivent procéder à une analyse d’impact sur les droits fondamentaux visant à recenser et à évaluer les risques que les systèmes d’IA à haut risque peuvent présenter pour les droits fondamentaux, y compris la discrimination fondée sur le sexe. Dans la </w:t>
      </w:r>
      <w:hyperlink r:id="rId53" w:history="1">
        <w:r>
          <w:rPr>
            <w:rStyle w:val="Hyperlink"/>
            <w:rFonts w:ascii="Times New Roman" w:hAnsi="Times New Roman"/>
            <w:b/>
            <w:noProof/>
            <w:sz w:val="24"/>
          </w:rPr>
          <w:t>feuille de route pour des emplois de qualité</w:t>
        </w:r>
      </w:hyperlink>
      <w:r>
        <w:rPr>
          <w:rFonts w:ascii="Times New Roman" w:hAnsi="Times New Roman"/>
          <w:noProof/>
          <w:sz w:val="24"/>
        </w:rPr>
        <w:t xml:space="preserve">, la Commission a identifié la gestion algorithmique et l’IA au travail comme des domaines d’action potentiels de l’UE dans le cadre de l’acte législatif sur des emplois de qualité. </w:t>
      </w:r>
    </w:p>
    <w:p w14:paraId="1BAD49A7" w14:textId="77777777" w:rsidR="00630475" w:rsidRPr="007C2998" w:rsidRDefault="00630475" w:rsidP="3F25DB50">
      <w:pPr>
        <w:spacing w:after="0" w:line="276" w:lineRule="auto"/>
        <w:contextualSpacing/>
        <w:jc w:val="both"/>
        <w:rPr>
          <w:rFonts w:ascii="Times New Roman" w:hAnsi="Times New Roman" w:cs="Times New Roman"/>
          <w:noProof/>
          <w:sz w:val="24"/>
          <w:szCs w:val="24"/>
          <w:lang w:val="fr-BE"/>
        </w:rPr>
      </w:pPr>
    </w:p>
    <w:p w14:paraId="5E3DB4D3" w14:textId="3D8F7E21" w:rsidR="00E02CB2" w:rsidRDefault="00166639" w:rsidP="3BC14C37">
      <w:pPr>
        <w:spacing w:after="0" w:line="276" w:lineRule="auto"/>
        <w:contextualSpacing/>
        <w:jc w:val="both"/>
        <w:rPr>
          <w:rFonts w:ascii="Times New Roman" w:eastAsia="Times New Roman" w:hAnsi="Times New Roman" w:cs="Times New Roman"/>
          <w:noProof/>
          <w:sz w:val="24"/>
          <w:szCs w:val="24"/>
        </w:rPr>
      </w:pPr>
      <w:r>
        <w:rPr>
          <w:rFonts w:ascii="Times New Roman" w:hAnsi="Times New Roman"/>
          <w:noProof/>
          <w:sz w:val="24"/>
        </w:rPr>
        <w:t xml:space="preserve">Les déséquilibres entre les genres, particulièrement marqués dans certains secteurs, sont traités par des initiatives spécifiques, telles que le </w:t>
      </w:r>
      <w:hyperlink r:id="rId54" w:history="1">
        <w:r>
          <w:rPr>
            <w:rStyle w:val="Hyperlink"/>
            <w:rFonts w:ascii="Times New Roman" w:hAnsi="Times New Roman"/>
            <w:b/>
            <w:noProof/>
            <w:sz w:val="24"/>
          </w:rPr>
          <w:t>programme d’action pour la décennie numérique</w:t>
        </w:r>
      </w:hyperlink>
      <w:r>
        <w:rPr>
          <w:rFonts w:ascii="Times New Roman" w:hAnsi="Times New Roman"/>
          <w:noProof/>
          <w:sz w:val="24"/>
        </w:rPr>
        <w:t xml:space="preserve">, le projet </w:t>
      </w:r>
      <w:hyperlink r:id="rId55" w:history="1">
        <w:r>
          <w:rPr>
            <w:rStyle w:val="Hyperlink"/>
            <w:rFonts w:ascii="Times New Roman" w:hAnsi="Times New Roman"/>
            <w:b/>
            <w:noProof/>
            <w:sz w:val="24"/>
          </w:rPr>
          <w:t>«Construction Blueprint»</w:t>
        </w:r>
      </w:hyperlink>
      <w:r>
        <w:rPr>
          <w:rFonts w:ascii="Times New Roman" w:hAnsi="Times New Roman"/>
          <w:noProof/>
          <w:sz w:val="24"/>
        </w:rPr>
        <w:t xml:space="preserve">, le </w:t>
      </w:r>
      <w:hyperlink r:id="rId56" w:history="1">
        <w:r>
          <w:rPr>
            <w:rStyle w:val="Hyperlink"/>
            <w:rFonts w:ascii="Times New Roman" w:hAnsi="Times New Roman"/>
            <w:b/>
            <w:noProof/>
            <w:sz w:val="24"/>
          </w:rPr>
          <w:t>réseau de diversité et d’inclusion de l’industrie spatiale et de défense de l’UE</w:t>
        </w:r>
      </w:hyperlink>
      <w:r>
        <w:rPr>
          <w:rFonts w:ascii="Times New Roman" w:hAnsi="Times New Roman"/>
          <w:noProof/>
          <w:sz w:val="24"/>
        </w:rPr>
        <w:t>, la</w:t>
      </w:r>
      <w:r>
        <w:rPr>
          <w:noProof/>
        </w:rPr>
        <w:t xml:space="preserve"> </w:t>
      </w:r>
      <w:hyperlink r:id="rId57" w:history="1">
        <w:r>
          <w:rPr>
            <w:rStyle w:val="Hyperlink"/>
            <w:rFonts w:ascii="Times New Roman" w:hAnsi="Times New Roman"/>
            <w:b/>
            <w:noProof/>
            <w:sz w:val="24"/>
          </w:rPr>
          <w:t>plateforme «Les femmes et les transports»</w:t>
        </w:r>
      </w:hyperlink>
      <w:r>
        <w:rPr>
          <w:rFonts w:ascii="Times New Roman" w:hAnsi="Times New Roman"/>
          <w:noProof/>
          <w:sz w:val="24"/>
        </w:rPr>
        <w:t xml:space="preserve"> et le </w:t>
      </w:r>
      <w:hyperlink r:id="rId58" w:history="1">
        <w:r w:rsidRPr="00866CF0">
          <w:rPr>
            <w:rStyle w:val="Hyperlink"/>
            <w:rFonts w:ascii="Times New Roman" w:hAnsi="Times New Roman"/>
            <w:b/>
            <w:bCs/>
            <w:noProof/>
            <w:sz w:val="24"/>
          </w:rPr>
          <w:t>réseau d’ambassadeurs #DiversityInTransport</w:t>
        </w:r>
      </w:hyperlink>
      <w:r>
        <w:rPr>
          <w:rFonts w:ascii="Times New Roman" w:hAnsi="Times New Roman"/>
          <w:noProof/>
          <w:sz w:val="24"/>
        </w:rPr>
        <w:t xml:space="preserve">. La Commission lancera également de nouvelles initiatives tenant compte de la dimension de genre pour remédier aux déséquilibres dans d’autres secteurs, telles qu’une </w:t>
      </w:r>
      <w:r>
        <w:rPr>
          <w:rFonts w:ascii="Times New Roman" w:hAnsi="Times New Roman"/>
          <w:b/>
          <w:noProof/>
          <w:sz w:val="24"/>
        </w:rPr>
        <w:t>plateforme relative aux femmes dans l’agriculture</w:t>
      </w:r>
      <w:r>
        <w:rPr>
          <w:rFonts w:ascii="Times New Roman" w:hAnsi="Times New Roman"/>
          <w:noProof/>
          <w:sz w:val="24"/>
        </w:rPr>
        <w:t xml:space="preserve">, une </w:t>
      </w:r>
      <w:r>
        <w:rPr>
          <w:rFonts w:ascii="Times New Roman" w:hAnsi="Times New Roman"/>
          <w:b/>
          <w:noProof/>
          <w:sz w:val="24"/>
        </w:rPr>
        <w:t>charte des artistes de l’UE</w:t>
      </w:r>
      <w:r>
        <w:rPr>
          <w:rFonts w:ascii="Times New Roman" w:hAnsi="Times New Roman"/>
          <w:noProof/>
          <w:sz w:val="24"/>
        </w:rPr>
        <w:t xml:space="preserve"> et un </w:t>
      </w:r>
      <w:r>
        <w:rPr>
          <w:rFonts w:ascii="Times New Roman" w:hAnsi="Times New Roman"/>
          <w:b/>
          <w:noProof/>
          <w:sz w:val="24"/>
        </w:rPr>
        <w:t>plan d’action en faveur des femmes dans la recherche, l’innovation et les start-up</w:t>
      </w:r>
      <w:r>
        <w:rPr>
          <w:rFonts w:ascii="Times New Roman" w:hAnsi="Times New Roman"/>
          <w:noProof/>
          <w:sz w:val="24"/>
        </w:rPr>
        <w:t xml:space="preserve">. La Commission réalisera également une </w:t>
      </w:r>
      <w:r>
        <w:rPr>
          <w:rFonts w:ascii="Times New Roman" w:hAnsi="Times New Roman"/>
          <w:b/>
          <w:noProof/>
          <w:sz w:val="24"/>
        </w:rPr>
        <w:t>enquête de l’UE sur la diversité et l’inclusion dans les secteurs de la défense, de l’industrie et de l’espace</w:t>
      </w:r>
      <w:r>
        <w:rPr>
          <w:rFonts w:ascii="Times New Roman" w:hAnsi="Times New Roman"/>
          <w:noProof/>
          <w:sz w:val="24"/>
        </w:rPr>
        <w:t>.</w:t>
      </w:r>
    </w:p>
    <w:p w14:paraId="78BA8D71" w14:textId="77777777" w:rsidR="00301B24" w:rsidRPr="00300B33" w:rsidRDefault="00301B24" w:rsidP="3BC14C37">
      <w:pPr>
        <w:spacing w:after="0" w:line="276" w:lineRule="auto"/>
        <w:contextualSpacing/>
        <w:jc w:val="both"/>
        <w:rPr>
          <w:rFonts w:ascii="Times New Roman" w:hAnsi="Times New Roman" w:cs="Times New Roman"/>
          <w:b/>
          <w:bCs/>
          <w:noProof/>
          <w:sz w:val="24"/>
          <w:szCs w:val="24"/>
        </w:rPr>
      </w:pPr>
    </w:p>
    <w:p w14:paraId="3DE7C973" w14:textId="44E67C8C" w:rsidR="00A85521" w:rsidRPr="00300B33" w:rsidRDefault="00A85521" w:rsidP="00A85521">
      <w:pPr>
        <w:spacing w:after="0" w:line="276" w:lineRule="auto"/>
        <w:contextualSpacing/>
        <w:jc w:val="both"/>
        <w:rPr>
          <w:rFonts w:ascii="Times New Roman" w:hAnsi="Times New Roman" w:cs="Times New Roman"/>
          <w:noProof/>
          <w:sz w:val="24"/>
          <w:szCs w:val="24"/>
        </w:rPr>
      </w:pPr>
      <w:r>
        <w:rPr>
          <w:rFonts w:ascii="Times New Roman" w:hAnsi="Times New Roman"/>
          <w:noProof/>
          <w:sz w:val="24"/>
        </w:rPr>
        <w:t>Les normes doivent inclure l’ensemble de la population de l’UE, y compris les femmes. La Commission continuera de promouvoir l’</w:t>
      </w:r>
      <w:r>
        <w:rPr>
          <w:rFonts w:ascii="Times New Roman" w:hAnsi="Times New Roman"/>
          <w:b/>
          <w:noProof/>
          <w:sz w:val="24"/>
        </w:rPr>
        <w:t>élaboration de normes inclusives</w:t>
      </w:r>
      <w:r>
        <w:rPr>
          <w:rFonts w:ascii="Times New Roman" w:hAnsi="Times New Roman"/>
          <w:noProof/>
          <w:sz w:val="24"/>
        </w:rPr>
        <w:t xml:space="preserve"> en soutenant la création d’un échantillon de données représentatif de la population de l’UE et en s’appuyant sur l’</w:t>
      </w:r>
      <w:hyperlink r:id="rId59" w:history="1">
        <w:r>
          <w:rPr>
            <w:rStyle w:val="Hyperlink"/>
            <w:rFonts w:ascii="Times New Roman" w:hAnsi="Times New Roman"/>
            <w:noProof/>
            <w:sz w:val="24"/>
          </w:rPr>
          <w:t>étude sur le caractère inclusif de l’anthropométrie</w:t>
        </w:r>
      </w:hyperlink>
      <w:r>
        <w:rPr>
          <w:rFonts w:ascii="Times New Roman" w:hAnsi="Times New Roman"/>
          <w:noProof/>
          <w:sz w:val="24"/>
        </w:rPr>
        <w:t xml:space="preserve"> dans les normes européennes harmonisées. Dans le contexte du futur </w:t>
      </w:r>
      <w:r>
        <w:rPr>
          <w:rFonts w:ascii="Times New Roman" w:hAnsi="Times New Roman"/>
          <w:b/>
          <w:noProof/>
          <w:sz w:val="24"/>
        </w:rPr>
        <w:t>acte législatif européen sur les produits</w:t>
      </w:r>
      <w:r>
        <w:rPr>
          <w:rFonts w:ascii="Times New Roman" w:hAnsi="Times New Roman"/>
          <w:noProof/>
          <w:sz w:val="24"/>
        </w:rPr>
        <w:t>, la Commission s’efforcera de promouvoir la diversité totale de la population de l’UE en tenant compte des aspects spécifiques au genre dans les législations sectorielles pertinentes, notamment en ce qui concerne l’établissement de normes.</w:t>
      </w:r>
      <w:r>
        <w:rPr>
          <w:rFonts w:ascii="Times New Roman" w:hAnsi="Times New Roman"/>
          <w:b/>
          <w:noProof/>
          <w:sz w:val="24"/>
        </w:rPr>
        <w:t xml:space="preserve"> </w:t>
      </w:r>
      <w:r>
        <w:rPr>
          <w:rFonts w:ascii="Times New Roman" w:hAnsi="Times New Roman"/>
          <w:noProof/>
          <w:sz w:val="24"/>
        </w:rPr>
        <w:t xml:space="preserve">Elle encouragera également le </w:t>
      </w:r>
      <w:r>
        <w:rPr>
          <w:rFonts w:ascii="Times New Roman" w:hAnsi="Times New Roman"/>
          <w:b/>
          <w:noProof/>
          <w:sz w:val="24"/>
        </w:rPr>
        <w:t>système européen de normalisation</w:t>
      </w:r>
      <w:r>
        <w:rPr>
          <w:rFonts w:ascii="Times New Roman" w:hAnsi="Times New Roman"/>
          <w:noProof/>
          <w:sz w:val="24"/>
        </w:rPr>
        <w:t xml:space="preserve"> à tenir dûment compte des éléments qui ont une incidence directe sur les femmes et continuera de promouvoir une représentation égale des femmes dans la gouvernance des organisations européennes de normalisation.</w:t>
      </w:r>
    </w:p>
    <w:p w14:paraId="5462B4BF" w14:textId="40C090CC" w:rsidR="007A6B34" w:rsidRPr="00300B33" w:rsidRDefault="001C2D1E" w:rsidP="005D0438">
      <w:pPr>
        <w:spacing w:before="240" w:after="240"/>
        <w:jc w:val="both"/>
        <w:rPr>
          <w:rFonts w:ascii="Times New Roman" w:eastAsia="Times New Roman" w:hAnsi="Times New Roman" w:cs="Times New Roman"/>
          <w:noProof/>
          <w:sz w:val="24"/>
          <w:szCs w:val="24"/>
        </w:rPr>
      </w:pPr>
      <w:r>
        <w:rPr>
          <w:rFonts w:ascii="Times New Roman" w:hAnsi="Times New Roman"/>
          <w:noProof/>
          <w:sz w:val="24"/>
        </w:rPr>
        <w:t xml:space="preserve">En outre, la Commission continuera de soutenir la mise en œuvre intégrale du </w:t>
      </w:r>
      <w:hyperlink r:id="rId60" w:history="1">
        <w:r>
          <w:rPr>
            <w:rStyle w:val="Hyperlink"/>
            <w:rFonts w:ascii="Times New Roman" w:hAnsi="Times New Roman"/>
            <w:b/>
            <w:noProof/>
            <w:sz w:val="24"/>
          </w:rPr>
          <w:t>règlement relatif à la sécurité générale des produits</w:t>
        </w:r>
      </w:hyperlink>
      <w:r>
        <w:rPr>
          <w:rFonts w:ascii="Times New Roman" w:hAnsi="Times New Roman"/>
          <w:noProof/>
          <w:sz w:val="24"/>
        </w:rPr>
        <w:t xml:space="preserve"> en ce qui concerne l’inclusion explicite du genre dans l’évaluation de la sécurité des produits, en reconnaissant que les différences biologiques et physiologiques peuvent influencer la manière dont les risques affectent les femmes. La Commission soutiendra notamment la sécurité des produits tenant compte de la dimension de genre au moyen d’outils d’orientation et d’échanges spécifiques avec les autorités et les opérateurs économiques. </w:t>
      </w:r>
    </w:p>
    <w:p w14:paraId="3B24029F" w14:textId="0332B416" w:rsidR="12215A42" w:rsidRPr="00300B33" w:rsidRDefault="12215A42" w:rsidP="3F25DB50">
      <w:pPr>
        <w:pStyle w:val="BodyText"/>
        <w:pBdr>
          <w:top w:val="single" w:sz="4" w:space="1" w:color="auto"/>
          <w:left w:val="single" w:sz="4" w:space="4" w:color="auto"/>
          <w:bottom w:val="single" w:sz="4" w:space="1" w:color="auto"/>
          <w:right w:val="single" w:sz="4" w:space="4" w:color="auto"/>
        </w:pBdr>
        <w:spacing w:after="0"/>
        <w:jc w:val="both"/>
        <w:rPr>
          <w:rFonts w:ascii="Times New Roman" w:hAnsi="Times New Roman"/>
          <w:b/>
          <w:bCs/>
          <w:noProof/>
          <w:sz w:val="24"/>
          <w:szCs w:val="24"/>
        </w:rPr>
      </w:pPr>
      <w:r>
        <w:rPr>
          <w:rFonts w:ascii="Times New Roman" w:hAnsi="Times New Roman"/>
          <w:b/>
          <w:noProof/>
          <w:sz w:val="24"/>
        </w:rPr>
        <w:t>Actions clés de la Commission:</w:t>
      </w:r>
    </w:p>
    <w:p w14:paraId="5CF4E8E5" w14:textId="303EA37C" w:rsidR="63C4DD4F" w:rsidRPr="00300B33" w:rsidRDefault="00885DB7" w:rsidP="00F9606A">
      <w:pPr>
        <w:pStyle w:val="BodyText"/>
        <w:numPr>
          <w:ilvl w:val="0"/>
          <w:numId w:val="2"/>
        </w:numPr>
        <w:pBdr>
          <w:top w:val="single" w:sz="4" w:space="1" w:color="auto"/>
          <w:left w:val="single" w:sz="4" w:space="4" w:color="auto"/>
          <w:bottom w:val="single" w:sz="4" w:space="1" w:color="auto"/>
          <w:right w:val="single" w:sz="4" w:space="4" w:color="auto"/>
        </w:pBdr>
        <w:spacing w:after="0"/>
        <w:jc w:val="both"/>
        <w:rPr>
          <w:rFonts w:ascii="Times New Roman" w:hAnsi="Times New Roman"/>
          <w:noProof/>
          <w:sz w:val="24"/>
          <w:szCs w:val="24"/>
        </w:rPr>
      </w:pPr>
      <w:r>
        <w:rPr>
          <w:rFonts w:ascii="Times New Roman" w:hAnsi="Times New Roman"/>
          <w:noProof/>
          <w:sz w:val="24"/>
        </w:rPr>
        <w:t>présenter une évaluation de l’efficacité et de l’efficience de la directive sur l’équilibre entre les femmes et les hommes dans les conseils des entreprises (2029);</w:t>
      </w:r>
    </w:p>
    <w:p w14:paraId="6E691CCB" w14:textId="1A8E6CD8" w:rsidR="00A84905" w:rsidRPr="00300B33" w:rsidRDefault="002F4A01" w:rsidP="00F9606A">
      <w:pPr>
        <w:pStyle w:val="BodyText"/>
        <w:numPr>
          <w:ilvl w:val="0"/>
          <w:numId w:val="2"/>
        </w:numPr>
        <w:pBdr>
          <w:top w:val="single" w:sz="4" w:space="1" w:color="auto"/>
          <w:left w:val="single" w:sz="4" w:space="4" w:color="auto"/>
          <w:bottom w:val="single" w:sz="4" w:space="1" w:color="auto"/>
          <w:right w:val="single" w:sz="4" w:space="4" w:color="auto"/>
        </w:pBdr>
        <w:spacing w:after="0"/>
        <w:jc w:val="both"/>
        <w:rPr>
          <w:rFonts w:ascii="Times New Roman" w:hAnsi="Times New Roman"/>
          <w:noProof/>
          <w:sz w:val="24"/>
          <w:szCs w:val="24"/>
        </w:rPr>
      </w:pPr>
      <w:r>
        <w:rPr>
          <w:rFonts w:ascii="Times New Roman" w:hAnsi="Times New Roman"/>
          <w:noProof/>
          <w:sz w:val="24"/>
        </w:rPr>
        <w:t>envisager des mesures pour mieux lutter contre le harcèlement sexuel sur le lieu de travail dans le contexte de la loi sur des emplois de qualité (2026) et du futur cadre stratégique de l’UE en matière de santé et de sécurité au travail (2028);</w:t>
      </w:r>
    </w:p>
    <w:p w14:paraId="02901F0C" w14:textId="6C19AE30" w:rsidR="3BC14C37" w:rsidRPr="00300B33" w:rsidRDefault="3BC14C37" w:rsidP="00F9606A">
      <w:pPr>
        <w:pStyle w:val="BodyText"/>
        <w:numPr>
          <w:ilvl w:val="0"/>
          <w:numId w:val="2"/>
        </w:numPr>
        <w:pBdr>
          <w:top w:val="single" w:sz="4" w:space="1" w:color="auto"/>
          <w:left w:val="single" w:sz="4" w:space="4" w:color="auto"/>
          <w:bottom w:val="single" w:sz="4" w:space="1" w:color="auto"/>
          <w:right w:val="single" w:sz="4" w:space="4" w:color="auto"/>
        </w:pBdr>
        <w:spacing w:after="0"/>
        <w:jc w:val="both"/>
        <w:rPr>
          <w:rFonts w:ascii="Times New Roman" w:hAnsi="Times New Roman"/>
          <w:noProof/>
          <w:sz w:val="24"/>
          <w:szCs w:val="24"/>
        </w:rPr>
      </w:pPr>
      <w:r>
        <w:rPr>
          <w:rFonts w:ascii="Times New Roman" w:hAnsi="Times New Roman"/>
          <w:noProof/>
          <w:sz w:val="24"/>
        </w:rPr>
        <w:t>présenter un plan d’action en faveur des femmes dans la recherche, l’innovation et les start-up (2026);</w:t>
      </w:r>
    </w:p>
    <w:p w14:paraId="4D7578C2" w14:textId="208A990C" w:rsidR="00130328" w:rsidRPr="00300B33" w:rsidRDefault="007A4AF1" w:rsidP="00F9606A">
      <w:pPr>
        <w:pStyle w:val="BodyText"/>
        <w:numPr>
          <w:ilvl w:val="0"/>
          <w:numId w:val="2"/>
        </w:numPr>
        <w:pBdr>
          <w:top w:val="single" w:sz="4" w:space="1" w:color="auto"/>
          <w:left w:val="single" w:sz="4" w:space="4" w:color="auto"/>
          <w:bottom w:val="single" w:sz="4" w:space="1" w:color="auto"/>
          <w:right w:val="single" w:sz="4" w:space="4" w:color="auto"/>
        </w:pBdr>
        <w:spacing w:after="0"/>
        <w:jc w:val="both"/>
        <w:rPr>
          <w:rFonts w:ascii="Times New Roman" w:hAnsi="Times New Roman"/>
          <w:noProof/>
          <w:sz w:val="24"/>
          <w:szCs w:val="24"/>
        </w:rPr>
      </w:pPr>
      <w:r>
        <w:rPr>
          <w:rFonts w:ascii="Times New Roman" w:hAnsi="Times New Roman"/>
          <w:noProof/>
          <w:sz w:val="24"/>
        </w:rPr>
        <w:t>encourager le système européen de normalisation à tenir dûment compte de tous les éléments ayant une incidence directe sur les femmes (2026-2030).</w:t>
      </w:r>
      <w:r>
        <w:rPr>
          <w:rFonts w:ascii="Times New Roman" w:hAnsi="Times New Roman"/>
          <w:i/>
          <w:noProof/>
          <w:sz w:val="24"/>
        </w:rPr>
        <w:t xml:space="preserve"> </w:t>
      </w:r>
    </w:p>
    <w:p w14:paraId="5A05C0DE" w14:textId="001E2CE4" w:rsidR="006C1CFF" w:rsidRPr="000E2AA0" w:rsidRDefault="000A4A8D" w:rsidP="000E2AA0">
      <w:pPr>
        <w:spacing w:before="120" w:after="120" w:line="276" w:lineRule="auto"/>
        <w:jc w:val="center"/>
        <w:rPr>
          <w:rFonts w:ascii="Times New Roman" w:hAnsi="Times New Roman" w:cs="Times New Roman"/>
          <w:noProof/>
          <w:sz w:val="24"/>
          <w:szCs w:val="24"/>
        </w:rPr>
      </w:pPr>
      <w:r>
        <w:rPr>
          <w:rFonts w:ascii="Times New Roman" w:hAnsi="Times New Roman"/>
          <w:noProof/>
          <w:sz w:val="24"/>
        </w:rPr>
        <w:t>***</w:t>
      </w:r>
    </w:p>
    <w:p w14:paraId="7561FA4B" w14:textId="34638BA0" w:rsidR="00E405E5" w:rsidRPr="00300B33" w:rsidRDefault="00EB31B8" w:rsidP="3F25DB50">
      <w:pPr>
        <w:pBdr>
          <w:top w:val="single" w:sz="4" w:space="1" w:color="auto"/>
          <w:left w:val="single" w:sz="4" w:space="4" w:color="auto"/>
          <w:bottom w:val="single" w:sz="4" w:space="1" w:color="auto"/>
          <w:right w:val="single" w:sz="4" w:space="4" w:color="auto"/>
        </w:pBdr>
        <w:spacing w:after="0" w:line="276" w:lineRule="auto"/>
        <w:jc w:val="both"/>
        <w:rPr>
          <w:rFonts w:ascii="Times New Roman" w:hAnsi="Times New Roman" w:cs="Times New Roman"/>
          <w:b/>
          <w:bCs/>
          <w:i/>
          <w:iCs/>
          <w:noProof/>
          <w:sz w:val="24"/>
          <w:szCs w:val="24"/>
        </w:rPr>
      </w:pPr>
      <w:r>
        <w:rPr>
          <w:rFonts w:ascii="Times New Roman" w:hAnsi="Times New Roman"/>
          <w:b/>
          <w:i/>
          <w:noProof/>
          <w:sz w:val="24"/>
        </w:rPr>
        <w:t>Principe 6 de la feuille de route: éducation et formation inclusives et de qualité</w:t>
      </w:r>
    </w:p>
    <w:p w14:paraId="2C0BA70F" w14:textId="77777777" w:rsidR="002D1E3B" w:rsidRPr="00300B33" w:rsidRDefault="002D1E3B" w:rsidP="000D0B4A">
      <w:pPr>
        <w:spacing w:after="0" w:line="276" w:lineRule="auto"/>
        <w:jc w:val="both"/>
        <w:rPr>
          <w:rFonts w:ascii="Times New Roman" w:hAnsi="Times New Roman" w:cs="Times New Roman"/>
          <w:noProof/>
          <w:sz w:val="24"/>
          <w:szCs w:val="24"/>
        </w:rPr>
      </w:pPr>
    </w:p>
    <w:p w14:paraId="474AAED4" w14:textId="20ACDDE7" w:rsidR="000D6583" w:rsidRPr="00300B33" w:rsidRDefault="002E50EC" w:rsidP="00EA7DC6">
      <w:pPr>
        <w:spacing w:after="0" w:line="276" w:lineRule="auto"/>
        <w:jc w:val="both"/>
        <w:rPr>
          <w:rFonts w:ascii="Times New Roman" w:hAnsi="Times New Roman" w:cs="Times New Roman"/>
          <w:noProof/>
          <w:sz w:val="24"/>
          <w:szCs w:val="24"/>
        </w:rPr>
      </w:pPr>
      <w:r>
        <w:rPr>
          <w:rFonts w:ascii="Times New Roman" w:hAnsi="Times New Roman"/>
          <w:noProof/>
          <w:sz w:val="24"/>
        </w:rPr>
        <w:t xml:space="preserve">Toutes les filles et tous les garçons devraient avoir la possibilité de suivre librement leurs ambitions, </w:t>
      </w:r>
      <w:r>
        <w:rPr>
          <w:rFonts w:ascii="Times New Roman" w:hAnsi="Times New Roman"/>
          <w:b/>
          <w:noProof/>
          <w:sz w:val="24"/>
        </w:rPr>
        <w:t>mais ils sont souvent confrontés à des obstacles spécifiques à leur genre dans le domaine de l’éducation</w:t>
      </w:r>
      <w:r>
        <w:rPr>
          <w:rFonts w:ascii="Times New Roman" w:hAnsi="Times New Roman"/>
          <w:noProof/>
          <w:sz w:val="24"/>
        </w:rPr>
        <w:t xml:space="preserve">, ce qui entraîne des résultats scolaires inégaux. Les stéréotypes de genre influencent les choix éducatifs et ont des conséquences tout au long de la vie, contribuant ainsi à la ségrégation professionnelle. </w:t>
      </w:r>
      <w:r>
        <w:rPr>
          <w:rFonts w:ascii="Times New Roman" w:hAnsi="Times New Roman"/>
          <w:b/>
          <w:noProof/>
          <w:sz w:val="24"/>
        </w:rPr>
        <w:t>Une éducation tenant compte de la dimension de genre peut être un outil véritablement transformateur</w:t>
      </w:r>
      <w:r>
        <w:rPr>
          <w:rFonts w:ascii="Times New Roman" w:hAnsi="Times New Roman"/>
          <w:noProof/>
          <w:sz w:val="24"/>
        </w:rPr>
        <w:t xml:space="preserve"> pour lutter contre les inégalités de genre et faire en sorte que tous les enfants de l’UE, quel que soit leur genre, aient accès à une </w:t>
      </w:r>
      <w:r>
        <w:rPr>
          <w:rFonts w:ascii="Times New Roman" w:hAnsi="Times New Roman"/>
          <w:b/>
          <w:noProof/>
          <w:sz w:val="24"/>
        </w:rPr>
        <w:t>éducation et à une formation inclusives et de qualité</w:t>
      </w:r>
      <w:r>
        <w:rPr>
          <w:rFonts w:ascii="Times New Roman" w:hAnsi="Times New Roman"/>
          <w:noProof/>
          <w:sz w:val="24"/>
        </w:rPr>
        <w:t xml:space="preserve">. Il est particulièrement urgent de garantir l’accès à l’éducation et d’éliminer les obstacles pour les filles et les garçons issus de groupes sous-représentés, y compris celles et ceux issus d’une minorité raciale ou ethnique, de milieux socio-économiques défavorisés ou de l’immigration, et les enfants handicapés. Au titre du </w:t>
      </w:r>
      <w:hyperlink r:id="rId61" w:history="1">
        <w:r>
          <w:rPr>
            <w:rStyle w:val="Hyperlink"/>
            <w:rFonts w:ascii="Times New Roman" w:hAnsi="Times New Roman"/>
            <w:b/>
            <w:noProof/>
            <w:sz w:val="24"/>
          </w:rPr>
          <w:t>cadre stratégique pour la coopération européenne dans le domaine de l’éducation et de la formation 2021-2030</w:t>
        </w:r>
      </w:hyperlink>
      <w:r>
        <w:rPr>
          <w:noProof/>
        </w:rPr>
        <w:t>,</w:t>
      </w:r>
      <w:r>
        <w:rPr>
          <w:rFonts w:ascii="Times New Roman" w:hAnsi="Times New Roman"/>
          <w:noProof/>
          <w:sz w:val="24"/>
        </w:rPr>
        <w:t xml:space="preserve"> la Commission continuera d’aider les États membres à atteindre ces objectifs dans le plein respect de leurs compétences dans ce domaine. </w:t>
      </w:r>
    </w:p>
    <w:p w14:paraId="748280AB" w14:textId="23B68904" w:rsidR="00031149" w:rsidRPr="00300B33" w:rsidRDefault="00031149" w:rsidP="00034692">
      <w:pPr>
        <w:spacing w:after="0" w:line="276" w:lineRule="auto"/>
        <w:jc w:val="both"/>
        <w:rPr>
          <w:rFonts w:ascii="Times New Roman" w:hAnsi="Times New Roman" w:cs="Times New Roman"/>
          <w:noProof/>
          <w:sz w:val="24"/>
          <w:szCs w:val="24"/>
        </w:rPr>
      </w:pPr>
    </w:p>
    <w:p w14:paraId="5D996D28" w14:textId="19FF5EF1" w:rsidR="00095610" w:rsidRPr="00300B33" w:rsidRDefault="009413EF" w:rsidP="3F25DB50">
      <w:pPr>
        <w:spacing w:after="0" w:line="276" w:lineRule="auto"/>
        <w:jc w:val="both"/>
        <w:rPr>
          <w:rFonts w:ascii="Times New Roman" w:hAnsi="Times New Roman" w:cs="Times New Roman"/>
          <w:noProof/>
          <w:sz w:val="24"/>
          <w:szCs w:val="24"/>
        </w:rPr>
      </w:pPr>
      <w:r>
        <w:rPr>
          <w:rFonts w:ascii="Times New Roman" w:hAnsi="Times New Roman"/>
          <w:noProof/>
          <w:sz w:val="24"/>
        </w:rPr>
        <w:t xml:space="preserve">La lutte efficace contre les déséquilibres entre les genres dans l’éducation nécessite des actions ciblées dans des secteurs stratégiques, tels que les sciences, la technologie, l’ingénierie et les mathématiques (STIM), où les femmes sont sous-représentées. L’intérêt pour ces disciplines doit être encouragé dès le plus jeune âge. En 2026, la Commission présentera un </w:t>
      </w:r>
      <w:r>
        <w:rPr>
          <w:rFonts w:ascii="Times New Roman" w:hAnsi="Times New Roman"/>
          <w:b/>
          <w:noProof/>
          <w:sz w:val="24"/>
        </w:rPr>
        <w:t>ensemble complet de mesures éducatives</w:t>
      </w:r>
      <w:r>
        <w:rPr>
          <w:rFonts w:ascii="Times New Roman" w:hAnsi="Times New Roman"/>
          <w:noProof/>
          <w:sz w:val="24"/>
        </w:rPr>
        <w:t xml:space="preserve"> visant à renforcer l’acquisition des compétences de base, y compris les mathématiques, les sciences et les compétences numériques. Conjointement avec l’initiative </w:t>
      </w:r>
      <w:hyperlink r:id="rId62" w:history="1">
        <w:r>
          <w:rPr>
            <w:rStyle w:val="Hyperlink"/>
            <w:rFonts w:ascii="Times New Roman" w:hAnsi="Times New Roman"/>
            <w:b/>
            <w:noProof/>
            <w:sz w:val="24"/>
          </w:rPr>
          <w:t>«Girls Go STEM»</w:t>
        </w:r>
      </w:hyperlink>
      <w:r>
        <w:rPr>
          <w:rFonts w:ascii="Times New Roman" w:hAnsi="Times New Roman"/>
          <w:noProof/>
          <w:sz w:val="24"/>
        </w:rPr>
        <w:t xml:space="preserve">, proposée par la Commission et mise en œuvre par l’Institut européen d’innovation et de technologie dans le cadre du </w:t>
      </w:r>
      <w:hyperlink r:id="rId63" w:history="1">
        <w:r>
          <w:rPr>
            <w:rStyle w:val="Hyperlink"/>
            <w:rFonts w:ascii="Times New Roman" w:hAnsi="Times New Roman"/>
            <w:b/>
            <w:noProof/>
            <w:sz w:val="24"/>
          </w:rPr>
          <w:t>plan stratégique pour l’éducation dans les STIM</w:t>
        </w:r>
      </w:hyperlink>
      <w:r>
        <w:rPr>
          <w:rFonts w:ascii="Times New Roman" w:hAnsi="Times New Roman"/>
          <w:noProof/>
          <w:sz w:val="24"/>
        </w:rPr>
        <w:t xml:space="preserve">, elle contribuera à l’objectif plus large consistant à attirer un million de filles vers les STIM d’ici à 2028. La promotion des femmes dans les STIM est l’un des trois objectifs clés du plan stratégique. Un groupe exécutif européen dans le domaine des STIAM prodiguera des conseils sur des questions stratégiques, y compris sur la manière de généraliser les pratiques efficaces afin d’attirer davantage </w:t>
      </w:r>
      <w:r>
        <w:rPr>
          <w:rFonts w:ascii="Times New Roman" w:hAnsi="Times New Roman"/>
          <w:b/>
          <w:noProof/>
          <w:sz w:val="24"/>
        </w:rPr>
        <w:t>de filles et de femmes vers les STIM</w:t>
      </w:r>
      <w:r>
        <w:rPr>
          <w:rFonts w:ascii="Times New Roman" w:hAnsi="Times New Roman"/>
          <w:noProof/>
          <w:sz w:val="24"/>
        </w:rPr>
        <w:t>.</w:t>
      </w:r>
    </w:p>
    <w:p w14:paraId="451C8BF1" w14:textId="565DE84E" w:rsidR="00095610" w:rsidRPr="00300B33" w:rsidRDefault="00095610" w:rsidP="3F25DB50">
      <w:pPr>
        <w:spacing w:after="0" w:line="276" w:lineRule="auto"/>
        <w:jc w:val="both"/>
        <w:rPr>
          <w:rFonts w:ascii="Times New Roman" w:hAnsi="Times New Roman" w:cs="Times New Roman"/>
          <w:noProof/>
          <w:sz w:val="24"/>
          <w:szCs w:val="24"/>
        </w:rPr>
      </w:pPr>
    </w:p>
    <w:p w14:paraId="5C316C97" w14:textId="6BA5E521" w:rsidR="00FF4CD3" w:rsidRPr="00300B33" w:rsidRDefault="00204383" w:rsidP="3F25DB50">
      <w:pPr>
        <w:spacing w:after="0" w:line="276" w:lineRule="auto"/>
        <w:jc w:val="both"/>
        <w:rPr>
          <w:rFonts w:ascii="Times New Roman" w:hAnsi="Times New Roman" w:cs="Times New Roman"/>
          <w:b/>
          <w:bCs/>
          <w:noProof/>
          <w:sz w:val="24"/>
          <w:szCs w:val="24"/>
        </w:rPr>
      </w:pPr>
      <w:r>
        <w:rPr>
          <w:rFonts w:ascii="Times New Roman" w:hAnsi="Times New Roman"/>
          <w:noProof/>
          <w:sz w:val="24"/>
        </w:rPr>
        <w:t xml:space="preserve">Parallèlement, il convient également de mettre davantage l’accent sur la prise en compte des besoins des garçons liés à leur genre, qui sont moins susceptibles de figurer parmi les meilleurs élèves dans tous les pays de l’UE. La Commission promouvra l’approche </w:t>
      </w:r>
      <w:r>
        <w:rPr>
          <w:rFonts w:ascii="Times New Roman" w:hAnsi="Times New Roman"/>
          <w:b/>
          <w:noProof/>
          <w:sz w:val="24"/>
        </w:rPr>
        <w:t>«Boys in HEAL»</w:t>
      </w:r>
      <w:r>
        <w:rPr>
          <w:rFonts w:ascii="Times New Roman" w:hAnsi="Times New Roman"/>
          <w:noProof/>
          <w:sz w:val="24"/>
        </w:rPr>
        <w:t xml:space="preserve"> (santé, éducation, administration et alphabétisation). Elle publiera un </w:t>
      </w:r>
      <w:r>
        <w:rPr>
          <w:rFonts w:ascii="Times New Roman" w:hAnsi="Times New Roman"/>
          <w:b/>
          <w:noProof/>
          <w:sz w:val="24"/>
        </w:rPr>
        <w:t>manuel présentant des solutions fondées sur des données probantes pour réduire les disparités entre les genres dans les choix d’études et les résultats scolaires</w:t>
      </w:r>
      <w:r>
        <w:rPr>
          <w:rFonts w:ascii="Times New Roman" w:hAnsi="Times New Roman"/>
          <w:noProof/>
          <w:sz w:val="24"/>
        </w:rPr>
        <w:t xml:space="preserve">. Sur cette base, la Commission envisagera de lancer une initiative visant à attirer davantage de garçons et d’hommes dans ces domaines et secteurs d’études. La Commission </w:t>
      </w:r>
      <w:r>
        <w:rPr>
          <w:rFonts w:ascii="Times New Roman" w:hAnsi="Times New Roman"/>
          <w:b/>
          <w:noProof/>
          <w:sz w:val="24"/>
        </w:rPr>
        <w:t>aidera également davantage les enseignants et les écoles à lutter contre les stéréotypes de genre</w:t>
      </w:r>
      <w:r>
        <w:rPr>
          <w:rFonts w:ascii="Times New Roman" w:hAnsi="Times New Roman"/>
          <w:noProof/>
          <w:sz w:val="24"/>
        </w:rPr>
        <w:t xml:space="preserve"> en soutenant l’élaboration et la promotion de matériel sur ce sujet, par exemple par l’intermédiaire de la </w:t>
      </w:r>
      <w:hyperlink r:id="rId64" w:history="1">
        <w:r>
          <w:rPr>
            <w:rStyle w:val="Hyperlink"/>
            <w:rFonts w:ascii="Times New Roman" w:hAnsi="Times New Roman"/>
            <w:b/>
            <w:noProof/>
            <w:sz w:val="24"/>
          </w:rPr>
          <w:t>plateforme européenne pour l’éducation scolaire</w:t>
        </w:r>
      </w:hyperlink>
      <w:r>
        <w:rPr>
          <w:rFonts w:ascii="Times New Roman" w:hAnsi="Times New Roman"/>
          <w:noProof/>
          <w:sz w:val="24"/>
        </w:rPr>
        <w:t xml:space="preserve"> et des projets </w:t>
      </w:r>
      <w:hyperlink r:id="rId65" w:history="1">
        <w:r>
          <w:rPr>
            <w:rStyle w:val="Hyperlink"/>
            <w:rFonts w:ascii="Times New Roman" w:hAnsi="Times New Roman"/>
            <w:b/>
            <w:noProof/>
            <w:sz w:val="24"/>
          </w:rPr>
          <w:t>Erasmus+</w:t>
        </w:r>
      </w:hyperlink>
      <w:r>
        <w:rPr>
          <w:rFonts w:ascii="Times New Roman" w:hAnsi="Times New Roman"/>
          <w:noProof/>
          <w:sz w:val="24"/>
        </w:rPr>
        <w:t>.</w:t>
      </w:r>
    </w:p>
    <w:p w14:paraId="7435FAD4" w14:textId="362E0D08" w:rsidR="00034692" w:rsidRPr="00300B33" w:rsidRDefault="00034692" w:rsidP="3F25DB50">
      <w:pPr>
        <w:spacing w:after="0" w:line="276" w:lineRule="auto"/>
        <w:jc w:val="both"/>
        <w:rPr>
          <w:rFonts w:ascii="Times New Roman" w:hAnsi="Times New Roman" w:cs="Times New Roman"/>
          <w:b/>
          <w:noProof/>
          <w:sz w:val="24"/>
          <w:szCs w:val="24"/>
          <w:highlight w:val="yellow"/>
        </w:rPr>
      </w:pPr>
    </w:p>
    <w:p w14:paraId="24E0C0C3" w14:textId="01312EEA" w:rsidR="00B333AA" w:rsidRPr="00300B33" w:rsidRDefault="00136C47" w:rsidP="3F25DB50">
      <w:pPr>
        <w:spacing w:after="0" w:line="276" w:lineRule="auto"/>
        <w:jc w:val="both"/>
        <w:rPr>
          <w:rFonts w:ascii="Times New Roman" w:hAnsi="Times New Roman" w:cs="Times New Roman"/>
          <w:noProof/>
          <w:sz w:val="24"/>
          <w:szCs w:val="24"/>
        </w:rPr>
      </w:pPr>
      <w:r>
        <w:rPr>
          <w:rFonts w:ascii="Times New Roman" w:hAnsi="Times New Roman"/>
          <w:noProof/>
          <w:sz w:val="24"/>
        </w:rPr>
        <w:t xml:space="preserve">Dans l’enseignement supérieur, les hommes sont sous-représentés et les femmes ont tendance à les dépasser en termes de réussite scolaire. La Commission envisagera d’autres initiatives visant à </w:t>
      </w:r>
      <w:r>
        <w:rPr>
          <w:rFonts w:ascii="Times New Roman" w:hAnsi="Times New Roman"/>
          <w:b/>
          <w:noProof/>
          <w:sz w:val="24"/>
        </w:rPr>
        <w:t>améliorer l’accessibilité de l’enseignement supérieur</w:t>
      </w:r>
      <w:r>
        <w:rPr>
          <w:rFonts w:ascii="Times New Roman" w:hAnsi="Times New Roman"/>
          <w:noProof/>
          <w:sz w:val="24"/>
        </w:rPr>
        <w:t xml:space="preserve"> et à faire en sorte qu’un large éventail d’apprenants obtiennent leur diplôme. </w:t>
      </w:r>
    </w:p>
    <w:p w14:paraId="15F3789B" w14:textId="4B63AB07" w:rsidR="00EA7DC6" w:rsidRPr="00300B33" w:rsidRDefault="00EA7DC6" w:rsidP="00EA7DC6">
      <w:pPr>
        <w:spacing w:after="0" w:line="276" w:lineRule="auto"/>
        <w:jc w:val="both"/>
        <w:rPr>
          <w:rFonts w:ascii="Times New Roman" w:hAnsi="Times New Roman" w:cs="Times New Roman"/>
          <w:noProof/>
          <w:sz w:val="24"/>
          <w:szCs w:val="24"/>
        </w:rPr>
      </w:pPr>
    </w:p>
    <w:p w14:paraId="1125FFC2" w14:textId="074F1529" w:rsidR="002D3118" w:rsidRPr="00300B33" w:rsidRDefault="00290D2F" w:rsidP="3F25DB50">
      <w:pPr>
        <w:spacing w:after="0" w:line="276" w:lineRule="auto"/>
        <w:jc w:val="both"/>
        <w:rPr>
          <w:rFonts w:ascii="Times New Roman" w:hAnsi="Times New Roman" w:cs="Times New Roman"/>
          <w:noProof/>
          <w:sz w:val="24"/>
          <w:szCs w:val="24"/>
        </w:rPr>
      </w:pPr>
      <w:r>
        <w:rPr>
          <w:rFonts w:ascii="Times New Roman" w:hAnsi="Times New Roman"/>
          <w:b/>
          <w:noProof/>
          <w:sz w:val="24"/>
        </w:rPr>
        <w:t>La culture et le sport</w:t>
      </w:r>
      <w:r>
        <w:rPr>
          <w:rFonts w:ascii="Times New Roman" w:hAnsi="Times New Roman"/>
          <w:noProof/>
          <w:sz w:val="24"/>
        </w:rPr>
        <w:t xml:space="preserve"> sont de puissants vecteurs de lutte contre les stéréotypes de genre dans les environnements éducatifs et au-delà. Au niveau de l’UE, plusieurs initiatives utilisent la culture pour promouvoir l’égalité de genre, tandis que la politique sportive encourage les femmes à servir de modèles et contribue à combler l’écart entre les genres en matière d’activité physique. La Commission poursuivra l’intégration de la dimension de genre dans ces domaines, en particulier dans le cadre de la </w:t>
      </w:r>
      <w:hyperlink r:id="rId66" w:history="1">
        <w:r>
          <w:rPr>
            <w:rStyle w:val="Hyperlink"/>
            <w:rFonts w:ascii="Times New Roman" w:hAnsi="Times New Roman"/>
            <w:noProof/>
            <w:sz w:val="24"/>
          </w:rPr>
          <w:t>Semaine européenne du sport</w:t>
        </w:r>
      </w:hyperlink>
      <w:r>
        <w:rPr>
          <w:rFonts w:ascii="Times New Roman" w:hAnsi="Times New Roman"/>
          <w:noProof/>
          <w:sz w:val="24"/>
        </w:rPr>
        <w:t xml:space="preserve">, des </w:t>
      </w:r>
      <w:hyperlink r:id="rId67" w:history="1">
        <w:r>
          <w:rPr>
            <w:rStyle w:val="Hyperlink"/>
            <w:rFonts w:ascii="Times New Roman" w:hAnsi="Times New Roman"/>
            <w:noProof/>
            <w:sz w:val="24"/>
          </w:rPr>
          <w:t>prix européens du sport #BeActive</w:t>
        </w:r>
      </w:hyperlink>
      <w:r>
        <w:rPr>
          <w:rFonts w:ascii="Times New Roman" w:hAnsi="Times New Roman"/>
          <w:noProof/>
          <w:sz w:val="24"/>
        </w:rPr>
        <w:t xml:space="preserve">, du programme Erasmus + Sport et de la </w:t>
      </w:r>
      <w:r>
        <w:rPr>
          <w:rFonts w:ascii="Times New Roman" w:hAnsi="Times New Roman"/>
          <w:b/>
          <w:noProof/>
          <w:sz w:val="24"/>
        </w:rPr>
        <w:t>vision stratégique pour le sport en Europe</w:t>
      </w:r>
      <w:r>
        <w:rPr>
          <w:rFonts w:ascii="Times New Roman" w:hAnsi="Times New Roman"/>
          <w:noProof/>
          <w:sz w:val="24"/>
        </w:rPr>
        <w:t>, afin de renforcer le modèle européen du sport.</w:t>
      </w:r>
    </w:p>
    <w:p w14:paraId="69E160DF" w14:textId="77777777" w:rsidR="00EB31B8" w:rsidRPr="00300B33" w:rsidRDefault="00EB31B8" w:rsidP="3F25DB50">
      <w:pPr>
        <w:spacing w:after="0" w:line="276" w:lineRule="auto"/>
        <w:jc w:val="both"/>
        <w:rPr>
          <w:rFonts w:ascii="Times New Roman" w:hAnsi="Times New Roman" w:cs="Times New Roman"/>
          <w:b/>
          <w:bCs/>
          <w:noProof/>
          <w:sz w:val="24"/>
          <w:szCs w:val="24"/>
        </w:rPr>
      </w:pPr>
    </w:p>
    <w:p w14:paraId="3264C4A2" w14:textId="3A34B986" w:rsidR="00D440E0" w:rsidRPr="00300B33" w:rsidRDefault="53893399" w:rsidP="005D0438">
      <w:pPr>
        <w:pStyle w:val="BodyText"/>
        <w:pBdr>
          <w:top w:val="single" w:sz="4" w:space="1" w:color="auto"/>
          <w:left w:val="single" w:sz="4" w:space="4" w:color="auto"/>
          <w:bottom w:val="single" w:sz="4" w:space="1" w:color="auto"/>
          <w:right w:val="single" w:sz="4" w:space="4" w:color="auto"/>
        </w:pBdr>
        <w:spacing w:after="0"/>
        <w:jc w:val="both"/>
        <w:rPr>
          <w:rFonts w:ascii="Times New Roman" w:hAnsi="Times New Roman"/>
          <w:noProof/>
          <w:sz w:val="24"/>
          <w:szCs w:val="24"/>
        </w:rPr>
      </w:pPr>
      <w:r>
        <w:rPr>
          <w:rFonts w:ascii="Times New Roman" w:hAnsi="Times New Roman"/>
          <w:b/>
          <w:noProof/>
          <w:sz w:val="24"/>
        </w:rPr>
        <w:t>Actions clés de la Commission:</w:t>
      </w:r>
    </w:p>
    <w:p w14:paraId="291C2D6F" w14:textId="17F22D30" w:rsidR="00F84997" w:rsidRPr="00300B33" w:rsidRDefault="004A539C" w:rsidP="00F9606A">
      <w:pPr>
        <w:pStyle w:val="BodyText"/>
        <w:numPr>
          <w:ilvl w:val="0"/>
          <w:numId w:val="2"/>
        </w:numPr>
        <w:pBdr>
          <w:top w:val="single" w:sz="4" w:space="1" w:color="auto"/>
          <w:left w:val="single" w:sz="4" w:space="4" w:color="auto"/>
          <w:bottom w:val="single" w:sz="4" w:space="1" w:color="auto"/>
          <w:right w:val="single" w:sz="4" w:space="4" w:color="auto"/>
        </w:pBdr>
        <w:spacing w:after="0"/>
        <w:jc w:val="both"/>
        <w:rPr>
          <w:rFonts w:ascii="Times New Roman" w:hAnsi="Times New Roman"/>
          <w:noProof/>
          <w:sz w:val="24"/>
          <w:szCs w:val="24"/>
        </w:rPr>
      </w:pPr>
      <w:r>
        <w:rPr>
          <w:rFonts w:ascii="Times New Roman" w:hAnsi="Times New Roman"/>
          <w:noProof/>
          <w:sz w:val="24"/>
        </w:rPr>
        <w:t>présenter un programme éducatif qui contribuera à attirer davantage de filles vers les domaines et les carrières des sciences, de la technologie, de l’ingénierie et des mathématiques (STIM) (2026);</w:t>
      </w:r>
    </w:p>
    <w:p w14:paraId="27974299" w14:textId="782A0D47" w:rsidR="00C10CAA" w:rsidRPr="00300B33" w:rsidRDefault="0092024B" w:rsidP="00F9606A">
      <w:pPr>
        <w:pStyle w:val="BodyText"/>
        <w:numPr>
          <w:ilvl w:val="0"/>
          <w:numId w:val="2"/>
        </w:numPr>
        <w:pBdr>
          <w:top w:val="single" w:sz="4" w:space="1" w:color="auto"/>
          <w:left w:val="single" w:sz="4" w:space="4" w:color="auto"/>
          <w:bottom w:val="single" w:sz="4" w:space="1" w:color="auto"/>
          <w:right w:val="single" w:sz="4" w:space="4" w:color="auto"/>
        </w:pBdr>
        <w:spacing w:after="0"/>
        <w:jc w:val="both"/>
        <w:rPr>
          <w:rFonts w:ascii="Times New Roman" w:hAnsi="Times New Roman"/>
          <w:noProof/>
          <w:sz w:val="24"/>
          <w:szCs w:val="24"/>
        </w:rPr>
      </w:pPr>
      <w:r>
        <w:rPr>
          <w:rFonts w:ascii="Times New Roman" w:hAnsi="Times New Roman"/>
          <w:noProof/>
          <w:sz w:val="24"/>
        </w:rPr>
        <w:t>promouvoir une approche «Boys in HEAL» (santé, éducation, administration et alphabétisation) (2026-2030) et publier un manuel sur la réduction des disparités entre les genres dans les choix d’études et les résultats scolaires (2028);</w:t>
      </w:r>
    </w:p>
    <w:p w14:paraId="39374BD6" w14:textId="08D3CD21" w:rsidR="00DF1BFC" w:rsidRPr="00300B33" w:rsidRDefault="00DF1BFC" w:rsidP="00F9606A">
      <w:pPr>
        <w:pStyle w:val="BodyText"/>
        <w:numPr>
          <w:ilvl w:val="0"/>
          <w:numId w:val="2"/>
        </w:numPr>
        <w:pBdr>
          <w:top w:val="single" w:sz="4" w:space="1" w:color="auto"/>
          <w:left w:val="single" w:sz="4" w:space="4" w:color="auto"/>
          <w:bottom w:val="single" w:sz="4" w:space="1" w:color="auto"/>
          <w:right w:val="single" w:sz="4" w:space="4" w:color="auto"/>
        </w:pBdr>
        <w:spacing w:after="0"/>
        <w:jc w:val="both"/>
        <w:rPr>
          <w:rFonts w:ascii="Times New Roman" w:hAnsi="Times New Roman"/>
          <w:noProof/>
          <w:sz w:val="24"/>
          <w:szCs w:val="24"/>
        </w:rPr>
      </w:pPr>
      <w:r>
        <w:rPr>
          <w:rFonts w:ascii="Times New Roman" w:hAnsi="Times New Roman"/>
          <w:noProof/>
          <w:sz w:val="24"/>
        </w:rPr>
        <w:t xml:space="preserve">soutenir l’élaboration et la promotion de matériel sur la lutte contre les stéréotypes de genre à l’intention des écoles et des enseignants. </w:t>
      </w:r>
    </w:p>
    <w:p w14:paraId="1F07897F" w14:textId="77777777" w:rsidR="00E414A6" w:rsidRDefault="00E414A6" w:rsidP="00E414A6">
      <w:pPr>
        <w:spacing w:before="120" w:after="120" w:line="240" w:lineRule="auto"/>
        <w:jc w:val="center"/>
        <w:rPr>
          <w:rFonts w:ascii="Times New Roman" w:hAnsi="Times New Roman" w:cs="Times New Roman"/>
          <w:noProof/>
          <w:sz w:val="24"/>
          <w:szCs w:val="24"/>
        </w:rPr>
      </w:pPr>
      <w:r>
        <w:rPr>
          <w:rFonts w:ascii="Times New Roman" w:hAnsi="Times New Roman"/>
          <w:noProof/>
          <w:sz w:val="24"/>
        </w:rPr>
        <w:t>***</w:t>
      </w:r>
    </w:p>
    <w:p w14:paraId="0143C97A" w14:textId="77777777" w:rsidR="00583447" w:rsidRDefault="00583447" w:rsidP="00E414A6">
      <w:pPr>
        <w:spacing w:before="120" w:after="120" w:line="240" w:lineRule="auto"/>
        <w:jc w:val="center"/>
        <w:rPr>
          <w:rFonts w:ascii="Times New Roman" w:hAnsi="Times New Roman" w:cs="Times New Roman"/>
          <w:noProof/>
          <w:sz w:val="24"/>
          <w:szCs w:val="24"/>
        </w:rPr>
      </w:pPr>
    </w:p>
    <w:p w14:paraId="0DEBA4BA" w14:textId="77777777" w:rsidR="0054696E" w:rsidRPr="000E2AA0" w:rsidRDefault="0054696E" w:rsidP="00E414A6">
      <w:pPr>
        <w:spacing w:before="120" w:after="120" w:line="240" w:lineRule="auto"/>
        <w:jc w:val="center"/>
        <w:rPr>
          <w:rFonts w:ascii="Times New Roman" w:hAnsi="Times New Roman" w:cs="Times New Roman"/>
          <w:noProof/>
          <w:sz w:val="24"/>
          <w:szCs w:val="24"/>
        </w:rPr>
      </w:pPr>
    </w:p>
    <w:p w14:paraId="43D00D75" w14:textId="13596E43" w:rsidR="00E405E5" w:rsidRPr="00300B33" w:rsidRDefault="00EB31B8" w:rsidP="3F25DB50">
      <w:pPr>
        <w:pBdr>
          <w:top w:val="single" w:sz="4" w:space="1" w:color="auto"/>
          <w:left w:val="single" w:sz="4" w:space="4" w:color="auto"/>
          <w:bottom w:val="single" w:sz="4" w:space="1" w:color="auto"/>
          <w:right w:val="single" w:sz="4" w:space="4" w:color="auto"/>
        </w:pBdr>
        <w:spacing w:after="0" w:line="276" w:lineRule="auto"/>
        <w:jc w:val="both"/>
        <w:rPr>
          <w:rFonts w:ascii="Times New Roman" w:hAnsi="Times New Roman" w:cs="Times New Roman"/>
          <w:b/>
          <w:bCs/>
          <w:i/>
          <w:iCs/>
          <w:noProof/>
          <w:sz w:val="24"/>
          <w:szCs w:val="24"/>
        </w:rPr>
      </w:pPr>
      <w:r>
        <w:rPr>
          <w:rFonts w:ascii="Times New Roman" w:hAnsi="Times New Roman"/>
          <w:b/>
          <w:i/>
          <w:noProof/>
          <w:sz w:val="24"/>
        </w:rPr>
        <w:t>Principe 7 de la feuille de route: participation active, égale et sûre à la vie publique et politique</w:t>
      </w:r>
    </w:p>
    <w:p w14:paraId="26895EEE" w14:textId="77777777" w:rsidR="008F1F08" w:rsidRPr="00300B33" w:rsidRDefault="008F1F08" w:rsidP="00EA7DC6">
      <w:pPr>
        <w:spacing w:after="0" w:line="276" w:lineRule="auto"/>
        <w:jc w:val="both"/>
        <w:rPr>
          <w:rFonts w:ascii="Times New Roman" w:hAnsi="Times New Roman" w:cs="Times New Roman"/>
          <w:noProof/>
          <w:sz w:val="24"/>
          <w:szCs w:val="24"/>
        </w:rPr>
      </w:pPr>
    </w:p>
    <w:p w14:paraId="366D727F" w14:textId="5F7CD9E0" w:rsidR="00FC6936" w:rsidRPr="00300B33" w:rsidRDefault="005742F8" w:rsidP="000E2AA0">
      <w:pPr>
        <w:spacing w:after="0" w:line="276" w:lineRule="auto"/>
        <w:jc w:val="both"/>
        <w:rPr>
          <w:rFonts w:ascii="Times New Roman" w:hAnsi="Times New Roman" w:cs="Times New Roman"/>
          <w:noProof/>
          <w:sz w:val="24"/>
          <w:szCs w:val="24"/>
        </w:rPr>
      </w:pPr>
      <w:r>
        <w:rPr>
          <w:rFonts w:ascii="Times New Roman" w:hAnsi="Times New Roman"/>
          <w:noProof/>
          <w:sz w:val="24"/>
        </w:rPr>
        <w:t>Les structures de pouvoir existantes empêchent les femmes de participer pleinement, sur un pied d’égalité et de manière significative à la vie politique et publique et d’y exercer des fonctions de direction.</w:t>
      </w:r>
      <w:r>
        <w:rPr>
          <w:rFonts w:ascii="Times New Roman" w:hAnsi="Times New Roman"/>
          <w:b/>
          <w:noProof/>
          <w:sz w:val="24"/>
        </w:rPr>
        <w:t xml:space="preserve"> </w:t>
      </w:r>
      <w:r>
        <w:rPr>
          <w:rFonts w:ascii="Times New Roman" w:hAnsi="Times New Roman"/>
          <w:noProof/>
          <w:sz w:val="24"/>
        </w:rPr>
        <w:t xml:space="preserve">Seul </w:t>
      </w:r>
      <w:r>
        <w:rPr>
          <w:rFonts w:ascii="Times New Roman" w:hAnsi="Times New Roman"/>
          <w:b/>
          <w:noProof/>
          <w:sz w:val="24"/>
        </w:rPr>
        <w:t>un tiers des parlementaires nationaux et des hauts ministres de l’UE sont des femmes</w:t>
      </w:r>
      <w:r>
        <w:rPr>
          <w:rFonts w:ascii="Times New Roman" w:hAnsi="Times New Roman"/>
          <w:noProof/>
          <w:sz w:val="24"/>
        </w:rPr>
        <w:t>. En outre, lors des élections européennes de 2024, la proportion de femmes élues au Parlement européen a diminué, passant sous la barre des 40 %</w:t>
      </w:r>
      <w:r>
        <w:rPr>
          <w:rStyle w:val="FootnoteReference"/>
          <w:rFonts w:ascii="Times New Roman" w:hAnsi="Times New Roman" w:cs="Times New Roman"/>
          <w:noProof/>
          <w:sz w:val="24"/>
          <w:szCs w:val="24"/>
          <w:lang w:val="en-GB"/>
        </w:rPr>
        <w:footnoteReference w:id="41"/>
      </w:r>
      <w:r>
        <w:rPr>
          <w:rFonts w:ascii="Times New Roman" w:hAnsi="Times New Roman"/>
          <w:noProof/>
          <w:sz w:val="24"/>
        </w:rPr>
        <w:t xml:space="preserve">. </w:t>
      </w:r>
      <w:r>
        <w:rPr>
          <w:rFonts w:ascii="Times New Roman" w:hAnsi="Times New Roman"/>
          <w:b/>
          <w:noProof/>
          <w:color w:val="000000" w:themeColor="text1"/>
          <w:sz w:val="24"/>
        </w:rPr>
        <w:t>Les femmes en politique sont également souvent la cible d’attaques</w:t>
      </w:r>
      <w:r>
        <w:rPr>
          <w:rFonts w:ascii="Times New Roman" w:hAnsi="Times New Roman"/>
          <w:noProof/>
          <w:color w:val="000000" w:themeColor="text1"/>
          <w:sz w:val="24"/>
        </w:rPr>
        <w:t xml:space="preserve"> contre leurs qualifications, leur expérience et leurs compétences, la </w:t>
      </w:r>
      <w:r>
        <w:rPr>
          <w:rFonts w:ascii="Times New Roman" w:hAnsi="Times New Roman"/>
          <w:b/>
          <w:noProof/>
          <w:color w:val="000000" w:themeColor="text1"/>
          <w:sz w:val="24"/>
        </w:rPr>
        <w:t>désinformation</w:t>
      </w:r>
      <w:r>
        <w:rPr>
          <w:rFonts w:ascii="Times New Roman" w:hAnsi="Times New Roman"/>
          <w:noProof/>
          <w:color w:val="000000" w:themeColor="text1"/>
          <w:sz w:val="24"/>
        </w:rPr>
        <w:t xml:space="preserve"> étant utilisée pour saper leur crédibilité, remettre en question leur légitimité et décourager à la fois le soutien du public et leur propre participation politique</w:t>
      </w:r>
      <w:r>
        <w:rPr>
          <w:rFonts w:ascii="Times New Roman" w:eastAsia="Times New Roman" w:hAnsi="Times New Roman" w:cs="Times New Roman"/>
          <w:noProof/>
          <w:color w:val="000000" w:themeColor="text1"/>
          <w:sz w:val="24"/>
          <w:szCs w:val="24"/>
          <w:vertAlign w:val="superscript"/>
        </w:rPr>
        <w:footnoteReference w:id="42"/>
      </w:r>
      <w:r>
        <w:rPr>
          <w:rFonts w:ascii="Times New Roman" w:hAnsi="Times New Roman"/>
          <w:noProof/>
          <w:color w:val="000000" w:themeColor="text1"/>
          <w:sz w:val="24"/>
        </w:rPr>
        <w:t>.</w:t>
      </w:r>
      <w:r>
        <w:rPr>
          <w:rFonts w:ascii="Times New Roman" w:hAnsi="Times New Roman"/>
          <w:noProof/>
          <w:sz w:val="24"/>
        </w:rPr>
        <w:t xml:space="preserve"> Un tiers des femmes en politique qui souffrent de cyberviolence quittent les médias sociaux</w:t>
      </w:r>
      <w:r>
        <w:rPr>
          <w:rStyle w:val="FootnoteReference"/>
          <w:rFonts w:ascii="Times New Roman" w:eastAsia="Times New Roman" w:hAnsi="Times New Roman" w:cs="Times New Roman"/>
          <w:noProof/>
          <w:sz w:val="24"/>
          <w:szCs w:val="24"/>
        </w:rPr>
        <w:footnoteReference w:id="43"/>
      </w:r>
      <w:r>
        <w:rPr>
          <w:rFonts w:ascii="Times New Roman" w:hAnsi="Times New Roman"/>
          <w:noProof/>
          <w:sz w:val="24"/>
        </w:rPr>
        <w:t xml:space="preserve">. </w:t>
      </w:r>
      <w:r>
        <w:rPr>
          <w:rFonts w:ascii="Times New Roman" w:hAnsi="Times New Roman"/>
          <w:noProof/>
          <w:color w:val="131516"/>
          <w:sz w:val="24"/>
        </w:rPr>
        <w:t>La violence fondée sur le genre à l’encontre des femmes journalistes est également répandue, les femmes journalistes étant plus souvent ciblées en ligne et faisant l’objet d’attaques plus violentes et sexualisées</w:t>
      </w:r>
      <w:r>
        <w:rPr>
          <w:rStyle w:val="FootnoteReference"/>
          <w:rFonts w:ascii="Times New Roman" w:eastAsia="Times New Roman" w:hAnsi="Times New Roman" w:cs="Times New Roman"/>
          <w:noProof/>
          <w:color w:val="131516"/>
          <w:sz w:val="24"/>
          <w:szCs w:val="24"/>
        </w:rPr>
        <w:footnoteReference w:id="44"/>
      </w:r>
      <w:r>
        <w:rPr>
          <w:rFonts w:ascii="Times New Roman" w:hAnsi="Times New Roman"/>
          <w:noProof/>
          <w:color w:val="131516"/>
          <w:sz w:val="24"/>
        </w:rPr>
        <w:t>.</w:t>
      </w:r>
      <w:r>
        <w:rPr>
          <w:rFonts w:ascii="Times New Roman" w:hAnsi="Times New Roman"/>
          <w:noProof/>
          <w:sz w:val="24"/>
        </w:rPr>
        <w:t xml:space="preserve"> La haine et la violence misogynes dont sont victimes les femmes en politique et dans la vie publique portent atteinte à leurs droits fondamentaux et aux fondements mêmes de la démocratie. </w:t>
      </w:r>
    </w:p>
    <w:p w14:paraId="58A61C51" w14:textId="77777777" w:rsidR="00BB5A1C" w:rsidRPr="00300B33" w:rsidRDefault="00BB5A1C" w:rsidP="000E2AA0">
      <w:pPr>
        <w:spacing w:after="0" w:line="276" w:lineRule="auto"/>
        <w:jc w:val="both"/>
        <w:rPr>
          <w:rFonts w:ascii="Times New Roman" w:hAnsi="Times New Roman" w:cs="Times New Roman"/>
          <w:noProof/>
          <w:sz w:val="24"/>
          <w:szCs w:val="24"/>
        </w:rPr>
      </w:pPr>
    </w:p>
    <w:p w14:paraId="1B8EECF0" w14:textId="6443935B" w:rsidR="003272E0" w:rsidRPr="00300B33" w:rsidRDefault="00D24F79" w:rsidP="00696A5B">
      <w:pPr>
        <w:spacing w:after="0" w:line="276" w:lineRule="auto"/>
        <w:jc w:val="both"/>
        <w:rPr>
          <w:rFonts w:ascii="Times New Roman" w:hAnsi="Times New Roman" w:cs="Times New Roman"/>
          <w:noProof/>
          <w:sz w:val="24"/>
          <w:szCs w:val="24"/>
        </w:rPr>
      </w:pPr>
      <w:r>
        <w:rPr>
          <w:rFonts w:ascii="Times New Roman" w:hAnsi="Times New Roman"/>
          <w:noProof/>
          <w:sz w:val="24"/>
        </w:rPr>
        <w:t xml:space="preserve">Au niveau de l’UE, le </w:t>
      </w:r>
      <w:hyperlink r:id="rId68">
        <w:r>
          <w:rPr>
            <w:rStyle w:val="Hyperlink"/>
            <w:rFonts w:ascii="Times New Roman" w:hAnsi="Times New Roman"/>
            <w:b/>
            <w:noProof/>
            <w:sz w:val="24"/>
          </w:rPr>
          <w:t>règlement relatif au statut et au financement des partis politiques européens et des fondations politiques européennes</w:t>
        </w:r>
      </w:hyperlink>
      <w:r>
        <w:rPr>
          <w:rFonts w:ascii="Times New Roman" w:hAnsi="Times New Roman"/>
          <w:noProof/>
          <w:sz w:val="24"/>
        </w:rPr>
        <w:t xml:space="preserve"> impose aux partis politiques européens et aux fondations politiques européennes de publier des informations sur l’équilibre entre les genres parmi leurs membres et leurs organes directeurs. La </w:t>
      </w:r>
      <w:hyperlink r:id="rId69" w:history="1">
        <w:r>
          <w:rPr>
            <w:rStyle w:val="Hyperlink"/>
            <w:rFonts w:ascii="Times New Roman" w:hAnsi="Times New Roman"/>
            <w:b/>
            <w:noProof/>
            <w:sz w:val="24"/>
          </w:rPr>
          <w:t>recommandation de la Commission relative à des processus électoraux inclusifs et résilients</w:t>
        </w:r>
      </w:hyperlink>
      <w:r>
        <w:rPr>
          <w:rFonts w:ascii="Times New Roman" w:hAnsi="Times New Roman"/>
          <w:noProof/>
          <w:sz w:val="24"/>
        </w:rPr>
        <w:t xml:space="preserve"> encourage les partis politiques nationaux à mettre en place des listes de candidats respectant l’équilibre entre les genres et encourage les actions visant à lutter contre les discours de haine fondés sur le genre à l’encontre des femmes politiquement actives. La Commission mettra à jour sa </w:t>
      </w:r>
      <w:r>
        <w:rPr>
          <w:rFonts w:ascii="Times New Roman" w:hAnsi="Times New Roman"/>
          <w:b/>
          <w:noProof/>
          <w:sz w:val="24"/>
        </w:rPr>
        <w:t>cartographie des mesures juridiques et politiques</w:t>
      </w:r>
      <w:r>
        <w:rPr>
          <w:rFonts w:ascii="Times New Roman" w:hAnsi="Times New Roman"/>
          <w:noProof/>
          <w:sz w:val="24"/>
        </w:rPr>
        <w:t xml:space="preserve"> prises dans les États membres pour promouvoir la </w:t>
      </w:r>
      <w:r>
        <w:rPr>
          <w:rFonts w:ascii="Times New Roman" w:hAnsi="Times New Roman"/>
          <w:b/>
          <w:noProof/>
          <w:sz w:val="24"/>
        </w:rPr>
        <w:t>participation et le leadership des femmes en politique, dans l’administration publique et dans les parlements</w:t>
      </w:r>
      <w:r>
        <w:rPr>
          <w:rFonts w:ascii="Times New Roman" w:hAnsi="Times New Roman"/>
          <w:noProof/>
          <w:sz w:val="24"/>
        </w:rPr>
        <w:t xml:space="preserve">, en y incluant les bonnes pratiques les plus récentes. Elle évaluera les bonnes pratiques et les progrès accomplis, ce qui servira de base à d’éventuelles mesures supplémentaires. </w:t>
      </w:r>
    </w:p>
    <w:p w14:paraId="77DAF779" w14:textId="77777777" w:rsidR="00DF0A9C" w:rsidRPr="00300B33" w:rsidRDefault="00DF0A9C" w:rsidP="00696A5B">
      <w:pPr>
        <w:spacing w:after="0" w:line="276" w:lineRule="auto"/>
        <w:jc w:val="both"/>
        <w:rPr>
          <w:rFonts w:ascii="Times New Roman" w:hAnsi="Times New Roman" w:cs="Times New Roman"/>
          <w:noProof/>
          <w:sz w:val="24"/>
          <w:szCs w:val="24"/>
        </w:rPr>
      </w:pPr>
    </w:p>
    <w:p w14:paraId="21685C57" w14:textId="5043B1BD" w:rsidR="00DB6071" w:rsidRPr="00300B33" w:rsidRDefault="008B0789" w:rsidP="0CFC2EA9">
      <w:pPr>
        <w:spacing w:after="0" w:line="276" w:lineRule="auto"/>
        <w:jc w:val="both"/>
        <w:rPr>
          <w:rFonts w:ascii="Times New Roman" w:hAnsi="Times New Roman" w:cs="Times New Roman"/>
          <w:noProof/>
          <w:sz w:val="24"/>
          <w:szCs w:val="24"/>
        </w:rPr>
      </w:pPr>
      <w:r>
        <w:rPr>
          <w:rFonts w:ascii="Times New Roman" w:hAnsi="Times New Roman"/>
          <w:noProof/>
          <w:sz w:val="24"/>
        </w:rPr>
        <w:t xml:space="preserve">Comme annoncé dans le </w:t>
      </w:r>
      <w:hyperlink r:id="rId70">
        <w:r>
          <w:rPr>
            <w:rStyle w:val="Hyperlink"/>
            <w:rFonts w:ascii="Times New Roman" w:hAnsi="Times New Roman"/>
            <w:b/>
            <w:noProof/>
            <w:sz w:val="24"/>
          </w:rPr>
          <w:t>bouclier européen de la démocratie</w:t>
        </w:r>
      </w:hyperlink>
      <w:r>
        <w:rPr>
          <w:rFonts w:ascii="Times New Roman" w:hAnsi="Times New Roman"/>
          <w:noProof/>
          <w:sz w:val="24"/>
        </w:rPr>
        <w:t xml:space="preserve">, la Commission présentera une </w:t>
      </w:r>
      <w:r>
        <w:rPr>
          <w:rFonts w:ascii="Times New Roman" w:hAnsi="Times New Roman"/>
          <w:b/>
          <w:noProof/>
          <w:sz w:val="24"/>
        </w:rPr>
        <w:t>recommandation sur la sécurité en politique</w:t>
      </w:r>
      <w:r>
        <w:rPr>
          <w:rFonts w:ascii="Times New Roman" w:hAnsi="Times New Roman"/>
          <w:noProof/>
          <w:sz w:val="24"/>
        </w:rPr>
        <w:t xml:space="preserve"> à destination des candidats politiques et des représentants élus en ce qui concerne les menaces hors ligne et en ligne, y compris en matière de désinformation, ainsi qu’un guide spécifique de bonnes pratiques. Une attention particulière sera accordée aux femmes, étant donné qu’elles sont ciblées de manière disproportionnée. Les mesures comprendront également </w:t>
      </w:r>
      <w:r>
        <w:rPr>
          <w:rFonts w:ascii="Times New Roman" w:hAnsi="Times New Roman"/>
          <w:b/>
          <w:noProof/>
          <w:sz w:val="24"/>
        </w:rPr>
        <w:t>l’accompagnement, le mentorat et la mise en réseau</w:t>
      </w:r>
      <w:r>
        <w:rPr>
          <w:rFonts w:ascii="Times New Roman" w:hAnsi="Times New Roman"/>
          <w:noProof/>
          <w:sz w:val="24"/>
        </w:rPr>
        <w:t xml:space="preserve"> des femmes politiques, </w:t>
      </w:r>
      <w:r>
        <w:rPr>
          <w:rFonts w:ascii="Times New Roman" w:hAnsi="Times New Roman"/>
          <w:b/>
          <w:noProof/>
          <w:sz w:val="24"/>
        </w:rPr>
        <w:t>la formation</w:t>
      </w:r>
      <w:r>
        <w:rPr>
          <w:rFonts w:ascii="Times New Roman" w:hAnsi="Times New Roman"/>
          <w:noProof/>
          <w:sz w:val="24"/>
        </w:rPr>
        <w:t xml:space="preserve"> des dirigeants politiques et des </w:t>
      </w:r>
      <w:r>
        <w:rPr>
          <w:rFonts w:ascii="Times New Roman" w:hAnsi="Times New Roman"/>
          <w:b/>
          <w:noProof/>
          <w:sz w:val="24"/>
        </w:rPr>
        <w:t>actions de sensibilisation</w:t>
      </w:r>
      <w:r>
        <w:rPr>
          <w:rFonts w:ascii="Times New Roman" w:hAnsi="Times New Roman"/>
          <w:noProof/>
          <w:sz w:val="24"/>
        </w:rPr>
        <w:t xml:space="preserve">. </w:t>
      </w:r>
    </w:p>
    <w:p w14:paraId="5B2332D1" w14:textId="77777777" w:rsidR="00DB6071" w:rsidRPr="00300B33" w:rsidRDefault="00DB6071" w:rsidP="0CFC2EA9">
      <w:pPr>
        <w:spacing w:after="0" w:line="276" w:lineRule="auto"/>
        <w:jc w:val="both"/>
        <w:rPr>
          <w:rFonts w:ascii="Times New Roman" w:hAnsi="Times New Roman" w:cs="Times New Roman"/>
          <w:noProof/>
          <w:sz w:val="24"/>
          <w:szCs w:val="24"/>
        </w:rPr>
      </w:pPr>
    </w:p>
    <w:p w14:paraId="480D0166" w14:textId="53CA866A" w:rsidR="00C92D65" w:rsidRPr="000E2AA0" w:rsidRDefault="00D820A8" w:rsidP="3F25DB50">
      <w:pPr>
        <w:spacing w:after="0" w:line="276" w:lineRule="auto"/>
        <w:jc w:val="both"/>
        <w:rPr>
          <w:rFonts w:ascii="Times New Roman" w:hAnsi="Times New Roman" w:cs="Times New Roman"/>
          <w:noProof/>
          <w:sz w:val="24"/>
          <w:szCs w:val="24"/>
        </w:rPr>
      </w:pPr>
      <w:r>
        <w:rPr>
          <w:rFonts w:ascii="Times New Roman" w:hAnsi="Times New Roman"/>
          <w:noProof/>
          <w:sz w:val="24"/>
        </w:rPr>
        <w:t>La Commission prend très au sérieux les attaques de désinformation menées contre les femmes en politique. Le</w:t>
      </w:r>
      <w:r>
        <w:rPr>
          <w:noProof/>
        </w:rPr>
        <w:t xml:space="preserve"> </w:t>
      </w:r>
      <w:hyperlink r:id="rId71">
        <w:r>
          <w:rPr>
            <w:rStyle w:val="Hyperlink"/>
            <w:rFonts w:ascii="Times New Roman" w:hAnsi="Times New Roman"/>
            <w:b/>
            <w:noProof/>
            <w:sz w:val="24"/>
          </w:rPr>
          <w:t>code de bonnes pratiques contre la désinformation dans le cadre du DSA</w:t>
        </w:r>
      </w:hyperlink>
      <w:r>
        <w:rPr>
          <w:rFonts w:ascii="Times New Roman" w:hAnsi="Times New Roman"/>
          <w:noProof/>
          <w:sz w:val="24"/>
        </w:rPr>
        <w:t xml:space="preserve"> constitue un outil essentiel à cet égard. Dans le cadre du futur programme AgoraEU (en attente d’adoption), la Commission pourrait mettre des fonds à disposition pour soutenir les femmes en politique, y compris, par exemple, pour lutter contre la haine en ligne. La </w:t>
      </w:r>
      <w:hyperlink r:id="rId72">
        <w:r>
          <w:rPr>
            <w:rStyle w:val="Hyperlink"/>
            <w:rFonts w:ascii="Times New Roman" w:hAnsi="Times New Roman"/>
            <w:b/>
            <w:noProof/>
            <w:sz w:val="24"/>
          </w:rPr>
          <w:t>stratégie de sécurité intérieure ProtectEU</w:t>
        </w:r>
      </w:hyperlink>
      <w:r>
        <w:rPr>
          <w:rFonts w:ascii="Times New Roman" w:hAnsi="Times New Roman"/>
          <w:noProof/>
          <w:sz w:val="24"/>
        </w:rPr>
        <w:t xml:space="preserve"> souligne l’importance de former les autorités compétentes des États membres à utiliser des outils légaux pour supprimer les contenus illicites en ligne, y compris pour lutter contre la cyberviolence fondée sur le genre.</w:t>
      </w:r>
      <w:r>
        <w:rPr>
          <w:rFonts w:ascii="Times New Roman" w:hAnsi="Times New Roman"/>
          <w:b/>
          <w:noProof/>
          <w:sz w:val="24"/>
        </w:rPr>
        <w:t xml:space="preserve"> </w:t>
      </w:r>
    </w:p>
    <w:p w14:paraId="2DF19042" w14:textId="33E55064" w:rsidR="00EB31B8" w:rsidRPr="00300B33" w:rsidRDefault="00EB31B8" w:rsidP="00BC327D">
      <w:pPr>
        <w:spacing w:after="0" w:line="276" w:lineRule="auto"/>
        <w:jc w:val="both"/>
        <w:rPr>
          <w:rFonts w:ascii="Times New Roman" w:hAnsi="Times New Roman" w:cs="Times New Roman"/>
          <w:noProof/>
          <w:sz w:val="24"/>
          <w:szCs w:val="24"/>
        </w:rPr>
      </w:pPr>
      <w:r>
        <w:rPr>
          <w:rFonts w:ascii="Times New Roman" w:hAnsi="Times New Roman"/>
          <w:b/>
          <w:noProof/>
          <w:sz w:val="24"/>
        </w:rPr>
        <w:t xml:space="preserve">  </w:t>
      </w:r>
    </w:p>
    <w:p w14:paraId="05E691BE" w14:textId="02424E70" w:rsidR="00E14216" w:rsidRPr="00300B33" w:rsidRDefault="00136C47" w:rsidP="00E14216">
      <w:pPr>
        <w:spacing w:after="0" w:line="276" w:lineRule="auto"/>
        <w:jc w:val="both"/>
        <w:rPr>
          <w:rFonts w:ascii="Times New Roman" w:hAnsi="Times New Roman" w:cs="Times New Roman"/>
          <w:noProof/>
          <w:sz w:val="24"/>
          <w:szCs w:val="24"/>
        </w:rPr>
      </w:pPr>
      <w:r>
        <w:rPr>
          <w:rFonts w:ascii="Times New Roman" w:hAnsi="Times New Roman"/>
          <w:noProof/>
          <w:sz w:val="24"/>
        </w:rPr>
        <w:t xml:space="preserve">Les </w:t>
      </w:r>
      <w:r>
        <w:rPr>
          <w:rFonts w:ascii="Times New Roman" w:hAnsi="Times New Roman"/>
          <w:b/>
          <w:noProof/>
          <w:sz w:val="24"/>
        </w:rPr>
        <w:t>discours anti-genre</w:t>
      </w:r>
      <w:r>
        <w:rPr>
          <w:rFonts w:ascii="Times New Roman" w:hAnsi="Times New Roman"/>
          <w:noProof/>
          <w:sz w:val="24"/>
        </w:rPr>
        <w:t>, les contenus illicites en ligne et leur amplification artificielle menacent l’espace démocratique de l’UE</w:t>
      </w:r>
      <w:r>
        <w:rPr>
          <w:rStyle w:val="FootnoteReference"/>
          <w:rFonts w:ascii="Times New Roman" w:hAnsi="Times New Roman" w:cs="Times New Roman"/>
          <w:noProof/>
          <w:sz w:val="24"/>
          <w:szCs w:val="24"/>
        </w:rPr>
        <w:footnoteReference w:id="45"/>
      </w:r>
      <w:r>
        <w:rPr>
          <w:rFonts w:ascii="Times New Roman" w:hAnsi="Times New Roman"/>
          <w:noProof/>
          <w:sz w:val="24"/>
        </w:rPr>
        <w:t xml:space="preserve">, notamment </w:t>
      </w:r>
      <w:r>
        <w:rPr>
          <w:rFonts w:ascii="Times New Roman" w:hAnsi="Times New Roman"/>
          <w:b/>
          <w:noProof/>
          <w:sz w:val="24"/>
        </w:rPr>
        <w:t>en favorisant la polarisation entre les jeunes femmes et les jeunes hommes</w:t>
      </w:r>
      <w:r>
        <w:rPr>
          <w:rStyle w:val="FootnoteReference"/>
          <w:rFonts w:ascii="Times New Roman" w:hAnsi="Times New Roman" w:cs="Times New Roman"/>
          <w:noProof/>
          <w:sz w:val="24"/>
          <w:szCs w:val="24"/>
        </w:rPr>
        <w:footnoteReference w:id="46"/>
      </w:r>
      <w:r>
        <w:rPr>
          <w:rFonts w:ascii="Times New Roman" w:hAnsi="Times New Roman"/>
          <w:noProof/>
          <w:sz w:val="24"/>
        </w:rPr>
        <w:t>. Des études montrent que ce phénomène est encouragé et financé par des mouvements mondiaux disposant de ressources importantes</w:t>
      </w:r>
      <w:r>
        <w:rPr>
          <w:rStyle w:val="FootnoteReference"/>
          <w:rFonts w:ascii="Times New Roman" w:hAnsi="Times New Roman" w:cs="Times New Roman"/>
          <w:noProof/>
          <w:sz w:val="24"/>
          <w:szCs w:val="24"/>
        </w:rPr>
        <w:footnoteReference w:id="47"/>
      </w:r>
      <w:r>
        <w:rPr>
          <w:rFonts w:ascii="Times New Roman" w:hAnsi="Times New Roman"/>
          <w:noProof/>
          <w:sz w:val="24"/>
        </w:rPr>
        <w:t xml:space="preserve">, et qu’il est de plus en plus exploité par la manipulation et l’ingérence étrangères en matière d’information. Dans le cadre d’Horizon Europe, la Commission a soutenu la recherche visant à lutter contre la désinformation et les discours de haine, à comprendre les racines de la polarisation et à lutter contre les discours anti-genre. La Commission lancera une </w:t>
      </w:r>
      <w:r>
        <w:rPr>
          <w:rFonts w:ascii="Times New Roman" w:hAnsi="Times New Roman"/>
          <w:b/>
          <w:noProof/>
          <w:sz w:val="24"/>
        </w:rPr>
        <w:t>étude sur les réseaux, sphères et discours en ligne ciblant les jeunes hommes et les garçons</w:t>
      </w:r>
      <w:r>
        <w:rPr>
          <w:rFonts w:ascii="Times New Roman" w:hAnsi="Times New Roman"/>
          <w:noProof/>
          <w:sz w:val="24"/>
        </w:rPr>
        <w:t xml:space="preserve">, ainsi que sur leurs liens éventuels avec les forces antidémocratiques et les mouvements de haine. Par ailleurs, la Commission renforcera son engagement auprès des </w:t>
      </w:r>
      <w:r>
        <w:rPr>
          <w:rFonts w:ascii="Times New Roman" w:hAnsi="Times New Roman"/>
          <w:b/>
          <w:noProof/>
          <w:sz w:val="24"/>
        </w:rPr>
        <w:t>organisations de la société civile et par l’intermédiaire d’initiatives de renforcement des communautés</w:t>
      </w:r>
      <w:r>
        <w:rPr>
          <w:rFonts w:ascii="Times New Roman" w:hAnsi="Times New Roman"/>
          <w:noProof/>
          <w:sz w:val="24"/>
        </w:rPr>
        <w:t xml:space="preserve"> qui luttent contre la manipulation de l’information et la désinformation liées au genre, y compris au moyen de tables rondes avec des hommes et des garçons. En outre, la Commission organisera une </w:t>
      </w:r>
      <w:hyperlink r:id="rId73" w:history="1">
        <w:r>
          <w:rPr>
            <w:rStyle w:val="Hyperlink"/>
            <w:rFonts w:ascii="Times New Roman" w:hAnsi="Times New Roman"/>
            <w:b/>
            <w:noProof/>
            <w:sz w:val="24"/>
          </w:rPr>
          <w:t>manifestation conjointe consacrée aux pratiques politiques</w:t>
        </w:r>
      </w:hyperlink>
      <w:r>
        <w:rPr>
          <w:rFonts w:ascii="Times New Roman" w:hAnsi="Times New Roman"/>
          <w:noProof/>
          <w:sz w:val="24"/>
        </w:rPr>
        <w:t xml:space="preserve"> </w:t>
      </w:r>
      <w:r>
        <w:rPr>
          <w:rFonts w:ascii="Times New Roman" w:hAnsi="Times New Roman"/>
          <w:b/>
          <w:noProof/>
          <w:sz w:val="24"/>
        </w:rPr>
        <w:t>sur le thème de la misogynie et de l’idéologie «incel»</w:t>
      </w:r>
      <w:r>
        <w:rPr>
          <w:rFonts w:ascii="Times New Roman" w:hAnsi="Times New Roman"/>
          <w:noProof/>
          <w:sz w:val="24"/>
        </w:rPr>
        <w:t xml:space="preserve"> chez les jeunes dans le cadre du </w:t>
      </w:r>
      <w:hyperlink r:id="rId74">
        <w:r>
          <w:rPr>
            <w:rStyle w:val="Hyperlink"/>
            <w:rFonts w:ascii="Times New Roman" w:hAnsi="Times New Roman"/>
            <w:noProof/>
            <w:sz w:val="24"/>
          </w:rPr>
          <w:t>pôle de connaissances de l’UE sur la prévention de la radicalisation</w:t>
        </w:r>
      </w:hyperlink>
      <w:r>
        <w:rPr>
          <w:rFonts w:ascii="Times New Roman" w:hAnsi="Times New Roman"/>
          <w:noProof/>
          <w:sz w:val="24"/>
        </w:rPr>
        <w:t xml:space="preserve">. </w:t>
      </w:r>
    </w:p>
    <w:p w14:paraId="2FF79C0C" w14:textId="77777777" w:rsidR="00EB31B8" w:rsidRPr="00300B33" w:rsidRDefault="00EB31B8" w:rsidP="003C57AF">
      <w:pPr>
        <w:spacing w:after="0" w:line="276" w:lineRule="auto"/>
        <w:jc w:val="both"/>
        <w:rPr>
          <w:rFonts w:ascii="Times New Roman" w:hAnsi="Times New Roman" w:cs="Times New Roman"/>
          <w:noProof/>
          <w:sz w:val="24"/>
          <w:szCs w:val="24"/>
        </w:rPr>
      </w:pPr>
    </w:p>
    <w:p w14:paraId="492A5160" w14:textId="2C20438E" w:rsidR="00EB31B8" w:rsidRPr="00300B33" w:rsidRDefault="009918CF" w:rsidP="3F25DB50">
      <w:pPr>
        <w:pBdr>
          <w:top w:val="single" w:sz="4" w:space="1" w:color="auto"/>
          <w:left w:val="single" w:sz="4" w:space="4" w:color="auto"/>
          <w:bottom w:val="single" w:sz="4" w:space="1" w:color="auto"/>
          <w:right w:val="single" w:sz="4" w:space="4" w:color="auto"/>
        </w:pBdr>
        <w:spacing w:after="0" w:line="276" w:lineRule="auto"/>
        <w:jc w:val="both"/>
        <w:rPr>
          <w:rFonts w:ascii="Times New Roman" w:hAnsi="Times New Roman" w:cs="Times New Roman"/>
          <w:b/>
          <w:bCs/>
          <w:noProof/>
          <w:sz w:val="24"/>
          <w:szCs w:val="24"/>
        </w:rPr>
      </w:pPr>
      <w:r>
        <w:rPr>
          <w:rFonts w:ascii="Times New Roman" w:hAnsi="Times New Roman"/>
          <w:b/>
          <w:noProof/>
          <w:sz w:val="24"/>
        </w:rPr>
        <w:t xml:space="preserve">Actions clés de la Commission: </w:t>
      </w:r>
    </w:p>
    <w:p w14:paraId="0729D41A" w14:textId="74EA020A" w:rsidR="00FF3442" w:rsidRPr="00300B33" w:rsidRDefault="00CA4C24" w:rsidP="00F9606A">
      <w:pPr>
        <w:pStyle w:val="ListParagraph"/>
        <w:numPr>
          <w:ilvl w:val="0"/>
          <w:numId w:val="3"/>
        </w:numPr>
        <w:pBdr>
          <w:top w:val="single" w:sz="4" w:space="1" w:color="auto"/>
          <w:left w:val="single" w:sz="4" w:space="4" w:color="auto"/>
          <w:bottom w:val="single" w:sz="4" w:space="1" w:color="auto"/>
          <w:right w:val="single" w:sz="4" w:space="4" w:color="auto"/>
        </w:pBdr>
        <w:spacing w:after="0" w:line="276" w:lineRule="auto"/>
        <w:jc w:val="both"/>
        <w:rPr>
          <w:rFonts w:ascii="Times New Roman" w:hAnsi="Times New Roman" w:cs="Times New Roman"/>
          <w:noProof/>
          <w:sz w:val="24"/>
          <w:szCs w:val="24"/>
        </w:rPr>
      </w:pPr>
      <w:r>
        <w:rPr>
          <w:rFonts w:ascii="Times New Roman" w:hAnsi="Times New Roman"/>
          <w:noProof/>
          <w:sz w:val="24"/>
        </w:rPr>
        <w:t xml:space="preserve">présenter une recommandation de la Commission sur la sécurité en politique (2026); </w:t>
      </w:r>
    </w:p>
    <w:p w14:paraId="3BF8688B" w14:textId="4AE62B74" w:rsidR="006918DE" w:rsidRPr="00300B33" w:rsidRDefault="00B314EA" w:rsidP="00F9606A">
      <w:pPr>
        <w:pStyle w:val="ListParagraph"/>
        <w:numPr>
          <w:ilvl w:val="0"/>
          <w:numId w:val="3"/>
        </w:numPr>
        <w:pBdr>
          <w:top w:val="single" w:sz="4" w:space="1" w:color="auto"/>
          <w:left w:val="single" w:sz="4" w:space="4" w:color="auto"/>
          <w:bottom w:val="single" w:sz="4" w:space="1" w:color="auto"/>
          <w:right w:val="single" w:sz="4" w:space="4" w:color="auto"/>
        </w:pBdr>
        <w:spacing w:after="0" w:line="276" w:lineRule="auto"/>
        <w:jc w:val="both"/>
        <w:rPr>
          <w:rFonts w:ascii="Times New Roman" w:hAnsi="Times New Roman" w:cs="Times New Roman"/>
          <w:noProof/>
          <w:sz w:val="24"/>
          <w:szCs w:val="24"/>
        </w:rPr>
      </w:pPr>
      <w:r>
        <w:rPr>
          <w:rFonts w:ascii="Times New Roman" w:hAnsi="Times New Roman"/>
          <w:noProof/>
          <w:sz w:val="24"/>
        </w:rPr>
        <w:t>mettre à jour la cartographie des mesures juridiques et politiques visant à promouvoir la participation et le leadership des femmes en politique, dans l’administration publique et dans les parlements (2027);</w:t>
      </w:r>
    </w:p>
    <w:p w14:paraId="226071DB" w14:textId="6CC92B99" w:rsidR="004C2560" w:rsidRPr="00300B33" w:rsidRDefault="00CA4C24" w:rsidP="00F9606A">
      <w:pPr>
        <w:pStyle w:val="ListParagraph"/>
        <w:numPr>
          <w:ilvl w:val="0"/>
          <w:numId w:val="3"/>
        </w:numPr>
        <w:pBdr>
          <w:top w:val="single" w:sz="4" w:space="1" w:color="auto"/>
          <w:left w:val="single" w:sz="4" w:space="4" w:color="auto"/>
          <w:bottom w:val="single" w:sz="4" w:space="1" w:color="auto"/>
          <w:right w:val="single" w:sz="4" w:space="4" w:color="auto"/>
        </w:pBdr>
        <w:spacing w:after="0" w:line="276" w:lineRule="auto"/>
        <w:jc w:val="both"/>
        <w:rPr>
          <w:rFonts w:ascii="Times New Roman" w:hAnsi="Times New Roman" w:cs="Times New Roman"/>
          <w:noProof/>
          <w:sz w:val="24"/>
          <w:szCs w:val="24"/>
        </w:rPr>
      </w:pPr>
      <w:r>
        <w:rPr>
          <w:rFonts w:ascii="Times New Roman" w:hAnsi="Times New Roman"/>
          <w:noProof/>
          <w:sz w:val="24"/>
        </w:rPr>
        <w:t>réaliser une étude sur les réseaux, sphères et discours en ligne ciblant les jeunes hommes et les garçons (2028).</w:t>
      </w:r>
    </w:p>
    <w:p w14:paraId="3941CE29" w14:textId="77777777" w:rsidR="00081CFE" w:rsidRPr="000E2AA0" w:rsidRDefault="00081CFE" w:rsidP="000E2AA0">
      <w:pPr>
        <w:spacing w:before="120" w:after="120" w:line="240" w:lineRule="auto"/>
        <w:jc w:val="center"/>
        <w:rPr>
          <w:rFonts w:ascii="Times New Roman" w:hAnsi="Times New Roman" w:cs="Times New Roman"/>
          <w:noProof/>
          <w:sz w:val="24"/>
          <w:szCs w:val="24"/>
        </w:rPr>
      </w:pPr>
      <w:bookmarkStart w:id="7" w:name="_Hlk223255383"/>
      <w:r>
        <w:rPr>
          <w:rFonts w:ascii="Times New Roman" w:hAnsi="Times New Roman"/>
          <w:noProof/>
          <w:sz w:val="24"/>
        </w:rPr>
        <w:t>***</w:t>
      </w:r>
    </w:p>
    <w:bookmarkEnd w:id="7"/>
    <w:p w14:paraId="753E8FEC" w14:textId="3EB32DA3" w:rsidR="00A171F8" w:rsidRPr="00300B33" w:rsidRDefault="00EB31B8" w:rsidP="00E54F57">
      <w:pPr>
        <w:pBdr>
          <w:top w:val="single" w:sz="4" w:space="1" w:color="auto"/>
          <w:left w:val="single" w:sz="4" w:space="4" w:color="auto"/>
          <w:bottom w:val="single" w:sz="4" w:space="1" w:color="auto"/>
          <w:right w:val="single" w:sz="4" w:space="4" w:color="auto"/>
        </w:pBdr>
        <w:spacing w:after="0" w:line="276" w:lineRule="auto"/>
        <w:jc w:val="both"/>
        <w:rPr>
          <w:rFonts w:ascii="Times New Roman" w:hAnsi="Times New Roman" w:cs="Times New Roman"/>
          <w:b/>
          <w:i/>
          <w:noProof/>
          <w:sz w:val="24"/>
          <w:szCs w:val="24"/>
        </w:rPr>
      </w:pPr>
      <w:r>
        <w:rPr>
          <w:rFonts w:ascii="Times New Roman" w:hAnsi="Times New Roman"/>
          <w:b/>
          <w:i/>
          <w:noProof/>
          <w:sz w:val="24"/>
        </w:rPr>
        <w:t>Principe 8 de la feuille de route: mécanismes institutionnels en faveur de l’égalité de genre</w:t>
      </w:r>
    </w:p>
    <w:p w14:paraId="17F5259E" w14:textId="77777777" w:rsidR="00D05A98" w:rsidRPr="00300B33" w:rsidRDefault="00D05A98" w:rsidP="000E2AA0">
      <w:pPr>
        <w:spacing w:after="0"/>
        <w:jc w:val="both"/>
        <w:rPr>
          <w:rFonts w:ascii="Times New Roman" w:hAnsi="Times New Roman" w:cs="Times New Roman"/>
          <w:b/>
          <w:i/>
          <w:noProof/>
          <w:sz w:val="24"/>
          <w:szCs w:val="24"/>
        </w:rPr>
      </w:pPr>
    </w:p>
    <w:p w14:paraId="4F40F0B3" w14:textId="5B32AEBF" w:rsidR="000A2909" w:rsidRPr="00300B33" w:rsidRDefault="004E5D24" w:rsidP="000E2AA0">
      <w:pPr>
        <w:spacing w:after="0"/>
        <w:jc w:val="both"/>
        <w:rPr>
          <w:rFonts w:ascii="Times New Roman" w:hAnsi="Times New Roman" w:cs="Times New Roman"/>
          <w:noProof/>
          <w:sz w:val="24"/>
          <w:szCs w:val="24"/>
        </w:rPr>
      </w:pPr>
      <w:r>
        <w:rPr>
          <w:rFonts w:ascii="Times New Roman" w:hAnsi="Times New Roman"/>
          <w:noProof/>
          <w:sz w:val="24"/>
        </w:rPr>
        <w:t xml:space="preserve">Les actions visant à faire progresser l’égalité de genre ne peuvent être efficaces que si elles sont soutenues par </w:t>
      </w:r>
      <w:r>
        <w:rPr>
          <w:rFonts w:ascii="Times New Roman" w:hAnsi="Times New Roman"/>
          <w:b/>
          <w:noProof/>
          <w:sz w:val="24"/>
        </w:rPr>
        <w:t>des institutions et des processus qui promeuvent l’égalité de genre</w:t>
      </w:r>
      <w:r>
        <w:rPr>
          <w:rFonts w:ascii="Times New Roman" w:hAnsi="Times New Roman"/>
          <w:noProof/>
          <w:sz w:val="24"/>
        </w:rPr>
        <w:t xml:space="preserve"> et </w:t>
      </w:r>
      <w:r>
        <w:rPr>
          <w:rFonts w:ascii="Times New Roman" w:hAnsi="Times New Roman"/>
          <w:b/>
          <w:noProof/>
          <w:sz w:val="24"/>
        </w:rPr>
        <w:t>l’intégration d’une perspective d’égalité de genre</w:t>
      </w:r>
      <w:r>
        <w:rPr>
          <w:rFonts w:ascii="Times New Roman" w:hAnsi="Times New Roman"/>
          <w:noProof/>
          <w:sz w:val="24"/>
        </w:rPr>
        <w:t xml:space="preserve"> dans tous les domaines d’action. L’EIGE lancera </w:t>
      </w:r>
      <w:r>
        <w:rPr>
          <w:rFonts w:ascii="Times New Roman" w:hAnsi="Times New Roman"/>
          <w:b/>
          <w:noProof/>
          <w:sz w:val="24"/>
        </w:rPr>
        <w:t>en 2026 un service d’assistance pour l’intégration de la dimension de genre</w:t>
      </w:r>
      <w:r>
        <w:rPr>
          <w:rFonts w:ascii="Times New Roman" w:hAnsi="Times New Roman"/>
          <w:noProof/>
          <w:sz w:val="24"/>
        </w:rPr>
        <w:t xml:space="preserve"> afin de soutenir davantage l’intégration de cette dimension au niveau des États membres. En outre, la Commission aidera les autorités des États membres à renforcer leurs capacités et à élaborer des lignes directrices sur l’intégration de la dimension de genre, y compris la budgétisation sensible au genre. La Commission continuera également de soutenir la mise en œuvre des </w:t>
      </w:r>
      <w:hyperlink r:id="rId75" w:history="1">
        <w:r>
          <w:rPr>
            <w:rStyle w:val="Hyperlink"/>
            <w:rFonts w:ascii="Times New Roman" w:hAnsi="Times New Roman"/>
            <w:b/>
            <w:noProof/>
            <w:sz w:val="24"/>
          </w:rPr>
          <w:t>directives relatives aux normes applicables aux organismes pour l’égalité de traitement</w:t>
        </w:r>
      </w:hyperlink>
      <w:r>
        <w:rPr>
          <w:rFonts w:ascii="Times New Roman" w:hAnsi="Times New Roman"/>
          <w:noProof/>
          <w:sz w:val="24"/>
        </w:rPr>
        <w:t xml:space="preserve">. </w:t>
      </w:r>
    </w:p>
    <w:p w14:paraId="57F19B39" w14:textId="77777777" w:rsidR="008C0CEF" w:rsidRPr="00300B33" w:rsidRDefault="008C0CEF" w:rsidP="000E2AA0">
      <w:pPr>
        <w:spacing w:after="0"/>
        <w:jc w:val="both"/>
        <w:rPr>
          <w:rFonts w:ascii="Times New Roman" w:hAnsi="Times New Roman" w:cs="Times New Roman"/>
          <w:noProof/>
          <w:sz w:val="24"/>
          <w:szCs w:val="24"/>
        </w:rPr>
      </w:pPr>
    </w:p>
    <w:p w14:paraId="3E6D7D3C" w14:textId="396E1911" w:rsidR="00F07CAD" w:rsidRPr="00300B33" w:rsidRDefault="000B13A5" w:rsidP="000E2AA0">
      <w:pPr>
        <w:spacing w:after="0"/>
        <w:jc w:val="both"/>
        <w:rPr>
          <w:rFonts w:ascii="Times New Roman" w:hAnsi="Times New Roman" w:cs="Times New Roman"/>
          <w:noProof/>
          <w:sz w:val="24"/>
          <w:szCs w:val="24"/>
        </w:rPr>
      </w:pPr>
      <w:r>
        <w:rPr>
          <w:rFonts w:ascii="Times New Roman" w:hAnsi="Times New Roman"/>
          <w:noProof/>
          <w:sz w:val="24"/>
        </w:rPr>
        <w:t>Afin de promouvoir l’</w:t>
      </w:r>
      <w:r>
        <w:rPr>
          <w:rFonts w:ascii="Times New Roman" w:hAnsi="Times New Roman"/>
          <w:b/>
          <w:noProof/>
          <w:sz w:val="24"/>
        </w:rPr>
        <w:t>intégration de la dimension de genre dans toutes les politiques de l’UE</w:t>
      </w:r>
      <w:r>
        <w:rPr>
          <w:rFonts w:ascii="Times New Roman" w:hAnsi="Times New Roman"/>
          <w:noProof/>
          <w:sz w:val="24"/>
        </w:rPr>
        <w:t xml:space="preserve">, y compris dans des domaines transversaux tels que les politiques climatiques et environnementales, la Commission s’appuiera davantage sur les progrès accomplis par la </w:t>
      </w:r>
      <w:hyperlink r:id="rId76" w:history="1">
        <w:r>
          <w:rPr>
            <w:rStyle w:val="Hyperlink"/>
            <w:rFonts w:ascii="Times New Roman" w:hAnsi="Times New Roman"/>
            <w:noProof/>
            <w:sz w:val="24"/>
          </w:rPr>
          <w:t>task force pour l’égalité</w:t>
        </w:r>
      </w:hyperlink>
      <w:r>
        <w:rPr>
          <w:rFonts w:ascii="Times New Roman" w:hAnsi="Times New Roman"/>
          <w:noProof/>
          <w:sz w:val="24"/>
        </w:rPr>
        <w:t xml:space="preserve"> avec le réseau des coordinateurs pour l’égalité dans toutes les directions générales et tous les services, ainsi que dans le Service européen pour l’action extérieure (SEAE). Des points de contact «égalité» ont également été désignés au sein des cabinets de chaque commissaire. </w:t>
      </w:r>
    </w:p>
    <w:p w14:paraId="0B2EF1B7" w14:textId="77777777" w:rsidR="008C0CEF" w:rsidRPr="00300B33" w:rsidRDefault="008C0CEF" w:rsidP="000E2AA0">
      <w:pPr>
        <w:spacing w:after="0"/>
        <w:jc w:val="both"/>
        <w:rPr>
          <w:rFonts w:ascii="Times New Roman" w:hAnsi="Times New Roman" w:cs="Times New Roman"/>
          <w:noProof/>
          <w:sz w:val="24"/>
          <w:szCs w:val="24"/>
        </w:rPr>
      </w:pPr>
    </w:p>
    <w:p w14:paraId="0CD025DA" w14:textId="523E93F9" w:rsidR="00EF24A1" w:rsidRPr="00300B33" w:rsidRDefault="00E86604" w:rsidP="000E2AA0">
      <w:pPr>
        <w:spacing w:after="0"/>
        <w:jc w:val="both"/>
        <w:rPr>
          <w:rFonts w:ascii="Times New Roman" w:hAnsi="Times New Roman" w:cs="Times New Roman"/>
          <w:noProof/>
          <w:sz w:val="24"/>
          <w:szCs w:val="24"/>
        </w:rPr>
      </w:pPr>
      <w:r>
        <w:rPr>
          <w:rFonts w:ascii="Times New Roman" w:hAnsi="Times New Roman"/>
          <w:b/>
          <w:noProof/>
          <w:sz w:val="24"/>
        </w:rPr>
        <w:t>Le budget de l’UE continuera de soutenir l’égalité de genre</w:t>
      </w:r>
      <w:r>
        <w:rPr>
          <w:rFonts w:ascii="Times New Roman" w:hAnsi="Times New Roman"/>
          <w:noProof/>
          <w:sz w:val="24"/>
        </w:rPr>
        <w:t>. Dans le cadre du programme CERV, la Commission continuera de soutenir les organisations de la société civile, les partenaires sociaux et les pouvoirs publics dans la mise en œuvre de la législation et des politiques de l’UE en matière d’égalité de genre. Dans le cadre d’Horizon Europe, la Commission réaffirme également son engagement à financer des recherches spécifiques sur l’égalité de genre, en adoptant une approche intersectionnelle. Elle continuera également à soutenir l’intégration obligatoire de la dimension de genre dans le contenu de la recherche et de l’innovation.</w:t>
      </w:r>
    </w:p>
    <w:p w14:paraId="1986C215" w14:textId="77777777" w:rsidR="008C0CEF" w:rsidRPr="00300B33" w:rsidRDefault="008C0CEF" w:rsidP="000E2AA0">
      <w:pPr>
        <w:spacing w:after="0"/>
        <w:jc w:val="both"/>
        <w:rPr>
          <w:rFonts w:ascii="Times New Roman" w:hAnsi="Times New Roman" w:cs="Times New Roman"/>
          <w:noProof/>
          <w:sz w:val="24"/>
          <w:szCs w:val="24"/>
        </w:rPr>
      </w:pPr>
    </w:p>
    <w:p w14:paraId="6BEB8243" w14:textId="0ECA406E" w:rsidR="00A8736E" w:rsidRPr="00300B33" w:rsidRDefault="00EB31B8" w:rsidP="00953F87">
      <w:pPr>
        <w:spacing w:after="0"/>
        <w:jc w:val="both"/>
        <w:rPr>
          <w:rFonts w:ascii="Times New Roman" w:hAnsi="Times New Roman" w:cs="Times New Roman"/>
          <w:noProof/>
          <w:sz w:val="24"/>
          <w:szCs w:val="24"/>
        </w:rPr>
      </w:pPr>
      <w:r>
        <w:rPr>
          <w:rFonts w:ascii="Times New Roman" w:hAnsi="Times New Roman"/>
          <w:noProof/>
          <w:sz w:val="24"/>
        </w:rPr>
        <w:t xml:space="preserve">La mise en œuvre du </w:t>
      </w:r>
      <w:hyperlink r:id="rId77" w:history="1">
        <w:r w:rsidRPr="00B72E40">
          <w:rPr>
            <w:rStyle w:val="Hyperlink"/>
            <w:rFonts w:ascii="Times New Roman" w:hAnsi="Times New Roman"/>
            <w:b/>
            <w:bCs/>
            <w:noProof/>
            <w:sz w:val="24"/>
          </w:rPr>
          <w:t>CFP 2028-2034</w:t>
        </w:r>
      </w:hyperlink>
      <w:r>
        <w:rPr>
          <w:rFonts w:ascii="Times New Roman" w:hAnsi="Times New Roman"/>
          <w:noProof/>
          <w:sz w:val="24"/>
        </w:rPr>
        <w:t xml:space="preserve"> (dans l’attente des négociations interinstitutionnelles) offre une occasion unique de renforcer l’</w:t>
      </w:r>
      <w:r>
        <w:rPr>
          <w:rFonts w:ascii="Times New Roman" w:hAnsi="Times New Roman"/>
          <w:b/>
          <w:noProof/>
          <w:sz w:val="24"/>
        </w:rPr>
        <w:t>intégration de la dimension de genre dans le budget de l’UE</w:t>
      </w:r>
      <w:r>
        <w:rPr>
          <w:rFonts w:ascii="Times New Roman" w:hAnsi="Times New Roman"/>
          <w:noProof/>
          <w:sz w:val="24"/>
        </w:rPr>
        <w:t xml:space="preserve">. La proposition de </w:t>
      </w:r>
      <w:hyperlink r:id="rId78" w:history="1">
        <w:r>
          <w:rPr>
            <w:rStyle w:val="Hyperlink"/>
            <w:rFonts w:ascii="Times New Roman" w:hAnsi="Times New Roman"/>
            <w:noProof/>
            <w:sz w:val="24"/>
          </w:rPr>
          <w:t>règlement sur la performance</w:t>
        </w:r>
      </w:hyperlink>
      <w:r>
        <w:rPr>
          <w:rFonts w:ascii="Times New Roman" w:hAnsi="Times New Roman"/>
          <w:noProof/>
          <w:sz w:val="24"/>
        </w:rPr>
        <w:t xml:space="preserve"> fait de l’égalité de genre un principe horizontal pour la plupart des programmes de financement de l’UE, y compris les plans de partenariat national et régional. Le règlement sur la performance introduit également un cadre cohérent pour l’intégration de l’égalité de genre dans l’ensemble du budget, au moyen d’une méthode de suivi des dépenses de l’UE en faveur de l’égalité de genre et d’une ventilation par genre des indicateurs de performance. La Commission a l’intention de présenter des </w:t>
      </w:r>
      <w:r>
        <w:rPr>
          <w:rFonts w:ascii="Times New Roman" w:hAnsi="Times New Roman"/>
          <w:b/>
          <w:noProof/>
          <w:sz w:val="24"/>
        </w:rPr>
        <w:t>orientations techniques sur la méthode de suivi</w:t>
      </w:r>
      <w:r>
        <w:rPr>
          <w:rFonts w:ascii="Times New Roman" w:hAnsi="Times New Roman"/>
          <w:noProof/>
          <w:sz w:val="24"/>
        </w:rPr>
        <w:t xml:space="preserve"> d’ici la fin de 2026</w:t>
      </w:r>
      <w:r>
        <w:rPr>
          <w:rStyle w:val="FootnoteReference"/>
          <w:rFonts w:ascii="Times New Roman" w:hAnsi="Times New Roman" w:cs="Times New Roman"/>
          <w:noProof/>
          <w:sz w:val="24"/>
          <w:szCs w:val="24"/>
        </w:rPr>
        <w:footnoteReference w:id="48"/>
      </w:r>
      <w:r>
        <w:rPr>
          <w:rFonts w:ascii="Times New Roman" w:hAnsi="Times New Roman"/>
          <w:noProof/>
          <w:sz w:val="24"/>
        </w:rPr>
        <w:t xml:space="preserve">. En outre, l’égalité de genre continuera d’être abordée dans le cadre du </w:t>
      </w:r>
      <w:r>
        <w:rPr>
          <w:rFonts w:ascii="Times New Roman" w:hAnsi="Times New Roman"/>
          <w:b/>
          <w:noProof/>
          <w:sz w:val="24"/>
        </w:rPr>
        <w:t>Semestre européen</w:t>
      </w:r>
      <w:r>
        <w:rPr>
          <w:rFonts w:ascii="Times New Roman" w:hAnsi="Times New Roman"/>
          <w:noProof/>
          <w:sz w:val="24"/>
        </w:rPr>
        <w:t xml:space="preserve"> afin de recenser et de relever les défis urgents en matière d’égalité de genre. </w:t>
      </w:r>
    </w:p>
    <w:p w14:paraId="051979BD" w14:textId="77777777" w:rsidR="00EA7DC6" w:rsidRPr="00300B33" w:rsidRDefault="00EA7DC6" w:rsidP="00EA7DC6">
      <w:pPr>
        <w:spacing w:after="0"/>
        <w:rPr>
          <w:rFonts w:ascii="Times New Roman" w:hAnsi="Times New Roman" w:cs="Times New Roman"/>
          <w:noProof/>
          <w:sz w:val="24"/>
          <w:szCs w:val="24"/>
        </w:rPr>
      </w:pPr>
    </w:p>
    <w:p w14:paraId="6FD7D7FD" w14:textId="46E3E488" w:rsidR="009841CA" w:rsidRDefault="00F50F52" w:rsidP="004B1D20">
      <w:pPr>
        <w:spacing w:after="0"/>
        <w:jc w:val="both"/>
        <w:rPr>
          <w:rFonts w:ascii="Times New Roman" w:hAnsi="Times New Roman" w:cs="Times New Roman"/>
          <w:noProof/>
          <w:sz w:val="24"/>
          <w:szCs w:val="24"/>
        </w:rPr>
      </w:pPr>
      <w:r>
        <w:rPr>
          <w:rFonts w:ascii="Times New Roman" w:hAnsi="Times New Roman"/>
          <w:noProof/>
          <w:sz w:val="24"/>
        </w:rPr>
        <w:t xml:space="preserve">Le </w:t>
      </w:r>
      <w:r>
        <w:rPr>
          <w:rFonts w:ascii="Times New Roman" w:hAnsi="Times New Roman"/>
          <w:b/>
          <w:noProof/>
          <w:sz w:val="24"/>
        </w:rPr>
        <w:t>Comité des régions de l’UE</w:t>
      </w:r>
      <w:r>
        <w:rPr>
          <w:rFonts w:ascii="Times New Roman" w:hAnsi="Times New Roman"/>
          <w:noProof/>
          <w:sz w:val="24"/>
        </w:rPr>
        <w:t xml:space="preserve"> joue un rôle important dans la promotion de la participation politique des femmes dans les villes et les régions, et les collectivités locales et régionales jouent un rôle central dans la promotion de l’égalité de genre et d’une représentation politique égale. De même, le </w:t>
      </w:r>
      <w:r>
        <w:rPr>
          <w:rFonts w:ascii="Times New Roman" w:hAnsi="Times New Roman"/>
          <w:b/>
          <w:noProof/>
          <w:sz w:val="24"/>
        </w:rPr>
        <w:t>Comité économique et social européen</w:t>
      </w:r>
      <w:r>
        <w:rPr>
          <w:rFonts w:ascii="Times New Roman" w:hAnsi="Times New Roman"/>
          <w:noProof/>
          <w:sz w:val="24"/>
        </w:rPr>
        <w:t xml:space="preserve"> canalise l’engagement des partenaires sociaux et des organisations de la société civile en faveur de l’égalité de genre en tant que pilier de la démocratie, de la justice sociale et de la croissance inclusive.</w:t>
      </w:r>
    </w:p>
    <w:p w14:paraId="17FEC6E2" w14:textId="77777777" w:rsidR="00300507" w:rsidRPr="00543380" w:rsidDel="00DC4A37" w:rsidRDefault="00300507" w:rsidP="008F3F65">
      <w:pPr>
        <w:spacing w:after="0"/>
        <w:jc w:val="both"/>
        <w:rPr>
          <w:rFonts w:ascii="Times New Roman" w:hAnsi="Times New Roman" w:cs="Times New Roman"/>
          <w:noProof/>
          <w:sz w:val="24"/>
          <w:szCs w:val="24"/>
        </w:rPr>
      </w:pPr>
    </w:p>
    <w:p w14:paraId="48F1DDEF" w14:textId="5DA7E850" w:rsidR="00EB31B8" w:rsidRPr="00300B33" w:rsidRDefault="00D3094D" w:rsidP="008F3F65">
      <w:pPr>
        <w:jc w:val="both"/>
        <w:rPr>
          <w:rFonts w:ascii="Times New Roman" w:hAnsi="Times New Roman"/>
          <w:noProof/>
          <w:sz w:val="24"/>
          <w:szCs w:val="24"/>
        </w:rPr>
      </w:pPr>
      <w:r>
        <w:rPr>
          <w:rFonts w:ascii="Times New Roman" w:hAnsi="Times New Roman"/>
          <w:noProof/>
          <w:sz w:val="24"/>
        </w:rPr>
        <w:t xml:space="preserve">Le rôle de la </w:t>
      </w:r>
      <w:r>
        <w:rPr>
          <w:rFonts w:ascii="Times New Roman" w:hAnsi="Times New Roman"/>
          <w:b/>
          <w:noProof/>
          <w:sz w:val="24"/>
        </w:rPr>
        <w:t>société civile</w:t>
      </w:r>
      <w:r>
        <w:rPr>
          <w:rFonts w:ascii="Times New Roman" w:hAnsi="Times New Roman"/>
          <w:noProof/>
          <w:sz w:val="24"/>
        </w:rPr>
        <w:t xml:space="preserve"> dans la promotion de l’égalité de genre est essentiel. La Commission continuera de mettre des fonds à la disposition des organisations féministes et de défense des droits des femmes, tant dans le cadre de l’actuel programme «Citoyens, égalité, droits et valeurs» que de la proposition de programme AgoraEU (dans l’attente de négociations interinstitutionnelles). La Commission renforcera la représentation de la société civile au sein du </w:t>
      </w:r>
      <w:hyperlink r:id="rId79" w:history="1">
        <w:r>
          <w:rPr>
            <w:rStyle w:val="Hyperlink"/>
            <w:rFonts w:ascii="Times New Roman" w:hAnsi="Times New Roman"/>
            <w:b/>
            <w:noProof/>
            <w:sz w:val="24"/>
          </w:rPr>
          <w:t>comité consultatif de l’égalité des chances entre les femmes et les hommes</w:t>
        </w:r>
      </w:hyperlink>
      <w:r>
        <w:rPr>
          <w:rFonts w:ascii="Times New Roman" w:hAnsi="Times New Roman"/>
          <w:noProof/>
          <w:sz w:val="24"/>
        </w:rPr>
        <w:t xml:space="preserve"> et mettra en place un </w:t>
      </w:r>
      <w:r>
        <w:rPr>
          <w:rFonts w:ascii="Times New Roman" w:hAnsi="Times New Roman"/>
          <w:b/>
          <w:noProof/>
          <w:sz w:val="24"/>
        </w:rPr>
        <w:t>cadre régulier et structuré pour le dialogue sur la protection et la promotion des valeurs de l’UE</w:t>
      </w:r>
      <w:r>
        <w:rPr>
          <w:rFonts w:ascii="Times New Roman" w:hAnsi="Times New Roman"/>
          <w:noProof/>
          <w:sz w:val="24"/>
        </w:rPr>
        <w:t xml:space="preserve"> dans le cadre de la </w:t>
      </w:r>
      <w:hyperlink r:id="rId80" w:history="1">
        <w:r>
          <w:rPr>
            <w:rStyle w:val="Hyperlink"/>
            <w:rFonts w:ascii="Times New Roman" w:hAnsi="Times New Roman"/>
            <w:b/>
            <w:noProof/>
            <w:sz w:val="24"/>
          </w:rPr>
          <w:t>plateforme de la société civile</w:t>
        </w:r>
      </w:hyperlink>
      <w:r>
        <w:rPr>
          <w:rStyle w:val="FootnoteReference"/>
          <w:rFonts w:ascii="Times New Roman" w:hAnsi="Times New Roman"/>
          <w:noProof/>
          <w:sz w:val="24"/>
          <w:szCs w:val="24"/>
        </w:rPr>
        <w:footnoteReference w:id="49"/>
      </w:r>
      <w:r>
        <w:rPr>
          <w:rFonts w:ascii="Times New Roman" w:hAnsi="Times New Roman"/>
          <w:noProof/>
          <w:sz w:val="24"/>
        </w:rPr>
        <w:t xml:space="preserve">. Cela renforcera la résilience des OSC, notamment de celles qui ont pour but d’œuvrer en faveur de l’égalité de genre. La Commission </w:t>
      </w:r>
      <w:r>
        <w:rPr>
          <w:rFonts w:ascii="Times New Roman" w:hAnsi="Times New Roman"/>
          <w:b/>
          <w:noProof/>
          <w:sz w:val="24"/>
        </w:rPr>
        <w:t>renforcera en particulier la coopération avec les organisations en faveur de l’égalité de genre qui associent et soutiennent les hommes et les garçons</w:t>
      </w:r>
      <w:r>
        <w:rPr>
          <w:rFonts w:ascii="Times New Roman" w:hAnsi="Times New Roman"/>
          <w:noProof/>
          <w:sz w:val="24"/>
        </w:rPr>
        <w:t xml:space="preserve">. </w:t>
      </w:r>
    </w:p>
    <w:p w14:paraId="398F093C" w14:textId="77777777" w:rsidR="008C0CEF" w:rsidRPr="007C2998" w:rsidRDefault="008C0CEF" w:rsidP="000E2AA0">
      <w:pPr>
        <w:pStyle w:val="BodyText"/>
        <w:spacing w:after="0"/>
        <w:jc w:val="both"/>
        <w:rPr>
          <w:rFonts w:ascii="Times New Roman" w:hAnsi="Times New Roman"/>
          <w:noProof/>
          <w:sz w:val="24"/>
          <w:szCs w:val="24"/>
          <w:lang w:val="fr-BE"/>
        </w:rPr>
      </w:pPr>
    </w:p>
    <w:p w14:paraId="1393F7D5" w14:textId="04D6D85D" w:rsidR="00F50D16" w:rsidRPr="00300B33" w:rsidRDefault="00AF383E" w:rsidP="001807D7">
      <w:pPr>
        <w:spacing w:after="0" w:line="276" w:lineRule="auto"/>
        <w:jc w:val="both"/>
        <w:rPr>
          <w:rFonts w:ascii="Times New Roman" w:hAnsi="Times New Roman" w:cs="Times New Roman"/>
          <w:noProof/>
          <w:sz w:val="24"/>
          <w:szCs w:val="24"/>
        </w:rPr>
      </w:pPr>
      <w:r>
        <w:rPr>
          <w:rFonts w:ascii="Times New Roman" w:hAnsi="Times New Roman"/>
          <w:noProof/>
          <w:sz w:val="24"/>
        </w:rPr>
        <w:t xml:space="preserve">Une politique en faveur de l’égalité de genre fondée sur des données probantes nécessite des données fiables et ventilées par sexe. La Commission s’engage à en assurer la collecte systématique. La prochaine </w:t>
      </w:r>
      <w:r>
        <w:rPr>
          <w:rFonts w:ascii="Times New Roman" w:hAnsi="Times New Roman"/>
          <w:b/>
          <w:noProof/>
          <w:sz w:val="24"/>
        </w:rPr>
        <w:t>recommandation sur les données relatives à l’égalité</w:t>
      </w:r>
      <w:r>
        <w:rPr>
          <w:rFonts w:ascii="Times New Roman" w:hAnsi="Times New Roman"/>
          <w:noProof/>
          <w:sz w:val="24"/>
        </w:rPr>
        <w:t xml:space="preserve"> comprendra une recommandation visant à ventiler les données par sexe et par d’autres motifs de discrimination.</w:t>
      </w:r>
    </w:p>
    <w:p w14:paraId="44CDD05E" w14:textId="77777777" w:rsidR="00026B77" w:rsidRPr="00300B33" w:rsidRDefault="00026B77" w:rsidP="001807D7">
      <w:pPr>
        <w:spacing w:after="0" w:line="276" w:lineRule="auto"/>
        <w:jc w:val="both"/>
        <w:rPr>
          <w:rFonts w:ascii="Times New Roman" w:hAnsi="Times New Roman" w:cs="Times New Roman"/>
          <w:noProof/>
          <w:sz w:val="24"/>
          <w:szCs w:val="24"/>
        </w:rPr>
      </w:pPr>
    </w:p>
    <w:p w14:paraId="4D467735" w14:textId="14287D00" w:rsidR="00FF4CD3" w:rsidRPr="00300B33" w:rsidRDefault="00136C47" w:rsidP="001807D7">
      <w:pPr>
        <w:spacing w:after="0" w:line="276" w:lineRule="auto"/>
        <w:jc w:val="both"/>
        <w:rPr>
          <w:rFonts w:ascii="Times New Roman" w:hAnsi="Times New Roman" w:cs="Times New Roman"/>
          <w:noProof/>
          <w:sz w:val="24"/>
          <w:szCs w:val="24"/>
        </w:rPr>
      </w:pPr>
      <w:r>
        <w:rPr>
          <w:rFonts w:ascii="Times New Roman" w:hAnsi="Times New Roman"/>
          <w:b/>
          <w:noProof/>
          <w:sz w:val="24"/>
        </w:rPr>
        <w:t>Les politiques de préparation doivent également tenir compte de la dimension de genre.</w:t>
      </w:r>
      <w:r>
        <w:rPr>
          <w:rFonts w:ascii="Times New Roman" w:hAnsi="Times New Roman"/>
          <w:noProof/>
          <w:sz w:val="24"/>
        </w:rPr>
        <w:t xml:space="preserve"> Comme le souligne la </w:t>
      </w:r>
      <w:hyperlink r:id="rId81" w:history="1">
        <w:r>
          <w:rPr>
            <w:rStyle w:val="Hyperlink"/>
            <w:rFonts w:ascii="Times New Roman" w:hAnsi="Times New Roman"/>
            <w:b/>
            <w:noProof/>
            <w:sz w:val="24"/>
          </w:rPr>
          <w:t>stratégie pour une union de la préparation</w:t>
        </w:r>
      </w:hyperlink>
      <w:r>
        <w:rPr>
          <w:rFonts w:ascii="Times New Roman" w:hAnsi="Times New Roman"/>
          <w:noProof/>
          <w:sz w:val="24"/>
        </w:rPr>
        <w:t>, les femmes et les filles peuvent être touchées de manière disproportionnée par les crises et les situations d’urgence. Par exemple, les phénomènes météorologiques extrêmes entraînent de graves complications pour la santé des femmes enceintes ou âgées, y compris un risque accru d’hospitalisation. Pour y remédier, la Commission continuera d’</w:t>
      </w:r>
      <w:bookmarkStart w:id="8" w:name="_Hlk221867047"/>
      <w:r>
        <w:rPr>
          <w:rFonts w:ascii="Times New Roman" w:hAnsi="Times New Roman"/>
          <w:noProof/>
          <w:sz w:val="24"/>
        </w:rPr>
        <w:t xml:space="preserve">intégrer la diversité et l’inclusion dans les activités et opérations de formation du </w:t>
      </w:r>
      <w:hyperlink r:id="rId82" w:history="1">
        <w:r>
          <w:rPr>
            <w:rStyle w:val="Hyperlink"/>
            <w:rFonts w:ascii="Times New Roman" w:hAnsi="Times New Roman"/>
            <w:b/>
            <w:noProof/>
            <w:sz w:val="24"/>
          </w:rPr>
          <w:t>mécanisme de protection civile de l’Union</w:t>
        </w:r>
      </w:hyperlink>
      <w:r>
        <w:rPr>
          <w:rFonts w:ascii="Times New Roman" w:hAnsi="Times New Roman"/>
          <w:noProof/>
          <w:sz w:val="24"/>
        </w:rPr>
        <w:t>, en mettant l’accent sur la promotion de l’équilibre entre les genres</w:t>
      </w:r>
      <w:bookmarkEnd w:id="8"/>
      <w:r>
        <w:rPr>
          <w:rFonts w:ascii="Times New Roman" w:hAnsi="Times New Roman"/>
          <w:noProof/>
          <w:sz w:val="24"/>
        </w:rPr>
        <w:t xml:space="preserve">. </w:t>
      </w:r>
    </w:p>
    <w:p w14:paraId="64C7EC65" w14:textId="77777777" w:rsidR="00F50D16" w:rsidRPr="00300B33" w:rsidRDefault="00F50D16" w:rsidP="001807D7">
      <w:pPr>
        <w:spacing w:after="0" w:line="276" w:lineRule="auto"/>
        <w:jc w:val="both"/>
        <w:rPr>
          <w:rFonts w:ascii="Times New Roman" w:hAnsi="Times New Roman" w:cs="Times New Roman"/>
          <w:noProof/>
          <w:sz w:val="24"/>
          <w:szCs w:val="24"/>
        </w:rPr>
      </w:pPr>
    </w:p>
    <w:p w14:paraId="614F9989" w14:textId="37E7D33B" w:rsidR="001807D7" w:rsidRPr="00300B33" w:rsidRDefault="00192D45" w:rsidP="001807D7">
      <w:pPr>
        <w:spacing w:after="0" w:line="276" w:lineRule="auto"/>
        <w:jc w:val="both"/>
        <w:rPr>
          <w:rFonts w:ascii="Times New Roman" w:hAnsi="Times New Roman" w:cs="Times New Roman"/>
          <w:noProof/>
          <w:sz w:val="24"/>
          <w:szCs w:val="24"/>
        </w:rPr>
      </w:pPr>
      <w:r>
        <w:rPr>
          <w:rFonts w:ascii="Times New Roman" w:hAnsi="Times New Roman"/>
          <w:noProof/>
          <w:sz w:val="24"/>
        </w:rPr>
        <w:t>L’</w:t>
      </w:r>
      <w:r>
        <w:rPr>
          <w:rFonts w:ascii="Times New Roman" w:hAnsi="Times New Roman"/>
          <w:b/>
          <w:noProof/>
          <w:sz w:val="24"/>
        </w:rPr>
        <w:t>urbanisme</w:t>
      </w:r>
      <w:r>
        <w:rPr>
          <w:rFonts w:ascii="Times New Roman" w:hAnsi="Times New Roman"/>
          <w:noProof/>
          <w:sz w:val="24"/>
        </w:rPr>
        <w:t xml:space="preserve"> offre un grand potentiel pour faire progresser l’égalité de genre en veillant à ce que les espaces publics soient sûrs pour les femmes et les filles et à ce que les infrastructures et les services tels que les services de soins et les transports publics soient adaptés à leurs besoins</w:t>
      </w:r>
      <w:r>
        <w:rPr>
          <w:rStyle w:val="FootnoteReference"/>
          <w:rFonts w:ascii="Times New Roman" w:hAnsi="Times New Roman" w:cs="Times New Roman"/>
          <w:noProof/>
          <w:sz w:val="24"/>
          <w:szCs w:val="24"/>
          <w:lang w:val="en-GB"/>
        </w:rPr>
        <w:footnoteReference w:id="50"/>
      </w:r>
      <w:r>
        <w:rPr>
          <w:rFonts w:ascii="Times New Roman" w:hAnsi="Times New Roman"/>
          <w:noProof/>
          <w:sz w:val="24"/>
        </w:rPr>
        <w:t xml:space="preserve">. Le </w:t>
      </w:r>
      <w:hyperlink r:id="rId83" w:history="1">
        <w:r>
          <w:rPr>
            <w:rStyle w:val="Hyperlink"/>
            <w:rFonts w:ascii="Times New Roman" w:hAnsi="Times New Roman"/>
            <w:b/>
            <w:noProof/>
            <w:sz w:val="24"/>
          </w:rPr>
          <w:t>programme de l’UE pour les villes 2025</w:t>
        </w:r>
      </w:hyperlink>
      <w:r>
        <w:rPr>
          <w:rFonts w:ascii="Times New Roman" w:hAnsi="Times New Roman"/>
          <w:noProof/>
          <w:sz w:val="24"/>
        </w:rPr>
        <w:t xml:space="preserve"> reconnaît les défis liés au genre dans le domaine de l’urbanisme et propose des moyens de faire avancer ces questions au niveau des villes, par exemple par l’intermédiaire de la future plateforme des villes de l’UE. La Commission continuera également de soutenir et de reconnaître les autorités locales qui défendent l’inclusivité par l’intermédiaire des </w:t>
      </w:r>
      <w:hyperlink r:id="rId84">
        <w:r>
          <w:rPr>
            <w:rStyle w:val="Hyperlink"/>
            <w:rFonts w:ascii="Times New Roman" w:hAnsi="Times New Roman"/>
            <w:b/>
            <w:noProof/>
            <w:sz w:val="24"/>
          </w:rPr>
          <w:t>prix des capitales européennes de l’inclusion et de la diversité</w:t>
        </w:r>
      </w:hyperlink>
      <w:r>
        <w:rPr>
          <w:rFonts w:ascii="Times New Roman" w:hAnsi="Times New Roman"/>
          <w:noProof/>
          <w:sz w:val="24"/>
        </w:rPr>
        <w:t>.</w:t>
      </w:r>
    </w:p>
    <w:p w14:paraId="4361898A" w14:textId="77777777" w:rsidR="00CC3B26" w:rsidRPr="00300B33" w:rsidRDefault="00CC3B26" w:rsidP="00022F8B">
      <w:pPr>
        <w:spacing w:after="0" w:line="276" w:lineRule="auto"/>
        <w:jc w:val="both"/>
        <w:rPr>
          <w:rFonts w:ascii="Times New Roman" w:hAnsi="Times New Roman" w:cs="Times New Roman"/>
          <w:noProof/>
          <w:sz w:val="24"/>
          <w:szCs w:val="24"/>
        </w:rPr>
      </w:pPr>
    </w:p>
    <w:p w14:paraId="3738EB1E" w14:textId="332EB16D" w:rsidR="00AE529E" w:rsidRPr="00300B33" w:rsidRDefault="00AE529E" w:rsidP="3BC14C37">
      <w:pPr>
        <w:spacing w:after="0" w:line="276" w:lineRule="auto"/>
        <w:jc w:val="both"/>
        <w:rPr>
          <w:rFonts w:ascii="Times New Roman" w:hAnsi="Times New Roman" w:cs="Times New Roman"/>
          <w:noProof/>
          <w:sz w:val="24"/>
          <w:szCs w:val="24"/>
        </w:rPr>
      </w:pPr>
      <w:r>
        <w:rPr>
          <w:rFonts w:ascii="Times New Roman" w:hAnsi="Times New Roman"/>
          <w:noProof/>
          <w:sz w:val="24"/>
        </w:rPr>
        <w:t xml:space="preserve">Afin de favoriser la </w:t>
      </w:r>
      <w:r>
        <w:rPr>
          <w:rFonts w:ascii="Times New Roman" w:hAnsi="Times New Roman"/>
          <w:b/>
          <w:noProof/>
          <w:sz w:val="24"/>
        </w:rPr>
        <w:t>réalisation des principes de la feuille de route pour les droits des femmes au niveau national</w:t>
      </w:r>
      <w:r>
        <w:rPr>
          <w:rFonts w:ascii="Times New Roman" w:hAnsi="Times New Roman"/>
          <w:noProof/>
          <w:sz w:val="24"/>
        </w:rPr>
        <w:t xml:space="preserve">, la Commission invite tous les États membres à mettre en place des </w:t>
      </w:r>
      <w:r>
        <w:rPr>
          <w:rFonts w:ascii="Times New Roman" w:hAnsi="Times New Roman"/>
          <w:b/>
          <w:noProof/>
          <w:sz w:val="24"/>
        </w:rPr>
        <w:t>plans d’action nationaux en faveur de l’égalité de genre</w:t>
      </w:r>
      <w:r>
        <w:rPr>
          <w:rFonts w:ascii="Times New Roman" w:hAnsi="Times New Roman"/>
          <w:noProof/>
          <w:sz w:val="24"/>
        </w:rPr>
        <w:t xml:space="preserve"> d’ici la fin de 2027. Le </w:t>
      </w:r>
      <w:r>
        <w:rPr>
          <w:rFonts w:ascii="Times New Roman" w:hAnsi="Times New Roman"/>
          <w:b/>
          <w:noProof/>
          <w:sz w:val="24"/>
        </w:rPr>
        <w:t>programme d’apprentissage mutuel sur l’égalité de genre</w:t>
      </w:r>
      <w:r>
        <w:rPr>
          <w:rFonts w:ascii="Times New Roman" w:hAnsi="Times New Roman"/>
          <w:noProof/>
          <w:sz w:val="24"/>
        </w:rPr>
        <w:t xml:space="preserve"> et le </w:t>
      </w:r>
      <w:r>
        <w:rPr>
          <w:rFonts w:ascii="Times New Roman" w:hAnsi="Times New Roman"/>
          <w:b/>
          <w:noProof/>
          <w:sz w:val="24"/>
        </w:rPr>
        <w:t>groupe à haut niveau sur l’intégration des politiques d’égalité entre les hommes et les femmes</w:t>
      </w:r>
      <w:r>
        <w:rPr>
          <w:rFonts w:ascii="Times New Roman" w:hAnsi="Times New Roman"/>
          <w:noProof/>
          <w:sz w:val="24"/>
        </w:rPr>
        <w:t xml:space="preserve"> constituent d’excellentes plateformes pour l’échange de bonnes pratiques et le suivi de la mise en œuvre de la présente stratégie et des plans nationaux. </w:t>
      </w:r>
    </w:p>
    <w:p w14:paraId="4AA5C90A" w14:textId="77777777" w:rsidR="00AE529E" w:rsidRPr="00300B33" w:rsidRDefault="00AE529E" w:rsidP="3BC14C37">
      <w:pPr>
        <w:spacing w:after="0" w:line="276" w:lineRule="auto"/>
        <w:jc w:val="both"/>
        <w:rPr>
          <w:rFonts w:ascii="Times New Roman" w:hAnsi="Times New Roman" w:cs="Times New Roman"/>
          <w:noProof/>
          <w:sz w:val="24"/>
          <w:szCs w:val="24"/>
        </w:rPr>
      </w:pPr>
    </w:p>
    <w:p w14:paraId="06E60F18" w14:textId="282DB5BE" w:rsidR="001A6FDB" w:rsidRPr="00300B33" w:rsidRDefault="002652B5" w:rsidP="3BC14C37">
      <w:pPr>
        <w:spacing w:after="0" w:line="276" w:lineRule="auto"/>
        <w:jc w:val="both"/>
        <w:rPr>
          <w:rFonts w:ascii="Times New Roman" w:hAnsi="Times New Roman" w:cs="Times New Roman"/>
          <w:noProof/>
          <w:sz w:val="24"/>
          <w:szCs w:val="24"/>
        </w:rPr>
      </w:pPr>
      <w:r>
        <w:rPr>
          <w:rFonts w:ascii="Times New Roman" w:hAnsi="Times New Roman"/>
          <w:noProof/>
          <w:sz w:val="24"/>
        </w:rPr>
        <w:t xml:space="preserve">La Commission suivra </w:t>
      </w:r>
      <w:r>
        <w:rPr>
          <w:rFonts w:ascii="Times New Roman" w:hAnsi="Times New Roman"/>
          <w:b/>
          <w:noProof/>
          <w:sz w:val="24"/>
        </w:rPr>
        <w:t>la mise en œuvre de toutes les stratégies relevant de l’Union de l’égalité et en rendra compte</w:t>
      </w:r>
      <w:r>
        <w:rPr>
          <w:rFonts w:ascii="Times New Roman" w:hAnsi="Times New Roman"/>
          <w:noProof/>
          <w:sz w:val="24"/>
        </w:rPr>
        <w:t xml:space="preserve">, notamment en dressant le bilan des progrès accomplis dans le cadre de la présente stratégie et en assurant le suivi de ses actions. La Commission lancera également une </w:t>
      </w:r>
      <w:r>
        <w:rPr>
          <w:rFonts w:ascii="Times New Roman" w:hAnsi="Times New Roman"/>
          <w:b/>
          <w:noProof/>
          <w:sz w:val="24"/>
        </w:rPr>
        <w:t>campagne de communication sur l’Union de l’égalité</w:t>
      </w:r>
      <w:r>
        <w:rPr>
          <w:rFonts w:ascii="Times New Roman" w:hAnsi="Times New Roman"/>
          <w:noProof/>
          <w:sz w:val="24"/>
        </w:rPr>
        <w:t>, comportant une forte dimension de genre et une approche intersectionnelle, et lancera un réseau de recherche et d’innovation pour une Union de l’égalité dans le cadre d’Horizon Europe.</w:t>
      </w:r>
    </w:p>
    <w:p w14:paraId="5DEE914F" w14:textId="069BA243" w:rsidR="00B56945" w:rsidRPr="00300B33" w:rsidRDefault="00ED7E67" w:rsidP="0091463E">
      <w:pPr>
        <w:pStyle w:val="BodyText"/>
        <w:tabs>
          <w:tab w:val="left" w:pos="3660"/>
        </w:tabs>
        <w:spacing w:after="0"/>
        <w:jc w:val="both"/>
        <w:rPr>
          <w:rFonts w:ascii="Times New Roman" w:hAnsi="Times New Roman"/>
          <w:noProof/>
          <w:sz w:val="24"/>
          <w:szCs w:val="24"/>
        </w:rPr>
      </w:pPr>
      <w:r>
        <w:rPr>
          <w:noProof/>
        </w:rPr>
        <w:tab/>
      </w:r>
    </w:p>
    <w:p w14:paraId="21622670" w14:textId="10F473AB" w:rsidR="00B56945" w:rsidRPr="00300B33" w:rsidRDefault="00C56C6C" w:rsidP="3F25DB50">
      <w:pPr>
        <w:pStyle w:val="BodyText"/>
        <w:pBdr>
          <w:top w:val="single" w:sz="4" w:space="1" w:color="auto"/>
          <w:left w:val="single" w:sz="4" w:space="4" w:color="auto"/>
          <w:bottom w:val="single" w:sz="4" w:space="1" w:color="auto"/>
          <w:right w:val="single" w:sz="4" w:space="4" w:color="auto"/>
        </w:pBdr>
        <w:spacing w:after="0"/>
        <w:jc w:val="both"/>
        <w:rPr>
          <w:rFonts w:ascii="Times New Roman" w:hAnsi="Times New Roman"/>
          <w:b/>
          <w:bCs/>
          <w:noProof/>
          <w:sz w:val="24"/>
          <w:szCs w:val="24"/>
        </w:rPr>
      </w:pPr>
      <w:r>
        <w:rPr>
          <w:rFonts w:ascii="Times New Roman" w:hAnsi="Times New Roman"/>
          <w:b/>
          <w:noProof/>
          <w:sz w:val="24"/>
        </w:rPr>
        <w:t>Actions clés de la Commission:</w:t>
      </w:r>
    </w:p>
    <w:p w14:paraId="727352FB" w14:textId="3AA79539" w:rsidR="00E96220" w:rsidRPr="00300B33" w:rsidRDefault="00AA74F5" w:rsidP="00F9606A">
      <w:pPr>
        <w:pStyle w:val="BodyText"/>
        <w:numPr>
          <w:ilvl w:val="0"/>
          <w:numId w:val="2"/>
        </w:numPr>
        <w:pBdr>
          <w:top w:val="single" w:sz="4" w:space="1" w:color="auto"/>
          <w:left w:val="single" w:sz="4" w:space="4" w:color="auto"/>
          <w:bottom w:val="single" w:sz="4" w:space="1" w:color="auto"/>
          <w:right w:val="single" w:sz="4" w:space="4" w:color="auto"/>
        </w:pBdr>
        <w:spacing w:after="0"/>
        <w:jc w:val="both"/>
        <w:rPr>
          <w:rFonts w:ascii="Times New Roman" w:hAnsi="Times New Roman"/>
          <w:noProof/>
          <w:sz w:val="24"/>
          <w:szCs w:val="24"/>
        </w:rPr>
      </w:pPr>
      <w:r>
        <w:rPr>
          <w:rFonts w:ascii="Times New Roman" w:hAnsi="Times New Roman"/>
          <w:noProof/>
          <w:sz w:val="24"/>
        </w:rPr>
        <w:t>garantir l’intégration de la dimension de genre dans la mise en œuvre du prochain CFP (2028-2034) (en attente d’adoption);</w:t>
      </w:r>
    </w:p>
    <w:p w14:paraId="556DD0D5" w14:textId="7EA2EAAD" w:rsidR="00187977" w:rsidRPr="00300B33" w:rsidRDefault="0075685D" w:rsidP="00F9606A">
      <w:pPr>
        <w:pStyle w:val="BodyText"/>
        <w:numPr>
          <w:ilvl w:val="0"/>
          <w:numId w:val="2"/>
        </w:numPr>
        <w:pBdr>
          <w:top w:val="single" w:sz="4" w:space="1" w:color="auto"/>
          <w:left w:val="single" w:sz="4" w:space="4" w:color="auto"/>
          <w:bottom w:val="single" w:sz="4" w:space="1" w:color="auto"/>
          <w:right w:val="single" w:sz="4" w:space="4" w:color="auto"/>
        </w:pBdr>
        <w:spacing w:after="0"/>
        <w:jc w:val="both"/>
        <w:rPr>
          <w:rFonts w:ascii="Times New Roman" w:hAnsi="Times New Roman"/>
          <w:noProof/>
          <w:sz w:val="24"/>
          <w:szCs w:val="24"/>
        </w:rPr>
      </w:pPr>
      <w:r>
        <w:rPr>
          <w:rFonts w:ascii="Times New Roman" w:hAnsi="Times New Roman"/>
          <w:noProof/>
          <w:sz w:val="24"/>
        </w:rPr>
        <w:t>présenter des orientations techniques sur le suivi des dépenses en matière d’égalité de genre (2026);</w:t>
      </w:r>
    </w:p>
    <w:p w14:paraId="0DDAEF05" w14:textId="4B409478" w:rsidR="00AE529E" w:rsidRPr="00300B33" w:rsidRDefault="00AE529E" w:rsidP="00F9606A">
      <w:pPr>
        <w:pStyle w:val="BodyText"/>
        <w:numPr>
          <w:ilvl w:val="0"/>
          <w:numId w:val="2"/>
        </w:numPr>
        <w:pBdr>
          <w:top w:val="single" w:sz="4" w:space="1" w:color="auto"/>
          <w:left w:val="single" w:sz="4" w:space="4" w:color="auto"/>
          <w:bottom w:val="single" w:sz="4" w:space="1" w:color="auto"/>
          <w:right w:val="single" w:sz="4" w:space="4" w:color="auto"/>
        </w:pBdr>
        <w:spacing w:after="0"/>
        <w:jc w:val="both"/>
        <w:rPr>
          <w:rFonts w:ascii="Times New Roman" w:hAnsi="Times New Roman"/>
          <w:noProof/>
          <w:sz w:val="24"/>
          <w:szCs w:val="24"/>
        </w:rPr>
      </w:pPr>
      <w:r>
        <w:rPr>
          <w:rFonts w:ascii="Times New Roman" w:hAnsi="Times New Roman"/>
          <w:noProof/>
          <w:sz w:val="24"/>
        </w:rPr>
        <w:t>renforcer la représentation de la société civile au sein du comité consultatif de l’égalité des chances entre les femmes et les hommes (2026).</w:t>
      </w:r>
    </w:p>
    <w:p w14:paraId="162B4889" w14:textId="77777777" w:rsidR="00C56C6C" w:rsidRPr="007C2998" w:rsidRDefault="00C56C6C" w:rsidP="00B76111">
      <w:pPr>
        <w:pStyle w:val="BodyText"/>
        <w:spacing w:after="0"/>
        <w:jc w:val="both"/>
        <w:rPr>
          <w:rFonts w:ascii="Times New Roman" w:hAnsi="Times New Roman"/>
          <w:noProof/>
          <w:sz w:val="24"/>
          <w:szCs w:val="24"/>
          <w:lang w:val="fr-BE"/>
        </w:rPr>
      </w:pPr>
    </w:p>
    <w:p w14:paraId="59C8A59A" w14:textId="2F7E387A" w:rsidR="00EB31B8" w:rsidRPr="00300B33" w:rsidRDefault="001D4063" w:rsidP="00F9606A">
      <w:pPr>
        <w:pStyle w:val="ListParagraph"/>
        <w:numPr>
          <w:ilvl w:val="0"/>
          <w:numId w:val="1"/>
        </w:numPr>
        <w:spacing w:after="0" w:line="276" w:lineRule="auto"/>
        <w:jc w:val="both"/>
        <w:rPr>
          <w:rFonts w:ascii="Times New Roman" w:hAnsi="Times New Roman" w:cs="Times New Roman"/>
          <w:b/>
          <w:noProof/>
          <w:sz w:val="24"/>
          <w:szCs w:val="24"/>
        </w:rPr>
      </w:pPr>
      <w:r>
        <w:rPr>
          <w:rFonts w:ascii="Times New Roman" w:hAnsi="Times New Roman"/>
          <w:b/>
          <w:noProof/>
          <w:sz w:val="24"/>
        </w:rPr>
        <w:t>Égalité de genre dans l’action extérieure de l’UE</w:t>
      </w:r>
    </w:p>
    <w:p w14:paraId="3B354F50" w14:textId="77777777" w:rsidR="0092135F" w:rsidRPr="00300B33" w:rsidRDefault="0092135F" w:rsidP="00EA7DC6">
      <w:pPr>
        <w:spacing w:after="0" w:line="276" w:lineRule="auto"/>
        <w:jc w:val="both"/>
        <w:rPr>
          <w:rFonts w:ascii="Times New Roman" w:hAnsi="Times New Roman" w:cs="Times New Roman"/>
          <w:noProof/>
          <w:sz w:val="24"/>
          <w:szCs w:val="24"/>
        </w:rPr>
      </w:pPr>
    </w:p>
    <w:p w14:paraId="3539EE01" w14:textId="7CA20BD7" w:rsidR="00A60569" w:rsidRPr="00300B33" w:rsidRDefault="00301ABD" w:rsidP="00EA7DC6">
      <w:pPr>
        <w:spacing w:after="0" w:line="276" w:lineRule="auto"/>
        <w:jc w:val="both"/>
        <w:rPr>
          <w:rFonts w:ascii="Times New Roman" w:hAnsi="Times New Roman" w:cs="Times New Roman"/>
          <w:noProof/>
          <w:sz w:val="24"/>
          <w:szCs w:val="24"/>
        </w:rPr>
      </w:pPr>
      <w:r>
        <w:rPr>
          <w:rFonts w:ascii="Times New Roman" w:hAnsi="Times New Roman"/>
          <w:noProof/>
          <w:sz w:val="24"/>
        </w:rPr>
        <w:t>Aucun pays du monde n’est actuellement en voie d’atteindre la pleine égalité de genre d’ici à 2030. Les progrès en matière d’égalité de genre sont de plus en plus ralentis et même inversés dans de nombreuses régions du monde, étant donné que des niveaux records de conflits armés, de recul démocratique, de fragmentation géopolitique et d’accélération des effets du changement climatique redessinent les environnements mondiaux en matière de sécurité. Le retrait des financements en faveur de l’égalité de genre menace les perspectives de développement humain, y compris l’accès des femmes à la santé et aux droits en matière de sexualité et de procréation Un tiers des femmes dans le monde ont subi des violences physiques ou sexuelles et plus de 200 millions de femmes et de filles sont victimes de mutilations génitales féminines</w:t>
      </w:r>
      <w:r>
        <w:rPr>
          <w:rStyle w:val="FootnoteReference"/>
          <w:rFonts w:ascii="Times New Roman" w:hAnsi="Times New Roman" w:cs="Times New Roman"/>
          <w:noProof/>
          <w:sz w:val="24"/>
          <w:szCs w:val="24"/>
          <w:lang w:val="en-GB"/>
        </w:rPr>
        <w:footnoteReference w:id="51"/>
      </w:r>
      <w:r>
        <w:rPr>
          <w:rFonts w:ascii="Times New Roman" w:hAnsi="Times New Roman"/>
          <w:noProof/>
          <w:sz w:val="24"/>
        </w:rPr>
        <w:t>. Les droits des femmes sont gravement compromis dans les conflits, où les femmes sont confrontées à des niveaux accrus de violence fondée sur le genre. Les femmes sont également confrontées à des risques plus élevés de catastrophes liées au climat, d’insécurité alimentaire et de pénurie de ressources, tandis que les inégalités de genre amplifient également les effets des défis environnementaux. La reconnaissance des effets intersectionnels du changement climatique, des conflits, des déplacements et de la migration sur les femmes et les filles, la fourniture d’un soutien au redressement et à la reconstruction tenant compte de la dimension de genre et l’appui aux organisations de défense des droits des femmes sont des éléments essentiels pour s’attaquer aux causes profondes de la fragilité et renforcer la préparation et la résilience de la société face aux crises.</w:t>
      </w:r>
    </w:p>
    <w:p w14:paraId="1ECA9DE9" w14:textId="77777777" w:rsidR="00167CCB" w:rsidRPr="00300B33" w:rsidRDefault="00167CCB" w:rsidP="00EA7DC6">
      <w:pPr>
        <w:spacing w:after="0" w:line="276" w:lineRule="auto"/>
        <w:jc w:val="both"/>
        <w:rPr>
          <w:rFonts w:ascii="Times New Roman" w:hAnsi="Times New Roman" w:cs="Times New Roman"/>
          <w:noProof/>
          <w:sz w:val="24"/>
          <w:szCs w:val="24"/>
        </w:rPr>
      </w:pPr>
    </w:p>
    <w:p w14:paraId="57924EB3" w14:textId="29CB2461" w:rsidR="002708D7" w:rsidRPr="00300B33" w:rsidRDefault="00A60569" w:rsidP="00B771F2">
      <w:pPr>
        <w:spacing w:after="0" w:line="276" w:lineRule="auto"/>
        <w:jc w:val="both"/>
        <w:rPr>
          <w:rFonts w:ascii="Times New Roman" w:hAnsi="Times New Roman" w:cs="Times New Roman"/>
          <w:noProof/>
          <w:sz w:val="24"/>
          <w:szCs w:val="24"/>
        </w:rPr>
      </w:pPr>
      <w:r>
        <w:rPr>
          <w:rFonts w:ascii="Times New Roman" w:hAnsi="Times New Roman"/>
          <w:b/>
          <w:noProof/>
          <w:sz w:val="24"/>
        </w:rPr>
        <w:t>L’UE reste déterminée à accorder la priorité à l’égalité de genre et à éradiquer toutes les formes de violence fondée sur le genre dans son action extérieure</w:t>
      </w:r>
      <w:r>
        <w:rPr>
          <w:rFonts w:ascii="Times New Roman" w:hAnsi="Times New Roman"/>
          <w:noProof/>
          <w:sz w:val="24"/>
        </w:rPr>
        <w:t xml:space="preserve"> afin d’accélérer les progrès vers la réalisation des engagements internationaux, y compris </w:t>
      </w:r>
      <w:r>
        <w:rPr>
          <w:rFonts w:ascii="Times New Roman" w:hAnsi="Times New Roman"/>
          <w:noProof/>
          <w:color w:val="000000" w:themeColor="text1"/>
          <w:sz w:val="24"/>
        </w:rPr>
        <w:t>la déclaration et le programme d’action de Beijing</w:t>
      </w:r>
      <w:r>
        <w:rPr>
          <w:rFonts w:ascii="Times New Roman" w:hAnsi="Times New Roman"/>
          <w:noProof/>
          <w:sz w:val="24"/>
        </w:rPr>
        <w:t>.</w:t>
      </w:r>
      <w:r>
        <w:rPr>
          <w:rFonts w:ascii="Times New Roman" w:hAnsi="Times New Roman"/>
          <w:noProof/>
          <w:color w:val="000000" w:themeColor="text1"/>
          <w:sz w:val="24"/>
        </w:rPr>
        <w:t xml:space="preserve"> </w:t>
      </w:r>
      <w:r>
        <w:rPr>
          <w:rFonts w:ascii="Times New Roman" w:hAnsi="Times New Roman"/>
          <w:noProof/>
          <w:sz w:val="24"/>
        </w:rPr>
        <w:t xml:space="preserve">La mise en œuvre du </w:t>
      </w:r>
      <w:r>
        <w:rPr>
          <w:rFonts w:ascii="Times New Roman" w:hAnsi="Times New Roman"/>
          <w:b/>
          <w:noProof/>
          <w:sz w:val="24"/>
        </w:rPr>
        <w:t>troisième plan d’action sur l’égalité entre les hommes et les femmes (GAP III)</w:t>
      </w:r>
      <w:r>
        <w:rPr>
          <w:rFonts w:ascii="Times New Roman" w:hAnsi="Times New Roman"/>
          <w:noProof/>
          <w:sz w:val="24"/>
        </w:rPr>
        <w:t xml:space="preserve"> jusqu’à la fin de 2027 constituera un tremplin à cet effet. La Commission lancera une consultation publique des parties prenantes afin d’élaborer un nouveau cadre d’action, </w:t>
      </w:r>
      <w:r>
        <w:rPr>
          <w:rFonts w:ascii="Times New Roman" w:hAnsi="Times New Roman"/>
          <w:b/>
          <w:noProof/>
          <w:sz w:val="24"/>
        </w:rPr>
        <w:t>le quatrième plan d’action sur l’égalité entre les hommes et les femmes, pour la période 2028-2034</w:t>
      </w:r>
      <w:r>
        <w:rPr>
          <w:rFonts w:ascii="Times New Roman" w:hAnsi="Times New Roman"/>
          <w:noProof/>
          <w:sz w:val="24"/>
        </w:rPr>
        <w:t>, qui devra être adopté conjointement avec la haute représentante.</w:t>
      </w:r>
      <w:r>
        <w:rPr>
          <w:rFonts w:ascii="Times New Roman" w:hAnsi="Times New Roman"/>
          <w:b/>
          <w:noProof/>
          <w:sz w:val="24"/>
        </w:rPr>
        <w:t xml:space="preserve"> </w:t>
      </w:r>
      <w:r>
        <w:rPr>
          <w:rFonts w:ascii="Times New Roman" w:hAnsi="Times New Roman"/>
          <w:noProof/>
          <w:sz w:val="24"/>
        </w:rPr>
        <w:t xml:space="preserve">Sur la base de la consultation et des enseignements tirés, le GAP IV définira des priorités et des initiatives dans l’ensemble de l’action extérieure. Les délégations de l’UE dans les pays tiers et les missions de l’UE les mettront en œuvre.  </w:t>
      </w:r>
    </w:p>
    <w:p w14:paraId="2B1ADF03" w14:textId="77777777" w:rsidR="002708D7" w:rsidRPr="00300B33" w:rsidRDefault="002708D7" w:rsidP="00B771F2">
      <w:pPr>
        <w:spacing w:after="0" w:line="276" w:lineRule="auto"/>
        <w:jc w:val="both"/>
        <w:rPr>
          <w:rFonts w:ascii="Times New Roman" w:hAnsi="Times New Roman" w:cs="Times New Roman"/>
          <w:noProof/>
          <w:sz w:val="24"/>
          <w:szCs w:val="24"/>
        </w:rPr>
      </w:pPr>
    </w:p>
    <w:p w14:paraId="31C27A9E" w14:textId="547C71EC" w:rsidR="00B771F2" w:rsidRPr="00300B33" w:rsidRDefault="00A60569" w:rsidP="00B771F2">
      <w:pPr>
        <w:spacing w:after="0" w:line="276" w:lineRule="auto"/>
        <w:jc w:val="both"/>
        <w:rPr>
          <w:rFonts w:ascii="Times New Roman" w:hAnsi="Times New Roman" w:cs="Times New Roman"/>
          <w:noProof/>
          <w:sz w:val="24"/>
          <w:szCs w:val="24"/>
        </w:rPr>
      </w:pPr>
      <w:r>
        <w:rPr>
          <w:rFonts w:ascii="Times New Roman" w:hAnsi="Times New Roman"/>
          <w:noProof/>
          <w:sz w:val="24"/>
        </w:rPr>
        <w:t xml:space="preserve">Les </w:t>
      </w:r>
      <w:r>
        <w:rPr>
          <w:rFonts w:ascii="Times New Roman" w:hAnsi="Times New Roman"/>
          <w:b/>
          <w:noProof/>
          <w:sz w:val="24"/>
        </w:rPr>
        <w:t>dialogues bilatéraux sur les droits de l’homme</w:t>
      </w:r>
      <w:r>
        <w:rPr>
          <w:rFonts w:ascii="Times New Roman" w:hAnsi="Times New Roman"/>
          <w:noProof/>
          <w:sz w:val="24"/>
        </w:rPr>
        <w:t xml:space="preserve"> avec les pays tiers et les organisations régionales continueront d’inclure des considérations relatives à l’égalité de genre afin de soutenir les actions et la budgétisation tenant compte de la dimension de genre dans les pays partenaires. Dans ses observations électorales, l’UE continuera d’évaluer dans quelle mesure les femmes participent pleinement, sur un pied d’égalité et de manière significative à la vie politique et publique. L’UE promouvra également l’amélioration de l’accès des femmes à des emplois décents, à l’entrepreneuriat et à la sécurité des revenus, tout en procurant des avantages plus larges en matière de santé, de sécurité alimentaire et de nutrition dans le cadre de la stratégie </w:t>
      </w:r>
      <w:hyperlink r:id="rId85" w:history="1">
        <w:r>
          <w:rPr>
            <w:rStyle w:val="Hyperlink"/>
            <w:rFonts w:ascii="Times New Roman" w:hAnsi="Times New Roman"/>
            <w:b/>
            <w:noProof/>
            <w:sz w:val="24"/>
          </w:rPr>
          <w:t>«Global Gateway»</w:t>
        </w:r>
      </w:hyperlink>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 xml:space="preserve">L’égalité de genre, l’autonomisation des femmes, l’éducation et la formation sont des priorités transversales du </w:t>
      </w:r>
      <w:r>
        <w:rPr>
          <w:rFonts w:ascii="Times New Roman" w:hAnsi="Times New Roman"/>
          <w:b/>
          <w:noProof/>
          <w:sz w:val="24"/>
        </w:rPr>
        <w:t>pacte pour la Méditerranée</w:t>
      </w:r>
      <w:r>
        <w:rPr>
          <w:rFonts w:ascii="Times New Roman" w:hAnsi="Times New Roman"/>
          <w:noProof/>
          <w:sz w:val="24"/>
        </w:rPr>
        <w:t>.</w:t>
      </w:r>
    </w:p>
    <w:p w14:paraId="442DB880" w14:textId="232651EB" w:rsidR="00B771F2" w:rsidRPr="00300B33" w:rsidRDefault="00B771F2" w:rsidP="00EA7DC6">
      <w:pPr>
        <w:spacing w:after="0" w:line="276" w:lineRule="auto"/>
        <w:jc w:val="both"/>
        <w:rPr>
          <w:rFonts w:ascii="Times New Roman" w:hAnsi="Times New Roman" w:cs="Times New Roman"/>
          <w:noProof/>
          <w:sz w:val="24"/>
          <w:szCs w:val="24"/>
        </w:rPr>
      </w:pPr>
    </w:p>
    <w:p w14:paraId="2E49F8A0" w14:textId="302D8736" w:rsidR="00BB12A2" w:rsidRPr="00300B33" w:rsidRDefault="00BB12A2" w:rsidP="2E8E8F3C">
      <w:pPr>
        <w:spacing w:after="0" w:line="276" w:lineRule="auto"/>
        <w:contextualSpacing/>
        <w:jc w:val="both"/>
        <w:rPr>
          <w:rFonts w:ascii="Times New Roman" w:hAnsi="Times New Roman" w:cs="Times New Roman"/>
          <w:noProof/>
          <w:sz w:val="24"/>
          <w:szCs w:val="24"/>
        </w:rPr>
      </w:pPr>
      <w:r>
        <w:rPr>
          <w:rFonts w:ascii="Times New Roman" w:hAnsi="Times New Roman"/>
          <w:noProof/>
          <w:sz w:val="24"/>
        </w:rPr>
        <w:t>L’</w:t>
      </w:r>
      <w:r>
        <w:rPr>
          <w:rFonts w:ascii="Times New Roman" w:hAnsi="Times New Roman"/>
          <w:b/>
          <w:noProof/>
          <w:sz w:val="24"/>
        </w:rPr>
        <w:t>engagement de l’UE en faveur d’un multilatéralisme effectif</w:t>
      </w:r>
      <w:r>
        <w:rPr>
          <w:rFonts w:ascii="Times New Roman" w:hAnsi="Times New Roman"/>
          <w:noProof/>
          <w:sz w:val="24"/>
        </w:rPr>
        <w:t xml:space="preserve"> est indispensable au maintien de la paix, de la prospérité, de la sécurité et du respect des droits de l’homme pour tous. L’UE continuera à participer activement à la revitalisation de la </w:t>
      </w:r>
      <w:hyperlink r:id="rId86">
        <w:r>
          <w:rPr>
            <w:rFonts w:ascii="Times New Roman" w:hAnsi="Times New Roman"/>
            <w:b/>
            <w:noProof/>
            <w:sz w:val="24"/>
          </w:rPr>
          <w:t>Commission de la condition de la femme</w:t>
        </w:r>
      </w:hyperlink>
      <w:r>
        <w:rPr>
          <w:rFonts w:ascii="Times New Roman" w:hAnsi="Times New Roman"/>
          <w:noProof/>
          <w:sz w:val="24"/>
        </w:rPr>
        <w:t xml:space="preserve"> et à la soutenir, ainsi qu’à défendre l’égalité de genre au sein des autres organes compétents des Nations unies en matière de droits de l’homme.</w:t>
      </w:r>
    </w:p>
    <w:p w14:paraId="4B3C13D2" w14:textId="77777777" w:rsidR="00BB12A2" w:rsidRPr="007C2998" w:rsidRDefault="00BB12A2" w:rsidP="3F25DB50">
      <w:pPr>
        <w:spacing w:after="0" w:line="276" w:lineRule="auto"/>
        <w:contextualSpacing/>
        <w:jc w:val="both"/>
        <w:rPr>
          <w:rFonts w:ascii="Times New Roman" w:hAnsi="Times New Roman" w:cs="Times New Roman"/>
          <w:noProof/>
          <w:sz w:val="24"/>
          <w:szCs w:val="24"/>
          <w:lang w:val="fr-BE"/>
        </w:rPr>
      </w:pPr>
    </w:p>
    <w:p w14:paraId="35E03E90" w14:textId="411D76AE" w:rsidR="00686FF6" w:rsidRPr="00300B33" w:rsidRDefault="00223A1B" w:rsidP="2E8E8F3C">
      <w:pPr>
        <w:spacing w:after="0" w:line="276" w:lineRule="auto"/>
        <w:contextualSpacing/>
        <w:jc w:val="both"/>
        <w:rPr>
          <w:rFonts w:ascii="Times New Roman" w:hAnsi="Times New Roman" w:cs="Times New Roman"/>
          <w:noProof/>
          <w:sz w:val="24"/>
          <w:szCs w:val="24"/>
        </w:rPr>
      </w:pPr>
      <w:r>
        <w:rPr>
          <w:rFonts w:ascii="Times New Roman" w:hAnsi="Times New Roman"/>
          <w:noProof/>
          <w:sz w:val="24"/>
        </w:rPr>
        <w:t xml:space="preserve">Conformément au </w:t>
      </w:r>
      <w:hyperlink r:id="rId87" w:history="1">
        <w:r>
          <w:rPr>
            <w:rStyle w:val="Hyperlink"/>
            <w:rFonts w:ascii="Times New Roman" w:hAnsi="Times New Roman"/>
            <w:b/>
            <w:noProof/>
            <w:sz w:val="24"/>
          </w:rPr>
          <w:t>programme concernant les femmes, la paix et la sécurité</w:t>
        </w:r>
      </w:hyperlink>
      <w:r>
        <w:rPr>
          <w:rFonts w:ascii="Times New Roman" w:hAnsi="Times New Roman"/>
          <w:noProof/>
          <w:sz w:val="24"/>
        </w:rPr>
        <w:t xml:space="preserve">, il sera essentiel de donner la priorité à l’égalité de genre dans les efforts déployés par les services de la Commission et le SEAE pour promouvoir la paix dans un contexte mondial marqué par la montée de l’insécurité et des conflits. </w:t>
      </w:r>
      <w:r>
        <w:rPr>
          <w:rFonts w:ascii="Times New Roman" w:hAnsi="Times New Roman"/>
          <w:b/>
          <w:noProof/>
          <w:sz w:val="24"/>
        </w:rPr>
        <w:t>Un plan d’action renouvelé de l’UE en faveur des femmes, de la paix et de la sécurité sera soumis à l’approbation du Comité politique et de sécurité en 2027</w:t>
      </w:r>
      <w:r>
        <w:rPr>
          <w:rFonts w:ascii="Times New Roman" w:hAnsi="Times New Roman"/>
          <w:noProof/>
          <w:sz w:val="24"/>
        </w:rPr>
        <w:t xml:space="preserve">. L’UE continuera d’intégrer systématiquement le programme concernant les femmes, la paix et la sécurité dans ses </w:t>
      </w:r>
      <w:r>
        <w:rPr>
          <w:rFonts w:ascii="Times New Roman" w:hAnsi="Times New Roman"/>
          <w:b/>
          <w:noProof/>
          <w:sz w:val="24"/>
        </w:rPr>
        <w:t>partenariats en matière de sécurité et de défense</w:t>
      </w:r>
      <w:r>
        <w:rPr>
          <w:rFonts w:ascii="Times New Roman" w:hAnsi="Times New Roman"/>
          <w:noProof/>
          <w:sz w:val="24"/>
        </w:rPr>
        <w:t>.</w:t>
      </w:r>
    </w:p>
    <w:p w14:paraId="251872E6" w14:textId="77777777" w:rsidR="00D70A7C" w:rsidRPr="00300B33" w:rsidRDefault="00D70A7C" w:rsidP="2E8E8F3C">
      <w:pPr>
        <w:spacing w:after="0" w:line="276" w:lineRule="auto"/>
        <w:contextualSpacing/>
        <w:jc w:val="both"/>
        <w:rPr>
          <w:rFonts w:ascii="Times New Roman" w:hAnsi="Times New Roman" w:cs="Times New Roman"/>
          <w:noProof/>
          <w:sz w:val="24"/>
          <w:szCs w:val="24"/>
        </w:rPr>
      </w:pPr>
    </w:p>
    <w:p w14:paraId="67299394" w14:textId="65350C2A" w:rsidR="002B2C26" w:rsidRDefault="006308A2" w:rsidP="2E8E8F3C">
      <w:pPr>
        <w:spacing w:after="0" w:line="276" w:lineRule="auto"/>
        <w:contextualSpacing/>
        <w:jc w:val="both"/>
        <w:rPr>
          <w:rFonts w:ascii="Times New Roman" w:hAnsi="Times New Roman" w:cs="Times New Roman"/>
          <w:noProof/>
          <w:sz w:val="24"/>
          <w:szCs w:val="24"/>
        </w:rPr>
      </w:pPr>
      <w:r>
        <w:rPr>
          <w:rFonts w:ascii="Times New Roman" w:hAnsi="Times New Roman"/>
          <w:noProof/>
          <w:sz w:val="24"/>
        </w:rPr>
        <w:t xml:space="preserve">La Commission reste déterminée à </w:t>
      </w:r>
      <w:r>
        <w:rPr>
          <w:rFonts w:ascii="Times New Roman" w:hAnsi="Times New Roman"/>
          <w:b/>
          <w:noProof/>
          <w:sz w:val="24"/>
        </w:rPr>
        <w:t>apporter une aide humanitaire tenant compte de la dimension de genre et fondée sur les principes et sur les besoins</w:t>
      </w:r>
      <w:r>
        <w:rPr>
          <w:rFonts w:ascii="Times New Roman" w:hAnsi="Times New Roman"/>
          <w:noProof/>
          <w:sz w:val="24"/>
        </w:rPr>
        <w:t xml:space="preserve"> et à aider les victimes de violences fondées sur le genre dans les situations d’urgence humanitaire, y compris celles qui font l’objet d’une discrimination intersectionnelle. La Commission lancera, en 2026, </w:t>
      </w:r>
      <w:r>
        <w:rPr>
          <w:rFonts w:ascii="Times New Roman" w:hAnsi="Times New Roman"/>
          <w:b/>
          <w:noProof/>
          <w:sz w:val="24"/>
        </w:rPr>
        <w:t>une nouvelle initiative phare spécifique intitulée SHIELD (santé en matière de sexualité et de procréation dans des situations d'urgence et vie digne) et axée sur l’amélioration de l’accès à la santé et aux droits en matière de sexualité et de procréation et du soutien aux victimes de violences fondées sur le genre</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 xml:space="preserve">Cet engagement sera inscrit dans la prochaine </w:t>
      </w:r>
      <w:r>
        <w:rPr>
          <w:rFonts w:ascii="Times New Roman" w:hAnsi="Times New Roman"/>
          <w:b/>
          <w:noProof/>
          <w:sz w:val="24"/>
        </w:rPr>
        <w:t>communication sur l’aide humanitaire</w:t>
      </w:r>
      <w:r>
        <w:rPr>
          <w:rFonts w:ascii="Times New Roman" w:hAnsi="Times New Roman"/>
          <w:noProof/>
          <w:sz w:val="24"/>
        </w:rPr>
        <w:t xml:space="preserve">. La Commission évaluera également la politique d’aide humanitaire de l’UE en matière d’égalité de genre en vue de sa mise à jour. </w:t>
      </w:r>
    </w:p>
    <w:p w14:paraId="284A110E" w14:textId="77777777" w:rsidR="00BE5446" w:rsidRPr="00300B33" w:rsidRDefault="00BE5446" w:rsidP="2E8E8F3C">
      <w:pPr>
        <w:spacing w:after="0" w:line="276" w:lineRule="auto"/>
        <w:contextualSpacing/>
        <w:jc w:val="both"/>
        <w:rPr>
          <w:rFonts w:ascii="Times New Roman" w:hAnsi="Times New Roman" w:cs="Times New Roman"/>
          <w:noProof/>
          <w:sz w:val="24"/>
          <w:szCs w:val="24"/>
        </w:rPr>
      </w:pPr>
    </w:p>
    <w:p w14:paraId="201662B6" w14:textId="2F189B12" w:rsidR="00A83042" w:rsidRPr="00300B33" w:rsidRDefault="009D2362" w:rsidP="3F25DB50">
      <w:pPr>
        <w:spacing w:after="0" w:line="276" w:lineRule="auto"/>
        <w:contextualSpacing/>
        <w:jc w:val="both"/>
        <w:rPr>
          <w:rFonts w:ascii="Times New Roman" w:hAnsi="Times New Roman" w:cs="Times New Roman"/>
          <w:noProof/>
          <w:sz w:val="24"/>
          <w:szCs w:val="24"/>
        </w:rPr>
      </w:pPr>
      <w:r>
        <w:rPr>
          <w:rFonts w:ascii="Times New Roman" w:hAnsi="Times New Roman"/>
          <w:noProof/>
          <w:sz w:val="24"/>
        </w:rPr>
        <w:t>En outre, la promotion de l’</w:t>
      </w:r>
      <w:r>
        <w:rPr>
          <w:rFonts w:ascii="Times New Roman" w:hAnsi="Times New Roman"/>
          <w:b/>
          <w:noProof/>
          <w:sz w:val="24"/>
        </w:rPr>
        <w:t>égalité de genre est un aspect essentiel du travail de la Commission avec les pays candidats et les candidats potentiels</w:t>
      </w:r>
      <w:r>
        <w:rPr>
          <w:rFonts w:ascii="Times New Roman" w:hAnsi="Times New Roman"/>
          <w:noProof/>
          <w:sz w:val="24"/>
        </w:rPr>
        <w:t>, conformément au principe de la «priorité aux fondamentaux» exposé dans la méthodologie révisée en matière d’élargissement de 2020. La Commission continuera d’évaluer l’alignement de la législation des partenaires de l’élargissement sur l’acquis de l’UE en matière d’égalité de genre et sur les normes internationales pertinentes, et fournira un soutien pour garantir la mise en œuvre intégrale. En outre, dans le cadre du partenariat oriental, l’UE continuera d’aider les pays partenaires à promouvoir l’égalité de genre. Ces priorités continueront de se refléter dans le soutien financier de l’UE, notamment par l’intermédiaire de l’</w:t>
      </w:r>
      <w:hyperlink r:id="rId88" w:history="1">
        <w:r>
          <w:rPr>
            <w:rStyle w:val="Hyperlink"/>
            <w:rFonts w:ascii="Times New Roman" w:hAnsi="Times New Roman"/>
            <w:noProof/>
            <w:sz w:val="24"/>
          </w:rPr>
          <w:t>instrument d’aide de préadhésion (IAP) III</w:t>
        </w:r>
      </w:hyperlink>
      <w:r>
        <w:rPr>
          <w:rFonts w:ascii="Times New Roman" w:hAnsi="Times New Roman"/>
          <w:noProof/>
          <w:sz w:val="24"/>
        </w:rPr>
        <w:t xml:space="preserve"> et de l’</w:t>
      </w:r>
      <w:hyperlink r:id="rId89" w:history="1">
        <w:r>
          <w:rPr>
            <w:rStyle w:val="Hyperlink"/>
            <w:rFonts w:ascii="Times New Roman" w:hAnsi="Times New Roman"/>
            <w:noProof/>
            <w:sz w:val="24"/>
          </w:rPr>
          <w:t>instrument de voisinage, de coopération au développement et de coopération internationale (IVCDCI)</w:t>
        </w:r>
      </w:hyperlink>
      <w:r>
        <w:rPr>
          <w:rFonts w:ascii="Times New Roman" w:hAnsi="Times New Roman"/>
          <w:noProof/>
          <w:sz w:val="24"/>
        </w:rPr>
        <w:t>.</w:t>
      </w:r>
    </w:p>
    <w:p w14:paraId="7F542969" w14:textId="77777777" w:rsidR="00B5042A" w:rsidRPr="00300B33" w:rsidRDefault="00B5042A" w:rsidP="00EA7DC6">
      <w:pPr>
        <w:spacing w:after="0" w:line="276" w:lineRule="auto"/>
        <w:jc w:val="both"/>
        <w:rPr>
          <w:rFonts w:ascii="Times New Roman" w:hAnsi="Times New Roman" w:cs="Times New Roman"/>
          <w:noProof/>
          <w:sz w:val="24"/>
          <w:szCs w:val="24"/>
        </w:rPr>
      </w:pPr>
    </w:p>
    <w:p w14:paraId="62BC97AA" w14:textId="219ED144" w:rsidR="00EB31B8" w:rsidRPr="00300B33" w:rsidRDefault="007919A3" w:rsidP="009207BF">
      <w:pPr>
        <w:spacing w:after="0" w:line="276" w:lineRule="auto"/>
        <w:jc w:val="both"/>
        <w:rPr>
          <w:rFonts w:ascii="Times New Roman" w:hAnsi="Times New Roman" w:cs="Times New Roman"/>
          <w:noProof/>
          <w:sz w:val="24"/>
          <w:szCs w:val="24"/>
        </w:rPr>
      </w:pPr>
      <w:r>
        <w:rPr>
          <w:rFonts w:ascii="Times New Roman" w:hAnsi="Times New Roman"/>
          <w:noProof/>
          <w:sz w:val="24"/>
        </w:rPr>
        <w:t>Enfin, l’</w:t>
      </w:r>
      <w:r>
        <w:rPr>
          <w:rFonts w:ascii="Times New Roman" w:hAnsi="Times New Roman"/>
          <w:b/>
          <w:noProof/>
          <w:sz w:val="24"/>
        </w:rPr>
        <w:t>égalité de genre reste inhérente à la politique commerciale de l’UE</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 xml:space="preserve">La Commission continuera d’intégrer des dispositions relatives à l’égalité de genre dans les accords commerciaux. Dans les pays bénéficiant du </w:t>
      </w:r>
      <w:hyperlink r:id="rId90" w:history="1">
        <w:r>
          <w:rPr>
            <w:rStyle w:val="Hyperlink"/>
            <w:rFonts w:ascii="Times New Roman" w:hAnsi="Times New Roman"/>
            <w:noProof/>
            <w:sz w:val="24"/>
          </w:rPr>
          <w:t>système de préférences généralisées de l’UE</w:t>
        </w:r>
      </w:hyperlink>
      <w:r>
        <w:rPr>
          <w:rFonts w:ascii="Times New Roman" w:hAnsi="Times New Roman"/>
          <w:noProof/>
          <w:sz w:val="24"/>
        </w:rPr>
        <w:t>, la Commission continuera de contrôler le respect des conventions internationales relatives aux droits de l’homme. La Commission, en collaboration avec le Centre du commerce international, publiera également, début 2027, un guide pratique à l’intention des décideurs politiques sur l’intégration d’une perspective de genre dans les politiques commerciales.</w:t>
      </w:r>
    </w:p>
    <w:p w14:paraId="41E44C08" w14:textId="77777777" w:rsidR="0021658D" w:rsidRPr="00300B33" w:rsidRDefault="0021658D" w:rsidP="000E2AA0">
      <w:pPr>
        <w:spacing w:after="0" w:line="276" w:lineRule="auto"/>
        <w:jc w:val="both"/>
        <w:rPr>
          <w:rFonts w:ascii="Times New Roman" w:hAnsi="Times New Roman" w:cs="Times New Roman"/>
          <w:noProof/>
          <w:sz w:val="24"/>
          <w:szCs w:val="24"/>
        </w:rPr>
      </w:pPr>
    </w:p>
    <w:p w14:paraId="37B91F61" w14:textId="37983A2A" w:rsidR="00E314D7" w:rsidRPr="00300B33" w:rsidRDefault="00E314D7" w:rsidP="0017249C">
      <w:pPr>
        <w:spacing w:line="276" w:lineRule="auto"/>
        <w:jc w:val="both"/>
        <w:rPr>
          <w:rFonts w:ascii="Times New Roman" w:hAnsi="Times New Roman" w:cs="Times New Roman"/>
          <w:noProof/>
          <w:sz w:val="24"/>
          <w:szCs w:val="24"/>
        </w:rPr>
      </w:pPr>
      <w:r>
        <w:rPr>
          <w:rFonts w:ascii="Times New Roman" w:hAnsi="Times New Roman"/>
          <w:noProof/>
          <w:sz w:val="24"/>
        </w:rPr>
        <w:t>Compte tenu de leur incidence sur les relations extérieures de l’UE, les actions pertinentes proposées dans la présente section seront menées en coopération avec le SEAE, dans le cadre de l’exercice de ses fonctions.</w:t>
      </w:r>
    </w:p>
    <w:p w14:paraId="0ADEBF26" w14:textId="53B08A51" w:rsidR="00EB31B8" w:rsidRPr="00300B33" w:rsidRDefault="068FD873" w:rsidP="3F25DB50">
      <w:pPr>
        <w:pStyle w:val="BodyText"/>
        <w:pBdr>
          <w:top w:val="single" w:sz="4" w:space="1" w:color="auto"/>
          <w:left w:val="single" w:sz="4" w:space="4" w:color="auto"/>
          <w:bottom w:val="single" w:sz="4" w:space="1" w:color="auto"/>
          <w:right w:val="single" w:sz="4" w:space="4" w:color="auto"/>
        </w:pBdr>
        <w:spacing w:after="0"/>
        <w:jc w:val="both"/>
        <w:rPr>
          <w:rFonts w:ascii="Times New Roman" w:hAnsi="Times New Roman"/>
          <w:b/>
          <w:bCs/>
          <w:noProof/>
          <w:sz w:val="24"/>
          <w:szCs w:val="24"/>
        </w:rPr>
      </w:pPr>
      <w:r>
        <w:rPr>
          <w:rFonts w:ascii="Times New Roman" w:hAnsi="Times New Roman"/>
          <w:b/>
          <w:noProof/>
          <w:sz w:val="24"/>
        </w:rPr>
        <w:t>Actions clés:</w:t>
      </w:r>
    </w:p>
    <w:p w14:paraId="301BEFFF" w14:textId="29992C7D" w:rsidR="00EB31B8" w:rsidRPr="00300B33" w:rsidRDefault="008B6AF2" w:rsidP="00F9606A">
      <w:pPr>
        <w:pStyle w:val="BodyText"/>
        <w:numPr>
          <w:ilvl w:val="0"/>
          <w:numId w:val="2"/>
        </w:numPr>
        <w:pBdr>
          <w:top w:val="single" w:sz="4" w:space="1" w:color="auto"/>
          <w:left w:val="single" w:sz="4" w:space="4" w:color="auto"/>
          <w:bottom w:val="single" w:sz="4" w:space="1" w:color="auto"/>
          <w:right w:val="single" w:sz="4" w:space="4" w:color="auto"/>
        </w:pBdr>
        <w:spacing w:after="0"/>
        <w:jc w:val="both"/>
        <w:rPr>
          <w:rFonts w:ascii="Times New Roman" w:hAnsi="Times New Roman"/>
          <w:noProof/>
          <w:sz w:val="24"/>
          <w:szCs w:val="24"/>
        </w:rPr>
      </w:pPr>
      <w:r>
        <w:rPr>
          <w:rFonts w:ascii="Times New Roman" w:hAnsi="Times New Roman"/>
          <w:noProof/>
          <w:sz w:val="24"/>
        </w:rPr>
        <w:t>lancer le quatrième plan d’action sur l’égalité entre les hommes et les femmes (2028-2034);</w:t>
      </w:r>
    </w:p>
    <w:p w14:paraId="129BBAAA" w14:textId="775AEBFE" w:rsidR="00EB31B8" w:rsidRPr="00300B33" w:rsidRDefault="004353E4" w:rsidP="00F9606A">
      <w:pPr>
        <w:pStyle w:val="BodyText"/>
        <w:numPr>
          <w:ilvl w:val="0"/>
          <w:numId w:val="2"/>
        </w:numPr>
        <w:pBdr>
          <w:top w:val="single" w:sz="4" w:space="1" w:color="auto"/>
          <w:left w:val="single" w:sz="4" w:space="4" w:color="auto"/>
          <w:bottom w:val="single" w:sz="4" w:space="1" w:color="auto"/>
          <w:right w:val="single" w:sz="4" w:space="4" w:color="auto"/>
        </w:pBdr>
        <w:spacing w:after="0"/>
        <w:jc w:val="both"/>
        <w:rPr>
          <w:rFonts w:ascii="Times New Roman" w:hAnsi="Times New Roman"/>
          <w:noProof/>
          <w:sz w:val="24"/>
          <w:szCs w:val="24"/>
        </w:rPr>
      </w:pPr>
      <w:r>
        <w:rPr>
          <w:rFonts w:ascii="Times New Roman" w:hAnsi="Times New Roman"/>
          <w:noProof/>
          <w:sz w:val="24"/>
        </w:rPr>
        <w:t>lancer le plan d’action de l’UE en faveur des femmes, de la paix et de la sécurité (2028-2034);</w:t>
      </w:r>
    </w:p>
    <w:p w14:paraId="2840AD29" w14:textId="4289E37E" w:rsidR="007B0B4C" w:rsidRPr="00300B33" w:rsidRDefault="007B0B4C" w:rsidP="00F9606A">
      <w:pPr>
        <w:pStyle w:val="BodyText"/>
        <w:numPr>
          <w:ilvl w:val="0"/>
          <w:numId w:val="2"/>
        </w:numPr>
        <w:pBdr>
          <w:top w:val="single" w:sz="4" w:space="1" w:color="auto"/>
          <w:left w:val="single" w:sz="4" w:space="4" w:color="auto"/>
          <w:bottom w:val="single" w:sz="4" w:space="1" w:color="auto"/>
          <w:right w:val="single" w:sz="4" w:space="4" w:color="auto"/>
        </w:pBdr>
        <w:spacing w:after="0"/>
        <w:jc w:val="both"/>
        <w:rPr>
          <w:rFonts w:ascii="Times New Roman" w:hAnsi="Times New Roman"/>
          <w:noProof/>
          <w:sz w:val="24"/>
          <w:szCs w:val="24"/>
        </w:rPr>
      </w:pPr>
      <w:r>
        <w:rPr>
          <w:rFonts w:ascii="Times New Roman" w:hAnsi="Times New Roman"/>
          <w:noProof/>
          <w:sz w:val="24"/>
        </w:rPr>
        <w:t>lancer le programme SHIELD (santé en matière de sexualité et de procréation dans des situations d'urgence et vie digne) axé sur l’accès à la santé et aux droits en matière de sexualité et de procréation et le soutien aux victimes de violences fondées sur le genre (2026).</w:t>
      </w:r>
    </w:p>
    <w:p w14:paraId="6A641CE3" w14:textId="77777777" w:rsidR="004543DE" w:rsidRDefault="004543DE" w:rsidP="3F25DB50">
      <w:pPr>
        <w:pStyle w:val="BodyText"/>
        <w:spacing w:after="0"/>
        <w:jc w:val="both"/>
        <w:rPr>
          <w:rFonts w:ascii="Times New Roman" w:hAnsi="Times New Roman"/>
          <w:b/>
          <w:bCs/>
          <w:noProof/>
          <w:sz w:val="24"/>
          <w:szCs w:val="24"/>
        </w:rPr>
      </w:pPr>
    </w:p>
    <w:p w14:paraId="10A98737" w14:textId="782B2A21" w:rsidR="00AD5A02" w:rsidRPr="00300B33" w:rsidRDefault="00B9054C" w:rsidP="00181E29">
      <w:pPr>
        <w:pStyle w:val="ListParagraph"/>
        <w:numPr>
          <w:ilvl w:val="0"/>
          <w:numId w:val="1"/>
        </w:numPr>
        <w:spacing w:after="0" w:line="276" w:lineRule="auto"/>
        <w:jc w:val="both"/>
        <w:rPr>
          <w:rFonts w:ascii="Times New Roman" w:hAnsi="Times New Roman" w:cs="Times New Roman"/>
          <w:b/>
          <w:noProof/>
          <w:sz w:val="24"/>
          <w:szCs w:val="24"/>
        </w:rPr>
      </w:pPr>
      <w:r>
        <w:rPr>
          <w:rFonts w:ascii="Times New Roman" w:hAnsi="Times New Roman"/>
          <w:b/>
          <w:noProof/>
          <w:sz w:val="24"/>
        </w:rPr>
        <w:t>Conclusion</w:t>
      </w:r>
    </w:p>
    <w:p w14:paraId="28512ECA" w14:textId="77777777" w:rsidR="00E2252D" w:rsidRPr="00300B33" w:rsidRDefault="00E2252D" w:rsidP="00E2252D">
      <w:pPr>
        <w:spacing w:after="0" w:line="276" w:lineRule="auto"/>
        <w:jc w:val="both"/>
        <w:rPr>
          <w:rFonts w:ascii="Times New Roman" w:hAnsi="Times New Roman" w:cs="Times New Roman"/>
          <w:b/>
          <w:noProof/>
          <w:sz w:val="24"/>
          <w:szCs w:val="24"/>
        </w:rPr>
      </w:pPr>
    </w:p>
    <w:p w14:paraId="6A603ED4" w14:textId="78D6F59A" w:rsidR="00F2002E" w:rsidRPr="00300B33" w:rsidRDefault="009D4EDC" w:rsidP="3F25DB50">
      <w:pPr>
        <w:spacing w:after="0" w:line="276" w:lineRule="auto"/>
        <w:jc w:val="both"/>
        <w:rPr>
          <w:rFonts w:ascii="Times New Roman" w:hAnsi="Times New Roman" w:cs="Times New Roman"/>
          <w:noProof/>
          <w:sz w:val="24"/>
          <w:szCs w:val="24"/>
        </w:rPr>
      </w:pPr>
      <w:r>
        <w:rPr>
          <w:rFonts w:ascii="Times New Roman" w:hAnsi="Times New Roman"/>
          <w:noProof/>
          <w:sz w:val="24"/>
        </w:rPr>
        <w:t xml:space="preserve">Avec cette stratégie, la Commission s’engage à </w:t>
      </w:r>
      <w:r>
        <w:rPr>
          <w:rFonts w:ascii="Times New Roman" w:hAnsi="Times New Roman"/>
          <w:b/>
          <w:noProof/>
          <w:sz w:val="24"/>
        </w:rPr>
        <w:t>rester une référence en matière d’égalité de genre</w:t>
      </w:r>
      <w:r>
        <w:rPr>
          <w:rFonts w:ascii="Times New Roman" w:hAnsi="Times New Roman"/>
          <w:noProof/>
          <w:sz w:val="24"/>
        </w:rPr>
        <w:t xml:space="preserve"> dans un monde en mutation rapide. Alors que l’égalité de genre est soumise à une pression croissante dans de nombreux pays, la Commission continuera de prendre des mesures concrètes pour la faire progresser. Les citoyens de l’UE sont favorables à l’égalité de genre, qu’ils considèrent comme bénéfique pour la société. L’instauration d’une </w:t>
      </w:r>
      <w:r>
        <w:rPr>
          <w:rFonts w:ascii="Times New Roman" w:hAnsi="Times New Roman"/>
          <w:b/>
          <w:noProof/>
          <w:sz w:val="24"/>
        </w:rPr>
        <w:t>société égalitaire du point de vue du genre restera l’objectif de la Commission</w:t>
      </w:r>
      <w:r>
        <w:rPr>
          <w:rFonts w:ascii="Times New Roman" w:hAnsi="Times New Roman"/>
          <w:noProof/>
          <w:sz w:val="24"/>
        </w:rPr>
        <w:t>, comme indiqué dans la feuille de route pour les droits des femmes. Avec cette stratégie, la Commission s’engage à jouer un rôle moteur dans la promotion des principes de la feuille de route, tant au sein de l’UE que dans son action extérieure. Elle veillera également à ce que l’acquis en matière d’égalité de genre et de non-discrimination soit pleinement transposé et mis en œuvre dans l’ensemble de l’UE.</w:t>
      </w:r>
    </w:p>
    <w:p w14:paraId="5BCE7D78" w14:textId="77777777" w:rsidR="00E82DB7" w:rsidRPr="00300B33" w:rsidRDefault="00E82DB7" w:rsidP="3F25DB50">
      <w:pPr>
        <w:spacing w:after="0" w:line="276" w:lineRule="auto"/>
        <w:jc w:val="both"/>
        <w:rPr>
          <w:rFonts w:ascii="Times New Roman" w:hAnsi="Times New Roman" w:cs="Times New Roman"/>
          <w:noProof/>
          <w:sz w:val="24"/>
          <w:szCs w:val="24"/>
        </w:rPr>
      </w:pPr>
    </w:p>
    <w:p w14:paraId="6CD479F4" w14:textId="32E3E16C" w:rsidR="00C75926" w:rsidRPr="00300B33" w:rsidRDefault="00B60A78" w:rsidP="3F25DB50">
      <w:pPr>
        <w:spacing w:after="0" w:line="276" w:lineRule="auto"/>
        <w:jc w:val="both"/>
        <w:rPr>
          <w:rFonts w:ascii="Times New Roman" w:hAnsi="Times New Roman" w:cs="Times New Roman"/>
          <w:noProof/>
          <w:sz w:val="24"/>
          <w:szCs w:val="24"/>
        </w:rPr>
      </w:pPr>
      <w:r>
        <w:rPr>
          <w:rFonts w:ascii="Times New Roman" w:hAnsi="Times New Roman"/>
          <w:noProof/>
          <w:sz w:val="24"/>
        </w:rPr>
        <w:t xml:space="preserve">L’égalité de genre ne sera atteinte que si chacun se mobilise: la présente stratégie </w:t>
      </w:r>
      <w:r>
        <w:rPr>
          <w:rFonts w:ascii="Times New Roman" w:hAnsi="Times New Roman"/>
          <w:b/>
          <w:noProof/>
          <w:sz w:val="24"/>
        </w:rPr>
        <w:t>invite donc à nouveau tous les alliés à œuvrer ensemble en faveur de l’égalité de genre</w:t>
      </w:r>
      <w:r>
        <w:rPr>
          <w:rFonts w:ascii="Times New Roman" w:hAnsi="Times New Roman"/>
          <w:noProof/>
          <w:sz w:val="24"/>
        </w:rPr>
        <w:t>. Des progrès concrets et durables nécessitent une coopération entre les institutions de l’UE et les États membres, avec les partenaires sociaux et les organisations de défense des droits des femmes. La Commission collaborera au niveau international avec tous les partenaires déterminés à promouvoir l’égalité de genre, les pays tiers, y compris les pays candidats et candidats potentiels à l’adhésion à l’UE, et les organisations internationales.</w:t>
      </w:r>
    </w:p>
    <w:sectPr w:rsidR="00C75926" w:rsidRPr="00300B33" w:rsidSect="00DF5B41">
      <w:headerReference w:type="even" r:id="rId91"/>
      <w:headerReference w:type="default" r:id="rId92"/>
      <w:footerReference w:type="even" r:id="rId93"/>
      <w:footerReference w:type="default" r:id="rId94"/>
      <w:headerReference w:type="first" r:id="rId95"/>
      <w:footerReference w:type="first" r:id="rId9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2C99F3" w14:textId="77777777" w:rsidR="00B70DBC" w:rsidRDefault="00B70DBC" w:rsidP="00E004A0">
      <w:pPr>
        <w:spacing w:after="0" w:line="240" w:lineRule="auto"/>
      </w:pPr>
      <w:r>
        <w:separator/>
      </w:r>
    </w:p>
  </w:endnote>
  <w:endnote w:type="continuationSeparator" w:id="0">
    <w:p w14:paraId="638EBD09" w14:textId="77777777" w:rsidR="00B70DBC" w:rsidRDefault="00B70DBC" w:rsidP="00E004A0">
      <w:pPr>
        <w:spacing w:after="0" w:line="240" w:lineRule="auto"/>
      </w:pPr>
      <w:r>
        <w:continuationSeparator/>
      </w:r>
    </w:p>
  </w:endnote>
  <w:endnote w:type="continuationNotice" w:id="1">
    <w:p w14:paraId="1CEDB2BF" w14:textId="77777777" w:rsidR="00B70DBC" w:rsidRDefault="00B70DB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7E4C13" w14:textId="0EE52F05" w:rsidR="00890249" w:rsidRPr="00890249" w:rsidRDefault="00890249" w:rsidP="00890249">
    <w:pPr>
      <w:pStyle w:val="FooterCoverPage"/>
      <w:rPr>
        <w:rFonts w:ascii="Arial" w:hAnsi="Arial" w:cs="Arial"/>
        <w:b/>
        <w:sz w:val="48"/>
      </w:rPr>
    </w:pPr>
    <w:r w:rsidRPr="00890249">
      <w:rPr>
        <w:rFonts w:ascii="Arial" w:hAnsi="Arial" w:cs="Arial"/>
        <w:b/>
        <w:sz w:val="48"/>
      </w:rPr>
      <w:t>FR</w:t>
    </w:r>
    <w:r w:rsidRPr="00890249">
      <w:rPr>
        <w:rFonts w:ascii="Arial" w:hAnsi="Arial" w:cs="Arial"/>
        <w:b/>
        <w:sz w:val="48"/>
      </w:rPr>
      <w:tab/>
    </w:r>
    <w:r w:rsidRPr="00890249">
      <w:rPr>
        <w:rFonts w:ascii="Arial" w:hAnsi="Arial" w:cs="Arial"/>
        <w:b/>
        <w:sz w:val="48"/>
      </w:rPr>
      <w:tab/>
    </w:r>
    <w:r w:rsidRPr="00890249">
      <w:tab/>
    </w:r>
    <w:r w:rsidRPr="00890249">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E6E336" w14:textId="0CC13374" w:rsidR="00890249" w:rsidRPr="00890249" w:rsidRDefault="00890249" w:rsidP="00890249">
    <w:pPr>
      <w:pStyle w:val="FooterCoverPage"/>
      <w:rPr>
        <w:rFonts w:ascii="Arial" w:hAnsi="Arial" w:cs="Arial"/>
        <w:b/>
        <w:sz w:val="48"/>
      </w:rPr>
    </w:pPr>
    <w:r w:rsidRPr="00890249">
      <w:rPr>
        <w:rFonts w:ascii="Arial" w:hAnsi="Arial" w:cs="Arial"/>
        <w:b/>
        <w:sz w:val="48"/>
      </w:rPr>
      <w:t>FR</w:t>
    </w:r>
    <w:r w:rsidRPr="00890249">
      <w:rPr>
        <w:rFonts w:ascii="Arial" w:hAnsi="Arial" w:cs="Arial"/>
        <w:b/>
        <w:sz w:val="48"/>
      </w:rPr>
      <w:tab/>
    </w:r>
    <w:r w:rsidRPr="00890249">
      <w:rPr>
        <w:rFonts w:ascii="Arial" w:hAnsi="Arial" w:cs="Arial"/>
        <w:b/>
        <w:sz w:val="48"/>
      </w:rPr>
      <w:tab/>
    </w:r>
    <w:r w:rsidRPr="00890249">
      <w:tab/>
    </w:r>
    <w:r w:rsidRPr="00890249">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26A1BD" w14:textId="77777777" w:rsidR="00890249" w:rsidRPr="00890249" w:rsidRDefault="00890249" w:rsidP="0089024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E65BED" w14:textId="77777777" w:rsidR="00C56C6C" w:rsidRDefault="00C56C6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sz w:val="20"/>
        <w:szCs w:val="20"/>
      </w:rPr>
      <w:id w:val="-1724058469"/>
      <w:docPartObj>
        <w:docPartGallery w:val="Page Numbers (Bottom of Page)"/>
        <w:docPartUnique/>
      </w:docPartObj>
    </w:sdtPr>
    <w:sdtEndPr/>
    <w:sdtContent>
      <w:p w14:paraId="296F6A01" w14:textId="4391AF8B" w:rsidR="00C56C6C" w:rsidRPr="00B76111" w:rsidRDefault="00C56C6C">
        <w:pPr>
          <w:pStyle w:val="Footer"/>
          <w:jc w:val="center"/>
          <w:rPr>
            <w:rFonts w:ascii="Times New Roman" w:hAnsi="Times New Roman"/>
            <w:sz w:val="20"/>
            <w:szCs w:val="20"/>
          </w:rPr>
        </w:pPr>
        <w:r>
          <w:rPr>
            <w:rFonts w:ascii="Times New Roman" w:hAnsi="Times New Roman"/>
            <w:sz w:val="16"/>
          </w:rPr>
          <w:fldChar w:fldCharType="begin"/>
        </w:r>
        <w:r>
          <w:rPr>
            <w:rFonts w:ascii="Times New Roman" w:hAnsi="Times New Roman"/>
            <w:sz w:val="16"/>
          </w:rPr>
          <w:instrText xml:space="preserve"> PAGE   \* MERGEFORMAT </w:instrText>
        </w:r>
        <w:r>
          <w:rPr>
            <w:rFonts w:ascii="Times New Roman" w:hAnsi="Times New Roman"/>
            <w:sz w:val="16"/>
          </w:rPr>
          <w:fldChar w:fldCharType="separate"/>
        </w:r>
        <w:r w:rsidR="00890249">
          <w:rPr>
            <w:rFonts w:ascii="Times New Roman" w:hAnsi="Times New Roman"/>
            <w:noProof/>
            <w:sz w:val="16"/>
          </w:rPr>
          <w:t>1</w:t>
        </w:r>
        <w:r>
          <w:rPr>
            <w:rFonts w:ascii="Times New Roman" w:hAnsi="Times New Roman"/>
            <w:sz w:val="16"/>
          </w:rPr>
          <w:fldChar w:fldCharType="end"/>
        </w:r>
      </w:p>
    </w:sdtContent>
  </w:sdt>
  <w:p w14:paraId="7F7ADD6D" w14:textId="77777777" w:rsidR="00C56C6C" w:rsidRDefault="00C56C6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0ED0DC" w14:textId="77777777" w:rsidR="00C56C6C" w:rsidRDefault="00C56C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D0DDE8" w14:textId="77777777" w:rsidR="00B70DBC" w:rsidRDefault="00B70DBC" w:rsidP="00E004A0">
      <w:pPr>
        <w:spacing w:after="0" w:line="240" w:lineRule="auto"/>
      </w:pPr>
      <w:r>
        <w:separator/>
      </w:r>
    </w:p>
  </w:footnote>
  <w:footnote w:type="continuationSeparator" w:id="0">
    <w:p w14:paraId="1CAB47F5" w14:textId="77777777" w:rsidR="00B70DBC" w:rsidRDefault="00B70DBC" w:rsidP="00E004A0">
      <w:pPr>
        <w:spacing w:after="0" w:line="240" w:lineRule="auto"/>
      </w:pPr>
      <w:r>
        <w:continuationSeparator/>
      </w:r>
    </w:p>
  </w:footnote>
  <w:footnote w:type="continuationNotice" w:id="1">
    <w:p w14:paraId="43FBDB98" w14:textId="77777777" w:rsidR="00B70DBC" w:rsidRDefault="00B70DBC">
      <w:pPr>
        <w:spacing w:after="0" w:line="240" w:lineRule="auto"/>
      </w:pPr>
    </w:p>
  </w:footnote>
  <w:footnote w:id="2">
    <w:p w14:paraId="1A3B4187" w14:textId="77777777" w:rsidR="00F57B86" w:rsidRPr="005F328A" w:rsidRDefault="00F57B86" w:rsidP="005F328A">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Voir l’article 2 et l’article 3, paragraphe 3, du TUE, les articles 8, 10, 19 et 157 du TFUE et les articles 21 et 23 de la charte des droits fondamentaux de l’Union européenne.</w:t>
      </w:r>
    </w:p>
  </w:footnote>
  <w:footnote w:id="3">
    <w:p w14:paraId="648ACDC1" w14:textId="2923EF33" w:rsidR="00690A22" w:rsidRPr="005F328A" w:rsidRDefault="00690A22" w:rsidP="005F328A">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w:t>
      </w:r>
      <w:hyperlink r:id="rId1" w:history="1">
        <w:r>
          <w:rPr>
            <w:rStyle w:val="Hyperlink"/>
            <w:rFonts w:ascii="Times New Roman" w:hAnsi="Times New Roman"/>
            <w:sz w:val="16"/>
          </w:rPr>
          <w:t>European Institute for Gender Equality's study on the economic impact of gender equality in the EU</w:t>
        </w:r>
      </w:hyperlink>
      <w:r>
        <w:t xml:space="preserve"> </w:t>
      </w:r>
      <w:r w:rsidRPr="00FD17F9">
        <w:rPr>
          <w:rFonts w:ascii="Times New Roman" w:hAnsi="Times New Roman"/>
          <w:sz w:val="16"/>
          <w:szCs w:val="16"/>
        </w:rPr>
        <w:t>(Étude de l’Institut européen pour l’égalité entre les hommes et les femmes sur les effets économiques de l’égalité de genre dans l’UE).</w:t>
      </w:r>
    </w:p>
  </w:footnote>
  <w:footnote w:id="4">
    <w:p w14:paraId="0F0B40D6" w14:textId="188B698E" w:rsidR="00E31A76" w:rsidRPr="005F328A" w:rsidRDefault="00E31A76" w:rsidP="005F328A">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w:t>
      </w:r>
      <w:hyperlink r:id="rId2" w:history="1">
        <w:r>
          <w:rPr>
            <w:rStyle w:val="Hyperlink"/>
            <w:rFonts w:ascii="Times New Roman" w:hAnsi="Times New Roman"/>
            <w:sz w:val="16"/>
          </w:rPr>
          <w:t>Indice d’égalité de genre 2025 de l’Institut européen pour l’égalité entre les hommes et les femmes</w:t>
        </w:r>
      </w:hyperlink>
      <w:r>
        <w:t>.</w:t>
      </w:r>
    </w:p>
  </w:footnote>
  <w:footnote w:id="5">
    <w:p w14:paraId="573620AE" w14:textId="458E2293" w:rsidR="00594C6F" w:rsidRPr="005F328A" w:rsidRDefault="00594C6F" w:rsidP="005F328A">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Stratégie en faveur de l’égalité entre les hommes et les femmes 2020-2025 </w:t>
      </w:r>
      <w:hyperlink r:id="rId3" w:history="1">
        <w:r>
          <w:rPr>
            <w:rStyle w:val="Hyperlink"/>
            <w:rFonts w:ascii="Times New Roman" w:hAnsi="Times New Roman"/>
            <w:sz w:val="16"/>
          </w:rPr>
          <w:t xml:space="preserve">Stratégie en faveur de l’égalité entre les hommes et les femmes </w:t>
        </w:r>
        <w:r w:rsidR="00DE7666">
          <w:rPr>
            <w:rStyle w:val="Hyperlink"/>
            <w:rFonts w:ascii="Times New Roman" w:hAnsi="Times New Roman"/>
            <w:sz w:val="16"/>
          </w:rPr>
          <w:t>–</w:t>
        </w:r>
        <w:r>
          <w:rPr>
            <w:rStyle w:val="Hyperlink"/>
            <w:rFonts w:ascii="Times New Roman" w:hAnsi="Times New Roman"/>
            <w:sz w:val="16"/>
          </w:rPr>
          <w:t xml:space="preserve"> Commission européenne</w:t>
        </w:r>
      </w:hyperlink>
      <w:r>
        <w:rPr>
          <w:rFonts w:ascii="Times New Roman" w:hAnsi="Times New Roman"/>
          <w:sz w:val="16"/>
        </w:rPr>
        <w:t>.</w:t>
      </w:r>
    </w:p>
  </w:footnote>
  <w:footnote w:id="6">
    <w:p w14:paraId="452B9823" w14:textId="1C5E507B" w:rsidR="00902388" w:rsidRPr="00E80E0B" w:rsidRDefault="00902388" w:rsidP="00E80E0B">
      <w:pPr>
        <w:pStyle w:val="FootnoteText"/>
        <w:spacing w:after="0" w:line="240" w:lineRule="auto"/>
        <w:contextualSpacing/>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Conformément à l’objectif d’intégration progressive, les pays candidats et candidats potentiels à l’adhésion à l’UE seront intégrés dans les actions pertinentes et associés de la même manière que les États membres dans la stratégie.</w:t>
      </w:r>
    </w:p>
  </w:footnote>
  <w:footnote w:id="7">
    <w:p w14:paraId="7596D059" w14:textId="441902A6" w:rsidR="00602315" w:rsidRPr="00FA7B5C" w:rsidRDefault="00602315" w:rsidP="00902388">
      <w:pPr>
        <w:pStyle w:val="FootnoteText"/>
        <w:spacing w:after="0" w:line="240" w:lineRule="auto"/>
        <w:contextualSpacing/>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Trois Européens sur quatre s’accordent à dire que les hommes bénéficient également de l’égalité de genre: </w:t>
      </w:r>
      <w:hyperlink r:id="rId4" w:history="1">
        <w:r>
          <w:rPr>
            <w:rStyle w:val="Hyperlink"/>
            <w:rFonts w:ascii="Times New Roman" w:hAnsi="Times New Roman"/>
            <w:sz w:val="16"/>
          </w:rPr>
          <w:t xml:space="preserve">Stéréotypes de genre </w:t>
        </w:r>
        <w:r w:rsidR="00F5535E">
          <w:rPr>
            <w:rStyle w:val="Hyperlink"/>
            <w:rFonts w:ascii="Times New Roman" w:hAnsi="Times New Roman"/>
            <w:sz w:val="16"/>
          </w:rPr>
          <w:t>–</w:t>
        </w:r>
        <w:r>
          <w:rPr>
            <w:rStyle w:val="Hyperlink"/>
            <w:rFonts w:ascii="Times New Roman" w:hAnsi="Times New Roman"/>
            <w:sz w:val="16"/>
          </w:rPr>
          <w:t xml:space="preserve"> Décembre 2024 — Enquête Eurobaromètre</w:t>
        </w:r>
      </w:hyperlink>
      <w:r>
        <w:rPr>
          <w:rFonts w:ascii="Times New Roman" w:hAnsi="Times New Roman"/>
          <w:sz w:val="16"/>
        </w:rPr>
        <w:t>.</w:t>
      </w:r>
    </w:p>
  </w:footnote>
  <w:footnote w:id="8">
    <w:p w14:paraId="4EC38EAD" w14:textId="557BF2C1" w:rsidR="00BE3E6D" w:rsidRPr="002575CE" w:rsidRDefault="00BE3E6D" w:rsidP="00FC5A56">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color w:val="000000" w:themeColor="text1"/>
          <w:sz w:val="16"/>
        </w:rPr>
        <w:t xml:space="preserve"> La stratégie accorde une attention particulière aux femmes issues de minorités raciales et ethniques, aux femmes migrantes, aux femmes handicapées, aux femmes issues de milieux socio-économiques défavorisés, aux femmes jeunes et âgées et aux femmes LBTIQ +.</w:t>
      </w:r>
    </w:p>
  </w:footnote>
  <w:footnote w:id="9">
    <w:p w14:paraId="274EF485" w14:textId="65AB2C5C" w:rsidR="005B17B6" w:rsidRPr="004B4E44" w:rsidRDefault="005B17B6" w:rsidP="000E2AA0">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Voir la </w:t>
      </w:r>
      <w:hyperlink r:id="rId5" w:history="1">
        <w:r>
          <w:rPr>
            <w:rStyle w:val="Hyperlink"/>
            <w:rFonts w:ascii="Times New Roman" w:hAnsi="Times New Roman"/>
            <w:sz w:val="16"/>
          </w:rPr>
          <w:t>stratégie en faveur de l’égalité de traitement à l’égard des personnes LGBTIQ +</w:t>
        </w:r>
      </w:hyperlink>
      <w:r>
        <w:rPr>
          <w:rFonts w:ascii="Times New Roman" w:hAnsi="Times New Roman"/>
          <w:sz w:val="16"/>
        </w:rPr>
        <w:t xml:space="preserve">, la </w:t>
      </w:r>
      <w:hyperlink r:id="rId6" w:history="1">
        <w:r>
          <w:rPr>
            <w:rStyle w:val="Hyperlink"/>
            <w:rFonts w:ascii="Times New Roman" w:hAnsi="Times New Roman"/>
            <w:sz w:val="16"/>
          </w:rPr>
          <w:t>stratégie de lutte contre le racisme</w:t>
        </w:r>
      </w:hyperlink>
      <w:r>
        <w:rPr>
          <w:rFonts w:ascii="Times New Roman" w:hAnsi="Times New Roman"/>
          <w:sz w:val="16"/>
        </w:rPr>
        <w:t xml:space="preserve">, la </w:t>
      </w:r>
      <w:hyperlink r:id="rId7" w:history="1">
        <w:r>
          <w:rPr>
            <w:rStyle w:val="Hyperlink"/>
            <w:rFonts w:ascii="Times New Roman" w:hAnsi="Times New Roman"/>
            <w:sz w:val="16"/>
          </w:rPr>
          <w:t>stratégie en faveur des droits des personnes handicapées</w:t>
        </w:r>
      </w:hyperlink>
      <w:r>
        <w:rPr>
          <w:rFonts w:ascii="Times New Roman" w:hAnsi="Times New Roman"/>
          <w:sz w:val="16"/>
        </w:rPr>
        <w:t xml:space="preserve"> et le </w:t>
      </w:r>
      <w:hyperlink r:id="rId8" w:history="1">
        <w:r>
          <w:rPr>
            <w:rStyle w:val="Hyperlink"/>
            <w:rFonts w:ascii="Times New Roman" w:hAnsi="Times New Roman"/>
            <w:sz w:val="16"/>
          </w:rPr>
          <w:t>cadre stratégique de l’UE pour les Roms</w:t>
        </w:r>
      </w:hyperlink>
      <w:r>
        <w:rPr>
          <w:rFonts w:ascii="Times New Roman" w:hAnsi="Times New Roman"/>
          <w:sz w:val="16"/>
        </w:rPr>
        <w:t>.</w:t>
      </w:r>
    </w:p>
  </w:footnote>
  <w:footnote w:id="10">
    <w:p w14:paraId="6B5A9E21" w14:textId="0D7C40B9" w:rsidR="00E67C4D" w:rsidRPr="00BD092B" w:rsidRDefault="00E67C4D" w:rsidP="00FC5A56">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w:t>
      </w:r>
      <w:hyperlink r:id="rId9" w:history="1">
        <w:r>
          <w:rPr>
            <w:rStyle w:val="Hyperlink"/>
            <w:rFonts w:ascii="Times New Roman" w:hAnsi="Times New Roman"/>
            <w:sz w:val="16"/>
          </w:rPr>
          <w:t>Consultation publique et appel à contributions sur la stratégie en faveur de l’égalité de genre 2026-2030</w:t>
        </w:r>
      </w:hyperlink>
      <w:r>
        <w:t>.</w:t>
      </w:r>
      <w:r>
        <w:rPr>
          <w:rFonts w:ascii="Times New Roman" w:hAnsi="Times New Roman"/>
          <w:sz w:val="16"/>
        </w:rPr>
        <w:t xml:space="preserve"> </w:t>
      </w:r>
    </w:p>
  </w:footnote>
  <w:footnote w:id="11">
    <w:p w14:paraId="2E541AAF" w14:textId="656C844A" w:rsidR="0081683B" w:rsidRPr="00BD092B" w:rsidRDefault="0081683B" w:rsidP="00FC5A56">
      <w:pPr>
        <w:pStyle w:val="FootnoteText"/>
        <w:spacing w:after="0" w:line="240" w:lineRule="auto"/>
        <w:jc w:val="both"/>
        <w:rPr>
          <w:rFonts w:ascii="Times New Roman" w:eastAsia="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w:t>
      </w:r>
      <w:hyperlink r:id="rId10" w:history="1">
        <w:r>
          <w:rPr>
            <w:rStyle w:val="Hyperlink"/>
            <w:rFonts w:ascii="Times New Roman" w:hAnsi="Times New Roman"/>
            <w:sz w:val="16"/>
          </w:rPr>
          <w:t>Résolution du Parlement européen du 13 novembre 2025 sur la stratégie en faveur de l’égalité entre les femmes et les hommes pour 2025</w:t>
        </w:r>
      </w:hyperlink>
      <w:r>
        <w:rPr>
          <w:rFonts w:ascii="Times New Roman" w:hAnsi="Times New Roman"/>
          <w:sz w:val="16"/>
        </w:rPr>
        <w:t xml:space="preserve"> [2024/2125(INI)]; </w:t>
      </w:r>
      <w:hyperlink r:id="rId11" w:history="1">
        <w:r>
          <w:rPr>
            <w:rStyle w:val="Hyperlink"/>
            <w:rFonts w:ascii="Times New Roman" w:hAnsi="Times New Roman"/>
            <w:sz w:val="16"/>
          </w:rPr>
          <w:t>Conclusions du Conseil intitulées «Autonomisation économique et indépendance financière des femmes: vers une réelle égalité de genre»</w:t>
        </w:r>
      </w:hyperlink>
      <w:r>
        <w:t xml:space="preserve"> </w:t>
      </w:r>
      <w:r>
        <w:rPr>
          <w:rFonts w:ascii="Times New Roman" w:hAnsi="Times New Roman"/>
          <w:sz w:val="16"/>
        </w:rPr>
        <w:t xml:space="preserve">(8957/24). </w:t>
      </w:r>
    </w:p>
  </w:footnote>
  <w:footnote w:id="12">
    <w:p w14:paraId="34371CCE" w14:textId="5B7CEAF7" w:rsidR="0054498D" w:rsidRPr="004B4E44" w:rsidRDefault="0054498D" w:rsidP="00FC5A56">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Voir </w:t>
      </w:r>
      <w:hyperlink r:id="rId12" w:history="1">
        <w:r>
          <w:rPr>
            <w:rStyle w:val="Hyperlink"/>
            <w:rFonts w:ascii="Times New Roman" w:hAnsi="Times New Roman"/>
            <w:sz w:val="16"/>
          </w:rPr>
          <w:t>Intentional homicide victims by victim-offender relationship and sex [crim_hom_vrel]</w:t>
        </w:r>
      </w:hyperlink>
      <w:r>
        <w:rPr>
          <w:rFonts w:ascii="Times New Roman" w:hAnsi="Times New Roman"/>
          <w:sz w:val="16"/>
        </w:rPr>
        <w:t xml:space="preserve"> (Victimes d’homicides volontaires par relation victime-délinquant et sexe). </w:t>
      </w:r>
    </w:p>
  </w:footnote>
  <w:footnote w:id="13">
    <w:p w14:paraId="53682973" w14:textId="624EEEB4" w:rsidR="00AB614F" w:rsidRPr="004B4E44" w:rsidRDefault="00AB614F" w:rsidP="000E2AA0">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Voir le rapport de </w:t>
      </w:r>
      <w:hyperlink r:id="rId13" w:history="1">
        <w:r>
          <w:rPr>
            <w:rStyle w:val="Hyperlink"/>
            <w:rFonts w:ascii="Times New Roman" w:hAnsi="Times New Roman"/>
            <w:sz w:val="16"/>
          </w:rPr>
          <w:t>Security Hero de 2023</w:t>
        </w:r>
      </w:hyperlink>
      <w:r>
        <w:rPr>
          <w:rFonts w:ascii="Times New Roman" w:hAnsi="Times New Roman"/>
          <w:sz w:val="16"/>
        </w:rPr>
        <w:t xml:space="preserve">. </w:t>
      </w:r>
    </w:p>
  </w:footnote>
  <w:footnote w:id="14">
    <w:p w14:paraId="3E22D81D" w14:textId="595F16B6" w:rsidR="002371AB" w:rsidRPr="008F3F65" w:rsidRDefault="002371AB" w:rsidP="008F3F65">
      <w:pPr>
        <w:pStyle w:val="FootnoteText"/>
        <w:spacing w:after="0" w:line="240" w:lineRule="auto"/>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Le partage non consenti de matériels intimes ou manipulés, la traque furtive en ligne, le cyberharcèlement et l’incitation à la violence ou à la haine en ligne.</w:t>
      </w:r>
    </w:p>
  </w:footnote>
  <w:footnote w:id="15">
    <w:p w14:paraId="149949D9" w14:textId="75007B84" w:rsidR="004800DD" w:rsidRPr="00816B98" w:rsidRDefault="004800DD" w:rsidP="00816B98">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Article 39 de la directive sur la lutte contre la violence à l’égard des femmes et la violence domestique.</w:t>
      </w:r>
    </w:p>
  </w:footnote>
  <w:footnote w:id="16">
    <w:p w14:paraId="162C860D" w14:textId="56BDB35D" w:rsidR="009961D9" w:rsidRPr="00816B98" w:rsidRDefault="009961D9" w:rsidP="00816B98">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Voir </w:t>
      </w:r>
      <w:hyperlink r:id="rId14" w:history="1">
        <w:r>
          <w:rPr>
            <w:rStyle w:val="Hyperlink"/>
            <w:rFonts w:ascii="Times New Roman" w:hAnsi="Times New Roman"/>
            <w:sz w:val="16"/>
          </w:rPr>
          <w:t xml:space="preserve">L’UE renforce la protection et le soutien des victimes de la criminalité </w:t>
        </w:r>
        <w:r w:rsidR="00AE13D0">
          <w:rPr>
            <w:rStyle w:val="Hyperlink"/>
            <w:rFonts w:ascii="Times New Roman" w:hAnsi="Times New Roman"/>
            <w:sz w:val="16"/>
          </w:rPr>
          <w:t>–</w:t>
        </w:r>
        <w:r>
          <w:rPr>
            <w:rStyle w:val="Hyperlink"/>
            <w:rFonts w:ascii="Times New Roman" w:hAnsi="Times New Roman"/>
            <w:sz w:val="16"/>
          </w:rPr>
          <w:t xml:space="preserve"> Conseil de l’Union européenne</w:t>
        </w:r>
      </w:hyperlink>
      <w:r>
        <w:rPr>
          <w:rFonts w:ascii="Times New Roman" w:hAnsi="Times New Roman"/>
          <w:sz w:val="16"/>
        </w:rPr>
        <w:t xml:space="preserve">. </w:t>
      </w:r>
    </w:p>
  </w:footnote>
  <w:footnote w:id="17">
    <w:p w14:paraId="7A35CC89" w14:textId="596F2407" w:rsidR="003A0352" w:rsidRPr="000E2AA0" w:rsidRDefault="003A0352" w:rsidP="00D26B51">
      <w:pPr>
        <w:pStyle w:val="FootnoteText"/>
        <w:spacing w:after="0" w:line="240" w:lineRule="auto"/>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Article 34, paragraphe 1, point d), du règlement sur les services numériques.</w:t>
      </w:r>
    </w:p>
  </w:footnote>
  <w:footnote w:id="18">
    <w:p w14:paraId="38AC90C2" w14:textId="65DF051B" w:rsidR="009317A9" w:rsidRPr="00BD092B" w:rsidRDefault="009317A9" w:rsidP="000E2AA0">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Eurostat (</w:t>
      </w:r>
      <w:hyperlink r:id="rId15" w:history="1">
        <w:r>
          <w:rPr>
            <w:rFonts w:ascii="Times New Roman" w:hAnsi="Times New Roman"/>
            <w:color w:val="0000FF"/>
            <w:sz w:val="16"/>
            <w:u w:val="single"/>
          </w:rPr>
          <w:t xml:space="preserve">Statistiques sur la traite des êtres humains </w:t>
        </w:r>
        <w:r w:rsidR="007977F0">
          <w:rPr>
            <w:rFonts w:ascii="Times New Roman" w:hAnsi="Times New Roman"/>
            <w:color w:val="0000FF"/>
            <w:sz w:val="16"/>
            <w:u w:val="single"/>
          </w:rPr>
          <w:t>–</w:t>
        </w:r>
        <w:r>
          <w:rPr>
            <w:rFonts w:ascii="Times New Roman" w:hAnsi="Times New Roman"/>
            <w:color w:val="0000FF"/>
            <w:sz w:val="16"/>
            <w:u w:val="single"/>
          </w:rPr>
          <w:t xml:space="preserve"> Statistiques expliquées</w:t>
        </w:r>
        <w:r>
          <w:rPr>
            <w:rFonts w:asciiTheme="minorHAnsi" w:hAnsiTheme="minorHAnsi"/>
            <w:sz w:val="16"/>
          </w:rPr>
          <w:t>).</w:t>
        </w:r>
      </w:hyperlink>
    </w:p>
  </w:footnote>
  <w:footnote w:id="19">
    <w:p w14:paraId="5DF60172" w14:textId="3F20A12B" w:rsidR="00165C98" w:rsidRPr="00165C98" w:rsidRDefault="00165C98" w:rsidP="000E2AA0">
      <w:pPr>
        <w:pStyle w:val="FootnoteText"/>
        <w:spacing w:after="0" w:line="240" w:lineRule="auto"/>
      </w:pPr>
      <w:r>
        <w:rPr>
          <w:rStyle w:val="FootnoteReference"/>
          <w:rFonts w:ascii="Times New Roman" w:hAnsi="Times New Roman"/>
          <w:sz w:val="16"/>
          <w:szCs w:val="16"/>
        </w:rPr>
        <w:footnoteRef/>
      </w:r>
      <w:r>
        <w:t xml:space="preserve"> </w:t>
      </w:r>
      <w:r>
        <w:rPr>
          <w:rFonts w:ascii="Times New Roman" w:hAnsi="Times New Roman"/>
          <w:sz w:val="16"/>
        </w:rPr>
        <w:t>Sauf indication contraire, tous les financements mentionnés dans la présente stratégie concernent des financements au titre du cadre financier pluriannuel (CFP) courant jusqu’en 2027. Aucun financement futur dans le cadre du CFP 2028-2034 n’est encore confirmé, dans l’attente de négociations interinstitutionnelles.</w:t>
      </w:r>
    </w:p>
  </w:footnote>
  <w:footnote w:id="20">
    <w:p w14:paraId="46427E09" w14:textId="24D605A8" w:rsidR="00201F2F" w:rsidRPr="00993739" w:rsidRDefault="00201F2F" w:rsidP="00993739">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Voir, par exemple: </w:t>
      </w:r>
      <w:hyperlink r:id="rId16" w:history="1">
        <w:r>
          <w:rPr>
            <w:rStyle w:val="Hyperlink"/>
            <w:rFonts w:ascii="Times New Roman" w:hAnsi="Times New Roman"/>
            <w:sz w:val="16"/>
          </w:rPr>
          <w:t>Axe thématique 2021 de l’Institut européen pour l’égalité entre les hommes et les femmes: la santé.</w:t>
        </w:r>
      </w:hyperlink>
      <w:r>
        <w:rPr>
          <w:rFonts w:ascii="Times New Roman" w:hAnsi="Times New Roman"/>
          <w:sz w:val="16"/>
        </w:rPr>
        <w:t xml:space="preserve"> </w:t>
      </w:r>
    </w:p>
  </w:footnote>
  <w:footnote w:id="21">
    <w:p w14:paraId="1383A836" w14:textId="76FC92B7" w:rsidR="00E406A6" w:rsidRPr="00993739" w:rsidRDefault="00E406A6" w:rsidP="000E2AA0">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w:t>
      </w:r>
      <w:hyperlink r:id="rId17" w:history="1">
        <w:r>
          <w:rPr>
            <w:rStyle w:val="Hyperlink"/>
            <w:rFonts w:ascii="Times New Roman" w:hAnsi="Times New Roman"/>
            <w:sz w:val="16"/>
          </w:rPr>
          <w:t>Note d’information 2025 du service de recherche du Parlement européen sur la lutte contre la pauvreté menstruelle dans l’Union européenne</w:t>
        </w:r>
      </w:hyperlink>
      <w:r>
        <w:rPr>
          <w:rFonts w:ascii="Times New Roman" w:hAnsi="Times New Roman"/>
          <w:sz w:val="16"/>
        </w:rPr>
        <w:t xml:space="preserve">. </w:t>
      </w:r>
    </w:p>
  </w:footnote>
  <w:footnote w:id="22">
    <w:p w14:paraId="00DF9F9C" w14:textId="2D5DA555" w:rsidR="00EB65A2" w:rsidRPr="00993739" w:rsidRDefault="00EB65A2" w:rsidP="00993739">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Voir, par exemple: </w:t>
      </w:r>
      <w:hyperlink r:id="rId18" w:history="1">
        <w:r>
          <w:rPr>
            <w:rStyle w:val="Hyperlink"/>
            <w:rFonts w:ascii="Times New Roman" w:hAnsi="Times New Roman"/>
            <w:sz w:val="16"/>
          </w:rPr>
          <w:t>rapport 2025 du Parlement européen sur les inégalités de genre dans la recherche médicale, le développement de médicaments et l’accès aux soins.</w:t>
        </w:r>
      </w:hyperlink>
    </w:p>
  </w:footnote>
  <w:footnote w:id="23">
    <w:p w14:paraId="5EC8B23E" w14:textId="249B94A1" w:rsidR="00E0504A" w:rsidRPr="000E2AA0" w:rsidRDefault="00E0504A" w:rsidP="000E2AA0">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En 2025, dans le cadre d’Horizon 2020 et d’Horizon Europe, l’UE avait investi plus de 2 milliards d’EUR dans plus de 1 000 projets axés sur la santé des femmes. Voir: </w:t>
      </w:r>
      <w:hyperlink r:id="rId19" w:history="1">
        <w:r>
          <w:rPr>
            <w:rStyle w:val="Hyperlink"/>
            <w:rFonts w:ascii="Times New Roman" w:hAnsi="Times New Roman"/>
            <w:sz w:val="16"/>
          </w:rPr>
          <w:t>Recherche et innovation de l’UE dans le domaine de la santé des femmes</w:t>
        </w:r>
      </w:hyperlink>
      <w:r>
        <w:rPr>
          <w:rFonts w:ascii="Times New Roman" w:hAnsi="Times New Roman"/>
          <w:sz w:val="16"/>
        </w:rPr>
        <w:t>.</w:t>
      </w:r>
    </w:p>
  </w:footnote>
  <w:footnote w:id="24">
    <w:p w14:paraId="73994B59" w14:textId="52D8D008" w:rsidR="00DD21EC" w:rsidRPr="000E2AA0" w:rsidRDefault="00DD21EC" w:rsidP="000E2AA0">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Voir:</w:t>
      </w:r>
      <w:hyperlink r:id="rId20" w:history="1">
        <w:r>
          <w:rPr>
            <w:rStyle w:val="Hyperlink"/>
            <w:rFonts w:ascii="Times New Roman" w:hAnsi="Times New Roman"/>
            <w:sz w:val="16"/>
          </w:rPr>
          <w:t xml:space="preserve"> Rapport d’analyse 2026 |</w:t>
        </w:r>
      </w:hyperlink>
      <w:hyperlink r:id="rId21" w:history="1">
        <w:r>
          <w:rPr>
            <w:rStyle w:val="Hyperlink"/>
            <w:rFonts w:ascii="Times New Roman" w:hAnsi="Times New Roman"/>
            <w:sz w:val="16"/>
          </w:rPr>
          <w:t xml:space="preserve"> </w:t>
        </w:r>
        <w:r w:rsidR="007977F0">
          <w:rPr>
            <w:rStyle w:val="Hyperlink"/>
            <w:rFonts w:ascii="Times New Roman" w:hAnsi="Times New Roman"/>
            <w:sz w:val="16"/>
          </w:rPr>
          <w:t>–</w:t>
        </w:r>
        <w:r>
          <w:rPr>
            <w:rStyle w:val="Hyperlink"/>
            <w:rFonts w:ascii="Times New Roman" w:hAnsi="Times New Roman"/>
            <w:sz w:val="16"/>
          </w:rPr>
          <w:t xml:space="preserve"> Registre européen des inégalités face au cancer (ECIR)</w:t>
        </w:r>
      </w:hyperlink>
      <w:r>
        <w:rPr>
          <w:rFonts w:ascii="Times New Roman" w:hAnsi="Times New Roman"/>
          <w:sz w:val="16"/>
        </w:rPr>
        <w:t>.</w:t>
      </w:r>
    </w:p>
  </w:footnote>
  <w:footnote w:id="25">
    <w:p w14:paraId="7E3D382E" w14:textId="5574DEED" w:rsidR="00A534A4" w:rsidRPr="008132DB" w:rsidRDefault="00A534A4" w:rsidP="008132DB">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w:t>
      </w:r>
      <w:hyperlink r:id="rId22" w:history="1">
        <w:r>
          <w:rPr>
            <w:rFonts w:ascii="Times New Roman" w:hAnsi="Times New Roman"/>
            <w:color w:val="0000FF"/>
            <w:sz w:val="16"/>
            <w:u w:val="single"/>
          </w:rPr>
          <w:t xml:space="preserve">La situation de l’écart de rémunération entre les genres dans l’UE </w:t>
        </w:r>
        <w:r w:rsidR="007977F0">
          <w:rPr>
            <w:rFonts w:ascii="Times New Roman" w:hAnsi="Times New Roman"/>
            <w:color w:val="0000FF"/>
            <w:sz w:val="16"/>
            <w:u w:val="single"/>
          </w:rPr>
          <w:t>–</w:t>
        </w:r>
        <w:r>
          <w:rPr>
            <w:rFonts w:ascii="Times New Roman" w:hAnsi="Times New Roman"/>
            <w:color w:val="0000FF"/>
            <w:sz w:val="16"/>
            <w:u w:val="single"/>
          </w:rPr>
          <w:t xml:space="preserve"> Commission européenne</w:t>
        </w:r>
      </w:hyperlink>
      <w:r>
        <w:rPr>
          <w:rFonts w:ascii="Times New Roman" w:hAnsi="Times New Roman"/>
          <w:sz w:val="16"/>
        </w:rPr>
        <w:t>.</w:t>
      </w:r>
    </w:p>
  </w:footnote>
  <w:footnote w:id="26">
    <w:p w14:paraId="2F052752" w14:textId="6377D69C" w:rsidR="00747C97" w:rsidRPr="008132DB" w:rsidRDefault="00747C97" w:rsidP="008132DB">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Article 157 du TFUE et article 23 de la charte des droits fondamentaux.</w:t>
      </w:r>
    </w:p>
  </w:footnote>
  <w:footnote w:id="27">
    <w:p w14:paraId="07F28057" w14:textId="7F205F97" w:rsidR="006922F7" w:rsidRPr="008F3F65" w:rsidRDefault="006922F7" w:rsidP="008F3F65">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w:t>
      </w:r>
      <w:hyperlink r:id="rId23" w:history="1">
        <w:r>
          <w:rPr>
            <w:rFonts w:ascii="Times New Roman" w:hAnsi="Times New Roman"/>
            <w:color w:val="0000FF"/>
            <w:sz w:val="16"/>
            <w:u w:val="single"/>
          </w:rPr>
          <w:t>Marchés publics tenant compte de la dimension de genre:</w:t>
        </w:r>
      </w:hyperlink>
      <w:hyperlink r:id="rId24" w:history="1">
        <w:r>
          <w:rPr>
            <w:rFonts w:ascii="Times New Roman" w:hAnsi="Times New Roman"/>
            <w:color w:val="0000FF"/>
            <w:sz w:val="16"/>
            <w:u w:val="single"/>
          </w:rPr>
          <w:t xml:space="preserve"> boîte à outils étape par étape |</w:t>
        </w:r>
      </w:hyperlink>
      <w:hyperlink r:id="rId25" w:history="1">
        <w:r>
          <w:rPr>
            <w:rFonts w:ascii="Times New Roman" w:hAnsi="Times New Roman"/>
            <w:color w:val="0000FF"/>
            <w:sz w:val="16"/>
            <w:u w:val="single"/>
          </w:rPr>
          <w:t xml:space="preserve"> Institut européen pour l’égalité entre les hommes et les femmes</w:t>
        </w:r>
      </w:hyperlink>
      <w:r>
        <w:rPr>
          <w:rFonts w:ascii="Times New Roman" w:hAnsi="Times New Roman"/>
          <w:sz w:val="16"/>
        </w:rPr>
        <w:t>.</w:t>
      </w:r>
    </w:p>
  </w:footnote>
  <w:footnote w:id="28">
    <w:p w14:paraId="1DAD78F1" w14:textId="2A4E0001" w:rsidR="00801734" w:rsidRPr="00B73680" w:rsidRDefault="00801734" w:rsidP="008132DB">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w:t>
      </w:r>
      <w:hyperlink r:id="rId26" w:history="1">
        <w:r>
          <w:rPr>
            <w:rStyle w:val="Hyperlink"/>
            <w:rFonts w:ascii="Times New Roman" w:hAnsi="Times New Roman"/>
            <w:sz w:val="16"/>
          </w:rPr>
          <w:t>Rapport 2025 de l’Agence exécutive pour le Conseil européen de l’innovation et les PME sur l’écart entre les genres en matière d’investissement affectant à la fois les entreprises dirigées par des femmes et les fonds d’investissement dirigés par des femmes</w:t>
        </w:r>
      </w:hyperlink>
      <w:r>
        <w:rPr>
          <w:rFonts w:ascii="Times New Roman" w:hAnsi="Times New Roman"/>
          <w:sz w:val="16"/>
        </w:rPr>
        <w:t xml:space="preserve">. </w:t>
      </w:r>
    </w:p>
  </w:footnote>
  <w:footnote w:id="29">
    <w:p w14:paraId="22038D5A" w14:textId="34C63882" w:rsidR="00771F66" w:rsidRPr="00B73680" w:rsidRDefault="00771F66" w:rsidP="00B73680">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Source: Eurostat </w:t>
      </w:r>
      <w:hyperlink r:id="rId27" w:history="1">
        <w:r>
          <w:rPr>
            <w:rStyle w:val="Hyperlink"/>
            <w:rFonts w:ascii="Times New Roman" w:hAnsi="Times New Roman"/>
            <w:sz w:val="16"/>
          </w:rPr>
          <w:t xml:space="preserve">Niveau de culture financière dans l’UE </w:t>
        </w:r>
        <w:r w:rsidR="00E171BD">
          <w:rPr>
            <w:rStyle w:val="Hyperlink"/>
            <w:rFonts w:ascii="Times New Roman" w:hAnsi="Times New Roman"/>
            <w:sz w:val="16"/>
          </w:rPr>
          <w:t>–</w:t>
        </w:r>
        <w:r>
          <w:rPr>
            <w:rStyle w:val="Hyperlink"/>
            <w:rFonts w:ascii="Times New Roman" w:hAnsi="Times New Roman"/>
            <w:sz w:val="16"/>
          </w:rPr>
          <w:t xml:space="preserve"> juillet 2023 </w:t>
        </w:r>
        <w:r w:rsidR="00E171BD">
          <w:rPr>
            <w:rStyle w:val="Hyperlink"/>
            <w:rFonts w:ascii="Times New Roman" w:hAnsi="Times New Roman"/>
            <w:sz w:val="16"/>
          </w:rPr>
          <w:t>–</w:t>
        </w:r>
        <w:r>
          <w:rPr>
            <w:rStyle w:val="Hyperlink"/>
            <w:rFonts w:ascii="Times New Roman" w:hAnsi="Times New Roman"/>
            <w:sz w:val="16"/>
          </w:rPr>
          <w:t xml:space="preserve"> enquête Eurobaromètre.</w:t>
        </w:r>
      </w:hyperlink>
    </w:p>
  </w:footnote>
  <w:footnote w:id="30">
    <w:p w14:paraId="03D8DE26" w14:textId="574CDA49" w:rsidR="007C14AA" w:rsidRPr="0080683C" w:rsidRDefault="007C14AA" w:rsidP="0080683C">
      <w:pPr>
        <w:pStyle w:val="FootnoteText"/>
        <w:spacing w:after="0" w:line="240" w:lineRule="auto"/>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Source: Eurostat (</w:t>
      </w:r>
      <w:hyperlink r:id="rId28" w:history="1">
        <w:r>
          <w:rPr>
            <w:rStyle w:val="Hyperlink"/>
            <w:rFonts w:ascii="Times New Roman" w:hAnsi="Times New Roman"/>
            <w:sz w:val="16"/>
          </w:rPr>
          <w:t>pension des femmes inférieure de 25 % à celle des hommes en 2024</w:t>
        </w:r>
      </w:hyperlink>
      <w:r>
        <w:rPr>
          <w:rFonts w:ascii="Times New Roman" w:hAnsi="Times New Roman"/>
          <w:sz w:val="16"/>
        </w:rPr>
        <w:t>).</w:t>
      </w:r>
    </w:p>
  </w:footnote>
  <w:footnote w:id="31">
    <w:p w14:paraId="1B2BC3D2" w14:textId="32ADA8A4" w:rsidR="00C072CA" w:rsidRPr="000E2AA0" w:rsidRDefault="00C072CA" w:rsidP="000E2AA0">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EIGE, </w:t>
      </w:r>
      <w:hyperlink r:id="rId29" w:history="1">
        <w:r>
          <w:rPr>
            <w:rFonts w:ascii="Times New Roman" w:hAnsi="Times New Roman"/>
            <w:color w:val="0000FF"/>
            <w:sz w:val="16"/>
            <w:u w:val="single"/>
          </w:rPr>
          <w:t>Partage des soins</w:t>
        </w:r>
        <w:r w:rsidR="00E171BD">
          <w:rPr>
            <w:rFonts w:ascii="Times New Roman" w:hAnsi="Times New Roman"/>
            <w:color w:val="0000FF"/>
            <w:sz w:val="16"/>
            <w:u w:val="single"/>
          </w:rPr>
          <w:t xml:space="preserve"> –</w:t>
        </w:r>
        <w:r>
          <w:rPr>
            <w:rFonts w:ascii="Times New Roman" w:hAnsi="Times New Roman"/>
            <w:color w:val="0000FF"/>
            <w:sz w:val="16"/>
            <w:u w:val="single"/>
          </w:rPr>
          <w:t xml:space="preserve"> Combler les écarts entre les genres </w:t>
        </w:r>
        <w:r w:rsidR="00E171BD" w:rsidRPr="00E171BD">
          <w:rPr>
            <w:rFonts w:ascii="Times New Roman" w:hAnsi="Times New Roman"/>
            <w:color w:val="0000FF"/>
            <w:sz w:val="16"/>
            <w:u w:val="single"/>
          </w:rPr>
          <w:t>–</w:t>
        </w:r>
        <w:r>
          <w:rPr>
            <w:rFonts w:ascii="Times New Roman" w:hAnsi="Times New Roman"/>
            <w:color w:val="0000FF"/>
            <w:sz w:val="16"/>
            <w:u w:val="single"/>
          </w:rPr>
          <w:t xml:space="preserve"> Enquête 2024</w:t>
        </w:r>
      </w:hyperlink>
      <w:r>
        <w:rPr>
          <w:rFonts w:ascii="Times New Roman" w:hAnsi="Times New Roman"/>
          <w:sz w:val="16"/>
        </w:rPr>
        <w:t>.</w:t>
      </w:r>
    </w:p>
  </w:footnote>
  <w:footnote w:id="32">
    <w:p w14:paraId="45448430" w14:textId="5638F7C9" w:rsidR="00EC044F" w:rsidRPr="009A624E" w:rsidRDefault="00EC044F" w:rsidP="009A624E">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Voir le rapport de recherche 2025 d’Eurofound intitulé «</w:t>
      </w:r>
      <w:hyperlink r:id="rId30" w:history="1">
        <w:r>
          <w:rPr>
            <w:rStyle w:val="Hyperlink"/>
            <w:rFonts w:ascii="Times New Roman" w:hAnsi="Times New Roman"/>
            <w:sz w:val="16"/>
          </w:rPr>
          <w:t>Unpaid care in the EU</w:t>
        </w:r>
      </w:hyperlink>
      <w:r>
        <w:rPr>
          <w:rFonts w:ascii="Times New Roman" w:hAnsi="Times New Roman"/>
          <w:sz w:val="16"/>
        </w:rPr>
        <w:t>» (Les soins non rémunérés dans l’UE).</w:t>
      </w:r>
    </w:p>
  </w:footnote>
  <w:footnote w:id="33">
    <w:p w14:paraId="526C6F32" w14:textId="00184F36" w:rsidR="001660D4" w:rsidRPr="009A624E" w:rsidRDefault="001660D4" w:rsidP="000E2AA0">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w:t>
      </w:r>
      <w:hyperlink r:id="rId31" w:history="1">
        <w:r>
          <w:rPr>
            <w:rFonts w:ascii="Times New Roman" w:hAnsi="Times New Roman"/>
            <w:color w:val="0000FF"/>
            <w:sz w:val="16"/>
            <w:u w:val="single"/>
          </w:rPr>
          <w:t xml:space="preserve">Tableau de bord de la reprise et de la résilience </w:t>
        </w:r>
        <w:r w:rsidR="00E171BD" w:rsidRPr="00E171BD">
          <w:rPr>
            <w:rFonts w:ascii="Times New Roman" w:hAnsi="Times New Roman"/>
            <w:color w:val="0000FF"/>
            <w:sz w:val="16"/>
            <w:u w:val="single"/>
          </w:rPr>
          <w:t>–</w:t>
        </w:r>
        <w:r>
          <w:rPr>
            <w:rFonts w:ascii="Times New Roman" w:hAnsi="Times New Roman"/>
            <w:color w:val="0000FF"/>
            <w:sz w:val="16"/>
            <w:u w:val="single"/>
          </w:rPr>
          <w:t xml:space="preserve"> Analyse thématique </w:t>
        </w:r>
        <w:r w:rsidR="00E171BD" w:rsidRPr="00E171BD">
          <w:rPr>
            <w:rFonts w:ascii="Times New Roman" w:hAnsi="Times New Roman"/>
            <w:color w:val="0000FF"/>
            <w:sz w:val="16"/>
            <w:u w:val="single"/>
          </w:rPr>
          <w:t>–</w:t>
        </w:r>
        <w:r>
          <w:rPr>
            <w:rFonts w:ascii="Times New Roman" w:hAnsi="Times New Roman"/>
            <w:color w:val="0000FF"/>
            <w:sz w:val="16"/>
            <w:u w:val="single"/>
          </w:rPr>
          <w:t xml:space="preserve"> Égalité_2023</w:t>
        </w:r>
      </w:hyperlink>
      <w:r>
        <w:t>.</w:t>
      </w:r>
    </w:p>
  </w:footnote>
  <w:footnote w:id="34">
    <w:p w14:paraId="4025C948" w14:textId="7BF5C9BD" w:rsidR="00E23628" w:rsidRPr="00BD092B" w:rsidRDefault="00E23628" w:rsidP="009A624E">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Voir: </w:t>
      </w:r>
      <w:hyperlink r:id="rId32">
        <w:r>
          <w:rPr>
            <w:rStyle w:val="Hyperlink"/>
            <w:rFonts w:ascii="Times New Roman" w:hAnsi="Times New Roman"/>
            <w:sz w:val="16"/>
          </w:rPr>
          <w:t xml:space="preserve">Cadres de suivi et d’évaluation comparative </w:t>
        </w:r>
        <w:r w:rsidR="00E171BD" w:rsidRPr="00E171BD">
          <w:rPr>
            <w:rStyle w:val="Hyperlink"/>
            <w:rFonts w:ascii="Times New Roman" w:hAnsi="Times New Roman"/>
            <w:sz w:val="16"/>
          </w:rPr>
          <w:t>–</w:t>
        </w:r>
        <w:r>
          <w:rPr>
            <w:rStyle w:val="Hyperlink"/>
            <w:rFonts w:ascii="Times New Roman" w:hAnsi="Times New Roman"/>
            <w:sz w:val="16"/>
          </w:rPr>
          <w:t xml:space="preserve"> Emploi, affaires sociales et inclusion</w:t>
        </w:r>
      </w:hyperlink>
      <w:r>
        <w:rPr>
          <w:rFonts w:ascii="Times New Roman" w:hAnsi="Times New Roman"/>
          <w:sz w:val="16"/>
        </w:rPr>
        <w:t>.</w:t>
      </w:r>
    </w:p>
  </w:footnote>
  <w:footnote w:id="35">
    <w:p w14:paraId="3770E9EE" w14:textId="7CDD865A" w:rsidR="000125B9" w:rsidRPr="0035297E" w:rsidRDefault="000125B9" w:rsidP="000E2AA0">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w:t>
      </w:r>
      <w:hyperlink r:id="rId33" w:history="1">
        <w:r>
          <w:rPr>
            <w:rStyle w:val="Hyperlink"/>
            <w:rFonts w:ascii="Times New Roman" w:hAnsi="Times New Roman"/>
            <w:sz w:val="16"/>
          </w:rPr>
          <w:t xml:space="preserve">Statistiques sur les genres </w:t>
        </w:r>
        <w:r w:rsidR="00E171BD" w:rsidRPr="00E171BD">
          <w:rPr>
            <w:rStyle w:val="Hyperlink"/>
            <w:rFonts w:ascii="Times New Roman" w:hAnsi="Times New Roman"/>
            <w:sz w:val="16"/>
          </w:rPr>
          <w:t>–</w:t>
        </w:r>
        <w:r>
          <w:rPr>
            <w:rStyle w:val="Hyperlink"/>
            <w:rFonts w:ascii="Times New Roman" w:hAnsi="Times New Roman"/>
            <w:sz w:val="16"/>
          </w:rPr>
          <w:t xml:space="preserve"> Statistics Explained </w:t>
        </w:r>
        <w:r w:rsidR="00E171BD" w:rsidRPr="00E171BD">
          <w:rPr>
            <w:rStyle w:val="Hyperlink"/>
            <w:rFonts w:ascii="Times New Roman" w:hAnsi="Times New Roman"/>
            <w:sz w:val="16"/>
          </w:rPr>
          <w:t>–</w:t>
        </w:r>
        <w:r>
          <w:rPr>
            <w:rStyle w:val="Hyperlink"/>
            <w:rFonts w:ascii="Times New Roman" w:hAnsi="Times New Roman"/>
            <w:sz w:val="16"/>
          </w:rPr>
          <w:t xml:space="preserve"> Eurostat</w:t>
        </w:r>
      </w:hyperlink>
      <w:r>
        <w:rPr>
          <w:rFonts w:ascii="Times New Roman" w:hAnsi="Times New Roman"/>
          <w:sz w:val="16"/>
        </w:rPr>
        <w:t>.</w:t>
      </w:r>
    </w:p>
  </w:footnote>
  <w:footnote w:id="36">
    <w:p w14:paraId="063C452E" w14:textId="635E4E83" w:rsidR="00D92BE9" w:rsidRPr="007C2998" w:rsidRDefault="00D92BE9" w:rsidP="00065074">
      <w:pPr>
        <w:pStyle w:val="FootnoteText"/>
        <w:tabs>
          <w:tab w:val="left" w:pos="2003"/>
        </w:tabs>
        <w:spacing w:after="0" w:line="240" w:lineRule="auto"/>
        <w:jc w:val="both"/>
        <w:rPr>
          <w:rFonts w:ascii="Times New Roman" w:hAnsi="Times New Roman"/>
          <w:sz w:val="16"/>
          <w:szCs w:val="16"/>
          <w:lang w:val="en-IE"/>
        </w:rPr>
      </w:pPr>
      <w:r>
        <w:rPr>
          <w:rStyle w:val="FootnoteReference"/>
          <w:rFonts w:ascii="Times New Roman" w:hAnsi="Times New Roman"/>
          <w:sz w:val="16"/>
          <w:szCs w:val="16"/>
        </w:rPr>
        <w:footnoteRef/>
      </w:r>
      <w:r w:rsidR="008F747B">
        <w:rPr>
          <w:rFonts w:ascii="Times New Roman" w:hAnsi="Times New Roman"/>
          <w:sz w:val="16"/>
          <w:lang w:val="en-IE"/>
        </w:rPr>
        <w:t xml:space="preserve"> </w:t>
      </w:r>
      <w:r w:rsidRPr="007C2998">
        <w:rPr>
          <w:rFonts w:ascii="Times New Roman" w:hAnsi="Times New Roman"/>
          <w:sz w:val="16"/>
          <w:lang w:val="en-IE"/>
        </w:rPr>
        <w:t>Communiqué de presse 2025 d’Eurofound: «</w:t>
      </w:r>
      <w:hyperlink r:id="rId34" w:history="1">
        <w:r w:rsidRPr="007C2998">
          <w:rPr>
            <w:rStyle w:val="Hyperlink"/>
            <w:rFonts w:ascii="Times New Roman" w:hAnsi="Times New Roman"/>
            <w:sz w:val="16"/>
            <w:lang w:val="en-IE"/>
          </w:rPr>
          <w:t>Mind the Gap!</w:t>
        </w:r>
      </w:hyperlink>
      <w:hyperlink r:id="rId35" w:history="1">
        <w:r w:rsidRPr="007C2998">
          <w:rPr>
            <w:rStyle w:val="Hyperlink"/>
            <w:rFonts w:ascii="Times New Roman" w:hAnsi="Times New Roman"/>
            <w:sz w:val="16"/>
            <w:lang w:val="en-IE"/>
          </w:rPr>
          <w:t xml:space="preserve"> The Gender Employment Gap Cost Europe Over €390 Billion in 2023</w:t>
        </w:r>
      </w:hyperlink>
      <w:r w:rsidRPr="007C2998">
        <w:rPr>
          <w:rFonts w:ascii="Times New Roman" w:hAnsi="Times New Roman"/>
          <w:sz w:val="16"/>
          <w:lang w:val="en-IE"/>
        </w:rPr>
        <w:t xml:space="preserve">». </w:t>
      </w:r>
    </w:p>
  </w:footnote>
  <w:footnote w:id="37">
    <w:p w14:paraId="68F8D4FB" w14:textId="472B0B7F" w:rsidR="00F84E51" w:rsidRPr="00DB6DCE" w:rsidRDefault="00F84E51" w:rsidP="000E2AA0">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Si, en moyenne, dans l’UE, la parité entre les genres est presque atteinte aux échelons supérieurs des administrations publiques nationales (48 % des postes élevés dans la fonction publique étant occupés par des femmes), d’importantes disparités subsistent entre les États membres (la proportion de femmes variant de 26 % à 63 %): </w:t>
      </w:r>
      <w:hyperlink r:id="rId36" w:history="1">
        <w:r>
          <w:rPr>
            <w:rStyle w:val="Hyperlink"/>
            <w:rFonts w:ascii="Times New Roman" w:hAnsi="Times New Roman"/>
            <w:sz w:val="16"/>
          </w:rPr>
          <w:t>Indicateur:</w:t>
        </w:r>
      </w:hyperlink>
      <w:hyperlink r:id="rId37" w:history="1">
        <w:r>
          <w:rPr>
            <w:rStyle w:val="Hyperlink"/>
            <w:rFonts w:ascii="Times New Roman" w:hAnsi="Times New Roman"/>
            <w:sz w:val="16"/>
          </w:rPr>
          <w:t xml:space="preserve"> administrations nationales;</w:t>
        </w:r>
      </w:hyperlink>
      <w:hyperlink r:id="rId38" w:history="1">
        <w:r>
          <w:rPr>
            <w:rStyle w:val="Hyperlink"/>
            <w:rFonts w:ascii="Times New Roman" w:hAnsi="Times New Roman"/>
            <w:sz w:val="16"/>
          </w:rPr>
          <w:t xml:space="preserve"> les deux niveaux supérieurs d’administrateurs par fonction gouvernementale</w:t>
        </w:r>
      </w:hyperlink>
      <w:hyperlink r:id="rId39" w:history="1">
        <w:r>
          <w:rPr>
            <w:rStyle w:val="Hyperlink"/>
            <w:rFonts w:ascii="Times New Roman" w:hAnsi="Times New Roman"/>
            <w:sz w:val="16"/>
          </w:rPr>
          <w:t xml:space="preserve"> Données statistiques sur le genre |</w:t>
        </w:r>
      </w:hyperlink>
      <w:hyperlink r:id="rId40" w:history="1">
        <w:r>
          <w:rPr>
            <w:rStyle w:val="Hyperlink"/>
            <w:rFonts w:ascii="Times New Roman" w:hAnsi="Times New Roman"/>
            <w:sz w:val="16"/>
          </w:rPr>
          <w:t xml:space="preserve"> Institut européen pour l’égalité entre les hommes et les femmes</w:t>
        </w:r>
      </w:hyperlink>
      <w:r>
        <w:rPr>
          <w:rFonts w:ascii="Times New Roman" w:hAnsi="Times New Roman"/>
          <w:sz w:val="16"/>
        </w:rPr>
        <w:t>.</w:t>
      </w:r>
    </w:p>
  </w:footnote>
  <w:footnote w:id="38">
    <w:p w14:paraId="6408D13D" w14:textId="77777777" w:rsidR="00C8645B" w:rsidRPr="00E044B8" w:rsidRDefault="00C8645B" w:rsidP="00C8645B">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La</w:t>
      </w:r>
      <w:r>
        <w:t xml:space="preserve"> </w:t>
      </w:r>
      <w:hyperlink r:id="rId41" w:history="1">
        <w:r>
          <w:rPr>
            <w:rStyle w:val="Hyperlink"/>
            <w:rFonts w:ascii="Times New Roman" w:hAnsi="Times New Roman"/>
            <w:sz w:val="16"/>
          </w:rPr>
          <w:t>convention nº 190 de l’OIT sur la violence et le harcèlement</w:t>
        </w:r>
      </w:hyperlink>
      <w:r>
        <w:t xml:space="preserve"> </w:t>
      </w:r>
      <w:r>
        <w:rPr>
          <w:rFonts w:ascii="Times New Roman" w:hAnsi="Times New Roman"/>
          <w:sz w:val="16"/>
        </w:rPr>
        <w:t>traite également de la violence et du harcèlement fondés sur le genre. À ce jour, 13 États membres de l’UE ont ratifié la convention.</w:t>
      </w:r>
    </w:p>
  </w:footnote>
  <w:footnote w:id="39">
    <w:p w14:paraId="1044F020" w14:textId="792C0B39" w:rsidR="000906DB" w:rsidRPr="00303980" w:rsidRDefault="000906DB" w:rsidP="00303980">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w:t>
      </w:r>
      <w:hyperlink r:id="rId42" w:history="1">
        <w:r>
          <w:rPr>
            <w:rStyle w:val="Hyperlink"/>
            <w:rFonts w:ascii="Times New Roman" w:hAnsi="Times New Roman"/>
            <w:sz w:val="16"/>
          </w:rPr>
          <w:t>Directive 2006/54/CE relative à la mise en œuvre du principe de l’égalité des chances et de l’égalité de traitement entre hommes et femmes en matière d’emploi et de travail (refonte)</w:t>
        </w:r>
      </w:hyperlink>
      <w:r>
        <w:t>.</w:t>
      </w:r>
    </w:p>
  </w:footnote>
  <w:footnote w:id="40">
    <w:p w14:paraId="1E5AB387" w14:textId="7196F0C9" w:rsidR="00B629AD" w:rsidRPr="005F43EF" w:rsidRDefault="00B629AD" w:rsidP="00303980">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w:t>
      </w:r>
      <w:hyperlink r:id="rId43" w:history="1">
        <w:r>
          <w:rPr>
            <w:rStyle w:val="Hyperlink"/>
            <w:rFonts w:ascii="Times New Roman" w:hAnsi="Times New Roman"/>
            <w:sz w:val="16"/>
          </w:rPr>
          <w:t xml:space="preserve">Acte législatif sur des emplois de qualité </w:t>
        </w:r>
        <w:r w:rsidR="00E171BD" w:rsidRPr="00E171BD">
          <w:rPr>
            <w:rStyle w:val="Hyperlink"/>
            <w:rFonts w:ascii="Times New Roman" w:hAnsi="Times New Roman"/>
            <w:sz w:val="16"/>
          </w:rPr>
          <w:t>–</w:t>
        </w:r>
        <w:r>
          <w:rPr>
            <w:rStyle w:val="Hyperlink"/>
            <w:rFonts w:ascii="Times New Roman" w:hAnsi="Times New Roman"/>
            <w:sz w:val="16"/>
          </w:rPr>
          <w:t xml:space="preserve"> Première phase de consultation</w:t>
        </w:r>
      </w:hyperlink>
      <w:r>
        <w:rPr>
          <w:rFonts w:ascii="Times New Roman" w:hAnsi="Times New Roman"/>
          <w:sz w:val="16"/>
        </w:rPr>
        <w:t>.</w:t>
      </w:r>
    </w:p>
  </w:footnote>
  <w:footnote w:id="41">
    <w:p w14:paraId="689C2833" w14:textId="5185AE08" w:rsidR="00E25066" w:rsidRPr="000E2AA0" w:rsidRDefault="00E25066" w:rsidP="000E2AA0">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Voir le </w:t>
      </w:r>
      <w:hyperlink r:id="rId44" w:history="1">
        <w:r>
          <w:rPr>
            <w:rStyle w:val="Hyperlink"/>
            <w:rFonts w:ascii="Times New Roman" w:hAnsi="Times New Roman"/>
            <w:sz w:val="16"/>
          </w:rPr>
          <w:t>rapport de la Commission sur les élections au Parlement européen de 2024</w:t>
        </w:r>
      </w:hyperlink>
      <w:r>
        <w:rPr>
          <w:rFonts w:ascii="Times New Roman" w:hAnsi="Times New Roman"/>
          <w:sz w:val="16"/>
        </w:rPr>
        <w:t>, COM(2025) 287 final.</w:t>
      </w:r>
    </w:p>
  </w:footnote>
  <w:footnote w:id="42">
    <w:p w14:paraId="1CC08D5C" w14:textId="0AFA869B" w:rsidR="48315641" w:rsidRPr="007C2998" w:rsidRDefault="48315641" w:rsidP="000E2AA0">
      <w:pPr>
        <w:spacing w:after="0" w:line="240" w:lineRule="auto"/>
        <w:jc w:val="both"/>
        <w:rPr>
          <w:rFonts w:ascii="Times New Roman" w:hAnsi="Times New Roman" w:cs="Times New Roman"/>
          <w:sz w:val="16"/>
          <w:szCs w:val="16"/>
          <w:lang w:val="en-IE"/>
        </w:rPr>
      </w:pPr>
      <w:r>
        <w:rPr>
          <w:rFonts w:ascii="Times New Roman" w:hAnsi="Times New Roman" w:cs="Times New Roman"/>
          <w:sz w:val="16"/>
          <w:szCs w:val="16"/>
          <w:vertAlign w:val="superscript"/>
        </w:rPr>
        <w:footnoteRef/>
      </w:r>
      <w:r w:rsidRPr="007C2998">
        <w:rPr>
          <w:rFonts w:ascii="Times New Roman" w:hAnsi="Times New Roman"/>
          <w:sz w:val="16"/>
          <w:lang w:val="en-IE"/>
        </w:rPr>
        <w:t xml:space="preserve"> Voir JRC: «Shut up and do the dishes! Toxicity and Gender in Digital Political Spaces: Evidence from the 2024 European Elections» (2025).</w:t>
      </w:r>
    </w:p>
  </w:footnote>
  <w:footnote w:id="43">
    <w:p w14:paraId="74257FC9" w14:textId="0CCA4987" w:rsidR="00B53EDC" w:rsidRPr="000E2AA0" w:rsidRDefault="00B53EDC" w:rsidP="000E2AA0">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w:t>
      </w:r>
      <w:hyperlink r:id="rId45" w:history="1">
        <w:r>
          <w:rPr>
            <w:rStyle w:val="Hyperlink"/>
            <w:rFonts w:ascii="Times New Roman" w:hAnsi="Times New Roman"/>
            <w:sz w:val="16"/>
          </w:rPr>
          <w:t xml:space="preserve">Étude du Conseil des communes et régions d’Europe de 2024 intitulée «WOMEN IN POLITICS Local and European Trends» («FEMMES EN POLITIQUES </w:t>
        </w:r>
        <w:r w:rsidR="00E171BD" w:rsidRPr="00E171BD">
          <w:rPr>
            <w:rStyle w:val="Hyperlink"/>
            <w:rFonts w:ascii="Times New Roman" w:hAnsi="Times New Roman"/>
            <w:sz w:val="16"/>
          </w:rPr>
          <w:t>–</w:t>
        </w:r>
        <w:r>
          <w:rPr>
            <w:rStyle w:val="Hyperlink"/>
            <w:rFonts w:ascii="Times New Roman" w:hAnsi="Times New Roman"/>
            <w:sz w:val="16"/>
          </w:rPr>
          <w:t xml:space="preserve"> Tendances locales et européennes»)</w:t>
        </w:r>
      </w:hyperlink>
      <w:r>
        <w:rPr>
          <w:rFonts w:ascii="Times New Roman" w:hAnsi="Times New Roman"/>
          <w:sz w:val="16"/>
        </w:rPr>
        <w:t>.</w:t>
      </w:r>
    </w:p>
  </w:footnote>
  <w:footnote w:id="44">
    <w:p w14:paraId="5A586BDA" w14:textId="32D02ABD" w:rsidR="48315641" w:rsidRPr="000E2AA0" w:rsidRDefault="48315641" w:rsidP="000E2AA0">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w:t>
      </w:r>
      <w:hyperlink r:id="rId46" w:history="1">
        <w:r>
          <w:rPr>
            <w:rStyle w:val="Hyperlink"/>
            <w:rFonts w:ascii="Times New Roman" w:hAnsi="Times New Roman"/>
            <w:sz w:val="16"/>
          </w:rPr>
          <w:t xml:space="preserve">Violence à l’égard des femmes journalistes et politiciennes </w:t>
        </w:r>
        <w:r w:rsidR="00E171BD" w:rsidRPr="00E171BD">
          <w:rPr>
            <w:rStyle w:val="Hyperlink"/>
            <w:rFonts w:ascii="Times New Roman" w:hAnsi="Times New Roman"/>
            <w:sz w:val="16"/>
          </w:rPr>
          <w:t>–</w:t>
        </w:r>
        <w:r>
          <w:rPr>
            <w:rStyle w:val="Hyperlink"/>
            <w:rFonts w:ascii="Times New Roman" w:hAnsi="Times New Roman"/>
            <w:sz w:val="16"/>
          </w:rPr>
          <w:t xml:space="preserve"> Rapport 2021 de l’OSCE</w:t>
        </w:r>
      </w:hyperlink>
      <w:r>
        <w:rPr>
          <w:rFonts w:ascii="Times New Roman" w:hAnsi="Times New Roman"/>
          <w:sz w:val="16"/>
        </w:rPr>
        <w:t>.</w:t>
      </w:r>
    </w:p>
  </w:footnote>
  <w:footnote w:id="45">
    <w:p w14:paraId="1564173B" w14:textId="200AB262" w:rsidR="00616DA6" w:rsidRPr="00A8407C" w:rsidRDefault="00616DA6" w:rsidP="005C7BFD">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w:t>
      </w:r>
      <w:hyperlink r:id="rId47" w:history="1">
        <w:r>
          <w:rPr>
            <w:rStyle w:val="Hyperlink"/>
            <w:rFonts w:ascii="Times New Roman" w:hAnsi="Times New Roman"/>
            <w:sz w:val="16"/>
          </w:rPr>
          <w:t>ProtectEU:</w:t>
        </w:r>
      </w:hyperlink>
      <w:hyperlink r:id="rId48" w:history="1">
        <w:r>
          <w:rPr>
            <w:rStyle w:val="Hyperlink"/>
            <w:rFonts w:ascii="Times New Roman" w:hAnsi="Times New Roman"/>
            <w:sz w:val="16"/>
          </w:rPr>
          <w:t xml:space="preserve"> une stratégie européenne de sécurité intérieure</w:t>
        </w:r>
      </w:hyperlink>
      <w:r>
        <w:rPr>
          <w:rFonts w:ascii="Times New Roman" w:hAnsi="Times New Roman"/>
          <w:sz w:val="16"/>
        </w:rPr>
        <w:t>, [COM(2025) 148 final]</w:t>
      </w:r>
      <w:r>
        <w:t>.</w:t>
      </w:r>
    </w:p>
  </w:footnote>
  <w:footnote w:id="46">
    <w:p w14:paraId="13237FC7" w14:textId="77777777" w:rsidR="00E12EE1" w:rsidRPr="00BD092B" w:rsidRDefault="00E12EE1" w:rsidP="000E2AA0">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Voir la note d’orientation du JRC: «</w:t>
      </w:r>
      <w:hyperlink r:id="rId49" w:history="1">
        <w:r>
          <w:rPr>
            <w:rStyle w:val="Hyperlink"/>
            <w:rFonts w:ascii="Times New Roman" w:hAnsi="Times New Roman"/>
            <w:sz w:val="16"/>
          </w:rPr>
          <w:t>Gender Attitudes in the EU:</w:t>
        </w:r>
      </w:hyperlink>
      <w:hyperlink r:id="rId50" w:history="1">
        <w:r>
          <w:rPr>
            <w:rStyle w:val="Hyperlink"/>
            <w:rFonts w:ascii="Times New Roman" w:hAnsi="Times New Roman"/>
            <w:sz w:val="16"/>
          </w:rPr>
          <w:t xml:space="preserve"> Uneven Progress and Partial Polarisation</w:t>
        </w:r>
      </w:hyperlink>
      <w:r>
        <w:rPr>
          <w:rFonts w:ascii="Times New Roman" w:hAnsi="Times New Roman"/>
          <w:sz w:val="16"/>
        </w:rPr>
        <w:t>» (2025).</w:t>
      </w:r>
    </w:p>
  </w:footnote>
  <w:footnote w:id="47">
    <w:p w14:paraId="09465D17" w14:textId="412A3CB1" w:rsidR="00136C47" w:rsidRPr="007C2998" w:rsidRDefault="00136C47" w:rsidP="004B4E44">
      <w:pPr>
        <w:pStyle w:val="FootnoteText"/>
        <w:jc w:val="both"/>
        <w:rPr>
          <w:rFonts w:ascii="Times New Roman" w:hAnsi="Times New Roman"/>
          <w:sz w:val="16"/>
          <w:szCs w:val="16"/>
          <w:lang w:val="en-IE"/>
        </w:rPr>
      </w:pPr>
      <w:r>
        <w:rPr>
          <w:rStyle w:val="FootnoteReference"/>
          <w:rFonts w:ascii="Times New Roman" w:hAnsi="Times New Roman"/>
          <w:sz w:val="16"/>
          <w:szCs w:val="16"/>
        </w:rPr>
        <w:footnoteRef/>
      </w:r>
      <w:r w:rsidRPr="007C2998">
        <w:rPr>
          <w:rFonts w:ascii="Times New Roman" w:hAnsi="Times New Roman"/>
          <w:sz w:val="16"/>
          <w:lang w:val="en-IE"/>
        </w:rPr>
        <w:t xml:space="preserve"> Datta, Neil, </w:t>
      </w:r>
      <w:hyperlink r:id="rId51" w:history="1">
        <w:r w:rsidRPr="007C2998">
          <w:rPr>
            <w:rStyle w:val="Hyperlink"/>
            <w:rFonts w:ascii="Times New Roman" w:hAnsi="Times New Roman"/>
            <w:sz w:val="16"/>
            <w:lang w:val="en-IE"/>
          </w:rPr>
          <w:t>The Next Wave:</w:t>
        </w:r>
      </w:hyperlink>
      <w:hyperlink r:id="rId52" w:history="1">
        <w:r w:rsidRPr="007C2998">
          <w:rPr>
            <w:rStyle w:val="Hyperlink"/>
            <w:rFonts w:ascii="Times New Roman" w:hAnsi="Times New Roman"/>
            <w:sz w:val="16"/>
            <w:lang w:val="en-IE"/>
          </w:rPr>
          <w:t xml:space="preserve"> How Religious Extremism Is Regaining Power |</w:t>
        </w:r>
      </w:hyperlink>
      <w:hyperlink r:id="rId53" w:history="1">
        <w:r w:rsidRPr="007C2998">
          <w:rPr>
            <w:rStyle w:val="Hyperlink"/>
            <w:rFonts w:ascii="Times New Roman" w:hAnsi="Times New Roman"/>
            <w:sz w:val="16"/>
            <w:lang w:val="en-IE"/>
          </w:rPr>
          <w:t xml:space="preserve"> EPF</w:t>
        </w:r>
      </w:hyperlink>
      <w:r w:rsidRPr="007C2998">
        <w:rPr>
          <w:rFonts w:ascii="Times New Roman" w:hAnsi="Times New Roman"/>
          <w:sz w:val="16"/>
          <w:lang w:val="en-IE"/>
        </w:rPr>
        <w:t xml:space="preserve"> (2025).</w:t>
      </w:r>
    </w:p>
  </w:footnote>
  <w:footnote w:id="48">
    <w:p w14:paraId="389F33AC" w14:textId="48C56A11" w:rsidR="00B02DD3" w:rsidRPr="00BD092B" w:rsidRDefault="00B02DD3" w:rsidP="00BD092B">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Dans l’attente de l’adoption de l’article 7, paragraphe 3, de la proposition de règlement établissant un cadre de suivi des dépenses et de performance pour le budget et d’autres règles horizontales applicables aux programmes et activités de l’Union [COM(2025) 545 final du 16.7.2025]. </w:t>
      </w:r>
    </w:p>
  </w:footnote>
  <w:footnote w:id="49">
    <w:p w14:paraId="52194744" w14:textId="1BF09B04" w:rsidR="00A25B38" w:rsidRPr="000E2AA0" w:rsidRDefault="00A25B38" w:rsidP="000E2AA0">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Pr>
          <w:rStyle w:val="FootnoteReference"/>
          <w:rFonts w:ascii="Times New Roman" w:hAnsi="Times New Roman"/>
          <w:sz w:val="16"/>
        </w:rPr>
        <w:t xml:space="preserve"> </w:t>
      </w:r>
      <w:r>
        <w:rPr>
          <w:rFonts w:ascii="Times New Roman" w:hAnsi="Times New Roman"/>
          <w:sz w:val="16"/>
        </w:rPr>
        <w:t>Voir la</w:t>
      </w:r>
      <w:r>
        <w:t xml:space="preserve"> </w:t>
      </w:r>
      <w:hyperlink r:id="rId54" w:history="1">
        <w:r>
          <w:rPr>
            <w:rStyle w:val="Hyperlink"/>
            <w:rFonts w:ascii="Times New Roman" w:hAnsi="Times New Roman"/>
            <w:sz w:val="16"/>
          </w:rPr>
          <w:t>stratégie de l’Union pour la société civile</w:t>
        </w:r>
      </w:hyperlink>
      <w:r>
        <w:rPr>
          <w:rFonts w:ascii="Times New Roman" w:hAnsi="Times New Roman"/>
          <w:sz w:val="16"/>
        </w:rPr>
        <w:t xml:space="preserve"> [COM(2025) 790 final].</w:t>
      </w:r>
    </w:p>
  </w:footnote>
  <w:footnote w:id="50">
    <w:p w14:paraId="6725D031" w14:textId="00A84F52" w:rsidR="00515953" w:rsidRPr="002575CE" w:rsidRDefault="00515953" w:rsidP="00DE31C0">
      <w:pPr>
        <w:pStyle w:val="FootnoteText"/>
        <w:spacing w:after="0" w:line="240" w:lineRule="auto"/>
        <w:jc w:val="both"/>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Voir l’avis du Comité européen des régions intitulé </w:t>
      </w:r>
      <w:hyperlink r:id="rId55" w:history="1">
        <w:r>
          <w:rPr>
            <w:rStyle w:val="Hyperlink"/>
            <w:rFonts w:ascii="Times New Roman" w:hAnsi="Times New Roman"/>
            <w:sz w:val="16"/>
          </w:rPr>
          <w:t xml:space="preserve">«Mettre fin à la violence fondée sur le genre </w:t>
        </w:r>
        <w:r w:rsidR="00E171BD" w:rsidRPr="00E171BD">
          <w:rPr>
            <w:rStyle w:val="Hyperlink"/>
            <w:rFonts w:ascii="Times New Roman" w:hAnsi="Times New Roman"/>
            <w:sz w:val="16"/>
          </w:rPr>
          <w:t>–</w:t>
        </w:r>
        <w:r>
          <w:rPr>
            <w:rStyle w:val="Hyperlink"/>
            <w:rFonts w:ascii="Times New Roman" w:hAnsi="Times New Roman"/>
            <w:sz w:val="16"/>
          </w:rPr>
          <w:t xml:space="preserve"> Les villes et les régions jouent un rôle pionnier»</w:t>
        </w:r>
      </w:hyperlink>
      <w:r>
        <w:rPr>
          <w:rFonts w:ascii="Times New Roman" w:hAnsi="Times New Roman"/>
          <w:sz w:val="16"/>
        </w:rPr>
        <w:t xml:space="preserve"> (2024), ainsi que l’initiative mondiale d’ONU Femmes </w:t>
      </w:r>
      <w:hyperlink r:id="rId56" w:history="1">
        <w:r>
          <w:rPr>
            <w:rStyle w:val="Hyperlink"/>
            <w:rFonts w:ascii="Times New Roman" w:hAnsi="Times New Roman"/>
            <w:sz w:val="16"/>
          </w:rPr>
          <w:t>«Villes sûres et espaces publics sûrs pour les femmes et les filles»</w:t>
        </w:r>
      </w:hyperlink>
      <w:r>
        <w:rPr>
          <w:rFonts w:ascii="Times New Roman" w:hAnsi="Times New Roman"/>
          <w:sz w:val="16"/>
        </w:rPr>
        <w:t xml:space="preserve"> (2025). </w:t>
      </w:r>
    </w:p>
  </w:footnote>
  <w:footnote w:id="51">
    <w:p w14:paraId="7A653483" w14:textId="61E6DEB8" w:rsidR="001635A0" w:rsidRPr="008F3F65" w:rsidRDefault="001635A0">
      <w:pPr>
        <w:pStyle w:val="FootnoteText"/>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rPr>
        <w:t xml:space="preserve"> </w:t>
      </w:r>
      <w:hyperlink r:id="rId57" w:history="1">
        <w:r>
          <w:rPr>
            <w:rFonts w:ascii="Times New Roman" w:hAnsi="Times New Roman"/>
            <w:color w:val="0000FF"/>
            <w:sz w:val="16"/>
            <w:u w:val="single"/>
          </w:rPr>
          <w:t xml:space="preserve">OMS 2024 </w:t>
        </w:r>
        <w:r w:rsidR="00E171BD" w:rsidRPr="00E171BD">
          <w:rPr>
            <w:rFonts w:ascii="Times New Roman" w:hAnsi="Times New Roman"/>
            <w:color w:val="0000FF"/>
            <w:sz w:val="16"/>
            <w:u w:val="single"/>
          </w:rPr>
          <w:t>–</w:t>
        </w:r>
        <w:r>
          <w:rPr>
            <w:rFonts w:ascii="Times New Roman" w:hAnsi="Times New Roman"/>
            <w:color w:val="0000FF"/>
            <w:sz w:val="16"/>
            <w:u w:val="single"/>
          </w:rPr>
          <w:t xml:space="preserve"> Statistiques sur la violence à l’égard des femmes</w:t>
        </w:r>
      </w:hyperlink>
      <w:r>
        <w:rPr>
          <w:rFonts w:ascii="Times New Roman" w:hAnsi="Times New Roman"/>
          <w:sz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C01A3B" w14:textId="77777777" w:rsidR="00890249" w:rsidRPr="00890249" w:rsidRDefault="00890249" w:rsidP="00890249">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0E118A" w14:textId="77777777" w:rsidR="00890249" w:rsidRPr="00890249" w:rsidRDefault="00890249" w:rsidP="0089024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95BFB8" w14:textId="77777777" w:rsidR="00890249" w:rsidRPr="00890249" w:rsidRDefault="00890249" w:rsidP="0089024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CED826" w14:textId="77777777" w:rsidR="00C56C6C" w:rsidRDefault="00C56C6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9CF485" w14:textId="77777777" w:rsidR="00C56C6C" w:rsidRDefault="00C56C6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5C55D7" w14:textId="77777777" w:rsidR="00C56C6C" w:rsidRDefault="00C56C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87EB2"/>
    <w:multiLevelType w:val="hybridMultilevel"/>
    <w:tmpl w:val="A00A2BA8"/>
    <w:lvl w:ilvl="0" w:tplc="4CF4AA54">
      <w:start w:val="1"/>
      <w:numFmt w:val="bullet"/>
      <w:lvlText w:val=""/>
      <w:lvlJc w:val="left"/>
      <w:pPr>
        <w:ind w:left="1020" w:hanging="360"/>
      </w:pPr>
      <w:rPr>
        <w:rFonts w:ascii="Symbol" w:hAnsi="Symbol"/>
      </w:rPr>
    </w:lvl>
    <w:lvl w:ilvl="1" w:tplc="F0103572">
      <w:start w:val="1"/>
      <w:numFmt w:val="bullet"/>
      <w:lvlText w:val=""/>
      <w:lvlJc w:val="left"/>
      <w:pPr>
        <w:ind w:left="1020" w:hanging="360"/>
      </w:pPr>
      <w:rPr>
        <w:rFonts w:ascii="Symbol" w:hAnsi="Symbol"/>
      </w:rPr>
    </w:lvl>
    <w:lvl w:ilvl="2" w:tplc="C7E8BAEE">
      <w:start w:val="1"/>
      <w:numFmt w:val="bullet"/>
      <w:lvlText w:val=""/>
      <w:lvlJc w:val="left"/>
      <w:pPr>
        <w:ind w:left="1020" w:hanging="360"/>
      </w:pPr>
      <w:rPr>
        <w:rFonts w:ascii="Symbol" w:hAnsi="Symbol"/>
      </w:rPr>
    </w:lvl>
    <w:lvl w:ilvl="3" w:tplc="E1F61600">
      <w:start w:val="1"/>
      <w:numFmt w:val="bullet"/>
      <w:lvlText w:val=""/>
      <w:lvlJc w:val="left"/>
      <w:pPr>
        <w:ind w:left="1020" w:hanging="360"/>
      </w:pPr>
      <w:rPr>
        <w:rFonts w:ascii="Symbol" w:hAnsi="Symbol"/>
      </w:rPr>
    </w:lvl>
    <w:lvl w:ilvl="4" w:tplc="4D88BB44">
      <w:start w:val="1"/>
      <w:numFmt w:val="bullet"/>
      <w:lvlText w:val=""/>
      <w:lvlJc w:val="left"/>
      <w:pPr>
        <w:ind w:left="1020" w:hanging="360"/>
      </w:pPr>
      <w:rPr>
        <w:rFonts w:ascii="Symbol" w:hAnsi="Symbol"/>
      </w:rPr>
    </w:lvl>
    <w:lvl w:ilvl="5" w:tplc="CBA63294">
      <w:start w:val="1"/>
      <w:numFmt w:val="bullet"/>
      <w:lvlText w:val=""/>
      <w:lvlJc w:val="left"/>
      <w:pPr>
        <w:ind w:left="1020" w:hanging="360"/>
      </w:pPr>
      <w:rPr>
        <w:rFonts w:ascii="Symbol" w:hAnsi="Symbol"/>
      </w:rPr>
    </w:lvl>
    <w:lvl w:ilvl="6" w:tplc="A8FC5A74">
      <w:start w:val="1"/>
      <w:numFmt w:val="bullet"/>
      <w:lvlText w:val=""/>
      <w:lvlJc w:val="left"/>
      <w:pPr>
        <w:ind w:left="1020" w:hanging="360"/>
      </w:pPr>
      <w:rPr>
        <w:rFonts w:ascii="Symbol" w:hAnsi="Symbol"/>
      </w:rPr>
    </w:lvl>
    <w:lvl w:ilvl="7" w:tplc="A52C2316">
      <w:start w:val="1"/>
      <w:numFmt w:val="bullet"/>
      <w:lvlText w:val=""/>
      <w:lvlJc w:val="left"/>
      <w:pPr>
        <w:ind w:left="1020" w:hanging="360"/>
      </w:pPr>
      <w:rPr>
        <w:rFonts w:ascii="Symbol" w:hAnsi="Symbol"/>
      </w:rPr>
    </w:lvl>
    <w:lvl w:ilvl="8" w:tplc="72EA201E">
      <w:start w:val="1"/>
      <w:numFmt w:val="bullet"/>
      <w:lvlText w:val=""/>
      <w:lvlJc w:val="left"/>
      <w:pPr>
        <w:ind w:left="1020" w:hanging="360"/>
      </w:pPr>
      <w:rPr>
        <w:rFonts w:ascii="Symbol" w:hAnsi="Symbol"/>
      </w:rPr>
    </w:lvl>
  </w:abstractNum>
  <w:abstractNum w:abstractNumId="1" w15:restartNumberingAfterBreak="0">
    <w:nsid w:val="0D5359AD"/>
    <w:multiLevelType w:val="hybridMultilevel"/>
    <w:tmpl w:val="0A4C49D0"/>
    <w:lvl w:ilvl="0" w:tplc="1809000D">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0D8722BC"/>
    <w:multiLevelType w:val="hybridMultilevel"/>
    <w:tmpl w:val="61242E5E"/>
    <w:lvl w:ilvl="0" w:tplc="1809000D">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33C96105"/>
    <w:multiLevelType w:val="hybridMultilevel"/>
    <w:tmpl w:val="69F8BFA8"/>
    <w:lvl w:ilvl="0" w:tplc="1809000D">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4ABC4FA9"/>
    <w:multiLevelType w:val="hybridMultilevel"/>
    <w:tmpl w:val="ABF8D0A8"/>
    <w:lvl w:ilvl="0" w:tplc="71320A0E">
      <w:start w:val="1"/>
      <w:numFmt w:val="bullet"/>
      <w:lvlText w:val=""/>
      <w:lvlJc w:val="left"/>
      <w:pPr>
        <w:ind w:left="1020" w:hanging="360"/>
      </w:pPr>
      <w:rPr>
        <w:rFonts w:ascii="Symbol" w:hAnsi="Symbol"/>
      </w:rPr>
    </w:lvl>
    <w:lvl w:ilvl="1" w:tplc="1C88E34C">
      <w:start w:val="1"/>
      <w:numFmt w:val="bullet"/>
      <w:lvlText w:val=""/>
      <w:lvlJc w:val="left"/>
      <w:pPr>
        <w:ind w:left="1020" w:hanging="360"/>
      </w:pPr>
      <w:rPr>
        <w:rFonts w:ascii="Symbol" w:hAnsi="Symbol"/>
      </w:rPr>
    </w:lvl>
    <w:lvl w:ilvl="2" w:tplc="633A4268">
      <w:start w:val="1"/>
      <w:numFmt w:val="bullet"/>
      <w:lvlText w:val=""/>
      <w:lvlJc w:val="left"/>
      <w:pPr>
        <w:ind w:left="1020" w:hanging="360"/>
      </w:pPr>
      <w:rPr>
        <w:rFonts w:ascii="Symbol" w:hAnsi="Symbol"/>
      </w:rPr>
    </w:lvl>
    <w:lvl w:ilvl="3" w:tplc="1DC8D3CC">
      <w:start w:val="1"/>
      <w:numFmt w:val="bullet"/>
      <w:lvlText w:val=""/>
      <w:lvlJc w:val="left"/>
      <w:pPr>
        <w:ind w:left="1020" w:hanging="360"/>
      </w:pPr>
      <w:rPr>
        <w:rFonts w:ascii="Symbol" w:hAnsi="Symbol"/>
      </w:rPr>
    </w:lvl>
    <w:lvl w:ilvl="4" w:tplc="F0601E22">
      <w:start w:val="1"/>
      <w:numFmt w:val="bullet"/>
      <w:lvlText w:val=""/>
      <w:lvlJc w:val="left"/>
      <w:pPr>
        <w:ind w:left="1020" w:hanging="360"/>
      </w:pPr>
      <w:rPr>
        <w:rFonts w:ascii="Symbol" w:hAnsi="Symbol"/>
      </w:rPr>
    </w:lvl>
    <w:lvl w:ilvl="5" w:tplc="56546AAC">
      <w:start w:val="1"/>
      <w:numFmt w:val="bullet"/>
      <w:lvlText w:val=""/>
      <w:lvlJc w:val="left"/>
      <w:pPr>
        <w:ind w:left="1020" w:hanging="360"/>
      </w:pPr>
      <w:rPr>
        <w:rFonts w:ascii="Symbol" w:hAnsi="Symbol"/>
      </w:rPr>
    </w:lvl>
    <w:lvl w:ilvl="6" w:tplc="BAE8DA82">
      <w:start w:val="1"/>
      <w:numFmt w:val="bullet"/>
      <w:lvlText w:val=""/>
      <w:lvlJc w:val="left"/>
      <w:pPr>
        <w:ind w:left="1020" w:hanging="360"/>
      </w:pPr>
      <w:rPr>
        <w:rFonts w:ascii="Symbol" w:hAnsi="Symbol"/>
      </w:rPr>
    </w:lvl>
    <w:lvl w:ilvl="7" w:tplc="5238A10E">
      <w:start w:val="1"/>
      <w:numFmt w:val="bullet"/>
      <w:lvlText w:val=""/>
      <w:lvlJc w:val="left"/>
      <w:pPr>
        <w:ind w:left="1020" w:hanging="360"/>
      </w:pPr>
      <w:rPr>
        <w:rFonts w:ascii="Symbol" w:hAnsi="Symbol"/>
      </w:rPr>
    </w:lvl>
    <w:lvl w:ilvl="8" w:tplc="29F283FE">
      <w:start w:val="1"/>
      <w:numFmt w:val="bullet"/>
      <w:lvlText w:val=""/>
      <w:lvlJc w:val="left"/>
      <w:pPr>
        <w:ind w:left="1020" w:hanging="360"/>
      </w:pPr>
      <w:rPr>
        <w:rFonts w:ascii="Symbol" w:hAnsi="Symbol"/>
      </w:rPr>
    </w:lvl>
  </w:abstractNum>
  <w:abstractNum w:abstractNumId="5" w15:restartNumberingAfterBreak="0">
    <w:nsid w:val="4B8E4CF3"/>
    <w:multiLevelType w:val="hybridMultilevel"/>
    <w:tmpl w:val="8CE491D6"/>
    <w:lvl w:ilvl="0" w:tplc="3B72ECF4">
      <w:start w:val="1"/>
      <w:numFmt w:val="bullet"/>
      <w:lvlText w:val=""/>
      <w:lvlJc w:val="left"/>
      <w:pPr>
        <w:ind w:left="720" w:hanging="360"/>
      </w:pPr>
      <w:rPr>
        <w:rFonts w:ascii="Symbol" w:hAnsi="Symbol"/>
      </w:rPr>
    </w:lvl>
    <w:lvl w:ilvl="1" w:tplc="D206CA48">
      <w:start w:val="1"/>
      <w:numFmt w:val="bullet"/>
      <w:lvlText w:val=""/>
      <w:lvlJc w:val="left"/>
      <w:pPr>
        <w:ind w:left="720" w:hanging="360"/>
      </w:pPr>
      <w:rPr>
        <w:rFonts w:ascii="Symbol" w:hAnsi="Symbol"/>
      </w:rPr>
    </w:lvl>
    <w:lvl w:ilvl="2" w:tplc="B5C00926">
      <w:start w:val="1"/>
      <w:numFmt w:val="bullet"/>
      <w:lvlText w:val=""/>
      <w:lvlJc w:val="left"/>
      <w:pPr>
        <w:ind w:left="720" w:hanging="360"/>
      </w:pPr>
      <w:rPr>
        <w:rFonts w:ascii="Symbol" w:hAnsi="Symbol"/>
      </w:rPr>
    </w:lvl>
    <w:lvl w:ilvl="3" w:tplc="6B02A686">
      <w:start w:val="1"/>
      <w:numFmt w:val="bullet"/>
      <w:lvlText w:val=""/>
      <w:lvlJc w:val="left"/>
      <w:pPr>
        <w:ind w:left="720" w:hanging="360"/>
      </w:pPr>
      <w:rPr>
        <w:rFonts w:ascii="Symbol" w:hAnsi="Symbol"/>
      </w:rPr>
    </w:lvl>
    <w:lvl w:ilvl="4" w:tplc="0C4AE93C">
      <w:start w:val="1"/>
      <w:numFmt w:val="bullet"/>
      <w:lvlText w:val=""/>
      <w:lvlJc w:val="left"/>
      <w:pPr>
        <w:ind w:left="720" w:hanging="360"/>
      </w:pPr>
      <w:rPr>
        <w:rFonts w:ascii="Symbol" w:hAnsi="Symbol"/>
      </w:rPr>
    </w:lvl>
    <w:lvl w:ilvl="5" w:tplc="4844CA08">
      <w:start w:val="1"/>
      <w:numFmt w:val="bullet"/>
      <w:lvlText w:val=""/>
      <w:lvlJc w:val="left"/>
      <w:pPr>
        <w:ind w:left="720" w:hanging="360"/>
      </w:pPr>
      <w:rPr>
        <w:rFonts w:ascii="Symbol" w:hAnsi="Symbol"/>
      </w:rPr>
    </w:lvl>
    <w:lvl w:ilvl="6" w:tplc="1ECCF7A8">
      <w:start w:val="1"/>
      <w:numFmt w:val="bullet"/>
      <w:lvlText w:val=""/>
      <w:lvlJc w:val="left"/>
      <w:pPr>
        <w:ind w:left="720" w:hanging="360"/>
      </w:pPr>
      <w:rPr>
        <w:rFonts w:ascii="Symbol" w:hAnsi="Symbol"/>
      </w:rPr>
    </w:lvl>
    <w:lvl w:ilvl="7" w:tplc="80C6B37E">
      <w:start w:val="1"/>
      <w:numFmt w:val="bullet"/>
      <w:lvlText w:val=""/>
      <w:lvlJc w:val="left"/>
      <w:pPr>
        <w:ind w:left="720" w:hanging="360"/>
      </w:pPr>
      <w:rPr>
        <w:rFonts w:ascii="Symbol" w:hAnsi="Symbol"/>
      </w:rPr>
    </w:lvl>
    <w:lvl w:ilvl="8" w:tplc="578629B2">
      <w:start w:val="1"/>
      <w:numFmt w:val="bullet"/>
      <w:lvlText w:val=""/>
      <w:lvlJc w:val="left"/>
      <w:pPr>
        <w:ind w:left="720" w:hanging="360"/>
      </w:pPr>
      <w:rPr>
        <w:rFonts w:ascii="Symbol" w:hAnsi="Symbol"/>
      </w:rPr>
    </w:lvl>
  </w:abstractNum>
  <w:abstractNum w:abstractNumId="6" w15:restartNumberingAfterBreak="0">
    <w:nsid w:val="569A0C2F"/>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677B13E0"/>
    <w:multiLevelType w:val="hybridMultilevel"/>
    <w:tmpl w:val="C08A1C2C"/>
    <w:lvl w:ilvl="0" w:tplc="1809000D">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6EC705F0"/>
    <w:multiLevelType w:val="hybridMultilevel"/>
    <w:tmpl w:val="EF9CB846"/>
    <w:lvl w:ilvl="0" w:tplc="C3A65AAE">
      <w:start w:val="1"/>
      <w:numFmt w:val="bullet"/>
      <w:lvlText w:val=""/>
      <w:lvlJc w:val="left"/>
      <w:pPr>
        <w:ind w:left="720" w:hanging="360"/>
      </w:pPr>
      <w:rPr>
        <w:rFonts w:ascii="Symbol" w:hAnsi="Symbol"/>
      </w:rPr>
    </w:lvl>
    <w:lvl w:ilvl="1" w:tplc="615EAB6E">
      <w:start w:val="1"/>
      <w:numFmt w:val="bullet"/>
      <w:lvlText w:val=""/>
      <w:lvlJc w:val="left"/>
      <w:pPr>
        <w:ind w:left="720" w:hanging="360"/>
      </w:pPr>
      <w:rPr>
        <w:rFonts w:ascii="Symbol" w:hAnsi="Symbol"/>
      </w:rPr>
    </w:lvl>
    <w:lvl w:ilvl="2" w:tplc="176CCDCC">
      <w:start w:val="1"/>
      <w:numFmt w:val="bullet"/>
      <w:lvlText w:val=""/>
      <w:lvlJc w:val="left"/>
      <w:pPr>
        <w:ind w:left="720" w:hanging="360"/>
      </w:pPr>
      <w:rPr>
        <w:rFonts w:ascii="Symbol" w:hAnsi="Symbol"/>
      </w:rPr>
    </w:lvl>
    <w:lvl w:ilvl="3" w:tplc="B3FC61C4">
      <w:start w:val="1"/>
      <w:numFmt w:val="bullet"/>
      <w:lvlText w:val=""/>
      <w:lvlJc w:val="left"/>
      <w:pPr>
        <w:ind w:left="720" w:hanging="360"/>
      </w:pPr>
      <w:rPr>
        <w:rFonts w:ascii="Symbol" w:hAnsi="Symbol"/>
      </w:rPr>
    </w:lvl>
    <w:lvl w:ilvl="4" w:tplc="253A9398">
      <w:start w:val="1"/>
      <w:numFmt w:val="bullet"/>
      <w:lvlText w:val=""/>
      <w:lvlJc w:val="left"/>
      <w:pPr>
        <w:ind w:left="720" w:hanging="360"/>
      </w:pPr>
      <w:rPr>
        <w:rFonts w:ascii="Symbol" w:hAnsi="Symbol"/>
      </w:rPr>
    </w:lvl>
    <w:lvl w:ilvl="5" w:tplc="DC206A30">
      <w:start w:val="1"/>
      <w:numFmt w:val="bullet"/>
      <w:lvlText w:val=""/>
      <w:lvlJc w:val="left"/>
      <w:pPr>
        <w:ind w:left="720" w:hanging="360"/>
      </w:pPr>
      <w:rPr>
        <w:rFonts w:ascii="Symbol" w:hAnsi="Symbol"/>
      </w:rPr>
    </w:lvl>
    <w:lvl w:ilvl="6" w:tplc="0A2210EC">
      <w:start w:val="1"/>
      <w:numFmt w:val="bullet"/>
      <w:lvlText w:val=""/>
      <w:lvlJc w:val="left"/>
      <w:pPr>
        <w:ind w:left="720" w:hanging="360"/>
      </w:pPr>
      <w:rPr>
        <w:rFonts w:ascii="Symbol" w:hAnsi="Symbol"/>
      </w:rPr>
    </w:lvl>
    <w:lvl w:ilvl="7" w:tplc="8C7E20E2">
      <w:start w:val="1"/>
      <w:numFmt w:val="bullet"/>
      <w:lvlText w:val=""/>
      <w:lvlJc w:val="left"/>
      <w:pPr>
        <w:ind w:left="720" w:hanging="360"/>
      </w:pPr>
      <w:rPr>
        <w:rFonts w:ascii="Symbol" w:hAnsi="Symbol"/>
      </w:rPr>
    </w:lvl>
    <w:lvl w:ilvl="8" w:tplc="EF52D538">
      <w:start w:val="1"/>
      <w:numFmt w:val="bullet"/>
      <w:lvlText w:val=""/>
      <w:lvlJc w:val="left"/>
      <w:pPr>
        <w:ind w:left="720" w:hanging="360"/>
      </w:pPr>
      <w:rPr>
        <w:rFonts w:ascii="Symbol" w:hAnsi="Symbol"/>
      </w:rPr>
    </w:lvl>
  </w:abstractNum>
  <w:abstractNum w:abstractNumId="9" w15:restartNumberingAfterBreak="0">
    <w:nsid w:val="79435633"/>
    <w:multiLevelType w:val="hybridMultilevel"/>
    <w:tmpl w:val="39607444"/>
    <w:lvl w:ilvl="0" w:tplc="F81A8DC4">
      <w:start w:val="1"/>
      <w:numFmt w:val="bullet"/>
      <w:lvlText w:val=""/>
      <w:lvlJc w:val="left"/>
      <w:pPr>
        <w:ind w:left="1020" w:hanging="360"/>
      </w:pPr>
      <w:rPr>
        <w:rFonts w:ascii="Symbol" w:hAnsi="Symbol"/>
      </w:rPr>
    </w:lvl>
    <w:lvl w:ilvl="1" w:tplc="2734613C">
      <w:start w:val="1"/>
      <w:numFmt w:val="bullet"/>
      <w:lvlText w:val=""/>
      <w:lvlJc w:val="left"/>
      <w:pPr>
        <w:ind w:left="1020" w:hanging="360"/>
      </w:pPr>
      <w:rPr>
        <w:rFonts w:ascii="Symbol" w:hAnsi="Symbol"/>
      </w:rPr>
    </w:lvl>
    <w:lvl w:ilvl="2" w:tplc="D5BADB48">
      <w:start w:val="1"/>
      <w:numFmt w:val="bullet"/>
      <w:lvlText w:val=""/>
      <w:lvlJc w:val="left"/>
      <w:pPr>
        <w:ind w:left="1020" w:hanging="360"/>
      </w:pPr>
      <w:rPr>
        <w:rFonts w:ascii="Symbol" w:hAnsi="Symbol"/>
      </w:rPr>
    </w:lvl>
    <w:lvl w:ilvl="3" w:tplc="FAF64152">
      <w:start w:val="1"/>
      <w:numFmt w:val="bullet"/>
      <w:lvlText w:val=""/>
      <w:lvlJc w:val="left"/>
      <w:pPr>
        <w:ind w:left="1020" w:hanging="360"/>
      </w:pPr>
      <w:rPr>
        <w:rFonts w:ascii="Symbol" w:hAnsi="Symbol"/>
      </w:rPr>
    </w:lvl>
    <w:lvl w:ilvl="4" w:tplc="415EFD9E">
      <w:start w:val="1"/>
      <w:numFmt w:val="bullet"/>
      <w:lvlText w:val=""/>
      <w:lvlJc w:val="left"/>
      <w:pPr>
        <w:ind w:left="1020" w:hanging="360"/>
      </w:pPr>
      <w:rPr>
        <w:rFonts w:ascii="Symbol" w:hAnsi="Symbol"/>
      </w:rPr>
    </w:lvl>
    <w:lvl w:ilvl="5" w:tplc="64963636">
      <w:start w:val="1"/>
      <w:numFmt w:val="bullet"/>
      <w:lvlText w:val=""/>
      <w:lvlJc w:val="left"/>
      <w:pPr>
        <w:ind w:left="1020" w:hanging="360"/>
      </w:pPr>
      <w:rPr>
        <w:rFonts w:ascii="Symbol" w:hAnsi="Symbol"/>
      </w:rPr>
    </w:lvl>
    <w:lvl w:ilvl="6" w:tplc="28CC5EFC">
      <w:start w:val="1"/>
      <w:numFmt w:val="bullet"/>
      <w:lvlText w:val=""/>
      <w:lvlJc w:val="left"/>
      <w:pPr>
        <w:ind w:left="1020" w:hanging="360"/>
      </w:pPr>
      <w:rPr>
        <w:rFonts w:ascii="Symbol" w:hAnsi="Symbol"/>
      </w:rPr>
    </w:lvl>
    <w:lvl w:ilvl="7" w:tplc="5EDEE0B0">
      <w:start w:val="1"/>
      <w:numFmt w:val="bullet"/>
      <w:lvlText w:val=""/>
      <w:lvlJc w:val="left"/>
      <w:pPr>
        <w:ind w:left="1020" w:hanging="360"/>
      </w:pPr>
      <w:rPr>
        <w:rFonts w:ascii="Symbol" w:hAnsi="Symbol"/>
      </w:rPr>
    </w:lvl>
    <w:lvl w:ilvl="8" w:tplc="6C986B32">
      <w:start w:val="1"/>
      <w:numFmt w:val="bullet"/>
      <w:lvlText w:val=""/>
      <w:lvlJc w:val="left"/>
      <w:pPr>
        <w:ind w:left="1020" w:hanging="360"/>
      </w:pPr>
      <w:rPr>
        <w:rFonts w:ascii="Symbol" w:hAnsi="Symbol"/>
      </w:rPr>
    </w:lvl>
  </w:abstractNum>
  <w:abstractNum w:abstractNumId="10" w15:restartNumberingAfterBreak="0">
    <w:nsid w:val="7E513A14"/>
    <w:multiLevelType w:val="hybridMultilevel"/>
    <w:tmpl w:val="ECE4931C"/>
    <w:lvl w:ilvl="0" w:tplc="1809000D">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abstractNumId w:val="6"/>
  </w:num>
  <w:num w:numId="2">
    <w:abstractNumId w:val="7"/>
  </w:num>
  <w:num w:numId="3">
    <w:abstractNumId w:val="3"/>
  </w:num>
  <w:num w:numId="4">
    <w:abstractNumId w:val="2"/>
  </w:num>
  <w:num w:numId="5">
    <w:abstractNumId w:val="10"/>
  </w:num>
  <w:num w:numId="6">
    <w:abstractNumId w:val="1"/>
  </w:num>
  <w:num w:numId="7">
    <w:abstractNumId w:val="9"/>
  </w:num>
  <w:num w:numId="8">
    <w:abstractNumId w:val="0"/>
  </w:num>
  <w:num w:numId="9">
    <w:abstractNumId w:val="8"/>
  </w:num>
  <w:num w:numId="10">
    <w:abstractNumId w:val="4"/>
  </w:num>
  <w:num w:numId="11">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412B4BD4-7548-4CE1-B40E-7DD75BB69AAF"/>
    <w:docVar w:name="LW_COVERPAGE_TYPE" w:val="1"/>
    <w:docVar w:name="LW_CROSSREFERENCE" w:val="{SWD(2026) 82 final}"/>
    <w:docVar w:name="LW_DocType" w:val="NORMAL"/>
    <w:docVar w:name="LW_EMISSION" w:val="5.3.2026"/>
    <w:docVar w:name="LW_EMISSION_ISODATE" w:val="2026-03-05"/>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11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tratégie en faveur de l\u8217?égalité de genre 2026-2030"/>
    <w:docVar w:name="LW_TYPE.DOC.CP" w:val="COMMUNICATION DE LA COMMISSION AU PARLEMENT EUROPÉEN, AU CONSEIL, AU COMITÉ ÉCONOMIQUE ET SOCIAL EUROPÉEN ET AU COMITÉ DES RÉGIONS"/>
    <w:docVar w:name="LW_TYPE.DOC.CP.USERTEXT" w:val="&lt;EMPTY&gt;"/>
    <w:docVar w:name="LwApiVersions" w:val="LW4CoDe 1.24.5.0; LW 9.2, Build 20251112"/>
  </w:docVars>
  <w:rsids>
    <w:rsidRoot w:val="00EB31B8"/>
    <w:rsid w:val="0000000C"/>
    <w:rsid w:val="000000E4"/>
    <w:rsid w:val="00000156"/>
    <w:rsid w:val="0000025D"/>
    <w:rsid w:val="00000353"/>
    <w:rsid w:val="00000757"/>
    <w:rsid w:val="00000C73"/>
    <w:rsid w:val="00000E74"/>
    <w:rsid w:val="00000E7D"/>
    <w:rsid w:val="000011DC"/>
    <w:rsid w:val="000012A4"/>
    <w:rsid w:val="00001649"/>
    <w:rsid w:val="000018CB"/>
    <w:rsid w:val="00001BD4"/>
    <w:rsid w:val="0000205B"/>
    <w:rsid w:val="000020F6"/>
    <w:rsid w:val="000022AE"/>
    <w:rsid w:val="00002341"/>
    <w:rsid w:val="00002449"/>
    <w:rsid w:val="00002558"/>
    <w:rsid w:val="0000265F"/>
    <w:rsid w:val="00002749"/>
    <w:rsid w:val="00002750"/>
    <w:rsid w:val="00002990"/>
    <w:rsid w:val="000029E6"/>
    <w:rsid w:val="00002A23"/>
    <w:rsid w:val="00002A9B"/>
    <w:rsid w:val="00002AC8"/>
    <w:rsid w:val="00002ADE"/>
    <w:rsid w:val="00002BB7"/>
    <w:rsid w:val="00002E7F"/>
    <w:rsid w:val="0000305C"/>
    <w:rsid w:val="0000305D"/>
    <w:rsid w:val="000030E5"/>
    <w:rsid w:val="00003196"/>
    <w:rsid w:val="000031D6"/>
    <w:rsid w:val="00003205"/>
    <w:rsid w:val="00003322"/>
    <w:rsid w:val="00003596"/>
    <w:rsid w:val="0000363D"/>
    <w:rsid w:val="000037A4"/>
    <w:rsid w:val="00003990"/>
    <w:rsid w:val="00003B83"/>
    <w:rsid w:val="00003BA5"/>
    <w:rsid w:val="00003BB8"/>
    <w:rsid w:val="00003D1E"/>
    <w:rsid w:val="00003D7E"/>
    <w:rsid w:val="00004185"/>
    <w:rsid w:val="00004327"/>
    <w:rsid w:val="000043EB"/>
    <w:rsid w:val="000045ED"/>
    <w:rsid w:val="00004A46"/>
    <w:rsid w:val="00004BC1"/>
    <w:rsid w:val="00004C21"/>
    <w:rsid w:val="00004CA9"/>
    <w:rsid w:val="00004CFC"/>
    <w:rsid w:val="00004D86"/>
    <w:rsid w:val="00004DD0"/>
    <w:rsid w:val="00004E20"/>
    <w:rsid w:val="00004F28"/>
    <w:rsid w:val="00005093"/>
    <w:rsid w:val="00005180"/>
    <w:rsid w:val="00005226"/>
    <w:rsid w:val="00005272"/>
    <w:rsid w:val="000052BF"/>
    <w:rsid w:val="000052D5"/>
    <w:rsid w:val="00005360"/>
    <w:rsid w:val="000054A4"/>
    <w:rsid w:val="000054C5"/>
    <w:rsid w:val="000055CD"/>
    <w:rsid w:val="000057D8"/>
    <w:rsid w:val="000058D7"/>
    <w:rsid w:val="0000599C"/>
    <w:rsid w:val="00005A77"/>
    <w:rsid w:val="00005C96"/>
    <w:rsid w:val="00005DCB"/>
    <w:rsid w:val="00005DF4"/>
    <w:rsid w:val="00005E6D"/>
    <w:rsid w:val="00005FFA"/>
    <w:rsid w:val="0000601C"/>
    <w:rsid w:val="000060B7"/>
    <w:rsid w:val="000063C0"/>
    <w:rsid w:val="00006400"/>
    <w:rsid w:val="000064E4"/>
    <w:rsid w:val="0000660D"/>
    <w:rsid w:val="00006922"/>
    <w:rsid w:val="00006AD8"/>
    <w:rsid w:val="00006B2E"/>
    <w:rsid w:val="00006B71"/>
    <w:rsid w:val="00006C9E"/>
    <w:rsid w:val="00006CE2"/>
    <w:rsid w:val="000070C2"/>
    <w:rsid w:val="000070F4"/>
    <w:rsid w:val="0000714F"/>
    <w:rsid w:val="0000720E"/>
    <w:rsid w:val="00007237"/>
    <w:rsid w:val="00007305"/>
    <w:rsid w:val="00007314"/>
    <w:rsid w:val="00007324"/>
    <w:rsid w:val="000073DB"/>
    <w:rsid w:val="00007504"/>
    <w:rsid w:val="00007505"/>
    <w:rsid w:val="000075B2"/>
    <w:rsid w:val="0000764A"/>
    <w:rsid w:val="00007686"/>
    <w:rsid w:val="0000781E"/>
    <w:rsid w:val="000078B6"/>
    <w:rsid w:val="000078E2"/>
    <w:rsid w:val="000078F8"/>
    <w:rsid w:val="0000796F"/>
    <w:rsid w:val="000079F3"/>
    <w:rsid w:val="00007A98"/>
    <w:rsid w:val="00007D03"/>
    <w:rsid w:val="00007D94"/>
    <w:rsid w:val="00007DE0"/>
    <w:rsid w:val="00007EB2"/>
    <w:rsid w:val="000100B6"/>
    <w:rsid w:val="00010101"/>
    <w:rsid w:val="000101CD"/>
    <w:rsid w:val="00010362"/>
    <w:rsid w:val="000103BE"/>
    <w:rsid w:val="000103FE"/>
    <w:rsid w:val="000105C4"/>
    <w:rsid w:val="0001060C"/>
    <w:rsid w:val="00010653"/>
    <w:rsid w:val="00010682"/>
    <w:rsid w:val="0001071D"/>
    <w:rsid w:val="000107D5"/>
    <w:rsid w:val="000108DB"/>
    <w:rsid w:val="00010AA7"/>
    <w:rsid w:val="00010AC0"/>
    <w:rsid w:val="00010B1A"/>
    <w:rsid w:val="00010DAF"/>
    <w:rsid w:val="00010F97"/>
    <w:rsid w:val="000110D5"/>
    <w:rsid w:val="000112B1"/>
    <w:rsid w:val="0001130D"/>
    <w:rsid w:val="00011599"/>
    <w:rsid w:val="000117C9"/>
    <w:rsid w:val="00011A65"/>
    <w:rsid w:val="00011B22"/>
    <w:rsid w:val="00011EF8"/>
    <w:rsid w:val="00012045"/>
    <w:rsid w:val="00012067"/>
    <w:rsid w:val="0001207D"/>
    <w:rsid w:val="000120CF"/>
    <w:rsid w:val="0001222A"/>
    <w:rsid w:val="0001230A"/>
    <w:rsid w:val="0001235D"/>
    <w:rsid w:val="0001244C"/>
    <w:rsid w:val="000125B9"/>
    <w:rsid w:val="000125FA"/>
    <w:rsid w:val="00012640"/>
    <w:rsid w:val="00012697"/>
    <w:rsid w:val="000126BA"/>
    <w:rsid w:val="000126DF"/>
    <w:rsid w:val="000126F7"/>
    <w:rsid w:val="00012777"/>
    <w:rsid w:val="000128C5"/>
    <w:rsid w:val="0001290F"/>
    <w:rsid w:val="00012AF6"/>
    <w:rsid w:val="00012BBC"/>
    <w:rsid w:val="00012C8C"/>
    <w:rsid w:val="00012D48"/>
    <w:rsid w:val="00012E42"/>
    <w:rsid w:val="00012E9E"/>
    <w:rsid w:val="00012EC8"/>
    <w:rsid w:val="00013486"/>
    <w:rsid w:val="000134A1"/>
    <w:rsid w:val="000137C1"/>
    <w:rsid w:val="00013959"/>
    <w:rsid w:val="00013976"/>
    <w:rsid w:val="00013A96"/>
    <w:rsid w:val="00013B18"/>
    <w:rsid w:val="00013C47"/>
    <w:rsid w:val="00013C6F"/>
    <w:rsid w:val="00013CBD"/>
    <w:rsid w:val="00013FC4"/>
    <w:rsid w:val="00014218"/>
    <w:rsid w:val="000142BD"/>
    <w:rsid w:val="00014383"/>
    <w:rsid w:val="000143E1"/>
    <w:rsid w:val="000144BC"/>
    <w:rsid w:val="00014773"/>
    <w:rsid w:val="000147BC"/>
    <w:rsid w:val="000148A4"/>
    <w:rsid w:val="00014928"/>
    <w:rsid w:val="00014962"/>
    <w:rsid w:val="00014A01"/>
    <w:rsid w:val="00014A99"/>
    <w:rsid w:val="00014B15"/>
    <w:rsid w:val="00014B7E"/>
    <w:rsid w:val="00014D26"/>
    <w:rsid w:val="00014D7F"/>
    <w:rsid w:val="00014E33"/>
    <w:rsid w:val="00014EC9"/>
    <w:rsid w:val="0001515A"/>
    <w:rsid w:val="000151FD"/>
    <w:rsid w:val="00015228"/>
    <w:rsid w:val="000152B0"/>
    <w:rsid w:val="00015352"/>
    <w:rsid w:val="0001540D"/>
    <w:rsid w:val="00015681"/>
    <w:rsid w:val="000156FA"/>
    <w:rsid w:val="00015794"/>
    <w:rsid w:val="000157D0"/>
    <w:rsid w:val="00015858"/>
    <w:rsid w:val="0001599D"/>
    <w:rsid w:val="00015B06"/>
    <w:rsid w:val="00015B22"/>
    <w:rsid w:val="00016021"/>
    <w:rsid w:val="00016244"/>
    <w:rsid w:val="0001628A"/>
    <w:rsid w:val="00016384"/>
    <w:rsid w:val="0001647D"/>
    <w:rsid w:val="0001655D"/>
    <w:rsid w:val="000166A0"/>
    <w:rsid w:val="000166DF"/>
    <w:rsid w:val="000167D9"/>
    <w:rsid w:val="0001681C"/>
    <w:rsid w:val="00016B8C"/>
    <w:rsid w:val="00016C22"/>
    <w:rsid w:val="00016C66"/>
    <w:rsid w:val="00016D49"/>
    <w:rsid w:val="00016D4A"/>
    <w:rsid w:val="00016DD4"/>
    <w:rsid w:val="0001707D"/>
    <w:rsid w:val="00017175"/>
    <w:rsid w:val="000171D5"/>
    <w:rsid w:val="00017459"/>
    <w:rsid w:val="0001775F"/>
    <w:rsid w:val="00017945"/>
    <w:rsid w:val="000179C7"/>
    <w:rsid w:val="00017A35"/>
    <w:rsid w:val="00017A72"/>
    <w:rsid w:val="00017AAE"/>
    <w:rsid w:val="00017B9B"/>
    <w:rsid w:val="00017C38"/>
    <w:rsid w:val="00017D47"/>
    <w:rsid w:val="00017D4A"/>
    <w:rsid w:val="00017EBB"/>
    <w:rsid w:val="00017EDD"/>
    <w:rsid w:val="00020037"/>
    <w:rsid w:val="00020127"/>
    <w:rsid w:val="000203EF"/>
    <w:rsid w:val="00020783"/>
    <w:rsid w:val="000207FD"/>
    <w:rsid w:val="00020868"/>
    <w:rsid w:val="000208DF"/>
    <w:rsid w:val="00020913"/>
    <w:rsid w:val="0002096E"/>
    <w:rsid w:val="000209D0"/>
    <w:rsid w:val="000209EA"/>
    <w:rsid w:val="00020A70"/>
    <w:rsid w:val="00020BA1"/>
    <w:rsid w:val="00020E7C"/>
    <w:rsid w:val="00020EAF"/>
    <w:rsid w:val="00020F11"/>
    <w:rsid w:val="00021130"/>
    <w:rsid w:val="000211E6"/>
    <w:rsid w:val="0002120E"/>
    <w:rsid w:val="0002128E"/>
    <w:rsid w:val="00021347"/>
    <w:rsid w:val="00021456"/>
    <w:rsid w:val="0002149E"/>
    <w:rsid w:val="000214BB"/>
    <w:rsid w:val="00021610"/>
    <w:rsid w:val="000217AD"/>
    <w:rsid w:val="000217C5"/>
    <w:rsid w:val="000217D2"/>
    <w:rsid w:val="0002180A"/>
    <w:rsid w:val="00021981"/>
    <w:rsid w:val="00021AC6"/>
    <w:rsid w:val="00021B1A"/>
    <w:rsid w:val="00021BFF"/>
    <w:rsid w:val="00021DBB"/>
    <w:rsid w:val="00021E93"/>
    <w:rsid w:val="00022000"/>
    <w:rsid w:val="0002233A"/>
    <w:rsid w:val="000223C2"/>
    <w:rsid w:val="0002262E"/>
    <w:rsid w:val="0002263A"/>
    <w:rsid w:val="00022724"/>
    <w:rsid w:val="000229CB"/>
    <w:rsid w:val="00022A01"/>
    <w:rsid w:val="00022B41"/>
    <w:rsid w:val="00022B86"/>
    <w:rsid w:val="00022BBD"/>
    <w:rsid w:val="00022D0F"/>
    <w:rsid w:val="00022DDC"/>
    <w:rsid w:val="00022DF0"/>
    <w:rsid w:val="00022E8D"/>
    <w:rsid w:val="00022F8B"/>
    <w:rsid w:val="00022FA3"/>
    <w:rsid w:val="000230ED"/>
    <w:rsid w:val="000231EC"/>
    <w:rsid w:val="00023287"/>
    <w:rsid w:val="000233C2"/>
    <w:rsid w:val="000233C8"/>
    <w:rsid w:val="00023444"/>
    <w:rsid w:val="000235AC"/>
    <w:rsid w:val="00023967"/>
    <w:rsid w:val="00023A36"/>
    <w:rsid w:val="00023A86"/>
    <w:rsid w:val="00023D42"/>
    <w:rsid w:val="00023D76"/>
    <w:rsid w:val="00023E6A"/>
    <w:rsid w:val="00023ED5"/>
    <w:rsid w:val="00023F26"/>
    <w:rsid w:val="00023FC3"/>
    <w:rsid w:val="0002418C"/>
    <w:rsid w:val="000241FC"/>
    <w:rsid w:val="00024242"/>
    <w:rsid w:val="0002431A"/>
    <w:rsid w:val="0002436C"/>
    <w:rsid w:val="0002446F"/>
    <w:rsid w:val="0002460B"/>
    <w:rsid w:val="00024667"/>
    <w:rsid w:val="000246CB"/>
    <w:rsid w:val="000246E7"/>
    <w:rsid w:val="00024705"/>
    <w:rsid w:val="0002480D"/>
    <w:rsid w:val="0002489D"/>
    <w:rsid w:val="00024A78"/>
    <w:rsid w:val="00024B92"/>
    <w:rsid w:val="00024C08"/>
    <w:rsid w:val="00024C0D"/>
    <w:rsid w:val="00024C2B"/>
    <w:rsid w:val="00024C8B"/>
    <w:rsid w:val="00024D3B"/>
    <w:rsid w:val="00024DBC"/>
    <w:rsid w:val="00024F12"/>
    <w:rsid w:val="000251E9"/>
    <w:rsid w:val="0002527E"/>
    <w:rsid w:val="00025280"/>
    <w:rsid w:val="000256F9"/>
    <w:rsid w:val="000257DF"/>
    <w:rsid w:val="000257FA"/>
    <w:rsid w:val="00025AF2"/>
    <w:rsid w:val="00025C04"/>
    <w:rsid w:val="00025C05"/>
    <w:rsid w:val="00025C0F"/>
    <w:rsid w:val="00025C46"/>
    <w:rsid w:val="00025C86"/>
    <w:rsid w:val="00025CD0"/>
    <w:rsid w:val="00025D5B"/>
    <w:rsid w:val="00025F2C"/>
    <w:rsid w:val="00025F81"/>
    <w:rsid w:val="00025FDB"/>
    <w:rsid w:val="00026004"/>
    <w:rsid w:val="0002601A"/>
    <w:rsid w:val="0002606D"/>
    <w:rsid w:val="000260E2"/>
    <w:rsid w:val="000260F0"/>
    <w:rsid w:val="00026148"/>
    <w:rsid w:val="0002616E"/>
    <w:rsid w:val="00026240"/>
    <w:rsid w:val="000262DA"/>
    <w:rsid w:val="000263BC"/>
    <w:rsid w:val="000264B5"/>
    <w:rsid w:val="00026567"/>
    <w:rsid w:val="00026698"/>
    <w:rsid w:val="00026972"/>
    <w:rsid w:val="00026A04"/>
    <w:rsid w:val="00026B77"/>
    <w:rsid w:val="00026BEF"/>
    <w:rsid w:val="00026C0E"/>
    <w:rsid w:val="00026C5B"/>
    <w:rsid w:val="00026D02"/>
    <w:rsid w:val="00026D6E"/>
    <w:rsid w:val="00026D9D"/>
    <w:rsid w:val="00026E42"/>
    <w:rsid w:val="00026E53"/>
    <w:rsid w:val="00026EC1"/>
    <w:rsid w:val="00026FC6"/>
    <w:rsid w:val="00027009"/>
    <w:rsid w:val="0002701F"/>
    <w:rsid w:val="000270CA"/>
    <w:rsid w:val="0002714F"/>
    <w:rsid w:val="00027362"/>
    <w:rsid w:val="000273D8"/>
    <w:rsid w:val="000274D3"/>
    <w:rsid w:val="00027551"/>
    <w:rsid w:val="000275D8"/>
    <w:rsid w:val="00027784"/>
    <w:rsid w:val="000277D1"/>
    <w:rsid w:val="000277D7"/>
    <w:rsid w:val="000278E6"/>
    <w:rsid w:val="0002790B"/>
    <w:rsid w:val="00027963"/>
    <w:rsid w:val="000279E1"/>
    <w:rsid w:val="00027B1D"/>
    <w:rsid w:val="00027DEC"/>
    <w:rsid w:val="00027EF8"/>
    <w:rsid w:val="00027F5E"/>
    <w:rsid w:val="00030097"/>
    <w:rsid w:val="00030112"/>
    <w:rsid w:val="00030545"/>
    <w:rsid w:val="000305A6"/>
    <w:rsid w:val="00030625"/>
    <w:rsid w:val="000308A3"/>
    <w:rsid w:val="00030900"/>
    <w:rsid w:val="00030A27"/>
    <w:rsid w:val="00030ACA"/>
    <w:rsid w:val="00030B64"/>
    <w:rsid w:val="00030DED"/>
    <w:rsid w:val="00030E4F"/>
    <w:rsid w:val="00030E9D"/>
    <w:rsid w:val="00030EE4"/>
    <w:rsid w:val="00030F20"/>
    <w:rsid w:val="00030F7D"/>
    <w:rsid w:val="00031149"/>
    <w:rsid w:val="0003118C"/>
    <w:rsid w:val="0003119C"/>
    <w:rsid w:val="00031587"/>
    <w:rsid w:val="00031686"/>
    <w:rsid w:val="000317D7"/>
    <w:rsid w:val="0003180D"/>
    <w:rsid w:val="000318BF"/>
    <w:rsid w:val="00031991"/>
    <w:rsid w:val="00031B00"/>
    <w:rsid w:val="00031CC4"/>
    <w:rsid w:val="00031CCD"/>
    <w:rsid w:val="00031DF1"/>
    <w:rsid w:val="00031E25"/>
    <w:rsid w:val="00032093"/>
    <w:rsid w:val="000320F3"/>
    <w:rsid w:val="0003210C"/>
    <w:rsid w:val="0003220E"/>
    <w:rsid w:val="0003226A"/>
    <w:rsid w:val="0003227D"/>
    <w:rsid w:val="000322F8"/>
    <w:rsid w:val="00032366"/>
    <w:rsid w:val="000325D7"/>
    <w:rsid w:val="00032647"/>
    <w:rsid w:val="000326C9"/>
    <w:rsid w:val="0003282D"/>
    <w:rsid w:val="00032BA6"/>
    <w:rsid w:val="00032BE5"/>
    <w:rsid w:val="00032C27"/>
    <w:rsid w:val="00032CFA"/>
    <w:rsid w:val="00032DEB"/>
    <w:rsid w:val="00032E13"/>
    <w:rsid w:val="00032E15"/>
    <w:rsid w:val="00032E19"/>
    <w:rsid w:val="00032E49"/>
    <w:rsid w:val="00032E9D"/>
    <w:rsid w:val="00032EA4"/>
    <w:rsid w:val="00032EBB"/>
    <w:rsid w:val="00032F02"/>
    <w:rsid w:val="00033025"/>
    <w:rsid w:val="00033041"/>
    <w:rsid w:val="00033094"/>
    <w:rsid w:val="000330CD"/>
    <w:rsid w:val="00033109"/>
    <w:rsid w:val="00033211"/>
    <w:rsid w:val="000332EF"/>
    <w:rsid w:val="0003339E"/>
    <w:rsid w:val="000333E0"/>
    <w:rsid w:val="00033405"/>
    <w:rsid w:val="0003345C"/>
    <w:rsid w:val="00033551"/>
    <w:rsid w:val="000335DA"/>
    <w:rsid w:val="00033732"/>
    <w:rsid w:val="00033768"/>
    <w:rsid w:val="00033788"/>
    <w:rsid w:val="0003387D"/>
    <w:rsid w:val="0003393E"/>
    <w:rsid w:val="00033A0A"/>
    <w:rsid w:val="00033B19"/>
    <w:rsid w:val="00033CE7"/>
    <w:rsid w:val="0003401E"/>
    <w:rsid w:val="000341AA"/>
    <w:rsid w:val="0003453A"/>
    <w:rsid w:val="00034692"/>
    <w:rsid w:val="000347A5"/>
    <w:rsid w:val="0003498C"/>
    <w:rsid w:val="000349B9"/>
    <w:rsid w:val="00034A12"/>
    <w:rsid w:val="00034B41"/>
    <w:rsid w:val="00034D0E"/>
    <w:rsid w:val="00034D66"/>
    <w:rsid w:val="00034DD1"/>
    <w:rsid w:val="000350D6"/>
    <w:rsid w:val="000350E5"/>
    <w:rsid w:val="000350F8"/>
    <w:rsid w:val="0003525D"/>
    <w:rsid w:val="00035287"/>
    <w:rsid w:val="00035594"/>
    <w:rsid w:val="000356EF"/>
    <w:rsid w:val="00035A48"/>
    <w:rsid w:val="00035B28"/>
    <w:rsid w:val="00035B8A"/>
    <w:rsid w:val="00035C5E"/>
    <w:rsid w:val="00035C79"/>
    <w:rsid w:val="00035EFE"/>
    <w:rsid w:val="000361A9"/>
    <w:rsid w:val="00036204"/>
    <w:rsid w:val="00036301"/>
    <w:rsid w:val="00036316"/>
    <w:rsid w:val="00036395"/>
    <w:rsid w:val="000363AD"/>
    <w:rsid w:val="000364A8"/>
    <w:rsid w:val="000365EA"/>
    <w:rsid w:val="000365EE"/>
    <w:rsid w:val="0003662C"/>
    <w:rsid w:val="0003683A"/>
    <w:rsid w:val="00036A9C"/>
    <w:rsid w:val="00036C9B"/>
    <w:rsid w:val="00036D0A"/>
    <w:rsid w:val="00036E62"/>
    <w:rsid w:val="00037084"/>
    <w:rsid w:val="0003714F"/>
    <w:rsid w:val="0003715F"/>
    <w:rsid w:val="0003723C"/>
    <w:rsid w:val="0003739D"/>
    <w:rsid w:val="000373DF"/>
    <w:rsid w:val="0003742C"/>
    <w:rsid w:val="000374C6"/>
    <w:rsid w:val="0003755F"/>
    <w:rsid w:val="000378D1"/>
    <w:rsid w:val="000378E7"/>
    <w:rsid w:val="00037A29"/>
    <w:rsid w:val="00037B3F"/>
    <w:rsid w:val="00037BD2"/>
    <w:rsid w:val="00037C8F"/>
    <w:rsid w:val="00037CC2"/>
    <w:rsid w:val="00037D7F"/>
    <w:rsid w:val="0004002A"/>
    <w:rsid w:val="00040488"/>
    <w:rsid w:val="00040662"/>
    <w:rsid w:val="0004080C"/>
    <w:rsid w:val="0004080F"/>
    <w:rsid w:val="0004082E"/>
    <w:rsid w:val="00040899"/>
    <w:rsid w:val="0004094C"/>
    <w:rsid w:val="00040A48"/>
    <w:rsid w:val="00040BD7"/>
    <w:rsid w:val="00040C62"/>
    <w:rsid w:val="00040CC5"/>
    <w:rsid w:val="00040CF2"/>
    <w:rsid w:val="00040D15"/>
    <w:rsid w:val="00040FF1"/>
    <w:rsid w:val="000412A4"/>
    <w:rsid w:val="0004138D"/>
    <w:rsid w:val="0004148E"/>
    <w:rsid w:val="000414C3"/>
    <w:rsid w:val="0004152F"/>
    <w:rsid w:val="00041569"/>
    <w:rsid w:val="000415A5"/>
    <w:rsid w:val="000416BC"/>
    <w:rsid w:val="000416D7"/>
    <w:rsid w:val="00041754"/>
    <w:rsid w:val="00041761"/>
    <w:rsid w:val="000417C4"/>
    <w:rsid w:val="000418CF"/>
    <w:rsid w:val="0004190B"/>
    <w:rsid w:val="00041D54"/>
    <w:rsid w:val="00041D7B"/>
    <w:rsid w:val="00041EB6"/>
    <w:rsid w:val="00041FB4"/>
    <w:rsid w:val="0004202C"/>
    <w:rsid w:val="00042031"/>
    <w:rsid w:val="000421BF"/>
    <w:rsid w:val="0004229C"/>
    <w:rsid w:val="0004244C"/>
    <w:rsid w:val="0004250E"/>
    <w:rsid w:val="0004256F"/>
    <w:rsid w:val="0004259E"/>
    <w:rsid w:val="000425DC"/>
    <w:rsid w:val="000425F7"/>
    <w:rsid w:val="0004262D"/>
    <w:rsid w:val="0004265D"/>
    <w:rsid w:val="0004278F"/>
    <w:rsid w:val="00042B11"/>
    <w:rsid w:val="00042BF3"/>
    <w:rsid w:val="00042C7F"/>
    <w:rsid w:val="00042E76"/>
    <w:rsid w:val="00042EA0"/>
    <w:rsid w:val="000430D8"/>
    <w:rsid w:val="00043196"/>
    <w:rsid w:val="0004322A"/>
    <w:rsid w:val="0004327A"/>
    <w:rsid w:val="0004336E"/>
    <w:rsid w:val="000435C1"/>
    <w:rsid w:val="000435C9"/>
    <w:rsid w:val="00043723"/>
    <w:rsid w:val="00043812"/>
    <w:rsid w:val="00043A22"/>
    <w:rsid w:val="00043BA1"/>
    <w:rsid w:val="00043C18"/>
    <w:rsid w:val="00043C20"/>
    <w:rsid w:val="00043CA7"/>
    <w:rsid w:val="00043D9C"/>
    <w:rsid w:val="00043E4B"/>
    <w:rsid w:val="00043EBD"/>
    <w:rsid w:val="00043F58"/>
    <w:rsid w:val="00044025"/>
    <w:rsid w:val="0004403E"/>
    <w:rsid w:val="000440A7"/>
    <w:rsid w:val="000440D3"/>
    <w:rsid w:val="00044436"/>
    <w:rsid w:val="0004456C"/>
    <w:rsid w:val="00044797"/>
    <w:rsid w:val="0004479D"/>
    <w:rsid w:val="000447D0"/>
    <w:rsid w:val="0004487E"/>
    <w:rsid w:val="00044AC5"/>
    <w:rsid w:val="00044BBF"/>
    <w:rsid w:val="00044BD5"/>
    <w:rsid w:val="00044C83"/>
    <w:rsid w:val="00044CFF"/>
    <w:rsid w:val="00044D09"/>
    <w:rsid w:val="00044D48"/>
    <w:rsid w:val="00044F6F"/>
    <w:rsid w:val="000450C1"/>
    <w:rsid w:val="000451CA"/>
    <w:rsid w:val="000453DF"/>
    <w:rsid w:val="000453F8"/>
    <w:rsid w:val="0004551F"/>
    <w:rsid w:val="00045566"/>
    <w:rsid w:val="000457B1"/>
    <w:rsid w:val="00045815"/>
    <w:rsid w:val="00045866"/>
    <w:rsid w:val="000459D8"/>
    <w:rsid w:val="00045A75"/>
    <w:rsid w:val="00045AA5"/>
    <w:rsid w:val="00045DAF"/>
    <w:rsid w:val="00045FAD"/>
    <w:rsid w:val="000460C4"/>
    <w:rsid w:val="0004626B"/>
    <w:rsid w:val="000462CF"/>
    <w:rsid w:val="0004648E"/>
    <w:rsid w:val="000466FF"/>
    <w:rsid w:val="00046755"/>
    <w:rsid w:val="0004679A"/>
    <w:rsid w:val="00046853"/>
    <w:rsid w:val="000469B9"/>
    <w:rsid w:val="00046A58"/>
    <w:rsid w:val="00046AD9"/>
    <w:rsid w:val="00046C73"/>
    <w:rsid w:val="00046CA2"/>
    <w:rsid w:val="00046F16"/>
    <w:rsid w:val="0004706F"/>
    <w:rsid w:val="000470D8"/>
    <w:rsid w:val="0004719B"/>
    <w:rsid w:val="00047203"/>
    <w:rsid w:val="00047370"/>
    <w:rsid w:val="0004741F"/>
    <w:rsid w:val="000474C8"/>
    <w:rsid w:val="00047603"/>
    <w:rsid w:val="000476AC"/>
    <w:rsid w:val="00047B96"/>
    <w:rsid w:val="00047C7A"/>
    <w:rsid w:val="00047DAC"/>
    <w:rsid w:val="00047E1E"/>
    <w:rsid w:val="00047E48"/>
    <w:rsid w:val="00047FE2"/>
    <w:rsid w:val="00047FE7"/>
    <w:rsid w:val="0004D7AF"/>
    <w:rsid w:val="00050092"/>
    <w:rsid w:val="00050197"/>
    <w:rsid w:val="000501BD"/>
    <w:rsid w:val="00050235"/>
    <w:rsid w:val="0005026A"/>
    <w:rsid w:val="00050349"/>
    <w:rsid w:val="000503F7"/>
    <w:rsid w:val="0005046D"/>
    <w:rsid w:val="000507B6"/>
    <w:rsid w:val="000507DC"/>
    <w:rsid w:val="000508F1"/>
    <w:rsid w:val="00050A23"/>
    <w:rsid w:val="00050AA7"/>
    <w:rsid w:val="00050BED"/>
    <w:rsid w:val="00050DB4"/>
    <w:rsid w:val="000512E2"/>
    <w:rsid w:val="00051490"/>
    <w:rsid w:val="0005158C"/>
    <w:rsid w:val="000516B0"/>
    <w:rsid w:val="00051712"/>
    <w:rsid w:val="00051747"/>
    <w:rsid w:val="0005186B"/>
    <w:rsid w:val="000519E5"/>
    <w:rsid w:val="00051A29"/>
    <w:rsid w:val="00051A65"/>
    <w:rsid w:val="00051A8E"/>
    <w:rsid w:val="00051B38"/>
    <w:rsid w:val="00051B8D"/>
    <w:rsid w:val="00051C84"/>
    <w:rsid w:val="00051C8B"/>
    <w:rsid w:val="00051F5F"/>
    <w:rsid w:val="000520B2"/>
    <w:rsid w:val="000521EC"/>
    <w:rsid w:val="000521F3"/>
    <w:rsid w:val="00052377"/>
    <w:rsid w:val="00052517"/>
    <w:rsid w:val="0005262E"/>
    <w:rsid w:val="0005278B"/>
    <w:rsid w:val="00052D8A"/>
    <w:rsid w:val="00052EB7"/>
    <w:rsid w:val="00052EEC"/>
    <w:rsid w:val="00052F52"/>
    <w:rsid w:val="000531A5"/>
    <w:rsid w:val="000531AB"/>
    <w:rsid w:val="000531AD"/>
    <w:rsid w:val="000533A6"/>
    <w:rsid w:val="000533CA"/>
    <w:rsid w:val="00053505"/>
    <w:rsid w:val="0005353B"/>
    <w:rsid w:val="00053690"/>
    <w:rsid w:val="00053732"/>
    <w:rsid w:val="00053873"/>
    <w:rsid w:val="0005391A"/>
    <w:rsid w:val="00053C01"/>
    <w:rsid w:val="00053C37"/>
    <w:rsid w:val="00053C50"/>
    <w:rsid w:val="00053C79"/>
    <w:rsid w:val="00053CD9"/>
    <w:rsid w:val="00053D29"/>
    <w:rsid w:val="00053DD8"/>
    <w:rsid w:val="0005401C"/>
    <w:rsid w:val="00054067"/>
    <w:rsid w:val="000540CF"/>
    <w:rsid w:val="000542FC"/>
    <w:rsid w:val="000545BB"/>
    <w:rsid w:val="0005465A"/>
    <w:rsid w:val="000546D5"/>
    <w:rsid w:val="0005477D"/>
    <w:rsid w:val="000547A6"/>
    <w:rsid w:val="000547D9"/>
    <w:rsid w:val="00054879"/>
    <w:rsid w:val="000548FA"/>
    <w:rsid w:val="00054959"/>
    <w:rsid w:val="00054A1F"/>
    <w:rsid w:val="00054AD2"/>
    <w:rsid w:val="00054C8A"/>
    <w:rsid w:val="00054D4E"/>
    <w:rsid w:val="00054F2D"/>
    <w:rsid w:val="00054F95"/>
    <w:rsid w:val="0005516E"/>
    <w:rsid w:val="000551A2"/>
    <w:rsid w:val="00055398"/>
    <w:rsid w:val="000555AC"/>
    <w:rsid w:val="00055736"/>
    <w:rsid w:val="00055A13"/>
    <w:rsid w:val="00055B63"/>
    <w:rsid w:val="00055B6B"/>
    <w:rsid w:val="00055C75"/>
    <w:rsid w:val="00055D26"/>
    <w:rsid w:val="00055D73"/>
    <w:rsid w:val="00055F14"/>
    <w:rsid w:val="00055FD2"/>
    <w:rsid w:val="0005603F"/>
    <w:rsid w:val="0005609B"/>
    <w:rsid w:val="00056136"/>
    <w:rsid w:val="0005622E"/>
    <w:rsid w:val="00056269"/>
    <w:rsid w:val="00056423"/>
    <w:rsid w:val="0005658E"/>
    <w:rsid w:val="000566E6"/>
    <w:rsid w:val="000567F7"/>
    <w:rsid w:val="000568B2"/>
    <w:rsid w:val="00056A48"/>
    <w:rsid w:val="00056A50"/>
    <w:rsid w:val="00056B5C"/>
    <w:rsid w:val="00056C1B"/>
    <w:rsid w:val="00056C1F"/>
    <w:rsid w:val="00056FBC"/>
    <w:rsid w:val="00057014"/>
    <w:rsid w:val="00057029"/>
    <w:rsid w:val="00057093"/>
    <w:rsid w:val="000571A9"/>
    <w:rsid w:val="000571C2"/>
    <w:rsid w:val="0005745C"/>
    <w:rsid w:val="00057653"/>
    <w:rsid w:val="000576DB"/>
    <w:rsid w:val="000577AB"/>
    <w:rsid w:val="00057803"/>
    <w:rsid w:val="00057858"/>
    <w:rsid w:val="0005793A"/>
    <w:rsid w:val="00057945"/>
    <w:rsid w:val="00057966"/>
    <w:rsid w:val="00057A82"/>
    <w:rsid w:val="00057BD3"/>
    <w:rsid w:val="00057C40"/>
    <w:rsid w:val="00057E1E"/>
    <w:rsid w:val="000600E9"/>
    <w:rsid w:val="000604B8"/>
    <w:rsid w:val="000604DB"/>
    <w:rsid w:val="0006084E"/>
    <w:rsid w:val="0006088F"/>
    <w:rsid w:val="000608E5"/>
    <w:rsid w:val="000609A5"/>
    <w:rsid w:val="000609D3"/>
    <w:rsid w:val="000609EC"/>
    <w:rsid w:val="00060B04"/>
    <w:rsid w:val="00060CAC"/>
    <w:rsid w:val="00060CFA"/>
    <w:rsid w:val="00060DA4"/>
    <w:rsid w:val="00060E11"/>
    <w:rsid w:val="00060FA3"/>
    <w:rsid w:val="0006124C"/>
    <w:rsid w:val="0006171C"/>
    <w:rsid w:val="00061888"/>
    <w:rsid w:val="00061A8C"/>
    <w:rsid w:val="00061AA5"/>
    <w:rsid w:val="00061B61"/>
    <w:rsid w:val="00061BB8"/>
    <w:rsid w:val="00061C1B"/>
    <w:rsid w:val="00061C6F"/>
    <w:rsid w:val="00061CE0"/>
    <w:rsid w:val="00061E81"/>
    <w:rsid w:val="00061EC7"/>
    <w:rsid w:val="00061F84"/>
    <w:rsid w:val="00062026"/>
    <w:rsid w:val="000621D6"/>
    <w:rsid w:val="00062207"/>
    <w:rsid w:val="000622A6"/>
    <w:rsid w:val="0006244F"/>
    <w:rsid w:val="000624C3"/>
    <w:rsid w:val="0006251C"/>
    <w:rsid w:val="000625BC"/>
    <w:rsid w:val="00062705"/>
    <w:rsid w:val="00062A85"/>
    <w:rsid w:val="00062ACC"/>
    <w:rsid w:val="00062D39"/>
    <w:rsid w:val="00062E08"/>
    <w:rsid w:val="0006305F"/>
    <w:rsid w:val="000631F1"/>
    <w:rsid w:val="0006325F"/>
    <w:rsid w:val="0006327F"/>
    <w:rsid w:val="00063398"/>
    <w:rsid w:val="000634AB"/>
    <w:rsid w:val="00063879"/>
    <w:rsid w:val="000638A2"/>
    <w:rsid w:val="000638C1"/>
    <w:rsid w:val="000638F1"/>
    <w:rsid w:val="00063938"/>
    <w:rsid w:val="0006399B"/>
    <w:rsid w:val="00063AC9"/>
    <w:rsid w:val="00063B4E"/>
    <w:rsid w:val="00063D5F"/>
    <w:rsid w:val="00063E61"/>
    <w:rsid w:val="0006409F"/>
    <w:rsid w:val="0006424C"/>
    <w:rsid w:val="0006432C"/>
    <w:rsid w:val="000643E4"/>
    <w:rsid w:val="0006442D"/>
    <w:rsid w:val="0006460E"/>
    <w:rsid w:val="0006462E"/>
    <w:rsid w:val="00064661"/>
    <w:rsid w:val="000646A9"/>
    <w:rsid w:val="0006495A"/>
    <w:rsid w:val="000649B1"/>
    <w:rsid w:val="00064A5A"/>
    <w:rsid w:val="00064BBD"/>
    <w:rsid w:val="00064CB5"/>
    <w:rsid w:val="00064D52"/>
    <w:rsid w:val="00064D74"/>
    <w:rsid w:val="00064DAD"/>
    <w:rsid w:val="00064F4A"/>
    <w:rsid w:val="00064F61"/>
    <w:rsid w:val="00064F62"/>
    <w:rsid w:val="0006501A"/>
    <w:rsid w:val="00065059"/>
    <w:rsid w:val="00065074"/>
    <w:rsid w:val="000650D9"/>
    <w:rsid w:val="000652B5"/>
    <w:rsid w:val="0006535B"/>
    <w:rsid w:val="00065521"/>
    <w:rsid w:val="00065836"/>
    <w:rsid w:val="00065B37"/>
    <w:rsid w:val="00065B3D"/>
    <w:rsid w:val="00065B95"/>
    <w:rsid w:val="00065C04"/>
    <w:rsid w:val="00065D78"/>
    <w:rsid w:val="00065D84"/>
    <w:rsid w:val="00065E8F"/>
    <w:rsid w:val="00066020"/>
    <w:rsid w:val="00066035"/>
    <w:rsid w:val="00066089"/>
    <w:rsid w:val="00066134"/>
    <w:rsid w:val="000661E8"/>
    <w:rsid w:val="0006629D"/>
    <w:rsid w:val="000662AD"/>
    <w:rsid w:val="0006647F"/>
    <w:rsid w:val="0006660F"/>
    <w:rsid w:val="00066771"/>
    <w:rsid w:val="0006682E"/>
    <w:rsid w:val="0006699D"/>
    <w:rsid w:val="00066A83"/>
    <w:rsid w:val="00066B25"/>
    <w:rsid w:val="00066BC0"/>
    <w:rsid w:val="00066C30"/>
    <w:rsid w:val="00066C96"/>
    <w:rsid w:val="00066DD6"/>
    <w:rsid w:val="00066ED6"/>
    <w:rsid w:val="00066FC1"/>
    <w:rsid w:val="000670AB"/>
    <w:rsid w:val="000670BC"/>
    <w:rsid w:val="0006727A"/>
    <w:rsid w:val="000673BA"/>
    <w:rsid w:val="000673E5"/>
    <w:rsid w:val="0006743F"/>
    <w:rsid w:val="0006744A"/>
    <w:rsid w:val="000674D8"/>
    <w:rsid w:val="0006764C"/>
    <w:rsid w:val="000676C0"/>
    <w:rsid w:val="000677A9"/>
    <w:rsid w:val="00067803"/>
    <w:rsid w:val="00067848"/>
    <w:rsid w:val="000679EA"/>
    <w:rsid w:val="00067A08"/>
    <w:rsid w:val="00067AD7"/>
    <w:rsid w:val="000701A3"/>
    <w:rsid w:val="0007022F"/>
    <w:rsid w:val="00070367"/>
    <w:rsid w:val="00070393"/>
    <w:rsid w:val="00070521"/>
    <w:rsid w:val="000705BC"/>
    <w:rsid w:val="000705F0"/>
    <w:rsid w:val="00070627"/>
    <w:rsid w:val="000706F2"/>
    <w:rsid w:val="00070782"/>
    <w:rsid w:val="00070841"/>
    <w:rsid w:val="00070894"/>
    <w:rsid w:val="00070AE0"/>
    <w:rsid w:val="00070B70"/>
    <w:rsid w:val="00070B91"/>
    <w:rsid w:val="00070C9D"/>
    <w:rsid w:val="00070D06"/>
    <w:rsid w:val="00070D59"/>
    <w:rsid w:val="00070E3B"/>
    <w:rsid w:val="00070E3F"/>
    <w:rsid w:val="00071365"/>
    <w:rsid w:val="00071630"/>
    <w:rsid w:val="0007183F"/>
    <w:rsid w:val="00071A63"/>
    <w:rsid w:val="00071AB1"/>
    <w:rsid w:val="00071AF2"/>
    <w:rsid w:val="00071B7F"/>
    <w:rsid w:val="00071C9C"/>
    <w:rsid w:val="00071D8C"/>
    <w:rsid w:val="00071E90"/>
    <w:rsid w:val="00071FA1"/>
    <w:rsid w:val="0007200C"/>
    <w:rsid w:val="0007215A"/>
    <w:rsid w:val="000721A9"/>
    <w:rsid w:val="0007260E"/>
    <w:rsid w:val="0007286D"/>
    <w:rsid w:val="00072995"/>
    <w:rsid w:val="00072A12"/>
    <w:rsid w:val="00072A89"/>
    <w:rsid w:val="00072CD2"/>
    <w:rsid w:val="00072CED"/>
    <w:rsid w:val="00072D10"/>
    <w:rsid w:val="00073037"/>
    <w:rsid w:val="0007318D"/>
    <w:rsid w:val="000734E8"/>
    <w:rsid w:val="00073598"/>
    <w:rsid w:val="00073628"/>
    <w:rsid w:val="00073630"/>
    <w:rsid w:val="0007363B"/>
    <w:rsid w:val="0007376C"/>
    <w:rsid w:val="00073775"/>
    <w:rsid w:val="00073782"/>
    <w:rsid w:val="000737CF"/>
    <w:rsid w:val="00073893"/>
    <w:rsid w:val="00073A8E"/>
    <w:rsid w:val="00073AD5"/>
    <w:rsid w:val="00073BFD"/>
    <w:rsid w:val="00073CCC"/>
    <w:rsid w:val="00073D4A"/>
    <w:rsid w:val="00073FF3"/>
    <w:rsid w:val="000741B7"/>
    <w:rsid w:val="000741E8"/>
    <w:rsid w:val="00074200"/>
    <w:rsid w:val="00074224"/>
    <w:rsid w:val="00074285"/>
    <w:rsid w:val="00074433"/>
    <w:rsid w:val="00074500"/>
    <w:rsid w:val="000745DE"/>
    <w:rsid w:val="000745FD"/>
    <w:rsid w:val="0007460F"/>
    <w:rsid w:val="000748A6"/>
    <w:rsid w:val="00074A09"/>
    <w:rsid w:val="00074B1E"/>
    <w:rsid w:val="00074B36"/>
    <w:rsid w:val="00074B5E"/>
    <w:rsid w:val="00074BC6"/>
    <w:rsid w:val="00074DAC"/>
    <w:rsid w:val="00074E9F"/>
    <w:rsid w:val="00074EB7"/>
    <w:rsid w:val="00074EE4"/>
    <w:rsid w:val="00074F24"/>
    <w:rsid w:val="00074FBA"/>
    <w:rsid w:val="00075057"/>
    <w:rsid w:val="00075081"/>
    <w:rsid w:val="0007522D"/>
    <w:rsid w:val="00075250"/>
    <w:rsid w:val="000753EB"/>
    <w:rsid w:val="000756A9"/>
    <w:rsid w:val="0007585E"/>
    <w:rsid w:val="00075900"/>
    <w:rsid w:val="000759DA"/>
    <w:rsid w:val="00075BB5"/>
    <w:rsid w:val="00075BC2"/>
    <w:rsid w:val="00075C44"/>
    <w:rsid w:val="00075C6A"/>
    <w:rsid w:val="00075DC9"/>
    <w:rsid w:val="00075F56"/>
    <w:rsid w:val="00076094"/>
    <w:rsid w:val="000760A7"/>
    <w:rsid w:val="000760FF"/>
    <w:rsid w:val="0007613E"/>
    <w:rsid w:val="0007614D"/>
    <w:rsid w:val="000762A2"/>
    <w:rsid w:val="00076612"/>
    <w:rsid w:val="00076643"/>
    <w:rsid w:val="00076766"/>
    <w:rsid w:val="000767D6"/>
    <w:rsid w:val="00076866"/>
    <w:rsid w:val="000768A7"/>
    <w:rsid w:val="0007692B"/>
    <w:rsid w:val="00076B52"/>
    <w:rsid w:val="00076B60"/>
    <w:rsid w:val="00076CD6"/>
    <w:rsid w:val="00076DBD"/>
    <w:rsid w:val="00076E52"/>
    <w:rsid w:val="00076FD9"/>
    <w:rsid w:val="000770D8"/>
    <w:rsid w:val="000771CE"/>
    <w:rsid w:val="000772D3"/>
    <w:rsid w:val="00077384"/>
    <w:rsid w:val="00077385"/>
    <w:rsid w:val="000774D6"/>
    <w:rsid w:val="000775C7"/>
    <w:rsid w:val="00077690"/>
    <w:rsid w:val="00077838"/>
    <w:rsid w:val="00077916"/>
    <w:rsid w:val="00077AC2"/>
    <w:rsid w:val="00077CE4"/>
    <w:rsid w:val="00077DB6"/>
    <w:rsid w:val="00077F2E"/>
    <w:rsid w:val="00077F7C"/>
    <w:rsid w:val="00080045"/>
    <w:rsid w:val="0008006C"/>
    <w:rsid w:val="0008023F"/>
    <w:rsid w:val="0008034B"/>
    <w:rsid w:val="00080743"/>
    <w:rsid w:val="0008074B"/>
    <w:rsid w:val="00080760"/>
    <w:rsid w:val="0008076A"/>
    <w:rsid w:val="000807A7"/>
    <w:rsid w:val="000807DA"/>
    <w:rsid w:val="0008088F"/>
    <w:rsid w:val="000808E4"/>
    <w:rsid w:val="000809B5"/>
    <w:rsid w:val="00080C1E"/>
    <w:rsid w:val="00080C59"/>
    <w:rsid w:val="00080CA8"/>
    <w:rsid w:val="00080E68"/>
    <w:rsid w:val="000810C8"/>
    <w:rsid w:val="00081219"/>
    <w:rsid w:val="00081438"/>
    <w:rsid w:val="0008143E"/>
    <w:rsid w:val="0008162F"/>
    <w:rsid w:val="000816A7"/>
    <w:rsid w:val="00081737"/>
    <w:rsid w:val="000817C2"/>
    <w:rsid w:val="00081805"/>
    <w:rsid w:val="0008190D"/>
    <w:rsid w:val="0008195C"/>
    <w:rsid w:val="000819C3"/>
    <w:rsid w:val="000819FB"/>
    <w:rsid w:val="00081A0E"/>
    <w:rsid w:val="00081AEB"/>
    <w:rsid w:val="00081BAE"/>
    <w:rsid w:val="00081BF3"/>
    <w:rsid w:val="00081CFE"/>
    <w:rsid w:val="00081F0E"/>
    <w:rsid w:val="0008226D"/>
    <w:rsid w:val="000822EB"/>
    <w:rsid w:val="0008234A"/>
    <w:rsid w:val="0008237A"/>
    <w:rsid w:val="000823D2"/>
    <w:rsid w:val="000825DB"/>
    <w:rsid w:val="000826CD"/>
    <w:rsid w:val="0008275C"/>
    <w:rsid w:val="00082882"/>
    <w:rsid w:val="000829D5"/>
    <w:rsid w:val="00082B93"/>
    <w:rsid w:val="00082C0A"/>
    <w:rsid w:val="00082C82"/>
    <w:rsid w:val="00082CBE"/>
    <w:rsid w:val="00082E42"/>
    <w:rsid w:val="00083043"/>
    <w:rsid w:val="000832EC"/>
    <w:rsid w:val="00083700"/>
    <w:rsid w:val="00083765"/>
    <w:rsid w:val="00083C6C"/>
    <w:rsid w:val="00083E57"/>
    <w:rsid w:val="00083E95"/>
    <w:rsid w:val="00083F11"/>
    <w:rsid w:val="00084171"/>
    <w:rsid w:val="00084417"/>
    <w:rsid w:val="0008443B"/>
    <w:rsid w:val="000845D4"/>
    <w:rsid w:val="00084715"/>
    <w:rsid w:val="00084755"/>
    <w:rsid w:val="00084814"/>
    <w:rsid w:val="000848AD"/>
    <w:rsid w:val="000849C0"/>
    <w:rsid w:val="00084ADD"/>
    <w:rsid w:val="00084C79"/>
    <w:rsid w:val="00084D80"/>
    <w:rsid w:val="00084DCE"/>
    <w:rsid w:val="00084E0C"/>
    <w:rsid w:val="00084E3A"/>
    <w:rsid w:val="00085127"/>
    <w:rsid w:val="0008520B"/>
    <w:rsid w:val="0008529B"/>
    <w:rsid w:val="00085378"/>
    <w:rsid w:val="000855D2"/>
    <w:rsid w:val="0008563B"/>
    <w:rsid w:val="0008565F"/>
    <w:rsid w:val="00085772"/>
    <w:rsid w:val="0008585B"/>
    <w:rsid w:val="00085AB2"/>
    <w:rsid w:val="00085CA2"/>
    <w:rsid w:val="00085CF1"/>
    <w:rsid w:val="00085D23"/>
    <w:rsid w:val="00085E77"/>
    <w:rsid w:val="00085FB0"/>
    <w:rsid w:val="0008622E"/>
    <w:rsid w:val="00086295"/>
    <w:rsid w:val="000862DF"/>
    <w:rsid w:val="00086319"/>
    <w:rsid w:val="00086478"/>
    <w:rsid w:val="00086773"/>
    <w:rsid w:val="0008693E"/>
    <w:rsid w:val="00086A4F"/>
    <w:rsid w:val="00086A95"/>
    <w:rsid w:val="00086C10"/>
    <w:rsid w:val="00086C2A"/>
    <w:rsid w:val="00086CAB"/>
    <w:rsid w:val="00086CC2"/>
    <w:rsid w:val="00086CC6"/>
    <w:rsid w:val="00086E01"/>
    <w:rsid w:val="00086F2F"/>
    <w:rsid w:val="00086F99"/>
    <w:rsid w:val="00087083"/>
    <w:rsid w:val="00087144"/>
    <w:rsid w:val="00087176"/>
    <w:rsid w:val="00087385"/>
    <w:rsid w:val="000873D6"/>
    <w:rsid w:val="000873D9"/>
    <w:rsid w:val="000876D8"/>
    <w:rsid w:val="000877D4"/>
    <w:rsid w:val="000877F3"/>
    <w:rsid w:val="00087821"/>
    <w:rsid w:val="0008783F"/>
    <w:rsid w:val="000878ED"/>
    <w:rsid w:val="000878FA"/>
    <w:rsid w:val="000879B3"/>
    <w:rsid w:val="00087C0C"/>
    <w:rsid w:val="00087DB8"/>
    <w:rsid w:val="000902C6"/>
    <w:rsid w:val="000902E5"/>
    <w:rsid w:val="0009033C"/>
    <w:rsid w:val="000903F0"/>
    <w:rsid w:val="0009048F"/>
    <w:rsid w:val="000906C1"/>
    <w:rsid w:val="000906DB"/>
    <w:rsid w:val="00090920"/>
    <w:rsid w:val="000909CF"/>
    <w:rsid w:val="00090E36"/>
    <w:rsid w:val="00090FDD"/>
    <w:rsid w:val="00091034"/>
    <w:rsid w:val="000910DA"/>
    <w:rsid w:val="000912C4"/>
    <w:rsid w:val="000912D9"/>
    <w:rsid w:val="00091345"/>
    <w:rsid w:val="0009155D"/>
    <w:rsid w:val="0009157D"/>
    <w:rsid w:val="000915D9"/>
    <w:rsid w:val="00091733"/>
    <w:rsid w:val="000918FE"/>
    <w:rsid w:val="00091A3C"/>
    <w:rsid w:val="00091AA2"/>
    <w:rsid w:val="00091AF5"/>
    <w:rsid w:val="00091AFA"/>
    <w:rsid w:val="00091BE6"/>
    <w:rsid w:val="00091CAA"/>
    <w:rsid w:val="00091D2F"/>
    <w:rsid w:val="00091E91"/>
    <w:rsid w:val="00092108"/>
    <w:rsid w:val="0009217C"/>
    <w:rsid w:val="000921D8"/>
    <w:rsid w:val="000921E8"/>
    <w:rsid w:val="00092241"/>
    <w:rsid w:val="00092280"/>
    <w:rsid w:val="0009234C"/>
    <w:rsid w:val="000923CF"/>
    <w:rsid w:val="0009240C"/>
    <w:rsid w:val="00092440"/>
    <w:rsid w:val="00092829"/>
    <w:rsid w:val="0009282C"/>
    <w:rsid w:val="000928EB"/>
    <w:rsid w:val="00092A9C"/>
    <w:rsid w:val="00092AA3"/>
    <w:rsid w:val="00092D38"/>
    <w:rsid w:val="00092E08"/>
    <w:rsid w:val="00092E3A"/>
    <w:rsid w:val="00092E88"/>
    <w:rsid w:val="00092EC7"/>
    <w:rsid w:val="0009313D"/>
    <w:rsid w:val="00093260"/>
    <w:rsid w:val="0009345F"/>
    <w:rsid w:val="00093462"/>
    <w:rsid w:val="00093533"/>
    <w:rsid w:val="00093596"/>
    <w:rsid w:val="0009360F"/>
    <w:rsid w:val="00093645"/>
    <w:rsid w:val="000936D4"/>
    <w:rsid w:val="00093A52"/>
    <w:rsid w:val="00093B1E"/>
    <w:rsid w:val="00093B65"/>
    <w:rsid w:val="00093CA3"/>
    <w:rsid w:val="0009421E"/>
    <w:rsid w:val="0009428F"/>
    <w:rsid w:val="000943F4"/>
    <w:rsid w:val="0009443E"/>
    <w:rsid w:val="0009458E"/>
    <w:rsid w:val="00094595"/>
    <w:rsid w:val="000945C0"/>
    <w:rsid w:val="00094753"/>
    <w:rsid w:val="0009481F"/>
    <w:rsid w:val="00094982"/>
    <w:rsid w:val="00094A83"/>
    <w:rsid w:val="00094B13"/>
    <w:rsid w:val="00094CD9"/>
    <w:rsid w:val="00094E0F"/>
    <w:rsid w:val="00094E78"/>
    <w:rsid w:val="00094EFB"/>
    <w:rsid w:val="00094FCC"/>
    <w:rsid w:val="000952C0"/>
    <w:rsid w:val="00095353"/>
    <w:rsid w:val="00095610"/>
    <w:rsid w:val="00095613"/>
    <w:rsid w:val="0009563D"/>
    <w:rsid w:val="0009569A"/>
    <w:rsid w:val="000956A8"/>
    <w:rsid w:val="0009573C"/>
    <w:rsid w:val="00095873"/>
    <w:rsid w:val="00095963"/>
    <w:rsid w:val="000959CC"/>
    <w:rsid w:val="000959F5"/>
    <w:rsid w:val="00095AEF"/>
    <w:rsid w:val="00095B3D"/>
    <w:rsid w:val="00095C17"/>
    <w:rsid w:val="00095C83"/>
    <w:rsid w:val="00095DDE"/>
    <w:rsid w:val="00095E8B"/>
    <w:rsid w:val="00096009"/>
    <w:rsid w:val="0009619B"/>
    <w:rsid w:val="00096253"/>
    <w:rsid w:val="00096274"/>
    <w:rsid w:val="000963EC"/>
    <w:rsid w:val="0009645C"/>
    <w:rsid w:val="0009651F"/>
    <w:rsid w:val="000965B6"/>
    <w:rsid w:val="000965E7"/>
    <w:rsid w:val="000967B9"/>
    <w:rsid w:val="00096A76"/>
    <w:rsid w:val="00096AF0"/>
    <w:rsid w:val="00096BE5"/>
    <w:rsid w:val="00096C6E"/>
    <w:rsid w:val="00096E85"/>
    <w:rsid w:val="0009707C"/>
    <w:rsid w:val="0009711D"/>
    <w:rsid w:val="0009725C"/>
    <w:rsid w:val="000972B6"/>
    <w:rsid w:val="000974FE"/>
    <w:rsid w:val="000975D3"/>
    <w:rsid w:val="000976A0"/>
    <w:rsid w:val="00097774"/>
    <w:rsid w:val="000977EF"/>
    <w:rsid w:val="000979F9"/>
    <w:rsid w:val="00097ED2"/>
    <w:rsid w:val="000A01C6"/>
    <w:rsid w:val="000A0229"/>
    <w:rsid w:val="000A032B"/>
    <w:rsid w:val="000A0343"/>
    <w:rsid w:val="000A0386"/>
    <w:rsid w:val="000A04CD"/>
    <w:rsid w:val="000A0550"/>
    <w:rsid w:val="000A0590"/>
    <w:rsid w:val="000A0639"/>
    <w:rsid w:val="000A076D"/>
    <w:rsid w:val="000A078F"/>
    <w:rsid w:val="000A082E"/>
    <w:rsid w:val="000A0E8C"/>
    <w:rsid w:val="000A0EE7"/>
    <w:rsid w:val="000A0F04"/>
    <w:rsid w:val="000A0F6E"/>
    <w:rsid w:val="000A0F89"/>
    <w:rsid w:val="000A0F90"/>
    <w:rsid w:val="000A0FE9"/>
    <w:rsid w:val="000A113B"/>
    <w:rsid w:val="000A128B"/>
    <w:rsid w:val="000A12B3"/>
    <w:rsid w:val="000A1352"/>
    <w:rsid w:val="000A13FC"/>
    <w:rsid w:val="000A1533"/>
    <w:rsid w:val="000A1674"/>
    <w:rsid w:val="000A17D0"/>
    <w:rsid w:val="000A19D0"/>
    <w:rsid w:val="000A1A20"/>
    <w:rsid w:val="000A22F1"/>
    <w:rsid w:val="000A231A"/>
    <w:rsid w:val="000A241F"/>
    <w:rsid w:val="000A24D5"/>
    <w:rsid w:val="000A261D"/>
    <w:rsid w:val="000A263A"/>
    <w:rsid w:val="000A27F8"/>
    <w:rsid w:val="000A2909"/>
    <w:rsid w:val="000A2A06"/>
    <w:rsid w:val="000A2A62"/>
    <w:rsid w:val="000A2B85"/>
    <w:rsid w:val="000A2BC1"/>
    <w:rsid w:val="000A2EAC"/>
    <w:rsid w:val="000A2F5D"/>
    <w:rsid w:val="000A30CC"/>
    <w:rsid w:val="000A30EB"/>
    <w:rsid w:val="000A3163"/>
    <w:rsid w:val="000A3227"/>
    <w:rsid w:val="000A32B2"/>
    <w:rsid w:val="000A3318"/>
    <w:rsid w:val="000A36AB"/>
    <w:rsid w:val="000A373B"/>
    <w:rsid w:val="000A38C8"/>
    <w:rsid w:val="000A3B07"/>
    <w:rsid w:val="000A3B08"/>
    <w:rsid w:val="000A3B3C"/>
    <w:rsid w:val="000A3C1B"/>
    <w:rsid w:val="000A40AE"/>
    <w:rsid w:val="000A419B"/>
    <w:rsid w:val="000A4417"/>
    <w:rsid w:val="000A44A7"/>
    <w:rsid w:val="000A45C4"/>
    <w:rsid w:val="000A45FF"/>
    <w:rsid w:val="000A462C"/>
    <w:rsid w:val="000A463B"/>
    <w:rsid w:val="000A4710"/>
    <w:rsid w:val="000A4812"/>
    <w:rsid w:val="000A484C"/>
    <w:rsid w:val="000A4892"/>
    <w:rsid w:val="000A48D3"/>
    <w:rsid w:val="000A4A6B"/>
    <w:rsid w:val="000A4A8D"/>
    <w:rsid w:val="000A4D5C"/>
    <w:rsid w:val="000A4EFD"/>
    <w:rsid w:val="000A4F28"/>
    <w:rsid w:val="000A4F78"/>
    <w:rsid w:val="000A4F95"/>
    <w:rsid w:val="000A5063"/>
    <w:rsid w:val="000A5071"/>
    <w:rsid w:val="000A5132"/>
    <w:rsid w:val="000A5289"/>
    <w:rsid w:val="000A52A4"/>
    <w:rsid w:val="000A5410"/>
    <w:rsid w:val="000A544E"/>
    <w:rsid w:val="000A545F"/>
    <w:rsid w:val="000A5669"/>
    <w:rsid w:val="000A58CC"/>
    <w:rsid w:val="000A5995"/>
    <w:rsid w:val="000A59A0"/>
    <w:rsid w:val="000A59D2"/>
    <w:rsid w:val="000A5BB3"/>
    <w:rsid w:val="000A5C1F"/>
    <w:rsid w:val="000A5EF8"/>
    <w:rsid w:val="000A600A"/>
    <w:rsid w:val="000A6040"/>
    <w:rsid w:val="000A61F7"/>
    <w:rsid w:val="000A663E"/>
    <w:rsid w:val="000A672A"/>
    <w:rsid w:val="000A69AA"/>
    <w:rsid w:val="000A6A95"/>
    <w:rsid w:val="000A6B0F"/>
    <w:rsid w:val="000A6B7D"/>
    <w:rsid w:val="000A6B95"/>
    <w:rsid w:val="000A6CB1"/>
    <w:rsid w:val="000A6E95"/>
    <w:rsid w:val="000A6FB3"/>
    <w:rsid w:val="000A700D"/>
    <w:rsid w:val="000A72D3"/>
    <w:rsid w:val="000A74BA"/>
    <w:rsid w:val="000A7524"/>
    <w:rsid w:val="000A7585"/>
    <w:rsid w:val="000A75CA"/>
    <w:rsid w:val="000A7651"/>
    <w:rsid w:val="000A76CA"/>
    <w:rsid w:val="000A77F4"/>
    <w:rsid w:val="000A78B2"/>
    <w:rsid w:val="000A7918"/>
    <w:rsid w:val="000A796E"/>
    <w:rsid w:val="000A79C0"/>
    <w:rsid w:val="000A79E1"/>
    <w:rsid w:val="000A7B0E"/>
    <w:rsid w:val="000A7DA9"/>
    <w:rsid w:val="000A7E43"/>
    <w:rsid w:val="000A7E5A"/>
    <w:rsid w:val="000B00E6"/>
    <w:rsid w:val="000B02CC"/>
    <w:rsid w:val="000B03F4"/>
    <w:rsid w:val="000B04B3"/>
    <w:rsid w:val="000B050A"/>
    <w:rsid w:val="000B051A"/>
    <w:rsid w:val="000B05E1"/>
    <w:rsid w:val="000B08E8"/>
    <w:rsid w:val="000B09CB"/>
    <w:rsid w:val="000B0DDE"/>
    <w:rsid w:val="000B0E5D"/>
    <w:rsid w:val="000B0E64"/>
    <w:rsid w:val="000B0EE2"/>
    <w:rsid w:val="000B0EF7"/>
    <w:rsid w:val="000B0F5F"/>
    <w:rsid w:val="000B105F"/>
    <w:rsid w:val="000B133F"/>
    <w:rsid w:val="000B139D"/>
    <w:rsid w:val="000B13A5"/>
    <w:rsid w:val="000B13DE"/>
    <w:rsid w:val="000B1451"/>
    <w:rsid w:val="000B164A"/>
    <w:rsid w:val="000B16FB"/>
    <w:rsid w:val="000B1702"/>
    <w:rsid w:val="000B18EC"/>
    <w:rsid w:val="000B1A84"/>
    <w:rsid w:val="000B1AB5"/>
    <w:rsid w:val="000B1DC2"/>
    <w:rsid w:val="000B1E9E"/>
    <w:rsid w:val="000B1F2D"/>
    <w:rsid w:val="000B2155"/>
    <w:rsid w:val="000B21E8"/>
    <w:rsid w:val="000B2222"/>
    <w:rsid w:val="000B232E"/>
    <w:rsid w:val="000B23A2"/>
    <w:rsid w:val="000B26B1"/>
    <w:rsid w:val="000B2891"/>
    <w:rsid w:val="000B2AB8"/>
    <w:rsid w:val="000B2ADB"/>
    <w:rsid w:val="000B2B36"/>
    <w:rsid w:val="000B2B9D"/>
    <w:rsid w:val="000B2D11"/>
    <w:rsid w:val="000B2D14"/>
    <w:rsid w:val="000B2D60"/>
    <w:rsid w:val="000B3092"/>
    <w:rsid w:val="000B3130"/>
    <w:rsid w:val="000B3140"/>
    <w:rsid w:val="000B327E"/>
    <w:rsid w:val="000B3305"/>
    <w:rsid w:val="000B33AA"/>
    <w:rsid w:val="000B33E2"/>
    <w:rsid w:val="000B3418"/>
    <w:rsid w:val="000B34D2"/>
    <w:rsid w:val="000B3542"/>
    <w:rsid w:val="000B377D"/>
    <w:rsid w:val="000B3860"/>
    <w:rsid w:val="000B390F"/>
    <w:rsid w:val="000B39A0"/>
    <w:rsid w:val="000B3A05"/>
    <w:rsid w:val="000B3B6E"/>
    <w:rsid w:val="000B3D61"/>
    <w:rsid w:val="000B3DA4"/>
    <w:rsid w:val="000B3DB3"/>
    <w:rsid w:val="000B3DB9"/>
    <w:rsid w:val="000B3E61"/>
    <w:rsid w:val="000B40AF"/>
    <w:rsid w:val="000B40EA"/>
    <w:rsid w:val="000B41DB"/>
    <w:rsid w:val="000B432E"/>
    <w:rsid w:val="000B43BF"/>
    <w:rsid w:val="000B43E0"/>
    <w:rsid w:val="000B43F8"/>
    <w:rsid w:val="000B4420"/>
    <w:rsid w:val="000B46E8"/>
    <w:rsid w:val="000B486D"/>
    <w:rsid w:val="000B4873"/>
    <w:rsid w:val="000B48DA"/>
    <w:rsid w:val="000B49D3"/>
    <w:rsid w:val="000B4AE8"/>
    <w:rsid w:val="000B4AF9"/>
    <w:rsid w:val="000B4B91"/>
    <w:rsid w:val="000B4B93"/>
    <w:rsid w:val="000B4C9D"/>
    <w:rsid w:val="000B4CA1"/>
    <w:rsid w:val="000B4CF2"/>
    <w:rsid w:val="000B4F99"/>
    <w:rsid w:val="000B5047"/>
    <w:rsid w:val="000B5129"/>
    <w:rsid w:val="000B5218"/>
    <w:rsid w:val="000B523F"/>
    <w:rsid w:val="000B530A"/>
    <w:rsid w:val="000B5467"/>
    <w:rsid w:val="000B5531"/>
    <w:rsid w:val="000B5723"/>
    <w:rsid w:val="000B5800"/>
    <w:rsid w:val="000B5885"/>
    <w:rsid w:val="000B592E"/>
    <w:rsid w:val="000B595E"/>
    <w:rsid w:val="000B5B30"/>
    <w:rsid w:val="000B5BBC"/>
    <w:rsid w:val="000B5EFB"/>
    <w:rsid w:val="000B5FAA"/>
    <w:rsid w:val="000B5FB4"/>
    <w:rsid w:val="000B60A4"/>
    <w:rsid w:val="000B60AB"/>
    <w:rsid w:val="000B62E6"/>
    <w:rsid w:val="000B6395"/>
    <w:rsid w:val="000B63C5"/>
    <w:rsid w:val="000B6561"/>
    <w:rsid w:val="000B65D9"/>
    <w:rsid w:val="000B6667"/>
    <w:rsid w:val="000B6804"/>
    <w:rsid w:val="000B6859"/>
    <w:rsid w:val="000B6997"/>
    <w:rsid w:val="000B6A18"/>
    <w:rsid w:val="000B6CB2"/>
    <w:rsid w:val="000B6D81"/>
    <w:rsid w:val="000B6D96"/>
    <w:rsid w:val="000B6EB6"/>
    <w:rsid w:val="000B6EDC"/>
    <w:rsid w:val="000B704F"/>
    <w:rsid w:val="000B7107"/>
    <w:rsid w:val="000B73BF"/>
    <w:rsid w:val="000B788C"/>
    <w:rsid w:val="000B7B11"/>
    <w:rsid w:val="000B7C15"/>
    <w:rsid w:val="000B7C3A"/>
    <w:rsid w:val="000B7C74"/>
    <w:rsid w:val="000B7CE5"/>
    <w:rsid w:val="000B7D1D"/>
    <w:rsid w:val="000B7E1A"/>
    <w:rsid w:val="000C0093"/>
    <w:rsid w:val="000C00BF"/>
    <w:rsid w:val="000C05C4"/>
    <w:rsid w:val="000C05D2"/>
    <w:rsid w:val="000C05DD"/>
    <w:rsid w:val="000C069C"/>
    <w:rsid w:val="000C0994"/>
    <w:rsid w:val="000C0A6A"/>
    <w:rsid w:val="000C0AEA"/>
    <w:rsid w:val="000C0D6C"/>
    <w:rsid w:val="000C0D70"/>
    <w:rsid w:val="000C0E37"/>
    <w:rsid w:val="000C0E76"/>
    <w:rsid w:val="000C1129"/>
    <w:rsid w:val="000C1273"/>
    <w:rsid w:val="000C1286"/>
    <w:rsid w:val="000C12E7"/>
    <w:rsid w:val="000C12F3"/>
    <w:rsid w:val="000C13B8"/>
    <w:rsid w:val="000C140A"/>
    <w:rsid w:val="000C15B0"/>
    <w:rsid w:val="000C15EA"/>
    <w:rsid w:val="000C183D"/>
    <w:rsid w:val="000C1A74"/>
    <w:rsid w:val="000C1CF9"/>
    <w:rsid w:val="000C207B"/>
    <w:rsid w:val="000C20E5"/>
    <w:rsid w:val="000C2206"/>
    <w:rsid w:val="000C2265"/>
    <w:rsid w:val="000C23F0"/>
    <w:rsid w:val="000C2418"/>
    <w:rsid w:val="000C2486"/>
    <w:rsid w:val="000C2503"/>
    <w:rsid w:val="000C2751"/>
    <w:rsid w:val="000C27FC"/>
    <w:rsid w:val="000C2880"/>
    <w:rsid w:val="000C28FD"/>
    <w:rsid w:val="000C2986"/>
    <w:rsid w:val="000C29C7"/>
    <w:rsid w:val="000C29F3"/>
    <w:rsid w:val="000C2A28"/>
    <w:rsid w:val="000C2BCA"/>
    <w:rsid w:val="000C2C1E"/>
    <w:rsid w:val="000C2F4D"/>
    <w:rsid w:val="000C30B4"/>
    <w:rsid w:val="000C30F8"/>
    <w:rsid w:val="000C31DA"/>
    <w:rsid w:val="000C3250"/>
    <w:rsid w:val="000C346C"/>
    <w:rsid w:val="000C35BA"/>
    <w:rsid w:val="000C35FB"/>
    <w:rsid w:val="000C360D"/>
    <w:rsid w:val="000C3629"/>
    <w:rsid w:val="000C39F3"/>
    <w:rsid w:val="000C3AF4"/>
    <w:rsid w:val="000C3D37"/>
    <w:rsid w:val="000C3E0B"/>
    <w:rsid w:val="000C3F36"/>
    <w:rsid w:val="000C40D4"/>
    <w:rsid w:val="000C419D"/>
    <w:rsid w:val="000C428D"/>
    <w:rsid w:val="000C42DB"/>
    <w:rsid w:val="000C4377"/>
    <w:rsid w:val="000C4465"/>
    <w:rsid w:val="000C4567"/>
    <w:rsid w:val="000C4583"/>
    <w:rsid w:val="000C4602"/>
    <w:rsid w:val="000C48A1"/>
    <w:rsid w:val="000C4976"/>
    <w:rsid w:val="000C4B57"/>
    <w:rsid w:val="000C4F75"/>
    <w:rsid w:val="000C4FCF"/>
    <w:rsid w:val="000C4FDD"/>
    <w:rsid w:val="000C5058"/>
    <w:rsid w:val="000C50F6"/>
    <w:rsid w:val="000C5153"/>
    <w:rsid w:val="000C516F"/>
    <w:rsid w:val="000C51FE"/>
    <w:rsid w:val="000C52D9"/>
    <w:rsid w:val="000C5460"/>
    <w:rsid w:val="000C571D"/>
    <w:rsid w:val="000C5741"/>
    <w:rsid w:val="000C57F3"/>
    <w:rsid w:val="000C5900"/>
    <w:rsid w:val="000C59CA"/>
    <w:rsid w:val="000C5A2A"/>
    <w:rsid w:val="000C5ABC"/>
    <w:rsid w:val="000C5B25"/>
    <w:rsid w:val="000C5E3F"/>
    <w:rsid w:val="000C5ED7"/>
    <w:rsid w:val="000C6147"/>
    <w:rsid w:val="000C61A6"/>
    <w:rsid w:val="000C624C"/>
    <w:rsid w:val="000C6618"/>
    <w:rsid w:val="000C661E"/>
    <w:rsid w:val="000C6841"/>
    <w:rsid w:val="000C68BB"/>
    <w:rsid w:val="000C68BC"/>
    <w:rsid w:val="000C68CD"/>
    <w:rsid w:val="000C6A18"/>
    <w:rsid w:val="000C6AB4"/>
    <w:rsid w:val="000C6B19"/>
    <w:rsid w:val="000C6CB8"/>
    <w:rsid w:val="000C70F9"/>
    <w:rsid w:val="000C7107"/>
    <w:rsid w:val="000C718D"/>
    <w:rsid w:val="000C7219"/>
    <w:rsid w:val="000C727B"/>
    <w:rsid w:val="000C7282"/>
    <w:rsid w:val="000C73A1"/>
    <w:rsid w:val="000C7433"/>
    <w:rsid w:val="000C7473"/>
    <w:rsid w:val="000C7657"/>
    <w:rsid w:val="000C7664"/>
    <w:rsid w:val="000C7697"/>
    <w:rsid w:val="000C76F0"/>
    <w:rsid w:val="000C7868"/>
    <w:rsid w:val="000C797C"/>
    <w:rsid w:val="000C79CD"/>
    <w:rsid w:val="000C7BA2"/>
    <w:rsid w:val="000C7EA8"/>
    <w:rsid w:val="000C7EA9"/>
    <w:rsid w:val="000C7ED3"/>
    <w:rsid w:val="000C7F62"/>
    <w:rsid w:val="000C7F9C"/>
    <w:rsid w:val="000C7FBD"/>
    <w:rsid w:val="000CBD60"/>
    <w:rsid w:val="000D0045"/>
    <w:rsid w:val="000D0588"/>
    <w:rsid w:val="000D0595"/>
    <w:rsid w:val="000D096E"/>
    <w:rsid w:val="000D0970"/>
    <w:rsid w:val="000D0993"/>
    <w:rsid w:val="000D09D4"/>
    <w:rsid w:val="000D09E3"/>
    <w:rsid w:val="000D0AD7"/>
    <w:rsid w:val="000D0B4A"/>
    <w:rsid w:val="000D0E04"/>
    <w:rsid w:val="000D0F0F"/>
    <w:rsid w:val="000D10CC"/>
    <w:rsid w:val="000D1193"/>
    <w:rsid w:val="000D120D"/>
    <w:rsid w:val="000D12F9"/>
    <w:rsid w:val="000D1414"/>
    <w:rsid w:val="000D14C3"/>
    <w:rsid w:val="000D1525"/>
    <w:rsid w:val="000D15A5"/>
    <w:rsid w:val="000D189A"/>
    <w:rsid w:val="000D1ABA"/>
    <w:rsid w:val="000D1ADE"/>
    <w:rsid w:val="000D1C02"/>
    <w:rsid w:val="000D1C37"/>
    <w:rsid w:val="000D1D4D"/>
    <w:rsid w:val="000D1D61"/>
    <w:rsid w:val="000D1D64"/>
    <w:rsid w:val="000D1EDB"/>
    <w:rsid w:val="000D1EE2"/>
    <w:rsid w:val="000D2194"/>
    <w:rsid w:val="000D2215"/>
    <w:rsid w:val="000D227A"/>
    <w:rsid w:val="000D23DC"/>
    <w:rsid w:val="000D260D"/>
    <w:rsid w:val="000D2826"/>
    <w:rsid w:val="000D283C"/>
    <w:rsid w:val="000D28E4"/>
    <w:rsid w:val="000D29AF"/>
    <w:rsid w:val="000D2ABE"/>
    <w:rsid w:val="000D2B5C"/>
    <w:rsid w:val="000D2B88"/>
    <w:rsid w:val="000D2E89"/>
    <w:rsid w:val="000D2EA0"/>
    <w:rsid w:val="000D2F4E"/>
    <w:rsid w:val="000D302D"/>
    <w:rsid w:val="000D32B2"/>
    <w:rsid w:val="000D3378"/>
    <w:rsid w:val="000D3421"/>
    <w:rsid w:val="000D3537"/>
    <w:rsid w:val="000D35AF"/>
    <w:rsid w:val="000D3632"/>
    <w:rsid w:val="000D368E"/>
    <w:rsid w:val="000D370F"/>
    <w:rsid w:val="000D39BF"/>
    <w:rsid w:val="000D3AF4"/>
    <w:rsid w:val="000D3CEC"/>
    <w:rsid w:val="000D3DB9"/>
    <w:rsid w:val="000D3E0A"/>
    <w:rsid w:val="000D3EF9"/>
    <w:rsid w:val="000D3EFC"/>
    <w:rsid w:val="000D41CB"/>
    <w:rsid w:val="000D43E6"/>
    <w:rsid w:val="000D4628"/>
    <w:rsid w:val="000D48D1"/>
    <w:rsid w:val="000D48EB"/>
    <w:rsid w:val="000D4972"/>
    <w:rsid w:val="000D4A5A"/>
    <w:rsid w:val="000D4AE4"/>
    <w:rsid w:val="000D4C41"/>
    <w:rsid w:val="000D4C61"/>
    <w:rsid w:val="000D4D0E"/>
    <w:rsid w:val="000D4D25"/>
    <w:rsid w:val="000D4E0E"/>
    <w:rsid w:val="000D4EC4"/>
    <w:rsid w:val="000D4EE6"/>
    <w:rsid w:val="000D4F20"/>
    <w:rsid w:val="000D4F72"/>
    <w:rsid w:val="000D500E"/>
    <w:rsid w:val="000D50C1"/>
    <w:rsid w:val="000D5198"/>
    <w:rsid w:val="000D52D2"/>
    <w:rsid w:val="000D5337"/>
    <w:rsid w:val="000D55C5"/>
    <w:rsid w:val="000D5626"/>
    <w:rsid w:val="000D57E5"/>
    <w:rsid w:val="000D5872"/>
    <w:rsid w:val="000D58F2"/>
    <w:rsid w:val="000D5B45"/>
    <w:rsid w:val="000D5E32"/>
    <w:rsid w:val="000D5EC7"/>
    <w:rsid w:val="000D5F4A"/>
    <w:rsid w:val="000D5FDE"/>
    <w:rsid w:val="000D6045"/>
    <w:rsid w:val="000D6180"/>
    <w:rsid w:val="000D6287"/>
    <w:rsid w:val="000D6583"/>
    <w:rsid w:val="000D65D4"/>
    <w:rsid w:val="000D678B"/>
    <w:rsid w:val="000D690C"/>
    <w:rsid w:val="000D6A51"/>
    <w:rsid w:val="000D6A79"/>
    <w:rsid w:val="000D6AA4"/>
    <w:rsid w:val="000D6B3A"/>
    <w:rsid w:val="000D6CAC"/>
    <w:rsid w:val="000D6D15"/>
    <w:rsid w:val="000D6D79"/>
    <w:rsid w:val="000D6E33"/>
    <w:rsid w:val="000D6F00"/>
    <w:rsid w:val="000D6F27"/>
    <w:rsid w:val="000D700E"/>
    <w:rsid w:val="000D7068"/>
    <w:rsid w:val="000D71F5"/>
    <w:rsid w:val="000D7240"/>
    <w:rsid w:val="000D737F"/>
    <w:rsid w:val="000D76BF"/>
    <w:rsid w:val="000D77D5"/>
    <w:rsid w:val="000D7870"/>
    <w:rsid w:val="000D78BD"/>
    <w:rsid w:val="000D7AC6"/>
    <w:rsid w:val="000D7C9F"/>
    <w:rsid w:val="000D7DEF"/>
    <w:rsid w:val="000D7E19"/>
    <w:rsid w:val="000D7F15"/>
    <w:rsid w:val="000E0022"/>
    <w:rsid w:val="000E00B1"/>
    <w:rsid w:val="000E00EF"/>
    <w:rsid w:val="000E01ED"/>
    <w:rsid w:val="000E02F7"/>
    <w:rsid w:val="000E02FB"/>
    <w:rsid w:val="000E0385"/>
    <w:rsid w:val="000E0447"/>
    <w:rsid w:val="000E08C7"/>
    <w:rsid w:val="000E0A98"/>
    <w:rsid w:val="000E0D50"/>
    <w:rsid w:val="000E0EC3"/>
    <w:rsid w:val="000E0F7F"/>
    <w:rsid w:val="000E0FF3"/>
    <w:rsid w:val="000E1010"/>
    <w:rsid w:val="000E10A8"/>
    <w:rsid w:val="000E10FF"/>
    <w:rsid w:val="000E131A"/>
    <w:rsid w:val="000E139A"/>
    <w:rsid w:val="000E1446"/>
    <w:rsid w:val="000E148A"/>
    <w:rsid w:val="000E159E"/>
    <w:rsid w:val="000E1622"/>
    <w:rsid w:val="000E16EC"/>
    <w:rsid w:val="000E18D4"/>
    <w:rsid w:val="000E18E9"/>
    <w:rsid w:val="000E1A3B"/>
    <w:rsid w:val="000E1A62"/>
    <w:rsid w:val="000E1BD9"/>
    <w:rsid w:val="000E1C47"/>
    <w:rsid w:val="000E1C92"/>
    <w:rsid w:val="000E1D02"/>
    <w:rsid w:val="000E1DA4"/>
    <w:rsid w:val="000E1F2F"/>
    <w:rsid w:val="000E1F9E"/>
    <w:rsid w:val="000E1FED"/>
    <w:rsid w:val="000E201F"/>
    <w:rsid w:val="000E207F"/>
    <w:rsid w:val="000E2263"/>
    <w:rsid w:val="000E22AF"/>
    <w:rsid w:val="000E23F9"/>
    <w:rsid w:val="000E2422"/>
    <w:rsid w:val="000E2464"/>
    <w:rsid w:val="000E2839"/>
    <w:rsid w:val="000E283D"/>
    <w:rsid w:val="000E2AA0"/>
    <w:rsid w:val="000E2B60"/>
    <w:rsid w:val="000E2C0B"/>
    <w:rsid w:val="000E2C80"/>
    <w:rsid w:val="000E2E73"/>
    <w:rsid w:val="000E2EB4"/>
    <w:rsid w:val="000E3039"/>
    <w:rsid w:val="000E3289"/>
    <w:rsid w:val="000E32A7"/>
    <w:rsid w:val="000E32C4"/>
    <w:rsid w:val="000E331C"/>
    <w:rsid w:val="000E33F6"/>
    <w:rsid w:val="000E3475"/>
    <w:rsid w:val="000E36AE"/>
    <w:rsid w:val="000E38B2"/>
    <w:rsid w:val="000E3CBA"/>
    <w:rsid w:val="000E3D49"/>
    <w:rsid w:val="000E3FDC"/>
    <w:rsid w:val="000E4003"/>
    <w:rsid w:val="000E40B3"/>
    <w:rsid w:val="000E40D7"/>
    <w:rsid w:val="000E40EF"/>
    <w:rsid w:val="000E4129"/>
    <w:rsid w:val="000E4309"/>
    <w:rsid w:val="000E43BB"/>
    <w:rsid w:val="000E44A2"/>
    <w:rsid w:val="000E44CA"/>
    <w:rsid w:val="000E451B"/>
    <w:rsid w:val="000E4866"/>
    <w:rsid w:val="000E4906"/>
    <w:rsid w:val="000E4971"/>
    <w:rsid w:val="000E49E4"/>
    <w:rsid w:val="000E4AD3"/>
    <w:rsid w:val="000E4B8C"/>
    <w:rsid w:val="000E4D7E"/>
    <w:rsid w:val="000E4EC6"/>
    <w:rsid w:val="000E4EF9"/>
    <w:rsid w:val="000E5004"/>
    <w:rsid w:val="000E5178"/>
    <w:rsid w:val="000E51B3"/>
    <w:rsid w:val="000E52A5"/>
    <w:rsid w:val="000E52FC"/>
    <w:rsid w:val="000E5380"/>
    <w:rsid w:val="000E53E6"/>
    <w:rsid w:val="000E5412"/>
    <w:rsid w:val="000E54D0"/>
    <w:rsid w:val="000E5504"/>
    <w:rsid w:val="000E5725"/>
    <w:rsid w:val="000E5746"/>
    <w:rsid w:val="000E5964"/>
    <w:rsid w:val="000E597A"/>
    <w:rsid w:val="000E5A7F"/>
    <w:rsid w:val="000E5F47"/>
    <w:rsid w:val="000E5F9F"/>
    <w:rsid w:val="000E5FFB"/>
    <w:rsid w:val="000E6286"/>
    <w:rsid w:val="000E65D5"/>
    <w:rsid w:val="000E65DD"/>
    <w:rsid w:val="000E6609"/>
    <w:rsid w:val="000E6A92"/>
    <w:rsid w:val="000E6BDD"/>
    <w:rsid w:val="000E6DF3"/>
    <w:rsid w:val="000E6E34"/>
    <w:rsid w:val="000E6EFB"/>
    <w:rsid w:val="000E6F74"/>
    <w:rsid w:val="000E7116"/>
    <w:rsid w:val="000E7152"/>
    <w:rsid w:val="000E7254"/>
    <w:rsid w:val="000E73B5"/>
    <w:rsid w:val="000E74D7"/>
    <w:rsid w:val="000E7600"/>
    <w:rsid w:val="000E76D7"/>
    <w:rsid w:val="000E7728"/>
    <w:rsid w:val="000E7A6A"/>
    <w:rsid w:val="000E7B87"/>
    <w:rsid w:val="000E7C20"/>
    <w:rsid w:val="000E7E44"/>
    <w:rsid w:val="000E7EB5"/>
    <w:rsid w:val="000F000B"/>
    <w:rsid w:val="000F0044"/>
    <w:rsid w:val="000F0231"/>
    <w:rsid w:val="000F026C"/>
    <w:rsid w:val="000F034B"/>
    <w:rsid w:val="000F0A3F"/>
    <w:rsid w:val="000F0A51"/>
    <w:rsid w:val="000F0D28"/>
    <w:rsid w:val="000F0D2C"/>
    <w:rsid w:val="000F0FB0"/>
    <w:rsid w:val="000F103A"/>
    <w:rsid w:val="000F121B"/>
    <w:rsid w:val="000F1381"/>
    <w:rsid w:val="000F151C"/>
    <w:rsid w:val="000F15F7"/>
    <w:rsid w:val="000F1646"/>
    <w:rsid w:val="000F169B"/>
    <w:rsid w:val="000F184E"/>
    <w:rsid w:val="000F185C"/>
    <w:rsid w:val="000F19A6"/>
    <w:rsid w:val="000F19EB"/>
    <w:rsid w:val="000F1D6F"/>
    <w:rsid w:val="000F1ED9"/>
    <w:rsid w:val="000F1F94"/>
    <w:rsid w:val="000F20AF"/>
    <w:rsid w:val="000F20BD"/>
    <w:rsid w:val="000F210D"/>
    <w:rsid w:val="000F219A"/>
    <w:rsid w:val="000F232E"/>
    <w:rsid w:val="000F2391"/>
    <w:rsid w:val="000F23F2"/>
    <w:rsid w:val="000F2400"/>
    <w:rsid w:val="000F2404"/>
    <w:rsid w:val="000F2407"/>
    <w:rsid w:val="000F26B1"/>
    <w:rsid w:val="000F27DC"/>
    <w:rsid w:val="000F2885"/>
    <w:rsid w:val="000F2945"/>
    <w:rsid w:val="000F29CC"/>
    <w:rsid w:val="000F2D28"/>
    <w:rsid w:val="000F2FFD"/>
    <w:rsid w:val="000F30F2"/>
    <w:rsid w:val="000F327F"/>
    <w:rsid w:val="000F32B0"/>
    <w:rsid w:val="000F332B"/>
    <w:rsid w:val="000F332F"/>
    <w:rsid w:val="000F3619"/>
    <w:rsid w:val="000F38EF"/>
    <w:rsid w:val="000F3B97"/>
    <w:rsid w:val="000F3D79"/>
    <w:rsid w:val="000F3E43"/>
    <w:rsid w:val="000F3F76"/>
    <w:rsid w:val="000F3FC7"/>
    <w:rsid w:val="000F4001"/>
    <w:rsid w:val="000F41BE"/>
    <w:rsid w:val="000F447A"/>
    <w:rsid w:val="000F46DD"/>
    <w:rsid w:val="000F4748"/>
    <w:rsid w:val="000F4768"/>
    <w:rsid w:val="000F47F3"/>
    <w:rsid w:val="000F47FA"/>
    <w:rsid w:val="000F486C"/>
    <w:rsid w:val="000F4939"/>
    <w:rsid w:val="000F4C0E"/>
    <w:rsid w:val="000F4CE1"/>
    <w:rsid w:val="000F50BC"/>
    <w:rsid w:val="000F50EC"/>
    <w:rsid w:val="000F519F"/>
    <w:rsid w:val="000F51C2"/>
    <w:rsid w:val="000F529A"/>
    <w:rsid w:val="000F52F3"/>
    <w:rsid w:val="000F53E9"/>
    <w:rsid w:val="000F540F"/>
    <w:rsid w:val="000F5576"/>
    <w:rsid w:val="000F56A6"/>
    <w:rsid w:val="000F5AA8"/>
    <w:rsid w:val="000F5B48"/>
    <w:rsid w:val="000F5C82"/>
    <w:rsid w:val="000F5DF6"/>
    <w:rsid w:val="000F5F56"/>
    <w:rsid w:val="000F607F"/>
    <w:rsid w:val="000F65CA"/>
    <w:rsid w:val="000F6644"/>
    <w:rsid w:val="000F673E"/>
    <w:rsid w:val="000F6A16"/>
    <w:rsid w:val="000F6A80"/>
    <w:rsid w:val="000F6B41"/>
    <w:rsid w:val="000F6C38"/>
    <w:rsid w:val="000F6DB3"/>
    <w:rsid w:val="000F6E1B"/>
    <w:rsid w:val="000F6E79"/>
    <w:rsid w:val="000F71B0"/>
    <w:rsid w:val="000F7292"/>
    <w:rsid w:val="000F7324"/>
    <w:rsid w:val="000F766A"/>
    <w:rsid w:val="000F77D3"/>
    <w:rsid w:val="000F785A"/>
    <w:rsid w:val="000F78C2"/>
    <w:rsid w:val="000F7BFE"/>
    <w:rsid w:val="000F7D60"/>
    <w:rsid w:val="000F7D99"/>
    <w:rsid w:val="000F7E09"/>
    <w:rsid w:val="000F7EA5"/>
    <w:rsid w:val="000F7EA7"/>
    <w:rsid w:val="000F7ECE"/>
    <w:rsid w:val="0010013E"/>
    <w:rsid w:val="00100249"/>
    <w:rsid w:val="00100331"/>
    <w:rsid w:val="00100498"/>
    <w:rsid w:val="001004BB"/>
    <w:rsid w:val="001008D0"/>
    <w:rsid w:val="001009C9"/>
    <w:rsid w:val="00100B1F"/>
    <w:rsid w:val="00100B20"/>
    <w:rsid w:val="00100B50"/>
    <w:rsid w:val="00100C65"/>
    <w:rsid w:val="00100CA2"/>
    <w:rsid w:val="00100CD0"/>
    <w:rsid w:val="00100E1F"/>
    <w:rsid w:val="00100F0B"/>
    <w:rsid w:val="001010AB"/>
    <w:rsid w:val="00101106"/>
    <w:rsid w:val="0010115B"/>
    <w:rsid w:val="0010122E"/>
    <w:rsid w:val="001012E2"/>
    <w:rsid w:val="0010136C"/>
    <w:rsid w:val="001015FD"/>
    <w:rsid w:val="00101630"/>
    <w:rsid w:val="0010174E"/>
    <w:rsid w:val="00101786"/>
    <w:rsid w:val="0010179D"/>
    <w:rsid w:val="0010183F"/>
    <w:rsid w:val="0010186C"/>
    <w:rsid w:val="00101888"/>
    <w:rsid w:val="001019B4"/>
    <w:rsid w:val="00101AC7"/>
    <w:rsid w:val="00101B06"/>
    <w:rsid w:val="00101B0E"/>
    <w:rsid w:val="00101BC4"/>
    <w:rsid w:val="00101C11"/>
    <w:rsid w:val="00101DEC"/>
    <w:rsid w:val="00101F56"/>
    <w:rsid w:val="00101F8A"/>
    <w:rsid w:val="0010216D"/>
    <w:rsid w:val="00102170"/>
    <w:rsid w:val="00102461"/>
    <w:rsid w:val="00102678"/>
    <w:rsid w:val="001027FB"/>
    <w:rsid w:val="00102950"/>
    <w:rsid w:val="0010297A"/>
    <w:rsid w:val="00102ACF"/>
    <w:rsid w:val="00102C53"/>
    <w:rsid w:val="00102C57"/>
    <w:rsid w:val="00103095"/>
    <w:rsid w:val="001030F0"/>
    <w:rsid w:val="0010358D"/>
    <w:rsid w:val="001035B0"/>
    <w:rsid w:val="00103873"/>
    <w:rsid w:val="001038B4"/>
    <w:rsid w:val="0010396B"/>
    <w:rsid w:val="001039E6"/>
    <w:rsid w:val="00103BB1"/>
    <w:rsid w:val="00103E37"/>
    <w:rsid w:val="00103E46"/>
    <w:rsid w:val="00103E90"/>
    <w:rsid w:val="00104028"/>
    <w:rsid w:val="0010426F"/>
    <w:rsid w:val="0010427C"/>
    <w:rsid w:val="00104304"/>
    <w:rsid w:val="001043A8"/>
    <w:rsid w:val="00104481"/>
    <w:rsid w:val="001045B4"/>
    <w:rsid w:val="001046B4"/>
    <w:rsid w:val="001047DE"/>
    <w:rsid w:val="00104875"/>
    <w:rsid w:val="001048C5"/>
    <w:rsid w:val="00104AFB"/>
    <w:rsid w:val="00104B59"/>
    <w:rsid w:val="00104BC3"/>
    <w:rsid w:val="00104D7D"/>
    <w:rsid w:val="00104EFD"/>
    <w:rsid w:val="00104F7C"/>
    <w:rsid w:val="00105059"/>
    <w:rsid w:val="0010536D"/>
    <w:rsid w:val="001055FD"/>
    <w:rsid w:val="0010562C"/>
    <w:rsid w:val="00105640"/>
    <w:rsid w:val="00105765"/>
    <w:rsid w:val="00105767"/>
    <w:rsid w:val="001057EE"/>
    <w:rsid w:val="00105918"/>
    <w:rsid w:val="00105C76"/>
    <w:rsid w:val="00105DA6"/>
    <w:rsid w:val="00105E7B"/>
    <w:rsid w:val="00105F33"/>
    <w:rsid w:val="00105F46"/>
    <w:rsid w:val="00105F7A"/>
    <w:rsid w:val="00106003"/>
    <w:rsid w:val="00106094"/>
    <w:rsid w:val="001062D6"/>
    <w:rsid w:val="001062DC"/>
    <w:rsid w:val="0010637C"/>
    <w:rsid w:val="00106567"/>
    <w:rsid w:val="0010682D"/>
    <w:rsid w:val="001068B1"/>
    <w:rsid w:val="001068B7"/>
    <w:rsid w:val="001068E6"/>
    <w:rsid w:val="001069B8"/>
    <w:rsid w:val="00106A22"/>
    <w:rsid w:val="00106D33"/>
    <w:rsid w:val="00106D88"/>
    <w:rsid w:val="00106DA7"/>
    <w:rsid w:val="00106F0D"/>
    <w:rsid w:val="00107097"/>
    <w:rsid w:val="001072C3"/>
    <w:rsid w:val="0010730B"/>
    <w:rsid w:val="00107366"/>
    <w:rsid w:val="00107482"/>
    <w:rsid w:val="001074CD"/>
    <w:rsid w:val="001074EB"/>
    <w:rsid w:val="00107680"/>
    <w:rsid w:val="001077D2"/>
    <w:rsid w:val="00107868"/>
    <w:rsid w:val="001079AC"/>
    <w:rsid w:val="00107D06"/>
    <w:rsid w:val="00107D1D"/>
    <w:rsid w:val="00107DB2"/>
    <w:rsid w:val="00110097"/>
    <w:rsid w:val="00110174"/>
    <w:rsid w:val="001102C7"/>
    <w:rsid w:val="001103F9"/>
    <w:rsid w:val="00110434"/>
    <w:rsid w:val="0011055F"/>
    <w:rsid w:val="0011063E"/>
    <w:rsid w:val="001106DC"/>
    <w:rsid w:val="0011070F"/>
    <w:rsid w:val="00110726"/>
    <w:rsid w:val="0011073B"/>
    <w:rsid w:val="00110785"/>
    <w:rsid w:val="001107A2"/>
    <w:rsid w:val="001107B2"/>
    <w:rsid w:val="001108C8"/>
    <w:rsid w:val="001108D2"/>
    <w:rsid w:val="0011099E"/>
    <w:rsid w:val="001109FC"/>
    <w:rsid w:val="00110AC0"/>
    <w:rsid w:val="00110D12"/>
    <w:rsid w:val="00110DCB"/>
    <w:rsid w:val="00110EC4"/>
    <w:rsid w:val="00110EEB"/>
    <w:rsid w:val="00110EF7"/>
    <w:rsid w:val="00110FA1"/>
    <w:rsid w:val="001110A9"/>
    <w:rsid w:val="0011112F"/>
    <w:rsid w:val="00111206"/>
    <w:rsid w:val="0011122F"/>
    <w:rsid w:val="00111239"/>
    <w:rsid w:val="00111242"/>
    <w:rsid w:val="001112B4"/>
    <w:rsid w:val="001112C4"/>
    <w:rsid w:val="00111319"/>
    <w:rsid w:val="00111378"/>
    <w:rsid w:val="00111606"/>
    <w:rsid w:val="00111804"/>
    <w:rsid w:val="001118B3"/>
    <w:rsid w:val="00111992"/>
    <w:rsid w:val="001119FA"/>
    <w:rsid w:val="00111A46"/>
    <w:rsid w:val="00111DE1"/>
    <w:rsid w:val="00111EF3"/>
    <w:rsid w:val="00112083"/>
    <w:rsid w:val="0011216D"/>
    <w:rsid w:val="001121AE"/>
    <w:rsid w:val="001121B4"/>
    <w:rsid w:val="00112275"/>
    <w:rsid w:val="001123B5"/>
    <w:rsid w:val="001124CB"/>
    <w:rsid w:val="0011256D"/>
    <w:rsid w:val="00112720"/>
    <w:rsid w:val="0011287A"/>
    <w:rsid w:val="001128FC"/>
    <w:rsid w:val="00112AD2"/>
    <w:rsid w:val="00112B89"/>
    <w:rsid w:val="00112D04"/>
    <w:rsid w:val="00112DF5"/>
    <w:rsid w:val="00112E5A"/>
    <w:rsid w:val="00112E66"/>
    <w:rsid w:val="00112F3B"/>
    <w:rsid w:val="00112FA4"/>
    <w:rsid w:val="00113084"/>
    <w:rsid w:val="00113199"/>
    <w:rsid w:val="0011328C"/>
    <w:rsid w:val="0011345C"/>
    <w:rsid w:val="00113509"/>
    <w:rsid w:val="00113625"/>
    <w:rsid w:val="001138AA"/>
    <w:rsid w:val="00113AB0"/>
    <w:rsid w:val="00113B9A"/>
    <w:rsid w:val="00113BE0"/>
    <w:rsid w:val="00113D2C"/>
    <w:rsid w:val="00113E25"/>
    <w:rsid w:val="00113EC1"/>
    <w:rsid w:val="00113ED9"/>
    <w:rsid w:val="001140FA"/>
    <w:rsid w:val="001141FA"/>
    <w:rsid w:val="0011430F"/>
    <w:rsid w:val="00114715"/>
    <w:rsid w:val="0011474C"/>
    <w:rsid w:val="0011477E"/>
    <w:rsid w:val="001148F9"/>
    <w:rsid w:val="00114929"/>
    <w:rsid w:val="0011494F"/>
    <w:rsid w:val="00114C50"/>
    <w:rsid w:val="00114E38"/>
    <w:rsid w:val="00114E9C"/>
    <w:rsid w:val="00114EBE"/>
    <w:rsid w:val="00114F95"/>
    <w:rsid w:val="00115122"/>
    <w:rsid w:val="00115179"/>
    <w:rsid w:val="001151C0"/>
    <w:rsid w:val="001152DF"/>
    <w:rsid w:val="00115307"/>
    <w:rsid w:val="0011530A"/>
    <w:rsid w:val="00115447"/>
    <w:rsid w:val="0011547B"/>
    <w:rsid w:val="00115497"/>
    <w:rsid w:val="0011552E"/>
    <w:rsid w:val="001156E3"/>
    <w:rsid w:val="001157E4"/>
    <w:rsid w:val="001158E8"/>
    <w:rsid w:val="00115985"/>
    <w:rsid w:val="001159B7"/>
    <w:rsid w:val="00115B14"/>
    <w:rsid w:val="00115B88"/>
    <w:rsid w:val="00115F22"/>
    <w:rsid w:val="00115F4E"/>
    <w:rsid w:val="00115FFC"/>
    <w:rsid w:val="0011616E"/>
    <w:rsid w:val="0011617E"/>
    <w:rsid w:val="00116328"/>
    <w:rsid w:val="001164A7"/>
    <w:rsid w:val="00116571"/>
    <w:rsid w:val="00116572"/>
    <w:rsid w:val="0011662C"/>
    <w:rsid w:val="001166CF"/>
    <w:rsid w:val="00116760"/>
    <w:rsid w:val="00116859"/>
    <w:rsid w:val="001169BA"/>
    <w:rsid w:val="00116AE6"/>
    <w:rsid w:val="00116B69"/>
    <w:rsid w:val="00116BE1"/>
    <w:rsid w:val="00116BFD"/>
    <w:rsid w:val="00116C6F"/>
    <w:rsid w:val="00116DE6"/>
    <w:rsid w:val="00116E3B"/>
    <w:rsid w:val="00116F42"/>
    <w:rsid w:val="00117087"/>
    <w:rsid w:val="001170F8"/>
    <w:rsid w:val="001173DC"/>
    <w:rsid w:val="00117471"/>
    <w:rsid w:val="00117511"/>
    <w:rsid w:val="00117627"/>
    <w:rsid w:val="00117661"/>
    <w:rsid w:val="001176D6"/>
    <w:rsid w:val="001176FE"/>
    <w:rsid w:val="00117759"/>
    <w:rsid w:val="00117959"/>
    <w:rsid w:val="00117A67"/>
    <w:rsid w:val="00117A89"/>
    <w:rsid w:val="00117C67"/>
    <w:rsid w:val="00117D0F"/>
    <w:rsid w:val="00117D6A"/>
    <w:rsid w:val="00117E84"/>
    <w:rsid w:val="00117EE8"/>
    <w:rsid w:val="001203C9"/>
    <w:rsid w:val="001203E4"/>
    <w:rsid w:val="00120633"/>
    <w:rsid w:val="0012064C"/>
    <w:rsid w:val="0012073E"/>
    <w:rsid w:val="001207B6"/>
    <w:rsid w:val="001207F3"/>
    <w:rsid w:val="00120801"/>
    <w:rsid w:val="001208AC"/>
    <w:rsid w:val="00120906"/>
    <w:rsid w:val="00120AD7"/>
    <w:rsid w:val="00120B64"/>
    <w:rsid w:val="00120BA2"/>
    <w:rsid w:val="00120BF7"/>
    <w:rsid w:val="00120C89"/>
    <w:rsid w:val="00120CFF"/>
    <w:rsid w:val="00120D88"/>
    <w:rsid w:val="00120DE7"/>
    <w:rsid w:val="00120EC5"/>
    <w:rsid w:val="00120F01"/>
    <w:rsid w:val="00120F4C"/>
    <w:rsid w:val="001210DD"/>
    <w:rsid w:val="0012113C"/>
    <w:rsid w:val="001211A1"/>
    <w:rsid w:val="001211D8"/>
    <w:rsid w:val="00121433"/>
    <w:rsid w:val="00121445"/>
    <w:rsid w:val="001216F8"/>
    <w:rsid w:val="0012192A"/>
    <w:rsid w:val="0012196A"/>
    <w:rsid w:val="001219DA"/>
    <w:rsid w:val="00121AAF"/>
    <w:rsid w:val="00121B02"/>
    <w:rsid w:val="00121B0E"/>
    <w:rsid w:val="00121B83"/>
    <w:rsid w:val="00121C70"/>
    <w:rsid w:val="00121D27"/>
    <w:rsid w:val="00121DD9"/>
    <w:rsid w:val="00121EDE"/>
    <w:rsid w:val="0012201E"/>
    <w:rsid w:val="00122104"/>
    <w:rsid w:val="00122368"/>
    <w:rsid w:val="001223B6"/>
    <w:rsid w:val="001224C7"/>
    <w:rsid w:val="00122509"/>
    <w:rsid w:val="001225B6"/>
    <w:rsid w:val="00122822"/>
    <w:rsid w:val="00122939"/>
    <w:rsid w:val="00122A29"/>
    <w:rsid w:val="00122A96"/>
    <w:rsid w:val="00122B32"/>
    <w:rsid w:val="00122B5E"/>
    <w:rsid w:val="00122D0D"/>
    <w:rsid w:val="00122EB3"/>
    <w:rsid w:val="00122F8B"/>
    <w:rsid w:val="00123265"/>
    <w:rsid w:val="0012327D"/>
    <w:rsid w:val="00123317"/>
    <w:rsid w:val="001237EF"/>
    <w:rsid w:val="0012389F"/>
    <w:rsid w:val="0012390D"/>
    <w:rsid w:val="00123A10"/>
    <w:rsid w:val="00123A8D"/>
    <w:rsid w:val="00123C8C"/>
    <w:rsid w:val="00123D2F"/>
    <w:rsid w:val="00123DB4"/>
    <w:rsid w:val="00123DCD"/>
    <w:rsid w:val="00123E64"/>
    <w:rsid w:val="00123F86"/>
    <w:rsid w:val="00124402"/>
    <w:rsid w:val="001244E8"/>
    <w:rsid w:val="001245AE"/>
    <w:rsid w:val="0012481C"/>
    <w:rsid w:val="001248B3"/>
    <w:rsid w:val="0012497E"/>
    <w:rsid w:val="00124C2B"/>
    <w:rsid w:val="00124D8D"/>
    <w:rsid w:val="00124FCB"/>
    <w:rsid w:val="00124FD2"/>
    <w:rsid w:val="001250C3"/>
    <w:rsid w:val="00125207"/>
    <w:rsid w:val="00125266"/>
    <w:rsid w:val="00125650"/>
    <w:rsid w:val="00125681"/>
    <w:rsid w:val="001256DB"/>
    <w:rsid w:val="0012585B"/>
    <w:rsid w:val="00125A2C"/>
    <w:rsid w:val="00125AD5"/>
    <w:rsid w:val="00125AEE"/>
    <w:rsid w:val="00125D1B"/>
    <w:rsid w:val="00125D83"/>
    <w:rsid w:val="00125D8E"/>
    <w:rsid w:val="00125DB8"/>
    <w:rsid w:val="00125E1D"/>
    <w:rsid w:val="00125E94"/>
    <w:rsid w:val="00125EEC"/>
    <w:rsid w:val="00125FE7"/>
    <w:rsid w:val="001260B5"/>
    <w:rsid w:val="00126332"/>
    <w:rsid w:val="001263F9"/>
    <w:rsid w:val="00126479"/>
    <w:rsid w:val="00126624"/>
    <w:rsid w:val="001266C9"/>
    <w:rsid w:val="001266CA"/>
    <w:rsid w:val="0012682E"/>
    <w:rsid w:val="00126830"/>
    <w:rsid w:val="00126869"/>
    <w:rsid w:val="0012691E"/>
    <w:rsid w:val="00126FC4"/>
    <w:rsid w:val="00127266"/>
    <w:rsid w:val="001272F1"/>
    <w:rsid w:val="001275E3"/>
    <w:rsid w:val="00127669"/>
    <w:rsid w:val="00127861"/>
    <w:rsid w:val="00127C72"/>
    <w:rsid w:val="00127E41"/>
    <w:rsid w:val="00127F27"/>
    <w:rsid w:val="00130039"/>
    <w:rsid w:val="00130151"/>
    <w:rsid w:val="001301A2"/>
    <w:rsid w:val="001302BC"/>
    <w:rsid w:val="00130320"/>
    <w:rsid w:val="00130328"/>
    <w:rsid w:val="00130333"/>
    <w:rsid w:val="001303F9"/>
    <w:rsid w:val="00130614"/>
    <w:rsid w:val="0013085A"/>
    <w:rsid w:val="0013093C"/>
    <w:rsid w:val="00130CFE"/>
    <w:rsid w:val="00130D3A"/>
    <w:rsid w:val="00130DC2"/>
    <w:rsid w:val="00130FCD"/>
    <w:rsid w:val="00131062"/>
    <w:rsid w:val="0013108E"/>
    <w:rsid w:val="00131192"/>
    <w:rsid w:val="0013125A"/>
    <w:rsid w:val="0013131B"/>
    <w:rsid w:val="0013152A"/>
    <w:rsid w:val="00131581"/>
    <w:rsid w:val="00131806"/>
    <w:rsid w:val="00131827"/>
    <w:rsid w:val="00131919"/>
    <w:rsid w:val="001319B0"/>
    <w:rsid w:val="00131AF1"/>
    <w:rsid w:val="00131C14"/>
    <w:rsid w:val="00131C6C"/>
    <w:rsid w:val="00131D88"/>
    <w:rsid w:val="00131DD1"/>
    <w:rsid w:val="00131EAB"/>
    <w:rsid w:val="00131EE8"/>
    <w:rsid w:val="001320E8"/>
    <w:rsid w:val="00132352"/>
    <w:rsid w:val="001323A4"/>
    <w:rsid w:val="00132543"/>
    <w:rsid w:val="001329AE"/>
    <w:rsid w:val="00132A04"/>
    <w:rsid w:val="00132AD2"/>
    <w:rsid w:val="00132B77"/>
    <w:rsid w:val="00132B8E"/>
    <w:rsid w:val="00132D45"/>
    <w:rsid w:val="00132DF9"/>
    <w:rsid w:val="00132EEE"/>
    <w:rsid w:val="001331D3"/>
    <w:rsid w:val="00133206"/>
    <w:rsid w:val="001332CE"/>
    <w:rsid w:val="001333E0"/>
    <w:rsid w:val="0013345F"/>
    <w:rsid w:val="001336A3"/>
    <w:rsid w:val="00133702"/>
    <w:rsid w:val="0013373E"/>
    <w:rsid w:val="0013385B"/>
    <w:rsid w:val="0013395F"/>
    <w:rsid w:val="001339BD"/>
    <w:rsid w:val="00133A95"/>
    <w:rsid w:val="00133BC2"/>
    <w:rsid w:val="00133C72"/>
    <w:rsid w:val="00133EAE"/>
    <w:rsid w:val="00133ED0"/>
    <w:rsid w:val="00134020"/>
    <w:rsid w:val="0013408D"/>
    <w:rsid w:val="001340B6"/>
    <w:rsid w:val="001340D5"/>
    <w:rsid w:val="0013411E"/>
    <w:rsid w:val="00134227"/>
    <w:rsid w:val="001342DD"/>
    <w:rsid w:val="0013452E"/>
    <w:rsid w:val="0013480A"/>
    <w:rsid w:val="00134ADB"/>
    <w:rsid w:val="00134BBE"/>
    <w:rsid w:val="00134BC0"/>
    <w:rsid w:val="00134CDA"/>
    <w:rsid w:val="00135033"/>
    <w:rsid w:val="00135052"/>
    <w:rsid w:val="001353A1"/>
    <w:rsid w:val="00135462"/>
    <w:rsid w:val="0013559D"/>
    <w:rsid w:val="00135736"/>
    <w:rsid w:val="001357BB"/>
    <w:rsid w:val="001358E5"/>
    <w:rsid w:val="00135969"/>
    <w:rsid w:val="001359A4"/>
    <w:rsid w:val="00135B05"/>
    <w:rsid w:val="00135B68"/>
    <w:rsid w:val="00135B88"/>
    <w:rsid w:val="00135CB7"/>
    <w:rsid w:val="00135D3D"/>
    <w:rsid w:val="00135E87"/>
    <w:rsid w:val="00135F10"/>
    <w:rsid w:val="00136014"/>
    <w:rsid w:val="00136310"/>
    <w:rsid w:val="00136401"/>
    <w:rsid w:val="00136642"/>
    <w:rsid w:val="0013669B"/>
    <w:rsid w:val="00136782"/>
    <w:rsid w:val="00136801"/>
    <w:rsid w:val="00136AF7"/>
    <w:rsid w:val="00136B95"/>
    <w:rsid w:val="00136BEA"/>
    <w:rsid w:val="00136C47"/>
    <w:rsid w:val="00136D67"/>
    <w:rsid w:val="00136FAE"/>
    <w:rsid w:val="00137016"/>
    <w:rsid w:val="00137390"/>
    <w:rsid w:val="001374ED"/>
    <w:rsid w:val="0013757E"/>
    <w:rsid w:val="001375E9"/>
    <w:rsid w:val="0013761F"/>
    <w:rsid w:val="0013763C"/>
    <w:rsid w:val="0013770F"/>
    <w:rsid w:val="001377A6"/>
    <w:rsid w:val="00137820"/>
    <w:rsid w:val="001379C9"/>
    <w:rsid w:val="00137A62"/>
    <w:rsid w:val="00137F74"/>
    <w:rsid w:val="00140070"/>
    <w:rsid w:val="001400B4"/>
    <w:rsid w:val="00140161"/>
    <w:rsid w:val="00140308"/>
    <w:rsid w:val="001404FA"/>
    <w:rsid w:val="00140606"/>
    <w:rsid w:val="001406A4"/>
    <w:rsid w:val="001406D7"/>
    <w:rsid w:val="0014080C"/>
    <w:rsid w:val="0014085B"/>
    <w:rsid w:val="00140A6A"/>
    <w:rsid w:val="00140A87"/>
    <w:rsid w:val="00140B34"/>
    <w:rsid w:val="00140C5F"/>
    <w:rsid w:val="00140F06"/>
    <w:rsid w:val="00140FB9"/>
    <w:rsid w:val="00140FD9"/>
    <w:rsid w:val="0014113D"/>
    <w:rsid w:val="001411F1"/>
    <w:rsid w:val="001412A5"/>
    <w:rsid w:val="001412EC"/>
    <w:rsid w:val="00141458"/>
    <w:rsid w:val="00141572"/>
    <w:rsid w:val="00141841"/>
    <w:rsid w:val="00141B0F"/>
    <w:rsid w:val="00141C12"/>
    <w:rsid w:val="00141D70"/>
    <w:rsid w:val="00141FF6"/>
    <w:rsid w:val="00142172"/>
    <w:rsid w:val="001422A4"/>
    <w:rsid w:val="00142397"/>
    <w:rsid w:val="0014239F"/>
    <w:rsid w:val="001425FA"/>
    <w:rsid w:val="00142615"/>
    <w:rsid w:val="00142640"/>
    <w:rsid w:val="0014265F"/>
    <w:rsid w:val="001426C9"/>
    <w:rsid w:val="0014271D"/>
    <w:rsid w:val="00142791"/>
    <w:rsid w:val="001427C8"/>
    <w:rsid w:val="001428AC"/>
    <w:rsid w:val="00142946"/>
    <w:rsid w:val="00142A30"/>
    <w:rsid w:val="00142AB7"/>
    <w:rsid w:val="00142B1A"/>
    <w:rsid w:val="00142DF9"/>
    <w:rsid w:val="00142EAE"/>
    <w:rsid w:val="00142EB0"/>
    <w:rsid w:val="00142F09"/>
    <w:rsid w:val="00142F11"/>
    <w:rsid w:val="00142F2E"/>
    <w:rsid w:val="00142FB9"/>
    <w:rsid w:val="0014301D"/>
    <w:rsid w:val="00143284"/>
    <w:rsid w:val="001432BF"/>
    <w:rsid w:val="0014333A"/>
    <w:rsid w:val="0014333C"/>
    <w:rsid w:val="00143359"/>
    <w:rsid w:val="0014349A"/>
    <w:rsid w:val="001435C7"/>
    <w:rsid w:val="00143657"/>
    <w:rsid w:val="00143ACE"/>
    <w:rsid w:val="00143B16"/>
    <w:rsid w:val="00143E6C"/>
    <w:rsid w:val="00143EB0"/>
    <w:rsid w:val="00143F60"/>
    <w:rsid w:val="00143F78"/>
    <w:rsid w:val="00144006"/>
    <w:rsid w:val="0014403B"/>
    <w:rsid w:val="00144101"/>
    <w:rsid w:val="0014440B"/>
    <w:rsid w:val="0014447A"/>
    <w:rsid w:val="0014448A"/>
    <w:rsid w:val="001446E3"/>
    <w:rsid w:val="0014498B"/>
    <w:rsid w:val="00144A5D"/>
    <w:rsid w:val="00144CB8"/>
    <w:rsid w:val="00144CE0"/>
    <w:rsid w:val="00144F47"/>
    <w:rsid w:val="00145181"/>
    <w:rsid w:val="001451DC"/>
    <w:rsid w:val="0014520F"/>
    <w:rsid w:val="00145357"/>
    <w:rsid w:val="00145412"/>
    <w:rsid w:val="0014562E"/>
    <w:rsid w:val="001458E7"/>
    <w:rsid w:val="001458FC"/>
    <w:rsid w:val="00145A63"/>
    <w:rsid w:val="00145AB4"/>
    <w:rsid w:val="00145B75"/>
    <w:rsid w:val="00145E5D"/>
    <w:rsid w:val="00145F3B"/>
    <w:rsid w:val="0014608E"/>
    <w:rsid w:val="001460C1"/>
    <w:rsid w:val="00146157"/>
    <w:rsid w:val="0014627A"/>
    <w:rsid w:val="0014638E"/>
    <w:rsid w:val="0014649B"/>
    <w:rsid w:val="001464CF"/>
    <w:rsid w:val="001467BC"/>
    <w:rsid w:val="00146971"/>
    <w:rsid w:val="0014699D"/>
    <w:rsid w:val="00146A18"/>
    <w:rsid w:val="00146AE4"/>
    <w:rsid w:val="00146C61"/>
    <w:rsid w:val="00146C95"/>
    <w:rsid w:val="00146E25"/>
    <w:rsid w:val="00146E49"/>
    <w:rsid w:val="00146E60"/>
    <w:rsid w:val="00146E74"/>
    <w:rsid w:val="00146EB5"/>
    <w:rsid w:val="00146F7A"/>
    <w:rsid w:val="001470BA"/>
    <w:rsid w:val="00147535"/>
    <w:rsid w:val="0014755B"/>
    <w:rsid w:val="0014756F"/>
    <w:rsid w:val="0014758B"/>
    <w:rsid w:val="001475B3"/>
    <w:rsid w:val="0014789B"/>
    <w:rsid w:val="001478EB"/>
    <w:rsid w:val="00147A15"/>
    <w:rsid w:val="00147ED5"/>
    <w:rsid w:val="00147F78"/>
    <w:rsid w:val="00150046"/>
    <w:rsid w:val="00150108"/>
    <w:rsid w:val="0015017D"/>
    <w:rsid w:val="001501F9"/>
    <w:rsid w:val="00150240"/>
    <w:rsid w:val="0015028C"/>
    <w:rsid w:val="0015036A"/>
    <w:rsid w:val="001503BB"/>
    <w:rsid w:val="001504EC"/>
    <w:rsid w:val="001506E5"/>
    <w:rsid w:val="0015073C"/>
    <w:rsid w:val="00150848"/>
    <w:rsid w:val="00150990"/>
    <w:rsid w:val="001509AF"/>
    <w:rsid w:val="00150AFC"/>
    <w:rsid w:val="00150C92"/>
    <w:rsid w:val="00150CF9"/>
    <w:rsid w:val="00150D22"/>
    <w:rsid w:val="00150DBB"/>
    <w:rsid w:val="00150E99"/>
    <w:rsid w:val="00150F51"/>
    <w:rsid w:val="00150F62"/>
    <w:rsid w:val="0015100E"/>
    <w:rsid w:val="0015103E"/>
    <w:rsid w:val="0015122F"/>
    <w:rsid w:val="001513EB"/>
    <w:rsid w:val="0015143C"/>
    <w:rsid w:val="00151459"/>
    <w:rsid w:val="0015147D"/>
    <w:rsid w:val="00151851"/>
    <w:rsid w:val="00151961"/>
    <w:rsid w:val="001519B7"/>
    <w:rsid w:val="00151A2D"/>
    <w:rsid w:val="00151ABD"/>
    <w:rsid w:val="00151AED"/>
    <w:rsid w:val="00151DE0"/>
    <w:rsid w:val="00151DFE"/>
    <w:rsid w:val="00151F28"/>
    <w:rsid w:val="00151FCC"/>
    <w:rsid w:val="00152042"/>
    <w:rsid w:val="0015204E"/>
    <w:rsid w:val="001522D6"/>
    <w:rsid w:val="0015234C"/>
    <w:rsid w:val="00152378"/>
    <w:rsid w:val="00152417"/>
    <w:rsid w:val="00152419"/>
    <w:rsid w:val="001525A8"/>
    <w:rsid w:val="001525BE"/>
    <w:rsid w:val="00152662"/>
    <w:rsid w:val="0015282D"/>
    <w:rsid w:val="001528FA"/>
    <w:rsid w:val="00152901"/>
    <w:rsid w:val="0015297C"/>
    <w:rsid w:val="001529EE"/>
    <w:rsid w:val="00152ADE"/>
    <w:rsid w:val="00152C4E"/>
    <w:rsid w:val="00152D6C"/>
    <w:rsid w:val="00152DC8"/>
    <w:rsid w:val="00152E4F"/>
    <w:rsid w:val="00152E9C"/>
    <w:rsid w:val="001531C3"/>
    <w:rsid w:val="001531F9"/>
    <w:rsid w:val="00153227"/>
    <w:rsid w:val="00153696"/>
    <w:rsid w:val="001536B0"/>
    <w:rsid w:val="00153757"/>
    <w:rsid w:val="00153822"/>
    <w:rsid w:val="00153922"/>
    <w:rsid w:val="00153A45"/>
    <w:rsid w:val="00153C8C"/>
    <w:rsid w:val="00153F42"/>
    <w:rsid w:val="0015407A"/>
    <w:rsid w:val="00154104"/>
    <w:rsid w:val="001541F0"/>
    <w:rsid w:val="0015421C"/>
    <w:rsid w:val="00154298"/>
    <w:rsid w:val="001543CF"/>
    <w:rsid w:val="0015449C"/>
    <w:rsid w:val="0015479A"/>
    <w:rsid w:val="00154878"/>
    <w:rsid w:val="0015493D"/>
    <w:rsid w:val="001549F3"/>
    <w:rsid w:val="001549FA"/>
    <w:rsid w:val="00154A87"/>
    <w:rsid w:val="00154ADA"/>
    <w:rsid w:val="00154B48"/>
    <w:rsid w:val="00154B8B"/>
    <w:rsid w:val="00154CF5"/>
    <w:rsid w:val="00154F14"/>
    <w:rsid w:val="0015518D"/>
    <w:rsid w:val="00155494"/>
    <w:rsid w:val="00155511"/>
    <w:rsid w:val="00155528"/>
    <w:rsid w:val="0015571C"/>
    <w:rsid w:val="00155783"/>
    <w:rsid w:val="00155861"/>
    <w:rsid w:val="0015591A"/>
    <w:rsid w:val="00155B49"/>
    <w:rsid w:val="00155E89"/>
    <w:rsid w:val="00155F52"/>
    <w:rsid w:val="00155F9C"/>
    <w:rsid w:val="00156040"/>
    <w:rsid w:val="00156185"/>
    <w:rsid w:val="00156211"/>
    <w:rsid w:val="00156249"/>
    <w:rsid w:val="00156292"/>
    <w:rsid w:val="0015649C"/>
    <w:rsid w:val="00156582"/>
    <w:rsid w:val="0015689A"/>
    <w:rsid w:val="00156999"/>
    <w:rsid w:val="00156B54"/>
    <w:rsid w:val="00156BEF"/>
    <w:rsid w:val="00156EF1"/>
    <w:rsid w:val="00156F50"/>
    <w:rsid w:val="00156F83"/>
    <w:rsid w:val="00157087"/>
    <w:rsid w:val="001570A0"/>
    <w:rsid w:val="0015726B"/>
    <w:rsid w:val="001572F6"/>
    <w:rsid w:val="0015741C"/>
    <w:rsid w:val="0015754E"/>
    <w:rsid w:val="001575BD"/>
    <w:rsid w:val="001575C6"/>
    <w:rsid w:val="0015775F"/>
    <w:rsid w:val="001577C6"/>
    <w:rsid w:val="00157827"/>
    <w:rsid w:val="0015797F"/>
    <w:rsid w:val="00157A67"/>
    <w:rsid w:val="00157B41"/>
    <w:rsid w:val="00157C86"/>
    <w:rsid w:val="00157DBC"/>
    <w:rsid w:val="00157DD8"/>
    <w:rsid w:val="00157E40"/>
    <w:rsid w:val="00157E8F"/>
    <w:rsid w:val="00157EDF"/>
    <w:rsid w:val="00157FB9"/>
    <w:rsid w:val="00160124"/>
    <w:rsid w:val="001601A4"/>
    <w:rsid w:val="0016026E"/>
    <w:rsid w:val="001602E0"/>
    <w:rsid w:val="001606C6"/>
    <w:rsid w:val="00160934"/>
    <w:rsid w:val="0016093F"/>
    <w:rsid w:val="00160D1C"/>
    <w:rsid w:val="00160E8A"/>
    <w:rsid w:val="00160F5F"/>
    <w:rsid w:val="00161411"/>
    <w:rsid w:val="0016147F"/>
    <w:rsid w:val="001614C9"/>
    <w:rsid w:val="00161520"/>
    <w:rsid w:val="00161559"/>
    <w:rsid w:val="0016186A"/>
    <w:rsid w:val="0016191D"/>
    <w:rsid w:val="001619E1"/>
    <w:rsid w:val="001619E9"/>
    <w:rsid w:val="00161B02"/>
    <w:rsid w:val="00161B4C"/>
    <w:rsid w:val="00161B94"/>
    <w:rsid w:val="00161BC4"/>
    <w:rsid w:val="00161BFF"/>
    <w:rsid w:val="00161C82"/>
    <w:rsid w:val="00161D89"/>
    <w:rsid w:val="00161DF5"/>
    <w:rsid w:val="00161E56"/>
    <w:rsid w:val="00161E81"/>
    <w:rsid w:val="00161ED9"/>
    <w:rsid w:val="00162020"/>
    <w:rsid w:val="001620C9"/>
    <w:rsid w:val="001620D6"/>
    <w:rsid w:val="00162404"/>
    <w:rsid w:val="00162658"/>
    <w:rsid w:val="001626F2"/>
    <w:rsid w:val="00162A32"/>
    <w:rsid w:val="00162AD1"/>
    <w:rsid w:val="00162B06"/>
    <w:rsid w:val="00162B1F"/>
    <w:rsid w:val="00162F99"/>
    <w:rsid w:val="00163047"/>
    <w:rsid w:val="001631DA"/>
    <w:rsid w:val="001631DB"/>
    <w:rsid w:val="001635A0"/>
    <w:rsid w:val="001636F2"/>
    <w:rsid w:val="00163722"/>
    <w:rsid w:val="00163771"/>
    <w:rsid w:val="0016378F"/>
    <w:rsid w:val="00163883"/>
    <w:rsid w:val="001638D2"/>
    <w:rsid w:val="00163953"/>
    <w:rsid w:val="00163B5B"/>
    <w:rsid w:val="00163D04"/>
    <w:rsid w:val="00163DF0"/>
    <w:rsid w:val="00163E82"/>
    <w:rsid w:val="00164033"/>
    <w:rsid w:val="00164148"/>
    <w:rsid w:val="001641A8"/>
    <w:rsid w:val="00164294"/>
    <w:rsid w:val="001642A4"/>
    <w:rsid w:val="001642B5"/>
    <w:rsid w:val="001643AC"/>
    <w:rsid w:val="00164449"/>
    <w:rsid w:val="0016454D"/>
    <w:rsid w:val="0016460B"/>
    <w:rsid w:val="00164794"/>
    <w:rsid w:val="001647B2"/>
    <w:rsid w:val="001649FE"/>
    <w:rsid w:val="00164A81"/>
    <w:rsid w:val="00164ACA"/>
    <w:rsid w:val="00164AD5"/>
    <w:rsid w:val="00164BE9"/>
    <w:rsid w:val="00164BFB"/>
    <w:rsid w:val="00164D70"/>
    <w:rsid w:val="00164E21"/>
    <w:rsid w:val="00164E4D"/>
    <w:rsid w:val="00164E84"/>
    <w:rsid w:val="00164F0E"/>
    <w:rsid w:val="0016505F"/>
    <w:rsid w:val="001650C8"/>
    <w:rsid w:val="0016514D"/>
    <w:rsid w:val="00165172"/>
    <w:rsid w:val="0016517C"/>
    <w:rsid w:val="001651DD"/>
    <w:rsid w:val="001652E3"/>
    <w:rsid w:val="00165498"/>
    <w:rsid w:val="0016569C"/>
    <w:rsid w:val="00165769"/>
    <w:rsid w:val="00165870"/>
    <w:rsid w:val="00165A01"/>
    <w:rsid w:val="00165B1F"/>
    <w:rsid w:val="00165C98"/>
    <w:rsid w:val="00165D24"/>
    <w:rsid w:val="00165EA4"/>
    <w:rsid w:val="00165ED2"/>
    <w:rsid w:val="001660D4"/>
    <w:rsid w:val="00166184"/>
    <w:rsid w:val="00166301"/>
    <w:rsid w:val="0016653A"/>
    <w:rsid w:val="0016662D"/>
    <w:rsid w:val="00166639"/>
    <w:rsid w:val="0016681A"/>
    <w:rsid w:val="00166978"/>
    <w:rsid w:val="001669A1"/>
    <w:rsid w:val="001669FE"/>
    <w:rsid w:val="00166B5C"/>
    <w:rsid w:val="00166CB8"/>
    <w:rsid w:val="00166D22"/>
    <w:rsid w:val="00166E0D"/>
    <w:rsid w:val="00166E42"/>
    <w:rsid w:val="00166F24"/>
    <w:rsid w:val="00167282"/>
    <w:rsid w:val="001672FB"/>
    <w:rsid w:val="0016740B"/>
    <w:rsid w:val="001674A0"/>
    <w:rsid w:val="001674C4"/>
    <w:rsid w:val="001675BE"/>
    <w:rsid w:val="00167734"/>
    <w:rsid w:val="00167896"/>
    <w:rsid w:val="0016795B"/>
    <w:rsid w:val="00167BDC"/>
    <w:rsid w:val="00167C5A"/>
    <w:rsid w:val="00167CCB"/>
    <w:rsid w:val="00167D0A"/>
    <w:rsid w:val="00167D4B"/>
    <w:rsid w:val="00167D52"/>
    <w:rsid w:val="00167DDD"/>
    <w:rsid w:val="00167E27"/>
    <w:rsid w:val="00167E5D"/>
    <w:rsid w:val="00167E94"/>
    <w:rsid w:val="00167EE2"/>
    <w:rsid w:val="00167F2A"/>
    <w:rsid w:val="001700AF"/>
    <w:rsid w:val="00170127"/>
    <w:rsid w:val="0017020C"/>
    <w:rsid w:val="00170328"/>
    <w:rsid w:val="001703C8"/>
    <w:rsid w:val="0017041C"/>
    <w:rsid w:val="001704AE"/>
    <w:rsid w:val="001704DF"/>
    <w:rsid w:val="00170516"/>
    <w:rsid w:val="00170668"/>
    <w:rsid w:val="001706EC"/>
    <w:rsid w:val="001706FF"/>
    <w:rsid w:val="001709EC"/>
    <w:rsid w:val="00170D80"/>
    <w:rsid w:val="00170E92"/>
    <w:rsid w:val="00170EF2"/>
    <w:rsid w:val="00171199"/>
    <w:rsid w:val="001711A7"/>
    <w:rsid w:val="001711F1"/>
    <w:rsid w:val="0017124B"/>
    <w:rsid w:val="0017130B"/>
    <w:rsid w:val="0017135A"/>
    <w:rsid w:val="001713A9"/>
    <w:rsid w:val="00171516"/>
    <w:rsid w:val="0017161F"/>
    <w:rsid w:val="001717AC"/>
    <w:rsid w:val="001717EC"/>
    <w:rsid w:val="00171ACC"/>
    <w:rsid w:val="00171BFA"/>
    <w:rsid w:val="00172472"/>
    <w:rsid w:val="0017249C"/>
    <w:rsid w:val="00172553"/>
    <w:rsid w:val="0017268A"/>
    <w:rsid w:val="00172793"/>
    <w:rsid w:val="0017292A"/>
    <w:rsid w:val="00172939"/>
    <w:rsid w:val="00172A00"/>
    <w:rsid w:val="00172A35"/>
    <w:rsid w:val="00172A8D"/>
    <w:rsid w:val="00172AF3"/>
    <w:rsid w:val="00172C96"/>
    <w:rsid w:val="00172D2A"/>
    <w:rsid w:val="001730C3"/>
    <w:rsid w:val="001730D1"/>
    <w:rsid w:val="001730E3"/>
    <w:rsid w:val="0017327C"/>
    <w:rsid w:val="00173548"/>
    <w:rsid w:val="0017360E"/>
    <w:rsid w:val="0017377B"/>
    <w:rsid w:val="0017388B"/>
    <w:rsid w:val="001738F0"/>
    <w:rsid w:val="00173912"/>
    <w:rsid w:val="0017395D"/>
    <w:rsid w:val="00173A02"/>
    <w:rsid w:val="00173B28"/>
    <w:rsid w:val="00173B62"/>
    <w:rsid w:val="00173FB6"/>
    <w:rsid w:val="0017420B"/>
    <w:rsid w:val="00174331"/>
    <w:rsid w:val="0017442E"/>
    <w:rsid w:val="00174569"/>
    <w:rsid w:val="00174615"/>
    <w:rsid w:val="0017465C"/>
    <w:rsid w:val="00174934"/>
    <w:rsid w:val="00174985"/>
    <w:rsid w:val="00174A52"/>
    <w:rsid w:val="00174AE4"/>
    <w:rsid w:val="00174B43"/>
    <w:rsid w:val="00174BBB"/>
    <w:rsid w:val="00174BE1"/>
    <w:rsid w:val="00174DD2"/>
    <w:rsid w:val="0017508B"/>
    <w:rsid w:val="00175097"/>
    <w:rsid w:val="0017520C"/>
    <w:rsid w:val="00175286"/>
    <w:rsid w:val="001752C8"/>
    <w:rsid w:val="0017550B"/>
    <w:rsid w:val="00175A72"/>
    <w:rsid w:val="00175B3D"/>
    <w:rsid w:val="00175E09"/>
    <w:rsid w:val="00175E54"/>
    <w:rsid w:val="00175EC5"/>
    <w:rsid w:val="00175F03"/>
    <w:rsid w:val="00176001"/>
    <w:rsid w:val="0017616B"/>
    <w:rsid w:val="0017618E"/>
    <w:rsid w:val="001762B7"/>
    <w:rsid w:val="001763CE"/>
    <w:rsid w:val="0017653C"/>
    <w:rsid w:val="001765D7"/>
    <w:rsid w:val="001766E2"/>
    <w:rsid w:val="001768FC"/>
    <w:rsid w:val="0017692B"/>
    <w:rsid w:val="00176973"/>
    <w:rsid w:val="001769B7"/>
    <w:rsid w:val="00176AFF"/>
    <w:rsid w:val="00176B17"/>
    <w:rsid w:val="00176B60"/>
    <w:rsid w:val="00176BC5"/>
    <w:rsid w:val="00176C76"/>
    <w:rsid w:val="00176E4D"/>
    <w:rsid w:val="00176EEA"/>
    <w:rsid w:val="00177193"/>
    <w:rsid w:val="00177248"/>
    <w:rsid w:val="00177538"/>
    <w:rsid w:val="0017762F"/>
    <w:rsid w:val="001777D5"/>
    <w:rsid w:val="001778B1"/>
    <w:rsid w:val="0017794C"/>
    <w:rsid w:val="001779C6"/>
    <w:rsid w:val="00177A6F"/>
    <w:rsid w:val="00177B3B"/>
    <w:rsid w:val="00177BA8"/>
    <w:rsid w:val="00177F5B"/>
    <w:rsid w:val="001800E6"/>
    <w:rsid w:val="00180257"/>
    <w:rsid w:val="0018026E"/>
    <w:rsid w:val="00180447"/>
    <w:rsid w:val="001804DA"/>
    <w:rsid w:val="0018066F"/>
    <w:rsid w:val="0018071D"/>
    <w:rsid w:val="001807D7"/>
    <w:rsid w:val="001807F4"/>
    <w:rsid w:val="00180871"/>
    <w:rsid w:val="00180A26"/>
    <w:rsid w:val="00180B67"/>
    <w:rsid w:val="00180C1C"/>
    <w:rsid w:val="00180C4C"/>
    <w:rsid w:val="00180CAB"/>
    <w:rsid w:val="00180CF8"/>
    <w:rsid w:val="00180DEA"/>
    <w:rsid w:val="00180FBA"/>
    <w:rsid w:val="0018108C"/>
    <w:rsid w:val="001810E9"/>
    <w:rsid w:val="0018115D"/>
    <w:rsid w:val="0018127E"/>
    <w:rsid w:val="001813E8"/>
    <w:rsid w:val="001813EC"/>
    <w:rsid w:val="00181438"/>
    <w:rsid w:val="00181496"/>
    <w:rsid w:val="001814CF"/>
    <w:rsid w:val="00181554"/>
    <w:rsid w:val="001815C1"/>
    <w:rsid w:val="00181628"/>
    <w:rsid w:val="001816A5"/>
    <w:rsid w:val="00181712"/>
    <w:rsid w:val="001817AB"/>
    <w:rsid w:val="001817DD"/>
    <w:rsid w:val="00181A4B"/>
    <w:rsid w:val="00181DCD"/>
    <w:rsid w:val="00181E29"/>
    <w:rsid w:val="00181E52"/>
    <w:rsid w:val="00181F7B"/>
    <w:rsid w:val="00181FCC"/>
    <w:rsid w:val="00182078"/>
    <w:rsid w:val="001821AF"/>
    <w:rsid w:val="00182252"/>
    <w:rsid w:val="00182287"/>
    <w:rsid w:val="0018238A"/>
    <w:rsid w:val="001823FF"/>
    <w:rsid w:val="001825C7"/>
    <w:rsid w:val="0018283C"/>
    <w:rsid w:val="0018289F"/>
    <w:rsid w:val="001828FA"/>
    <w:rsid w:val="001829D4"/>
    <w:rsid w:val="001829EC"/>
    <w:rsid w:val="00182A91"/>
    <w:rsid w:val="00182BA2"/>
    <w:rsid w:val="00182C86"/>
    <w:rsid w:val="00182E18"/>
    <w:rsid w:val="00182E45"/>
    <w:rsid w:val="00182EA1"/>
    <w:rsid w:val="00182F7B"/>
    <w:rsid w:val="00183050"/>
    <w:rsid w:val="00183150"/>
    <w:rsid w:val="0018318C"/>
    <w:rsid w:val="001831D9"/>
    <w:rsid w:val="0018327F"/>
    <w:rsid w:val="00183283"/>
    <w:rsid w:val="001835D9"/>
    <w:rsid w:val="001839C4"/>
    <w:rsid w:val="00183AE3"/>
    <w:rsid w:val="00183E32"/>
    <w:rsid w:val="00184116"/>
    <w:rsid w:val="00184172"/>
    <w:rsid w:val="001842C1"/>
    <w:rsid w:val="00184461"/>
    <w:rsid w:val="001844E4"/>
    <w:rsid w:val="00184880"/>
    <w:rsid w:val="00184CD9"/>
    <w:rsid w:val="00184DAE"/>
    <w:rsid w:val="00184DEE"/>
    <w:rsid w:val="00184E2B"/>
    <w:rsid w:val="00184EA7"/>
    <w:rsid w:val="00184F11"/>
    <w:rsid w:val="00184F3A"/>
    <w:rsid w:val="00184FD7"/>
    <w:rsid w:val="00184FD8"/>
    <w:rsid w:val="0018510A"/>
    <w:rsid w:val="00185354"/>
    <w:rsid w:val="00185811"/>
    <w:rsid w:val="00185A18"/>
    <w:rsid w:val="00185B28"/>
    <w:rsid w:val="00185CF2"/>
    <w:rsid w:val="00185D58"/>
    <w:rsid w:val="00185E59"/>
    <w:rsid w:val="00185F99"/>
    <w:rsid w:val="00186039"/>
    <w:rsid w:val="001860DA"/>
    <w:rsid w:val="00186184"/>
    <w:rsid w:val="00186273"/>
    <w:rsid w:val="0018629D"/>
    <w:rsid w:val="00186364"/>
    <w:rsid w:val="00186440"/>
    <w:rsid w:val="00186766"/>
    <w:rsid w:val="00186929"/>
    <w:rsid w:val="0018697B"/>
    <w:rsid w:val="00186B6C"/>
    <w:rsid w:val="00186C4E"/>
    <w:rsid w:val="00186E50"/>
    <w:rsid w:val="00186E83"/>
    <w:rsid w:val="00186FB5"/>
    <w:rsid w:val="0018701E"/>
    <w:rsid w:val="0018717F"/>
    <w:rsid w:val="0018732E"/>
    <w:rsid w:val="00187339"/>
    <w:rsid w:val="001874E5"/>
    <w:rsid w:val="001874FE"/>
    <w:rsid w:val="00187539"/>
    <w:rsid w:val="001875DC"/>
    <w:rsid w:val="0018771D"/>
    <w:rsid w:val="0018774C"/>
    <w:rsid w:val="00187787"/>
    <w:rsid w:val="00187977"/>
    <w:rsid w:val="00187AC0"/>
    <w:rsid w:val="00187C11"/>
    <w:rsid w:val="00187CFB"/>
    <w:rsid w:val="00187D8B"/>
    <w:rsid w:val="00187D8F"/>
    <w:rsid w:val="00187F1E"/>
    <w:rsid w:val="00187FBA"/>
    <w:rsid w:val="00187FF1"/>
    <w:rsid w:val="00190106"/>
    <w:rsid w:val="00190491"/>
    <w:rsid w:val="001905F9"/>
    <w:rsid w:val="0019069B"/>
    <w:rsid w:val="001907E5"/>
    <w:rsid w:val="00190815"/>
    <w:rsid w:val="00190927"/>
    <w:rsid w:val="00190A07"/>
    <w:rsid w:val="00190C4D"/>
    <w:rsid w:val="00190CB9"/>
    <w:rsid w:val="00190CC2"/>
    <w:rsid w:val="00190DDB"/>
    <w:rsid w:val="00190F45"/>
    <w:rsid w:val="00190F9A"/>
    <w:rsid w:val="00190FA0"/>
    <w:rsid w:val="001911F8"/>
    <w:rsid w:val="00191248"/>
    <w:rsid w:val="001912E8"/>
    <w:rsid w:val="00191397"/>
    <w:rsid w:val="001914D3"/>
    <w:rsid w:val="00191500"/>
    <w:rsid w:val="0019154D"/>
    <w:rsid w:val="001916F3"/>
    <w:rsid w:val="00191703"/>
    <w:rsid w:val="001917E8"/>
    <w:rsid w:val="0019190A"/>
    <w:rsid w:val="00191A70"/>
    <w:rsid w:val="00191AF3"/>
    <w:rsid w:val="00191DED"/>
    <w:rsid w:val="00191F65"/>
    <w:rsid w:val="001920AC"/>
    <w:rsid w:val="001920F8"/>
    <w:rsid w:val="00192187"/>
    <w:rsid w:val="001921A7"/>
    <w:rsid w:val="001921CA"/>
    <w:rsid w:val="00192771"/>
    <w:rsid w:val="001927BB"/>
    <w:rsid w:val="001927C5"/>
    <w:rsid w:val="001927CF"/>
    <w:rsid w:val="001927E0"/>
    <w:rsid w:val="001927FB"/>
    <w:rsid w:val="001928F3"/>
    <w:rsid w:val="00192A56"/>
    <w:rsid w:val="00192D0C"/>
    <w:rsid w:val="00192D45"/>
    <w:rsid w:val="00192EFA"/>
    <w:rsid w:val="00193268"/>
    <w:rsid w:val="001932F3"/>
    <w:rsid w:val="00193333"/>
    <w:rsid w:val="00193354"/>
    <w:rsid w:val="00193552"/>
    <w:rsid w:val="001936FE"/>
    <w:rsid w:val="0019375D"/>
    <w:rsid w:val="0019379D"/>
    <w:rsid w:val="00193826"/>
    <w:rsid w:val="00193B3E"/>
    <w:rsid w:val="00193C67"/>
    <w:rsid w:val="00193CA2"/>
    <w:rsid w:val="00193CDF"/>
    <w:rsid w:val="00193D7E"/>
    <w:rsid w:val="00193ED7"/>
    <w:rsid w:val="00194095"/>
    <w:rsid w:val="00194766"/>
    <w:rsid w:val="001947A9"/>
    <w:rsid w:val="00194804"/>
    <w:rsid w:val="0019480B"/>
    <w:rsid w:val="00194931"/>
    <w:rsid w:val="00194A3F"/>
    <w:rsid w:val="00194C4C"/>
    <w:rsid w:val="00194F9E"/>
    <w:rsid w:val="001951FD"/>
    <w:rsid w:val="001952F4"/>
    <w:rsid w:val="0019533F"/>
    <w:rsid w:val="00195397"/>
    <w:rsid w:val="0019557E"/>
    <w:rsid w:val="0019559F"/>
    <w:rsid w:val="001955A0"/>
    <w:rsid w:val="001958A2"/>
    <w:rsid w:val="00195AD4"/>
    <w:rsid w:val="00195BCA"/>
    <w:rsid w:val="00195C84"/>
    <w:rsid w:val="00195DAA"/>
    <w:rsid w:val="00195DFF"/>
    <w:rsid w:val="00195F35"/>
    <w:rsid w:val="001960F8"/>
    <w:rsid w:val="001961C0"/>
    <w:rsid w:val="00196407"/>
    <w:rsid w:val="0019648A"/>
    <w:rsid w:val="001964AB"/>
    <w:rsid w:val="001964DF"/>
    <w:rsid w:val="00196932"/>
    <w:rsid w:val="00196A2F"/>
    <w:rsid w:val="00196A65"/>
    <w:rsid w:val="00196B26"/>
    <w:rsid w:val="00196B8B"/>
    <w:rsid w:val="00196D2A"/>
    <w:rsid w:val="00196E27"/>
    <w:rsid w:val="0019713F"/>
    <w:rsid w:val="0019730A"/>
    <w:rsid w:val="0019735D"/>
    <w:rsid w:val="001975B1"/>
    <w:rsid w:val="001976AF"/>
    <w:rsid w:val="001976EC"/>
    <w:rsid w:val="001978C1"/>
    <w:rsid w:val="00197B0A"/>
    <w:rsid w:val="00197B0D"/>
    <w:rsid w:val="00197B19"/>
    <w:rsid w:val="00197BAD"/>
    <w:rsid w:val="00197BEC"/>
    <w:rsid w:val="00197C25"/>
    <w:rsid w:val="00197CB9"/>
    <w:rsid w:val="00197EEB"/>
    <w:rsid w:val="0019C067"/>
    <w:rsid w:val="001A0134"/>
    <w:rsid w:val="001A016F"/>
    <w:rsid w:val="001A0397"/>
    <w:rsid w:val="001A0525"/>
    <w:rsid w:val="001A0541"/>
    <w:rsid w:val="001A056C"/>
    <w:rsid w:val="001A0625"/>
    <w:rsid w:val="001A064B"/>
    <w:rsid w:val="001A064C"/>
    <w:rsid w:val="001A080D"/>
    <w:rsid w:val="001A0822"/>
    <w:rsid w:val="001A09FF"/>
    <w:rsid w:val="001A0C66"/>
    <w:rsid w:val="001A0CF7"/>
    <w:rsid w:val="001A0DCE"/>
    <w:rsid w:val="001A0EB2"/>
    <w:rsid w:val="001A10A8"/>
    <w:rsid w:val="001A10F7"/>
    <w:rsid w:val="001A1117"/>
    <w:rsid w:val="001A1137"/>
    <w:rsid w:val="001A127F"/>
    <w:rsid w:val="001A1315"/>
    <w:rsid w:val="001A145F"/>
    <w:rsid w:val="001A14C1"/>
    <w:rsid w:val="001A15FA"/>
    <w:rsid w:val="001A176C"/>
    <w:rsid w:val="001A18FE"/>
    <w:rsid w:val="001A1A03"/>
    <w:rsid w:val="001A1ED3"/>
    <w:rsid w:val="001A203A"/>
    <w:rsid w:val="001A22BA"/>
    <w:rsid w:val="001A230E"/>
    <w:rsid w:val="001A2341"/>
    <w:rsid w:val="001A238E"/>
    <w:rsid w:val="001A253F"/>
    <w:rsid w:val="001A25A8"/>
    <w:rsid w:val="001A267E"/>
    <w:rsid w:val="001A26B1"/>
    <w:rsid w:val="001A27D2"/>
    <w:rsid w:val="001A27E5"/>
    <w:rsid w:val="001A2C27"/>
    <w:rsid w:val="001A2C30"/>
    <w:rsid w:val="001A2C59"/>
    <w:rsid w:val="001A2D02"/>
    <w:rsid w:val="001A2DD3"/>
    <w:rsid w:val="001A2F27"/>
    <w:rsid w:val="001A2F8F"/>
    <w:rsid w:val="001A3045"/>
    <w:rsid w:val="001A309C"/>
    <w:rsid w:val="001A314D"/>
    <w:rsid w:val="001A3296"/>
    <w:rsid w:val="001A33B9"/>
    <w:rsid w:val="001A3425"/>
    <w:rsid w:val="001A3464"/>
    <w:rsid w:val="001A3515"/>
    <w:rsid w:val="001A3571"/>
    <w:rsid w:val="001A35C5"/>
    <w:rsid w:val="001A36D8"/>
    <w:rsid w:val="001A37E2"/>
    <w:rsid w:val="001A381F"/>
    <w:rsid w:val="001A397D"/>
    <w:rsid w:val="001A3A76"/>
    <w:rsid w:val="001A3AF7"/>
    <w:rsid w:val="001A3CC8"/>
    <w:rsid w:val="001A3D6D"/>
    <w:rsid w:val="001A3DD6"/>
    <w:rsid w:val="001A3E6F"/>
    <w:rsid w:val="001A3EB0"/>
    <w:rsid w:val="001A403D"/>
    <w:rsid w:val="001A4105"/>
    <w:rsid w:val="001A4119"/>
    <w:rsid w:val="001A418C"/>
    <w:rsid w:val="001A41FB"/>
    <w:rsid w:val="001A436B"/>
    <w:rsid w:val="001A43D6"/>
    <w:rsid w:val="001A443B"/>
    <w:rsid w:val="001A44BB"/>
    <w:rsid w:val="001A46AB"/>
    <w:rsid w:val="001A498D"/>
    <w:rsid w:val="001A4A56"/>
    <w:rsid w:val="001A4A8F"/>
    <w:rsid w:val="001A4D91"/>
    <w:rsid w:val="001A4DE4"/>
    <w:rsid w:val="001A5010"/>
    <w:rsid w:val="001A50CA"/>
    <w:rsid w:val="001A5319"/>
    <w:rsid w:val="001A5541"/>
    <w:rsid w:val="001A55D2"/>
    <w:rsid w:val="001A5616"/>
    <w:rsid w:val="001A5768"/>
    <w:rsid w:val="001A5A90"/>
    <w:rsid w:val="001A5CA6"/>
    <w:rsid w:val="001A5D94"/>
    <w:rsid w:val="001A5E93"/>
    <w:rsid w:val="001A6017"/>
    <w:rsid w:val="001A60D2"/>
    <w:rsid w:val="001A6181"/>
    <w:rsid w:val="001A6336"/>
    <w:rsid w:val="001A63CD"/>
    <w:rsid w:val="001A6527"/>
    <w:rsid w:val="001A653D"/>
    <w:rsid w:val="001A658A"/>
    <w:rsid w:val="001A65DC"/>
    <w:rsid w:val="001A681E"/>
    <w:rsid w:val="001A6A15"/>
    <w:rsid w:val="001A6BF9"/>
    <w:rsid w:val="001A6C3C"/>
    <w:rsid w:val="001A6C3E"/>
    <w:rsid w:val="001A6CE1"/>
    <w:rsid w:val="001A6D3F"/>
    <w:rsid w:val="001A6D81"/>
    <w:rsid w:val="001A6FDB"/>
    <w:rsid w:val="001A71B3"/>
    <w:rsid w:val="001A72C3"/>
    <w:rsid w:val="001A72E4"/>
    <w:rsid w:val="001A740C"/>
    <w:rsid w:val="001A752D"/>
    <w:rsid w:val="001A7536"/>
    <w:rsid w:val="001A7739"/>
    <w:rsid w:val="001A7798"/>
    <w:rsid w:val="001A779B"/>
    <w:rsid w:val="001A785E"/>
    <w:rsid w:val="001A78A8"/>
    <w:rsid w:val="001A7AC2"/>
    <w:rsid w:val="001A7B04"/>
    <w:rsid w:val="001A7C50"/>
    <w:rsid w:val="001A7C79"/>
    <w:rsid w:val="001A7D91"/>
    <w:rsid w:val="001A7D97"/>
    <w:rsid w:val="001B00F1"/>
    <w:rsid w:val="001B0160"/>
    <w:rsid w:val="001B01B4"/>
    <w:rsid w:val="001B0264"/>
    <w:rsid w:val="001B02E2"/>
    <w:rsid w:val="001B03D0"/>
    <w:rsid w:val="001B0608"/>
    <w:rsid w:val="001B0711"/>
    <w:rsid w:val="001B0826"/>
    <w:rsid w:val="001B0848"/>
    <w:rsid w:val="001B09DA"/>
    <w:rsid w:val="001B0A5F"/>
    <w:rsid w:val="001B0BC1"/>
    <w:rsid w:val="001B0D6D"/>
    <w:rsid w:val="001B1160"/>
    <w:rsid w:val="001B1180"/>
    <w:rsid w:val="001B134B"/>
    <w:rsid w:val="001B1408"/>
    <w:rsid w:val="001B1445"/>
    <w:rsid w:val="001B14D7"/>
    <w:rsid w:val="001B155A"/>
    <w:rsid w:val="001B16DE"/>
    <w:rsid w:val="001B16E6"/>
    <w:rsid w:val="001B178B"/>
    <w:rsid w:val="001B1C50"/>
    <w:rsid w:val="001B1C71"/>
    <w:rsid w:val="001B1D77"/>
    <w:rsid w:val="001B1D91"/>
    <w:rsid w:val="001B1E9A"/>
    <w:rsid w:val="001B1F41"/>
    <w:rsid w:val="001B1FCF"/>
    <w:rsid w:val="001B2063"/>
    <w:rsid w:val="001B2161"/>
    <w:rsid w:val="001B21F9"/>
    <w:rsid w:val="001B2252"/>
    <w:rsid w:val="001B2351"/>
    <w:rsid w:val="001B2499"/>
    <w:rsid w:val="001B2623"/>
    <w:rsid w:val="001B2653"/>
    <w:rsid w:val="001B26A1"/>
    <w:rsid w:val="001B2811"/>
    <w:rsid w:val="001B289F"/>
    <w:rsid w:val="001B2D01"/>
    <w:rsid w:val="001B2D79"/>
    <w:rsid w:val="001B2EEA"/>
    <w:rsid w:val="001B3008"/>
    <w:rsid w:val="001B3110"/>
    <w:rsid w:val="001B31FA"/>
    <w:rsid w:val="001B320F"/>
    <w:rsid w:val="001B3292"/>
    <w:rsid w:val="001B330D"/>
    <w:rsid w:val="001B3321"/>
    <w:rsid w:val="001B33CD"/>
    <w:rsid w:val="001B3640"/>
    <w:rsid w:val="001B399E"/>
    <w:rsid w:val="001B39D2"/>
    <w:rsid w:val="001B3C1A"/>
    <w:rsid w:val="001B3C45"/>
    <w:rsid w:val="001B3CF0"/>
    <w:rsid w:val="001B3FE8"/>
    <w:rsid w:val="001B450E"/>
    <w:rsid w:val="001B4642"/>
    <w:rsid w:val="001B4919"/>
    <w:rsid w:val="001B4944"/>
    <w:rsid w:val="001B498A"/>
    <w:rsid w:val="001B4F55"/>
    <w:rsid w:val="001B4F5D"/>
    <w:rsid w:val="001B4F6D"/>
    <w:rsid w:val="001B5072"/>
    <w:rsid w:val="001B50A2"/>
    <w:rsid w:val="001B50BF"/>
    <w:rsid w:val="001B51F0"/>
    <w:rsid w:val="001B5203"/>
    <w:rsid w:val="001B528B"/>
    <w:rsid w:val="001B531D"/>
    <w:rsid w:val="001B5540"/>
    <w:rsid w:val="001B55AB"/>
    <w:rsid w:val="001B5694"/>
    <w:rsid w:val="001B56A1"/>
    <w:rsid w:val="001B5703"/>
    <w:rsid w:val="001B592D"/>
    <w:rsid w:val="001B5C72"/>
    <w:rsid w:val="001B5D09"/>
    <w:rsid w:val="001B5D77"/>
    <w:rsid w:val="001B5F60"/>
    <w:rsid w:val="001B5FDE"/>
    <w:rsid w:val="001B60FE"/>
    <w:rsid w:val="001B6152"/>
    <w:rsid w:val="001B61B6"/>
    <w:rsid w:val="001B61DE"/>
    <w:rsid w:val="001B62BB"/>
    <w:rsid w:val="001B6410"/>
    <w:rsid w:val="001B6451"/>
    <w:rsid w:val="001B648F"/>
    <w:rsid w:val="001B669B"/>
    <w:rsid w:val="001B66CE"/>
    <w:rsid w:val="001B6700"/>
    <w:rsid w:val="001B6956"/>
    <w:rsid w:val="001B6B3B"/>
    <w:rsid w:val="001B6DFD"/>
    <w:rsid w:val="001B6F74"/>
    <w:rsid w:val="001B6FAE"/>
    <w:rsid w:val="001B7044"/>
    <w:rsid w:val="001B71E2"/>
    <w:rsid w:val="001B739C"/>
    <w:rsid w:val="001B7431"/>
    <w:rsid w:val="001B751A"/>
    <w:rsid w:val="001B7538"/>
    <w:rsid w:val="001B756A"/>
    <w:rsid w:val="001B7752"/>
    <w:rsid w:val="001B7790"/>
    <w:rsid w:val="001B7892"/>
    <w:rsid w:val="001B7960"/>
    <w:rsid w:val="001B799E"/>
    <w:rsid w:val="001B79F1"/>
    <w:rsid w:val="001B7A8D"/>
    <w:rsid w:val="001B7A9E"/>
    <w:rsid w:val="001B7AAB"/>
    <w:rsid w:val="001B7F0E"/>
    <w:rsid w:val="001B7FED"/>
    <w:rsid w:val="001C029E"/>
    <w:rsid w:val="001C02C1"/>
    <w:rsid w:val="001C030F"/>
    <w:rsid w:val="001C0312"/>
    <w:rsid w:val="001C0559"/>
    <w:rsid w:val="001C05F8"/>
    <w:rsid w:val="001C06B0"/>
    <w:rsid w:val="001C083F"/>
    <w:rsid w:val="001C09EF"/>
    <w:rsid w:val="001C0AAE"/>
    <w:rsid w:val="001C0AD7"/>
    <w:rsid w:val="001C0AFF"/>
    <w:rsid w:val="001C0C63"/>
    <w:rsid w:val="001C100A"/>
    <w:rsid w:val="001C1034"/>
    <w:rsid w:val="001C114A"/>
    <w:rsid w:val="001C1240"/>
    <w:rsid w:val="001C14BC"/>
    <w:rsid w:val="001C14F9"/>
    <w:rsid w:val="001C15B6"/>
    <w:rsid w:val="001C1699"/>
    <w:rsid w:val="001C176C"/>
    <w:rsid w:val="001C1801"/>
    <w:rsid w:val="001C18BF"/>
    <w:rsid w:val="001C1927"/>
    <w:rsid w:val="001C1A6C"/>
    <w:rsid w:val="001C1C16"/>
    <w:rsid w:val="001C1C63"/>
    <w:rsid w:val="001C1C8A"/>
    <w:rsid w:val="001C1C95"/>
    <w:rsid w:val="001C1CC9"/>
    <w:rsid w:val="001C2011"/>
    <w:rsid w:val="001C2036"/>
    <w:rsid w:val="001C2048"/>
    <w:rsid w:val="001C21F1"/>
    <w:rsid w:val="001C23E3"/>
    <w:rsid w:val="001C2675"/>
    <w:rsid w:val="001C2B03"/>
    <w:rsid w:val="001C2BB0"/>
    <w:rsid w:val="001C2C71"/>
    <w:rsid w:val="001C2CF3"/>
    <w:rsid w:val="001C2D1E"/>
    <w:rsid w:val="001C2D92"/>
    <w:rsid w:val="001C2E38"/>
    <w:rsid w:val="001C3043"/>
    <w:rsid w:val="001C30C6"/>
    <w:rsid w:val="001C3129"/>
    <w:rsid w:val="001C31ED"/>
    <w:rsid w:val="001C31EF"/>
    <w:rsid w:val="001C3529"/>
    <w:rsid w:val="001C35E2"/>
    <w:rsid w:val="001C365A"/>
    <w:rsid w:val="001C3687"/>
    <w:rsid w:val="001C372F"/>
    <w:rsid w:val="001C3922"/>
    <w:rsid w:val="001C39C1"/>
    <w:rsid w:val="001C3B3F"/>
    <w:rsid w:val="001C3BAA"/>
    <w:rsid w:val="001C3DDB"/>
    <w:rsid w:val="001C3F2B"/>
    <w:rsid w:val="001C3FB8"/>
    <w:rsid w:val="001C4076"/>
    <w:rsid w:val="001C4206"/>
    <w:rsid w:val="001C4300"/>
    <w:rsid w:val="001C448E"/>
    <w:rsid w:val="001C4697"/>
    <w:rsid w:val="001C46D4"/>
    <w:rsid w:val="001C4749"/>
    <w:rsid w:val="001C47D7"/>
    <w:rsid w:val="001C47F8"/>
    <w:rsid w:val="001C48E1"/>
    <w:rsid w:val="001C492C"/>
    <w:rsid w:val="001C494C"/>
    <w:rsid w:val="001C49C6"/>
    <w:rsid w:val="001C4B7F"/>
    <w:rsid w:val="001C4B90"/>
    <w:rsid w:val="001C4CC6"/>
    <w:rsid w:val="001C4F53"/>
    <w:rsid w:val="001C52B4"/>
    <w:rsid w:val="001C53CD"/>
    <w:rsid w:val="001C554E"/>
    <w:rsid w:val="001C56A1"/>
    <w:rsid w:val="001C56A8"/>
    <w:rsid w:val="001C56DC"/>
    <w:rsid w:val="001C5715"/>
    <w:rsid w:val="001C58CD"/>
    <w:rsid w:val="001C5920"/>
    <w:rsid w:val="001C5954"/>
    <w:rsid w:val="001C598D"/>
    <w:rsid w:val="001C5A07"/>
    <w:rsid w:val="001C5CDE"/>
    <w:rsid w:val="001C5E28"/>
    <w:rsid w:val="001C5E2B"/>
    <w:rsid w:val="001C6090"/>
    <w:rsid w:val="001C6091"/>
    <w:rsid w:val="001C62FB"/>
    <w:rsid w:val="001C636C"/>
    <w:rsid w:val="001C6435"/>
    <w:rsid w:val="001C6594"/>
    <w:rsid w:val="001C6616"/>
    <w:rsid w:val="001C6662"/>
    <w:rsid w:val="001C668E"/>
    <w:rsid w:val="001C6A7F"/>
    <w:rsid w:val="001C6B4B"/>
    <w:rsid w:val="001C6B65"/>
    <w:rsid w:val="001C6CCA"/>
    <w:rsid w:val="001C6CF3"/>
    <w:rsid w:val="001C6D87"/>
    <w:rsid w:val="001C6DB2"/>
    <w:rsid w:val="001C6DC0"/>
    <w:rsid w:val="001C6E7D"/>
    <w:rsid w:val="001C7054"/>
    <w:rsid w:val="001C71DB"/>
    <w:rsid w:val="001C71EC"/>
    <w:rsid w:val="001C738E"/>
    <w:rsid w:val="001C73F6"/>
    <w:rsid w:val="001C753D"/>
    <w:rsid w:val="001C7571"/>
    <w:rsid w:val="001C7738"/>
    <w:rsid w:val="001C7789"/>
    <w:rsid w:val="001C7914"/>
    <w:rsid w:val="001C7A70"/>
    <w:rsid w:val="001C7B41"/>
    <w:rsid w:val="001C7CC5"/>
    <w:rsid w:val="001C7CD2"/>
    <w:rsid w:val="001C7DF5"/>
    <w:rsid w:val="001C7E38"/>
    <w:rsid w:val="001C7E51"/>
    <w:rsid w:val="001C7EA4"/>
    <w:rsid w:val="001C7EEF"/>
    <w:rsid w:val="001D006E"/>
    <w:rsid w:val="001D0119"/>
    <w:rsid w:val="001D015B"/>
    <w:rsid w:val="001D0189"/>
    <w:rsid w:val="001D018D"/>
    <w:rsid w:val="001D0222"/>
    <w:rsid w:val="001D0346"/>
    <w:rsid w:val="001D04B4"/>
    <w:rsid w:val="001D04EE"/>
    <w:rsid w:val="001D04FC"/>
    <w:rsid w:val="001D051D"/>
    <w:rsid w:val="001D05F9"/>
    <w:rsid w:val="001D0755"/>
    <w:rsid w:val="001D07A7"/>
    <w:rsid w:val="001D0887"/>
    <w:rsid w:val="001D08D2"/>
    <w:rsid w:val="001D0A9E"/>
    <w:rsid w:val="001D0BEF"/>
    <w:rsid w:val="001D0C22"/>
    <w:rsid w:val="001D0D69"/>
    <w:rsid w:val="001D0D9D"/>
    <w:rsid w:val="001D0DA0"/>
    <w:rsid w:val="001D0F1B"/>
    <w:rsid w:val="001D109E"/>
    <w:rsid w:val="001D1141"/>
    <w:rsid w:val="001D11D8"/>
    <w:rsid w:val="001D120A"/>
    <w:rsid w:val="001D12DD"/>
    <w:rsid w:val="001D1330"/>
    <w:rsid w:val="001D14C7"/>
    <w:rsid w:val="001D158D"/>
    <w:rsid w:val="001D16AD"/>
    <w:rsid w:val="001D17A4"/>
    <w:rsid w:val="001D17FE"/>
    <w:rsid w:val="001D1971"/>
    <w:rsid w:val="001D1B65"/>
    <w:rsid w:val="001D1D31"/>
    <w:rsid w:val="001D1DFD"/>
    <w:rsid w:val="001D1E13"/>
    <w:rsid w:val="001D1E44"/>
    <w:rsid w:val="001D1F25"/>
    <w:rsid w:val="001D2142"/>
    <w:rsid w:val="001D2167"/>
    <w:rsid w:val="001D2579"/>
    <w:rsid w:val="001D25C5"/>
    <w:rsid w:val="001D27BD"/>
    <w:rsid w:val="001D27F0"/>
    <w:rsid w:val="001D286A"/>
    <w:rsid w:val="001D28A7"/>
    <w:rsid w:val="001D2A6A"/>
    <w:rsid w:val="001D2B17"/>
    <w:rsid w:val="001D2D7D"/>
    <w:rsid w:val="001D2F21"/>
    <w:rsid w:val="001D2F42"/>
    <w:rsid w:val="001D2FE8"/>
    <w:rsid w:val="001D301F"/>
    <w:rsid w:val="001D3021"/>
    <w:rsid w:val="001D30A1"/>
    <w:rsid w:val="001D3223"/>
    <w:rsid w:val="001D3399"/>
    <w:rsid w:val="001D347F"/>
    <w:rsid w:val="001D34D6"/>
    <w:rsid w:val="001D3567"/>
    <w:rsid w:val="001D3648"/>
    <w:rsid w:val="001D37C6"/>
    <w:rsid w:val="001D3A3B"/>
    <w:rsid w:val="001D3AE2"/>
    <w:rsid w:val="001D3B61"/>
    <w:rsid w:val="001D3C38"/>
    <w:rsid w:val="001D3C79"/>
    <w:rsid w:val="001D3E2C"/>
    <w:rsid w:val="001D3ED9"/>
    <w:rsid w:val="001D3F91"/>
    <w:rsid w:val="001D4063"/>
    <w:rsid w:val="001D43D4"/>
    <w:rsid w:val="001D4589"/>
    <w:rsid w:val="001D46E9"/>
    <w:rsid w:val="001D4920"/>
    <w:rsid w:val="001D4992"/>
    <w:rsid w:val="001D4A1E"/>
    <w:rsid w:val="001D4A6B"/>
    <w:rsid w:val="001D4CBB"/>
    <w:rsid w:val="001D4D66"/>
    <w:rsid w:val="001D4E27"/>
    <w:rsid w:val="001D4E84"/>
    <w:rsid w:val="001D4EB1"/>
    <w:rsid w:val="001D5090"/>
    <w:rsid w:val="001D510E"/>
    <w:rsid w:val="001D511F"/>
    <w:rsid w:val="001D5168"/>
    <w:rsid w:val="001D522B"/>
    <w:rsid w:val="001D53EB"/>
    <w:rsid w:val="001D5470"/>
    <w:rsid w:val="001D54AD"/>
    <w:rsid w:val="001D55AC"/>
    <w:rsid w:val="001D566B"/>
    <w:rsid w:val="001D5754"/>
    <w:rsid w:val="001D5B7A"/>
    <w:rsid w:val="001D5BE4"/>
    <w:rsid w:val="001D5CE5"/>
    <w:rsid w:val="001D5E64"/>
    <w:rsid w:val="001D5ED5"/>
    <w:rsid w:val="001D6056"/>
    <w:rsid w:val="001D6073"/>
    <w:rsid w:val="001D6237"/>
    <w:rsid w:val="001D641A"/>
    <w:rsid w:val="001D65DB"/>
    <w:rsid w:val="001D6823"/>
    <w:rsid w:val="001D6830"/>
    <w:rsid w:val="001D699F"/>
    <w:rsid w:val="001D6A8F"/>
    <w:rsid w:val="001D6AE1"/>
    <w:rsid w:val="001D6AEA"/>
    <w:rsid w:val="001D6B6D"/>
    <w:rsid w:val="001D6CAC"/>
    <w:rsid w:val="001D6D9E"/>
    <w:rsid w:val="001D6F27"/>
    <w:rsid w:val="001D7076"/>
    <w:rsid w:val="001D707A"/>
    <w:rsid w:val="001D7103"/>
    <w:rsid w:val="001D7129"/>
    <w:rsid w:val="001D7177"/>
    <w:rsid w:val="001D71D3"/>
    <w:rsid w:val="001D721C"/>
    <w:rsid w:val="001D7286"/>
    <w:rsid w:val="001D72B7"/>
    <w:rsid w:val="001D778A"/>
    <w:rsid w:val="001D77D7"/>
    <w:rsid w:val="001D7927"/>
    <w:rsid w:val="001D79C6"/>
    <w:rsid w:val="001D79F2"/>
    <w:rsid w:val="001D7A44"/>
    <w:rsid w:val="001D7AE2"/>
    <w:rsid w:val="001D7B34"/>
    <w:rsid w:val="001D7B91"/>
    <w:rsid w:val="001D7BFB"/>
    <w:rsid w:val="001D7C2C"/>
    <w:rsid w:val="001D7E63"/>
    <w:rsid w:val="001E0091"/>
    <w:rsid w:val="001E00A9"/>
    <w:rsid w:val="001E0296"/>
    <w:rsid w:val="001E02AD"/>
    <w:rsid w:val="001E0361"/>
    <w:rsid w:val="001E038C"/>
    <w:rsid w:val="001E039A"/>
    <w:rsid w:val="001E03F5"/>
    <w:rsid w:val="001E04D1"/>
    <w:rsid w:val="001E050D"/>
    <w:rsid w:val="001E0AB0"/>
    <w:rsid w:val="001E0AF9"/>
    <w:rsid w:val="001E0EEC"/>
    <w:rsid w:val="001E0F03"/>
    <w:rsid w:val="001E0F92"/>
    <w:rsid w:val="001E1089"/>
    <w:rsid w:val="001E10D4"/>
    <w:rsid w:val="001E11C5"/>
    <w:rsid w:val="001E1273"/>
    <w:rsid w:val="001E13B8"/>
    <w:rsid w:val="001E14EC"/>
    <w:rsid w:val="001E1517"/>
    <w:rsid w:val="001E154B"/>
    <w:rsid w:val="001E1718"/>
    <w:rsid w:val="001E1809"/>
    <w:rsid w:val="001E18B0"/>
    <w:rsid w:val="001E18CA"/>
    <w:rsid w:val="001E195B"/>
    <w:rsid w:val="001E1963"/>
    <w:rsid w:val="001E19A6"/>
    <w:rsid w:val="001E1A3D"/>
    <w:rsid w:val="001E1A43"/>
    <w:rsid w:val="001E1C19"/>
    <w:rsid w:val="001E1C1F"/>
    <w:rsid w:val="001E1C34"/>
    <w:rsid w:val="001E1D2B"/>
    <w:rsid w:val="001E1F2F"/>
    <w:rsid w:val="001E1F4C"/>
    <w:rsid w:val="001E2014"/>
    <w:rsid w:val="001E2086"/>
    <w:rsid w:val="001E2154"/>
    <w:rsid w:val="001E232F"/>
    <w:rsid w:val="001E236F"/>
    <w:rsid w:val="001E260C"/>
    <w:rsid w:val="001E267D"/>
    <w:rsid w:val="001E269E"/>
    <w:rsid w:val="001E2845"/>
    <w:rsid w:val="001E2977"/>
    <w:rsid w:val="001E2AE3"/>
    <w:rsid w:val="001E2C16"/>
    <w:rsid w:val="001E2E72"/>
    <w:rsid w:val="001E2F86"/>
    <w:rsid w:val="001E2FBD"/>
    <w:rsid w:val="001E2FDA"/>
    <w:rsid w:val="001E3000"/>
    <w:rsid w:val="001E3025"/>
    <w:rsid w:val="001E32F9"/>
    <w:rsid w:val="001E34A9"/>
    <w:rsid w:val="001E355A"/>
    <w:rsid w:val="001E3688"/>
    <w:rsid w:val="001E3766"/>
    <w:rsid w:val="001E3774"/>
    <w:rsid w:val="001E3838"/>
    <w:rsid w:val="001E388B"/>
    <w:rsid w:val="001E38D8"/>
    <w:rsid w:val="001E3A58"/>
    <w:rsid w:val="001E3AD6"/>
    <w:rsid w:val="001E3B8A"/>
    <w:rsid w:val="001E3B9B"/>
    <w:rsid w:val="001E3D37"/>
    <w:rsid w:val="001E3D60"/>
    <w:rsid w:val="001E4006"/>
    <w:rsid w:val="001E41EB"/>
    <w:rsid w:val="001E43A8"/>
    <w:rsid w:val="001E445C"/>
    <w:rsid w:val="001E4638"/>
    <w:rsid w:val="001E4802"/>
    <w:rsid w:val="001E489B"/>
    <w:rsid w:val="001E48BA"/>
    <w:rsid w:val="001E49B9"/>
    <w:rsid w:val="001E49E2"/>
    <w:rsid w:val="001E4B76"/>
    <w:rsid w:val="001E4B96"/>
    <w:rsid w:val="001E4D35"/>
    <w:rsid w:val="001E4EC5"/>
    <w:rsid w:val="001E4EF1"/>
    <w:rsid w:val="001E5072"/>
    <w:rsid w:val="001E514E"/>
    <w:rsid w:val="001E522C"/>
    <w:rsid w:val="001E53C0"/>
    <w:rsid w:val="001E53FD"/>
    <w:rsid w:val="001E5456"/>
    <w:rsid w:val="001E5B41"/>
    <w:rsid w:val="001E5BC1"/>
    <w:rsid w:val="001E5C3D"/>
    <w:rsid w:val="001E5D3E"/>
    <w:rsid w:val="001E5E04"/>
    <w:rsid w:val="001E5E6F"/>
    <w:rsid w:val="001E6003"/>
    <w:rsid w:val="001E6042"/>
    <w:rsid w:val="001E60D2"/>
    <w:rsid w:val="001E6217"/>
    <w:rsid w:val="001E63A9"/>
    <w:rsid w:val="001E647A"/>
    <w:rsid w:val="001E6508"/>
    <w:rsid w:val="001E6657"/>
    <w:rsid w:val="001E681C"/>
    <w:rsid w:val="001E6947"/>
    <w:rsid w:val="001E69CB"/>
    <w:rsid w:val="001E6B7E"/>
    <w:rsid w:val="001E6CA5"/>
    <w:rsid w:val="001E6CD5"/>
    <w:rsid w:val="001E6D07"/>
    <w:rsid w:val="001E7151"/>
    <w:rsid w:val="001E754D"/>
    <w:rsid w:val="001E75AC"/>
    <w:rsid w:val="001E7609"/>
    <w:rsid w:val="001E76B4"/>
    <w:rsid w:val="001E7802"/>
    <w:rsid w:val="001E785E"/>
    <w:rsid w:val="001E78B0"/>
    <w:rsid w:val="001E78E2"/>
    <w:rsid w:val="001E7A73"/>
    <w:rsid w:val="001E7AFF"/>
    <w:rsid w:val="001E7B51"/>
    <w:rsid w:val="001E7D36"/>
    <w:rsid w:val="001E7D87"/>
    <w:rsid w:val="001E7DC2"/>
    <w:rsid w:val="001E7EDA"/>
    <w:rsid w:val="001F012A"/>
    <w:rsid w:val="001F0138"/>
    <w:rsid w:val="001F02C9"/>
    <w:rsid w:val="001F02F6"/>
    <w:rsid w:val="001F030E"/>
    <w:rsid w:val="001F03D4"/>
    <w:rsid w:val="001F04F2"/>
    <w:rsid w:val="001F0503"/>
    <w:rsid w:val="001F05BF"/>
    <w:rsid w:val="001F075C"/>
    <w:rsid w:val="001F0789"/>
    <w:rsid w:val="001F07C6"/>
    <w:rsid w:val="001F080C"/>
    <w:rsid w:val="001F087A"/>
    <w:rsid w:val="001F0A64"/>
    <w:rsid w:val="001F0AB4"/>
    <w:rsid w:val="001F0E1D"/>
    <w:rsid w:val="001F0EB9"/>
    <w:rsid w:val="001F0FF4"/>
    <w:rsid w:val="001F109F"/>
    <w:rsid w:val="001F11BA"/>
    <w:rsid w:val="001F1238"/>
    <w:rsid w:val="001F12CE"/>
    <w:rsid w:val="001F14AB"/>
    <w:rsid w:val="001F14E8"/>
    <w:rsid w:val="001F1502"/>
    <w:rsid w:val="001F15A0"/>
    <w:rsid w:val="001F1825"/>
    <w:rsid w:val="001F185E"/>
    <w:rsid w:val="001F1875"/>
    <w:rsid w:val="001F18CE"/>
    <w:rsid w:val="001F1A70"/>
    <w:rsid w:val="001F1BAA"/>
    <w:rsid w:val="001F1BB2"/>
    <w:rsid w:val="001F1C26"/>
    <w:rsid w:val="001F1DE0"/>
    <w:rsid w:val="001F1EB9"/>
    <w:rsid w:val="001F1FDC"/>
    <w:rsid w:val="001F20A0"/>
    <w:rsid w:val="001F22F6"/>
    <w:rsid w:val="001F2379"/>
    <w:rsid w:val="001F24D6"/>
    <w:rsid w:val="001F2555"/>
    <w:rsid w:val="001F2600"/>
    <w:rsid w:val="001F2646"/>
    <w:rsid w:val="001F2656"/>
    <w:rsid w:val="001F27B6"/>
    <w:rsid w:val="001F280E"/>
    <w:rsid w:val="001F28FE"/>
    <w:rsid w:val="001F29B9"/>
    <w:rsid w:val="001F2A81"/>
    <w:rsid w:val="001F2AD7"/>
    <w:rsid w:val="001F2AE3"/>
    <w:rsid w:val="001F2B7D"/>
    <w:rsid w:val="001F2D22"/>
    <w:rsid w:val="001F2D40"/>
    <w:rsid w:val="001F2FAD"/>
    <w:rsid w:val="001F3066"/>
    <w:rsid w:val="001F30BB"/>
    <w:rsid w:val="001F30F5"/>
    <w:rsid w:val="001F31C8"/>
    <w:rsid w:val="001F33D8"/>
    <w:rsid w:val="001F3567"/>
    <w:rsid w:val="001F36A3"/>
    <w:rsid w:val="001F370C"/>
    <w:rsid w:val="001F3769"/>
    <w:rsid w:val="001F382C"/>
    <w:rsid w:val="001F3962"/>
    <w:rsid w:val="001F3975"/>
    <w:rsid w:val="001F3B34"/>
    <w:rsid w:val="001F3B70"/>
    <w:rsid w:val="001F3BCF"/>
    <w:rsid w:val="001F3BF8"/>
    <w:rsid w:val="001F3D47"/>
    <w:rsid w:val="001F3D73"/>
    <w:rsid w:val="001F3DA9"/>
    <w:rsid w:val="001F3E9B"/>
    <w:rsid w:val="001F3FC5"/>
    <w:rsid w:val="001F420D"/>
    <w:rsid w:val="001F42DB"/>
    <w:rsid w:val="001F4324"/>
    <w:rsid w:val="001F456E"/>
    <w:rsid w:val="001F4681"/>
    <w:rsid w:val="001F475B"/>
    <w:rsid w:val="001F47A8"/>
    <w:rsid w:val="001F486B"/>
    <w:rsid w:val="001F49F2"/>
    <w:rsid w:val="001F4AB4"/>
    <w:rsid w:val="001F4B9D"/>
    <w:rsid w:val="001F4C02"/>
    <w:rsid w:val="001F4DCB"/>
    <w:rsid w:val="001F4DD9"/>
    <w:rsid w:val="001F4F63"/>
    <w:rsid w:val="001F5126"/>
    <w:rsid w:val="001F52F0"/>
    <w:rsid w:val="001F5638"/>
    <w:rsid w:val="001F578D"/>
    <w:rsid w:val="001F5825"/>
    <w:rsid w:val="001F584E"/>
    <w:rsid w:val="001F59A4"/>
    <w:rsid w:val="001F5A96"/>
    <w:rsid w:val="001F5ABB"/>
    <w:rsid w:val="001F5D26"/>
    <w:rsid w:val="001F5E8A"/>
    <w:rsid w:val="001F5FD1"/>
    <w:rsid w:val="001F6357"/>
    <w:rsid w:val="001F6478"/>
    <w:rsid w:val="001F64BA"/>
    <w:rsid w:val="001F64DF"/>
    <w:rsid w:val="001F64EC"/>
    <w:rsid w:val="001F65E7"/>
    <w:rsid w:val="001F666A"/>
    <w:rsid w:val="001F6802"/>
    <w:rsid w:val="001F6925"/>
    <w:rsid w:val="001F69CF"/>
    <w:rsid w:val="001F6C2C"/>
    <w:rsid w:val="001F6D56"/>
    <w:rsid w:val="001F6D6A"/>
    <w:rsid w:val="001F6D71"/>
    <w:rsid w:val="001F6D87"/>
    <w:rsid w:val="001F6E13"/>
    <w:rsid w:val="001F6FAD"/>
    <w:rsid w:val="001F7104"/>
    <w:rsid w:val="001F71BC"/>
    <w:rsid w:val="001F7259"/>
    <w:rsid w:val="001F73FE"/>
    <w:rsid w:val="001F7581"/>
    <w:rsid w:val="001F76CF"/>
    <w:rsid w:val="001F773A"/>
    <w:rsid w:val="001F788F"/>
    <w:rsid w:val="001F7A5C"/>
    <w:rsid w:val="001F7BD3"/>
    <w:rsid w:val="001F7D08"/>
    <w:rsid w:val="001F7D3A"/>
    <w:rsid w:val="001F7ED3"/>
    <w:rsid w:val="001F7F75"/>
    <w:rsid w:val="00200030"/>
    <w:rsid w:val="00200088"/>
    <w:rsid w:val="002001A1"/>
    <w:rsid w:val="00200372"/>
    <w:rsid w:val="00200432"/>
    <w:rsid w:val="002005B7"/>
    <w:rsid w:val="002005DC"/>
    <w:rsid w:val="0020064D"/>
    <w:rsid w:val="0020074A"/>
    <w:rsid w:val="00200A22"/>
    <w:rsid w:val="00200A34"/>
    <w:rsid w:val="00200B1E"/>
    <w:rsid w:val="00200B87"/>
    <w:rsid w:val="00200C2D"/>
    <w:rsid w:val="00200E41"/>
    <w:rsid w:val="00200E54"/>
    <w:rsid w:val="00200ECD"/>
    <w:rsid w:val="00200FB8"/>
    <w:rsid w:val="00201141"/>
    <w:rsid w:val="002011B3"/>
    <w:rsid w:val="002011E9"/>
    <w:rsid w:val="00201332"/>
    <w:rsid w:val="002013E0"/>
    <w:rsid w:val="0020153A"/>
    <w:rsid w:val="00201583"/>
    <w:rsid w:val="002015E4"/>
    <w:rsid w:val="00201844"/>
    <w:rsid w:val="002019C1"/>
    <w:rsid w:val="002019CE"/>
    <w:rsid w:val="00201AB8"/>
    <w:rsid w:val="00201B95"/>
    <w:rsid w:val="00201BA6"/>
    <w:rsid w:val="00201C58"/>
    <w:rsid w:val="00201D85"/>
    <w:rsid w:val="00201E01"/>
    <w:rsid w:val="00201E60"/>
    <w:rsid w:val="00201E98"/>
    <w:rsid w:val="00201F2F"/>
    <w:rsid w:val="00202057"/>
    <w:rsid w:val="00202138"/>
    <w:rsid w:val="00202219"/>
    <w:rsid w:val="002022C2"/>
    <w:rsid w:val="00202313"/>
    <w:rsid w:val="00202340"/>
    <w:rsid w:val="002024AA"/>
    <w:rsid w:val="0020254F"/>
    <w:rsid w:val="002025BF"/>
    <w:rsid w:val="00202665"/>
    <w:rsid w:val="002027D2"/>
    <w:rsid w:val="0020282F"/>
    <w:rsid w:val="00202872"/>
    <w:rsid w:val="002028A6"/>
    <w:rsid w:val="0020290E"/>
    <w:rsid w:val="0020293B"/>
    <w:rsid w:val="0020297A"/>
    <w:rsid w:val="00202A5C"/>
    <w:rsid w:val="00202C5A"/>
    <w:rsid w:val="00202C70"/>
    <w:rsid w:val="00202E15"/>
    <w:rsid w:val="00202E6A"/>
    <w:rsid w:val="00202F43"/>
    <w:rsid w:val="00202F51"/>
    <w:rsid w:val="00203099"/>
    <w:rsid w:val="002032CD"/>
    <w:rsid w:val="002034DF"/>
    <w:rsid w:val="0020368C"/>
    <w:rsid w:val="00203750"/>
    <w:rsid w:val="00203926"/>
    <w:rsid w:val="00203A77"/>
    <w:rsid w:val="00203F92"/>
    <w:rsid w:val="002040CC"/>
    <w:rsid w:val="00204383"/>
    <w:rsid w:val="00204592"/>
    <w:rsid w:val="0020459C"/>
    <w:rsid w:val="002046EA"/>
    <w:rsid w:val="002048F1"/>
    <w:rsid w:val="00204924"/>
    <w:rsid w:val="0020495B"/>
    <w:rsid w:val="00204990"/>
    <w:rsid w:val="00204AA1"/>
    <w:rsid w:val="00204B6B"/>
    <w:rsid w:val="00204BA4"/>
    <w:rsid w:val="00204BBC"/>
    <w:rsid w:val="00204CD3"/>
    <w:rsid w:val="00204EE5"/>
    <w:rsid w:val="0020504B"/>
    <w:rsid w:val="002051A8"/>
    <w:rsid w:val="00205262"/>
    <w:rsid w:val="002054BD"/>
    <w:rsid w:val="00205556"/>
    <w:rsid w:val="002055D1"/>
    <w:rsid w:val="00205608"/>
    <w:rsid w:val="00205706"/>
    <w:rsid w:val="00205940"/>
    <w:rsid w:val="00206074"/>
    <w:rsid w:val="0020626D"/>
    <w:rsid w:val="0020659C"/>
    <w:rsid w:val="0020677F"/>
    <w:rsid w:val="00206B3E"/>
    <w:rsid w:val="00206B95"/>
    <w:rsid w:val="00206BB5"/>
    <w:rsid w:val="00206C2B"/>
    <w:rsid w:val="00206C59"/>
    <w:rsid w:val="00206D35"/>
    <w:rsid w:val="00206D6E"/>
    <w:rsid w:val="00206F81"/>
    <w:rsid w:val="00207195"/>
    <w:rsid w:val="002071D1"/>
    <w:rsid w:val="002072F8"/>
    <w:rsid w:val="0020749D"/>
    <w:rsid w:val="002074D3"/>
    <w:rsid w:val="00207588"/>
    <w:rsid w:val="002075C1"/>
    <w:rsid w:val="00207619"/>
    <w:rsid w:val="002076EC"/>
    <w:rsid w:val="00207751"/>
    <w:rsid w:val="00207803"/>
    <w:rsid w:val="002078C7"/>
    <w:rsid w:val="00207979"/>
    <w:rsid w:val="002079C0"/>
    <w:rsid w:val="00207AA8"/>
    <w:rsid w:val="00207B24"/>
    <w:rsid w:val="00207CC0"/>
    <w:rsid w:val="00207D4A"/>
    <w:rsid w:val="00207E5B"/>
    <w:rsid w:val="00207EC8"/>
    <w:rsid w:val="00207EF6"/>
    <w:rsid w:val="00209D90"/>
    <w:rsid w:val="00210095"/>
    <w:rsid w:val="002101F1"/>
    <w:rsid w:val="00210456"/>
    <w:rsid w:val="002104D8"/>
    <w:rsid w:val="00210B76"/>
    <w:rsid w:val="00210B8F"/>
    <w:rsid w:val="00210C7B"/>
    <w:rsid w:val="00210C8C"/>
    <w:rsid w:val="00211075"/>
    <w:rsid w:val="0021116F"/>
    <w:rsid w:val="002112C5"/>
    <w:rsid w:val="002112CF"/>
    <w:rsid w:val="002112DE"/>
    <w:rsid w:val="00211376"/>
    <w:rsid w:val="00211396"/>
    <w:rsid w:val="002113BC"/>
    <w:rsid w:val="00211593"/>
    <w:rsid w:val="002115A5"/>
    <w:rsid w:val="0021177F"/>
    <w:rsid w:val="002117DE"/>
    <w:rsid w:val="00211862"/>
    <w:rsid w:val="002118C5"/>
    <w:rsid w:val="00211C94"/>
    <w:rsid w:val="00211D7D"/>
    <w:rsid w:val="00211FD6"/>
    <w:rsid w:val="002120E1"/>
    <w:rsid w:val="0021231F"/>
    <w:rsid w:val="00212331"/>
    <w:rsid w:val="002125D3"/>
    <w:rsid w:val="002125DF"/>
    <w:rsid w:val="002126CC"/>
    <w:rsid w:val="002126DA"/>
    <w:rsid w:val="00212768"/>
    <w:rsid w:val="002127E7"/>
    <w:rsid w:val="0021284F"/>
    <w:rsid w:val="00212C8D"/>
    <w:rsid w:val="00212D92"/>
    <w:rsid w:val="00213098"/>
    <w:rsid w:val="0021312F"/>
    <w:rsid w:val="00213187"/>
    <w:rsid w:val="002131A2"/>
    <w:rsid w:val="00213266"/>
    <w:rsid w:val="00213306"/>
    <w:rsid w:val="002133F8"/>
    <w:rsid w:val="00213400"/>
    <w:rsid w:val="002134D6"/>
    <w:rsid w:val="00213569"/>
    <w:rsid w:val="0021361E"/>
    <w:rsid w:val="002136A2"/>
    <w:rsid w:val="002139AD"/>
    <w:rsid w:val="00213A66"/>
    <w:rsid w:val="00213B24"/>
    <w:rsid w:val="00213DE9"/>
    <w:rsid w:val="00213E21"/>
    <w:rsid w:val="00213FBB"/>
    <w:rsid w:val="00214076"/>
    <w:rsid w:val="00214262"/>
    <w:rsid w:val="00214266"/>
    <w:rsid w:val="0021436F"/>
    <w:rsid w:val="002144EC"/>
    <w:rsid w:val="0021459C"/>
    <w:rsid w:val="002146FA"/>
    <w:rsid w:val="002147DE"/>
    <w:rsid w:val="00214876"/>
    <w:rsid w:val="0021489A"/>
    <w:rsid w:val="0021494D"/>
    <w:rsid w:val="002149EC"/>
    <w:rsid w:val="00214B60"/>
    <w:rsid w:val="00214C7E"/>
    <w:rsid w:val="00214CD0"/>
    <w:rsid w:val="00214CD1"/>
    <w:rsid w:val="00214D14"/>
    <w:rsid w:val="00214D7E"/>
    <w:rsid w:val="00214DCC"/>
    <w:rsid w:val="00214E48"/>
    <w:rsid w:val="00214E65"/>
    <w:rsid w:val="00214E85"/>
    <w:rsid w:val="00214F35"/>
    <w:rsid w:val="00214F39"/>
    <w:rsid w:val="00214F90"/>
    <w:rsid w:val="00215001"/>
    <w:rsid w:val="002150C2"/>
    <w:rsid w:val="00215136"/>
    <w:rsid w:val="00215174"/>
    <w:rsid w:val="0021519D"/>
    <w:rsid w:val="00215352"/>
    <w:rsid w:val="00215370"/>
    <w:rsid w:val="00215563"/>
    <w:rsid w:val="00215567"/>
    <w:rsid w:val="002155FE"/>
    <w:rsid w:val="00215614"/>
    <w:rsid w:val="002156A2"/>
    <w:rsid w:val="0021575A"/>
    <w:rsid w:val="002159AC"/>
    <w:rsid w:val="00215B78"/>
    <w:rsid w:val="00215BB1"/>
    <w:rsid w:val="00215BDC"/>
    <w:rsid w:val="00215DB4"/>
    <w:rsid w:val="00215E75"/>
    <w:rsid w:val="00215E7D"/>
    <w:rsid w:val="00215F60"/>
    <w:rsid w:val="00216182"/>
    <w:rsid w:val="0021636B"/>
    <w:rsid w:val="002163A3"/>
    <w:rsid w:val="0021658D"/>
    <w:rsid w:val="0021664A"/>
    <w:rsid w:val="00216887"/>
    <w:rsid w:val="002168E2"/>
    <w:rsid w:val="00216BA4"/>
    <w:rsid w:val="00216BC7"/>
    <w:rsid w:val="00216CA3"/>
    <w:rsid w:val="00216F2B"/>
    <w:rsid w:val="00216FA5"/>
    <w:rsid w:val="00216FC9"/>
    <w:rsid w:val="0021704B"/>
    <w:rsid w:val="002170DB"/>
    <w:rsid w:val="00217218"/>
    <w:rsid w:val="002173F8"/>
    <w:rsid w:val="0021740C"/>
    <w:rsid w:val="002174D7"/>
    <w:rsid w:val="0021769C"/>
    <w:rsid w:val="002176E4"/>
    <w:rsid w:val="0021779E"/>
    <w:rsid w:val="00217846"/>
    <w:rsid w:val="00217997"/>
    <w:rsid w:val="002179F9"/>
    <w:rsid w:val="00217A36"/>
    <w:rsid w:val="00217C35"/>
    <w:rsid w:val="00217D8D"/>
    <w:rsid w:val="00217D9A"/>
    <w:rsid w:val="00217F5C"/>
    <w:rsid w:val="002201D7"/>
    <w:rsid w:val="00220413"/>
    <w:rsid w:val="00220828"/>
    <w:rsid w:val="00220940"/>
    <w:rsid w:val="00220A5F"/>
    <w:rsid w:val="00220BB0"/>
    <w:rsid w:val="00220C4B"/>
    <w:rsid w:val="00220D17"/>
    <w:rsid w:val="00220EB3"/>
    <w:rsid w:val="002210C6"/>
    <w:rsid w:val="002211EF"/>
    <w:rsid w:val="002212E3"/>
    <w:rsid w:val="00221487"/>
    <w:rsid w:val="00221595"/>
    <w:rsid w:val="002215D2"/>
    <w:rsid w:val="0022167B"/>
    <w:rsid w:val="002216B7"/>
    <w:rsid w:val="00221715"/>
    <w:rsid w:val="00221872"/>
    <w:rsid w:val="0022192E"/>
    <w:rsid w:val="00221969"/>
    <w:rsid w:val="00221AD5"/>
    <w:rsid w:val="00221C8B"/>
    <w:rsid w:val="00221CA7"/>
    <w:rsid w:val="00221D38"/>
    <w:rsid w:val="00221D5F"/>
    <w:rsid w:val="00221F07"/>
    <w:rsid w:val="002222E1"/>
    <w:rsid w:val="00222363"/>
    <w:rsid w:val="00222364"/>
    <w:rsid w:val="00222386"/>
    <w:rsid w:val="00222391"/>
    <w:rsid w:val="002223AF"/>
    <w:rsid w:val="002223D1"/>
    <w:rsid w:val="0022240C"/>
    <w:rsid w:val="00222541"/>
    <w:rsid w:val="002226E1"/>
    <w:rsid w:val="002228CB"/>
    <w:rsid w:val="002228F0"/>
    <w:rsid w:val="002229D2"/>
    <w:rsid w:val="00222DCE"/>
    <w:rsid w:val="00222E82"/>
    <w:rsid w:val="00222F71"/>
    <w:rsid w:val="002231AC"/>
    <w:rsid w:val="002231BB"/>
    <w:rsid w:val="00223217"/>
    <w:rsid w:val="002232D8"/>
    <w:rsid w:val="002233DF"/>
    <w:rsid w:val="002233E5"/>
    <w:rsid w:val="0022364C"/>
    <w:rsid w:val="00223682"/>
    <w:rsid w:val="00223761"/>
    <w:rsid w:val="00223893"/>
    <w:rsid w:val="00223A1B"/>
    <w:rsid w:val="00223BA6"/>
    <w:rsid w:val="00223C71"/>
    <w:rsid w:val="00223CE6"/>
    <w:rsid w:val="00223D54"/>
    <w:rsid w:val="00223DBA"/>
    <w:rsid w:val="00223F75"/>
    <w:rsid w:val="00224051"/>
    <w:rsid w:val="00224149"/>
    <w:rsid w:val="002242C9"/>
    <w:rsid w:val="002244B6"/>
    <w:rsid w:val="00224629"/>
    <w:rsid w:val="0022468D"/>
    <w:rsid w:val="002246AA"/>
    <w:rsid w:val="002246C9"/>
    <w:rsid w:val="002248AB"/>
    <w:rsid w:val="00224945"/>
    <w:rsid w:val="00224A9F"/>
    <w:rsid w:val="00224AF3"/>
    <w:rsid w:val="00224BDC"/>
    <w:rsid w:val="00224C74"/>
    <w:rsid w:val="00225001"/>
    <w:rsid w:val="002251E5"/>
    <w:rsid w:val="002252E9"/>
    <w:rsid w:val="0022536A"/>
    <w:rsid w:val="00225407"/>
    <w:rsid w:val="0022556B"/>
    <w:rsid w:val="0022559A"/>
    <w:rsid w:val="002256CA"/>
    <w:rsid w:val="00225776"/>
    <w:rsid w:val="00225802"/>
    <w:rsid w:val="002259AC"/>
    <w:rsid w:val="002259F5"/>
    <w:rsid w:val="00225C9B"/>
    <w:rsid w:val="00225CDD"/>
    <w:rsid w:val="00225EB7"/>
    <w:rsid w:val="0022609F"/>
    <w:rsid w:val="002260CD"/>
    <w:rsid w:val="0022636F"/>
    <w:rsid w:val="00226534"/>
    <w:rsid w:val="002267A8"/>
    <w:rsid w:val="002268FB"/>
    <w:rsid w:val="00226B6E"/>
    <w:rsid w:val="00226C9D"/>
    <w:rsid w:val="00226EE3"/>
    <w:rsid w:val="00226F59"/>
    <w:rsid w:val="00227078"/>
    <w:rsid w:val="00227084"/>
    <w:rsid w:val="002270BA"/>
    <w:rsid w:val="0022716A"/>
    <w:rsid w:val="00227283"/>
    <w:rsid w:val="002272B3"/>
    <w:rsid w:val="00227363"/>
    <w:rsid w:val="0022747E"/>
    <w:rsid w:val="00227481"/>
    <w:rsid w:val="002274B4"/>
    <w:rsid w:val="00227588"/>
    <w:rsid w:val="002275E0"/>
    <w:rsid w:val="00227638"/>
    <w:rsid w:val="00227804"/>
    <w:rsid w:val="00227813"/>
    <w:rsid w:val="00227BDC"/>
    <w:rsid w:val="00227D93"/>
    <w:rsid w:val="00227E1C"/>
    <w:rsid w:val="00227EB2"/>
    <w:rsid w:val="00227EBE"/>
    <w:rsid w:val="00227F98"/>
    <w:rsid w:val="00230023"/>
    <w:rsid w:val="00230050"/>
    <w:rsid w:val="0023006F"/>
    <w:rsid w:val="0023009C"/>
    <w:rsid w:val="00230173"/>
    <w:rsid w:val="002302EC"/>
    <w:rsid w:val="002305EE"/>
    <w:rsid w:val="002306E3"/>
    <w:rsid w:val="00230714"/>
    <w:rsid w:val="00230729"/>
    <w:rsid w:val="0023080E"/>
    <w:rsid w:val="002308EC"/>
    <w:rsid w:val="002308FE"/>
    <w:rsid w:val="00230909"/>
    <w:rsid w:val="00230927"/>
    <w:rsid w:val="00230A7B"/>
    <w:rsid w:val="00230A86"/>
    <w:rsid w:val="00230BAB"/>
    <w:rsid w:val="00230BCE"/>
    <w:rsid w:val="00230D4D"/>
    <w:rsid w:val="00230D4E"/>
    <w:rsid w:val="00230D84"/>
    <w:rsid w:val="00230E84"/>
    <w:rsid w:val="002310DB"/>
    <w:rsid w:val="00231116"/>
    <w:rsid w:val="00231279"/>
    <w:rsid w:val="002312E5"/>
    <w:rsid w:val="0023135C"/>
    <w:rsid w:val="00231375"/>
    <w:rsid w:val="002313A8"/>
    <w:rsid w:val="002313EF"/>
    <w:rsid w:val="00231482"/>
    <w:rsid w:val="002314EA"/>
    <w:rsid w:val="0023152E"/>
    <w:rsid w:val="002315D6"/>
    <w:rsid w:val="002316BD"/>
    <w:rsid w:val="00231864"/>
    <w:rsid w:val="0023195B"/>
    <w:rsid w:val="00231BC1"/>
    <w:rsid w:val="00231BF4"/>
    <w:rsid w:val="00231CE3"/>
    <w:rsid w:val="00231DB4"/>
    <w:rsid w:val="00231FBE"/>
    <w:rsid w:val="00231FC2"/>
    <w:rsid w:val="00232091"/>
    <w:rsid w:val="00232142"/>
    <w:rsid w:val="0023222B"/>
    <w:rsid w:val="00232237"/>
    <w:rsid w:val="002322AE"/>
    <w:rsid w:val="002322C6"/>
    <w:rsid w:val="00232679"/>
    <w:rsid w:val="002326FA"/>
    <w:rsid w:val="00232757"/>
    <w:rsid w:val="0023279E"/>
    <w:rsid w:val="00232A4C"/>
    <w:rsid w:val="00232BBB"/>
    <w:rsid w:val="00232D8C"/>
    <w:rsid w:val="00232DC9"/>
    <w:rsid w:val="00232E52"/>
    <w:rsid w:val="00232E62"/>
    <w:rsid w:val="00232FDE"/>
    <w:rsid w:val="00233062"/>
    <w:rsid w:val="002332BB"/>
    <w:rsid w:val="0023337C"/>
    <w:rsid w:val="00233562"/>
    <w:rsid w:val="00233575"/>
    <w:rsid w:val="00233646"/>
    <w:rsid w:val="00233686"/>
    <w:rsid w:val="00233692"/>
    <w:rsid w:val="0023377F"/>
    <w:rsid w:val="002337C1"/>
    <w:rsid w:val="00233A19"/>
    <w:rsid w:val="00233F59"/>
    <w:rsid w:val="00234464"/>
    <w:rsid w:val="00234634"/>
    <w:rsid w:val="00234764"/>
    <w:rsid w:val="002347F4"/>
    <w:rsid w:val="002348D0"/>
    <w:rsid w:val="00234A7C"/>
    <w:rsid w:val="00234AFD"/>
    <w:rsid w:val="00234D20"/>
    <w:rsid w:val="00234D25"/>
    <w:rsid w:val="00234DBB"/>
    <w:rsid w:val="00235056"/>
    <w:rsid w:val="0023510D"/>
    <w:rsid w:val="0023527B"/>
    <w:rsid w:val="00235505"/>
    <w:rsid w:val="00235652"/>
    <w:rsid w:val="002356D9"/>
    <w:rsid w:val="002358A9"/>
    <w:rsid w:val="0023590C"/>
    <w:rsid w:val="00235A83"/>
    <w:rsid w:val="00235A87"/>
    <w:rsid w:val="00235B43"/>
    <w:rsid w:val="00235CFA"/>
    <w:rsid w:val="00235DC0"/>
    <w:rsid w:val="00235DCE"/>
    <w:rsid w:val="00235FFD"/>
    <w:rsid w:val="002363B0"/>
    <w:rsid w:val="00236526"/>
    <w:rsid w:val="00236589"/>
    <w:rsid w:val="00236643"/>
    <w:rsid w:val="0023667D"/>
    <w:rsid w:val="002367B4"/>
    <w:rsid w:val="002367DA"/>
    <w:rsid w:val="0023683E"/>
    <w:rsid w:val="00236849"/>
    <w:rsid w:val="00236901"/>
    <w:rsid w:val="00236987"/>
    <w:rsid w:val="00236AAC"/>
    <w:rsid w:val="00236B9A"/>
    <w:rsid w:val="00236CAE"/>
    <w:rsid w:val="00236D00"/>
    <w:rsid w:val="00237025"/>
    <w:rsid w:val="002370DB"/>
    <w:rsid w:val="00237130"/>
    <w:rsid w:val="002371AB"/>
    <w:rsid w:val="002374F2"/>
    <w:rsid w:val="002376A9"/>
    <w:rsid w:val="002376FD"/>
    <w:rsid w:val="002377E7"/>
    <w:rsid w:val="002378B4"/>
    <w:rsid w:val="00237BC3"/>
    <w:rsid w:val="00237C4C"/>
    <w:rsid w:val="00237CAD"/>
    <w:rsid w:val="00237D61"/>
    <w:rsid w:val="00237EF4"/>
    <w:rsid w:val="00237FE4"/>
    <w:rsid w:val="002400BF"/>
    <w:rsid w:val="00240175"/>
    <w:rsid w:val="002402D7"/>
    <w:rsid w:val="0024036F"/>
    <w:rsid w:val="0024041A"/>
    <w:rsid w:val="002404C5"/>
    <w:rsid w:val="0024070C"/>
    <w:rsid w:val="0024077A"/>
    <w:rsid w:val="002407EB"/>
    <w:rsid w:val="002408B7"/>
    <w:rsid w:val="00240A47"/>
    <w:rsid w:val="00240AB2"/>
    <w:rsid w:val="00240CC9"/>
    <w:rsid w:val="00240DDA"/>
    <w:rsid w:val="00240E76"/>
    <w:rsid w:val="00240EA4"/>
    <w:rsid w:val="00240F45"/>
    <w:rsid w:val="002410EF"/>
    <w:rsid w:val="00241160"/>
    <w:rsid w:val="0024119E"/>
    <w:rsid w:val="002412B3"/>
    <w:rsid w:val="002413FE"/>
    <w:rsid w:val="00241483"/>
    <w:rsid w:val="00241745"/>
    <w:rsid w:val="0024180D"/>
    <w:rsid w:val="00241900"/>
    <w:rsid w:val="00241A03"/>
    <w:rsid w:val="00241A17"/>
    <w:rsid w:val="00241C20"/>
    <w:rsid w:val="00241C52"/>
    <w:rsid w:val="00241DB0"/>
    <w:rsid w:val="00241E53"/>
    <w:rsid w:val="00241E59"/>
    <w:rsid w:val="002420BA"/>
    <w:rsid w:val="00242156"/>
    <w:rsid w:val="0024217A"/>
    <w:rsid w:val="002422C4"/>
    <w:rsid w:val="002423F2"/>
    <w:rsid w:val="002425E6"/>
    <w:rsid w:val="002426DE"/>
    <w:rsid w:val="002428F8"/>
    <w:rsid w:val="00242AC1"/>
    <w:rsid w:val="00242AFF"/>
    <w:rsid w:val="00242BC8"/>
    <w:rsid w:val="00242C4E"/>
    <w:rsid w:val="00242CAD"/>
    <w:rsid w:val="00242E1E"/>
    <w:rsid w:val="00242F02"/>
    <w:rsid w:val="00242F56"/>
    <w:rsid w:val="00243247"/>
    <w:rsid w:val="00243454"/>
    <w:rsid w:val="002434B6"/>
    <w:rsid w:val="002436D6"/>
    <w:rsid w:val="00243739"/>
    <w:rsid w:val="002439F0"/>
    <w:rsid w:val="00243BAE"/>
    <w:rsid w:val="00243CDB"/>
    <w:rsid w:val="00243E17"/>
    <w:rsid w:val="002440B7"/>
    <w:rsid w:val="0024418F"/>
    <w:rsid w:val="002443EC"/>
    <w:rsid w:val="002444F3"/>
    <w:rsid w:val="002445FB"/>
    <w:rsid w:val="00244714"/>
    <w:rsid w:val="00244735"/>
    <w:rsid w:val="0024475E"/>
    <w:rsid w:val="00244857"/>
    <w:rsid w:val="002448B0"/>
    <w:rsid w:val="0024490A"/>
    <w:rsid w:val="002449C2"/>
    <w:rsid w:val="002449F4"/>
    <w:rsid w:val="00244D25"/>
    <w:rsid w:val="00244D77"/>
    <w:rsid w:val="00244DB2"/>
    <w:rsid w:val="00244DD9"/>
    <w:rsid w:val="00245082"/>
    <w:rsid w:val="00245094"/>
    <w:rsid w:val="00245368"/>
    <w:rsid w:val="002453B3"/>
    <w:rsid w:val="00245449"/>
    <w:rsid w:val="002454C6"/>
    <w:rsid w:val="00245514"/>
    <w:rsid w:val="00245563"/>
    <w:rsid w:val="00245BCF"/>
    <w:rsid w:val="00245BD7"/>
    <w:rsid w:val="00245D0B"/>
    <w:rsid w:val="00245D9A"/>
    <w:rsid w:val="00245FAF"/>
    <w:rsid w:val="00245FDA"/>
    <w:rsid w:val="00246253"/>
    <w:rsid w:val="0024626E"/>
    <w:rsid w:val="002463B6"/>
    <w:rsid w:val="00246494"/>
    <w:rsid w:val="002464C7"/>
    <w:rsid w:val="00246629"/>
    <w:rsid w:val="0024675C"/>
    <w:rsid w:val="00246A3D"/>
    <w:rsid w:val="00246A65"/>
    <w:rsid w:val="00246ADA"/>
    <w:rsid w:val="00246BB0"/>
    <w:rsid w:val="00246C0B"/>
    <w:rsid w:val="00246F3B"/>
    <w:rsid w:val="00247033"/>
    <w:rsid w:val="002470F1"/>
    <w:rsid w:val="00247260"/>
    <w:rsid w:val="002472CE"/>
    <w:rsid w:val="00247495"/>
    <w:rsid w:val="002474A4"/>
    <w:rsid w:val="002474C2"/>
    <w:rsid w:val="002474DB"/>
    <w:rsid w:val="002474FB"/>
    <w:rsid w:val="00247508"/>
    <w:rsid w:val="002475DF"/>
    <w:rsid w:val="00247626"/>
    <w:rsid w:val="00247681"/>
    <w:rsid w:val="002476D1"/>
    <w:rsid w:val="002477B9"/>
    <w:rsid w:val="002477C3"/>
    <w:rsid w:val="00247881"/>
    <w:rsid w:val="002478F8"/>
    <w:rsid w:val="00247971"/>
    <w:rsid w:val="00247989"/>
    <w:rsid w:val="00247C91"/>
    <w:rsid w:val="00247CCC"/>
    <w:rsid w:val="00247DE4"/>
    <w:rsid w:val="00247E46"/>
    <w:rsid w:val="00247E4A"/>
    <w:rsid w:val="00247FE4"/>
    <w:rsid w:val="002501F0"/>
    <w:rsid w:val="002504B3"/>
    <w:rsid w:val="002505A0"/>
    <w:rsid w:val="002505C7"/>
    <w:rsid w:val="0025068E"/>
    <w:rsid w:val="002506F7"/>
    <w:rsid w:val="00250778"/>
    <w:rsid w:val="00250967"/>
    <w:rsid w:val="002509DF"/>
    <w:rsid w:val="00250A20"/>
    <w:rsid w:val="00250C33"/>
    <w:rsid w:val="00250C88"/>
    <w:rsid w:val="00250CC4"/>
    <w:rsid w:val="00250CFD"/>
    <w:rsid w:val="00250D0E"/>
    <w:rsid w:val="00250D1E"/>
    <w:rsid w:val="00250ED9"/>
    <w:rsid w:val="00250F1D"/>
    <w:rsid w:val="00250F2B"/>
    <w:rsid w:val="00251037"/>
    <w:rsid w:val="00251270"/>
    <w:rsid w:val="002514D0"/>
    <w:rsid w:val="0025150E"/>
    <w:rsid w:val="002515F5"/>
    <w:rsid w:val="0025199A"/>
    <w:rsid w:val="00251A65"/>
    <w:rsid w:val="00251C67"/>
    <w:rsid w:val="00251D86"/>
    <w:rsid w:val="00251F9F"/>
    <w:rsid w:val="002520E7"/>
    <w:rsid w:val="002521B9"/>
    <w:rsid w:val="00252245"/>
    <w:rsid w:val="0025247D"/>
    <w:rsid w:val="0025262A"/>
    <w:rsid w:val="00252731"/>
    <w:rsid w:val="0025292A"/>
    <w:rsid w:val="00252B46"/>
    <w:rsid w:val="00252BB4"/>
    <w:rsid w:val="00252C0E"/>
    <w:rsid w:val="00252C19"/>
    <w:rsid w:val="00252D50"/>
    <w:rsid w:val="00252E6E"/>
    <w:rsid w:val="00252E79"/>
    <w:rsid w:val="0025308E"/>
    <w:rsid w:val="002530F9"/>
    <w:rsid w:val="00253168"/>
    <w:rsid w:val="00253190"/>
    <w:rsid w:val="002531F1"/>
    <w:rsid w:val="00253212"/>
    <w:rsid w:val="002532A0"/>
    <w:rsid w:val="00253388"/>
    <w:rsid w:val="00253418"/>
    <w:rsid w:val="00253467"/>
    <w:rsid w:val="002534AC"/>
    <w:rsid w:val="002535B6"/>
    <w:rsid w:val="002535E4"/>
    <w:rsid w:val="00253628"/>
    <w:rsid w:val="00253652"/>
    <w:rsid w:val="00253690"/>
    <w:rsid w:val="00253767"/>
    <w:rsid w:val="002538E8"/>
    <w:rsid w:val="00253909"/>
    <w:rsid w:val="002539DF"/>
    <w:rsid w:val="00253C8B"/>
    <w:rsid w:val="00253C93"/>
    <w:rsid w:val="00253D6A"/>
    <w:rsid w:val="00253DB5"/>
    <w:rsid w:val="00253E62"/>
    <w:rsid w:val="00253E71"/>
    <w:rsid w:val="00253E9C"/>
    <w:rsid w:val="00253F53"/>
    <w:rsid w:val="0025407C"/>
    <w:rsid w:val="00254293"/>
    <w:rsid w:val="002542EC"/>
    <w:rsid w:val="002543E2"/>
    <w:rsid w:val="002543FD"/>
    <w:rsid w:val="00254400"/>
    <w:rsid w:val="002546D5"/>
    <w:rsid w:val="002547BE"/>
    <w:rsid w:val="002548D2"/>
    <w:rsid w:val="00254A03"/>
    <w:rsid w:val="00254BE1"/>
    <w:rsid w:val="00254E57"/>
    <w:rsid w:val="00254E85"/>
    <w:rsid w:val="00254EEE"/>
    <w:rsid w:val="00255192"/>
    <w:rsid w:val="0025531B"/>
    <w:rsid w:val="002555DF"/>
    <w:rsid w:val="0025563A"/>
    <w:rsid w:val="0025578E"/>
    <w:rsid w:val="002557BF"/>
    <w:rsid w:val="0025595B"/>
    <w:rsid w:val="00255B6D"/>
    <w:rsid w:val="00255D6F"/>
    <w:rsid w:val="00255F96"/>
    <w:rsid w:val="002560CA"/>
    <w:rsid w:val="002564C6"/>
    <w:rsid w:val="00256610"/>
    <w:rsid w:val="0025678D"/>
    <w:rsid w:val="00256964"/>
    <w:rsid w:val="00256A57"/>
    <w:rsid w:val="00256B46"/>
    <w:rsid w:val="00256B52"/>
    <w:rsid w:val="00256C0D"/>
    <w:rsid w:val="00256D19"/>
    <w:rsid w:val="00256D40"/>
    <w:rsid w:val="00256FFE"/>
    <w:rsid w:val="0025736D"/>
    <w:rsid w:val="00257375"/>
    <w:rsid w:val="00257454"/>
    <w:rsid w:val="0025745E"/>
    <w:rsid w:val="002574E3"/>
    <w:rsid w:val="002575CE"/>
    <w:rsid w:val="002576CD"/>
    <w:rsid w:val="00257710"/>
    <w:rsid w:val="0025783E"/>
    <w:rsid w:val="002578EE"/>
    <w:rsid w:val="00257A1E"/>
    <w:rsid w:val="00257A48"/>
    <w:rsid w:val="00257B7A"/>
    <w:rsid w:val="00257B8F"/>
    <w:rsid w:val="00257C83"/>
    <w:rsid w:val="00257EE3"/>
    <w:rsid w:val="00257F8E"/>
    <w:rsid w:val="00257FC3"/>
    <w:rsid w:val="002586F1"/>
    <w:rsid w:val="00260044"/>
    <w:rsid w:val="002600C9"/>
    <w:rsid w:val="0026021E"/>
    <w:rsid w:val="00260350"/>
    <w:rsid w:val="002604C4"/>
    <w:rsid w:val="002604F8"/>
    <w:rsid w:val="0026054D"/>
    <w:rsid w:val="0026065F"/>
    <w:rsid w:val="002608C1"/>
    <w:rsid w:val="002608DC"/>
    <w:rsid w:val="00260C62"/>
    <w:rsid w:val="00260D67"/>
    <w:rsid w:val="00260F1E"/>
    <w:rsid w:val="00260FB1"/>
    <w:rsid w:val="00261081"/>
    <w:rsid w:val="002611B6"/>
    <w:rsid w:val="002612F0"/>
    <w:rsid w:val="00261488"/>
    <w:rsid w:val="00261676"/>
    <w:rsid w:val="002617A2"/>
    <w:rsid w:val="00261937"/>
    <w:rsid w:val="00261A87"/>
    <w:rsid w:val="00261B69"/>
    <w:rsid w:val="00261BDA"/>
    <w:rsid w:val="00261C3A"/>
    <w:rsid w:val="00261C78"/>
    <w:rsid w:val="00261C95"/>
    <w:rsid w:val="00261D1C"/>
    <w:rsid w:val="00261DDB"/>
    <w:rsid w:val="00261DFF"/>
    <w:rsid w:val="00261ED2"/>
    <w:rsid w:val="00261ED5"/>
    <w:rsid w:val="00261EE1"/>
    <w:rsid w:val="00261F19"/>
    <w:rsid w:val="00261F65"/>
    <w:rsid w:val="002620BB"/>
    <w:rsid w:val="002623AA"/>
    <w:rsid w:val="0026241D"/>
    <w:rsid w:val="002624F7"/>
    <w:rsid w:val="00262565"/>
    <w:rsid w:val="00262611"/>
    <w:rsid w:val="00262633"/>
    <w:rsid w:val="002626ED"/>
    <w:rsid w:val="00262705"/>
    <w:rsid w:val="00262807"/>
    <w:rsid w:val="0026289B"/>
    <w:rsid w:val="00262950"/>
    <w:rsid w:val="00262956"/>
    <w:rsid w:val="00262B16"/>
    <w:rsid w:val="00262B25"/>
    <w:rsid w:val="00262C8D"/>
    <w:rsid w:val="00262CF1"/>
    <w:rsid w:val="00262D07"/>
    <w:rsid w:val="00262ECB"/>
    <w:rsid w:val="00262ED6"/>
    <w:rsid w:val="00262F7E"/>
    <w:rsid w:val="00262FE1"/>
    <w:rsid w:val="00263028"/>
    <w:rsid w:val="002630BD"/>
    <w:rsid w:val="00263349"/>
    <w:rsid w:val="0026346D"/>
    <w:rsid w:val="002635CE"/>
    <w:rsid w:val="002636F9"/>
    <w:rsid w:val="00263744"/>
    <w:rsid w:val="00263820"/>
    <w:rsid w:val="00263825"/>
    <w:rsid w:val="00263887"/>
    <w:rsid w:val="002638F2"/>
    <w:rsid w:val="00263A13"/>
    <w:rsid w:val="00263A7B"/>
    <w:rsid w:val="00263A94"/>
    <w:rsid w:val="00263B40"/>
    <w:rsid w:val="00263C36"/>
    <w:rsid w:val="00263E46"/>
    <w:rsid w:val="00263FE2"/>
    <w:rsid w:val="0026410C"/>
    <w:rsid w:val="002641D7"/>
    <w:rsid w:val="00264286"/>
    <w:rsid w:val="002644F3"/>
    <w:rsid w:val="0026456D"/>
    <w:rsid w:val="00264609"/>
    <w:rsid w:val="00264736"/>
    <w:rsid w:val="0026480B"/>
    <w:rsid w:val="0026488C"/>
    <w:rsid w:val="00264897"/>
    <w:rsid w:val="0026492C"/>
    <w:rsid w:val="00264B93"/>
    <w:rsid w:val="00265132"/>
    <w:rsid w:val="0026523F"/>
    <w:rsid w:val="002652B5"/>
    <w:rsid w:val="00265322"/>
    <w:rsid w:val="0026532C"/>
    <w:rsid w:val="00265578"/>
    <w:rsid w:val="002655B3"/>
    <w:rsid w:val="00265649"/>
    <w:rsid w:val="002656F1"/>
    <w:rsid w:val="0026590E"/>
    <w:rsid w:val="00265BC7"/>
    <w:rsid w:val="00265BC9"/>
    <w:rsid w:val="00265CD2"/>
    <w:rsid w:val="00265E36"/>
    <w:rsid w:val="00265FE0"/>
    <w:rsid w:val="00266010"/>
    <w:rsid w:val="0026644F"/>
    <w:rsid w:val="002664C3"/>
    <w:rsid w:val="002665C1"/>
    <w:rsid w:val="00266620"/>
    <w:rsid w:val="00266640"/>
    <w:rsid w:val="002666E6"/>
    <w:rsid w:val="00266708"/>
    <w:rsid w:val="00266799"/>
    <w:rsid w:val="00266802"/>
    <w:rsid w:val="00266893"/>
    <w:rsid w:val="00266B2B"/>
    <w:rsid w:val="00266B7E"/>
    <w:rsid w:val="00266CE4"/>
    <w:rsid w:val="00266CE5"/>
    <w:rsid w:val="00266F1E"/>
    <w:rsid w:val="00266F8E"/>
    <w:rsid w:val="0026746C"/>
    <w:rsid w:val="002674E2"/>
    <w:rsid w:val="002675F4"/>
    <w:rsid w:val="002678E9"/>
    <w:rsid w:val="002679D1"/>
    <w:rsid w:val="00267AB0"/>
    <w:rsid w:val="00267ADF"/>
    <w:rsid w:val="00267BB5"/>
    <w:rsid w:val="00267C37"/>
    <w:rsid w:val="00267F08"/>
    <w:rsid w:val="00267F8B"/>
    <w:rsid w:val="00267FE7"/>
    <w:rsid w:val="0027025D"/>
    <w:rsid w:val="002702D2"/>
    <w:rsid w:val="002702E1"/>
    <w:rsid w:val="002702FD"/>
    <w:rsid w:val="0027053A"/>
    <w:rsid w:val="0027061B"/>
    <w:rsid w:val="002706AB"/>
    <w:rsid w:val="0027085D"/>
    <w:rsid w:val="002708D7"/>
    <w:rsid w:val="00270989"/>
    <w:rsid w:val="00270B73"/>
    <w:rsid w:val="00270B97"/>
    <w:rsid w:val="00270CED"/>
    <w:rsid w:val="00270F04"/>
    <w:rsid w:val="00270F4E"/>
    <w:rsid w:val="00270F57"/>
    <w:rsid w:val="00271093"/>
    <w:rsid w:val="0027110A"/>
    <w:rsid w:val="002711DC"/>
    <w:rsid w:val="002712B3"/>
    <w:rsid w:val="002712DA"/>
    <w:rsid w:val="00271394"/>
    <w:rsid w:val="002713E1"/>
    <w:rsid w:val="0027189A"/>
    <w:rsid w:val="002718A7"/>
    <w:rsid w:val="0027194F"/>
    <w:rsid w:val="00271A2A"/>
    <w:rsid w:val="00271B64"/>
    <w:rsid w:val="00271BEA"/>
    <w:rsid w:val="00271DAB"/>
    <w:rsid w:val="00271E5E"/>
    <w:rsid w:val="00271EF5"/>
    <w:rsid w:val="00271F0C"/>
    <w:rsid w:val="00271F49"/>
    <w:rsid w:val="00271F51"/>
    <w:rsid w:val="00271F5D"/>
    <w:rsid w:val="00271FDC"/>
    <w:rsid w:val="00272260"/>
    <w:rsid w:val="0027239B"/>
    <w:rsid w:val="00272450"/>
    <w:rsid w:val="0027258C"/>
    <w:rsid w:val="00272687"/>
    <w:rsid w:val="0027286E"/>
    <w:rsid w:val="00272B65"/>
    <w:rsid w:val="00272CE6"/>
    <w:rsid w:val="00272D5E"/>
    <w:rsid w:val="00272F5E"/>
    <w:rsid w:val="00272FB1"/>
    <w:rsid w:val="00272FE0"/>
    <w:rsid w:val="0027303D"/>
    <w:rsid w:val="00273059"/>
    <w:rsid w:val="00273101"/>
    <w:rsid w:val="0027313C"/>
    <w:rsid w:val="002733C4"/>
    <w:rsid w:val="00273635"/>
    <w:rsid w:val="00273676"/>
    <w:rsid w:val="00273753"/>
    <w:rsid w:val="0027380F"/>
    <w:rsid w:val="0027385F"/>
    <w:rsid w:val="00273864"/>
    <w:rsid w:val="002738CB"/>
    <w:rsid w:val="00273951"/>
    <w:rsid w:val="00273A29"/>
    <w:rsid w:val="00273A73"/>
    <w:rsid w:val="00273B28"/>
    <w:rsid w:val="00273B2D"/>
    <w:rsid w:val="00273C3B"/>
    <w:rsid w:val="00273CAF"/>
    <w:rsid w:val="00273D03"/>
    <w:rsid w:val="00273E4C"/>
    <w:rsid w:val="00273EA3"/>
    <w:rsid w:val="00273FBF"/>
    <w:rsid w:val="00274264"/>
    <w:rsid w:val="00274273"/>
    <w:rsid w:val="002744C8"/>
    <w:rsid w:val="0027453B"/>
    <w:rsid w:val="0027456D"/>
    <w:rsid w:val="00274692"/>
    <w:rsid w:val="0027483C"/>
    <w:rsid w:val="00274974"/>
    <w:rsid w:val="00274A99"/>
    <w:rsid w:val="00274A9F"/>
    <w:rsid w:val="00274AFE"/>
    <w:rsid w:val="00274C19"/>
    <w:rsid w:val="00274FB3"/>
    <w:rsid w:val="0027503B"/>
    <w:rsid w:val="00275082"/>
    <w:rsid w:val="0027538C"/>
    <w:rsid w:val="002754F2"/>
    <w:rsid w:val="0027581E"/>
    <w:rsid w:val="00275B19"/>
    <w:rsid w:val="00275B63"/>
    <w:rsid w:val="00275B75"/>
    <w:rsid w:val="00275B8E"/>
    <w:rsid w:val="00275E2D"/>
    <w:rsid w:val="00275FDA"/>
    <w:rsid w:val="00276159"/>
    <w:rsid w:val="002761D1"/>
    <w:rsid w:val="00276292"/>
    <w:rsid w:val="002762D3"/>
    <w:rsid w:val="0027632E"/>
    <w:rsid w:val="0027652B"/>
    <w:rsid w:val="002765B7"/>
    <w:rsid w:val="002765C8"/>
    <w:rsid w:val="002765F0"/>
    <w:rsid w:val="002765FC"/>
    <w:rsid w:val="00276718"/>
    <w:rsid w:val="002768DC"/>
    <w:rsid w:val="0027691C"/>
    <w:rsid w:val="00276948"/>
    <w:rsid w:val="00276974"/>
    <w:rsid w:val="00276BB0"/>
    <w:rsid w:val="00276BC0"/>
    <w:rsid w:val="00276DC6"/>
    <w:rsid w:val="00276E04"/>
    <w:rsid w:val="002772B4"/>
    <w:rsid w:val="00277327"/>
    <w:rsid w:val="0027739A"/>
    <w:rsid w:val="0027765E"/>
    <w:rsid w:val="0027775C"/>
    <w:rsid w:val="00277B30"/>
    <w:rsid w:val="00277C2D"/>
    <w:rsid w:val="00277C80"/>
    <w:rsid w:val="0028006A"/>
    <w:rsid w:val="002800C1"/>
    <w:rsid w:val="002800C9"/>
    <w:rsid w:val="002800DB"/>
    <w:rsid w:val="0028026D"/>
    <w:rsid w:val="002803AF"/>
    <w:rsid w:val="0028046E"/>
    <w:rsid w:val="00280625"/>
    <w:rsid w:val="002806DA"/>
    <w:rsid w:val="002806F0"/>
    <w:rsid w:val="00280B2B"/>
    <w:rsid w:val="00280B9C"/>
    <w:rsid w:val="00280BBE"/>
    <w:rsid w:val="00280D27"/>
    <w:rsid w:val="00280D33"/>
    <w:rsid w:val="00280D83"/>
    <w:rsid w:val="00280DD8"/>
    <w:rsid w:val="00280E02"/>
    <w:rsid w:val="00280E93"/>
    <w:rsid w:val="00281008"/>
    <w:rsid w:val="00281054"/>
    <w:rsid w:val="0028112B"/>
    <w:rsid w:val="00281170"/>
    <w:rsid w:val="002812A1"/>
    <w:rsid w:val="002812AE"/>
    <w:rsid w:val="002813AF"/>
    <w:rsid w:val="00281438"/>
    <w:rsid w:val="00281479"/>
    <w:rsid w:val="00281510"/>
    <w:rsid w:val="00281551"/>
    <w:rsid w:val="00281569"/>
    <w:rsid w:val="00281644"/>
    <w:rsid w:val="00281689"/>
    <w:rsid w:val="0028172F"/>
    <w:rsid w:val="002817BE"/>
    <w:rsid w:val="00281B06"/>
    <w:rsid w:val="00281BC7"/>
    <w:rsid w:val="00281D49"/>
    <w:rsid w:val="00281E20"/>
    <w:rsid w:val="00281E7C"/>
    <w:rsid w:val="00281EB7"/>
    <w:rsid w:val="00281EB9"/>
    <w:rsid w:val="00281EF9"/>
    <w:rsid w:val="00282168"/>
    <w:rsid w:val="002823D2"/>
    <w:rsid w:val="002826AE"/>
    <w:rsid w:val="00282743"/>
    <w:rsid w:val="002827E8"/>
    <w:rsid w:val="002828F4"/>
    <w:rsid w:val="00282A8A"/>
    <w:rsid w:val="00282AA2"/>
    <w:rsid w:val="00282F14"/>
    <w:rsid w:val="0028311D"/>
    <w:rsid w:val="002831C5"/>
    <w:rsid w:val="002831D7"/>
    <w:rsid w:val="0028326B"/>
    <w:rsid w:val="0028327F"/>
    <w:rsid w:val="0028331B"/>
    <w:rsid w:val="0028342A"/>
    <w:rsid w:val="002834F3"/>
    <w:rsid w:val="002835C6"/>
    <w:rsid w:val="0028362E"/>
    <w:rsid w:val="00283647"/>
    <w:rsid w:val="00283683"/>
    <w:rsid w:val="00283701"/>
    <w:rsid w:val="002837AF"/>
    <w:rsid w:val="002837F6"/>
    <w:rsid w:val="00283892"/>
    <w:rsid w:val="00283AEF"/>
    <w:rsid w:val="00283B04"/>
    <w:rsid w:val="00283BE9"/>
    <w:rsid w:val="00283C98"/>
    <w:rsid w:val="00283D88"/>
    <w:rsid w:val="00283DB1"/>
    <w:rsid w:val="00283EBA"/>
    <w:rsid w:val="00283ECB"/>
    <w:rsid w:val="00284171"/>
    <w:rsid w:val="00284178"/>
    <w:rsid w:val="002841C9"/>
    <w:rsid w:val="00284256"/>
    <w:rsid w:val="0028446E"/>
    <w:rsid w:val="0028446F"/>
    <w:rsid w:val="002844AE"/>
    <w:rsid w:val="0028476A"/>
    <w:rsid w:val="002847C2"/>
    <w:rsid w:val="002847EB"/>
    <w:rsid w:val="00284877"/>
    <w:rsid w:val="00284A7E"/>
    <w:rsid w:val="00284CC9"/>
    <w:rsid w:val="00284D20"/>
    <w:rsid w:val="00284F52"/>
    <w:rsid w:val="00284F6A"/>
    <w:rsid w:val="00284F84"/>
    <w:rsid w:val="002850BA"/>
    <w:rsid w:val="002850DD"/>
    <w:rsid w:val="0028520C"/>
    <w:rsid w:val="002852E9"/>
    <w:rsid w:val="002852F1"/>
    <w:rsid w:val="002852F8"/>
    <w:rsid w:val="002854BB"/>
    <w:rsid w:val="0028553C"/>
    <w:rsid w:val="0028577A"/>
    <w:rsid w:val="00285A11"/>
    <w:rsid w:val="00285ACB"/>
    <w:rsid w:val="00285B01"/>
    <w:rsid w:val="00285B89"/>
    <w:rsid w:val="00285BE2"/>
    <w:rsid w:val="00285C0F"/>
    <w:rsid w:val="002860DE"/>
    <w:rsid w:val="00286274"/>
    <w:rsid w:val="002863CD"/>
    <w:rsid w:val="002863CF"/>
    <w:rsid w:val="002864B1"/>
    <w:rsid w:val="00286515"/>
    <w:rsid w:val="002866F6"/>
    <w:rsid w:val="00286945"/>
    <w:rsid w:val="0028695B"/>
    <w:rsid w:val="002869FC"/>
    <w:rsid w:val="00286A31"/>
    <w:rsid w:val="00286B4B"/>
    <w:rsid w:val="00286B4E"/>
    <w:rsid w:val="00286B7E"/>
    <w:rsid w:val="00286BC5"/>
    <w:rsid w:val="00286E3A"/>
    <w:rsid w:val="00286E4C"/>
    <w:rsid w:val="002870C1"/>
    <w:rsid w:val="00287131"/>
    <w:rsid w:val="002871FA"/>
    <w:rsid w:val="0028750B"/>
    <w:rsid w:val="00287542"/>
    <w:rsid w:val="00287596"/>
    <w:rsid w:val="0028782C"/>
    <w:rsid w:val="0028791F"/>
    <w:rsid w:val="00287C6B"/>
    <w:rsid w:val="00287D8B"/>
    <w:rsid w:val="00287DD7"/>
    <w:rsid w:val="00287F0A"/>
    <w:rsid w:val="00290012"/>
    <w:rsid w:val="002901CC"/>
    <w:rsid w:val="0029021D"/>
    <w:rsid w:val="002904EF"/>
    <w:rsid w:val="0029059B"/>
    <w:rsid w:val="002905F4"/>
    <w:rsid w:val="002909BC"/>
    <w:rsid w:val="00290AF7"/>
    <w:rsid w:val="00290C5E"/>
    <w:rsid w:val="00290D2F"/>
    <w:rsid w:val="00290DDF"/>
    <w:rsid w:val="00290E15"/>
    <w:rsid w:val="00290E23"/>
    <w:rsid w:val="00290E78"/>
    <w:rsid w:val="00290F05"/>
    <w:rsid w:val="00290F66"/>
    <w:rsid w:val="00290FA6"/>
    <w:rsid w:val="00291204"/>
    <w:rsid w:val="00291256"/>
    <w:rsid w:val="002912A7"/>
    <w:rsid w:val="00291322"/>
    <w:rsid w:val="0029145E"/>
    <w:rsid w:val="002914F2"/>
    <w:rsid w:val="002915BD"/>
    <w:rsid w:val="002915CF"/>
    <w:rsid w:val="002915FA"/>
    <w:rsid w:val="0029193E"/>
    <w:rsid w:val="00291B03"/>
    <w:rsid w:val="00291BBA"/>
    <w:rsid w:val="00291BD0"/>
    <w:rsid w:val="00291C15"/>
    <w:rsid w:val="00291DE7"/>
    <w:rsid w:val="00291E33"/>
    <w:rsid w:val="00291E82"/>
    <w:rsid w:val="00291F26"/>
    <w:rsid w:val="00291FF6"/>
    <w:rsid w:val="00292037"/>
    <w:rsid w:val="0029208D"/>
    <w:rsid w:val="00292232"/>
    <w:rsid w:val="002922FF"/>
    <w:rsid w:val="0029234D"/>
    <w:rsid w:val="00292431"/>
    <w:rsid w:val="00292478"/>
    <w:rsid w:val="0029281C"/>
    <w:rsid w:val="002928FE"/>
    <w:rsid w:val="002929CA"/>
    <w:rsid w:val="00292C5D"/>
    <w:rsid w:val="00292EB2"/>
    <w:rsid w:val="00292EB3"/>
    <w:rsid w:val="002932BA"/>
    <w:rsid w:val="00293566"/>
    <w:rsid w:val="00293729"/>
    <w:rsid w:val="0029376E"/>
    <w:rsid w:val="0029397E"/>
    <w:rsid w:val="00293A3F"/>
    <w:rsid w:val="00293A66"/>
    <w:rsid w:val="00293AC3"/>
    <w:rsid w:val="00293AF1"/>
    <w:rsid w:val="00293AFB"/>
    <w:rsid w:val="00293C05"/>
    <w:rsid w:val="00293D18"/>
    <w:rsid w:val="00293D31"/>
    <w:rsid w:val="00293F84"/>
    <w:rsid w:val="002940B4"/>
    <w:rsid w:val="0029410B"/>
    <w:rsid w:val="002941BF"/>
    <w:rsid w:val="002941DA"/>
    <w:rsid w:val="002942DE"/>
    <w:rsid w:val="002942F7"/>
    <w:rsid w:val="0029460E"/>
    <w:rsid w:val="0029461A"/>
    <w:rsid w:val="002946D5"/>
    <w:rsid w:val="002946DF"/>
    <w:rsid w:val="00294752"/>
    <w:rsid w:val="0029479B"/>
    <w:rsid w:val="00294842"/>
    <w:rsid w:val="002948E9"/>
    <w:rsid w:val="002949EF"/>
    <w:rsid w:val="00294A63"/>
    <w:rsid w:val="00294B43"/>
    <w:rsid w:val="00294CFF"/>
    <w:rsid w:val="00294D1E"/>
    <w:rsid w:val="00294D2D"/>
    <w:rsid w:val="00294FB1"/>
    <w:rsid w:val="00295130"/>
    <w:rsid w:val="002951B0"/>
    <w:rsid w:val="002952F7"/>
    <w:rsid w:val="00295413"/>
    <w:rsid w:val="0029562C"/>
    <w:rsid w:val="00295728"/>
    <w:rsid w:val="002957E3"/>
    <w:rsid w:val="00295A7D"/>
    <w:rsid w:val="00295BC7"/>
    <w:rsid w:val="00295CF4"/>
    <w:rsid w:val="00295D28"/>
    <w:rsid w:val="00295E4D"/>
    <w:rsid w:val="00295EB5"/>
    <w:rsid w:val="00295ECC"/>
    <w:rsid w:val="00295EDA"/>
    <w:rsid w:val="00295FA6"/>
    <w:rsid w:val="0029617B"/>
    <w:rsid w:val="0029617D"/>
    <w:rsid w:val="002961B8"/>
    <w:rsid w:val="00296394"/>
    <w:rsid w:val="002964E2"/>
    <w:rsid w:val="002966FA"/>
    <w:rsid w:val="00296724"/>
    <w:rsid w:val="0029679B"/>
    <w:rsid w:val="002967E6"/>
    <w:rsid w:val="0029692C"/>
    <w:rsid w:val="00296A9C"/>
    <w:rsid w:val="00296BA8"/>
    <w:rsid w:val="00296D57"/>
    <w:rsid w:val="00296D62"/>
    <w:rsid w:val="00296E2B"/>
    <w:rsid w:val="00296F24"/>
    <w:rsid w:val="00297087"/>
    <w:rsid w:val="00297171"/>
    <w:rsid w:val="0029721E"/>
    <w:rsid w:val="0029726A"/>
    <w:rsid w:val="002972CB"/>
    <w:rsid w:val="00297340"/>
    <w:rsid w:val="0029734A"/>
    <w:rsid w:val="002975CB"/>
    <w:rsid w:val="00297AB7"/>
    <w:rsid w:val="00297C2B"/>
    <w:rsid w:val="00297D59"/>
    <w:rsid w:val="00297E4E"/>
    <w:rsid w:val="0029B060"/>
    <w:rsid w:val="002A0032"/>
    <w:rsid w:val="002A0301"/>
    <w:rsid w:val="002A032E"/>
    <w:rsid w:val="002A03A1"/>
    <w:rsid w:val="002A0407"/>
    <w:rsid w:val="002A07CD"/>
    <w:rsid w:val="002A0826"/>
    <w:rsid w:val="002A084F"/>
    <w:rsid w:val="002A09B9"/>
    <w:rsid w:val="002A0A20"/>
    <w:rsid w:val="002A0A33"/>
    <w:rsid w:val="002A0A8E"/>
    <w:rsid w:val="002A0ACA"/>
    <w:rsid w:val="002A0B7B"/>
    <w:rsid w:val="002A0B85"/>
    <w:rsid w:val="002A0BC8"/>
    <w:rsid w:val="002A0C53"/>
    <w:rsid w:val="002A0D6F"/>
    <w:rsid w:val="002A0F6B"/>
    <w:rsid w:val="002A0F8A"/>
    <w:rsid w:val="002A1051"/>
    <w:rsid w:val="002A1065"/>
    <w:rsid w:val="002A108A"/>
    <w:rsid w:val="002A1207"/>
    <w:rsid w:val="002A13D0"/>
    <w:rsid w:val="002A148E"/>
    <w:rsid w:val="002A14F3"/>
    <w:rsid w:val="002A14F8"/>
    <w:rsid w:val="002A16E8"/>
    <w:rsid w:val="002A188F"/>
    <w:rsid w:val="002A18A1"/>
    <w:rsid w:val="002A1933"/>
    <w:rsid w:val="002A19C8"/>
    <w:rsid w:val="002A1A0F"/>
    <w:rsid w:val="002A1E28"/>
    <w:rsid w:val="002A1E4B"/>
    <w:rsid w:val="002A1FC0"/>
    <w:rsid w:val="002A20CD"/>
    <w:rsid w:val="002A212C"/>
    <w:rsid w:val="002A213C"/>
    <w:rsid w:val="002A225E"/>
    <w:rsid w:val="002A22B0"/>
    <w:rsid w:val="002A22CA"/>
    <w:rsid w:val="002A242D"/>
    <w:rsid w:val="002A248D"/>
    <w:rsid w:val="002A24B0"/>
    <w:rsid w:val="002A24BD"/>
    <w:rsid w:val="002A28C4"/>
    <w:rsid w:val="002A2930"/>
    <w:rsid w:val="002A296F"/>
    <w:rsid w:val="002A2A7F"/>
    <w:rsid w:val="002A2A90"/>
    <w:rsid w:val="002A2C87"/>
    <w:rsid w:val="002A2CA1"/>
    <w:rsid w:val="002A2F22"/>
    <w:rsid w:val="002A2F6B"/>
    <w:rsid w:val="002A3051"/>
    <w:rsid w:val="002A328E"/>
    <w:rsid w:val="002A32A0"/>
    <w:rsid w:val="002A3418"/>
    <w:rsid w:val="002A34E7"/>
    <w:rsid w:val="002A35C9"/>
    <w:rsid w:val="002A35D8"/>
    <w:rsid w:val="002A36A2"/>
    <w:rsid w:val="002A3904"/>
    <w:rsid w:val="002A3BA9"/>
    <w:rsid w:val="002A3C9E"/>
    <w:rsid w:val="002A3CFE"/>
    <w:rsid w:val="002A3E2B"/>
    <w:rsid w:val="002A3EAC"/>
    <w:rsid w:val="002A4243"/>
    <w:rsid w:val="002A4571"/>
    <w:rsid w:val="002A4591"/>
    <w:rsid w:val="002A47AC"/>
    <w:rsid w:val="002A4D28"/>
    <w:rsid w:val="002A4D57"/>
    <w:rsid w:val="002A4DC0"/>
    <w:rsid w:val="002A525F"/>
    <w:rsid w:val="002A5261"/>
    <w:rsid w:val="002A5262"/>
    <w:rsid w:val="002A5315"/>
    <w:rsid w:val="002A55FD"/>
    <w:rsid w:val="002A5604"/>
    <w:rsid w:val="002A5787"/>
    <w:rsid w:val="002A5795"/>
    <w:rsid w:val="002A57C1"/>
    <w:rsid w:val="002A5840"/>
    <w:rsid w:val="002A58E7"/>
    <w:rsid w:val="002A5945"/>
    <w:rsid w:val="002A5AA3"/>
    <w:rsid w:val="002A5B0E"/>
    <w:rsid w:val="002A6060"/>
    <w:rsid w:val="002A6091"/>
    <w:rsid w:val="002A60D1"/>
    <w:rsid w:val="002A61CF"/>
    <w:rsid w:val="002A626A"/>
    <w:rsid w:val="002A627D"/>
    <w:rsid w:val="002A631D"/>
    <w:rsid w:val="002A6393"/>
    <w:rsid w:val="002A6584"/>
    <w:rsid w:val="002A664D"/>
    <w:rsid w:val="002A6AA6"/>
    <w:rsid w:val="002A6BF7"/>
    <w:rsid w:val="002A6D1E"/>
    <w:rsid w:val="002A6D53"/>
    <w:rsid w:val="002A6DD9"/>
    <w:rsid w:val="002A6E6A"/>
    <w:rsid w:val="002A6ED3"/>
    <w:rsid w:val="002A6F39"/>
    <w:rsid w:val="002A6FBD"/>
    <w:rsid w:val="002A725B"/>
    <w:rsid w:val="002A76FA"/>
    <w:rsid w:val="002A77CC"/>
    <w:rsid w:val="002A78E7"/>
    <w:rsid w:val="002A78EE"/>
    <w:rsid w:val="002A794A"/>
    <w:rsid w:val="002A7956"/>
    <w:rsid w:val="002A7B6C"/>
    <w:rsid w:val="002A7BB1"/>
    <w:rsid w:val="002A7CB4"/>
    <w:rsid w:val="002A7D6E"/>
    <w:rsid w:val="002A7DD6"/>
    <w:rsid w:val="002A7E95"/>
    <w:rsid w:val="002A7FBD"/>
    <w:rsid w:val="002B0146"/>
    <w:rsid w:val="002B01BC"/>
    <w:rsid w:val="002B01E1"/>
    <w:rsid w:val="002B03AF"/>
    <w:rsid w:val="002B043B"/>
    <w:rsid w:val="002B0462"/>
    <w:rsid w:val="002B04AE"/>
    <w:rsid w:val="002B05E7"/>
    <w:rsid w:val="002B08DD"/>
    <w:rsid w:val="002B0B84"/>
    <w:rsid w:val="002B0C2A"/>
    <w:rsid w:val="002B0DA4"/>
    <w:rsid w:val="002B0EB8"/>
    <w:rsid w:val="002B108E"/>
    <w:rsid w:val="002B1106"/>
    <w:rsid w:val="002B1132"/>
    <w:rsid w:val="002B117B"/>
    <w:rsid w:val="002B120F"/>
    <w:rsid w:val="002B1302"/>
    <w:rsid w:val="002B14E4"/>
    <w:rsid w:val="002B1574"/>
    <w:rsid w:val="002B1591"/>
    <w:rsid w:val="002B16CD"/>
    <w:rsid w:val="002B1730"/>
    <w:rsid w:val="002B176B"/>
    <w:rsid w:val="002B17FB"/>
    <w:rsid w:val="002B18C8"/>
    <w:rsid w:val="002B1920"/>
    <w:rsid w:val="002B1A82"/>
    <w:rsid w:val="002B1B1E"/>
    <w:rsid w:val="002B1B3C"/>
    <w:rsid w:val="002B1B5E"/>
    <w:rsid w:val="002B1CBB"/>
    <w:rsid w:val="002B1CC8"/>
    <w:rsid w:val="002B20B0"/>
    <w:rsid w:val="002B20EA"/>
    <w:rsid w:val="002B2135"/>
    <w:rsid w:val="002B2229"/>
    <w:rsid w:val="002B228A"/>
    <w:rsid w:val="002B2343"/>
    <w:rsid w:val="002B23FE"/>
    <w:rsid w:val="002B24C1"/>
    <w:rsid w:val="002B2639"/>
    <w:rsid w:val="002B266A"/>
    <w:rsid w:val="002B2689"/>
    <w:rsid w:val="002B2790"/>
    <w:rsid w:val="002B2865"/>
    <w:rsid w:val="002B2902"/>
    <w:rsid w:val="002B2BF0"/>
    <w:rsid w:val="002B2C26"/>
    <w:rsid w:val="002B2C69"/>
    <w:rsid w:val="002B2E47"/>
    <w:rsid w:val="002B30A5"/>
    <w:rsid w:val="002B32A6"/>
    <w:rsid w:val="002B34F6"/>
    <w:rsid w:val="002B35C4"/>
    <w:rsid w:val="002B366F"/>
    <w:rsid w:val="002B37FF"/>
    <w:rsid w:val="002B39A7"/>
    <w:rsid w:val="002B3A44"/>
    <w:rsid w:val="002B3A6D"/>
    <w:rsid w:val="002B3BE3"/>
    <w:rsid w:val="002B3C52"/>
    <w:rsid w:val="002B3CCB"/>
    <w:rsid w:val="002B3D4D"/>
    <w:rsid w:val="002B3DD4"/>
    <w:rsid w:val="002B3E20"/>
    <w:rsid w:val="002B3FDB"/>
    <w:rsid w:val="002B429B"/>
    <w:rsid w:val="002B4302"/>
    <w:rsid w:val="002B44C4"/>
    <w:rsid w:val="002B4643"/>
    <w:rsid w:val="002B4708"/>
    <w:rsid w:val="002B48AE"/>
    <w:rsid w:val="002B48BA"/>
    <w:rsid w:val="002B49A7"/>
    <w:rsid w:val="002B49C3"/>
    <w:rsid w:val="002B4A02"/>
    <w:rsid w:val="002B4A4E"/>
    <w:rsid w:val="002B4B02"/>
    <w:rsid w:val="002B4B32"/>
    <w:rsid w:val="002B4C39"/>
    <w:rsid w:val="002B4C82"/>
    <w:rsid w:val="002B4D74"/>
    <w:rsid w:val="002B4D84"/>
    <w:rsid w:val="002B4E0D"/>
    <w:rsid w:val="002B4E90"/>
    <w:rsid w:val="002B5034"/>
    <w:rsid w:val="002B5079"/>
    <w:rsid w:val="002B5150"/>
    <w:rsid w:val="002B51CB"/>
    <w:rsid w:val="002B56A4"/>
    <w:rsid w:val="002B57B1"/>
    <w:rsid w:val="002B5945"/>
    <w:rsid w:val="002B5A1D"/>
    <w:rsid w:val="002B5A6F"/>
    <w:rsid w:val="002B5BCC"/>
    <w:rsid w:val="002B5C4B"/>
    <w:rsid w:val="002B5CBF"/>
    <w:rsid w:val="002B5E6B"/>
    <w:rsid w:val="002B5E88"/>
    <w:rsid w:val="002B6092"/>
    <w:rsid w:val="002B60E0"/>
    <w:rsid w:val="002B618C"/>
    <w:rsid w:val="002B6334"/>
    <w:rsid w:val="002B6553"/>
    <w:rsid w:val="002B65B9"/>
    <w:rsid w:val="002B666A"/>
    <w:rsid w:val="002B6814"/>
    <w:rsid w:val="002B681A"/>
    <w:rsid w:val="002B685D"/>
    <w:rsid w:val="002B6867"/>
    <w:rsid w:val="002B69CE"/>
    <w:rsid w:val="002B6A16"/>
    <w:rsid w:val="002B6BA0"/>
    <w:rsid w:val="002B6CA8"/>
    <w:rsid w:val="002B6DA5"/>
    <w:rsid w:val="002B6DD5"/>
    <w:rsid w:val="002B6E33"/>
    <w:rsid w:val="002B6E3F"/>
    <w:rsid w:val="002B6EBB"/>
    <w:rsid w:val="002B6EF8"/>
    <w:rsid w:val="002B6F3A"/>
    <w:rsid w:val="002B6FE8"/>
    <w:rsid w:val="002B7122"/>
    <w:rsid w:val="002B7133"/>
    <w:rsid w:val="002B7151"/>
    <w:rsid w:val="002B715F"/>
    <w:rsid w:val="002B716F"/>
    <w:rsid w:val="002B72B2"/>
    <w:rsid w:val="002B75E3"/>
    <w:rsid w:val="002B760F"/>
    <w:rsid w:val="002B7687"/>
    <w:rsid w:val="002B7688"/>
    <w:rsid w:val="002B7717"/>
    <w:rsid w:val="002B79AF"/>
    <w:rsid w:val="002B79B2"/>
    <w:rsid w:val="002B7A9A"/>
    <w:rsid w:val="002B7BED"/>
    <w:rsid w:val="002C005F"/>
    <w:rsid w:val="002C007D"/>
    <w:rsid w:val="002C0261"/>
    <w:rsid w:val="002C02B5"/>
    <w:rsid w:val="002C0308"/>
    <w:rsid w:val="002C04D3"/>
    <w:rsid w:val="002C052B"/>
    <w:rsid w:val="002C06DB"/>
    <w:rsid w:val="002C06EA"/>
    <w:rsid w:val="002C0744"/>
    <w:rsid w:val="002C07B4"/>
    <w:rsid w:val="002C0805"/>
    <w:rsid w:val="002C0894"/>
    <w:rsid w:val="002C0A93"/>
    <w:rsid w:val="002C0AD8"/>
    <w:rsid w:val="002C0B12"/>
    <w:rsid w:val="002C0C6E"/>
    <w:rsid w:val="002C0D4C"/>
    <w:rsid w:val="002C0DC3"/>
    <w:rsid w:val="002C0DF1"/>
    <w:rsid w:val="002C0E20"/>
    <w:rsid w:val="002C12DE"/>
    <w:rsid w:val="002C12FA"/>
    <w:rsid w:val="002C1448"/>
    <w:rsid w:val="002C1474"/>
    <w:rsid w:val="002C1493"/>
    <w:rsid w:val="002C1552"/>
    <w:rsid w:val="002C165A"/>
    <w:rsid w:val="002C1810"/>
    <w:rsid w:val="002C1A22"/>
    <w:rsid w:val="002C1A3F"/>
    <w:rsid w:val="002C1A40"/>
    <w:rsid w:val="002C1BFD"/>
    <w:rsid w:val="002C1C89"/>
    <w:rsid w:val="002C1D8A"/>
    <w:rsid w:val="002C1E51"/>
    <w:rsid w:val="002C1FC4"/>
    <w:rsid w:val="002C20C5"/>
    <w:rsid w:val="002C20E3"/>
    <w:rsid w:val="002C2126"/>
    <w:rsid w:val="002C2173"/>
    <w:rsid w:val="002C21B2"/>
    <w:rsid w:val="002C21F1"/>
    <w:rsid w:val="002C2295"/>
    <w:rsid w:val="002C22C6"/>
    <w:rsid w:val="002C2534"/>
    <w:rsid w:val="002C25F6"/>
    <w:rsid w:val="002C2639"/>
    <w:rsid w:val="002C26F5"/>
    <w:rsid w:val="002C27C2"/>
    <w:rsid w:val="002C27C9"/>
    <w:rsid w:val="002C29A9"/>
    <w:rsid w:val="002C2D94"/>
    <w:rsid w:val="002C2F35"/>
    <w:rsid w:val="002C3077"/>
    <w:rsid w:val="002C30CC"/>
    <w:rsid w:val="002C32CC"/>
    <w:rsid w:val="002C33C4"/>
    <w:rsid w:val="002C3406"/>
    <w:rsid w:val="002C351F"/>
    <w:rsid w:val="002C3613"/>
    <w:rsid w:val="002C367A"/>
    <w:rsid w:val="002C3731"/>
    <w:rsid w:val="002C375C"/>
    <w:rsid w:val="002C3792"/>
    <w:rsid w:val="002C37E5"/>
    <w:rsid w:val="002C38FC"/>
    <w:rsid w:val="002C391F"/>
    <w:rsid w:val="002C3B3A"/>
    <w:rsid w:val="002C3B6B"/>
    <w:rsid w:val="002C3B88"/>
    <w:rsid w:val="002C3D0E"/>
    <w:rsid w:val="002C4531"/>
    <w:rsid w:val="002C4613"/>
    <w:rsid w:val="002C4624"/>
    <w:rsid w:val="002C488C"/>
    <w:rsid w:val="002C4AF2"/>
    <w:rsid w:val="002C4B5B"/>
    <w:rsid w:val="002C4BBC"/>
    <w:rsid w:val="002C4BC9"/>
    <w:rsid w:val="002C4BCC"/>
    <w:rsid w:val="002C4CB1"/>
    <w:rsid w:val="002C4E07"/>
    <w:rsid w:val="002C4E1E"/>
    <w:rsid w:val="002C4FC7"/>
    <w:rsid w:val="002C4FCF"/>
    <w:rsid w:val="002C50BD"/>
    <w:rsid w:val="002C5108"/>
    <w:rsid w:val="002C51E6"/>
    <w:rsid w:val="002C54E4"/>
    <w:rsid w:val="002C5550"/>
    <w:rsid w:val="002C55EB"/>
    <w:rsid w:val="002C577F"/>
    <w:rsid w:val="002C58AC"/>
    <w:rsid w:val="002C58EE"/>
    <w:rsid w:val="002C593E"/>
    <w:rsid w:val="002C5A94"/>
    <w:rsid w:val="002C5B31"/>
    <w:rsid w:val="002C5B97"/>
    <w:rsid w:val="002C5CC3"/>
    <w:rsid w:val="002C5D99"/>
    <w:rsid w:val="002C5DEA"/>
    <w:rsid w:val="002C5FB8"/>
    <w:rsid w:val="002C60E9"/>
    <w:rsid w:val="002C6146"/>
    <w:rsid w:val="002C623D"/>
    <w:rsid w:val="002C6248"/>
    <w:rsid w:val="002C6449"/>
    <w:rsid w:val="002C64B5"/>
    <w:rsid w:val="002C669C"/>
    <w:rsid w:val="002C66E2"/>
    <w:rsid w:val="002C68CD"/>
    <w:rsid w:val="002C6B3B"/>
    <w:rsid w:val="002C6E19"/>
    <w:rsid w:val="002C6FA3"/>
    <w:rsid w:val="002C6FB7"/>
    <w:rsid w:val="002C72B5"/>
    <w:rsid w:val="002C7379"/>
    <w:rsid w:val="002C7762"/>
    <w:rsid w:val="002C77FB"/>
    <w:rsid w:val="002C781B"/>
    <w:rsid w:val="002C7948"/>
    <w:rsid w:val="002C7B00"/>
    <w:rsid w:val="002C7BA6"/>
    <w:rsid w:val="002C7CB3"/>
    <w:rsid w:val="002C7D03"/>
    <w:rsid w:val="002C7DD5"/>
    <w:rsid w:val="002C7F63"/>
    <w:rsid w:val="002C7FF9"/>
    <w:rsid w:val="002D00C0"/>
    <w:rsid w:val="002D0232"/>
    <w:rsid w:val="002D0326"/>
    <w:rsid w:val="002D06EA"/>
    <w:rsid w:val="002D079C"/>
    <w:rsid w:val="002D0898"/>
    <w:rsid w:val="002D08C6"/>
    <w:rsid w:val="002D0958"/>
    <w:rsid w:val="002D0ADA"/>
    <w:rsid w:val="002D0B08"/>
    <w:rsid w:val="002D0CE4"/>
    <w:rsid w:val="002D0D59"/>
    <w:rsid w:val="002D0E14"/>
    <w:rsid w:val="002D0E23"/>
    <w:rsid w:val="002D0EE2"/>
    <w:rsid w:val="002D11C1"/>
    <w:rsid w:val="002D1365"/>
    <w:rsid w:val="002D13B2"/>
    <w:rsid w:val="002D151C"/>
    <w:rsid w:val="002D17C7"/>
    <w:rsid w:val="002D1B33"/>
    <w:rsid w:val="002D1DE8"/>
    <w:rsid w:val="002D1E3B"/>
    <w:rsid w:val="002D1EBC"/>
    <w:rsid w:val="002D22DE"/>
    <w:rsid w:val="002D2338"/>
    <w:rsid w:val="002D2610"/>
    <w:rsid w:val="002D2685"/>
    <w:rsid w:val="002D2708"/>
    <w:rsid w:val="002D2758"/>
    <w:rsid w:val="002D2767"/>
    <w:rsid w:val="002D2772"/>
    <w:rsid w:val="002D2787"/>
    <w:rsid w:val="002D27D2"/>
    <w:rsid w:val="002D281F"/>
    <w:rsid w:val="002D293B"/>
    <w:rsid w:val="002D2B73"/>
    <w:rsid w:val="002D2E3C"/>
    <w:rsid w:val="002D2E99"/>
    <w:rsid w:val="002D2F18"/>
    <w:rsid w:val="002D2F55"/>
    <w:rsid w:val="002D3064"/>
    <w:rsid w:val="002D3118"/>
    <w:rsid w:val="002D3227"/>
    <w:rsid w:val="002D344D"/>
    <w:rsid w:val="002D34CC"/>
    <w:rsid w:val="002D34FC"/>
    <w:rsid w:val="002D35AD"/>
    <w:rsid w:val="002D370F"/>
    <w:rsid w:val="002D3737"/>
    <w:rsid w:val="002D378C"/>
    <w:rsid w:val="002D3894"/>
    <w:rsid w:val="002D3923"/>
    <w:rsid w:val="002D3989"/>
    <w:rsid w:val="002D3A00"/>
    <w:rsid w:val="002D3A1A"/>
    <w:rsid w:val="002D3A8C"/>
    <w:rsid w:val="002D3B27"/>
    <w:rsid w:val="002D3BA6"/>
    <w:rsid w:val="002D3BE2"/>
    <w:rsid w:val="002D3C75"/>
    <w:rsid w:val="002D3D3E"/>
    <w:rsid w:val="002D3DA4"/>
    <w:rsid w:val="002D4077"/>
    <w:rsid w:val="002D4231"/>
    <w:rsid w:val="002D4481"/>
    <w:rsid w:val="002D44AB"/>
    <w:rsid w:val="002D468F"/>
    <w:rsid w:val="002D46F4"/>
    <w:rsid w:val="002D4845"/>
    <w:rsid w:val="002D4B20"/>
    <w:rsid w:val="002D4B3B"/>
    <w:rsid w:val="002D4B7E"/>
    <w:rsid w:val="002D4BF8"/>
    <w:rsid w:val="002D4BFC"/>
    <w:rsid w:val="002D4D27"/>
    <w:rsid w:val="002D4D3A"/>
    <w:rsid w:val="002D4E52"/>
    <w:rsid w:val="002D4E5B"/>
    <w:rsid w:val="002D4E60"/>
    <w:rsid w:val="002D4E64"/>
    <w:rsid w:val="002D5035"/>
    <w:rsid w:val="002D5213"/>
    <w:rsid w:val="002D52A2"/>
    <w:rsid w:val="002D53C5"/>
    <w:rsid w:val="002D548A"/>
    <w:rsid w:val="002D554B"/>
    <w:rsid w:val="002D56FA"/>
    <w:rsid w:val="002D5885"/>
    <w:rsid w:val="002D59B7"/>
    <w:rsid w:val="002D5A2C"/>
    <w:rsid w:val="002D5B8E"/>
    <w:rsid w:val="002D5BB3"/>
    <w:rsid w:val="002D5BB9"/>
    <w:rsid w:val="002D5CC8"/>
    <w:rsid w:val="002D5E94"/>
    <w:rsid w:val="002D60E3"/>
    <w:rsid w:val="002D61CA"/>
    <w:rsid w:val="002D62B7"/>
    <w:rsid w:val="002D65A6"/>
    <w:rsid w:val="002D65FF"/>
    <w:rsid w:val="002D6652"/>
    <w:rsid w:val="002D6728"/>
    <w:rsid w:val="002D6B2E"/>
    <w:rsid w:val="002D6B2F"/>
    <w:rsid w:val="002D6C2E"/>
    <w:rsid w:val="002D6C68"/>
    <w:rsid w:val="002D6D53"/>
    <w:rsid w:val="002D6E1A"/>
    <w:rsid w:val="002D6FBB"/>
    <w:rsid w:val="002D723A"/>
    <w:rsid w:val="002D725F"/>
    <w:rsid w:val="002D7261"/>
    <w:rsid w:val="002D72AB"/>
    <w:rsid w:val="002D72CE"/>
    <w:rsid w:val="002D7424"/>
    <w:rsid w:val="002D7436"/>
    <w:rsid w:val="002D7511"/>
    <w:rsid w:val="002D76E4"/>
    <w:rsid w:val="002D787C"/>
    <w:rsid w:val="002D787D"/>
    <w:rsid w:val="002D7967"/>
    <w:rsid w:val="002D79C7"/>
    <w:rsid w:val="002D7B2A"/>
    <w:rsid w:val="002D7DCC"/>
    <w:rsid w:val="002D7E03"/>
    <w:rsid w:val="002D7E7B"/>
    <w:rsid w:val="002D7ECE"/>
    <w:rsid w:val="002D7F30"/>
    <w:rsid w:val="002E009B"/>
    <w:rsid w:val="002E040B"/>
    <w:rsid w:val="002E04D0"/>
    <w:rsid w:val="002E05D9"/>
    <w:rsid w:val="002E0628"/>
    <w:rsid w:val="002E06D0"/>
    <w:rsid w:val="002E082B"/>
    <w:rsid w:val="002E086E"/>
    <w:rsid w:val="002E086F"/>
    <w:rsid w:val="002E08A8"/>
    <w:rsid w:val="002E0911"/>
    <w:rsid w:val="002E0C8D"/>
    <w:rsid w:val="002E0CC4"/>
    <w:rsid w:val="002E0CEE"/>
    <w:rsid w:val="002E0D20"/>
    <w:rsid w:val="002E0E04"/>
    <w:rsid w:val="002E0E4C"/>
    <w:rsid w:val="002E0EB2"/>
    <w:rsid w:val="002E0F39"/>
    <w:rsid w:val="002E0FDC"/>
    <w:rsid w:val="002E101E"/>
    <w:rsid w:val="002E118E"/>
    <w:rsid w:val="002E12B8"/>
    <w:rsid w:val="002E132B"/>
    <w:rsid w:val="002E13A0"/>
    <w:rsid w:val="002E1866"/>
    <w:rsid w:val="002E1875"/>
    <w:rsid w:val="002E18A1"/>
    <w:rsid w:val="002E18B1"/>
    <w:rsid w:val="002E19D7"/>
    <w:rsid w:val="002E1B15"/>
    <w:rsid w:val="002E1B52"/>
    <w:rsid w:val="002E1CD6"/>
    <w:rsid w:val="002E20B2"/>
    <w:rsid w:val="002E221B"/>
    <w:rsid w:val="002E2223"/>
    <w:rsid w:val="002E2233"/>
    <w:rsid w:val="002E22B3"/>
    <w:rsid w:val="002E23DE"/>
    <w:rsid w:val="002E24A9"/>
    <w:rsid w:val="002E24B2"/>
    <w:rsid w:val="002E252A"/>
    <w:rsid w:val="002E2552"/>
    <w:rsid w:val="002E25BF"/>
    <w:rsid w:val="002E25E5"/>
    <w:rsid w:val="002E2607"/>
    <w:rsid w:val="002E26EC"/>
    <w:rsid w:val="002E28FF"/>
    <w:rsid w:val="002E2961"/>
    <w:rsid w:val="002E2A6F"/>
    <w:rsid w:val="002E2A7D"/>
    <w:rsid w:val="002E2B59"/>
    <w:rsid w:val="002E2CBE"/>
    <w:rsid w:val="002E2E1D"/>
    <w:rsid w:val="002E30E5"/>
    <w:rsid w:val="002E3132"/>
    <w:rsid w:val="002E3168"/>
    <w:rsid w:val="002E31C1"/>
    <w:rsid w:val="002E331B"/>
    <w:rsid w:val="002E341D"/>
    <w:rsid w:val="002E343E"/>
    <w:rsid w:val="002E34D5"/>
    <w:rsid w:val="002E3737"/>
    <w:rsid w:val="002E3743"/>
    <w:rsid w:val="002E375C"/>
    <w:rsid w:val="002E3A6D"/>
    <w:rsid w:val="002E3AA3"/>
    <w:rsid w:val="002E3ABA"/>
    <w:rsid w:val="002E3B79"/>
    <w:rsid w:val="002E3C6A"/>
    <w:rsid w:val="002E3E54"/>
    <w:rsid w:val="002E3F7A"/>
    <w:rsid w:val="002E4338"/>
    <w:rsid w:val="002E43F3"/>
    <w:rsid w:val="002E44DD"/>
    <w:rsid w:val="002E4810"/>
    <w:rsid w:val="002E4836"/>
    <w:rsid w:val="002E488C"/>
    <w:rsid w:val="002E4BAC"/>
    <w:rsid w:val="002E4BBD"/>
    <w:rsid w:val="002E4DDF"/>
    <w:rsid w:val="002E4E26"/>
    <w:rsid w:val="002E4E9B"/>
    <w:rsid w:val="002E4FD3"/>
    <w:rsid w:val="002E506F"/>
    <w:rsid w:val="002E5086"/>
    <w:rsid w:val="002E50EC"/>
    <w:rsid w:val="002E5104"/>
    <w:rsid w:val="002E5131"/>
    <w:rsid w:val="002E515D"/>
    <w:rsid w:val="002E52F6"/>
    <w:rsid w:val="002E5315"/>
    <w:rsid w:val="002E56E7"/>
    <w:rsid w:val="002E5763"/>
    <w:rsid w:val="002E57A3"/>
    <w:rsid w:val="002E57FE"/>
    <w:rsid w:val="002E5808"/>
    <w:rsid w:val="002E5AB6"/>
    <w:rsid w:val="002E5BF9"/>
    <w:rsid w:val="002E5D35"/>
    <w:rsid w:val="002E5E0B"/>
    <w:rsid w:val="002E5F7B"/>
    <w:rsid w:val="002E5FE8"/>
    <w:rsid w:val="002E6080"/>
    <w:rsid w:val="002E60A4"/>
    <w:rsid w:val="002E6165"/>
    <w:rsid w:val="002E62B9"/>
    <w:rsid w:val="002E62C0"/>
    <w:rsid w:val="002E6415"/>
    <w:rsid w:val="002E6463"/>
    <w:rsid w:val="002E646F"/>
    <w:rsid w:val="002E64B0"/>
    <w:rsid w:val="002E6540"/>
    <w:rsid w:val="002E688F"/>
    <w:rsid w:val="002E69A7"/>
    <w:rsid w:val="002E6B89"/>
    <w:rsid w:val="002E6BCC"/>
    <w:rsid w:val="002E6C57"/>
    <w:rsid w:val="002E6C6A"/>
    <w:rsid w:val="002E7046"/>
    <w:rsid w:val="002E70CD"/>
    <w:rsid w:val="002E7101"/>
    <w:rsid w:val="002E7196"/>
    <w:rsid w:val="002E71BF"/>
    <w:rsid w:val="002E72A0"/>
    <w:rsid w:val="002E7380"/>
    <w:rsid w:val="002E73D4"/>
    <w:rsid w:val="002E77A1"/>
    <w:rsid w:val="002E787A"/>
    <w:rsid w:val="002E78FA"/>
    <w:rsid w:val="002E79B9"/>
    <w:rsid w:val="002E7A2F"/>
    <w:rsid w:val="002E7AC1"/>
    <w:rsid w:val="002E7B5C"/>
    <w:rsid w:val="002E7C42"/>
    <w:rsid w:val="002E7D6C"/>
    <w:rsid w:val="002F0013"/>
    <w:rsid w:val="002F01E5"/>
    <w:rsid w:val="002F0294"/>
    <w:rsid w:val="002F0523"/>
    <w:rsid w:val="002F057A"/>
    <w:rsid w:val="002F05AF"/>
    <w:rsid w:val="002F0650"/>
    <w:rsid w:val="002F0704"/>
    <w:rsid w:val="002F077C"/>
    <w:rsid w:val="002F0899"/>
    <w:rsid w:val="002F08F7"/>
    <w:rsid w:val="002F0968"/>
    <w:rsid w:val="002F09FB"/>
    <w:rsid w:val="002F0A52"/>
    <w:rsid w:val="002F0A62"/>
    <w:rsid w:val="002F0A65"/>
    <w:rsid w:val="002F0AFE"/>
    <w:rsid w:val="002F0D6A"/>
    <w:rsid w:val="002F0D8D"/>
    <w:rsid w:val="002F0DC1"/>
    <w:rsid w:val="002F0F61"/>
    <w:rsid w:val="002F11BE"/>
    <w:rsid w:val="002F126B"/>
    <w:rsid w:val="002F12EA"/>
    <w:rsid w:val="002F1582"/>
    <w:rsid w:val="002F15D9"/>
    <w:rsid w:val="002F1663"/>
    <w:rsid w:val="002F166D"/>
    <w:rsid w:val="002F19A3"/>
    <w:rsid w:val="002F19CE"/>
    <w:rsid w:val="002F19F0"/>
    <w:rsid w:val="002F1B5E"/>
    <w:rsid w:val="002F1B8E"/>
    <w:rsid w:val="002F1BA1"/>
    <w:rsid w:val="002F1BE5"/>
    <w:rsid w:val="002F1D09"/>
    <w:rsid w:val="002F1D20"/>
    <w:rsid w:val="002F1D8F"/>
    <w:rsid w:val="002F1E80"/>
    <w:rsid w:val="002F1E97"/>
    <w:rsid w:val="002F1EED"/>
    <w:rsid w:val="002F1F1B"/>
    <w:rsid w:val="002F1FD2"/>
    <w:rsid w:val="002F20DA"/>
    <w:rsid w:val="002F21B6"/>
    <w:rsid w:val="002F22A0"/>
    <w:rsid w:val="002F22A1"/>
    <w:rsid w:val="002F2599"/>
    <w:rsid w:val="002F2616"/>
    <w:rsid w:val="002F2759"/>
    <w:rsid w:val="002F275D"/>
    <w:rsid w:val="002F294A"/>
    <w:rsid w:val="002F298D"/>
    <w:rsid w:val="002F29F7"/>
    <w:rsid w:val="002F3124"/>
    <w:rsid w:val="002F31E8"/>
    <w:rsid w:val="002F34C6"/>
    <w:rsid w:val="002F399D"/>
    <w:rsid w:val="002F39B6"/>
    <w:rsid w:val="002F3C54"/>
    <w:rsid w:val="002F3D6E"/>
    <w:rsid w:val="002F3D74"/>
    <w:rsid w:val="002F3E28"/>
    <w:rsid w:val="002F3EE3"/>
    <w:rsid w:val="002F3F52"/>
    <w:rsid w:val="002F3F84"/>
    <w:rsid w:val="002F404B"/>
    <w:rsid w:val="002F4332"/>
    <w:rsid w:val="002F43DE"/>
    <w:rsid w:val="002F4452"/>
    <w:rsid w:val="002F44A0"/>
    <w:rsid w:val="002F4633"/>
    <w:rsid w:val="002F4A01"/>
    <w:rsid w:val="002F4C9C"/>
    <w:rsid w:val="002F4EAE"/>
    <w:rsid w:val="002F5013"/>
    <w:rsid w:val="002F51AE"/>
    <w:rsid w:val="002F52EE"/>
    <w:rsid w:val="002F54D9"/>
    <w:rsid w:val="002F5566"/>
    <w:rsid w:val="002F55B6"/>
    <w:rsid w:val="002F55D1"/>
    <w:rsid w:val="002F569F"/>
    <w:rsid w:val="002F580B"/>
    <w:rsid w:val="002F5862"/>
    <w:rsid w:val="002F58B7"/>
    <w:rsid w:val="002F58B9"/>
    <w:rsid w:val="002F5A0C"/>
    <w:rsid w:val="002F5AD9"/>
    <w:rsid w:val="002F5BBB"/>
    <w:rsid w:val="002F5D79"/>
    <w:rsid w:val="002F5D8C"/>
    <w:rsid w:val="002F644B"/>
    <w:rsid w:val="002F678F"/>
    <w:rsid w:val="002F67A7"/>
    <w:rsid w:val="002F67AC"/>
    <w:rsid w:val="002F689D"/>
    <w:rsid w:val="002F68FB"/>
    <w:rsid w:val="002F6A68"/>
    <w:rsid w:val="002F6B4D"/>
    <w:rsid w:val="002F6B70"/>
    <w:rsid w:val="002F6E19"/>
    <w:rsid w:val="002F6E9C"/>
    <w:rsid w:val="002F6EFE"/>
    <w:rsid w:val="002F6F92"/>
    <w:rsid w:val="002F70EF"/>
    <w:rsid w:val="002F7194"/>
    <w:rsid w:val="002F71AC"/>
    <w:rsid w:val="002F7208"/>
    <w:rsid w:val="002F7235"/>
    <w:rsid w:val="002F7445"/>
    <w:rsid w:val="002F75E9"/>
    <w:rsid w:val="002F7672"/>
    <w:rsid w:val="002F78D3"/>
    <w:rsid w:val="002F7975"/>
    <w:rsid w:val="002F7BB4"/>
    <w:rsid w:val="002F7C0A"/>
    <w:rsid w:val="002F7DEA"/>
    <w:rsid w:val="00300010"/>
    <w:rsid w:val="00300199"/>
    <w:rsid w:val="00300267"/>
    <w:rsid w:val="00300423"/>
    <w:rsid w:val="003004D1"/>
    <w:rsid w:val="00300507"/>
    <w:rsid w:val="00300510"/>
    <w:rsid w:val="0030064D"/>
    <w:rsid w:val="0030071D"/>
    <w:rsid w:val="00300820"/>
    <w:rsid w:val="00300929"/>
    <w:rsid w:val="00300A52"/>
    <w:rsid w:val="00300B33"/>
    <w:rsid w:val="00300C23"/>
    <w:rsid w:val="00300C53"/>
    <w:rsid w:val="00300C57"/>
    <w:rsid w:val="00300CF9"/>
    <w:rsid w:val="00300E52"/>
    <w:rsid w:val="00300E62"/>
    <w:rsid w:val="00300F39"/>
    <w:rsid w:val="00301145"/>
    <w:rsid w:val="0030116D"/>
    <w:rsid w:val="003012EF"/>
    <w:rsid w:val="003012F3"/>
    <w:rsid w:val="00301311"/>
    <w:rsid w:val="003014A0"/>
    <w:rsid w:val="0030150B"/>
    <w:rsid w:val="00301878"/>
    <w:rsid w:val="003019E5"/>
    <w:rsid w:val="00301A01"/>
    <w:rsid w:val="00301A2A"/>
    <w:rsid w:val="00301A6D"/>
    <w:rsid w:val="00301ABD"/>
    <w:rsid w:val="00301B24"/>
    <w:rsid w:val="00302088"/>
    <w:rsid w:val="003020ED"/>
    <w:rsid w:val="00302162"/>
    <w:rsid w:val="0030218D"/>
    <w:rsid w:val="00302273"/>
    <w:rsid w:val="00302291"/>
    <w:rsid w:val="00302492"/>
    <w:rsid w:val="003025AF"/>
    <w:rsid w:val="003025D7"/>
    <w:rsid w:val="0030287A"/>
    <w:rsid w:val="00302A8A"/>
    <w:rsid w:val="00302ABF"/>
    <w:rsid w:val="00302B93"/>
    <w:rsid w:val="00302BD4"/>
    <w:rsid w:val="00302DB0"/>
    <w:rsid w:val="00302EA4"/>
    <w:rsid w:val="00302F47"/>
    <w:rsid w:val="00303069"/>
    <w:rsid w:val="003031F6"/>
    <w:rsid w:val="0030335D"/>
    <w:rsid w:val="003034C1"/>
    <w:rsid w:val="003035A4"/>
    <w:rsid w:val="003035F9"/>
    <w:rsid w:val="0030361D"/>
    <w:rsid w:val="0030386C"/>
    <w:rsid w:val="003038B9"/>
    <w:rsid w:val="00303919"/>
    <w:rsid w:val="00303980"/>
    <w:rsid w:val="003039C1"/>
    <w:rsid w:val="00303BC5"/>
    <w:rsid w:val="00303CA7"/>
    <w:rsid w:val="00303F49"/>
    <w:rsid w:val="003040AB"/>
    <w:rsid w:val="003042AD"/>
    <w:rsid w:val="0030437A"/>
    <w:rsid w:val="003045F9"/>
    <w:rsid w:val="003046AF"/>
    <w:rsid w:val="003046C1"/>
    <w:rsid w:val="00304A54"/>
    <w:rsid w:val="00304A8C"/>
    <w:rsid w:val="00304AE7"/>
    <w:rsid w:val="00304B40"/>
    <w:rsid w:val="00304D3F"/>
    <w:rsid w:val="00304E3D"/>
    <w:rsid w:val="00304EB3"/>
    <w:rsid w:val="00304F16"/>
    <w:rsid w:val="00304FE6"/>
    <w:rsid w:val="0030505E"/>
    <w:rsid w:val="003051F0"/>
    <w:rsid w:val="0030526D"/>
    <w:rsid w:val="00305320"/>
    <w:rsid w:val="00305424"/>
    <w:rsid w:val="003054ED"/>
    <w:rsid w:val="00305544"/>
    <w:rsid w:val="003055E9"/>
    <w:rsid w:val="0030588F"/>
    <w:rsid w:val="0030591D"/>
    <w:rsid w:val="003059DE"/>
    <w:rsid w:val="003059E2"/>
    <w:rsid w:val="00305A2E"/>
    <w:rsid w:val="00305A7B"/>
    <w:rsid w:val="00305BAF"/>
    <w:rsid w:val="00305D53"/>
    <w:rsid w:val="00305E1E"/>
    <w:rsid w:val="003060AF"/>
    <w:rsid w:val="0030619F"/>
    <w:rsid w:val="00306383"/>
    <w:rsid w:val="00306393"/>
    <w:rsid w:val="00306511"/>
    <w:rsid w:val="00306562"/>
    <w:rsid w:val="003065CA"/>
    <w:rsid w:val="003066F0"/>
    <w:rsid w:val="00306759"/>
    <w:rsid w:val="0030677E"/>
    <w:rsid w:val="00306819"/>
    <w:rsid w:val="0030683C"/>
    <w:rsid w:val="00306942"/>
    <w:rsid w:val="00306A46"/>
    <w:rsid w:val="00306A7D"/>
    <w:rsid w:val="00306B1F"/>
    <w:rsid w:val="00306DE5"/>
    <w:rsid w:val="00306E31"/>
    <w:rsid w:val="00306E61"/>
    <w:rsid w:val="00306EAD"/>
    <w:rsid w:val="0030701E"/>
    <w:rsid w:val="00307056"/>
    <w:rsid w:val="00307507"/>
    <w:rsid w:val="003077C6"/>
    <w:rsid w:val="003078F9"/>
    <w:rsid w:val="00307927"/>
    <w:rsid w:val="0030795E"/>
    <w:rsid w:val="00307C31"/>
    <w:rsid w:val="00307E77"/>
    <w:rsid w:val="00310010"/>
    <w:rsid w:val="00310089"/>
    <w:rsid w:val="00310266"/>
    <w:rsid w:val="003102B5"/>
    <w:rsid w:val="003102F0"/>
    <w:rsid w:val="00310478"/>
    <w:rsid w:val="003104B6"/>
    <w:rsid w:val="00310590"/>
    <w:rsid w:val="0031092A"/>
    <w:rsid w:val="00310A12"/>
    <w:rsid w:val="00310A13"/>
    <w:rsid w:val="00310A36"/>
    <w:rsid w:val="00310C1D"/>
    <w:rsid w:val="00310D60"/>
    <w:rsid w:val="00310DA7"/>
    <w:rsid w:val="00311006"/>
    <w:rsid w:val="003111E7"/>
    <w:rsid w:val="003113E0"/>
    <w:rsid w:val="00311446"/>
    <w:rsid w:val="0031146E"/>
    <w:rsid w:val="00311578"/>
    <w:rsid w:val="003119FE"/>
    <w:rsid w:val="00311C12"/>
    <w:rsid w:val="00311D66"/>
    <w:rsid w:val="00311DEF"/>
    <w:rsid w:val="00312181"/>
    <w:rsid w:val="003121B4"/>
    <w:rsid w:val="003122B0"/>
    <w:rsid w:val="003124F8"/>
    <w:rsid w:val="0031253F"/>
    <w:rsid w:val="0031265B"/>
    <w:rsid w:val="00312689"/>
    <w:rsid w:val="003127CF"/>
    <w:rsid w:val="003127FD"/>
    <w:rsid w:val="0031284C"/>
    <w:rsid w:val="0031288A"/>
    <w:rsid w:val="003128D1"/>
    <w:rsid w:val="00312CB5"/>
    <w:rsid w:val="00312D75"/>
    <w:rsid w:val="00312E46"/>
    <w:rsid w:val="00312E72"/>
    <w:rsid w:val="00312ED0"/>
    <w:rsid w:val="00312EE6"/>
    <w:rsid w:val="00313076"/>
    <w:rsid w:val="003130D5"/>
    <w:rsid w:val="00313104"/>
    <w:rsid w:val="003131B5"/>
    <w:rsid w:val="00313233"/>
    <w:rsid w:val="0031337F"/>
    <w:rsid w:val="003133B4"/>
    <w:rsid w:val="0031348A"/>
    <w:rsid w:val="00313675"/>
    <w:rsid w:val="003137D5"/>
    <w:rsid w:val="00313917"/>
    <w:rsid w:val="00313949"/>
    <w:rsid w:val="003139FB"/>
    <w:rsid w:val="00313A64"/>
    <w:rsid w:val="00313AAD"/>
    <w:rsid w:val="00313B54"/>
    <w:rsid w:val="00313BA2"/>
    <w:rsid w:val="00313CFC"/>
    <w:rsid w:val="00313D86"/>
    <w:rsid w:val="00313DB9"/>
    <w:rsid w:val="00313E0D"/>
    <w:rsid w:val="00313E78"/>
    <w:rsid w:val="00313F7E"/>
    <w:rsid w:val="00313F83"/>
    <w:rsid w:val="00314377"/>
    <w:rsid w:val="00314E57"/>
    <w:rsid w:val="00314FE2"/>
    <w:rsid w:val="003151C5"/>
    <w:rsid w:val="00315381"/>
    <w:rsid w:val="00315434"/>
    <w:rsid w:val="003156C6"/>
    <w:rsid w:val="003156EE"/>
    <w:rsid w:val="003156F8"/>
    <w:rsid w:val="00315736"/>
    <w:rsid w:val="0031579E"/>
    <w:rsid w:val="0031581C"/>
    <w:rsid w:val="003158A6"/>
    <w:rsid w:val="00315C88"/>
    <w:rsid w:val="00315FE6"/>
    <w:rsid w:val="00316011"/>
    <w:rsid w:val="00316031"/>
    <w:rsid w:val="00316079"/>
    <w:rsid w:val="003161F8"/>
    <w:rsid w:val="00316212"/>
    <w:rsid w:val="00316232"/>
    <w:rsid w:val="003162A5"/>
    <w:rsid w:val="00316324"/>
    <w:rsid w:val="0031633B"/>
    <w:rsid w:val="003163AD"/>
    <w:rsid w:val="003163CE"/>
    <w:rsid w:val="0031669D"/>
    <w:rsid w:val="00316728"/>
    <w:rsid w:val="00316902"/>
    <w:rsid w:val="00316AF4"/>
    <w:rsid w:val="00316C4B"/>
    <w:rsid w:val="00316C5F"/>
    <w:rsid w:val="00316CA3"/>
    <w:rsid w:val="00316E5C"/>
    <w:rsid w:val="00316ECD"/>
    <w:rsid w:val="003170A3"/>
    <w:rsid w:val="00317108"/>
    <w:rsid w:val="0031714E"/>
    <w:rsid w:val="00317170"/>
    <w:rsid w:val="00317283"/>
    <w:rsid w:val="003172DC"/>
    <w:rsid w:val="00317384"/>
    <w:rsid w:val="00317483"/>
    <w:rsid w:val="00317570"/>
    <w:rsid w:val="00317584"/>
    <w:rsid w:val="003175FF"/>
    <w:rsid w:val="00317809"/>
    <w:rsid w:val="00317986"/>
    <w:rsid w:val="00317AAD"/>
    <w:rsid w:val="00317B4D"/>
    <w:rsid w:val="00317B84"/>
    <w:rsid w:val="00317CF0"/>
    <w:rsid w:val="00317E86"/>
    <w:rsid w:val="00317FB0"/>
    <w:rsid w:val="0032004B"/>
    <w:rsid w:val="0032005E"/>
    <w:rsid w:val="0032013A"/>
    <w:rsid w:val="00320154"/>
    <w:rsid w:val="003201DF"/>
    <w:rsid w:val="003201E2"/>
    <w:rsid w:val="003201F1"/>
    <w:rsid w:val="00320267"/>
    <w:rsid w:val="0032027F"/>
    <w:rsid w:val="00320384"/>
    <w:rsid w:val="00320616"/>
    <w:rsid w:val="00320764"/>
    <w:rsid w:val="0032094E"/>
    <w:rsid w:val="00320A23"/>
    <w:rsid w:val="00320DA2"/>
    <w:rsid w:val="00320DF7"/>
    <w:rsid w:val="00320E87"/>
    <w:rsid w:val="00321028"/>
    <w:rsid w:val="0032117F"/>
    <w:rsid w:val="00321180"/>
    <w:rsid w:val="003211A2"/>
    <w:rsid w:val="00321325"/>
    <w:rsid w:val="0032146C"/>
    <w:rsid w:val="0032147C"/>
    <w:rsid w:val="00321497"/>
    <w:rsid w:val="003214AE"/>
    <w:rsid w:val="00321626"/>
    <w:rsid w:val="00321645"/>
    <w:rsid w:val="0032167E"/>
    <w:rsid w:val="003216DC"/>
    <w:rsid w:val="00321742"/>
    <w:rsid w:val="00321840"/>
    <w:rsid w:val="0032186A"/>
    <w:rsid w:val="003219D1"/>
    <w:rsid w:val="00321DCC"/>
    <w:rsid w:val="00321E6C"/>
    <w:rsid w:val="00321F22"/>
    <w:rsid w:val="003221B6"/>
    <w:rsid w:val="00322348"/>
    <w:rsid w:val="003225DE"/>
    <w:rsid w:val="003227C5"/>
    <w:rsid w:val="003228C0"/>
    <w:rsid w:val="00322A5F"/>
    <w:rsid w:val="00322C32"/>
    <w:rsid w:val="00322E71"/>
    <w:rsid w:val="00322ED5"/>
    <w:rsid w:val="0032306F"/>
    <w:rsid w:val="003230EB"/>
    <w:rsid w:val="0032315C"/>
    <w:rsid w:val="003232C6"/>
    <w:rsid w:val="00323415"/>
    <w:rsid w:val="0032341E"/>
    <w:rsid w:val="003234DE"/>
    <w:rsid w:val="00323896"/>
    <w:rsid w:val="003239DC"/>
    <w:rsid w:val="00323B64"/>
    <w:rsid w:val="00323F68"/>
    <w:rsid w:val="003241AA"/>
    <w:rsid w:val="0032428E"/>
    <w:rsid w:val="003242F6"/>
    <w:rsid w:val="00324652"/>
    <w:rsid w:val="00324766"/>
    <w:rsid w:val="003247BA"/>
    <w:rsid w:val="00324B03"/>
    <w:rsid w:val="00324BCE"/>
    <w:rsid w:val="00324C12"/>
    <w:rsid w:val="00324E1F"/>
    <w:rsid w:val="00324ED9"/>
    <w:rsid w:val="00324EDA"/>
    <w:rsid w:val="00325160"/>
    <w:rsid w:val="00325293"/>
    <w:rsid w:val="003252E8"/>
    <w:rsid w:val="0032533B"/>
    <w:rsid w:val="003253C2"/>
    <w:rsid w:val="003254A9"/>
    <w:rsid w:val="00325639"/>
    <w:rsid w:val="00325767"/>
    <w:rsid w:val="0032589B"/>
    <w:rsid w:val="00325A92"/>
    <w:rsid w:val="00325BF7"/>
    <w:rsid w:val="00325C97"/>
    <w:rsid w:val="00325E87"/>
    <w:rsid w:val="00325EE4"/>
    <w:rsid w:val="00325EFF"/>
    <w:rsid w:val="003262E9"/>
    <w:rsid w:val="00326377"/>
    <w:rsid w:val="003263B7"/>
    <w:rsid w:val="003263F8"/>
    <w:rsid w:val="0032656F"/>
    <w:rsid w:val="0032660B"/>
    <w:rsid w:val="00326641"/>
    <w:rsid w:val="0032677D"/>
    <w:rsid w:val="00326965"/>
    <w:rsid w:val="00326968"/>
    <w:rsid w:val="00326A31"/>
    <w:rsid w:val="00326CCD"/>
    <w:rsid w:val="00326DB1"/>
    <w:rsid w:val="00326F13"/>
    <w:rsid w:val="003270B5"/>
    <w:rsid w:val="0032719F"/>
    <w:rsid w:val="003272E0"/>
    <w:rsid w:val="00327337"/>
    <w:rsid w:val="00327409"/>
    <w:rsid w:val="003274CC"/>
    <w:rsid w:val="003275CD"/>
    <w:rsid w:val="00327740"/>
    <w:rsid w:val="0032776A"/>
    <w:rsid w:val="003277E5"/>
    <w:rsid w:val="00327884"/>
    <w:rsid w:val="00327B4E"/>
    <w:rsid w:val="00327C78"/>
    <w:rsid w:val="00327C97"/>
    <w:rsid w:val="00327F2C"/>
    <w:rsid w:val="003300DB"/>
    <w:rsid w:val="003301A6"/>
    <w:rsid w:val="0033029E"/>
    <w:rsid w:val="0033032F"/>
    <w:rsid w:val="00330528"/>
    <w:rsid w:val="0033072B"/>
    <w:rsid w:val="003308B5"/>
    <w:rsid w:val="00330B03"/>
    <w:rsid w:val="00330D40"/>
    <w:rsid w:val="00330D4B"/>
    <w:rsid w:val="00330E41"/>
    <w:rsid w:val="00330E4D"/>
    <w:rsid w:val="00330E86"/>
    <w:rsid w:val="00330F55"/>
    <w:rsid w:val="00330F92"/>
    <w:rsid w:val="00330FC7"/>
    <w:rsid w:val="00331128"/>
    <w:rsid w:val="0033118D"/>
    <w:rsid w:val="0033119C"/>
    <w:rsid w:val="00331243"/>
    <w:rsid w:val="00331261"/>
    <w:rsid w:val="0033129A"/>
    <w:rsid w:val="00331311"/>
    <w:rsid w:val="003314B2"/>
    <w:rsid w:val="00331543"/>
    <w:rsid w:val="00331545"/>
    <w:rsid w:val="003316BD"/>
    <w:rsid w:val="00331739"/>
    <w:rsid w:val="003318A4"/>
    <w:rsid w:val="003318AC"/>
    <w:rsid w:val="00331A86"/>
    <w:rsid w:val="00331AD4"/>
    <w:rsid w:val="00331B8C"/>
    <w:rsid w:val="00331BDB"/>
    <w:rsid w:val="00331DA6"/>
    <w:rsid w:val="0033206A"/>
    <w:rsid w:val="00332173"/>
    <w:rsid w:val="00332241"/>
    <w:rsid w:val="003322B0"/>
    <w:rsid w:val="003325EE"/>
    <w:rsid w:val="0033272A"/>
    <w:rsid w:val="00332975"/>
    <w:rsid w:val="00332D0D"/>
    <w:rsid w:val="00332E04"/>
    <w:rsid w:val="00333045"/>
    <w:rsid w:val="0033304F"/>
    <w:rsid w:val="003330B2"/>
    <w:rsid w:val="003331D2"/>
    <w:rsid w:val="00333226"/>
    <w:rsid w:val="003334FF"/>
    <w:rsid w:val="00333528"/>
    <w:rsid w:val="00333678"/>
    <w:rsid w:val="00333806"/>
    <w:rsid w:val="00333938"/>
    <w:rsid w:val="0033397E"/>
    <w:rsid w:val="003339F4"/>
    <w:rsid w:val="00333A98"/>
    <w:rsid w:val="00333B69"/>
    <w:rsid w:val="00333D4A"/>
    <w:rsid w:val="00333EDA"/>
    <w:rsid w:val="00333F1E"/>
    <w:rsid w:val="00333F26"/>
    <w:rsid w:val="00333FC5"/>
    <w:rsid w:val="0033408E"/>
    <w:rsid w:val="0033417A"/>
    <w:rsid w:val="003341B7"/>
    <w:rsid w:val="0033445E"/>
    <w:rsid w:val="00334560"/>
    <w:rsid w:val="00334580"/>
    <w:rsid w:val="00334713"/>
    <w:rsid w:val="003347F1"/>
    <w:rsid w:val="00334AEF"/>
    <w:rsid w:val="00334BEC"/>
    <w:rsid w:val="00334D16"/>
    <w:rsid w:val="00334D3E"/>
    <w:rsid w:val="00334E98"/>
    <w:rsid w:val="00334EAB"/>
    <w:rsid w:val="003350EB"/>
    <w:rsid w:val="003351A6"/>
    <w:rsid w:val="00335274"/>
    <w:rsid w:val="003352EE"/>
    <w:rsid w:val="00335362"/>
    <w:rsid w:val="003353B1"/>
    <w:rsid w:val="00335450"/>
    <w:rsid w:val="003354E3"/>
    <w:rsid w:val="0033578B"/>
    <w:rsid w:val="0033586E"/>
    <w:rsid w:val="00335C2F"/>
    <w:rsid w:val="00335C3E"/>
    <w:rsid w:val="00335DCA"/>
    <w:rsid w:val="00336032"/>
    <w:rsid w:val="003362B5"/>
    <w:rsid w:val="00336303"/>
    <w:rsid w:val="00336316"/>
    <w:rsid w:val="00336325"/>
    <w:rsid w:val="003364CD"/>
    <w:rsid w:val="0033656C"/>
    <w:rsid w:val="00336585"/>
    <w:rsid w:val="003365F2"/>
    <w:rsid w:val="003366D1"/>
    <w:rsid w:val="003367BA"/>
    <w:rsid w:val="003367DC"/>
    <w:rsid w:val="003368B7"/>
    <w:rsid w:val="00336977"/>
    <w:rsid w:val="00336991"/>
    <w:rsid w:val="00336B0F"/>
    <w:rsid w:val="00336B35"/>
    <w:rsid w:val="00336D26"/>
    <w:rsid w:val="00336DC8"/>
    <w:rsid w:val="00336E1B"/>
    <w:rsid w:val="00336E5B"/>
    <w:rsid w:val="00336E7D"/>
    <w:rsid w:val="00336ED3"/>
    <w:rsid w:val="00336FE1"/>
    <w:rsid w:val="0033710C"/>
    <w:rsid w:val="003371BA"/>
    <w:rsid w:val="003371D0"/>
    <w:rsid w:val="00337394"/>
    <w:rsid w:val="003373FC"/>
    <w:rsid w:val="003374E5"/>
    <w:rsid w:val="00337515"/>
    <w:rsid w:val="00337523"/>
    <w:rsid w:val="0033752E"/>
    <w:rsid w:val="0033755E"/>
    <w:rsid w:val="00337598"/>
    <w:rsid w:val="0033774A"/>
    <w:rsid w:val="0033779A"/>
    <w:rsid w:val="003377D8"/>
    <w:rsid w:val="00337997"/>
    <w:rsid w:val="00337A06"/>
    <w:rsid w:val="00337BA4"/>
    <w:rsid w:val="00337CEE"/>
    <w:rsid w:val="00337D1F"/>
    <w:rsid w:val="00337E98"/>
    <w:rsid w:val="00337F02"/>
    <w:rsid w:val="00337F51"/>
    <w:rsid w:val="0034014F"/>
    <w:rsid w:val="00340222"/>
    <w:rsid w:val="0034034F"/>
    <w:rsid w:val="00340454"/>
    <w:rsid w:val="00340679"/>
    <w:rsid w:val="00340734"/>
    <w:rsid w:val="00340750"/>
    <w:rsid w:val="003407AA"/>
    <w:rsid w:val="0034085E"/>
    <w:rsid w:val="003408A3"/>
    <w:rsid w:val="0034092F"/>
    <w:rsid w:val="0034098E"/>
    <w:rsid w:val="00340A27"/>
    <w:rsid w:val="00340B3D"/>
    <w:rsid w:val="00340B62"/>
    <w:rsid w:val="00340B7C"/>
    <w:rsid w:val="00340C8B"/>
    <w:rsid w:val="00340CCC"/>
    <w:rsid w:val="00340DEF"/>
    <w:rsid w:val="003410A8"/>
    <w:rsid w:val="00341131"/>
    <w:rsid w:val="0034147C"/>
    <w:rsid w:val="003414D8"/>
    <w:rsid w:val="003414ED"/>
    <w:rsid w:val="0034158E"/>
    <w:rsid w:val="00341596"/>
    <w:rsid w:val="0034169F"/>
    <w:rsid w:val="003416E8"/>
    <w:rsid w:val="0034197C"/>
    <w:rsid w:val="003419C7"/>
    <w:rsid w:val="00341ABD"/>
    <w:rsid w:val="00341EBB"/>
    <w:rsid w:val="00342011"/>
    <w:rsid w:val="00342024"/>
    <w:rsid w:val="003420A9"/>
    <w:rsid w:val="0034222B"/>
    <w:rsid w:val="00342243"/>
    <w:rsid w:val="0034252F"/>
    <w:rsid w:val="00342583"/>
    <w:rsid w:val="003425E6"/>
    <w:rsid w:val="003425EA"/>
    <w:rsid w:val="0034285B"/>
    <w:rsid w:val="003428CB"/>
    <w:rsid w:val="003428F0"/>
    <w:rsid w:val="00342A0E"/>
    <w:rsid w:val="00342C57"/>
    <w:rsid w:val="00342E3A"/>
    <w:rsid w:val="0034313F"/>
    <w:rsid w:val="00343214"/>
    <w:rsid w:val="00343231"/>
    <w:rsid w:val="0034323F"/>
    <w:rsid w:val="0034327E"/>
    <w:rsid w:val="00343347"/>
    <w:rsid w:val="00343435"/>
    <w:rsid w:val="0034349B"/>
    <w:rsid w:val="003437FA"/>
    <w:rsid w:val="003438AE"/>
    <w:rsid w:val="003438B6"/>
    <w:rsid w:val="00343917"/>
    <w:rsid w:val="00343C87"/>
    <w:rsid w:val="00343CE2"/>
    <w:rsid w:val="00343CF2"/>
    <w:rsid w:val="00343EA6"/>
    <w:rsid w:val="003441BC"/>
    <w:rsid w:val="003441D1"/>
    <w:rsid w:val="003444A8"/>
    <w:rsid w:val="003444C2"/>
    <w:rsid w:val="003445BF"/>
    <w:rsid w:val="00344720"/>
    <w:rsid w:val="00344747"/>
    <w:rsid w:val="003447A1"/>
    <w:rsid w:val="0034489E"/>
    <w:rsid w:val="003448E7"/>
    <w:rsid w:val="00344A8D"/>
    <w:rsid w:val="00344B85"/>
    <w:rsid w:val="00344BA9"/>
    <w:rsid w:val="00344BE7"/>
    <w:rsid w:val="00344C6A"/>
    <w:rsid w:val="00344C6F"/>
    <w:rsid w:val="00344D1A"/>
    <w:rsid w:val="00344E74"/>
    <w:rsid w:val="00344F09"/>
    <w:rsid w:val="00344F99"/>
    <w:rsid w:val="0034507B"/>
    <w:rsid w:val="003450AA"/>
    <w:rsid w:val="00345386"/>
    <w:rsid w:val="00345556"/>
    <w:rsid w:val="003455C0"/>
    <w:rsid w:val="00345952"/>
    <w:rsid w:val="00345964"/>
    <w:rsid w:val="00345A24"/>
    <w:rsid w:val="00345A35"/>
    <w:rsid w:val="00345B3A"/>
    <w:rsid w:val="00345D45"/>
    <w:rsid w:val="00345DC6"/>
    <w:rsid w:val="00345E3A"/>
    <w:rsid w:val="00345F33"/>
    <w:rsid w:val="00345F65"/>
    <w:rsid w:val="003461C8"/>
    <w:rsid w:val="0034621E"/>
    <w:rsid w:val="00346436"/>
    <w:rsid w:val="00346551"/>
    <w:rsid w:val="00346700"/>
    <w:rsid w:val="003467E7"/>
    <w:rsid w:val="00346883"/>
    <w:rsid w:val="0034698B"/>
    <w:rsid w:val="0034699D"/>
    <w:rsid w:val="00346A23"/>
    <w:rsid w:val="00346EE8"/>
    <w:rsid w:val="00347034"/>
    <w:rsid w:val="00347060"/>
    <w:rsid w:val="0034712B"/>
    <w:rsid w:val="003472B3"/>
    <w:rsid w:val="00347482"/>
    <w:rsid w:val="003474B6"/>
    <w:rsid w:val="00347520"/>
    <w:rsid w:val="003475FB"/>
    <w:rsid w:val="00347634"/>
    <w:rsid w:val="00347670"/>
    <w:rsid w:val="003476D9"/>
    <w:rsid w:val="0034784A"/>
    <w:rsid w:val="0034784F"/>
    <w:rsid w:val="00347999"/>
    <w:rsid w:val="00347A4F"/>
    <w:rsid w:val="00347B36"/>
    <w:rsid w:val="00347E5C"/>
    <w:rsid w:val="00347F44"/>
    <w:rsid w:val="00350022"/>
    <w:rsid w:val="003500C7"/>
    <w:rsid w:val="003500F3"/>
    <w:rsid w:val="003500F5"/>
    <w:rsid w:val="003500FA"/>
    <w:rsid w:val="0035012B"/>
    <w:rsid w:val="003501B1"/>
    <w:rsid w:val="00350239"/>
    <w:rsid w:val="0035025A"/>
    <w:rsid w:val="00350262"/>
    <w:rsid w:val="00350352"/>
    <w:rsid w:val="0035039F"/>
    <w:rsid w:val="003503BA"/>
    <w:rsid w:val="0035044B"/>
    <w:rsid w:val="003504AC"/>
    <w:rsid w:val="003504FB"/>
    <w:rsid w:val="0035077A"/>
    <w:rsid w:val="003508C6"/>
    <w:rsid w:val="003508D0"/>
    <w:rsid w:val="00350A0B"/>
    <w:rsid w:val="00350CD3"/>
    <w:rsid w:val="00350E3B"/>
    <w:rsid w:val="00350E3E"/>
    <w:rsid w:val="00350F14"/>
    <w:rsid w:val="00350F6C"/>
    <w:rsid w:val="00350FD1"/>
    <w:rsid w:val="00351096"/>
    <w:rsid w:val="00351190"/>
    <w:rsid w:val="003511E1"/>
    <w:rsid w:val="00351225"/>
    <w:rsid w:val="00351369"/>
    <w:rsid w:val="0035142D"/>
    <w:rsid w:val="0035153C"/>
    <w:rsid w:val="003515E5"/>
    <w:rsid w:val="00351969"/>
    <w:rsid w:val="00351A70"/>
    <w:rsid w:val="00351CDD"/>
    <w:rsid w:val="00351DC6"/>
    <w:rsid w:val="00351E0C"/>
    <w:rsid w:val="00351E15"/>
    <w:rsid w:val="00351EEE"/>
    <w:rsid w:val="0035200C"/>
    <w:rsid w:val="00352020"/>
    <w:rsid w:val="00352122"/>
    <w:rsid w:val="003522ED"/>
    <w:rsid w:val="00352658"/>
    <w:rsid w:val="00352767"/>
    <w:rsid w:val="00352792"/>
    <w:rsid w:val="0035279B"/>
    <w:rsid w:val="0035289C"/>
    <w:rsid w:val="0035297E"/>
    <w:rsid w:val="00352A1D"/>
    <w:rsid w:val="00352AB6"/>
    <w:rsid w:val="00352DCE"/>
    <w:rsid w:val="00352E62"/>
    <w:rsid w:val="00352E63"/>
    <w:rsid w:val="00352EB9"/>
    <w:rsid w:val="00352F8A"/>
    <w:rsid w:val="003532BB"/>
    <w:rsid w:val="003535B2"/>
    <w:rsid w:val="003536AE"/>
    <w:rsid w:val="003536BD"/>
    <w:rsid w:val="003536CC"/>
    <w:rsid w:val="0035388E"/>
    <w:rsid w:val="003538BA"/>
    <w:rsid w:val="00353AA5"/>
    <w:rsid w:val="00353B4F"/>
    <w:rsid w:val="00353C2B"/>
    <w:rsid w:val="00353C9D"/>
    <w:rsid w:val="00353D98"/>
    <w:rsid w:val="00353DC6"/>
    <w:rsid w:val="00354036"/>
    <w:rsid w:val="003540A4"/>
    <w:rsid w:val="00354196"/>
    <w:rsid w:val="00354217"/>
    <w:rsid w:val="003544C5"/>
    <w:rsid w:val="003545D7"/>
    <w:rsid w:val="00354727"/>
    <w:rsid w:val="00354752"/>
    <w:rsid w:val="00354832"/>
    <w:rsid w:val="003548AF"/>
    <w:rsid w:val="0035497D"/>
    <w:rsid w:val="00354A17"/>
    <w:rsid w:val="00354A19"/>
    <w:rsid w:val="00354A34"/>
    <w:rsid w:val="00354A55"/>
    <w:rsid w:val="00354A66"/>
    <w:rsid w:val="00354AD5"/>
    <w:rsid w:val="00354D45"/>
    <w:rsid w:val="00354D56"/>
    <w:rsid w:val="00354DC8"/>
    <w:rsid w:val="00354F69"/>
    <w:rsid w:val="00355025"/>
    <w:rsid w:val="00355084"/>
    <w:rsid w:val="003551ED"/>
    <w:rsid w:val="00355334"/>
    <w:rsid w:val="003554D1"/>
    <w:rsid w:val="003554E3"/>
    <w:rsid w:val="0035569C"/>
    <w:rsid w:val="00355733"/>
    <w:rsid w:val="003557F5"/>
    <w:rsid w:val="003558E0"/>
    <w:rsid w:val="00355A8C"/>
    <w:rsid w:val="00355B8A"/>
    <w:rsid w:val="00355BB6"/>
    <w:rsid w:val="00355DF5"/>
    <w:rsid w:val="00355E2B"/>
    <w:rsid w:val="00355EAE"/>
    <w:rsid w:val="00356126"/>
    <w:rsid w:val="003563A3"/>
    <w:rsid w:val="00356408"/>
    <w:rsid w:val="00356456"/>
    <w:rsid w:val="003564FD"/>
    <w:rsid w:val="00356539"/>
    <w:rsid w:val="003568EF"/>
    <w:rsid w:val="003569DA"/>
    <w:rsid w:val="00356A44"/>
    <w:rsid w:val="00356D5A"/>
    <w:rsid w:val="00356F73"/>
    <w:rsid w:val="00356FCC"/>
    <w:rsid w:val="00356FF3"/>
    <w:rsid w:val="00357064"/>
    <w:rsid w:val="003571A7"/>
    <w:rsid w:val="00357210"/>
    <w:rsid w:val="003574CD"/>
    <w:rsid w:val="003574EF"/>
    <w:rsid w:val="0035750B"/>
    <w:rsid w:val="003576FD"/>
    <w:rsid w:val="0035776B"/>
    <w:rsid w:val="00357A88"/>
    <w:rsid w:val="00357A98"/>
    <w:rsid w:val="00357B06"/>
    <w:rsid w:val="00357C0D"/>
    <w:rsid w:val="00357C17"/>
    <w:rsid w:val="00357C20"/>
    <w:rsid w:val="00357D2A"/>
    <w:rsid w:val="00357D6E"/>
    <w:rsid w:val="00357DB9"/>
    <w:rsid w:val="00357E18"/>
    <w:rsid w:val="00357E73"/>
    <w:rsid w:val="00360164"/>
    <w:rsid w:val="00360194"/>
    <w:rsid w:val="003601C7"/>
    <w:rsid w:val="00360414"/>
    <w:rsid w:val="00360A28"/>
    <w:rsid w:val="00360BCA"/>
    <w:rsid w:val="00360C68"/>
    <w:rsid w:val="00360D00"/>
    <w:rsid w:val="00360D72"/>
    <w:rsid w:val="00360FC4"/>
    <w:rsid w:val="00360FDF"/>
    <w:rsid w:val="003610DE"/>
    <w:rsid w:val="0036120E"/>
    <w:rsid w:val="0036130A"/>
    <w:rsid w:val="00361314"/>
    <w:rsid w:val="00361439"/>
    <w:rsid w:val="00361491"/>
    <w:rsid w:val="003614E6"/>
    <w:rsid w:val="0036159B"/>
    <w:rsid w:val="00361776"/>
    <w:rsid w:val="0036178D"/>
    <w:rsid w:val="00361919"/>
    <w:rsid w:val="00361928"/>
    <w:rsid w:val="00361AD7"/>
    <w:rsid w:val="00361AEB"/>
    <w:rsid w:val="00361B11"/>
    <w:rsid w:val="00361C42"/>
    <w:rsid w:val="00361C4D"/>
    <w:rsid w:val="00361C59"/>
    <w:rsid w:val="00361CC7"/>
    <w:rsid w:val="00361D2F"/>
    <w:rsid w:val="00361D9F"/>
    <w:rsid w:val="00361DC8"/>
    <w:rsid w:val="00361E08"/>
    <w:rsid w:val="00361E7B"/>
    <w:rsid w:val="00362077"/>
    <w:rsid w:val="003620CD"/>
    <w:rsid w:val="00362144"/>
    <w:rsid w:val="0036215B"/>
    <w:rsid w:val="0036216E"/>
    <w:rsid w:val="003621BE"/>
    <w:rsid w:val="003621DE"/>
    <w:rsid w:val="00362273"/>
    <w:rsid w:val="003622C6"/>
    <w:rsid w:val="003622DD"/>
    <w:rsid w:val="0036236B"/>
    <w:rsid w:val="003623C4"/>
    <w:rsid w:val="0036259C"/>
    <w:rsid w:val="003625AC"/>
    <w:rsid w:val="003625EA"/>
    <w:rsid w:val="0036267C"/>
    <w:rsid w:val="0036275A"/>
    <w:rsid w:val="00362895"/>
    <w:rsid w:val="0036290F"/>
    <w:rsid w:val="00362A2D"/>
    <w:rsid w:val="00362A43"/>
    <w:rsid w:val="00362E0D"/>
    <w:rsid w:val="0036308A"/>
    <w:rsid w:val="003630BF"/>
    <w:rsid w:val="003632FC"/>
    <w:rsid w:val="00363448"/>
    <w:rsid w:val="003634AE"/>
    <w:rsid w:val="00363581"/>
    <w:rsid w:val="00363588"/>
    <w:rsid w:val="00363813"/>
    <w:rsid w:val="00363847"/>
    <w:rsid w:val="00363899"/>
    <w:rsid w:val="003638BF"/>
    <w:rsid w:val="003638E6"/>
    <w:rsid w:val="003639E0"/>
    <w:rsid w:val="00363AB4"/>
    <w:rsid w:val="00363C2C"/>
    <w:rsid w:val="00363C4F"/>
    <w:rsid w:val="00363CDD"/>
    <w:rsid w:val="00363D72"/>
    <w:rsid w:val="00363FD9"/>
    <w:rsid w:val="00364006"/>
    <w:rsid w:val="0036402C"/>
    <w:rsid w:val="0036406B"/>
    <w:rsid w:val="003640F9"/>
    <w:rsid w:val="00364498"/>
    <w:rsid w:val="0036452B"/>
    <w:rsid w:val="003645C5"/>
    <w:rsid w:val="0036464D"/>
    <w:rsid w:val="0036469F"/>
    <w:rsid w:val="0036472E"/>
    <w:rsid w:val="003647D9"/>
    <w:rsid w:val="0036496D"/>
    <w:rsid w:val="003649EF"/>
    <w:rsid w:val="00364AAB"/>
    <w:rsid w:val="00364B17"/>
    <w:rsid w:val="00364C6A"/>
    <w:rsid w:val="00364CC0"/>
    <w:rsid w:val="00364D5C"/>
    <w:rsid w:val="00364FBF"/>
    <w:rsid w:val="00365080"/>
    <w:rsid w:val="0036527D"/>
    <w:rsid w:val="0036527F"/>
    <w:rsid w:val="00365759"/>
    <w:rsid w:val="00365811"/>
    <w:rsid w:val="00365920"/>
    <w:rsid w:val="003659D3"/>
    <w:rsid w:val="00365B9C"/>
    <w:rsid w:val="00365BA4"/>
    <w:rsid w:val="00365C93"/>
    <w:rsid w:val="00365CC0"/>
    <w:rsid w:val="00365F5E"/>
    <w:rsid w:val="00366091"/>
    <w:rsid w:val="003660EA"/>
    <w:rsid w:val="00366415"/>
    <w:rsid w:val="00366465"/>
    <w:rsid w:val="003664E1"/>
    <w:rsid w:val="00366611"/>
    <w:rsid w:val="00366820"/>
    <w:rsid w:val="0036682F"/>
    <w:rsid w:val="00366831"/>
    <w:rsid w:val="003668D5"/>
    <w:rsid w:val="003669E3"/>
    <w:rsid w:val="00366C8F"/>
    <w:rsid w:val="00366CB4"/>
    <w:rsid w:val="00366CF3"/>
    <w:rsid w:val="00366E3A"/>
    <w:rsid w:val="00367027"/>
    <w:rsid w:val="0036709A"/>
    <w:rsid w:val="003670E2"/>
    <w:rsid w:val="00367122"/>
    <w:rsid w:val="0036717B"/>
    <w:rsid w:val="00367383"/>
    <w:rsid w:val="00367448"/>
    <w:rsid w:val="0036792A"/>
    <w:rsid w:val="003679A9"/>
    <w:rsid w:val="00367AB8"/>
    <w:rsid w:val="00367B4E"/>
    <w:rsid w:val="00367BB4"/>
    <w:rsid w:val="00367C65"/>
    <w:rsid w:val="00367C92"/>
    <w:rsid w:val="00367CC8"/>
    <w:rsid w:val="00367D1C"/>
    <w:rsid w:val="00367E05"/>
    <w:rsid w:val="00367FE7"/>
    <w:rsid w:val="00367FF5"/>
    <w:rsid w:val="0037003B"/>
    <w:rsid w:val="003702A0"/>
    <w:rsid w:val="00370579"/>
    <w:rsid w:val="003705A5"/>
    <w:rsid w:val="003705DD"/>
    <w:rsid w:val="00370709"/>
    <w:rsid w:val="0037080A"/>
    <w:rsid w:val="00370823"/>
    <w:rsid w:val="00370855"/>
    <w:rsid w:val="00370900"/>
    <w:rsid w:val="00370A68"/>
    <w:rsid w:val="00370B48"/>
    <w:rsid w:val="00370B5F"/>
    <w:rsid w:val="00370CF0"/>
    <w:rsid w:val="00370D22"/>
    <w:rsid w:val="00370E0B"/>
    <w:rsid w:val="00370FBB"/>
    <w:rsid w:val="003710B8"/>
    <w:rsid w:val="0037132D"/>
    <w:rsid w:val="003713BD"/>
    <w:rsid w:val="0037145A"/>
    <w:rsid w:val="00371595"/>
    <w:rsid w:val="003718A1"/>
    <w:rsid w:val="00371A47"/>
    <w:rsid w:val="00371B31"/>
    <w:rsid w:val="00371DB0"/>
    <w:rsid w:val="00371E08"/>
    <w:rsid w:val="00371E61"/>
    <w:rsid w:val="0037208F"/>
    <w:rsid w:val="003720DF"/>
    <w:rsid w:val="003722C3"/>
    <w:rsid w:val="003722CF"/>
    <w:rsid w:val="0037249D"/>
    <w:rsid w:val="003725F2"/>
    <w:rsid w:val="00372601"/>
    <w:rsid w:val="003726AD"/>
    <w:rsid w:val="003726EC"/>
    <w:rsid w:val="0037271E"/>
    <w:rsid w:val="00372744"/>
    <w:rsid w:val="00372893"/>
    <w:rsid w:val="00372925"/>
    <w:rsid w:val="00372962"/>
    <w:rsid w:val="00372A77"/>
    <w:rsid w:val="00372D3C"/>
    <w:rsid w:val="0037301E"/>
    <w:rsid w:val="0037308C"/>
    <w:rsid w:val="003730C3"/>
    <w:rsid w:val="0037319D"/>
    <w:rsid w:val="003731C1"/>
    <w:rsid w:val="003731F2"/>
    <w:rsid w:val="003732FE"/>
    <w:rsid w:val="003734AD"/>
    <w:rsid w:val="003734BD"/>
    <w:rsid w:val="00373553"/>
    <w:rsid w:val="003738F3"/>
    <w:rsid w:val="003739F2"/>
    <w:rsid w:val="00373A05"/>
    <w:rsid w:val="00373AE6"/>
    <w:rsid w:val="00373D98"/>
    <w:rsid w:val="00373F49"/>
    <w:rsid w:val="00373FF8"/>
    <w:rsid w:val="00374156"/>
    <w:rsid w:val="003741AE"/>
    <w:rsid w:val="003741AF"/>
    <w:rsid w:val="00374539"/>
    <w:rsid w:val="003746C3"/>
    <w:rsid w:val="0037470C"/>
    <w:rsid w:val="0037470F"/>
    <w:rsid w:val="0037492B"/>
    <w:rsid w:val="00374998"/>
    <w:rsid w:val="00374A52"/>
    <w:rsid w:val="00374A9B"/>
    <w:rsid w:val="00374CC9"/>
    <w:rsid w:val="00374CDF"/>
    <w:rsid w:val="00374D92"/>
    <w:rsid w:val="00374E34"/>
    <w:rsid w:val="00374E52"/>
    <w:rsid w:val="00374F4C"/>
    <w:rsid w:val="00375064"/>
    <w:rsid w:val="003750B0"/>
    <w:rsid w:val="003750DE"/>
    <w:rsid w:val="0037542F"/>
    <w:rsid w:val="00375464"/>
    <w:rsid w:val="003754EA"/>
    <w:rsid w:val="0037557C"/>
    <w:rsid w:val="003757DA"/>
    <w:rsid w:val="0037595B"/>
    <w:rsid w:val="00375AA2"/>
    <w:rsid w:val="00375B0C"/>
    <w:rsid w:val="00375B5A"/>
    <w:rsid w:val="00375BDF"/>
    <w:rsid w:val="00375CE5"/>
    <w:rsid w:val="00375CF6"/>
    <w:rsid w:val="00375EB4"/>
    <w:rsid w:val="00376513"/>
    <w:rsid w:val="00376560"/>
    <w:rsid w:val="00376746"/>
    <w:rsid w:val="00376782"/>
    <w:rsid w:val="00376835"/>
    <w:rsid w:val="003768BA"/>
    <w:rsid w:val="00376A3C"/>
    <w:rsid w:val="00376BC6"/>
    <w:rsid w:val="00376BE6"/>
    <w:rsid w:val="00376C68"/>
    <w:rsid w:val="00376C79"/>
    <w:rsid w:val="00376CB2"/>
    <w:rsid w:val="00376CF3"/>
    <w:rsid w:val="00376D65"/>
    <w:rsid w:val="00376DAD"/>
    <w:rsid w:val="00376E98"/>
    <w:rsid w:val="00376FF0"/>
    <w:rsid w:val="00377120"/>
    <w:rsid w:val="0037713D"/>
    <w:rsid w:val="003773F5"/>
    <w:rsid w:val="0037750A"/>
    <w:rsid w:val="003775A8"/>
    <w:rsid w:val="003775CA"/>
    <w:rsid w:val="003776A4"/>
    <w:rsid w:val="00377760"/>
    <w:rsid w:val="0037785A"/>
    <w:rsid w:val="00377905"/>
    <w:rsid w:val="00377909"/>
    <w:rsid w:val="003779C5"/>
    <w:rsid w:val="00377AD8"/>
    <w:rsid w:val="00377B45"/>
    <w:rsid w:val="00377BE4"/>
    <w:rsid w:val="003800ED"/>
    <w:rsid w:val="00380261"/>
    <w:rsid w:val="0038044B"/>
    <w:rsid w:val="00380857"/>
    <w:rsid w:val="0038087D"/>
    <w:rsid w:val="00380950"/>
    <w:rsid w:val="00380996"/>
    <w:rsid w:val="00380A42"/>
    <w:rsid w:val="00380AD8"/>
    <w:rsid w:val="00380C58"/>
    <w:rsid w:val="00380E0E"/>
    <w:rsid w:val="0038146E"/>
    <w:rsid w:val="003814BF"/>
    <w:rsid w:val="003815A8"/>
    <w:rsid w:val="00381651"/>
    <w:rsid w:val="003816E8"/>
    <w:rsid w:val="0038175F"/>
    <w:rsid w:val="00381796"/>
    <w:rsid w:val="00381A7A"/>
    <w:rsid w:val="00381BFA"/>
    <w:rsid w:val="00381C14"/>
    <w:rsid w:val="00381D4F"/>
    <w:rsid w:val="00381E5B"/>
    <w:rsid w:val="00381EFE"/>
    <w:rsid w:val="00381F60"/>
    <w:rsid w:val="00381FF2"/>
    <w:rsid w:val="00382177"/>
    <w:rsid w:val="0038236B"/>
    <w:rsid w:val="00382593"/>
    <w:rsid w:val="003825B4"/>
    <w:rsid w:val="003825F8"/>
    <w:rsid w:val="003827C8"/>
    <w:rsid w:val="003828B7"/>
    <w:rsid w:val="003828D7"/>
    <w:rsid w:val="003828F9"/>
    <w:rsid w:val="003829AB"/>
    <w:rsid w:val="00382B7D"/>
    <w:rsid w:val="00382C2B"/>
    <w:rsid w:val="00382E1C"/>
    <w:rsid w:val="003830AA"/>
    <w:rsid w:val="00383134"/>
    <w:rsid w:val="003831C3"/>
    <w:rsid w:val="00383372"/>
    <w:rsid w:val="0038337D"/>
    <w:rsid w:val="00383609"/>
    <w:rsid w:val="0038366B"/>
    <w:rsid w:val="0038369D"/>
    <w:rsid w:val="003836B1"/>
    <w:rsid w:val="0038371E"/>
    <w:rsid w:val="00383790"/>
    <w:rsid w:val="003838D1"/>
    <w:rsid w:val="00383921"/>
    <w:rsid w:val="003839C9"/>
    <w:rsid w:val="00383A0B"/>
    <w:rsid w:val="00383A55"/>
    <w:rsid w:val="00383AFB"/>
    <w:rsid w:val="00383BB0"/>
    <w:rsid w:val="00383C3E"/>
    <w:rsid w:val="00383D12"/>
    <w:rsid w:val="00383D1B"/>
    <w:rsid w:val="00383E82"/>
    <w:rsid w:val="00383FF5"/>
    <w:rsid w:val="00384167"/>
    <w:rsid w:val="003842D9"/>
    <w:rsid w:val="0038432E"/>
    <w:rsid w:val="003843C8"/>
    <w:rsid w:val="003845AC"/>
    <w:rsid w:val="00384855"/>
    <w:rsid w:val="00384908"/>
    <w:rsid w:val="00384957"/>
    <w:rsid w:val="0038495D"/>
    <w:rsid w:val="00384A06"/>
    <w:rsid w:val="00384A4D"/>
    <w:rsid w:val="00384B89"/>
    <w:rsid w:val="00384BF3"/>
    <w:rsid w:val="00384D41"/>
    <w:rsid w:val="00384E50"/>
    <w:rsid w:val="00384F32"/>
    <w:rsid w:val="0038506D"/>
    <w:rsid w:val="00385200"/>
    <w:rsid w:val="0038580A"/>
    <w:rsid w:val="003858EE"/>
    <w:rsid w:val="00385A6D"/>
    <w:rsid w:val="00385C7B"/>
    <w:rsid w:val="00385D2F"/>
    <w:rsid w:val="00385E0A"/>
    <w:rsid w:val="00386297"/>
    <w:rsid w:val="003862A7"/>
    <w:rsid w:val="003862EA"/>
    <w:rsid w:val="003864C0"/>
    <w:rsid w:val="00386525"/>
    <w:rsid w:val="00386552"/>
    <w:rsid w:val="003866CC"/>
    <w:rsid w:val="003867E7"/>
    <w:rsid w:val="00386906"/>
    <w:rsid w:val="00386A46"/>
    <w:rsid w:val="00386BFD"/>
    <w:rsid w:val="00386C1D"/>
    <w:rsid w:val="00386D5E"/>
    <w:rsid w:val="00386DA8"/>
    <w:rsid w:val="00386E45"/>
    <w:rsid w:val="00386E89"/>
    <w:rsid w:val="00387224"/>
    <w:rsid w:val="0038732A"/>
    <w:rsid w:val="0038735A"/>
    <w:rsid w:val="003873DC"/>
    <w:rsid w:val="00387506"/>
    <w:rsid w:val="0038750D"/>
    <w:rsid w:val="0038751C"/>
    <w:rsid w:val="00387809"/>
    <w:rsid w:val="00387A03"/>
    <w:rsid w:val="00387A7B"/>
    <w:rsid w:val="00387A80"/>
    <w:rsid w:val="00387AD4"/>
    <w:rsid w:val="00387CDB"/>
    <w:rsid w:val="00390181"/>
    <w:rsid w:val="00390187"/>
    <w:rsid w:val="00390274"/>
    <w:rsid w:val="003904D7"/>
    <w:rsid w:val="003905B9"/>
    <w:rsid w:val="003905D1"/>
    <w:rsid w:val="00390607"/>
    <w:rsid w:val="003909EC"/>
    <w:rsid w:val="00390AC8"/>
    <w:rsid w:val="00390B00"/>
    <w:rsid w:val="00390C0E"/>
    <w:rsid w:val="00390D70"/>
    <w:rsid w:val="00390DE9"/>
    <w:rsid w:val="00391194"/>
    <w:rsid w:val="00391325"/>
    <w:rsid w:val="00391371"/>
    <w:rsid w:val="0039148C"/>
    <w:rsid w:val="003914AE"/>
    <w:rsid w:val="003915D6"/>
    <w:rsid w:val="00391661"/>
    <w:rsid w:val="003917EB"/>
    <w:rsid w:val="003918E4"/>
    <w:rsid w:val="00391A26"/>
    <w:rsid w:val="00391ACC"/>
    <w:rsid w:val="00391B82"/>
    <w:rsid w:val="00391CBB"/>
    <w:rsid w:val="00391CE1"/>
    <w:rsid w:val="00391CEB"/>
    <w:rsid w:val="00391D88"/>
    <w:rsid w:val="00391DE3"/>
    <w:rsid w:val="00391E72"/>
    <w:rsid w:val="00391EF9"/>
    <w:rsid w:val="003920B6"/>
    <w:rsid w:val="003920E1"/>
    <w:rsid w:val="00392240"/>
    <w:rsid w:val="00392258"/>
    <w:rsid w:val="003922CC"/>
    <w:rsid w:val="003923C3"/>
    <w:rsid w:val="00392421"/>
    <w:rsid w:val="0039243E"/>
    <w:rsid w:val="00392451"/>
    <w:rsid w:val="0039265E"/>
    <w:rsid w:val="003926E6"/>
    <w:rsid w:val="0039277E"/>
    <w:rsid w:val="003928BB"/>
    <w:rsid w:val="00392A78"/>
    <w:rsid w:val="00392A87"/>
    <w:rsid w:val="00392BC9"/>
    <w:rsid w:val="00392BE7"/>
    <w:rsid w:val="00392C15"/>
    <w:rsid w:val="00392CE9"/>
    <w:rsid w:val="00392DD7"/>
    <w:rsid w:val="00392F79"/>
    <w:rsid w:val="00392F83"/>
    <w:rsid w:val="00392F9B"/>
    <w:rsid w:val="0039311D"/>
    <w:rsid w:val="0039320B"/>
    <w:rsid w:val="003932A1"/>
    <w:rsid w:val="0039348D"/>
    <w:rsid w:val="0039352E"/>
    <w:rsid w:val="003935AE"/>
    <w:rsid w:val="003936CA"/>
    <w:rsid w:val="003937AB"/>
    <w:rsid w:val="003937D6"/>
    <w:rsid w:val="00393864"/>
    <w:rsid w:val="003939FD"/>
    <w:rsid w:val="00393B88"/>
    <w:rsid w:val="00393DEA"/>
    <w:rsid w:val="00393E69"/>
    <w:rsid w:val="0039400D"/>
    <w:rsid w:val="0039403B"/>
    <w:rsid w:val="00394106"/>
    <w:rsid w:val="0039410A"/>
    <w:rsid w:val="003941F3"/>
    <w:rsid w:val="00394354"/>
    <w:rsid w:val="003943A0"/>
    <w:rsid w:val="0039445D"/>
    <w:rsid w:val="00394484"/>
    <w:rsid w:val="003944F8"/>
    <w:rsid w:val="0039488F"/>
    <w:rsid w:val="00394915"/>
    <w:rsid w:val="00394991"/>
    <w:rsid w:val="00394A11"/>
    <w:rsid w:val="00394A7E"/>
    <w:rsid w:val="00394B07"/>
    <w:rsid w:val="00394B5A"/>
    <w:rsid w:val="00394B74"/>
    <w:rsid w:val="00394C0B"/>
    <w:rsid w:val="00394C7A"/>
    <w:rsid w:val="00394D2F"/>
    <w:rsid w:val="00394E5C"/>
    <w:rsid w:val="00394E71"/>
    <w:rsid w:val="00394EA7"/>
    <w:rsid w:val="00394F12"/>
    <w:rsid w:val="00395032"/>
    <w:rsid w:val="0039504A"/>
    <w:rsid w:val="00395237"/>
    <w:rsid w:val="0039566F"/>
    <w:rsid w:val="003956A5"/>
    <w:rsid w:val="003957C2"/>
    <w:rsid w:val="003957F5"/>
    <w:rsid w:val="003957F6"/>
    <w:rsid w:val="00395861"/>
    <w:rsid w:val="003959E6"/>
    <w:rsid w:val="00395AB9"/>
    <w:rsid w:val="00395AC4"/>
    <w:rsid w:val="00395B1F"/>
    <w:rsid w:val="00395B79"/>
    <w:rsid w:val="00395C62"/>
    <w:rsid w:val="00395D3B"/>
    <w:rsid w:val="00395D51"/>
    <w:rsid w:val="00395EBA"/>
    <w:rsid w:val="00396020"/>
    <w:rsid w:val="00396026"/>
    <w:rsid w:val="00396054"/>
    <w:rsid w:val="00396263"/>
    <w:rsid w:val="003965B5"/>
    <w:rsid w:val="003967A1"/>
    <w:rsid w:val="0039690F"/>
    <w:rsid w:val="00396A22"/>
    <w:rsid w:val="00396B4A"/>
    <w:rsid w:val="00396C29"/>
    <w:rsid w:val="00396D98"/>
    <w:rsid w:val="00396F49"/>
    <w:rsid w:val="00396F85"/>
    <w:rsid w:val="00397029"/>
    <w:rsid w:val="003970BF"/>
    <w:rsid w:val="0039712E"/>
    <w:rsid w:val="0039714A"/>
    <w:rsid w:val="0039715E"/>
    <w:rsid w:val="00397179"/>
    <w:rsid w:val="003971F6"/>
    <w:rsid w:val="003972DF"/>
    <w:rsid w:val="0039737F"/>
    <w:rsid w:val="00397620"/>
    <w:rsid w:val="003977E0"/>
    <w:rsid w:val="00397C51"/>
    <w:rsid w:val="00397FB8"/>
    <w:rsid w:val="00397FD5"/>
    <w:rsid w:val="003A00A0"/>
    <w:rsid w:val="003A00B1"/>
    <w:rsid w:val="003A0230"/>
    <w:rsid w:val="003A0236"/>
    <w:rsid w:val="003A02BC"/>
    <w:rsid w:val="003A02C5"/>
    <w:rsid w:val="003A032B"/>
    <w:rsid w:val="003A0352"/>
    <w:rsid w:val="003A04CD"/>
    <w:rsid w:val="003A056B"/>
    <w:rsid w:val="003A0649"/>
    <w:rsid w:val="003A064B"/>
    <w:rsid w:val="003A0680"/>
    <w:rsid w:val="003A0731"/>
    <w:rsid w:val="003A0763"/>
    <w:rsid w:val="003A086F"/>
    <w:rsid w:val="003A0BFA"/>
    <w:rsid w:val="003A0CE5"/>
    <w:rsid w:val="003A0DA7"/>
    <w:rsid w:val="003A0FB0"/>
    <w:rsid w:val="003A106C"/>
    <w:rsid w:val="003A11E7"/>
    <w:rsid w:val="003A12EB"/>
    <w:rsid w:val="003A14D6"/>
    <w:rsid w:val="003A14ED"/>
    <w:rsid w:val="003A16AB"/>
    <w:rsid w:val="003A17D7"/>
    <w:rsid w:val="003A17F6"/>
    <w:rsid w:val="003A1841"/>
    <w:rsid w:val="003A18E2"/>
    <w:rsid w:val="003A196C"/>
    <w:rsid w:val="003A198B"/>
    <w:rsid w:val="003A1B41"/>
    <w:rsid w:val="003A1DA2"/>
    <w:rsid w:val="003A1F31"/>
    <w:rsid w:val="003A20C4"/>
    <w:rsid w:val="003A2227"/>
    <w:rsid w:val="003A2242"/>
    <w:rsid w:val="003A24B8"/>
    <w:rsid w:val="003A24E0"/>
    <w:rsid w:val="003A26D1"/>
    <w:rsid w:val="003A2826"/>
    <w:rsid w:val="003A2994"/>
    <w:rsid w:val="003A2CAD"/>
    <w:rsid w:val="003A2CF0"/>
    <w:rsid w:val="003A2E5E"/>
    <w:rsid w:val="003A2EFB"/>
    <w:rsid w:val="003A3002"/>
    <w:rsid w:val="003A3232"/>
    <w:rsid w:val="003A32AD"/>
    <w:rsid w:val="003A33C6"/>
    <w:rsid w:val="003A347E"/>
    <w:rsid w:val="003A3669"/>
    <w:rsid w:val="003A3797"/>
    <w:rsid w:val="003A37A8"/>
    <w:rsid w:val="003A390E"/>
    <w:rsid w:val="003A39DC"/>
    <w:rsid w:val="003A3B51"/>
    <w:rsid w:val="003A3B52"/>
    <w:rsid w:val="003A3B54"/>
    <w:rsid w:val="003A3BF0"/>
    <w:rsid w:val="003A3CF5"/>
    <w:rsid w:val="003A3D71"/>
    <w:rsid w:val="003A3DF2"/>
    <w:rsid w:val="003A3EF5"/>
    <w:rsid w:val="003A3F3E"/>
    <w:rsid w:val="003A4075"/>
    <w:rsid w:val="003A40A2"/>
    <w:rsid w:val="003A418C"/>
    <w:rsid w:val="003A4316"/>
    <w:rsid w:val="003A433A"/>
    <w:rsid w:val="003A456B"/>
    <w:rsid w:val="003A45BA"/>
    <w:rsid w:val="003A476C"/>
    <w:rsid w:val="003A481A"/>
    <w:rsid w:val="003A4860"/>
    <w:rsid w:val="003A4BEF"/>
    <w:rsid w:val="003A4C04"/>
    <w:rsid w:val="003A4CA8"/>
    <w:rsid w:val="003A4CC6"/>
    <w:rsid w:val="003A4CCE"/>
    <w:rsid w:val="003A4DC8"/>
    <w:rsid w:val="003A4F1F"/>
    <w:rsid w:val="003A4F29"/>
    <w:rsid w:val="003A4F3E"/>
    <w:rsid w:val="003A4F85"/>
    <w:rsid w:val="003A5087"/>
    <w:rsid w:val="003A5124"/>
    <w:rsid w:val="003A527E"/>
    <w:rsid w:val="003A54A8"/>
    <w:rsid w:val="003A54D8"/>
    <w:rsid w:val="003A5543"/>
    <w:rsid w:val="003A5575"/>
    <w:rsid w:val="003A5691"/>
    <w:rsid w:val="003A56BC"/>
    <w:rsid w:val="003A5965"/>
    <w:rsid w:val="003A5A9B"/>
    <w:rsid w:val="003A5CE8"/>
    <w:rsid w:val="003A5EAE"/>
    <w:rsid w:val="003A5EE9"/>
    <w:rsid w:val="003A60F5"/>
    <w:rsid w:val="003A6253"/>
    <w:rsid w:val="003A6433"/>
    <w:rsid w:val="003A6440"/>
    <w:rsid w:val="003A6477"/>
    <w:rsid w:val="003A65EB"/>
    <w:rsid w:val="003A6625"/>
    <w:rsid w:val="003A6783"/>
    <w:rsid w:val="003A67AC"/>
    <w:rsid w:val="003A686C"/>
    <w:rsid w:val="003A686E"/>
    <w:rsid w:val="003A68F6"/>
    <w:rsid w:val="003A6AA9"/>
    <w:rsid w:val="003A6B3A"/>
    <w:rsid w:val="003A6C7F"/>
    <w:rsid w:val="003A6F12"/>
    <w:rsid w:val="003A6F2C"/>
    <w:rsid w:val="003A701A"/>
    <w:rsid w:val="003A70B9"/>
    <w:rsid w:val="003A7199"/>
    <w:rsid w:val="003A72D5"/>
    <w:rsid w:val="003A742B"/>
    <w:rsid w:val="003A74C7"/>
    <w:rsid w:val="003A78D6"/>
    <w:rsid w:val="003A790D"/>
    <w:rsid w:val="003A7B1E"/>
    <w:rsid w:val="003A7C0A"/>
    <w:rsid w:val="003A7C66"/>
    <w:rsid w:val="003A7F5B"/>
    <w:rsid w:val="003A7FC3"/>
    <w:rsid w:val="003B0032"/>
    <w:rsid w:val="003B013C"/>
    <w:rsid w:val="003B01C2"/>
    <w:rsid w:val="003B06A8"/>
    <w:rsid w:val="003B0988"/>
    <w:rsid w:val="003B0A00"/>
    <w:rsid w:val="003B0AE7"/>
    <w:rsid w:val="003B0BDB"/>
    <w:rsid w:val="003B0CAC"/>
    <w:rsid w:val="003B0D74"/>
    <w:rsid w:val="003B1128"/>
    <w:rsid w:val="003B11B6"/>
    <w:rsid w:val="003B11C8"/>
    <w:rsid w:val="003B120D"/>
    <w:rsid w:val="003B1234"/>
    <w:rsid w:val="003B134D"/>
    <w:rsid w:val="003B148A"/>
    <w:rsid w:val="003B1605"/>
    <w:rsid w:val="003B1728"/>
    <w:rsid w:val="003B17BF"/>
    <w:rsid w:val="003B18A8"/>
    <w:rsid w:val="003B18EC"/>
    <w:rsid w:val="003B1922"/>
    <w:rsid w:val="003B1976"/>
    <w:rsid w:val="003B1AA7"/>
    <w:rsid w:val="003B1AB3"/>
    <w:rsid w:val="003B1B7B"/>
    <w:rsid w:val="003B1C8B"/>
    <w:rsid w:val="003B1D7C"/>
    <w:rsid w:val="003B1E2B"/>
    <w:rsid w:val="003B1ED4"/>
    <w:rsid w:val="003B1F8E"/>
    <w:rsid w:val="003B207E"/>
    <w:rsid w:val="003B208D"/>
    <w:rsid w:val="003B20B9"/>
    <w:rsid w:val="003B2460"/>
    <w:rsid w:val="003B253A"/>
    <w:rsid w:val="003B2561"/>
    <w:rsid w:val="003B25EF"/>
    <w:rsid w:val="003B2667"/>
    <w:rsid w:val="003B2690"/>
    <w:rsid w:val="003B27FC"/>
    <w:rsid w:val="003B2A2D"/>
    <w:rsid w:val="003B2B7B"/>
    <w:rsid w:val="003B2D32"/>
    <w:rsid w:val="003B2E4E"/>
    <w:rsid w:val="003B2E61"/>
    <w:rsid w:val="003B3176"/>
    <w:rsid w:val="003B31F2"/>
    <w:rsid w:val="003B326A"/>
    <w:rsid w:val="003B3493"/>
    <w:rsid w:val="003B34A5"/>
    <w:rsid w:val="003B35DE"/>
    <w:rsid w:val="003B3654"/>
    <w:rsid w:val="003B3703"/>
    <w:rsid w:val="003B3894"/>
    <w:rsid w:val="003B38CF"/>
    <w:rsid w:val="003B38D8"/>
    <w:rsid w:val="003B3A6C"/>
    <w:rsid w:val="003B3B9C"/>
    <w:rsid w:val="003B3C12"/>
    <w:rsid w:val="003B3C29"/>
    <w:rsid w:val="003B3F49"/>
    <w:rsid w:val="003B3FC0"/>
    <w:rsid w:val="003B42C3"/>
    <w:rsid w:val="003B4399"/>
    <w:rsid w:val="003B43B8"/>
    <w:rsid w:val="003B44B9"/>
    <w:rsid w:val="003B44DC"/>
    <w:rsid w:val="003B45D6"/>
    <w:rsid w:val="003B49DD"/>
    <w:rsid w:val="003B4B23"/>
    <w:rsid w:val="003B4B85"/>
    <w:rsid w:val="003B4C7E"/>
    <w:rsid w:val="003B4C83"/>
    <w:rsid w:val="003B4F8C"/>
    <w:rsid w:val="003B4FEB"/>
    <w:rsid w:val="003B5007"/>
    <w:rsid w:val="003B5062"/>
    <w:rsid w:val="003B51B4"/>
    <w:rsid w:val="003B51F4"/>
    <w:rsid w:val="003B528E"/>
    <w:rsid w:val="003B529B"/>
    <w:rsid w:val="003B5463"/>
    <w:rsid w:val="003B5470"/>
    <w:rsid w:val="003B54FF"/>
    <w:rsid w:val="003B5615"/>
    <w:rsid w:val="003B5674"/>
    <w:rsid w:val="003B5709"/>
    <w:rsid w:val="003B5785"/>
    <w:rsid w:val="003B57B3"/>
    <w:rsid w:val="003B57EE"/>
    <w:rsid w:val="003B585F"/>
    <w:rsid w:val="003B5974"/>
    <w:rsid w:val="003B59BE"/>
    <w:rsid w:val="003B5A02"/>
    <w:rsid w:val="003B5AB7"/>
    <w:rsid w:val="003B5BD6"/>
    <w:rsid w:val="003B5C29"/>
    <w:rsid w:val="003B5DA5"/>
    <w:rsid w:val="003B5FA4"/>
    <w:rsid w:val="003B6053"/>
    <w:rsid w:val="003B606C"/>
    <w:rsid w:val="003B6215"/>
    <w:rsid w:val="003B623D"/>
    <w:rsid w:val="003B62CF"/>
    <w:rsid w:val="003B62FF"/>
    <w:rsid w:val="003B63CE"/>
    <w:rsid w:val="003B668A"/>
    <w:rsid w:val="003B67A4"/>
    <w:rsid w:val="003B6805"/>
    <w:rsid w:val="003B691F"/>
    <w:rsid w:val="003B694D"/>
    <w:rsid w:val="003B6A38"/>
    <w:rsid w:val="003B6AC7"/>
    <w:rsid w:val="003B6AFD"/>
    <w:rsid w:val="003B6BE4"/>
    <w:rsid w:val="003B6BE8"/>
    <w:rsid w:val="003B6C74"/>
    <w:rsid w:val="003B6D2D"/>
    <w:rsid w:val="003B6D96"/>
    <w:rsid w:val="003B6E88"/>
    <w:rsid w:val="003B6E97"/>
    <w:rsid w:val="003B6EEF"/>
    <w:rsid w:val="003B763F"/>
    <w:rsid w:val="003B7691"/>
    <w:rsid w:val="003B79B4"/>
    <w:rsid w:val="003B79E8"/>
    <w:rsid w:val="003B7B0C"/>
    <w:rsid w:val="003B7C9A"/>
    <w:rsid w:val="003B7D4E"/>
    <w:rsid w:val="003B7DA4"/>
    <w:rsid w:val="003B7DDB"/>
    <w:rsid w:val="003B7F8B"/>
    <w:rsid w:val="003B7FCE"/>
    <w:rsid w:val="003C0008"/>
    <w:rsid w:val="003C0163"/>
    <w:rsid w:val="003C01D7"/>
    <w:rsid w:val="003C0278"/>
    <w:rsid w:val="003C02FC"/>
    <w:rsid w:val="003C04C5"/>
    <w:rsid w:val="003C06C4"/>
    <w:rsid w:val="003C0721"/>
    <w:rsid w:val="003C0871"/>
    <w:rsid w:val="003C0884"/>
    <w:rsid w:val="003C08C4"/>
    <w:rsid w:val="003C08E1"/>
    <w:rsid w:val="003C0986"/>
    <w:rsid w:val="003C099B"/>
    <w:rsid w:val="003C09B6"/>
    <w:rsid w:val="003C0D85"/>
    <w:rsid w:val="003C0DBC"/>
    <w:rsid w:val="003C0DED"/>
    <w:rsid w:val="003C0EB0"/>
    <w:rsid w:val="003C0ED9"/>
    <w:rsid w:val="003C113B"/>
    <w:rsid w:val="003C11D8"/>
    <w:rsid w:val="003C138F"/>
    <w:rsid w:val="003C15A9"/>
    <w:rsid w:val="003C16E2"/>
    <w:rsid w:val="003C173D"/>
    <w:rsid w:val="003C17E3"/>
    <w:rsid w:val="003C17E4"/>
    <w:rsid w:val="003C186F"/>
    <w:rsid w:val="003C18BA"/>
    <w:rsid w:val="003C19BE"/>
    <w:rsid w:val="003C1C5F"/>
    <w:rsid w:val="003C1D67"/>
    <w:rsid w:val="003C1E17"/>
    <w:rsid w:val="003C1E5B"/>
    <w:rsid w:val="003C1F31"/>
    <w:rsid w:val="003C2078"/>
    <w:rsid w:val="003C2171"/>
    <w:rsid w:val="003C2239"/>
    <w:rsid w:val="003C2293"/>
    <w:rsid w:val="003C2374"/>
    <w:rsid w:val="003C23F3"/>
    <w:rsid w:val="003C248B"/>
    <w:rsid w:val="003C26EB"/>
    <w:rsid w:val="003C273E"/>
    <w:rsid w:val="003C27D2"/>
    <w:rsid w:val="003C27FD"/>
    <w:rsid w:val="003C293A"/>
    <w:rsid w:val="003C29C4"/>
    <w:rsid w:val="003C2A46"/>
    <w:rsid w:val="003C2B1F"/>
    <w:rsid w:val="003C2B4D"/>
    <w:rsid w:val="003C2CBE"/>
    <w:rsid w:val="003C2CE1"/>
    <w:rsid w:val="003C2D6B"/>
    <w:rsid w:val="003C31A3"/>
    <w:rsid w:val="003C31B9"/>
    <w:rsid w:val="003C31D6"/>
    <w:rsid w:val="003C320F"/>
    <w:rsid w:val="003C32C2"/>
    <w:rsid w:val="003C32EB"/>
    <w:rsid w:val="003C33C2"/>
    <w:rsid w:val="003C3495"/>
    <w:rsid w:val="003C35FA"/>
    <w:rsid w:val="003C363A"/>
    <w:rsid w:val="003C363D"/>
    <w:rsid w:val="003C388E"/>
    <w:rsid w:val="003C3BA0"/>
    <w:rsid w:val="003C3D88"/>
    <w:rsid w:val="003C3DD9"/>
    <w:rsid w:val="003C4011"/>
    <w:rsid w:val="003C403F"/>
    <w:rsid w:val="003C418A"/>
    <w:rsid w:val="003C41F9"/>
    <w:rsid w:val="003C42B1"/>
    <w:rsid w:val="003C43C8"/>
    <w:rsid w:val="003C444F"/>
    <w:rsid w:val="003C45B4"/>
    <w:rsid w:val="003C4685"/>
    <w:rsid w:val="003C4687"/>
    <w:rsid w:val="003C46A0"/>
    <w:rsid w:val="003C46AA"/>
    <w:rsid w:val="003C4719"/>
    <w:rsid w:val="003C4C1E"/>
    <w:rsid w:val="003C4C21"/>
    <w:rsid w:val="003C4D49"/>
    <w:rsid w:val="003C4E18"/>
    <w:rsid w:val="003C4EF9"/>
    <w:rsid w:val="003C4F7E"/>
    <w:rsid w:val="003C4FD1"/>
    <w:rsid w:val="003C4FED"/>
    <w:rsid w:val="003C51D6"/>
    <w:rsid w:val="003C520A"/>
    <w:rsid w:val="003C52BE"/>
    <w:rsid w:val="003C55C2"/>
    <w:rsid w:val="003C5713"/>
    <w:rsid w:val="003C57AF"/>
    <w:rsid w:val="003C5AFB"/>
    <w:rsid w:val="003C5C54"/>
    <w:rsid w:val="003C61EC"/>
    <w:rsid w:val="003C6443"/>
    <w:rsid w:val="003C660D"/>
    <w:rsid w:val="003C66CC"/>
    <w:rsid w:val="003C67DD"/>
    <w:rsid w:val="003C6817"/>
    <w:rsid w:val="003C6987"/>
    <w:rsid w:val="003C6ABE"/>
    <w:rsid w:val="003C6AD8"/>
    <w:rsid w:val="003C6B79"/>
    <w:rsid w:val="003C6C30"/>
    <w:rsid w:val="003C6D7A"/>
    <w:rsid w:val="003C6E31"/>
    <w:rsid w:val="003C6E40"/>
    <w:rsid w:val="003C6EEC"/>
    <w:rsid w:val="003C6F3A"/>
    <w:rsid w:val="003C7025"/>
    <w:rsid w:val="003C70F8"/>
    <w:rsid w:val="003C7129"/>
    <w:rsid w:val="003C723B"/>
    <w:rsid w:val="003C7487"/>
    <w:rsid w:val="003C765C"/>
    <w:rsid w:val="003C7734"/>
    <w:rsid w:val="003C795A"/>
    <w:rsid w:val="003C7D6C"/>
    <w:rsid w:val="003D00AA"/>
    <w:rsid w:val="003D027B"/>
    <w:rsid w:val="003D03E2"/>
    <w:rsid w:val="003D0402"/>
    <w:rsid w:val="003D07EF"/>
    <w:rsid w:val="003D081E"/>
    <w:rsid w:val="003D0821"/>
    <w:rsid w:val="003D084D"/>
    <w:rsid w:val="003D0872"/>
    <w:rsid w:val="003D08B4"/>
    <w:rsid w:val="003D0B2A"/>
    <w:rsid w:val="003D0C55"/>
    <w:rsid w:val="003D0CAA"/>
    <w:rsid w:val="003D0D44"/>
    <w:rsid w:val="003D0DAC"/>
    <w:rsid w:val="003D0F29"/>
    <w:rsid w:val="003D0F57"/>
    <w:rsid w:val="003D11C1"/>
    <w:rsid w:val="003D123E"/>
    <w:rsid w:val="003D1279"/>
    <w:rsid w:val="003D158D"/>
    <w:rsid w:val="003D1686"/>
    <w:rsid w:val="003D1735"/>
    <w:rsid w:val="003D1767"/>
    <w:rsid w:val="003D190E"/>
    <w:rsid w:val="003D1AF7"/>
    <w:rsid w:val="003D1D16"/>
    <w:rsid w:val="003D1D58"/>
    <w:rsid w:val="003D1E06"/>
    <w:rsid w:val="003D1E4E"/>
    <w:rsid w:val="003D1EBF"/>
    <w:rsid w:val="003D1FC6"/>
    <w:rsid w:val="003D2061"/>
    <w:rsid w:val="003D21B4"/>
    <w:rsid w:val="003D21B9"/>
    <w:rsid w:val="003D229B"/>
    <w:rsid w:val="003D2351"/>
    <w:rsid w:val="003D2453"/>
    <w:rsid w:val="003D2516"/>
    <w:rsid w:val="003D2550"/>
    <w:rsid w:val="003D25CD"/>
    <w:rsid w:val="003D26FA"/>
    <w:rsid w:val="003D275D"/>
    <w:rsid w:val="003D27F8"/>
    <w:rsid w:val="003D2C07"/>
    <w:rsid w:val="003D2D8A"/>
    <w:rsid w:val="003D2DCD"/>
    <w:rsid w:val="003D2FB4"/>
    <w:rsid w:val="003D2FE8"/>
    <w:rsid w:val="003D30F6"/>
    <w:rsid w:val="003D3152"/>
    <w:rsid w:val="003D32BC"/>
    <w:rsid w:val="003D33C6"/>
    <w:rsid w:val="003D347E"/>
    <w:rsid w:val="003D34E3"/>
    <w:rsid w:val="003D35CF"/>
    <w:rsid w:val="003D36A5"/>
    <w:rsid w:val="003D3877"/>
    <w:rsid w:val="003D3A7B"/>
    <w:rsid w:val="003D3B92"/>
    <w:rsid w:val="003D3D71"/>
    <w:rsid w:val="003D3EC9"/>
    <w:rsid w:val="003D4262"/>
    <w:rsid w:val="003D42C4"/>
    <w:rsid w:val="003D451D"/>
    <w:rsid w:val="003D4616"/>
    <w:rsid w:val="003D4659"/>
    <w:rsid w:val="003D46A9"/>
    <w:rsid w:val="003D46C9"/>
    <w:rsid w:val="003D4763"/>
    <w:rsid w:val="003D496F"/>
    <w:rsid w:val="003D4B7C"/>
    <w:rsid w:val="003D4BAB"/>
    <w:rsid w:val="003D4F74"/>
    <w:rsid w:val="003D4F83"/>
    <w:rsid w:val="003D537F"/>
    <w:rsid w:val="003D558A"/>
    <w:rsid w:val="003D5747"/>
    <w:rsid w:val="003D5B2D"/>
    <w:rsid w:val="003D5CCB"/>
    <w:rsid w:val="003D5ED6"/>
    <w:rsid w:val="003D5EFF"/>
    <w:rsid w:val="003D5F26"/>
    <w:rsid w:val="003D6026"/>
    <w:rsid w:val="003D60EF"/>
    <w:rsid w:val="003D6142"/>
    <w:rsid w:val="003D61A2"/>
    <w:rsid w:val="003D61BB"/>
    <w:rsid w:val="003D6323"/>
    <w:rsid w:val="003D633F"/>
    <w:rsid w:val="003D63FF"/>
    <w:rsid w:val="003D6488"/>
    <w:rsid w:val="003D64BF"/>
    <w:rsid w:val="003D6555"/>
    <w:rsid w:val="003D67C6"/>
    <w:rsid w:val="003D69B8"/>
    <w:rsid w:val="003D6AC8"/>
    <w:rsid w:val="003D6B8D"/>
    <w:rsid w:val="003D6BDD"/>
    <w:rsid w:val="003D6C30"/>
    <w:rsid w:val="003D6CBA"/>
    <w:rsid w:val="003D6D03"/>
    <w:rsid w:val="003D6D0B"/>
    <w:rsid w:val="003D6DD1"/>
    <w:rsid w:val="003D6E30"/>
    <w:rsid w:val="003D6E96"/>
    <w:rsid w:val="003D711C"/>
    <w:rsid w:val="003D71A3"/>
    <w:rsid w:val="003D71E5"/>
    <w:rsid w:val="003D72BF"/>
    <w:rsid w:val="003D743A"/>
    <w:rsid w:val="003D759B"/>
    <w:rsid w:val="003D75DD"/>
    <w:rsid w:val="003D75FF"/>
    <w:rsid w:val="003D7751"/>
    <w:rsid w:val="003D777E"/>
    <w:rsid w:val="003D77A8"/>
    <w:rsid w:val="003D786A"/>
    <w:rsid w:val="003D799C"/>
    <w:rsid w:val="003D7BB4"/>
    <w:rsid w:val="003D7C57"/>
    <w:rsid w:val="003D7D1A"/>
    <w:rsid w:val="003D7D43"/>
    <w:rsid w:val="003D7EBC"/>
    <w:rsid w:val="003D7EC7"/>
    <w:rsid w:val="003E0109"/>
    <w:rsid w:val="003E0280"/>
    <w:rsid w:val="003E0304"/>
    <w:rsid w:val="003E035D"/>
    <w:rsid w:val="003E03EE"/>
    <w:rsid w:val="003E0513"/>
    <w:rsid w:val="003E052D"/>
    <w:rsid w:val="003E0536"/>
    <w:rsid w:val="003E05F5"/>
    <w:rsid w:val="003E0609"/>
    <w:rsid w:val="003E0673"/>
    <w:rsid w:val="003E0ABE"/>
    <w:rsid w:val="003E0C1A"/>
    <w:rsid w:val="003E11AB"/>
    <w:rsid w:val="003E120C"/>
    <w:rsid w:val="003E1378"/>
    <w:rsid w:val="003E153E"/>
    <w:rsid w:val="003E1589"/>
    <w:rsid w:val="003E1632"/>
    <w:rsid w:val="003E16F1"/>
    <w:rsid w:val="003E18EA"/>
    <w:rsid w:val="003E19E7"/>
    <w:rsid w:val="003E19EB"/>
    <w:rsid w:val="003E1A23"/>
    <w:rsid w:val="003E1A67"/>
    <w:rsid w:val="003E1C6C"/>
    <w:rsid w:val="003E1D3D"/>
    <w:rsid w:val="003E1DB7"/>
    <w:rsid w:val="003E1E05"/>
    <w:rsid w:val="003E203F"/>
    <w:rsid w:val="003E2286"/>
    <w:rsid w:val="003E25F4"/>
    <w:rsid w:val="003E26DD"/>
    <w:rsid w:val="003E27EA"/>
    <w:rsid w:val="003E2838"/>
    <w:rsid w:val="003E2934"/>
    <w:rsid w:val="003E29CD"/>
    <w:rsid w:val="003E29E5"/>
    <w:rsid w:val="003E2A40"/>
    <w:rsid w:val="003E2DD5"/>
    <w:rsid w:val="003E2FB5"/>
    <w:rsid w:val="003E2FDB"/>
    <w:rsid w:val="003E305A"/>
    <w:rsid w:val="003E3171"/>
    <w:rsid w:val="003E34F1"/>
    <w:rsid w:val="003E351A"/>
    <w:rsid w:val="003E3566"/>
    <w:rsid w:val="003E38CC"/>
    <w:rsid w:val="003E3993"/>
    <w:rsid w:val="003E3CC6"/>
    <w:rsid w:val="003E3D33"/>
    <w:rsid w:val="003E3E17"/>
    <w:rsid w:val="003E3E5D"/>
    <w:rsid w:val="003E3F62"/>
    <w:rsid w:val="003E42B6"/>
    <w:rsid w:val="003E4300"/>
    <w:rsid w:val="003E4328"/>
    <w:rsid w:val="003E4348"/>
    <w:rsid w:val="003E43F2"/>
    <w:rsid w:val="003E44F1"/>
    <w:rsid w:val="003E455D"/>
    <w:rsid w:val="003E4621"/>
    <w:rsid w:val="003E469A"/>
    <w:rsid w:val="003E46C9"/>
    <w:rsid w:val="003E46D1"/>
    <w:rsid w:val="003E4713"/>
    <w:rsid w:val="003E4914"/>
    <w:rsid w:val="003E49A1"/>
    <w:rsid w:val="003E4A2A"/>
    <w:rsid w:val="003E4A85"/>
    <w:rsid w:val="003E4B27"/>
    <w:rsid w:val="003E4BC2"/>
    <w:rsid w:val="003E4D84"/>
    <w:rsid w:val="003E4DEE"/>
    <w:rsid w:val="003E4E18"/>
    <w:rsid w:val="003E4E43"/>
    <w:rsid w:val="003E5428"/>
    <w:rsid w:val="003E5578"/>
    <w:rsid w:val="003E57C6"/>
    <w:rsid w:val="003E589C"/>
    <w:rsid w:val="003E58F2"/>
    <w:rsid w:val="003E5B27"/>
    <w:rsid w:val="003E5D1F"/>
    <w:rsid w:val="003E5D58"/>
    <w:rsid w:val="003E5DC9"/>
    <w:rsid w:val="003E5E4C"/>
    <w:rsid w:val="003E5EB5"/>
    <w:rsid w:val="003E603C"/>
    <w:rsid w:val="003E605A"/>
    <w:rsid w:val="003E642E"/>
    <w:rsid w:val="003E64DA"/>
    <w:rsid w:val="003E6583"/>
    <w:rsid w:val="003E65B1"/>
    <w:rsid w:val="003E668A"/>
    <w:rsid w:val="003E66D9"/>
    <w:rsid w:val="003E68B6"/>
    <w:rsid w:val="003E68BD"/>
    <w:rsid w:val="003E6909"/>
    <w:rsid w:val="003E69B4"/>
    <w:rsid w:val="003E6AAA"/>
    <w:rsid w:val="003E6B27"/>
    <w:rsid w:val="003E6D49"/>
    <w:rsid w:val="003E6D7E"/>
    <w:rsid w:val="003E6E3F"/>
    <w:rsid w:val="003E7026"/>
    <w:rsid w:val="003E710B"/>
    <w:rsid w:val="003E7144"/>
    <w:rsid w:val="003E71E8"/>
    <w:rsid w:val="003E7247"/>
    <w:rsid w:val="003E7402"/>
    <w:rsid w:val="003E7452"/>
    <w:rsid w:val="003E74BB"/>
    <w:rsid w:val="003E75D8"/>
    <w:rsid w:val="003E7606"/>
    <w:rsid w:val="003E774E"/>
    <w:rsid w:val="003E77ED"/>
    <w:rsid w:val="003E78A2"/>
    <w:rsid w:val="003E7B4C"/>
    <w:rsid w:val="003E7B73"/>
    <w:rsid w:val="003E7C14"/>
    <w:rsid w:val="003E7C8C"/>
    <w:rsid w:val="003E7D8C"/>
    <w:rsid w:val="003E7D93"/>
    <w:rsid w:val="003E7E96"/>
    <w:rsid w:val="003E7EF5"/>
    <w:rsid w:val="003F027E"/>
    <w:rsid w:val="003F0425"/>
    <w:rsid w:val="003F05FD"/>
    <w:rsid w:val="003F068B"/>
    <w:rsid w:val="003F07B2"/>
    <w:rsid w:val="003F07CC"/>
    <w:rsid w:val="003F0834"/>
    <w:rsid w:val="003F08C6"/>
    <w:rsid w:val="003F0966"/>
    <w:rsid w:val="003F09B1"/>
    <w:rsid w:val="003F0B0C"/>
    <w:rsid w:val="003F0BF0"/>
    <w:rsid w:val="003F0C3F"/>
    <w:rsid w:val="003F0D70"/>
    <w:rsid w:val="003F0E96"/>
    <w:rsid w:val="003F0F9B"/>
    <w:rsid w:val="003F105C"/>
    <w:rsid w:val="003F108E"/>
    <w:rsid w:val="003F130A"/>
    <w:rsid w:val="003F1345"/>
    <w:rsid w:val="003F1362"/>
    <w:rsid w:val="003F151D"/>
    <w:rsid w:val="003F153B"/>
    <w:rsid w:val="003F159A"/>
    <w:rsid w:val="003F1863"/>
    <w:rsid w:val="003F18E3"/>
    <w:rsid w:val="003F1A70"/>
    <w:rsid w:val="003F1A7D"/>
    <w:rsid w:val="003F1B0F"/>
    <w:rsid w:val="003F1CC5"/>
    <w:rsid w:val="003F1EBF"/>
    <w:rsid w:val="003F2015"/>
    <w:rsid w:val="003F2057"/>
    <w:rsid w:val="003F2099"/>
    <w:rsid w:val="003F21F5"/>
    <w:rsid w:val="003F24C7"/>
    <w:rsid w:val="003F2664"/>
    <w:rsid w:val="003F269C"/>
    <w:rsid w:val="003F277E"/>
    <w:rsid w:val="003F27D7"/>
    <w:rsid w:val="003F27D9"/>
    <w:rsid w:val="003F27FC"/>
    <w:rsid w:val="003F287B"/>
    <w:rsid w:val="003F2882"/>
    <w:rsid w:val="003F28C4"/>
    <w:rsid w:val="003F2B3E"/>
    <w:rsid w:val="003F2BCB"/>
    <w:rsid w:val="003F2DEB"/>
    <w:rsid w:val="003F2E40"/>
    <w:rsid w:val="003F2E6A"/>
    <w:rsid w:val="003F2E73"/>
    <w:rsid w:val="003F2F3B"/>
    <w:rsid w:val="003F2FDF"/>
    <w:rsid w:val="003F30AF"/>
    <w:rsid w:val="003F33D4"/>
    <w:rsid w:val="003F3769"/>
    <w:rsid w:val="003F385F"/>
    <w:rsid w:val="003F3896"/>
    <w:rsid w:val="003F3897"/>
    <w:rsid w:val="003F392E"/>
    <w:rsid w:val="003F3A26"/>
    <w:rsid w:val="003F3A77"/>
    <w:rsid w:val="003F3B22"/>
    <w:rsid w:val="003F3B2D"/>
    <w:rsid w:val="003F3C07"/>
    <w:rsid w:val="003F3D1D"/>
    <w:rsid w:val="003F3D35"/>
    <w:rsid w:val="003F3E8E"/>
    <w:rsid w:val="003F42B9"/>
    <w:rsid w:val="003F4627"/>
    <w:rsid w:val="003F466B"/>
    <w:rsid w:val="003F4705"/>
    <w:rsid w:val="003F47A7"/>
    <w:rsid w:val="003F47C3"/>
    <w:rsid w:val="003F48DC"/>
    <w:rsid w:val="003F48F1"/>
    <w:rsid w:val="003F497D"/>
    <w:rsid w:val="003F4A57"/>
    <w:rsid w:val="003F4ADE"/>
    <w:rsid w:val="003F4BBE"/>
    <w:rsid w:val="003F4BCC"/>
    <w:rsid w:val="003F50DE"/>
    <w:rsid w:val="003F51F9"/>
    <w:rsid w:val="003F5307"/>
    <w:rsid w:val="003F5361"/>
    <w:rsid w:val="003F53E2"/>
    <w:rsid w:val="003F565F"/>
    <w:rsid w:val="003F5674"/>
    <w:rsid w:val="003F56DA"/>
    <w:rsid w:val="003F574B"/>
    <w:rsid w:val="003F59B3"/>
    <w:rsid w:val="003F5B92"/>
    <w:rsid w:val="003F5D52"/>
    <w:rsid w:val="003F629D"/>
    <w:rsid w:val="003F6695"/>
    <w:rsid w:val="003F683C"/>
    <w:rsid w:val="003F683D"/>
    <w:rsid w:val="003F68A5"/>
    <w:rsid w:val="003F6AD0"/>
    <w:rsid w:val="003F6B21"/>
    <w:rsid w:val="003F6B86"/>
    <w:rsid w:val="003F6BCA"/>
    <w:rsid w:val="003F6E14"/>
    <w:rsid w:val="003F6E4A"/>
    <w:rsid w:val="003F6E6B"/>
    <w:rsid w:val="003F7140"/>
    <w:rsid w:val="003F71C1"/>
    <w:rsid w:val="003F73DF"/>
    <w:rsid w:val="003F7457"/>
    <w:rsid w:val="003F7487"/>
    <w:rsid w:val="003F75C4"/>
    <w:rsid w:val="003F7720"/>
    <w:rsid w:val="003F7824"/>
    <w:rsid w:val="003F7AB8"/>
    <w:rsid w:val="003F7AD0"/>
    <w:rsid w:val="003F7B3D"/>
    <w:rsid w:val="003F7B6D"/>
    <w:rsid w:val="003F7BD1"/>
    <w:rsid w:val="003F7C3F"/>
    <w:rsid w:val="003F7CD6"/>
    <w:rsid w:val="003F7D58"/>
    <w:rsid w:val="003F7DBE"/>
    <w:rsid w:val="003F7DD5"/>
    <w:rsid w:val="003F7EFC"/>
    <w:rsid w:val="003F7F85"/>
    <w:rsid w:val="003F7FA9"/>
    <w:rsid w:val="00400036"/>
    <w:rsid w:val="00400290"/>
    <w:rsid w:val="00400418"/>
    <w:rsid w:val="004005CB"/>
    <w:rsid w:val="004006B2"/>
    <w:rsid w:val="00400980"/>
    <w:rsid w:val="00400AB8"/>
    <w:rsid w:val="00400B28"/>
    <w:rsid w:val="00400B31"/>
    <w:rsid w:val="00400D0E"/>
    <w:rsid w:val="00401232"/>
    <w:rsid w:val="004014BC"/>
    <w:rsid w:val="00401588"/>
    <w:rsid w:val="00401620"/>
    <w:rsid w:val="004019AB"/>
    <w:rsid w:val="00401A92"/>
    <w:rsid w:val="00401BB0"/>
    <w:rsid w:val="00402156"/>
    <w:rsid w:val="00402377"/>
    <w:rsid w:val="00402395"/>
    <w:rsid w:val="004025BA"/>
    <w:rsid w:val="0040262B"/>
    <w:rsid w:val="00402753"/>
    <w:rsid w:val="004028BF"/>
    <w:rsid w:val="00402B72"/>
    <w:rsid w:val="00402B85"/>
    <w:rsid w:val="00402BB6"/>
    <w:rsid w:val="00402BE7"/>
    <w:rsid w:val="00402C69"/>
    <w:rsid w:val="00402F4B"/>
    <w:rsid w:val="00403084"/>
    <w:rsid w:val="004030D6"/>
    <w:rsid w:val="0040314C"/>
    <w:rsid w:val="004032A8"/>
    <w:rsid w:val="004032EA"/>
    <w:rsid w:val="004034C3"/>
    <w:rsid w:val="00403622"/>
    <w:rsid w:val="00403727"/>
    <w:rsid w:val="00403940"/>
    <w:rsid w:val="00403A38"/>
    <w:rsid w:val="00403B9D"/>
    <w:rsid w:val="00403C79"/>
    <w:rsid w:val="00403C94"/>
    <w:rsid w:val="00403ECF"/>
    <w:rsid w:val="00403FDD"/>
    <w:rsid w:val="00404036"/>
    <w:rsid w:val="0040409E"/>
    <w:rsid w:val="00404323"/>
    <w:rsid w:val="004043A5"/>
    <w:rsid w:val="00404463"/>
    <w:rsid w:val="00404772"/>
    <w:rsid w:val="0040480D"/>
    <w:rsid w:val="00404868"/>
    <w:rsid w:val="004049D1"/>
    <w:rsid w:val="00404A0C"/>
    <w:rsid w:val="00404B64"/>
    <w:rsid w:val="00404B95"/>
    <w:rsid w:val="00404C36"/>
    <w:rsid w:val="00404E07"/>
    <w:rsid w:val="00404E43"/>
    <w:rsid w:val="00404F24"/>
    <w:rsid w:val="00404F9A"/>
    <w:rsid w:val="004052DE"/>
    <w:rsid w:val="00405350"/>
    <w:rsid w:val="0040539A"/>
    <w:rsid w:val="004053B8"/>
    <w:rsid w:val="004054C0"/>
    <w:rsid w:val="0040558D"/>
    <w:rsid w:val="004055E0"/>
    <w:rsid w:val="00405707"/>
    <w:rsid w:val="004057EF"/>
    <w:rsid w:val="00405875"/>
    <w:rsid w:val="004059AA"/>
    <w:rsid w:val="00405B02"/>
    <w:rsid w:val="00405B2E"/>
    <w:rsid w:val="00405B32"/>
    <w:rsid w:val="00405C38"/>
    <w:rsid w:val="00405C51"/>
    <w:rsid w:val="00405CDD"/>
    <w:rsid w:val="00405D24"/>
    <w:rsid w:val="00405D78"/>
    <w:rsid w:val="00405ECD"/>
    <w:rsid w:val="004060BD"/>
    <w:rsid w:val="004060D9"/>
    <w:rsid w:val="00406313"/>
    <w:rsid w:val="00406434"/>
    <w:rsid w:val="004064CD"/>
    <w:rsid w:val="00406500"/>
    <w:rsid w:val="0040658A"/>
    <w:rsid w:val="00406612"/>
    <w:rsid w:val="00406643"/>
    <w:rsid w:val="00406656"/>
    <w:rsid w:val="004067CB"/>
    <w:rsid w:val="00406827"/>
    <w:rsid w:val="0040687A"/>
    <w:rsid w:val="0040696A"/>
    <w:rsid w:val="00406EDD"/>
    <w:rsid w:val="0040710A"/>
    <w:rsid w:val="004071BD"/>
    <w:rsid w:val="0040754A"/>
    <w:rsid w:val="00407734"/>
    <w:rsid w:val="00407827"/>
    <w:rsid w:val="004079B8"/>
    <w:rsid w:val="00407C0A"/>
    <w:rsid w:val="00407CE0"/>
    <w:rsid w:val="00407D6E"/>
    <w:rsid w:val="00407DC5"/>
    <w:rsid w:val="00407E85"/>
    <w:rsid w:val="00407F10"/>
    <w:rsid w:val="00407F46"/>
    <w:rsid w:val="0041000E"/>
    <w:rsid w:val="004104F6"/>
    <w:rsid w:val="0041056A"/>
    <w:rsid w:val="004106BE"/>
    <w:rsid w:val="00410789"/>
    <w:rsid w:val="0041084A"/>
    <w:rsid w:val="004108B6"/>
    <w:rsid w:val="00410968"/>
    <w:rsid w:val="004109E8"/>
    <w:rsid w:val="00410C38"/>
    <w:rsid w:val="00410D11"/>
    <w:rsid w:val="00410D2D"/>
    <w:rsid w:val="00410D6A"/>
    <w:rsid w:val="00410DA6"/>
    <w:rsid w:val="00410DCC"/>
    <w:rsid w:val="0041104C"/>
    <w:rsid w:val="00411360"/>
    <w:rsid w:val="004113BD"/>
    <w:rsid w:val="004113F9"/>
    <w:rsid w:val="00411454"/>
    <w:rsid w:val="00411769"/>
    <w:rsid w:val="0041179E"/>
    <w:rsid w:val="004117BB"/>
    <w:rsid w:val="00411BC1"/>
    <w:rsid w:val="00411BDD"/>
    <w:rsid w:val="00411DC3"/>
    <w:rsid w:val="00412391"/>
    <w:rsid w:val="0041239C"/>
    <w:rsid w:val="004124FB"/>
    <w:rsid w:val="004126A7"/>
    <w:rsid w:val="0041278C"/>
    <w:rsid w:val="004127CA"/>
    <w:rsid w:val="00412B10"/>
    <w:rsid w:val="00412DB9"/>
    <w:rsid w:val="00412E43"/>
    <w:rsid w:val="00412EB9"/>
    <w:rsid w:val="00412EE0"/>
    <w:rsid w:val="00412F9C"/>
    <w:rsid w:val="00412FF4"/>
    <w:rsid w:val="00413378"/>
    <w:rsid w:val="0041348E"/>
    <w:rsid w:val="004134BA"/>
    <w:rsid w:val="004135D6"/>
    <w:rsid w:val="00413660"/>
    <w:rsid w:val="004137A8"/>
    <w:rsid w:val="00413B46"/>
    <w:rsid w:val="00413C63"/>
    <w:rsid w:val="00413C94"/>
    <w:rsid w:val="00413F1C"/>
    <w:rsid w:val="0041406C"/>
    <w:rsid w:val="0041407B"/>
    <w:rsid w:val="004140AB"/>
    <w:rsid w:val="00414160"/>
    <w:rsid w:val="0041437D"/>
    <w:rsid w:val="004143CF"/>
    <w:rsid w:val="00414400"/>
    <w:rsid w:val="0041466B"/>
    <w:rsid w:val="004146AD"/>
    <w:rsid w:val="004146DB"/>
    <w:rsid w:val="0041498E"/>
    <w:rsid w:val="00414A43"/>
    <w:rsid w:val="00414AC1"/>
    <w:rsid w:val="00414B9D"/>
    <w:rsid w:val="00414D39"/>
    <w:rsid w:val="00414DA2"/>
    <w:rsid w:val="00414EC3"/>
    <w:rsid w:val="00415029"/>
    <w:rsid w:val="00415088"/>
    <w:rsid w:val="004152AC"/>
    <w:rsid w:val="004152F7"/>
    <w:rsid w:val="00415372"/>
    <w:rsid w:val="004153E3"/>
    <w:rsid w:val="004153ED"/>
    <w:rsid w:val="0041546B"/>
    <w:rsid w:val="00415903"/>
    <w:rsid w:val="0041594F"/>
    <w:rsid w:val="00415957"/>
    <w:rsid w:val="00415A8D"/>
    <w:rsid w:val="00415B66"/>
    <w:rsid w:val="00415D0C"/>
    <w:rsid w:val="00415D31"/>
    <w:rsid w:val="00415E06"/>
    <w:rsid w:val="00415EDB"/>
    <w:rsid w:val="00415EE9"/>
    <w:rsid w:val="00415FAB"/>
    <w:rsid w:val="00415FC5"/>
    <w:rsid w:val="00415FFF"/>
    <w:rsid w:val="0041600F"/>
    <w:rsid w:val="00416081"/>
    <w:rsid w:val="004160E6"/>
    <w:rsid w:val="004161A0"/>
    <w:rsid w:val="00416393"/>
    <w:rsid w:val="0041650F"/>
    <w:rsid w:val="0041658D"/>
    <w:rsid w:val="00416594"/>
    <w:rsid w:val="0041673A"/>
    <w:rsid w:val="0041689F"/>
    <w:rsid w:val="004168D7"/>
    <w:rsid w:val="00416CC1"/>
    <w:rsid w:val="00416D86"/>
    <w:rsid w:val="00416F05"/>
    <w:rsid w:val="00416F3D"/>
    <w:rsid w:val="00416FD0"/>
    <w:rsid w:val="00417246"/>
    <w:rsid w:val="004172C7"/>
    <w:rsid w:val="004172CA"/>
    <w:rsid w:val="0041730D"/>
    <w:rsid w:val="004173D9"/>
    <w:rsid w:val="0041743D"/>
    <w:rsid w:val="0041751D"/>
    <w:rsid w:val="004175C5"/>
    <w:rsid w:val="004176DB"/>
    <w:rsid w:val="00417773"/>
    <w:rsid w:val="00417965"/>
    <w:rsid w:val="00417A17"/>
    <w:rsid w:val="00417B25"/>
    <w:rsid w:val="00417D18"/>
    <w:rsid w:val="00417D2E"/>
    <w:rsid w:val="00417D47"/>
    <w:rsid w:val="00417E3A"/>
    <w:rsid w:val="00420016"/>
    <w:rsid w:val="004200D9"/>
    <w:rsid w:val="00420231"/>
    <w:rsid w:val="00420374"/>
    <w:rsid w:val="00420385"/>
    <w:rsid w:val="0042041D"/>
    <w:rsid w:val="00420485"/>
    <w:rsid w:val="00420571"/>
    <w:rsid w:val="0042079C"/>
    <w:rsid w:val="004207E8"/>
    <w:rsid w:val="0042087E"/>
    <w:rsid w:val="00420A6B"/>
    <w:rsid w:val="00420AAD"/>
    <w:rsid w:val="00420BCA"/>
    <w:rsid w:val="00420D0E"/>
    <w:rsid w:val="00420E01"/>
    <w:rsid w:val="00420E41"/>
    <w:rsid w:val="00420E83"/>
    <w:rsid w:val="004212AC"/>
    <w:rsid w:val="004212B9"/>
    <w:rsid w:val="004212E0"/>
    <w:rsid w:val="00421377"/>
    <w:rsid w:val="0042138E"/>
    <w:rsid w:val="0042139B"/>
    <w:rsid w:val="004213BE"/>
    <w:rsid w:val="004214EF"/>
    <w:rsid w:val="00421889"/>
    <w:rsid w:val="00421A82"/>
    <w:rsid w:val="00421B32"/>
    <w:rsid w:val="00421BAD"/>
    <w:rsid w:val="00421DC2"/>
    <w:rsid w:val="00421E20"/>
    <w:rsid w:val="00421EEC"/>
    <w:rsid w:val="004221C6"/>
    <w:rsid w:val="004222B1"/>
    <w:rsid w:val="004222D0"/>
    <w:rsid w:val="00422308"/>
    <w:rsid w:val="00422462"/>
    <w:rsid w:val="0042254C"/>
    <w:rsid w:val="004225DA"/>
    <w:rsid w:val="0042284F"/>
    <w:rsid w:val="0042291F"/>
    <w:rsid w:val="004229ED"/>
    <w:rsid w:val="00422BD8"/>
    <w:rsid w:val="00422DFA"/>
    <w:rsid w:val="00422E15"/>
    <w:rsid w:val="00422F5E"/>
    <w:rsid w:val="00423002"/>
    <w:rsid w:val="0042310E"/>
    <w:rsid w:val="0042311F"/>
    <w:rsid w:val="00423257"/>
    <w:rsid w:val="00423371"/>
    <w:rsid w:val="00423487"/>
    <w:rsid w:val="00423525"/>
    <w:rsid w:val="004236D9"/>
    <w:rsid w:val="004236F9"/>
    <w:rsid w:val="00423931"/>
    <w:rsid w:val="004239BD"/>
    <w:rsid w:val="00423BF5"/>
    <w:rsid w:val="00423CBA"/>
    <w:rsid w:val="00423D95"/>
    <w:rsid w:val="00423ECA"/>
    <w:rsid w:val="00423F5D"/>
    <w:rsid w:val="00424526"/>
    <w:rsid w:val="00424546"/>
    <w:rsid w:val="004246BE"/>
    <w:rsid w:val="004246D4"/>
    <w:rsid w:val="00424895"/>
    <w:rsid w:val="00424910"/>
    <w:rsid w:val="0042496D"/>
    <w:rsid w:val="00424A11"/>
    <w:rsid w:val="00424B0A"/>
    <w:rsid w:val="00424B96"/>
    <w:rsid w:val="00424C78"/>
    <w:rsid w:val="00424CFD"/>
    <w:rsid w:val="00424D89"/>
    <w:rsid w:val="00424DC9"/>
    <w:rsid w:val="00424ED1"/>
    <w:rsid w:val="00424EDE"/>
    <w:rsid w:val="00424F52"/>
    <w:rsid w:val="004250F1"/>
    <w:rsid w:val="0042515A"/>
    <w:rsid w:val="004252EA"/>
    <w:rsid w:val="00425399"/>
    <w:rsid w:val="004254DC"/>
    <w:rsid w:val="00425518"/>
    <w:rsid w:val="0042556D"/>
    <w:rsid w:val="0042560D"/>
    <w:rsid w:val="00425AA2"/>
    <w:rsid w:val="00425AD9"/>
    <w:rsid w:val="00425C82"/>
    <w:rsid w:val="00425C97"/>
    <w:rsid w:val="00425D5E"/>
    <w:rsid w:val="00425DDE"/>
    <w:rsid w:val="00425E18"/>
    <w:rsid w:val="00425EFA"/>
    <w:rsid w:val="00425F0B"/>
    <w:rsid w:val="004261BF"/>
    <w:rsid w:val="00426375"/>
    <w:rsid w:val="004266E9"/>
    <w:rsid w:val="00426959"/>
    <w:rsid w:val="004269FF"/>
    <w:rsid w:val="00426A7F"/>
    <w:rsid w:val="00426AC2"/>
    <w:rsid w:val="00426BBC"/>
    <w:rsid w:val="00426C1A"/>
    <w:rsid w:val="00426C5B"/>
    <w:rsid w:val="00426D13"/>
    <w:rsid w:val="00426E60"/>
    <w:rsid w:val="00426ED6"/>
    <w:rsid w:val="00427060"/>
    <w:rsid w:val="0042709B"/>
    <w:rsid w:val="004271AA"/>
    <w:rsid w:val="004271D8"/>
    <w:rsid w:val="00427234"/>
    <w:rsid w:val="004272A0"/>
    <w:rsid w:val="00427377"/>
    <w:rsid w:val="00427423"/>
    <w:rsid w:val="00427556"/>
    <w:rsid w:val="00427560"/>
    <w:rsid w:val="00427693"/>
    <w:rsid w:val="0042769F"/>
    <w:rsid w:val="0042787F"/>
    <w:rsid w:val="00427916"/>
    <w:rsid w:val="00427A8A"/>
    <w:rsid w:val="00427AAC"/>
    <w:rsid w:val="00427B03"/>
    <w:rsid w:val="00427CEF"/>
    <w:rsid w:val="00427EB2"/>
    <w:rsid w:val="00427EF3"/>
    <w:rsid w:val="00427F94"/>
    <w:rsid w:val="00430034"/>
    <w:rsid w:val="00430099"/>
    <w:rsid w:val="0043012D"/>
    <w:rsid w:val="0043017E"/>
    <w:rsid w:val="00430247"/>
    <w:rsid w:val="0043026A"/>
    <w:rsid w:val="0043030D"/>
    <w:rsid w:val="004303DD"/>
    <w:rsid w:val="004305C6"/>
    <w:rsid w:val="004306CE"/>
    <w:rsid w:val="00430715"/>
    <w:rsid w:val="00430726"/>
    <w:rsid w:val="00430810"/>
    <w:rsid w:val="00430D23"/>
    <w:rsid w:val="00430D56"/>
    <w:rsid w:val="00430E29"/>
    <w:rsid w:val="00430EAB"/>
    <w:rsid w:val="00430EF0"/>
    <w:rsid w:val="00430F4F"/>
    <w:rsid w:val="00431011"/>
    <w:rsid w:val="0043108F"/>
    <w:rsid w:val="00431125"/>
    <w:rsid w:val="004312C1"/>
    <w:rsid w:val="004313D0"/>
    <w:rsid w:val="004313EA"/>
    <w:rsid w:val="004314CB"/>
    <w:rsid w:val="0043154E"/>
    <w:rsid w:val="004315ED"/>
    <w:rsid w:val="00431751"/>
    <w:rsid w:val="00431954"/>
    <w:rsid w:val="00431ACA"/>
    <w:rsid w:val="00431B05"/>
    <w:rsid w:val="00431DB4"/>
    <w:rsid w:val="00431DDD"/>
    <w:rsid w:val="00431E0B"/>
    <w:rsid w:val="00431E38"/>
    <w:rsid w:val="00431E7C"/>
    <w:rsid w:val="0043220E"/>
    <w:rsid w:val="00432242"/>
    <w:rsid w:val="004322E8"/>
    <w:rsid w:val="00432388"/>
    <w:rsid w:val="004325B4"/>
    <w:rsid w:val="004328D4"/>
    <w:rsid w:val="00432972"/>
    <w:rsid w:val="00432D2D"/>
    <w:rsid w:val="00432D40"/>
    <w:rsid w:val="00432DB5"/>
    <w:rsid w:val="00432DD0"/>
    <w:rsid w:val="00432E06"/>
    <w:rsid w:val="0043301F"/>
    <w:rsid w:val="0043327A"/>
    <w:rsid w:val="004334C6"/>
    <w:rsid w:val="004335FC"/>
    <w:rsid w:val="00433631"/>
    <w:rsid w:val="004336B6"/>
    <w:rsid w:val="00433A19"/>
    <w:rsid w:val="00433C30"/>
    <w:rsid w:val="00433C5F"/>
    <w:rsid w:val="00433CF6"/>
    <w:rsid w:val="00433D23"/>
    <w:rsid w:val="00433EA0"/>
    <w:rsid w:val="00433EEE"/>
    <w:rsid w:val="00433F52"/>
    <w:rsid w:val="00433F58"/>
    <w:rsid w:val="00433FF2"/>
    <w:rsid w:val="0043403E"/>
    <w:rsid w:val="00434179"/>
    <w:rsid w:val="004343C9"/>
    <w:rsid w:val="004344AA"/>
    <w:rsid w:val="004344D1"/>
    <w:rsid w:val="00434560"/>
    <w:rsid w:val="0043456C"/>
    <w:rsid w:val="00434597"/>
    <w:rsid w:val="00434697"/>
    <w:rsid w:val="0043485F"/>
    <w:rsid w:val="00434B23"/>
    <w:rsid w:val="00434BEB"/>
    <w:rsid w:val="00434C33"/>
    <w:rsid w:val="00434CA0"/>
    <w:rsid w:val="00434DC2"/>
    <w:rsid w:val="00434F0E"/>
    <w:rsid w:val="00435226"/>
    <w:rsid w:val="004352EC"/>
    <w:rsid w:val="004353E4"/>
    <w:rsid w:val="0043543B"/>
    <w:rsid w:val="00435DB7"/>
    <w:rsid w:val="00435ED4"/>
    <w:rsid w:val="00435EE2"/>
    <w:rsid w:val="004360C2"/>
    <w:rsid w:val="00436241"/>
    <w:rsid w:val="004362EE"/>
    <w:rsid w:val="004364DB"/>
    <w:rsid w:val="0043650A"/>
    <w:rsid w:val="004367A6"/>
    <w:rsid w:val="00436954"/>
    <w:rsid w:val="004369E2"/>
    <w:rsid w:val="00436A9A"/>
    <w:rsid w:val="00436B48"/>
    <w:rsid w:val="00436B9D"/>
    <w:rsid w:val="00436BFC"/>
    <w:rsid w:val="00436C31"/>
    <w:rsid w:val="00436C40"/>
    <w:rsid w:val="00436D39"/>
    <w:rsid w:val="00436F95"/>
    <w:rsid w:val="00436FEF"/>
    <w:rsid w:val="0043710B"/>
    <w:rsid w:val="004376A5"/>
    <w:rsid w:val="00437781"/>
    <w:rsid w:val="004377CA"/>
    <w:rsid w:val="0043783A"/>
    <w:rsid w:val="0043787E"/>
    <w:rsid w:val="0043794A"/>
    <w:rsid w:val="00437A51"/>
    <w:rsid w:val="00437C7A"/>
    <w:rsid w:val="00437D85"/>
    <w:rsid w:val="00437EE5"/>
    <w:rsid w:val="00437F6F"/>
    <w:rsid w:val="00437F92"/>
    <w:rsid w:val="004400A6"/>
    <w:rsid w:val="00440275"/>
    <w:rsid w:val="004402B0"/>
    <w:rsid w:val="00440435"/>
    <w:rsid w:val="0044050F"/>
    <w:rsid w:val="004406A8"/>
    <w:rsid w:val="004409BA"/>
    <w:rsid w:val="00440A0C"/>
    <w:rsid w:val="00440A17"/>
    <w:rsid w:val="00440BAF"/>
    <w:rsid w:val="00440C3A"/>
    <w:rsid w:val="00440DB3"/>
    <w:rsid w:val="00440E35"/>
    <w:rsid w:val="00440ED7"/>
    <w:rsid w:val="00441081"/>
    <w:rsid w:val="004411A0"/>
    <w:rsid w:val="004411AD"/>
    <w:rsid w:val="004412FE"/>
    <w:rsid w:val="00441319"/>
    <w:rsid w:val="0044144D"/>
    <w:rsid w:val="00441475"/>
    <w:rsid w:val="0044150E"/>
    <w:rsid w:val="004415AE"/>
    <w:rsid w:val="004415D4"/>
    <w:rsid w:val="00441681"/>
    <w:rsid w:val="00441767"/>
    <w:rsid w:val="00441848"/>
    <w:rsid w:val="0044189B"/>
    <w:rsid w:val="00441902"/>
    <w:rsid w:val="00441A94"/>
    <w:rsid w:val="00441AAE"/>
    <w:rsid w:val="00441B18"/>
    <w:rsid w:val="00441B3F"/>
    <w:rsid w:val="00441D0B"/>
    <w:rsid w:val="00441F9C"/>
    <w:rsid w:val="00442146"/>
    <w:rsid w:val="004421B1"/>
    <w:rsid w:val="004421B8"/>
    <w:rsid w:val="004421DB"/>
    <w:rsid w:val="004422A2"/>
    <w:rsid w:val="004422BE"/>
    <w:rsid w:val="004423AC"/>
    <w:rsid w:val="004424D3"/>
    <w:rsid w:val="0044275C"/>
    <w:rsid w:val="00442999"/>
    <w:rsid w:val="00442ABB"/>
    <w:rsid w:val="00442D2F"/>
    <w:rsid w:val="00442D57"/>
    <w:rsid w:val="00442DC9"/>
    <w:rsid w:val="00442EA2"/>
    <w:rsid w:val="00442FC6"/>
    <w:rsid w:val="00443104"/>
    <w:rsid w:val="004431AA"/>
    <w:rsid w:val="004432D2"/>
    <w:rsid w:val="00443350"/>
    <w:rsid w:val="0044347A"/>
    <w:rsid w:val="0044373D"/>
    <w:rsid w:val="00443909"/>
    <w:rsid w:val="004439EE"/>
    <w:rsid w:val="00443B2B"/>
    <w:rsid w:val="00443B3A"/>
    <w:rsid w:val="00443B6D"/>
    <w:rsid w:val="00443E8B"/>
    <w:rsid w:val="00443EBE"/>
    <w:rsid w:val="00443FEB"/>
    <w:rsid w:val="00444153"/>
    <w:rsid w:val="004441DC"/>
    <w:rsid w:val="00444203"/>
    <w:rsid w:val="00444342"/>
    <w:rsid w:val="004443A7"/>
    <w:rsid w:val="004443C9"/>
    <w:rsid w:val="004443EF"/>
    <w:rsid w:val="004445E5"/>
    <w:rsid w:val="0044461F"/>
    <w:rsid w:val="0044465C"/>
    <w:rsid w:val="004446B3"/>
    <w:rsid w:val="0044486D"/>
    <w:rsid w:val="00444BEA"/>
    <w:rsid w:val="00444C3B"/>
    <w:rsid w:val="00444D9B"/>
    <w:rsid w:val="00444ED1"/>
    <w:rsid w:val="00445063"/>
    <w:rsid w:val="0044506B"/>
    <w:rsid w:val="00445196"/>
    <w:rsid w:val="004451C2"/>
    <w:rsid w:val="00445284"/>
    <w:rsid w:val="004453A5"/>
    <w:rsid w:val="004453E1"/>
    <w:rsid w:val="00445682"/>
    <w:rsid w:val="004458E1"/>
    <w:rsid w:val="004459C4"/>
    <w:rsid w:val="00445B9D"/>
    <w:rsid w:val="00446005"/>
    <w:rsid w:val="004461ED"/>
    <w:rsid w:val="0044632D"/>
    <w:rsid w:val="0044633E"/>
    <w:rsid w:val="004463BF"/>
    <w:rsid w:val="00446592"/>
    <w:rsid w:val="00446921"/>
    <w:rsid w:val="00446946"/>
    <w:rsid w:val="00446A02"/>
    <w:rsid w:val="00446B57"/>
    <w:rsid w:val="00446BDF"/>
    <w:rsid w:val="00446C2B"/>
    <w:rsid w:val="00446CEB"/>
    <w:rsid w:val="00446D8B"/>
    <w:rsid w:val="00447016"/>
    <w:rsid w:val="00447047"/>
    <w:rsid w:val="004470AC"/>
    <w:rsid w:val="00447112"/>
    <w:rsid w:val="004471B4"/>
    <w:rsid w:val="004471DB"/>
    <w:rsid w:val="004474A1"/>
    <w:rsid w:val="00447598"/>
    <w:rsid w:val="004475B4"/>
    <w:rsid w:val="0044769E"/>
    <w:rsid w:val="0044774F"/>
    <w:rsid w:val="00447779"/>
    <w:rsid w:val="004477F1"/>
    <w:rsid w:val="004479D7"/>
    <w:rsid w:val="00447AC4"/>
    <w:rsid w:val="00447B5E"/>
    <w:rsid w:val="00447DC0"/>
    <w:rsid w:val="00447EED"/>
    <w:rsid w:val="00450056"/>
    <w:rsid w:val="00450127"/>
    <w:rsid w:val="004502F5"/>
    <w:rsid w:val="00450425"/>
    <w:rsid w:val="0045044C"/>
    <w:rsid w:val="00450611"/>
    <w:rsid w:val="0045061A"/>
    <w:rsid w:val="004507DD"/>
    <w:rsid w:val="004508AF"/>
    <w:rsid w:val="004508B1"/>
    <w:rsid w:val="004508C8"/>
    <w:rsid w:val="0045092C"/>
    <w:rsid w:val="004509E6"/>
    <w:rsid w:val="00450A50"/>
    <w:rsid w:val="00450B46"/>
    <w:rsid w:val="00450B5F"/>
    <w:rsid w:val="00450C3B"/>
    <w:rsid w:val="00450CDE"/>
    <w:rsid w:val="00450DA3"/>
    <w:rsid w:val="00450FF9"/>
    <w:rsid w:val="004511D7"/>
    <w:rsid w:val="00451526"/>
    <w:rsid w:val="004516A4"/>
    <w:rsid w:val="0045174A"/>
    <w:rsid w:val="0045179F"/>
    <w:rsid w:val="00451B3A"/>
    <w:rsid w:val="00451B6A"/>
    <w:rsid w:val="00451BB8"/>
    <w:rsid w:val="00451C96"/>
    <w:rsid w:val="00451DBE"/>
    <w:rsid w:val="00451EBC"/>
    <w:rsid w:val="00451FC0"/>
    <w:rsid w:val="0045204C"/>
    <w:rsid w:val="0045210D"/>
    <w:rsid w:val="0045220E"/>
    <w:rsid w:val="0045240A"/>
    <w:rsid w:val="004524C2"/>
    <w:rsid w:val="00452532"/>
    <w:rsid w:val="004526B4"/>
    <w:rsid w:val="00452710"/>
    <w:rsid w:val="0045293B"/>
    <w:rsid w:val="00452997"/>
    <w:rsid w:val="00452AEE"/>
    <w:rsid w:val="00452CFF"/>
    <w:rsid w:val="00452D28"/>
    <w:rsid w:val="00452E18"/>
    <w:rsid w:val="00452E6B"/>
    <w:rsid w:val="00452E81"/>
    <w:rsid w:val="00452ECE"/>
    <w:rsid w:val="00453054"/>
    <w:rsid w:val="0045326C"/>
    <w:rsid w:val="004533C1"/>
    <w:rsid w:val="0045342E"/>
    <w:rsid w:val="004537B3"/>
    <w:rsid w:val="004538D2"/>
    <w:rsid w:val="0045390A"/>
    <w:rsid w:val="00453932"/>
    <w:rsid w:val="00453A7B"/>
    <w:rsid w:val="00453D18"/>
    <w:rsid w:val="00453D83"/>
    <w:rsid w:val="00453F5F"/>
    <w:rsid w:val="00453FE3"/>
    <w:rsid w:val="00454065"/>
    <w:rsid w:val="004540BA"/>
    <w:rsid w:val="00454229"/>
    <w:rsid w:val="0045423C"/>
    <w:rsid w:val="0045430C"/>
    <w:rsid w:val="00454349"/>
    <w:rsid w:val="004543DE"/>
    <w:rsid w:val="004544AE"/>
    <w:rsid w:val="0045453E"/>
    <w:rsid w:val="004547E6"/>
    <w:rsid w:val="004548BB"/>
    <w:rsid w:val="00454928"/>
    <w:rsid w:val="00454AC1"/>
    <w:rsid w:val="00454ACE"/>
    <w:rsid w:val="00454B9E"/>
    <w:rsid w:val="00454CC9"/>
    <w:rsid w:val="00454DE1"/>
    <w:rsid w:val="00454E25"/>
    <w:rsid w:val="00454F69"/>
    <w:rsid w:val="0045509D"/>
    <w:rsid w:val="004551FC"/>
    <w:rsid w:val="00455209"/>
    <w:rsid w:val="004552B1"/>
    <w:rsid w:val="00455328"/>
    <w:rsid w:val="004553C0"/>
    <w:rsid w:val="00455462"/>
    <w:rsid w:val="00455535"/>
    <w:rsid w:val="00455793"/>
    <w:rsid w:val="004559CD"/>
    <w:rsid w:val="00455A92"/>
    <w:rsid w:val="00455B5A"/>
    <w:rsid w:val="00455BB2"/>
    <w:rsid w:val="00455C31"/>
    <w:rsid w:val="00455E2C"/>
    <w:rsid w:val="00455E49"/>
    <w:rsid w:val="00455F14"/>
    <w:rsid w:val="00456155"/>
    <w:rsid w:val="0045615C"/>
    <w:rsid w:val="00456339"/>
    <w:rsid w:val="00456543"/>
    <w:rsid w:val="00456552"/>
    <w:rsid w:val="00456570"/>
    <w:rsid w:val="0045659A"/>
    <w:rsid w:val="004565BF"/>
    <w:rsid w:val="0045682C"/>
    <w:rsid w:val="0045689A"/>
    <w:rsid w:val="00456AD9"/>
    <w:rsid w:val="00456BD3"/>
    <w:rsid w:val="00456C37"/>
    <w:rsid w:val="00456DCF"/>
    <w:rsid w:val="00456E79"/>
    <w:rsid w:val="004570DF"/>
    <w:rsid w:val="004572E6"/>
    <w:rsid w:val="00457375"/>
    <w:rsid w:val="00457635"/>
    <w:rsid w:val="00457685"/>
    <w:rsid w:val="004576F2"/>
    <w:rsid w:val="00457807"/>
    <w:rsid w:val="0045799A"/>
    <w:rsid w:val="004579F7"/>
    <w:rsid w:val="00457A31"/>
    <w:rsid w:val="00457A45"/>
    <w:rsid w:val="00457B70"/>
    <w:rsid w:val="00457B7C"/>
    <w:rsid w:val="00457C2E"/>
    <w:rsid w:val="00457D8D"/>
    <w:rsid w:val="00457ECC"/>
    <w:rsid w:val="00457ED2"/>
    <w:rsid w:val="00457EDA"/>
    <w:rsid w:val="00457FDD"/>
    <w:rsid w:val="0046019A"/>
    <w:rsid w:val="004601A5"/>
    <w:rsid w:val="00460246"/>
    <w:rsid w:val="00460269"/>
    <w:rsid w:val="004603CE"/>
    <w:rsid w:val="00460440"/>
    <w:rsid w:val="004605A6"/>
    <w:rsid w:val="00460663"/>
    <w:rsid w:val="0046081C"/>
    <w:rsid w:val="00460A98"/>
    <w:rsid w:val="00460B01"/>
    <w:rsid w:val="00460C61"/>
    <w:rsid w:val="00460CB5"/>
    <w:rsid w:val="00460CBD"/>
    <w:rsid w:val="00460CC6"/>
    <w:rsid w:val="00460CCD"/>
    <w:rsid w:val="00460F98"/>
    <w:rsid w:val="00460FFA"/>
    <w:rsid w:val="00461369"/>
    <w:rsid w:val="00461541"/>
    <w:rsid w:val="0046170D"/>
    <w:rsid w:val="0046175E"/>
    <w:rsid w:val="00461935"/>
    <w:rsid w:val="0046194D"/>
    <w:rsid w:val="00461ABD"/>
    <w:rsid w:val="00461B37"/>
    <w:rsid w:val="00461B5C"/>
    <w:rsid w:val="00461CC4"/>
    <w:rsid w:val="00461E9E"/>
    <w:rsid w:val="00461EE2"/>
    <w:rsid w:val="004622F5"/>
    <w:rsid w:val="004623A0"/>
    <w:rsid w:val="0046251A"/>
    <w:rsid w:val="0046259E"/>
    <w:rsid w:val="0046274D"/>
    <w:rsid w:val="004629E4"/>
    <w:rsid w:val="00462A80"/>
    <w:rsid w:val="00462B86"/>
    <w:rsid w:val="00462B90"/>
    <w:rsid w:val="00462CB2"/>
    <w:rsid w:val="00462DC9"/>
    <w:rsid w:val="00462EAA"/>
    <w:rsid w:val="00462EFE"/>
    <w:rsid w:val="00462FE8"/>
    <w:rsid w:val="00463144"/>
    <w:rsid w:val="0046317D"/>
    <w:rsid w:val="0046318D"/>
    <w:rsid w:val="00463600"/>
    <w:rsid w:val="00463720"/>
    <w:rsid w:val="00463797"/>
    <w:rsid w:val="004637A3"/>
    <w:rsid w:val="00463841"/>
    <w:rsid w:val="004638FC"/>
    <w:rsid w:val="00463CC6"/>
    <w:rsid w:val="00463ECF"/>
    <w:rsid w:val="00464027"/>
    <w:rsid w:val="00464131"/>
    <w:rsid w:val="00464211"/>
    <w:rsid w:val="0046421A"/>
    <w:rsid w:val="0046434D"/>
    <w:rsid w:val="0046435D"/>
    <w:rsid w:val="00464520"/>
    <w:rsid w:val="00464583"/>
    <w:rsid w:val="00464758"/>
    <w:rsid w:val="00464781"/>
    <w:rsid w:val="00464B2D"/>
    <w:rsid w:val="00464BA1"/>
    <w:rsid w:val="00464E2F"/>
    <w:rsid w:val="00464EC5"/>
    <w:rsid w:val="00464F11"/>
    <w:rsid w:val="004650BD"/>
    <w:rsid w:val="004651EB"/>
    <w:rsid w:val="0046520F"/>
    <w:rsid w:val="004655C2"/>
    <w:rsid w:val="004656A1"/>
    <w:rsid w:val="004658A6"/>
    <w:rsid w:val="004659B9"/>
    <w:rsid w:val="00465A21"/>
    <w:rsid w:val="00465B95"/>
    <w:rsid w:val="00465BDD"/>
    <w:rsid w:val="00465BE4"/>
    <w:rsid w:val="00465C2E"/>
    <w:rsid w:val="00465C76"/>
    <w:rsid w:val="00465E1B"/>
    <w:rsid w:val="00465F01"/>
    <w:rsid w:val="00465F25"/>
    <w:rsid w:val="00465F34"/>
    <w:rsid w:val="0046626C"/>
    <w:rsid w:val="004663F4"/>
    <w:rsid w:val="004664A4"/>
    <w:rsid w:val="004665F8"/>
    <w:rsid w:val="00466604"/>
    <w:rsid w:val="0046663B"/>
    <w:rsid w:val="004667E9"/>
    <w:rsid w:val="0046694C"/>
    <w:rsid w:val="004669A1"/>
    <w:rsid w:val="00466AA4"/>
    <w:rsid w:val="00466B7E"/>
    <w:rsid w:val="00466D04"/>
    <w:rsid w:val="00466D23"/>
    <w:rsid w:val="00466D6F"/>
    <w:rsid w:val="00466DB8"/>
    <w:rsid w:val="00466DBC"/>
    <w:rsid w:val="00466DD1"/>
    <w:rsid w:val="00466F4C"/>
    <w:rsid w:val="004670E1"/>
    <w:rsid w:val="004670E3"/>
    <w:rsid w:val="0046738D"/>
    <w:rsid w:val="0046738E"/>
    <w:rsid w:val="004674A3"/>
    <w:rsid w:val="0046768C"/>
    <w:rsid w:val="004676FC"/>
    <w:rsid w:val="0046774C"/>
    <w:rsid w:val="0046779A"/>
    <w:rsid w:val="00467870"/>
    <w:rsid w:val="004678AF"/>
    <w:rsid w:val="00467ADB"/>
    <w:rsid w:val="00467B10"/>
    <w:rsid w:val="00467C8E"/>
    <w:rsid w:val="00467EF7"/>
    <w:rsid w:val="00467F68"/>
    <w:rsid w:val="0047004C"/>
    <w:rsid w:val="0047007D"/>
    <w:rsid w:val="00470250"/>
    <w:rsid w:val="0047030C"/>
    <w:rsid w:val="00470338"/>
    <w:rsid w:val="004703EE"/>
    <w:rsid w:val="00470419"/>
    <w:rsid w:val="00470542"/>
    <w:rsid w:val="00470576"/>
    <w:rsid w:val="00470714"/>
    <w:rsid w:val="00470737"/>
    <w:rsid w:val="00470918"/>
    <w:rsid w:val="00470987"/>
    <w:rsid w:val="00470998"/>
    <w:rsid w:val="004709E5"/>
    <w:rsid w:val="00470A2C"/>
    <w:rsid w:val="00470A74"/>
    <w:rsid w:val="00470A87"/>
    <w:rsid w:val="00470B38"/>
    <w:rsid w:val="00470BD2"/>
    <w:rsid w:val="00470C08"/>
    <w:rsid w:val="00470C30"/>
    <w:rsid w:val="00470E20"/>
    <w:rsid w:val="00470EFD"/>
    <w:rsid w:val="00470F15"/>
    <w:rsid w:val="00470F81"/>
    <w:rsid w:val="004710E2"/>
    <w:rsid w:val="004710F2"/>
    <w:rsid w:val="00471747"/>
    <w:rsid w:val="00471A9F"/>
    <w:rsid w:val="00471BCE"/>
    <w:rsid w:val="00471C6D"/>
    <w:rsid w:val="00471C87"/>
    <w:rsid w:val="00471CF0"/>
    <w:rsid w:val="00471D22"/>
    <w:rsid w:val="00471D4C"/>
    <w:rsid w:val="00471D68"/>
    <w:rsid w:val="00471DEF"/>
    <w:rsid w:val="00471EEE"/>
    <w:rsid w:val="00471FC1"/>
    <w:rsid w:val="00472168"/>
    <w:rsid w:val="00472351"/>
    <w:rsid w:val="004724F6"/>
    <w:rsid w:val="004725D0"/>
    <w:rsid w:val="0047294A"/>
    <w:rsid w:val="00472977"/>
    <w:rsid w:val="00472AA5"/>
    <w:rsid w:val="00472B54"/>
    <w:rsid w:val="00472BB3"/>
    <w:rsid w:val="00472BD0"/>
    <w:rsid w:val="00472BEC"/>
    <w:rsid w:val="00472BF9"/>
    <w:rsid w:val="00472CB4"/>
    <w:rsid w:val="00472CCF"/>
    <w:rsid w:val="00472E68"/>
    <w:rsid w:val="00472FEE"/>
    <w:rsid w:val="00473268"/>
    <w:rsid w:val="004732E6"/>
    <w:rsid w:val="0047347B"/>
    <w:rsid w:val="0047353E"/>
    <w:rsid w:val="00473642"/>
    <w:rsid w:val="004736CC"/>
    <w:rsid w:val="0047372A"/>
    <w:rsid w:val="00473743"/>
    <w:rsid w:val="00473763"/>
    <w:rsid w:val="00473AD3"/>
    <w:rsid w:val="00473B25"/>
    <w:rsid w:val="00473D2B"/>
    <w:rsid w:val="00473D4E"/>
    <w:rsid w:val="00473D88"/>
    <w:rsid w:val="00473E30"/>
    <w:rsid w:val="0047401E"/>
    <w:rsid w:val="0047403B"/>
    <w:rsid w:val="004740BC"/>
    <w:rsid w:val="00474279"/>
    <w:rsid w:val="004742C7"/>
    <w:rsid w:val="00474315"/>
    <w:rsid w:val="0047446F"/>
    <w:rsid w:val="00474622"/>
    <w:rsid w:val="004746FC"/>
    <w:rsid w:val="00474929"/>
    <w:rsid w:val="00474A84"/>
    <w:rsid w:val="00474C0F"/>
    <w:rsid w:val="00474CED"/>
    <w:rsid w:val="00474DCC"/>
    <w:rsid w:val="00474DE8"/>
    <w:rsid w:val="00474E77"/>
    <w:rsid w:val="00474FE5"/>
    <w:rsid w:val="004751E8"/>
    <w:rsid w:val="00475222"/>
    <w:rsid w:val="00475246"/>
    <w:rsid w:val="00475341"/>
    <w:rsid w:val="0047541B"/>
    <w:rsid w:val="00475564"/>
    <w:rsid w:val="004755CE"/>
    <w:rsid w:val="00475603"/>
    <w:rsid w:val="0047564D"/>
    <w:rsid w:val="0047571D"/>
    <w:rsid w:val="0047573A"/>
    <w:rsid w:val="004759A0"/>
    <w:rsid w:val="00475A62"/>
    <w:rsid w:val="00475B65"/>
    <w:rsid w:val="00475B73"/>
    <w:rsid w:val="00475BC9"/>
    <w:rsid w:val="00475E2C"/>
    <w:rsid w:val="00475EA6"/>
    <w:rsid w:val="00475F44"/>
    <w:rsid w:val="00475FDB"/>
    <w:rsid w:val="0047604F"/>
    <w:rsid w:val="00476154"/>
    <w:rsid w:val="004761EF"/>
    <w:rsid w:val="004762CC"/>
    <w:rsid w:val="00476376"/>
    <w:rsid w:val="0047671B"/>
    <w:rsid w:val="0047671C"/>
    <w:rsid w:val="0047674E"/>
    <w:rsid w:val="004767E8"/>
    <w:rsid w:val="004769A0"/>
    <w:rsid w:val="004769D4"/>
    <w:rsid w:val="00476C24"/>
    <w:rsid w:val="00476E6E"/>
    <w:rsid w:val="004770A7"/>
    <w:rsid w:val="004772C0"/>
    <w:rsid w:val="00477787"/>
    <w:rsid w:val="0047778B"/>
    <w:rsid w:val="004777F6"/>
    <w:rsid w:val="00477822"/>
    <w:rsid w:val="00477CC2"/>
    <w:rsid w:val="00477CC6"/>
    <w:rsid w:val="00477D42"/>
    <w:rsid w:val="00477EB1"/>
    <w:rsid w:val="00477EFD"/>
    <w:rsid w:val="00477F12"/>
    <w:rsid w:val="00477F2A"/>
    <w:rsid w:val="00477F52"/>
    <w:rsid w:val="00480050"/>
    <w:rsid w:val="004800DD"/>
    <w:rsid w:val="00480216"/>
    <w:rsid w:val="00480373"/>
    <w:rsid w:val="0048048E"/>
    <w:rsid w:val="004804BF"/>
    <w:rsid w:val="004805F0"/>
    <w:rsid w:val="00480AC8"/>
    <w:rsid w:val="00480BA8"/>
    <w:rsid w:val="00480BD1"/>
    <w:rsid w:val="00480DF0"/>
    <w:rsid w:val="00480F14"/>
    <w:rsid w:val="0048100F"/>
    <w:rsid w:val="0048102F"/>
    <w:rsid w:val="004810E8"/>
    <w:rsid w:val="0048117D"/>
    <w:rsid w:val="004813E9"/>
    <w:rsid w:val="00481638"/>
    <w:rsid w:val="00481882"/>
    <w:rsid w:val="004819AF"/>
    <w:rsid w:val="00481A3F"/>
    <w:rsid w:val="00481B4D"/>
    <w:rsid w:val="00481C05"/>
    <w:rsid w:val="00481CBF"/>
    <w:rsid w:val="00481D46"/>
    <w:rsid w:val="00481D88"/>
    <w:rsid w:val="00481DD8"/>
    <w:rsid w:val="00481E6F"/>
    <w:rsid w:val="00481EBD"/>
    <w:rsid w:val="004820C1"/>
    <w:rsid w:val="004820E4"/>
    <w:rsid w:val="0048214E"/>
    <w:rsid w:val="00482258"/>
    <w:rsid w:val="00482334"/>
    <w:rsid w:val="0048243B"/>
    <w:rsid w:val="004824DA"/>
    <w:rsid w:val="0048255A"/>
    <w:rsid w:val="0048267E"/>
    <w:rsid w:val="004827AE"/>
    <w:rsid w:val="004827C3"/>
    <w:rsid w:val="0048297A"/>
    <w:rsid w:val="00482990"/>
    <w:rsid w:val="00482AF5"/>
    <w:rsid w:val="00482C92"/>
    <w:rsid w:val="00482E20"/>
    <w:rsid w:val="00482F33"/>
    <w:rsid w:val="00483292"/>
    <w:rsid w:val="00483680"/>
    <w:rsid w:val="00483812"/>
    <w:rsid w:val="00483926"/>
    <w:rsid w:val="00483DFE"/>
    <w:rsid w:val="00484175"/>
    <w:rsid w:val="004841D4"/>
    <w:rsid w:val="00484244"/>
    <w:rsid w:val="00484348"/>
    <w:rsid w:val="0048453A"/>
    <w:rsid w:val="004845BE"/>
    <w:rsid w:val="004847B4"/>
    <w:rsid w:val="00484978"/>
    <w:rsid w:val="00484D55"/>
    <w:rsid w:val="00484D91"/>
    <w:rsid w:val="00484DC8"/>
    <w:rsid w:val="00484E71"/>
    <w:rsid w:val="0048503D"/>
    <w:rsid w:val="00485057"/>
    <w:rsid w:val="0048507C"/>
    <w:rsid w:val="00485169"/>
    <w:rsid w:val="00485196"/>
    <w:rsid w:val="00485258"/>
    <w:rsid w:val="004852F1"/>
    <w:rsid w:val="004853E0"/>
    <w:rsid w:val="004855CD"/>
    <w:rsid w:val="004856FA"/>
    <w:rsid w:val="0048574F"/>
    <w:rsid w:val="00485767"/>
    <w:rsid w:val="00485A27"/>
    <w:rsid w:val="00485C90"/>
    <w:rsid w:val="00485CF8"/>
    <w:rsid w:val="00485DB1"/>
    <w:rsid w:val="00485E26"/>
    <w:rsid w:val="00485EAE"/>
    <w:rsid w:val="004860E5"/>
    <w:rsid w:val="00486143"/>
    <w:rsid w:val="00486283"/>
    <w:rsid w:val="004864C7"/>
    <w:rsid w:val="00486532"/>
    <w:rsid w:val="00486581"/>
    <w:rsid w:val="004865CD"/>
    <w:rsid w:val="004865E7"/>
    <w:rsid w:val="004865FA"/>
    <w:rsid w:val="004866CA"/>
    <w:rsid w:val="0048674A"/>
    <w:rsid w:val="00486769"/>
    <w:rsid w:val="0048678E"/>
    <w:rsid w:val="00486AA9"/>
    <w:rsid w:val="00486AC8"/>
    <w:rsid w:val="00486C09"/>
    <w:rsid w:val="00486FBD"/>
    <w:rsid w:val="00486FE5"/>
    <w:rsid w:val="00486FFB"/>
    <w:rsid w:val="004871C7"/>
    <w:rsid w:val="004871F2"/>
    <w:rsid w:val="00487257"/>
    <w:rsid w:val="00487285"/>
    <w:rsid w:val="00487324"/>
    <w:rsid w:val="0048757C"/>
    <w:rsid w:val="004875C2"/>
    <w:rsid w:val="00487704"/>
    <w:rsid w:val="00487839"/>
    <w:rsid w:val="004879AB"/>
    <w:rsid w:val="00487A29"/>
    <w:rsid w:val="00487A7B"/>
    <w:rsid w:val="00487DEB"/>
    <w:rsid w:val="004900A7"/>
    <w:rsid w:val="00490234"/>
    <w:rsid w:val="0049024E"/>
    <w:rsid w:val="00490289"/>
    <w:rsid w:val="0049044F"/>
    <w:rsid w:val="0049090D"/>
    <w:rsid w:val="00490966"/>
    <w:rsid w:val="0049098A"/>
    <w:rsid w:val="00490BE1"/>
    <w:rsid w:val="00490C9A"/>
    <w:rsid w:val="00490E71"/>
    <w:rsid w:val="00490FA0"/>
    <w:rsid w:val="0049101A"/>
    <w:rsid w:val="00491068"/>
    <w:rsid w:val="004910C9"/>
    <w:rsid w:val="004913DA"/>
    <w:rsid w:val="0049144F"/>
    <w:rsid w:val="00491451"/>
    <w:rsid w:val="00491553"/>
    <w:rsid w:val="004916FB"/>
    <w:rsid w:val="00491897"/>
    <w:rsid w:val="0049189C"/>
    <w:rsid w:val="00491960"/>
    <w:rsid w:val="00491A85"/>
    <w:rsid w:val="00491AD5"/>
    <w:rsid w:val="00491B6F"/>
    <w:rsid w:val="00491C58"/>
    <w:rsid w:val="00491E4F"/>
    <w:rsid w:val="00491FAE"/>
    <w:rsid w:val="00492019"/>
    <w:rsid w:val="00492085"/>
    <w:rsid w:val="00492206"/>
    <w:rsid w:val="0049223E"/>
    <w:rsid w:val="0049224F"/>
    <w:rsid w:val="004922C7"/>
    <w:rsid w:val="004923E0"/>
    <w:rsid w:val="0049257D"/>
    <w:rsid w:val="004926BA"/>
    <w:rsid w:val="004926D6"/>
    <w:rsid w:val="004928AC"/>
    <w:rsid w:val="00492907"/>
    <w:rsid w:val="004929C3"/>
    <w:rsid w:val="004929CC"/>
    <w:rsid w:val="00492A41"/>
    <w:rsid w:val="00492A9F"/>
    <w:rsid w:val="00492E2C"/>
    <w:rsid w:val="00492EBA"/>
    <w:rsid w:val="00492F04"/>
    <w:rsid w:val="00492FC1"/>
    <w:rsid w:val="00493030"/>
    <w:rsid w:val="00493175"/>
    <w:rsid w:val="00493177"/>
    <w:rsid w:val="004931EE"/>
    <w:rsid w:val="0049339E"/>
    <w:rsid w:val="00493431"/>
    <w:rsid w:val="00493473"/>
    <w:rsid w:val="004935AE"/>
    <w:rsid w:val="004937BB"/>
    <w:rsid w:val="00493BE7"/>
    <w:rsid w:val="00493BEA"/>
    <w:rsid w:val="00493C60"/>
    <w:rsid w:val="00493CBE"/>
    <w:rsid w:val="00493D78"/>
    <w:rsid w:val="00493E23"/>
    <w:rsid w:val="00493F8B"/>
    <w:rsid w:val="0049413D"/>
    <w:rsid w:val="00494279"/>
    <w:rsid w:val="004942CF"/>
    <w:rsid w:val="0049437B"/>
    <w:rsid w:val="00494474"/>
    <w:rsid w:val="0049460B"/>
    <w:rsid w:val="004948B5"/>
    <w:rsid w:val="00494B12"/>
    <w:rsid w:val="00494CD1"/>
    <w:rsid w:val="00494D20"/>
    <w:rsid w:val="00494E6B"/>
    <w:rsid w:val="00494EB5"/>
    <w:rsid w:val="00494F61"/>
    <w:rsid w:val="004950AC"/>
    <w:rsid w:val="00495238"/>
    <w:rsid w:val="004952D2"/>
    <w:rsid w:val="004953E0"/>
    <w:rsid w:val="004954F3"/>
    <w:rsid w:val="00495765"/>
    <w:rsid w:val="004958EE"/>
    <w:rsid w:val="00495AE5"/>
    <w:rsid w:val="00495BA8"/>
    <w:rsid w:val="00495BDA"/>
    <w:rsid w:val="00495C2C"/>
    <w:rsid w:val="00495C73"/>
    <w:rsid w:val="00495D63"/>
    <w:rsid w:val="00495F5F"/>
    <w:rsid w:val="004960BC"/>
    <w:rsid w:val="00496140"/>
    <w:rsid w:val="00496264"/>
    <w:rsid w:val="004962D2"/>
    <w:rsid w:val="0049649C"/>
    <w:rsid w:val="004965C5"/>
    <w:rsid w:val="00496675"/>
    <w:rsid w:val="0049667B"/>
    <w:rsid w:val="004968B1"/>
    <w:rsid w:val="00496948"/>
    <w:rsid w:val="00496C61"/>
    <w:rsid w:val="00496CA4"/>
    <w:rsid w:val="00496CE5"/>
    <w:rsid w:val="00496D48"/>
    <w:rsid w:val="00496D49"/>
    <w:rsid w:val="00496D7C"/>
    <w:rsid w:val="00496E14"/>
    <w:rsid w:val="0049702E"/>
    <w:rsid w:val="0049702F"/>
    <w:rsid w:val="0049707D"/>
    <w:rsid w:val="0049724B"/>
    <w:rsid w:val="004973EF"/>
    <w:rsid w:val="00497420"/>
    <w:rsid w:val="0049748D"/>
    <w:rsid w:val="0049759A"/>
    <w:rsid w:val="004975D0"/>
    <w:rsid w:val="0049769E"/>
    <w:rsid w:val="0049779D"/>
    <w:rsid w:val="00497A98"/>
    <w:rsid w:val="00497C34"/>
    <w:rsid w:val="00497C9D"/>
    <w:rsid w:val="00497D9A"/>
    <w:rsid w:val="00497DCB"/>
    <w:rsid w:val="004A00C0"/>
    <w:rsid w:val="004A0133"/>
    <w:rsid w:val="004A0142"/>
    <w:rsid w:val="004A01A8"/>
    <w:rsid w:val="004A02F0"/>
    <w:rsid w:val="004A033F"/>
    <w:rsid w:val="004A034B"/>
    <w:rsid w:val="004A03C6"/>
    <w:rsid w:val="004A0484"/>
    <w:rsid w:val="004A0497"/>
    <w:rsid w:val="004A05AE"/>
    <w:rsid w:val="004A06D7"/>
    <w:rsid w:val="004A08C6"/>
    <w:rsid w:val="004A0962"/>
    <w:rsid w:val="004A09AB"/>
    <w:rsid w:val="004A09DC"/>
    <w:rsid w:val="004A0A13"/>
    <w:rsid w:val="004A0BC1"/>
    <w:rsid w:val="004A0C6C"/>
    <w:rsid w:val="004A0C79"/>
    <w:rsid w:val="004A0CF7"/>
    <w:rsid w:val="004A0F02"/>
    <w:rsid w:val="004A1031"/>
    <w:rsid w:val="004A1082"/>
    <w:rsid w:val="004A10C0"/>
    <w:rsid w:val="004A118E"/>
    <w:rsid w:val="004A123D"/>
    <w:rsid w:val="004A129C"/>
    <w:rsid w:val="004A13B4"/>
    <w:rsid w:val="004A13DD"/>
    <w:rsid w:val="004A1488"/>
    <w:rsid w:val="004A14B8"/>
    <w:rsid w:val="004A15F6"/>
    <w:rsid w:val="004A1604"/>
    <w:rsid w:val="004A1637"/>
    <w:rsid w:val="004A16CC"/>
    <w:rsid w:val="004A16E6"/>
    <w:rsid w:val="004A1769"/>
    <w:rsid w:val="004A18BD"/>
    <w:rsid w:val="004A1956"/>
    <w:rsid w:val="004A1AF9"/>
    <w:rsid w:val="004A1D5F"/>
    <w:rsid w:val="004A1EA7"/>
    <w:rsid w:val="004A1FDF"/>
    <w:rsid w:val="004A1FEC"/>
    <w:rsid w:val="004A20D9"/>
    <w:rsid w:val="004A20FC"/>
    <w:rsid w:val="004A26C0"/>
    <w:rsid w:val="004A2712"/>
    <w:rsid w:val="004A27AF"/>
    <w:rsid w:val="004A28BF"/>
    <w:rsid w:val="004A2997"/>
    <w:rsid w:val="004A2B9C"/>
    <w:rsid w:val="004A2E41"/>
    <w:rsid w:val="004A2F3E"/>
    <w:rsid w:val="004A31BA"/>
    <w:rsid w:val="004A3203"/>
    <w:rsid w:val="004A3227"/>
    <w:rsid w:val="004A340A"/>
    <w:rsid w:val="004A347B"/>
    <w:rsid w:val="004A34C5"/>
    <w:rsid w:val="004A3559"/>
    <w:rsid w:val="004A37AD"/>
    <w:rsid w:val="004A380C"/>
    <w:rsid w:val="004A387E"/>
    <w:rsid w:val="004A3940"/>
    <w:rsid w:val="004A398F"/>
    <w:rsid w:val="004A3E78"/>
    <w:rsid w:val="004A40FE"/>
    <w:rsid w:val="004A441F"/>
    <w:rsid w:val="004A44A9"/>
    <w:rsid w:val="004A4553"/>
    <w:rsid w:val="004A45A3"/>
    <w:rsid w:val="004A46DB"/>
    <w:rsid w:val="004A4A98"/>
    <w:rsid w:val="004A4C33"/>
    <w:rsid w:val="004A4DBA"/>
    <w:rsid w:val="004A4DCE"/>
    <w:rsid w:val="004A4F83"/>
    <w:rsid w:val="004A51E1"/>
    <w:rsid w:val="004A51E5"/>
    <w:rsid w:val="004A5238"/>
    <w:rsid w:val="004A5318"/>
    <w:rsid w:val="004A5327"/>
    <w:rsid w:val="004A539C"/>
    <w:rsid w:val="004A53C7"/>
    <w:rsid w:val="004A5577"/>
    <w:rsid w:val="004A570C"/>
    <w:rsid w:val="004A5AA1"/>
    <w:rsid w:val="004A5B75"/>
    <w:rsid w:val="004A5B87"/>
    <w:rsid w:val="004A5C6F"/>
    <w:rsid w:val="004A5CC1"/>
    <w:rsid w:val="004A5E71"/>
    <w:rsid w:val="004A603B"/>
    <w:rsid w:val="004A6102"/>
    <w:rsid w:val="004A61BD"/>
    <w:rsid w:val="004A630B"/>
    <w:rsid w:val="004A63C6"/>
    <w:rsid w:val="004A6455"/>
    <w:rsid w:val="004A6721"/>
    <w:rsid w:val="004A673D"/>
    <w:rsid w:val="004A6788"/>
    <w:rsid w:val="004A67A5"/>
    <w:rsid w:val="004A682F"/>
    <w:rsid w:val="004A6A9D"/>
    <w:rsid w:val="004A6B31"/>
    <w:rsid w:val="004A6BCC"/>
    <w:rsid w:val="004A6D65"/>
    <w:rsid w:val="004A6D8F"/>
    <w:rsid w:val="004A7087"/>
    <w:rsid w:val="004A7446"/>
    <w:rsid w:val="004A7497"/>
    <w:rsid w:val="004A74C3"/>
    <w:rsid w:val="004A768B"/>
    <w:rsid w:val="004A7ACC"/>
    <w:rsid w:val="004A7B16"/>
    <w:rsid w:val="004A7C0A"/>
    <w:rsid w:val="004A7D9C"/>
    <w:rsid w:val="004A7E70"/>
    <w:rsid w:val="004A7E79"/>
    <w:rsid w:val="004A7EDC"/>
    <w:rsid w:val="004A7F63"/>
    <w:rsid w:val="004B0177"/>
    <w:rsid w:val="004B03C4"/>
    <w:rsid w:val="004B04E3"/>
    <w:rsid w:val="004B067A"/>
    <w:rsid w:val="004B08DC"/>
    <w:rsid w:val="004B0982"/>
    <w:rsid w:val="004B0A92"/>
    <w:rsid w:val="004B0BEB"/>
    <w:rsid w:val="004B0C1D"/>
    <w:rsid w:val="004B0D03"/>
    <w:rsid w:val="004B0F79"/>
    <w:rsid w:val="004B0F98"/>
    <w:rsid w:val="004B1075"/>
    <w:rsid w:val="004B11FC"/>
    <w:rsid w:val="004B14EE"/>
    <w:rsid w:val="004B1673"/>
    <w:rsid w:val="004B1834"/>
    <w:rsid w:val="004B18AD"/>
    <w:rsid w:val="004B1C5F"/>
    <w:rsid w:val="004B1D20"/>
    <w:rsid w:val="004B1EBF"/>
    <w:rsid w:val="004B255A"/>
    <w:rsid w:val="004B2699"/>
    <w:rsid w:val="004B2726"/>
    <w:rsid w:val="004B27CD"/>
    <w:rsid w:val="004B2834"/>
    <w:rsid w:val="004B2843"/>
    <w:rsid w:val="004B297E"/>
    <w:rsid w:val="004B2A36"/>
    <w:rsid w:val="004B2A50"/>
    <w:rsid w:val="004B2A76"/>
    <w:rsid w:val="004B2AA5"/>
    <w:rsid w:val="004B2ACB"/>
    <w:rsid w:val="004B2C54"/>
    <w:rsid w:val="004B2CEC"/>
    <w:rsid w:val="004B2CEF"/>
    <w:rsid w:val="004B2E10"/>
    <w:rsid w:val="004B308B"/>
    <w:rsid w:val="004B30F4"/>
    <w:rsid w:val="004B3115"/>
    <w:rsid w:val="004B340F"/>
    <w:rsid w:val="004B353B"/>
    <w:rsid w:val="004B38BC"/>
    <w:rsid w:val="004B3C64"/>
    <w:rsid w:val="004B3D63"/>
    <w:rsid w:val="004B3E29"/>
    <w:rsid w:val="004B3F10"/>
    <w:rsid w:val="004B433E"/>
    <w:rsid w:val="004B4374"/>
    <w:rsid w:val="004B44A0"/>
    <w:rsid w:val="004B461B"/>
    <w:rsid w:val="004B49E0"/>
    <w:rsid w:val="004B4C8A"/>
    <w:rsid w:val="004B4CD4"/>
    <w:rsid w:val="004B4E44"/>
    <w:rsid w:val="004B5170"/>
    <w:rsid w:val="004B5190"/>
    <w:rsid w:val="004B526F"/>
    <w:rsid w:val="004B53D4"/>
    <w:rsid w:val="004B53EC"/>
    <w:rsid w:val="004B547C"/>
    <w:rsid w:val="004B54BB"/>
    <w:rsid w:val="004B54C3"/>
    <w:rsid w:val="004B55F9"/>
    <w:rsid w:val="004B5601"/>
    <w:rsid w:val="004B56D8"/>
    <w:rsid w:val="004B56DC"/>
    <w:rsid w:val="004B56E0"/>
    <w:rsid w:val="004B5707"/>
    <w:rsid w:val="004B573B"/>
    <w:rsid w:val="004B573D"/>
    <w:rsid w:val="004B57B9"/>
    <w:rsid w:val="004B57C7"/>
    <w:rsid w:val="004B57CF"/>
    <w:rsid w:val="004B5850"/>
    <w:rsid w:val="004B5943"/>
    <w:rsid w:val="004B5A14"/>
    <w:rsid w:val="004B5B35"/>
    <w:rsid w:val="004B5BA1"/>
    <w:rsid w:val="004B5C71"/>
    <w:rsid w:val="004B5DE9"/>
    <w:rsid w:val="004B5EC0"/>
    <w:rsid w:val="004B5F83"/>
    <w:rsid w:val="004B60FB"/>
    <w:rsid w:val="004B611B"/>
    <w:rsid w:val="004B63D5"/>
    <w:rsid w:val="004B663C"/>
    <w:rsid w:val="004B672D"/>
    <w:rsid w:val="004B6739"/>
    <w:rsid w:val="004B6903"/>
    <w:rsid w:val="004B69AF"/>
    <w:rsid w:val="004B6A60"/>
    <w:rsid w:val="004B6E56"/>
    <w:rsid w:val="004B6E7A"/>
    <w:rsid w:val="004B6EE9"/>
    <w:rsid w:val="004B6FB5"/>
    <w:rsid w:val="004B7222"/>
    <w:rsid w:val="004B7241"/>
    <w:rsid w:val="004B7327"/>
    <w:rsid w:val="004B7475"/>
    <w:rsid w:val="004B747C"/>
    <w:rsid w:val="004B7590"/>
    <w:rsid w:val="004B77B8"/>
    <w:rsid w:val="004B782F"/>
    <w:rsid w:val="004B78FF"/>
    <w:rsid w:val="004B795E"/>
    <w:rsid w:val="004B799E"/>
    <w:rsid w:val="004B7B08"/>
    <w:rsid w:val="004B7B8E"/>
    <w:rsid w:val="004B7C67"/>
    <w:rsid w:val="004B7CD3"/>
    <w:rsid w:val="004B7CE1"/>
    <w:rsid w:val="004B7DA6"/>
    <w:rsid w:val="004B7DFA"/>
    <w:rsid w:val="004B7E06"/>
    <w:rsid w:val="004B7E66"/>
    <w:rsid w:val="004B7ED0"/>
    <w:rsid w:val="004B7F33"/>
    <w:rsid w:val="004B7FB3"/>
    <w:rsid w:val="004C0267"/>
    <w:rsid w:val="004C02F0"/>
    <w:rsid w:val="004C0467"/>
    <w:rsid w:val="004C0562"/>
    <w:rsid w:val="004C0698"/>
    <w:rsid w:val="004C0807"/>
    <w:rsid w:val="004C086E"/>
    <w:rsid w:val="004C09E6"/>
    <w:rsid w:val="004C0A80"/>
    <w:rsid w:val="004C0B08"/>
    <w:rsid w:val="004C0B1C"/>
    <w:rsid w:val="004C0C0B"/>
    <w:rsid w:val="004C0C2C"/>
    <w:rsid w:val="004C0C6F"/>
    <w:rsid w:val="004C0E08"/>
    <w:rsid w:val="004C0E7F"/>
    <w:rsid w:val="004C0F19"/>
    <w:rsid w:val="004C1114"/>
    <w:rsid w:val="004C111C"/>
    <w:rsid w:val="004C11BB"/>
    <w:rsid w:val="004C126B"/>
    <w:rsid w:val="004C13DB"/>
    <w:rsid w:val="004C162E"/>
    <w:rsid w:val="004C16C7"/>
    <w:rsid w:val="004C1706"/>
    <w:rsid w:val="004C178D"/>
    <w:rsid w:val="004C1A13"/>
    <w:rsid w:val="004C1C9D"/>
    <w:rsid w:val="004C1CCD"/>
    <w:rsid w:val="004C1E02"/>
    <w:rsid w:val="004C21CA"/>
    <w:rsid w:val="004C21E9"/>
    <w:rsid w:val="004C23C5"/>
    <w:rsid w:val="004C2560"/>
    <w:rsid w:val="004C26D5"/>
    <w:rsid w:val="004C2808"/>
    <w:rsid w:val="004C28AA"/>
    <w:rsid w:val="004C2928"/>
    <w:rsid w:val="004C2A2F"/>
    <w:rsid w:val="004C2AB9"/>
    <w:rsid w:val="004C2B32"/>
    <w:rsid w:val="004C2D1C"/>
    <w:rsid w:val="004C2DF6"/>
    <w:rsid w:val="004C2F3B"/>
    <w:rsid w:val="004C2FF9"/>
    <w:rsid w:val="004C3137"/>
    <w:rsid w:val="004C3200"/>
    <w:rsid w:val="004C33B6"/>
    <w:rsid w:val="004C33E2"/>
    <w:rsid w:val="004C3484"/>
    <w:rsid w:val="004C34FC"/>
    <w:rsid w:val="004C36B0"/>
    <w:rsid w:val="004C36DB"/>
    <w:rsid w:val="004C37E4"/>
    <w:rsid w:val="004C3811"/>
    <w:rsid w:val="004C3931"/>
    <w:rsid w:val="004C3981"/>
    <w:rsid w:val="004C3A3E"/>
    <w:rsid w:val="004C3A52"/>
    <w:rsid w:val="004C3E57"/>
    <w:rsid w:val="004C40C0"/>
    <w:rsid w:val="004C418C"/>
    <w:rsid w:val="004C43AB"/>
    <w:rsid w:val="004C4464"/>
    <w:rsid w:val="004C45D1"/>
    <w:rsid w:val="004C4719"/>
    <w:rsid w:val="004C4734"/>
    <w:rsid w:val="004C478C"/>
    <w:rsid w:val="004C4843"/>
    <w:rsid w:val="004C4B2D"/>
    <w:rsid w:val="004C4B7E"/>
    <w:rsid w:val="004C4B9E"/>
    <w:rsid w:val="004C4D8D"/>
    <w:rsid w:val="004C4E72"/>
    <w:rsid w:val="004C4F07"/>
    <w:rsid w:val="004C4FC2"/>
    <w:rsid w:val="004C506C"/>
    <w:rsid w:val="004C5325"/>
    <w:rsid w:val="004C539E"/>
    <w:rsid w:val="004C554B"/>
    <w:rsid w:val="004C595B"/>
    <w:rsid w:val="004C5D67"/>
    <w:rsid w:val="004C5D8D"/>
    <w:rsid w:val="004C603E"/>
    <w:rsid w:val="004C605C"/>
    <w:rsid w:val="004C61BE"/>
    <w:rsid w:val="004C62A7"/>
    <w:rsid w:val="004C6769"/>
    <w:rsid w:val="004C67DB"/>
    <w:rsid w:val="004C6AF7"/>
    <w:rsid w:val="004C6BE3"/>
    <w:rsid w:val="004C6C2E"/>
    <w:rsid w:val="004C6C31"/>
    <w:rsid w:val="004C6DC6"/>
    <w:rsid w:val="004C6E75"/>
    <w:rsid w:val="004C6F8A"/>
    <w:rsid w:val="004C7050"/>
    <w:rsid w:val="004C7082"/>
    <w:rsid w:val="004C70B1"/>
    <w:rsid w:val="004C7116"/>
    <w:rsid w:val="004C7415"/>
    <w:rsid w:val="004C7449"/>
    <w:rsid w:val="004C754A"/>
    <w:rsid w:val="004C755D"/>
    <w:rsid w:val="004C7606"/>
    <w:rsid w:val="004C7710"/>
    <w:rsid w:val="004C78A4"/>
    <w:rsid w:val="004C7918"/>
    <w:rsid w:val="004C7A8A"/>
    <w:rsid w:val="004C7A8D"/>
    <w:rsid w:val="004C7C11"/>
    <w:rsid w:val="004C7C3C"/>
    <w:rsid w:val="004C7DFB"/>
    <w:rsid w:val="004C7F7A"/>
    <w:rsid w:val="004D026D"/>
    <w:rsid w:val="004D0292"/>
    <w:rsid w:val="004D04DF"/>
    <w:rsid w:val="004D04F0"/>
    <w:rsid w:val="004D080F"/>
    <w:rsid w:val="004D087D"/>
    <w:rsid w:val="004D08F4"/>
    <w:rsid w:val="004D0923"/>
    <w:rsid w:val="004D0A01"/>
    <w:rsid w:val="004D0A3B"/>
    <w:rsid w:val="004D0AD6"/>
    <w:rsid w:val="004D0C4A"/>
    <w:rsid w:val="004D0D5C"/>
    <w:rsid w:val="004D0F29"/>
    <w:rsid w:val="004D0FB6"/>
    <w:rsid w:val="004D10E2"/>
    <w:rsid w:val="004D10E6"/>
    <w:rsid w:val="004D12F7"/>
    <w:rsid w:val="004D1370"/>
    <w:rsid w:val="004D13CA"/>
    <w:rsid w:val="004D1593"/>
    <w:rsid w:val="004D15C7"/>
    <w:rsid w:val="004D1610"/>
    <w:rsid w:val="004D1666"/>
    <w:rsid w:val="004D1685"/>
    <w:rsid w:val="004D1697"/>
    <w:rsid w:val="004D169C"/>
    <w:rsid w:val="004D183E"/>
    <w:rsid w:val="004D19C9"/>
    <w:rsid w:val="004D19EA"/>
    <w:rsid w:val="004D1A88"/>
    <w:rsid w:val="004D1B2F"/>
    <w:rsid w:val="004D1C8B"/>
    <w:rsid w:val="004D1CFA"/>
    <w:rsid w:val="004D1D33"/>
    <w:rsid w:val="004D1D6A"/>
    <w:rsid w:val="004D1EFF"/>
    <w:rsid w:val="004D200F"/>
    <w:rsid w:val="004D2139"/>
    <w:rsid w:val="004D21A1"/>
    <w:rsid w:val="004D21A7"/>
    <w:rsid w:val="004D2238"/>
    <w:rsid w:val="004D2258"/>
    <w:rsid w:val="004D2428"/>
    <w:rsid w:val="004D2432"/>
    <w:rsid w:val="004D2780"/>
    <w:rsid w:val="004D2984"/>
    <w:rsid w:val="004D29EF"/>
    <w:rsid w:val="004D2A09"/>
    <w:rsid w:val="004D2A83"/>
    <w:rsid w:val="004D2E75"/>
    <w:rsid w:val="004D2F92"/>
    <w:rsid w:val="004D2F99"/>
    <w:rsid w:val="004D3265"/>
    <w:rsid w:val="004D3266"/>
    <w:rsid w:val="004D3417"/>
    <w:rsid w:val="004D3445"/>
    <w:rsid w:val="004D34BC"/>
    <w:rsid w:val="004D34E4"/>
    <w:rsid w:val="004D3500"/>
    <w:rsid w:val="004D3582"/>
    <w:rsid w:val="004D3644"/>
    <w:rsid w:val="004D36F2"/>
    <w:rsid w:val="004D3718"/>
    <w:rsid w:val="004D3798"/>
    <w:rsid w:val="004D3821"/>
    <w:rsid w:val="004D386A"/>
    <w:rsid w:val="004D39B4"/>
    <w:rsid w:val="004D39FE"/>
    <w:rsid w:val="004D3D19"/>
    <w:rsid w:val="004D3EF0"/>
    <w:rsid w:val="004D3FA3"/>
    <w:rsid w:val="004D3FF1"/>
    <w:rsid w:val="004D41B6"/>
    <w:rsid w:val="004D42E0"/>
    <w:rsid w:val="004D4347"/>
    <w:rsid w:val="004D439C"/>
    <w:rsid w:val="004D43EC"/>
    <w:rsid w:val="004D451E"/>
    <w:rsid w:val="004D4674"/>
    <w:rsid w:val="004D46A3"/>
    <w:rsid w:val="004D46CC"/>
    <w:rsid w:val="004D4758"/>
    <w:rsid w:val="004D49AB"/>
    <w:rsid w:val="004D4C4C"/>
    <w:rsid w:val="004D4CE6"/>
    <w:rsid w:val="004D4E69"/>
    <w:rsid w:val="004D4FBD"/>
    <w:rsid w:val="004D5028"/>
    <w:rsid w:val="004D52FA"/>
    <w:rsid w:val="004D5338"/>
    <w:rsid w:val="004D54E7"/>
    <w:rsid w:val="004D5579"/>
    <w:rsid w:val="004D55EF"/>
    <w:rsid w:val="004D5618"/>
    <w:rsid w:val="004D5671"/>
    <w:rsid w:val="004D56EB"/>
    <w:rsid w:val="004D5725"/>
    <w:rsid w:val="004D5979"/>
    <w:rsid w:val="004D59B0"/>
    <w:rsid w:val="004D5AED"/>
    <w:rsid w:val="004D5AFB"/>
    <w:rsid w:val="004D5B43"/>
    <w:rsid w:val="004D5B56"/>
    <w:rsid w:val="004D5BD2"/>
    <w:rsid w:val="004D5C3A"/>
    <w:rsid w:val="004D5CC9"/>
    <w:rsid w:val="004D5EB7"/>
    <w:rsid w:val="004D65A0"/>
    <w:rsid w:val="004D65DE"/>
    <w:rsid w:val="004D66AF"/>
    <w:rsid w:val="004D6937"/>
    <w:rsid w:val="004D693B"/>
    <w:rsid w:val="004D6A3F"/>
    <w:rsid w:val="004D6B09"/>
    <w:rsid w:val="004D6B20"/>
    <w:rsid w:val="004D6DD0"/>
    <w:rsid w:val="004D6E18"/>
    <w:rsid w:val="004D6F4A"/>
    <w:rsid w:val="004D6F6D"/>
    <w:rsid w:val="004D70BD"/>
    <w:rsid w:val="004D70D6"/>
    <w:rsid w:val="004D738E"/>
    <w:rsid w:val="004D741D"/>
    <w:rsid w:val="004D741F"/>
    <w:rsid w:val="004D750C"/>
    <w:rsid w:val="004D75AD"/>
    <w:rsid w:val="004D7720"/>
    <w:rsid w:val="004D7737"/>
    <w:rsid w:val="004D7921"/>
    <w:rsid w:val="004D79ED"/>
    <w:rsid w:val="004D79F0"/>
    <w:rsid w:val="004D7AB3"/>
    <w:rsid w:val="004D7CDD"/>
    <w:rsid w:val="004D7DFF"/>
    <w:rsid w:val="004D7E38"/>
    <w:rsid w:val="004D7F4A"/>
    <w:rsid w:val="004D7FC0"/>
    <w:rsid w:val="004DE1A0"/>
    <w:rsid w:val="004E0099"/>
    <w:rsid w:val="004E01ED"/>
    <w:rsid w:val="004E0258"/>
    <w:rsid w:val="004E03EC"/>
    <w:rsid w:val="004E0456"/>
    <w:rsid w:val="004E09E8"/>
    <w:rsid w:val="004E0A39"/>
    <w:rsid w:val="004E0B00"/>
    <w:rsid w:val="004E0B15"/>
    <w:rsid w:val="004E0C6E"/>
    <w:rsid w:val="004E0D2F"/>
    <w:rsid w:val="004E0D35"/>
    <w:rsid w:val="004E0DF9"/>
    <w:rsid w:val="004E0EF5"/>
    <w:rsid w:val="004E1176"/>
    <w:rsid w:val="004E12D7"/>
    <w:rsid w:val="004E1422"/>
    <w:rsid w:val="004E1423"/>
    <w:rsid w:val="004E1522"/>
    <w:rsid w:val="004E155C"/>
    <w:rsid w:val="004E1627"/>
    <w:rsid w:val="004E16F4"/>
    <w:rsid w:val="004E1939"/>
    <w:rsid w:val="004E1B00"/>
    <w:rsid w:val="004E1B87"/>
    <w:rsid w:val="004E1BF8"/>
    <w:rsid w:val="004E1D19"/>
    <w:rsid w:val="004E1E9E"/>
    <w:rsid w:val="004E1FDC"/>
    <w:rsid w:val="004E211E"/>
    <w:rsid w:val="004E2271"/>
    <w:rsid w:val="004E2298"/>
    <w:rsid w:val="004E23AA"/>
    <w:rsid w:val="004E23DC"/>
    <w:rsid w:val="004E24C0"/>
    <w:rsid w:val="004E262A"/>
    <w:rsid w:val="004E2676"/>
    <w:rsid w:val="004E2847"/>
    <w:rsid w:val="004E2930"/>
    <w:rsid w:val="004E294A"/>
    <w:rsid w:val="004E2A22"/>
    <w:rsid w:val="004E2B96"/>
    <w:rsid w:val="004E2BC7"/>
    <w:rsid w:val="004E2C7E"/>
    <w:rsid w:val="004E2D80"/>
    <w:rsid w:val="004E2E15"/>
    <w:rsid w:val="004E2E52"/>
    <w:rsid w:val="004E318D"/>
    <w:rsid w:val="004E32B0"/>
    <w:rsid w:val="004E33B1"/>
    <w:rsid w:val="004E33CC"/>
    <w:rsid w:val="004E33DE"/>
    <w:rsid w:val="004E33FF"/>
    <w:rsid w:val="004E34C8"/>
    <w:rsid w:val="004E34ED"/>
    <w:rsid w:val="004E358F"/>
    <w:rsid w:val="004E35E9"/>
    <w:rsid w:val="004E395A"/>
    <w:rsid w:val="004E39AB"/>
    <w:rsid w:val="004E3AAC"/>
    <w:rsid w:val="004E3BA4"/>
    <w:rsid w:val="004E3D24"/>
    <w:rsid w:val="004E3F02"/>
    <w:rsid w:val="004E3F55"/>
    <w:rsid w:val="004E40DA"/>
    <w:rsid w:val="004E4130"/>
    <w:rsid w:val="004E421B"/>
    <w:rsid w:val="004E4374"/>
    <w:rsid w:val="004E4874"/>
    <w:rsid w:val="004E4AB6"/>
    <w:rsid w:val="004E4AF4"/>
    <w:rsid w:val="004E4D44"/>
    <w:rsid w:val="004E4E77"/>
    <w:rsid w:val="004E4E78"/>
    <w:rsid w:val="004E4FEE"/>
    <w:rsid w:val="004E50BE"/>
    <w:rsid w:val="004E50C4"/>
    <w:rsid w:val="004E5171"/>
    <w:rsid w:val="004E53F2"/>
    <w:rsid w:val="004E5514"/>
    <w:rsid w:val="004E5684"/>
    <w:rsid w:val="004E56B9"/>
    <w:rsid w:val="004E56E7"/>
    <w:rsid w:val="004E573A"/>
    <w:rsid w:val="004E5794"/>
    <w:rsid w:val="004E5862"/>
    <w:rsid w:val="004E5A48"/>
    <w:rsid w:val="004E5B71"/>
    <w:rsid w:val="004E5BB8"/>
    <w:rsid w:val="004E5D24"/>
    <w:rsid w:val="004E5FEA"/>
    <w:rsid w:val="004E601C"/>
    <w:rsid w:val="004E60C7"/>
    <w:rsid w:val="004E6209"/>
    <w:rsid w:val="004E6230"/>
    <w:rsid w:val="004E6357"/>
    <w:rsid w:val="004E64A4"/>
    <w:rsid w:val="004E64CB"/>
    <w:rsid w:val="004E6504"/>
    <w:rsid w:val="004E662F"/>
    <w:rsid w:val="004E66FB"/>
    <w:rsid w:val="004E6707"/>
    <w:rsid w:val="004E674D"/>
    <w:rsid w:val="004E6848"/>
    <w:rsid w:val="004E68A3"/>
    <w:rsid w:val="004E6993"/>
    <w:rsid w:val="004E6A78"/>
    <w:rsid w:val="004E6A7A"/>
    <w:rsid w:val="004E6AEA"/>
    <w:rsid w:val="004E6DBC"/>
    <w:rsid w:val="004E6E83"/>
    <w:rsid w:val="004E6F12"/>
    <w:rsid w:val="004E6F58"/>
    <w:rsid w:val="004E7082"/>
    <w:rsid w:val="004E711C"/>
    <w:rsid w:val="004E71A3"/>
    <w:rsid w:val="004E71E3"/>
    <w:rsid w:val="004E73E9"/>
    <w:rsid w:val="004E74A9"/>
    <w:rsid w:val="004E770C"/>
    <w:rsid w:val="004E7814"/>
    <w:rsid w:val="004E7819"/>
    <w:rsid w:val="004E79E2"/>
    <w:rsid w:val="004E7A96"/>
    <w:rsid w:val="004E7AEC"/>
    <w:rsid w:val="004E7BED"/>
    <w:rsid w:val="004E7D83"/>
    <w:rsid w:val="004E7E38"/>
    <w:rsid w:val="004E7EED"/>
    <w:rsid w:val="004E7EFF"/>
    <w:rsid w:val="004F025D"/>
    <w:rsid w:val="004F0260"/>
    <w:rsid w:val="004F02D9"/>
    <w:rsid w:val="004F05AA"/>
    <w:rsid w:val="004F05B7"/>
    <w:rsid w:val="004F0695"/>
    <w:rsid w:val="004F07DF"/>
    <w:rsid w:val="004F093A"/>
    <w:rsid w:val="004F096E"/>
    <w:rsid w:val="004F0B6F"/>
    <w:rsid w:val="004F0BBD"/>
    <w:rsid w:val="004F0D18"/>
    <w:rsid w:val="004F0D82"/>
    <w:rsid w:val="004F0DEF"/>
    <w:rsid w:val="004F0E8C"/>
    <w:rsid w:val="004F1008"/>
    <w:rsid w:val="004F102D"/>
    <w:rsid w:val="004F1195"/>
    <w:rsid w:val="004F11D3"/>
    <w:rsid w:val="004F1680"/>
    <w:rsid w:val="004F1689"/>
    <w:rsid w:val="004F1697"/>
    <w:rsid w:val="004F1803"/>
    <w:rsid w:val="004F182C"/>
    <w:rsid w:val="004F19BD"/>
    <w:rsid w:val="004F1B5E"/>
    <w:rsid w:val="004F1BED"/>
    <w:rsid w:val="004F1CC6"/>
    <w:rsid w:val="004F1D23"/>
    <w:rsid w:val="004F1DF6"/>
    <w:rsid w:val="004F1FD2"/>
    <w:rsid w:val="004F213D"/>
    <w:rsid w:val="004F21B6"/>
    <w:rsid w:val="004F21E0"/>
    <w:rsid w:val="004F224D"/>
    <w:rsid w:val="004F22AB"/>
    <w:rsid w:val="004F22FB"/>
    <w:rsid w:val="004F2311"/>
    <w:rsid w:val="004F2778"/>
    <w:rsid w:val="004F27C4"/>
    <w:rsid w:val="004F2853"/>
    <w:rsid w:val="004F289D"/>
    <w:rsid w:val="004F2A97"/>
    <w:rsid w:val="004F2B0C"/>
    <w:rsid w:val="004F2CAB"/>
    <w:rsid w:val="004F2CDD"/>
    <w:rsid w:val="004F2D8A"/>
    <w:rsid w:val="004F2F09"/>
    <w:rsid w:val="004F2F1A"/>
    <w:rsid w:val="004F2F86"/>
    <w:rsid w:val="004F2FC5"/>
    <w:rsid w:val="004F3031"/>
    <w:rsid w:val="004F3175"/>
    <w:rsid w:val="004F334A"/>
    <w:rsid w:val="004F3375"/>
    <w:rsid w:val="004F3533"/>
    <w:rsid w:val="004F35AF"/>
    <w:rsid w:val="004F387A"/>
    <w:rsid w:val="004F3899"/>
    <w:rsid w:val="004F38DC"/>
    <w:rsid w:val="004F39F1"/>
    <w:rsid w:val="004F3B6D"/>
    <w:rsid w:val="004F3C81"/>
    <w:rsid w:val="004F3CC1"/>
    <w:rsid w:val="004F3DD9"/>
    <w:rsid w:val="004F4210"/>
    <w:rsid w:val="004F4222"/>
    <w:rsid w:val="004F42F7"/>
    <w:rsid w:val="004F4645"/>
    <w:rsid w:val="004F494E"/>
    <w:rsid w:val="004F4B35"/>
    <w:rsid w:val="004F4B6E"/>
    <w:rsid w:val="004F4CF3"/>
    <w:rsid w:val="004F4D17"/>
    <w:rsid w:val="004F4D66"/>
    <w:rsid w:val="004F4E60"/>
    <w:rsid w:val="004F4F04"/>
    <w:rsid w:val="004F4FEF"/>
    <w:rsid w:val="004F5004"/>
    <w:rsid w:val="004F5031"/>
    <w:rsid w:val="004F5112"/>
    <w:rsid w:val="004F511E"/>
    <w:rsid w:val="004F5138"/>
    <w:rsid w:val="004F51B7"/>
    <w:rsid w:val="004F51D9"/>
    <w:rsid w:val="004F520D"/>
    <w:rsid w:val="004F5215"/>
    <w:rsid w:val="004F522A"/>
    <w:rsid w:val="004F539C"/>
    <w:rsid w:val="004F575F"/>
    <w:rsid w:val="004F5772"/>
    <w:rsid w:val="004F578F"/>
    <w:rsid w:val="004F57CA"/>
    <w:rsid w:val="004F58C9"/>
    <w:rsid w:val="004F58F5"/>
    <w:rsid w:val="004F5AA4"/>
    <w:rsid w:val="004F5B8D"/>
    <w:rsid w:val="004F5BAF"/>
    <w:rsid w:val="004F5C26"/>
    <w:rsid w:val="004F5DF6"/>
    <w:rsid w:val="004F5EE3"/>
    <w:rsid w:val="004F5F24"/>
    <w:rsid w:val="004F600B"/>
    <w:rsid w:val="004F60A5"/>
    <w:rsid w:val="004F660E"/>
    <w:rsid w:val="004F67D3"/>
    <w:rsid w:val="004F68F5"/>
    <w:rsid w:val="004F69BD"/>
    <w:rsid w:val="004F6A2E"/>
    <w:rsid w:val="004F6CD2"/>
    <w:rsid w:val="004F6E38"/>
    <w:rsid w:val="004F6FDC"/>
    <w:rsid w:val="004F7112"/>
    <w:rsid w:val="004F71E4"/>
    <w:rsid w:val="004F7224"/>
    <w:rsid w:val="004F748C"/>
    <w:rsid w:val="004F74C5"/>
    <w:rsid w:val="004F75CC"/>
    <w:rsid w:val="004F787E"/>
    <w:rsid w:val="004F7930"/>
    <w:rsid w:val="004F7A76"/>
    <w:rsid w:val="004F7BCF"/>
    <w:rsid w:val="004F7CEE"/>
    <w:rsid w:val="004F7D2F"/>
    <w:rsid w:val="004F7DFA"/>
    <w:rsid w:val="004F7FBA"/>
    <w:rsid w:val="00500036"/>
    <w:rsid w:val="005001DC"/>
    <w:rsid w:val="0050042C"/>
    <w:rsid w:val="0050044E"/>
    <w:rsid w:val="0050050C"/>
    <w:rsid w:val="0050062E"/>
    <w:rsid w:val="005006A7"/>
    <w:rsid w:val="005006B2"/>
    <w:rsid w:val="005006F5"/>
    <w:rsid w:val="005007C2"/>
    <w:rsid w:val="005007CD"/>
    <w:rsid w:val="005008E5"/>
    <w:rsid w:val="00500A09"/>
    <w:rsid w:val="00500B91"/>
    <w:rsid w:val="00500B98"/>
    <w:rsid w:val="00500E20"/>
    <w:rsid w:val="00500EC3"/>
    <w:rsid w:val="00500EC5"/>
    <w:rsid w:val="00500F09"/>
    <w:rsid w:val="00500F10"/>
    <w:rsid w:val="00500F1D"/>
    <w:rsid w:val="00500F54"/>
    <w:rsid w:val="00500FD3"/>
    <w:rsid w:val="00500FFE"/>
    <w:rsid w:val="005012DA"/>
    <w:rsid w:val="00501319"/>
    <w:rsid w:val="005013A6"/>
    <w:rsid w:val="005014F9"/>
    <w:rsid w:val="00501640"/>
    <w:rsid w:val="00501662"/>
    <w:rsid w:val="005017E1"/>
    <w:rsid w:val="005017FB"/>
    <w:rsid w:val="0050189D"/>
    <w:rsid w:val="005018B6"/>
    <w:rsid w:val="00501938"/>
    <w:rsid w:val="005019A2"/>
    <w:rsid w:val="005019D0"/>
    <w:rsid w:val="00501A12"/>
    <w:rsid w:val="00501F74"/>
    <w:rsid w:val="00502069"/>
    <w:rsid w:val="0050213A"/>
    <w:rsid w:val="00502333"/>
    <w:rsid w:val="00502467"/>
    <w:rsid w:val="00502608"/>
    <w:rsid w:val="005026FA"/>
    <w:rsid w:val="0050287B"/>
    <w:rsid w:val="005029C8"/>
    <w:rsid w:val="00502A05"/>
    <w:rsid w:val="00502B24"/>
    <w:rsid w:val="00502CE5"/>
    <w:rsid w:val="00502D2B"/>
    <w:rsid w:val="00502DAF"/>
    <w:rsid w:val="00502E1A"/>
    <w:rsid w:val="00502E6E"/>
    <w:rsid w:val="00502ED2"/>
    <w:rsid w:val="00502F0B"/>
    <w:rsid w:val="00502F3E"/>
    <w:rsid w:val="00502F5C"/>
    <w:rsid w:val="00503067"/>
    <w:rsid w:val="0050335B"/>
    <w:rsid w:val="0050338C"/>
    <w:rsid w:val="005034E8"/>
    <w:rsid w:val="00503565"/>
    <w:rsid w:val="0050364C"/>
    <w:rsid w:val="0050372B"/>
    <w:rsid w:val="005038A0"/>
    <w:rsid w:val="0050399D"/>
    <w:rsid w:val="00503DA2"/>
    <w:rsid w:val="00503DCC"/>
    <w:rsid w:val="00503F79"/>
    <w:rsid w:val="005040A0"/>
    <w:rsid w:val="00504383"/>
    <w:rsid w:val="0050438F"/>
    <w:rsid w:val="005043B7"/>
    <w:rsid w:val="005043D4"/>
    <w:rsid w:val="00504545"/>
    <w:rsid w:val="00504630"/>
    <w:rsid w:val="00504675"/>
    <w:rsid w:val="005047F8"/>
    <w:rsid w:val="00504901"/>
    <w:rsid w:val="00504B44"/>
    <w:rsid w:val="00504B84"/>
    <w:rsid w:val="00504C9F"/>
    <w:rsid w:val="00504CA9"/>
    <w:rsid w:val="00504DCD"/>
    <w:rsid w:val="00504F2F"/>
    <w:rsid w:val="00504F84"/>
    <w:rsid w:val="00505060"/>
    <w:rsid w:val="005055B1"/>
    <w:rsid w:val="00505856"/>
    <w:rsid w:val="005059D7"/>
    <w:rsid w:val="005059ED"/>
    <w:rsid w:val="00505BE2"/>
    <w:rsid w:val="00505E49"/>
    <w:rsid w:val="00505F6F"/>
    <w:rsid w:val="005062BF"/>
    <w:rsid w:val="0050650E"/>
    <w:rsid w:val="005065C5"/>
    <w:rsid w:val="005065F9"/>
    <w:rsid w:val="0050661C"/>
    <w:rsid w:val="00506745"/>
    <w:rsid w:val="00506748"/>
    <w:rsid w:val="00506810"/>
    <w:rsid w:val="00506A02"/>
    <w:rsid w:val="00506AD7"/>
    <w:rsid w:val="00506B00"/>
    <w:rsid w:val="00506D2D"/>
    <w:rsid w:val="00506D5D"/>
    <w:rsid w:val="00506E3C"/>
    <w:rsid w:val="00506E51"/>
    <w:rsid w:val="00506FB8"/>
    <w:rsid w:val="00506FBF"/>
    <w:rsid w:val="00506FDF"/>
    <w:rsid w:val="00506FEB"/>
    <w:rsid w:val="005070B8"/>
    <w:rsid w:val="00507293"/>
    <w:rsid w:val="00507330"/>
    <w:rsid w:val="005073DF"/>
    <w:rsid w:val="005073FF"/>
    <w:rsid w:val="005074EA"/>
    <w:rsid w:val="005074FB"/>
    <w:rsid w:val="00507520"/>
    <w:rsid w:val="00507659"/>
    <w:rsid w:val="00507825"/>
    <w:rsid w:val="00507D0D"/>
    <w:rsid w:val="00507D56"/>
    <w:rsid w:val="00507DC8"/>
    <w:rsid w:val="00507FDC"/>
    <w:rsid w:val="00507FFD"/>
    <w:rsid w:val="00510002"/>
    <w:rsid w:val="005100E4"/>
    <w:rsid w:val="005100F4"/>
    <w:rsid w:val="0051010D"/>
    <w:rsid w:val="005101E3"/>
    <w:rsid w:val="005104D6"/>
    <w:rsid w:val="00510565"/>
    <w:rsid w:val="00510587"/>
    <w:rsid w:val="0051089C"/>
    <w:rsid w:val="005109A8"/>
    <w:rsid w:val="00510E50"/>
    <w:rsid w:val="00510F88"/>
    <w:rsid w:val="00510FC9"/>
    <w:rsid w:val="0051144F"/>
    <w:rsid w:val="0051150A"/>
    <w:rsid w:val="00511546"/>
    <w:rsid w:val="0051166D"/>
    <w:rsid w:val="0051169A"/>
    <w:rsid w:val="005117CC"/>
    <w:rsid w:val="00511825"/>
    <w:rsid w:val="00511983"/>
    <w:rsid w:val="005119EB"/>
    <w:rsid w:val="00511A2F"/>
    <w:rsid w:val="00511ABC"/>
    <w:rsid w:val="00511E92"/>
    <w:rsid w:val="00511FD4"/>
    <w:rsid w:val="0051215C"/>
    <w:rsid w:val="0051224C"/>
    <w:rsid w:val="00512437"/>
    <w:rsid w:val="005125F0"/>
    <w:rsid w:val="00512915"/>
    <w:rsid w:val="005129DD"/>
    <w:rsid w:val="00512B64"/>
    <w:rsid w:val="00512FAA"/>
    <w:rsid w:val="00513185"/>
    <w:rsid w:val="00513205"/>
    <w:rsid w:val="00513425"/>
    <w:rsid w:val="005134E5"/>
    <w:rsid w:val="0051373F"/>
    <w:rsid w:val="0051376C"/>
    <w:rsid w:val="005137EE"/>
    <w:rsid w:val="0051386C"/>
    <w:rsid w:val="00513A60"/>
    <w:rsid w:val="00513C8B"/>
    <w:rsid w:val="00513D17"/>
    <w:rsid w:val="00513EC2"/>
    <w:rsid w:val="00513EE9"/>
    <w:rsid w:val="00513F00"/>
    <w:rsid w:val="0051413C"/>
    <w:rsid w:val="005143A7"/>
    <w:rsid w:val="00514461"/>
    <w:rsid w:val="005144C3"/>
    <w:rsid w:val="005144E2"/>
    <w:rsid w:val="00514738"/>
    <w:rsid w:val="0051480A"/>
    <w:rsid w:val="0051492F"/>
    <w:rsid w:val="00514DFD"/>
    <w:rsid w:val="00514F52"/>
    <w:rsid w:val="00514F93"/>
    <w:rsid w:val="005150C6"/>
    <w:rsid w:val="00515118"/>
    <w:rsid w:val="00515198"/>
    <w:rsid w:val="005151DE"/>
    <w:rsid w:val="005153E0"/>
    <w:rsid w:val="0051542B"/>
    <w:rsid w:val="00515458"/>
    <w:rsid w:val="00515470"/>
    <w:rsid w:val="005155AA"/>
    <w:rsid w:val="00515669"/>
    <w:rsid w:val="00515953"/>
    <w:rsid w:val="00515B68"/>
    <w:rsid w:val="00515BFD"/>
    <w:rsid w:val="00515C2C"/>
    <w:rsid w:val="00515DEF"/>
    <w:rsid w:val="00515FD8"/>
    <w:rsid w:val="005161E4"/>
    <w:rsid w:val="00516440"/>
    <w:rsid w:val="0051647C"/>
    <w:rsid w:val="005164BC"/>
    <w:rsid w:val="005164D7"/>
    <w:rsid w:val="0051650B"/>
    <w:rsid w:val="00516637"/>
    <w:rsid w:val="00516753"/>
    <w:rsid w:val="005167A0"/>
    <w:rsid w:val="005167D1"/>
    <w:rsid w:val="00516863"/>
    <w:rsid w:val="00516905"/>
    <w:rsid w:val="0051696A"/>
    <w:rsid w:val="00516B20"/>
    <w:rsid w:val="00516BA2"/>
    <w:rsid w:val="00516C78"/>
    <w:rsid w:val="00516C90"/>
    <w:rsid w:val="00516CFD"/>
    <w:rsid w:val="00516D4D"/>
    <w:rsid w:val="00516DDF"/>
    <w:rsid w:val="00516DFB"/>
    <w:rsid w:val="00516F5B"/>
    <w:rsid w:val="00516F73"/>
    <w:rsid w:val="00517091"/>
    <w:rsid w:val="005170EA"/>
    <w:rsid w:val="00517523"/>
    <w:rsid w:val="00517539"/>
    <w:rsid w:val="0051754B"/>
    <w:rsid w:val="00517670"/>
    <w:rsid w:val="005176F2"/>
    <w:rsid w:val="005177C3"/>
    <w:rsid w:val="00517815"/>
    <w:rsid w:val="0051784C"/>
    <w:rsid w:val="005178D6"/>
    <w:rsid w:val="005179D0"/>
    <w:rsid w:val="00517A87"/>
    <w:rsid w:val="00517ABC"/>
    <w:rsid w:val="00517AF1"/>
    <w:rsid w:val="00517B2C"/>
    <w:rsid w:val="00517BFE"/>
    <w:rsid w:val="00517BFF"/>
    <w:rsid w:val="00517DE9"/>
    <w:rsid w:val="00517E3D"/>
    <w:rsid w:val="00517F32"/>
    <w:rsid w:val="00517FA4"/>
    <w:rsid w:val="00517FCB"/>
    <w:rsid w:val="00517FF6"/>
    <w:rsid w:val="00520161"/>
    <w:rsid w:val="00520196"/>
    <w:rsid w:val="0052022B"/>
    <w:rsid w:val="00520232"/>
    <w:rsid w:val="00520413"/>
    <w:rsid w:val="00520459"/>
    <w:rsid w:val="005204B7"/>
    <w:rsid w:val="005204E9"/>
    <w:rsid w:val="005205F2"/>
    <w:rsid w:val="0052065E"/>
    <w:rsid w:val="005206C1"/>
    <w:rsid w:val="00520AC0"/>
    <w:rsid w:val="00520AC9"/>
    <w:rsid w:val="00520F20"/>
    <w:rsid w:val="00520F50"/>
    <w:rsid w:val="0052100C"/>
    <w:rsid w:val="0052111D"/>
    <w:rsid w:val="005213E6"/>
    <w:rsid w:val="00521698"/>
    <w:rsid w:val="005219A1"/>
    <w:rsid w:val="00521A70"/>
    <w:rsid w:val="00521AE5"/>
    <w:rsid w:val="00521CE1"/>
    <w:rsid w:val="00521DAC"/>
    <w:rsid w:val="00521EFA"/>
    <w:rsid w:val="00522159"/>
    <w:rsid w:val="005221D7"/>
    <w:rsid w:val="005222C7"/>
    <w:rsid w:val="00522311"/>
    <w:rsid w:val="00522429"/>
    <w:rsid w:val="005224C5"/>
    <w:rsid w:val="005225FD"/>
    <w:rsid w:val="005228BC"/>
    <w:rsid w:val="00522BCC"/>
    <w:rsid w:val="00522C5A"/>
    <w:rsid w:val="00522CDC"/>
    <w:rsid w:val="00522DD9"/>
    <w:rsid w:val="00522DDE"/>
    <w:rsid w:val="00522E63"/>
    <w:rsid w:val="00522E8D"/>
    <w:rsid w:val="00522F3A"/>
    <w:rsid w:val="00522F91"/>
    <w:rsid w:val="00523262"/>
    <w:rsid w:val="00523372"/>
    <w:rsid w:val="005234C6"/>
    <w:rsid w:val="005235A9"/>
    <w:rsid w:val="0052366B"/>
    <w:rsid w:val="005236EA"/>
    <w:rsid w:val="00523845"/>
    <w:rsid w:val="00523913"/>
    <w:rsid w:val="0052397E"/>
    <w:rsid w:val="00523A4C"/>
    <w:rsid w:val="00523BA7"/>
    <w:rsid w:val="00523C46"/>
    <w:rsid w:val="00523CE6"/>
    <w:rsid w:val="00523D7C"/>
    <w:rsid w:val="00523DA8"/>
    <w:rsid w:val="00523EB7"/>
    <w:rsid w:val="00523FCF"/>
    <w:rsid w:val="0052403B"/>
    <w:rsid w:val="00524080"/>
    <w:rsid w:val="00524171"/>
    <w:rsid w:val="00524263"/>
    <w:rsid w:val="0052439A"/>
    <w:rsid w:val="0052442F"/>
    <w:rsid w:val="00524467"/>
    <w:rsid w:val="00524557"/>
    <w:rsid w:val="0052465D"/>
    <w:rsid w:val="00524665"/>
    <w:rsid w:val="0052476B"/>
    <w:rsid w:val="00524796"/>
    <w:rsid w:val="00524928"/>
    <w:rsid w:val="0052496F"/>
    <w:rsid w:val="00524974"/>
    <w:rsid w:val="00524975"/>
    <w:rsid w:val="0052499B"/>
    <w:rsid w:val="00524A37"/>
    <w:rsid w:val="00524CEE"/>
    <w:rsid w:val="00524ED3"/>
    <w:rsid w:val="00524F0A"/>
    <w:rsid w:val="00524F27"/>
    <w:rsid w:val="00524FAB"/>
    <w:rsid w:val="00524FC8"/>
    <w:rsid w:val="005256C3"/>
    <w:rsid w:val="00525736"/>
    <w:rsid w:val="005257FC"/>
    <w:rsid w:val="00525897"/>
    <w:rsid w:val="00525A58"/>
    <w:rsid w:val="00525A96"/>
    <w:rsid w:val="00525B75"/>
    <w:rsid w:val="00525BA7"/>
    <w:rsid w:val="00525D5F"/>
    <w:rsid w:val="00525E26"/>
    <w:rsid w:val="0052613E"/>
    <w:rsid w:val="00526393"/>
    <w:rsid w:val="00526610"/>
    <w:rsid w:val="00526752"/>
    <w:rsid w:val="0052679D"/>
    <w:rsid w:val="0052699A"/>
    <w:rsid w:val="00526B98"/>
    <w:rsid w:val="00526BE4"/>
    <w:rsid w:val="00526C2C"/>
    <w:rsid w:val="00526C3E"/>
    <w:rsid w:val="00526E84"/>
    <w:rsid w:val="00526EA8"/>
    <w:rsid w:val="00526EFE"/>
    <w:rsid w:val="00527086"/>
    <w:rsid w:val="00527099"/>
    <w:rsid w:val="005271C9"/>
    <w:rsid w:val="005273FB"/>
    <w:rsid w:val="0052742D"/>
    <w:rsid w:val="00527633"/>
    <w:rsid w:val="0052766B"/>
    <w:rsid w:val="005276F0"/>
    <w:rsid w:val="0052791A"/>
    <w:rsid w:val="0052798D"/>
    <w:rsid w:val="00527A12"/>
    <w:rsid w:val="00527A5C"/>
    <w:rsid w:val="00527B6A"/>
    <w:rsid w:val="00527E14"/>
    <w:rsid w:val="00527F07"/>
    <w:rsid w:val="00527F88"/>
    <w:rsid w:val="00527FA6"/>
    <w:rsid w:val="00527FD1"/>
    <w:rsid w:val="00530073"/>
    <w:rsid w:val="005300E6"/>
    <w:rsid w:val="00530134"/>
    <w:rsid w:val="0053017B"/>
    <w:rsid w:val="00530268"/>
    <w:rsid w:val="00530286"/>
    <w:rsid w:val="0053030C"/>
    <w:rsid w:val="00530343"/>
    <w:rsid w:val="0053034D"/>
    <w:rsid w:val="00530350"/>
    <w:rsid w:val="005303A9"/>
    <w:rsid w:val="0053043A"/>
    <w:rsid w:val="005304A6"/>
    <w:rsid w:val="00530577"/>
    <w:rsid w:val="0053057C"/>
    <w:rsid w:val="005305F8"/>
    <w:rsid w:val="0053060E"/>
    <w:rsid w:val="005308B3"/>
    <w:rsid w:val="005309BE"/>
    <w:rsid w:val="005309CD"/>
    <w:rsid w:val="00530AB4"/>
    <w:rsid w:val="00530D0F"/>
    <w:rsid w:val="00530E55"/>
    <w:rsid w:val="00530E79"/>
    <w:rsid w:val="00530F5A"/>
    <w:rsid w:val="00531044"/>
    <w:rsid w:val="0053111C"/>
    <w:rsid w:val="00531295"/>
    <w:rsid w:val="00531592"/>
    <w:rsid w:val="005315AA"/>
    <w:rsid w:val="00531660"/>
    <w:rsid w:val="00531732"/>
    <w:rsid w:val="0053173F"/>
    <w:rsid w:val="005317BD"/>
    <w:rsid w:val="005317F9"/>
    <w:rsid w:val="005318FF"/>
    <w:rsid w:val="005319C8"/>
    <w:rsid w:val="00531A1B"/>
    <w:rsid w:val="00531D58"/>
    <w:rsid w:val="00531EFD"/>
    <w:rsid w:val="0053222C"/>
    <w:rsid w:val="005322F1"/>
    <w:rsid w:val="0053245C"/>
    <w:rsid w:val="005324FB"/>
    <w:rsid w:val="005326CE"/>
    <w:rsid w:val="005326D0"/>
    <w:rsid w:val="00532733"/>
    <w:rsid w:val="00532755"/>
    <w:rsid w:val="00532870"/>
    <w:rsid w:val="005328C0"/>
    <w:rsid w:val="00532A0C"/>
    <w:rsid w:val="00532B85"/>
    <w:rsid w:val="00532C5D"/>
    <w:rsid w:val="00532DB2"/>
    <w:rsid w:val="00532F2C"/>
    <w:rsid w:val="00532F7E"/>
    <w:rsid w:val="00532FC2"/>
    <w:rsid w:val="00532FCC"/>
    <w:rsid w:val="005330FB"/>
    <w:rsid w:val="00533165"/>
    <w:rsid w:val="00533188"/>
    <w:rsid w:val="005331B1"/>
    <w:rsid w:val="00533215"/>
    <w:rsid w:val="005332A8"/>
    <w:rsid w:val="005332E2"/>
    <w:rsid w:val="0053334F"/>
    <w:rsid w:val="005334B3"/>
    <w:rsid w:val="005335A1"/>
    <w:rsid w:val="005336B6"/>
    <w:rsid w:val="00533739"/>
    <w:rsid w:val="005337B6"/>
    <w:rsid w:val="005337CC"/>
    <w:rsid w:val="005337D4"/>
    <w:rsid w:val="00533896"/>
    <w:rsid w:val="005338F7"/>
    <w:rsid w:val="00533911"/>
    <w:rsid w:val="00533A7E"/>
    <w:rsid w:val="00533A9E"/>
    <w:rsid w:val="00533AF6"/>
    <w:rsid w:val="00533E59"/>
    <w:rsid w:val="0053400E"/>
    <w:rsid w:val="005344C4"/>
    <w:rsid w:val="005346E0"/>
    <w:rsid w:val="005347EE"/>
    <w:rsid w:val="005348C4"/>
    <w:rsid w:val="00534A82"/>
    <w:rsid w:val="00534C07"/>
    <w:rsid w:val="005350D1"/>
    <w:rsid w:val="00535270"/>
    <w:rsid w:val="005352E8"/>
    <w:rsid w:val="00535463"/>
    <w:rsid w:val="00535483"/>
    <w:rsid w:val="00535502"/>
    <w:rsid w:val="005355DF"/>
    <w:rsid w:val="0053561F"/>
    <w:rsid w:val="00535667"/>
    <w:rsid w:val="0053571C"/>
    <w:rsid w:val="00535735"/>
    <w:rsid w:val="0053586C"/>
    <w:rsid w:val="00535885"/>
    <w:rsid w:val="00535A7F"/>
    <w:rsid w:val="00535A99"/>
    <w:rsid w:val="00535AB9"/>
    <w:rsid w:val="00535C9E"/>
    <w:rsid w:val="00535CA8"/>
    <w:rsid w:val="00535E4A"/>
    <w:rsid w:val="00535F7B"/>
    <w:rsid w:val="00536053"/>
    <w:rsid w:val="00536092"/>
    <w:rsid w:val="00536099"/>
    <w:rsid w:val="00536231"/>
    <w:rsid w:val="0053626E"/>
    <w:rsid w:val="00536313"/>
    <w:rsid w:val="00536446"/>
    <w:rsid w:val="0053647B"/>
    <w:rsid w:val="00536566"/>
    <w:rsid w:val="005365E5"/>
    <w:rsid w:val="00536620"/>
    <w:rsid w:val="0053667B"/>
    <w:rsid w:val="005366DA"/>
    <w:rsid w:val="005366DD"/>
    <w:rsid w:val="0053681E"/>
    <w:rsid w:val="0053685B"/>
    <w:rsid w:val="005369C0"/>
    <w:rsid w:val="005369DD"/>
    <w:rsid w:val="00536B1D"/>
    <w:rsid w:val="00536B65"/>
    <w:rsid w:val="00536B9B"/>
    <w:rsid w:val="00536CA6"/>
    <w:rsid w:val="00536DF4"/>
    <w:rsid w:val="0053707D"/>
    <w:rsid w:val="00537086"/>
    <w:rsid w:val="0053726B"/>
    <w:rsid w:val="0053730E"/>
    <w:rsid w:val="00537312"/>
    <w:rsid w:val="0053744C"/>
    <w:rsid w:val="005374EB"/>
    <w:rsid w:val="00537925"/>
    <w:rsid w:val="00537969"/>
    <w:rsid w:val="00537999"/>
    <w:rsid w:val="00537B68"/>
    <w:rsid w:val="00537C18"/>
    <w:rsid w:val="00537EF1"/>
    <w:rsid w:val="00537F13"/>
    <w:rsid w:val="005400EB"/>
    <w:rsid w:val="005401B5"/>
    <w:rsid w:val="00540340"/>
    <w:rsid w:val="0054039C"/>
    <w:rsid w:val="00540452"/>
    <w:rsid w:val="00540454"/>
    <w:rsid w:val="00540535"/>
    <w:rsid w:val="005406C3"/>
    <w:rsid w:val="005408AA"/>
    <w:rsid w:val="005408ED"/>
    <w:rsid w:val="005408F9"/>
    <w:rsid w:val="005409EB"/>
    <w:rsid w:val="00540A28"/>
    <w:rsid w:val="00540AB3"/>
    <w:rsid w:val="00540DE1"/>
    <w:rsid w:val="00540F78"/>
    <w:rsid w:val="00540FEB"/>
    <w:rsid w:val="0054119F"/>
    <w:rsid w:val="0054123C"/>
    <w:rsid w:val="00541341"/>
    <w:rsid w:val="00541379"/>
    <w:rsid w:val="005413C9"/>
    <w:rsid w:val="005414A2"/>
    <w:rsid w:val="005415F7"/>
    <w:rsid w:val="00541663"/>
    <w:rsid w:val="005416DC"/>
    <w:rsid w:val="0054179C"/>
    <w:rsid w:val="00541879"/>
    <w:rsid w:val="00541BDB"/>
    <w:rsid w:val="00541C2F"/>
    <w:rsid w:val="00541E09"/>
    <w:rsid w:val="00541ED1"/>
    <w:rsid w:val="00541F09"/>
    <w:rsid w:val="0054205A"/>
    <w:rsid w:val="00542103"/>
    <w:rsid w:val="00542146"/>
    <w:rsid w:val="0054215D"/>
    <w:rsid w:val="00542286"/>
    <w:rsid w:val="005422A1"/>
    <w:rsid w:val="00542437"/>
    <w:rsid w:val="00542548"/>
    <w:rsid w:val="005426D9"/>
    <w:rsid w:val="005426DE"/>
    <w:rsid w:val="00542874"/>
    <w:rsid w:val="005428D7"/>
    <w:rsid w:val="00542A7C"/>
    <w:rsid w:val="00542BB1"/>
    <w:rsid w:val="00542BFD"/>
    <w:rsid w:val="00542D49"/>
    <w:rsid w:val="00542F62"/>
    <w:rsid w:val="00542FF3"/>
    <w:rsid w:val="005430B2"/>
    <w:rsid w:val="0054316A"/>
    <w:rsid w:val="0054326D"/>
    <w:rsid w:val="00543283"/>
    <w:rsid w:val="00543380"/>
    <w:rsid w:val="005433CA"/>
    <w:rsid w:val="005435C5"/>
    <w:rsid w:val="005435E8"/>
    <w:rsid w:val="005436B6"/>
    <w:rsid w:val="005438A6"/>
    <w:rsid w:val="00543A6A"/>
    <w:rsid w:val="00543B47"/>
    <w:rsid w:val="00543D39"/>
    <w:rsid w:val="00543D94"/>
    <w:rsid w:val="00543DBD"/>
    <w:rsid w:val="00543E88"/>
    <w:rsid w:val="00543EAD"/>
    <w:rsid w:val="0054403F"/>
    <w:rsid w:val="00544187"/>
    <w:rsid w:val="005443BE"/>
    <w:rsid w:val="00544453"/>
    <w:rsid w:val="005444DD"/>
    <w:rsid w:val="00544984"/>
    <w:rsid w:val="0054498D"/>
    <w:rsid w:val="005449C6"/>
    <w:rsid w:val="005449DD"/>
    <w:rsid w:val="00544A4D"/>
    <w:rsid w:val="00544E37"/>
    <w:rsid w:val="00544FBA"/>
    <w:rsid w:val="00544FC6"/>
    <w:rsid w:val="00545056"/>
    <w:rsid w:val="005452A3"/>
    <w:rsid w:val="005452C9"/>
    <w:rsid w:val="0054530D"/>
    <w:rsid w:val="00545352"/>
    <w:rsid w:val="00545600"/>
    <w:rsid w:val="00545628"/>
    <w:rsid w:val="00545DE4"/>
    <w:rsid w:val="00545E63"/>
    <w:rsid w:val="00545E67"/>
    <w:rsid w:val="0054602B"/>
    <w:rsid w:val="0054611A"/>
    <w:rsid w:val="00546224"/>
    <w:rsid w:val="00546431"/>
    <w:rsid w:val="005464CD"/>
    <w:rsid w:val="005464E9"/>
    <w:rsid w:val="005466CE"/>
    <w:rsid w:val="00546767"/>
    <w:rsid w:val="00546794"/>
    <w:rsid w:val="0054680A"/>
    <w:rsid w:val="00546825"/>
    <w:rsid w:val="005468B1"/>
    <w:rsid w:val="0054696E"/>
    <w:rsid w:val="00546A0A"/>
    <w:rsid w:val="00546B54"/>
    <w:rsid w:val="00546C1D"/>
    <w:rsid w:val="00546C64"/>
    <w:rsid w:val="00546E5A"/>
    <w:rsid w:val="00546FBC"/>
    <w:rsid w:val="00547311"/>
    <w:rsid w:val="00547448"/>
    <w:rsid w:val="00547483"/>
    <w:rsid w:val="00547597"/>
    <w:rsid w:val="005475B7"/>
    <w:rsid w:val="005475C5"/>
    <w:rsid w:val="0054767E"/>
    <w:rsid w:val="005476C7"/>
    <w:rsid w:val="00547765"/>
    <w:rsid w:val="005478B2"/>
    <w:rsid w:val="005479B5"/>
    <w:rsid w:val="00547A6E"/>
    <w:rsid w:val="00547C01"/>
    <w:rsid w:val="00547CAE"/>
    <w:rsid w:val="00547CF1"/>
    <w:rsid w:val="00547CFC"/>
    <w:rsid w:val="00547E6A"/>
    <w:rsid w:val="00547E81"/>
    <w:rsid w:val="00547EA9"/>
    <w:rsid w:val="00547F17"/>
    <w:rsid w:val="00547F2A"/>
    <w:rsid w:val="005500AA"/>
    <w:rsid w:val="00550169"/>
    <w:rsid w:val="005502EB"/>
    <w:rsid w:val="0055030E"/>
    <w:rsid w:val="005503B7"/>
    <w:rsid w:val="005503C1"/>
    <w:rsid w:val="0055053C"/>
    <w:rsid w:val="005505B6"/>
    <w:rsid w:val="00550872"/>
    <w:rsid w:val="00550B4D"/>
    <w:rsid w:val="00550C9A"/>
    <w:rsid w:val="00550D2C"/>
    <w:rsid w:val="00550D2F"/>
    <w:rsid w:val="00550EE6"/>
    <w:rsid w:val="0055101B"/>
    <w:rsid w:val="00551038"/>
    <w:rsid w:val="00551375"/>
    <w:rsid w:val="00551398"/>
    <w:rsid w:val="005516C6"/>
    <w:rsid w:val="0055186D"/>
    <w:rsid w:val="00551876"/>
    <w:rsid w:val="005518C0"/>
    <w:rsid w:val="00551988"/>
    <w:rsid w:val="00551AFB"/>
    <w:rsid w:val="00551B5E"/>
    <w:rsid w:val="00551BD8"/>
    <w:rsid w:val="00551D47"/>
    <w:rsid w:val="00551F0C"/>
    <w:rsid w:val="0055200C"/>
    <w:rsid w:val="0055204C"/>
    <w:rsid w:val="005521AF"/>
    <w:rsid w:val="00552375"/>
    <w:rsid w:val="00552417"/>
    <w:rsid w:val="005524FB"/>
    <w:rsid w:val="0055254F"/>
    <w:rsid w:val="005526F0"/>
    <w:rsid w:val="005528D4"/>
    <w:rsid w:val="005529C6"/>
    <w:rsid w:val="00552DD3"/>
    <w:rsid w:val="005530A2"/>
    <w:rsid w:val="005531AB"/>
    <w:rsid w:val="005531E1"/>
    <w:rsid w:val="0055330D"/>
    <w:rsid w:val="00553348"/>
    <w:rsid w:val="00553488"/>
    <w:rsid w:val="005534AD"/>
    <w:rsid w:val="005534E4"/>
    <w:rsid w:val="0055360F"/>
    <w:rsid w:val="005537F2"/>
    <w:rsid w:val="005538F9"/>
    <w:rsid w:val="005539F1"/>
    <w:rsid w:val="00553B2B"/>
    <w:rsid w:val="00553B3F"/>
    <w:rsid w:val="00553BCA"/>
    <w:rsid w:val="00553C80"/>
    <w:rsid w:val="00553E77"/>
    <w:rsid w:val="00553FF3"/>
    <w:rsid w:val="005541D3"/>
    <w:rsid w:val="005543F8"/>
    <w:rsid w:val="005544CC"/>
    <w:rsid w:val="00554522"/>
    <w:rsid w:val="00554575"/>
    <w:rsid w:val="00554618"/>
    <w:rsid w:val="0055461F"/>
    <w:rsid w:val="005547DF"/>
    <w:rsid w:val="00554810"/>
    <w:rsid w:val="00554925"/>
    <w:rsid w:val="00554A86"/>
    <w:rsid w:val="00554BCC"/>
    <w:rsid w:val="00554DA2"/>
    <w:rsid w:val="0055504E"/>
    <w:rsid w:val="005551AE"/>
    <w:rsid w:val="005552BC"/>
    <w:rsid w:val="005552E6"/>
    <w:rsid w:val="005553DB"/>
    <w:rsid w:val="0055541D"/>
    <w:rsid w:val="00555828"/>
    <w:rsid w:val="00555A18"/>
    <w:rsid w:val="00555A76"/>
    <w:rsid w:val="00555AA3"/>
    <w:rsid w:val="00555BA3"/>
    <w:rsid w:val="00555BAA"/>
    <w:rsid w:val="00555C78"/>
    <w:rsid w:val="00555D1D"/>
    <w:rsid w:val="00555D27"/>
    <w:rsid w:val="00555F3E"/>
    <w:rsid w:val="005561AB"/>
    <w:rsid w:val="00556212"/>
    <w:rsid w:val="0055622A"/>
    <w:rsid w:val="00556240"/>
    <w:rsid w:val="0055637C"/>
    <w:rsid w:val="00556402"/>
    <w:rsid w:val="00556407"/>
    <w:rsid w:val="005565FD"/>
    <w:rsid w:val="00556602"/>
    <w:rsid w:val="005566CB"/>
    <w:rsid w:val="0055674D"/>
    <w:rsid w:val="005567DE"/>
    <w:rsid w:val="00556952"/>
    <w:rsid w:val="005569A3"/>
    <w:rsid w:val="00556C46"/>
    <w:rsid w:val="00556D7C"/>
    <w:rsid w:val="00556E5F"/>
    <w:rsid w:val="00556EB4"/>
    <w:rsid w:val="00557058"/>
    <w:rsid w:val="005573B3"/>
    <w:rsid w:val="00557718"/>
    <w:rsid w:val="00557950"/>
    <w:rsid w:val="00557994"/>
    <w:rsid w:val="00557B6A"/>
    <w:rsid w:val="00557BBB"/>
    <w:rsid w:val="00557BD0"/>
    <w:rsid w:val="00557C36"/>
    <w:rsid w:val="00557DCA"/>
    <w:rsid w:val="00557DD5"/>
    <w:rsid w:val="00557DDB"/>
    <w:rsid w:val="00557E4B"/>
    <w:rsid w:val="0056006C"/>
    <w:rsid w:val="005601EC"/>
    <w:rsid w:val="00560573"/>
    <w:rsid w:val="00560955"/>
    <w:rsid w:val="00560A8E"/>
    <w:rsid w:val="00560BC0"/>
    <w:rsid w:val="00560BF5"/>
    <w:rsid w:val="00560C1B"/>
    <w:rsid w:val="00560CB2"/>
    <w:rsid w:val="00560D82"/>
    <w:rsid w:val="00561051"/>
    <w:rsid w:val="005610D8"/>
    <w:rsid w:val="00561278"/>
    <w:rsid w:val="0056127F"/>
    <w:rsid w:val="005612CD"/>
    <w:rsid w:val="00561472"/>
    <w:rsid w:val="005614B7"/>
    <w:rsid w:val="0056152D"/>
    <w:rsid w:val="005615BE"/>
    <w:rsid w:val="005615E2"/>
    <w:rsid w:val="0056169A"/>
    <w:rsid w:val="005616CB"/>
    <w:rsid w:val="005617A6"/>
    <w:rsid w:val="0056180D"/>
    <w:rsid w:val="00561878"/>
    <w:rsid w:val="005618AF"/>
    <w:rsid w:val="00561A03"/>
    <w:rsid w:val="00561AD6"/>
    <w:rsid w:val="00561BBC"/>
    <w:rsid w:val="00561BE9"/>
    <w:rsid w:val="00561C90"/>
    <w:rsid w:val="00561C9C"/>
    <w:rsid w:val="00561CED"/>
    <w:rsid w:val="00561D69"/>
    <w:rsid w:val="00561DC2"/>
    <w:rsid w:val="00561F3C"/>
    <w:rsid w:val="00561FE3"/>
    <w:rsid w:val="005624D2"/>
    <w:rsid w:val="00562685"/>
    <w:rsid w:val="005626D8"/>
    <w:rsid w:val="005626F9"/>
    <w:rsid w:val="005628AD"/>
    <w:rsid w:val="00562931"/>
    <w:rsid w:val="005629A5"/>
    <w:rsid w:val="005629F7"/>
    <w:rsid w:val="00562B7E"/>
    <w:rsid w:val="00562E12"/>
    <w:rsid w:val="00562F0D"/>
    <w:rsid w:val="00562F90"/>
    <w:rsid w:val="00562F9B"/>
    <w:rsid w:val="00562FE0"/>
    <w:rsid w:val="00563033"/>
    <w:rsid w:val="005630DD"/>
    <w:rsid w:val="0056322F"/>
    <w:rsid w:val="00563288"/>
    <w:rsid w:val="005632FF"/>
    <w:rsid w:val="00563385"/>
    <w:rsid w:val="0056346E"/>
    <w:rsid w:val="0056350D"/>
    <w:rsid w:val="00563612"/>
    <w:rsid w:val="0056382D"/>
    <w:rsid w:val="005639C9"/>
    <w:rsid w:val="00563CCB"/>
    <w:rsid w:val="00563DE3"/>
    <w:rsid w:val="00563EC6"/>
    <w:rsid w:val="00563F98"/>
    <w:rsid w:val="0056407E"/>
    <w:rsid w:val="0056424C"/>
    <w:rsid w:val="00564E7B"/>
    <w:rsid w:val="00564E86"/>
    <w:rsid w:val="00564EFE"/>
    <w:rsid w:val="005650F5"/>
    <w:rsid w:val="00565157"/>
    <w:rsid w:val="00565290"/>
    <w:rsid w:val="0056530A"/>
    <w:rsid w:val="0056535A"/>
    <w:rsid w:val="00565396"/>
    <w:rsid w:val="00565492"/>
    <w:rsid w:val="005654A7"/>
    <w:rsid w:val="005654CD"/>
    <w:rsid w:val="005656BD"/>
    <w:rsid w:val="00565870"/>
    <w:rsid w:val="00565953"/>
    <w:rsid w:val="00565A5C"/>
    <w:rsid w:val="00565A86"/>
    <w:rsid w:val="00565AF7"/>
    <w:rsid w:val="00565B49"/>
    <w:rsid w:val="00565B59"/>
    <w:rsid w:val="00565B62"/>
    <w:rsid w:val="00565E3F"/>
    <w:rsid w:val="00565FC8"/>
    <w:rsid w:val="00566092"/>
    <w:rsid w:val="00566445"/>
    <w:rsid w:val="00566453"/>
    <w:rsid w:val="005664FB"/>
    <w:rsid w:val="005667E7"/>
    <w:rsid w:val="00566A15"/>
    <w:rsid w:val="00566A3D"/>
    <w:rsid w:val="00566B8D"/>
    <w:rsid w:val="00566DBE"/>
    <w:rsid w:val="00566F09"/>
    <w:rsid w:val="00567089"/>
    <w:rsid w:val="005671CB"/>
    <w:rsid w:val="00567277"/>
    <w:rsid w:val="005672FD"/>
    <w:rsid w:val="00567398"/>
    <w:rsid w:val="00567427"/>
    <w:rsid w:val="0056766C"/>
    <w:rsid w:val="00567760"/>
    <w:rsid w:val="00567940"/>
    <w:rsid w:val="00567971"/>
    <w:rsid w:val="0056799F"/>
    <w:rsid w:val="00567A2D"/>
    <w:rsid w:val="00567A7A"/>
    <w:rsid w:val="00567AA9"/>
    <w:rsid w:val="00567AAB"/>
    <w:rsid w:val="00567AAF"/>
    <w:rsid w:val="00567C66"/>
    <w:rsid w:val="00567EBF"/>
    <w:rsid w:val="00567EDC"/>
    <w:rsid w:val="00567EEE"/>
    <w:rsid w:val="00567F17"/>
    <w:rsid w:val="00567F9A"/>
    <w:rsid w:val="005700E8"/>
    <w:rsid w:val="00570127"/>
    <w:rsid w:val="00570162"/>
    <w:rsid w:val="005702F4"/>
    <w:rsid w:val="00570357"/>
    <w:rsid w:val="0057040A"/>
    <w:rsid w:val="0057040D"/>
    <w:rsid w:val="0057062B"/>
    <w:rsid w:val="00570790"/>
    <w:rsid w:val="005707A5"/>
    <w:rsid w:val="005707AF"/>
    <w:rsid w:val="0057085C"/>
    <w:rsid w:val="00570A2C"/>
    <w:rsid w:val="00570B21"/>
    <w:rsid w:val="00570B73"/>
    <w:rsid w:val="00570BBB"/>
    <w:rsid w:val="00570C64"/>
    <w:rsid w:val="00570CAB"/>
    <w:rsid w:val="00570DB2"/>
    <w:rsid w:val="00570E1F"/>
    <w:rsid w:val="00570F39"/>
    <w:rsid w:val="00570FE7"/>
    <w:rsid w:val="0057101A"/>
    <w:rsid w:val="00571172"/>
    <w:rsid w:val="00571295"/>
    <w:rsid w:val="005712CB"/>
    <w:rsid w:val="00571356"/>
    <w:rsid w:val="00571480"/>
    <w:rsid w:val="005714C1"/>
    <w:rsid w:val="0057151A"/>
    <w:rsid w:val="00571789"/>
    <w:rsid w:val="005719B3"/>
    <w:rsid w:val="005719C8"/>
    <w:rsid w:val="005719CA"/>
    <w:rsid w:val="00571A02"/>
    <w:rsid w:val="00571A68"/>
    <w:rsid w:val="00571B8C"/>
    <w:rsid w:val="00571DB3"/>
    <w:rsid w:val="00571E3A"/>
    <w:rsid w:val="00571E83"/>
    <w:rsid w:val="00571EC1"/>
    <w:rsid w:val="00571EE1"/>
    <w:rsid w:val="00571F1E"/>
    <w:rsid w:val="00571F37"/>
    <w:rsid w:val="00571F99"/>
    <w:rsid w:val="0057204C"/>
    <w:rsid w:val="005721B7"/>
    <w:rsid w:val="0057222D"/>
    <w:rsid w:val="00572327"/>
    <w:rsid w:val="005724C2"/>
    <w:rsid w:val="00572746"/>
    <w:rsid w:val="00572771"/>
    <w:rsid w:val="00572A2A"/>
    <w:rsid w:val="00572E65"/>
    <w:rsid w:val="00572EB2"/>
    <w:rsid w:val="00572ED0"/>
    <w:rsid w:val="00572F61"/>
    <w:rsid w:val="0057309E"/>
    <w:rsid w:val="005730A8"/>
    <w:rsid w:val="005730C5"/>
    <w:rsid w:val="0057313C"/>
    <w:rsid w:val="00573158"/>
    <w:rsid w:val="00573188"/>
    <w:rsid w:val="005731BF"/>
    <w:rsid w:val="00573282"/>
    <w:rsid w:val="00573283"/>
    <w:rsid w:val="005732F9"/>
    <w:rsid w:val="005732FE"/>
    <w:rsid w:val="0057340B"/>
    <w:rsid w:val="00573411"/>
    <w:rsid w:val="00573529"/>
    <w:rsid w:val="0057357D"/>
    <w:rsid w:val="0057369B"/>
    <w:rsid w:val="005736BE"/>
    <w:rsid w:val="00573824"/>
    <w:rsid w:val="0057383E"/>
    <w:rsid w:val="00573877"/>
    <w:rsid w:val="005738CE"/>
    <w:rsid w:val="00573A5C"/>
    <w:rsid w:val="00573B08"/>
    <w:rsid w:val="00573CC0"/>
    <w:rsid w:val="00573D01"/>
    <w:rsid w:val="00573DB8"/>
    <w:rsid w:val="00573DE5"/>
    <w:rsid w:val="00573EE6"/>
    <w:rsid w:val="00573FA1"/>
    <w:rsid w:val="00573FE6"/>
    <w:rsid w:val="0057407C"/>
    <w:rsid w:val="005740C3"/>
    <w:rsid w:val="005740F1"/>
    <w:rsid w:val="0057417E"/>
    <w:rsid w:val="00574232"/>
    <w:rsid w:val="005742F8"/>
    <w:rsid w:val="005743B0"/>
    <w:rsid w:val="005743BE"/>
    <w:rsid w:val="0057444C"/>
    <w:rsid w:val="005746AD"/>
    <w:rsid w:val="005749B1"/>
    <w:rsid w:val="00574B55"/>
    <w:rsid w:val="00574E37"/>
    <w:rsid w:val="00574F59"/>
    <w:rsid w:val="00575006"/>
    <w:rsid w:val="00575017"/>
    <w:rsid w:val="0057501B"/>
    <w:rsid w:val="00575217"/>
    <w:rsid w:val="0057524C"/>
    <w:rsid w:val="00575271"/>
    <w:rsid w:val="005752A1"/>
    <w:rsid w:val="005753F3"/>
    <w:rsid w:val="00575511"/>
    <w:rsid w:val="00575535"/>
    <w:rsid w:val="00575667"/>
    <w:rsid w:val="00575807"/>
    <w:rsid w:val="0057590C"/>
    <w:rsid w:val="005759EA"/>
    <w:rsid w:val="00575E1E"/>
    <w:rsid w:val="00575E2F"/>
    <w:rsid w:val="00575E3E"/>
    <w:rsid w:val="00575E60"/>
    <w:rsid w:val="00575EF3"/>
    <w:rsid w:val="00575F0B"/>
    <w:rsid w:val="00575FAE"/>
    <w:rsid w:val="005761F8"/>
    <w:rsid w:val="00576246"/>
    <w:rsid w:val="005762A3"/>
    <w:rsid w:val="005762B1"/>
    <w:rsid w:val="005762C3"/>
    <w:rsid w:val="005764AD"/>
    <w:rsid w:val="00576613"/>
    <w:rsid w:val="00576746"/>
    <w:rsid w:val="005767D3"/>
    <w:rsid w:val="0057694B"/>
    <w:rsid w:val="00576B43"/>
    <w:rsid w:val="00576BF4"/>
    <w:rsid w:val="00576DD3"/>
    <w:rsid w:val="00576F60"/>
    <w:rsid w:val="00576FAC"/>
    <w:rsid w:val="0057708E"/>
    <w:rsid w:val="005770D5"/>
    <w:rsid w:val="0057713D"/>
    <w:rsid w:val="005771B7"/>
    <w:rsid w:val="0057725D"/>
    <w:rsid w:val="00577356"/>
    <w:rsid w:val="005775D7"/>
    <w:rsid w:val="00577624"/>
    <w:rsid w:val="0057768A"/>
    <w:rsid w:val="00577A8F"/>
    <w:rsid w:val="00577B1C"/>
    <w:rsid w:val="00577B2A"/>
    <w:rsid w:val="00577C3D"/>
    <w:rsid w:val="00577DEB"/>
    <w:rsid w:val="00577E71"/>
    <w:rsid w:val="00577ED7"/>
    <w:rsid w:val="00577EEA"/>
    <w:rsid w:val="00577EEE"/>
    <w:rsid w:val="00577F74"/>
    <w:rsid w:val="00577FCD"/>
    <w:rsid w:val="005801CF"/>
    <w:rsid w:val="005801DC"/>
    <w:rsid w:val="00580538"/>
    <w:rsid w:val="00580768"/>
    <w:rsid w:val="0058076E"/>
    <w:rsid w:val="0058093B"/>
    <w:rsid w:val="005809E8"/>
    <w:rsid w:val="00580AFD"/>
    <w:rsid w:val="00580C87"/>
    <w:rsid w:val="00580D0E"/>
    <w:rsid w:val="00580DA2"/>
    <w:rsid w:val="00580E07"/>
    <w:rsid w:val="00580E45"/>
    <w:rsid w:val="00580F0C"/>
    <w:rsid w:val="00580F50"/>
    <w:rsid w:val="00580F57"/>
    <w:rsid w:val="00580FCF"/>
    <w:rsid w:val="005813AD"/>
    <w:rsid w:val="00581488"/>
    <w:rsid w:val="005815A3"/>
    <w:rsid w:val="005815C1"/>
    <w:rsid w:val="00581614"/>
    <w:rsid w:val="005816C2"/>
    <w:rsid w:val="005817F7"/>
    <w:rsid w:val="00581890"/>
    <w:rsid w:val="005819ED"/>
    <w:rsid w:val="005819FF"/>
    <w:rsid w:val="00581A6F"/>
    <w:rsid w:val="00581AE9"/>
    <w:rsid w:val="00581AFE"/>
    <w:rsid w:val="00581C0E"/>
    <w:rsid w:val="00581D48"/>
    <w:rsid w:val="00581DEA"/>
    <w:rsid w:val="00581EA6"/>
    <w:rsid w:val="00581EB6"/>
    <w:rsid w:val="00581FA5"/>
    <w:rsid w:val="00581FA6"/>
    <w:rsid w:val="00582067"/>
    <w:rsid w:val="00582119"/>
    <w:rsid w:val="00582468"/>
    <w:rsid w:val="0058251D"/>
    <w:rsid w:val="0058253E"/>
    <w:rsid w:val="0058261E"/>
    <w:rsid w:val="0058276E"/>
    <w:rsid w:val="00582886"/>
    <w:rsid w:val="005828A2"/>
    <w:rsid w:val="0058293B"/>
    <w:rsid w:val="0058298D"/>
    <w:rsid w:val="005829CE"/>
    <w:rsid w:val="00582B60"/>
    <w:rsid w:val="00582C48"/>
    <w:rsid w:val="00582CC2"/>
    <w:rsid w:val="00582CD3"/>
    <w:rsid w:val="00582E0B"/>
    <w:rsid w:val="00582FAB"/>
    <w:rsid w:val="00583137"/>
    <w:rsid w:val="0058341B"/>
    <w:rsid w:val="00583447"/>
    <w:rsid w:val="00583566"/>
    <w:rsid w:val="00583585"/>
    <w:rsid w:val="00583690"/>
    <w:rsid w:val="00583762"/>
    <w:rsid w:val="00583788"/>
    <w:rsid w:val="005837F2"/>
    <w:rsid w:val="005839D7"/>
    <w:rsid w:val="00583ACD"/>
    <w:rsid w:val="00583ADA"/>
    <w:rsid w:val="00583B42"/>
    <w:rsid w:val="00583D36"/>
    <w:rsid w:val="00583E44"/>
    <w:rsid w:val="00583EAB"/>
    <w:rsid w:val="00583F54"/>
    <w:rsid w:val="00583FAA"/>
    <w:rsid w:val="00584007"/>
    <w:rsid w:val="00584068"/>
    <w:rsid w:val="00584503"/>
    <w:rsid w:val="00584848"/>
    <w:rsid w:val="0058485F"/>
    <w:rsid w:val="0058487D"/>
    <w:rsid w:val="0058490E"/>
    <w:rsid w:val="00584ADF"/>
    <w:rsid w:val="00584B47"/>
    <w:rsid w:val="00584B89"/>
    <w:rsid w:val="00584BAD"/>
    <w:rsid w:val="00584D49"/>
    <w:rsid w:val="00584EE4"/>
    <w:rsid w:val="00584F27"/>
    <w:rsid w:val="00584FE2"/>
    <w:rsid w:val="00585082"/>
    <w:rsid w:val="00585146"/>
    <w:rsid w:val="005851C4"/>
    <w:rsid w:val="00585289"/>
    <w:rsid w:val="005856C3"/>
    <w:rsid w:val="00585708"/>
    <w:rsid w:val="00585745"/>
    <w:rsid w:val="00585891"/>
    <w:rsid w:val="005858E0"/>
    <w:rsid w:val="005858E8"/>
    <w:rsid w:val="00585AA6"/>
    <w:rsid w:val="00585B6E"/>
    <w:rsid w:val="00585BA9"/>
    <w:rsid w:val="00585CDE"/>
    <w:rsid w:val="00585DF1"/>
    <w:rsid w:val="0058631E"/>
    <w:rsid w:val="00586422"/>
    <w:rsid w:val="0058644C"/>
    <w:rsid w:val="00586485"/>
    <w:rsid w:val="005864C6"/>
    <w:rsid w:val="005866F1"/>
    <w:rsid w:val="00586776"/>
    <w:rsid w:val="005867D3"/>
    <w:rsid w:val="00586811"/>
    <w:rsid w:val="00586844"/>
    <w:rsid w:val="00586BBC"/>
    <w:rsid w:val="00586C4D"/>
    <w:rsid w:val="00586DAE"/>
    <w:rsid w:val="00586EEA"/>
    <w:rsid w:val="005870A1"/>
    <w:rsid w:val="005871CF"/>
    <w:rsid w:val="00587225"/>
    <w:rsid w:val="00587292"/>
    <w:rsid w:val="005872E5"/>
    <w:rsid w:val="0058732B"/>
    <w:rsid w:val="005873EA"/>
    <w:rsid w:val="00587406"/>
    <w:rsid w:val="0058751F"/>
    <w:rsid w:val="00587550"/>
    <w:rsid w:val="00587692"/>
    <w:rsid w:val="005876C3"/>
    <w:rsid w:val="00587768"/>
    <w:rsid w:val="00587772"/>
    <w:rsid w:val="005878F5"/>
    <w:rsid w:val="00587AA7"/>
    <w:rsid w:val="00587B4A"/>
    <w:rsid w:val="00587BEE"/>
    <w:rsid w:val="00587C28"/>
    <w:rsid w:val="00587C37"/>
    <w:rsid w:val="00587CA2"/>
    <w:rsid w:val="00587CDC"/>
    <w:rsid w:val="00587D39"/>
    <w:rsid w:val="00587EA2"/>
    <w:rsid w:val="00587EE6"/>
    <w:rsid w:val="00587F89"/>
    <w:rsid w:val="00590076"/>
    <w:rsid w:val="00590462"/>
    <w:rsid w:val="00590482"/>
    <w:rsid w:val="005904BA"/>
    <w:rsid w:val="00590503"/>
    <w:rsid w:val="00590529"/>
    <w:rsid w:val="00590598"/>
    <w:rsid w:val="00590842"/>
    <w:rsid w:val="00590898"/>
    <w:rsid w:val="005908AC"/>
    <w:rsid w:val="005908E1"/>
    <w:rsid w:val="00590901"/>
    <w:rsid w:val="005909C7"/>
    <w:rsid w:val="00590A08"/>
    <w:rsid w:val="00590CF9"/>
    <w:rsid w:val="00590D0A"/>
    <w:rsid w:val="00590D3B"/>
    <w:rsid w:val="00590E16"/>
    <w:rsid w:val="00590FAA"/>
    <w:rsid w:val="00591295"/>
    <w:rsid w:val="0059133A"/>
    <w:rsid w:val="005913AF"/>
    <w:rsid w:val="00591542"/>
    <w:rsid w:val="005916D8"/>
    <w:rsid w:val="0059170B"/>
    <w:rsid w:val="0059188F"/>
    <w:rsid w:val="0059191E"/>
    <w:rsid w:val="00591A55"/>
    <w:rsid w:val="00591C7E"/>
    <w:rsid w:val="00591D9B"/>
    <w:rsid w:val="00591DAE"/>
    <w:rsid w:val="00591DCA"/>
    <w:rsid w:val="00591E46"/>
    <w:rsid w:val="00591F67"/>
    <w:rsid w:val="00592045"/>
    <w:rsid w:val="00592148"/>
    <w:rsid w:val="0059217B"/>
    <w:rsid w:val="00592408"/>
    <w:rsid w:val="00592509"/>
    <w:rsid w:val="00592561"/>
    <w:rsid w:val="005925C0"/>
    <w:rsid w:val="005925E2"/>
    <w:rsid w:val="0059260D"/>
    <w:rsid w:val="00592644"/>
    <w:rsid w:val="00592984"/>
    <w:rsid w:val="00592D34"/>
    <w:rsid w:val="00592D94"/>
    <w:rsid w:val="00592E51"/>
    <w:rsid w:val="00592EB4"/>
    <w:rsid w:val="00592F49"/>
    <w:rsid w:val="00592F5F"/>
    <w:rsid w:val="005930C2"/>
    <w:rsid w:val="00593173"/>
    <w:rsid w:val="005931DD"/>
    <w:rsid w:val="005932ED"/>
    <w:rsid w:val="005933B2"/>
    <w:rsid w:val="0059355A"/>
    <w:rsid w:val="005936B9"/>
    <w:rsid w:val="00593804"/>
    <w:rsid w:val="00593A03"/>
    <w:rsid w:val="00593BC3"/>
    <w:rsid w:val="00593C05"/>
    <w:rsid w:val="00593C28"/>
    <w:rsid w:val="00593CD4"/>
    <w:rsid w:val="00593CF4"/>
    <w:rsid w:val="00593EBC"/>
    <w:rsid w:val="00593EE0"/>
    <w:rsid w:val="00593F31"/>
    <w:rsid w:val="00593F8B"/>
    <w:rsid w:val="00593F90"/>
    <w:rsid w:val="00594030"/>
    <w:rsid w:val="005941FF"/>
    <w:rsid w:val="0059424F"/>
    <w:rsid w:val="005942E6"/>
    <w:rsid w:val="005944C1"/>
    <w:rsid w:val="005947E6"/>
    <w:rsid w:val="00594928"/>
    <w:rsid w:val="00594BC0"/>
    <w:rsid w:val="00594C03"/>
    <w:rsid w:val="00594C6F"/>
    <w:rsid w:val="00594CA9"/>
    <w:rsid w:val="00594DD8"/>
    <w:rsid w:val="00594E06"/>
    <w:rsid w:val="00595008"/>
    <w:rsid w:val="005950A2"/>
    <w:rsid w:val="00595133"/>
    <w:rsid w:val="0059524C"/>
    <w:rsid w:val="00595252"/>
    <w:rsid w:val="005953A2"/>
    <w:rsid w:val="005954D4"/>
    <w:rsid w:val="0059555D"/>
    <w:rsid w:val="005956E6"/>
    <w:rsid w:val="00595782"/>
    <w:rsid w:val="00595887"/>
    <w:rsid w:val="005958D3"/>
    <w:rsid w:val="005959D8"/>
    <w:rsid w:val="005959E0"/>
    <w:rsid w:val="00595C4A"/>
    <w:rsid w:val="00595CCB"/>
    <w:rsid w:val="00595D5A"/>
    <w:rsid w:val="00595EC1"/>
    <w:rsid w:val="00595F4B"/>
    <w:rsid w:val="00595F80"/>
    <w:rsid w:val="0059609A"/>
    <w:rsid w:val="005960FA"/>
    <w:rsid w:val="005961CC"/>
    <w:rsid w:val="0059624A"/>
    <w:rsid w:val="005962A2"/>
    <w:rsid w:val="005963A3"/>
    <w:rsid w:val="0059647A"/>
    <w:rsid w:val="0059662B"/>
    <w:rsid w:val="005966A3"/>
    <w:rsid w:val="00596709"/>
    <w:rsid w:val="005967DD"/>
    <w:rsid w:val="00596866"/>
    <w:rsid w:val="005968C4"/>
    <w:rsid w:val="00596A63"/>
    <w:rsid w:val="00596B56"/>
    <w:rsid w:val="00596B80"/>
    <w:rsid w:val="00596CD7"/>
    <w:rsid w:val="00596E1B"/>
    <w:rsid w:val="00596E83"/>
    <w:rsid w:val="00597072"/>
    <w:rsid w:val="00597077"/>
    <w:rsid w:val="005970F6"/>
    <w:rsid w:val="00597163"/>
    <w:rsid w:val="005973E0"/>
    <w:rsid w:val="00597414"/>
    <w:rsid w:val="005974B5"/>
    <w:rsid w:val="0059753F"/>
    <w:rsid w:val="0059762D"/>
    <w:rsid w:val="00597669"/>
    <w:rsid w:val="00597692"/>
    <w:rsid w:val="00597808"/>
    <w:rsid w:val="00597849"/>
    <w:rsid w:val="00597853"/>
    <w:rsid w:val="00597962"/>
    <w:rsid w:val="00597A3F"/>
    <w:rsid w:val="00597AF5"/>
    <w:rsid w:val="00597B1A"/>
    <w:rsid w:val="00597B5D"/>
    <w:rsid w:val="00597BA4"/>
    <w:rsid w:val="00597C2F"/>
    <w:rsid w:val="00597C76"/>
    <w:rsid w:val="00597E95"/>
    <w:rsid w:val="00597F37"/>
    <w:rsid w:val="00597F95"/>
    <w:rsid w:val="005A0130"/>
    <w:rsid w:val="005A025F"/>
    <w:rsid w:val="005A02DB"/>
    <w:rsid w:val="005A0349"/>
    <w:rsid w:val="005A043B"/>
    <w:rsid w:val="005A0793"/>
    <w:rsid w:val="005A09F2"/>
    <w:rsid w:val="005A0A13"/>
    <w:rsid w:val="005A0CAF"/>
    <w:rsid w:val="005A0D4F"/>
    <w:rsid w:val="005A0E51"/>
    <w:rsid w:val="005A10A8"/>
    <w:rsid w:val="005A11B0"/>
    <w:rsid w:val="005A1273"/>
    <w:rsid w:val="005A135C"/>
    <w:rsid w:val="005A1682"/>
    <w:rsid w:val="005A16C4"/>
    <w:rsid w:val="005A1C2E"/>
    <w:rsid w:val="005A1D8B"/>
    <w:rsid w:val="005A1E50"/>
    <w:rsid w:val="005A1E9A"/>
    <w:rsid w:val="005A1EDF"/>
    <w:rsid w:val="005A1F2E"/>
    <w:rsid w:val="005A1FFE"/>
    <w:rsid w:val="005A2014"/>
    <w:rsid w:val="005A226B"/>
    <w:rsid w:val="005A22CF"/>
    <w:rsid w:val="005A2330"/>
    <w:rsid w:val="005A2583"/>
    <w:rsid w:val="005A263E"/>
    <w:rsid w:val="005A27AE"/>
    <w:rsid w:val="005A27CC"/>
    <w:rsid w:val="005A27EE"/>
    <w:rsid w:val="005A2807"/>
    <w:rsid w:val="005A2843"/>
    <w:rsid w:val="005A28A2"/>
    <w:rsid w:val="005A28F8"/>
    <w:rsid w:val="005A296F"/>
    <w:rsid w:val="005A29BF"/>
    <w:rsid w:val="005A29F1"/>
    <w:rsid w:val="005A2A4C"/>
    <w:rsid w:val="005A2B91"/>
    <w:rsid w:val="005A2BD9"/>
    <w:rsid w:val="005A2BE1"/>
    <w:rsid w:val="005A2BE9"/>
    <w:rsid w:val="005A2CCA"/>
    <w:rsid w:val="005A2D8E"/>
    <w:rsid w:val="005A2E4C"/>
    <w:rsid w:val="005A2FAC"/>
    <w:rsid w:val="005A3067"/>
    <w:rsid w:val="005A31AD"/>
    <w:rsid w:val="005A31BF"/>
    <w:rsid w:val="005A3251"/>
    <w:rsid w:val="005A332E"/>
    <w:rsid w:val="005A3363"/>
    <w:rsid w:val="005A3774"/>
    <w:rsid w:val="005A384E"/>
    <w:rsid w:val="005A38DB"/>
    <w:rsid w:val="005A3A60"/>
    <w:rsid w:val="005A3B05"/>
    <w:rsid w:val="005A3B22"/>
    <w:rsid w:val="005A3B97"/>
    <w:rsid w:val="005A3CCA"/>
    <w:rsid w:val="005A3EE0"/>
    <w:rsid w:val="005A3F20"/>
    <w:rsid w:val="005A41AA"/>
    <w:rsid w:val="005A4374"/>
    <w:rsid w:val="005A4431"/>
    <w:rsid w:val="005A4468"/>
    <w:rsid w:val="005A4621"/>
    <w:rsid w:val="005A4649"/>
    <w:rsid w:val="005A492F"/>
    <w:rsid w:val="005A49E8"/>
    <w:rsid w:val="005A49F4"/>
    <w:rsid w:val="005A4DE2"/>
    <w:rsid w:val="005A4F1B"/>
    <w:rsid w:val="005A5063"/>
    <w:rsid w:val="005A508A"/>
    <w:rsid w:val="005A50E8"/>
    <w:rsid w:val="005A5182"/>
    <w:rsid w:val="005A534A"/>
    <w:rsid w:val="005A545F"/>
    <w:rsid w:val="005A5486"/>
    <w:rsid w:val="005A579F"/>
    <w:rsid w:val="005A5A63"/>
    <w:rsid w:val="005A5A74"/>
    <w:rsid w:val="005A5B95"/>
    <w:rsid w:val="005A5BD0"/>
    <w:rsid w:val="005A5C7C"/>
    <w:rsid w:val="005A61F4"/>
    <w:rsid w:val="005A62EA"/>
    <w:rsid w:val="005A63D8"/>
    <w:rsid w:val="005A64E1"/>
    <w:rsid w:val="005A6664"/>
    <w:rsid w:val="005A66B6"/>
    <w:rsid w:val="005A6749"/>
    <w:rsid w:val="005A67D9"/>
    <w:rsid w:val="005A68F5"/>
    <w:rsid w:val="005A6A38"/>
    <w:rsid w:val="005A6CD5"/>
    <w:rsid w:val="005A6D6D"/>
    <w:rsid w:val="005A6D91"/>
    <w:rsid w:val="005A6DD3"/>
    <w:rsid w:val="005A6F9E"/>
    <w:rsid w:val="005A709E"/>
    <w:rsid w:val="005A71EE"/>
    <w:rsid w:val="005A72F0"/>
    <w:rsid w:val="005A72F3"/>
    <w:rsid w:val="005A7366"/>
    <w:rsid w:val="005A743B"/>
    <w:rsid w:val="005A744D"/>
    <w:rsid w:val="005A759B"/>
    <w:rsid w:val="005A75D1"/>
    <w:rsid w:val="005A76D4"/>
    <w:rsid w:val="005A776D"/>
    <w:rsid w:val="005A77B0"/>
    <w:rsid w:val="005A787B"/>
    <w:rsid w:val="005A7908"/>
    <w:rsid w:val="005A7A59"/>
    <w:rsid w:val="005A7C90"/>
    <w:rsid w:val="005A7DBF"/>
    <w:rsid w:val="005A7DEC"/>
    <w:rsid w:val="005B00FF"/>
    <w:rsid w:val="005B02FD"/>
    <w:rsid w:val="005B0464"/>
    <w:rsid w:val="005B04B8"/>
    <w:rsid w:val="005B059D"/>
    <w:rsid w:val="005B09F8"/>
    <w:rsid w:val="005B0A86"/>
    <w:rsid w:val="005B0B10"/>
    <w:rsid w:val="005B0B45"/>
    <w:rsid w:val="005B0D5E"/>
    <w:rsid w:val="005B0D79"/>
    <w:rsid w:val="005B0FAA"/>
    <w:rsid w:val="005B1028"/>
    <w:rsid w:val="005B11F4"/>
    <w:rsid w:val="005B1285"/>
    <w:rsid w:val="005B137E"/>
    <w:rsid w:val="005B13CD"/>
    <w:rsid w:val="005B14A3"/>
    <w:rsid w:val="005B14BE"/>
    <w:rsid w:val="005B16AF"/>
    <w:rsid w:val="005B17B6"/>
    <w:rsid w:val="005B1A03"/>
    <w:rsid w:val="005B1E1C"/>
    <w:rsid w:val="005B1F6C"/>
    <w:rsid w:val="005B1FF1"/>
    <w:rsid w:val="005B20AB"/>
    <w:rsid w:val="005B2100"/>
    <w:rsid w:val="005B21B5"/>
    <w:rsid w:val="005B2242"/>
    <w:rsid w:val="005B2299"/>
    <w:rsid w:val="005B22EB"/>
    <w:rsid w:val="005B2447"/>
    <w:rsid w:val="005B244E"/>
    <w:rsid w:val="005B25D7"/>
    <w:rsid w:val="005B25F6"/>
    <w:rsid w:val="005B26A2"/>
    <w:rsid w:val="005B2795"/>
    <w:rsid w:val="005B291A"/>
    <w:rsid w:val="005B2EC5"/>
    <w:rsid w:val="005B2EF5"/>
    <w:rsid w:val="005B2F0D"/>
    <w:rsid w:val="005B2FA1"/>
    <w:rsid w:val="005B2FC0"/>
    <w:rsid w:val="005B2FF7"/>
    <w:rsid w:val="005B3556"/>
    <w:rsid w:val="005B35FC"/>
    <w:rsid w:val="005B3639"/>
    <w:rsid w:val="005B3716"/>
    <w:rsid w:val="005B3742"/>
    <w:rsid w:val="005B39C9"/>
    <w:rsid w:val="005B3A03"/>
    <w:rsid w:val="005B3A9B"/>
    <w:rsid w:val="005B3AA8"/>
    <w:rsid w:val="005B3AEC"/>
    <w:rsid w:val="005B3B98"/>
    <w:rsid w:val="005B3C26"/>
    <w:rsid w:val="005B404C"/>
    <w:rsid w:val="005B41CE"/>
    <w:rsid w:val="005B426F"/>
    <w:rsid w:val="005B4486"/>
    <w:rsid w:val="005B460C"/>
    <w:rsid w:val="005B482D"/>
    <w:rsid w:val="005B4931"/>
    <w:rsid w:val="005B4B16"/>
    <w:rsid w:val="005B4B63"/>
    <w:rsid w:val="005B4C1E"/>
    <w:rsid w:val="005B4C73"/>
    <w:rsid w:val="005B4D6F"/>
    <w:rsid w:val="005B4E88"/>
    <w:rsid w:val="005B4F0F"/>
    <w:rsid w:val="005B4FCE"/>
    <w:rsid w:val="005B5103"/>
    <w:rsid w:val="005B5141"/>
    <w:rsid w:val="005B51AE"/>
    <w:rsid w:val="005B5242"/>
    <w:rsid w:val="005B52DA"/>
    <w:rsid w:val="005B538F"/>
    <w:rsid w:val="005B53EB"/>
    <w:rsid w:val="005B5446"/>
    <w:rsid w:val="005B5452"/>
    <w:rsid w:val="005B5481"/>
    <w:rsid w:val="005B567A"/>
    <w:rsid w:val="005B5690"/>
    <w:rsid w:val="005B56BF"/>
    <w:rsid w:val="005B5885"/>
    <w:rsid w:val="005B5933"/>
    <w:rsid w:val="005B594F"/>
    <w:rsid w:val="005B5A27"/>
    <w:rsid w:val="005B5A7D"/>
    <w:rsid w:val="005B5C52"/>
    <w:rsid w:val="005B60D5"/>
    <w:rsid w:val="005B6205"/>
    <w:rsid w:val="005B6302"/>
    <w:rsid w:val="005B6481"/>
    <w:rsid w:val="005B64BE"/>
    <w:rsid w:val="005B6535"/>
    <w:rsid w:val="005B6555"/>
    <w:rsid w:val="005B6662"/>
    <w:rsid w:val="005B67E3"/>
    <w:rsid w:val="005B6870"/>
    <w:rsid w:val="005B68BA"/>
    <w:rsid w:val="005B693A"/>
    <w:rsid w:val="005B6993"/>
    <w:rsid w:val="005B6A77"/>
    <w:rsid w:val="005B6AB2"/>
    <w:rsid w:val="005B6CE8"/>
    <w:rsid w:val="005B6D9A"/>
    <w:rsid w:val="005B6E2C"/>
    <w:rsid w:val="005B70AD"/>
    <w:rsid w:val="005B7367"/>
    <w:rsid w:val="005B7455"/>
    <w:rsid w:val="005B764A"/>
    <w:rsid w:val="005B7783"/>
    <w:rsid w:val="005B787E"/>
    <w:rsid w:val="005B792E"/>
    <w:rsid w:val="005B79F7"/>
    <w:rsid w:val="005B7A90"/>
    <w:rsid w:val="005B7B39"/>
    <w:rsid w:val="005B7C6D"/>
    <w:rsid w:val="005B7CAB"/>
    <w:rsid w:val="005B7D56"/>
    <w:rsid w:val="005C008D"/>
    <w:rsid w:val="005C01C1"/>
    <w:rsid w:val="005C03DA"/>
    <w:rsid w:val="005C05E1"/>
    <w:rsid w:val="005C077B"/>
    <w:rsid w:val="005C07B3"/>
    <w:rsid w:val="005C08BE"/>
    <w:rsid w:val="005C08F3"/>
    <w:rsid w:val="005C0B46"/>
    <w:rsid w:val="005C0B89"/>
    <w:rsid w:val="005C0BD8"/>
    <w:rsid w:val="005C0C96"/>
    <w:rsid w:val="005C0D54"/>
    <w:rsid w:val="005C0DF6"/>
    <w:rsid w:val="005C10F8"/>
    <w:rsid w:val="005C11FA"/>
    <w:rsid w:val="005C1219"/>
    <w:rsid w:val="005C12EE"/>
    <w:rsid w:val="005C15C6"/>
    <w:rsid w:val="005C166A"/>
    <w:rsid w:val="005C1727"/>
    <w:rsid w:val="005C1813"/>
    <w:rsid w:val="005C18E6"/>
    <w:rsid w:val="005C1C05"/>
    <w:rsid w:val="005C1C45"/>
    <w:rsid w:val="005C1C4A"/>
    <w:rsid w:val="005C1C51"/>
    <w:rsid w:val="005C1CAC"/>
    <w:rsid w:val="005C1CFE"/>
    <w:rsid w:val="005C1D1A"/>
    <w:rsid w:val="005C1E15"/>
    <w:rsid w:val="005C1ED9"/>
    <w:rsid w:val="005C20B1"/>
    <w:rsid w:val="005C2104"/>
    <w:rsid w:val="005C2121"/>
    <w:rsid w:val="005C212B"/>
    <w:rsid w:val="005C2281"/>
    <w:rsid w:val="005C22D5"/>
    <w:rsid w:val="005C2366"/>
    <w:rsid w:val="005C2386"/>
    <w:rsid w:val="005C23CC"/>
    <w:rsid w:val="005C2409"/>
    <w:rsid w:val="005C24FD"/>
    <w:rsid w:val="005C2792"/>
    <w:rsid w:val="005C29F3"/>
    <w:rsid w:val="005C2A04"/>
    <w:rsid w:val="005C2A94"/>
    <w:rsid w:val="005C2C5B"/>
    <w:rsid w:val="005C2DB0"/>
    <w:rsid w:val="005C2E36"/>
    <w:rsid w:val="005C3074"/>
    <w:rsid w:val="005C3234"/>
    <w:rsid w:val="005C32DB"/>
    <w:rsid w:val="005C3404"/>
    <w:rsid w:val="005C348C"/>
    <w:rsid w:val="005C35BB"/>
    <w:rsid w:val="005C365B"/>
    <w:rsid w:val="005C38CD"/>
    <w:rsid w:val="005C3A91"/>
    <w:rsid w:val="005C3BDA"/>
    <w:rsid w:val="005C3CD3"/>
    <w:rsid w:val="005C3D41"/>
    <w:rsid w:val="005C3DEE"/>
    <w:rsid w:val="005C4013"/>
    <w:rsid w:val="005C40BF"/>
    <w:rsid w:val="005C422C"/>
    <w:rsid w:val="005C4317"/>
    <w:rsid w:val="005C43BD"/>
    <w:rsid w:val="005C43DE"/>
    <w:rsid w:val="005C448A"/>
    <w:rsid w:val="005C4520"/>
    <w:rsid w:val="005C482C"/>
    <w:rsid w:val="005C4906"/>
    <w:rsid w:val="005C4B5B"/>
    <w:rsid w:val="005C4CFF"/>
    <w:rsid w:val="005C4D5F"/>
    <w:rsid w:val="005C53DB"/>
    <w:rsid w:val="005C5440"/>
    <w:rsid w:val="005C5549"/>
    <w:rsid w:val="005C554D"/>
    <w:rsid w:val="005C5815"/>
    <w:rsid w:val="005C58CC"/>
    <w:rsid w:val="005C5978"/>
    <w:rsid w:val="005C5980"/>
    <w:rsid w:val="005C5997"/>
    <w:rsid w:val="005C5B60"/>
    <w:rsid w:val="005C5C15"/>
    <w:rsid w:val="005C5C77"/>
    <w:rsid w:val="005C5D52"/>
    <w:rsid w:val="005C5D93"/>
    <w:rsid w:val="005C5DFD"/>
    <w:rsid w:val="005C5E75"/>
    <w:rsid w:val="005C609D"/>
    <w:rsid w:val="005C615E"/>
    <w:rsid w:val="005C61F3"/>
    <w:rsid w:val="005C62E2"/>
    <w:rsid w:val="005C62FE"/>
    <w:rsid w:val="005C63A5"/>
    <w:rsid w:val="005C64F7"/>
    <w:rsid w:val="005C66D1"/>
    <w:rsid w:val="005C66F9"/>
    <w:rsid w:val="005C6DFC"/>
    <w:rsid w:val="005C7102"/>
    <w:rsid w:val="005C7378"/>
    <w:rsid w:val="005C73A7"/>
    <w:rsid w:val="005C769E"/>
    <w:rsid w:val="005C792F"/>
    <w:rsid w:val="005C79B3"/>
    <w:rsid w:val="005C7A15"/>
    <w:rsid w:val="005C7AD0"/>
    <w:rsid w:val="005C7B5C"/>
    <w:rsid w:val="005C7BC7"/>
    <w:rsid w:val="005C7BFD"/>
    <w:rsid w:val="005C7C21"/>
    <w:rsid w:val="005C7D57"/>
    <w:rsid w:val="005C7DA3"/>
    <w:rsid w:val="005C7E4B"/>
    <w:rsid w:val="005C7E70"/>
    <w:rsid w:val="005C7F1B"/>
    <w:rsid w:val="005D0099"/>
    <w:rsid w:val="005D016C"/>
    <w:rsid w:val="005D022B"/>
    <w:rsid w:val="005D025F"/>
    <w:rsid w:val="005D0318"/>
    <w:rsid w:val="005D03AC"/>
    <w:rsid w:val="005D0417"/>
    <w:rsid w:val="005D0438"/>
    <w:rsid w:val="005D05E5"/>
    <w:rsid w:val="005D0733"/>
    <w:rsid w:val="005D084B"/>
    <w:rsid w:val="005D0850"/>
    <w:rsid w:val="005D0B11"/>
    <w:rsid w:val="005D0D3F"/>
    <w:rsid w:val="005D0DC6"/>
    <w:rsid w:val="005D0E43"/>
    <w:rsid w:val="005D0E5B"/>
    <w:rsid w:val="005D0E77"/>
    <w:rsid w:val="005D114D"/>
    <w:rsid w:val="005D1296"/>
    <w:rsid w:val="005D129A"/>
    <w:rsid w:val="005D1325"/>
    <w:rsid w:val="005D1355"/>
    <w:rsid w:val="005D148F"/>
    <w:rsid w:val="005D14C9"/>
    <w:rsid w:val="005D1519"/>
    <w:rsid w:val="005D157E"/>
    <w:rsid w:val="005D16CB"/>
    <w:rsid w:val="005D18E6"/>
    <w:rsid w:val="005D1990"/>
    <w:rsid w:val="005D1A4B"/>
    <w:rsid w:val="005D1CD7"/>
    <w:rsid w:val="005D1D0F"/>
    <w:rsid w:val="005D1D79"/>
    <w:rsid w:val="005D1F0A"/>
    <w:rsid w:val="005D1F0F"/>
    <w:rsid w:val="005D1FA0"/>
    <w:rsid w:val="005D21DE"/>
    <w:rsid w:val="005D21E2"/>
    <w:rsid w:val="005D22B8"/>
    <w:rsid w:val="005D2531"/>
    <w:rsid w:val="005D2601"/>
    <w:rsid w:val="005D2662"/>
    <w:rsid w:val="005D26AA"/>
    <w:rsid w:val="005D2737"/>
    <w:rsid w:val="005D2765"/>
    <w:rsid w:val="005D2781"/>
    <w:rsid w:val="005D281A"/>
    <w:rsid w:val="005D289E"/>
    <w:rsid w:val="005D2C72"/>
    <w:rsid w:val="005D2C8F"/>
    <w:rsid w:val="005D2E12"/>
    <w:rsid w:val="005D305B"/>
    <w:rsid w:val="005D35F7"/>
    <w:rsid w:val="005D3747"/>
    <w:rsid w:val="005D384B"/>
    <w:rsid w:val="005D387C"/>
    <w:rsid w:val="005D3A39"/>
    <w:rsid w:val="005D3B9A"/>
    <w:rsid w:val="005D3CED"/>
    <w:rsid w:val="005D3D24"/>
    <w:rsid w:val="005D3E6D"/>
    <w:rsid w:val="005D4022"/>
    <w:rsid w:val="005D4129"/>
    <w:rsid w:val="005D43C0"/>
    <w:rsid w:val="005D45BB"/>
    <w:rsid w:val="005D464B"/>
    <w:rsid w:val="005D487E"/>
    <w:rsid w:val="005D4960"/>
    <w:rsid w:val="005D4A01"/>
    <w:rsid w:val="005D4BBA"/>
    <w:rsid w:val="005D4C7D"/>
    <w:rsid w:val="005D4C9C"/>
    <w:rsid w:val="005D4F27"/>
    <w:rsid w:val="005D5108"/>
    <w:rsid w:val="005D51EC"/>
    <w:rsid w:val="005D5246"/>
    <w:rsid w:val="005D527C"/>
    <w:rsid w:val="005D5361"/>
    <w:rsid w:val="005D539A"/>
    <w:rsid w:val="005D5916"/>
    <w:rsid w:val="005D5B20"/>
    <w:rsid w:val="005D5BC4"/>
    <w:rsid w:val="005D5C76"/>
    <w:rsid w:val="005D5DE2"/>
    <w:rsid w:val="005D5DF1"/>
    <w:rsid w:val="005D5FA3"/>
    <w:rsid w:val="005D6047"/>
    <w:rsid w:val="005D6061"/>
    <w:rsid w:val="005D61EF"/>
    <w:rsid w:val="005D62D1"/>
    <w:rsid w:val="005D6334"/>
    <w:rsid w:val="005D641E"/>
    <w:rsid w:val="005D6483"/>
    <w:rsid w:val="005D6663"/>
    <w:rsid w:val="005D6676"/>
    <w:rsid w:val="005D66AE"/>
    <w:rsid w:val="005D67E9"/>
    <w:rsid w:val="005D68AD"/>
    <w:rsid w:val="005D6A3A"/>
    <w:rsid w:val="005D6BC8"/>
    <w:rsid w:val="005D6CFD"/>
    <w:rsid w:val="005D6D9A"/>
    <w:rsid w:val="005D7112"/>
    <w:rsid w:val="005D7228"/>
    <w:rsid w:val="005D731F"/>
    <w:rsid w:val="005D7476"/>
    <w:rsid w:val="005D75D5"/>
    <w:rsid w:val="005D76A2"/>
    <w:rsid w:val="005D76DE"/>
    <w:rsid w:val="005D7738"/>
    <w:rsid w:val="005D7949"/>
    <w:rsid w:val="005D7AB3"/>
    <w:rsid w:val="005D7B81"/>
    <w:rsid w:val="005D7BF8"/>
    <w:rsid w:val="005D7C5D"/>
    <w:rsid w:val="005D7F66"/>
    <w:rsid w:val="005D7FE3"/>
    <w:rsid w:val="005E0081"/>
    <w:rsid w:val="005E00B7"/>
    <w:rsid w:val="005E0272"/>
    <w:rsid w:val="005E0315"/>
    <w:rsid w:val="005E0320"/>
    <w:rsid w:val="005E042A"/>
    <w:rsid w:val="005E05D8"/>
    <w:rsid w:val="005E062E"/>
    <w:rsid w:val="005E07C3"/>
    <w:rsid w:val="005E087C"/>
    <w:rsid w:val="005E08BA"/>
    <w:rsid w:val="005E0932"/>
    <w:rsid w:val="005E0BC5"/>
    <w:rsid w:val="005E0C22"/>
    <w:rsid w:val="005E0D39"/>
    <w:rsid w:val="005E0EF1"/>
    <w:rsid w:val="005E0F43"/>
    <w:rsid w:val="005E10F8"/>
    <w:rsid w:val="005E1158"/>
    <w:rsid w:val="005E1181"/>
    <w:rsid w:val="005E1329"/>
    <w:rsid w:val="005E137A"/>
    <w:rsid w:val="005E144E"/>
    <w:rsid w:val="005E152C"/>
    <w:rsid w:val="005E16B1"/>
    <w:rsid w:val="005E1703"/>
    <w:rsid w:val="005E18BD"/>
    <w:rsid w:val="005E1947"/>
    <w:rsid w:val="005E1C80"/>
    <w:rsid w:val="005E1DCD"/>
    <w:rsid w:val="005E1EFD"/>
    <w:rsid w:val="005E1FCC"/>
    <w:rsid w:val="005E210E"/>
    <w:rsid w:val="005E2119"/>
    <w:rsid w:val="005E213D"/>
    <w:rsid w:val="005E229D"/>
    <w:rsid w:val="005E22D7"/>
    <w:rsid w:val="005E2461"/>
    <w:rsid w:val="005E28A3"/>
    <w:rsid w:val="005E2C26"/>
    <w:rsid w:val="005E2C5A"/>
    <w:rsid w:val="005E2DBC"/>
    <w:rsid w:val="005E2F01"/>
    <w:rsid w:val="005E2F97"/>
    <w:rsid w:val="005E30CF"/>
    <w:rsid w:val="005E3296"/>
    <w:rsid w:val="005E32FE"/>
    <w:rsid w:val="005E3449"/>
    <w:rsid w:val="005E3704"/>
    <w:rsid w:val="005E374A"/>
    <w:rsid w:val="005E3782"/>
    <w:rsid w:val="005E381B"/>
    <w:rsid w:val="005E3823"/>
    <w:rsid w:val="005E383A"/>
    <w:rsid w:val="005E387E"/>
    <w:rsid w:val="005E39FC"/>
    <w:rsid w:val="005E3A90"/>
    <w:rsid w:val="005E3B63"/>
    <w:rsid w:val="005E3C62"/>
    <w:rsid w:val="005E3F01"/>
    <w:rsid w:val="005E3FAC"/>
    <w:rsid w:val="005E427A"/>
    <w:rsid w:val="005E42B7"/>
    <w:rsid w:val="005E4508"/>
    <w:rsid w:val="005E4570"/>
    <w:rsid w:val="005E47A5"/>
    <w:rsid w:val="005E4861"/>
    <w:rsid w:val="005E4883"/>
    <w:rsid w:val="005E488A"/>
    <w:rsid w:val="005E49D7"/>
    <w:rsid w:val="005E4B3A"/>
    <w:rsid w:val="005E4D18"/>
    <w:rsid w:val="005E4E37"/>
    <w:rsid w:val="005E50AF"/>
    <w:rsid w:val="005E50CC"/>
    <w:rsid w:val="005E533F"/>
    <w:rsid w:val="005E539C"/>
    <w:rsid w:val="005E53B9"/>
    <w:rsid w:val="005E53C1"/>
    <w:rsid w:val="005E554B"/>
    <w:rsid w:val="005E57E6"/>
    <w:rsid w:val="005E5894"/>
    <w:rsid w:val="005E58BB"/>
    <w:rsid w:val="005E592C"/>
    <w:rsid w:val="005E5941"/>
    <w:rsid w:val="005E5A80"/>
    <w:rsid w:val="005E5A8A"/>
    <w:rsid w:val="005E5B3D"/>
    <w:rsid w:val="005E5B54"/>
    <w:rsid w:val="005E5BE8"/>
    <w:rsid w:val="005E5D32"/>
    <w:rsid w:val="005E5E0F"/>
    <w:rsid w:val="005E5E27"/>
    <w:rsid w:val="005E5EDF"/>
    <w:rsid w:val="005E5FCC"/>
    <w:rsid w:val="005E6002"/>
    <w:rsid w:val="005E6175"/>
    <w:rsid w:val="005E61DB"/>
    <w:rsid w:val="005E63DB"/>
    <w:rsid w:val="005E6586"/>
    <w:rsid w:val="005E660D"/>
    <w:rsid w:val="005E66B8"/>
    <w:rsid w:val="005E692B"/>
    <w:rsid w:val="005E693A"/>
    <w:rsid w:val="005E69AC"/>
    <w:rsid w:val="005E6AA2"/>
    <w:rsid w:val="005E6C53"/>
    <w:rsid w:val="005E6C74"/>
    <w:rsid w:val="005E6E2E"/>
    <w:rsid w:val="005E7020"/>
    <w:rsid w:val="005E7217"/>
    <w:rsid w:val="005E7416"/>
    <w:rsid w:val="005E7516"/>
    <w:rsid w:val="005E7588"/>
    <w:rsid w:val="005E75EE"/>
    <w:rsid w:val="005E771B"/>
    <w:rsid w:val="005E778D"/>
    <w:rsid w:val="005E7813"/>
    <w:rsid w:val="005E792F"/>
    <w:rsid w:val="005E79DC"/>
    <w:rsid w:val="005E7C49"/>
    <w:rsid w:val="005E7CBC"/>
    <w:rsid w:val="005E7E78"/>
    <w:rsid w:val="005E7ECE"/>
    <w:rsid w:val="005F004F"/>
    <w:rsid w:val="005F005A"/>
    <w:rsid w:val="005F008D"/>
    <w:rsid w:val="005F022D"/>
    <w:rsid w:val="005F027C"/>
    <w:rsid w:val="005F0336"/>
    <w:rsid w:val="005F03BE"/>
    <w:rsid w:val="005F0477"/>
    <w:rsid w:val="005F05C1"/>
    <w:rsid w:val="005F0674"/>
    <w:rsid w:val="005F07C4"/>
    <w:rsid w:val="005F085C"/>
    <w:rsid w:val="005F094F"/>
    <w:rsid w:val="005F09C8"/>
    <w:rsid w:val="005F0A6D"/>
    <w:rsid w:val="005F0A76"/>
    <w:rsid w:val="005F0B3F"/>
    <w:rsid w:val="005F0B77"/>
    <w:rsid w:val="005F0BF9"/>
    <w:rsid w:val="005F0C7F"/>
    <w:rsid w:val="005F0D8E"/>
    <w:rsid w:val="005F0DC7"/>
    <w:rsid w:val="005F0DCF"/>
    <w:rsid w:val="005F0E4A"/>
    <w:rsid w:val="005F0EA2"/>
    <w:rsid w:val="005F0ECC"/>
    <w:rsid w:val="005F101F"/>
    <w:rsid w:val="005F10D8"/>
    <w:rsid w:val="005F1164"/>
    <w:rsid w:val="005F12CE"/>
    <w:rsid w:val="005F140B"/>
    <w:rsid w:val="005F1436"/>
    <w:rsid w:val="005F150E"/>
    <w:rsid w:val="005F151D"/>
    <w:rsid w:val="005F152C"/>
    <w:rsid w:val="005F1652"/>
    <w:rsid w:val="005F16FF"/>
    <w:rsid w:val="005F1746"/>
    <w:rsid w:val="005F1A88"/>
    <w:rsid w:val="005F1AC7"/>
    <w:rsid w:val="005F1DED"/>
    <w:rsid w:val="005F1E72"/>
    <w:rsid w:val="005F21BF"/>
    <w:rsid w:val="005F235B"/>
    <w:rsid w:val="005F23C4"/>
    <w:rsid w:val="005F261C"/>
    <w:rsid w:val="005F27B7"/>
    <w:rsid w:val="005F28CC"/>
    <w:rsid w:val="005F2920"/>
    <w:rsid w:val="005F29D2"/>
    <w:rsid w:val="005F29DF"/>
    <w:rsid w:val="005F2BA9"/>
    <w:rsid w:val="005F2C75"/>
    <w:rsid w:val="005F2F62"/>
    <w:rsid w:val="005F3094"/>
    <w:rsid w:val="005F321B"/>
    <w:rsid w:val="005F328A"/>
    <w:rsid w:val="005F32A1"/>
    <w:rsid w:val="005F3354"/>
    <w:rsid w:val="005F33C2"/>
    <w:rsid w:val="005F34E7"/>
    <w:rsid w:val="005F35AB"/>
    <w:rsid w:val="005F389A"/>
    <w:rsid w:val="005F38F0"/>
    <w:rsid w:val="005F3A42"/>
    <w:rsid w:val="005F3B12"/>
    <w:rsid w:val="005F3B2C"/>
    <w:rsid w:val="005F3D84"/>
    <w:rsid w:val="005F3E70"/>
    <w:rsid w:val="005F3FF6"/>
    <w:rsid w:val="005F4055"/>
    <w:rsid w:val="005F4199"/>
    <w:rsid w:val="005F43EF"/>
    <w:rsid w:val="005F4493"/>
    <w:rsid w:val="005F44FA"/>
    <w:rsid w:val="005F4676"/>
    <w:rsid w:val="005F4773"/>
    <w:rsid w:val="005F4863"/>
    <w:rsid w:val="005F4BA5"/>
    <w:rsid w:val="005F4C4E"/>
    <w:rsid w:val="005F4C61"/>
    <w:rsid w:val="005F4D77"/>
    <w:rsid w:val="005F4E57"/>
    <w:rsid w:val="005F4E82"/>
    <w:rsid w:val="005F5018"/>
    <w:rsid w:val="005F50F6"/>
    <w:rsid w:val="005F519E"/>
    <w:rsid w:val="005F52F9"/>
    <w:rsid w:val="005F562D"/>
    <w:rsid w:val="005F56A1"/>
    <w:rsid w:val="005F5A01"/>
    <w:rsid w:val="005F5A8F"/>
    <w:rsid w:val="005F5CFA"/>
    <w:rsid w:val="005F5D07"/>
    <w:rsid w:val="005F6147"/>
    <w:rsid w:val="005F61AC"/>
    <w:rsid w:val="005F6219"/>
    <w:rsid w:val="005F6222"/>
    <w:rsid w:val="005F634A"/>
    <w:rsid w:val="005F64DC"/>
    <w:rsid w:val="005F65F1"/>
    <w:rsid w:val="005F668F"/>
    <w:rsid w:val="005F66F6"/>
    <w:rsid w:val="005F6810"/>
    <w:rsid w:val="005F6A72"/>
    <w:rsid w:val="005F6AB5"/>
    <w:rsid w:val="005F6B12"/>
    <w:rsid w:val="005F6B6B"/>
    <w:rsid w:val="005F6BBD"/>
    <w:rsid w:val="005F6C72"/>
    <w:rsid w:val="005F6D20"/>
    <w:rsid w:val="005F6FBF"/>
    <w:rsid w:val="005F702E"/>
    <w:rsid w:val="005F750C"/>
    <w:rsid w:val="005F775D"/>
    <w:rsid w:val="005F77BC"/>
    <w:rsid w:val="005F787C"/>
    <w:rsid w:val="005F78B3"/>
    <w:rsid w:val="005F797F"/>
    <w:rsid w:val="005F7999"/>
    <w:rsid w:val="005F7A01"/>
    <w:rsid w:val="005F7AD1"/>
    <w:rsid w:val="005F7AF1"/>
    <w:rsid w:val="005F7D3D"/>
    <w:rsid w:val="005F7D3F"/>
    <w:rsid w:val="005F7E66"/>
    <w:rsid w:val="005F7F5E"/>
    <w:rsid w:val="00600074"/>
    <w:rsid w:val="00600085"/>
    <w:rsid w:val="0060015B"/>
    <w:rsid w:val="0060017F"/>
    <w:rsid w:val="006001B7"/>
    <w:rsid w:val="00600268"/>
    <w:rsid w:val="006003BB"/>
    <w:rsid w:val="0060053B"/>
    <w:rsid w:val="00600551"/>
    <w:rsid w:val="00600589"/>
    <w:rsid w:val="006006AF"/>
    <w:rsid w:val="006006B3"/>
    <w:rsid w:val="0060089B"/>
    <w:rsid w:val="00600959"/>
    <w:rsid w:val="006009DF"/>
    <w:rsid w:val="00600D09"/>
    <w:rsid w:val="00600D96"/>
    <w:rsid w:val="00600DF3"/>
    <w:rsid w:val="00600E18"/>
    <w:rsid w:val="00600EC6"/>
    <w:rsid w:val="00600F6F"/>
    <w:rsid w:val="0060108C"/>
    <w:rsid w:val="00601113"/>
    <w:rsid w:val="00601180"/>
    <w:rsid w:val="00601506"/>
    <w:rsid w:val="00601536"/>
    <w:rsid w:val="00601556"/>
    <w:rsid w:val="00601789"/>
    <w:rsid w:val="00601CCE"/>
    <w:rsid w:val="00601D8A"/>
    <w:rsid w:val="00601E35"/>
    <w:rsid w:val="00601E3A"/>
    <w:rsid w:val="00601F3B"/>
    <w:rsid w:val="006021C6"/>
    <w:rsid w:val="00602315"/>
    <w:rsid w:val="0060258F"/>
    <w:rsid w:val="00602597"/>
    <w:rsid w:val="00602722"/>
    <w:rsid w:val="006027A1"/>
    <w:rsid w:val="0060282F"/>
    <w:rsid w:val="00602850"/>
    <w:rsid w:val="006028F8"/>
    <w:rsid w:val="006029BF"/>
    <w:rsid w:val="00602E12"/>
    <w:rsid w:val="00602EDB"/>
    <w:rsid w:val="0060302C"/>
    <w:rsid w:val="006030F8"/>
    <w:rsid w:val="00603259"/>
    <w:rsid w:val="00603334"/>
    <w:rsid w:val="0060343D"/>
    <w:rsid w:val="00603495"/>
    <w:rsid w:val="0060349C"/>
    <w:rsid w:val="00603601"/>
    <w:rsid w:val="00603740"/>
    <w:rsid w:val="0060379A"/>
    <w:rsid w:val="00603A6A"/>
    <w:rsid w:val="00603C38"/>
    <w:rsid w:val="00603C42"/>
    <w:rsid w:val="00603D20"/>
    <w:rsid w:val="00603D93"/>
    <w:rsid w:val="00603DD3"/>
    <w:rsid w:val="00604002"/>
    <w:rsid w:val="006040D8"/>
    <w:rsid w:val="006040E0"/>
    <w:rsid w:val="00604133"/>
    <w:rsid w:val="006041CE"/>
    <w:rsid w:val="00604287"/>
    <w:rsid w:val="006043F3"/>
    <w:rsid w:val="00604ACB"/>
    <w:rsid w:val="00604D84"/>
    <w:rsid w:val="00604DB5"/>
    <w:rsid w:val="00604E8A"/>
    <w:rsid w:val="00604EF2"/>
    <w:rsid w:val="00604F0A"/>
    <w:rsid w:val="00605269"/>
    <w:rsid w:val="00605656"/>
    <w:rsid w:val="006056CB"/>
    <w:rsid w:val="00605A7F"/>
    <w:rsid w:val="00605ABF"/>
    <w:rsid w:val="00605ACE"/>
    <w:rsid w:val="00605DA0"/>
    <w:rsid w:val="00605DC4"/>
    <w:rsid w:val="00605F5D"/>
    <w:rsid w:val="006061AB"/>
    <w:rsid w:val="00606251"/>
    <w:rsid w:val="006062BF"/>
    <w:rsid w:val="00606378"/>
    <w:rsid w:val="00606450"/>
    <w:rsid w:val="006065E1"/>
    <w:rsid w:val="00606628"/>
    <w:rsid w:val="0060670D"/>
    <w:rsid w:val="006068B9"/>
    <w:rsid w:val="00606A9C"/>
    <w:rsid w:val="00606B27"/>
    <w:rsid w:val="00606B9F"/>
    <w:rsid w:val="00606BD1"/>
    <w:rsid w:val="00606C16"/>
    <w:rsid w:val="00606C6B"/>
    <w:rsid w:val="00606D8A"/>
    <w:rsid w:val="00606E98"/>
    <w:rsid w:val="0060704A"/>
    <w:rsid w:val="006070FD"/>
    <w:rsid w:val="00607188"/>
    <w:rsid w:val="00607207"/>
    <w:rsid w:val="006073E4"/>
    <w:rsid w:val="006078D1"/>
    <w:rsid w:val="0060793C"/>
    <w:rsid w:val="00607BE4"/>
    <w:rsid w:val="00607C81"/>
    <w:rsid w:val="00607D15"/>
    <w:rsid w:val="00607D6F"/>
    <w:rsid w:val="00607D74"/>
    <w:rsid w:val="00610145"/>
    <w:rsid w:val="0061014F"/>
    <w:rsid w:val="0061019F"/>
    <w:rsid w:val="00610262"/>
    <w:rsid w:val="006103E6"/>
    <w:rsid w:val="006104A5"/>
    <w:rsid w:val="00610771"/>
    <w:rsid w:val="00610792"/>
    <w:rsid w:val="006107AB"/>
    <w:rsid w:val="006107FE"/>
    <w:rsid w:val="0061091C"/>
    <w:rsid w:val="0061092B"/>
    <w:rsid w:val="00610A71"/>
    <w:rsid w:val="00610CBE"/>
    <w:rsid w:val="00610D46"/>
    <w:rsid w:val="00610D51"/>
    <w:rsid w:val="00610D60"/>
    <w:rsid w:val="00611012"/>
    <w:rsid w:val="0061112D"/>
    <w:rsid w:val="006111D6"/>
    <w:rsid w:val="00611656"/>
    <w:rsid w:val="00611689"/>
    <w:rsid w:val="0061168D"/>
    <w:rsid w:val="006116D1"/>
    <w:rsid w:val="0061173B"/>
    <w:rsid w:val="00611A80"/>
    <w:rsid w:val="00611B4C"/>
    <w:rsid w:val="00611B7B"/>
    <w:rsid w:val="00611C35"/>
    <w:rsid w:val="00611C6D"/>
    <w:rsid w:val="00611D14"/>
    <w:rsid w:val="00611EE5"/>
    <w:rsid w:val="00611EFE"/>
    <w:rsid w:val="0061209C"/>
    <w:rsid w:val="006120B3"/>
    <w:rsid w:val="00612168"/>
    <w:rsid w:val="006121B5"/>
    <w:rsid w:val="00612420"/>
    <w:rsid w:val="006124BF"/>
    <w:rsid w:val="006124DF"/>
    <w:rsid w:val="00612693"/>
    <w:rsid w:val="006126AB"/>
    <w:rsid w:val="006128DB"/>
    <w:rsid w:val="00612A32"/>
    <w:rsid w:val="00612E8D"/>
    <w:rsid w:val="0061301A"/>
    <w:rsid w:val="0061304B"/>
    <w:rsid w:val="00613196"/>
    <w:rsid w:val="006131CB"/>
    <w:rsid w:val="0061329E"/>
    <w:rsid w:val="00613332"/>
    <w:rsid w:val="00613441"/>
    <w:rsid w:val="0061348B"/>
    <w:rsid w:val="00613494"/>
    <w:rsid w:val="006134FF"/>
    <w:rsid w:val="0061386F"/>
    <w:rsid w:val="00613A0D"/>
    <w:rsid w:val="00613AA5"/>
    <w:rsid w:val="00613AB5"/>
    <w:rsid w:val="00613AD3"/>
    <w:rsid w:val="00613B1A"/>
    <w:rsid w:val="00613C8E"/>
    <w:rsid w:val="00613DB8"/>
    <w:rsid w:val="00613F21"/>
    <w:rsid w:val="00613F26"/>
    <w:rsid w:val="00613F5A"/>
    <w:rsid w:val="0061406F"/>
    <w:rsid w:val="00614130"/>
    <w:rsid w:val="00614235"/>
    <w:rsid w:val="0061435E"/>
    <w:rsid w:val="006147E4"/>
    <w:rsid w:val="006148C4"/>
    <w:rsid w:val="006149D1"/>
    <w:rsid w:val="00614BEB"/>
    <w:rsid w:val="00614C9C"/>
    <w:rsid w:val="00614DE6"/>
    <w:rsid w:val="00614EB2"/>
    <w:rsid w:val="00614F2A"/>
    <w:rsid w:val="006150C0"/>
    <w:rsid w:val="00615126"/>
    <w:rsid w:val="00615142"/>
    <w:rsid w:val="0061530C"/>
    <w:rsid w:val="00615436"/>
    <w:rsid w:val="00615493"/>
    <w:rsid w:val="00615600"/>
    <w:rsid w:val="00615838"/>
    <w:rsid w:val="006158C2"/>
    <w:rsid w:val="00615940"/>
    <w:rsid w:val="006159AF"/>
    <w:rsid w:val="006159FC"/>
    <w:rsid w:val="00615DDD"/>
    <w:rsid w:val="00615F17"/>
    <w:rsid w:val="00615FCF"/>
    <w:rsid w:val="0061606E"/>
    <w:rsid w:val="00616157"/>
    <w:rsid w:val="00616285"/>
    <w:rsid w:val="00616355"/>
    <w:rsid w:val="0061640D"/>
    <w:rsid w:val="006165EC"/>
    <w:rsid w:val="00616660"/>
    <w:rsid w:val="0061667C"/>
    <w:rsid w:val="00616932"/>
    <w:rsid w:val="006169B9"/>
    <w:rsid w:val="006169D5"/>
    <w:rsid w:val="006169FB"/>
    <w:rsid w:val="00616AFA"/>
    <w:rsid w:val="00616B15"/>
    <w:rsid w:val="00616C42"/>
    <w:rsid w:val="00616C73"/>
    <w:rsid w:val="00616CBD"/>
    <w:rsid w:val="00616CF1"/>
    <w:rsid w:val="00616DA6"/>
    <w:rsid w:val="00616E89"/>
    <w:rsid w:val="00616EC6"/>
    <w:rsid w:val="0061712E"/>
    <w:rsid w:val="00617185"/>
    <w:rsid w:val="006171D9"/>
    <w:rsid w:val="00617295"/>
    <w:rsid w:val="006172D4"/>
    <w:rsid w:val="0061741B"/>
    <w:rsid w:val="00617669"/>
    <w:rsid w:val="00617691"/>
    <w:rsid w:val="006177D3"/>
    <w:rsid w:val="006178A1"/>
    <w:rsid w:val="00617983"/>
    <w:rsid w:val="00617AC3"/>
    <w:rsid w:val="00617B35"/>
    <w:rsid w:val="00617B37"/>
    <w:rsid w:val="00617D6F"/>
    <w:rsid w:val="00617E0C"/>
    <w:rsid w:val="00617F77"/>
    <w:rsid w:val="00620074"/>
    <w:rsid w:val="00620089"/>
    <w:rsid w:val="00620143"/>
    <w:rsid w:val="006202E0"/>
    <w:rsid w:val="006205AC"/>
    <w:rsid w:val="00620620"/>
    <w:rsid w:val="00620736"/>
    <w:rsid w:val="0062074B"/>
    <w:rsid w:val="00620779"/>
    <w:rsid w:val="0062083F"/>
    <w:rsid w:val="00620952"/>
    <w:rsid w:val="00620B36"/>
    <w:rsid w:val="00620CBF"/>
    <w:rsid w:val="00620D8E"/>
    <w:rsid w:val="006212D8"/>
    <w:rsid w:val="006212FD"/>
    <w:rsid w:val="006215BE"/>
    <w:rsid w:val="0062177C"/>
    <w:rsid w:val="00621962"/>
    <w:rsid w:val="00621A49"/>
    <w:rsid w:val="00621C9F"/>
    <w:rsid w:val="00621E35"/>
    <w:rsid w:val="00621F83"/>
    <w:rsid w:val="00622103"/>
    <w:rsid w:val="0062210C"/>
    <w:rsid w:val="006221E4"/>
    <w:rsid w:val="00622240"/>
    <w:rsid w:val="00622425"/>
    <w:rsid w:val="006224D3"/>
    <w:rsid w:val="00622549"/>
    <w:rsid w:val="00622726"/>
    <w:rsid w:val="006227D1"/>
    <w:rsid w:val="006227FA"/>
    <w:rsid w:val="00622846"/>
    <w:rsid w:val="006229BD"/>
    <w:rsid w:val="006229C7"/>
    <w:rsid w:val="00622A31"/>
    <w:rsid w:val="00622A42"/>
    <w:rsid w:val="00622C09"/>
    <w:rsid w:val="00622CF7"/>
    <w:rsid w:val="00622D92"/>
    <w:rsid w:val="00622E14"/>
    <w:rsid w:val="00622EB3"/>
    <w:rsid w:val="00622F2D"/>
    <w:rsid w:val="00622FEB"/>
    <w:rsid w:val="00622FFC"/>
    <w:rsid w:val="0062302D"/>
    <w:rsid w:val="00623032"/>
    <w:rsid w:val="00623140"/>
    <w:rsid w:val="00623148"/>
    <w:rsid w:val="00623213"/>
    <w:rsid w:val="0062322C"/>
    <w:rsid w:val="006233B3"/>
    <w:rsid w:val="006234C5"/>
    <w:rsid w:val="00623518"/>
    <w:rsid w:val="006236A3"/>
    <w:rsid w:val="006237B3"/>
    <w:rsid w:val="006237DE"/>
    <w:rsid w:val="006238BD"/>
    <w:rsid w:val="00623915"/>
    <w:rsid w:val="006239FA"/>
    <w:rsid w:val="00623E3B"/>
    <w:rsid w:val="00623E5C"/>
    <w:rsid w:val="00623EC8"/>
    <w:rsid w:val="00623F0C"/>
    <w:rsid w:val="00624199"/>
    <w:rsid w:val="00624257"/>
    <w:rsid w:val="00624462"/>
    <w:rsid w:val="00624529"/>
    <w:rsid w:val="00624570"/>
    <w:rsid w:val="00624625"/>
    <w:rsid w:val="006246C5"/>
    <w:rsid w:val="0062484D"/>
    <w:rsid w:val="00624851"/>
    <w:rsid w:val="0062490F"/>
    <w:rsid w:val="00624AB5"/>
    <w:rsid w:val="00624AE2"/>
    <w:rsid w:val="00624B45"/>
    <w:rsid w:val="00624B59"/>
    <w:rsid w:val="00624BE7"/>
    <w:rsid w:val="00624D23"/>
    <w:rsid w:val="00624DB2"/>
    <w:rsid w:val="00624F22"/>
    <w:rsid w:val="00625305"/>
    <w:rsid w:val="00625321"/>
    <w:rsid w:val="0062532B"/>
    <w:rsid w:val="00625428"/>
    <w:rsid w:val="006254BD"/>
    <w:rsid w:val="00625632"/>
    <w:rsid w:val="006256F6"/>
    <w:rsid w:val="00625883"/>
    <w:rsid w:val="00625965"/>
    <w:rsid w:val="00625B03"/>
    <w:rsid w:val="00625CBF"/>
    <w:rsid w:val="00625D4D"/>
    <w:rsid w:val="00625D8D"/>
    <w:rsid w:val="00625E28"/>
    <w:rsid w:val="00625E5E"/>
    <w:rsid w:val="0062610A"/>
    <w:rsid w:val="00626126"/>
    <w:rsid w:val="0062615B"/>
    <w:rsid w:val="006261C9"/>
    <w:rsid w:val="006262BD"/>
    <w:rsid w:val="00626336"/>
    <w:rsid w:val="0062647E"/>
    <w:rsid w:val="006264CC"/>
    <w:rsid w:val="006264F9"/>
    <w:rsid w:val="0062658C"/>
    <w:rsid w:val="006265EC"/>
    <w:rsid w:val="00626A8D"/>
    <w:rsid w:val="00626AEA"/>
    <w:rsid w:val="00626CB9"/>
    <w:rsid w:val="00626EBA"/>
    <w:rsid w:val="00626F25"/>
    <w:rsid w:val="00626F66"/>
    <w:rsid w:val="006270E3"/>
    <w:rsid w:val="006270FB"/>
    <w:rsid w:val="00627178"/>
    <w:rsid w:val="0062724B"/>
    <w:rsid w:val="006272E8"/>
    <w:rsid w:val="00627554"/>
    <w:rsid w:val="00627666"/>
    <w:rsid w:val="006276D6"/>
    <w:rsid w:val="00627957"/>
    <w:rsid w:val="0062797B"/>
    <w:rsid w:val="00627A62"/>
    <w:rsid w:val="00627A6B"/>
    <w:rsid w:val="00627AC3"/>
    <w:rsid w:val="00627DBC"/>
    <w:rsid w:val="00627EA8"/>
    <w:rsid w:val="00627FC1"/>
    <w:rsid w:val="00627FCF"/>
    <w:rsid w:val="0063003D"/>
    <w:rsid w:val="00630131"/>
    <w:rsid w:val="00630170"/>
    <w:rsid w:val="00630223"/>
    <w:rsid w:val="006302D6"/>
    <w:rsid w:val="0063032F"/>
    <w:rsid w:val="00630343"/>
    <w:rsid w:val="006303E1"/>
    <w:rsid w:val="006303F4"/>
    <w:rsid w:val="00630475"/>
    <w:rsid w:val="006304DF"/>
    <w:rsid w:val="00630557"/>
    <w:rsid w:val="00630664"/>
    <w:rsid w:val="006306AB"/>
    <w:rsid w:val="006306B4"/>
    <w:rsid w:val="006306EC"/>
    <w:rsid w:val="006308A2"/>
    <w:rsid w:val="00630B0D"/>
    <w:rsid w:val="00630B1E"/>
    <w:rsid w:val="00630B8D"/>
    <w:rsid w:val="00630C6A"/>
    <w:rsid w:val="00630DF2"/>
    <w:rsid w:val="00630E16"/>
    <w:rsid w:val="006311E8"/>
    <w:rsid w:val="0063120C"/>
    <w:rsid w:val="0063128D"/>
    <w:rsid w:val="00631325"/>
    <w:rsid w:val="00631607"/>
    <w:rsid w:val="00631684"/>
    <w:rsid w:val="0063169A"/>
    <w:rsid w:val="00631702"/>
    <w:rsid w:val="0063170F"/>
    <w:rsid w:val="0063176E"/>
    <w:rsid w:val="006318B5"/>
    <w:rsid w:val="00631A50"/>
    <w:rsid w:val="00631BB0"/>
    <w:rsid w:val="00632382"/>
    <w:rsid w:val="006323E8"/>
    <w:rsid w:val="006324AE"/>
    <w:rsid w:val="006324E2"/>
    <w:rsid w:val="006324F8"/>
    <w:rsid w:val="00632572"/>
    <w:rsid w:val="0063265E"/>
    <w:rsid w:val="006326A4"/>
    <w:rsid w:val="0063270A"/>
    <w:rsid w:val="006328A4"/>
    <w:rsid w:val="00632956"/>
    <w:rsid w:val="006329B2"/>
    <w:rsid w:val="00632A03"/>
    <w:rsid w:val="00632CD9"/>
    <w:rsid w:val="00632E1C"/>
    <w:rsid w:val="00632F4B"/>
    <w:rsid w:val="00633046"/>
    <w:rsid w:val="006330B8"/>
    <w:rsid w:val="00633128"/>
    <w:rsid w:val="00633171"/>
    <w:rsid w:val="006331B6"/>
    <w:rsid w:val="00633447"/>
    <w:rsid w:val="006335B4"/>
    <w:rsid w:val="00633777"/>
    <w:rsid w:val="006339A2"/>
    <w:rsid w:val="00633C20"/>
    <w:rsid w:val="00633CFB"/>
    <w:rsid w:val="00633DDD"/>
    <w:rsid w:val="00633E0D"/>
    <w:rsid w:val="00633E4A"/>
    <w:rsid w:val="00633E5A"/>
    <w:rsid w:val="00633E6E"/>
    <w:rsid w:val="00633F76"/>
    <w:rsid w:val="00634076"/>
    <w:rsid w:val="006340D7"/>
    <w:rsid w:val="006340FD"/>
    <w:rsid w:val="00634225"/>
    <w:rsid w:val="0063451F"/>
    <w:rsid w:val="0063452E"/>
    <w:rsid w:val="006347E2"/>
    <w:rsid w:val="00634B2A"/>
    <w:rsid w:val="00634E59"/>
    <w:rsid w:val="00634F28"/>
    <w:rsid w:val="00634FB8"/>
    <w:rsid w:val="0063517F"/>
    <w:rsid w:val="0063530C"/>
    <w:rsid w:val="0063535D"/>
    <w:rsid w:val="0063543A"/>
    <w:rsid w:val="0063543B"/>
    <w:rsid w:val="006355FA"/>
    <w:rsid w:val="006356FA"/>
    <w:rsid w:val="0063582C"/>
    <w:rsid w:val="0063591F"/>
    <w:rsid w:val="00635994"/>
    <w:rsid w:val="006359AC"/>
    <w:rsid w:val="00635BBF"/>
    <w:rsid w:val="00635D92"/>
    <w:rsid w:val="00635F55"/>
    <w:rsid w:val="00635F71"/>
    <w:rsid w:val="00635F87"/>
    <w:rsid w:val="0063636C"/>
    <w:rsid w:val="006363E3"/>
    <w:rsid w:val="00636402"/>
    <w:rsid w:val="0063684D"/>
    <w:rsid w:val="00636A9A"/>
    <w:rsid w:val="00636D29"/>
    <w:rsid w:val="00636D5E"/>
    <w:rsid w:val="00636DA0"/>
    <w:rsid w:val="00636EA0"/>
    <w:rsid w:val="00636FD6"/>
    <w:rsid w:val="00637055"/>
    <w:rsid w:val="00637223"/>
    <w:rsid w:val="006372A2"/>
    <w:rsid w:val="00637335"/>
    <w:rsid w:val="006373AA"/>
    <w:rsid w:val="00637447"/>
    <w:rsid w:val="006375E0"/>
    <w:rsid w:val="006375E4"/>
    <w:rsid w:val="00637692"/>
    <w:rsid w:val="00637878"/>
    <w:rsid w:val="00637890"/>
    <w:rsid w:val="00637ACD"/>
    <w:rsid w:val="00637B63"/>
    <w:rsid w:val="00637D17"/>
    <w:rsid w:val="00637D6F"/>
    <w:rsid w:val="00637E23"/>
    <w:rsid w:val="00637EEC"/>
    <w:rsid w:val="00637F03"/>
    <w:rsid w:val="00637FA2"/>
    <w:rsid w:val="006400FE"/>
    <w:rsid w:val="00640395"/>
    <w:rsid w:val="0064039E"/>
    <w:rsid w:val="0064061A"/>
    <w:rsid w:val="0064065D"/>
    <w:rsid w:val="0064066C"/>
    <w:rsid w:val="006407FE"/>
    <w:rsid w:val="0064081F"/>
    <w:rsid w:val="00640A5D"/>
    <w:rsid w:val="00640B17"/>
    <w:rsid w:val="00640BFF"/>
    <w:rsid w:val="00640E48"/>
    <w:rsid w:val="00640FFB"/>
    <w:rsid w:val="00641005"/>
    <w:rsid w:val="006411BB"/>
    <w:rsid w:val="00641310"/>
    <w:rsid w:val="00641321"/>
    <w:rsid w:val="0064132F"/>
    <w:rsid w:val="0064136B"/>
    <w:rsid w:val="0064142B"/>
    <w:rsid w:val="0064143F"/>
    <w:rsid w:val="00641638"/>
    <w:rsid w:val="00641667"/>
    <w:rsid w:val="00641703"/>
    <w:rsid w:val="00641916"/>
    <w:rsid w:val="00641ACE"/>
    <w:rsid w:val="00641EEB"/>
    <w:rsid w:val="00641F2A"/>
    <w:rsid w:val="00642117"/>
    <w:rsid w:val="006422B4"/>
    <w:rsid w:val="0064233D"/>
    <w:rsid w:val="006424BF"/>
    <w:rsid w:val="006424EE"/>
    <w:rsid w:val="0064263E"/>
    <w:rsid w:val="0064267D"/>
    <w:rsid w:val="0064275C"/>
    <w:rsid w:val="006428D9"/>
    <w:rsid w:val="00642AD8"/>
    <w:rsid w:val="006430C2"/>
    <w:rsid w:val="00643152"/>
    <w:rsid w:val="00643261"/>
    <w:rsid w:val="0064335E"/>
    <w:rsid w:val="006433B5"/>
    <w:rsid w:val="0064342F"/>
    <w:rsid w:val="00643476"/>
    <w:rsid w:val="0064347B"/>
    <w:rsid w:val="00643507"/>
    <w:rsid w:val="006435EA"/>
    <w:rsid w:val="00643768"/>
    <w:rsid w:val="006437A7"/>
    <w:rsid w:val="006437FB"/>
    <w:rsid w:val="006438E7"/>
    <w:rsid w:val="0064391E"/>
    <w:rsid w:val="00643ACC"/>
    <w:rsid w:val="00643AE2"/>
    <w:rsid w:val="00643B8E"/>
    <w:rsid w:val="00643C7E"/>
    <w:rsid w:val="00643E44"/>
    <w:rsid w:val="0064405D"/>
    <w:rsid w:val="00644126"/>
    <w:rsid w:val="00644139"/>
    <w:rsid w:val="00644191"/>
    <w:rsid w:val="006441E6"/>
    <w:rsid w:val="006441F0"/>
    <w:rsid w:val="0064422A"/>
    <w:rsid w:val="0064423A"/>
    <w:rsid w:val="00644345"/>
    <w:rsid w:val="006443AE"/>
    <w:rsid w:val="00644415"/>
    <w:rsid w:val="006444F4"/>
    <w:rsid w:val="0064470C"/>
    <w:rsid w:val="00644831"/>
    <w:rsid w:val="00644833"/>
    <w:rsid w:val="00644912"/>
    <w:rsid w:val="00644A45"/>
    <w:rsid w:val="00644B26"/>
    <w:rsid w:val="00644C53"/>
    <w:rsid w:val="00644D51"/>
    <w:rsid w:val="00644D78"/>
    <w:rsid w:val="0064502B"/>
    <w:rsid w:val="006450FD"/>
    <w:rsid w:val="00645138"/>
    <w:rsid w:val="0064525D"/>
    <w:rsid w:val="006453C6"/>
    <w:rsid w:val="0064545F"/>
    <w:rsid w:val="006456D9"/>
    <w:rsid w:val="006457C4"/>
    <w:rsid w:val="00645C01"/>
    <w:rsid w:val="00645C2A"/>
    <w:rsid w:val="00645C8F"/>
    <w:rsid w:val="00645DAC"/>
    <w:rsid w:val="00645DF1"/>
    <w:rsid w:val="00645E09"/>
    <w:rsid w:val="00645F20"/>
    <w:rsid w:val="0064606F"/>
    <w:rsid w:val="006461B2"/>
    <w:rsid w:val="0064626D"/>
    <w:rsid w:val="006462A3"/>
    <w:rsid w:val="006462BB"/>
    <w:rsid w:val="00646404"/>
    <w:rsid w:val="0064646F"/>
    <w:rsid w:val="00646491"/>
    <w:rsid w:val="006465F1"/>
    <w:rsid w:val="0064670F"/>
    <w:rsid w:val="0064680A"/>
    <w:rsid w:val="006469E1"/>
    <w:rsid w:val="00646C8D"/>
    <w:rsid w:val="00646D6C"/>
    <w:rsid w:val="00646F19"/>
    <w:rsid w:val="006470B8"/>
    <w:rsid w:val="00647197"/>
    <w:rsid w:val="006471D5"/>
    <w:rsid w:val="0064723D"/>
    <w:rsid w:val="0064735B"/>
    <w:rsid w:val="006474B7"/>
    <w:rsid w:val="006476B4"/>
    <w:rsid w:val="00647843"/>
    <w:rsid w:val="00647973"/>
    <w:rsid w:val="006479B1"/>
    <w:rsid w:val="00647CE9"/>
    <w:rsid w:val="00647F36"/>
    <w:rsid w:val="00647F80"/>
    <w:rsid w:val="006500A3"/>
    <w:rsid w:val="00650266"/>
    <w:rsid w:val="006502E5"/>
    <w:rsid w:val="006502EC"/>
    <w:rsid w:val="00650331"/>
    <w:rsid w:val="00650443"/>
    <w:rsid w:val="006504EE"/>
    <w:rsid w:val="0065052C"/>
    <w:rsid w:val="006506BC"/>
    <w:rsid w:val="0065073D"/>
    <w:rsid w:val="006508A3"/>
    <w:rsid w:val="00650A8F"/>
    <w:rsid w:val="00650D9F"/>
    <w:rsid w:val="00650E8B"/>
    <w:rsid w:val="00650F85"/>
    <w:rsid w:val="0065105E"/>
    <w:rsid w:val="006510FD"/>
    <w:rsid w:val="00651142"/>
    <w:rsid w:val="00651149"/>
    <w:rsid w:val="00651190"/>
    <w:rsid w:val="006511B0"/>
    <w:rsid w:val="0065128C"/>
    <w:rsid w:val="006512D4"/>
    <w:rsid w:val="00651357"/>
    <w:rsid w:val="0065158F"/>
    <w:rsid w:val="0065163D"/>
    <w:rsid w:val="00651888"/>
    <w:rsid w:val="006519D9"/>
    <w:rsid w:val="006519FF"/>
    <w:rsid w:val="00651A9D"/>
    <w:rsid w:val="00651B99"/>
    <w:rsid w:val="00651C85"/>
    <w:rsid w:val="00651E99"/>
    <w:rsid w:val="00651ECF"/>
    <w:rsid w:val="00651F36"/>
    <w:rsid w:val="006523EA"/>
    <w:rsid w:val="00652438"/>
    <w:rsid w:val="00652662"/>
    <w:rsid w:val="006526AA"/>
    <w:rsid w:val="0065284A"/>
    <w:rsid w:val="006528CE"/>
    <w:rsid w:val="0065298F"/>
    <w:rsid w:val="006529B0"/>
    <w:rsid w:val="006529C3"/>
    <w:rsid w:val="00652B33"/>
    <w:rsid w:val="00652E15"/>
    <w:rsid w:val="00652F92"/>
    <w:rsid w:val="00653027"/>
    <w:rsid w:val="006530DC"/>
    <w:rsid w:val="006531F0"/>
    <w:rsid w:val="006531FB"/>
    <w:rsid w:val="0065323C"/>
    <w:rsid w:val="00653287"/>
    <w:rsid w:val="00653343"/>
    <w:rsid w:val="0065339E"/>
    <w:rsid w:val="00653412"/>
    <w:rsid w:val="00653614"/>
    <w:rsid w:val="006537FB"/>
    <w:rsid w:val="006539BA"/>
    <w:rsid w:val="006539BC"/>
    <w:rsid w:val="00653AD8"/>
    <w:rsid w:val="00653C08"/>
    <w:rsid w:val="00653C17"/>
    <w:rsid w:val="00653E65"/>
    <w:rsid w:val="00653E98"/>
    <w:rsid w:val="0065416C"/>
    <w:rsid w:val="00654276"/>
    <w:rsid w:val="0065432A"/>
    <w:rsid w:val="00654533"/>
    <w:rsid w:val="0065453A"/>
    <w:rsid w:val="006545CE"/>
    <w:rsid w:val="0065495E"/>
    <w:rsid w:val="00654C41"/>
    <w:rsid w:val="00654C86"/>
    <w:rsid w:val="00654CD9"/>
    <w:rsid w:val="00654DB2"/>
    <w:rsid w:val="00654E74"/>
    <w:rsid w:val="00654E76"/>
    <w:rsid w:val="00654FA1"/>
    <w:rsid w:val="0065505B"/>
    <w:rsid w:val="006550A0"/>
    <w:rsid w:val="00655127"/>
    <w:rsid w:val="0065512E"/>
    <w:rsid w:val="006552B6"/>
    <w:rsid w:val="0065552B"/>
    <w:rsid w:val="00655572"/>
    <w:rsid w:val="006556B8"/>
    <w:rsid w:val="006556D3"/>
    <w:rsid w:val="00655864"/>
    <w:rsid w:val="00655A15"/>
    <w:rsid w:val="00655AAC"/>
    <w:rsid w:val="00655B32"/>
    <w:rsid w:val="00655BD0"/>
    <w:rsid w:val="00655E3D"/>
    <w:rsid w:val="00655FC4"/>
    <w:rsid w:val="00656012"/>
    <w:rsid w:val="00656043"/>
    <w:rsid w:val="0065621A"/>
    <w:rsid w:val="00656241"/>
    <w:rsid w:val="0065628D"/>
    <w:rsid w:val="00656321"/>
    <w:rsid w:val="0065642A"/>
    <w:rsid w:val="00656449"/>
    <w:rsid w:val="00656556"/>
    <w:rsid w:val="006566CE"/>
    <w:rsid w:val="00656732"/>
    <w:rsid w:val="00656872"/>
    <w:rsid w:val="00656986"/>
    <w:rsid w:val="006569C2"/>
    <w:rsid w:val="00656C0F"/>
    <w:rsid w:val="00656DF3"/>
    <w:rsid w:val="00656FD6"/>
    <w:rsid w:val="006570E3"/>
    <w:rsid w:val="00657339"/>
    <w:rsid w:val="0065738E"/>
    <w:rsid w:val="006573F0"/>
    <w:rsid w:val="0065748F"/>
    <w:rsid w:val="00657497"/>
    <w:rsid w:val="00657541"/>
    <w:rsid w:val="0065754E"/>
    <w:rsid w:val="00657560"/>
    <w:rsid w:val="0065764B"/>
    <w:rsid w:val="0065764E"/>
    <w:rsid w:val="0065789E"/>
    <w:rsid w:val="00657900"/>
    <w:rsid w:val="00657926"/>
    <w:rsid w:val="006579DC"/>
    <w:rsid w:val="00657B52"/>
    <w:rsid w:val="00657BA6"/>
    <w:rsid w:val="00657DE8"/>
    <w:rsid w:val="00657E6F"/>
    <w:rsid w:val="00657EC0"/>
    <w:rsid w:val="00657F0C"/>
    <w:rsid w:val="00657F45"/>
    <w:rsid w:val="00657FD5"/>
    <w:rsid w:val="00660001"/>
    <w:rsid w:val="00660044"/>
    <w:rsid w:val="00660057"/>
    <w:rsid w:val="006600AA"/>
    <w:rsid w:val="006600E0"/>
    <w:rsid w:val="00660181"/>
    <w:rsid w:val="006601A7"/>
    <w:rsid w:val="006601E2"/>
    <w:rsid w:val="006605B8"/>
    <w:rsid w:val="00660613"/>
    <w:rsid w:val="0066063E"/>
    <w:rsid w:val="006609CF"/>
    <w:rsid w:val="00660F0F"/>
    <w:rsid w:val="00661143"/>
    <w:rsid w:val="006611FE"/>
    <w:rsid w:val="00661266"/>
    <w:rsid w:val="00661495"/>
    <w:rsid w:val="006614FE"/>
    <w:rsid w:val="00661587"/>
    <w:rsid w:val="00661599"/>
    <w:rsid w:val="006615F3"/>
    <w:rsid w:val="0066169A"/>
    <w:rsid w:val="006617E3"/>
    <w:rsid w:val="0066182B"/>
    <w:rsid w:val="0066192B"/>
    <w:rsid w:val="00661A7B"/>
    <w:rsid w:val="00661A97"/>
    <w:rsid w:val="00661AB1"/>
    <w:rsid w:val="00661B30"/>
    <w:rsid w:val="00661B66"/>
    <w:rsid w:val="00661B8E"/>
    <w:rsid w:val="00661BAE"/>
    <w:rsid w:val="00661C09"/>
    <w:rsid w:val="00661C11"/>
    <w:rsid w:val="00661C42"/>
    <w:rsid w:val="00661C76"/>
    <w:rsid w:val="00661CF2"/>
    <w:rsid w:val="00661E32"/>
    <w:rsid w:val="006620C4"/>
    <w:rsid w:val="006621F2"/>
    <w:rsid w:val="00662255"/>
    <w:rsid w:val="00662326"/>
    <w:rsid w:val="0066238C"/>
    <w:rsid w:val="0066255B"/>
    <w:rsid w:val="00662574"/>
    <w:rsid w:val="00662578"/>
    <w:rsid w:val="0066269F"/>
    <w:rsid w:val="006627D5"/>
    <w:rsid w:val="006628A1"/>
    <w:rsid w:val="006629D0"/>
    <w:rsid w:val="00662A56"/>
    <w:rsid w:val="00662C20"/>
    <w:rsid w:val="00662C72"/>
    <w:rsid w:val="00662CF1"/>
    <w:rsid w:val="00663030"/>
    <w:rsid w:val="00663108"/>
    <w:rsid w:val="006631A7"/>
    <w:rsid w:val="006631FF"/>
    <w:rsid w:val="00663387"/>
    <w:rsid w:val="006633F8"/>
    <w:rsid w:val="006634CF"/>
    <w:rsid w:val="00663563"/>
    <w:rsid w:val="0066364C"/>
    <w:rsid w:val="006636E9"/>
    <w:rsid w:val="0066387C"/>
    <w:rsid w:val="0066387F"/>
    <w:rsid w:val="006638DF"/>
    <w:rsid w:val="006639B1"/>
    <w:rsid w:val="006639FD"/>
    <w:rsid w:val="00663A26"/>
    <w:rsid w:val="00663B2E"/>
    <w:rsid w:val="00663BEE"/>
    <w:rsid w:val="00663EC3"/>
    <w:rsid w:val="006640B0"/>
    <w:rsid w:val="006640B6"/>
    <w:rsid w:val="006640B9"/>
    <w:rsid w:val="0066410C"/>
    <w:rsid w:val="006642AA"/>
    <w:rsid w:val="00664359"/>
    <w:rsid w:val="006643A2"/>
    <w:rsid w:val="00664592"/>
    <w:rsid w:val="00664594"/>
    <w:rsid w:val="00664681"/>
    <w:rsid w:val="00664685"/>
    <w:rsid w:val="00664729"/>
    <w:rsid w:val="0066485D"/>
    <w:rsid w:val="0066495F"/>
    <w:rsid w:val="00664965"/>
    <w:rsid w:val="0066496F"/>
    <w:rsid w:val="00664A35"/>
    <w:rsid w:val="00664A6F"/>
    <w:rsid w:val="00664B17"/>
    <w:rsid w:val="00664B96"/>
    <w:rsid w:val="00664BF5"/>
    <w:rsid w:val="00664BF9"/>
    <w:rsid w:val="00664C44"/>
    <w:rsid w:val="00664D49"/>
    <w:rsid w:val="00664D4B"/>
    <w:rsid w:val="00664D54"/>
    <w:rsid w:val="00664E6F"/>
    <w:rsid w:val="00665147"/>
    <w:rsid w:val="0066522E"/>
    <w:rsid w:val="00665386"/>
    <w:rsid w:val="00665512"/>
    <w:rsid w:val="00665609"/>
    <w:rsid w:val="00665614"/>
    <w:rsid w:val="00665725"/>
    <w:rsid w:val="00665898"/>
    <w:rsid w:val="00665941"/>
    <w:rsid w:val="0066594A"/>
    <w:rsid w:val="0066595B"/>
    <w:rsid w:val="00665A1F"/>
    <w:rsid w:val="00665B04"/>
    <w:rsid w:val="00665C21"/>
    <w:rsid w:val="00665D3B"/>
    <w:rsid w:val="00665E30"/>
    <w:rsid w:val="00665EF6"/>
    <w:rsid w:val="0066605A"/>
    <w:rsid w:val="0066613E"/>
    <w:rsid w:val="0066615F"/>
    <w:rsid w:val="00666428"/>
    <w:rsid w:val="0066653F"/>
    <w:rsid w:val="0066660A"/>
    <w:rsid w:val="00666693"/>
    <w:rsid w:val="00666725"/>
    <w:rsid w:val="00666788"/>
    <w:rsid w:val="006669E3"/>
    <w:rsid w:val="00666B92"/>
    <w:rsid w:val="00666D8A"/>
    <w:rsid w:val="00666E75"/>
    <w:rsid w:val="006671AA"/>
    <w:rsid w:val="006671BE"/>
    <w:rsid w:val="00667222"/>
    <w:rsid w:val="00667285"/>
    <w:rsid w:val="00667437"/>
    <w:rsid w:val="006674BC"/>
    <w:rsid w:val="00667587"/>
    <w:rsid w:val="0066760C"/>
    <w:rsid w:val="0066764B"/>
    <w:rsid w:val="0066769E"/>
    <w:rsid w:val="00667768"/>
    <w:rsid w:val="006677F2"/>
    <w:rsid w:val="00667894"/>
    <w:rsid w:val="00667960"/>
    <w:rsid w:val="006679C1"/>
    <w:rsid w:val="00667A6F"/>
    <w:rsid w:val="00667BB8"/>
    <w:rsid w:val="00667BD8"/>
    <w:rsid w:val="00667C1B"/>
    <w:rsid w:val="00667C96"/>
    <w:rsid w:val="00667D18"/>
    <w:rsid w:val="00667D34"/>
    <w:rsid w:val="00667D50"/>
    <w:rsid w:val="00667E1E"/>
    <w:rsid w:val="00667F19"/>
    <w:rsid w:val="00667F47"/>
    <w:rsid w:val="00667FF7"/>
    <w:rsid w:val="00670067"/>
    <w:rsid w:val="006700CE"/>
    <w:rsid w:val="00670123"/>
    <w:rsid w:val="0067013C"/>
    <w:rsid w:val="006701BC"/>
    <w:rsid w:val="00670208"/>
    <w:rsid w:val="0067021C"/>
    <w:rsid w:val="00670492"/>
    <w:rsid w:val="00670573"/>
    <w:rsid w:val="00670617"/>
    <w:rsid w:val="00670690"/>
    <w:rsid w:val="006706AA"/>
    <w:rsid w:val="00670866"/>
    <w:rsid w:val="0067095E"/>
    <w:rsid w:val="006709E2"/>
    <w:rsid w:val="006709F4"/>
    <w:rsid w:val="00670A44"/>
    <w:rsid w:val="00670B4A"/>
    <w:rsid w:val="00670C71"/>
    <w:rsid w:val="00670E7B"/>
    <w:rsid w:val="00671069"/>
    <w:rsid w:val="00671302"/>
    <w:rsid w:val="006713BA"/>
    <w:rsid w:val="00671407"/>
    <w:rsid w:val="0067143F"/>
    <w:rsid w:val="0067149F"/>
    <w:rsid w:val="0067154A"/>
    <w:rsid w:val="00671601"/>
    <w:rsid w:val="00671708"/>
    <w:rsid w:val="0067183A"/>
    <w:rsid w:val="00671B9D"/>
    <w:rsid w:val="00671E5F"/>
    <w:rsid w:val="00671F15"/>
    <w:rsid w:val="00671F5E"/>
    <w:rsid w:val="00671FB7"/>
    <w:rsid w:val="00671FBA"/>
    <w:rsid w:val="00671FC3"/>
    <w:rsid w:val="006720EA"/>
    <w:rsid w:val="0067220C"/>
    <w:rsid w:val="00672260"/>
    <w:rsid w:val="00672584"/>
    <w:rsid w:val="006725E1"/>
    <w:rsid w:val="006726DE"/>
    <w:rsid w:val="0067278D"/>
    <w:rsid w:val="0067279B"/>
    <w:rsid w:val="006727BB"/>
    <w:rsid w:val="006728C3"/>
    <w:rsid w:val="0067297A"/>
    <w:rsid w:val="006729D0"/>
    <w:rsid w:val="00672B68"/>
    <w:rsid w:val="00672C1E"/>
    <w:rsid w:val="00672C2B"/>
    <w:rsid w:val="00672E4B"/>
    <w:rsid w:val="00672FF9"/>
    <w:rsid w:val="0067304F"/>
    <w:rsid w:val="00673154"/>
    <w:rsid w:val="0067326B"/>
    <w:rsid w:val="00673520"/>
    <w:rsid w:val="006735DC"/>
    <w:rsid w:val="0067361A"/>
    <w:rsid w:val="00673641"/>
    <w:rsid w:val="0067396C"/>
    <w:rsid w:val="00673AF3"/>
    <w:rsid w:val="00673B37"/>
    <w:rsid w:val="00673C00"/>
    <w:rsid w:val="00673D1F"/>
    <w:rsid w:val="00673DEA"/>
    <w:rsid w:val="00673F2A"/>
    <w:rsid w:val="00673F92"/>
    <w:rsid w:val="0067414F"/>
    <w:rsid w:val="006742CA"/>
    <w:rsid w:val="0067435D"/>
    <w:rsid w:val="006743C0"/>
    <w:rsid w:val="0067447D"/>
    <w:rsid w:val="006749C5"/>
    <w:rsid w:val="00674A00"/>
    <w:rsid w:val="00674A03"/>
    <w:rsid w:val="00674A6C"/>
    <w:rsid w:val="00674A86"/>
    <w:rsid w:val="00674BA7"/>
    <w:rsid w:val="00674C93"/>
    <w:rsid w:val="00674D18"/>
    <w:rsid w:val="00674DCF"/>
    <w:rsid w:val="00674E4B"/>
    <w:rsid w:val="00674FB5"/>
    <w:rsid w:val="00675036"/>
    <w:rsid w:val="0067520C"/>
    <w:rsid w:val="0067555D"/>
    <w:rsid w:val="006755FC"/>
    <w:rsid w:val="006756A4"/>
    <w:rsid w:val="00675839"/>
    <w:rsid w:val="00675AEA"/>
    <w:rsid w:val="00675B14"/>
    <w:rsid w:val="00675CB0"/>
    <w:rsid w:val="00675D74"/>
    <w:rsid w:val="00675DC3"/>
    <w:rsid w:val="0067605E"/>
    <w:rsid w:val="00676077"/>
    <w:rsid w:val="0067607C"/>
    <w:rsid w:val="006760AB"/>
    <w:rsid w:val="00676150"/>
    <w:rsid w:val="0067620B"/>
    <w:rsid w:val="006762F5"/>
    <w:rsid w:val="006764AA"/>
    <w:rsid w:val="006764D3"/>
    <w:rsid w:val="0067661C"/>
    <w:rsid w:val="00676682"/>
    <w:rsid w:val="00676A78"/>
    <w:rsid w:val="00676C5F"/>
    <w:rsid w:val="00676D49"/>
    <w:rsid w:val="00676DDF"/>
    <w:rsid w:val="00676E06"/>
    <w:rsid w:val="00676F69"/>
    <w:rsid w:val="00676F95"/>
    <w:rsid w:val="006770A3"/>
    <w:rsid w:val="00677119"/>
    <w:rsid w:val="006771DD"/>
    <w:rsid w:val="00677240"/>
    <w:rsid w:val="00677242"/>
    <w:rsid w:val="006772F1"/>
    <w:rsid w:val="006773F0"/>
    <w:rsid w:val="006773FE"/>
    <w:rsid w:val="006775B2"/>
    <w:rsid w:val="00677728"/>
    <w:rsid w:val="0067774B"/>
    <w:rsid w:val="00677839"/>
    <w:rsid w:val="006779E7"/>
    <w:rsid w:val="00677B31"/>
    <w:rsid w:val="00677B5C"/>
    <w:rsid w:val="00677BD9"/>
    <w:rsid w:val="00677BF4"/>
    <w:rsid w:val="00677C3A"/>
    <w:rsid w:val="00677EF6"/>
    <w:rsid w:val="00677F37"/>
    <w:rsid w:val="0068013C"/>
    <w:rsid w:val="00680315"/>
    <w:rsid w:val="0068033C"/>
    <w:rsid w:val="0068072B"/>
    <w:rsid w:val="00680801"/>
    <w:rsid w:val="00680830"/>
    <w:rsid w:val="0068083A"/>
    <w:rsid w:val="00680DCC"/>
    <w:rsid w:val="00680F8C"/>
    <w:rsid w:val="00680FB2"/>
    <w:rsid w:val="0068100F"/>
    <w:rsid w:val="00681078"/>
    <w:rsid w:val="00681313"/>
    <w:rsid w:val="00681369"/>
    <w:rsid w:val="006815EF"/>
    <w:rsid w:val="0068164A"/>
    <w:rsid w:val="006817CA"/>
    <w:rsid w:val="006818AB"/>
    <w:rsid w:val="00681AD2"/>
    <w:rsid w:val="00681B2E"/>
    <w:rsid w:val="00681C17"/>
    <w:rsid w:val="00681FFC"/>
    <w:rsid w:val="00682082"/>
    <w:rsid w:val="0068215B"/>
    <w:rsid w:val="00682409"/>
    <w:rsid w:val="006825D8"/>
    <w:rsid w:val="00682716"/>
    <w:rsid w:val="0068280C"/>
    <w:rsid w:val="00682861"/>
    <w:rsid w:val="006828CF"/>
    <w:rsid w:val="006828DD"/>
    <w:rsid w:val="00682929"/>
    <w:rsid w:val="00682A54"/>
    <w:rsid w:val="00682AA3"/>
    <w:rsid w:val="00682D3C"/>
    <w:rsid w:val="00682D5F"/>
    <w:rsid w:val="00682F7D"/>
    <w:rsid w:val="00682FAE"/>
    <w:rsid w:val="00683001"/>
    <w:rsid w:val="006830C3"/>
    <w:rsid w:val="00683169"/>
    <w:rsid w:val="0068318F"/>
    <w:rsid w:val="006831D5"/>
    <w:rsid w:val="006833A4"/>
    <w:rsid w:val="00683517"/>
    <w:rsid w:val="00683524"/>
    <w:rsid w:val="006837A6"/>
    <w:rsid w:val="0068383A"/>
    <w:rsid w:val="00683871"/>
    <w:rsid w:val="006839EB"/>
    <w:rsid w:val="00683AF5"/>
    <w:rsid w:val="00683C2D"/>
    <w:rsid w:val="00683C8F"/>
    <w:rsid w:val="00683CE7"/>
    <w:rsid w:val="00683EED"/>
    <w:rsid w:val="0068406A"/>
    <w:rsid w:val="0068411D"/>
    <w:rsid w:val="00684123"/>
    <w:rsid w:val="006842A9"/>
    <w:rsid w:val="0068441B"/>
    <w:rsid w:val="00684466"/>
    <w:rsid w:val="006847DC"/>
    <w:rsid w:val="006848AC"/>
    <w:rsid w:val="006848CE"/>
    <w:rsid w:val="00684960"/>
    <w:rsid w:val="006849AA"/>
    <w:rsid w:val="006849C4"/>
    <w:rsid w:val="00684A42"/>
    <w:rsid w:val="00684B4E"/>
    <w:rsid w:val="00684B74"/>
    <w:rsid w:val="00684DC2"/>
    <w:rsid w:val="00684FA2"/>
    <w:rsid w:val="00684FD5"/>
    <w:rsid w:val="0068524F"/>
    <w:rsid w:val="00685368"/>
    <w:rsid w:val="00685390"/>
    <w:rsid w:val="00685433"/>
    <w:rsid w:val="0068545F"/>
    <w:rsid w:val="00685528"/>
    <w:rsid w:val="0068559E"/>
    <w:rsid w:val="00685D73"/>
    <w:rsid w:val="00686290"/>
    <w:rsid w:val="0068652E"/>
    <w:rsid w:val="00686556"/>
    <w:rsid w:val="0068656D"/>
    <w:rsid w:val="00686582"/>
    <w:rsid w:val="0068661C"/>
    <w:rsid w:val="00686728"/>
    <w:rsid w:val="006868CF"/>
    <w:rsid w:val="006869F3"/>
    <w:rsid w:val="00686A20"/>
    <w:rsid w:val="00686B14"/>
    <w:rsid w:val="00686D1C"/>
    <w:rsid w:val="00686FF6"/>
    <w:rsid w:val="006871B6"/>
    <w:rsid w:val="006871D8"/>
    <w:rsid w:val="00687242"/>
    <w:rsid w:val="006872A8"/>
    <w:rsid w:val="006872B0"/>
    <w:rsid w:val="00687383"/>
    <w:rsid w:val="006873F2"/>
    <w:rsid w:val="00687514"/>
    <w:rsid w:val="0068751D"/>
    <w:rsid w:val="0068772E"/>
    <w:rsid w:val="00687845"/>
    <w:rsid w:val="006878F0"/>
    <w:rsid w:val="00687A49"/>
    <w:rsid w:val="00687B43"/>
    <w:rsid w:val="00687B83"/>
    <w:rsid w:val="00687CBD"/>
    <w:rsid w:val="00687D18"/>
    <w:rsid w:val="00687DA1"/>
    <w:rsid w:val="0068F391"/>
    <w:rsid w:val="00690016"/>
    <w:rsid w:val="006900E4"/>
    <w:rsid w:val="006901BB"/>
    <w:rsid w:val="00690284"/>
    <w:rsid w:val="006902EC"/>
    <w:rsid w:val="0069048C"/>
    <w:rsid w:val="00690521"/>
    <w:rsid w:val="006906E5"/>
    <w:rsid w:val="00690728"/>
    <w:rsid w:val="0069080C"/>
    <w:rsid w:val="006908B5"/>
    <w:rsid w:val="00690906"/>
    <w:rsid w:val="00690947"/>
    <w:rsid w:val="00690A22"/>
    <w:rsid w:val="00690ABC"/>
    <w:rsid w:val="00690AD0"/>
    <w:rsid w:val="00690AE4"/>
    <w:rsid w:val="00690AF2"/>
    <w:rsid w:val="00690BC9"/>
    <w:rsid w:val="00690D4F"/>
    <w:rsid w:val="00690D94"/>
    <w:rsid w:val="006910B5"/>
    <w:rsid w:val="006912A3"/>
    <w:rsid w:val="006912BF"/>
    <w:rsid w:val="006912D6"/>
    <w:rsid w:val="0069168F"/>
    <w:rsid w:val="006916B3"/>
    <w:rsid w:val="006917BB"/>
    <w:rsid w:val="006917CC"/>
    <w:rsid w:val="006918DE"/>
    <w:rsid w:val="006919DF"/>
    <w:rsid w:val="00691A00"/>
    <w:rsid w:val="00691C3F"/>
    <w:rsid w:val="00691CDE"/>
    <w:rsid w:val="00691F2D"/>
    <w:rsid w:val="006921E6"/>
    <w:rsid w:val="006922EC"/>
    <w:rsid w:val="006922F7"/>
    <w:rsid w:val="0069236B"/>
    <w:rsid w:val="0069236F"/>
    <w:rsid w:val="00692488"/>
    <w:rsid w:val="00692524"/>
    <w:rsid w:val="00692556"/>
    <w:rsid w:val="0069258C"/>
    <w:rsid w:val="006926C3"/>
    <w:rsid w:val="006928CF"/>
    <w:rsid w:val="00692936"/>
    <w:rsid w:val="00692993"/>
    <w:rsid w:val="00692C6F"/>
    <w:rsid w:val="00692D5C"/>
    <w:rsid w:val="00692E32"/>
    <w:rsid w:val="00692F8B"/>
    <w:rsid w:val="00692F9D"/>
    <w:rsid w:val="00693030"/>
    <w:rsid w:val="006931C4"/>
    <w:rsid w:val="00693348"/>
    <w:rsid w:val="00693356"/>
    <w:rsid w:val="0069337D"/>
    <w:rsid w:val="006933AD"/>
    <w:rsid w:val="006933B5"/>
    <w:rsid w:val="006935A9"/>
    <w:rsid w:val="00693665"/>
    <w:rsid w:val="006936A5"/>
    <w:rsid w:val="00693834"/>
    <w:rsid w:val="00693912"/>
    <w:rsid w:val="00693AB7"/>
    <w:rsid w:val="00693BE5"/>
    <w:rsid w:val="00693CF3"/>
    <w:rsid w:val="00693E87"/>
    <w:rsid w:val="00693F10"/>
    <w:rsid w:val="00693F81"/>
    <w:rsid w:val="00693F90"/>
    <w:rsid w:val="00694024"/>
    <w:rsid w:val="0069409C"/>
    <w:rsid w:val="006941F1"/>
    <w:rsid w:val="006942D6"/>
    <w:rsid w:val="00694334"/>
    <w:rsid w:val="006944D1"/>
    <w:rsid w:val="0069452A"/>
    <w:rsid w:val="006945AA"/>
    <w:rsid w:val="00694628"/>
    <w:rsid w:val="00694702"/>
    <w:rsid w:val="00694778"/>
    <w:rsid w:val="00694821"/>
    <w:rsid w:val="0069499D"/>
    <w:rsid w:val="00694B00"/>
    <w:rsid w:val="00694CB9"/>
    <w:rsid w:val="00694CE0"/>
    <w:rsid w:val="00694D89"/>
    <w:rsid w:val="00694DBD"/>
    <w:rsid w:val="00694E15"/>
    <w:rsid w:val="00694F19"/>
    <w:rsid w:val="00695052"/>
    <w:rsid w:val="006950F2"/>
    <w:rsid w:val="00695139"/>
    <w:rsid w:val="00695145"/>
    <w:rsid w:val="006951F0"/>
    <w:rsid w:val="006951F9"/>
    <w:rsid w:val="006953BD"/>
    <w:rsid w:val="00695478"/>
    <w:rsid w:val="00695618"/>
    <w:rsid w:val="0069582B"/>
    <w:rsid w:val="00695875"/>
    <w:rsid w:val="006958D9"/>
    <w:rsid w:val="00695935"/>
    <w:rsid w:val="00695A30"/>
    <w:rsid w:val="00695ABA"/>
    <w:rsid w:val="00695D54"/>
    <w:rsid w:val="00695D62"/>
    <w:rsid w:val="00695D72"/>
    <w:rsid w:val="00695DCD"/>
    <w:rsid w:val="00695E0B"/>
    <w:rsid w:val="00695E2D"/>
    <w:rsid w:val="00695E34"/>
    <w:rsid w:val="00695E5E"/>
    <w:rsid w:val="00695E9A"/>
    <w:rsid w:val="00695EAD"/>
    <w:rsid w:val="00696144"/>
    <w:rsid w:val="006961C6"/>
    <w:rsid w:val="00696295"/>
    <w:rsid w:val="0069629C"/>
    <w:rsid w:val="006962C7"/>
    <w:rsid w:val="006962E5"/>
    <w:rsid w:val="00696357"/>
    <w:rsid w:val="006966E2"/>
    <w:rsid w:val="00696705"/>
    <w:rsid w:val="006967D7"/>
    <w:rsid w:val="00696973"/>
    <w:rsid w:val="006969AB"/>
    <w:rsid w:val="00696A5B"/>
    <w:rsid w:val="00696AD4"/>
    <w:rsid w:val="00696AE9"/>
    <w:rsid w:val="00696C30"/>
    <w:rsid w:val="00696D15"/>
    <w:rsid w:val="00696EB4"/>
    <w:rsid w:val="006972D0"/>
    <w:rsid w:val="006975EE"/>
    <w:rsid w:val="006977B5"/>
    <w:rsid w:val="00697917"/>
    <w:rsid w:val="0069791D"/>
    <w:rsid w:val="0069796E"/>
    <w:rsid w:val="00697995"/>
    <w:rsid w:val="00697A2E"/>
    <w:rsid w:val="00697AB7"/>
    <w:rsid w:val="00697B06"/>
    <w:rsid w:val="00697B98"/>
    <w:rsid w:val="00697BEF"/>
    <w:rsid w:val="00697D01"/>
    <w:rsid w:val="00697E5E"/>
    <w:rsid w:val="00697E78"/>
    <w:rsid w:val="00697F3A"/>
    <w:rsid w:val="00697FBF"/>
    <w:rsid w:val="006A0290"/>
    <w:rsid w:val="006A04E0"/>
    <w:rsid w:val="006A05D0"/>
    <w:rsid w:val="006A08A3"/>
    <w:rsid w:val="006A0968"/>
    <w:rsid w:val="006A0A13"/>
    <w:rsid w:val="006A0A31"/>
    <w:rsid w:val="006A0AB7"/>
    <w:rsid w:val="006A0BBA"/>
    <w:rsid w:val="006A0C83"/>
    <w:rsid w:val="006A0D70"/>
    <w:rsid w:val="006A0F92"/>
    <w:rsid w:val="006A1110"/>
    <w:rsid w:val="006A1253"/>
    <w:rsid w:val="006A15CB"/>
    <w:rsid w:val="006A175C"/>
    <w:rsid w:val="006A1784"/>
    <w:rsid w:val="006A1808"/>
    <w:rsid w:val="006A1A6A"/>
    <w:rsid w:val="006A1BC4"/>
    <w:rsid w:val="006A1F3E"/>
    <w:rsid w:val="006A1FB5"/>
    <w:rsid w:val="006A2123"/>
    <w:rsid w:val="006A21BA"/>
    <w:rsid w:val="006A229E"/>
    <w:rsid w:val="006A2339"/>
    <w:rsid w:val="006A2412"/>
    <w:rsid w:val="006A24F9"/>
    <w:rsid w:val="006A262A"/>
    <w:rsid w:val="006A28DF"/>
    <w:rsid w:val="006A2AC1"/>
    <w:rsid w:val="006A2C9B"/>
    <w:rsid w:val="006A2F35"/>
    <w:rsid w:val="006A3412"/>
    <w:rsid w:val="006A39EC"/>
    <w:rsid w:val="006A3B27"/>
    <w:rsid w:val="006A3B86"/>
    <w:rsid w:val="006A3ED6"/>
    <w:rsid w:val="006A3FB9"/>
    <w:rsid w:val="006A40CA"/>
    <w:rsid w:val="006A4156"/>
    <w:rsid w:val="006A4256"/>
    <w:rsid w:val="006A434A"/>
    <w:rsid w:val="006A4408"/>
    <w:rsid w:val="006A449D"/>
    <w:rsid w:val="006A46BA"/>
    <w:rsid w:val="006A470C"/>
    <w:rsid w:val="006A4758"/>
    <w:rsid w:val="006A47B3"/>
    <w:rsid w:val="006A47ED"/>
    <w:rsid w:val="006A4863"/>
    <w:rsid w:val="006A497D"/>
    <w:rsid w:val="006A49AA"/>
    <w:rsid w:val="006A4AC3"/>
    <w:rsid w:val="006A4B12"/>
    <w:rsid w:val="006A4BA4"/>
    <w:rsid w:val="006A4C47"/>
    <w:rsid w:val="006A4C8B"/>
    <w:rsid w:val="006A4D06"/>
    <w:rsid w:val="006A4D36"/>
    <w:rsid w:val="006A4D98"/>
    <w:rsid w:val="006A4F5D"/>
    <w:rsid w:val="006A4FAC"/>
    <w:rsid w:val="006A507F"/>
    <w:rsid w:val="006A50BD"/>
    <w:rsid w:val="006A50CF"/>
    <w:rsid w:val="006A510D"/>
    <w:rsid w:val="006A5165"/>
    <w:rsid w:val="006A51B7"/>
    <w:rsid w:val="006A51B8"/>
    <w:rsid w:val="006A51EA"/>
    <w:rsid w:val="006A52CC"/>
    <w:rsid w:val="006A5310"/>
    <w:rsid w:val="006A53D6"/>
    <w:rsid w:val="006A55DB"/>
    <w:rsid w:val="006A5724"/>
    <w:rsid w:val="006A57CC"/>
    <w:rsid w:val="006A5B27"/>
    <w:rsid w:val="006A5B5F"/>
    <w:rsid w:val="006A5C34"/>
    <w:rsid w:val="006A5DA2"/>
    <w:rsid w:val="006A5E17"/>
    <w:rsid w:val="006A5F79"/>
    <w:rsid w:val="006A61B8"/>
    <w:rsid w:val="006A61C7"/>
    <w:rsid w:val="006A6219"/>
    <w:rsid w:val="006A6283"/>
    <w:rsid w:val="006A63F2"/>
    <w:rsid w:val="006A6647"/>
    <w:rsid w:val="006A66C4"/>
    <w:rsid w:val="006A6E71"/>
    <w:rsid w:val="006A7047"/>
    <w:rsid w:val="006A7130"/>
    <w:rsid w:val="006A7250"/>
    <w:rsid w:val="006A72FD"/>
    <w:rsid w:val="006A7481"/>
    <w:rsid w:val="006A753E"/>
    <w:rsid w:val="006A75FC"/>
    <w:rsid w:val="006A7673"/>
    <w:rsid w:val="006A7884"/>
    <w:rsid w:val="006A7924"/>
    <w:rsid w:val="006A7925"/>
    <w:rsid w:val="006A7A77"/>
    <w:rsid w:val="006A7C58"/>
    <w:rsid w:val="006A7D0D"/>
    <w:rsid w:val="006B0240"/>
    <w:rsid w:val="006B03C7"/>
    <w:rsid w:val="006B049A"/>
    <w:rsid w:val="006B06F2"/>
    <w:rsid w:val="006B074B"/>
    <w:rsid w:val="006B080C"/>
    <w:rsid w:val="006B08BB"/>
    <w:rsid w:val="006B08C7"/>
    <w:rsid w:val="006B094B"/>
    <w:rsid w:val="006B0961"/>
    <w:rsid w:val="006B0A06"/>
    <w:rsid w:val="006B0BBF"/>
    <w:rsid w:val="006B0E6D"/>
    <w:rsid w:val="006B0F38"/>
    <w:rsid w:val="006B0F99"/>
    <w:rsid w:val="006B103A"/>
    <w:rsid w:val="006B103C"/>
    <w:rsid w:val="006B1055"/>
    <w:rsid w:val="006B108E"/>
    <w:rsid w:val="006B10E7"/>
    <w:rsid w:val="006B10FF"/>
    <w:rsid w:val="006B118A"/>
    <w:rsid w:val="006B11B5"/>
    <w:rsid w:val="006B11D2"/>
    <w:rsid w:val="006B11E1"/>
    <w:rsid w:val="006B11E3"/>
    <w:rsid w:val="006B12A8"/>
    <w:rsid w:val="006B12AE"/>
    <w:rsid w:val="006B13B3"/>
    <w:rsid w:val="006B14AD"/>
    <w:rsid w:val="006B156B"/>
    <w:rsid w:val="006B1710"/>
    <w:rsid w:val="006B17D9"/>
    <w:rsid w:val="006B17F5"/>
    <w:rsid w:val="006B188D"/>
    <w:rsid w:val="006B1A1A"/>
    <w:rsid w:val="006B1C17"/>
    <w:rsid w:val="006B1DFB"/>
    <w:rsid w:val="006B1ED4"/>
    <w:rsid w:val="006B1EEC"/>
    <w:rsid w:val="006B206B"/>
    <w:rsid w:val="006B2077"/>
    <w:rsid w:val="006B210C"/>
    <w:rsid w:val="006B214B"/>
    <w:rsid w:val="006B217D"/>
    <w:rsid w:val="006B21E4"/>
    <w:rsid w:val="006B2216"/>
    <w:rsid w:val="006B227A"/>
    <w:rsid w:val="006B22B9"/>
    <w:rsid w:val="006B2370"/>
    <w:rsid w:val="006B24B9"/>
    <w:rsid w:val="006B2588"/>
    <w:rsid w:val="006B258B"/>
    <w:rsid w:val="006B25BB"/>
    <w:rsid w:val="006B26F4"/>
    <w:rsid w:val="006B28B4"/>
    <w:rsid w:val="006B2987"/>
    <w:rsid w:val="006B2A54"/>
    <w:rsid w:val="006B2C35"/>
    <w:rsid w:val="006B2CB2"/>
    <w:rsid w:val="006B2D0A"/>
    <w:rsid w:val="006B2D32"/>
    <w:rsid w:val="006B2E7E"/>
    <w:rsid w:val="006B32FC"/>
    <w:rsid w:val="006B33BE"/>
    <w:rsid w:val="006B3501"/>
    <w:rsid w:val="006B3515"/>
    <w:rsid w:val="006B35A2"/>
    <w:rsid w:val="006B35C1"/>
    <w:rsid w:val="006B3657"/>
    <w:rsid w:val="006B366B"/>
    <w:rsid w:val="006B3762"/>
    <w:rsid w:val="006B3771"/>
    <w:rsid w:val="006B37F1"/>
    <w:rsid w:val="006B3805"/>
    <w:rsid w:val="006B3878"/>
    <w:rsid w:val="006B38A2"/>
    <w:rsid w:val="006B3B0E"/>
    <w:rsid w:val="006B3B48"/>
    <w:rsid w:val="006B3C4F"/>
    <w:rsid w:val="006B4109"/>
    <w:rsid w:val="006B43E8"/>
    <w:rsid w:val="006B442F"/>
    <w:rsid w:val="006B4434"/>
    <w:rsid w:val="006B455A"/>
    <w:rsid w:val="006B455B"/>
    <w:rsid w:val="006B45EA"/>
    <w:rsid w:val="006B4608"/>
    <w:rsid w:val="006B46D4"/>
    <w:rsid w:val="006B4717"/>
    <w:rsid w:val="006B473A"/>
    <w:rsid w:val="006B48F5"/>
    <w:rsid w:val="006B4973"/>
    <w:rsid w:val="006B4A15"/>
    <w:rsid w:val="006B4AB5"/>
    <w:rsid w:val="006B4B8E"/>
    <w:rsid w:val="006B4BC5"/>
    <w:rsid w:val="006B4CD7"/>
    <w:rsid w:val="006B4F38"/>
    <w:rsid w:val="006B509A"/>
    <w:rsid w:val="006B50F3"/>
    <w:rsid w:val="006B51A9"/>
    <w:rsid w:val="006B525E"/>
    <w:rsid w:val="006B5321"/>
    <w:rsid w:val="006B5406"/>
    <w:rsid w:val="006B54B0"/>
    <w:rsid w:val="006B553B"/>
    <w:rsid w:val="006B5790"/>
    <w:rsid w:val="006B591F"/>
    <w:rsid w:val="006B598B"/>
    <w:rsid w:val="006B5B85"/>
    <w:rsid w:val="006B5F59"/>
    <w:rsid w:val="006B5FE0"/>
    <w:rsid w:val="006B6056"/>
    <w:rsid w:val="006B6206"/>
    <w:rsid w:val="006B629A"/>
    <w:rsid w:val="006B63D2"/>
    <w:rsid w:val="006B647B"/>
    <w:rsid w:val="006B64C6"/>
    <w:rsid w:val="006B64F2"/>
    <w:rsid w:val="006B6505"/>
    <w:rsid w:val="006B6662"/>
    <w:rsid w:val="006B6962"/>
    <w:rsid w:val="006B6CCA"/>
    <w:rsid w:val="006B70F7"/>
    <w:rsid w:val="006B7174"/>
    <w:rsid w:val="006B72BB"/>
    <w:rsid w:val="006B72C4"/>
    <w:rsid w:val="006B72CF"/>
    <w:rsid w:val="006B736C"/>
    <w:rsid w:val="006B760B"/>
    <w:rsid w:val="006B7783"/>
    <w:rsid w:val="006B7816"/>
    <w:rsid w:val="006B7842"/>
    <w:rsid w:val="006B78A1"/>
    <w:rsid w:val="006B78CF"/>
    <w:rsid w:val="006B7911"/>
    <w:rsid w:val="006B7918"/>
    <w:rsid w:val="006B797F"/>
    <w:rsid w:val="006B7BAE"/>
    <w:rsid w:val="006B7BBD"/>
    <w:rsid w:val="006B7C98"/>
    <w:rsid w:val="006B7CAB"/>
    <w:rsid w:val="006B7D76"/>
    <w:rsid w:val="006B7D92"/>
    <w:rsid w:val="006B7DDC"/>
    <w:rsid w:val="006B7E3E"/>
    <w:rsid w:val="006B7EE0"/>
    <w:rsid w:val="006B7F25"/>
    <w:rsid w:val="006BE719"/>
    <w:rsid w:val="006C0044"/>
    <w:rsid w:val="006C01FF"/>
    <w:rsid w:val="006C0223"/>
    <w:rsid w:val="006C023C"/>
    <w:rsid w:val="006C02AC"/>
    <w:rsid w:val="006C0307"/>
    <w:rsid w:val="006C037B"/>
    <w:rsid w:val="006C0392"/>
    <w:rsid w:val="006C0536"/>
    <w:rsid w:val="006C0625"/>
    <w:rsid w:val="006C066D"/>
    <w:rsid w:val="006C0799"/>
    <w:rsid w:val="006C0C46"/>
    <w:rsid w:val="006C0E0B"/>
    <w:rsid w:val="006C1240"/>
    <w:rsid w:val="006C13A8"/>
    <w:rsid w:val="006C1426"/>
    <w:rsid w:val="006C1676"/>
    <w:rsid w:val="006C175A"/>
    <w:rsid w:val="006C187E"/>
    <w:rsid w:val="006C1A23"/>
    <w:rsid w:val="006C1C28"/>
    <w:rsid w:val="006C1CFF"/>
    <w:rsid w:val="006C1DB6"/>
    <w:rsid w:val="006C1DE0"/>
    <w:rsid w:val="006C1F3D"/>
    <w:rsid w:val="006C2058"/>
    <w:rsid w:val="006C237A"/>
    <w:rsid w:val="006C2400"/>
    <w:rsid w:val="006C2672"/>
    <w:rsid w:val="006C2676"/>
    <w:rsid w:val="006C28AC"/>
    <w:rsid w:val="006C2934"/>
    <w:rsid w:val="006C29D4"/>
    <w:rsid w:val="006C29FE"/>
    <w:rsid w:val="006C2F88"/>
    <w:rsid w:val="006C2FFD"/>
    <w:rsid w:val="006C30EB"/>
    <w:rsid w:val="006C3160"/>
    <w:rsid w:val="006C3209"/>
    <w:rsid w:val="006C32D0"/>
    <w:rsid w:val="006C3465"/>
    <w:rsid w:val="006C34B0"/>
    <w:rsid w:val="006C3504"/>
    <w:rsid w:val="006C351E"/>
    <w:rsid w:val="006C357B"/>
    <w:rsid w:val="006C3593"/>
    <w:rsid w:val="006C3637"/>
    <w:rsid w:val="006C3672"/>
    <w:rsid w:val="006C36BC"/>
    <w:rsid w:val="006C3759"/>
    <w:rsid w:val="006C3BF3"/>
    <w:rsid w:val="006C3BFA"/>
    <w:rsid w:val="006C3C32"/>
    <w:rsid w:val="006C3D2F"/>
    <w:rsid w:val="006C3DF1"/>
    <w:rsid w:val="006C3F7D"/>
    <w:rsid w:val="006C3FCF"/>
    <w:rsid w:val="006C3FE3"/>
    <w:rsid w:val="006C406B"/>
    <w:rsid w:val="006C4089"/>
    <w:rsid w:val="006C4103"/>
    <w:rsid w:val="006C4229"/>
    <w:rsid w:val="006C43A6"/>
    <w:rsid w:val="006C4584"/>
    <w:rsid w:val="006C45A1"/>
    <w:rsid w:val="006C45F0"/>
    <w:rsid w:val="006C48B9"/>
    <w:rsid w:val="006C4921"/>
    <w:rsid w:val="006C4930"/>
    <w:rsid w:val="006C4B2F"/>
    <w:rsid w:val="006C4B3E"/>
    <w:rsid w:val="006C4C5B"/>
    <w:rsid w:val="006C4C87"/>
    <w:rsid w:val="006C4E49"/>
    <w:rsid w:val="006C5007"/>
    <w:rsid w:val="006C5218"/>
    <w:rsid w:val="006C5233"/>
    <w:rsid w:val="006C5237"/>
    <w:rsid w:val="006C530B"/>
    <w:rsid w:val="006C5528"/>
    <w:rsid w:val="006C5612"/>
    <w:rsid w:val="006C5732"/>
    <w:rsid w:val="006C57B5"/>
    <w:rsid w:val="006C58CB"/>
    <w:rsid w:val="006C590D"/>
    <w:rsid w:val="006C5C05"/>
    <w:rsid w:val="006C5C21"/>
    <w:rsid w:val="006C5D2C"/>
    <w:rsid w:val="006C5D68"/>
    <w:rsid w:val="006C5D86"/>
    <w:rsid w:val="006C5DE3"/>
    <w:rsid w:val="006C608B"/>
    <w:rsid w:val="006C613B"/>
    <w:rsid w:val="006C615C"/>
    <w:rsid w:val="006C618E"/>
    <w:rsid w:val="006C61AC"/>
    <w:rsid w:val="006C6340"/>
    <w:rsid w:val="006C63D7"/>
    <w:rsid w:val="006C6452"/>
    <w:rsid w:val="006C64B1"/>
    <w:rsid w:val="006C64BC"/>
    <w:rsid w:val="006C672D"/>
    <w:rsid w:val="006C67D6"/>
    <w:rsid w:val="006C681A"/>
    <w:rsid w:val="006C6909"/>
    <w:rsid w:val="006C69ED"/>
    <w:rsid w:val="006C6CD7"/>
    <w:rsid w:val="006C6EB6"/>
    <w:rsid w:val="006C70C9"/>
    <w:rsid w:val="006C713C"/>
    <w:rsid w:val="006C7187"/>
    <w:rsid w:val="006C71C0"/>
    <w:rsid w:val="006C72B3"/>
    <w:rsid w:val="006C734F"/>
    <w:rsid w:val="006C73D7"/>
    <w:rsid w:val="006C7454"/>
    <w:rsid w:val="006C7455"/>
    <w:rsid w:val="006C75B0"/>
    <w:rsid w:val="006C75F9"/>
    <w:rsid w:val="006C7642"/>
    <w:rsid w:val="006C7783"/>
    <w:rsid w:val="006C78F2"/>
    <w:rsid w:val="006C7C74"/>
    <w:rsid w:val="006C7D92"/>
    <w:rsid w:val="006C7DA4"/>
    <w:rsid w:val="006C7E45"/>
    <w:rsid w:val="006C7EA1"/>
    <w:rsid w:val="006D04B1"/>
    <w:rsid w:val="006D0517"/>
    <w:rsid w:val="006D0996"/>
    <w:rsid w:val="006D0A92"/>
    <w:rsid w:val="006D0AB2"/>
    <w:rsid w:val="006D0B6D"/>
    <w:rsid w:val="006D0CF2"/>
    <w:rsid w:val="006D0D0B"/>
    <w:rsid w:val="006D0DAB"/>
    <w:rsid w:val="006D0EA9"/>
    <w:rsid w:val="006D0ED1"/>
    <w:rsid w:val="006D10D0"/>
    <w:rsid w:val="006D136C"/>
    <w:rsid w:val="006D13FC"/>
    <w:rsid w:val="006D1410"/>
    <w:rsid w:val="006D1508"/>
    <w:rsid w:val="006D1619"/>
    <w:rsid w:val="006D1709"/>
    <w:rsid w:val="006D199B"/>
    <w:rsid w:val="006D1B4E"/>
    <w:rsid w:val="006D1C54"/>
    <w:rsid w:val="006D1D2A"/>
    <w:rsid w:val="006D215D"/>
    <w:rsid w:val="006D21AE"/>
    <w:rsid w:val="006D226E"/>
    <w:rsid w:val="006D228D"/>
    <w:rsid w:val="006D238A"/>
    <w:rsid w:val="006D240A"/>
    <w:rsid w:val="006D25C0"/>
    <w:rsid w:val="006D263E"/>
    <w:rsid w:val="006D26A2"/>
    <w:rsid w:val="006D2782"/>
    <w:rsid w:val="006D28E9"/>
    <w:rsid w:val="006D2915"/>
    <w:rsid w:val="006D2933"/>
    <w:rsid w:val="006D299B"/>
    <w:rsid w:val="006D2A38"/>
    <w:rsid w:val="006D2C35"/>
    <w:rsid w:val="006D2C47"/>
    <w:rsid w:val="006D2C56"/>
    <w:rsid w:val="006D2E5A"/>
    <w:rsid w:val="006D2EF5"/>
    <w:rsid w:val="006D2F15"/>
    <w:rsid w:val="006D2FAF"/>
    <w:rsid w:val="006D30D4"/>
    <w:rsid w:val="006D314D"/>
    <w:rsid w:val="006D317B"/>
    <w:rsid w:val="006D3213"/>
    <w:rsid w:val="006D327F"/>
    <w:rsid w:val="006D387F"/>
    <w:rsid w:val="006D3937"/>
    <w:rsid w:val="006D39D0"/>
    <w:rsid w:val="006D3A0D"/>
    <w:rsid w:val="006D3AA5"/>
    <w:rsid w:val="006D3AA8"/>
    <w:rsid w:val="006D3E43"/>
    <w:rsid w:val="006D3F1C"/>
    <w:rsid w:val="006D3FE1"/>
    <w:rsid w:val="006D3FF0"/>
    <w:rsid w:val="006D41D6"/>
    <w:rsid w:val="006D4269"/>
    <w:rsid w:val="006D427E"/>
    <w:rsid w:val="006D432E"/>
    <w:rsid w:val="006D438F"/>
    <w:rsid w:val="006D4396"/>
    <w:rsid w:val="006D444B"/>
    <w:rsid w:val="006D452B"/>
    <w:rsid w:val="006D4534"/>
    <w:rsid w:val="006D45D7"/>
    <w:rsid w:val="006D465C"/>
    <w:rsid w:val="006D48BD"/>
    <w:rsid w:val="006D48D6"/>
    <w:rsid w:val="006D48F2"/>
    <w:rsid w:val="006D495F"/>
    <w:rsid w:val="006D4BA0"/>
    <w:rsid w:val="006D4BF2"/>
    <w:rsid w:val="006D4DC9"/>
    <w:rsid w:val="006D4FDF"/>
    <w:rsid w:val="006D4FFB"/>
    <w:rsid w:val="006D5173"/>
    <w:rsid w:val="006D51A9"/>
    <w:rsid w:val="006D5200"/>
    <w:rsid w:val="006D5368"/>
    <w:rsid w:val="006D543A"/>
    <w:rsid w:val="006D54E4"/>
    <w:rsid w:val="006D55E5"/>
    <w:rsid w:val="006D55ED"/>
    <w:rsid w:val="006D5815"/>
    <w:rsid w:val="006D588E"/>
    <w:rsid w:val="006D58B0"/>
    <w:rsid w:val="006D58B2"/>
    <w:rsid w:val="006D595B"/>
    <w:rsid w:val="006D5A10"/>
    <w:rsid w:val="006D5B3C"/>
    <w:rsid w:val="006D5D07"/>
    <w:rsid w:val="006D5D18"/>
    <w:rsid w:val="006D5D36"/>
    <w:rsid w:val="006D5EB7"/>
    <w:rsid w:val="006D5F31"/>
    <w:rsid w:val="006D5FDD"/>
    <w:rsid w:val="006D61CD"/>
    <w:rsid w:val="006D62D0"/>
    <w:rsid w:val="006D63A3"/>
    <w:rsid w:val="006D669A"/>
    <w:rsid w:val="006D6799"/>
    <w:rsid w:val="006D67D2"/>
    <w:rsid w:val="006D6818"/>
    <w:rsid w:val="006D683D"/>
    <w:rsid w:val="006D694B"/>
    <w:rsid w:val="006D6AD7"/>
    <w:rsid w:val="006D6AE4"/>
    <w:rsid w:val="006D6B45"/>
    <w:rsid w:val="006D6B78"/>
    <w:rsid w:val="006D6ED8"/>
    <w:rsid w:val="006D7251"/>
    <w:rsid w:val="006D72DE"/>
    <w:rsid w:val="006D73D8"/>
    <w:rsid w:val="006D7487"/>
    <w:rsid w:val="006D780A"/>
    <w:rsid w:val="006D780D"/>
    <w:rsid w:val="006D78F9"/>
    <w:rsid w:val="006D79D9"/>
    <w:rsid w:val="006D7B28"/>
    <w:rsid w:val="006D7B95"/>
    <w:rsid w:val="006D7C60"/>
    <w:rsid w:val="006D7CE4"/>
    <w:rsid w:val="006D7DB0"/>
    <w:rsid w:val="006D7E82"/>
    <w:rsid w:val="006E00E3"/>
    <w:rsid w:val="006E02CB"/>
    <w:rsid w:val="006E0307"/>
    <w:rsid w:val="006E0328"/>
    <w:rsid w:val="006E0377"/>
    <w:rsid w:val="006E0450"/>
    <w:rsid w:val="006E04AE"/>
    <w:rsid w:val="006E04F7"/>
    <w:rsid w:val="006E0550"/>
    <w:rsid w:val="006E05B4"/>
    <w:rsid w:val="006E069D"/>
    <w:rsid w:val="006E082B"/>
    <w:rsid w:val="006E08C9"/>
    <w:rsid w:val="006E0990"/>
    <w:rsid w:val="006E0A41"/>
    <w:rsid w:val="006E0A4E"/>
    <w:rsid w:val="006E0C00"/>
    <w:rsid w:val="006E0D7D"/>
    <w:rsid w:val="006E0E1F"/>
    <w:rsid w:val="006E0E27"/>
    <w:rsid w:val="006E1049"/>
    <w:rsid w:val="006E131F"/>
    <w:rsid w:val="006E1462"/>
    <w:rsid w:val="006E146E"/>
    <w:rsid w:val="006E14A3"/>
    <w:rsid w:val="006E14D6"/>
    <w:rsid w:val="006E1667"/>
    <w:rsid w:val="006E1A01"/>
    <w:rsid w:val="006E1D97"/>
    <w:rsid w:val="006E1DC9"/>
    <w:rsid w:val="006E1DE0"/>
    <w:rsid w:val="006E1E77"/>
    <w:rsid w:val="006E21BA"/>
    <w:rsid w:val="006E21E6"/>
    <w:rsid w:val="006E239B"/>
    <w:rsid w:val="006E2465"/>
    <w:rsid w:val="006E24AD"/>
    <w:rsid w:val="006E24BA"/>
    <w:rsid w:val="006E24D0"/>
    <w:rsid w:val="006E253E"/>
    <w:rsid w:val="006E2545"/>
    <w:rsid w:val="006E2561"/>
    <w:rsid w:val="006E2810"/>
    <w:rsid w:val="006E285A"/>
    <w:rsid w:val="006E28EB"/>
    <w:rsid w:val="006E2A89"/>
    <w:rsid w:val="006E2B00"/>
    <w:rsid w:val="006E2B46"/>
    <w:rsid w:val="006E2B57"/>
    <w:rsid w:val="006E2C3D"/>
    <w:rsid w:val="006E2C45"/>
    <w:rsid w:val="006E2DF6"/>
    <w:rsid w:val="006E2ED3"/>
    <w:rsid w:val="006E2EE1"/>
    <w:rsid w:val="006E3045"/>
    <w:rsid w:val="006E3306"/>
    <w:rsid w:val="006E33A4"/>
    <w:rsid w:val="006E35C7"/>
    <w:rsid w:val="006E362C"/>
    <w:rsid w:val="006E36A4"/>
    <w:rsid w:val="006E36B9"/>
    <w:rsid w:val="006E370E"/>
    <w:rsid w:val="006E374D"/>
    <w:rsid w:val="006E3810"/>
    <w:rsid w:val="006E38F1"/>
    <w:rsid w:val="006E3922"/>
    <w:rsid w:val="006E3A59"/>
    <w:rsid w:val="006E3A6F"/>
    <w:rsid w:val="006E3DDD"/>
    <w:rsid w:val="006E3FA6"/>
    <w:rsid w:val="006E3FA7"/>
    <w:rsid w:val="006E40C1"/>
    <w:rsid w:val="006E4110"/>
    <w:rsid w:val="006E42F5"/>
    <w:rsid w:val="006E43DB"/>
    <w:rsid w:val="006E443C"/>
    <w:rsid w:val="006E45E3"/>
    <w:rsid w:val="006E4676"/>
    <w:rsid w:val="006E474D"/>
    <w:rsid w:val="006E476F"/>
    <w:rsid w:val="006E4BD4"/>
    <w:rsid w:val="006E4C4A"/>
    <w:rsid w:val="006E4CA9"/>
    <w:rsid w:val="006E4DAD"/>
    <w:rsid w:val="006E4DBB"/>
    <w:rsid w:val="006E5127"/>
    <w:rsid w:val="006E5341"/>
    <w:rsid w:val="006E5603"/>
    <w:rsid w:val="006E567B"/>
    <w:rsid w:val="006E56CC"/>
    <w:rsid w:val="006E5711"/>
    <w:rsid w:val="006E578F"/>
    <w:rsid w:val="006E57D1"/>
    <w:rsid w:val="006E580E"/>
    <w:rsid w:val="006E59B4"/>
    <w:rsid w:val="006E59EC"/>
    <w:rsid w:val="006E5AAB"/>
    <w:rsid w:val="006E5B81"/>
    <w:rsid w:val="006E5C40"/>
    <w:rsid w:val="006E5D2E"/>
    <w:rsid w:val="006E5D7A"/>
    <w:rsid w:val="006E5E7C"/>
    <w:rsid w:val="006E5ED5"/>
    <w:rsid w:val="006E601D"/>
    <w:rsid w:val="006E608E"/>
    <w:rsid w:val="006E6146"/>
    <w:rsid w:val="006E61A3"/>
    <w:rsid w:val="006E6251"/>
    <w:rsid w:val="006E64F6"/>
    <w:rsid w:val="006E65D2"/>
    <w:rsid w:val="006E6842"/>
    <w:rsid w:val="006E692E"/>
    <w:rsid w:val="006E69B5"/>
    <w:rsid w:val="006E6AC8"/>
    <w:rsid w:val="006E6ACF"/>
    <w:rsid w:val="006E6B6B"/>
    <w:rsid w:val="006E6C19"/>
    <w:rsid w:val="006E6C59"/>
    <w:rsid w:val="006E6E34"/>
    <w:rsid w:val="006E6E36"/>
    <w:rsid w:val="006E6E87"/>
    <w:rsid w:val="006E6EE6"/>
    <w:rsid w:val="006E74EB"/>
    <w:rsid w:val="006E764A"/>
    <w:rsid w:val="006E76D5"/>
    <w:rsid w:val="006E77F4"/>
    <w:rsid w:val="006E7859"/>
    <w:rsid w:val="006E78A2"/>
    <w:rsid w:val="006E797A"/>
    <w:rsid w:val="006E7B3B"/>
    <w:rsid w:val="006E7B6C"/>
    <w:rsid w:val="006E7D90"/>
    <w:rsid w:val="006E7E4E"/>
    <w:rsid w:val="006E7FA7"/>
    <w:rsid w:val="006F0156"/>
    <w:rsid w:val="006F0219"/>
    <w:rsid w:val="006F0241"/>
    <w:rsid w:val="006F0249"/>
    <w:rsid w:val="006F02AB"/>
    <w:rsid w:val="006F0406"/>
    <w:rsid w:val="006F048F"/>
    <w:rsid w:val="006F0560"/>
    <w:rsid w:val="006F076C"/>
    <w:rsid w:val="006F07EC"/>
    <w:rsid w:val="006F09EB"/>
    <w:rsid w:val="006F0B54"/>
    <w:rsid w:val="006F0C16"/>
    <w:rsid w:val="006F0C7F"/>
    <w:rsid w:val="006F0CEB"/>
    <w:rsid w:val="006F0D70"/>
    <w:rsid w:val="006F0DA4"/>
    <w:rsid w:val="006F0DB2"/>
    <w:rsid w:val="006F0E97"/>
    <w:rsid w:val="006F0EB2"/>
    <w:rsid w:val="006F0EF8"/>
    <w:rsid w:val="006F0F62"/>
    <w:rsid w:val="006F12F3"/>
    <w:rsid w:val="006F1323"/>
    <w:rsid w:val="006F15AC"/>
    <w:rsid w:val="006F1635"/>
    <w:rsid w:val="006F166F"/>
    <w:rsid w:val="006F1690"/>
    <w:rsid w:val="006F1A8B"/>
    <w:rsid w:val="006F1AAE"/>
    <w:rsid w:val="006F1B7B"/>
    <w:rsid w:val="006F1BFE"/>
    <w:rsid w:val="006F1C32"/>
    <w:rsid w:val="006F1C44"/>
    <w:rsid w:val="006F1CE7"/>
    <w:rsid w:val="006F1E70"/>
    <w:rsid w:val="006F1F09"/>
    <w:rsid w:val="006F2168"/>
    <w:rsid w:val="006F2457"/>
    <w:rsid w:val="006F2475"/>
    <w:rsid w:val="006F24C9"/>
    <w:rsid w:val="006F264E"/>
    <w:rsid w:val="006F266D"/>
    <w:rsid w:val="006F281F"/>
    <w:rsid w:val="006F2938"/>
    <w:rsid w:val="006F2956"/>
    <w:rsid w:val="006F298B"/>
    <w:rsid w:val="006F2B1F"/>
    <w:rsid w:val="006F2B2F"/>
    <w:rsid w:val="006F2C2F"/>
    <w:rsid w:val="006F2CE0"/>
    <w:rsid w:val="006F2CFB"/>
    <w:rsid w:val="006F2D4D"/>
    <w:rsid w:val="006F2DCA"/>
    <w:rsid w:val="006F2EE0"/>
    <w:rsid w:val="006F2EE2"/>
    <w:rsid w:val="006F30CA"/>
    <w:rsid w:val="006F319A"/>
    <w:rsid w:val="006F32F2"/>
    <w:rsid w:val="006F32FA"/>
    <w:rsid w:val="006F3630"/>
    <w:rsid w:val="006F3654"/>
    <w:rsid w:val="006F376C"/>
    <w:rsid w:val="006F37A5"/>
    <w:rsid w:val="006F37EE"/>
    <w:rsid w:val="006F382B"/>
    <w:rsid w:val="006F387E"/>
    <w:rsid w:val="006F3949"/>
    <w:rsid w:val="006F3ADD"/>
    <w:rsid w:val="006F3B14"/>
    <w:rsid w:val="006F3D4E"/>
    <w:rsid w:val="006F3F18"/>
    <w:rsid w:val="006F3FA8"/>
    <w:rsid w:val="006F4022"/>
    <w:rsid w:val="006F4161"/>
    <w:rsid w:val="006F42A5"/>
    <w:rsid w:val="006F435C"/>
    <w:rsid w:val="006F4409"/>
    <w:rsid w:val="006F44C7"/>
    <w:rsid w:val="006F482D"/>
    <w:rsid w:val="006F48E4"/>
    <w:rsid w:val="006F4926"/>
    <w:rsid w:val="006F49B7"/>
    <w:rsid w:val="006F49BA"/>
    <w:rsid w:val="006F4A5E"/>
    <w:rsid w:val="006F4B99"/>
    <w:rsid w:val="006F4BA2"/>
    <w:rsid w:val="006F4D0B"/>
    <w:rsid w:val="006F4D8F"/>
    <w:rsid w:val="006F4D92"/>
    <w:rsid w:val="006F5171"/>
    <w:rsid w:val="006F548C"/>
    <w:rsid w:val="006F54F3"/>
    <w:rsid w:val="006F565F"/>
    <w:rsid w:val="006F5669"/>
    <w:rsid w:val="006F56DB"/>
    <w:rsid w:val="006F5745"/>
    <w:rsid w:val="006F57AA"/>
    <w:rsid w:val="006F57DC"/>
    <w:rsid w:val="006F589F"/>
    <w:rsid w:val="006F5A2A"/>
    <w:rsid w:val="006F5A38"/>
    <w:rsid w:val="006F5A88"/>
    <w:rsid w:val="006F5A9F"/>
    <w:rsid w:val="006F5B07"/>
    <w:rsid w:val="006F5B9B"/>
    <w:rsid w:val="006F5C3D"/>
    <w:rsid w:val="006F5C4B"/>
    <w:rsid w:val="006F5C56"/>
    <w:rsid w:val="006F5EEF"/>
    <w:rsid w:val="006F5FC6"/>
    <w:rsid w:val="006F6043"/>
    <w:rsid w:val="006F6049"/>
    <w:rsid w:val="006F625F"/>
    <w:rsid w:val="006F62D1"/>
    <w:rsid w:val="006F642A"/>
    <w:rsid w:val="006F6499"/>
    <w:rsid w:val="006F6D23"/>
    <w:rsid w:val="006F6DF8"/>
    <w:rsid w:val="006F6DFE"/>
    <w:rsid w:val="006F6E42"/>
    <w:rsid w:val="006F6E52"/>
    <w:rsid w:val="006F6F16"/>
    <w:rsid w:val="006F710D"/>
    <w:rsid w:val="006F7376"/>
    <w:rsid w:val="006F7491"/>
    <w:rsid w:val="006F75B3"/>
    <w:rsid w:val="006F79D8"/>
    <w:rsid w:val="006F7C2E"/>
    <w:rsid w:val="006F7C78"/>
    <w:rsid w:val="006F7CDC"/>
    <w:rsid w:val="006F7E1E"/>
    <w:rsid w:val="0070005B"/>
    <w:rsid w:val="0070025E"/>
    <w:rsid w:val="007002A2"/>
    <w:rsid w:val="0070036F"/>
    <w:rsid w:val="0070048D"/>
    <w:rsid w:val="007006D1"/>
    <w:rsid w:val="007006D7"/>
    <w:rsid w:val="00700750"/>
    <w:rsid w:val="00700B16"/>
    <w:rsid w:val="00700BCF"/>
    <w:rsid w:val="0070105E"/>
    <w:rsid w:val="007010D6"/>
    <w:rsid w:val="007010F1"/>
    <w:rsid w:val="00701137"/>
    <w:rsid w:val="007013A2"/>
    <w:rsid w:val="0070140C"/>
    <w:rsid w:val="0070145A"/>
    <w:rsid w:val="007014F1"/>
    <w:rsid w:val="007016C7"/>
    <w:rsid w:val="00701709"/>
    <w:rsid w:val="0070175F"/>
    <w:rsid w:val="00701835"/>
    <w:rsid w:val="00701886"/>
    <w:rsid w:val="00701898"/>
    <w:rsid w:val="00701ACA"/>
    <w:rsid w:val="00701AD1"/>
    <w:rsid w:val="00701AF5"/>
    <w:rsid w:val="00701D02"/>
    <w:rsid w:val="00701D12"/>
    <w:rsid w:val="00701D8A"/>
    <w:rsid w:val="00701E05"/>
    <w:rsid w:val="00701E25"/>
    <w:rsid w:val="00701E59"/>
    <w:rsid w:val="00701F49"/>
    <w:rsid w:val="00701F57"/>
    <w:rsid w:val="00702061"/>
    <w:rsid w:val="0070214A"/>
    <w:rsid w:val="00702238"/>
    <w:rsid w:val="00702279"/>
    <w:rsid w:val="0070229C"/>
    <w:rsid w:val="007023C2"/>
    <w:rsid w:val="00702429"/>
    <w:rsid w:val="007025CA"/>
    <w:rsid w:val="0070264C"/>
    <w:rsid w:val="007026AA"/>
    <w:rsid w:val="007026B8"/>
    <w:rsid w:val="007026BA"/>
    <w:rsid w:val="007026E2"/>
    <w:rsid w:val="0070289A"/>
    <w:rsid w:val="00702940"/>
    <w:rsid w:val="00702973"/>
    <w:rsid w:val="00702AB9"/>
    <w:rsid w:val="00702DBF"/>
    <w:rsid w:val="00702EC6"/>
    <w:rsid w:val="00703126"/>
    <w:rsid w:val="0070315C"/>
    <w:rsid w:val="007031DB"/>
    <w:rsid w:val="00703209"/>
    <w:rsid w:val="00703231"/>
    <w:rsid w:val="0070331A"/>
    <w:rsid w:val="007033EA"/>
    <w:rsid w:val="00703564"/>
    <w:rsid w:val="007035E1"/>
    <w:rsid w:val="007036FF"/>
    <w:rsid w:val="00703769"/>
    <w:rsid w:val="0070393D"/>
    <w:rsid w:val="00703B21"/>
    <w:rsid w:val="00703B7B"/>
    <w:rsid w:val="00703D5C"/>
    <w:rsid w:val="00703F79"/>
    <w:rsid w:val="00703F94"/>
    <w:rsid w:val="0070418D"/>
    <w:rsid w:val="007041FD"/>
    <w:rsid w:val="00704217"/>
    <w:rsid w:val="00704285"/>
    <w:rsid w:val="00704305"/>
    <w:rsid w:val="00704363"/>
    <w:rsid w:val="0070448B"/>
    <w:rsid w:val="0070448F"/>
    <w:rsid w:val="00704496"/>
    <w:rsid w:val="00704509"/>
    <w:rsid w:val="0070464A"/>
    <w:rsid w:val="007049FE"/>
    <w:rsid w:val="00704B13"/>
    <w:rsid w:val="00704BC8"/>
    <w:rsid w:val="00704BD0"/>
    <w:rsid w:val="00704D1B"/>
    <w:rsid w:val="00704E74"/>
    <w:rsid w:val="00704E9B"/>
    <w:rsid w:val="00704EDA"/>
    <w:rsid w:val="00704F8D"/>
    <w:rsid w:val="00705020"/>
    <w:rsid w:val="00705030"/>
    <w:rsid w:val="0070511F"/>
    <w:rsid w:val="00705129"/>
    <w:rsid w:val="00705139"/>
    <w:rsid w:val="00705217"/>
    <w:rsid w:val="00705263"/>
    <w:rsid w:val="00705294"/>
    <w:rsid w:val="0070563B"/>
    <w:rsid w:val="00705825"/>
    <w:rsid w:val="00705869"/>
    <w:rsid w:val="00705960"/>
    <w:rsid w:val="0070597C"/>
    <w:rsid w:val="007059C7"/>
    <w:rsid w:val="00705A36"/>
    <w:rsid w:val="00705B7C"/>
    <w:rsid w:val="00705BC6"/>
    <w:rsid w:val="00705CF4"/>
    <w:rsid w:val="00705D3F"/>
    <w:rsid w:val="00705F19"/>
    <w:rsid w:val="00705F88"/>
    <w:rsid w:val="00705F8E"/>
    <w:rsid w:val="00706086"/>
    <w:rsid w:val="007061E1"/>
    <w:rsid w:val="00706600"/>
    <w:rsid w:val="00706817"/>
    <w:rsid w:val="007068AF"/>
    <w:rsid w:val="00706901"/>
    <w:rsid w:val="00706A5C"/>
    <w:rsid w:val="00706C48"/>
    <w:rsid w:val="00706CE6"/>
    <w:rsid w:val="00707067"/>
    <w:rsid w:val="007071B2"/>
    <w:rsid w:val="007071E0"/>
    <w:rsid w:val="00707342"/>
    <w:rsid w:val="00707368"/>
    <w:rsid w:val="00707783"/>
    <w:rsid w:val="00707831"/>
    <w:rsid w:val="007078AC"/>
    <w:rsid w:val="007078E7"/>
    <w:rsid w:val="00707AAC"/>
    <w:rsid w:val="00707C98"/>
    <w:rsid w:val="00707CAF"/>
    <w:rsid w:val="00707E77"/>
    <w:rsid w:val="0071005F"/>
    <w:rsid w:val="007100B2"/>
    <w:rsid w:val="007100D6"/>
    <w:rsid w:val="00710190"/>
    <w:rsid w:val="00710218"/>
    <w:rsid w:val="007102F1"/>
    <w:rsid w:val="007103D9"/>
    <w:rsid w:val="007103EE"/>
    <w:rsid w:val="00710492"/>
    <w:rsid w:val="007104B6"/>
    <w:rsid w:val="0071059A"/>
    <w:rsid w:val="007105D6"/>
    <w:rsid w:val="00710838"/>
    <w:rsid w:val="007109CB"/>
    <w:rsid w:val="00710AB5"/>
    <w:rsid w:val="00710B04"/>
    <w:rsid w:val="00710B0D"/>
    <w:rsid w:val="00710C75"/>
    <w:rsid w:val="00710D8B"/>
    <w:rsid w:val="00710FCF"/>
    <w:rsid w:val="00711095"/>
    <w:rsid w:val="007110A0"/>
    <w:rsid w:val="007110CB"/>
    <w:rsid w:val="007113B0"/>
    <w:rsid w:val="00711431"/>
    <w:rsid w:val="007115A3"/>
    <w:rsid w:val="0071162A"/>
    <w:rsid w:val="00711719"/>
    <w:rsid w:val="00711760"/>
    <w:rsid w:val="007117C4"/>
    <w:rsid w:val="007118FB"/>
    <w:rsid w:val="007119A5"/>
    <w:rsid w:val="00711AF3"/>
    <w:rsid w:val="00711B02"/>
    <w:rsid w:val="00711EB9"/>
    <w:rsid w:val="00711FCC"/>
    <w:rsid w:val="007120C4"/>
    <w:rsid w:val="007120CC"/>
    <w:rsid w:val="00712128"/>
    <w:rsid w:val="007121B0"/>
    <w:rsid w:val="007121EE"/>
    <w:rsid w:val="0071230E"/>
    <w:rsid w:val="00712324"/>
    <w:rsid w:val="00712351"/>
    <w:rsid w:val="0071247C"/>
    <w:rsid w:val="00712504"/>
    <w:rsid w:val="0071264C"/>
    <w:rsid w:val="007126AF"/>
    <w:rsid w:val="007126E4"/>
    <w:rsid w:val="0071277F"/>
    <w:rsid w:val="00712889"/>
    <w:rsid w:val="00712A15"/>
    <w:rsid w:val="00712A2E"/>
    <w:rsid w:val="00712BEC"/>
    <w:rsid w:val="00712E37"/>
    <w:rsid w:val="0071304A"/>
    <w:rsid w:val="00713157"/>
    <w:rsid w:val="0071321D"/>
    <w:rsid w:val="0071350B"/>
    <w:rsid w:val="0071351C"/>
    <w:rsid w:val="00713740"/>
    <w:rsid w:val="00713789"/>
    <w:rsid w:val="00713AF0"/>
    <w:rsid w:val="00713BD8"/>
    <w:rsid w:val="00713D14"/>
    <w:rsid w:val="00713D39"/>
    <w:rsid w:val="00713D52"/>
    <w:rsid w:val="00713DCE"/>
    <w:rsid w:val="00713E31"/>
    <w:rsid w:val="00713F20"/>
    <w:rsid w:val="00713F26"/>
    <w:rsid w:val="00713FAB"/>
    <w:rsid w:val="0071400C"/>
    <w:rsid w:val="00714365"/>
    <w:rsid w:val="00714578"/>
    <w:rsid w:val="007145E8"/>
    <w:rsid w:val="00714A47"/>
    <w:rsid w:val="00714A4C"/>
    <w:rsid w:val="00714B52"/>
    <w:rsid w:val="00714C38"/>
    <w:rsid w:val="00714C6D"/>
    <w:rsid w:val="00714D02"/>
    <w:rsid w:val="00714D37"/>
    <w:rsid w:val="00714DEF"/>
    <w:rsid w:val="00714E0F"/>
    <w:rsid w:val="00714E41"/>
    <w:rsid w:val="00714EFF"/>
    <w:rsid w:val="00714FC7"/>
    <w:rsid w:val="00715062"/>
    <w:rsid w:val="00715176"/>
    <w:rsid w:val="0071518F"/>
    <w:rsid w:val="00715230"/>
    <w:rsid w:val="00715243"/>
    <w:rsid w:val="007153DB"/>
    <w:rsid w:val="007155E6"/>
    <w:rsid w:val="00715688"/>
    <w:rsid w:val="007156F1"/>
    <w:rsid w:val="0071584E"/>
    <w:rsid w:val="00715861"/>
    <w:rsid w:val="00715B4B"/>
    <w:rsid w:val="00715BC8"/>
    <w:rsid w:val="00715BF7"/>
    <w:rsid w:val="00715CE8"/>
    <w:rsid w:val="00715D44"/>
    <w:rsid w:val="00715ECF"/>
    <w:rsid w:val="00715FB3"/>
    <w:rsid w:val="00716091"/>
    <w:rsid w:val="007160B8"/>
    <w:rsid w:val="0071616D"/>
    <w:rsid w:val="007161C8"/>
    <w:rsid w:val="007162F0"/>
    <w:rsid w:val="007165B1"/>
    <w:rsid w:val="0071680B"/>
    <w:rsid w:val="007168D5"/>
    <w:rsid w:val="007168E2"/>
    <w:rsid w:val="00716A18"/>
    <w:rsid w:val="00716BED"/>
    <w:rsid w:val="00716DCB"/>
    <w:rsid w:val="00716F1A"/>
    <w:rsid w:val="0071703F"/>
    <w:rsid w:val="00717093"/>
    <w:rsid w:val="0071755A"/>
    <w:rsid w:val="00717676"/>
    <w:rsid w:val="007176E6"/>
    <w:rsid w:val="00717736"/>
    <w:rsid w:val="00717A57"/>
    <w:rsid w:val="00717ABC"/>
    <w:rsid w:val="00717AF1"/>
    <w:rsid w:val="00717C39"/>
    <w:rsid w:val="00717C5D"/>
    <w:rsid w:val="00717D13"/>
    <w:rsid w:val="00717E5C"/>
    <w:rsid w:val="00720012"/>
    <w:rsid w:val="007200C7"/>
    <w:rsid w:val="00720151"/>
    <w:rsid w:val="007202B6"/>
    <w:rsid w:val="00720384"/>
    <w:rsid w:val="007203FB"/>
    <w:rsid w:val="00720561"/>
    <w:rsid w:val="0072065C"/>
    <w:rsid w:val="00720754"/>
    <w:rsid w:val="0072098E"/>
    <w:rsid w:val="00720E2E"/>
    <w:rsid w:val="00720EFB"/>
    <w:rsid w:val="00720F63"/>
    <w:rsid w:val="007211A3"/>
    <w:rsid w:val="00721395"/>
    <w:rsid w:val="0072145B"/>
    <w:rsid w:val="00721624"/>
    <w:rsid w:val="0072178E"/>
    <w:rsid w:val="0072183F"/>
    <w:rsid w:val="0072187D"/>
    <w:rsid w:val="0072197D"/>
    <w:rsid w:val="00721D07"/>
    <w:rsid w:val="00721DAA"/>
    <w:rsid w:val="00721E2C"/>
    <w:rsid w:val="00721E65"/>
    <w:rsid w:val="00721F15"/>
    <w:rsid w:val="00721F64"/>
    <w:rsid w:val="0072208E"/>
    <w:rsid w:val="007220AE"/>
    <w:rsid w:val="007220C4"/>
    <w:rsid w:val="00722106"/>
    <w:rsid w:val="00722283"/>
    <w:rsid w:val="00722483"/>
    <w:rsid w:val="0072254A"/>
    <w:rsid w:val="007225F2"/>
    <w:rsid w:val="00722739"/>
    <w:rsid w:val="0072275C"/>
    <w:rsid w:val="0072281E"/>
    <w:rsid w:val="00722A4C"/>
    <w:rsid w:val="00722A57"/>
    <w:rsid w:val="00722C32"/>
    <w:rsid w:val="00722CFA"/>
    <w:rsid w:val="00722EBD"/>
    <w:rsid w:val="00722F03"/>
    <w:rsid w:val="007230BD"/>
    <w:rsid w:val="00723162"/>
    <w:rsid w:val="00723289"/>
    <w:rsid w:val="007237A8"/>
    <w:rsid w:val="00723811"/>
    <w:rsid w:val="007239FD"/>
    <w:rsid w:val="00723A29"/>
    <w:rsid w:val="00723AE9"/>
    <w:rsid w:val="00723B85"/>
    <w:rsid w:val="00723BF0"/>
    <w:rsid w:val="00723CA5"/>
    <w:rsid w:val="00723D17"/>
    <w:rsid w:val="00723D6F"/>
    <w:rsid w:val="00723DA2"/>
    <w:rsid w:val="00723E0B"/>
    <w:rsid w:val="00723E70"/>
    <w:rsid w:val="00723E81"/>
    <w:rsid w:val="00723EC1"/>
    <w:rsid w:val="00723FE5"/>
    <w:rsid w:val="00724027"/>
    <w:rsid w:val="0072402D"/>
    <w:rsid w:val="00724152"/>
    <w:rsid w:val="00724182"/>
    <w:rsid w:val="007241F3"/>
    <w:rsid w:val="007243F1"/>
    <w:rsid w:val="007246B2"/>
    <w:rsid w:val="00724835"/>
    <w:rsid w:val="0072483E"/>
    <w:rsid w:val="007248EF"/>
    <w:rsid w:val="00724B55"/>
    <w:rsid w:val="00724B89"/>
    <w:rsid w:val="00724BFE"/>
    <w:rsid w:val="00724C0C"/>
    <w:rsid w:val="00724D31"/>
    <w:rsid w:val="00724DB7"/>
    <w:rsid w:val="00724DFD"/>
    <w:rsid w:val="00724E11"/>
    <w:rsid w:val="00724E4A"/>
    <w:rsid w:val="00724FEE"/>
    <w:rsid w:val="007250A1"/>
    <w:rsid w:val="00725366"/>
    <w:rsid w:val="007255CB"/>
    <w:rsid w:val="00725621"/>
    <w:rsid w:val="00725738"/>
    <w:rsid w:val="00725838"/>
    <w:rsid w:val="0072588F"/>
    <w:rsid w:val="007258C5"/>
    <w:rsid w:val="00725955"/>
    <w:rsid w:val="00725D22"/>
    <w:rsid w:val="00725D8A"/>
    <w:rsid w:val="00725E09"/>
    <w:rsid w:val="00725F49"/>
    <w:rsid w:val="0072622D"/>
    <w:rsid w:val="007262A9"/>
    <w:rsid w:val="0072648C"/>
    <w:rsid w:val="00726499"/>
    <w:rsid w:val="007266CD"/>
    <w:rsid w:val="00726957"/>
    <w:rsid w:val="00726B08"/>
    <w:rsid w:val="00726C1C"/>
    <w:rsid w:val="00726C24"/>
    <w:rsid w:val="0072721B"/>
    <w:rsid w:val="00727267"/>
    <w:rsid w:val="0072728B"/>
    <w:rsid w:val="00727315"/>
    <w:rsid w:val="00727504"/>
    <w:rsid w:val="00727518"/>
    <w:rsid w:val="007276B9"/>
    <w:rsid w:val="0072779C"/>
    <w:rsid w:val="00727827"/>
    <w:rsid w:val="0072789F"/>
    <w:rsid w:val="00727900"/>
    <w:rsid w:val="007279A4"/>
    <w:rsid w:val="00727AE8"/>
    <w:rsid w:val="00727B2C"/>
    <w:rsid w:val="00727BFA"/>
    <w:rsid w:val="00727C64"/>
    <w:rsid w:val="00727EA3"/>
    <w:rsid w:val="00727F3E"/>
    <w:rsid w:val="00730080"/>
    <w:rsid w:val="007300B9"/>
    <w:rsid w:val="007301F6"/>
    <w:rsid w:val="00730239"/>
    <w:rsid w:val="0073025D"/>
    <w:rsid w:val="007303B4"/>
    <w:rsid w:val="00730656"/>
    <w:rsid w:val="0073078E"/>
    <w:rsid w:val="007307D6"/>
    <w:rsid w:val="00730834"/>
    <w:rsid w:val="00730947"/>
    <w:rsid w:val="0073097A"/>
    <w:rsid w:val="00730B7C"/>
    <w:rsid w:val="00730E3F"/>
    <w:rsid w:val="00730E42"/>
    <w:rsid w:val="00730F0F"/>
    <w:rsid w:val="00730F29"/>
    <w:rsid w:val="00730F65"/>
    <w:rsid w:val="00730FC3"/>
    <w:rsid w:val="00731045"/>
    <w:rsid w:val="0073121C"/>
    <w:rsid w:val="007312C3"/>
    <w:rsid w:val="00731630"/>
    <w:rsid w:val="00731706"/>
    <w:rsid w:val="00731766"/>
    <w:rsid w:val="007317A1"/>
    <w:rsid w:val="0073182F"/>
    <w:rsid w:val="00731902"/>
    <w:rsid w:val="0073198F"/>
    <w:rsid w:val="00731A01"/>
    <w:rsid w:val="00731A29"/>
    <w:rsid w:val="00731BCE"/>
    <w:rsid w:val="00731BFC"/>
    <w:rsid w:val="00731D82"/>
    <w:rsid w:val="00731DDF"/>
    <w:rsid w:val="00731E4E"/>
    <w:rsid w:val="00731EFC"/>
    <w:rsid w:val="00731F85"/>
    <w:rsid w:val="0073227F"/>
    <w:rsid w:val="00732358"/>
    <w:rsid w:val="00732406"/>
    <w:rsid w:val="0073244B"/>
    <w:rsid w:val="00732551"/>
    <w:rsid w:val="00732625"/>
    <w:rsid w:val="007327B7"/>
    <w:rsid w:val="00732816"/>
    <w:rsid w:val="00732850"/>
    <w:rsid w:val="00732B9E"/>
    <w:rsid w:val="00732D4F"/>
    <w:rsid w:val="00732D9E"/>
    <w:rsid w:val="00732E85"/>
    <w:rsid w:val="00732F1E"/>
    <w:rsid w:val="00733042"/>
    <w:rsid w:val="0073306B"/>
    <w:rsid w:val="00733114"/>
    <w:rsid w:val="0073312E"/>
    <w:rsid w:val="0073315B"/>
    <w:rsid w:val="007331EF"/>
    <w:rsid w:val="007332B2"/>
    <w:rsid w:val="0073338A"/>
    <w:rsid w:val="00733464"/>
    <w:rsid w:val="0073358C"/>
    <w:rsid w:val="007335CA"/>
    <w:rsid w:val="00733660"/>
    <w:rsid w:val="00733689"/>
    <w:rsid w:val="00733770"/>
    <w:rsid w:val="007337A7"/>
    <w:rsid w:val="007338C3"/>
    <w:rsid w:val="0073395C"/>
    <w:rsid w:val="00733964"/>
    <w:rsid w:val="007339B1"/>
    <w:rsid w:val="00733AF5"/>
    <w:rsid w:val="00733BAD"/>
    <w:rsid w:val="00733C96"/>
    <w:rsid w:val="00733D3B"/>
    <w:rsid w:val="00733DAC"/>
    <w:rsid w:val="00733E87"/>
    <w:rsid w:val="00733EA3"/>
    <w:rsid w:val="00733EC5"/>
    <w:rsid w:val="00733F3B"/>
    <w:rsid w:val="00734024"/>
    <w:rsid w:val="00734108"/>
    <w:rsid w:val="007341B1"/>
    <w:rsid w:val="007341D4"/>
    <w:rsid w:val="007341EB"/>
    <w:rsid w:val="00734297"/>
    <w:rsid w:val="00734335"/>
    <w:rsid w:val="0073436A"/>
    <w:rsid w:val="0073451B"/>
    <w:rsid w:val="007345C4"/>
    <w:rsid w:val="007346AD"/>
    <w:rsid w:val="00734795"/>
    <w:rsid w:val="0073484C"/>
    <w:rsid w:val="007348C1"/>
    <w:rsid w:val="007348CE"/>
    <w:rsid w:val="00734D6D"/>
    <w:rsid w:val="00734DFF"/>
    <w:rsid w:val="00734E1C"/>
    <w:rsid w:val="00734E45"/>
    <w:rsid w:val="00734F6E"/>
    <w:rsid w:val="00735262"/>
    <w:rsid w:val="007352B7"/>
    <w:rsid w:val="007352DE"/>
    <w:rsid w:val="007352E0"/>
    <w:rsid w:val="007352E8"/>
    <w:rsid w:val="007353CE"/>
    <w:rsid w:val="0073547C"/>
    <w:rsid w:val="0073549B"/>
    <w:rsid w:val="00735506"/>
    <w:rsid w:val="00735561"/>
    <w:rsid w:val="007355C0"/>
    <w:rsid w:val="00735672"/>
    <w:rsid w:val="00735A87"/>
    <w:rsid w:val="00735ABD"/>
    <w:rsid w:val="00735AC9"/>
    <w:rsid w:val="00735C04"/>
    <w:rsid w:val="00735C60"/>
    <w:rsid w:val="00735E8C"/>
    <w:rsid w:val="00735FD3"/>
    <w:rsid w:val="007361D7"/>
    <w:rsid w:val="0073625B"/>
    <w:rsid w:val="00736354"/>
    <w:rsid w:val="0073635C"/>
    <w:rsid w:val="00736489"/>
    <w:rsid w:val="007364D1"/>
    <w:rsid w:val="0073653A"/>
    <w:rsid w:val="007366C4"/>
    <w:rsid w:val="00736748"/>
    <w:rsid w:val="0073676C"/>
    <w:rsid w:val="00736811"/>
    <w:rsid w:val="00736AB4"/>
    <w:rsid w:val="00736B89"/>
    <w:rsid w:val="00736C23"/>
    <w:rsid w:val="00736C9F"/>
    <w:rsid w:val="00736D0B"/>
    <w:rsid w:val="00736D5B"/>
    <w:rsid w:val="00736E48"/>
    <w:rsid w:val="00737064"/>
    <w:rsid w:val="00737175"/>
    <w:rsid w:val="007371A6"/>
    <w:rsid w:val="00737250"/>
    <w:rsid w:val="00737445"/>
    <w:rsid w:val="00737529"/>
    <w:rsid w:val="0073755A"/>
    <w:rsid w:val="00737647"/>
    <w:rsid w:val="0073769E"/>
    <w:rsid w:val="00737795"/>
    <w:rsid w:val="007378DE"/>
    <w:rsid w:val="00737948"/>
    <w:rsid w:val="007379A0"/>
    <w:rsid w:val="007379E7"/>
    <w:rsid w:val="00737AB7"/>
    <w:rsid w:val="00737DE8"/>
    <w:rsid w:val="00737E68"/>
    <w:rsid w:val="00737F42"/>
    <w:rsid w:val="0074006E"/>
    <w:rsid w:val="00740275"/>
    <w:rsid w:val="0074062D"/>
    <w:rsid w:val="0074073A"/>
    <w:rsid w:val="00740869"/>
    <w:rsid w:val="0074087E"/>
    <w:rsid w:val="007408B8"/>
    <w:rsid w:val="00740908"/>
    <w:rsid w:val="00740B4D"/>
    <w:rsid w:val="00740C8F"/>
    <w:rsid w:val="00740D1F"/>
    <w:rsid w:val="00740D5B"/>
    <w:rsid w:val="00740E42"/>
    <w:rsid w:val="00740F17"/>
    <w:rsid w:val="00740F1F"/>
    <w:rsid w:val="00740F5C"/>
    <w:rsid w:val="0074100E"/>
    <w:rsid w:val="00741040"/>
    <w:rsid w:val="00741043"/>
    <w:rsid w:val="00741320"/>
    <w:rsid w:val="007413FB"/>
    <w:rsid w:val="00741429"/>
    <w:rsid w:val="0074150B"/>
    <w:rsid w:val="00741539"/>
    <w:rsid w:val="0074175D"/>
    <w:rsid w:val="00741763"/>
    <w:rsid w:val="0074184D"/>
    <w:rsid w:val="007418B8"/>
    <w:rsid w:val="00741A61"/>
    <w:rsid w:val="00741B39"/>
    <w:rsid w:val="00741C05"/>
    <w:rsid w:val="00741D9C"/>
    <w:rsid w:val="00741E0D"/>
    <w:rsid w:val="00741E1C"/>
    <w:rsid w:val="00741EAF"/>
    <w:rsid w:val="00741EFE"/>
    <w:rsid w:val="00741FF0"/>
    <w:rsid w:val="00742079"/>
    <w:rsid w:val="0074216F"/>
    <w:rsid w:val="0074224B"/>
    <w:rsid w:val="007422B3"/>
    <w:rsid w:val="0074233F"/>
    <w:rsid w:val="00742355"/>
    <w:rsid w:val="00742391"/>
    <w:rsid w:val="00742448"/>
    <w:rsid w:val="0074246E"/>
    <w:rsid w:val="007425CE"/>
    <w:rsid w:val="007426EE"/>
    <w:rsid w:val="0074277F"/>
    <w:rsid w:val="00742818"/>
    <w:rsid w:val="0074299D"/>
    <w:rsid w:val="00742AAB"/>
    <w:rsid w:val="00742B28"/>
    <w:rsid w:val="00742C3D"/>
    <w:rsid w:val="00742CCC"/>
    <w:rsid w:val="00742EDE"/>
    <w:rsid w:val="00743554"/>
    <w:rsid w:val="007437DC"/>
    <w:rsid w:val="00743838"/>
    <w:rsid w:val="007438CF"/>
    <w:rsid w:val="007438DA"/>
    <w:rsid w:val="00743B47"/>
    <w:rsid w:val="00743B54"/>
    <w:rsid w:val="00743C8C"/>
    <w:rsid w:val="00743EDE"/>
    <w:rsid w:val="007441CE"/>
    <w:rsid w:val="0074429C"/>
    <w:rsid w:val="0074430C"/>
    <w:rsid w:val="00744364"/>
    <w:rsid w:val="0074455F"/>
    <w:rsid w:val="00744585"/>
    <w:rsid w:val="00744669"/>
    <w:rsid w:val="00744786"/>
    <w:rsid w:val="00744943"/>
    <w:rsid w:val="007449BB"/>
    <w:rsid w:val="007449EE"/>
    <w:rsid w:val="00744A0E"/>
    <w:rsid w:val="00744A63"/>
    <w:rsid w:val="00744C15"/>
    <w:rsid w:val="00744C64"/>
    <w:rsid w:val="00744FC6"/>
    <w:rsid w:val="00744FE4"/>
    <w:rsid w:val="00745321"/>
    <w:rsid w:val="00745359"/>
    <w:rsid w:val="0074536C"/>
    <w:rsid w:val="00745452"/>
    <w:rsid w:val="0074569F"/>
    <w:rsid w:val="007458A2"/>
    <w:rsid w:val="007458B5"/>
    <w:rsid w:val="00745B50"/>
    <w:rsid w:val="00745CA1"/>
    <w:rsid w:val="00745CD5"/>
    <w:rsid w:val="00745D6A"/>
    <w:rsid w:val="00745E8C"/>
    <w:rsid w:val="00745E92"/>
    <w:rsid w:val="00745ECF"/>
    <w:rsid w:val="00745F1D"/>
    <w:rsid w:val="00745FDE"/>
    <w:rsid w:val="00746219"/>
    <w:rsid w:val="007462D1"/>
    <w:rsid w:val="007463AB"/>
    <w:rsid w:val="0074680B"/>
    <w:rsid w:val="0074689E"/>
    <w:rsid w:val="007468EC"/>
    <w:rsid w:val="0074690F"/>
    <w:rsid w:val="00746AF0"/>
    <w:rsid w:val="00746C68"/>
    <w:rsid w:val="00746D2F"/>
    <w:rsid w:val="00746D33"/>
    <w:rsid w:val="00746DFA"/>
    <w:rsid w:val="00746FCD"/>
    <w:rsid w:val="0074704B"/>
    <w:rsid w:val="0074704F"/>
    <w:rsid w:val="00747248"/>
    <w:rsid w:val="007472DE"/>
    <w:rsid w:val="00747353"/>
    <w:rsid w:val="007473A3"/>
    <w:rsid w:val="00747473"/>
    <w:rsid w:val="00747562"/>
    <w:rsid w:val="0074797D"/>
    <w:rsid w:val="00747BAF"/>
    <w:rsid w:val="00747C97"/>
    <w:rsid w:val="00747CAF"/>
    <w:rsid w:val="00747E2B"/>
    <w:rsid w:val="00747EE3"/>
    <w:rsid w:val="00747F3C"/>
    <w:rsid w:val="0074AD2F"/>
    <w:rsid w:val="007500B8"/>
    <w:rsid w:val="00750190"/>
    <w:rsid w:val="0075023A"/>
    <w:rsid w:val="00750386"/>
    <w:rsid w:val="00750440"/>
    <w:rsid w:val="00750627"/>
    <w:rsid w:val="007507B6"/>
    <w:rsid w:val="00750865"/>
    <w:rsid w:val="007508EE"/>
    <w:rsid w:val="0075096C"/>
    <w:rsid w:val="00750A80"/>
    <w:rsid w:val="00750ABA"/>
    <w:rsid w:val="00750B53"/>
    <w:rsid w:val="00750B8B"/>
    <w:rsid w:val="00750C05"/>
    <w:rsid w:val="00750D4B"/>
    <w:rsid w:val="00750D65"/>
    <w:rsid w:val="00750F25"/>
    <w:rsid w:val="00750F29"/>
    <w:rsid w:val="00751011"/>
    <w:rsid w:val="00751049"/>
    <w:rsid w:val="007510EF"/>
    <w:rsid w:val="007511F5"/>
    <w:rsid w:val="00751304"/>
    <w:rsid w:val="007513FD"/>
    <w:rsid w:val="00751429"/>
    <w:rsid w:val="00751464"/>
    <w:rsid w:val="00751519"/>
    <w:rsid w:val="007517CE"/>
    <w:rsid w:val="007518D6"/>
    <w:rsid w:val="00751906"/>
    <w:rsid w:val="007519FE"/>
    <w:rsid w:val="00751A61"/>
    <w:rsid w:val="00751C49"/>
    <w:rsid w:val="00751CD1"/>
    <w:rsid w:val="00751DEB"/>
    <w:rsid w:val="00751E3F"/>
    <w:rsid w:val="007520A3"/>
    <w:rsid w:val="007520F4"/>
    <w:rsid w:val="0075211D"/>
    <w:rsid w:val="007521B7"/>
    <w:rsid w:val="00752229"/>
    <w:rsid w:val="007522E2"/>
    <w:rsid w:val="00752311"/>
    <w:rsid w:val="0075238A"/>
    <w:rsid w:val="007523F7"/>
    <w:rsid w:val="00752624"/>
    <w:rsid w:val="007526FA"/>
    <w:rsid w:val="007527C4"/>
    <w:rsid w:val="007527D4"/>
    <w:rsid w:val="0075284A"/>
    <w:rsid w:val="007529A9"/>
    <w:rsid w:val="00752AA6"/>
    <w:rsid w:val="00752C61"/>
    <w:rsid w:val="00752CF1"/>
    <w:rsid w:val="00752DB9"/>
    <w:rsid w:val="00753257"/>
    <w:rsid w:val="007532D4"/>
    <w:rsid w:val="00753376"/>
    <w:rsid w:val="007533A4"/>
    <w:rsid w:val="007536A3"/>
    <w:rsid w:val="007537EC"/>
    <w:rsid w:val="007537F1"/>
    <w:rsid w:val="007537FF"/>
    <w:rsid w:val="00753955"/>
    <w:rsid w:val="007539D7"/>
    <w:rsid w:val="00753B65"/>
    <w:rsid w:val="00753BB6"/>
    <w:rsid w:val="00753C4F"/>
    <w:rsid w:val="00753CB3"/>
    <w:rsid w:val="00753E6C"/>
    <w:rsid w:val="00753EBF"/>
    <w:rsid w:val="00753FC6"/>
    <w:rsid w:val="00754187"/>
    <w:rsid w:val="00754239"/>
    <w:rsid w:val="00754287"/>
    <w:rsid w:val="00754535"/>
    <w:rsid w:val="00754577"/>
    <w:rsid w:val="00754858"/>
    <w:rsid w:val="0075494D"/>
    <w:rsid w:val="00754ACC"/>
    <w:rsid w:val="00754CB3"/>
    <w:rsid w:val="00754CE5"/>
    <w:rsid w:val="00754CFD"/>
    <w:rsid w:val="00754D5D"/>
    <w:rsid w:val="00754EBF"/>
    <w:rsid w:val="00755007"/>
    <w:rsid w:val="00755077"/>
    <w:rsid w:val="007550FD"/>
    <w:rsid w:val="007554A8"/>
    <w:rsid w:val="0075557D"/>
    <w:rsid w:val="007558DF"/>
    <w:rsid w:val="00755FCD"/>
    <w:rsid w:val="007560CE"/>
    <w:rsid w:val="007565ED"/>
    <w:rsid w:val="007566AB"/>
    <w:rsid w:val="007567A4"/>
    <w:rsid w:val="007567A8"/>
    <w:rsid w:val="0075685D"/>
    <w:rsid w:val="00756952"/>
    <w:rsid w:val="00756A6E"/>
    <w:rsid w:val="00756B19"/>
    <w:rsid w:val="00756BF4"/>
    <w:rsid w:val="00756C0B"/>
    <w:rsid w:val="00756C78"/>
    <w:rsid w:val="00756CEA"/>
    <w:rsid w:val="007570B0"/>
    <w:rsid w:val="007570F5"/>
    <w:rsid w:val="00757132"/>
    <w:rsid w:val="00757173"/>
    <w:rsid w:val="007571BB"/>
    <w:rsid w:val="00757216"/>
    <w:rsid w:val="00757370"/>
    <w:rsid w:val="0075758F"/>
    <w:rsid w:val="007575DA"/>
    <w:rsid w:val="0075780D"/>
    <w:rsid w:val="007578B7"/>
    <w:rsid w:val="00757995"/>
    <w:rsid w:val="00757BE3"/>
    <w:rsid w:val="00757BF3"/>
    <w:rsid w:val="00757C97"/>
    <w:rsid w:val="00757CD7"/>
    <w:rsid w:val="00757EDB"/>
    <w:rsid w:val="00757F1C"/>
    <w:rsid w:val="00757F8C"/>
    <w:rsid w:val="0076009C"/>
    <w:rsid w:val="00760170"/>
    <w:rsid w:val="00760179"/>
    <w:rsid w:val="0076037B"/>
    <w:rsid w:val="0076063F"/>
    <w:rsid w:val="007606D6"/>
    <w:rsid w:val="00760743"/>
    <w:rsid w:val="007608FA"/>
    <w:rsid w:val="00760979"/>
    <w:rsid w:val="007609F4"/>
    <w:rsid w:val="00760A6A"/>
    <w:rsid w:val="00760CD8"/>
    <w:rsid w:val="00760D00"/>
    <w:rsid w:val="00760E93"/>
    <w:rsid w:val="00760EB6"/>
    <w:rsid w:val="00760EDD"/>
    <w:rsid w:val="00760F17"/>
    <w:rsid w:val="0076102A"/>
    <w:rsid w:val="00761035"/>
    <w:rsid w:val="00761130"/>
    <w:rsid w:val="00761170"/>
    <w:rsid w:val="007611FB"/>
    <w:rsid w:val="00761243"/>
    <w:rsid w:val="0076129A"/>
    <w:rsid w:val="007612A0"/>
    <w:rsid w:val="0076137C"/>
    <w:rsid w:val="007613E3"/>
    <w:rsid w:val="00761465"/>
    <w:rsid w:val="007614D6"/>
    <w:rsid w:val="00761501"/>
    <w:rsid w:val="007616AD"/>
    <w:rsid w:val="00761825"/>
    <w:rsid w:val="00761886"/>
    <w:rsid w:val="007618E1"/>
    <w:rsid w:val="00761CDF"/>
    <w:rsid w:val="00761D38"/>
    <w:rsid w:val="00761F00"/>
    <w:rsid w:val="0076204C"/>
    <w:rsid w:val="007621BB"/>
    <w:rsid w:val="00762355"/>
    <w:rsid w:val="007625D1"/>
    <w:rsid w:val="0076264E"/>
    <w:rsid w:val="0076271C"/>
    <w:rsid w:val="0076292A"/>
    <w:rsid w:val="00762AF3"/>
    <w:rsid w:val="00762BB4"/>
    <w:rsid w:val="00762BCB"/>
    <w:rsid w:val="00762DCD"/>
    <w:rsid w:val="00762EEE"/>
    <w:rsid w:val="00762EF8"/>
    <w:rsid w:val="00762F55"/>
    <w:rsid w:val="00762FB9"/>
    <w:rsid w:val="0076300F"/>
    <w:rsid w:val="007630BD"/>
    <w:rsid w:val="0076313C"/>
    <w:rsid w:val="007631DA"/>
    <w:rsid w:val="0076334F"/>
    <w:rsid w:val="00763488"/>
    <w:rsid w:val="00763499"/>
    <w:rsid w:val="007634B9"/>
    <w:rsid w:val="007637E7"/>
    <w:rsid w:val="007638B3"/>
    <w:rsid w:val="0076393D"/>
    <w:rsid w:val="00763BD9"/>
    <w:rsid w:val="00763BF8"/>
    <w:rsid w:val="00763C23"/>
    <w:rsid w:val="00763C84"/>
    <w:rsid w:val="00763C91"/>
    <w:rsid w:val="00763E53"/>
    <w:rsid w:val="00763E81"/>
    <w:rsid w:val="00763F90"/>
    <w:rsid w:val="00763FE7"/>
    <w:rsid w:val="007640B6"/>
    <w:rsid w:val="007640FD"/>
    <w:rsid w:val="0076421C"/>
    <w:rsid w:val="0076425C"/>
    <w:rsid w:val="0076436F"/>
    <w:rsid w:val="00764547"/>
    <w:rsid w:val="007645DE"/>
    <w:rsid w:val="00764643"/>
    <w:rsid w:val="00764654"/>
    <w:rsid w:val="00764865"/>
    <w:rsid w:val="0076488C"/>
    <w:rsid w:val="007648B0"/>
    <w:rsid w:val="007649BE"/>
    <w:rsid w:val="00764B5A"/>
    <w:rsid w:val="00764CC4"/>
    <w:rsid w:val="00764E2C"/>
    <w:rsid w:val="00764EC2"/>
    <w:rsid w:val="00764EEB"/>
    <w:rsid w:val="00764F0D"/>
    <w:rsid w:val="00764F2F"/>
    <w:rsid w:val="00765180"/>
    <w:rsid w:val="00765252"/>
    <w:rsid w:val="007652CA"/>
    <w:rsid w:val="007654D0"/>
    <w:rsid w:val="00765688"/>
    <w:rsid w:val="007656BB"/>
    <w:rsid w:val="00765986"/>
    <w:rsid w:val="00765A46"/>
    <w:rsid w:val="00765C9B"/>
    <w:rsid w:val="00765D35"/>
    <w:rsid w:val="00765D81"/>
    <w:rsid w:val="00765E08"/>
    <w:rsid w:val="00765F02"/>
    <w:rsid w:val="00765F25"/>
    <w:rsid w:val="00765FE1"/>
    <w:rsid w:val="007660AA"/>
    <w:rsid w:val="00766193"/>
    <w:rsid w:val="00766198"/>
    <w:rsid w:val="007661F2"/>
    <w:rsid w:val="0076620F"/>
    <w:rsid w:val="00766230"/>
    <w:rsid w:val="00766296"/>
    <w:rsid w:val="007664EB"/>
    <w:rsid w:val="007665EC"/>
    <w:rsid w:val="00766629"/>
    <w:rsid w:val="007666FB"/>
    <w:rsid w:val="007667B5"/>
    <w:rsid w:val="007667ED"/>
    <w:rsid w:val="007668B9"/>
    <w:rsid w:val="00766909"/>
    <w:rsid w:val="0076696F"/>
    <w:rsid w:val="00766AF8"/>
    <w:rsid w:val="00766BFA"/>
    <w:rsid w:val="00766C9E"/>
    <w:rsid w:val="00766CA5"/>
    <w:rsid w:val="00766EB8"/>
    <w:rsid w:val="00766FF6"/>
    <w:rsid w:val="0076714F"/>
    <w:rsid w:val="00767242"/>
    <w:rsid w:val="00767251"/>
    <w:rsid w:val="007672ED"/>
    <w:rsid w:val="0076738B"/>
    <w:rsid w:val="00767452"/>
    <w:rsid w:val="007674AF"/>
    <w:rsid w:val="007674EE"/>
    <w:rsid w:val="007675D2"/>
    <w:rsid w:val="0076778C"/>
    <w:rsid w:val="00767975"/>
    <w:rsid w:val="00767C87"/>
    <w:rsid w:val="00767D3C"/>
    <w:rsid w:val="00767DD1"/>
    <w:rsid w:val="00767ECF"/>
    <w:rsid w:val="00767F14"/>
    <w:rsid w:val="00770037"/>
    <w:rsid w:val="00770103"/>
    <w:rsid w:val="00770163"/>
    <w:rsid w:val="0077034A"/>
    <w:rsid w:val="0077055C"/>
    <w:rsid w:val="007705EB"/>
    <w:rsid w:val="0077072D"/>
    <w:rsid w:val="00770975"/>
    <w:rsid w:val="007709EC"/>
    <w:rsid w:val="00770AEE"/>
    <w:rsid w:val="00770B6C"/>
    <w:rsid w:val="00770C56"/>
    <w:rsid w:val="00770CDF"/>
    <w:rsid w:val="00770E43"/>
    <w:rsid w:val="007710CC"/>
    <w:rsid w:val="0077111A"/>
    <w:rsid w:val="00771137"/>
    <w:rsid w:val="00771193"/>
    <w:rsid w:val="007711AD"/>
    <w:rsid w:val="007712C8"/>
    <w:rsid w:val="00771322"/>
    <w:rsid w:val="00771328"/>
    <w:rsid w:val="00771372"/>
    <w:rsid w:val="00771411"/>
    <w:rsid w:val="00771705"/>
    <w:rsid w:val="0077175B"/>
    <w:rsid w:val="007717A0"/>
    <w:rsid w:val="00771984"/>
    <w:rsid w:val="00771A25"/>
    <w:rsid w:val="00771AE7"/>
    <w:rsid w:val="00771C24"/>
    <w:rsid w:val="00771D11"/>
    <w:rsid w:val="00771E61"/>
    <w:rsid w:val="00771E85"/>
    <w:rsid w:val="00771E9B"/>
    <w:rsid w:val="00771F23"/>
    <w:rsid w:val="00771F66"/>
    <w:rsid w:val="00772036"/>
    <w:rsid w:val="007720CD"/>
    <w:rsid w:val="00772134"/>
    <w:rsid w:val="00772422"/>
    <w:rsid w:val="007725C3"/>
    <w:rsid w:val="00772678"/>
    <w:rsid w:val="007726CE"/>
    <w:rsid w:val="007727CA"/>
    <w:rsid w:val="00772841"/>
    <w:rsid w:val="00772A49"/>
    <w:rsid w:val="00772A8A"/>
    <w:rsid w:val="00772B0F"/>
    <w:rsid w:val="00772B12"/>
    <w:rsid w:val="00772C06"/>
    <w:rsid w:val="00772D2C"/>
    <w:rsid w:val="00772E01"/>
    <w:rsid w:val="00772E3E"/>
    <w:rsid w:val="00772F9B"/>
    <w:rsid w:val="00773006"/>
    <w:rsid w:val="00773047"/>
    <w:rsid w:val="007732A7"/>
    <w:rsid w:val="007733AC"/>
    <w:rsid w:val="00773567"/>
    <w:rsid w:val="0077368B"/>
    <w:rsid w:val="007736CF"/>
    <w:rsid w:val="007736EA"/>
    <w:rsid w:val="00773714"/>
    <w:rsid w:val="0077378A"/>
    <w:rsid w:val="0077395F"/>
    <w:rsid w:val="00773A54"/>
    <w:rsid w:val="00773AC8"/>
    <w:rsid w:val="00773B88"/>
    <w:rsid w:val="00773C3C"/>
    <w:rsid w:val="00773C6B"/>
    <w:rsid w:val="00773CFB"/>
    <w:rsid w:val="00773E63"/>
    <w:rsid w:val="007741A0"/>
    <w:rsid w:val="007742D7"/>
    <w:rsid w:val="0077455B"/>
    <w:rsid w:val="007745E9"/>
    <w:rsid w:val="0077465C"/>
    <w:rsid w:val="007746DB"/>
    <w:rsid w:val="00774753"/>
    <w:rsid w:val="007747CA"/>
    <w:rsid w:val="0077481A"/>
    <w:rsid w:val="0077486F"/>
    <w:rsid w:val="0077490C"/>
    <w:rsid w:val="0077497F"/>
    <w:rsid w:val="00774ADD"/>
    <w:rsid w:val="00774EA5"/>
    <w:rsid w:val="00775148"/>
    <w:rsid w:val="0077537A"/>
    <w:rsid w:val="00775395"/>
    <w:rsid w:val="00775435"/>
    <w:rsid w:val="0077544C"/>
    <w:rsid w:val="00775576"/>
    <w:rsid w:val="007755E4"/>
    <w:rsid w:val="007756A3"/>
    <w:rsid w:val="007758EB"/>
    <w:rsid w:val="00775B4A"/>
    <w:rsid w:val="00775C9C"/>
    <w:rsid w:val="00775CFC"/>
    <w:rsid w:val="00775D1A"/>
    <w:rsid w:val="00775DCA"/>
    <w:rsid w:val="00775DEB"/>
    <w:rsid w:val="00775DF4"/>
    <w:rsid w:val="00775E07"/>
    <w:rsid w:val="00775F09"/>
    <w:rsid w:val="00775F49"/>
    <w:rsid w:val="00775FA2"/>
    <w:rsid w:val="00776194"/>
    <w:rsid w:val="007764D2"/>
    <w:rsid w:val="00776508"/>
    <w:rsid w:val="00776537"/>
    <w:rsid w:val="00776546"/>
    <w:rsid w:val="007765F5"/>
    <w:rsid w:val="0077667D"/>
    <w:rsid w:val="007767DA"/>
    <w:rsid w:val="00776800"/>
    <w:rsid w:val="0077686F"/>
    <w:rsid w:val="00776922"/>
    <w:rsid w:val="0077696B"/>
    <w:rsid w:val="00776A70"/>
    <w:rsid w:val="00776B53"/>
    <w:rsid w:val="00776B7E"/>
    <w:rsid w:val="00776C6F"/>
    <w:rsid w:val="00776CEA"/>
    <w:rsid w:val="00776D60"/>
    <w:rsid w:val="00776E36"/>
    <w:rsid w:val="00777179"/>
    <w:rsid w:val="00777208"/>
    <w:rsid w:val="00777293"/>
    <w:rsid w:val="007773B0"/>
    <w:rsid w:val="0077760E"/>
    <w:rsid w:val="007777B6"/>
    <w:rsid w:val="0077790C"/>
    <w:rsid w:val="00777964"/>
    <w:rsid w:val="007779FB"/>
    <w:rsid w:val="00777BCB"/>
    <w:rsid w:val="00777C00"/>
    <w:rsid w:val="00777D4A"/>
    <w:rsid w:val="00777E3D"/>
    <w:rsid w:val="0078007E"/>
    <w:rsid w:val="00780122"/>
    <w:rsid w:val="007801F4"/>
    <w:rsid w:val="0078030E"/>
    <w:rsid w:val="0078045D"/>
    <w:rsid w:val="0078062E"/>
    <w:rsid w:val="00780662"/>
    <w:rsid w:val="00780664"/>
    <w:rsid w:val="0078066C"/>
    <w:rsid w:val="007806F7"/>
    <w:rsid w:val="00780A00"/>
    <w:rsid w:val="00780B51"/>
    <w:rsid w:val="00780CAB"/>
    <w:rsid w:val="00780D6E"/>
    <w:rsid w:val="00780EE9"/>
    <w:rsid w:val="00780F04"/>
    <w:rsid w:val="00780F5A"/>
    <w:rsid w:val="00780FB4"/>
    <w:rsid w:val="0078107E"/>
    <w:rsid w:val="00781240"/>
    <w:rsid w:val="00781327"/>
    <w:rsid w:val="007814C0"/>
    <w:rsid w:val="00781570"/>
    <w:rsid w:val="0078157D"/>
    <w:rsid w:val="007815E9"/>
    <w:rsid w:val="007815F1"/>
    <w:rsid w:val="0078164C"/>
    <w:rsid w:val="007816EA"/>
    <w:rsid w:val="00781792"/>
    <w:rsid w:val="007817BD"/>
    <w:rsid w:val="00781961"/>
    <w:rsid w:val="007819C8"/>
    <w:rsid w:val="007819F4"/>
    <w:rsid w:val="00781AB5"/>
    <w:rsid w:val="00781B27"/>
    <w:rsid w:val="00781CC6"/>
    <w:rsid w:val="00781DAD"/>
    <w:rsid w:val="00781F59"/>
    <w:rsid w:val="00781F5B"/>
    <w:rsid w:val="007821BC"/>
    <w:rsid w:val="007821E1"/>
    <w:rsid w:val="00782226"/>
    <w:rsid w:val="0078238B"/>
    <w:rsid w:val="00782584"/>
    <w:rsid w:val="007825CD"/>
    <w:rsid w:val="007825DA"/>
    <w:rsid w:val="00782680"/>
    <w:rsid w:val="00782694"/>
    <w:rsid w:val="0078282C"/>
    <w:rsid w:val="007829C1"/>
    <w:rsid w:val="007829DE"/>
    <w:rsid w:val="00782B5D"/>
    <w:rsid w:val="00782BF4"/>
    <w:rsid w:val="00782FA1"/>
    <w:rsid w:val="00783161"/>
    <w:rsid w:val="007831DA"/>
    <w:rsid w:val="00783517"/>
    <w:rsid w:val="00783551"/>
    <w:rsid w:val="0078368B"/>
    <w:rsid w:val="007836C0"/>
    <w:rsid w:val="00783782"/>
    <w:rsid w:val="007837CE"/>
    <w:rsid w:val="007839AA"/>
    <w:rsid w:val="00783C64"/>
    <w:rsid w:val="00783E28"/>
    <w:rsid w:val="00783E5F"/>
    <w:rsid w:val="00783FF4"/>
    <w:rsid w:val="00784145"/>
    <w:rsid w:val="00784177"/>
    <w:rsid w:val="0078420B"/>
    <w:rsid w:val="00784214"/>
    <w:rsid w:val="007844BC"/>
    <w:rsid w:val="007845BA"/>
    <w:rsid w:val="007845D3"/>
    <w:rsid w:val="00784667"/>
    <w:rsid w:val="0078468C"/>
    <w:rsid w:val="00784C15"/>
    <w:rsid w:val="00784DE7"/>
    <w:rsid w:val="00784E5B"/>
    <w:rsid w:val="00784EE7"/>
    <w:rsid w:val="00785022"/>
    <w:rsid w:val="00785036"/>
    <w:rsid w:val="0078527C"/>
    <w:rsid w:val="00785320"/>
    <w:rsid w:val="007853A9"/>
    <w:rsid w:val="0078585F"/>
    <w:rsid w:val="00785ADB"/>
    <w:rsid w:val="00785B7B"/>
    <w:rsid w:val="00785C1C"/>
    <w:rsid w:val="00785C99"/>
    <w:rsid w:val="00785CEE"/>
    <w:rsid w:val="00785DC6"/>
    <w:rsid w:val="00785F37"/>
    <w:rsid w:val="00785F48"/>
    <w:rsid w:val="00785FF9"/>
    <w:rsid w:val="007860E0"/>
    <w:rsid w:val="0078614C"/>
    <w:rsid w:val="00786158"/>
    <w:rsid w:val="007861F8"/>
    <w:rsid w:val="0078626B"/>
    <w:rsid w:val="0078644B"/>
    <w:rsid w:val="007864C0"/>
    <w:rsid w:val="0078657A"/>
    <w:rsid w:val="007865EA"/>
    <w:rsid w:val="00786686"/>
    <w:rsid w:val="007866E4"/>
    <w:rsid w:val="00786735"/>
    <w:rsid w:val="00786746"/>
    <w:rsid w:val="00786830"/>
    <w:rsid w:val="00786AB2"/>
    <w:rsid w:val="00786BB1"/>
    <w:rsid w:val="00786C38"/>
    <w:rsid w:val="00786EB5"/>
    <w:rsid w:val="00786ED1"/>
    <w:rsid w:val="00786FA7"/>
    <w:rsid w:val="00787037"/>
    <w:rsid w:val="0078720F"/>
    <w:rsid w:val="00787549"/>
    <w:rsid w:val="007878F0"/>
    <w:rsid w:val="00787B03"/>
    <w:rsid w:val="00787BFD"/>
    <w:rsid w:val="00787C37"/>
    <w:rsid w:val="00787EBA"/>
    <w:rsid w:val="00790029"/>
    <w:rsid w:val="007900A5"/>
    <w:rsid w:val="007901ED"/>
    <w:rsid w:val="00790203"/>
    <w:rsid w:val="00790235"/>
    <w:rsid w:val="007902F5"/>
    <w:rsid w:val="007903AF"/>
    <w:rsid w:val="007903B2"/>
    <w:rsid w:val="007903B8"/>
    <w:rsid w:val="00790466"/>
    <w:rsid w:val="007906E0"/>
    <w:rsid w:val="00790821"/>
    <w:rsid w:val="0079094C"/>
    <w:rsid w:val="00790BF1"/>
    <w:rsid w:val="00790C44"/>
    <w:rsid w:val="00790D74"/>
    <w:rsid w:val="00790DCA"/>
    <w:rsid w:val="00790E57"/>
    <w:rsid w:val="00790F07"/>
    <w:rsid w:val="00790F49"/>
    <w:rsid w:val="007911B8"/>
    <w:rsid w:val="00791218"/>
    <w:rsid w:val="00791394"/>
    <w:rsid w:val="007913B2"/>
    <w:rsid w:val="007913BE"/>
    <w:rsid w:val="007915F1"/>
    <w:rsid w:val="0079167B"/>
    <w:rsid w:val="007917AE"/>
    <w:rsid w:val="00791987"/>
    <w:rsid w:val="007919A3"/>
    <w:rsid w:val="00791A3F"/>
    <w:rsid w:val="00791A6F"/>
    <w:rsid w:val="00791AB6"/>
    <w:rsid w:val="00791ADC"/>
    <w:rsid w:val="00791B2B"/>
    <w:rsid w:val="00791B4A"/>
    <w:rsid w:val="00791BBA"/>
    <w:rsid w:val="00791DF9"/>
    <w:rsid w:val="00791F19"/>
    <w:rsid w:val="00791F8D"/>
    <w:rsid w:val="0079212B"/>
    <w:rsid w:val="0079225F"/>
    <w:rsid w:val="00792273"/>
    <w:rsid w:val="007922F2"/>
    <w:rsid w:val="007923A9"/>
    <w:rsid w:val="007923FF"/>
    <w:rsid w:val="00792547"/>
    <w:rsid w:val="0079256B"/>
    <w:rsid w:val="007926A1"/>
    <w:rsid w:val="007926E9"/>
    <w:rsid w:val="00792718"/>
    <w:rsid w:val="00792783"/>
    <w:rsid w:val="007927D7"/>
    <w:rsid w:val="00792894"/>
    <w:rsid w:val="007928BB"/>
    <w:rsid w:val="007929F3"/>
    <w:rsid w:val="00792A4B"/>
    <w:rsid w:val="00792A86"/>
    <w:rsid w:val="00792FAC"/>
    <w:rsid w:val="00792FD4"/>
    <w:rsid w:val="007930EE"/>
    <w:rsid w:val="007931CE"/>
    <w:rsid w:val="007932CF"/>
    <w:rsid w:val="00793370"/>
    <w:rsid w:val="00793451"/>
    <w:rsid w:val="00793489"/>
    <w:rsid w:val="0079348A"/>
    <w:rsid w:val="007934B8"/>
    <w:rsid w:val="007934D8"/>
    <w:rsid w:val="00793505"/>
    <w:rsid w:val="0079365C"/>
    <w:rsid w:val="007938B5"/>
    <w:rsid w:val="0079397C"/>
    <w:rsid w:val="00793A4D"/>
    <w:rsid w:val="00793A70"/>
    <w:rsid w:val="00793B6A"/>
    <w:rsid w:val="00793FCB"/>
    <w:rsid w:val="00794008"/>
    <w:rsid w:val="0079406F"/>
    <w:rsid w:val="007941BB"/>
    <w:rsid w:val="00794237"/>
    <w:rsid w:val="007942A9"/>
    <w:rsid w:val="00794315"/>
    <w:rsid w:val="0079433C"/>
    <w:rsid w:val="0079437E"/>
    <w:rsid w:val="00794552"/>
    <w:rsid w:val="00794593"/>
    <w:rsid w:val="007946EB"/>
    <w:rsid w:val="007947B2"/>
    <w:rsid w:val="007947F1"/>
    <w:rsid w:val="007948E8"/>
    <w:rsid w:val="007949F4"/>
    <w:rsid w:val="00794ADB"/>
    <w:rsid w:val="00794B0F"/>
    <w:rsid w:val="00794B51"/>
    <w:rsid w:val="00794C47"/>
    <w:rsid w:val="00794CFF"/>
    <w:rsid w:val="00794D29"/>
    <w:rsid w:val="00794F0E"/>
    <w:rsid w:val="00794F16"/>
    <w:rsid w:val="00794FFE"/>
    <w:rsid w:val="007950CF"/>
    <w:rsid w:val="00795214"/>
    <w:rsid w:val="007952C0"/>
    <w:rsid w:val="007952E6"/>
    <w:rsid w:val="007952F2"/>
    <w:rsid w:val="00795366"/>
    <w:rsid w:val="00795432"/>
    <w:rsid w:val="00795483"/>
    <w:rsid w:val="007956AB"/>
    <w:rsid w:val="007956B2"/>
    <w:rsid w:val="00795814"/>
    <w:rsid w:val="007958C9"/>
    <w:rsid w:val="00795A44"/>
    <w:rsid w:val="00795B09"/>
    <w:rsid w:val="00795DA3"/>
    <w:rsid w:val="00795E8F"/>
    <w:rsid w:val="00795F1B"/>
    <w:rsid w:val="00795F65"/>
    <w:rsid w:val="00795FB4"/>
    <w:rsid w:val="007960E8"/>
    <w:rsid w:val="00796163"/>
    <w:rsid w:val="00796359"/>
    <w:rsid w:val="00796410"/>
    <w:rsid w:val="007966C1"/>
    <w:rsid w:val="007966DB"/>
    <w:rsid w:val="0079671B"/>
    <w:rsid w:val="0079673A"/>
    <w:rsid w:val="0079686A"/>
    <w:rsid w:val="00796A85"/>
    <w:rsid w:val="00796AD6"/>
    <w:rsid w:val="00796CE4"/>
    <w:rsid w:val="00796EC6"/>
    <w:rsid w:val="00797002"/>
    <w:rsid w:val="0079708C"/>
    <w:rsid w:val="007970EC"/>
    <w:rsid w:val="007971C3"/>
    <w:rsid w:val="0079755E"/>
    <w:rsid w:val="0079773C"/>
    <w:rsid w:val="00797753"/>
    <w:rsid w:val="007977F0"/>
    <w:rsid w:val="00797949"/>
    <w:rsid w:val="00797961"/>
    <w:rsid w:val="00797BE8"/>
    <w:rsid w:val="00797BF5"/>
    <w:rsid w:val="00797C38"/>
    <w:rsid w:val="00797C93"/>
    <w:rsid w:val="00797D31"/>
    <w:rsid w:val="00797D91"/>
    <w:rsid w:val="00797E05"/>
    <w:rsid w:val="00797E11"/>
    <w:rsid w:val="00797E8B"/>
    <w:rsid w:val="007A011B"/>
    <w:rsid w:val="007A014F"/>
    <w:rsid w:val="007A01A8"/>
    <w:rsid w:val="007A01AE"/>
    <w:rsid w:val="007A03A0"/>
    <w:rsid w:val="007A03C2"/>
    <w:rsid w:val="007A03FF"/>
    <w:rsid w:val="007A041E"/>
    <w:rsid w:val="007A0545"/>
    <w:rsid w:val="007A08BF"/>
    <w:rsid w:val="007A08D3"/>
    <w:rsid w:val="007A0ADB"/>
    <w:rsid w:val="007A0B5B"/>
    <w:rsid w:val="007A0BA8"/>
    <w:rsid w:val="007A0C5E"/>
    <w:rsid w:val="007A0D2F"/>
    <w:rsid w:val="007A0D3D"/>
    <w:rsid w:val="007A0F43"/>
    <w:rsid w:val="007A1098"/>
    <w:rsid w:val="007A11A0"/>
    <w:rsid w:val="007A120D"/>
    <w:rsid w:val="007A12F0"/>
    <w:rsid w:val="007A134E"/>
    <w:rsid w:val="007A1A3A"/>
    <w:rsid w:val="007A1B2B"/>
    <w:rsid w:val="007A1B68"/>
    <w:rsid w:val="007A1C15"/>
    <w:rsid w:val="007A1DCD"/>
    <w:rsid w:val="007A1E46"/>
    <w:rsid w:val="007A1F10"/>
    <w:rsid w:val="007A23B6"/>
    <w:rsid w:val="007A23DD"/>
    <w:rsid w:val="007A248D"/>
    <w:rsid w:val="007A298F"/>
    <w:rsid w:val="007A2A11"/>
    <w:rsid w:val="007A2ABD"/>
    <w:rsid w:val="007A2AC9"/>
    <w:rsid w:val="007A2AD5"/>
    <w:rsid w:val="007A2AFC"/>
    <w:rsid w:val="007A2C18"/>
    <w:rsid w:val="007A2F22"/>
    <w:rsid w:val="007A30FE"/>
    <w:rsid w:val="007A3312"/>
    <w:rsid w:val="007A342F"/>
    <w:rsid w:val="007A3491"/>
    <w:rsid w:val="007A359F"/>
    <w:rsid w:val="007A3755"/>
    <w:rsid w:val="007A37D5"/>
    <w:rsid w:val="007A38C0"/>
    <w:rsid w:val="007A3A8C"/>
    <w:rsid w:val="007A3B02"/>
    <w:rsid w:val="007A3B36"/>
    <w:rsid w:val="007A3B38"/>
    <w:rsid w:val="007A3D86"/>
    <w:rsid w:val="007A3E5C"/>
    <w:rsid w:val="007A410E"/>
    <w:rsid w:val="007A4228"/>
    <w:rsid w:val="007A4276"/>
    <w:rsid w:val="007A42F1"/>
    <w:rsid w:val="007A4639"/>
    <w:rsid w:val="007A4816"/>
    <w:rsid w:val="007A497A"/>
    <w:rsid w:val="007A4AF1"/>
    <w:rsid w:val="007A4B7E"/>
    <w:rsid w:val="007A4C26"/>
    <w:rsid w:val="007A4CB3"/>
    <w:rsid w:val="007A5193"/>
    <w:rsid w:val="007A540B"/>
    <w:rsid w:val="007A541A"/>
    <w:rsid w:val="007A541B"/>
    <w:rsid w:val="007A5501"/>
    <w:rsid w:val="007A572B"/>
    <w:rsid w:val="007A57C2"/>
    <w:rsid w:val="007A59C2"/>
    <w:rsid w:val="007A59DD"/>
    <w:rsid w:val="007A5C8F"/>
    <w:rsid w:val="007A5D13"/>
    <w:rsid w:val="007A5D38"/>
    <w:rsid w:val="007A5D80"/>
    <w:rsid w:val="007A5E6D"/>
    <w:rsid w:val="007A5F4B"/>
    <w:rsid w:val="007A619D"/>
    <w:rsid w:val="007A6300"/>
    <w:rsid w:val="007A6367"/>
    <w:rsid w:val="007A6569"/>
    <w:rsid w:val="007A662B"/>
    <w:rsid w:val="007A6AEF"/>
    <w:rsid w:val="007A6B34"/>
    <w:rsid w:val="007A6BCD"/>
    <w:rsid w:val="007A6C9F"/>
    <w:rsid w:val="007A6ED8"/>
    <w:rsid w:val="007A6FCB"/>
    <w:rsid w:val="007A71CE"/>
    <w:rsid w:val="007A7322"/>
    <w:rsid w:val="007A753C"/>
    <w:rsid w:val="007A754E"/>
    <w:rsid w:val="007A7614"/>
    <w:rsid w:val="007A7671"/>
    <w:rsid w:val="007A7674"/>
    <w:rsid w:val="007A7711"/>
    <w:rsid w:val="007A7780"/>
    <w:rsid w:val="007A7A7F"/>
    <w:rsid w:val="007A7AE2"/>
    <w:rsid w:val="007A7B72"/>
    <w:rsid w:val="007A7CF6"/>
    <w:rsid w:val="007A7D1A"/>
    <w:rsid w:val="007A7DE8"/>
    <w:rsid w:val="007A7DFE"/>
    <w:rsid w:val="007A7F21"/>
    <w:rsid w:val="007B01EB"/>
    <w:rsid w:val="007B0220"/>
    <w:rsid w:val="007B022F"/>
    <w:rsid w:val="007B0265"/>
    <w:rsid w:val="007B038E"/>
    <w:rsid w:val="007B0467"/>
    <w:rsid w:val="007B0469"/>
    <w:rsid w:val="007B07EA"/>
    <w:rsid w:val="007B095C"/>
    <w:rsid w:val="007B0AF1"/>
    <w:rsid w:val="007B0B4C"/>
    <w:rsid w:val="007B0B59"/>
    <w:rsid w:val="007B0B61"/>
    <w:rsid w:val="007B0CEE"/>
    <w:rsid w:val="007B0D0E"/>
    <w:rsid w:val="007B0E87"/>
    <w:rsid w:val="007B0F76"/>
    <w:rsid w:val="007B0FA0"/>
    <w:rsid w:val="007B108D"/>
    <w:rsid w:val="007B1120"/>
    <w:rsid w:val="007B1145"/>
    <w:rsid w:val="007B131D"/>
    <w:rsid w:val="007B1336"/>
    <w:rsid w:val="007B13C3"/>
    <w:rsid w:val="007B146F"/>
    <w:rsid w:val="007B1520"/>
    <w:rsid w:val="007B1559"/>
    <w:rsid w:val="007B16AE"/>
    <w:rsid w:val="007B1810"/>
    <w:rsid w:val="007B19F1"/>
    <w:rsid w:val="007B1A85"/>
    <w:rsid w:val="007B1D7C"/>
    <w:rsid w:val="007B1DBA"/>
    <w:rsid w:val="007B1E46"/>
    <w:rsid w:val="007B1EAD"/>
    <w:rsid w:val="007B2090"/>
    <w:rsid w:val="007B2104"/>
    <w:rsid w:val="007B2129"/>
    <w:rsid w:val="007B2162"/>
    <w:rsid w:val="007B2252"/>
    <w:rsid w:val="007B22C2"/>
    <w:rsid w:val="007B22E2"/>
    <w:rsid w:val="007B2396"/>
    <w:rsid w:val="007B242A"/>
    <w:rsid w:val="007B249B"/>
    <w:rsid w:val="007B24FF"/>
    <w:rsid w:val="007B268E"/>
    <w:rsid w:val="007B27F7"/>
    <w:rsid w:val="007B2C95"/>
    <w:rsid w:val="007B2D24"/>
    <w:rsid w:val="007B2DAA"/>
    <w:rsid w:val="007B2DE1"/>
    <w:rsid w:val="007B2E2D"/>
    <w:rsid w:val="007B2FAB"/>
    <w:rsid w:val="007B3035"/>
    <w:rsid w:val="007B3330"/>
    <w:rsid w:val="007B37F4"/>
    <w:rsid w:val="007B394E"/>
    <w:rsid w:val="007B3A35"/>
    <w:rsid w:val="007B3A4B"/>
    <w:rsid w:val="007B3C0A"/>
    <w:rsid w:val="007B3D0E"/>
    <w:rsid w:val="007B3D88"/>
    <w:rsid w:val="007B3E51"/>
    <w:rsid w:val="007B40CE"/>
    <w:rsid w:val="007B4202"/>
    <w:rsid w:val="007B428C"/>
    <w:rsid w:val="007B43CC"/>
    <w:rsid w:val="007B4424"/>
    <w:rsid w:val="007B44C6"/>
    <w:rsid w:val="007B45D5"/>
    <w:rsid w:val="007B45FD"/>
    <w:rsid w:val="007B4730"/>
    <w:rsid w:val="007B47A9"/>
    <w:rsid w:val="007B4806"/>
    <w:rsid w:val="007B48AA"/>
    <w:rsid w:val="007B4962"/>
    <w:rsid w:val="007B4ACC"/>
    <w:rsid w:val="007B4B5E"/>
    <w:rsid w:val="007B4BB8"/>
    <w:rsid w:val="007B4F00"/>
    <w:rsid w:val="007B4FE0"/>
    <w:rsid w:val="007B525A"/>
    <w:rsid w:val="007B527D"/>
    <w:rsid w:val="007B5442"/>
    <w:rsid w:val="007B58FC"/>
    <w:rsid w:val="007B597C"/>
    <w:rsid w:val="007B5997"/>
    <w:rsid w:val="007B5C4F"/>
    <w:rsid w:val="007B5D67"/>
    <w:rsid w:val="007B5E5D"/>
    <w:rsid w:val="007B60E5"/>
    <w:rsid w:val="007B623F"/>
    <w:rsid w:val="007B6258"/>
    <w:rsid w:val="007B6328"/>
    <w:rsid w:val="007B637A"/>
    <w:rsid w:val="007B64C4"/>
    <w:rsid w:val="007B6516"/>
    <w:rsid w:val="007B6670"/>
    <w:rsid w:val="007B6827"/>
    <w:rsid w:val="007B6896"/>
    <w:rsid w:val="007B6995"/>
    <w:rsid w:val="007B69A5"/>
    <w:rsid w:val="007B6A2E"/>
    <w:rsid w:val="007B6A6A"/>
    <w:rsid w:val="007B6B6C"/>
    <w:rsid w:val="007B6CBE"/>
    <w:rsid w:val="007B6E22"/>
    <w:rsid w:val="007B6EA0"/>
    <w:rsid w:val="007B6F1D"/>
    <w:rsid w:val="007B7028"/>
    <w:rsid w:val="007B7042"/>
    <w:rsid w:val="007B72C4"/>
    <w:rsid w:val="007B77EE"/>
    <w:rsid w:val="007B7890"/>
    <w:rsid w:val="007B7ADB"/>
    <w:rsid w:val="007B7B51"/>
    <w:rsid w:val="007B7CB9"/>
    <w:rsid w:val="007B7D3E"/>
    <w:rsid w:val="007B7DDA"/>
    <w:rsid w:val="007B7F3A"/>
    <w:rsid w:val="007B7F7F"/>
    <w:rsid w:val="007C008B"/>
    <w:rsid w:val="007C022F"/>
    <w:rsid w:val="007C02D8"/>
    <w:rsid w:val="007C0326"/>
    <w:rsid w:val="007C0435"/>
    <w:rsid w:val="007C06AF"/>
    <w:rsid w:val="007C0783"/>
    <w:rsid w:val="007C0786"/>
    <w:rsid w:val="007C07EE"/>
    <w:rsid w:val="007C07FD"/>
    <w:rsid w:val="007C09EE"/>
    <w:rsid w:val="007C0A04"/>
    <w:rsid w:val="007C0A54"/>
    <w:rsid w:val="007C0AF8"/>
    <w:rsid w:val="007C0D1A"/>
    <w:rsid w:val="007C0D56"/>
    <w:rsid w:val="007C0F39"/>
    <w:rsid w:val="007C1052"/>
    <w:rsid w:val="007C13E5"/>
    <w:rsid w:val="007C14AA"/>
    <w:rsid w:val="007C1585"/>
    <w:rsid w:val="007C158B"/>
    <w:rsid w:val="007C1770"/>
    <w:rsid w:val="007C178D"/>
    <w:rsid w:val="007C179F"/>
    <w:rsid w:val="007C17F2"/>
    <w:rsid w:val="007C1A26"/>
    <w:rsid w:val="007C1A53"/>
    <w:rsid w:val="007C1D3A"/>
    <w:rsid w:val="007C1DCD"/>
    <w:rsid w:val="007C1F7A"/>
    <w:rsid w:val="007C1FAB"/>
    <w:rsid w:val="007C21A3"/>
    <w:rsid w:val="007C2384"/>
    <w:rsid w:val="007C238D"/>
    <w:rsid w:val="007C23CB"/>
    <w:rsid w:val="007C244D"/>
    <w:rsid w:val="007C2464"/>
    <w:rsid w:val="007C246C"/>
    <w:rsid w:val="007C2485"/>
    <w:rsid w:val="007C2654"/>
    <w:rsid w:val="007C26EE"/>
    <w:rsid w:val="007C279E"/>
    <w:rsid w:val="007C2938"/>
    <w:rsid w:val="007C2998"/>
    <w:rsid w:val="007C2A45"/>
    <w:rsid w:val="007C2B9E"/>
    <w:rsid w:val="007C2BAB"/>
    <w:rsid w:val="007C2C61"/>
    <w:rsid w:val="007C2E11"/>
    <w:rsid w:val="007C2E54"/>
    <w:rsid w:val="007C2F99"/>
    <w:rsid w:val="007C303B"/>
    <w:rsid w:val="007C3049"/>
    <w:rsid w:val="007C3105"/>
    <w:rsid w:val="007C3165"/>
    <w:rsid w:val="007C3256"/>
    <w:rsid w:val="007C3386"/>
    <w:rsid w:val="007C33BD"/>
    <w:rsid w:val="007C33D3"/>
    <w:rsid w:val="007C352D"/>
    <w:rsid w:val="007C36D4"/>
    <w:rsid w:val="007C3891"/>
    <w:rsid w:val="007C39E0"/>
    <w:rsid w:val="007C3A46"/>
    <w:rsid w:val="007C3AD6"/>
    <w:rsid w:val="007C3B23"/>
    <w:rsid w:val="007C3C0A"/>
    <w:rsid w:val="007C3C0F"/>
    <w:rsid w:val="007C3D43"/>
    <w:rsid w:val="007C4188"/>
    <w:rsid w:val="007C4230"/>
    <w:rsid w:val="007C42E8"/>
    <w:rsid w:val="007C45C3"/>
    <w:rsid w:val="007C497C"/>
    <w:rsid w:val="007C49B9"/>
    <w:rsid w:val="007C4A63"/>
    <w:rsid w:val="007C4A6B"/>
    <w:rsid w:val="007C4D11"/>
    <w:rsid w:val="007C4EDF"/>
    <w:rsid w:val="007C4EFA"/>
    <w:rsid w:val="007C4F2A"/>
    <w:rsid w:val="007C4F4F"/>
    <w:rsid w:val="007C4FD0"/>
    <w:rsid w:val="007C4FDC"/>
    <w:rsid w:val="007C5055"/>
    <w:rsid w:val="007C51C2"/>
    <w:rsid w:val="007C54FD"/>
    <w:rsid w:val="007C5543"/>
    <w:rsid w:val="007C559C"/>
    <w:rsid w:val="007C57C7"/>
    <w:rsid w:val="007C591E"/>
    <w:rsid w:val="007C5943"/>
    <w:rsid w:val="007C5947"/>
    <w:rsid w:val="007C5A6A"/>
    <w:rsid w:val="007C5A9F"/>
    <w:rsid w:val="007C5B09"/>
    <w:rsid w:val="007C5C6A"/>
    <w:rsid w:val="007C5C87"/>
    <w:rsid w:val="007C5D09"/>
    <w:rsid w:val="007C5D72"/>
    <w:rsid w:val="007C5DC9"/>
    <w:rsid w:val="007C5FFD"/>
    <w:rsid w:val="007C612D"/>
    <w:rsid w:val="007C6238"/>
    <w:rsid w:val="007C6278"/>
    <w:rsid w:val="007C634F"/>
    <w:rsid w:val="007C6440"/>
    <w:rsid w:val="007C64BA"/>
    <w:rsid w:val="007C64E0"/>
    <w:rsid w:val="007C6618"/>
    <w:rsid w:val="007C6648"/>
    <w:rsid w:val="007C6792"/>
    <w:rsid w:val="007C6855"/>
    <w:rsid w:val="007C69A6"/>
    <w:rsid w:val="007C69C3"/>
    <w:rsid w:val="007C6A07"/>
    <w:rsid w:val="007C6AAC"/>
    <w:rsid w:val="007C6B5C"/>
    <w:rsid w:val="007C6D50"/>
    <w:rsid w:val="007C6DF2"/>
    <w:rsid w:val="007C6EE3"/>
    <w:rsid w:val="007C6F99"/>
    <w:rsid w:val="007C6FDA"/>
    <w:rsid w:val="007C7031"/>
    <w:rsid w:val="007C70DE"/>
    <w:rsid w:val="007C72E6"/>
    <w:rsid w:val="007C7331"/>
    <w:rsid w:val="007C73CC"/>
    <w:rsid w:val="007C73DB"/>
    <w:rsid w:val="007C73EC"/>
    <w:rsid w:val="007C7441"/>
    <w:rsid w:val="007C751D"/>
    <w:rsid w:val="007C771A"/>
    <w:rsid w:val="007C785B"/>
    <w:rsid w:val="007C78C9"/>
    <w:rsid w:val="007C7935"/>
    <w:rsid w:val="007C79D4"/>
    <w:rsid w:val="007C79E3"/>
    <w:rsid w:val="007C7A73"/>
    <w:rsid w:val="007C7B64"/>
    <w:rsid w:val="007C7BF1"/>
    <w:rsid w:val="007C7C4C"/>
    <w:rsid w:val="007C7D2E"/>
    <w:rsid w:val="007C7DBF"/>
    <w:rsid w:val="007C7E3F"/>
    <w:rsid w:val="007C7E77"/>
    <w:rsid w:val="007C7F69"/>
    <w:rsid w:val="007C7FE7"/>
    <w:rsid w:val="007D0034"/>
    <w:rsid w:val="007D0143"/>
    <w:rsid w:val="007D03CE"/>
    <w:rsid w:val="007D04E6"/>
    <w:rsid w:val="007D08AC"/>
    <w:rsid w:val="007D0AE2"/>
    <w:rsid w:val="007D0B5D"/>
    <w:rsid w:val="007D0DEB"/>
    <w:rsid w:val="007D0ECF"/>
    <w:rsid w:val="007D0EE0"/>
    <w:rsid w:val="007D0F32"/>
    <w:rsid w:val="007D0FDF"/>
    <w:rsid w:val="007D1078"/>
    <w:rsid w:val="007D108F"/>
    <w:rsid w:val="007D10E8"/>
    <w:rsid w:val="007D11F3"/>
    <w:rsid w:val="007D11F9"/>
    <w:rsid w:val="007D123D"/>
    <w:rsid w:val="007D12B4"/>
    <w:rsid w:val="007D1351"/>
    <w:rsid w:val="007D14FC"/>
    <w:rsid w:val="007D15A9"/>
    <w:rsid w:val="007D17AC"/>
    <w:rsid w:val="007D17C8"/>
    <w:rsid w:val="007D19D8"/>
    <w:rsid w:val="007D1B0E"/>
    <w:rsid w:val="007D1B2F"/>
    <w:rsid w:val="007D1C7B"/>
    <w:rsid w:val="007D1E26"/>
    <w:rsid w:val="007D1EF8"/>
    <w:rsid w:val="007D1F11"/>
    <w:rsid w:val="007D1F52"/>
    <w:rsid w:val="007D1FE7"/>
    <w:rsid w:val="007D241D"/>
    <w:rsid w:val="007D24D1"/>
    <w:rsid w:val="007D25F6"/>
    <w:rsid w:val="007D26BB"/>
    <w:rsid w:val="007D2747"/>
    <w:rsid w:val="007D29ED"/>
    <w:rsid w:val="007D2C3E"/>
    <w:rsid w:val="007D2C4B"/>
    <w:rsid w:val="007D2D59"/>
    <w:rsid w:val="007D2D6A"/>
    <w:rsid w:val="007D2ED7"/>
    <w:rsid w:val="007D2F58"/>
    <w:rsid w:val="007D2FA7"/>
    <w:rsid w:val="007D2FF9"/>
    <w:rsid w:val="007D3015"/>
    <w:rsid w:val="007D304B"/>
    <w:rsid w:val="007D30BA"/>
    <w:rsid w:val="007D30C5"/>
    <w:rsid w:val="007D3344"/>
    <w:rsid w:val="007D3532"/>
    <w:rsid w:val="007D383D"/>
    <w:rsid w:val="007D386A"/>
    <w:rsid w:val="007D38BA"/>
    <w:rsid w:val="007D3A8E"/>
    <w:rsid w:val="007D3AB4"/>
    <w:rsid w:val="007D3B09"/>
    <w:rsid w:val="007D3BBC"/>
    <w:rsid w:val="007D3CFC"/>
    <w:rsid w:val="007D3DE7"/>
    <w:rsid w:val="007D3E25"/>
    <w:rsid w:val="007D4061"/>
    <w:rsid w:val="007D4293"/>
    <w:rsid w:val="007D4650"/>
    <w:rsid w:val="007D48A1"/>
    <w:rsid w:val="007D48F5"/>
    <w:rsid w:val="007D4AA1"/>
    <w:rsid w:val="007D4BC6"/>
    <w:rsid w:val="007D4C7F"/>
    <w:rsid w:val="007D4CFB"/>
    <w:rsid w:val="007D4D53"/>
    <w:rsid w:val="007D4E8B"/>
    <w:rsid w:val="007D4F0C"/>
    <w:rsid w:val="007D516B"/>
    <w:rsid w:val="007D5231"/>
    <w:rsid w:val="007D5233"/>
    <w:rsid w:val="007D531F"/>
    <w:rsid w:val="007D53ED"/>
    <w:rsid w:val="007D5501"/>
    <w:rsid w:val="007D56CC"/>
    <w:rsid w:val="007D56F0"/>
    <w:rsid w:val="007D57F5"/>
    <w:rsid w:val="007D5837"/>
    <w:rsid w:val="007D5884"/>
    <w:rsid w:val="007D596F"/>
    <w:rsid w:val="007D5998"/>
    <w:rsid w:val="007D5A2C"/>
    <w:rsid w:val="007D5B51"/>
    <w:rsid w:val="007D5C97"/>
    <w:rsid w:val="007D5D51"/>
    <w:rsid w:val="007D5DE1"/>
    <w:rsid w:val="007D5E24"/>
    <w:rsid w:val="007D5E5A"/>
    <w:rsid w:val="007D5FFA"/>
    <w:rsid w:val="007D6033"/>
    <w:rsid w:val="007D64F0"/>
    <w:rsid w:val="007D66D3"/>
    <w:rsid w:val="007D683D"/>
    <w:rsid w:val="007D6846"/>
    <w:rsid w:val="007D6B67"/>
    <w:rsid w:val="007D6BAB"/>
    <w:rsid w:val="007D6C9C"/>
    <w:rsid w:val="007D6DD8"/>
    <w:rsid w:val="007D6FA6"/>
    <w:rsid w:val="007D7021"/>
    <w:rsid w:val="007D71FE"/>
    <w:rsid w:val="007D7341"/>
    <w:rsid w:val="007D753D"/>
    <w:rsid w:val="007D7771"/>
    <w:rsid w:val="007D77C7"/>
    <w:rsid w:val="007D7917"/>
    <w:rsid w:val="007D7923"/>
    <w:rsid w:val="007D796E"/>
    <w:rsid w:val="007D79A5"/>
    <w:rsid w:val="007D7B0A"/>
    <w:rsid w:val="007D7C1E"/>
    <w:rsid w:val="007D7E98"/>
    <w:rsid w:val="007E0096"/>
    <w:rsid w:val="007E013C"/>
    <w:rsid w:val="007E0262"/>
    <w:rsid w:val="007E0363"/>
    <w:rsid w:val="007E0399"/>
    <w:rsid w:val="007E03A7"/>
    <w:rsid w:val="007E04F5"/>
    <w:rsid w:val="007E0678"/>
    <w:rsid w:val="007E0708"/>
    <w:rsid w:val="007E09AE"/>
    <w:rsid w:val="007E0CB9"/>
    <w:rsid w:val="007E0D73"/>
    <w:rsid w:val="007E0DD1"/>
    <w:rsid w:val="007E0E63"/>
    <w:rsid w:val="007E1188"/>
    <w:rsid w:val="007E11D5"/>
    <w:rsid w:val="007E139F"/>
    <w:rsid w:val="007E14BA"/>
    <w:rsid w:val="007E14CE"/>
    <w:rsid w:val="007E1559"/>
    <w:rsid w:val="007E1730"/>
    <w:rsid w:val="007E174F"/>
    <w:rsid w:val="007E17F4"/>
    <w:rsid w:val="007E1A07"/>
    <w:rsid w:val="007E1A23"/>
    <w:rsid w:val="007E1B01"/>
    <w:rsid w:val="007E1C8D"/>
    <w:rsid w:val="007E1CF6"/>
    <w:rsid w:val="007E1EC2"/>
    <w:rsid w:val="007E1F29"/>
    <w:rsid w:val="007E1FA6"/>
    <w:rsid w:val="007E21F9"/>
    <w:rsid w:val="007E23D7"/>
    <w:rsid w:val="007E25D3"/>
    <w:rsid w:val="007E2637"/>
    <w:rsid w:val="007E265C"/>
    <w:rsid w:val="007E267A"/>
    <w:rsid w:val="007E27A0"/>
    <w:rsid w:val="007E2879"/>
    <w:rsid w:val="007E2925"/>
    <w:rsid w:val="007E2C75"/>
    <w:rsid w:val="007E2D97"/>
    <w:rsid w:val="007E2DA6"/>
    <w:rsid w:val="007E317F"/>
    <w:rsid w:val="007E32BF"/>
    <w:rsid w:val="007E3329"/>
    <w:rsid w:val="007E3379"/>
    <w:rsid w:val="007E35D3"/>
    <w:rsid w:val="007E3842"/>
    <w:rsid w:val="007E384A"/>
    <w:rsid w:val="007E396D"/>
    <w:rsid w:val="007E3A27"/>
    <w:rsid w:val="007E3A37"/>
    <w:rsid w:val="007E3A6E"/>
    <w:rsid w:val="007E3B2E"/>
    <w:rsid w:val="007E3E10"/>
    <w:rsid w:val="007E3E2D"/>
    <w:rsid w:val="007E3EBA"/>
    <w:rsid w:val="007E4009"/>
    <w:rsid w:val="007E4025"/>
    <w:rsid w:val="007E40AE"/>
    <w:rsid w:val="007E415B"/>
    <w:rsid w:val="007E41A6"/>
    <w:rsid w:val="007E4240"/>
    <w:rsid w:val="007E427D"/>
    <w:rsid w:val="007E4300"/>
    <w:rsid w:val="007E432D"/>
    <w:rsid w:val="007E4423"/>
    <w:rsid w:val="007E442F"/>
    <w:rsid w:val="007E44B5"/>
    <w:rsid w:val="007E4581"/>
    <w:rsid w:val="007E45A9"/>
    <w:rsid w:val="007E461B"/>
    <w:rsid w:val="007E47ED"/>
    <w:rsid w:val="007E4870"/>
    <w:rsid w:val="007E4997"/>
    <w:rsid w:val="007E4A08"/>
    <w:rsid w:val="007E4A15"/>
    <w:rsid w:val="007E4B68"/>
    <w:rsid w:val="007E4CC5"/>
    <w:rsid w:val="007E4FE8"/>
    <w:rsid w:val="007E5006"/>
    <w:rsid w:val="007E5180"/>
    <w:rsid w:val="007E535D"/>
    <w:rsid w:val="007E53C1"/>
    <w:rsid w:val="007E5505"/>
    <w:rsid w:val="007E577C"/>
    <w:rsid w:val="007E58AB"/>
    <w:rsid w:val="007E5943"/>
    <w:rsid w:val="007E5A6C"/>
    <w:rsid w:val="007E5BA5"/>
    <w:rsid w:val="007E5BAA"/>
    <w:rsid w:val="007E5BFD"/>
    <w:rsid w:val="007E5D79"/>
    <w:rsid w:val="007E5DC1"/>
    <w:rsid w:val="007E5F71"/>
    <w:rsid w:val="007E5FDD"/>
    <w:rsid w:val="007E623C"/>
    <w:rsid w:val="007E62DB"/>
    <w:rsid w:val="007E638E"/>
    <w:rsid w:val="007E63AA"/>
    <w:rsid w:val="007E6578"/>
    <w:rsid w:val="007E6610"/>
    <w:rsid w:val="007E66BA"/>
    <w:rsid w:val="007E6765"/>
    <w:rsid w:val="007E682C"/>
    <w:rsid w:val="007E68C5"/>
    <w:rsid w:val="007E6A21"/>
    <w:rsid w:val="007E6A54"/>
    <w:rsid w:val="007E6BE5"/>
    <w:rsid w:val="007E6C0D"/>
    <w:rsid w:val="007E6CAC"/>
    <w:rsid w:val="007E6CCD"/>
    <w:rsid w:val="007E6D7E"/>
    <w:rsid w:val="007E6E5C"/>
    <w:rsid w:val="007E6E83"/>
    <w:rsid w:val="007E7022"/>
    <w:rsid w:val="007E709D"/>
    <w:rsid w:val="007E7125"/>
    <w:rsid w:val="007E7144"/>
    <w:rsid w:val="007E72F7"/>
    <w:rsid w:val="007E7331"/>
    <w:rsid w:val="007E7378"/>
    <w:rsid w:val="007E74B7"/>
    <w:rsid w:val="007E74D0"/>
    <w:rsid w:val="007E7675"/>
    <w:rsid w:val="007E768D"/>
    <w:rsid w:val="007E7756"/>
    <w:rsid w:val="007E7757"/>
    <w:rsid w:val="007E7994"/>
    <w:rsid w:val="007E7A64"/>
    <w:rsid w:val="007E7A8F"/>
    <w:rsid w:val="007E7D19"/>
    <w:rsid w:val="007E7D1D"/>
    <w:rsid w:val="007E7D6A"/>
    <w:rsid w:val="007E7E40"/>
    <w:rsid w:val="007E7ED5"/>
    <w:rsid w:val="007E7F4F"/>
    <w:rsid w:val="007F0040"/>
    <w:rsid w:val="007F006D"/>
    <w:rsid w:val="007F0197"/>
    <w:rsid w:val="007F032D"/>
    <w:rsid w:val="007F0415"/>
    <w:rsid w:val="007F0530"/>
    <w:rsid w:val="007F0558"/>
    <w:rsid w:val="007F05CF"/>
    <w:rsid w:val="007F06F7"/>
    <w:rsid w:val="007F0865"/>
    <w:rsid w:val="007F0A55"/>
    <w:rsid w:val="007F0AA9"/>
    <w:rsid w:val="007F0B64"/>
    <w:rsid w:val="007F0E09"/>
    <w:rsid w:val="007F0E29"/>
    <w:rsid w:val="007F0E88"/>
    <w:rsid w:val="007F0F2F"/>
    <w:rsid w:val="007F0FDB"/>
    <w:rsid w:val="007F10CB"/>
    <w:rsid w:val="007F1147"/>
    <w:rsid w:val="007F139C"/>
    <w:rsid w:val="007F13A7"/>
    <w:rsid w:val="007F14EA"/>
    <w:rsid w:val="007F150D"/>
    <w:rsid w:val="007F1634"/>
    <w:rsid w:val="007F16B9"/>
    <w:rsid w:val="007F1892"/>
    <w:rsid w:val="007F19AE"/>
    <w:rsid w:val="007F1BE4"/>
    <w:rsid w:val="007F1BEC"/>
    <w:rsid w:val="007F1CA3"/>
    <w:rsid w:val="007F1E2C"/>
    <w:rsid w:val="007F1E8E"/>
    <w:rsid w:val="007F1EBA"/>
    <w:rsid w:val="007F21D7"/>
    <w:rsid w:val="007F22C6"/>
    <w:rsid w:val="007F23AC"/>
    <w:rsid w:val="007F244F"/>
    <w:rsid w:val="007F2475"/>
    <w:rsid w:val="007F26AB"/>
    <w:rsid w:val="007F2725"/>
    <w:rsid w:val="007F2741"/>
    <w:rsid w:val="007F27F7"/>
    <w:rsid w:val="007F29AB"/>
    <w:rsid w:val="007F2A7C"/>
    <w:rsid w:val="007F2B0B"/>
    <w:rsid w:val="007F2B1D"/>
    <w:rsid w:val="007F2C6D"/>
    <w:rsid w:val="007F2D0E"/>
    <w:rsid w:val="007F2D2D"/>
    <w:rsid w:val="007F2F01"/>
    <w:rsid w:val="007F2FAE"/>
    <w:rsid w:val="007F3034"/>
    <w:rsid w:val="007F323A"/>
    <w:rsid w:val="007F32CB"/>
    <w:rsid w:val="007F32ED"/>
    <w:rsid w:val="007F3415"/>
    <w:rsid w:val="007F35E1"/>
    <w:rsid w:val="007F37BB"/>
    <w:rsid w:val="007F3926"/>
    <w:rsid w:val="007F39A6"/>
    <w:rsid w:val="007F39DB"/>
    <w:rsid w:val="007F3A17"/>
    <w:rsid w:val="007F3A9E"/>
    <w:rsid w:val="007F3B27"/>
    <w:rsid w:val="007F3B32"/>
    <w:rsid w:val="007F3E99"/>
    <w:rsid w:val="007F3F58"/>
    <w:rsid w:val="007F3F8C"/>
    <w:rsid w:val="007F4049"/>
    <w:rsid w:val="007F40FB"/>
    <w:rsid w:val="007F431B"/>
    <w:rsid w:val="007F4605"/>
    <w:rsid w:val="007F461E"/>
    <w:rsid w:val="007F4633"/>
    <w:rsid w:val="007F478D"/>
    <w:rsid w:val="007F4934"/>
    <w:rsid w:val="007F4B69"/>
    <w:rsid w:val="007F4C21"/>
    <w:rsid w:val="007F4C41"/>
    <w:rsid w:val="007F4EC6"/>
    <w:rsid w:val="007F50B4"/>
    <w:rsid w:val="007F51CF"/>
    <w:rsid w:val="007F53A2"/>
    <w:rsid w:val="007F53E7"/>
    <w:rsid w:val="007F541A"/>
    <w:rsid w:val="007F5541"/>
    <w:rsid w:val="007F55C7"/>
    <w:rsid w:val="007F55D7"/>
    <w:rsid w:val="007F5716"/>
    <w:rsid w:val="007F577E"/>
    <w:rsid w:val="007F57A5"/>
    <w:rsid w:val="007F57AF"/>
    <w:rsid w:val="007F57ED"/>
    <w:rsid w:val="007F583C"/>
    <w:rsid w:val="007F584A"/>
    <w:rsid w:val="007F58F3"/>
    <w:rsid w:val="007F5A2B"/>
    <w:rsid w:val="007F5A42"/>
    <w:rsid w:val="007F5AC1"/>
    <w:rsid w:val="007F5BCB"/>
    <w:rsid w:val="007F5C47"/>
    <w:rsid w:val="007F5D27"/>
    <w:rsid w:val="007F5DC6"/>
    <w:rsid w:val="007F5F0A"/>
    <w:rsid w:val="007F5F89"/>
    <w:rsid w:val="007F5FC5"/>
    <w:rsid w:val="007F610C"/>
    <w:rsid w:val="007F63A6"/>
    <w:rsid w:val="007F63DA"/>
    <w:rsid w:val="007F6464"/>
    <w:rsid w:val="007F65DF"/>
    <w:rsid w:val="007F66F3"/>
    <w:rsid w:val="007F6703"/>
    <w:rsid w:val="007F6787"/>
    <w:rsid w:val="007F68AD"/>
    <w:rsid w:val="007F6A3D"/>
    <w:rsid w:val="007F6B23"/>
    <w:rsid w:val="007F6D95"/>
    <w:rsid w:val="007F6F82"/>
    <w:rsid w:val="007F7068"/>
    <w:rsid w:val="007F7136"/>
    <w:rsid w:val="007F7178"/>
    <w:rsid w:val="007F72F2"/>
    <w:rsid w:val="007F746A"/>
    <w:rsid w:val="007F75F9"/>
    <w:rsid w:val="007F76A5"/>
    <w:rsid w:val="007F76F1"/>
    <w:rsid w:val="007F7925"/>
    <w:rsid w:val="007F7AE3"/>
    <w:rsid w:val="007F7BFA"/>
    <w:rsid w:val="007F7C69"/>
    <w:rsid w:val="007F7E43"/>
    <w:rsid w:val="007F7FB7"/>
    <w:rsid w:val="008000D7"/>
    <w:rsid w:val="00800372"/>
    <w:rsid w:val="00800558"/>
    <w:rsid w:val="008005FF"/>
    <w:rsid w:val="0080063C"/>
    <w:rsid w:val="00800793"/>
    <w:rsid w:val="008007C2"/>
    <w:rsid w:val="008008BD"/>
    <w:rsid w:val="008009BD"/>
    <w:rsid w:val="008009E1"/>
    <w:rsid w:val="00800CE9"/>
    <w:rsid w:val="00800DEA"/>
    <w:rsid w:val="00800E34"/>
    <w:rsid w:val="008010C8"/>
    <w:rsid w:val="008012BA"/>
    <w:rsid w:val="00801369"/>
    <w:rsid w:val="0080139B"/>
    <w:rsid w:val="00801412"/>
    <w:rsid w:val="0080145C"/>
    <w:rsid w:val="0080147C"/>
    <w:rsid w:val="0080161A"/>
    <w:rsid w:val="0080172D"/>
    <w:rsid w:val="00801734"/>
    <w:rsid w:val="00801764"/>
    <w:rsid w:val="00801B5F"/>
    <w:rsid w:val="00801C4B"/>
    <w:rsid w:val="00801E23"/>
    <w:rsid w:val="00801F61"/>
    <w:rsid w:val="00802118"/>
    <w:rsid w:val="0080216F"/>
    <w:rsid w:val="00802176"/>
    <w:rsid w:val="00802277"/>
    <w:rsid w:val="0080249B"/>
    <w:rsid w:val="008024E7"/>
    <w:rsid w:val="008025DE"/>
    <w:rsid w:val="008025F5"/>
    <w:rsid w:val="00802678"/>
    <w:rsid w:val="00802780"/>
    <w:rsid w:val="00802F86"/>
    <w:rsid w:val="0080302D"/>
    <w:rsid w:val="0080305D"/>
    <w:rsid w:val="0080307F"/>
    <w:rsid w:val="0080320A"/>
    <w:rsid w:val="00803233"/>
    <w:rsid w:val="008032E3"/>
    <w:rsid w:val="00803319"/>
    <w:rsid w:val="00803679"/>
    <w:rsid w:val="008037C8"/>
    <w:rsid w:val="008037DA"/>
    <w:rsid w:val="00803865"/>
    <w:rsid w:val="00803905"/>
    <w:rsid w:val="008039C5"/>
    <w:rsid w:val="00803C18"/>
    <w:rsid w:val="00803C5C"/>
    <w:rsid w:val="00803DFB"/>
    <w:rsid w:val="00803FAD"/>
    <w:rsid w:val="00803FF7"/>
    <w:rsid w:val="0080413C"/>
    <w:rsid w:val="008041C3"/>
    <w:rsid w:val="00804235"/>
    <w:rsid w:val="00804346"/>
    <w:rsid w:val="008044EA"/>
    <w:rsid w:val="0080450A"/>
    <w:rsid w:val="00804561"/>
    <w:rsid w:val="008045C9"/>
    <w:rsid w:val="008045FD"/>
    <w:rsid w:val="008049CB"/>
    <w:rsid w:val="00804A13"/>
    <w:rsid w:val="00804A39"/>
    <w:rsid w:val="00804AE1"/>
    <w:rsid w:val="00804BDA"/>
    <w:rsid w:val="00804ED8"/>
    <w:rsid w:val="00805005"/>
    <w:rsid w:val="008050DD"/>
    <w:rsid w:val="0080516B"/>
    <w:rsid w:val="00805215"/>
    <w:rsid w:val="0080535A"/>
    <w:rsid w:val="0080539F"/>
    <w:rsid w:val="008053DF"/>
    <w:rsid w:val="00805513"/>
    <w:rsid w:val="00805608"/>
    <w:rsid w:val="00805859"/>
    <w:rsid w:val="00805915"/>
    <w:rsid w:val="00805980"/>
    <w:rsid w:val="00805983"/>
    <w:rsid w:val="00805F3D"/>
    <w:rsid w:val="008060C2"/>
    <w:rsid w:val="008060CA"/>
    <w:rsid w:val="00806150"/>
    <w:rsid w:val="008061AA"/>
    <w:rsid w:val="008062FE"/>
    <w:rsid w:val="00806372"/>
    <w:rsid w:val="008063C0"/>
    <w:rsid w:val="00806524"/>
    <w:rsid w:val="008065E3"/>
    <w:rsid w:val="008066A3"/>
    <w:rsid w:val="0080683C"/>
    <w:rsid w:val="008068CA"/>
    <w:rsid w:val="008068DD"/>
    <w:rsid w:val="00806B3B"/>
    <w:rsid w:val="00806C72"/>
    <w:rsid w:val="00806CE3"/>
    <w:rsid w:val="00806DC1"/>
    <w:rsid w:val="00806DC9"/>
    <w:rsid w:val="00806E37"/>
    <w:rsid w:val="00806E49"/>
    <w:rsid w:val="00806F21"/>
    <w:rsid w:val="00806FC3"/>
    <w:rsid w:val="0080714F"/>
    <w:rsid w:val="008071B8"/>
    <w:rsid w:val="0080721C"/>
    <w:rsid w:val="0080746A"/>
    <w:rsid w:val="008074BC"/>
    <w:rsid w:val="008074F5"/>
    <w:rsid w:val="00807513"/>
    <w:rsid w:val="0080780D"/>
    <w:rsid w:val="0080786A"/>
    <w:rsid w:val="00807923"/>
    <w:rsid w:val="008079BC"/>
    <w:rsid w:val="00807B56"/>
    <w:rsid w:val="00807C53"/>
    <w:rsid w:val="00807C74"/>
    <w:rsid w:val="00807E96"/>
    <w:rsid w:val="00807EBA"/>
    <w:rsid w:val="00807FB8"/>
    <w:rsid w:val="00807FDB"/>
    <w:rsid w:val="00810014"/>
    <w:rsid w:val="0081020D"/>
    <w:rsid w:val="00810319"/>
    <w:rsid w:val="008104C0"/>
    <w:rsid w:val="0081051E"/>
    <w:rsid w:val="008105CB"/>
    <w:rsid w:val="008107B3"/>
    <w:rsid w:val="00810986"/>
    <w:rsid w:val="00810B4D"/>
    <w:rsid w:val="00810C70"/>
    <w:rsid w:val="00810C77"/>
    <w:rsid w:val="00810C7C"/>
    <w:rsid w:val="00810D36"/>
    <w:rsid w:val="00810DE1"/>
    <w:rsid w:val="00810ECA"/>
    <w:rsid w:val="00810ED1"/>
    <w:rsid w:val="00810F61"/>
    <w:rsid w:val="00811025"/>
    <w:rsid w:val="00811086"/>
    <w:rsid w:val="008110B9"/>
    <w:rsid w:val="008110E8"/>
    <w:rsid w:val="00811105"/>
    <w:rsid w:val="008112E8"/>
    <w:rsid w:val="0081134F"/>
    <w:rsid w:val="008113A8"/>
    <w:rsid w:val="008113EA"/>
    <w:rsid w:val="00811561"/>
    <w:rsid w:val="008115E3"/>
    <w:rsid w:val="008115EA"/>
    <w:rsid w:val="00811700"/>
    <w:rsid w:val="00811C2C"/>
    <w:rsid w:val="00811C3D"/>
    <w:rsid w:val="00811C64"/>
    <w:rsid w:val="00811CA9"/>
    <w:rsid w:val="00811FF6"/>
    <w:rsid w:val="00812053"/>
    <w:rsid w:val="00812072"/>
    <w:rsid w:val="008122E0"/>
    <w:rsid w:val="0081231D"/>
    <w:rsid w:val="00812587"/>
    <w:rsid w:val="008128E0"/>
    <w:rsid w:val="00812964"/>
    <w:rsid w:val="0081297D"/>
    <w:rsid w:val="008129E3"/>
    <w:rsid w:val="008129E6"/>
    <w:rsid w:val="00812B87"/>
    <w:rsid w:val="00812BD1"/>
    <w:rsid w:val="00812CB6"/>
    <w:rsid w:val="00812D4E"/>
    <w:rsid w:val="00812E13"/>
    <w:rsid w:val="00812ED3"/>
    <w:rsid w:val="00812EF5"/>
    <w:rsid w:val="00812F44"/>
    <w:rsid w:val="008130B2"/>
    <w:rsid w:val="00813170"/>
    <w:rsid w:val="00813194"/>
    <w:rsid w:val="008132C0"/>
    <w:rsid w:val="008132DB"/>
    <w:rsid w:val="008135E4"/>
    <w:rsid w:val="00813720"/>
    <w:rsid w:val="0081377D"/>
    <w:rsid w:val="008138A6"/>
    <w:rsid w:val="00813979"/>
    <w:rsid w:val="008139FE"/>
    <w:rsid w:val="00813AAD"/>
    <w:rsid w:val="00813AB1"/>
    <w:rsid w:val="00813AE2"/>
    <w:rsid w:val="00813AF4"/>
    <w:rsid w:val="00813B2D"/>
    <w:rsid w:val="00813C43"/>
    <w:rsid w:val="00813C74"/>
    <w:rsid w:val="00813CE4"/>
    <w:rsid w:val="00813E8B"/>
    <w:rsid w:val="00813EAA"/>
    <w:rsid w:val="00814129"/>
    <w:rsid w:val="0081423B"/>
    <w:rsid w:val="00814379"/>
    <w:rsid w:val="00814380"/>
    <w:rsid w:val="008143BF"/>
    <w:rsid w:val="008143C0"/>
    <w:rsid w:val="008145D4"/>
    <w:rsid w:val="0081465C"/>
    <w:rsid w:val="0081475F"/>
    <w:rsid w:val="00814762"/>
    <w:rsid w:val="008147B1"/>
    <w:rsid w:val="00814A86"/>
    <w:rsid w:val="00814B52"/>
    <w:rsid w:val="00814BEC"/>
    <w:rsid w:val="00814CBC"/>
    <w:rsid w:val="008153B7"/>
    <w:rsid w:val="008153D2"/>
    <w:rsid w:val="0081547E"/>
    <w:rsid w:val="008154FB"/>
    <w:rsid w:val="0081559C"/>
    <w:rsid w:val="00815757"/>
    <w:rsid w:val="0081576F"/>
    <w:rsid w:val="0081589D"/>
    <w:rsid w:val="00815B9A"/>
    <w:rsid w:val="00815E9C"/>
    <w:rsid w:val="00815FC7"/>
    <w:rsid w:val="00816003"/>
    <w:rsid w:val="00816008"/>
    <w:rsid w:val="00816302"/>
    <w:rsid w:val="00816515"/>
    <w:rsid w:val="0081668D"/>
    <w:rsid w:val="0081683B"/>
    <w:rsid w:val="00816A66"/>
    <w:rsid w:val="00816B98"/>
    <w:rsid w:val="00816B9F"/>
    <w:rsid w:val="00816CCF"/>
    <w:rsid w:val="00816DDF"/>
    <w:rsid w:val="00816F04"/>
    <w:rsid w:val="00816F43"/>
    <w:rsid w:val="00816F89"/>
    <w:rsid w:val="00816FD3"/>
    <w:rsid w:val="00816FF9"/>
    <w:rsid w:val="00817127"/>
    <w:rsid w:val="00817436"/>
    <w:rsid w:val="00817481"/>
    <w:rsid w:val="008174E3"/>
    <w:rsid w:val="008178F2"/>
    <w:rsid w:val="008179D0"/>
    <w:rsid w:val="00817AD6"/>
    <w:rsid w:val="00817D05"/>
    <w:rsid w:val="00817E34"/>
    <w:rsid w:val="00817E88"/>
    <w:rsid w:val="00817FB5"/>
    <w:rsid w:val="0082023B"/>
    <w:rsid w:val="0082033D"/>
    <w:rsid w:val="008203D8"/>
    <w:rsid w:val="00820480"/>
    <w:rsid w:val="00820775"/>
    <w:rsid w:val="008207DA"/>
    <w:rsid w:val="00820851"/>
    <w:rsid w:val="00820922"/>
    <w:rsid w:val="00820A90"/>
    <w:rsid w:val="00820C57"/>
    <w:rsid w:val="00820CD9"/>
    <w:rsid w:val="00820D0D"/>
    <w:rsid w:val="008210AD"/>
    <w:rsid w:val="0082120C"/>
    <w:rsid w:val="008212D0"/>
    <w:rsid w:val="0082136A"/>
    <w:rsid w:val="008213B3"/>
    <w:rsid w:val="0082147B"/>
    <w:rsid w:val="0082159C"/>
    <w:rsid w:val="00821778"/>
    <w:rsid w:val="00821846"/>
    <w:rsid w:val="0082187C"/>
    <w:rsid w:val="008218EB"/>
    <w:rsid w:val="00821914"/>
    <w:rsid w:val="0082198B"/>
    <w:rsid w:val="008219E1"/>
    <w:rsid w:val="00821A76"/>
    <w:rsid w:val="00821C18"/>
    <w:rsid w:val="00821D3D"/>
    <w:rsid w:val="00821E76"/>
    <w:rsid w:val="0082201D"/>
    <w:rsid w:val="00822067"/>
    <w:rsid w:val="008220EE"/>
    <w:rsid w:val="008222AD"/>
    <w:rsid w:val="008223F9"/>
    <w:rsid w:val="00822423"/>
    <w:rsid w:val="0082252D"/>
    <w:rsid w:val="008225D3"/>
    <w:rsid w:val="0082271F"/>
    <w:rsid w:val="008227C1"/>
    <w:rsid w:val="008227E6"/>
    <w:rsid w:val="00822943"/>
    <w:rsid w:val="008229C0"/>
    <w:rsid w:val="00822D36"/>
    <w:rsid w:val="00822FC0"/>
    <w:rsid w:val="00822FF2"/>
    <w:rsid w:val="00823140"/>
    <w:rsid w:val="008231A1"/>
    <w:rsid w:val="008231F2"/>
    <w:rsid w:val="00823491"/>
    <w:rsid w:val="008234A6"/>
    <w:rsid w:val="0082360E"/>
    <w:rsid w:val="008236D1"/>
    <w:rsid w:val="00823704"/>
    <w:rsid w:val="0082379E"/>
    <w:rsid w:val="00823985"/>
    <w:rsid w:val="00823B59"/>
    <w:rsid w:val="00823F7C"/>
    <w:rsid w:val="00823F84"/>
    <w:rsid w:val="00823FBE"/>
    <w:rsid w:val="00824037"/>
    <w:rsid w:val="00824116"/>
    <w:rsid w:val="0082428C"/>
    <w:rsid w:val="00824329"/>
    <w:rsid w:val="0082433E"/>
    <w:rsid w:val="00824640"/>
    <w:rsid w:val="00824772"/>
    <w:rsid w:val="0082487F"/>
    <w:rsid w:val="0082490F"/>
    <w:rsid w:val="00824B11"/>
    <w:rsid w:val="00824B47"/>
    <w:rsid w:val="00824D04"/>
    <w:rsid w:val="00824D8F"/>
    <w:rsid w:val="00824E4E"/>
    <w:rsid w:val="00824EB8"/>
    <w:rsid w:val="00824FBE"/>
    <w:rsid w:val="00824FCB"/>
    <w:rsid w:val="00825204"/>
    <w:rsid w:val="008252C9"/>
    <w:rsid w:val="008253D5"/>
    <w:rsid w:val="0082542E"/>
    <w:rsid w:val="008256BF"/>
    <w:rsid w:val="008256E8"/>
    <w:rsid w:val="008259E9"/>
    <w:rsid w:val="00825A5A"/>
    <w:rsid w:val="00825AB8"/>
    <w:rsid w:val="00825D43"/>
    <w:rsid w:val="00825D61"/>
    <w:rsid w:val="00825E7D"/>
    <w:rsid w:val="00825FD3"/>
    <w:rsid w:val="00826010"/>
    <w:rsid w:val="008260A6"/>
    <w:rsid w:val="00826116"/>
    <w:rsid w:val="00826121"/>
    <w:rsid w:val="008265C7"/>
    <w:rsid w:val="008266B2"/>
    <w:rsid w:val="00826705"/>
    <w:rsid w:val="008268E1"/>
    <w:rsid w:val="008269A4"/>
    <w:rsid w:val="008269A8"/>
    <w:rsid w:val="00826A05"/>
    <w:rsid w:val="00826A14"/>
    <w:rsid w:val="00826A54"/>
    <w:rsid w:val="00826B0C"/>
    <w:rsid w:val="00826CF2"/>
    <w:rsid w:val="00826D8A"/>
    <w:rsid w:val="00826E56"/>
    <w:rsid w:val="00826EF5"/>
    <w:rsid w:val="00826F76"/>
    <w:rsid w:val="00826FB2"/>
    <w:rsid w:val="00826FCB"/>
    <w:rsid w:val="008270A3"/>
    <w:rsid w:val="00827227"/>
    <w:rsid w:val="008272A4"/>
    <w:rsid w:val="00827485"/>
    <w:rsid w:val="0082766D"/>
    <w:rsid w:val="008276D0"/>
    <w:rsid w:val="00827763"/>
    <w:rsid w:val="008277F7"/>
    <w:rsid w:val="00827948"/>
    <w:rsid w:val="00827A65"/>
    <w:rsid w:val="00827BBB"/>
    <w:rsid w:val="00827D9F"/>
    <w:rsid w:val="00827DF0"/>
    <w:rsid w:val="00827EB8"/>
    <w:rsid w:val="00827EFC"/>
    <w:rsid w:val="008303D1"/>
    <w:rsid w:val="008303EB"/>
    <w:rsid w:val="0083042F"/>
    <w:rsid w:val="00830751"/>
    <w:rsid w:val="008307C5"/>
    <w:rsid w:val="008307EC"/>
    <w:rsid w:val="00830C87"/>
    <w:rsid w:val="00830D68"/>
    <w:rsid w:val="00830E6B"/>
    <w:rsid w:val="00830ECC"/>
    <w:rsid w:val="00830FA1"/>
    <w:rsid w:val="0083100C"/>
    <w:rsid w:val="008310BD"/>
    <w:rsid w:val="00831173"/>
    <w:rsid w:val="0083124C"/>
    <w:rsid w:val="00831268"/>
    <w:rsid w:val="0083126C"/>
    <w:rsid w:val="008312C2"/>
    <w:rsid w:val="008312E3"/>
    <w:rsid w:val="0083159E"/>
    <w:rsid w:val="00831605"/>
    <w:rsid w:val="00831660"/>
    <w:rsid w:val="0083177F"/>
    <w:rsid w:val="0083194E"/>
    <w:rsid w:val="00831982"/>
    <w:rsid w:val="008319E7"/>
    <w:rsid w:val="00831B47"/>
    <w:rsid w:val="00831C02"/>
    <w:rsid w:val="00831C22"/>
    <w:rsid w:val="00831C70"/>
    <w:rsid w:val="00831C80"/>
    <w:rsid w:val="00831D80"/>
    <w:rsid w:val="00831EAD"/>
    <w:rsid w:val="00831FD7"/>
    <w:rsid w:val="0083206F"/>
    <w:rsid w:val="00832118"/>
    <w:rsid w:val="0083233C"/>
    <w:rsid w:val="008325E3"/>
    <w:rsid w:val="008326E1"/>
    <w:rsid w:val="00832820"/>
    <w:rsid w:val="00832836"/>
    <w:rsid w:val="00832964"/>
    <w:rsid w:val="008329B7"/>
    <w:rsid w:val="00832B90"/>
    <w:rsid w:val="00832DC4"/>
    <w:rsid w:val="00832E11"/>
    <w:rsid w:val="008330FD"/>
    <w:rsid w:val="0083319B"/>
    <w:rsid w:val="00833250"/>
    <w:rsid w:val="00833256"/>
    <w:rsid w:val="008332A8"/>
    <w:rsid w:val="008332EC"/>
    <w:rsid w:val="008333C9"/>
    <w:rsid w:val="008333E1"/>
    <w:rsid w:val="00833439"/>
    <w:rsid w:val="00833440"/>
    <w:rsid w:val="00833461"/>
    <w:rsid w:val="00833536"/>
    <w:rsid w:val="00833551"/>
    <w:rsid w:val="008335EA"/>
    <w:rsid w:val="0083363B"/>
    <w:rsid w:val="00833722"/>
    <w:rsid w:val="00833746"/>
    <w:rsid w:val="00833785"/>
    <w:rsid w:val="008337B5"/>
    <w:rsid w:val="008337DA"/>
    <w:rsid w:val="00833979"/>
    <w:rsid w:val="008339B6"/>
    <w:rsid w:val="00833A6D"/>
    <w:rsid w:val="00833B58"/>
    <w:rsid w:val="00833BCC"/>
    <w:rsid w:val="00833D48"/>
    <w:rsid w:val="00833E37"/>
    <w:rsid w:val="00833E9D"/>
    <w:rsid w:val="008340DB"/>
    <w:rsid w:val="008341FF"/>
    <w:rsid w:val="008342CD"/>
    <w:rsid w:val="008342D5"/>
    <w:rsid w:val="0083441C"/>
    <w:rsid w:val="00834423"/>
    <w:rsid w:val="00834490"/>
    <w:rsid w:val="00834782"/>
    <w:rsid w:val="008347EC"/>
    <w:rsid w:val="0083489B"/>
    <w:rsid w:val="00834957"/>
    <w:rsid w:val="0083495F"/>
    <w:rsid w:val="00834B2B"/>
    <w:rsid w:val="00834BA1"/>
    <w:rsid w:val="00834C0F"/>
    <w:rsid w:val="00834DE0"/>
    <w:rsid w:val="00834E44"/>
    <w:rsid w:val="00834F07"/>
    <w:rsid w:val="00835033"/>
    <w:rsid w:val="008351F6"/>
    <w:rsid w:val="00835206"/>
    <w:rsid w:val="008352BF"/>
    <w:rsid w:val="0083530E"/>
    <w:rsid w:val="00835312"/>
    <w:rsid w:val="00835593"/>
    <w:rsid w:val="0083559A"/>
    <w:rsid w:val="008358E4"/>
    <w:rsid w:val="008359B8"/>
    <w:rsid w:val="008359EF"/>
    <w:rsid w:val="00835A22"/>
    <w:rsid w:val="00835CCB"/>
    <w:rsid w:val="00835D6F"/>
    <w:rsid w:val="00835E04"/>
    <w:rsid w:val="00835E07"/>
    <w:rsid w:val="00835F5B"/>
    <w:rsid w:val="00835FDD"/>
    <w:rsid w:val="00836048"/>
    <w:rsid w:val="008361BB"/>
    <w:rsid w:val="00836281"/>
    <w:rsid w:val="00836294"/>
    <w:rsid w:val="0083649E"/>
    <w:rsid w:val="008366F3"/>
    <w:rsid w:val="00836711"/>
    <w:rsid w:val="00836F7F"/>
    <w:rsid w:val="0083706E"/>
    <w:rsid w:val="008370C9"/>
    <w:rsid w:val="008370EF"/>
    <w:rsid w:val="0083719D"/>
    <w:rsid w:val="00837241"/>
    <w:rsid w:val="00837471"/>
    <w:rsid w:val="008375A2"/>
    <w:rsid w:val="0083784D"/>
    <w:rsid w:val="00837889"/>
    <w:rsid w:val="008378F4"/>
    <w:rsid w:val="008378F5"/>
    <w:rsid w:val="00837AF3"/>
    <w:rsid w:val="00837AF5"/>
    <w:rsid w:val="00837BD8"/>
    <w:rsid w:val="00837CE2"/>
    <w:rsid w:val="00837DB5"/>
    <w:rsid w:val="00837DF1"/>
    <w:rsid w:val="00837E18"/>
    <w:rsid w:val="00837F32"/>
    <w:rsid w:val="00837FAD"/>
    <w:rsid w:val="0084012B"/>
    <w:rsid w:val="0084012D"/>
    <w:rsid w:val="00840278"/>
    <w:rsid w:val="008402A0"/>
    <w:rsid w:val="00840330"/>
    <w:rsid w:val="00840367"/>
    <w:rsid w:val="008403C0"/>
    <w:rsid w:val="00840408"/>
    <w:rsid w:val="0084047C"/>
    <w:rsid w:val="00840480"/>
    <w:rsid w:val="008407E5"/>
    <w:rsid w:val="008408FC"/>
    <w:rsid w:val="00840942"/>
    <w:rsid w:val="008409DB"/>
    <w:rsid w:val="00840E93"/>
    <w:rsid w:val="0084104B"/>
    <w:rsid w:val="0084122F"/>
    <w:rsid w:val="0084123C"/>
    <w:rsid w:val="008412BA"/>
    <w:rsid w:val="0084130D"/>
    <w:rsid w:val="00841564"/>
    <w:rsid w:val="008415AD"/>
    <w:rsid w:val="008415C6"/>
    <w:rsid w:val="0084161D"/>
    <w:rsid w:val="00841969"/>
    <w:rsid w:val="008419B0"/>
    <w:rsid w:val="008419F8"/>
    <w:rsid w:val="00841A00"/>
    <w:rsid w:val="00841E64"/>
    <w:rsid w:val="008420D1"/>
    <w:rsid w:val="00842122"/>
    <w:rsid w:val="0084230E"/>
    <w:rsid w:val="00842490"/>
    <w:rsid w:val="008424EF"/>
    <w:rsid w:val="008424F1"/>
    <w:rsid w:val="008424F4"/>
    <w:rsid w:val="008429B0"/>
    <w:rsid w:val="00842A3B"/>
    <w:rsid w:val="00842A4F"/>
    <w:rsid w:val="00842AA1"/>
    <w:rsid w:val="00842E59"/>
    <w:rsid w:val="00842EAE"/>
    <w:rsid w:val="00842F23"/>
    <w:rsid w:val="00842FA3"/>
    <w:rsid w:val="0084300E"/>
    <w:rsid w:val="00843025"/>
    <w:rsid w:val="0084303F"/>
    <w:rsid w:val="008430A0"/>
    <w:rsid w:val="008433A6"/>
    <w:rsid w:val="00843558"/>
    <w:rsid w:val="008437C2"/>
    <w:rsid w:val="008437D4"/>
    <w:rsid w:val="0084383C"/>
    <w:rsid w:val="00843A84"/>
    <w:rsid w:val="00843DCC"/>
    <w:rsid w:val="00843E11"/>
    <w:rsid w:val="00843E1B"/>
    <w:rsid w:val="00843FB6"/>
    <w:rsid w:val="00843FF1"/>
    <w:rsid w:val="00844195"/>
    <w:rsid w:val="0084426E"/>
    <w:rsid w:val="00844275"/>
    <w:rsid w:val="0084455F"/>
    <w:rsid w:val="00844561"/>
    <w:rsid w:val="00844585"/>
    <w:rsid w:val="008446FB"/>
    <w:rsid w:val="00844704"/>
    <w:rsid w:val="0084482A"/>
    <w:rsid w:val="00844896"/>
    <w:rsid w:val="00844938"/>
    <w:rsid w:val="00844BB4"/>
    <w:rsid w:val="00844BFE"/>
    <w:rsid w:val="00844CA1"/>
    <w:rsid w:val="00844E70"/>
    <w:rsid w:val="00844F25"/>
    <w:rsid w:val="00844F54"/>
    <w:rsid w:val="00845119"/>
    <w:rsid w:val="00845246"/>
    <w:rsid w:val="008454BF"/>
    <w:rsid w:val="008455F0"/>
    <w:rsid w:val="00845672"/>
    <w:rsid w:val="00845730"/>
    <w:rsid w:val="0084574A"/>
    <w:rsid w:val="00845869"/>
    <w:rsid w:val="0084590E"/>
    <w:rsid w:val="0084592E"/>
    <w:rsid w:val="008459BA"/>
    <w:rsid w:val="008459C3"/>
    <w:rsid w:val="00845A28"/>
    <w:rsid w:val="00845A7F"/>
    <w:rsid w:val="00845C5A"/>
    <w:rsid w:val="00845D17"/>
    <w:rsid w:val="00845DBC"/>
    <w:rsid w:val="00845F1D"/>
    <w:rsid w:val="00845F53"/>
    <w:rsid w:val="00846054"/>
    <w:rsid w:val="00846159"/>
    <w:rsid w:val="008461C7"/>
    <w:rsid w:val="00846237"/>
    <w:rsid w:val="0084630E"/>
    <w:rsid w:val="008463CE"/>
    <w:rsid w:val="008463F4"/>
    <w:rsid w:val="008463F5"/>
    <w:rsid w:val="00846510"/>
    <w:rsid w:val="0084673C"/>
    <w:rsid w:val="00846748"/>
    <w:rsid w:val="00846771"/>
    <w:rsid w:val="00846902"/>
    <w:rsid w:val="00846931"/>
    <w:rsid w:val="0084696F"/>
    <w:rsid w:val="00846984"/>
    <w:rsid w:val="008469D3"/>
    <w:rsid w:val="00846A01"/>
    <w:rsid w:val="00846A27"/>
    <w:rsid w:val="00846A52"/>
    <w:rsid w:val="00846C40"/>
    <w:rsid w:val="00846CB5"/>
    <w:rsid w:val="0084703E"/>
    <w:rsid w:val="00847131"/>
    <w:rsid w:val="00847227"/>
    <w:rsid w:val="008473A0"/>
    <w:rsid w:val="008473AB"/>
    <w:rsid w:val="008473DD"/>
    <w:rsid w:val="008474D5"/>
    <w:rsid w:val="0084751E"/>
    <w:rsid w:val="00847699"/>
    <w:rsid w:val="008476F6"/>
    <w:rsid w:val="00847764"/>
    <w:rsid w:val="00847952"/>
    <w:rsid w:val="00847A51"/>
    <w:rsid w:val="00847C59"/>
    <w:rsid w:val="00847E2C"/>
    <w:rsid w:val="00847E44"/>
    <w:rsid w:val="00847E96"/>
    <w:rsid w:val="00847FCC"/>
    <w:rsid w:val="008500B8"/>
    <w:rsid w:val="008502D4"/>
    <w:rsid w:val="0085055F"/>
    <w:rsid w:val="00850652"/>
    <w:rsid w:val="0085065C"/>
    <w:rsid w:val="008506ED"/>
    <w:rsid w:val="00850792"/>
    <w:rsid w:val="0085089F"/>
    <w:rsid w:val="008509A3"/>
    <w:rsid w:val="008509D3"/>
    <w:rsid w:val="00850E56"/>
    <w:rsid w:val="00850EED"/>
    <w:rsid w:val="00851206"/>
    <w:rsid w:val="008513BC"/>
    <w:rsid w:val="008513F3"/>
    <w:rsid w:val="0085157D"/>
    <w:rsid w:val="008515B0"/>
    <w:rsid w:val="00851614"/>
    <w:rsid w:val="00851715"/>
    <w:rsid w:val="0085188B"/>
    <w:rsid w:val="00851983"/>
    <w:rsid w:val="00851A06"/>
    <w:rsid w:val="00851BC8"/>
    <w:rsid w:val="00851C1F"/>
    <w:rsid w:val="00851C84"/>
    <w:rsid w:val="00851CFF"/>
    <w:rsid w:val="00851D30"/>
    <w:rsid w:val="00851DA3"/>
    <w:rsid w:val="0085201B"/>
    <w:rsid w:val="0085218D"/>
    <w:rsid w:val="00852201"/>
    <w:rsid w:val="00852312"/>
    <w:rsid w:val="00852323"/>
    <w:rsid w:val="0085249D"/>
    <w:rsid w:val="0085250D"/>
    <w:rsid w:val="008526CF"/>
    <w:rsid w:val="00852968"/>
    <w:rsid w:val="00852B31"/>
    <w:rsid w:val="00852BAA"/>
    <w:rsid w:val="00852D38"/>
    <w:rsid w:val="00852D80"/>
    <w:rsid w:val="00852E6B"/>
    <w:rsid w:val="00852E70"/>
    <w:rsid w:val="00852EA5"/>
    <w:rsid w:val="00852EFC"/>
    <w:rsid w:val="00852F17"/>
    <w:rsid w:val="00853042"/>
    <w:rsid w:val="00853103"/>
    <w:rsid w:val="008532B5"/>
    <w:rsid w:val="0085333D"/>
    <w:rsid w:val="0085336E"/>
    <w:rsid w:val="008533F9"/>
    <w:rsid w:val="00853545"/>
    <w:rsid w:val="0085355A"/>
    <w:rsid w:val="008538C3"/>
    <w:rsid w:val="00853A2B"/>
    <w:rsid w:val="00853C71"/>
    <w:rsid w:val="00853CB3"/>
    <w:rsid w:val="00853D35"/>
    <w:rsid w:val="00853D89"/>
    <w:rsid w:val="00853DFE"/>
    <w:rsid w:val="00853F83"/>
    <w:rsid w:val="00854012"/>
    <w:rsid w:val="00854157"/>
    <w:rsid w:val="0085419E"/>
    <w:rsid w:val="008541CC"/>
    <w:rsid w:val="008541FC"/>
    <w:rsid w:val="008542CB"/>
    <w:rsid w:val="008546EE"/>
    <w:rsid w:val="008547B7"/>
    <w:rsid w:val="008547EE"/>
    <w:rsid w:val="00854950"/>
    <w:rsid w:val="008549C6"/>
    <w:rsid w:val="00854B60"/>
    <w:rsid w:val="00854C47"/>
    <w:rsid w:val="00854CA3"/>
    <w:rsid w:val="00854CFA"/>
    <w:rsid w:val="00854DB5"/>
    <w:rsid w:val="00854DB6"/>
    <w:rsid w:val="00854E3F"/>
    <w:rsid w:val="00854ECD"/>
    <w:rsid w:val="00854ED2"/>
    <w:rsid w:val="00854F4F"/>
    <w:rsid w:val="008550E4"/>
    <w:rsid w:val="0085517F"/>
    <w:rsid w:val="00855239"/>
    <w:rsid w:val="0085536E"/>
    <w:rsid w:val="00855415"/>
    <w:rsid w:val="00855432"/>
    <w:rsid w:val="00855476"/>
    <w:rsid w:val="00855570"/>
    <w:rsid w:val="00855594"/>
    <w:rsid w:val="008555A1"/>
    <w:rsid w:val="008556C7"/>
    <w:rsid w:val="008556FA"/>
    <w:rsid w:val="008557A5"/>
    <w:rsid w:val="0085587B"/>
    <w:rsid w:val="00855A93"/>
    <w:rsid w:val="00855B02"/>
    <w:rsid w:val="00855B12"/>
    <w:rsid w:val="00855BBD"/>
    <w:rsid w:val="00855C62"/>
    <w:rsid w:val="00855D2C"/>
    <w:rsid w:val="00855DE4"/>
    <w:rsid w:val="00855EB4"/>
    <w:rsid w:val="00855F03"/>
    <w:rsid w:val="00855F20"/>
    <w:rsid w:val="0085600B"/>
    <w:rsid w:val="00856119"/>
    <w:rsid w:val="008561CE"/>
    <w:rsid w:val="0085640E"/>
    <w:rsid w:val="00856626"/>
    <w:rsid w:val="00856684"/>
    <w:rsid w:val="008566C2"/>
    <w:rsid w:val="00856AFB"/>
    <w:rsid w:val="00856B83"/>
    <w:rsid w:val="008570B3"/>
    <w:rsid w:val="0085737E"/>
    <w:rsid w:val="00857479"/>
    <w:rsid w:val="0085751F"/>
    <w:rsid w:val="008575CC"/>
    <w:rsid w:val="0085770D"/>
    <w:rsid w:val="00857857"/>
    <w:rsid w:val="00857A14"/>
    <w:rsid w:val="00857BA6"/>
    <w:rsid w:val="00857BDD"/>
    <w:rsid w:val="00857C1D"/>
    <w:rsid w:val="00857E07"/>
    <w:rsid w:val="00857E8E"/>
    <w:rsid w:val="00857F9D"/>
    <w:rsid w:val="00857FC0"/>
    <w:rsid w:val="0086005E"/>
    <w:rsid w:val="008600D2"/>
    <w:rsid w:val="00860179"/>
    <w:rsid w:val="008601CD"/>
    <w:rsid w:val="008604D4"/>
    <w:rsid w:val="00860658"/>
    <w:rsid w:val="00860669"/>
    <w:rsid w:val="008606F5"/>
    <w:rsid w:val="00860727"/>
    <w:rsid w:val="00860786"/>
    <w:rsid w:val="008608E6"/>
    <w:rsid w:val="00860989"/>
    <w:rsid w:val="008609A6"/>
    <w:rsid w:val="008609D4"/>
    <w:rsid w:val="00860AF3"/>
    <w:rsid w:val="00860C0C"/>
    <w:rsid w:val="00860C63"/>
    <w:rsid w:val="00860D10"/>
    <w:rsid w:val="00860F1A"/>
    <w:rsid w:val="00860F91"/>
    <w:rsid w:val="00860FD3"/>
    <w:rsid w:val="00860FE1"/>
    <w:rsid w:val="0086104E"/>
    <w:rsid w:val="0086115D"/>
    <w:rsid w:val="008611A4"/>
    <w:rsid w:val="0086136E"/>
    <w:rsid w:val="008615C6"/>
    <w:rsid w:val="00861606"/>
    <w:rsid w:val="00861660"/>
    <w:rsid w:val="00861717"/>
    <w:rsid w:val="00861942"/>
    <w:rsid w:val="008619AF"/>
    <w:rsid w:val="00861B25"/>
    <w:rsid w:val="00861B8D"/>
    <w:rsid w:val="00861D14"/>
    <w:rsid w:val="00861DEE"/>
    <w:rsid w:val="00861E28"/>
    <w:rsid w:val="00862002"/>
    <w:rsid w:val="00862280"/>
    <w:rsid w:val="00862282"/>
    <w:rsid w:val="00862591"/>
    <w:rsid w:val="008626FD"/>
    <w:rsid w:val="00862872"/>
    <w:rsid w:val="008628B6"/>
    <w:rsid w:val="00862B0F"/>
    <w:rsid w:val="00862B6B"/>
    <w:rsid w:val="00862BB3"/>
    <w:rsid w:val="00862BDF"/>
    <w:rsid w:val="00862CA5"/>
    <w:rsid w:val="00862D7C"/>
    <w:rsid w:val="00862E72"/>
    <w:rsid w:val="00863029"/>
    <w:rsid w:val="0086314B"/>
    <w:rsid w:val="008632EA"/>
    <w:rsid w:val="008633D4"/>
    <w:rsid w:val="0086361E"/>
    <w:rsid w:val="00863788"/>
    <w:rsid w:val="00863A2F"/>
    <w:rsid w:val="00863B14"/>
    <w:rsid w:val="00863B84"/>
    <w:rsid w:val="00863E94"/>
    <w:rsid w:val="00863F40"/>
    <w:rsid w:val="0086409C"/>
    <w:rsid w:val="00864153"/>
    <w:rsid w:val="008641BA"/>
    <w:rsid w:val="00864211"/>
    <w:rsid w:val="008643A9"/>
    <w:rsid w:val="008643F3"/>
    <w:rsid w:val="0086474F"/>
    <w:rsid w:val="00864A6E"/>
    <w:rsid w:val="00864C30"/>
    <w:rsid w:val="00864CAC"/>
    <w:rsid w:val="00864D55"/>
    <w:rsid w:val="00864DF3"/>
    <w:rsid w:val="00864E19"/>
    <w:rsid w:val="00865178"/>
    <w:rsid w:val="0086519E"/>
    <w:rsid w:val="008651F5"/>
    <w:rsid w:val="00865428"/>
    <w:rsid w:val="008654C5"/>
    <w:rsid w:val="008655A8"/>
    <w:rsid w:val="0086593C"/>
    <w:rsid w:val="00865A2B"/>
    <w:rsid w:val="00865BC7"/>
    <w:rsid w:val="00865BCE"/>
    <w:rsid w:val="00865E2C"/>
    <w:rsid w:val="00865ED4"/>
    <w:rsid w:val="00865F2B"/>
    <w:rsid w:val="00865F4E"/>
    <w:rsid w:val="00865F7B"/>
    <w:rsid w:val="0086608C"/>
    <w:rsid w:val="0086611C"/>
    <w:rsid w:val="00866133"/>
    <w:rsid w:val="00866440"/>
    <w:rsid w:val="00866638"/>
    <w:rsid w:val="0086676E"/>
    <w:rsid w:val="00866B32"/>
    <w:rsid w:val="00866CC9"/>
    <w:rsid w:val="00866CD6"/>
    <w:rsid w:val="00866CF0"/>
    <w:rsid w:val="00867155"/>
    <w:rsid w:val="008671C1"/>
    <w:rsid w:val="0086730D"/>
    <w:rsid w:val="00867382"/>
    <w:rsid w:val="008674A1"/>
    <w:rsid w:val="008675EC"/>
    <w:rsid w:val="0086767F"/>
    <w:rsid w:val="00867886"/>
    <w:rsid w:val="00867892"/>
    <w:rsid w:val="008678B9"/>
    <w:rsid w:val="008678D8"/>
    <w:rsid w:val="008679F9"/>
    <w:rsid w:val="00867A35"/>
    <w:rsid w:val="00867AAF"/>
    <w:rsid w:val="00867CC4"/>
    <w:rsid w:val="00867CD1"/>
    <w:rsid w:val="008701D6"/>
    <w:rsid w:val="008702E3"/>
    <w:rsid w:val="0087045F"/>
    <w:rsid w:val="008706B6"/>
    <w:rsid w:val="008708FD"/>
    <w:rsid w:val="00870927"/>
    <w:rsid w:val="00870A0E"/>
    <w:rsid w:val="00870A62"/>
    <w:rsid w:val="00870B9A"/>
    <w:rsid w:val="00870C37"/>
    <w:rsid w:val="00870EC6"/>
    <w:rsid w:val="00870FA1"/>
    <w:rsid w:val="00870FF8"/>
    <w:rsid w:val="008710D2"/>
    <w:rsid w:val="00871141"/>
    <w:rsid w:val="00871269"/>
    <w:rsid w:val="0087131C"/>
    <w:rsid w:val="0087143D"/>
    <w:rsid w:val="00871680"/>
    <w:rsid w:val="0087169F"/>
    <w:rsid w:val="0087172F"/>
    <w:rsid w:val="00871807"/>
    <w:rsid w:val="00871959"/>
    <w:rsid w:val="008719FC"/>
    <w:rsid w:val="00871B36"/>
    <w:rsid w:val="00871CFE"/>
    <w:rsid w:val="00871ED9"/>
    <w:rsid w:val="00872133"/>
    <w:rsid w:val="00872428"/>
    <w:rsid w:val="0087273F"/>
    <w:rsid w:val="0087276C"/>
    <w:rsid w:val="008728A8"/>
    <w:rsid w:val="008729D5"/>
    <w:rsid w:val="00872A20"/>
    <w:rsid w:val="00872B75"/>
    <w:rsid w:val="00872B9D"/>
    <w:rsid w:val="00872BC8"/>
    <w:rsid w:val="00872CDB"/>
    <w:rsid w:val="00872E93"/>
    <w:rsid w:val="00872EDF"/>
    <w:rsid w:val="00872F47"/>
    <w:rsid w:val="008730DD"/>
    <w:rsid w:val="00873249"/>
    <w:rsid w:val="008732DE"/>
    <w:rsid w:val="0087333E"/>
    <w:rsid w:val="00873449"/>
    <w:rsid w:val="00873465"/>
    <w:rsid w:val="0087351A"/>
    <w:rsid w:val="0087354E"/>
    <w:rsid w:val="008735F1"/>
    <w:rsid w:val="00873622"/>
    <w:rsid w:val="00873870"/>
    <w:rsid w:val="008738AE"/>
    <w:rsid w:val="00873A4F"/>
    <w:rsid w:val="00873D59"/>
    <w:rsid w:val="008740D1"/>
    <w:rsid w:val="00874201"/>
    <w:rsid w:val="00874218"/>
    <w:rsid w:val="0087427B"/>
    <w:rsid w:val="0087429D"/>
    <w:rsid w:val="008743E3"/>
    <w:rsid w:val="008747EF"/>
    <w:rsid w:val="008748EA"/>
    <w:rsid w:val="00874D79"/>
    <w:rsid w:val="00874EEB"/>
    <w:rsid w:val="00875031"/>
    <w:rsid w:val="008750F9"/>
    <w:rsid w:val="008751FE"/>
    <w:rsid w:val="008752BA"/>
    <w:rsid w:val="00875308"/>
    <w:rsid w:val="00875383"/>
    <w:rsid w:val="0087540A"/>
    <w:rsid w:val="008754D1"/>
    <w:rsid w:val="008755BA"/>
    <w:rsid w:val="00875651"/>
    <w:rsid w:val="008757B2"/>
    <w:rsid w:val="008758F6"/>
    <w:rsid w:val="0087590F"/>
    <w:rsid w:val="00875959"/>
    <w:rsid w:val="00875B47"/>
    <w:rsid w:val="00875B6E"/>
    <w:rsid w:val="00875B9E"/>
    <w:rsid w:val="00875BC2"/>
    <w:rsid w:val="00875CA1"/>
    <w:rsid w:val="0087601B"/>
    <w:rsid w:val="00876040"/>
    <w:rsid w:val="008761A3"/>
    <w:rsid w:val="008761AB"/>
    <w:rsid w:val="00876210"/>
    <w:rsid w:val="008762A6"/>
    <w:rsid w:val="0087640E"/>
    <w:rsid w:val="008764ED"/>
    <w:rsid w:val="0087661D"/>
    <w:rsid w:val="008767F8"/>
    <w:rsid w:val="0087683C"/>
    <w:rsid w:val="00876892"/>
    <w:rsid w:val="00876916"/>
    <w:rsid w:val="008769B8"/>
    <w:rsid w:val="008769FA"/>
    <w:rsid w:val="00876BDB"/>
    <w:rsid w:val="00876C39"/>
    <w:rsid w:val="00876CFB"/>
    <w:rsid w:val="00876D86"/>
    <w:rsid w:val="00876EF8"/>
    <w:rsid w:val="00876F70"/>
    <w:rsid w:val="00876F93"/>
    <w:rsid w:val="00877155"/>
    <w:rsid w:val="008773DE"/>
    <w:rsid w:val="0087759B"/>
    <w:rsid w:val="008775CF"/>
    <w:rsid w:val="008775F0"/>
    <w:rsid w:val="00877674"/>
    <w:rsid w:val="008776E0"/>
    <w:rsid w:val="00877820"/>
    <w:rsid w:val="00877A4E"/>
    <w:rsid w:val="00877B8F"/>
    <w:rsid w:val="00877FC8"/>
    <w:rsid w:val="008801F5"/>
    <w:rsid w:val="008803D5"/>
    <w:rsid w:val="008804AD"/>
    <w:rsid w:val="008806C2"/>
    <w:rsid w:val="008806D5"/>
    <w:rsid w:val="008807D0"/>
    <w:rsid w:val="00880870"/>
    <w:rsid w:val="008808BC"/>
    <w:rsid w:val="008809A0"/>
    <w:rsid w:val="00880A46"/>
    <w:rsid w:val="00880D25"/>
    <w:rsid w:val="00880D29"/>
    <w:rsid w:val="00880D3C"/>
    <w:rsid w:val="00880DBC"/>
    <w:rsid w:val="00880E86"/>
    <w:rsid w:val="00880EC8"/>
    <w:rsid w:val="00880F65"/>
    <w:rsid w:val="00880F85"/>
    <w:rsid w:val="008811D0"/>
    <w:rsid w:val="008811F3"/>
    <w:rsid w:val="00881256"/>
    <w:rsid w:val="0088137D"/>
    <w:rsid w:val="008813ED"/>
    <w:rsid w:val="008815DD"/>
    <w:rsid w:val="00881799"/>
    <w:rsid w:val="008817FF"/>
    <w:rsid w:val="008819D4"/>
    <w:rsid w:val="008819E1"/>
    <w:rsid w:val="00881A22"/>
    <w:rsid w:val="00881A28"/>
    <w:rsid w:val="00881E48"/>
    <w:rsid w:val="00882350"/>
    <w:rsid w:val="008825A0"/>
    <w:rsid w:val="008825F8"/>
    <w:rsid w:val="0088272C"/>
    <w:rsid w:val="0088273A"/>
    <w:rsid w:val="00882888"/>
    <w:rsid w:val="008828BF"/>
    <w:rsid w:val="008829B0"/>
    <w:rsid w:val="00882B21"/>
    <w:rsid w:val="00882DBE"/>
    <w:rsid w:val="00882E6E"/>
    <w:rsid w:val="00882ED4"/>
    <w:rsid w:val="00883119"/>
    <w:rsid w:val="00883144"/>
    <w:rsid w:val="008837AF"/>
    <w:rsid w:val="0088383F"/>
    <w:rsid w:val="008839EF"/>
    <w:rsid w:val="00883B64"/>
    <w:rsid w:val="00883C4B"/>
    <w:rsid w:val="00883D47"/>
    <w:rsid w:val="00883DC8"/>
    <w:rsid w:val="00883F1C"/>
    <w:rsid w:val="00883FCD"/>
    <w:rsid w:val="00883FD9"/>
    <w:rsid w:val="00884025"/>
    <w:rsid w:val="00884150"/>
    <w:rsid w:val="00884197"/>
    <w:rsid w:val="008843C8"/>
    <w:rsid w:val="00884401"/>
    <w:rsid w:val="008845C2"/>
    <w:rsid w:val="00884761"/>
    <w:rsid w:val="0088477C"/>
    <w:rsid w:val="008847A9"/>
    <w:rsid w:val="0088499B"/>
    <w:rsid w:val="00884A1E"/>
    <w:rsid w:val="00884A27"/>
    <w:rsid w:val="00884AB4"/>
    <w:rsid w:val="00884B76"/>
    <w:rsid w:val="00884BFB"/>
    <w:rsid w:val="00884C3E"/>
    <w:rsid w:val="00884CC9"/>
    <w:rsid w:val="00884ECF"/>
    <w:rsid w:val="00884F41"/>
    <w:rsid w:val="00885159"/>
    <w:rsid w:val="0088515B"/>
    <w:rsid w:val="008851DE"/>
    <w:rsid w:val="008852B0"/>
    <w:rsid w:val="00885329"/>
    <w:rsid w:val="008853CD"/>
    <w:rsid w:val="00885400"/>
    <w:rsid w:val="00885447"/>
    <w:rsid w:val="00885463"/>
    <w:rsid w:val="0088549C"/>
    <w:rsid w:val="008855B9"/>
    <w:rsid w:val="008855CD"/>
    <w:rsid w:val="0088563F"/>
    <w:rsid w:val="0088566A"/>
    <w:rsid w:val="008857BD"/>
    <w:rsid w:val="008858F0"/>
    <w:rsid w:val="00885B36"/>
    <w:rsid w:val="00885B3C"/>
    <w:rsid w:val="00885C32"/>
    <w:rsid w:val="00885C53"/>
    <w:rsid w:val="00885D2F"/>
    <w:rsid w:val="00885D76"/>
    <w:rsid w:val="00885DB7"/>
    <w:rsid w:val="00885E12"/>
    <w:rsid w:val="00885EF3"/>
    <w:rsid w:val="0088613A"/>
    <w:rsid w:val="00886165"/>
    <w:rsid w:val="00886244"/>
    <w:rsid w:val="008864C4"/>
    <w:rsid w:val="0088683C"/>
    <w:rsid w:val="00886865"/>
    <w:rsid w:val="0088690C"/>
    <w:rsid w:val="00886ACF"/>
    <w:rsid w:val="00886CE9"/>
    <w:rsid w:val="00886D22"/>
    <w:rsid w:val="00886D73"/>
    <w:rsid w:val="00886E09"/>
    <w:rsid w:val="00886EDB"/>
    <w:rsid w:val="00886FAD"/>
    <w:rsid w:val="00887054"/>
    <w:rsid w:val="0088708B"/>
    <w:rsid w:val="008870BE"/>
    <w:rsid w:val="008871B9"/>
    <w:rsid w:val="00887418"/>
    <w:rsid w:val="0088741C"/>
    <w:rsid w:val="00887438"/>
    <w:rsid w:val="00887605"/>
    <w:rsid w:val="00887721"/>
    <w:rsid w:val="00887871"/>
    <w:rsid w:val="00887A29"/>
    <w:rsid w:val="00887AB3"/>
    <w:rsid w:val="00887BE3"/>
    <w:rsid w:val="00887C00"/>
    <w:rsid w:val="00887D5E"/>
    <w:rsid w:val="00890165"/>
    <w:rsid w:val="00890216"/>
    <w:rsid w:val="00890249"/>
    <w:rsid w:val="008902DB"/>
    <w:rsid w:val="008902F8"/>
    <w:rsid w:val="008902FB"/>
    <w:rsid w:val="008903E2"/>
    <w:rsid w:val="008907CA"/>
    <w:rsid w:val="0089099E"/>
    <w:rsid w:val="00890A38"/>
    <w:rsid w:val="00890BE1"/>
    <w:rsid w:val="00890BE9"/>
    <w:rsid w:val="00890C93"/>
    <w:rsid w:val="00890D35"/>
    <w:rsid w:val="00890DAE"/>
    <w:rsid w:val="00890E00"/>
    <w:rsid w:val="00890FEE"/>
    <w:rsid w:val="00891046"/>
    <w:rsid w:val="008910EB"/>
    <w:rsid w:val="00891132"/>
    <w:rsid w:val="008911AD"/>
    <w:rsid w:val="0089125D"/>
    <w:rsid w:val="00891299"/>
    <w:rsid w:val="008913D1"/>
    <w:rsid w:val="00891534"/>
    <w:rsid w:val="008915DC"/>
    <w:rsid w:val="008915E3"/>
    <w:rsid w:val="008916E9"/>
    <w:rsid w:val="00891756"/>
    <w:rsid w:val="0089183A"/>
    <w:rsid w:val="008918AE"/>
    <w:rsid w:val="008918B4"/>
    <w:rsid w:val="00891AEA"/>
    <w:rsid w:val="00891B25"/>
    <w:rsid w:val="00891EA4"/>
    <w:rsid w:val="00891FA7"/>
    <w:rsid w:val="0089217F"/>
    <w:rsid w:val="008921A4"/>
    <w:rsid w:val="00892325"/>
    <w:rsid w:val="00892463"/>
    <w:rsid w:val="008924E0"/>
    <w:rsid w:val="00892685"/>
    <w:rsid w:val="008926E2"/>
    <w:rsid w:val="0089273D"/>
    <w:rsid w:val="00892910"/>
    <w:rsid w:val="00892916"/>
    <w:rsid w:val="00892AB9"/>
    <w:rsid w:val="00892BDD"/>
    <w:rsid w:val="00892BF9"/>
    <w:rsid w:val="00892C65"/>
    <w:rsid w:val="00892D05"/>
    <w:rsid w:val="00892DC5"/>
    <w:rsid w:val="00892EA7"/>
    <w:rsid w:val="00892EBB"/>
    <w:rsid w:val="00892F00"/>
    <w:rsid w:val="00892FAD"/>
    <w:rsid w:val="008933C0"/>
    <w:rsid w:val="0089349C"/>
    <w:rsid w:val="0089371B"/>
    <w:rsid w:val="008937B6"/>
    <w:rsid w:val="00893845"/>
    <w:rsid w:val="0089397D"/>
    <w:rsid w:val="008939E5"/>
    <w:rsid w:val="00893A46"/>
    <w:rsid w:val="00893AF0"/>
    <w:rsid w:val="00893B34"/>
    <w:rsid w:val="00893B9A"/>
    <w:rsid w:val="00893CB5"/>
    <w:rsid w:val="00893D93"/>
    <w:rsid w:val="00893E2A"/>
    <w:rsid w:val="00893E35"/>
    <w:rsid w:val="00893EC5"/>
    <w:rsid w:val="00893EDD"/>
    <w:rsid w:val="00893F60"/>
    <w:rsid w:val="00894008"/>
    <w:rsid w:val="0089404F"/>
    <w:rsid w:val="00894126"/>
    <w:rsid w:val="00894157"/>
    <w:rsid w:val="00894298"/>
    <w:rsid w:val="008943C2"/>
    <w:rsid w:val="008945A5"/>
    <w:rsid w:val="00894673"/>
    <w:rsid w:val="008948B2"/>
    <w:rsid w:val="00894989"/>
    <w:rsid w:val="0089499A"/>
    <w:rsid w:val="00894B16"/>
    <w:rsid w:val="00894C7A"/>
    <w:rsid w:val="00894CFE"/>
    <w:rsid w:val="00894D11"/>
    <w:rsid w:val="00894E46"/>
    <w:rsid w:val="008952FA"/>
    <w:rsid w:val="00895541"/>
    <w:rsid w:val="008955B2"/>
    <w:rsid w:val="00895612"/>
    <w:rsid w:val="00895697"/>
    <w:rsid w:val="008956BA"/>
    <w:rsid w:val="008959B3"/>
    <w:rsid w:val="008959FD"/>
    <w:rsid w:val="00895AF5"/>
    <w:rsid w:val="00895B33"/>
    <w:rsid w:val="00895BC7"/>
    <w:rsid w:val="00895F57"/>
    <w:rsid w:val="0089605D"/>
    <w:rsid w:val="008961B5"/>
    <w:rsid w:val="00896313"/>
    <w:rsid w:val="0089640C"/>
    <w:rsid w:val="00896501"/>
    <w:rsid w:val="00896802"/>
    <w:rsid w:val="00896900"/>
    <w:rsid w:val="008969EC"/>
    <w:rsid w:val="00896ACA"/>
    <w:rsid w:val="00896B5E"/>
    <w:rsid w:val="00896B7F"/>
    <w:rsid w:val="00896C44"/>
    <w:rsid w:val="00896CCD"/>
    <w:rsid w:val="00896D5A"/>
    <w:rsid w:val="00896DFA"/>
    <w:rsid w:val="00897092"/>
    <w:rsid w:val="00897221"/>
    <w:rsid w:val="00897230"/>
    <w:rsid w:val="008973AF"/>
    <w:rsid w:val="00897473"/>
    <w:rsid w:val="008976A1"/>
    <w:rsid w:val="0089784C"/>
    <w:rsid w:val="008979D9"/>
    <w:rsid w:val="00897A0E"/>
    <w:rsid w:val="00897A9E"/>
    <w:rsid w:val="00897C70"/>
    <w:rsid w:val="00897F82"/>
    <w:rsid w:val="008A01FF"/>
    <w:rsid w:val="008A02D6"/>
    <w:rsid w:val="008A0357"/>
    <w:rsid w:val="008A042A"/>
    <w:rsid w:val="008A0656"/>
    <w:rsid w:val="008A06D0"/>
    <w:rsid w:val="008A07D1"/>
    <w:rsid w:val="008A08B3"/>
    <w:rsid w:val="008A0A1E"/>
    <w:rsid w:val="008A0A34"/>
    <w:rsid w:val="008A0B30"/>
    <w:rsid w:val="008A0BE6"/>
    <w:rsid w:val="008A0C52"/>
    <w:rsid w:val="008A0DB3"/>
    <w:rsid w:val="008A0F08"/>
    <w:rsid w:val="008A0F21"/>
    <w:rsid w:val="008A0FF6"/>
    <w:rsid w:val="008A1061"/>
    <w:rsid w:val="008A10B4"/>
    <w:rsid w:val="008A10D9"/>
    <w:rsid w:val="008A1183"/>
    <w:rsid w:val="008A14C5"/>
    <w:rsid w:val="008A1674"/>
    <w:rsid w:val="008A182B"/>
    <w:rsid w:val="008A1886"/>
    <w:rsid w:val="008A18C2"/>
    <w:rsid w:val="008A1901"/>
    <w:rsid w:val="008A1921"/>
    <w:rsid w:val="008A1932"/>
    <w:rsid w:val="008A1C91"/>
    <w:rsid w:val="008A1DFE"/>
    <w:rsid w:val="008A1ECE"/>
    <w:rsid w:val="008A1EE8"/>
    <w:rsid w:val="008A1F53"/>
    <w:rsid w:val="008A208A"/>
    <w:rsid w:val="008A2094"/>
    <w:rsid w:val="008A20A5"/>
    <w:rsid w:val="008A2480"/>
    <w:rsid w:val="008A2775"/>
    <w:rsid w:val="008A27E8"/>
    <w:rsid w:val="008A281A"/>
    <w:rsid w:val="008A2872"/>
    <w:rsid w:val="008A289C"/>
    <w:rsid w:val="008A294C"/>
    <w:rsid w:val="008A29EA"/>
    <w:rsid w:val="008A2B05"/>
    <w:rsid w:val="008A2B3C"/>
    <w:rsid w:val="008A2BC7"/>
    <w:rsid w:val="008A2C15"/>
    <w:rsid w:val="008A2C77"/>
    <w:rsid w:val="008A2CB4"/>
    <w:rsid w:val="008A2DD9"/>
    <w:rsid w:val="008A2F32"/>
    <w:rsid w:val="008A3024"/>
    <w:rsid w:val="008A312B"/>
    <w:rsid w:val="008A3187"/>
    <w:rsid w:val="008A3192"/>
    <w:rsid w:val="008A3200"/>
    <w:rsid w:val="008A3252"/>
    <w:rsid w:val="008A3277"/>
    <w:rsid w:val="008A33F8"/>
    <w:rsid w:val="008A3483"/>
    <w:rsid w:val="008A34B8"/>
    <w:rsid w:val="008A35A6"/>
    <w:rsid w:val="008A35B8"/>
    <w:rsid w:val="008A3796"/>
    <w:rsid w:val="008A3898"/>
    <w:rsid w:val="008A38B3"/>
    <w:rsid w:val="008A3A0F"/>
    <w:rsid w:val="008A3AD8"/>
    <w:rsid w:val="008A3B6E"/>
    <w:rsid w:val="008A3D0C"/>
    <w:rsid w:val="008A3D81"/>
    <w:rsid w:val="008A3DE0"/>
    <w:rsid w:val="008A3F87"/>
    <w:rsid w:val="008A40E7"/>
    <w:rsid w:val="008A428E"/>
    <w:rsid w:val="008A436B"/>
    <w:rsid w:val="008A440D"/>
    <w:rsid w:val="008A459D"/>
    <w:rsid w:val="008A45EA"/>
    <w:rsid w:val="008A46C0"/>
    <w:rsid w:val="008A4712"/>
    <w:rsid w:val="008A484F"/>
    <w:rsid w:val="008A49B2"/>
    <w:rsid w:val="008A4A8A"/>
    <w:rsid w:val="008A4C93"/>
    <w:rsid w:val="008A4E88"/>
    <w:rsid w:val="008A4F72"/>
    <w:rsid w:val="008A5037"/>
    <w:rsid w:val="008A5218"/>
    <w:rsid w:val="008A5265"/>
    <w:rsid w:val="008A5364"/>
    <w:rsid w:val="008A5410"/>
    <w:rsid w:val="008A5699"/>
    <w:rsid w:val="008A5804"/>
    <w:rsid w:val="008A5A13"/>
    <w:rsid w:val="008A5A8C"/>
    <w:rsid w:val="008A5A99"/>
    <w:rsid w:val="008A5B3B"/>
    <w:rsid w:val="008A5CA5"/>
    <w:rsid w:val="008A5DF9"/>
    <w:rsid w:val="008A5E65"/>
    <w:rsid w:val="008A5ED5"/>
    <w:rsid w:val="008A5F2B"/>
    <w:rsid w:val="008A5FF0"/>
    <w:rsid w:val="008A6134"/>
    <w:rsid w:val="008A61B3"/>
    <w:rsid w:val="008A61C3"/>
    <w:rsid w:val="008A6215"/>
    <w:rsid w:val="008A6727"/>
    <w:rsid w:val="008A6AD0"/>
    <w:rsid w:val="008A6AFB"/>
    <w:rsid w:val="008A6B8B"/>
    <w:rsid w:val="008A6B99"/>
    <w:rsid w:val="008A6C48"/>
    <w:rsid w:val="008A6CF6"/>
    <w:rsid w:val="008A6DB3"/>
    <w:rsid w:val="008A70E0"/>
    <w:rsid w:val="008A73AA"/>
    <w:rsid w:val="008A73E3"/>
    <w:rsid w:val="008A7448"/>
    <w:rsid w:val="008A764A"/>
    <w:rsid w:val="008A76CE"/>
    <w:rsid w:val="008A76ED"/>
    <w:rsid w:val="008A77C6"/>
    <w:rsid w:val="008A7827"/>
    <w:rsid w:val="008A7988"/>
    <w:rsid w:val="008A79F1"/>
    <w:rsid w:val="008A7B96"/>
    <w:rsid w:val="008A7BC5"/>
    <w:rsid w:val="008A7C35"/>
    <w:rsid w:val="008A7C7A"/>
    <w:rsid w:val="008B003F"/>
    <w:rsid w:val="008B0097"/>
    <w:rsid w:val="008B00A2"/>
    <w:rsid w:val="008B0119"/>
    <w:rsid w:val="008B0191"/>
    <w:rsid w:val="008B0450"/>
    <w:rsid w:val="008B046F"/>
    <w:rsid w:val="008B060A"/>
    <w:rsid w:val="008B0722"/>
    <w:rsid w:val="008B0789"/>
    <w:rsid w:val="008B07C3"/>
    <w:rsid w:val="008B0CC7"/>
    <w:rsid w:val="008B0D1F"/>
    <w:rsid w:val="008B0DBD"/>
    <w:rsid w:val="008B0E42"/>
    <w:rsid w:val="008B0EF6"/>
    <w:rsid w:val="008B0F15"/>
    <w:rsid w:val="008B0FB6"/>
    <w:rsid w:val="008B1692"/>
    <w:rsid w:val="008B173B"/>
    <w:rsid w:val="008B196D"/>
    <w:rsid w:val="008B1982"/>
    <w:rsid w:val="008B1A16"/>
    <w:rsid w:val="008B1B91"/>
    <w:rsid w:val="008B1D46"/>
    <w:rsid w:val="008B1D54"/>
    <w:rsid w:val="008B1F9A"/>
    <w:rsid w:val="008B209D"/>
    <w:rsid w:val="008B2161"/>
    <w:rsid w:val="008B220E"/>
    <w:rsid w:val="008B2234"/>
    <w:rsid w:val="008B22CD"/>
    <w:rsid w:val="008B24B6"/>
    <w:rsid w:val="008B2512"/>
    <w:rsid w:val="008B2590"/>
    <w:rsid w:val="008B2666"/>
    <w:rsid w:val="008B2718"/>
    <w:rsid w:val="008B27CA"/>
    <w:rsid w:val="008B2887"/>
    <w:rsid w:val="008B29F5"/>
    <w:rsid w:val="008B2BEB"/>
    <w:rsid w:val="008B2C2F"/>
    <w:rsid w:val="008B2E40"/>
    <w:rsid w:val="008B2F0D"/>
    <w:rsid w:val="008B3278"/>
    <w:rsid w:val="008B3425"/>
    <w:rsid w:val="008B35D8"/>
    <w:rsid w:val="008B36FE"/>
    <w:rsid w:val="008B3765"/>
    <w:rsid w:val="008B3830"/>
    <w:rsid w:val="008B3941"/>
    <w:rsid w:val="008B3A2A"/>
    <w:rsid w:val="008B3C9B"/>
    <w:rsid w:val="008B3F01"/>
    <w:rsid w:val="008B3F78"/>
    <w:rsid w:val="008B3F91"/>
    <w:rsid w:val="008B4207"/>
    <w:rsid w:val="008B42AD"/>
    <w:rsid w:val="008B4316"/>
    <w:rsid w:val="008B4371"/>
    <w:rsid w:val="008B438F"/>
    <w:rsid w:val="008B43D3"/>
    <w:rsid w:val="008B4471"/>
    <w:rsid w:val="008B457B"/>
    <w:rsid w:val="008B45C3"/>
    <w:rsid w:val="008B466E"/>
    <w:rsid w:val="008B46A7"/>
    <w:rsid w:val="008B4906"/>
    <w:rsid w:val="008B4986"/>
    <w:rsid w:val="008B4AA5"/>
    <w:rsid w:val="008B4BE0"/>
    <w:rsid w:val="008B4C51"/>
    <w:rsid w:val="008B4D50"/>
    <w:rsid w:val="008B4E7B"/>
    <w:rsid w:val="008B4EEB"/>
    <w:rsid w:val="008B4F2E"/>
    <w:rsid w:val="008B502F"/>
    <w:rsid w:val="008B50C1"/>
    <w:rsid w:val="008B522C"/>
    <w:rsid w:val="008B528E"/>
    <w:rsid w:val="008B5413"/>
    <w:rsid w:val="008B542B"/>
    <w:rsid w:val="008B552D"/>
    <w:rsid w:val="008B55AF"/>
    <w:rsid w:val="008B564F"/>
    <w:rsid w:val="008B5673"/>
    <w:rsid w:val="008B56D1"/>
    <w:rsid w:val="008B5893"/>
    <w:rsid w:val="008B5927"/>
    <w:rsid w:val="008B59C8"/>
    <w:rsid w:val="008B5A32"/>
    <w:rsid w:val="008B5B1A"/>
    <w:rsid w:val="008B5B4D"/>
    <w:rsid w:val="008B5C27"/>
    <w:rsid w:val="008B5C33"/>
    <w:rsid w:val="008B6047"/>
    <w:rsid w:val="008B60ED"/>
    <w:rsid w:val="008B61AB"/>
    <w:rsid w:val="008B61B5"/>
    <w:rsid w:val="008B624F"/>
    <w:rsid w:val="008B63A5"/>
    <w:rsid w:val="008B63D1"/>
    <w:rsid w:val="008B6483"/>
    <w:rsid w:val="008B66ED"/>
    <w:rsid w:val="008B670E"/>
    <w:rsid w:val="008B6805"/>
    <w:rsid w:val="008B684D"/>
    <w:rsid w:val="008B6898"/>
    <w:rsid w:val="008B68F8"/>
    <w:rsid w:val="008B6955"/>
    <w:rsid w:val="008B6995"/>
    <w:rsid w:val="008B6A53"/>
    <w:rsid w:val="008B6AF2"/>
    <w:rsid w:val="008B6B72"/>
    <w:rsid w:val="008B6BB9"/>
    <w:rsid w:val="008B6CB7"/>
    <w:rsid w:val="008B6D8B"/>
    <w:rsid w:val="008B6DDD"/>
    <w:rsid w:val="008B70E0"/>
    <w:rsid w:val="008B7462"/>
    <w:rsid w:val="008B7605"/>
    <w:rsid w:val="008B7682"/>
    <w:rsid w:val="008B7A41"/>
    <w:rsid w:val="008B7C00"/>
    <w:rsid w:val="008C00AA"/>
    <w:rsid w:val="008C01CC"/>
    <w:rsid w:val="008C0240"/>
    <w:rsid w:val="008C0246"/>
    <w:rsid w:val="008C0330"/>
    <w:rsid w:val="008C045B"/>
    <w:rsid w:val="008C04D8"/>
    <w:rsid w:val="008C05BD"/>
    <w:rsid w:val="008C08B4"/>
    <w:rsid w:val="008C08B6"/>
    <w:rsid w:val="008C08B8"/>
    <w:rsid w:val="008C0ABA"/>
    <w:rsid w:val="008C0B34"/>
    <w:rsid w:val="008C0B99"/>
    <w:rsid w:val="008C0CEF"/>
    <w:rsid w:val="008C0D98"/>
    <w:rsid w:val="008C0DD3"/>
    <w:rsid w:val="008C0E10"/>
    <w:rsid w:val="008C0EF1"/>
    <w:rsid w:val="008C0EF6"/>
    <w:rsid w:val="008C103E"/>
    <w:rsid w:val="008C1146"/>
    <w:rsid w:val="008C11DA"/>
    <w:rsid w:val="008C137A"/>
    <w:rsid w:val="008C14A8"/>
    <w:rsid w:val="008C14BA"/>
    <w:rsid w:val="008C152A"/>
    <w:rsid w:val="008C1575"/>
    <w:rsid w:val="008C15AE"/>
    <w:rsid w:val="008C18AB"/>
    <w:rsid w:val="008C197E"/>
    <w:rsid w:val="008C1B51"/>
    <w:rsid w:val="008C1CFF"/>
    <w:rsid w:val="008C1D20"/>
    <w:rsid w:val="008C1DBE"/>
    <w:rsid w:val="008C1DCF"/>
    <w:rsid w:val="008C1E0B"/>
    <w:rsid w:val="008C2111"/>
    <w:rsid w:val="008C226D"/>
    <w:rsid w:val="008C22E7"/>
    <w:rsid w:val="008C239B"/>
    <w:rsid w:val="008C25BD"/>
    <w:rsid w:val="008C270B"/>
    <w:rsid w:val="008C276B"/>
    <w:rsid w:val="008C2944"/>
    <w:rsid w:val="008C2957"/>
    <w:rsid w:val="008C29A1"/>
    <w:rsid w:val="008C2A25"/>
    <w:rsid w:val="008C2A41"/>
    <w:rsid w:val="008C2A43"/>
    <w:rsid w:val="008C2B21"/>
    <w:rsid w:val="008C2B58"/>
    <w:rsid w:val="008C2C31"/>
    <w:rsid w:val="008C2CE7"/>
    <w:rsid w:val="008C2FFA"/>
    <w:rsid w:val="008C3125"/>
    <w:rsid w:val="008C312C"/>
    <w:rsid w:val="008C3218"/>
    <w:rsid w:val="008C322F"/>
    <w:rsid w:val="008C33FC"/>
    <w:rsid w:val="008C34DB"/>
    <w:rsid w:val="008C3848"/>
    <w:rsid w:val="008C39A8"/>
    <w:rsid w:val="008C39EA"/>
    <w:rsid w:val="008C3A51"/>
    <w:rsid w:val="008C3A8B"/>
    <w:rsid w:val="008C3B80"/>
    <w:rsid w:val="008C3E23"/>
    <w:rsid w:val="008C3EFF"/>
    <w:rsid w:val="008C3F4D"/>
    <w:rsid w:val="008C3F9E"/>
    <w:rsid w:val="008C40C6"/>
    <w:rsid w:val="008C40FB"/>
    <w:rsid w:val="008C42CD"/>
    <w:rsid w:val="008C4362"/>
    <w:rsid w:val="008C43AA"/>
    <w:rsid w:val="008C43F2"/>
    <w:rsid w:val="008C441F"/>
    <w:rsid w:val="008C4430"/>
    <w:rsid w:val="008C4668"/>
    <w:rsid w:val="008C4724"/>
    <w:rsid w:val="008C47B6"/>
    <w:rsid w:val="008C49AA"/>
    <w:rsid w:val="008C4B13"/>
    <w:rsid w:val="008C4B18"/>
    <w:rsid w:val="008C4DEF"/>
    <w:rsid w:val="008C4DFD"/>
    <w:rsid w:val="008C4E5C"/>
    <w:rsid w:val="008C4F7F"/>
    <w:rsid w:val="008C5228"/>
    <w:rsid w:val="008C528B"/>
    <w:rsid w:val="008C5326"/>
    <w:rsid w:val="008C552F"/>
    <w:rsid w:val="008C561C"/>
    <w:rsid w:val="008C563E"/>
    <w:rsid w:val="008C5768"/>
    <w:rsid w:val="008C57EF"/>
    <w:rsid w:val="008C5838"/>
    <w:rsid w:val="008C59B4"/>
    <w:rsid w:val="008C5A3C"/>
    <w:rsid w:val="008C5B3A"/>
    <w:rsid w:val="008C5B9B"/>
    <w:rsid w:val="008C5D35"/>
    <w:rsid w:val="008C5F0D"/>
    <w:rsid w:val="008C5F7B"/>
    <w:rsid w:val="008C602E"/>
    <w:rsid w:val="008C608E"/>
    <w:rsid w:val="008C6096"/>
    <w:rsid w:val="008C60CE"/>
    <w:rsid w:val="008C62DA"/>
    <w:rsid w:val="008C63B2"/>
    <w:rsid w:val="008C63CC"/>
    <w:rsid w:val="008C6486"/>
    <w:rsid w:val="008C65BA"/>
    <w:rsid w:val="008C67D5"/>
    <w:rsid w:val="008C687F"/>
    <w:rsid w:val="008C6998"/>
    <w:rsid w:val="008C6A01"/>
    <w:rsid w:val="008C6BA9"/>
    <w:rsid w:val="008C6C2B"/>
    <w:rsid w:val="008C6CC9"/>
    <w:rsid w:val="008C6D88"/>
    <w:rsid w:val="008C6EB8"/>
    <w:rsid w:val="008C6FBC"/>
    <w:rsid w:val="008C70D7"/>
    <w:rsid w:val="008C7291"/>
    <w:rsid w:val="008C72C8"/>
    <w:rsid w:val="008C72F8"/>
    <w:rsid w:val="008C735C"/>
    <w:rsid w:val="008C757C"/>
    <w:rsid w:val="008C7780"/>
    <w:rsid w:val="008C78B6"/>
    <w:rsid w:val="008C7A8A"/>
    <w:rsid w:val="008C7AD2"/>
    <w:rsid w:val="008C7B83"/>
    <w:rsid w:val="008C7B8A"/>
    <w:rsid w:val="008C7BDA"/>
    <w:rsid w:val="008C7C26"/>
    <w:rsid w:val="008C7C39"/>
    <w:rsid w:val="008D00B6"/>
    <w:rsid w:val="008D017C"/>
    <w:rsid w:val="008D024D"/>
    <w:rsid w:val="008D0258"/>
    <w:rsid w:val="008D04A4"/>
    <w:rsid w:val="008D055A"/>
    <w:rsid w:val="008D05A2"/>
    <w:rsid w:val="008D0850"/>
    <w:rsid w:val="008D08A4"/>
    <w:rsid w:val="008D0A17"/>
    <w:rsid w:val="008D0A3C"/>
    <w:rsid w:val="008D0AC0"/>
    <w:rsid w:val="008D0B59"/>
    <w:rsid w:val="008D0C24"/>
    <w:rsid w:val="008D0C91"/>
    <w:rsid w:val="008D0CE0"/>
    <w:rsid w:val="008D0F4E"/>
    <w:rsid w:val="008D1058"/>
    <w:rsid w:val="008D130B"/>
    <w:rsid w:val="008D144A"/>
    <w:rsid w:val="008D15B1"/>
    <w:rsid w:val="008D1605"/>
    <w:rsid w:val="008D18D6"/>
    <w:rsid w:val="008D1952"/>
    <w:rsid w:val="008D1A10"/>
    <w:rsid w:val="008D1AA9"/>
    <w:rsid w:val="008D1AD2"/>
    <w:rsid w:val="008D1B15"/>
    <w:rsid w:val="008D1CA6"/>
    <w:rsid w:val="008D1D4C"/>
    <w:rsid w:val="008D1D88"/>
    <w:rsid w:val="008D1F1F"/>
    <w:rsid w:val="008D1F26"/>
    <w:rsid w:val="008D1F60"/>
    <w:rsid w:val="008D1F74"/>
    <w:rsid w:val="008D21AC"/>
    <w:rsid w:val="008D21E0"/>
    <w:rsid w:val="008D2217"/>
    <w:rsid w:val="008D22D1"/>
    <w:rsid w:val="008D2475"/>
    <w:rsid w:val="008D24ED"/>
    <w:rsid w:val="008D2620"/>
    <w:rsid w:val="008D2626"/>
    <w:rsid w:val="008D2787"/>
    <w:rsid w:val="008D27D3"/>
    <w:rsid w:val="008D27DC"/>
    <w:rsid w:val="008D2831"/>
    <w:rsid w:val="008D2868"/>
    <w:rsid w:val="008D2962"/>
    <w:rsid w:val="008D2A1B"/>
    <w:rsid w:val="008D2DF2"/>
    <w:rsid w:val="008D2E7D"/>
    <w:rsid w:val="008D2E92"/>
    <w:rsid w:val="008D2ECF"/>
    <w:rsid w:val="008D2F51"/>
    <w:rsid w:val="008D30B6"/>
    <w:rsid w:val="008D315F"/>
    <w:rsid w:val="008D320E"/>
    <w:rsid w:val="008D331F"/>
    <w:rsid w:val="008D3479"/>
    <w:rsid w:val="008D34E2"/>
    <w:rsid w:val="008D3752"/>
    <w:rsid w:val="008D38CD"/>
    <w:rsid w:val="008D3BBA"/>
    <w:rsid w:val="008D3BD3"/>
    <w:rsid w:val="008D3CB5"/>
    <w:rsid w:val="008D3D5C"/>
    <w:rsid w:val="008D3D89"/>
    <w:rsid w:val="008D4257"/>
    <w:rsid w:val="008D4445"/>
    <w:rsid w:val="008D449B"/>
    <w:rsid w:val="008D44D2"/>
    <w:rsid w:val="008D4531"/>
    <w:rsid w:val="008D45C8"/>
    <w:rsid w:val="008D45F6"/>
    <w:rsid w:val="008D474F"/>
    <w:rsid w:val="008D47E3"/>
    <w:rsid w:val="008D482E"/>
    <w:rsid w:val="008D4D07"/>
    <w:rsid w:val="008D4D45"/>
    <w:rsid w:val="008D4EFC"/>
    <w:rsid w:val="008D4F67"/>
    <w:rsid w:val="008D500F"/>
    <w:rsid w:val="008D5056"/>
    <w:rsid w:val="008D51F0"/>
    <w:rsid w:val="008D52DF"/>
    <w:rsid w:val="008D5304"/>
    <w:rsid w:val="008D594C"/>
    <w:rsid w:val="008D599A"/>
    <w:rsid w:val="008D5A4E"/>
    <w:rsid w:val="008D5A9A"/>
    <w:rsid w:val="008D5CC6"/>
    <w:rsid w:val="008D5FD3"/>
    <w:rsid w:val="008D603D"/>
    <w:rsid w:val="008D60B9"/>
    <w:rsid w:val="008D6145"/>
    <w:rsid w:val="008D6157"/>
    <w:rsid w:val="008D63A1"/>
    <w:rsid w:val="008D6445"/>
    <w:rsid w:val="008D646B"/>
    <w:rsid w:val="008D65EC"/>
    <w:rsid w:val="008D66CA"/>
    <w:rsid w:val="008D67EC"/>
    <w:rsid w:val="008D67F5"/>
    <w:rsid w:val="008D67FD"/>
    <w:rsid w:val="008D6888"/>
    <w:rsid w:val="008D690A"/>
    <w:rsid w:val="008D691C"/>
    <w:rsid w:val="008D6937"/>
    <w:rsid w:val="008D6958"/>
    <w:rsid w:val="008D69D1"/>
    <w:rsid w:val="008D6B89"/>
    <w:rsid w:val="008D6C7C"/>
    <w:rsid w:val="008D6C84"/>
    <w:rsid w:val="008D6CB5"/>
    <w:rsid w:val="008D6D35"/>
    <w:rsid w:val="008D720B"/>
    <w:rsid w:val="008D7327"/>
    <w:rsid w:val="008D7662"/>
    <w:rsid w:val="008D76BC"/>
    <w:rsid w:val="008D7768"/>
    <w:rsid w:val="008D77EE"/>
    <w:rsid w:val="008D78E2"/>
    <w:rsid w:val="008D7C58"/>
    <w:rsid w:val="008D7CA6"/>
    <w:rsid w:val="008D7D62"/>
    <w:rsid w:val="008E0189"/>
    <w:rsid w:val="008E0241"/>
    <w:rsid w:val="008E031E"/>
    <w:rsid w:val="008E04C4"/>
    <w:rsid w:val="008E04EC"/>
    <w:rsid w:val="008E060E"/>
    <w:rsid w:val="008E0657"/>
    <w:rsid w:val="008E06D7"/>
    <w:rsid w:val="008E0A41"/>
    <w:rsid w:val="008E0A95"/>
    <w:rsid w:val="008E0CDF"/>
    <w:rsid w:val="008E0E67"/>
    <w:rsid w:val="008E0FC5"/>
    <w:rsid w:val="008E121D"/>
    <w:rsid w:val="008E12C5"/>
    <w:rsid w:val="008E131C"/>
    <w:rsid w:val="008E13DC"/>
    <w:rsid w:val="008E147F"/>
    <w:rsid w:val="008E1651"/>
    <w:rsid w:val="008E1670"/>
    <w:rsid w:val="008E1693"/>
    <w:rsid w:val="008E193F"/>
    <w:rsid w:val="008E1995"/>
    <w:rsid w:val="008E19C4"/>
    <w:rsid w:val="008E1A79"/>
    <w:rsid w:val="008E1B13"/>
    <w:rsid w:val="008E1B40"/>
    <w:rsid w:val="008E1C97"/>
    <w:rsid w:val="008E1D79"/>
    <w:rsid w:val="008E1F37"/>
    <w:rsid w:val="008E1FF6"/>
    <w:rsid w:val="008E2030"/>
    <w:rsid w:val="008E2270"/>
    <w:rsid w:val="008E2283"/>
    <w:rsid w:val="008E22FF"/>
    <w:rsid w:val="008E26CC"/>
    <w:rsid w:val="008E27C5"/>
    <w:rsid w:val="008E28C4"/>
    <w:rsid w:val="008E2A7E"/>
    <w:rsid w:val="008E2A97"/>
    <w:rsid w:val="008E2CB4"/>
    <w:rsid w:val="008E30DB"/>
    <w:rsid w:val="008E31E2"/>
    <w:rsid w:val="008E344E"/>
    <w:rsid w:val="008E3462"/>
    <w:rsid w:val="008E3478"/>
    <w:rsid w:val="008E34D3"/>
    <w:rsid w:val="008E361B"/>
    <w:rsid w:val="008E3687"/>
    <w:rsid w:val="008E389E"/>
    <w:rsid w:val="008E3A1D"/>
    <w:rsid w:val="008E3A2F"/>
    <w:rsid w:val="008E3B07"/>
    <w:rsid w:val="008E3C37"/>
    <w:rsid w:val="008E3CAE"/>
    <w:rsid w:val="008E3CE8"/>
    <w:rsid w:val="008E3E11"/>
    <w:rsid w:val="008E3EA3"/>
    <w:rsid w:val="008E4049"/>
    <w:rsid w:val="008E40A3"/>
    <w:rsid w:val="008E4148"/>
    <w:rsid w:val="008E418A"/>
    <w:rsid w:val="008E42BD"/>
    <w:rsid w:val="008E42F2"/>
    <w:rsid w:val="008E4385"/>
    <w:rsid w:val="008E45E9"/>
    <w:rsid w:val="008E4AB9"/>
    <w:rsid w:val="008E4B87"/>
    <w:rsid w:val="008E4CBA"/>
    <w:rsid w:val="008E4E9F"/>
    <w:rsid w:val="008E505F"/>
    <w:rsid w:val="008E555D"/>
    <w:rsid w:val="008E5737"/>
    <w:rsid w:val="008E5835"/>
    <w:rsid w:val="008E599F"/>
    <w:rsid w:val="008E5B56"/>
    <w:rsid w:val="008E5BFA"/>
    <w:rsid w:val="008E5DD5"/>
    <w:rsid w:val="008E5DFA"/>
    <w:rsid w:val="008E6130"/>
    <w:rsid w:val="008E6217"/>
    <w:rsid w:val="008E62E9"/>
    <w:rsid w:val="008E62F4"/>
    <w:rsid w:val="008E657B"/>
    <w:rsid w:val="008E66BB"/>
    <w:rsid w:val="008E67FD"/>
    <w:rsid w:val="008E68B3"/>
    <w:rsid w:val="008E6A79"/>
    <w:rsid w:val="008E6BCC"/>
    <w:rsid w:val="008E6C1E"/>
    <w:rsid w:val="008E6D8B"/>
    <w:rsid w:val="008E6DBC"/>
    <w:rsid w:val="008E6E6A"/>
    <w:rsid w:val="008E7004"/>
    <w:rsid w:val="008E70C7"/>
    <w:rsid w:val="008E70DC"/>
    <w:rsid w:val="008E7105"/>
    <w:rsid w:val="008E7182"/>
    <w:rsid w:val="008E725D"/>
    <w:rsid w:val="008E72D3"/>
    <w:rsid w:val="008E73E7"/>
    <w:rsid w:val="008E7418"/>
    <w:rsid w:val="008E763C"/>
    <w:rsid w:val="008E76BE"/>
    <w:rsid w:val="008E7726"/>
    <w:rsid w:val="008E7798"/>
    <w:rsid w:val="008E7950"/>
    <w:rsid w:val="008E79E3"/>
    <w:rsid w:val="008E7B19"/>
    <w:rsid w:val="008E7BBA"/>
    <w:rsid w:val="008E7C1D"/>
    <w:rsid w:val="008E7F74"/>
    <w:rsid w:val="008E7F99"/>
    <w:rsid w:val="008E7FB1"/>
    <w:rsid w:val="008F0188"/>
    <w:rsid w:val="008F02CE"/>
    <w:rsid w:val="008F0491"/>
    <w:rsid w:val="008F05C4"/>
    <w:rsid w:val="008F07A8"/>
    <w:rsid w:val="008F0859"/>
    <w:rsid w:val="008F0A00"/>
    <w:rsid w:val="008F0A60"/>
    <w:rsid w:val="008F0AA7"/>
    <w:rsid w:val="008F0B65"/>
    <w:rsid w:val="008F0B6E"/>
    <w:rsid w:val="008F0EC2"/>
    <w:rsid w:val="008F0F6B"/>
    <w:rsid w:val="008F0FCF"/>
    <w:rsid w:val="008F111A"/>
    <w:rsid w:val="008F114A"/>
    <w:rsid w:val="008F1157"/>
    <w:rsid w:val="008F1257"/>
    <w:rsid w:val="008F12E5"/>
    <w:rsid w:val="008F1487"/>
    <w:rsid w:val="008F1685"/>
    <w:rsid w:val="008F1752"/>
    <w:rsid w:val="008F1790"/>
    <w:rsid w:val="008F1976"/>
    <w:rsid w:val="008F198F"/>
    <w:rsid w:val="008F1A6D"/>
    <w:rsid w:val="008F1E6F"/>
    <w:rsid w:val="008F1EFF"/>
    <w:rsid w:val="008F1F08"/>
    <w:rsid w:val="008F2099"/>
    <w:rsid w:val="008F2341"/>
    <w:rsid w:val="008F23A4"/>
    <w:rsid w:val="008F2514"/>
    <w:rsid w:val="008F2601"/>
    <w:rsid w:val="008F2612"/>
    <w:rsid w:val="008F28CD"/>
    <w:rsid w:val="008F28F2"/>
    <w:rsid w:val="008F2AA2"/>
    <w:rsid w:val="008F2B3E"/>
    <w:rsid w:val="008F2EF5"/>
    <w:rsid w:val="008F31D0"/>
    <w:rsid w:val="008F3324"/>
    <w:rsid w:val="008F344D"/>
    <w:rsid w:val="008F34CD"/>
    <w:rsid w:val="008F3578"/>
    <w:rsid w:val="008F36C8"/>
    <w:rsid w:val="008F373A"/>
    <w:rsid w:val="008F39D9"/>
    <w:rsid w:val="008F39E8"/>
    <w:rsid w:val="008F3A8F"/>
    <w:rsid w:val="008F3B50"/>
    <w:rsid w:val="008F3B65"/>
    <w:rsid w:val="008F3D25"/>
    <w:rsid w:val="008F3D65"/>
    <w:rsid w:val="008F3D97"/>
    <w:rsid w:val="008F3DE1"/>
    <w:rsid w:val="008F3EF3"/>
    <w:rsid w:val="008F3F65"/>
    <w:rsid w:val="008F3FB7"/>
    <w:rsid w:val="008F4035"/>
    <w:rsid w:val="008F41D5"/>
    <w:rsid w:val="008F4377"/>
    <w:rsid w:val="008F43D7"/>
    <w:rsid w:val="008F4413"/>
    <w:rsid w:val="008F451F"/>
    <w:rsid w:val="008F4697"/>
    <w:rsid w:val="008F4701"/>
    <w:rsid w:val="008F471D"/>
    <w:rsid w:val="008F4DBA"/>
    <w:rsid w:val="008F4EAB"/>
    <w:rsid w:val="008F5155"/>
    <w:rsid w:val="008F516E"/>
    <w:rsid w:val="008F534F"/>
    <w:rsid w:val="008F5472"/>
    <w:rsid w:val="008F55D5"/>
    <w:rsid w:val="008F5666"/>
    <w:rsid w:val="008F56F6"/>
    <w:rsid w:val="008F58E4"/>
    <w:rsid w:val="008F5947"/>
    <w:rsid w:val="008F59AF"/>
    <w:rsid w:val="008F59D9"/>
    <w:rsid w:val="008F59EF"/>
    <w:rsid w:val="008F5A14"/>
    <w:rsid w:val="008F5C51"/>
    <w:rsid w:val="008F6020"/>
    <w:rsid w:val="008F619B"/>
    <w:rsid w:val="008F621E"/>
    <w:rsid w:val="008F6248"/>
    <w:rsid w:val="008F6303"/>
    <w:rsid w:val="008F63AE"/>
    <w:rsid w:val="008F6404"/>
    <w:rsid w:val="008F6595"/>
    <w:rsid w:val="008F659F"/>
    <w:rsid w:val="008F66D2"/>
    <w:rsid w:val="008F6A7A"/>
    <w:rsid w:val="008F6AA0"/>
    <w:rsid w:val="008F6AB6"/>
    <w:rsid w:val="008F6AD3"/>
    <w:rsid w:val="008F6BFD"/>
    <w:rsid w:val="008F6D01"/>
    <w:rsid w:val="008F6DD4"/>
    <w:rsid w:val="008F6E50"/>
    <w:rsid w:val="008F6FAB"/>
    <w:rsid w:val="008F7050"/>
    <w:rsid w:val="008F7219"/>
    <w:rsid w:val="008F73BC"/>
    <w:rsid w:val="008F745B"/>
    <w:rsid w:val="008F747B"/>
    <w:rsid w:val="008F7577"/>
    <w:rsid w:val="008F759F"/>
    <w:rsid w:val="008F7667"/>
    <w:rsid w:val="008F7763"/>
    <w:rsid w:val="008F77A7"/>
    <w:rsid w:val="008F77DB"/>
    <w:rsid w:val="008F791E"/>
    <w:rsid w:val="008F7A60"/>
    <w:rsid w:val="008F7AA8"/>
    <w:rsid w:val="008F7DDF"/>
    <w:rsid w:val="008F7EBE"/>
    <w:rsid w:val="008F7F14"/>
    <w:rsid w:val="008F7F56"/>
    <w:rsid w:val="008F7F9B"/>
    <w:rsid w:val="00900008"/>
    <w:rsid w:val="00900016"/>
    <w:rsid w:val="00900040"/>
    <w:rsid w:val="00900122"/>
    <w:rsid w:val="0090014A"/>
    <w:rsid w:val="00900408"/>
    <w:rsid w:val="00900647"/>
    <w:rsid w:val="00900928"/>
    <w:rsid w:val="0090095C"/>
    <w:rsid w:val="00900992"/>
    <w:rsid w:val="009009D2"/>
    <w:rsid w:val="00900B39"/>
    <w:rsid w:val="00900DD0"/>
    <w:rsid w:val="00900DF0"/>
    <w:rsid w:val="00900E63"/>
    <w:rsid w:val="00900F96"/>
    <w:rsid w:val="00900FB4"/>
    <w:rsid w:val="00901045"/>
    <w:rsid w:val="009010AB"/>
    <w:rsid w:val="009010D7"/>
    <w:rsid w:val="009011D0"/>
    <w:rsid w:val="0090135C"/>
    <w:rsid w:val="0090136B"/>
    <w:rsid w:val="009013FD"/>
    <w:rsid w:val="00901474"/>
    <w:rsid w:val="009017B7"/>
    <w:rsid w:val="00901893"/>
    <w:rsid w:val="009018E3"/>
    <w:rsid w:val="00901925"/>
    <w:rsid w:val="00901A51"/>
    <w:rsid w:val="00901BC7"/>
    <w:rsid w:val="00901C57"/>
    <w:rsid w:val="00901E8F"/>
    <w:rsid w:val="00901E9A"/>
    <w:rsid w:val="00901FCE"/>
    <w:rsid w:val="009022CD"/>
    <w:rsid w:val="009022F0"/>
    <w:rsid w:val="00902388"/>
    <w:rsid w:val="00902725"/>
    <w:rsid w:val="00902748"/>
    <w:rsid w:val="0090281F"/>
    <w:rsid w:val="00902AD1"/>
    <w:rsid w:val="00902AF1"/>
    <w:rsid w:val="00902C78"/>
    <w:rsid w:val="00903387"/>
    <w:rsid w:val="00903529"/>
    <w:rsid w:val="0090360C"/>
    <w:rsid w:val="00903987"/>
    <w:rsid w:val="00903A5A"/>
    <w:rsid w:val="00903AC2"/>
    <w:rsid w:val="00903B54"/>
    <w:rsid w:val="00903B80"/>
    <w:rsid w:val="00903B9B"/>
    <w:rsid w:val="00903D47"/>
    <w:rsid w:val="00903DB2"/>
    <w:rsid w:val="00903E1A"/>
    <w:rsid w:val="00903EA3"/>
    <w:rsid w:val="00903F3B"/>
    <w:rsid w:val="00903F57"/>
    <w:rsid w:val="00903F5A"/>
    <w:rsid w:val="00904261"/>
    <w:rsid w:val="00904472"/>
    <w:rsid w:val="009045B2"/>
    <w:rsid w:val="009045FC"/>
    <w:rsid w:val="00904722"/>
    <w:rsid w:val="0090479E"/>
    <w:rsid w:val="00904906"/>
    <w:rsid w:val="00904DC5"/>
    <w:rsid w:val="00904ED9"/>
    <w:rsid w:val="00904F77"/>
    <w:rsid w:val="00904F84"/>
    <w:rsid w:val="009051D2"/>
    <w:rsid w:val="00905503"/>
    <w:rsid w:val="0090558C"/>
    <w:rsid w:val="009055F6"/>
    <w:rsid w:val="009056E0"/>
    <w:rsid w:val="009059D3"/>
    <w:rsid w:val="00905D2E"/>
    <w:rsid w:val="00905D7B"/>
    <w:rsid w:val="00905EA4"/>
    <w:rsid w:val="00905EBC"/>
    <w:rsid w:val="00905F41"/>
    <w:rsid w:val="00905FBE"/>
    <w:rsid w:val="00905FDA"/>
    <w:rsid w:val="0090602C"/>
    <w:rsid w:val="0090605D"/>
    <w:rsid w:val="00906141"/>
    <w:rsid w:val="009062AF"/>
    <w:rsid w:val="009062D1"/>
    <w:rsid w:val="0090633F"/>
    <w:rsid w:val="009063A6"/>
    <w:rsid w:val="009063C6"/>
    <w:rsid w:val="00906597"/>
    <w:rsid w:val="009065AA"/>
    <w:rsid w:val="00906629"/>
    <w:rsid w:val="00906654"/>
    <w:rsid w:val="00906782"/>
    <w:rsid w:val="00906802"/>
    <w:rsid w:val="00906C65"/>
    <w:rsid w:val="00906CE5"/>
    <w:rsid w:val="00906DCA"/>
    <w:rsid w:val="00906DF6"/>
    <w:rsid w:val="00906F58"/>
    <w:rsid w:val="00906FD5"/>
    <w:rsid w:val="0090704E"/>
    <w:rsid w:val="00907086"/>
    <w:rsid w:val="009072B1"/>
    <w:rsid w:val="0090732E"/>
    <w:rsid w:val="00907620"/>
    <w:rsid w:val="0090776B"/>
    <w:rsid w:val="009078C1"/>
    <w:rsid w:val="00907ADF"/>
    <w:rsid w:val="00907D7E"/>
    <w:rsid w:val="00907EA6"/>
    <w:rsid w:val="00907ED2"/>
    <w:rsid w:val="0091026E"/>
    <w:rsid w:val="00910452"/>
    <w:rsid w:val="00910498"/>
    <w:rsid w:val="00910507"/>
    <w:rsid w:val="00910693"/>
    <w:rsid w:val="00910785"/>
    <w:rsid w:val="00910863"/>
    <w:rsid w:val="00910A3F"/>
    <w:rsid w:val="00910AD0"/>
    <w:rsid w:val="00910B94"/>
    <w:rsid w:val="00911182"/>
    <w:rsid w:val="00911318"/>
    <w:rsid w:val="0091131B"/>
    <w:rsid w:val="00911353"/>
    <w:rsid w:val="0091157A"/>
    <w:rsid w:val="00911632"/>
    <w:rsid w:val="0091164F"/>
    <w:rsid w:val="0091169A"/>
    <w:rsid w:val="0091175B"/>
    <w:rsid w:val="00911761"/>
    <w:rsid w:val="009119D9"/>
    <w:rsid w:val="00911A60"/>
    <w:rsid w:val="00911B38"/>
    <w:rsid w:val="00911BDE"/>
    <w:rsid w:val="00911C56"/>
    <w:rsid w:val="00911C7D"/>
    <w:rsid w:val="00911CDC"/>
    <w:rsid w:val="00911E6B"/>
    <w:rsid w:val="00911F16"/>
    <w:rsid w:val="00911FCA"/>
    <w:rsid w:val="0091203B"/>
    <w:rsid w:val="0091204E"/>
    <w:rsid w:val="009120F9"/>
    <w:rsid w:val="00912256"/>
    <w:rsid w:val="00912265"/>
    <w:rsid w:val="00912432"/>
    <w:rsid w:val="00912518"/>
    <w:rsid w:val="009126A8"/>
    <w:rsid w:val="009128C4"/>
    <w:rsid w:val="009129A8"/>
    <w:rsid w:val="00912B20"/>
    <w:rsid w:val="00912B44"/>
    <w:rsid w:val="00912B51"/>
    <w:rsid w:val="00912C26"/>
    <w:rsid w:val="00912ECE"/>
    <w:rsid w:val="00912FBC"/>
    <w:rsid w:val="00912FC7"/>
    <w:rsid w:val="00913145"/>
    <w:rsid w:val="009132BC"/>
    <w:rsid w:val="0091360C"/>
    <w:rsid w:val="00913711"/>
    <w:rsid w:val="009138AC"/>
    <w:rsid w:val="009139D6"/>
    <w:rsid w:val="00913A62"/>
    <w:rsid w:val="00913A85"/>
    <w:rsid w:val="00913B7A"/>
    <w:rsid w:val="00913C62"/>
    <w:rsid w:val="00913E06"/>
    <w:rsid w:val="00913E0A"/>
    <w:rsid w:val="00913E51"/>
    <w:rsid w:val="00913F78"/>
    <w:rsid w:val="00913F88"/>
    <w:rsid w:val="0091402E"/>
    <w:rsid w:val="009141E0"/>
    <w:rsid w:val="009142AF"/>
    <w:rsid w:val="009144A4"/>
    <w:rsid w:val="0091463E"/>
    <w:rsid w:val="00914712"/>
    <w:rsid w:val="0091474B"/>
    <w:rsid w:val="0091474F"/>
    <w:rsid w:val="00914979"/>
    <w:rsid w:val="00914A20"/>
    <w:rsid w:val="00914A81"/>
    <w:rsid w:val="00914B1A"/>
    <w:rsid w:val="00914B1E"/>
    <w:rsid w:val="00914D15"/>
    <w:rsid w:val="00914D21"/>
    <w:rsid w:val="00914DED"/>
    <w:rsid w:val="00914E87"/>
    <w:rsid w:val="009150B1"/>
    <w:rsid w:val="009150CC"/>
    <w:rsid w:val="00915273"/>
    <w:rsid w:val="00915299"/>
    <w:rsid w:val="00915367"/>
    <w:rsid w:val="0091545F"/>
    <w:rsid w:val="00915498"/>
    <w:rsid w:val="00915691"/>
    <w:rsid w:val="00915710"/>
    <w:rsid w:val="0091593F"/>
    <w:rsid w:val="0091597A"/>
    <w:rsid w:val="009159EE"/>
    <w:rsid w:val="00915A04"/>
    <w:rsid w:val="00915B0D"/>
    <w:rsid w:val="00915B24"/>
    <w:rsid w:val="00915CBA"/>
    <w:rsid w:val="00915D49"/>
    <w:rsid w:val="00915DA4"/>
    <w:rsid w:val="00915E47"/>
    <w:rsid w:val="00915FC7"/>
    <w:rsid w:val="009160AF"/>
    <w:rsid w:val="00916139"/>
    <w:rsid w:val="0091615C"/>
    <w:rsid w:val="00916164"/>
    <w:rsid w:val="0091618D"/>
    <w:rsid w:val="009161BD"/>
    <w:rsid w:val="00916234"/>
    <w:rsid w:val="009162B9"/>
    <w:rsid w:val="009162C1"/>
    <w:rsid w:val="00916605"/>
    <w:rsid w:val="00916646"/>
    <w:rsid w:val="009166CA"/>
    <w:rsid w:val="00916732"/>
    <w:rsid w:val="009168C7"/>
    <w:rsid w:val="009169E9"/>
    <w:rsid w:val="00916C73"/>
    <w:rsid w:val="00916D3D"/>
    <w:rsid w:val="00916DC3"/>
    <w:rsid w:val="00916F35"/>
    <w:rsid w:val="00917039"/>
    <w:rsid w:val="009170A8"/>
    <w:rsid w:val="009171D1"/>
    <w:rsid w:val="00917286"/>
    <w:rsid w:val="00917299"/>
    <w:rsid w:val="009173D1"/>
    <w:rsid w:val="0091742F"/>
    <w:rsid w:val="0091754B"/>
    <w:rsid w:val="0091772F"/>
    <w:rsid w:val="00917832"/>
    <w:rsid w:val="00917973"/>
    <w:rsid w:val="0091798A"/>
    <w:rsid w:val="00917D04"/>
    <w:rsid w:val="009201E0"/>
    <w:rsid w:val="0092024B"/>
    <w:rsid w:val="009202FE"/>
    <w:rsid w:val="00920496"/>
    <w:rsid w:val="009205B2"/>
    <w:rsid w:val="0092060F"/>
    <w:rsid w:val="009207BF"/>
    <w:rsid w:val="0092081A"/>
    <w:rsid w:val="00920933"/>
    <w:rsid w:val="00920A26"/>
    <w:rsid w:val="00920A97"/>
    <w:rsid w:val="00920C57"/>
    <w:rsid w:val="00920D70"/>
    <w:rsid w:val="00920DD1"/>
    <w:rsid w:val="00920F4C"/>
    <w:rsid w:val="009210C2"/>
    <w:rsid w:val="00921299"/>
    <w:rsid w:val="0092135F"/>
    <w:rsid w:val="0092141B"/>
    <w:rsid w:val="009214FF"/>
    <w:rsid w:val="00921616"/>
    <w:rsid w:val="009216D7"/>
    <w:rsid w:val="00921721"/>
    <w:rsid w:val="00921766"/>
    <w:rsid w:val="0092176C"/>
    <w:rsid w:val="0092180A"/>
    <w:rsid w:val="00921A03"/>
    <w:rsid w:val="00921D08"/>
    <w:rsid w:val="00921D76"/>
    <w:rsid w:val="00921E67"/>
    <w:rsid w:val="00921F47"/>
    <w:rsid w:val="0092203D"/>
    <w:rsid w:val="0092204B"/>
    <w:rsid w:val="00922257"/>
    <w:rsid w:val="009223A7"/>
    <w:rsid w:val="0092242B"/>
    <w:rsid w:val="009227C2"/>
    <w:rsid w:val="009227EB"/>
    <w:rsid w:val="00922B90"/>
    <w:rsid w:val="00922D7A"/>
    <w:rsid w:val="00922E04"/>
    <w:rsid w:val="00922F6D"/>
    <w:rsid w:val="00923082"/>
    <w:rsid w:val="009230DE"/>
    <w:rsid w:val="00923109"/>
    <w:rsid w:val="0092325D"/>
    <w:rsid w:val="009233AE"/>
    <w:rsid w:val="009234BF"/>
    <w:rsid w:val="009235C4"/>
    <w:rsid w:val="00923604"/>
    <w:rsid w:val="00923639"/>
    <w:rsid w:val="00923800"/>
    <w:rsid w:val="00923925"/>
    <w:rsid w:val="00923A69"/>
    <w:rsid w:val="00923A80"/>
    <w:rsid w:val="00923CD8"/>
    <w:rsid w:val="00923D83"/>
    <w:rsid w:val="00923DBA"/>
    <w:rsid w:val="00923E84"/>
    <w:rsid w:val="00923F06"/>
    <w:rsid w:val="00923F37"/>
    <w:rsid w:val="00923FC7"/>
    <w:rsid w:val="00923FF5"/>
    <w:rsid w:val="00924272"/>
    <w:rsid w:val="00924305"/>
    <w:rsid w:val="0092458E"/>
    <w:rsid w:val="009248A0"/>
    <w:rsid w:val="00924A0C"/>
    <w:rsid w:val="00924A45"/>
    <w:rsid w:val="00924AE3"/>
    <w:rsid w:val="00924D51"/>
    <w:rsid w:val="00924D60"/>
    <w:rsid w:val="00924F85"/>
    <w:rsid w:val="0092542D"/>
    <w:rsid w:val="009255BD"/>
    <w:rsid w:val="00925715"/>
    <w:rsid w:val="00925718"/>
    <w:rsid w:val="00925BE0"/>
    <w:rsid w:val="00925CB7"/>
    <w:rsid w:val="00925EAB"/>
    <w:rsid w:val="0092604A"/>
    <w:rsid w:val="0092609E"/>
    <w:rsid w:val="009260F0"/>
    <w:rsid w:val="0092617E"/>
    <w:rsid w:val="009264D6"/>
    <w:rsid w:val="0092657D"/>
    <w:rsid w:val="00926601"/>
    <w:rsid w:val="0092665D"/>
    <w:rsid w:val="009268AA"/>
    <w:rsid w:val="009269BA"/>
    <w:rsid w:val="009269EB"/>
    <w:rsid w:val="00926D2B"/>
    <w:rsid w:val="00926D3E"/>
    <w:rsid w:val="00926EC6"/>
    <w:rsid w:val="00926FCB"/>
    <w:rsid w:val="00926FE2"/>
    <w:rsid w:val="00926FE5"/>
    <w:rsid w:val="00927053"/>
    <w:rsid w:val="00927101"/>
    <w:rsid w:val="0092711D"/>
    <w:rsid w:val="0092725E"/>
    <w:rsid w:val="009272BE"/>
    <w:rsid w:val="009272DB"/>
    <w:rsid w:val="00927349"/>
    <w:rsid w:val="009273B4"/>
    <w:rsid w:val="009275FE"/>
    <w:rsid w:val="00927BBE"/>
    <w:rsid w:val="00927CA4"/>
    <w:rsid w:val="00927CB6"/>
    <w:rsid w:val="00927CBB"/>
    <w:rsid w:val="00927D7E"/>
    <w:rsid w:val="00927D87"/>
    <w:rsid w:val="00927F3D"/>
    <w:rsid w:val="00930153"/>
    <w:rsid w:val="009302FA"/>
    <w:rsid w:val="00930544"/>
    <w:rsid w:val="00930713"/>
    <w:rsid w:val="0093071D"/>
    <w:rsid w:val="009307FD"/>
    <w:rsid w:val="00930947"/>
    <w:rsid w:val="00930966"/>
    <w:rsid w:val="00930B63"/>
    <w:rsid w:val="00930BB1"/>
    <w:rsid w:val="00930BC7"/>
    <w:rsid w:val="00930CC5"/>
    <w:rsid w:val="00930D38"/>
    <w:rsid w:val="00930D5D"/>
    <w:rsid w:val="00930D63"/>
    <w:rsid w:val="00930DD3"/>
    <w:rsid w:val="00930E37"/>
    <w:rsid w:val="00930F6B"/>
    <w:rsid w:val="00930FD5"/>
    <w:rsid w:val="00930FDF"/>
    <w:rsid w:val="0093104F"/>
    <w:rsid w:val="00931069"/>
    <w:rsid w:val="0093122D"/>
    <w:rsid w:val="009312A6"/>
    <w:rsid w:val="00931338"/>
    <w:rsid w:val="009314F9"/>
    <w:rsid w:val="00931796"/>
    <w:rsid w:val="009317A9"/>
    <w:rsid w:val="00931800"/>
    <w:rsid w:val="0093193E"/>
    <w:rsid w:val="0093198B"/>
    <w:rsid w:val="00931AD0"/>
    <w:rsid w:val="00931C50"/>
    <w:rsid w:val="00931D33"/>
    <w:rsid w:val="00931D60"/>
    <w:rsid w:val="00931E3E"/>
    <w:rsid w:val="00931E91"/>
    <w:rsid w:val="00931F5D"/>
    <w:rsid w:val="00932033"/>
    <w:rsid w:val="009321FE"/>
    <w:rsid w:val="009322D3"/>
    <w:rsid w:val="009326B0"/>
    <w:rsid w:val="00932713"/>
    <w:rsid w:val="00932895"/>
    <w:rsid w:val="009329C7"/>
    <w:rsid w:val="00932C3A"/>
    <w:rsid w:val="00932DAA"/>
    <w:rsid w:val="00932E64"/>
    <w:rsid w:val="00932F6B"/>
    <w:rsid w:val="0093301B"/>
    <w:rsid w:val="0093325C"/>
    <w:rsid w:val="00933273"/>
    <w:rsid w:val="0093329C"/>
    <w:rsid w:val="009334A3"/>
    <w:rsid w:val="009335B9"/>
    <w:rsid w:val="00933669"/>
    <w:rsid w:val="0093369C"/>
    <w:rsid w:val="009337EC"/>
    <w:rsid w:val="00933885"/>
    <w:rsid w:val="00933A67"/>
    <w:rsid w:val="00933AD9"/>
    <w:rsid w:val="00933AE4"/>
    <w:rsid w:val="00933D77"/>
    <w:rsid w:val="00933E7E"/>
    <w:rsid w:val="00933E9C"/>
    <w:rsid w:val="00933F6B"/>
    <w:rsid w:val="00933FD8"/>
    <w:rsid w:val="00934001"/>
    <w:rsid w:val="00934035"/>
    <w:rsid w:val="009340B3"/>
    <w:rsid w:val="009341DD"/>
    <w:rsid w:val="009344C9"/>
    <w:rsid w:val="00934584"/>
    <w:rsid w:val="00934589"/>
    <w:rsid w:val="009346A3"/>
    <w:rsid w:val="0093474D"/>
    <w:rsid w:val="009347FE"/>
    <w:rsid w:val="0093487F"/>
    <w:rsid w:val="009349A0"/>
    <w:rsid w:val="009349C2"/>
    <w:rsid w:val="00934CF0"/>
    <w:rsid w:val="00934D7A"/>
    <w:rsid w:val="00934D8B"/>
    <w:rsid w:val="00934EDE"/>
    <w:rsid w:val="00934F26"/>
    <w:rsid w:val="00935056"/>
    <w:rsid w:val="0093532D"/>
    <w:rsid w:val="009353FF"/>
    <w:rsid w:val="00935482"/>
    <w:rsid w:val="009354A0"/>
    <w:rsid w:val="00935AA0"/>
    <w:rsid w:val="00935CE8"/>
    <w:rsid w:val="00935F59"/>
    <w:rsid w:val="00935FDF"/>
    <w:rsid w:val="00936033"/>
    <w:rsid w:val="00936255"/>
    <w:rsid w:val="009363C1"/>
    <w:rsid w:val="0093647B"/>
    <w:rsid w:val="00936515"/>
    <w:rsid w:val="00936899"/>
    <w:rsid w:val="009368C2"/>
    <w:rsid w:val="00936A72"/>
    <w:rsid w:val="00936A9A"/>
    <w:rsid w:val="00936B2D"/>
    <w:rsid w:val="00936B73"/>
    <w:rsid w:val="00936BFC"/>
    <w:rsid w:val="00936CBB"/>
    <w:rsid w:val="00936CDA"/>
    <w:rsid w:val="00937086"/>
    <w:rsid w:val="00937109"/>
    <w:rsid w:val="009371BC"/>
    <w:rsid w:val="00937371"/>
    <w:rsid w:val="009373CD"/>
    <w:rsid w:val="009373D3"/>
    <w:rsid w:val="009374CC"/>
    <w:rsid w:val="00937602"/>
    <w:rsid w:val="0093760C"/>
    <w:rsid w:val="009376C5"/>
    <w:rsid w:val="009376DA"/>
    <w:rsid w:val="00937777"/>
    <w:rsid w:val="009377CD"/>
    <w:rsid w:val="009378E6"/>
    <w:rsid w:val="00937C8E"/>
    <w:rsid w:val="00937E7D"/>
    <w:rsid w:val="00937ECE"/>
    <w:rsid w:val="00937F96"/>
    <w:rsid w:val="00940145"/>
    <w:rsid w:val="009401A4"/>
    <w:rsid w:val="00940320"/>
    <w:rsid w:val="0094035C"/>
    <w:rsid w:val="009403C1"/>
    <w:rsid w:val="009406D1"/>
    <w:rsid w:val="009406F1"/>
    <w:rsid w:val="009407DB"/>
    <w:rsid w:val="00940804"/>
    <w:rsid w:val="0094084D"/>
    <w:rsid w:val="0094087C"/>
    <w:rsid w:val="009408F6"/>
    <w:rsid w:val="00940978"/>
    <w:rsid w:val="00940A4F"/>
    <w:rsid w:val="00940B8A"/>
    <w:rsid w:val="00940C72"/>
    <w:rsid w:val="00940C9E"/>
    <w:rsid w:val="00940F2C"/>
    <w:rsid w:val="00941021"/>
    <w:rsid w:val="009411CB"/>
    <w:rsid w:val="009412B2"/>
    <w:rsid w:val="009413EF"/>
    <w:rsid w:val="009417AD"/>
    <w:rsid w:val="00941802"/>
    <w:rsid w:val="0094193D"/>
    <w:rsid w:val="00941A23"/>
    <w:rsid w:val="00941A80"/>
    <w:rsid w:val="00941AAC"/>
    <w:rsid w:val="00941E5E"/>
    <w:rsid w:val="00941E7E"/>
    <w:rsid w:val="009420C0"/>
    <w:rsid w:val="0094244F"/>
    <w:rsid w:val="009424D7"/>
    <w:rsid w:val="0094265F"/>
    <w:rsid w:val="00942699"/>
    <w:rsid w:val="0094290D"/>
    <w:rsid w:val="0094293F"/>
    <w:rsid w:val="00942B78"/>
    <w:rsid w:val="00942BB4"/>
    <w:rsid w:val="00942D1A"/>
    <w:rsid w:val="009430FC"/>
    <w:rsid w:val="0094313D"/>
    <w:rsid w:val="00943183"/>
    <w:rsid w:val="00943206"/>
    <w:rsid w:val="00943576"/>
    <w:rsid w:val="009435BC"/>
    <w:rsid w:val="00943713"/>
    <w:rsid w:val="00943735"/>
    <w:rsid w:val="00943743"/>
    <w:rsid w:val="009437AC"/>
    <w:rsid w:val="009438B5"/>
    <w:rsid w:val="00943989"/>
    <w:rsid w:val="00943F0A"/>
    <w:rsid w:val="00943F45"/>
    <w:rsid w:val="00943F52"/>
    <w:rsid w:val="00944244"/>
    <w:rsid w:val="0094430A"/>
    <w:rsid w:val="00944367"/>
    <w:rsid w:val="0094441C"/>
    <w:rsid w:val="00944584"/>
    <w:rsid w:val="0094464E"/>
    <w:rsid w:val="009446BC"/>
    <w:rsid w:val="00944793"/>
    <w:rsid w:val="009447F5"/>
    <w:rsid w:val="009448BA"/>
    <w:rsid w:val="00944935"/>
    <w:rsid w:val="00944B1A"/>
    <w:rsid w:val="00944C2C"/>
    <w:rsid w:val="00944F2D"/>
    <w:rsid w:val="00944F65"/>
    <w:rsid w:val="009450B3"/>
    <w:rsid w:val="009450F3"/>
    <w:rsid w:val="0094516B"/>
    <w:rsid w:val="009452FF"/>
    <w:rsid w:val="0094539D"/>
    <w:rsid w:val="009453B3"/>
    <w:rsid w:val="009454DD"/>
    <w:rsid w:val="0094567C"/>
    <w:rsid w:val="009456C0"/>
    <w:rsid w:val="00945821"/>
    <w:rsid w:val="00945844"/>
    <w:rsid w:val="009458C0"/>
    <w:rsid w:val="00945BC3"/>
    <w:rsid w:val="00945BCB"/>
    <w:rsid w:val="00945C35"/>
    <w:rsid w:val="00945D1D"/>
    <w:rsid w:val="00945EB5"/>
    <w:rsid w:val="00946060"/>
    <w:rsid w:val="009461CF"/>
    <w:rsid w:val="00946217"/>
    <w:rsid w:val="00946369"/>
    <w:rsid w:val="009465C0"/>
    <w:rsid w:val="009466F5"/>
    <w:rsid w:val="00946876"/>
    <w:rsid w:val="0094688D"/>
    <w:rsid w:val="00946996"/>
    <w:rsid w:val="00946B03"/>
    <w:rsid w:val="00946B83"/>
    <w:rsid w:val="00946C73"/>
    <w:rsid w:val="00946CE1"/>
    <w:rsid w:val="00946D7E"/>
    <w:rsid w:val="00946FC8"/>
    <w:rsid w:val="00947213"/>
    <w:rsid w:val="009472F5"/>
    <w:rsid w:val="009472FA"/>
    <w:rsid w:val="00947537"/>
    <w:rsid w:val="009475D9"/>
    <w:rsid w:val="0094773F"/>
    <w:rsid w:val="0094777D"/>
    <w:rsid w:val="009477B5"/>
    <w:rsid w:val="009477C9"/>
    <w:rsid w:val="00947924"/>
    <w:rsid w:val="00947C08"/>
    <w:rsid w:val="00947C7E"/>
    <w:rsid w:val="00947C90"/>
    <w:rsid w:val="00947CAC"/>
    <w:rsid w:val="00947EC4"/>
    <w:rsid w:val="00947F05"/>
    <w:rsid w:val="0095001D"/>
    <w:rsid w:val="009500C4"/>
    <w:rsid w:val="00950266"/>
    <w:rsid w:val="0095031D"/>
    <w:rsid w:val="00950347"/>
    <w:rsid w:val="00950361"/>
    <w:rsid w:val="0095037D"/>
    <w:rsid w:val="00950429"/>
    <w:rsid w:val="0095047D"/>
    <w:rsid w:val="009504F4"/>
    <w:rsid w:val="00950514"/>
    <w:rsid w:val="00950540"/>
    <w:rsid w:val="00950574"/>
    <w:rsid w:val="00950603"/>
    <w:rsid w:val="00950611"/>
    <w:rsid w:val="009509F1"/>
    <w:rsid w:val="00950BC5"/>
    <w:rsid w:val="00950C20"/>
    <w:rsid w:val="00950D32"/>
    <w:rsid w:val="00950D71"/>
    <w:rsid w:val="00950DA9"/>
    <w:rsid w:val="00950E33"/>
    <w:rsid w:val="00950E37"/>
    <w:rsid w:val="00950F16"/>
    <w:rsid w:val="00950FCA"/>
    <w:rsid w:val="00951126"/>
    <w:rsid w:val="00951279"/>
    <w:rsid w:val="00951312"/>
    <w:rsid w:val="00951814"/>
    <w:rsid w:val="00951C4C"/>
    <w:rsid w:val="0095203B"/>
    <w:rsid w:val="009520F9"/>
    <w:rsid w:val="009521C8"/>
    <w:rsid w:val="009521FE"/>
    <w:rsid w:val="0095224D"/>
    <w:rsid w:val="00952334"/>
    <w:rsid w:val="00952407"/>
    <w:rsid w:val="00952422"/>
    <w:rsid w:val="0095248F"/>
    <w:rsid w:val="00952584"/>
    <w:rsid w:val="009525CC"/>
    <w:rsid w:val="00952601"/>
    <w:rsid w:val="009526B1"/>
    <w:rsid w:val="0095275D"/>
    <w:rsid w:val="0095292A"/>
    <w:rsid w:val="009529A2"/>
    <w:rsid w:val="00952C5D"/>
    <w:rsid w:val="00953165"/>
    <w:rsid w:val="00953351"/>
    <w:rsid w:val="0095354B"/>
    <w:rsid w:val="009536E0"/>
    <w:rsid w:val="0095386F"/>
    <w:rsid w:val="009538DE"/>
    <w:rsid w:val="00953ADB"/>
    <w:rsid w:val="00953BAF"/>
    <w:rsid w:val="00953BFD"/>
    <w:rsid w:val="00953C02"/>
    <w:rsid w:val="00953F49"/>
    <w:rsid w:val="00953F87"/>
    <w:rsid w:val="009540D6"/>
    <w:rsid w:val="009540E2"/>
    <w:rsid w:val="009540FA"/>
    <w:rsid w:val="0095448C"/>
    <w:rsid w:val="009544E4"/>
    <w:rsid w:val="00954693"/>
    <w:rsid w:val="009549C9"/>
    <w:rsid w:val="00954A35"/>
    <w:rsid w:val="00954AC6"/>
    <w:rsid w:val="00954B48"/>
    <w:rsid w:val="00954B83"/>
    <w:rsid w:val="00954B97"/>
    <w:rsid w:val="00954E95"/>
    <w:rsid w:val="00954F1E"/>
    <w:rsid w:val="009550A4"/>
    <w:rsid w:val="009550B5"/>
    <w:rsid w:val="00955103"/>
    <w:rsid w:val="009551F3"/>
    <w:rsid w:val="00955250"/>
    <w:rsid w:val="00955510"/>
    <w:rsid w:val="0095554B"/>
    <w:rsid w:val="009555F3"/>
    <w:rsid w:val="00955742"/>
    <w:rsid w:val="00955909"/>
    <w:rsid w:val="009559CF"/>
    <w:rsid w:val="00955BE2"/>
    <w:rsid w:val="00955C69"/>
    <w:rsid w:val="00955E49"/>
    <w:rsid w:val="00955E6D"/>
    <w:rsid w:val="00955FA2"/>
    <w:rsid w:val="00956125"/>
    <w:rsid w:val="009562C4"/>
    <w:rsid w:val="0095637F"/>
    <w:rsid w:val="0095640B"/>
    <w:rsid w:val="009565BB"/>
    <w:rsid w:val="00956749"/>
    <w:rsid w:val="009567CE"/>
    <w:rsid w:val="00956889"/>
    <w:rsid w:val="00956BD6"/>
    <w:rsid w:val="00956CCB"/>
    <w:rsid w:val="00956D9C"/>
    <w:rsid w:val="00956DB9"/>
    <w:rsid w:val="00956EC8"/>
    <w:rsid w:val="00956EDA"/>
    <w:rsid w:val="00956FB6"/>
    <w:rsid w:val="00957017"/>
    <w:rsid w:val="0095701B"/>
    <w:rsid w:val="00957193"/>
    <w:rsid w:val="00957382"/>
    <w:rsid w:val="009576A4"/>
    <w:rsid w:val="009576D8"/>
    <w:rsid w:val="009578E3"/>
    <w:rsid w:val="0095793B"/>
    <w:rsid w:val="00957A6B"/>
    <w:rsid w:val="00957A94"/>
    <w:rsid w:val="00957AD0"/>
    <w:rsid w:val="00957D42"/>
    <w:rsid w:val="00957F08"/>
    <w:rsid w:val="00957FB4"/>
    <w:rsid w:val="00960135"/>
    <w:rsid w:val="0096013C"/>
    <w:rsid w:val="0096019A"/>
    <w:rsid w:val="00960368"/>
    <w:rsid w:val="00960396"/>
    <w:rsid w:val="00960446"/>
    <w:rsid w:val="009606DB"/>
    <w:rsid w:val="0096077F"/>
    <w:rsid w:val="009607CB"/>
    <w:rsid w:val="009607FC"/>
    <w:rsid w:val="009608D6"/>
    <w:rsid w:val="00960E2C"/>
    <w:rsid w:val="00960E2E"/>
    <w:rsid w:val="00960FCA"/>
    <w:rsid w:val="0096102C"/>
    <w:rsid w:val="00961321"/>
    <w:rsid w:val="009614D9"/>
    <w:rsid w:val="00961594"/>
    <w:rsid w:val="00961713"/>
    <w:rsid w:val="009617CC"/>
    <w:rsid w:val="009617E3"/>
    <w:rsid w:val="009618CB"/>
    <w:rsid w:val="009618E4"/>
    <w:rsid w:val="00961937"/>
    <w:rsid w:val="00961EC7"/>
    <w:rsid w:val="00961EF1"/>
    <w:rsid w:val="00961F6F"/>
    <w:rsid w:val="0096203C"/>
    <w:rsid w:val="00962045"/>
    <w:rsid w:val="009621F1"/>
    <w:rsid w:val="00962420"/>
    <w:rsid w:val="00962665"/>
    <w:rsid w:val="00962687"/>
    <w:rsid w:val="009626FF"/>
    <w:rsid w:val="0096272B"/>
    <w:rsid w:val="009627B1"/>
    <w:rsid w:val="00962803"/>
    <w:rsid w:val="00962815"/>
    <w:rsid w:val="00962851"/>
    <w:rsid w:val="009628CB"/>
    <w:rsid w:val="00962963"/>
    <w:rsid w:val="00962992"/>
    <w:rsid w:val="009629E1"/>
    <w:rsid w:val="00962A22"/>
    <w:rsid w:val="00962A7D"/>
    <w:rsid w:val="00962ADA"/>
    <w:rsid w:val="00962BB5"/>
    <w:rsid w:val="00962C34"/>
    <w:rsid w:val="00962CC1"/>
    <w:rsid w:val="00962D07"/>
    <w:rsid w:val="00962DA8"/>
    <w:rsid w:val="00962FFF"/>
    <w:rsid w:val="00963017"/>
    <w:rsid w:val="00963023"/>
    <w:rsid w:val="00963153"/>
    <w:rsid w:val="0096326B"/>
    <w:rsid w:val="009632CA"/>
    <w:rsid w:val="009633FC"/>
    <w:rsid w:val="0096350E"/>
    <w:rsid w:val="0096358B"/>
    <w:rsid w:val="009637DA"/>
    <w:rsid w:val="009638E7"/>
    <w:rsid w:val="00963979"/>
    <w:rsid w:val="00963996"/>
    <w:rsid w:val="00963AED"/>
    <w:rsid w:val="00963C09"/>
    <w:rsid w:val="00963C89"/>
    <w:rsid w:val="00963CDF"/>
    <w:rsid w:val="00963D9C"/>
    <w:rsid w:val="00963E3D"/>
    <w:rsid w:val="00963EC6"/>
    <w:rsid w:val="0096400C"/>
    <w:rsid w:val="0096410E"/>
    <w:rsid w:val="0096418B"/>
    <w:rsid w:val="00964302"/>
    <w:rsid w:val="0096454F"/>
    <w:rsid w:val="00964621"/>
    <w:rsid w:val="009646EC"/>
    <w:rsid w:val="009646F5"/>
    <w:rsid w:val="009648BE"/>
    <w:rsid w:val="009649E7"/>
    <w:rsid w:val="00964D55"/>
    <w:rsid w:val="00964ED4"/>
    <w:rsid w:val="00964EF9"/>
    <w:rsid w:val="00965036"/>
    <w:rsid w:val="009650EA"/>
    <w:rsid w:val="00965204"/>
    <w:rsid w:val="009656B8"/>
    <w:rsid w:val="009657A2"/>
    <w:rsid w:val="00965853"/>
    <w:rsid w:val="009659EE"/>
    <w:rsid w:val="00965BF7"/>
    <w:rsid w:val="00965C50"/>
    <w:rsid w:val="00965E26"/>
    <w:rsid w:val="00965E8F"/>
    <w:rsid w:val="009661BB"/>
    <w:rsid w:val="009662A0"/>
    <w:rsid w:val="009662C1"/>
    <w:rsid w:val="0096632C"/>
    <w:rsid w:val="009664C0"/>
    <w:rsid w:val="009665D3"/>
    <w:rsid w:val="009665F3"/>
    <w:rsid w:val="009667B5"/>
    <w:rsid w:val="00966857"/>
    <w:rsid w:val="00966983"/>
    <w:rsid w:val="00966A14"/>
    <w:rsid w:val="00966B18"/>
    <w:rsid w:val="00966B27"/>
    <w:rsid w:val="00966C6D"/>
    <w:rsid w:val="00966E94"/>
    <w:rsid w:val="00966F18"/>
    <w:rsid w:val="00966F39"/>
    <w:rsid w:val="00967018"/>
    <w:rsid w:val="00967072"/>
    <w:rsid w:val="009670C0"/>
    <w:rsid w:val="009671D0"/>
    <w:rsid w:val="009672AD"/>
    <w:rsid w:val="009673D8"/>
    <w:rsid w:val="009677B4"/>
    <w:rsid w:val="009678C9"/>
    <w:rsid w:val="00967937"/>
    <w:rsid w:val="009679D4"/>
    <w:rsid w:val="00967A26"/>
    <w:rsid w:val="00967CB8"/>
    <w:rsid w:val="00967CD8"/>
    <w:rsid w:val="00967CE3"/>
    <w:rsid w:val="00967D15"/>
    <w:rsid w:val="00967DBD"/>
    <w:rsid w:val="00967E09"/>
    <w:rsid w:val="00967E89"/>
    <w:rsid w:val="0097036F"/>
    <w:rsid w:val="00970385"/>
    <w:rsid w:val="00970393"/>
    <w:rsid w:val="009703ED"/>
    <w:rsid w:val="009703FE"/>
    <w:rsid w:val="009705AB"/>
    <w:rsid w:val="00970644"/>
    <w:rsid w:val="009706FE"/>
    <w:rsid w:val="00970786"/>
    <w:rsid w:val="009708B2"/>
    <w:rsid w:val="00970AA2"/>
    <w:rsid w:val="00970B49"/>
    <w:rsid w:val="00970C4E"/>
    <w:rsid w:val="00970D3F"/>
    <w:rsid w:val="00970DAB"/>
    <w:rsid w:val="00970F8D"/>
    <w:rsid w:val="00971005"/>
    <w:rsid w:val="0097109D"/>
    <w:rsid w:val="0097128B"/>
    <w:rsid w:val="00971476"/>
    <w:rsid w:val="00971500"/>
    <w:rsid w:val="009715EA"/>
    <w:rsid w:val="0097163D"/>
    <w:rsid w:val="009717FB"/>
    <w:rsid w:val="009718F3"/>
    <w:rsid w:val="00971A48"/>
    <w:rsid w:val="00971A78"/>
    <w:rsid w:val="00971B55"/>
    <w:rsid w:val="00971C1C"/>
    <w:rsid w:val="00971C34"/>
    <w:rsid w:val="00971C69"/>
    <w:rsid w:val="00971CAA"/>
    <w:rsid w:val="00971CD9"/>
    <w:rsid w:val="00971E82"/>
    <w:rsid w:val="00971F07"/>
    <w:rsid w:val="00971FEE"/>
    <w:rsid w:val="0097200E"/>
    <w:rsid w:val="009720C0"/>
    <w:rsid w:val="009720E1"/>
    <w:rsid w:val="00972160"/>
    <w:rsid w:val="0097227A"/>
    <w:rsid w:val="00972428"/>
    <w:rsid w:val="009724CD"/>
    <w:rsid w:val="009726FE"/>
    <w:rsid w:val="009727E7"/>
    <w:rsid w:val="009728CA"/>
    <w:rsid w:val="00972903"/>
    <w:rsid w:val="00972B81"/>
    <w:rsid w:val="00972BAA"/>
    <w:rsid w:val="00972BF5"/>
    <w:rsid w:val="00972D5A"/>
    <w:rsid w:val="00972EE1"/>
    <w:rsid w:val="00973019"/>
    <w:rsid w:val="00973082"/>
    <w:rsid w:val="00973142"/>
    <w:rsid w:val="009731EB"/>
    <w:rsid w:val="00973209"/>
    <w:rsid w:val="00973270"/>
    <w:rsid w:val="00973487"/>
    <w:rsid w:val="00973529"/>
    <w:rsid w:val="009737BE"/>
    <w:rsid w:val="009737D0"/>
    <w:rsid w:val="00973970"/>
    <w:rsid w:val="009739D5"/>
    <w:rsid w:val="00973A91"/>
    <w:rsid w:val="00973DD0"/>
    <w:rsid w:val="00973E25"/>
    <w:rsid w:val="0097406E"/>
    <w:rsid w:val="009743D5"/>
    <w:rsid w:val="00974409"/>
    <w:rsid w:val="00974414"/>
    <w:rsid w:val="009746CE"/>
    <w:rsid w:val="00974704"/>
    <w:rsid w:val="009747B8"/>
    <w:rsid w:val="009747BB"/>
    <w:rsid w:val="00974885"/>
    <w:rsid w:val="009749CB"/>
    <w:rsid w:val="00974B34"/>
    <w:rsid w:val="00974BCD"/>
    <w:rsid w:val="00974C00"/>
    <w:rsid w:val="00974DB9"/>
    <w:rsid w:val="00974DC6"/>
    <w:rsid w:val="00974E8F"/>
    <w:rsid w:val="00974F80"/>
    <w:rsid w:val="00975016"/>
    <w:rsid w:val="00975027"/>
    <w:rsid w:val="009751C2"/>
    <w:rsid w:val="00975249"/>
    <w:rsid w:val="00975275"/>
    <w:rsid w:val="0097528E"/>
    <w:rsid w:val="0097555A"/>
    <w:rsid w:val="0097558C"/>
    <w:rsid w:val="009755BB"/>
    <w:rsid w:val="009755CD"/>
    <w:rsid w:val="0097569A"/>
    <w:rsid w:val="0097573E"/>
    <w:rsid w:val="009757A6"/>
    <w:rsid w:val="009758A8"/>
    <w:rsid w:val="00975A1E"/>
    <w:rsid w:val="00975AD3"/>
    <w:rsid w:val="00975BC3"/>
    <w:rsid w:val="00975C5B"/>
    <w:rsid w:val="00975D02"/>
    <w:rsid w:val="00975FF3"/>
    <w:rsid w:val="009760D6"/>
    <w:rsid w:val="009761B4"/>
    <w:rsid w:val="009761E7"/>
    <w:rsid w:val="009761F9"/>
    <w:rsid w:val="00976298"/>
    <w:rsid w:val="0097633D"/>
    <w:rsid w:val="00976374"/>
    <w:rsid w:val="009763B1"/>
    <w:rsid w:val="009764B6"/>
    <w:rsid w:val="00976610"/>
    <w:rsid w:val="00976717"/>
    <w:rsid w:val="00976C40"/>
    <w:rsid w:val="00976CC7"/>
    <w:rsid w:val="00976CD2"/>
    <w:rsid w:val="00976D2F"/>
    <w:rsid w:val="00976F4F"/>
    <w:rsid w:val="00977023"/>
    <w:rsid w:val="00977135"/>
    <w:rsid w:val="00977254"/>
    <w:rsid w:val="0097729C"/>
    <w:rsid w:val="009772CA"/>
    <w:rsid w:val="009773F9"/>
    <w:rsid w:val="00977463"/>
    <w:rsid w:val="00977656"/>
    <w:rsid w:val="0097767B"/>
    <w:rsid w:val="00977693"/>
    <w:rsid w:val="009777C1"/>
    <w:rsid w:val="00977AAC"/>
    <w:rsid w:val="00977D48"/>
    <w:rsid w:val="00977DAE"/>
    <w:rsid w:val="00977DEC"/>
    <w:rsid w:val="00977DEE"/>
    <w:rsid w:val="00977F4B"/>
    <w:rsid w:val="00977F75"/>
    <w:rsid w:val="00977FB9"/>
    <w:rsid w:val="00980008"/>
    <w:rsid w:val="00980017"/>
    <w:rsid w:val="00980027"/>
    <w:rsid w:val="009800ED"/>
    <w:rsid w:val="00980201"/>
    <w:rsid w:val="009802CA"/>
    <w:rsid w:val="0098046F"/>
    <w:rsid w:val="00980561"/>
    <w:rsid w:val="009805C8"/>
    <w:rsid w:val="0098068A"/>
    <w:rsid w:val="009807B0"/>
    <w:rsid w:val="009808E3"/>
    <w:rsid w:val="0098096B"/>
    <w:rsid w:val="00980A25"/>
    <w:rsid w:val="00980BC1"/>
    <w:rsid w:val="00980C42"/>
    <w:rsid w:val="00980D87"/>
    <w:rsid w:val="00980E19"/>
    <w:rsid w:val="00980FCC"/>
    <w:rsid w:val="009811E8"/>
    <w:rsid w:val="009812EE"/>
    <w:rsid w:val="009815B2"/>
    <w:rsid w:val="00981686"/>
    <w:rsid w:val="009816BC"/>
    <w:rsid w:val="009818DA"/>
    <w:rsid w:val="00981976"/>
    <w:rsid w:val="00981A09"/>
    <w:rsid w:val="00981B29"/>
    <w:rsid w:val="00981BE1"/>
    <w:rsid w:val="00981CAA"/>
    <w:rsid w:val="0098202C"/>
    <w:rsid w:val="0098205E"/>
    <w:rsid w:val="0098221D"/>
    <w:rsid w:val="0098248D"/>
    <w:rsid w:val="0098250D"/>
    <w:rsid w:val="00982A78"/>
    <w:rsid w:val="00982B0F"/>
    <w:rsid w:val="00982C54"/>
    <w:rsid w:val="00982D16"/>
    <w:rsid w:val="00982E8C"/>
    <w:rsid w:val="00982F2F"/>
    <w:rsid w:val="0098301F"/>
    <w:rsid w:val="0098329C"/>
    <w:rsid w:val="0098337B"/>
    <w:rsid w:val="00983478"/>
    <w:rsid w:val="009834F9"/>
    <w:rsid w:val="0098358B"/>
    <w:rsid w:val="00983614"/>
    <w:rsid w:val="0098369D"/>
    <w:rsid w:val="0098378D"/>
    <w:rsid w:val="009837B4"/>
    <w:rsid w:val="0098388F"/>
    <w:rsid w:val="00983959"/>
    <w:rsid w:val="00983C3F"/>
    <w:rsid w:val="00983D38"/>
    <w:rsid w:val="00983D7A"/>
    <w:rsid w:val="00983DF4"/>
    <w:rsid w:val="00983EC1"/>
    <w:rsid w:val="00983F8E"/>
    <w:rsid w:val="00983FD0"/>
    <w:rsid w:val="009840D1"/>
    <w:rsid w:val="009841BD"/>
    <w:rsid w:val="009841CA"/>
    <w:rsid w:val="009842E2"/>
    <w:rsid w:val="00984339"/>
    <w:rsid w:val="009843C1"/>
    <w:rsid w:val="0098450E"/>
    <w:rsid w:val="009845A1"/>
    <w:rsid w:val="0098461E"/>
    <w:rsid w:val="009846D2"/>
    <w:rsid w:val="00984708"/>
    <w:rsid w:val="009847BC"/>
    <w:rsid w:val="00984881"/>
    <w:rsid w:val="00984892"/>
    <w:rsid w:val="00984A06"/>
    <w:rsid w:val="00984A89"/>
    <w:rsid w:val="00984B05"/>
    <w:rsid w:val="00984B32"/>
    <w:rsid w:val="00984B49"/>
    <w:rsid w:val="00984C2E"/>
    <w:rsid w:val="00984C5B"/>
    <w:rsid w:val="00984C94"/>
    <w:rsid w:val="00984DEF"/>
    <w:rsid w:val="00984E96"/>
    <w:rsid w:val="00984F42"/>
    <w:rsid w:val="00984FF6"/>
    <w:rsid w:val="0098504C"/>
    <w:rsid w:val="009850BE"/>
    <w:rsid w:val="0098512A"/>
    <w:rsid w:val="009851DF"/>
    <w:rsid w:val="00985637"/>
    <w:rsid w:val="0098564E"/>
    <w:rsid w:val="009857B4"/>
    <w:rsid w:val="00985821"/>
    <w:rsid w:val="00985859"/>
    <w:rsid w:val="00985860"/>
    <w:rsid w:val="009858AD"/>
    <w:rsid w:val="00985A05"/>
    <w:rsid w:val="00985ADA"/>
    <w:rsid w:val="00985B0B"/>
    <w:rsid w:val="00985B76"/>
    <w:rsid w:val="00985C63"/>
    <w:rsid w:val="00985C87"/>
    <w:rsid w:val="0098618E"/>
    <w:rsid w:val="009861FC"/>
    <w:rsid w:val="009862D4"/>
    <w:rsid w:val="00986377"/>
    <w:rsid w:val="009863C2"/>
    <w:rsid w:val="0098641D"/>
    <w:rsid w:val="0098643B"/>
    <w:rsid w:val="00986456"/>
    <w:rsid w:val="0098657A"/>
    <w:rsid w:val="00986587"/>
    <w:rsid w:val="009865DE"/>
    <w:rsid w:val="009865E1"/>
    <w:rsid w:val="00986703"/>
    <w:rsid w:val="0098672E"/>
    <w:rsid w:val="00986745"/>
    <w:rsid w:val="00986813"/>
    <w:rsid w:val="009868B1"/>
    <w:rsid w:val="009868D8"/>
    <w:rsid w:val="00986B78"/>
    <w:rsid w:val="00986CCB"/>
    <w:rsid w:val="00986D20"/>
    <w:rsid w:val="00986D71"/>
    <w:rsid w:val="00986E67"/>
    <w:rsid w:val="009873FD"/>
    <w:rsid w:val="00987456"/>
    <w:rsid w:val="0098745D"/>
    <w:rsid w:val="0098753E"/>
    <w:rsid w:val="009876F9"/>
    <w:rsid w:val="00987A3C"/>
    <w:rsid w:val="00987ADF"/>
    <w:rsid w:val="00987C87"/>
    <w:rsid w:val="00987DE1"/>
    <w:rsid w:val="00987DE6"/>
    <w:rsid w:val="00987E3B"/>
    <w:rsid w:val="00987EED"/>
    <w:rsid w:val="00987F65"/>
    <w:rsid w:val="00987FA5"/>
    <w:rsid w:val="00990015"/>
    <w:rsid w:val="00990039"/>
    <w:rsid w:val="0099003F"/>
    <w:rsid w:val="0099006A"/>
    <w:rsid w:val="00990195"/>
    <w:rsid w:val="009901FD"/>
    <w:rsid w:val="0099037A"/>
    <w:rsid w:val="0099046D"/>
    <w:rsid w:val="00990472"/>
    <w:rsid w:val="0099059D"/>
    <w:rsid w:val="009905BC"/>
    <w:rsid w:val="00990666"/>
    <w:rsid w:val="00990677"/>
    <w:rsid w:val="00990846"/>
    <w:rsid w:val="00990A6A"/>
    <w:rsid w:val="00990B1B"/>
    <w:rsid w:val="00990B4D"/>
    <w:rsid w:val="00990B89"/>
    <w:rsid w:val="00990C19"/>
    <w:rsid w:val="00990CFC"/>
    <w:rsid w:val="00990DD7"/>
    <w:rsid w:val="009911FB"/>
    <w:rsid w:val="00991256"/>
    <w:rsid w:val="009912E7"/>
    <w:rsid w:val="009913B1"/>
    <w:rsid w:val="009913DB"/>
    <w:rsid w:val="00991442"/>
    <w:rsid w:val="00991504"/>
    <w:rsid w:val="00991562"/>
    <w:rsid w:val="009915C5"/>
    <w:rsid w:val="009915CF"/>
    <w:rsid w:val="009917B7"/>
    <w:rsid w:val="009917D8"/>
    <w:rsid w:val="009918CF"/>
    <w:rsid w:val="009918F5"/>
    <w:rsid w:val="00991974"/>
    <w:rsid w:val="009919C1"/>
    <w:rsid w:val="00991AEA"/>
    <w:rsid w:val="00991B20"/>
    <w:rsid w:val="00991B35"/>
    <w:rsid w:val="009920D2"/>
    <w:rsid w:val="00992144"/>
    <w:rsid w:val="0099216F"/>
    <w:rsid w:val="009922D6"/>
    <w:rsid w:val="009922EB"/>
    <w:rsid w:val="00992B3A"/>
    <w:rsid w:val="00992EE7"/>
    <w:rsid w:val="00993163"/>
    <w:rsid w:val="009931DC"/>
    <w:rsid w:val="009931FF"/>
    <w:rsid w:val="00993282"/>
    <w:rsid w:val="00993505"/>
    <w:rsid w:val="0099354C"/>
    <w:rsid w:val="00993607"/>
    <w:rsid w:val="009936B6"/>
    <w:rsid w:val="00993739"/>
    <w:rsid w:val="009937E0"/>
    <w:rsid w:val="00993932"/>
    <w:rsid w:val="00993A3C"/>
    <w:rsid w:val="00993B71"/>
    <w:rsid w:val="00993C1D"/>
    <w:rsid w:val="00993C90"/>
    <w:rsid w:val="00993D6A"/>
    <w:rsid w:val="00993D79"/>
    <w:rsid w:val="00993DAB"/>
    <w:rsid w:val="00993EB5"/>
    <w:rsid w:val="00993ED0"/>
    <w:rsid w:val="009940E0"/>
    <w:rsid w:val="00994333"/>
    <w:rsid w:val="009943C4"/>
    <w:rsid w:val="009943C7"/>
    <w:rsid w:val="0099446E"/>
    <w:rsid w:val="00994520"/>
    <w:rsid w:val="009945E9"/>
    <w:rsid w:val="00994661"/>
    <w:rsid w:val="0099472A"/>
    <w:rsid w:val="009947B8"/>
    <w:rsid w:val="009947E6"/>
    <w:rsid w:val="00994857"/>
    <w:rsid w:val="009948A6"/>
    <w:rsid w:val="00994A7A"/>
    <w:rsid w:val="00994DC2"/>
    <w:rsid w:val="00994FA0"/>
    <w:rsid w:val="00994FF6"/>
    <w:rsid w:val="0099524E"/>
    <w:rsid w:val="00995438"/>
    <w:rsid w:val="0099561D"/>
    <w:rsid w:val="009957AF"/>
    <w:rsid w:val="009958FA"/>
    <w:rsid w:val="00995997"/>
    <w:rsid w:val="00995A10"/>
    <w:rsid w:val="00995A23"/>
    <w:rsid w:val="00995AA5"/>
    <w:rsid w:val="00995AFE"/>
    <w:rsid w:val="00995B35"/>
    <w:rsid w:val="00995C8A"/>
    <w:rsid w:val="00995DAE"/>
    <w:rsid w:val="00995E21"/>
    <w:rsid w:val="00995F34"/>
    <w:rsid w:val="009961D9"/>
    <w:rsid w:val="009961E4"/>
    <w:rsid w:val="009962AB"/>
    <w:rsid w:val="00996337"/>
    <w:rsid w:val="009963D6"/>
    <w:rsid w:val="009964DC"/>
    <w:rsid w:val="009965F3"/>
    <w:rsid w:val="00996605"/>
    <w:rsid w:val="009966DE"/>
    <w:rsid w:val="009966E1"/>
    <w:rsid w:val="0099682F"/>
    <w:rsid w:val="00996AF6"/>
    <w:rsid w:val="00996B76"/>
    <w:rsid w:val="00996C39"/>
    <w:rsid w:val="00996C41"/>
    <w:rsid w:val="00996CC4"/>
    <w:rsid w:val="00996D2D"/>
    <w:rsid w:val="00996DE1"/>
    <w:rsid w:val="00996E10"/>
    <w:rsid w:val="00996F0A"/>
    <w:rsid w:val="0099709D"/>
    <w:rsid w:val="009971AD"/>
    <w:rsid w:val="009971BA"/>
    <w:rsid w:val="0099737B"/>
    <w:rsid w:val="00997449"/>
    <w:rsid w:val="00997681"/>
    <w:rsid w:val="009976B4"/>
    <w:rsid w:val="009976F4"/>
    <w:rsid w:val="009977CC"/>
    <w:rsid w:val="00997997"/>
    <w:rsid w:val="009979E5"/>
    <w:rsid w:val="00997A7A"/>
    <w:rsid w:val="00997E0D"/>
    <w:rsid w:val="00997E0F"/>
    <w:rsid w:val="00997E4D"/>
    <w:rsid w:val="009A0089"/>
    <w:rsid w:val="009A0250"/>
    <w:rsid w:val="009A030E"/>
    <w:rsid w:val="009A0425"/>
    <w:rsid w:val="009A05FB"/>
    <w:rsid w:val="009A0791"/>
    <w:rsid w:val="009A08F7"/>
    <w:rsid w:val="009A0A85"/>
    <w:rsid w:val="009A0BAF"/>
    <w:rsid w:val="009A0D60"/>
    <w:rsid w:val="009A0F0D"/>
    <w:rsid w:val="009A0F1C"/>
    <w:rsid w:val="009A0F59"/>
    <w:rsid w:val="009A0FBA"/>
    <w:rsid w:val="009A133B"/>
    <w:rsid w:val="009A1349"/>
    <w:rsid w:val="009A1598"/>
    <w:rsid w:val="009A16B3"/>
    <w:rsid w:val="009A17A4"/>
    <w:rsid w:val="009A17B0"/>
    <w:rsid w:val="009A1804"/>
    <w:rsid w:val="009A190B"/>
    <w:rsid w:val="009A190C"/>
    <w:rsid w:val="009A194C"/>
    <w:rsid w:val="009A196C"/>
    <w:rsid w:val="009A1A90"/>
    <w:rsid w:val="009A1B37"/>
    <w:rsid w:val="009A1BF2"/>
    <w:rsid w:val="009A1C24"/>
    <w:rsid w:val="009A1C39"/>
    <w:rsid w:val="009A1CA8"/>
    <w:rsid w:val="009A1F63"/>
    <w:rsid w:val="009A1F91"/>
    <w:rsid w:val="009A215D"/>
    <w:rsid w:val="009A21AF"/>
    <w:rsid w:val="009A21E6"/>
    <w:rsid w:val="009A21FC"/>
    <w:rsid w:val="009A226A"/>
    <w:rsid w:val="009A231A"/>
    <w:rsid w:val="009A23FC"/>
    <w:rsid w:val="009A24D7"/>
    <w:rsid w:val="009A252A"/>
    <w:rsid w:val="009A2588"/>
    <w:rsid w:val="009A26B8"/>
    <w:rsid w:val="009A274F"/>
    <w:rsid w:val="009A284C"/>
    <w:rsid w:val="009A28AC"/>
    <w:rsid w:val="009A294E"/>
    <w:rsid w:val="009A2B05"/>
    <w:rsid w:val="009A2B2A"/>
    <w:rsid w:val="009A2BB1"/>
    <w:rsid w:val="009A2BF4"/>
    <w:rsid w:val="009A2C7A"/>
    <w:rsid w:val="009A2CF1"/>
    <w:rsid w:val="009A2E50"/>
    <w:rsid w:val="009A2FD5"/>
    <w:rsid w:val="009A30B5"/>
    <w:rsid w:val="009A3218"/>
    <w:rsid w:val="009A332F"/>
    <w:rsid w:val="009A3508"/>
    <w:rsid w:val="009A368A"/>
    <w:rsid w:val="009A3799"/>
    <w:rsid w:val="009A3852"/>
    <w:rsid w:val="009A3AC5"/>
    <w:rsid w:val="009A3CF7"/>
    <w:rsid w:val="009A3F7F"/>
    <w:rsid w:val="009A40BB"/>
    <w:rsid w:val="009A43E5"/>
    <w:rsid w:val="009A4454"/>
    <w:rsid w:val="009A45C3"/>
    <w:rsid w:val="009A468A"/>
    <w:rsid w:val="009A4889"/>
    <w:rsid w:val="009A4939"/>
    <w:rsid w:val="009A496E"/>
    <w:rsid w:val="009A4B29"/>
    <w:rsid w:val="009A4B3E"/>
    <w:rsid w:val="009A4B4B"/>
    <w:rsid w:val="009A4B96"/>
    <w:rsid w:val="009A4BA5"/>
    <w:rsid w:val="009A4E62"/>
    <w:rsid w:val="009A4F3E"/>
    <w:rsid w:val="009A5076"/>
    <w:rsid w:val="009A508D"/>
    <w:rsid w:val="009A510B"/>
    <w:rsid w:val="009A53B0"/>
    <w:rsid w:val="009A545C"/>
    <w:rsid w:val="009A555A"/>
    <w:rsid w:val="009A5564"/>
    <w:rsid w:val="009A571F"/>
    <w:rsid w:val="009A578D"/>
    <w:rsid w:val="009A58A1"/>
    <w:rsid w:val="009A58F1"/>
    <w:rsid w:val="009A5912"/>
    <w:rsid w:val="009A59DB"/>
    <w:rsid w:val="009A5B7E"/>
    <w:rsid w:val="009A5CAA"/>
    <w:rsid w:val="009A5CC3"/>
    <w:rsid w:val="009A5D3B"/>
    <w:rsid w:val="009A5EF8"/>
    <w:rsid w:val="009A5F5B"/>
    <w:rsid w:val="009A6093"/>
    <w:rsid w:val="009A60CD"/>
    <w:rsid w:val="009A60E2"/>
    <w:rsid w:val="009A6157"/>
    <w:rsid w:val="009A624E"/>
    <w:rsid w:val="009A63E6"/>
    <w:rsid w:val="009A646E"/>
    <w:rsid w:val="009A64E0"/>
    <w:rsid w:val="009A65B2"/>
    <w:rsid w:val="009A6679"/>
    <w:rsid w:val="009A6742"/>
    <w:rsid w:val="009A6755"/>
    <w:rsid w:val="009A67F3"/>
    <w:rsid w:val="009A6948"/>
    <w:rsid w:val="009A6996"/>
    <w:rsid w:val="009A6A77"/>
    <w:rsid w:val="009A6AED"/>
    <w:rsid w:val="009A6BEE"/>
    <w:rsid w:val="009A6E9A"/>
    <w:rsid w:val="009A6F53"/>
    <w:rsid w:val="009A7144"/>
    <w:rsid w:val="009A73AB"/>
    <w:rsid w:val="009A73DF"/>
    <w:rsid w:val="009A74CA"/>
    <w:rsid w:val="009A75AA"/>
    <w:rsid w:val="009A75EC"/>
    <w:rsid w:val="009A7826"/>
    <w:rsid w:val="009A7A77"/>
    <w:rsid w:val="009A7A7F"/>
    <w:rsid w:val="009A7AC6"/>
    <w:rsid w:val="009A7CE2"/>
    <w:rsid w:val="009A7D6C"/>
    <w:rsid w:val="009A7DD4"/>
    <w:rsid w:val="009A7E96"/>
    <w:rsid w:val="009A7EBB"/>
    <w:rsid w:val="009A7F7E"/>
    <w:rsid w:val="009B0008"/>
    <w:rsid w:val="009B0051"/>
    <w:rsid w:val="009B0085"/>
    <w:rsid w:val="009B03A6"/>
    <w:rsid w:val="009B03EA"/>
    <w:rsid w:val="009B073F"/>
    <w:rsid w:val="009B0840"/>
    <w:rsid w:val="009B0892"/>
    <w:rsid w:val="009B0A20"/>
    <w:rsid w:val="009B0B45"/>
    <w:rsid w:val="009B0C90"/>
    <w:rsid w:val="009B0CE0"/>
    <w:rsid w:val="009B0D6F"/>
    <w:rsid w:val="009B0DF8"/>
    <w:rsid w:val="009B0ECE"/>
    <w:rsid w:val="009B0EDC"/>
    <w:rsid w:val="009B1350"/>
    <w:rsid w:val="009B13F7"/>
    <w:rsid w:val="009B14BC"/>
    <w:rsid w:val="009B186A"/>
    <w:rsid w:val="009B1882"/>
    <w:rsid w:val="009B192E"/>
    <w:rsid w:val="009B1B37"/>
    <w:rsid w:val="009B1B80"/>
    <w:rsid w:val="009B1B9C"/>
    <w:rsid w:val="009B1BE5"/>
    <w:rsid w:val="009B1CBB"/>
    <w:rsid w:val="009B1DBB"/>
    <w:rsid w:val="009B1E0B"/>
    <w:rsid w:val="009B1F56"/>
    <w:rsid w:val="009B21D1"/>
    <w:rsid w:val="009B244B"/>
    <w:rsid w:val="009B265C"/>
    <w:rsid w:val="009B27BB"/>
    <w:rsid w:val="009B29A3"/>
    <w:rsid w:val="009B2AE3"/>
    <w:rsid w:val="009B2C52"/>
    <w:rsid w:val="009B2DC9"/>
    <w:rsid w:val="009B2E31"/>
    <w:rsid w:val="009B3001"/>
    <w:rsid w:val="009B31FE"/>
    <w:rsid w:val="009B324B"/>
    <w:rsid w:val="009B326B"/>
    <w:rsid w:val="009B33B8"/>
    <w:rsid w:val="009B3426"/>
    <w:rsid w:val="009B3464"/>
    <w:rsid w:val="009B34B5"/>
    <w:rsid w:val="009B3547"/>
    <w:rsid w:val="009B3576"/>
    <w:rsid w:val="009B35BC"/>
    <w:rsid w:val="009B3623"/>
    <w:rsid w:val="009B3727"/>
    <w:rsid w:val="009B37B4"/>
    <w:rsid w:val="009B37C2"/>
    <w:rsid w:val="009B3897"/>
    <w:rsid w:val="009B39F0"/>
    <w:rsid w:val="009B39F3"/>
    <w:rsid w:val="009B3ADD"/>
    <w:rsid w:val="009B3E7D"/>
    <w:rsid w:val="009B3EC1"/>
    <w:rsid w:val="009B3EFD"/>
    <w:rsid w:val="009B3F74"/>
    <w:rsid w:val="009B4009"/>
    <w:rsid w:val="009B4051"/>
    <w:rsid w:val="009B412A"/>
    <w:rsid w:val="009B4276"/>
    <w:rsid w:val="009B43D3"/>
    <w:rsid w:val="009B43FB"/>
    <w:rsid w:val="009B4481"/>
    <w:rsid w:val="009B4507"/>
    <w:rsid w:val="009B4A5D"/>
    <w:rsid w:val="009B4A87"/>
    <w:rsid w:val="009B4B82"/>
    <w:rsid w:val="009B4BF2"/>
    <w:rsid w:val="009B4D29"/>
    <w:rsid w:val="009B4D82"/>
    <w:rsid w:val="009B4E37"/>
    <w:rsid w:val="009B4E60"/>
    <w:rsid w:val="009B4F1C"/>
    <w:rsid w:val="009B5339"/>
    <w:rsid w:val="009B5345"/>
    <w:rsid w:val="009B5399"/>
    <w:rsid w:val="009B5434"/>
    <w:rsid w:val="009B546A"/>
    <w:rsid w:val="009B54CD"/>
    <w:rsid w:val="009B5563"/>
    <w:rsid w:val="009B55AE"/>
    <w:rsid w:val="009B55B1"/>
    <w:rsid w:val="009B55F8"/>
    <w:rsid w:val="009B56CD"/>
    <w:rsid w:val="009B5740"/>
    <w:rsid w:val="009B5777"/>
    <w:rsid w:val="009B58FC"/>
    <w:rsid w:val="009B5959"/>
    <w:rsid w:val="009B595A"/>
    <w:rsid w:val="009B5BD5"/>
    <w:rsid w:val="009B5C82"/>
    <w:rsid w:val="009B5D01"/>
    <w:rsid w:val="009B5DB9"/>
    <w:rsid w:val="009B5DF2"/>
    <w:rsid w:val="009B5F8B"/>
    <w:rsid w:val="009B623E"/>
    <w:rsid w:val="009B63EA"/>
    <w:rsid w:val="009B6512"/>
    <w:rsid w:val="009B658C"/>
    <w:rsid w:val="009B6606"/>
    <w:rsid w:val="009B68CF"/>
    <w:rsid w:val="009B6A2A"/>
    <w:rsid w:val="009B6B38"/>
    <w:rsid w:val="009B6C6C"/>
    <w:rsid w:val="009B6D4C"/>
    <w:rsid w:val="009B6E37"/>
    <w:rsid w:val="009B6FA1"/>
    <w:rsid w:val="009B7023"/>
    <w:rsid w:val="009B70B3"/>
    <w:rsid w:val="009B717F"/>
    <w:rsid w:val="009B7202"/>
    <w:rsid w:val="009B7281"/>
    <w:rsid w:val="009B737A"/>
    <w:rsid w:val="009B7456"/>
    <w:rsid w:val="009B7464"/>
    <w:rsid w:val="009B75E0"/>
    <w:rsid w:val="009B7901"/>
    <w:rsid w:val="009B7963"/>
    <w:rsid w:val="009B7A33"/>
    <w:rsid w:val="009B7A93"/>
    <w:rsid w:val="009B7AE1"/>
    <w:rsid w:val="009B7BB9"/>
    <w:rsid w:val="009B7BD2"/>
    <w:rsid w:val="009B7D62"/>
    <w:rsid w:val="009B7F5D"/>
    <w:rsid w:val="009C00BF"/>
    <w:rsid w:val="009C0252"/>
    <w:rsid w:val="009C04A4"/>
    <w:rsid w:val="009C0554"/>
    <w:rsid w:val="009C05A2"/>
    <w:rsid w:val="009C0736"/>
    <w:rsid w:val="009C0881"/>
    <w:rsid w:val="009C08C1"/>
    <w:rsid w:val="009C08F7"/>
    <w:rsid w:val="009C09D1"/>
    <w:rsid w:val="009C0BA8"/>
    <w:rsid w:val="009C0C46"/>
    <w:rsid w:val="009C0D83"/>
    <w:rsid w:val="009C0F05"/>
    <w:rsid w:val="009C0FCD"/>
    <w:rsid w:val="009C0FD4"/>
    <w:rsid w:val="009C106D"/>
    <w:rsid w:val="009C130E"/>
    <w:rsid w:val="009C1651"/>
    <w:rsid w:val="009C1851"/>
    <w:rsid w:val="009C1965"/>
    <w:rsid w:val="009C199C"/>
    <w:rsid w:val="009C1BC6"/>
    <w:rsid w:val="009C1C22"/>
    <w:rsid w:val="009C1CA7"/>
    <w:rsid w:val="009C1CB6"/>
    <w:rsid w:val="009C1CB9"/>
    <w:rsid w:val="009C1E01"/>
    <w:rsid w:val="009C2006"/>
    <w:rsid w:val="009C20A2"/>
    <w:rsid w:val="009C227A"/>
    <w:rsid w:val="009C22A5"/>
    <w:rsid w:val="009C245C"/>
    <w:rsid w:val="009C245F"/>
    <w:rsid w:val="009C265B"/>
    <w:rsid w:val="009C2946"/>
    <w:rsid w:val="009C2C55"/>
    <w:rsid w:val="009C2D28"/>
    <w:rsid w:val="009C2D55"/>
    <w:rsid w:val="009C2D6C"/>
    <w:rsid w:val="009C2DF9"/>
    <w:rsid w:val="009C2E3E"/>
    <w:rsid w:val="009C30F4"/>
    <w:rsid w:val="009C3172"/>
    <w:rsid w:val="009C31EA"/>
    <w:rsid w:val="009C3225"/>
    <w:rsid w:val="009C32B5"/>
    <w:rsid w:val="009C36EF"/>
    <w:rsid w:val="009C38E8"/>
    <w:rsid w:val="009C3927"/>
    <w:rsid w:val="009C3A32"/>
    <w:rsid w:val="009C3C39"/>
    <w:rsid w:val="009C3FA3"/>
    <w:rsid w:val="009C403E"/>
    <w:rsid w:val="009C422A"/>
    <w:rsid w:val="009C42E0"/>
    <w:rsid w:val="009C4368"/>
    <w:rsid w:val="009C4517"/>
    <w:rsid w:val="009C4538"/>
    <w:rsid w:val="009C45B6"/>
    <w:rsid w:val="009C45E9"/>
    <w:rsid w:val="009C46E9"/>
    <w:rsid w:val="009C475B"/>
    <w:rsid w:val="009C47BC"/>
    <w:rsid w:val="009C47BD"/>
    <w:rsid w:val="009C4AB2"/>
    <w:rsid w:val="009C4D70"/>
    <w:rsid w:val="009C4F38"/>
    <w:rsid w:val="009C4FDB"/>
    <w:rsid w:val="009C502D"/>
    <w:rsid w:val="009C50BB"/>
    <w:rsid w:val="009C50DA"/>
    <w:rsid w:val="009C5161"/>
    <w:rsid w:val="009C528F"/>
    <w:rsid w:val="009C5314"/>
    <w:rsid w:val="009C54F2"/>
    <w:rsid w:val="009C55E2"/>
    <w:rsid w:val="009C57B9"/>
    <w:rsid w:val="009C5A1F"/>
    <w:rsid w:val="009C5A2A"/>
    <w:rsid w:val="009C5A69"/>
    <w:rsid w:val="009C5ABA"/>
    <w:rsid w:val="009C5BAA"/>
    <w:rsid w:val="009C5BFE"/>
    <w:rsid w:val="009C5C7E"/>
    <w:rsid w:val="009C5D59"/>
    <w:rsid w:val="009C5D8E"/>
    <w:rsid w:val="009C5E2A"/>
    <w:rsid w:val="009C5E6E"/>
    <w:rsid w:val="009C6091"/>
    <w:rsid w:val="009C61B3"/>
    <w:rsid w:val="009C61FB"/>
    <w:rsid w:val="009C636F"/>
    <w:rsid w:val="009C63B1"/>
    <w:rsid w:val="009C64DD"/>
    <w:rsid w:val="009C6588"/>
    <w:rsid w:val="009C6631"/>
    <w:rsid w:val="009C6690"/>
    <w:rsid w:val="009C66B0"/>
    <w:rsid w:val="009C6752"/>
    <w:rsid w:val="009C68B4"/>
    <w:rsid w:val="009C692A"/>
    <w:rsid w:val="009C6AA8"/>
    <w:rsid w:val="009C6BE8"/>
    <w:rsid w:val="009C6D40"/>
    <w:rsid w:val="009C6E25"/>
    <w:rsid w:val="009C6E28"/>
    <w:rsid w:val="009C6E34"/>
    <w:rsid w:val="009C71A6"/>
    <w:rsid w:val="009C7231"/>
    <w:rsid w:val="009C7277"/>
    <w:rsid w:val="009C73D0"/>
    <w:rsid w:val="009C74EA"/>
    <w:rsid w:val="009C75BC"/>
    <w:rsid w:val="009C76BC"/>
    <w:rsid w:val="009C77C0"/>
    <w:rsid w:val="009C781E"/>
    <w:rsid w:val="009C7832"/>
    <w:rsid w:val="009C7AC6"/>
    <w:rsid w:val="009C7C8D"/>
    <w:rsid w:val="009C7DA3"/>
    <w:rsid w:val="009C7E37"/>
    <w:rsid w:val="009D0078"/>
    <w:rsid w:val="009D0126"/>
    <w:rsid w:val="009D0254"/>
    <w:rsid w:val="009D0351"/>
    <w:rsid w:val="009D04CD"/>
    <w:rsid w:val="009D053E"/>
    <w:rsid w:val="009D0547"/>
    <w:rsid w:val="009D0666"/>
    <w:rsid w:val="009D0BDB"/>
    <w:rsid w:val="009D0C7D"/>
    <w:rsid w:val="009D0CAF"/>
    <w:rsid w:val="009D129A"/>
    <w:rsid w:val="009D1695"/>
    <w:rsid w:val="009D1795"/>
    <w:rsid w:val="009D1835"/>
    <w:rsid w:val="009D1977"/>
    <w:rsid w:val="009D19B5"/>
    <w:rsid w:val="009D1A4F"/>
    <w:rsid w:val="009D1C25"/>
    <w:rsid w:val="009D1CBF"/>
    <w:rsid w:val="009D1E64"/>
    <w:rsid w:val="009D1E76"/>
    <w:rsid w:val="009D1E81"/>
    <w:rsid w:val="009D1ED3"/>
    <w:rsid w:val="009D203F"/>
    <w:rsid w:val="009D21A9"/>
    <w:rsid w:val="009D2337"/>
    <w:rsid w:val="009D2362"/>
    <w:rsid w:val="009D24A1"/>
    <w:rsid w:val="009D26CB"/>
    <w:rsid w:val="009D2750"/>
    <w:rsid w:val="009D28D8"/>
    <w:rsid w:val="009D292B"/>
    <w:rsid w:val="009D2A2E"/>
    <w:rsid w:val="009D2AF6"/>
    <w:rsid w:val="009D2AFC"/>
    <w:rsid w:val="009D2BA6"/>
    <w:rsid w:val="009D2DFF"/>
    <w:rsid w:val="009D3048"/>
    <w:rsid w:val="009D31C9"/>
    <w:rsid w:val="009D3259"/>
    <w:rsid w:val="009D3385"/>
    <w:rsid w:val="009D3439"/>
    <w:rsid w:val="009D34F1"/>
    <w:rsid w:val="009D38B9"/>
    <w:rsid w:val="009D3B4D"/>
    <w:rsid w:val="009D3EA0"/>
    <w:rsid w:val="009D3F15"/>
    <w:rsid w:val="009D3F5D"/>
    <w:rsid w:val="009D46EC"/>
    <w:rsid w:val="009D46F1"/>
    <w:rsid w:val="009D486C"/>
    <w:rsid w:val="009D492D"/>
    <w:rsid w:val="009D4A8E"/>
    <w:rsid w:val="009D4A90"/>
    <w:rsid w:val="009D4BAA"/>
    <w:rsid w:val="009D4C36"/>
    <w:rsid w:val="009D4CD6"/>
    <w:rsid w:val="009D4D06"/>
    <w:rsid w:val="009D4EDC"/>
    <w:rsid w:val="009D4EF5"/>
    <w:rsid w:val="009D4F4C"/>
    <w:rsid w:val="009D50BA"/>
    <w:rsid w:val="009D50CD"/>
    <w:rsid w:val="009D5390"/>
    <w:rsid w:val="009D55FB"/>
    <w:rsid w:val="009D56AC"/>
    <w:rsid w:val="009D56DA"/>
    <w:rsid w:val="009D56E5"/>
    <w:rsid w:val="009D57B6"/>
    <w:rsid w:val="009D5830"/>
    <w:rsid w:val="009D596A"/>
    <w:rsid w:val="009D5A0B"/>
    <w:rsid w:val="009D5AC2"/>
    <w:rsid w:val="009D5B92"/>
    <w:rsid w:val="009D5C78"/>
    <w:rsid w:val="009D5DB1"/>
    <w:rsid w:val="009D5E16"/>
    <w:rsid w:val="009D5E99"/>
    <w:rsid w:val="009D5ED5"/>
    <w:rsid w:val="009D6185"/>
    <w:rsid w:val="009D6239"/>
    <w:rsid w:val="009D635A"/>
    <w:rsid w:val="009D64F2"/>
    <w:rsid w:val="009D65DD"/>
    <w:rsid w:val="009D6640"/>
    <w:rsid w:val="009D667E"/>
    <w:rsid w:val="009D6684"/>
    <w:rsid w:val="009D6791"/>
    <w:rsid w:val="009D68D2"/>
    <w:rsid w:val="009D698C"/>
    <w:rsid w:val="009D6AF6"/>
    <w:rsid w:val="009D6C67"/>
    <w:rsid w:val="009D6DF4"/>
    <w:rsid w:val="009D6E49"/>
    <w:rsid w:val="009D6F3C"/>
    <w:rsid w:val="009D700A"/>
    <w:rsid w:val="009D70D5"/>
    <w:rsid w:val="009D70FD"/>
    <w:rsid w:val="009D748D"/>
    <w:rsid w:val="009D75FF"/>
    <w:rsid w:val="009D7995"/>
    <w:rsid w:val="009D7A1E"/>
    <w:rsid w:val="009D7A2C"/>
    <w:rsid w:val="009D7B93"/>
    <w:rsid w:val="009D7C61"/>
    <w:rsid w:val="009D7C89"/>
    <w:rsid w:val="009D7C90"/>
    <w:rsid w:val="009D7CA5"/>
    <w:rsid w:val="009D7D84"/>
    <w:rsid w:val="009D7DA1"/>
    <w:rsid w:val="009D7DBF"/>
    <w:rsid w:val="009D7E88"/>
    <w:rsid w:val="009E0047"/>
    <w:rsid w:val="009E006E"/>
    <w:rsid w:val="009E0086"/>
    <w:rsid w:val="009E00B2"/>
    <w:rsid w:val="009E0146"/>
    <w:rsid w:val="009E02E8"/>
    <w:rsid w:val="009E03C6"/>
    <w:rsid w:val="009E040B"/>
    <w:rsid w:val="009E048D"/>
    <w:rsid w:val="009E0491"/>
    <w:rsid w:val="009E04B4"/>
    <w:rsid w:val="009E0531"/>
    <w:rsid w:val="009E05D1"/>
    <w:rsid w:val="009E084F"/>
    <w:rsid w:val="009E0A26"/>
    <w:rsid w:val="009E0A37"/>
    <w:rsid w:val="009E0AEC"/>
    <w:rsid w:val="009E0EC6"/>
    <w:rsid w:val="009E0F09"/>
    <w:rsid w:val="009E100E"/>
    <w:rsid w:val="009E1084"/>
    <w:rsid w:val="009E10FF"/>
    <w:rsid w:val="009E1193"/>
    <w:rsid w:val="009E1234"/>
    <w:rsid w:val="009E1476"/>
    <w:rsid w:val="009E164E"/>
    <w:rsid w:val="009E16C3"/>
    <w:rsid w:val="009E16CD"/>
    <w:rsid w:val="009E16E3"/>
    <w:rsid w:val="009E17D5"/>
    <w:rsid w:val="009E189D"/>
    <w:rsid w:val="009E18DE"/>
    <w:rsid w:val="009E1A23"/>
    <w:rsid w:val="009E1B7F"/>
    <w:rsid w:val="009E1EBC"/>
    <w:rsid w:val="009E2173"/>
    <w:rsid w:val="009E2313"/>
    <w:rsid w:val="009E2327"/>
    <w:rsid w:val="009E23D8"/>
    <w:rsid w:val="009E244C"/>
    <w:rsid w:val="009E2507"/>
    <w:rsid w:val="009E2561"/>
    <w:rsid w:val="009E2974"/>
    <w:rsid w:val="009E2A7C"/>
    <w:rsid w:val="009E2AEE"/>
    <w:rsid w:val="009E2B2F"/>
    <w:rsid w:val="009E2B75"/>
    <w:rsid w:val="009E2C3C"/>
    <w:rsid w:val="009E2D08"/>
    <w:rsid w:val="009E3009"/>
    <w:rsid w:val="009E31FB"/>
    <w:rsid w:val="009E323C"/>
    <w:rsid w:val="009E3270"/>
    <w:rsid w:val="009E332D"/>
    <w:rsid w:val="009E346A"/>
    <w:rsid w:val="009E3597"/>
    <w:rsid w:val="009E3669"/>
    <w:rsid w:val="009E3681"/>
    <w:rsid w:val="009E3684"/>
    <w:rsid w:val="009E3811"/>
    <w:rsid w:val="009E381A"/>
    <w:rsid w:val="009E38B4"/>
    <w:rsid w:val="009E3C3A"/>
    <w:rsid w:val="009E3D3E"/>
    <w:rsid w:val="009E3E61"/>
    <w:rsid w:val="009E3F3B"/>
    <w:rsid w:val="009E4117"/>
    <w:rsid w:val="009E450B"/>
    <w:rsid w:val="009E4523"/>
    <w:rsid w:val="009E4550"/>
    <w:rsid w:val="009E4751"/>
    <w:rsid w:val="009E4893"/>
    <w:rsid w:val="009E48E9"/>
    <w:rsid w:val="009E49C2"/>
    <w:rsid w:val="009E49DE"/>
    <w:rsid w:val="009E49E0"/>
    <w:rsid w:val="009E4A4B"/>
    <w:rsid w:val="009E4B87"/>
    <w:rsid w:val="009E4E75"/>
    <w:rsid w:val="009E4F65"/>
    <w:rsid w:val="009E526C"/>
    <w:rsid w:val="009E528A"/>
    <w:rsid w:val="009E53B5"/>
    <w:rsid w:val="009E53DE"/>
    <w:rsid w:val="009E546B"/>
    <w:rsid w:val="009E553F"/>
    <w:rsid w:val="009E555C"/>
    <w:rsid w:val="009E56A7"/>
    <w:rsid w:val="009E5707"/>
    <w:rsid w:val="009E573F"/>
    <w:rsid w:val="009E5A87"/>
    <w:rsid w:val="009E5FC6"/>
    <w:rsid w:val="009E61FF"/>
    <w:rsid w:val="009E6224"/>
    <w:rsid w:val="009E649B"/>
    <w:rsid w:val="009E64D6"/>
    <w:rsid w:val="009E6763"/>
    <w:rsid w:val="009E690A"/>
    <w:rsid w:val="009E69AB"/>
    <w:rsid w:val="009E6ADD"/>
    <w:rsid w:val="009E6BC9"/>
    <w:rsid w:val="009E6C6B"/>
    <w:rsid w:val="009E6F10"/>
    <w:rsid w:val="009E6F6F"/>
    <w:rsid w:val="009E6FD6"/>
    <w:rsid w:val="009E6FE9"/>
    <w:rsid w:val="009E71A7"/>
    <w:rsid w:val="009E71A9"/>
    <w:rsid w:val="009E724D"/>
    <w:rsid w:val="009E72D0"/>
    <w:rsid w:val="009E7342"/>
    <w:rsid w:val="009E73BD"/>
    <w:rsid w:val="009E73F5"/>
    <w:rsid w:val="009E7765"/>
    <w:rsid w:val="009E77F5"/>
    <w:rsid w:val="009E78BC"/>
    <w:rsid w:val="009E79DC"/>
    <w:rsid w:val="009E7B6F"/>
    <w:rsid w:val="009E7CE4"/>
    <w:rsid w:val="009E7EEF"/>
    <w:rsid w:val="009F0287"/>
    <w:rsid w:val="009F029B"/>
    <w:rsid w:val="009F02DC"/>
    <w:rsid w:val="009F037D"/>
    <w:rsid w:val="009F03FD"/>
    <w:rsid w:val="009F04E0"/>
    <w:rsid w:val="009F0555"/>
    <w:rsid w:val="009F071A"/>
    <w:rsid w:val="009F07A3"/>
    <w:rsid w:val="009F081E"/>
    <w:rsid w:val="009F0A3E"/>
    <w:rsid w:val="009F0A99"/>
    <w:rsid w:val="009F0C92"/>
    <w:rsid w:val="009F0CA0"/>
    <w:rsid w:val="009F0E5F"/>
    <w:rsid w:val="009F0E72"/>
    <w:rsid w:val="009F0EA4"/>
    <w:rsid w:val="009F0F3B"/>
    <w:rsid w:val="009F1114"/>
    <w:rsid w:val="009F1125"/>
    <w:rsid w:val="009F1341"/>
    <w:rsid w:val="009F13E4"/>
    <w:rsid w:val="009F1465"/>
    <w:rsid w:val="009F15D1"/>
    <w:rsid w:val="009F16B5"/>
    <w:rsid w:val="009F195A"/>
    <w:rsid w:val="009F1A4C"/>
    <w:rsid w:val="009F1C68"/>
    <w:rsid w:val="009F1DC4"/>
    <w:rsid w:val="009F1DE0"/>
    <w:rsid w:val="009F2149"/>
    <w:rsid w:val="009F21F7"/>
    <w:rsid w:val="009F22CF"/>
    <w:rsid w:val="009F23CB"/>
    <w:rsid w:val="009F25D5"/>
    <w:rsid w:val="009F2666"/>
    <w:rsid w:val="009F26BC"/>
    <w:rsid w:val="009F27AE"/>
    <w:rsid w:val="009F2820"/>
    <w:rsid w:val="009F28FA"/>
    <w:rsid w:val="009F29E2"/>
    <w:rsid w:val="009F2AA1"/>
    <w:rsid w:val="009F2AB2"/>
    <w:rsid w:val="009F2BCD"/>
    <w:rsid w:val="009F2BE2"/>
    <w:rsid w:val="009F2E4D"/>
    <w:rsid w:val="009F2E79"/>
    <w:rsid w:val="009F2EE6"/>
    <w:rsid w:val="009F3033"/>
    <w:rsid w:val="009F31EB"/>
    <w:rsid w:val="009F341F"/>
    <w:rsid w:val="009F348A"/>
    <w:rsid w:val="009F3563"/>
    <w:rsid w:val="009F3743"/>
    <w:rsid w:val="009F3759"/>
    <w:rsid w:val="009F37AD"/>
    <w:rsid w:val="009F38BC"/>
    <w:rsid w:val="009F3C12"/>
    <w:rsid w:val="009F3C28"/>
    <w:rsid w:val="009F3D6B"/>
    <w:rsid w:val="009F3DBA"/>
    <w:rsid w:val="009F3EF9"/>
    <w:rsid w:val="009F3F11"/>
    <w:rsid w:val="009F40A5"/>
    <w:rsid w:val="009F4323"/>
    <w:rsid w:val="009F43FF"/>
    <w:rsid w:val="009F448C"/>
    <w:rsid w:val="009F45D2"/>
    <w:rsid w:val="009F4729"/>
    <w:rsid w:val="009F47DE"/>
    <w:rsid w:val="009F48A3"/>
    <w:rsid w:val="009F4991"/>
    <w:rsid w:val="009F4D0E"/>
    <w:rsid w:val="009F5395"/>
    <w:rsid w:val="009F53A5"/>
    <w:rsid w:val="009F54AD"/>
    <w:rsid w:val="009F55A7"/>
    <w:rsid w:val="009F563C"/>
    <w:rsid w:val="009F56B5"/>
    <w:rsid w:val="009F5847"/>
    <w:rsid w:val="009F59A0"/>
    <w:rsid w:val="009F5A4B"/>
    <w:rsid w:val="009F5A50"/>
    <w:rsid w:val="009F5BA2"/>
    <w:rsid w:val="009F5BD0"/>
    <w:rsid w:val="009F6254"/>
    <w:rsid w:val="009F63A1"/>
    <w:rsid w:val="009F64BE"/>
    <w:rsid w:val="009F64D3"/>
    <w:rsid w:val="009F65C3"/>
    <w:rsid w:val="009F6680"/>
    <w:rsid w:val="009F6937"/>
    <w:rsid w:val="009F693B"/>
    <w:rsid w:val="009F6AF4"/>
    <w:rsid w:val="009F6BFC"/>
    <w:rsid w:val="009F6C5B"/>
    <w:rsid w:val="009F6CC3"/>
    <w:rsid w:val="009F6CE9"/>
    <w:rsid w:val="009F6DC9"/>
    <w:rsid w:val="009F6F1C"/>
    <w:rsid w:val="009F6FDA"/>
    <w:rsid w:val="009F701D"/>
    <w:rsid w:val="009F70B9"/>
    <w:rsid w:val="009F70E6"/>
    <w:rsid w:val="009F7168"/>
    <w:rsid w:val="009F7321"/>
    <w:rsid w:val="009F733C"/>
    <w:rsid w:val="009F7539"/>
    <w:rsid w:val="009F7576"/>
    <w:rsid w:val="009F778F"/>
    <w:rsid w:val="009F7831"/>
    <w:rsid w:val="009F7954"/>
    <w:rsid w:val="009F7A99"/>
    <w:rsid w:val="009F7E53"/>
    <w:rsid w:val="009F7EC4"/>
    <w:rsid w:val="009F7F87"/>
    <w:rsid w:val="009F7FD9"/>
    <w:rsid w:val="00A00004"/>
    <w:rsid w:val="00A000A1"/>
    <w:rsid w:val="00A0013E"/>
    <w:rsid w:val="00A002C7"/>
    <w:rsid w:val="00A0036C"/>
    <w:rsid w:val="00A00516"/>
    <w:rsid w:val="00A00812"/>
    <w:rsid w:val="00A00D19"/>
    <w:rsid w:val="00A00D2D"/>
    <w:rsid w:val="00A00D2E"/>
    <w:rsid w:val="00A00D6B"/>
    <w:rsid w:val="00A00DB4"/>
    <w:rsid w:val="00A00EF6"/>
    <w:rsid w:val="00A00F2D"/>
    <w:rsid w:val="00A01039"/>
    <w:rsid w:val="00A010C3"/>
    <w:rsid w:val="00A01120"/>
    <w:rsid w:val="00A011A5"/>
    <w:rsid w:val="00A01281"/>
    <w:rsid w:val="00A012F1"/>
    <w:rsid w:val="00A012FD"/>
    <w:rsid w:val="00A01371"/>
    <w:rsid w:val="00A01809"/>
    <w:rsid w:val="00A01825"/>
    <w:rsid w:val="00A0182F"/>
    <w:rsid w:val="00A019C3"/>
    <w:rsid w:val="00A01A43"/>
    <w:rsid w:val="00A01B93"/>
    <w:rsid w:val="00A02036"/>
    <w:rsid w:val="00A0217B"/>
    <w:rsid w:val="00A02192"/>
    <w:rsid w:val="00A0227E"/>
    <w:rsid w:val="00A022A7"/>
    <w:rsid w:val="00A02315"/>
    <w:rsid w:val="00A024B7"/>
    <w:rsid w:val="00A02887"/>
    <w:rsid w:val="00A02A44"/>
    <w:rsid w:val="00A02B35"/>
    <w:rsid w:val="00A02BCE"/>
    <w:rsid w:val="00A02C5B"/>
    <w:rsid w:val="00A02CA3"/>
    <w:rsid w:val="00A02CF2"/>
    <w:rsid w:val="00A02D13"/>
    <w:rsid w:val="00A02DB0"/>
    <w:rsid w:val="00A02E59"/>
    <w:rsid w:val="00A0304F"/>
    <w:rsid w:val="00A03156"/>
    <w:rsid w:val="00A03180"/>
    <w:rsid w:val="00A033D8"/>
    <w:rsid w:val="00A03489"/>
    <w:rsid w:val="00A034D3"/>
    <w:rsid w:val="00A03524"/>
    <w:rsid w:val="00A03760"/>
    <w:rsid w:val="00A03779"/>
    <w:rsid w:val="00A0381C"/>
    <w:rsid w:val="00A03933"/>
    <w:rsid w:val="00A03970"/>
    <w:rsid w:val="00A03B5D"/>
    <w:rsid w:val="00A03F4D"/>
    <w:rsid w:val="00A04098"/>
    <w:rsid w:val="00A04201"/>
    <w:rsid w:val="00A04229"/>
    <w:rsid w:val="00A04282"/>
    <w:rsid w:val="00A0429A"/>
    <w:rsid w:val="00A0441C"/>
    <w:rsid w:val="00A04492"/>
    <w:rsid w:val="00A044BA"/>
    <w:rsid w:val="00A0454B"/>
    <w:rsid w:val="00A045E9"/>
    <w:rsid w:val="00A04651"/>
    <w:rsid w:val="00A04812"/>
    <w:rsid w:val="00A04902"/>
    <w:rsid w:val="00A0498B"/>
    <w:rsid w:val="00A04C26"/>
    <w:rsid w:val="00A04CB7"/>
    <w:rsid w:val="00A04DA0"/>
    <w:rsid w:val="00A04EFD"/>
    <w:rsid w:val="00A04F50"/>
    <w:rsid w:val="00A04FE2"/>
    <w:rsid w:val="00A05068"/>
    <w:rsid w:val="00A0521C"/>
    <w:rsid w:val="00A0524D"/>
    <w:rsid w:val="00A05254"/>
    <w:rsid w:val="00A05428"/>
    <w:rsid w:val="00A05557"/>
    <w:rsid w:val="00A0558E"/>
    <w:rsid w:val="00A056C9"/>
    <w:rsid w:val="00A057CE"/>
    <w:rsid w:val="00A057FE"/>
    <w:rsid w:val="00A058DF"/>
    <w:rsid w:val="00A059D3"/>
    <w:rsid w:val="00A05A19"/>
    <w:rsid w:val="00A05B3C"/>
    <w:rsid w:val="00A05BEE"/>
    <w:rsid w:val="00A05BF3"/>
    <w:rsid w:val="00A05EAE"/>
    <w:rsid w:val="00A06137"/>
    <w:rsid w:val="00A0645E"/>
    <w:rsid w:val="00A065FC"/>
    <w:rsid w:val="00A0662C"/>
    <w:rsid w:val="00A066A1"/>
    <w:rsid w:val="00A06707"/>
    <w:rsid w:val="00A06C2F"/>
    <w:rsid w:val="00A06D6C"/>
    <w:rsid w:val="00A06E86"/>
    <w:rsid w:val="00A06F2A"/>
    <w:rsid w:val="00A0703F"/>
    <w:rsid w:val="00A070BD"/>
    <w:rsid w:val="00A070C7"/>
    <w:rsid w:val="00A072F8"/>
    <w:rsid w:val="00A0737F"/>
    <w:rsid w:val="00A07383"/>
    <w:rsid w:val="00A0753B"/>
    <w:rsid w:val="00A07569"/>
    <w:rsid w:val="00A07736"/>
    <w:rsid w:val="00A0775F"/>
    <w:rsid w:val="00A07B4D"/>
    <w:rsid w:val="00A07CCD"/>
    <w:rsid w:val="00A07E41"/>
    <w:rsid w:val="00A07F31"/>
    <w:rsid w:val="00A07FA6"/>
    <w:rsid w:val="00A07FC0"/>
    <w:rsid w:val="00A102D7"/>
    <w:rsid w:val="00A10409"/>
    <w:rsid w:val="00A1045B"/>
    <w:rsid w:val="00A10509"/>
    <w:rsid w:val="00A105BA"/>
    <w:rsid w:val="00A10AC3"/>
    <w:rsid w:val="00A10AC9"/>
    <w:rsid w:val="00A10B1F"/>
    <w:rsid w:val="00A10C92"/>
    <w:rsid w:val="00A10CB7"/>
    <w:rsid w:val="00A10E97"/>
    <w:rsid w:val="00A10EAA"/>
    <w:rsid w:val="00A10EC5"/>
    <w:rsid w:val="00A10EFB"/>
    <w:rsid w:val="00A11035"/>
    <w:rsid w:val="00A110F0"/>
    <w:rsid w:val="00A1117A"/>
    <w:rsid w:val="00A111AA"/>
    <w:rsid w:val="00A111F1"/>
    <w:rsid w:val="00A11237"/>
    <w:rsid w:val="00A11377"/>
    <w:rsid w:val="00A11440"/>
    <w:rsid w:val="00A114BB"/>
    <w:rsid w:val="00A115EA"/>
    <w:rsid w:val="00A1192A"/>
    <w:rsid w:val="00A119D0"/>
    <w:rsid w:val="00A11B09"/>
    <w:rsid w:val="00A11BE1"/>
    <w:rsid w:val="00A11C30"/>
    <w:rsid w:val="00A1202E"/>
    <w:rsid w:val="00A122C2"/>
    <w:rsid w:val="00A122FA"/>
    <w:rsid w:val="00A12319"/>
    <w:rsid w:val="00A123F6"/>
    <w:rsid w:val="00A12428"/>
    <w:rsid w:val="00A124DD"/>
    <w:rsid w:val="00A12591"/>
    <w:rsid w:val="00A1268B"/>
    <w:rsid w:val="00A126DD"/>
    <w:rsid w:val="00A129AA"/>
    <w:rsid w:val="00A12AE8"/>
    <w:rsid w:val="00A12BB3"/>
    <w:rsid w:val="00A12BD9"/>
    <w:rsid w:val="00A12C4E"/>
    <w:rsid w:val="00A12C63"/>
    <w:rsid w:val="00A12D26"/>
    <w:rsid w:val="00A12E55"/>
    <w:rsid w:val="00A12E6B"/>
    <w:rsid w:val="00A12F21"/>
    <w:rsid w:val="00A131FD"/>
    <w:rsid w:val="00A13477"/>
    <w:rsid w:val="00A136F4"/>
    <w:rsid w:val="00A1381B"/>
    <w:rsid w:val="00A138F5"/>
    <w:rsid w:val="00A13981"/>
    <w:rsid w:val="00A13A58"/>
    <w:rsid w:val="00A13A78"/>
    <w:rsid w:val="00A13AD4"/>
    <w:rsid w:val="00A13B5B"/>
    <w:rsid w:val="00A13E6D"/>
    <w:rsid w:val="00A140B7"/>
    <w:rsid w:val="00A14174"/>
    <w:rsid w:val="00A141B1"/>
    <w:rsid w:val="00A14229"/>
    <w:rsid w:val="00A142AC"/>
    <w:rsid w:val="00A142B7"/>
    <w:rsid w:val="00A14421"/>
    <w:rsid w:val="00A14614"/>
    <w:rsid w:val="00A14678"/>
    <w:rsid w:val="00A14803"/>
    <w:rsid w:val="00A14905"/>
    <w:rsid w:val="00A149FA"/>
    <w:rsid w:val="00A14B71"/>
    <w:rsid w:val="00A14DE6"/>
    <w:rsid w:val="00A14EE8"/>
    <w:rsid w:val="00A14FB0"/>
    <w:rsid w:val="00A15046"/>
    <w:rsid w:val="00A150BD"/>
    <w:rsid w:val="00A151D1"/>
    <w:rsid w:val="00A151F3"/>
    <w:rsid w:val="00A15354"/>
    <w:rsid w:val="00A15486"/>
    <w:rsid w:val="00A1550E"/>
    <w:rsid w:val="00A155F1"/>
    <w:rsid w:val="00A15801"/>
    <w:rsid w:val="00A15ADB"/>
    <w:rsid w:val="00A15C21"/>
    <w:rsid w:val="00A15D0B"/>
    <w:rsid w:val="00A15DE3"/>
    <w:rsid w:val="00A15E5F"/>
    <w:rsid w:val="00A15E87"/>
    <w:rsid w:val="00A15EDB"/>
    <w:rsid w:val="00A1620A"/>
    <w:rsid w:val="00A16266"/>
    <w:rsid w:val="00A16329"/>
    <w:rsid w:val="00A16353"/>
    <w:rsid w:val="00A16364"/>
    <w:rsid w:val="00A16396"/>
    <w:rsid w:val="00A16416"/>
    <w:rsid w:val="00A16613"/>
    <w:rsid w:val="00A16658"/>
    <w:rsid w:val="00A166A1"/>
    <w:rsid w:val="00A167E0"/>
    <w:rsid w:val="00A168AE"/>
    <w:rsid w:val="00A168B8"/>
    <w:rsid w:val="00A16A29"/>
    <w:rsid w:val="00A16C26"/>
    <w:rsid w:val="00A16C29"/>
    <w:rsid w:val="00A16C7B"/>
    <w:rsid w:val="00A16CB1"/>
    <w:rsid w:val="00A16CE7"/>
    <w:rsid w:val="00A16D3B"/>
    <w:rsid w:val="00A16D6B"/>
    <w:rsid w:val="00A16E27"/>
    <w:rsid w:val="00A1712A"/>
    <w:rsid w:val="00A171F8"/>
    <w:rsid w:val="00A171FC"/>
    <w:rsid w:val="00A172B7"/>
    <w:rsid w:val="00A172BE"/>
    <w:rsid w:val="00A172CF"/>
    <w:rsid w:val="00A17376"/>
    <w:rsid w:val="00A1739A"/>
    <w:rsid w:val="00A1743D"/>
    <w:rsid w:val="00A17552"/>
    <w:rsid w:val="00A176AA"/>
    <w:rsid w:val="00A177FA"/>
    <w:rsid w:val="00A1798E"/>
    <w:rsid w:val="00A179ED"/>
    <w:rsid w:val="00A17B4C"/>
    <w:rsid w:val="00A17B82"/>
    <w:rsid w:val="00A17BCD"/>
    <w:rsid w:val="00A17BDC"/>
    <w:rsid w:val="00A17CAF"/>
    <w:rsid w:val="00A17E00"/>
    <w:rsid w:val="00A17E75"/>
    <w:rsid w:val="00A17FE4"/>
    <w:rsid w:val="00A2024C"/>
    <w:rsid w:val="00A202AD"/>
    <w:rsid w:val="00A20348"/>
    <w:rsid w:val="00A204AC"/>
    <w:rsid w:val="00A2075B"/>
    <w:rsid w:val="00A20855"/>
    <w:rsid w:val="00A20BBC"/>
    <w:rsid w:val="00A20C37"/>
    <w:rsid w:val="00A20E11"/>
    <w:rsid w:val="00A20FEC"/>
    <w:rsid w:val="00A210E9"/>
    <w:rsid w:val="00A2114C"/>
    <w:rsid w:val="00A2135E"/>
    <w:rsid w:val="00A21575"/>
    <w:rsid w:val="00A2163B"/>
    <w:rsid w:val="00A2184B"/>
    <w:rsid w:val="00A2184E"/>
    <w:rsid w:val="00A21948"/>
    <w:rsid w:val="00A219CB"/>
    <w:rsid w:val="00A219E5"/>
    <w:rsid w:val="00A21A6C"/>
    <w:rsid w:val="00A21AFE"/>
    <w:rsid w:val="00A21DD2"/>
    <w:rsid w:val="00A220D1"/>
    <w:rsid w:val="00A2213F"/>
    <w:rsid w:val="00A22287"/>
    <w:rsid w:val="00A2233B"/>
    <w:rsid w:val="00A2234B"/>
    <w:rsid w:val="00A22417"/>
    <w:rsid w:val="00A22495"/>
    <w:rsid w:val="00A22A46"/>
    <w:rsid w:val="00A22E09"/>
    <w:rsid w:val="00A22EFC"/>
    <w:rsid w:val="00A2313C"/>
    <w:rsid w:val="00A23195"/>
    <w:rsid w:val="00A231FE"/>
    <w:rsid w:val="00A23320"/>
    <w:rsid w:val="00A23460"/>
    <w:rsid w:val="00A23742"/>
    <w:rsid w:val="00A2377B"/>
    <w:rsid w:val="00A23811"/>
    <w:rsid w:val="00A23BEE"/>
    <w:rsid w:val="00A23C0E"/>
    <w:rsid w:val="00A23DE8"/>
    <w:rsid w:val="00A23E64"/>
    <w:rsid w:val="00A23E6A"/>
    <w:rsid w:val="00A23E7E"/>
    <w:rsid w:val="00A23F03"/>
    <w:rsid w:val="00A23F1A"/>
    <w:rsid w:val="00A240C3"/>
    <w:rsid w:val="00A2429A"/>
    <w:rsid w:val="00A2433E"/>
    <w:rsid w:val="00A243BE"/>
    <w:rsid w:val="00A245B9"/>
    <w:rsid w:val="00A2462E"/>
    <w:rsid w:val="00A2475A"/>
    <w:rsid w:val="00A24774"/>
    <w:rsid w:val="00A247AB"/>
    <w:rsid w:val="00A247CE"/>
    <w:rsid w:val="00A24854"/>
    <w:rsid w:val="00A249AA"/>
    <w:rsid w:val="00A24A48"/>
    <w:rsid w:val="00A24B69"/>
    <w:rsid w:val="00A24BFF"/>
    <w:rsid w:val="00A24C21"/>
    <w:rsid w:val="00A24C26"/>
    <w:rsid w:val="00A24F82"/>
    <w:rsid w:val="00A250F9"/>
    <w:rsid w:val="00A25166"/>
    <w:rsid w:val="00A25269"/>
    <w:rsid w:val="00A2527C"/>
    <w:rsid w:val="00A252C8"/>
    <w:rsid w:val="00A2540D"/>
    <w:rsid w:val="00A25440"/>
    <w:rsid w:val="00A25461"/>
    <w:rsid w:val="00A25511"/>
    <w:rsid w:val="00A2552D"/>
    <w:rsid w:val="00A256B7"/>
    <w:rsid w:val="00A25747"/>
    <w:rsid w:val="00A25766"/>
    <w:rsid w:val="00A25804"/>
    <w:rsid w:val="00A2594D"/>
    <w:rsid w:val="00A25983"/>
    <w:rsid w:val="00A25AD7"/>
    <w:rsid w:val="00A25B38"/>
    <w:rsid w:val="00A25B46"/>
    <w:rsid w:val="00A25BE3"/>
    <w:rsid w:val="00A25BF6"/>
    <w:rsid w:val="00A25CDB"/>
    <w:rsid w:val="00A25CF0"/>
    <w:rsid w:val="00A25D51"/>
    <w:rsid w:val="00A25E29"/>
    <w:rsid w:val="00A25E3B"/>
    <w:rsid w:val="00A26055"/>
    <w:rsid w:val="00A26259"/>
    <w:rsid w:val="00A26320"/>
    <w:rsid w:val="00A26563"/>
    <w:rsid w:val="00A2656B"/>
    <w:rsid w:val="00A2662A"/>
    <w:rsid w:val="00A26637"/>
    <w:rsid w:val="00A2674D"/>
    <w:rsid w:val="00A26841"/>
    <w:rsid w:val="00A268A9"/>
    <w:rsid w:val="00A268CD"/>
    <w:rsid w:val="00A26902"/>
    <w:rsid w:val="00A26A44"/>
    <w:rsid w:val="00A26A62"/>
    <w:rsid w:val="00A26ADE"/>
    <w:rsid w:val="00A26BE8"/>
    <w:rsid w:val="00A26C06"/>
    <w:rsid w:val="00A26C39"/>
    <w:rsid w:val="00A26D3E"/>
    <w:rsid w:val="00A26D4E"/>
    <w:rsid w:val="00A26DB0"/>
    <w:rsid w:val="00A26E6B"/>
    <w:rsid w:val="00A26EFD"/>
    <w:rsid w:val="00A26F2D"/>
    <w:rsid w:val="00A26F6C"/>
    <w:rsid w:val="00A27225"/>
    <w:rsid w:val="00A2737E"/>
    <w:rsid w:val="00A27569"/>
    <w:rsid w:val="00A27716"/>
    <w:rsid w:val="00A277DB"/>
    <w:rsid w:val="00A2785B"/>
    <w:rsid w:val="00A27972"/>
    <w:rsid w:val="00A27A08"/>
    <w:rsid w:val="00A27B12"/>
    <w:rsid w:val="00A27BED"/>
    <w:rsid w:val="00A27C3A"/>
    <w:rsid w:val="00A27C42"/>
    <w:rsid w:val="00A27C47"/>
    <w:rsid w:val="00A27D1B"/>
    <w:rsid w:val="00A27DFC"/>
    <w:rsid w:val="00A27E15"/>
    <w:rsid w:val="00A27F7D"/>
    <w:rsid w:val="00A30114"/>
    <w:rsid w:val="00A302E8"/>
    <w:rsid w:val="00A3033A"/>
    <w:rsid w:val="00A303AE"/>
    <w:rsid w:val="00A303F7"/>
    <w:rsid w:val="00A30422"/>
    <w:rsid w:val="00A306B9"/>
    <w:rsid w:val="00A307BD"/>
    <w:rsid w:val="00A30B9A"/>
    <w:rsid w:val="00A30C44"/>
    <w:rsid w:val="00A30CE3"/>
    <w:rsid w:val="00A30D97"/>
    <w:rsid w:val="00A30F13"/>
    <w:rsid w:val="00A30F81"/>
    <w:rsid w:val="00A3129E"/>
    <w:rsid w:val="00A312F0"/>
    <w:rsid w:val="00A313B2"/>
    <w:rsid w:val="00A313B4"/>
    <w:rsid w:val="00A3146E"/>
    <w:rsid w:val="00A314E1"/>
    <w:rsid w:val="00A31504"/>
    <w:rsid w:val="00A3168B"/>
    <w:rsid w:val="00A318D5"/>
    <w:rsid w:val="00A31AC5"/>
    <w:rsid w:val="00A31B75"/>
    <w:rsid w:val="00A31C4B"/>
    <w:rsid w:val="00A31EE1"/>
    <w:rsid w:val="00A32031"/>
    <w:rsid w:val="00A320E0"/>
    <w:rsid w:val="00A3215B"/>
    <w:rsid w:val="00A321B6"/>
    <w:rsid w:val="00A321E5"/>
    <w:rsid w:val="00A32329"/>
    <w:rsid w:val="00A32337"/>
    <w:rsid w:val="00A3246B"/>
    <w:rsid w:val="00A3247E"/>
    <w:rsid w:val="00A32595"/>
    <w:rsid w:val="00A325B8"/>
    <w:rsid w:val="00A325DC"/>
    <w:rsid w:val="00A326A6"/>
    <w:rsid w:val="00A328E3"/>
    <w:rsid w:val="00A32976"/>
    <w:rsid w:val="00A32A52"/>
    <w:rsid w:val="00A32C34"/>
    <w:rsid w:val="00A32D3F"/>
    <w:rsid w:val="00A32DA4"/>
    <w:rsid w:val="00A33078"/>
    <w:rsid w:val="00A3312D"/>
    <w:rsid w:val="00A331C5"/>
    <w:rsid w:val="00A3323C"/>
    <w:rsid w:val="00A33249"/>
    <w:rsid w:val="00A3325D"/>
    <w:rsid w:val="00A332D7"/>
    <w:rsid w:val="00A33344"/>
    <w:rsid w:val="00A33594"/>
    <w:rsid w:val="00A33664"/>
    <w:rsid w:val="00A33699"/>
    <w:rsid w:val="00A3374F"/>
    <w:rsid w:val="00A33780"/>
    <w:rsid w:val="00A337E7"/>
    <w:rsid w:val="00A3384E"/>
    <w:rsid w:val="00A33961"/>
    <w:rsid w:val="00A3398F"/>
    <w:rsid w:val="00A33A03"/>
    <w:rsid w:val="00A33ADB"/>
    <w:rsid w:val="00A33AFB"/>
    <w:rsid w:val="00A33BFA"/>
    <w:rsid w:val="00A33C81"/>
    <w:rsid w:val="00A33C9F"/>
    <w:rsid w:val="00A33D5F"/>
    <w:rsid w:val="00A33D76"/>
    <w:rsid w:val="00A33DF7"/>
    <w:rsid w:val="00A33E43"/>
    <w:rsid w:val="00A33F47"/>
    <w:rsid w:val="00A34150"/>
    <w:rsid w:val="00A343CE"/>
    <w:rsid w:val="00A344EC"/>
    <w:rsid w:val="00A3454A"/>
    <w:rsid w:val="00A34572"/>
    <w:rsid w:val="00A3458E"/>
    <w:rsid w:val="00A346D4"/>
    <w:rsid w:val="00A34805"/>
    <w:rsid w:val="00A34808"/>
    <w:rsid w:val="00A34918"/>
    <w:rsid w:val="00A349BD"/>
    <w:rsid w:val="00A34A63"/>
    <w:rsid w:val="00A34A78"/>
    <w:rsid w:val="00A34AB2"/>
    <w:rsid w:val="00A34CCB"/>
    <w:rsid w:val="00A34E0F"/>
    <w:rsid w:val="00A34E8C"/>
    <w:rsid w:val="00A35011"/>
    <w:rsid w:val="00A35148"/>
    <w:rsid w:val="00A3519B"/>
    <w:rsid w:val="00A35242"/>
    <w:rsid w:val="00A353DE"/>
    <w:rsid w:val="00A35410"/>
    <w:rsid w:val="00A3546D"/>
    <w:rsid w:val="00A3555D"/>
    <w:rsid w:val="00A3558E"/>
    <w:rsid w:val="00A358AA"/>
    <w:rsid w:val="00A35940"/>
    <w:rsid w:val="00A359BD"/>
    <w:rsid w:val="00A35A3C"/>
    <w:rsid w:val="00A35CF1"/>
    <w:rsid w:val="00A35DBA"/>
    <w:rsid w:val="00A35DFE"/>
    <w:rsid w:val="00A35FB9"/>
    <w:rsid w:val="00A36019"/>
    <w:rsid w:val="00A361B8"/>
    <w:rsid w:val="00A36299"/>
    <w:rsid w:val="00A36420"/>
    <w:rsid w:val="00A3643E"/>
    <w:rsid w:val="00A365DC"/>
    <w:rsid w:val="00A366B7"/>
    <w:rsid w:val="00A366FF"/>
    <w:rsid w:val="00A367E3"/>
    <w:rsid w:val="00A36841"/>
    <w:rsid w:val="00A3691C"/>
    <w:rsid w:val="00A369CC"/>
    <w:rsid w:val="00A36D5D"/>
    <w:rsid w:val="00A36D84"/>
    <w:rsid w:val="00A36E07"/>
    <w:rsid w:val="00A36E3A"/>
    <w:rsid w:val="00A36E44"/>
    <w:rsid w:val="00A3717B"/>
    <w:rsid w:val="00A371ED"/>
    <w:rsid w:val="00A37274"/>
    <w:rsid w:val="00A3730B"/>
    <w:rsid w:val="00A3739D"/>
    <w:rsid w:val="00A373AA"/>
    <w:rsid w:val="00A374CD"/>
    <w:rsid w:val="00A375A7"/>
    <w:rsid w:val="00A37693"/>
    <w:rsid w:val="00A376B0"/>
    <w:rsid w:val="00A378A7"/>
    <w:rsid w:val="00A37CCD"/>
    <w:rsid w:val="00A37CEA"/>
    <w:rsid w:val="00A37DF7"/>
    <w:rsid w:val="00A37E52"/>
    <w:rsid w:val="00A37E66"/>
    <w:rsid w:val="00A37E8C"/>
    <w:rsid w:val="00A37EEB"/>
    <w:rsid w:val="00A37F41"/>
    <w:rsid w:val="00A37F4E"/>
    <w:rsid w:val="00A37FD1"/>
    <w:rsid w:val="00A38EA5"/>
    <w:rsid w:val="00A40102"/>
    <w:rsid w:val="00A4031B"/>
    <w:rsid w:val="00A403AA"/>
    <w:rsid w:val="00A40402"/>
    <w:rsid w:val="00A40417"/>
    <w:rsid w:val="00A40482"/>
    <w:rsid w:val="00A406D3"/>
    <w:rsid w:val="00A408A4"/>
    <w:rsid w:val="00A408C9"/>
    <w:rsid w:val="00A409D3"/>
    <w:rsid w:val="00A40C38"/>
    <w:rsid w:val="00A40DA4"/>
    <w:rsid w:val="00A40F76"/>
    <w:rsid w:val="00A40F7D"/>
    <w:rsid w:val="00A40FD0"/>
    <w:rsid w:val="00A410C0"/>
    <w:rsid w:val="00A41138"/>
    <w:rsid w:val="00A41156"/>
    <w:rsid w:val="00A411D3"/>
    <w:rsid w:val="00A411D8"/>
    <w:rsid w:val="00A4144F"/>
    <w:rsid w:val="00A4174D"/>
    <w:rsid w:val="00A41839"/>
    <w:rsid w:val="00A4183A"/>
    <w:rsid w:val="00A4193B"/>
    <w:rsid w:val="00A41978"/>
    <w:rsid w:val="00A41993"/>
    <w:rsid w:val="00A41BB4"/>
    <w:rsid w:val="00A41C6A"/>
    <w:rsid w:val="00A41D3F"/>
    <w:rsid w:val="00A41D7E"/>
    <w:rsid w:val="00A41DB1"/>
    <w:rsid w:val="00A41DC3"/>
    <w:rsid w:val="00A42039"/>
    <w:rsid w:val="00A42082"/>
    <w:rsid w:val="00A420D8"/>
    <w:rsid w:val="00A42202"/>
    <w:rsid w:val="00A422DA"/>
    <w:rsid w:val="00A423A6"/>
    <w:rsid w:val="00A423F2"/>
    <w:rsid w:val="00A42496"/>
    <w:rsid w:val="00A42514"/>
    <w:rsid w:val="00A42580"/>
    <w:rsid w:val="00A42667"/>
    <w:rsid w:val="00A42875"/>
    <w:rsid w:val="00A42914"/>
    <w:rsid w:val="00A42C4B"/>
    <w:rsid w:val="00A42C93"/>
    <w:rsid w:val="00A42FCD"/>
    <w:rsid w:val="00A43112"/>
    <w:rsid w:val="00A4312D"/>
    <w:rsid w:val="00A431FD"/>
    <w:rsid w:val="00A43232"/>
    <w:rsid w:val="00A43238"/>
    <w:rsid w:val="00A4345F"/>
    <w:rsid w:val="00A435BA"/>
    <w:rsid w:val="00A439EF"/>
    <w:rsid w:val="00A43CCA"/>
    <w:rsid w:val="00A43D4E"/>
    <w:rsid w:val="00A43EAA"/>
    <w:rsid w:val="00A44065"/>
    <w:rsid w:val="00A4433A"/>
    <w:rsid w:val="00A44346"/>
    <w:rsid w:val="00A44378"/>
    <w:rsid w:val="00A4445C"/>
    <w:rsid w:val="00A444C4"/>
    <w:rsid w:val="00A44542"/>
    <w:rsid w:val="00A445DB"/>
    <w:rsid w:val="00A446A2"/>
    <w:rsid w:val="00A44705"/>
    <w:rsid w:val="00A4474E"/>
    <w:rsid w:val="00A44829"/>
    <w:rsid w:val="00A448D4"/>
    <w:rsid w:val="00A44919"/>
    <w:rsid w:val="00A44950"/>
    <w:rsid w:val="00A4497D"/>
    <w:rsid w:val="00A44A21"/>
    <w:rsid w:val="00A44D2F"/>
    <w:rsid w:val="00A44D39"/>
    <w:rsid w:val="00A452D1"/>
    <w:rsid w:val="00A45487"/>
    <w:rsid w:val="00A454EB"/>
    <w:rsid w:val="00A4563C"/>
    <w:rsid w:val="00A45660"/>
    <w:rsid w:val="00A456B6"/>
    <w:rsid w:val="00A4572F"/>
    <w:rsid w:val="00A45855"/>
    <w:rsid w:val="00A4587A"/>
    <w:rsid w:val="00A45A79"/>
    <w:rsid w:val="00A45ADB"/>
    <w:rsid w:val="00A45B87"/>
    <w:rsid w:val="00A4601F"/>
    <w:rsid w:val="00A46148"/>
    <w:rsid w:val="00A461A6"/>
    <w:rsid w:val="00A4620D"/>
    <w:rsid w:val="00A463FA"/>
    <w:rsid w:val="00A4650A"/>
    <w:rsid w:val="00A46520"/>
    <w:rsid w:val="00A46774"/>
    <w:rsid w:val="00A4687D"/>
    <w:rsid w:val="00A46956"/>
    <w:rsid w:val="00A469EE"/>
    <w:rsid w:val="00A46A1C"/>
    <w:rsid w:val="00A46A73"/>
    <w:rsid w:val="00A46ABF"/>
    <w:rsid w:val="00A46ADF"/>
    <w:rsid w:val="00A46BAA"/>
    <w:rsid w:val="00A46E92"/>
    <w:rsid w:val="00A47117"/>
    <w:rsid w:val="00A471D2"/>
    <w:rsid w:val="00A4738F"/>
    <w:rsid w:val="00A473BC"/>
    <w:rsid w:val="00A47482"/>
    <w:rsid w:val="00A474A3"/>
    <w:rsid w:val="00A47540"/>
    <w:rsid w:val="00A47553"/>
    <w:rsid w:val="00A476A2"/>
    <w:rsid w:val="00A4780C"/>
    <w:rsid w:val="00A478F7"/>
    <w:rsid w:val="00A4798C"/>
    <w:rsid w:val="00A479F3"/>
    <w:rsid w:val="00A47A48"/>
    <w:rsid w:val="00A47B73"/>
    <w:rsid w:val="00A47B74"/>
    <w:rsid w:val="00A47BFB"/>
    <w:rsid w:val="00A501C5"/>
    <w:rsid w:val="00A501FA"/>
    <w:rsid w:val="00A50226"/>
    <w:rsid w:val="00A50255"/>
    <w:rsid w:val="00A503E4"/>
    <w:rsid w:val="00A50511"/>
    <w:rsid w:val="00A5051B"/>
    <w:rsid w:val="00A50742"/>
    <w:rsid w:val="00A507DC"/>
    <w:rsid w:val="00A50979"/>
    <w:rsid w:val="00A50C18"/>
    <w:rsid w:val="00A50CAB"/>
    <w:rsid w:val="00A50CB2"/>
    <w:rsid w:val="00A50D77"/>
    <w:rsid w:val="00A50E12"/>
    <w:rsid w:val="00A50F27"/>
    <w:rsid w:val="00A50F2C"/>
    <w:rsid w:val="00A50FC6"/>
    <w:rsid w:val="00A51098"/>
    <w:rsid w:val="00A5114D"/>
    <w:rsid w:val="00A5143C"/>
    <w:rsid w:val="00A51E1C"/>
    <w:rsid w:val="00A51E45"/>
    <w:rsid w:val="00A51F56"/>
    <w:rsid w:val="00A51F5C"/>
    <w:rsid w:val="00A51FCE"/>
    <w:rsid w:val="00A521E3"/>
    <w:rsid w:val="00A523F9"/>
    <w:rsid w:val="00A524B5"/>
    <w:rsid w:val="00A52504"/>
    <w:rsid w:val="00A52531"/>
    <w:rsid w:val="00A52640"/>
    <w:rsid w:val="00A526E9"/>
    <w:rsid w:val="00A52754"/>
    <w:rsid w:val="00A5277B"/>
    <w:rsid w:val="00A528DE"/>
    <w:rsid w:val="00A529DA"/>
    <w:rsid w:val="00A529F2"/>
    <w:rsid w:val="00A52A67"/>
    <w:rsid w:val="00A52C70"/>
    <w:rsid w:val="00A52D6F"/>
    <w:rsid w:val="00A52D98"/>
    <w:rsid w:val="00A52DB0"/>
    <w:rsid w:val="00A52DF7"/>
    <w:rsid w:val="00A52E12"/>
    <w:rsid w:val="00A530C5"/>
    <w:rsid w:val="00A531C5"/>
    <w:rsid w:val="00A53321"/>
    <w:rsid w:val="00A53386"/>
    <w:rsid w:val="00A533C2"/>
    <w:rsid w:val="00A533DB"/>
    <w:rsid w:val="00A533E9"/>
    <w:rsid w:val="00A5343E"/>
    <w:rsid w:val="00A534A4"/>
    <w:rsid w:val="00A5362F"/>
    <w:rsid w:val="00A53695"/>
    <w:rsid w:val="00A536DB"/>
    <w:rsid w:val="00A53712"/>
    <w:rsid w:val="00A537DD"/>
    <w:rsid w:val="00A53A82"/>
    <w:rsid w:val="00A53AC5"/>
    <w:rsid w:val="00A53D35"/>
    <w:rsid w:val="00A53D82"/>
    <w:rsid w:val="00A53D99"/>
    <w:rsid w:val="00A53DF7"/>
    <w:rsid w:val="00A53EE3"/>
    <w:rsid w:val="00A5403B"/>
    <w:rsid w:val="00A54061"/>
    <w:rsid w:val="00A5408C"/>
    <w:rsid w:val="00A54202"/>
    <w:rsid w:val="00A5430E"/>
    <w:rsid w:val="00A54399"/>
    <w:rsid w:val="00A547B7"/>
    <w:rsid w:val="00A5481D"/>
    <w:rsid w:val="00A54997"/>
    <w:rsid w:val="00A54A24"/>
    <w:rsid w:val="00A54B79"/>
    <w:rsid w:val="00A54C7D"/>
    <w:rsid w:val="00A54F82"/>
    <w:rsid w:val="00A54F84"/>
    <w:rsid w:val="00A5517F"/>
    <w:rsid w:val="00A552D7"/>
    <w:rsid w:val="00A55568"/>
    <w:rsid w:val="00A5566C"/>
    <w:rsid w:val="00A559C1"/>
    <w:rsid w:val="00A55A83"/>
    <w:rsid w:val="00A55BF9"/>
    <w:rsid w:val="00A55E5E"/>
    <w:rsid w:val="00A5607A"/>
    <w:rsid w:val="00A5607C"/>
    <w:rsid w:val="00A560FD"/>
    <w:rsid w:val="00A5634C"/>
    <w:rsid w:val="00A56416"/>
    <w:rsid w:val="00A56445"/>
    <w:rsid w:val="00A5644E"/>
    <w:rsid w:val="00A56472"/>
    <w:rsid w:val="00A56651"/>
    <w:rsid w:val="00A56774"/>
    <w:rsid w:val="00A5682E"/>
    <w:rsid w:val="00A56C6C"/>
    <w:rsid w:val="00A56F3C"/>
    <w:rsid w:val="00A5727C"/>
    <w:rsid w:val="00A5732A"/>
    <w:rsid w:val="00A57377"/>
    <w:rsid w:val="00A573BC"/>
    <w:rsid w:val="00A57552"/>
    <w:rsid w:val="00A576F3"/>
    <w:rsid w:val="00A57A82"/>
    <w:rsid w:val="00A57B15"/>
    <w:rsid w:val="00A57B26"/>
    <w:rsid w:val="00A57B82"/>
    <w:rsid w:val="00A57BF1"/>
    <w:rsid w:val="00A57D33"/>
    <w:rsid w:val="00A57E3A"/>
    <w:rsid w:val="00A57F68"/>
    <w:rsid w:val="00A59B8F"/>
    <w:rsid w:val="00A601F1"/>
    <w:rsid w:val="00A60437"/>
    <w:rsid w:val="00A60569"/>
    <w:rsid w:val="00A60774"/>
    <w:rsid w:val="00A60798"/>
    <w:rsid w:val="00A607C5"/>
    <w:rsid w:val="00A60AC7"/>
    <w:rsid w:val="00A60B5C"/>
    <w:rsid w:val="00A60C0B"/>
    <w:rsid w:val="00A60CDD"/>
    <w:rsid w:val="00A60D2E"/>
    <w:rsid w:val="00A60DCB"/>
    <w:rsid w:val="00A60DEC"/>
    <w:rsid w:val="00A60E17"/>
    <w:rsid w:val="00A60EA1"/>
    <w:rsid w:val="00A60F53"/>
    <w:rsid w:val="00A60F75"/>
    <w:rsid w:val="00A61057"/>
    <w:rsid w:val="00A61069"/>
    <w:rsid w:val="00A61090"/>
    <w:rsid w:val="00A61098"/>
    <w:rsid w:val="00A610A8"/>
    <w:rsid w:val="00A6110D"/>
    <w:rsid w:val="00A612A6"/>
    <w:rsid w:val="00A61433"/>
    <w:rsid w:val="00A6152A"/>
    <w:rsid w:val="00A615D2"/>
    <w:rsid w:val="00A6163A"/>
    <w:rsid w:val="00A61724"/>
    <w:rsid w:val="00A61AFD"/>
    <w:rsid w:val="00A61BB9"/>
    <w:rsid w:val="00A61BE9"/>
    <w:rsid w:val="00A61C52"/>
    <w:rsid w:val="00A61C9A"/>
    <w:rsid w:val="00A61EDC"/>
    <w:rsid w:val="00A62005"/>
    <w:rsid w:val="00A6204C"/>
    <w:rsid w:val="00A621A0"/>
    <w:rsid w:val="00A624DC"/>
    <w:rsid w:val="00A62564"/>
    <w:rsid w:val="00A6286B"/>
    <w:rsid w:val="00A62906"/>
    <w:rsid w:val="00A62B0D"/>
    <w:rsid w:val="00A62B51"/>
    <w:rsid w:val="00A62B7D"/>
    <w:rsid w:val="00A62C50"/>
    <w:rsid w:val="00A62C5F"/>
    <w:rsid w:val="00A62C99"/>
    <w:rsid w:val="00A62DFF"/>
    <w:rsid w:val="00A62F8F"/>
    <w:rsid w:val="00A6309B"/>
    <w:rsid w:val="00A632F4"/>
    <w:rsid w:val="00A633E3"/>
    <w:rsid w:val="00A635C1"/>
    <w:rsid w:val="00A63689"/>
    <w:rsid w:val="00A638FB"/>
    <w:rsid w:val="00A63BB0"/>
    <w:rsid w:val="00A63CD6"/>
    <w:rsid w:val="00A63E9A"/>
    <w:rsid w:val="00A640D6"/>
    <w:rsid w:val="00A64100"/>
    <w:rsid w:val="00A643A6"/>
    <w:rsid w:val="00A643B4"/>
    <w:rsid w:val="00A643B8"/>
    <w:rsid w:val="00A6456B"/>
    <w:rsid w:val="00A646A9"/>
    <w:rsid w:val="00A64796"/>
    <w:rsid w:val="00A64881"/>
    <w:rsid w:val="00A6488F"/>
    <w:rsid w:val="00A64AB3"/>
    <w:rsid w:val="00A64C1E"/>
    <w:rsid w:val="00A64CC2"/>
    <w:rsid w:val="00A64D98"/>
    <w:rsid w:val="00A64DD4"/>
    <w:rsid w:val="00A64EA9"/>
    <w:rsid w:val="00A64EC4"/>
    <w:rsid w:val="00A64ECB"/>
    <w:rsid w:val="00A65053"/>
    <w:rsid w:val="00A650A8"/>
    <w:rsid w:val="00A650E5"/>
    <w:rsid w:val="00A650FE"/>
    <w:rsid w:val="00A6518F"/>
    <w:rsid w:val="00A654AC"/>
    <w:rsid w:val="00A654D4"/>
    <w:rsid w:val="00A65568"/>
    <w:rsid w:val="00A6563B"/>
    <w:rsid w:val="00A65665"/>
    <w:rsid w:val="00A65793"/>
    <w:rsid w:val="00A657B9"/>
    <w:rsid w:val="00A65885"/>
    <w:rsid w:val="00A6590B"/>
    <w:rsid w:val="00A65951"/>
    <w:rsid w:val="00A65B3D"/>
    <w:rsid w:val="00A65BB5"/>
    <w:rsid w:val="00A66023"/>
    <w:rsid w:val="00A660C0"/>
    <w:rsid w:val="00A660FC"/>
    <w:rsid w:val="00A662A0"/>
    <w:rsid w:val="00A662B0"/>
    <w:rsid w:val="00A66308"/>
    <w:rsid w:val="00A6645B"/>
    <w:rsid w:val="00A6647F"/>
    <w:rsid w:val="00A665EF"/>
    <w:rsid w:val="00A66632"/>
    <w:rsid w:val="00A6664D"/>
    <w:rsid w:val="00A6666F"/>
    <w:rsid w:val="00A66778"/>
    <w:rsid w:val="00A6679D"/>
    <w:rsid w:val="00A6680E"/>
    <w:rsid w:val="00A6693F"/>
    <w:rsid w:val="00A66A22"/>
    <w:rsid w:val="00A66B0C"/>
    <w:rsid w:val="00A66B5C"/>
    <w:rsid w:val="00A66B85"/>
    <w:rsid w:val="00A66BE0"/>
    <w:rsid w:val="00A66CEF"/>
    <w:rsid w:val="00A66CF3"/>
    <w:rsid w:val="00A66F03"/>
    <w:rsid w:val="00A6721B"/>
    <w:rsid w:val="00A672B9"/>
    <w:rsid w:val="00A67339"/>
    <w:rsid w:val="00A6747B"/>
    <w:rsid w:val="00A67722"/>
    <w:rsid w:val="00A6776A"/>
    <w:rsid w:val="00A678ED"/>
    <w:rsid w:val="00A6792F"/>
    <w:rsid w:val="00A679FF"/>
    <w:rsid w:val="00A67ADA"/>
    <w:rsid w:val="00A67ECD"/>
    <w:rsid w:val="00A700C0"/>
    <w:rsid w:val="00A701C1"/>
    <w:rsid w:val="00A70288"/>
    <w:rsid w:val="00A703ED"/>
    <w:rsid w:val="00A7076D"/>
    <w:rsid w:val="00A7091F"/>
    <w:rsid w:val="00A70BC2"/>
    <w:rsid w:val="00A70CB8"/>
    <w:rsid w:val="00A70D39"/>
    <w:rsid w:val="00A70D3B"/>
    <w:rsid w:val="00A70E0B"/>
    <w:rsid w:val="00A71104"/>
    <w:rsid w:val="00A711A5"/>
    <w:rsid w:val="00A71266"/>
    <w:rsid w:val="00A71274"/>
    <w:rsid w:val="00A71575"/>
    <w:rsid w:val="00A716A7"/>
    <w:rsid w:val="00A71776"/>
    <w:rsid w:val="00A71AAC"/>
    <w:rsid w:val="00A71B8C"/>
    <w:rsid w:val="00A71D00"/>
    <w:rsid w:val="00A71E97"/>
    <w:rsid w:val="00A71F5F"/>
    <w:rsid w:val="00A71F98"/>
    <w:rsid w:val="00A72038"/>
    <w:rsid w:val="00A7204A"/>
    <w:rsid w:val="00A7218C"/>
    <w:rsid w:val="00A72193"/>
    <w:rsid w:val="00A72209"/>
    <w:rsid w:val="00A72387"/>
    <w:rsid w:val="00A723A4"/>
    <w:rsid w:val="00A724AF"/>
    <w:rsid w:val="00A725A0"/>
    <w:rsid w:val="00A72841"/>
    <w:rsid w:val="00A7284B"/>
    <w:rsid w:val="00A72888"/>
    <w:rsid w:val="00A728DF"/>
    <w:rsid w:val="00A72981"/>
    <w:rsid w:val="00A72989"/>
    <w:rsid w:val="00A72A6F"/>
    <w:rsid w:val="00A72BA4"/>
    <w:rsid w:val="00A72BAC"/>
    <w:rsid w:val="00A72BEC"/>
    <w:rsid w:val="00A72E1B"/>
    <w:rsid w:val="00A72E5A"/>
    <w:rsid w:val="00A72FC3"/>
    <w:rsid w:val="00A734A0"/>
    <w:rsid w:val="00A735B8"/>
    <w:rsid w:val="00A7364C"/>
    <w:rsid w:val="00A73669"/>
    <w:rsid w:val="00A7380C"/>
    <w:rsid w:val="00A738C1"/>
    <w:rsid w:val="00A73955"/>
    <w:rsid w:val="00A73A29"/>
    <w:rsid w:val="00A73A5B"/>
    <w:rsid w:val="00A73C28"/>
    <w:rsid w:val="00A73D1B"/>
    <w:rsid w:val="00A73DD7"/>
    <w:rsid w:val="00A73E0B"/>
    <w:rsid w:val="00A73ED3"/>
    <w:rsid w:val="00A74185"/>
    <w:rsid w:val="00A741CE"/>
    <w:rsid w:val="00A74283"/>
    <w:rsid w:val="00A74415"/>
    <w:rsid w:val="00A744D9"/>
    <w:rsid w:val="00A7459F"/>
    <w:rsid w:val="00A7463C"/>
    <w:rsid w:val="00A747FC"/>
    <w:rsid w:val="00A7485C"/>
    <w:rsid w:val="00A7493C"/>
    <w:rsid w:val="00A74A24"/>
    <w:rsid w:val="00A74A8F"/>
    <w:rsid w:val="00A74A93"/>
    <w:rsid w:val="00A74B57"/>
    <w:rsid w:val="00A74BFE"/>
    <w:rsid w:val="00A74CEE"/>
    <w:rsid w:val="00A74D8A"/>
    <w:rsid w:val="00A74E2D"/>
    <w:rsid w:val="00A75077"/>
    <w:rsid w:val="00A75214"/>
    <w:rsid w:val="00A752D4"/>
    <w:rsid w:val="00A75306"/>
    <w:rsid w:val="00A75434"/>
    <w:rsid w:val="00A75487"/>
    <w:rsid w:val="00A75502"/>
    <w:rsid w:val="00A7556E"/>
    <w:rsid w:val="00A755EA"/>
    <w:rsid w:val="00A7581F"/>
    <w:rsid w:val="00A75AC0"/>
    <w:rsid w:val="00A75AD5"/>
    <w:rsid w:val="00A75AF1"/>
    <w:rsid w:val="00A75C28"/>
    <w:rsid w:val="00A7600B"/>
    <w:rsid w:val="00A762D7"/>
    <w:rsid w:val="00A763C3"/>
    <w:rsid w:val="00A76410"/>
    <w:rsid w:val="00A7653C"/>
    <w:rsid w:val="00A765D2"/>
    <w:rsid w:val="00A7665B"/>
    <w:rsid w:val="00A76682"/>
    <w:rsid w:val="00A76934"/>
    <w:rsid w:val="00A76C0B"/>
    <w:rsid w:val="00A76CAF"/>
    <w:rsid w:val="00A76D76"/>
    <w:rsid w:val="00A76D81"/>
    <w:rsid w:val="00A76FC2"/>
    <w:rsid w:val="00A76FEB"/>
    <w:rsid w:val="00A77014"/>
    <w:rsid w:val="00A77070"/>
    <w:rsid w:val="00A77325"/>
    <w:rsid w:val="00A7746F"/>
    <w:rsid w:val="00A774CB"/>
    <w:rsid w:val="00A77631"/>
    <w:rsid w:val="00A7763C"/>
    <w:rsid w:val="00A7764C"/>
    <w:rsid w:val="00A77688"/>
    <w:rsid w:val="00A777A6"/>
    <w:rsid w:val="00A777CF"/>
    <w:rsid w:val="00A77856"/>
    <w:rsid w:val="00A779B8"/>
    <w:rsid w:val="00A779D5"/>
    <w:rsid w:val="00A779E2"/>
    <w:rsid w:val="00A77AC0"/>
    <w:rsid w:val="00A77B6F"/>
    <w:rsid w:val="00A77D4C"/>
    <w:rsid w:val="00A77F77"/>
    <w:rsid w:val="00A77FF7"/>
    <w:rsid w:val="00A80115"/>
    <w:rsid w:val="00A801E6"/>
    <w:rsid w:val="00A80336"/>
    <w:rsid w:val="00A80339"/>
    <w:rsid w:val="00A80367"/>
    <w:rsid w:val="00A8037F"/>
    <w:rsid w:val="00A80420"/>
    <w:rsid w:val="00A80645"/>
    <w:rsid w:val="00A8064D"/>
    <w:rsid w:val="00A806E3"/>
    <w:rsid w:val="00A806FC"/>
    <w:rsid w:val="00A80718"/>
    <w:rsid w:val="00A809CC"/>
    <w:rsid w:val="00A80A60"/>
    <w:rsid w:val="00A80B53"/>
    <w:rsid w:val="00A80B6F"/>
    <w:rsid w:val="00A80C2D"/>
    <w:rsid w:val="00A80D62"/>
    <w:rsid w:val="00A80DA3"/>
    <w:rsid w:val="00A80E98"/>
    <w:rsid w:val="00A8100C"/>
    <w:rsid w:val="00A8105A"/>
    <w:rsid w:val="00A8106C"/>
    <w:rsid w:val="00A810BA"/>
    <w:rsid w:val="00A81354"/>
    <w:rsid w:val="00A813D3"/>
    <w:rsid w:val="00A813D5"/>
    <w:rsid w:val="00A814CE"/>
    <w:rsid w:val="00A815E0"/>
    <w:rsid w:val="00A81842"/>
    <w:rsid w:val="00A8191A"/>
    <w:rsid w:val="00A81A0F"/>
    <w:rsid w:val="00A81A99"/>
    <w:rsid w:val="00A81C14"/>
    <w:rsid w:val="00A81C88"/>
    <w:rsid w:val="00A81E56"/>
    <w:rsid w:val="00A81F85"/>
    <w:rsid w:val="00A81FB1"/>
    <w:rsid w:val="00A8216E"/>
    <w:rsid w:val="00A8217F"/>
    <w:rsid w:val="00A821C7"/>
    <w:rsid w:val="00A8222F"/>
    <w:rsid w:val="00A8225E"/>
    <w:rsid w:val="00A823DE"/>
    <w:rsid w:val="00A8243F"/>
    <w:rsid w:val="00A824E0"/>
    <w:rsid w:val="00A82654"/>
    <w:rsid w:val="00A827B8"/>
    <w:rsid w:val="00A827C5"/>
    <w:rsid w:val="00A827E0"/>
    <w:rsid w:val="00A828AA"/>
    <w:rsid w:val="00A82B01"/>
    <w:rsid w:val="00A82F98"/>
    <w:rsid w:val="00A82FA9"/>
    <w:rsid w:val="00A82FB5"/>
    <w:rsid w:val="00A83042"/>
    <w:rsid w:val="00A830B4"/>
    <w:rsid w:val="00A831FC"/>
    <w:rsid w:val="00A83232"/>
    <w:rsid w:val="00A83678"/>
    <w:rsid w:val="00A83706"/>
    <w:rsid w:val="00A837BF"/>
    <w:rsid w:val="00A837EB"/>
    <w:rsid w:val="00A83800"/>
    <w:rsid w:val="00A838DC"/>
    <w:rsid w:val="00A839F5"/>
    <w:rsid w:val="00A83A3B"/>
    <w:rsid w:val="00A83B03"/>
    <w:rsid w:val="00A83C9F"/>
    <w:rsid w:val="00A83D17"/>
    <w:rsid w:val="00A84051"/>
    <w:rsid w:val="00A8407C"/>
    <w:rsid w:val="00A840A0"/>
    <w:rsid w:val="00A840E2"/>
    <w:rsid w:val="00A8459F"/>
    <w:rsid w:val="00A84669"/>
    <w:rsid w:val="00A846B2"/>
    <w:rsid w:val="00A84812"/>
    <w:rsid w:val="00A84905"/>
    <w:rsid w:val="00A849F0"/>
    <w:rsid w:val="00A84B6A"/>
    <w:rsid w:val="00A84DF3"/>
    <w:rsid w:val="00A84F7D"/>
    <w:rsid w:val="00A8524C"/>
    <w:rsid w:val="00A852C7"/>
    <w:rsid w:val="00A85327"/>
    <w:rsid w:val="00A853E2"/>
    <w:rsid w:val="00A85422"/>
    <w:rsid w:val="00A85521"/>
    <w:rsid w:val="00A8554C"/>
    <w:rsid w:val="00A85625"/>
    <w:rsid w:val="00A8563B"/>
    <w:rsid w:val="00A856D4"/>
    <w:rsid w:val="00A85717"/>
    <w:rsid w:val="00A85891"/>
    <w:rsid w:val="00A8594A"/>
    <w:rsid w:val="00A85959"/>
    <w:rsid w:val="00A85A52"/>
    <w:rsid w:val="00A85A74"/>
    <w:rsid w:val="00A85BF0"/>
    <w:rsid w:val="00A85CFE"/>
    <w:rsid w:val="00A85E56"/>
    <w:rsid w:val="00A861E6"/>
    <w:rsid w:val="00A8622E"/>
    <w:rsid w:val="00A86242"/>
    <w:rsid w:val="00A8645C"/>
    <w:rsid w:val="00A8647D"/>
    <w:rsid w:val="00A865C3"/>
    <w:rsid w:val="00A866EC"/>
    <w:rsid w:val="00A86776"/>
    <w:rsid w:val="00A86878"/>
    <w:rsid w:val="00A868A9"/>
    <w:rsid w:val="00A869CC"/>
    <w:rsid w:val="00A86B8B"/>
    <w:rsid w:val="00A86CFD"/>
    <w:rsid w:val="00A86DD2"/>
    <w:rsid w:val="00A86DEB"/>
    <w:rsid w:val="00A8707E"/>
    <w:rsid w:val="00A871DF"/>
    <w:rsid w:val="00A8736E"/>
    <w:rsid w:val="00A87397"/>
    <w:rsid w:val="00A873BF"/>
    <w:rsid w:val="00A875CA"/>
    <w:rsid w:val="00A8769D"/>
    <w:rsid w:val="00A877A0"/>
    <w:rsid w:val="00A879AB"/>
    <w:rsid w:val="00A87F6D"/>
    <w:rsid w:val="00A901D0"/>
    <w:rsid w:val="00A902D5"/>
    <w:rsid w:val="00A904BC"/>
    <w:rsid w:val="00A90783"/>
    <w:rsid w:val="00A908EE"/>
    <w:rsid w:val="00A90941"/>
    <w:rsid w:val="00A90A2E"/>
    <w:rsid w:val="00A90A91"/>
    <w:rsid w:val="00A90AD6"/>
    <w:rsid w:val="00A90B1D"/>
    <w:rsid w:val="00A90BE9"/>
    <w:rsid w:val="00A90BEF"/>
    <w:rsid w:val="00A90C8A"/>
    <w:rsid w:val="00A90D2D"/>
    <w:rsid w:val="00A90DF5"/>
    <w:rsid w:val="00A90EBF"/>
    <w:rsid w:val="00A912D5"/>
    <w:rsid w:val="00A91302"/>
    <w:rsid w:val="00A913EF"/>
    <w:rsid w:val="00A9143C"/>
    <w:rsid w:val="00A914B0"/>
    <w:rsid w:val="00A9166E"/>
    <w:rsid w:val="00A916F8"/>
    <w:rsid w:val="00A918E0"/>
    <w:rsid w:val="00A91A30"/>
    <w:rsid w:val="00A91C06"/>
    <w:rsid w:val="00A91CF4"/>
    <w:rsid w:val="00A91D64"/>
    <w:rsid w:val="00A91E47"/>
    <w:rsid w:val="00A92399"/>
    <w:rsid w:val="00A92625"/>
    <w:rsid w:val="00A926E0"/>
    <w:rsid w:val="00A927B0"/>
    <w:rsid w:val="00A9295C"/>
    <w:rsid w:val="00A929FC"/>
    <w:rsid w:val="00A92A0A"/>
    <w:rsid w:val="00A92D53"/>
    <w:rsid w:val="00A92D96"/>
    <w:rsid w:val="00A92DD9"/>
    <w:rsid w:val="00A92DDF"/>
    <w:rsid w:val="00A92EBE"/>
    <w:rsid w:val="00A92F11"/>
    <w:rsid w:val="00A93046"/>
    <w:rsid w:val="00A9305F"/>
    <w:rsid w:val="00A9319D"/>
    <w:rsid w:val="00A931EB"/>
    <w:rsid w:val="00A93289"/>
    <w:rsid w:val="00A932AD"/>
    <w:rsid w:val="00A93303"/>
    <w:rsid w:val="00A9343E"/>
    <w:rsid w:val="00A93455"/>
    <w:rsid w:val="00A93728"/>
    <w:rsid w:val="00A9397C"/>
    <w:rsid w:val="00A93AF7"/>
    <w:rsid w:val="00A93B23"/>
    <w:rsid w:val="00A93EB2"/>
    <w:rsid w:val="00A93F7F"/>
    <w:rsid w:val="00A9419B"/>
    <w:rsid w:val="00A94397"/>
    <w:rsid w:val="00A943A6"/>
    <w:rsid w:val="00A94440"/>
    <w:rsid w:val="00A944CC"/>
    <w:rsid w:val="00A94549"/>
    <w:rsid w:val="00A945C1"/>
    <w:rsid w:val="00A9470B"/>
    <w:rsid w:val="00A94729"/>
    <w:rsid w:val="00A94744"/>
    <w:rsid w:val="00A948CB"/>
    <w:rsid w:val="00A94E44"/>
    <w:rsid w:val="00A94EAB"/>
    <w:rsid w:val="00A94FE2"/>
    <w:rsid w:val="00A9503D"/>
    <w:rsid w:val="00A95269"/>
    <w:rsid w:val="00A95425"/>
    <w:rsid w:val="00A955E5"/>
    <w:rsid w:val="00A95622"/>
    <w:rsid w:val="00A956EF"/>
    <w:rsid w:val="00A95865"/>
    <w:rsid w:val="00A9588E"/>
    <w:rsid w:val="00A958B1"/>
    <w:rsid w:val="00A958D0"/>
    <w:rsid w:val="00A95A51"/>
    <w:rsid w:val="00A95AB4"/>
    <w:rsid w:val="00A95C0E"/>
    <w:rsid w:val="00A95C88"/>
    <w:rsid w:val="00A95CB7"/>
    <w:rsid w:val="00A95CC5"/>
    <w:rsid w:val="00A95DCE"/>
    <w:rsid w:val="00A95F2C"/>
    <w:rsid w:val="00A9607A"/>
    <w:rsid w:val="00A96094"/>
    <w:rsid w:val="00A96179"/>
    <w:rsid w:val="00A96263"/>
    <w:rsid w:val="00A96305"/>
    <w:rsid w:val="00A96644"/>
    <w:rsid w:val="00A96726"/>
    <w:rsid w:val="00A967B9"/>
    <w:rsid w:val="00A968F9"/>
    <w:rsid w:val="00A96B2F"/>
    <w:rsid w:val="00A96C20"/>
    <w:rsid w:val="00A96D0F"/>
    <w:rsid w:val="00A96DE3"/>
    <w:rsid w:val="00A96F0E"/>
    <w:rsid w:val="00A96F7C"/>
    <w:rsid w:val="00A97019"/>
    <w:rsid w:val="00A971D1"/>
    <w:rsid w:val="00A972AF"/>
    <w:rsid w:val="00A974BC"/>
    <w:rsid w:val="00A97542"/>
    <w:rsid w:val="00A975FC"/>
    <w:rsid w:val="00A97789"/>
    <w:rsid w:val="00A97794"/>
    <w:rsid w:val="00A97865"/>
    <w:rsid w:val="00A97931"/>
    <w:rsid w:val="00A97BB2"/>
    <w:rsid w:val="00A97BF0"/>
    <w:rsid w:val="00A97E32"/>
    <w:rsid w:val="00AA0320"/>
    <w:rsid w:val="00AA034D"/>
    <w:rsid w:val="00AA03A1"/>
    <w:rsid w:val="00AA04C8"/>
    <w:rsid w:val="00AA0575"/>
    <w:rsid w:val="00AA071A"/>
    <w:rsid w:val="00AA0A63"/>
    <w:rsid w:val="00AA0B9C"/>
    <w:rsid w:val="00AA0C2A"/>
    <w:rsid w:val="00AA0C70"/>
    <w:rsid w:val="00AA0C7B"/>
    <w:rsid w:val="00AA0CEE"/>
    <w:rsid w:val="00AA1031"/>
    <w:rsid w:val="00AA11C6"/>
    <w:rsid w:val="00AA1324"/>
    <w:rsid w:val="00AA15A9"/>
    <w:rsid w:val="00AA1768"/>
    <w:rsid w:val="00AA186B"/>
    <w:rsid w:val="00AA1927"/>
    <w:rsid w:val="00AA194D"/>
    <w:rsid w:val="00AA1C97"/>
    <w:rsid w:val="00AA1DB8"/>
    <w:rsid w:val="00AA1ECD"/>
    <w:rsid w:val="00AA1FE3"/>
    <w:rsid w:val="00AA209F"/>
    <w:rsid w:val="00AA20D8"/>
    <w:rsid w:val="00AA21A6"/>
    <w:rsid w:val="00AA2269"/>
    <w:rsid w:val="00AA2369"/>
    <w:rsid w:val="00AA2493"/>
    <w:rsid w:val="00AA263B"/>
    <w:rsid w:val="00AA2663"/>
    <w:rsid w:val="00AA26C7"/>
    <w:rsid w:val="00AA2826"/>
    <w:rsid w:val="00AA2BB1"/>
    <w:rsid w:val="00AA2BC3"/>
    <w:rsid w:val="00AA2D3F"/>
    <w:rsid w:val="00AA2EE5"/>
    <w:rsid w:val="00AA2F25"/>
    <w:rsid w:val="00AA2FA4"/>
    <w:rsid w:val="00AA3178"/>
    <w:rsid w:val="00AA3289"/>
    <w:rsid w:val="00AA335F"/>
    <w:rsid w:val="00AA3476"/>
    <w:rsid w:val="00AA3600"/>
    <w:rsid w:val="00AA36EF"/>
    <w:rsid w:val="00AA378D"/>
    <w:rsid w:val="00AA398F"/>
    <w:rsid w:val="00AA3A4D"/>
    <w:rsid w:val="00AA3A74"/>
    <w:rsid w:val="00AA3AE4"/>
    <w:rsid w:val="00AA3D0B"/>
    <w:rsid w:val="00AA3D82"/>
    <w:rsid w:val="00AA3DA3"/>
    <w:rsid w:val="00AA3DC9"/>
    <w:rsid w:val="00AA3F46"/>
    <w:rsid w:val="00AA3F70"/>
    <w:rsid w:val="00AA40E2"/>
    <w:rsid w:val="00AA41A8"/>
    <w:rsid w:val="00AA41F0"/>
    <w:rsid w:val="00AA434D"/>
    <w:rsid w:val="00AA43D3"/>
    <w:rsid w:val="00AA448A"/>
    <w:rsid w:val="00AA450E"/>
    <w:rsid w:val="00AA4801"/>
    <w:rsid w:val="00AA4837"/>
    <w:rsid w:val="00AA490B"/>
    <w:rsid w:val="00AA4922"/>
    <w:rsid w:val="00AA4AD2"/>
    <w:rsid w:val="00AA4D8E"/>
    <w:rsid w:val="00AA4F17"/>
    <w:rsid w:val="00AA4F1F"/>
    <w:rsid w:val="00AA5085"/>
    <w:rsid w:val="00AA5176"/>
    <w:rsid w:val="00AA54DB"/>
    <w:rsid w:val="00AA5529"/>
    <w:rsid w:val="00AA557B"/>
    <w:rsid w:val="00AA55D6"/>
    <w:rsid w:val="00AA5680"/>
    <w:rsid w:val="00AA5844"/>
    <w:rsid w:val="00AA5889"/>
    <w:rsid w:val="00AA5AA5"/>
    <w:rsid w:val="00AA5ABE"/>
    <w:rsid w:val="00AA5BD0"/>
    <w:rsid w:val="00AA5BD7"/>
    <w:rsid w:val="00AA5DB9"/>
    <w:rsid w:val="00AA5F25"/>
    <w:rsid w:val="00AA6033"/>
    <w:rsid w:val="00AA604D"/>
    <w:rsid w:val="00AA60A3"/>
    <w:rsid w:val="00AA6219"/>
    <w:rsid w:val="00AA6502"/>
    <w:rsid w:val="00AA6643"/>
    <w:rsid w:val="00AA66C6"/>
    <w:rsid w:val="00AA67C0"/>
    <w:rsid w:val="00AA683A"/>
    <w:rsid w:val="00AA6960"/>
    <w:rsid w:val="00AA6AA9"/>
    <w:rsid w:val="00AA6AF7"/>
    <w:rsid w:val="00AA6DAA"/>
    <w:rsid w:val="00AA6E61"/>
    <w:rsid w:val="00AA7327"/>
    <w:rsid w:val="00AA73C3"/>
    <w:rsid w:val="00AA749D"/>
    <w:rsid w:val="00AA74F5"/>
    <w:rsid w:val="00AA7522"/>
    <w:rsid w:val="00AA7608"/>
    <w:rsid w:val="00AA7849"/>
    <w:rsid w:val="00AA78B8"/>
    <w:rsid w:val="00AA78D2"/>
    <w:rsid w:val="00AA7930"/>
    <w:rsid w:val="00AA79CE"/>
    <w:rsid w:val="00AA7CB1"/>
    <w:rsid w:val="00AA7CC0"/>
    <w:rsid w:val="00AA7CFD"/>
    <w:rsid w:val="00AA7F54"/>
    <w:rsid w:val="00AA7FE5"/>
    <w:rsid w:val="00AB0234"/>
    <w:rsid w:val="00AB050D"/>
    <w:rsid w:val="00AB054E"/>
    <w:rsid w:val="00AB057F"/>
    <w:rsid w:val="00AB0710"/>
    <w:rsid w:val="00AB0776"/>
    <w:rsid w:val="00AB090B"/>
    <w:rsid w:val="00AB0996"/>
    <w:rsid w:val="00AB0A79"/>
    <w:rsid w:val="00AB0AD8"/>
    <w:rsid w:val="00AB0AF4"/>
    <w:rsid w:val="00AB0DEF"/>
    <w:rsid w:val="00AB0E6C"/>
    <w:rsid w:val="00AB0EB6"/>
    <w:rsid w:val="00AB0EDF"/>
    <w:rsid w:val="00AB117E"/>
    <w:rsid w:val="00AB1240"/>
    <w:rsid w:val="00AB1245"/>
    <w:rsid w:val="00AB154F"/>
    <w:rsid w:val="00AB155D"/>
    <w:rsid w:val="00AB156A"/>
    <w:rsid w:val="00AB1623"/>
    <w:rsid w:val="00AB165E"/>
    <w:rsid w:val="00AB1757"/>
    <w:rsid w:val="00AB180C"/>
    <w:rsid w:val="00AB189B"/>
    <w:rsid w:val="00AB18C2"/>
    <w:rsid w:val="00AB193E"/>
    <w:rsid w:val="00AB1A60"/>
    <w:rsid w:val="00AB1AA7"/>
    <w:rsid w:val="00AB1AEF"/>
    <w:rsid w:val="00AB1BA1"/>
    <w:rsid w:val="00AB1C46"/>
    <w:rsid w:val="00AB1CA7"/>
    <w:rsid w:val="00AB1D71"/>
    <w:rsid w:val="00AB1EBE"/>
    <w:rsid w:val="00AB20F4"/>
    <w:rsid w:val="00AB2105"/>
    <w:rsid w:val="00AB224B"/>
    <w:rsid w:val="00AB233F"/>
    <w:rsid w:val="00AB2370"/>
    <w:rsid w:val="00AB26DE"/>
    <w:rsid w:val="00AB2761"/>
    <w:rsid w:val="00AB27AD"/>
    <w:rsid w:val="00AB2994"/>
    <w:rsid w:val="00AB29EA"/>
    <w:rsid w:val="00AB2B7D"/>
    <w:rsid w:val="00AB2BC4"/>
    <w:rsid w:val="00AB2D0B"/>
    <w:rsid w:val="00AB2D5A"/>
    <w:rsid w:val="00AB2F9A"/>
    <w:rsid w:val="00AB309F"/>
    <w:rsid w:val="00AB314E"/>
    <w:rsid w:val="00AB3189"/>
    <w:rsid w:val="00AB3190"/>
    <w:rsid w:val="00AB342A"/>
    <w:rsid w:val="00AB34E5"/>
    <w:rsid w:val="00AB3721"/>
    <w:rsid w:val="00AB37DC"/>
    <w:rsid w:val="00AB382D"/>
    <w:rsid w:val="00AB3838"/>
    <w:rsid w:val="00AB3928"/>
    <w:rsid w:val="00AB3963"/>
    <w:rsid w:val="00AB3B1A"/>
    <w:rsid w:val="00AB3B36"/>
    <w:rsid w:val="00AB3DCA"/>
    <w:rsid w:val="00AB3DFA"/>
    <w:rsid w:val="00AB3EB5"/>
    <w:rsid w:val="00AB3F48"/>
    <w:rsid w:val="00AB3FDE"/>
    <w:rsid w:val="00AB42F5"/>
    <w:rsid w:val="00AB439E"/>
    <w:rsid w:val="00AB43C5"/>
    <w:rsid w:val="00AB462A"/>
    <w:rsid w:val="00AB46F2"/>
    <w:rsid w:val="00AB47EA"/>
    <w:rsid w:val="00AB493C"/>
    <w:rsid w:val="00AB494E"/>
    <w:rsid w:val="00AB49EE"/>
    <w:rsid w:val="00AB4CCF"/>
    <w:rsid w:val="00AB4EB1"/>
    <w:rsid w:val="00AB4EFD"/>
    <w:rsid w:val="00AB4F7A"/>
    <w:rsid w:val="00AB5128"/>
    <w:rsid w:val="00AB5157"/>
    <w:rsid w:val="00AB5245"/>
    <w:rsid w:val="00AB5388"/>
    <w:rsid w:val="00AB5641"/>
    <w:rsid w:val="00AB56B7"/>
    <w:rsid w:val="00AB5974"/>
    <w:rsid w:val="00AB5978"/>
    <w:rsid w:val="00AB5ABD"/>
    <w:rsid w:val="00AB5AFB"/>
    <w:rsid w:val="00AB5C1E"/>
    <w:rsid w:val="00AB5D39"/>
    <w:rsid w:val="00AB5D50"/>
    <w:rsid w:val="00AB5EC2"/>
    <w:rsid w:val="00AB5FA3"/>
    <w:rsid w:val="00AB5FFD"/>
    <w:rsid w:val="00AB6072"/>
    <w:rsid w:val="00AB609F"/>
    <w:rsid w:val="00AB60C9"/>
    <w:rsid w:val="00AB60CC"/>
    <w:rsid w:val="00AB60F2"/>
    <w:rsid w:val="00AB614F"/>
    <w:rsid w:val="00AB62E0"/>
    <w:rsid w:val="00AB6308"/>
    <w:rsid w:val="00AB63ED"/>
    <w:rsid w:val="00AB6450"/>
    <w:rsid w:val="00AB64DC"/>
    <w:rsid w:val="00AB66E0"/>
    <w:rsid w:val="00AB66FF"/>
    <w:rsid w:val="00AB67F8"/>
    <w:rsid w:val="00AB6811"/>
    <w:rsid w:val="00AB683A"/>
    <w:rsid w:val="00AB6A1B"/>
    <w:rsid w:val="00AB6B0E"/>
    <w:rsid w:val="00AB6B43"/>
    <w:rsid w:val="00AB6C6B"/>
    <w:rsid w:val="00AB6D05"/>
    <w:rsid w:val="00AB6EA0"/>
    <w:rsid w:val="00AB6EB1"/>
    <w:rsid w:val="00AB6EF8"/>
    <w:rsid w:val="00AB6F40"/>
    <w:rsid w:val="00AB6FEB"/>
    <w:rsid w:val="00AB710B"/>
    <w:rsid w:val="00AB71A4"/>
    <w:rsid w:val="00AB72E1"/>
    <w:rsid w:val="00AB738E"/>
    <w:rsid w:val="00AB74C3"/>
    <w:rsid w:val="00AB75EE"/>
    <w:rsid w:val="00AB76BC"/>
    <w:rsid w:val="00AB7712"/>
    <w:rsid w:val="00AB778A"/>
    <w:rsid w:val="00AB77B5"/>
    <w:rsid w:val="00AB780A"/>
    <w:rsid w:val="00AB7826"/>
    <w:rsid w:val="00AB7874"/>
    <w:rsid w:val="00AB78F9"/>
    <w:rsid w:val="00AB7A1E"/>
    <w:rsid w:val="00AB7AD1"/>
    <w:rsid w:val="00AB7AD2"/>
    <w:rsid w:val="00AB7C0B"/>
    <w:rsid w:val="00AB7C81"/>
    <w:rsid w:val="00AB7D3E"/>
    <w:rsid w:val="00AB7DFC"/>
    <w:rsid w:val="00AB7EC6"/>
    <w:rsid w:val="00AB7F14"/>
    <w:rsid w:val="00AB7F1D"/>
    <w:rsid w:val="00AB7F59"/>
    <w:rsid w:val="00AC0055"/>
    <w:rsid w:val="00AC01FA"/>
    <w:rsid w:val="00AC0273"/>
    <w:rsid w:val="00AC032C"/>
    <w:rsid w:val="00AC03E5"/>
    <w:rsid w:val="00AC04FD"/>
    <w:rsid w:val="00AC0655"/>
    <w:rsid w:val="00AC0C03"/>
    <w:rsid w:val="00AC10C5"/>
    <w:rsid w:val="00AC11A3"/>
    <w:rsid w:val="00AC135E"/>
    <w:rsid w:val="00AC1547"/>
    <w:rsid w:val="00AC16A4"/>
    <w:rsid w:val="00AC17CE"/>
    <w:rsid w:val="00AC1862"/>
    <w:rsid w:val="00AC1969"/>
    <w:rsid w:val="00AC19A6"/>
    <w:rsid w:val="00AC1A07"/>
    <w:rsid w:val="00AC1A1A"/>
    <w:rsid w:val="00AC1BA7"/>
    <w:rsid w:val="00AC1C27"/>
    <w:rsid w:val="00AC1CCC"/>
    <w:rsid w:val="00AC1D18"/>
    <w:rsid w:val="00AC1D30"/>
    <w:rsid w:val="00AC1D8C"/>
    <w:rsid w:val="00AC1DC7"/>
    <w:rsid w:val="00AC1E4B"/>
    <w:rsid w:val="00AC1F99"/>
    <w:rsid w:val="00AC204E"/>
    <w:rsid w:val="00AC20E4"/>
    <w:rsid w:val="00AC20E8"/>
    <w:rsid w:val="00AC2153"/>
    <w:rsid w:val="00AC218B"/>
    <w:rsid w:val="00AC2211"/>
    <w:rsid w:val="00AC24EA"/>
    <w:rsid w:val="00AC2648"/>
    <w:rsid w:val="00AC2750"/>
    <w:rsid w:val="00AC277C"/>
    <w:rsid w:val="00AC282A"/>
    <w:rsid w:val="00AC2869"/>
    <w:rsid w:val="00AC2881"/>
    <w:rsid w:val="00AC28FB"/>
    <w:rsid w:val="00AC2A0B"/>
    <w:rsid w:val="00AC2A9B"/>
    <w:rsid w:val="00AC2AFA"/>
    <w:rsid w:val="00AC2B0D"/>
    <w:rsid w:val="00AC2BD1"/>
    <w:rsid w:val="00AC2C54"/>
    <w:rsid w:val="00AC2C5E"/>
    <w:rsid w:val="00AC2E33"/>
    <w:rsid w:val="00AC2EA6"/>
    <w:rsid w:val="00AC30D2"/>
    <w:rsid w:val="00AC31F2"/>
    <w:rsid w:val="00AC33A8"/>
    <w:rsid w:val="00AC3578"/>
    <w:rsid w:val="00AC35CD"/>
    <w:rsid w:val="00AC35FA"/>
    <w:rsid w:val="00AC3649"/>
    <w:rsid w:val="00AC36F2"/>
    <w:rsid w:val="00AC3798"/>
    <w:rsid w:val="00AC3854"/>
    <w:rsid w:val="00AC3879"/>
    <w:rsid w:val="00AC3972"/>
    <w:rsid w:val="00AC3A88"/>
    <w:rsid w:val="00AC3B08"/>
    <w:rsid w:val="00AC3B99"/>
    <w:rsid w:val="00AC3BDF"/>
    <w:rsid w:val="00AC3E54"/>
    <w:rsid w:val="00AC3FCB"/>
    <w:rsid w:val="00AC3FD9"/>
    <w:rsid w:val="00AC3FE9"/>
    <w:rsid w:val="00AC419A"/>
    <w:rsid w:val="00AC4545"/>
    <w:rsid w:val="00AC4A5D"/>
    <w:rsid w:val="00AC4AAA"/>
    <w:rsid w:val="00AC4CCB"/>
    <w:rsid w:val="00AC4CD1"/>
    <w:rsid w:val="00AC4D44"/>
    <w:rsid w:val="00AC4D73"/>
    <w:rsid w:val="00AC4DA8"/>
    <w:rsid w:val="00AC4E6A"/>
    <w:rsid w:val="00AC4E6B"/>
    <w:rsid w:val="00AC5175"/>
    <w:rsid w:val="00AC51DB"/>
    <w:rsid w:val="00AC5275"/>
    <w:rsid w:val="00AC52EB"/>
    <w:rsid w:val="00AC53F4"/>
    <w:rsid w:val="00AC5506"/>
    <w:rsid w:val="00AC5556"/>
    <w:rsid w:val="00AC5563"/>
    <w:rsid w:val="00AC5A0F"/>
    <w:rsid w:val="00AC5A84"/>
    <w:rsid w:val="00AC5BB1"/>
    <w:rsid w:val="00AC5BBD"/>
    <w:rsid w:val="00AC5CB7"/>
    <w:rsid w:val="00AC5CD5"/>
    <w:rsid w:val="00AC5CFD"/>
    <w:rsid w:val="00AC5E28"/>
    <w:rsid w:val="00AC5E2C"/>
    <w:rsid w:val="00AC62EC"/>
    <w:rsid w:val="00AC6310"/>
    <w:rsid w:val="00AC6458"/>
    <w:rsid w:val="00AC6525"/>
    <w:rsid w:val="00AC65DE"/>
    <w:rsid w:val="00AC668D"/>
    <w:rsid w:val="00AC6840"/>
    <w:rsid w:val="00AC6879"/>
    <w:rsid w:val="00AC690B"/>
    <w:rsid w:val="00AC6965"/>
    <w:rsid w:val="00AC6BF1"/>
    <w:rsid w:val="00AC6C78"/>
    <w:rsid w:val="00AC6DDD"/>
    <w:rsid w:val="00AC6F0A"/>
    <w:rsid w:val="00AC6F0E"/>
    <w:rsid w:val="00AC6F83"/>
    <w:rsid w:val="00AC6FCF"/>
    <w:rsid w:val="00AC6FE2"/>
    <w:rsid w:val="00AC716B"/>
    <w:rsid w:val="00AC7239"/>
    <w:rsid w:val="00AC74AE"/>
    <w:rsid w:val="00AC74D4"/>
    <w:rsid w:val="00AC74EA"/>
    <w:rsid w:val="00AC7706"/>
    <w:rsid w:val="00AC7783"/>
    <w:rsid w:val="00AC784A"/>
    <w:rsid w:val="00AC7874"/>
    <w:rsid w:val="00AC78BD"/>
    <w:rsid w:val="00AC78D9"/>
    <w:rsid w:val="00AC79EB"/>
    <w:rsid w:val="00AC7A67"/>
    <w:rsid w:val="00AC7A7C"/>
    <w:rsid w:val="00AC7AED"/>
    <w:rsid w:val="00AC7B3D"/>
    <w:rsid w:val="00AC7D8C"/>
    <w:rsid w:val="00AC7E28"/>
    <w:rsid w:val="00AC7E8F"/>
    <w:rsid w:val="00AC7F8A"/>
    <w:rsid w:val="00AD0140"/>
    <w:rsid w:val="00AD025B"/>
    <w:rsid w:val="00AD03AD"/>
    <w:rsid w:val="00AD0541"/>
    <w:rsid w:val="00AD05A4"/>
    <w:rsid w:val="00AD077B"/>
    <w:rsid w:val="00AD095E"/>
    <w:rsid w:val="00AD0AE0"/>
    <w:rsid w:val="00AD0AF5"/>
    <w:rsid w:val="00AD0AF9"/>
    <w:rsid w:val="00AD0B79"/>
    <w:rsid w:val="00AD0DC8"/>
    <w:rsid w:val="00AD0E47"/>
    <w:rsid w:val="00AD10E4"/>
    <w:rsid w:val="00AD11C5"/>
    <w:rsid w:val="00AD1220"/>
    <w:rsid w:val="00AD1496"/>
    <w:rsid w:val="00AD1596"/>
    <w:rsid w:val="00AD176D"/>
    <w:rsid w:val="00AD1954"/>
    <w:rsid w:val="00AD1B04"/>
    <w:rsid w:val="00AD1B0A"/>
    <w:rsid w:val="00AD1D10"/>
    <w:rsid w:val="00AD1FD4"/>
    <w:rsid w:val="00AD2111"/>
    <w:rsid w:val="00AD2371"/>
    <w:rsid w:val="00AD237C"/>
    <w:rsid w:val="00AD2426"/>
    <w:rsid w:val="00AD2440"/>
    <w:rsid w:val="00AD2719"/>
    <w:rsid w:val="00AD283E"/>
    <w:rsid w:val="00AD29EA"/>
    <w:rsid w:val="00AD2A01"/>
    <w:rsid w:val="00AD2A2E"/>
    <w:rsid w:val="00AD2A3A"/>
    <w:rsid w:val="00AD2A7B"/>
    <w:rsid w:val="00AD2C14"/>
    <w:rsid w:val="00AD2CCB"/>
    <w:rsid w:val="00AD2D28"/>
    <w:rsid w:val="00AD2EAE"/>
    <w:rsid w:val="00AD2F02"/>
    <w:rsid w:val="00AD3034"/>
    <w:rsid w:val="00AD3287"/>
    <w:rsid w:val="00AD34D9"/>
    <w:rsid w:val="00AD3585"/>
    <w:rsid w:val="00AD3696"/>
    <w:rsid w:val="00AD3877"/>
    <w:rsid w:val="00AD3886"/>
    <w:rsid w:val="00AD39B6"/>
    <w:rsid w:val="00AD3AD7"/>
    <w:rsid w:val="00AD3B6D"/>
    <w:rsid w:val="00AD3DDF"/>
    <w:rsid w:val="00AD3F38"/>
    <w:rsid w:val="00AD3FA6"/>
    <w:rsid w:val="00AD4023"/>
    <w:rsid w:val="00AD4104"/>
    <w:rsid w:val="00AD412E"/>
    <w:rsid w:val="00AD418A"/>
    <w:rsid w:val="00AD41D5"/>
    <w:rsid w:val="00AD434C"/>
    <w:rsid w:val="00AD4436"/>
    <w:rsid w:val="00AD44B9"/>
    <w:rsid w:val="00AD44F2"/>
    <w:rsid w:val="00AD475C"/>
    <w:rsid w:val="00AD49FE"/>
    <w:rsid w:val="00AD4ADD"/>
    <w:rsid w:val="00AD4B72"/>
    <w:rsid w:val="00AD4B78"/>
    <w:rsid w:val="00AD4BD2"/>
    <w:rsid w:val="00AD4D71"/>
    <w:rsid w:val="00AD4EB6"/>
    <w:rsid w:val="00AD4F85"/>
    <w:rsid w:val="00AD50A8"/>
    <w:rsid w:val="00AD510A"/>
    <w:rsid w:val="00AD527B"/>
    <w:rsid w:val="00AD548D"/>
    <w:rsid w:val="00AD55C0"/>
    <w:rsid w:val="00AD5670"/>
    <w:rsid w:val="00AD5736"/>
    <w:rsid w:val="00AD5A02"/>
    <w:rsid w:val="00AD5B3A"/>
    <w:rsid w:val="00AD5BAB"/>
    <w:rsid w:val="00AD5CF8"/>
    <w:rsid w:val="00AD5D9C"/>
    <w:rsid w:val="00AD5E4F"/>
    <w:rsid w:val="00AD5EB0"/>
    <w:rsid w:val="00AD5F3E"/>
    <w:rsid w:val="00AD6214"/>
    <w:rsid w:val="00AD6235"/>
    <w:rsid w:val="00AD6240"/>
    <w:rsid w:val="00AD62F0"/>
    <w:rsid w:val="00AD63AE"/>
    <w:rsid w:val="00AD658A"/>
    <w:rsid w:val="00AD65FA"/>
    <w:rsid w:val="00AD68EB"/>
    <w:rsid w:val="00AD693E"/>
    <w:rsid w:val="00AD699B"/>
    <w:rsid w:val="00AD69A9"/>
    <w:rsid w:val="00AD69B8"/>
    <w:rsid w:val="00AD6A4D"/>
    <w:rsid w:val="00AD6C08"/>
    <w:rsid w:val="00AD6C92"/>
    <w:rsid w:val="00AD6CA5"/>
    <w:rsid w:val="00AD6EA0"/>
    <w:rsid w:val="00AD6EB4"/>
    <w:rsid w:val="00AD6ECC"/>
    <w:rsid w:val="00AD7013"/>
    <w:rsid w:val="00AD70AB"/>
    <w:rsid w:val="00AD711A"/>
    <w:rsid w:val="00AD7178"/>
    <w:rsid w:val="00AD7545"/>
    <w:rsid w:val="00AD75B9"/>
    <w:rsid w:val="00AD75F8"/>
    <w:rsid w:val="00AD78A7"/>
    <w:rsid w:val="00AD78BA"/>
    <w:rsid w:val="00AD792B"/>
    <w:rsid w:val="00AD7A2D"/>
    <w:rsid w:val="00AD7B65"/>
    <w:rsid w:val="00AD7D0C"/>
    <w:rsid w:val="00AD7DDD"/>
    <w:rsid w:val="00AD7EA0"/>
    <w:rsid w:val="00AE0038"/>
    <w:rsid w:val="00AE023C"/>
    <w:rsid w:val="00AE029E"/>
    <w:rsid w:val="00AE0315"/>
    <w:rsid w:val="00AE0433"/>
    <w:rsid w:val="00AE04AF"/>
    <w:rsid w:val="00AE0711"/>
    <w:rsid w:val="00AE0760"/>
    <w:rsid w:val="00AE077A"/>
    <w:rsid w:val="00AE07AC"/>
    <w:rsid w:val="00AE088B"/>
    <w:rsid w:val="00AE0896"/>
    <w:rsid w:val="00AE08DA"/>
    <w:rsid w:val="00AE0927"/>
    <w:rsid w:val="00AE0A4C"/>
    <w:rsid w:val="00AE0BA7"/>
    <w:rsid w:val="00AE0F10"/>
    <w:rsid w:val="00AE1220"/>
    <w:rsid w:val="00AE13D0"/>
    <w:rsid w:val="00AE144B"/>
    <w:rsid w:val="00AE145B"/>
    <w:rsid w:val="00AE1468"/>
    <w:rsid w:val="00AE14FD"/>
    <w:rsid w:val="00AE158F"/>
    <w:rsid w:val="00AE1628"/>
    <w:rsid w:val="00AE16EE"/>
    <w:rsid w:val="00AE194D"/>
    <w:rsid w:val="00AE19F5"/>
    <w:rsid w:val="00AE1B00"/>
    <w:rsid w:val="00AE1B28"/>
    <w:rsid w:val="00AE1E40"/>
    <w:rsid w:val="00AE1E44"/>
    <w:rsid w:val="00AE204E"/>
    <w:rsid w:val="00AE2083"/>
    <w:rsid w:val="00AE2135"/>
    <w:rsid w:val="00AE23F0"/>
    <w:rsid w:val="00AE246E"/>
    <w:rsid w:val="00AE249D"/>
    <w:rsid w:val="00AE24B2"/>
    <w:rsid w:val="00AE24ED"/>
    <w:rsid w:val="00AE2587"/>
    <w:rsid w:val="00AE2634"/>
    <w:rsid w:val="00AE2716"/>
    <w:rsid w:val="00AE27F8"/>
    <w:rsid w:val="00AE2CD6"/>
    <w:rsid w:val="00AE2E07"/>
    <w:rsid w:val="00AE2E65"/>
    <w:rsid w:val="00AE2E69"/>
    <w:rsid w:val="00AE3191"/>
    <w:rsid w:val="00AE31FF"/>
    <w:rsid w:val="00AE3218"/>
    <w:rsid w:val="00AE32E7"/>
    <w:rsid w:val="00AE336A"/>
    <w:rsid w:val="00AE3409"/>
    <w:rsid w:val="00AE35DB"/>
    <w:rsid w:val="00AE373E"/>
    <w:rsid w:val="00AE3972"/>
    <w:rsid w:val="00AE3AC5"/>
    <w:rsid w:val="00AE3BE8"/>
    <w:rsid w:val="00AE3C79"/>
    <w:rsid w:val="00AE3DDB"/>
    <w:rsid w:val="00AE3EFC"/>
    <w:rsid w:val="00AE3F74"/>
    <w:rsid w:val="00AE3FBE"/>
    <w:rsid w:val="00AE4386"/>
    <w:rsid w:val="00AE439E"/>
    <w:rsid w:val="00AE4513"/>
    <w:rsid w:val="00AE45FA"/>
    <w:rsid w:val="00AE479C"/>
    <w:rsid w:val="00AE4883"/>
    <w:rsid w:val="00AE48CE"/>
    <w:rsid w:val="00AE4B48"/>
    <w:rsid w:val="00AE4B9D"/>
    <w:rsid w:val="00AE4C5F"/>
    <w:rsid w:val="00AE4D57"/>
    <w:rsid w:val="00AE4D9D"/>
    <w:rsid w:val="00AE4DF5"/>
    <w:rsid w:val="00AE4E18"/>
    <w:rsid w:val="00AE4F7A"/>
    <w:rsid w:val="00AE4FB4"/>
    <w:rsid w:val="00AE4FD4"/>
    <w:rsid w:val="00AE500A"/>
    <w:rsid w:val="00AE510A"/>
    <w:rsid w:val="00AE51A9"/>
    <w:rsid w:val="00AE520D"/>
    <w:rsid w:val="00AE521E"/>
    <w:rsid w:val="00AE5257"/>
    <w:rsid w:val="00AE529E"/>
    <w:rsid w:val="00AE555F"/>
    <w:rsid w:val="00AE55D6"/>
    <w:rsid w:val="00AE5657"/>
    <w:rsid w:val="00AE56D3"/>
    <w:rsid w:val="00AE572C"/>
    <w:rsid w:val="00AE595E"/>
    <w:rsid w:val="00AE5A47"/>
    <w:rsid w:val="00AE5D8C"/>
    <w:rsid w:val="00AE5E27"/>
    <w:rsid w:val="00AE5EF4"/>
    <w:rsid w:val="00AE5F36"/>
    <w:rsid w:val="00AE5F7A"/>
    <w:rsid w:val="00AE60AF"/>
    <w:rsid w:val="00AE60E2"/>
    <w:rsid w:val="00AE6134"/>
    <w:rsid w:val="00AE6135"/>
    <w:rsid w:val="00AE618D"/>
    <w:rsid w:val="00AE62BA"/>
    <w:rsid w:val="00AE6376"/>
    <w:rsid w:val="00AE6633"/>
    <w:rsid w:val="00AE66A2"/>
    <w:rsid w:val="00AE66FD"/>
    <w:rsid w:val="00AE67E9"/>
    <w:rsid w:val="00AE6820"/>
    <w:rsid w:val="00AE684A"/>
    <w:rsid w:val="00AE6863"/>
    <w:rsid w:val="00AE6B65"/>
    <w:rsid w:val="00AE6C3B"/>
    <w:rsid w:val="00AE6D4B"/>
    <w:rsid w:val="00AE6EC9"/>
    <w:rsid w:val="00AE6FEA"/>
    <w:rsid w:val="00AE7362"/>
    <w:rsid w:val="00AE73C8"/>
    <w:rsid w:val="00AE74D3"/>
    <w:rsid w:val="00AE74E5"/>
    <w:rsid w:val="00AE770E"/>
    <w:rsid w:val="00AE7745"/>
    <w:rsid w:val="00AE7760"/>
    <w:rsid w:val="00AE77C0"/>
    <w:rsid w:val="00AE7813"/>
    <w:rsid w:val="00AE7950"/>
    <w:rsid w:val="00AE7967"/>
    <w:rsid w:val="00AE7A71"/>
    <w:rsid w:val="00AE7AFB"/>
    <w:rsid w:val="00AE7EB8"/>
    <w:rsid w:val="00AF01A0"/>
    <w:rsid w:val="00AF0269"/>
    <w:rsid w:val="00AF02B9"/>
    <w:rsid w:val="00AF02C0"/>
    <w:rsid w:val="00AF02E1"/>
    <w:rsid w:val="00AF02E4"/>
    <w:rsid w:val="00AF0473"/>
    <w:rsid w:val="00AF047D"/>
    <w:rsid w:val="00AF04C3"/>
    <w:rsid w:val="00AF04DB"/>
    <w:rsid w:val="00AF0559"/>
    <w:rsid w:val="00AF065B"/>
    <w:rsid w:val="00AF0759"/>
    <w:rsid w:val="00AF0948"/>
    <w:rsid w:val="00AF0AE3"/>
    <w:rsid w:val="00AF0BB4"/>
    <w:rsid w:val="00AF0BBB"/>
    <w:rsid w:val="00AF0E1D"/>
    <w:rsid w:val="00AF0F7D"/>
    <w:rsid w:val="00AF16D7"/>
    <w:rsid w:val="00AF16F3"/>
    <w:rsid w:val="00AF18E7"/>
    <w:rsid w:val="00AF1947"/>
    <w:rsid w:val="00AF1BAA"/>
    <w:rsid w:val="00AF1CAD"/>
    <w:rsid w:val="00AF1D06"/>
    <w:rsid w:val="00AF1D70"/>
    <w:rsid w:val="00AF1FE4"/>
    <w:rsid w:val="00AF220D"/>
    <w:rsid w:val="00AF25C2"/>
    <w:rsid w:val="00AF2763"/>
    <w:rsid w:val="00AF27EE"/>
    <w:rsid w:val="00AF297E"/>
    <w:rsid w:val="00AF2B8B"/>
    <w:rsid w:val="00AF2E51"/>
    <w:rsid w:val="00AF3136"/>
    <w:rsid w:val="00AF3494"/>
    <w:rsid w:val="00AF3556"/>
    <w:rsid w:val="00AF358D"/>
    <w:rsid w:val="00AF36AE"/>
    <w:rsid w:val="00AF36D6"/>
    <w:rsid w:val="00AF377F"/>
    <w:rsid w:val="00AF383E"/>
    <w:rsid w:val="00AF389A"/>
    <w:rsid w:val="00AF3925"/>
    <w:rsid w:val="00AF3A09"/>
    <w:rsid w:val="00AF3A2B"/>
    <w:rsid w:val="00AF3C96"/>
    <w:rsid w:val="00AF3E22"/>
    <w:rsid w:val="00AF3EB0"/>
    <w:rsid w:val="00AF4025"/>
    <w:rsid w:val="00AF411F"/>
    <w:rsid w:val="00AF4269"/>
    <w:rsid w:val="00AF4331"/>
    <w:rsid w:val="00AF44B9"/>
    <w:rsid w:val="00AF455F"/>
    <w:rsid w:val="00AF45A0"/>
    <w:rsid w:val="00AF4649"/>
    <w:rsid w:val="00AF4672"/>
    <w:rsid w:val="00AF46DB"/>
    <w:rsid w:val="00AF4874"/>
    <w:rsid w:val="00AF4A64"/>
    <w:rsid w:val="00AF4D0B"/>
    <w:rsid w:val="00AF4D7F"/>
    <w:rsid w:val="00AF4EB5"/>
    <w:rsid w:val="00AF4F53"/>
    <w:rsid w:val="00AF4F8E"/>
    <w:rsid w:val="00AF500A"/>
    <w:rsid w:val="00AF500F"/>
    <w:rsid w:val="00AF510A"/>
    <w:rsid w:val="00AF5120"/>
    <w:rsid w:val="00AF51CA"/>
    <w:rsid w:val="00AF5202"/>
    <w:rsid w:val="00AF522F"/>
    <w:rsid w:val="00AF52CE"/>
    <w:rsid w:val="00AF5394"/>
    <w:rsid w:val="00AF539C"/>
    <w:rsid w:val="00AF551F"/>
    <w:rsid w:val="00AF575B"/>
    <w:rsid w:val="00AF59C6"/>
    <w:rsid w:val="00AF5AE8"/>
    <w:rsid w:val="00AF5B3F"/>
    <w:rsid w:val="00AF5B43"/>
    <w:rsid w:val="00AF5C74"/>
    <w:rsid w:val="00AF5CAA"/>
    <w:rsid w:val="00AF5DD2"/>
    <w:rsid w:val="00AF5DF3"/>
    <w:rsid w:val="00AF5E6E"/>
    <w:rsid w:val="00AF5ED4"/>
    <w:rsid w:val="00AF5F00"/>
    <w:rsid w:val="00AF6028"/>
    <w:rsid w:val="00AF619A"/>
    <w:rsid w:val="00AF61E2"/>
    <w:rsid w:val="00AF63BD"/>
    <w:rsid w:val="00AF65EB"/>
    <w:rsid w:val="00AF6AA1"/>
    <w:rsid w:val="00AF6BD6"/>
    <w:rsid w:val="00AF6C72"/>
    <w:rsid w:val="00AF6D5D"/>
    <w:rsid w:val="00AF6E20"/>
    <w:rsid w:val="00AF6E8C"/>
    <w:rsid w:val="00AF6F77"/>
    <w:rsid w:val="00AF6FC5"/>
    <w:rsid w:val="00AF703D"/>
    <w:rsid w:val="00AF719D"/>
    <w:rsid w:val="00AF71F3"/>
    <w:rsid w:val="00AF72AB"/>
    <w:rsid w:val="00AF7474"/>
    <w:rsid w:val="00AF748B"/>
    <w:rsid w:val="00AF7509"/>
    <w:rsid w:val="00AF760E"/>
    <w:rsid w:val="00AF763A"/>
    <w:rsid w:val="00AF772A"/>
    <w:rsid w:val="00AF77DB"/>
    <w:rsid w:val="00AF79D4"/>
    <w:rsid w:val="00AF7B6F"/>
    <w:rsid w:val="00AF7C83"/>
    <w:rsid w:val="00AF7D37"/>
    <w:rsid w:val="00AF7EC7"/>
    <w:rsid w:val="00B00048"/>
    <w:rsid w:val="00B000FA"/>
    <w:rsid w:val="00B00180"/>
    <w:rsid w:val="00B00225"/>
    <w:rsid w:val="00B002BC"/>
    <w:rsid w:val="00B002C5"/>
    <w:rsid w:val="00B00363"/>
    <w:rsid w:val="00B003A2"/>
    <w:rsid w:val="00B004A1"/>
    <w:rsid w:val="00B00506"/>
    <w:rsid w:val="00B006F7"/>
    <w:rsid w:val="00B00723"/>
    <w:rsid w:val="00B007BE"/>
    <w:rsid w:val="00B008F7"/>
    <w:rsid w:val="00B00A00"/>
    <w:rsid w:val="00B00B14"/>
    <w:rsid w:val="00B00D07"/>
    <w:rsid w:val="00B00FF5"/>
    <w:rsid w:val="00B01096"/>
    <w:rsid w:val="00B01131"/>
    <w:rsid w:val="00B0119A"/>
    <w:rsid w:val="00B0125E"/>
    <w:rsid w:val="00B0150F"/>
    <w:rsid w:val="00B01659"/>
    <w:rsid w:val="00B01765"/>
    <w:rsid w:val="00B018BB"/>
    <w:rsid w:val="00B0198B"/>
    <w:rsid w:val="00B019BF"/>
    <w:rsid w:val="00B01ADD"/>
    <w:rsid w:val="00B01F9D"/>
    <w:rsid w:val="00B0201E"/>
    <w:rsid w:val="00B02291"/>
    <w:rsid w:val="00B02479"/>
    <w:rsid w:val="00B0270D"/>
    <w:rsid w:val="00B02727"/>
    <w:rsid w:val="00B02749"/>
    <w:rsid w:val="00B028BB"/>
    <w:rsid w:val="00B02A0A"/>
    <w:rsid w:val="00B02D13"/>
    <w:rsid w:val="00B02D7E"/>
    <w:rsid w:val="00B02DD3"/>
    <w:rsid w:val="00B02EE0"/>
    <w:rsid w:val="00B02F53"/>
    <w:rsid w:val="00B02FAA"/>
    <w:rsid w:val="00B030E8"/>
    <w:rsid w:val="00B031CE"/>
    <w:rsid w:val="00B032F6"/>
    <w:rsid w:val="00B0339A"/>
    <w:rsid w:val="00B033E9"/>
    <w:rsid w:val="00B03431"/>
    <w:rsid w:val="00B0349F"/>
    <w:rsid w:val="00B034E2"/>
    <w:rsid w:val="00B03505"/>
    <w:rsid w:val="00B036E2"/>
    <w:rsid w:val="00B037F2"/>
    <w:rsid w:val="00B03898"/>
    <w:rsid w:val="00B03D0A"/>
    <w:rsid w:val="00B03E84"/>
    <w:rsid w:val="00B03F41"/>
    <w:rsid w:val="00B04009"/>
    <w:rsid w:val="00B040B1"/>
    <w:rsid w:val="00B04143"/>
    <w:rsid w:val="00B041F2"/>
    <w:rsid w:val="00B0435F"/>
    <w:rsid w:val="00B043A4"/>
    <w:rsid w:val="00B043F9"/>
    <w:rsid w:val="00B04422"/>
    <w:rsid w:val="00B045C7"/>
    <w:rsid w:val="00B04615"/>
    <w:rsid w:val="00B0471E"/>
    <w:rsid w:val="00B04888"/>
    <w:rsid w:val="00B04975"/>
    <w:rsid w:val="00B04AB2"/>
    <w:rsid w:val="00B04D1C"/>
    <w:rsid w:val="00B04E0C"/>
    <w:rsid w:val="00B04E35"/>
    <w:rsid w:val="00B05046"/>
    <w:rsid w:val="00B051D0"/>
    <w:rsid w:val="00B05270"/>
    <w:rsid w:val="00B0536F"/>
    <w:rsid w:val="00B053E8"/>
    <w:rsid w:val="00B058D3"/>
    <w:rsid w:val="00B05A74"/>
    <w:rsid w:val="00B05AF3"/>
    <w:rsid w:val="00B05D2F"/>
    <w:rsid w:val="00B05EDC"/>
    <w:rsid w:val="00B05EEF"/>
    <w:rsid w:val="00B060B6"/>
    <w:rsid w:val="00B062DD"/>
    <w:rsid w:val="00B063C5"/>
    <w:rsid w:val="00B0650D"/>
    <w:rsid w:val="00B06526"/>
    <w:rsid w:val="00B066A0"/>
    <w:rsid w:val="00B066FD"/>
    <w:rsid w:val="00B06939"/>
    <w:rsid w:val="00B0695B"/>
    <w:rsid w:val="00B06960"/>
    <w:rsid w:val="00B0696B"/>
    <w:rsid w:val="00B06A9C"/>
    <w:rsid w:val="00B06BB6"/>
    <w:rsid w:val="00B06BD9"/>
    <w:rsid w:val="00B06DF4"/>
    <w:rsid w:val="00B06E38"/>
    <w:rsid w:val="00B06E7F"/>
    <w:rsid w:val="00B06FE3"/>
    <w:rsid w:val="00B070EF"/>
    <w:rsid w:val="00B07371"/>
    <w:rsid w:val="00B0754F"/>
    <w:rsid w:val="00B07587"/>
    <w:rsid w:val="00B076F4"/>
    <w:rsid w:val="00B0774D"/>
    <w:rsid w:val="00B0793A"/>
    <w:rsid w:val="00B07A58"/>
    <w:rsid w:val="00B07BD7"/>
    <w:rsid w:val="00B07C49"/>
    <w:rsid w:val="00B07D6F"/>
    <w:rsid w:val="00B07E4C"/>
    <w:rsid w:val="00B07F18"/>
    <w:rsid w:val="00B10010"/>
    <w:rsid w:val="00B1003C"/>
    <w:rsid w:val="00B1008B"/>
    <w:rsid w:val="00B100D4"/>
    <w:rsid w:val="00B10159"/>
    <w:rsid w:val="00B10235"/>
    <w:rsid w:val="00B10245"/>
    <w:rsid w:val="00B102AC"/>
    <w:rsid w:val="00B102C8"/>
    <w:rsid w:val="00B10501"/>
    <w:rsid w:val="00B106EC"/>
    <w:rsid w:val="00B10A01"/>
    <w:rsid w:val="00B10AB6"/>
    <w:rsid w:val="00B10ADE"/>
    <w:rsid w:val="00B10AFF"/>
    <w:rsid w:val="00B10B39"/>
    <w:rsid w:val="00B10B8C"/>
    <w:rsid w:val="00B10CA4"/>
    <w:rsid w:val="00B10CB6"/>
    <w:rsid w:val="00B10CC2"/>
    <w:rsid w:val="00B10D00"/>
    <w:rsid w:val="00B10DB6"/>
    <w:rsid w:val="00B10F0D"/>
    <w:rsid w:val="00B10F62"/>
    <w:rsid w:val="00B10FA0"/>
    <w:rsid w:val="00B10FB1"/>
    <w:rsid w:val="00B1118B"/>
    <w:rsid w:val="00B111E8"/>
    <w:rsid w:val="00B113E8"/>
    <w:rsid w:val="00B11467"/>
    <w:rsid w:val="00B114ED"/>
    <w:rsid w:val="00B115A7"/>
    <w:rsid w:val="00B11691"/>
    <w:rsid w:val="00B11790"/>
    <w:rsid w:val="00B117BF"/>
    <w:rsid w:val="00B11815"/>
    <w:rsid w:val="00B11870"/>
    <w:rsid w:val="00B118D8"/>
    <w:rsid w:val="00B11A2E"/>
    <w:rsid w:val="00B11A5E"/>
    <w:rsid w:val="00B11A60"/>
    <w:rsid w:val="00B11BE3"/>
    <w:rsid w:val="00B11DFF"/>
    <w:rsid w:val="00B11F2C"/>
    <w:rsid w:val="00B11F70"/>
    <w:rsid w:val="00B120D4"/>
    <w:rsid w:val="00B12164"/>
    <w:rsid w:val="00B121C1"/>
    <w:rsid w:val="00B1239F"/>
    <w:rsid w:val="00B1246C"/>
    <w:rsid w:val="00B12646"/>
    <w:rsid w:val="00B12685"/>
    <w:rsid w:val="00B126D8"/>
    <w:rsid w:val="00B127A7"/>
    <w:rsid w:val="00B1284B"/>
    <w:rsid w:val="00B128AB"/>
    <w:rsid w:val="00B12A59"/>
    <w:rsid w:val="00B12A6D"/>
    <w:rsid w:val="00B12C66"/>
    <w:rsid w:val="00B12CD7"/>
    <w:rsid w:val="00B12E88"/>
    <w:rsid w:val="00B12E8B"/>
    <w:rsid w:val="00B12EF2"/>
    <w:rsid w:val="00B12F11"/>
    <w:rsid w:val="00B12F92"/>
    <w:rsid w:val="00B12FBD"/>
    <w:rsid w:val="00B130C9"/>
    <w:rsid w:val="00B13107"/>
    <w:rsid w:val="00B1337F"/>
    <w:rsid w:val="00B13395"/>
    <w:rsid w:val="00B13584"/>
    <w:rsid w:val="00B1362E"/>
    <w:rsid w:val="00B1380C"/>
    <w:rsid w:val="00B1396A"/>
    <w:rsid w:val="00B139B5"/>
    <w:rsid w:val="00B13A5E"/>
    <w:rsid w:val="00B13A8D"/>
    <w:rsid w:val="00B13B27"/>
    <w:rsid w:val="00B13C1A"/>
    <w:rsid w:val="00B13C34"/>
    <w:rsid w:val="00B13C8D"/>
    <w:rsid w:val="00B13D7C"/>
    <w:rsid w:val="00B13E62"/>
    <w:rsid w:val="00B13F63"/>
    <w:rsid w:val="00B13F97"/>
    <w:rsid w:val="00B14055"/>
    <w:rsid w:val="00B1406E"/>
    <w:rsid w:val="00B14269"/>
    <w:rsid w:val="00B142AF"/>
    <w:rsid w:val="00B142C4"/>
    <w:rsid w:val="00B145BF"/>
    <w:rsid w:val="00B1463F"/>
    <w:rsid w:val="00B146BC"/>
    <w:rsid w:val="00B14714"/>
    <w:rsid w:val="00B14727"/>
    <w:rsid w:val="00B1478B"/>
    <w:rsid w:val="00B14852"/>
    <w:rsid w:val="00B14912"/>
    <w:rsid w:val="00B1491D"/>
    <w:rsid w:val="00B149BC"/>
    <w:rsid w:val="00B149CF"/>
    <w:rsid w:val="00B14A79"/>
    <w:rsid w:val="00B14CA4"/>
    <w:rsid w:val="00B14D9A"/>
    <w:rsid w:val="00B14DB9"/>
    <w:rsid w:val="00B15024"/>
    <w:rsid w:val="00B15033"/>
    <w:rsid w:val="00B1503A"/>
    <w:rsid w:val="00B150B7"/>
    <w:rsid w:val="00B153B9"/>
    <w:rsid w:val="00B153C4"/>
    <w:rsid w:val="00B153D6"/>
    <w:rsid w:val="00B1545F"/>
    <w:rsid w:val="00B15469"/>
    <w:rsid w:val="00B15476"/>
    <w:rsid w:val="00B154A8"/>
    <w:rsid w:val="00B154D1"/>
    <w:rsid w:val="00B154DA"/>
    <w:rsid w:val="00B15612"/>
    <w:rsid w:val="00B15620"/>
    <w:rsid w:val="00B15674"/>
    <w:rsid w:val="00B157BD"/>
    <w:rsid w:val="00B15ABC"/>
    <w:rsid w:val="00B15BD4"/>
    <w:rsid w:val="00B15D3F"/>
    <w:rsid w:val="00B15DF8"/>
    <w:rsid w:val="00B15E58"/>
    <w:rsid w:val="00B15E94"/>
    <w:rsid w:val="00B15EB4"/>
    <w:rsid w:val="00B15EFA"/>
    <w:rsid w:val="00B15FD7"/>
    <w:rsid w:val="00B15FFA"/>
    <w:rsid w:val="00B16386"/>
    <w:rsid w:val="00B163CB"/>
    <w:rsid w:val="00B1643E"/>
    <w:rsid w:val="00B164B9"/>
    <w:rsid w:val="00B165A7"/>
    <w:rsid w:val="00B16682"/>
    <w:rsid w:val="00B166B4"/>
    <w:rsid w:val="00B16722"/>
    <w:rsid w:val="00B16876"/>
    <w:rsid w:val="00B169FD"/>
    <w:rsid w:val="00B16AE7"/>
    <w:rsid w:val="00B16BBA"/>
    <w:rsid w:val="00B16DC6"/>
    <w:rsid w:val="00B16E44"/>
    <w:rsid w:val="00B16E4E"/>
    <w:rsid w:val="00B16E5D"/>
    <w:rsid w:val="00B16FC2"/>
    <w:rsid w:val="00B16FCB"/>
    <w:rsid w:val="00B1712B"/>
    <w:rsid w:val="00B171C1"/>
    <w:rsid w:val="00B173F6"/>
    <w:rsid w:val="00B175B6"/>
    <w:rsid w:val="00B17677"/>
    <w:rsid w:val="00B17822"/>
    <w:rsid w:val="00B178C8"/>
    <w:rsid w:val="00B1795E"/>
    <w:rsid w:val="00B17AEC"/>
    <w:rsid w:val="00B17C03"/>
    <w:rsid w:val="00B17C3A"/>
    <w:rsid w:val="00B17E5F"/>
    <w:rsid w:val="00B20458"/>
    <w:rsid w:val="00B206B2"/>
    <w:rsid w:val="00B207C5"/>
    <w:rsid w:val="00B207FF"/>
    <w:rsid w:val="00B20877"/>
    <w:rsid w:val="00B208D1"/>
    <w:rsid w:val="00B20AE0"/>
    <w:rsid w:val="00B20AF3"/>
    <w:rsid w:val="00B20B2F"/>
    <w:rsid w:val="00B20B6C"/>
    <w:rsid w:val="00B20BA0"/>
    <w:rsid w:val="00B20C17"/>
    <w:rsid w:val="00B20C53"/>
    <w:rsid w:val="00B20E53"/>
    <w:rsid w:val="00B20E61"/>
    <w:rsid w:val="00B20F64"/>
    <w:rsid w:val="00B20FD0"/>
    <w:rsid w:val="00B2149C"/>
    <w:rsid w:val="00B215A0"/>
    <w:rsid w:val="00B2162B"/>
    <w:rsid w:val="00B21661"/>
    <w:rsid w:val="00B216D2"/>
    <w:rsid w:val="00B2171B"/>
    <w:rsid w:val="00B217B8"/>
    <w:rsid w:val="00B217CF"/>
    <w:rsid w:val="00B218E4"/>
    <w:rsid w:val="00B21AF3"/>
    <w:rsid w:val="00B21E61"/>
    <w:rsid w:val="00B21E75"/>
    <w:rsid w:val="00B21E8E"/>
    <w:rsid w:val="00B21F16"/>
    <w:rsid w:val="00B21F3D"/>
    <w:rsid w:val="00B21FC5"/>
    <w:rsid w:val="00B21FCF"/>
    <w:rsid w:val="00B2204F"/>
    <w:rsid w:val="00B2205E"/>
    <w:rsid w:val="00B22131"/>
    <w:rsid w:val="00B22188"/>
    <w:rsid w:val="00B22421"/>
    <w:rsid w:val="00B224A2"/>
    <w:rsid w:val="00B2279C"/>
    <w:rsid w:val="00B228F6"/>
    <w:rsid w:val="00B229C4"/>
    <w:rsid w:val="00B22B2C"/>
    <w:rsid w:val="00B22BF0"/>
    <w:rsid w:val="00B22CB5"/>
    <w:rsid w:val="00B22F60"/>
    <w:rsid w:val="00B23046"/>
    <w:rsid w:val="00B23134"/>
    <w:rsid w:val="00B2319E"/>
    <w:rsid w:val="00B2320D"/>
    <w:rsid w:val="00B2346F"/>
    <w:rsid w:val="00B2350B"/>
    <w:rsid w:val="00B2353A"/>
    <w:rsid w:val="00B23645"/>
    <w:rsid w:val="00B236F1"/>
    <w:rsid w:val="00B2375B"/>
    <w:rsid w:val="00B239AB"/>
    <w:rsid w:val="00B239D4"/>
    <w:rsid w:val="00B23DA8"/>
    <w:rsid w:val="00B23EEE"/>
    <w:rsid w:val="00B2422B"/>
    <w:rsid w:val="00B2422D"/>
    <w:rsid w:val="00B2435C"/>
    <w:rsid w:val="00B243C1"/>
    <w:rsid w:val="00B244D7"/>
    <w:rsid w:val="00B24614"/>
    <w:rsid w:val="00B246E6"/>
    <w:rsid w:val="00B24885"/>
    <w:rsid w:val="00B24B40"/>
    <w:rsid w:val="00B24B79"/>
    <w:rsid w:val="00B24C45"/>
    <w:rsid w:val="00B24C8E"/>
    <w:rsid w:val="00B24D12"/>
    <w:rsid w:val="00B24F87"/>
    <w:rsid w:val="00B24FB2"/>
    <w:rsid w:val="00B25057"/>
    <w:rsid w:val="00B250FA"/>
    <w:rsid w:val="00B2517D"/>
    <w:rsid w:val="00B25236"/>
    <w:rsid w:val="00B252B7"/>
    <w:rsid w:val="00B2531B"/>
    <w:rsid w:val="00B2541A"/>
    <w:rsid w:val="00B254CA"/>
    <w:rsid w:val="00B2562A"/>
    <w:rsid w:val="00B256D4"/>
    <w:rsid w:val="00B256E2"/>
    <w:rsid w:val="00B2589C"/>
    <w:rsid w:val="00B25901"/>
    <w:rsid w:val="00B25C7E"/>
    <w:rsid w:val="00B25CD5"/>
    <w:rsid w:val="00B25E7F"/>
    <w:rsid w:val="00B25EE3"/>
    <w:rsid w:val="00B25F5A"/>
    <w:rsid w:val="00B263A2"/>
    <w:rsid w:val="00B263D3"/>
    <w:rsid w:val="00B2640F"/>
    <w:rsid w:val="00B264EA"/>
    <w:rsid w:val="00B26619"/>
    <w:rsid w:val="00B26662"/>
    <w:rsid w:val="00B2672A"/>
    <w:rsid w:val="00B26732"/>
    <w:rsid w:val="00B267D9"/>
    <w:rsid w:val="00B2685E"/>
    <w:rsid w:val="00B268D2"/>
    <w:rsid w:val="00B269F8"/>
    <w:rsid w:val="00B26AF1"/>
    <w:rsid w:val="00B26B1A"/>
    <w:rsid w:val="00B26C28"/>
    <w:rsid w:val="00B2715E"/>
    <w:rsid w:val="00B27169"/>
    <w:rsid w:val="00B272A9"/>
    <w:rsid w:val="00B272DE"/>
    <w:rsid w:val="00B27417"/>
    <w:rsid w:val="00B27586"/>
    <w:rsid w:val="00B277A1"/>
    <w:rsid w:val="00B27B62"/>
    <w:rsid w:val="00B27D01"/>
    <w:rsid w:val="00B27D34"/>
    <w:rsid w:val="00B27DD7"/>
    <w:rsid w:val="00B301AF"/>
    <w:rsid w:val="00B30225"/>
    <w:rsid w:val="00B30415"/>
    <w:rsid w:val="00B3054F"/>
    <w:rsid w:val="00B309A7"/>
    <w:rsid w:val="00B309E5"/>
    <w:rsid w:val="00B30B3F"/>
    <w:rsid w:val="00B30BE1"/>
    <w:rsid w:val="00B30C3E"/>
    <w:rsid w:val="00B30DA3"/>
    <w:rsid w:val="00B30EC0"/>
    <w:rsid w:val="00B30F7A"/>
    <w:rsid w:val="00B31145"/>
    <w:rsid w:val="00B3119F"/>
    <w:rsid w:val="00B311E3"/>
    <w:rsid w:val="00B31228"/>
    <w:rsid w:val="00B312B4"/>
    <w:rsid w:val="00B314EA"/>
    <w:rsid w:val="00B31504"/>
    <w:rsid w:val="00B315C3"/>
    <w:rsid w:val="00B315D0"/>
    <w:rsid w:val="00B31796"/>
    <w:rsid w:val="00B3184E"/>
    <w:rsid w:val="00B31A0F"/>
    <w:rsid w:val="00B31C38"/>
    <w:rsid w:val="00B31D80"/>
    <w:rsid w:val="00B31E28"/>
    <w:rsid w:val="00B31F3E"/>
    <w:rsid w:val="00B31FA0"/>
    <w:rsid w:val="00B3214F"/>
    <w:rsid w:val="00B32159"/>
    <w:rsid w:val="00B3225C"/>
    <w:rsid w:val="00B322D5"/>
    <w:rsid w:val="00B32444"/>
    <w:rsid w:val="00B32465"/>
    <w:rsid w:val="00B3272B"/>
    <w:rsid w:val="00B328A4"/>
    <w:rsid w:val="00B32A8F"/>
    <w:rsid w:val="00B32B09"/>
    <w:rsid w:val="00B32C03"/>
    <w:rsid w:val="00B32CD0"/>
    <w:rsid w:val="00B33048"/>
    <w:rsid w:val="00B331C2"/>
    <w:rsid w:val="00B331F5"/>
    <w:rsid w:val="00B3333F"/>
    <w:rsid w:val="00B333AA"/>
    <w:rsid w:val="00B333C5"/>
    <w:rsid w:val="00B33603"/>
    <w:rsid w:val="00B337D0"/>
    <w:rsid w:val="00B337EC"/>
    <w:rsid w:val="00B33908"/>
    <w:rsid w:val="00B33AB0"/>
    <w:rsid w:val="00B33B36"/>
    <w:rsid w:val="00B33B5E"/>
    <w:rsid w:val="00B33B7E"/>
    <w:rsid w:val="00B33B9A"/>
    <w:rsid w:val="00B33BE7"/>
    <w:rsid w:val="00B33CE2"/>
    <w:rsid w:val="00B33DDD"/>
    <w:rsid w:val="00B33E7D"/>
    <w:rsid w:val="00B33F43"/>
    <w:rsid w:val="00B341AE"/>
    <w:rsid w:val="00B34236"/>
    <w:rsid w:val="00B34271"/>
    <w:rsid w:val="00B34299"/>
    <w:rsid w:val="00B342DA"/>
    <w:rsid w:val="00B34469"/>
    <w:rsid w:val="00B345C5"/>
    <w:rsid w:val="00B34619"/>
    <w:rsid w:val="00B34753"/>
    <w:rsid w:val="00B34788"/>
    <w:rsid w:val="00B347EF"/>
    <w:rsid w:val="00B348B8"/>
    <w:rsid w:val="00B349FA"/>
    <w:rsid w:val="00B34E81"/>
    <w:rsid w:val="00B34ED4"/>
    <w:rsid w:val="00B34EE8"/>
    <w:rsid w:val="00B3505D"/>
    <w:rsid w:val="00B35085"/>
    <w:rsid w:val="00B35248"/>
    <w:rsid w:val="00B352F8"/>
    <w:rsid w:val="00B3533C"/>
    <w:rsid w:val="00B35533"/>
    <w:rsid w:val="00B3555C"/>
    <w:rsid w:val="00B355F3"/>
    <w:rsid w:val="00B35638"/>
    <w:rsid w:val="00B35A66"/>
    <w:rsid w:val="00B35B9E"/>
    <w:rsid w:val="00B35E32"/>
    <w:rsid w:val="00B35EB0"/>
    <w:rsid w:val="00B35F2F"/>
    <w:rsid w:val="00B36031"/>
    <w:rsid w:val="00B360ED"/>
    <w:rsid w:val="00B361E9"/>
    <w:rsid w:val="00B363A1"/>
    <w:rsid w:val="00B36432"/>
    <w:rsid w:val="00B36587"/>
    <w:rsid w:val="00B365D2"/>
    <w:rsid w:val="00B365E9"/>
    <w:rsid w:val="00B36687"/>
    <w:rsid w:val="00B36746"/>
    <w:rsid w:val="00B36B47"/>
    <w:rsid w:val="00B36D8A"/>
    <w:rsid w:val="00B36F03"/>
    <w:rsid w:val="00B36F82"/>
    <w:rsid w:val="00B36FFB"/>
    <w:rsid w:val="00B37025"/>
    <w:rsid w:val="00B3710E"/>
    <w:rsid w:val="00B37152"/>
    <w:rsid w:val="00B371CE"/>
    <w:rsid w:val="00B37204"/>
    <w:rsid w:val="00B372DD"/>
    <w:rsid w:val="00B3770C"/>
    <w:rsid w:val="00B3771E"/>
    <w:rsid w:val="00B377DE"/>
    <w:rsid w:val="00B37868"/>
    <w:rsid w:val="00B37BAC"/>
    <w:rsid w:val="00B37C1C"/>
    <w:rsid w:val="00B37CEE"/>
    <w:rsid w:val="00B37F89"/>
    <w:rsid w:val="00B3C334"/>
    <w:rsid w:val="00B40125"/>
    <w:rsid w:val="00B40169"/>
    <w:rsid w:val="00B404B9"/>
    <w:rsid w:val="00B407E5"/>
    <w:rsid w:val="00B40900"/>
    <w:rsid w:val="00B40952"/>
    <w:rsid w:val="00B40BD4"/>
    <w:rsid w:val="00B40CDC"/>
    <w:rsid w:val="00B40E13"/>
    <w:rsid w:val="00B40F23"/>
    <w:rsid w:val="00B410DD"/>
    <w:rsid w:val="00B41652"/>
    <w:rsid w:val="00B4166E"/>
    <w:rsid w:val="00B41739"/>
    <w:rsid w:val="00B417B3"/>
    <w:rsid w:val="00B41817"/>
    <w:rsid w:val="00B419BE"/>
    <w:rsid w:val="00B419DF"/>
    <w:rsid w:val="00B41B25"/>
    <w:rsid w:val="00B41BE0"/>
    <w:rsid w:val="00B41E8F"/>
    <w:rsid w:val="00B41EAA"/>
    <w:rsid w:val="00B41EC3"/>
    <w:rsid w:val="00B41F52"/>
    <w:rsid w:val="00B41FBE"/>
    <w:rsid w:val="00B421D9"/>
    <w:rsid w:val="00B422EE"/>
    <w:rsid w:val="00B42343"/>
    <w:rsid w:val="00B423CD"/>
    <w:rsid w:val="00B4243D"/>
    <w:rsid w:val="00B42622"/>
    <w:rsid w:val="00B4273E"/>
    <w:rsid w:val="00B42762"/>
    <w:rsid w:val="00B427FD"/>
    <w:rsid w:val="00B42B04"/>
    <w:rsid w:val="00B42B54"/>
    <w:rsid w:val="00B42CC6"/>
    <w:rsid w:val="00B42D12"/>
    <w:rsid w:val="00B42EC1"/>
    <w:rsid w:val="00B42F09"/>
    <w:rsid w:val="00B42FAB"/>
    <w:rsid w:val="00B43268"/>
    <w:rsid w:val="00B432D4"/>
    <w:rsid w:val="00B43521"/>
    <w:rsid w:val="00B43895"/>
    <w:rsid w:val="00B438A0"/>
    <w:rsid w:val="00B438DF"/>
    <w:rsid w:val="00B4391B"/>
    <w:rsid w:val="00B43ACF"/>
    <w:rsid w:val="00B43B20"/>
    <w:rsid w:val="00B43B66"/>
    <w:rsid w:val="00B43CAC"/>
    <w:rsid w:val="00B43D24"/>
    <w:rsid w:val="00B43E22"/>
    <w:rsid w:val="00B43E4E"/>
    <w:rsid w:val="00B43E79"/>
    <w:rsid w:val="00B43ECE"/>
    <w:rsid w:val="00B43FA3"/>
    <w:rsid w:val="00B43FCA"/>
    <w:rsid w:val="00B440A9"/>
    <w:rsid w:val="00B4442A"/>
    <w:rsid w:val="00B44572"/>
    <w:rsid w:val="00B4470A"/>
    <w:rsid w:val="00B447C1"/>
    <w:rsid w:val="00B4483D"/>
    <w:rsid w:val="00B449AE"/>
    <w:rsid w:val="00B44B78"/>
    <w:rsid w:val="00B44B9B"/>
    <w:rsid w:val="00B44CA3"/>
    <w:rsid w:val="00B44D01"/>
    <w:rsid w:val="00B44DC0"/>
    <w:rsid w:val="00B450EC"/>
    <w:rsid w:val="00B451A0"/>
    <w:rsid w:val="00B4521A"/>
    <w:rsid w:val="00B4521D"/>
    <w:rsid w:val="00B45290"/>
    <w:rsid w:val="00B453C5"/>
    <w:rsid w:val="00B453E5"/>
    <w:rsid w:val="00B45449"/>
    <w:rsid w:val="00B4557A"/>
    <w:rsid w:val="00B4559A"/>
    <w:rsid w:val="00B45626"/>
    <w:rsid w:val="00B4563F"/>
    <w:rsid w:val="00B45648"/>
    <w:rsid w:val="00B45769"/>
    <w:rsid w:val="00B45801"/>
    <w:rsid w:val="00B4583C"/>
    <w:rsid w:val="00B45998"/>
    <w:rsid w:val="00B45A56"/>
    <w:rsid w:val="00B45E0F"/>
    <w:rsid w:val="00B45EE9"/>
    <w:rsid w:val="00B460F4"/>
    <w:rsid w:val="00B461D2"/>
    <w:rsid w:val="00B461E6"/>
    <w:rsid w:val="00B4625A"/>
    <w:rsid w:val="00B46927"/>
    <w:rsid w:val="00B46AE0"/>
    <w:rsid w:val="00B46B76"/>
    <w:rsid w:val="00B46C1E"/>
    <w:rsid w:val="00B46EDE"/>
    <w:rsid w:val="00B4703A"/>
    <w:rsid w:val="00B47078"/>
    <w:rsid w:val="00B47194"/>
    <w:rsid w:val="00B47269"/>
    <w:rsid w:val="00B472D4"/>
    <w:rsid w:val="00B47381"/>
    <w:rsid w:val="00B474A3"/>
    <w:rsid w:val="00B47595"/>
    <w:rsid w:val="00B47636"/>
    <w:rsid w:val="00B476AD"/>
    <w:rsid w:val="00B477F0"/>
    <w:rsid w:val="00B477F1"/>
    <w:rsid w:val="00B47856"/>
    <w:rsid w:val="00B47A16"/>
    <w:rsid w:val="00B47ACB"/>
    <w:rsid w:val="00B47C55"/>
    <w:rsid w:val="00B47D9D"/>
    <w:rsid w:val="00B5004A"/>
    <w:rsid w:val="00B500E1"/>
    <w:rsid w:val="00B5012C"/>
    <w:rsid w:val="00B501FF"/>
    <w:rsid w:val="00B502D5"/>
    <w:rsid w:val="00B50334"/>
    <w:rsid w:val="00B503C4"/>
    <w:rsid w:val="00B503CA"/>
    <w:rsid w:val="00B5042A"/>
    <w:rsid w:val="00B5087F"/>
    <w:rsid w:val="00B5098F"/>
    <w:rsid w:val="00B50A9A"/>
    <w:rsid w:val="00B50B1A"/>
    <w:rsid w:val="00B50CF8"/>
    <w:rsid w:val="00B50E92"/>
    <w:rsid w:val="00B5101A"/>
    <w:rsid w:val="00B5113D"/>
    <w:rsid w:val="00B5130F"/>
    <w:rsid w:val="00B51466"/>
    <w:rsid w:val="00B514A0"/>
    <w:rsid w:val="00B514D3"/>
    <w:rsid w:val="00B51681"/>
    <w:rsid w:val="00B516E7"/>
    <w:rsid w:val="00B51806"/>
    <w:rsid w:val="00B51840"/>
    <w:rsid w:val="00B51973"/>
    <w:rsid w:val="00B51A00"/>
    <w:rsid w:val="00B51D88"/>
    <w:rsid w:val="00B51DEC"/>
    <w:rsid w:val="00B51DF9"/>
    <w:rsid w:val="00B51E46"/>
    <w:rsid w:val="00B51ED7"/>
    <w:rsid w:val="00B51F57"/>
    <w:rsid w:val="00B51F6D"/>
    <w:rsid w:val="00B5210B"/>
    <w:rsid w:val="00B521C9"/>
    <w:rsid w:val="00B52247"/>
    <w:rsid w:val="00B527F8"/>
    <w:rsid w:val="00B52956"/>
    <w:rsid w:val="00B529CF"/>
    <w:rsid w:val="00B52A50"/>
    <w:rsid w:val="00B52B11"/>
    <w:rsid w:val="00B52DB1"/>
    <w:rsid w:val="00B52DE1"/>
    <w:rsid w:val="00B52ED7"/>
    <w:rsid w:val="00B52F29"/>
    <w:rsid w:val="00B53070"/>
    <w:rsid w:val="00B53099"/>
    <w:rsid w:val="00B532C7"/>
    <w:rsid w:val="00B53532"/>
    <w:rsid w:val="00B5392C"/>
    <w:rsid w:val="00B53A8A"/>
    <w:rsid w:val="00B53AD2"/>
    <w:rsid w:val="00B53B76"/>
    <w:rsid w:val="00B53C75"/>
    <w:rsid w:val="00B53D28"/>
    <w:rsid w:val="00B53E02"/>
    <w:rsid w:val="00B53E4F"/>
    <w:rsid w:val="00B53E93"/>
    <w:rsid w:val="00B53EDC"/>
    <w:rsid w:val="00B53EF5"/>
    <w:rsid w:val="00B540F8"/>
    <w:rsid w:val="00B54271"/>
    <w:rsid w:val="00B542C7"/>
    <w:rsid w:val="00B543D8"/>
    <w:rsid w:val="00B545B0"/>
    <w:rsid w:val="00B546F8"/>
    <w:rsid w:val="00B5473B"/>
    <w:rsid w:val="00B54829"/>
    <w:rsid w:val="00B5493D"/>
    <w:rsid w:val="00B5495A"/>
    <w:rsid w:val="00B549E8"/>
    <w:rsid w:val="00B54A7C"/>
    <w:rsid w:val="00B54BD3"/>
    <w:rsid w:val="00B54C59"/>
    <w:rsid w:val="00B54C70"/>
    <w:rsid w:val="00B550CA"/>
    <w:rsid w:val="00B550ED"/>
    <w:rsid w:val="00B551B6"/>
    <w:rsid w:val="00B55257"/>
    <w:rsid w:val="00B55270"/>
    <w:rsid w:val="00B552C0"/>
    <w:rsid w:val="00B55489"/>
    <w:rsid w:val="00B55897"/>
    <w:rsid w:val="00B5598A"/>
    <w:rsid w:val="00B55AE8"/>
    <w:rsid w:val="00B55BF8"/>
    <w:rsid w:val="00B55C0A"/>
    <w:rsid w:val="00B55C47"/>
    <w:rsid w:val="00B55CAE"/>
    <w:rsid w:val="00B55D91"/>
    <w:rsid w:val="00B55FAB"/>
    <w:rsid w:val="00B56111"/>
    <w:rsid w:val="00B561C3"/>
    <w:rsid w:val="00B562E7"/>
    <w:rsid w:val="00B5630C"/>
    <w:rsid w:val="00B56402"/>
    <w:rsid w:val="00B56427"/>
    <w:rsid w:val="00B56537"/>
    <w:rsid w:val="00B5657C"/>
    <w:rsid w:val="00B565FA"/>
    <w:rsid w:val="00B5664B"/>
    <w:rsid w:val="00B5666E"/>
    <w:rsid w:val="00B56680"/>
    <w:rsid w:val="00B56681"/>
    <w:rsid w:val="00B56705"/>
    <w:rsid w:val="00B56747"/>
    <w:rsid w:val="00B5680D"/>
    <w:rsid w:val="00B56945"/>
    <w:rsid w:val="00B5696B"/>
    <w:rsid w:val="00B56984"/>
    <w:rsid w:val="00B569CD"/>
    <w:rsid w:val="00B56A84"/>
    <w:rsid w:val="00B56B2C"/>
    <w:rsid w:val="00B56C0A"/>
    <w:rsid w:val="00B56CE0"/>
    <w:rsid w:val="00B56D7C"/>
    <w:rsid w:val="00B56DE2"/>
    <w:rsid w:val="00B56E51"/>
    <w:rsid w:val="00B56EF6"/>
    <w:rsid w:val="00B56F9C"/>
    <w:rsid w:val="00B56FA6"/>
    <w:rsid w:val="00B56FC8"/>
    <w:rsid w:val="00B57051"/>
    <w:rsid w:val="00B570B8"/>
    <w:rsid w:val="00B571B1"/>
    <w:rsid w:val="00B57360"/>
    <w:rsid w:val="00B57363"/>
    <w:rsid w:val="00B573FA"/>
    <w:rsid w:val="00B57499"/>
    <w:rsid w:val="00B57554"/>
    <w:rsid w:val="00B5764C"/>
    <w:rsid w:val="00B57828"/>
    <w:rsid w:val="00B57A70"/>
    <w:rsid w:val="00B57AEC"/>
    <w:rsid w:val="00B57D54"/>
    <w:rsid w:val="00B57E6C"/>
    <w:rsid w:val="00B60058"/>
    <w:rsid w:val="00B6014A"/>
    <w:rsid w:val="00B6015D"/>
    <w:rsid w:val="00B601E9"/>
    <w:rsid w:val="00B60363"/>
    <w:rsid w:val="00B603A9"/>
    <w:rsid w:val="00B60445"/>
    <w:rsid w:val="00B60473"/>
    <w:rsid w:val="00B604DD"/>
    <w:rsid w:val="00B60502"/>
    <w:rsid w:val="00B6058E"/>
    <w:rsid w:val="00B6059A"/>
    <w:rsid w:val="00B606E0"/>
    <w:rsid w:val="00B60811"/>
    <w:rsid w:val="00B608F6"/>
    <w:rsid w:val="00B60959"/>
    <w:rsid w:val="00B60A21"/>
    <w:rsid w:val="00B60A78"/>
    <w:rsid w:val="00B60B5D"/>
    <w:rsid w:val="00B60E25"/>
    <w:rsid w:val="00B61065"/>
    <w:rsid w:val="00B61183"/>
    <w:rsid w:val="00B6126F"/>
    <w:rsid w:val="00B61325"/>
    <w:rsid w:val="00B61440"/>
    <w:rsid w:val="00B61484"/>
    <w:rsid w:val="00B615E9"/>
    <w:rsid w:val="00B615FC"/>
    <w:rsid w:val="00B6165A"/>
    <w:rsid w:val="00B61746"/>
    <w:rsid w:val="00B617D9"/>
    <w:rsid w:val="00B61891"/>
    <w:rsid w:val="00B61965"/>
    <w:rsid w:val="00B61AD8"/>
    <w:rsid w:val="00B61C83"/>
    <w:rsid w:val="00B61CA2"/>
    <w:rsid w:val="00B61CAD"/>
    <w:rsid w:val="00B61D20"/>
    <w:rsid w:val="00B61ED8"/>
    <w:rsid w:val="00B6202A"/>
    <w:rsid w:val="00B62053"/>
    <w:rsid w:val="00B621A5"/>
    <w:rsid w:val="00B62273"/>
    <w:rsid w:val="00B62306"/>
    <w:rsid w:val="00B6239A"/>
    <w:rsid w:val="00B6240C"/>
    <w:rsid w:val="00B62509"/>
    <w:rsid w:val="00B62565"/>
    <w:rsid w:val="00B6267B"/>
    <w:rsid w:val="00B6293B"/>
    <w:rsid w:val="00B629AD"/>
    <w:rsid w:val="00B62AA9"/>
    <w:rsid w:val="00B62B30"/>
    <w:rsid w:val="00B62B56"/>
    <w:rsid w:val="00B62B79"/>
    <w:rsid w:val="00B62C16"/>
    <w:rsid w:val="00B62FCD"/>
    <w:rsid w:val="00B63000"/>
    <w:rsid w:val="00B63122"/>
    <w:rsid w:val="00B632EE"/>
    <w:rsid w:val="00B63477"/>
    <w:rsid w:val="00B6364A"/>
    <w:rsid w:val="00B63703"/>
    <w:rsid w:val="00B6375E"/>
    <w:rsid w:val="00B6379E"/>
    <w:rsid w:val="00B637B7"/>
    <w:rsid w:val="00B63AF7"/>
    <w:rsid w:val="00B63C28"/>
    <w:rsid w:val="00B63C6E"/>
    <w:rsid w:val="00B63CBC"/>
    <w:rsid w:val="00B63CF4"/>
    <w:rsid w:val="00B63D68"/>
    <w:rsid w:val="00B63E0E"/>
    <w:rsid w:val="00B63F31"/>
    <w:rsid w:val="00B63F8A"/>
    <w:rsid w:val="00B63FDC"/>
    <w:rsid w:val="00B640D5"/>
    <w:rsid w:val="00B6411E"/>
    <w:rsid w:val="00B6412E"/>
    <w:rsid w:val="00B64211"/>
    <w:rsid w:val="00B6429A"/>
    <w:rsid w:val="00B64394"/>
    <w:rsid w:val="00B6449B"/>
    <w:rsid w:val="00B646BC"/>
    <w:rsid w:val="00B64740"/>
    <w:rsid w:val="00B6477A"/>
    <w:rsid w:val="00B64887"/>
    <w:rsid w:val="00B648E9"/>
    <w:rsid w:val="00B64914"/>
    <w:rsid w:val="00B64951"/>
    <w:rsid w:val="00B64959"/>
    <w:rsid w:val="00B64B31"/>
    <w:rsid w:val="00B64CE3"/>
    <w:rsid w:val="00B64D08"/>
    <w:rsid w:val="00B64DA7"/>
    <w:rsid w:val="00B64E6F"/>
    <w:rsid w:val="00B64F50"/>
    <w:rsid w:val="00B64FEA"/>
    <w:rsid w:val="00B65031"/>
    <w:rsid w:val="00B65124"/>
    <w:rsid w:val="00B6525D"/>
    <w:rsid w:val="00B65336"/>
    <w:rsid w:val="00B65374"/>
    <w:rsid w:val="00B6548B"/>
    <w:rsid w:val="00B65581"/>
    <w:rsid w:val="00B65744"/>
    <w:rsid w:val="00B657C4"/>
    <w:rsid w:val="00B65824"/>
    <w:rsid w:val="00B658C3"/>
    <w:rsid w:val="00B65AD2"/>
    <w:rsid w:val="00B65AF2"/>
    <w:rsid w:val="00B65BAB"/>
    <w:rsid w:val="00B65C47"/>
    <w:rsid w:val="00B65EFE"/>
    <w:rsid w:val="00B65F07"/>
    <w:rsid w:val="00B66359"/>
    <w:rsid w:val="00B666A1"/>
    <w:rsid w:val="00B66751"/>
    <w:rsid w:val="00B66834"/>
    <w:rsid w:val="00B66A18"/>
    <w:rsid w:val="00B66E5F"/>
    <w:rsid w:val="00B67182"/>
    <w:rsid w:val="00B671A7"/>
    <w:rsid w:val="00B675E9"/>
    <w:rsid w:val="00B67676"/>
    <w:rsid w:val="00B678BD"/>
    <w:rsid w:val="00B67977"/>
    <w:rsid w:val="00B679E1"/>
    <w:rsid w:val="00B67A32"/>
    <w:rsid w:val="00B67AF1"/>
    <w:rsid w:val="00B67BAA"/>
    <w:rsid w:val="00B67CCB"/>
    <w:rsid w:val="00B67CD3"/>
    <w:rsid w:val="00B67E08"/>
    <w:rsid w:val="00B67F20"/>
    <w:rsid w:val="00B67F7F"/>
    <w:rsid w:val="00B7003B"/>
    <w:rsid w:val="00B7022E"/>
    <w:rsid w:val="00B7026C"/>
    <w:rsid w:val="00B7032E"/>
    <w:rsid w:val="00B7039D"/>
    <w:rsid w:val="00B704F0"/>
    <w:rsid w:val="00B70570"/>
    <w:rsid w:val="00B705DF"/>
    <w:rsid w:val="00B70682"/>
    <w:rsid w:val="00B7076F"/>
    <w:rsid w:val="00B70813"/>
    <w:rsid w:val="00B709A9"/>
    <w:rsid w:val="00B709AF"/>
    <w:rsid w:val="00B709CF"/>
    <w:rsid w:val="00B70A41"/>
    <w:rsid w:val="00B70D9E"/>
    <w:rsid w:val="00B70DBC"/>
    <w:rsid w:val="00B70DC9"/>
    <w:rsid w:val="00B70E99"/>
    <w:rsid w:val="00B7135B"/>
    <w:rsid w:val="00B714E6"/>
    <w:rsid w:val="00B7152F"/>
    <w:rsid w:val="00B7153B"/>
    <w:rsid w:val="00B71586"/>
    <w:rsid w:val="00B71666"/>
    <w:rsid w:val="00B7181B"/>
    <w:rsid w:val="00B71854"/>
    <w:rsid w:val="00B71999"/>
    <w:rsid w:val="00B719E7"/>
    <w:rsid w:val="00B71BE2"/>
    <w:rsid w:val="00B71CA6"/>
    <w:rsid w:val="00B71DCE"/>
    <w:rsid w:val="00B71E57"/>
    <w:rsid w:val="00B7216D"/>
    <w:rsid w:val="00B72253"/>
    <w:rsid w:val="00B722B2"/>
    <w:rsid w:val="00B724AB"/>
    <w:rsid w:val="00B7257D"/>
    <w:rsid w:val="00B725DC"/>
    <w:rsid w:val="00B72641"/>
    <w:rsid w:val="00B7271E"/>
    <w:rsid w:val="00B727AB"/>
    <w:rsid w:val="00B72861"/>
    <w:rsid w:val="00B72914"/>
    <w:rsid w:val="00B7295C"/>
    <w:rsid w:val="00B72A98"/>
    <w:rsid w:val="00B72AF3"/>
    <w:rsid w:val="00B72B7E"/>
    <w:rsid w:val="00B72C04"/>
    <w:rsid w:val="00B72E37"/>
    <w:rsid w:val="00B72E40"/>
    <w:rsid w:val="00B72E79"/>
    <w:rsid w:val="00B72EAD"/>
    <w:rsid w:val="00B72FD1"/>
    <w:rsid w:val="00B734EE"/>
    <w:rsid w:val="00B73657"/>
    <w:rsid w:val="00B73680"/>
    <w:rsid w:val="00B73695"/>
    <w:rsid w:val="00B73823"/>
    <w:rsid w:val="00B738EF"/>
    <w:rsid w:val="00B73963"/>
    <w:rsid w:val="00B739F2"/>
    <w:rsid w:val="00B73B80"/>
    <w:rsid w:val="00B73DA4"/>
    <w:rsid w:val="00B73E3C"/>
    <w:rsid w:val="00B73E69"/>
    <w:rsid w:val="00B73F29"/>
    <w:rsid w:val="00B74006"/>
    <w:rsid w:val="00B740FC"/>
    <w:rsid w:val="00B74228"/>
    <w:rsid w:val="00B743DF"/>
    <w:rsid w:val="00B745BC"/>
    <w:rsid w:val="00B7487B"/>
    <w:rsid w:val="00B749C3"/>
    <w:rsid w:val="00B74D73"/>
    <w:rsid w:val="00B74F35"/>
    <w:rsid w:val="00B74FA1"/>
    <w:rsid w:val="00B74FF1"/>
    <w:rsid w:val="00B7529A"/>
    <w:rsid w:val="00B7533A"/>
    <w:rsid w:val="00B75412"/>
    <w:rsid w:val="00B75427"/>
    <w:rsid w:val="00B7547A"/>
    <w:rsid w:val="00B754FF"/>
    <w:rsid w:val="00B755B5"/>
    <w:rsid w:val="00B757B5"/>
    <w:rsid w:val="00B75ABA"/>
    <w:rsid w:val="00B75AF9"/>
    <w:rsid w:val="00B75CE1"/>
    <w:rsid w:val="00B75D77"/>
    <w:rsid w:val="00B75EC5"/>
    <w:rsid w:val="00B75EEA"/>
    <w:rsid w:val="00B75EF6"/>
    <w:rsid w:val="00B75F08"/>
    <w:rsid w:val="00B75F77"/>
    <w:rsid w:val="00B75FD1"/>
    <w:rsid w:val="00B760E7"/>
    <w:rsid w:val="00B76111"/>
    <w:rsid w:val="00B76430"/>
    <w:rsid w:val="00B76457"/>
    <w:rsid w:val="00B7646D"/>
    <w:rsid w:val="00B764A1"/>
    <w:rsid w:val="00B764EF"/>
    <w:rsid w:val="00B765F5"/>
    <w:rsid w:val="00B7676A"/>
    <w:rsid w:val="00B7678D"/>
    <w:rsid w:val="00B767B0"/>
    <w:rsid w:val="00B767CB"/>
    <w:rsid w:val="00B767E5"/>
    <w:rsid w:val="00B76888"/>
    <w:rsid w:val="00B769F4"/>
    <w:rsid w:val="00B76ADF"/>
    <w:rsid w:val="00B76AF9"/>
    <w:rsid w:val="00B76BD6"/>
    <w:rsid w:val="00B76CC5"/>
    <w:rsid w:val="00B76D25"/>
    <w:rsid w:val="00B76D3B"/>
    <w:rsid w:val="00B76D65"/>
    <w:rsid w:val="00B76D75"/>
    <w:rsid w:val="00B76DCA"/>
    <w:rsid w:val="00B77133"/>
    <w:rsid w:val="00B77138"/>
    <w:rsid w:val="00B771F2"/>
    <w:rsid w:val="00B77302"/>
    <w:rsid w:val="00B77377"/>
    <w:rsid w:val="00B775D9"/>
    <w:rsid w:val="00B77617"/>
    <w:rsid w:val="00B7762D"/>
    <w:rsid w:val="00B77655"/>
    <w:rsid w:val="00B77D45"/>
    <w:rsid w:val="00B77E97"/>
    <w:rsid w:val="00B77FD5"/>
    <w:rsid w:val="00B8006B"/>
    <w:rsid w:val="00B80155"/>
    <w:rsid w:val="00B80194"/>
    <w:rsid w:val="00B80385"/>
    <w:rsid w:val="00B8054F"/>
    <w:rsid w:val="00B80750"/>
    <w:rsid w:val="00B80940"/>
    <w:rsid w:val="00B80FAA"/>
    <w:rsid w:val="00B80FB2"/>
    <w:rsid w:val="00B8109C"/>
    <w:rsid w:val="00B810B7"/>
    <w:rsid w:val="00B8115A"/>
    <w:rsid w:val="00B81196"/>
    <w:rsid w:val="00B81273"/>
    <w:rsid w:val="00B81333"/>
    <w:rsid w:val="00B81339"/>
    <w:rsid w:val="00B81354"/>
    <w:rsid w:val="00B8135E"/>
    <w:rsid w:val="00B813E5"/>
    <w:rsid w:val="00B81547"/>
    <w:rsid w:val="00B8158B"/>
    <w:rsid w:val="00B815FE"/>
    <w:rsid w:val="00B816E9"/>
    <w:rsid w:val="00B81826"/>
    <w:rsid w:val="00B81866"/>
    <w:rsid w:val="00B818AB"/>
    <w:rsid w:val="00B81934"/>
    <w:rsid w:val="00B81AC8"/>
    <w:rsid w:val="00B81AD5"/>
    <w:rsid w:val="00B81C80"/>
    <w:rsid w:val="00B81E9F"/>
    <w:rsid w:val="00B81FD5"/>
    <w:rsid w:val="00B820F2"/>
    <w:rsid w:val="00B82102"/>
    <w:rsid w:val="00B821E1"/>
    <w:rsid w:val="00B822D4"/>
    <w:rsid w:val="00B822D9"/>
    <w:rsid w:val="00B82482"/>
    <w:rsid w:val="00B82497"/>
    <w:rsid w:val="00B82706"/>
    <w:rsid w:val="00B82709"/>
    <w:rsid w:val="00B827D3"/>
    <w:rsid w:val="00B82919"/>
    <w:rsid w:val="00B82924"/>
    <w:rsid w:val="00B82A17"/>
    <w:rsid w:val="00B82D50"/>
    <w:rsid w:val="00B82DB0"/>
    <w:rsid w:val="00B82DE7"/>
    <w:rsid w:val="00B830E7"/>
    <w:rsid w:val="00B83102"/>
    <w:rsid w:val="00B83132"/>
    <w:rsid w:val="00B832AB"/>
    <w:rsid w:val="00B8337F"/>
    <w:rsid w:val="00B833A9"/>
    <w:rsid w:val="00B83517"/>
    <w:rsid w:val="00B835D7"/>
    <w:rsid w:val="00B8362F"/>
    <w:rsid w:val="00B8365B"/>
    <w:rsid w:val="00B8398C"/>
    <w:rsid w:val="00B839AB"/>
    <w:rsid w:val="00B83ABF"/>
    <w:rsid w:val="00B83AE3"/>
    <w:rsid w:val="00B83B2B"/>
    <w:rsid w:val="00B83B39"/>
    <w:rsid w:val="00B83B96"/>
    <w:rsid w:val="00B83BE5"/>
    <w:rsid w:val="00B83DF5"/>
    <w:rsid w:val="00B83DF9"/>
    <w:rsid w:val="00B83E24"/>
    <w:rsid w:val="00B83F71"/>
    <w:rsid w:val="00B840F3"/>
    <w:rsid w:val="00B84130"/>
    <w:rsid w:val="00B841D2"/>
    <w:rsid w:val="00B8436C"/>
    <w:rsid w:val="00B843CF"/>
    <w:rsid w:val="00B84417"/>
    <w:rsid w:val="00B844A6"/>
    <w:rsid w:val="00B8478E"/>
    <w:rsid w:val="00B84899"/>
    <w:rsid w:val="00B848FE"/>
    <w:rsid w:val="00B84A0A"/>
    <w:rsid w:val="00B84AAC"/>
    <w:rsid w:val="00B84BD9"/>
    <w:rsid w:val="00B84D93"/>
    <w:rsid w:val="00B8506B"/>
    <w:rsid w:val="00B8508A"/>
    <w:rsid w:val="00B851E4"/>
    <w:rsid w:val="00B85414"/>
    <w:rsid w:val="00B8547A"/>
    <w:rsid w:val="00B855F2"/>
    <w:rsid w:val="00B856D0"/>
    <w:rsid w:val="00B857DD"/>
    <w:rsid w:val="00B8587C"/>
    <w:rsid w:val="00B85A7B"/>
    <w:rsid w:val="00B85C95"/>
    <w:rsid w:val="00B85CA5"/>
    <w:rsid w:val="00B85D06"/>
    <w:rsid w:val="00B85D60"/>
    <w:rsid w:val="00B85D89"/>
    <w:rsid w:val="00B85FCA"/>
    <w:rsid w:val="00B86194"/>
    <w:rsid w:val="00B861F2"/>
    <w:rsid w:val="00B86273"/>
    <w:rsid w:val="00B8631E"/>
    <w:rsid w:val="00B866F0"/>
    <w:rsid w:val="00B869DF"/>
    <w:rsid w:val="00B86D90"/>
    <w:rsid w:val="00B86EB8"/>
    <w:rsid w:val="00B87160"/>
    <w:rsid w:val="00B87163"/>
    <w:rsid w:val="00B87221"/>
    <w:rsid w:val="00B87276"/>
    <w:rsid w:val="00B873CD"/>
    <w:rsid w:val="00B87533"/>
    <w:rsid w:val="00B8780B"/>
    <w:rsid w:val="00B8794D"/>
    <w:rsid w:val="00B87B83"/>
    <w:rsid w:val="00B87C43"/>
    <w:rsid w:val="00B87CBF"/>
    <w:rsid w:val="00B87DCD"/>
    <w:rsid w:val="00B87E3E"/>
    <w:rsid w:val="00B87F07"/>
    <w:rsid w:val="00B87F65"/>
    <w:rsid w:val="00B90052"/>
    <w:rsid w:val="00B9041C"/>
    <w:rsid w:val="00B90442"/>
    <w:rsid w:val="00B904CB"/>
    <w:rsid w:val="00B904FF"/>
    <w:rsid w:val="00B9054C"/>
    <w:rsid w:val="00B905ED"/>
    <w:rsid w:val="00B90643"/>
    <w:rsid w:val="00B907EE"/>
    <w:rsid w:val="00B909B6"/>
    <w:rsid w:val="00B90A76"/>
    <w:rsid w:val="00B90C8D"/>
    <w:rsid w:val="00B90CA3"/>
    <w:rsid w:val="00B90D56"/>
    <w:rsid w:val="00B90D9B"/>
    <w:rsid w:val="00B90DF4"/>
    <w:rsid w:val="00B90F0E"/>
    <w:rsid w:val="00B90F30"/>
    <w:rsid w:val="00B90FBC"/>
    <w:rsid w:val="00B90FFA"/>
    <w:rsid w:val="00B910DB"/>
    <w:rsid w:val="00B91125"/>
    <w:rsid w:val="00B91234"/>
    <w:rsid w:val="00B912A4"/>
    <w:rsid w:val="00B91368"/>
    <w:rsid w:val="00B9141E"/>
    <w:rsid w:val="00B91503"/>
    <w:rsid w:val="00B915E6"/>
    <w:rsid w:val="00B916E9"/>
    <w:rsid w:val="00B91700"/>
    <w:rsid w:val="00B917A4"/>
    <w:rsid w:val="00B917C8"/>
    <w:rsid w:val="00B91804"/>
    <w:rsid w:val="00B9186E"/>
    <w:rsid w:val="00B918ED"/>
    <w:rsid w:val="00B918FA"/>
    <w:rsid w:val="00B91985"/>
    <w:rsid w:val="00B91B7E"/>
    <w:rsid w:val="00B91BD1"/>
    <w:rsid w:val="00B91CE6"/>
    <w:rsid w:val="00B91E4D"/>
    <w:rsid w:val="00B91E81"/>
    <w:rsid w:val="00B91ECC"/>
    <w:rsid w:val="00B91FE0"/>
    <w:rsid w:val="00B92206"/>
    <w:rsid w:val="00B9223A"/>
    <w:rsid w:val="00B92245"/>
    <w:rsid w:val="00B92350"/>
    <w:rsid w:val="00B92530"/>
    <w:rsid w:val="00B9265E"/>
    <w:rsid w:val="00B92690"/>
    <w:rsid w:val="00B927F5"/>
    <w:rsid w:val="00B92804"/>
    <w:rsid w:val="00B9290D"/>
    <w:rsid w:val="00B9299B"/>
    <w:rsid w:val="00B92B3E"/>
    <w:rsid w:val="00B92BB8"/>
    <w:rsid w:val="00B92E03"/>
    <w:rsid w:val="00B92EB3"/>
    <w:rsid w:val="00B93070"/>
    <w:rsid w:val="00B9308A"/>
    <w:rsid w:val="00B9326C"/>
    <w:rsid w:val="00B933AB"/>
    <w:rsid w:val="00B933AD"/>
    <w:rsid w:val="00B933BC"/>
    <w:rsid w:val="00B933C3"/>
    <w:rsid w:val="00B93498"/>
    <w:rsid w:val="00B93542"/>
    <w:rsid w:val="00B93611"/>
    <w:rsid w:val="00B93729"/>
    <w:rsid w:val="00B938A9"/>
    <w:rsid w:val="00B938BB"/>
    <w:rsid w:val="00B93981"/>
    <w:rsid w:val="00B93A1F"/>
    <w:rsid w:val="00B93B07"/>
    <w:rsid w:val="00B93B92"/>
    <w:rsid w:val="00B93BE1"/>
    <w:rsid w:val="00B93D38"/>
    <w:rsid w:val="00B93DC6"/>
    <w:rsid w:val="00B93F69"/>
    <w:rsid w:val="00B93FF1"/>
    <w:rsid w:val="00B94157"/>
    <w:rsid w:val="00B941ED"/>
    <w:rsid w:val="00B94348"/>
    <w:rsid w:val="00B94416"/>
    <w:rsid w:val="00B944AD"/>
    <w:rsid w:val="00B945DA"/>
    <w:rsid w:val="00B94791"/>
    <w:rsid w:val="00B9481D"/>
    <w:rsid w:val="00B94A03"/>
    <w:rsid w:val="00B94AB7"/>
    <w:rsid w:val="00B94B46"/>
    <w:rsid w:val="00B94B92"/>
    <w:rsid w:val="00B94CC2"/>
    <w:rsid w:val="00B94DE8"/>
    <w:rsid w:val="00B94E63"/>
    <w:rsid w:val="00B9502C"/>
    <w:rsid w:val="00B952CE"/>
    <w:rsid w:val="00B95439"/>
    <w:rsid w:val="00B9554E"/>
    <w:rsid w:val="00B95588"/>
    <w:rsid w:val="00B95589"/>
    <w:rsid w:val="00B955D5"/>
    <w:rsid w:val="00B955F9"/>
    <w:rsid w:val="00B95725"/>
    <w:rsid w:val="00B95735"/>
    <w:rsid w:val="00B957BA"/>
    <w:rsid w:val="00B958D5"/>
    <w:rsid w:val="00B959E2"/>
    <w:rsid w:val="00B95C19"/>
    <w:rsid w:val="00B95C89"/>
    <w:rsid w:val="00B95CFD"/>
    <w:rsid w:val="00B95E09"/>
    <w:rsid w:val="00B95E95"/>
    <w:rsid w:val="00B95EB4"/>
    <w:rsid w:val="00B95F07"/>
    <w:rsid w:val="00B95FB3"/>
    <w:rsid w:val="00B960B9"/>
    <w:rsid w:val="00B96141"/>
    <w:rsid w:val="00B9618F"/>
    <w:rsid w:val="00B9625C"/>
    <w:rsid w:val="00B962E2"/>
    <w:rsid w:val="00B964A6"/>
    <w:rsid w:val="00B96878"/>
    <w:rsid w:val="00B96953"/>
    <w:rsid w:val="00B96A04"/>
    <w:rsid w:val="00B96AC1"/>
    <w:rsid w:val="00B96AE2"/>
    <w:rsid w:val="00B96BBC"/>
    <w:rsid w:val="00B96C20"/>
    <w:rsid w:val="00B96CB3"/>
    <w:rsid w:val="00B96DF0"/>
    <w:rsid w:val="00B96F86"/>
    <w:rsid w:val="00B96FC5"/>
    <w:rsid w:val="00B9706A"/>
    <w:rsid w:val="00B970A0"/>
    <w:rsid w:val="00B9717A"/>
    <w:rsid w:val="00B971DA"/>
    <w:rsid w:val="00B9722F"/>
    <w:rsid w:val="00B97257"/>
    <w:rsid w:val="00B97502"/>
    <w:rsid w:val="00B97512"/>
    <w:rsid w:val="00B97551"/>
    <w:rsid w:val="00B975E8"/>
    <w:rsid w:val="00B976C4"/>
    <w:rsid w:val="00B97827"/>
    <w:rsid w:val="00B978BA"/>
    <w:rsid w:val="00B978E9"/>
    <w:rsid w:val="00B97A0B"/>
    <w:rsid w:val="00B97A84"/>
    <w:rsid w:val="00B97E33"/>
    <w:rsid w:val="00B97F26"/>
    <w:rsid w:val="00B97FBE"/>
    <w:rsid w:val="00BA00B3"/>
    <w:rsid w:val="00BA00D7"/>
    <w:rsid w:val="00BA00F9"/>
    <w:rsid w:val="00BA019A"/>
    <w:rsid w:val="00BA0226"/>
    <w:rsid w:val="00BA0559"/>
    <w:rsid w:val="00BA057E"/>
    <w:rsid w:val="00BA06A1"/>
    <w:rsid w:val="00BA06F3"/>
    <w:rsid w:val="00BA07AD"/>
    <w:rsid w:val="00BA07D2"/>
    <w:rsid w:val="00BA0B1A"/>
    <w:rsid w:val="00BA0B9C"/>
    <w:rsid w:val="00BA0BCB"/>
    <w:rsid w:val="00BA0D07"/>
    <w:rsid w:val="00BA0D97"/>
    <w:rsid w:val="00BA1077"/>
    <w:rsid w:val="00BA1228"/>
    <w:rsid w:val="00BA12D7"/>
    <w:rsid w:val="00BA1380"/>
    <w:rsid w:val="00BA1398"/>
    <w:rsid w:val="00BA15B0"/>
    <w:rsid w:val="00BA16C4"/>
    <w:rsid w:val="00BA190B"/>
    <w:rsid w:val="00BA192A"/>
    <w:rsid w:val="00BA19E2"/>
    <w:rsid w:val="00BA1A59"/>
    <w:rsid w:val="00BA1E09"/>
    <w:rsid w:val="00BA2164"/>
    <w:rsid w:val="00BA2345"/>
    <w:rsid w:val="00BA2529"/>
    <w:rsid w:val="00BA2602"/>
    <w:rsid w:val="00BA2650"/>
    <w:rsid w:val="00BA269A"/>
    <w:rsid w:val="00BA27EA"/>
    <w:rsid w:val="00BA2890"/>
    <w:rsid w:val="00BA28E6"/>
    <w:rsid w:val="00BA28FD"/>
    <w:rsid w:val="00BA294F"/>
    <w:rsid w:val="00BA29E5"/>
    <w:rsid w:val="00BA2A0C"/>
    <w:rsid w:val="00BA2A5B"/>
    <w:rsid w:val="00BA2A63"/>
    <w:rsid w:val="00BA2B54"/>
    <w:rsid w:val="00BA2B77"/>
    <w:rsid w:val="00BA2BCF"/>
    <w:rsid w:val="00BA2C62"/>
    <w:rsid w:val="00BA2F83"/>
    <w:rsid w:val="00BA304A"/>
    <w:rsid w:val="00BA310C"/>
    <w:rsid w:val="00BA31C2"/>
    <w:rsid w:val="00BA31DB"/>
    <w:rsid w:val="00BA3296"/>
    <w:rsid w:val="00BA33A5"/>
    <w:rsid w:val="00BA345C"/>
    <w:rsid w:val="00BA34B3"/>
    <w:rsid w:val="00BA3519"/>
    <w:rsid w:val="00BA3616"/>
    <w:rsid w:val="00BA378D"/>
    <w:rsid w:val="00BA37DA"/>
    <w:rsid w:val="00BA3806"/>
    <w:rsid w:val="00BA382C"/>
    <w:rsid w:val="00BA387D"/>
    <w:rsid w:val="00BA38D9"/>
    <w:rsid w:val="00BA392F"/>
    <w:rsid w:val="00BA396A"/>
    <w:rsid w:val="00BA3B9B"/>
    <w:rsid w:val="00BA3C7C"/>
    <w:rsid w:val="00BA3D2A"/>
    <w:rsid w:val="00BA3E86"/>
    <w:rsid w:val="00BA3EA8"/>
    <w:rsid w:val="00BA40BF"/>
    <w:rsid w:val="00BA40F9"/>
    <w:rsid w:val="00BA423D"/>
    <w:rsid w:val="00BA42E8"/>
    <w:rsid w:val="00BA4356"/>
    <w:rsid w:val="00BA43B1"/>
    <w:rsid w:val="00BA4587"/>
    <w:rsid w:val="00BA4603"/>
    <w:rsid w:val="00BA478D"/>
    <w:rsid w:val="00BA478E"/>
    <w:rsid w:val="00BA4905"/>
    <w:rsid w:val="00BA4973"/>
    <w:rsid w:val="00BA4C46"/>
    <w:rsid w:val="00BA4E01"/>
    <w:rsid w:val="00BA4E33"/>
    <w:rsid w:val="00BA503A"/>
    <w:rsid w:val="00BA5062"/>
    <w:rsid w:val="00BA5068"/>
    <w:rsid w:val="00BA515C"/>
    <w:rsid w:val="00BA527C"/>
    <w:rsid w:val="00BA5282"/>
    <w:rsid w:val="00BA543D"/>
    <w:rsid w:val="00BA54D3"/>
    <w:rsid w:val="00BA5589"/>
    <w:rsid w:val="00BA5657"/>
    <w:rsid w:val="00BA570C"/>
    <w:rsid w:val="00BA5763"/>
    <w:rsid w:val="00BA57C1"/>
    <w:rsid w:val="00BA5BF3"/>
    <w:rsid w:val="00BA5C9E"/>
    <w:rsid w:val="00BA5E6C"/>
    <w:rsid w:val="00BA5E98"/>
    <w:rsid w:val="00BA5F0D"/>
    <w:rsid w:val="00BA5F9A"/>
    <w:rsid w:val="00BA64FF"/>
    <w:rsid w:val="00BA6601"/>
    <w:rsid w:val="00BA6690"/>
    <w:rsid w:val="00BA6710"/>
    <w:rsid w:val="00BA689F"/>
    <w:rsid w:val="00BA69E8"/>
    <w:rsid w:val="00BA6B78"/>
    <w:rsid w:val="00BA6B9C"/>
    <w:rsid w:val="00BA6C01"/>
    <w:rsid w:val="00BA6C1E"/>
    <w:rsid w:val="00BA6C26"/>
    <w:rsid w:val="00BA6C41"/>
    <w:rsid w:val="00BA6C70"/>
    <w:rsid w:val="00BA6CC7"/>
    <w:rsid w:val="00BA6D13"/>
    <w:rsid w:val="00BA6E80"/>
    <w:rsid w:val="00BA7072"/>
    <w:rsid w:val="00BA7352"/>
    <w:rsid w:val="00BA744F"/>
    <w:rsid w:val="00BA74FF"/>
    <w:rsid w:val="00BA769C"/>
    <w:rsid w:val="00BA77AC"/>
    <w:rsid w:val="00BA77E8"/>
    <w:rsid w:val="00BA7856"/>
    <w:rsid w:val="00BA7948"/>
    <w:rsid w:val="00BA7B02"/>
    <w:rsid w:val="00BA7D77"/>
    <w:rsid w:val="00BA7D7E"/>
    <w:rsid w:val="00BA7DD6"/>
    <w:rsid w:val="00BA7DE0"/>
    <w:rsid w:val="00BA7F06"/>
    <w:rsid w:val="00BA7F90"/>
    <w:rsid w:val="00BB0063"/>
    <w:rsid w:val="00BB00AD"/>
    <w:rsid w:val="00BB02F2"/>
    <w:rsid w:val="00BB0393"/>
    <w:rsid w:val="00BB04FD"/>
    <w:rsid w:val="00BB07C2"/>
    <w:rsid w:val="00BB08A1"/>
    <w:rsid w:val="00BB09DB"/>
    <w:rsid w:val="00BB0C11"/>
    <w:rsid w:val="00BB0DD8"/>
    <w:rsid w:val="00BB0E20"/>
    <w:rsid w:val="00BB0E42"/>
    <w:rsid w:val="00BB0F4D"/>
    <w:rsid w:val="00BB1067"/>
    <w:rsid w:val="00BB117A"/>
    <w:rsid w:val="00BB12A2"/>
    <w:rsid w:val="00BB1399"/>
    <w:rsid w:val="00BB1525"/>
    <w:rsid w:val="00BB1621"/>
    <w:rsid w:val="00BB1793"/>
    <w:rsid w:val="00BB1799"/>
    <w:rsid w:val="00BB189F"/>
    <w:rsid w:val="00BB1AF0"/>
    <w:rsid w:val="00BB1BFB"/>
    <w:rsid w:val="00BB1CCC"/>
    <w:rsid w:val="00BB1E01"/>
    <w:rsid w:val="00BB1F4C"/>
    <w:rsid w:val="00BB1FD9"/>
    <w:rsid w:val="00BB2062"/>
    <w:rsid w:val="00BB20B2"/>
    <w:rsid w:val="00BB21A9"/>
    <w:rsid w:val="00BB23C5"/>
    <w:rsid w:val="00BB25BC"/>
    <w:rsid w:val="00BB25E7"/>
    <w:rsid w:val="00BB2698"/>
    <w:rsid w:val="00BB26B0"/>
    <w:rsid w:val="00BB2780"/>
    <w:rsid w:val="00BB2798"/>
    <w:rsid w:val="00BB280F"/>
    <w:rsid w:val="00BB2850"/>
    <w:rsid w:val="00BB296D"/>
    <w:rsid w:val="00BB2AD1"/>
    <w:rsid w:val="00BB2B1B"/>
    <w:rsid w:val="00BB2C28"/>
    <w:rsid w:val="00BB2CF4"/>
    <w:rsid w:val="00BB2D7F"/>
    <w:rsid w:val="00BB2FCA"/>
    <w:rsid w:val="00BB31C5"/>
    <w:rsid w:val="00BB32A2"/>
    <w:rsid w:val="00BB331A"/>
    <w:rsid w:val="00BB3429"/>
    <w:rsid w:val="00BB345B"/>
    <w:rsid w:val="00BB3585"/>
    <w:rsid w:val="00BB35A4"/>
    <w:rsid w:val="00BB3A26"/>
    <w:rsid w:val="00BB3AA4"/>
    <w:rsid w:val="00BB3BA6"/>
    <w:rsid w:val="00BB3BA9"/>
    <w:rsid w:val="00BB3CEC"/>
    <w:rsid w:val="00BB3E13"/>
    <w:rsid w:val="00BB3E78"/>
    <w:rsid w:val="00BB3E7A"/>
    <w:rsid w:val="00BB3F0F"/>
    <w:rsid w:val="00BB3F70"/>
    <w:rsid w:val="00BB40AB"/>
    <w:rsid w:val="00BB43B1"/>
    <w:rsid w:val="00BB456B"/>
    <w:rsid w:val="00BB494A"/>
    <w:rsid w:val="00BB4989"/>
    <w:rsid w:val="00BB49B6"/>
    <w:rsid w:val="00BB4B0D"/>
    <w:rsid w:val="00BB4B52"/>
    <w:rsid w:val="00BB4DB6"/>
    <w:rsid w:val="00BB4DCE"/>
    <w:rsid w:val="00BB4E0B"/>
    <w:rsid w:val="00BB4E7C"/>
    <w:rsid w:val="00BB50DA"/>
    <w:rsid w:val="00BB5169"/>
    <w:rsid w:val="00BB5488"/>
    <w:rsid w:val="00BB5593"/>
    <w:rsid w:val="00BB5621"/>
    <w:rsid w:val="00BB563D"/>
    <w:rsid w:val="00BB57AF"/>
    <w:rsid w:val="00BB57C9"/>
    <w:rsid w:val="00BB57E1"/>
    <w:rsid w:val="00BB58CF"/>
    <w:rsid w:val="00BB590C"/>
    <w:rsid w:val="00BB5A1C"/>
    <w:rsid w:val="00BB5C04"/>
    <w:rsid w:val="00BB5C93"/>
    <w:rsid w:val="00BB5D6B"/>
    <w:rsid w:val="00BB5F85"/>
    <w:rsid w:val="00BB612E"/>
    <w:rsid w:val="00BB61CC"/>
    <w:rsid w:val="00BB63F9"/>
    <w:rsid w:val="00BB646C"/>
    <w:rsid w:val="00BB6488"/>
    <w:rsid w:val="00BB6507"/>
    <w:rsid w:val="00BB6532"/>
    <w:rsid w:val="00BB6550"/>
    <w:rsid w:val="00BB671F"/>
    <w:rsid w:val="00BB6740"/>
    <w:rsid w:val="00BB67C9"/>
    <w:rsid w:val="00BB68F1"/>
    <w:rsid w:val="00BB6A5D"/>
    <w:rsid w:val="00BB6DA3"/>
    <w:rsid w:val="00BB6E34"/>
    <w:rsid w:val="00BB6E61"/>
    <w:rsid w:val="00BB6F67"/>
    <w:rsid w:val="00BB7055"/>
    <w:rsid w:val="00BB7133"/>
    <w:rsid w:val="00BB71FB"/>
    <w:rsid w:val="00BB730B"/>
    <w:rsid w:val="00BB7311"/>
    <w:rsid w:val="00BB734F"/>
    <w:rsid w:val="00BB7478"/>
    <w:rsid w:val="00BB777B"/>
    <w:rsid w:val="00BB7810"/>
    <w:rsid w:val="00BB7826"/>
    <w:rsid w:val="00BB7862"/>
    <w:rsid w:val="00BB78B0"/>
    <w:rsid w:val="00BB7A9E"/>
    <w:rsid w:val="00BB7ABD"/>
    <w:rsid w:val="00BB7DA0"/>
    <w:rsid w:val="00BB7E0B"/>
    <w:rsid w:val="00BB7E55"/>
    <w:rsid w:val="00BC0012"/>
    <w:rsid w:val="00BC006B"/>
    <w:rsid w:val="00BC00C2"/>
    <w:rsid w:val="00BC01E5"/>
    <w:rsid w:val="00BC01EC"/>
    <w:rsid w:val="00BC02E6"/>
    <w:rsid w:val="00BC03F8"/>
    <w:rsid w:val="00BC07A4"/>
    <w:rsid w:val="00BC07B6"/>
    <w:rsid w:val="00BC08A2"/>
    <w:rsid w:val="00BC08D7"/>
    <w:rsid w:val="00BC098C"/>
    <w:rsid w:val="00BC0AA2"/>
    <w:rsid w:val="00BC0B55"/>
    <w:rsid w:val="00BC0BB6"/>
    <w:rsid w:val="00BC0C01"/>
    <w:rsid w:val="00BC0CDA"/>
    <w:rsid w:val="00BC0D05"/>
    <w:rsid w:val="00BC0EA1"/>
    <w:rsid w:val="00BC0F9D"/>
    <w:rsid w:val="00BC0FEE"/>
    <w:rsid w:val="00BC1199"/>
    <w:rsid w:val="00BC11CB"/>
    <w:rsid w:val="00BC130A"/>
    <w:rsid w:val="00BC13F5"/>
    <w:rsid w:val="00BC153E"/>
    <w:rsid w:val="00BC1711"/>
    <w:rsid w:val="00BC171B"/>
    <w:rsid w:val="00BC188D"/>
    <w:rsid w:val="00BC1895"/>
    <w:rsid w:val="00BC18F5"/>
    <w:rsid w:val="00BC1B69"/>
    <w:rsid w:val="00BC1BB4"/>
    <w:rsid w:val="00BC1DE8"/>
    <w:rsid w:val="00BC20A4"/>
    <w:rsid w:val="00BC20A6"/>
    <w:rsid w:val="00BC20D3"/>
    <w:rsid w:val="00BC249A"/>
    <w:rsid w:val="00BC25AC"/>
    <w:rsid w:val="00BC2628"/>
    <w:rsid w:val="00BC2752"/>
    <w:rsid w:val="00BC27A1"/>
    <w:rsid w:val="00BC2E54"/>
    <w:rsid w:val="00BC2F11"/>
    <w:rsid w:val="00BC327D"/>
    <w:rsid w:val="00BC32A6"/>
    <w:rsid w:val="00BC35CE"/>
    <w:rsid w:val="00BC36E0"/>
    <w:rsid w:val="00BC3873"/>
    <w:rsid w:val="00BC3982"/>
    <w:rsid w:val="00BC3C82"/>
    <w:rsid w:val="00BC3CED"/>
    <w:rsid w:val="00BC3F4A"/>
    <w:rsid w:val="00BC4118"/>
    <w:rsid w:val="00BC430D"/>
    <w:rsid w:val="00BC4332"/>
    <w:rsid w:val="00BC44D2"/>
    <w:rsid w:val="00BC450C"/>
    <w:rsid w:val="00BC465F"/>
    <w:rsid w:val="00BC4703"/>
    <w:rsid w:val="00BC470D"/>
    <w:rsid w:val="00BC48AD"/>
    <w:rsid w:val="00BC49AF"/>
    <w:rsid w:val="00BC4AF1"/>
    <w:rsid w:val="00BC4B6E"/>
    <w:rsid w:val="00BC4C7C"/>
    <w:rsid w:val="00BC4C8C"/>
    <w:rsid w:val="00BC4CBD"/>
    <w:rsid w:val="00BC4D6E"/>
    <w:rsid w:val="00BC4D70"/>
    <w:rsid w:val="00BC4F90"/>
    <w:rsid w:val="00BC4F93"/>
    <w:rsid w:val="00BC5071"/>
    <w:rsid w:val="00BC50C1"/>
    <w:rsid w:val="00BC50F2"/>
    <w:rsid w:val="00BC52E5"/>
    <w:rsid w:val="00BC52FA"/>
    <w:rsid w:val="00BC557F"/>
    <w:rsid w:val="00BC566E"/>
    <w:rsid w:val="00BC5714"/>
    <w:rsid w:val="00BC58C9"/>
    <w:rsid w:val="00BC5950"/>
    <w:rsid w:val="00BC5AD3"/>
    <w:rsid w:val="00BC5BC5"/>
    <w:rsid w:val="00BC5D8C"/>
    <w:rsid w:val="00BC5DAD"/>
    <w:rsid w:val="00BC5E08"/>
    <w:rsid w:val="00BC5F8F"/>
    <w:rsid w:val="00BC601F"/>
    <w:rsid w:val="00BC60E5"/>
    <w:rsid w:val="00BC62AA"/>
    <w:rsid w:val="00BC62DE"/>
    <w:rsid w:val="00BC6389"/>
    <w:rsid w:val="00BC641C"/>
    <w:rsid w:val="00BC64B7"/>
    <w:rsid w:val="00BC650C"/>
    <w:rsid w:val="00BC680C"/>
    <w:rsid w:val="00BC68DD"/>
    <w:rsid w:val="00BC69C9"/>
    <w:rsid w:val="00BC6A03"/>
    <w:rsid w:val="00BC6BC2"/>
    <w:rsid w:val="00BC6C76"/>
    <w:rsid w:val="00BC6C8C"/>
    <w:rsid w:val="00BC6F7D"/>
    <w:rsid w:val="00BC71C7"/>
    <w:rsid w:val="00BC757B"/>
    <w:rsid w:val="00BC7780"/>
    <w:rsid w:val="00BC78B5"/>
    <w:rsid w:val="00BC7976"/>
    <w:rsid w:val="00BC79AF"/>
    <w:rsid w:val="00BC7ACA"/>
    <w:rsid w:val="00BC7B4B"/>
    <w:rsid w:val="00BC7BF7"/>
    <w:rsid w:val="00BC7C1D"/>
    <w:rsid w:val="00BC7C2C"/>
    <w:rsid w:val="00BC7CC9"/>
    <w:rsid w:val="00BC7D06"/>
    <w:rsid w:val="00BC7E67"/>
    <w:rsid w:val="00BC7EF5"/>
    <w:rsid w:val="00BC7F76"/>
    <w:rsid w:val="00BD0087"/>
    <w:rsid w:val="00BD03B6"/>
    <w:rsid w:val="00BD03CA"/>
    <w:rsid w:val="00BD06B3"/>
    <w:rsid w:val="00BD0916"/>
    <w:rsid w:val="00BD092B"/>
    <w:rsid w:val="00BD09F4"/>
    <w:rsid w:val="00BD0B91"/>
    <w:rsid w:val="00BD0CD5"/>
    <w:rsid w:val="00BD0DD9"/>
    <w:rsid w:val="00BD0F72"/>
    <w:rsid w:val="00BD0F9F"/>
    <w:rsid w:val="00BD1063"/>
    <w:rsid w:val="00BD10B7"/>
    <w:rsid w:val="00BD11E4"/>
    <w:rsid w:val="00BD13AA"/>
    <w:rsid w:val="00BD15CC"/>
    <w:rsid w:val="00BD1966"/>
    <w:rsid w:val="00BD19B0"/>
    <w:rsid w:val="00BD1A04"/>
    <w:rsid w:val="00BD1A88"/>
    <w:rsid w:val="00BD1ACA"/>
    <w:rsid w:val="00BD1B93"/>
    <w:rsid w:val="00BD1C04"/>
    <w:rsid w:val="00BD1D21"/>
    <w:rsid w:val="00BD1E73"/>
    <w:rsid w:val="00BD1FCB"/>
    <w:rsid w:val="00BD2022"/>
    <w:rsid w:val="00BD225C"/>
    <w:rsid w:val="00BD229E"/>
    <w:rsid w:val="00BD27CD"/>
    <w:rsid w:val="00BD2853"/>
    <w:rsid w:val="00BD2B88"/>
    <w:rsid w:val="00BD2C22"/>
    <w:rsid w:val="00BD2CA9"/>
    <w:rsid w:val="00BD2E62"/>
    <w:rsid w:val="00BD2F05"/>
    <w:rsid w:val="00BD2F2D"/>
    <w:rsid w:val="00BD30F0"/>
    <w:rsid w:val="00BD31ED"/>
    <w:rsid w:val="00BD3201"/>
    <w:rsid w:val="00BD3396"/>
    <w:rsid w:val="00BD351D"/>
    <w:rsid w:val="00BD36A5"/>
    <w:rsid w:val="00BD37C1"/>
    <w:rsid w:val="00BD38DA"/>
    <w:rsid w:val="00BD3912"/>
    <w:rsid w:val="00BD3989"/>
    <w:rsid w:val="00BD3B27"/>
    <w:rsid w:val="00BD3B98"/>
    <w:rsid w:val="00BD3C04"/>
    <w:rsid w:val="00BD3C56"/>
    <w:rsid w:val="00BD3E15"/>
    <w:rsid w:val="00BD3F23"/>
    <w:rsid w:val="00BD40D5"/>
    <w:rsid w:val="00BD4156"/>
    <w:rsid w:val="00BD41B8"/>
    <w:rsid w:val="00BD41DC"/>
    <w:rsid w:val="00BD4390"/>
    <w:rsid w:val="00BD4495"/>
    <w:rsid w:val="00BD452E"/>
    <w:rsid w:val="00BD4619"/>
    <w:rsid w:val="00BD46BD"/>
    <w:rsid w:val="00BD46E3"/>
    <w:rsid w:val="00BD4797"/>
    <w:rsid w:val="00BD48E5"/>
    <w:rsid w:val="00BD49F7"/>
    <w:rsid w:val="00BD4B05"/>
    <w:rsid w:val="00BD4B64"/>
    <w:rsid w:val="00BD4B6D"/>
    <w:rsid w:val="00BD4BA8"/>
    <w:rsid w:val="00BD4BE7"/>
    <w:rsid w:val="00BD4D19"/>
    <w:rsid w:val="00BD4DA7"/>
    <w:rsid w:val="00BD4E6D"/>
    <w:rsid w:val="00BD4E72"/>
    <w:rsid w:val="00BD503F"/>
    <w:rsid w:val="00BD520F"/>
    <w:rsid w:val="00BD5291"/>
    <w:rsid w:val="00BD536E"/>
    <w:rsid w:val="00BD55A2"/>
    <w:rsid w:val="00BD5639"/>
    <w:rsid w:val="00BD563D"/>
    <w:rsid w:val="00BD56F4"/>
    <w:rsid w:val="00BD58B8"/>
    <w:rsid w:val="00BD5AA9"/>
    <w:rsid w:val="00BD5B8D"/>
    <w:rsid w:val="00BD5BEB"/>
    <w:rsid w:val="00BD5C59"/>
    <w:rsid w:val="00BD5D2C"/>
    <w:rsid w:val="00BD5DF4"/>
    <w:rsid w:val="00BD5E33"/>
    <w:rsid w:val="00BD5EBC"/>
    <w:rsid w:val="00BD5ED3"/>
    <w:rsid w:val="00BD5F0D"/>
    <w:rsid w:val="00BD5F92"/>
    <w:rsid w:val="00BD60D8"/>
    <w:rsid w:val="00BD60DD"/>
    <w:rsid w:val="00BD60EC"/>
    <w:rsid w:val="00BD62A5"/>
    <w:rsid w:val="00BD62E2"/>
    <w:rsid w:val="00BD6738"/>
    <w:rsid w:val="00BD67B6"/>
    <w:rsid w:val="00BD6945"/>
    <w:rsid w:val="00BD6946"/>
    <w:rsid w:val="00BD69CA"/>
    <w:rsid w:val="00BD6A5A"/>
    <w:rsid w:val="00BD6AFB"/>
    <w:rsid w:val="00BD6B82"/>
    <w:rsid w:val="00BD6BEE"/>
    <w:rsid w:val="00BD6C35"/>
    <w:rsid w:val="00BD6CCE"/>
    <w:rsid w:val="00BD6CE0"/>
    <w:rsid w:val="00BD6D61"/>
    <w:rsid w:val="00BD6DAB"/>
    <w:rsid w:val="00BD6DD3"/>
    <w:rsid w:val="00BD6E6B"/>
    <w:rsid w:val="00BD709D"/>
    <w:rsid w:val="00BD739E"/>
    <w:rsid w:val="00BD7545"/>
    <w:rsid w:val="00BD7756"/>
    <w:rsid w:val="00BD7847"/>
    <w:rsid w:val="00BD79B4"/>
    <w:rsid w:val="00BD7BB0"/>
    <w:rsid w:val="00BD7C57"/>
    <w:rsid w:val="00BD7DD8"/>
    <w:rsid w:val="00BD7E10"/>
    <w:rsid w:val="00BD7EBB"/>
    <w:rsid w:val="00BD7F6E"/>
    <w:rsid w:val="00BD7F99"/>
    <w:rsid w:val="00BE02B1"/>
    <w:rsid w:val="00BE03C7"/>
    <w:rsid w:val="00BE0403"/>
    <w:rsid w:val="00BE0531"/>
    <w:rsid w:val="00BE0785"/>
    <w:rsid w:val="00BE07EB"/>
    <w:rsid w:val="00BE09BE"/>
    <w:rsid w:val="00BE0AF9"/>
    <w:rsid w:val="00BE0CD6"/>
    <w:rsid w:val="00BE0D31"/>
    <w:rsid w:val="00BE0D6E"/>
    <w:rsid w:val="00BE0D78"/>
    <w:rsid w:val="00BE0EA4"/>
    <w:rsid w:val="00BE0EA5"/>
    <w:rsid w:val="00BE0F11"/>
    <w:rsid w:val="00BE0FA5"/>
    <w:rsid w:val="00BE1031"/>
    <w:rsid w:val="00BE10DD"/>
    <w:rsid w:val="00BE11E4"/>
    <w:rsid w:val="00BE1200"/>
    <w:rsid w:val="00BE13D5"/>
    <w:rsid w:val="00BE1436"/>
    <w:rsid w:val="00BE1611"/>
    <w:rsid w:val="00BE16B2"/>
    <w:rsid w:val="00BE179A"/>
    <w:rsid w:val="00BE1908"/>
    <w:rsid w:val="00BE1953"/>
    <w:rsid w:val="00BE195E"/>
    <w:rsid w:val="00BE1AA0"/>
    <w:rsid w:val="00BE1CAE"/>
    <w:rsid w:val="00BE1D83"/>
    <w:rsid w:val="00BE1DB7"/>
    <w:rsid w:val="00BE1EDC"/>
    <w:rsid w:val="00BE1EFA"/>
    <w:rsid w:val="00BE1F02"/>
    <w:rsid w:val="00BE1F44"/>
    <w:rsid w:val="00BE211C"/>
    <w:rsid w:val="00BE22C9"/>
    <w:rsid w:val="00BE2529"/>
    <w:rsid w:val="00BE2569"/>
    <w:rsid w:val="00BE2693"/>
    <w:rsid w:val="00BE26EB"/>
    <w:rsid w:val="00BE2746"/>
    <w:rsid w:val="00BE27F1"/>
    <w:rsid w:val="00BE2864"/>
    <w:rsid w:val="00BE28C9"/>
    <w:rsid w:val="00BE2997"/>
    <w:rsid w:val="00BE299D"/>
    <w:rsid w:val="00BE2A5D"/>
    <w:rsid w:val="00BE2C0B"/>
    <w:rsid w:val="00BE2CB8"/>
    <w:rsid w:val="00BE2CBB"/>
    <w:rsid w:val="00BE2D32"/>
    <w:rsid w:val="00BE303B"/>
    <w:rsid w:val="00BE307B"/>
    <w:rsid w:val="00BE32D7"/>
    <w:rsid w:val="00BE34EE"/>
    <w:rsid w:val="00BE3545"/>
    <w:rsid w:val="00BE358E"/>
    <w:rsid w:val="00BE35EA"/>
    <w:rsid w:val="00BE35EB"/>
    <w:rsid w:val="00BE373D"/>
    <w:rsid w:val="00BE38D4"/>
    <w:rsid w:val="00BE3A14"/>
    <w:rsid w:val="00BE3AF6"/>
    <w:rsid w:val="00BE3B87"/>
    <w:rsid w:val="00BE3BCC"/>
    <w:rsid w:val="00BE3C7F"/>
    <w:rsid w:val="00BE3CC7"/>
    <w:rsid w:val="00BE3CC9"/>
    <w:rsid w:val="00BE3E6D"/>
    <w:rsid w:val="00BE415E"/>
    <w:rsid w:val="00BE42B2"/>
    <w:rsid w:val="00BE42B5"/>
    <w:rsid w:val="00BE447F"/>
    <w:rsid w:val="00BE44F2"/>
    <w:rsid w:val="00BE47E5"/>
    <w:rsid w:val="00BE490B"/>
    <w:rsid w:val="00BE4934"/>
    <w:rsid w:val="00BE4AAA"/>
    <w:rsid w:val="00BE4AC4"/>
    <w:rsid w:val="00BE4C90"/>
    <w:rsid w:val="00BE4C91"/>
    <w:rsid w:val="00BE4D16"/>
    <w:rsid w:val="00BE4D9F"/>
    <w:rsid w:val="00BE4DF8"/>
    <w:rsid w:val="00BE4EE1"/>
    <w:rsid w:val="00BE5102"/>
    <w:rsid w:val="00BE5140"/>
    <w:rsid w:val="00BE52CB"/>
    <w:rsid w:val="00BE5446"/>
    <w:rsid w:val="00BE54C7"/>
    <w:rsid w:val="00BE55DD"/>
    <w:rsid w:val="00BE56C1"/>
    <w:rsid w:val="00BE56E0"/>
    <w:rsid w:val="00BE5726"/>
    <w:rsid w:val="00BE5776"/>
    <w:rsid w:val="00BE591D"/>
    <w:rsid w:val="00BE5A4D"/>
    <w:rsid w:val="00BE5E38"/>
    <w:rsid w:val="00BE5E9D"/>
    <w:rsid w:val="00BE6015"/>
    <w:rsid w:val="00BE6105"/>
    <w:rsid w:val="00BE6230"/>
    <w:rsid w:val="00BE63F4"/>
    <w:rsid w:val="00BE63F5"/>
    <w:rsid w:val="00BE6638"/>
    <w:rsid w:val="00BE6931"/>
    <w:rsid w:val="00BE696D"/>
    <w:rsid w:val="00BE6A45"/>
    <w:rsid w:val="00BE6D16"/>
    <w:rsid w:val="00BE6D5F"/>
    <w:rsid w:val="00BE6E36"/>
    <w:rsid w:val="00BE6F15"/>
    <w:rsid w:val="00BE6F47"/>
    <w:rsid w:val="00BE6FAB"/>
    <w:rsid w:val="00BE7057"/>
    <w:rsid w:val="00BE70DB"/>
    <w:rsid w:val="00BE71AF"/>
    <w:rsid w:val="00BE744E"/>
    <w:rsid w:val="00BE74A7"/>
    <w:rsid w:val="00BE755E"/>
    <w:rsid w:val="00BE75A5"/>
    <w:rsid w:val="00BE75A7"/>
    <w:rsid w:val="00BE76FA"/>
    <w:rsid w:val="00BE7835"/>
    <w:rsid w:val="00BE78BD"/>
    <w:rsid w:val="00BE78E9"/>
    <w:rsid w:val="00BE7976"/>
    <w:rsid w:val="00BE79F1"/>
    <w:rsid w:val="00BE7BA6"/>
    <w:rsid w:val="00BE7BB1"/>
    <w:rsid w:val="00BE7D4B"/>
    <w:rsid w:val="00BE7FA4"/>
    <w:rsid w:val="00BF0054"/>
    <w:rsid w:val="00BF00D9"/>
    <w:rsid w:val="00BF013F"/>
    <w:rsid w:val="00BF0196"/>
    <w:rsid w:val="00BF0313"/>
    <w:rsid w:val="00BF039B"/>
    <w:rsid w:val="00BF047C"/>
    <w:rsid w:val="00BF04FB"/>
    <w:rsid w:val="00BF05E0"/>
    <w:rsid w:val="00BF062D"/>
    <w:rsid w:val="00BF06C4"/>
    <w:rsid w:val="00BF0774"/>
    <w:rsid w:val="00BF07B9"/>
    <w:rsid w:val="00BF0846"/>
    <w:rsid w:val="00BF09A9"/>
    <w:rsid w:val="00BF0A45"/>
    <w:rsid w:val="00BF0CC0"/>
    <w:rsid w:val="00BF0E53"/>
    <w:rsid w:val="00BF0E8F"/>
    <w:rsid w:val="00BF0E90"/>
    <w:rsid w:val="00BF1013"/>
    <w:rsid w:val="00BF107C"/>
    <w:rsid w:val="00BF1166"/>
    <w:rsid w:val="00BF118A"/>
    <w:rsid w:val="00BF11C2"/>
    <w:rsid w:val="00BF13AA"/>
    <w:rsid w:val="00BF13D8"/>
    <w:rsid w:val="00BF1431"/>
    <w:rsid w:val="00BF1482"/>
    <w:rsid w:val="00BF15A2"/>
    <w:rsid w:val="00BF15F8"/>
    <w:rsid w:val="00BF18F8"/>
    <w:rsid w:val="00BF1904"/>
    <w:rsid w:val="00BF197F"/>
    <w:rsid w:val="00BF1D78"/>
    <w:rsid w:val="00BF1D80"/>
    <w:rsid w:val="00BF1E5D"/>
    <w:rsid w:val="00BF1EC1"/>
    <w:rsid w:val="00BF1F2C"/>
    <w:rsid w:val="00BF1F6B"/>
    <w:rsid w:val="00BF200A"/>
    <w:rsid w:val="00BF205E"/>
    <w:rsid w:val="00BF20CE"/>
    <w:rsid w:val="00BF23C7"/>
    <w:rsid w:val="00BF2493"/>
    <w:rsid w:val="00BF2614"/>
    <w:rsid w:val="00BF263F"/>
    <w:rsid w:val="00BF276B"/>
    <w:rsid w:val="00BF2917"/>
    <w:rsid w:val="00BF2B97"/>
    <w:rsid w:val="00BF2EBC"/>
    <w:rsid w:val="00BF2F74"/>
    <w:rsid w:val="00BF32BE"/>
    <w:rsid w:val="00BF34A6"/>
    <w:rsid w:val="00BF35A1"/>
    <w:rsid w:val="00BF3644"/>
    <w:rsid w:val="00BF367C"/>
    <w:rsid w:val="00BF36EE"/>
    <w:rsid w:val="00BF399E"/>
    <w:rsid w:val="00BF3A36"/>
    <w:rsid w:val="00BF3B09"/>
    <w:rsid w:val="00BF3CE2"/>
    <w:rsid w:val="00BF3D92"/>
    <w:rsid w:val="00BF421D"/>
    <w:rsid w:val="00BF44E6"/>
    <w:rsid w:val="00BF4653"/>
    <w:rsid w:val="00BF46B1"/>
    <w:rsid w:val="00BF4863"/>
    <w:rsid w:val="00BF4A00"/>
    <w:rsid w:val="00BF4A5C"/>
    <w:rsid w:val="00BF4A64"/>
    <w:rsid w:val="00BF4AF1"/>
    <w:rsid w:val="00BF4B13"/>
    <w:rsid w:val="00BF4B35"/>
    <w:rsid w:val="00BF4D02"/>
    <w:rsid w:val="00BF4D84"/>
    <w:rsid w:val="00BF51C5"/>
    <w:rsid w:val="00BF51E1"/>
    <w:rsid w:val="00BF5435"/>
    <w:rsid w:val="00BF5478"/>
    <w:rsid w:val="00BF54FF"/>
    <w:rsid w:val="00BF5575"/>
    <w:rsid w:val="00BF5654"/>
    <w:rsid w:val="00BF5669"/>
    <w:rsid w:val="00BF5888"/>
    <w:rsid w:val="00BF590B"/>
    <w:rsid w:val="00BF59C3"/>
    <w:rsid w:val="00BF5A19"/>
    <w:rsid w:val="00BF5CB0"/>
    <w:rsid w:val="00BF5D43"/>
    <w:rsid w:val="00BF5DA9"/>
    <w:rsid w:val="00BF603D"/>
    <w:rsid w:val="00BF606F"/>
    <w:rsid w:val="00BF6100"/>
    <w:rsid w:val="00BF624D"/>
    <w:rsid w:val="00BF645B"/>
    <w:rsid w:val="00BF648B"/>
    <w:rsid w:val="00BF64AA"/>
    <w:rsid w:val="00BF68A4"/>
    <w:rsid w:val="00BF68B4"/>
    <w:rsid w:val="00BF68FC"/>
    <w:rsid w:val="00BF693E"/>
    <w:rsid w:val="00BF6940"/>
    <w:rsid w:val="00BF695D"/>
    <w:rsid w:val="00BF6980"/>
    <w:rsid w:val="00BF6A0D"/>
    <w:rsid w:val="00BF6A87"/>
    <w:rsid w:val="00BF6B21"/>
    <w:rsid w:val="00BF6C2C"/>
    <w:rsid w:val="00BF6CBB"/>
    <w:rsid w:val="00BF6D27"/>
    <w:rsid w:val="00BF6EEE"/>
    <w:rsid w:val="00BF70AF"/>
    <w:rsid w:val="00BF71E1"/>
    <w:rsid w:val="00BF7255"/>
    <w:rsid w:val="00BF727A"/>
    <w:rsid w:val="00BF7318"/>
    <w:rsid w:val="00BF7363"/>
    <w:rsid w:val="00BF73E0"/>
    <w:rsid w:val="00BF73E2"/>
    <w:rsid w:val="00BF755C"/>
    <w:rsid w:val="00BF7805"/>
    <w:rsid w:val="00BF7882"/>
    <w:rsid w:val="00BF78AA"/>
    <w:rsid w:val="00BF7D1A"/>
    <w:rsid w:val="00BF7E96"/>
    <w:rsid w:val="00BF7F24"/>
    <w:rsid w:val="00BF7FDB"/>
    <w:rsid w:val="00C00020"/>
    <w:rsid w:val="00C00193"/>
    <w:rsid w:val="00C001E4"/>
    <w:rsid w:val="00C0038F"/>
    <w:rsid w:val="00C003FE"/>
    <w:rsid w:val="00C00402"/>
    <w:rsid w:val="00C0040E"/>
    <w:rsid w:val="00C0045E"/>
    <w:rsid w:val="00C004CF"/>
    <w:rsid w:val="00C004F7"/>
    <w:rsid w:val="00C00827"/>
    <w:rsid w:val="00C00829"/>
    <w:rsid w:val="00C0083A"/>
    <w:rsid w:val="00C00943"/>
    <w:rsid w:val="00C00A9A"/>
    <w:rsid w:val="00C00B28"/>
    <w:rsid w:val="00C00CFB"/>
    <w:rsid w:val="00C00FAA"/>
    <w:rsid w:val="00C01039"/>
    <w:rsid w:val="00C014E2"/>
    <w:rsid w:val="00C0152F"/>
    <w:rsid w:val="00C015DC"/>
    <w:rsid w:val="00C01885"/>
    <w:rsid w:val="00C018F2"/>
    <w:rsid w:val="00C01952"/>
    <w:rsid w:val="00C01B4D"/>
    <w:rsid w:val="00C021E6"/>
    <w:rsid w:val="00C02217"/>
    <w:rsid w:val="00C02248"/>
    <w:rsid w:val="00C022BF"/>
    <w:rsid w:val="00C022FE"/>
    <w:rsid w:val="00C0230D"/>
    <w:rsid w:val="00C024D3"/>
    <w:rsid w:val="00C02575"/>
    <w:rsid w:val="00C0261E"/>
    <w:rsid w:val="00C0278F"/>
    <w:rsid w:val="00C027AB"/>
    <w:rsid w:val="00C027B6"/>
    <w:rsid w:val="00C02985"/>
    <w:rsid w:val="00C0299C"/>
    <w:rsid w:val="00C02BB7"/>
    <w:rsid w:val="00C02BC1"/>
    <w:rsid w:val="00C02D97"/>
    <w:rsid w:val="00C02E3F"/>
    <w:rsid w:val="00C03083"/>
    <w:rsid w:val="00C030F8"/>
    <w:rsid w:val="00C03332"/>
    <w:rsid w:val="00C03357"/>
    <w:rsid w:val="00C03380"/>
    <w:rsid w:val="00C03458"/>
    <w:rsid w:val="00C035A4"/>
    <w:rsid w:val="00C03751"/>
    <w:rsid w:val="00C039D9"/>
    <w:rsid w:val="00C03AC4"/>
    <w:rsid w:val="00C03BFC"/>
    <w:rsid w:val="00C03C68"/>
    <w:rsid w:val="00C03CA8"/>
    <w:rsid w:val="00C03D19"/>
    <w:rsid w:val="00C03DB9"/>
    <w:rsid w:val="00C03E02"/>
    <w:rsid w:val="00C03E2F"/>
    <w:rsid w:val="00C03E3D"/>
    <w:rsid w:val="00C03E9C"/>
    <w:rsid w:val="00C03F3A"/>
    <w:rsid w:val="00C040E1"/>
    <w:rsid w:val="00C04161"/>
    <w:rsid w:val="00C04220"/>
    <w:rsid w:val="00C04338"/>
    <w:rsid w:val="00C04382"/>
    <w:rsid w:val="00C043B7"/>
    <w:rsid w:val="00C0440E"/>
    <w:rsid w:val="00C04517"/>
    <w:rsid w:val="00C04599"/>
    <w:rsid w:val="00C04620"/>
    <w:rsid w:val="00C04745"/>
    <w:rsid w:val="00C04797"/>
    <w:rsid w:val="00C0481D"/>
    <w:rsid w:val="00C04A7E"/>
    <w:rsid w:val="00C04AB6"/>
    <w:rsid w:val="00C04C63"/>
    <w:rsid w:val="00C04CA1"/>
    <w:rsid w:val="00C04F26"/>
    <w:rsid w:val="00C04F46"/>
    <w:rsid w:val="00C050F8"/>
    <w:rsid w:val="00C051D8"/>
    <w:rsid w:val="00C0526E"/>
    <w:rsid w:val="00C0526F"/>
    <w:rsid w:val="00C053C0"/>
    <w:rsid w:val="00C054A2"/>
    <w:rsid w:val="00C05614"/>
    <w:rsid w:val="00C0568C"/>
    <w:rsid w:val="00C056B7"/>
    <w:rsid w:val="00C0582F"/>
    <w:rsid w:val="00C05B18"/>
    <w:rsid w:val="00C05B60"/>
    <w:rsid w:val="00C05BDA"/>
    <w:rsid w:val="00C05DCB"/>
    <w:rsid w:val="00C05E75"/>
    <w:rsid w:val="00C05EE3"/>
    <w:rsid w:val="00C05FC7"/>
    <w:rsid w:val="00C060C9"/>
    <w:rsid w:val="00C06111"/>
    <w:rsid w:val="00C06289"/>
    <w:rsid w:val="00C0628C"/>
    <w:rsid w:val="00C06367"/>
    <w:rsid w:val="00C063D7"/>
    <w:rsid w:val="00C06414"/>
    <w:rsid w:val="00C06472"/>
    <w:rsid w:val="00C0678E"/>
    <w:rsid w:val="00C067C1"/>
    <w:rsid w:val="00C0681D"/>
    <w:rsid w:val="00C06B4D"/>
    <w:rsid w:val="00C06B5B"/>
    <w:rsid w:val="00C06FCB"/>
    <w:rsid w:val="00C07180"/>
    <w:rsid w:val="00C071B3"/>
    <w:rsid w:val="00C07272"/>
    <w:rsid w:val="00C072CA"/>
    <w:rsid w:val="00C07305"/>
    <w:rsid w:val="00C07437"/>
    <w:rsid w:val="00C0752C"/>
    <w:rsid w:val="00C07558"/>
    <w:rsid w:val="00C075B1"/>
    <w:rsid w:val="00C075F3"/>
    <w:rsid w:val="00C07661"/>
    <w:rsid w:val="00C076A5"/>
    <w:rsid w:val="00C076BB"/>
    <w:rsid w:val="00C078BC"/>
    <w:rsid w:val="00C07996"/>
    <w:rsid w:val="00C079DD"/>
    <w:rsid w:val="00C079EB"/>
    <w:rsid w:val="00C07BC9"/>
    <w:rsid w:val="00C07E6C"/>
    <w:rsid w:val="00C100EF"/>
    <w:rsid w:val="00C10106"/>
    <w:rsid w:val="00C10145"/>
    <w:rsid w:val="00C1019A"/>
    <w:rsid w:val="00C10296"/>
    <w:rsid w:val="00C1032D"/>
    <w:rsid w:val="00C10416"/>
    <w:rsid w:val="00C104AA"/>
    <w:rsid w:val="00C10637"/>
    <w:rsid w:val="00C107D8"/>
    <w:rsid w:val="00C107E9"/>
    <w:rsid w:val="00C1086A"/>
    <w:rsid w:val="00C1088F"/>
    <w:rsid w:val="00C1089A"/>
    <w:rsid w:val="00C108AC"/>
    <w:rsid w:val="00C108D4"/>
    <w:rsid w:val="00C10968"/>
    <w:rsid w:val="00C10AB0"/>
    <w:rsid w:val="00C10CAA"/>
    <w:rsid w:val="00C10D48"/>
    <w:rsid w:val="00C10DA3"/>
    <w:rsid w:val="00C10FA5"/>
    <w:rsid w:val="00C110E6"/>
    <w:rsid w:val="00C11152"/>
    <w:rsid w:val="00C11303"/>
    <w:rsid w:val="00C1131B"/>
    <w:rsid w:val="00C114B8"/>
    <w:rsid w:val="00C1160F"/>
    <w:rsid w:val="00C11784"/>
    <w:rsid w:val="00C11A1D"/>
    <w:rsid w:val="00C11A4C"/>
    <w:rsid w:val="00C11D1B"/>
    <w:rsid w:val="00C11D54"/>
    <w:rsid w:val="00C11D6D"/>
    <w:rsid w:val="00C11D97"/>
    <w:rsid w:val="00C11E14"/>
    <w:rsid w:val="00C11F3B"/>
    <w:rsid w:val="00C11F52"/>
    <w:rsid w:val="00C121DA"/>
    <w:rsid w:val="00C121DB"/>
    <w:rsid w:val="00C122B6"/>
    <w:rsid w:val="00C124C8"/>
    <w:rsid w:val="00C124D4"/>
    <w:rsid w:val="00C125E0"/>
    <w:rsid w:val="00C12603"/>
    <w:rsid w:val="00C12619"/>
    <w:rsid w:val="00C1293C"/>
    <w:rsid w:val="00C1297B"/>
    <w:rsid w:val="00C1298F"/>
    <w:rsid w:val="00C1299B"/>
    <w:rsid w:val="00C12B50"/>
    <w:rsid w:val="00C12BC0"/>
    <w:rsid w:val="00C12BD6"/>
    <w:rsid w:val="00C12D68"/>
    <w:rsid w:val="00C12FC3"/>
    <w:rsid w:val="00C132D7"/>
    <w:rsid w:val="00C132F4"/>
    <w:rsid w:val="00C13420"/>
    <w:rsid w:val="00C13438"/>
    <w:rsid w:val="00C134F8"/>
    <w:rsid w:val="00C1370C"/>
    <w:rsid w:val="00C137C2"/>
    <w:rsid w:val="00C13888"/>
    <w:rsid w:val="00C138E2"/>
    <w:rsid w:val="00C13A9F"/>
    <w:rsid w:val="00C13BBF"/>
    <w:rsid w:val="00C13C88"/>
    <w:rsid w:val="00C13FB5"/>
    <w:rsid w:val="00C13FFA"/>
    <w:rsid w:val="00C1402C"/>
    <w:rsid w:val="00C14251"/>
    <w:rsid w:val="00C14314"/>
    <w:rsid w:val="00C14380"/>
    <w:rsid w:val="00C144E3"/>
    <w:rsid w:val="00C1455F"/>
    <w:rsid w:val="00C14560"/>
    <w:rsid w:val="00C14658"/>
    <w:rsid w:val="00C1466B"/>
    <w:rsid w:val="00C146F3"/>
    <w:rsid w:val="00C1471F"/>
    <w:rsid w:val="00C148CF"/>
    <w:rsid w:val="00C14A79"/>
    <w:rsid w:val="00C14A95"/>
    <w:rsid w:val="00C14B94"/>
    <w:rsid w:val="00C14BB1"/>
    <w:rsid w:val="00C14BBD"/>
    <w:rsid w:val="00C14BC4"/>
    <w:rsid w:val="00C14C42"/>
    <w:rsid w:val="00C14E14"/>
    <w:rsid w:val="00C14F36"/>
    <w:rsid w:val="00C14F8E"/>
    <w:rsid w:val="00C14FB9"/>
    <w:rsid w:val="00C1500F"/>
    <w:rsid w:val="00C150B0"/>
    <w:rsid w:val="00C1523D"/>
    <w:rsid w:val="00C15470"/>
    <w:rsid w:val="00C15620"/>
    <w:rsid w:val="00C1567B"/>
    <w:rsid w:val="00C15899"/>
    <w:rsid w:val="00C1595E"/>
    <w:rsid w:val="00C1596C"/>
    <w:rsid w:val="00C159A3"/>
    <w:rsid w:val="00C15C50"/>
    <w:rsid w:val="00C15CD1"/>
    <w:rsid w:val="00C15CE3"/>
    <w:rsid w:val="00C15D60"/>
    <w:rsid w:val="00C15D73"/>
    <w:rsid w:val="00C15EA0"/>
    <w:rsid w:val="00C15F35"/>
    <w:rsid w:val="00C15FCF"/>
    <w:rsid w:val="00C161E0"/>
    <w:rsid w:val="00C16261"/>
    <w:rsid w:val="00C16327"/>
    <w:rsid w:val="00C163F1"/>
    <w:rsid w:val="00C1640A"/>
    <w:rsid w:val="00C16442"/>
    <w:rsid w:val="00C164C6"/>
    <w:rsid w:val="00C16586"/>
    <w:rsid w:val="00C166A1"/>
    <w:rsid w:val="00C166D5"/>
    <w:rsid w:val="00C167E3"/>
    <w:rsid w:val="00C16AB2"/>
    <w:rsid w:val="00C16DC7"/>
    <w:rsid w:val="00C16E08"/>
    <w:rsid w:val="00C17389"/>
    <w:rsid w:val="00C173A6"/>
    <w:rsid w:val="00C173F3"/>
    <w:rsid w:val="00C1760A"/>
    <w:rsid w:val="00C17726"/>
    <w:rsid w:val="00C177D3"/>
    <w:rsid w:val="00C177DF"/>
    <w:rsid w:val="00C17933"/>
    <w:rsid w:val="00C17C8A"/>
    <w:rsid w:val="00C17D48"/>
    <w:rsid w:val="00C17DF7"/>
    <w:rsid w:val="00C17F19"/>
    <w:rsid w:val="00C17FF9"/>
    <w:rsid w:val="00C20081"/>
    <w:rsid w:val="00C200D1"/>
    <w:rsid w:val="00C2011F"/>
    <w:rsid w:val="00C20188"/>
    <w:rsid w:val="00C2019D"/>
    <w:rsid w:val="00C20278"/>
    <w:rsid w:val="00C20302"/>
    <w:rsid w:val="00C20312"/>
    <w:rsid w:val="00C20340"/>
    <w:rsid w:val="00C20428"/>
    <w:rsid w:val="00C20699"/>
    <w:rsid w:val="00C20870"/>
    <w:rsid w:val="00C208E0"/>
    <w:rsid w:val="00C20A0B"/>
    <w:rsid w:val="00C20BA3"/>
    <w:rsid w:val="00C20C30"/>
    <w:rsid w:val="00C20D1D"/>
    <w:rsid w:val="00C20D81"/>
    <w:rsid w:val="00C20D8E"/>
    <w:rsid w:val="00C20DD6"/>
    <w:rsid w:val="00C20E95"/>
    <w:rsid w:val="00C20F2B"/>
    <w:rsid w:val="00C20F46"/>
    <w:rsid w:val="00C20FC5"/>
    <w:rsid w:val="00C2101F"/>
    <w:rsid w:val="00C21023"/>
    <w:rsid w:val="00C21089"/>
    <w:rsid w:val="00C21125"/>
    <w:rsid w:val="00C2116D"/>
    <w:rsid w:val="00C214E0"/>
    <w:rsid w:val="00C21764"/>
    <w:rsid w:val="00C2187F"/>
    <w:rsid w:val="00C219E7"/>
    <w:rsid w:val="00C21A57"/>
    <w:rsid w:val="00C21AEE"/>
    <w:rsid w:val="00C21BA0"/>
    <w:rsid w:val="00C21CB1"/>
    <w:rsid w:val="00C21CD2"/>
    <w:rsid w:val="00C21CEA"/>
    <w:rsid w:val="00C21D4A"/>
    <w:rsid w:val="00C21DC8"/>
    <w:rsid w:val="00C21EC4"/>
    <w:rsid w:val="00C21EEA"/>
    <w:rsid w:val="00C22117"/>
    <w:rsid w:val="00C221E3"/>
    <w:rsid w:val="00C22420"/>
    <w:rsid w:val="00C2250A"/>
    <w:rsid w:val="00C2254D"/>
    <w:rsid w:val="00C22784"/>
    <w:rsid w:val="00C22898"/>
    <w:rsid w:val="00C22945"/>
    <w:rsid w:val="00C22972"/>
    <w:rsid w:val="00C2297B"/>
    <w:rsid w:val="00C22A82"/>
    <w:rsid w:val="00C22B71"/>
    <w:rsid w:val="00C22BA0"/>
    <w:rsid w:val="00C22C01"/>
    <w:rsid w:val="00C22E1F"/>
    <w:rsid w:val="00C22F3A"/>
    <w:rsid w:val="00C22FD0"/>
    <w:rsid w:val="00C2305E"/>
    <w:rsid w:val="00C2308A"/>
    <w:rsid w:val="00C230DD"/>
    <w:rsid w:val="00C231B8"/>
    <w:rsid w:val="00C231BE"/>
    <w:rsid w:val="00C231C0"/>
    <w:rsid w:val="00C23352"/>
    <w:rsid w:val="00C2339E"/>
    <w:rsid w:val="00C2352E"/>
    <w:rsid w:val="00C23588"/>
    <w:rsid w:val="00C236B7"/>
    <w:rsid w:val="00C2375D"/>
    <w:rsid w:val="00C2376C"/>
    <w:rsid w:val="00C237DF"/>
    <w:rsid w:val="00C2381A"/>
    <w:rsid w:val="00C23917"/>
    <w:rsid w:val="00C2394D"/>
    <w:rsid w:val="00C23A02"/>
    <w:rsid w:val="00C23B3C"/>
    <w:rsid w:val="00C23E12"/>
    <w:rsid w:val="00C23E8E"/>
    <w:rsid w:val="00C23EDE"/>
    <w:rsid w:val="00C23F15"/>
    <w:rsid w:val="00C23F48"/>
    <w:rsid w:val="00C23F76"/>
    <w:rsid w:val="00C24237"/>
    <w:rsid w:val="00C24242"/>
    <w:rsid w:val="00C24329"/>
    <w:rsid w:val="00C24456"/>
    <w:rsid w:val="00C2449A"/>
    <w:rsid w:val="00C244DD"/>
    <w:rsid w:val="00C244FC"/>
    <w:rsid w:val="00C2459B"/>
    <w:rsid w:val="00C24662"/>
    <w:rsid w:val="00C2473F"/>
    <w:rsid w:val="00C24791"/>
    <w:rsid w:val="00C24D0F"/>
    <w:rsid w:val="00C24D31"/>
    <w:rsid w:val="00C24E99"/>
    <w:rsid w:val="00C24F33"/>
    <w:rsid w:val="00C25101"/>
    <w:rsid w:val="00C25136"/>
    <w:rsid w:val="00C251CA"/>
    <w:rsid w:val="00C252DA"/>
    <w:rsid w:val="00C252F5"/>
    <w:rsid w:val="00C25392"/>
    <w:rsid w:val="00C253E1"/>
    <w:rsid w:val="00C254B1"/>
    <w:rsid w:val="00C25515"/>
    <w:rsid w:val="00C2558E"/>
    <w:rsid w:val="00C255AF"/>
    <w:rsid w:val="00C256AB"/>
    <w:rsid w:val="00C25B86"/>
    <w:rsid w:val="00C25DBB"/>
    <w:rsid w:val="00C25F10"/>
    <w:rsid w:val="00C26132"/>
    <w:rsid w:val="00C2632F"/>
    <w:rsid w:val="00C2634F"/>
    <w:rsid w:val="00C2649A"/>
    <w:rsid w:val="00C2654C"/>
    <w:rsid w:val="00C2673B"/>
    <w:rsid w:val="00C2685C"/>
    <w:rsid w:val="00C26931"/>
    <w:rsid w:val="00C26970"/>
    <w:rsid w:val="00C26C79"/>
    <w:rsid w:val="00C26D11"/>
    <w:rsid w:val="00C26D27"/>
    <w:rsid w:val="00C26F44"/>
    <w:rsid w:val="00C270C7"/>
    <w:rsid w:val="00C270F6"/>
    <w:rsid w:val="00C272AB"/>
    <w:rsid w:val="00C272E0"/>
    <w:rsid w:val="00C273B7"/>
    <w:rsid w:val="00C27434"/>
    <w:rsid w:val="00C276EF"/>
    <w:rsid w:val="00C277DC"/>
    <w:rsid w:val="00C27814"/>
    <w:rsid w:val="00C27928"/>
    <w:rsid w:val="00C279B3"/>
    <w:rsid w:val="00C27AEB"/>
    <w:rsid w:val="00C27B7C"/>
    <w:rsid w:val="00C27C74"/>
    <w:rsid w:val="00C27CC0"/>
    <w:rsid w:val="00C27F1E"/>
    <w:rsid w:val="00C30136"/>
    <w:rsid w:val="00C301FB"/>
    <w:rsid w:val="00C302E7"/>
    <w:rsid w:val="00C306BB"/>
    <w:rsid w:val="00C307B1"/>
    <w:rsid w:val="00C3084D"/>
    <w:rsid w:val="00C30935"/>
    <w:rsid w:val="00C30A45"/>
    <w:rsid w:val="00C30AB2"/>
    <w:rsid w:val="00C30AD7"/>
    <w:rsid w:val="00C30C5B"/>
    <w:rsid w:val="00C30E16"/>
    <w:rsid w:val="00C30E4D"/>
    <w:rsid w:val="00C30F8C"/>
    <w:rsid w:val="00C310F3"/>
    <w:rsid w:val="00C31188"/>
    <w:rsid w:val="00C314B4"/>
    <w:rsid w:val="00C31668"/>
    <w:rsid w:val="00C31727"/>
    <w:rsid w:val="00C3177C"/>
    <w:rsid w:val="00C317F8"/>
    <w:rsid w:val="00C318A1"/>
    <w:rsid w:val="00C3198D"/>
    <w:rsid w:val="00C319D1"/>
    <w:rsid w:val="00C31BFB"/>
    <w:rsid w:val="00C31C8C"/>
    <w:rsid w:val="00C31CE2"/>
    <w:rsid w:val="00C31D7B"/>
    <w:rsid w:val="00C31F8D"/>
    <w:rsid w:val="00C320FC"/>
    <w:rsid w:val="00C32117"/>
    <w:rsid w:val="00C323EB"/>
    <w:rsid w:val="00C3255E"/>
    <w:rsid w:val="00C3264B"/>
    <w:rsid w:val="00C3265F"/>
    <w:rsid w:val="00C32757"/>
    <w:rsid w:val="00C32778"/>
    <w:rsid w:val="00C3282B"/>
    <w:rsid w:val="00C328C9"/>
    <w:rsid w:val="00C3296E"/>
    <w:rsid w:val="00C32A2D"/>
    <w:rsid w:val="00C32C9E"/>
    <w:rsid w:val="00C32CAE"/>
    <w:rsid w:val="00C32CD4"/>
    <w:rsid w:val="00C32D9A"/>
    <w:rsid w:val="00C32E48"/>
    <w:rsid w:val="00C33046"/>
    <w:rsid w:val="00C330BE"/>
    <w:rsid w:val="00C33151"/>
    <w:rsid w:val="00C3320E"/>
    <w:rsid w:val="00C332FE"/>
    <w:rsid w:val="00C3341E"/>
    <w:rsid w:val="00C335CD"/>
    <w:rsid w:val="00C33615"/>
    <w:rsid w:val="00C336B5"/>
    <w:rsid w:val="00C336E8"/>
    <w:rsid w:val="00C33734"/>
    <w:rsid w:val="00C3373C"/>
    <w:rsid w:val="00C3378C"/>
    <w:rsid w:val="00C338B4"/>
    <w:rsid w:val="00C338E2"/>
    <w:rsid w:val="00C33948"/>
    <w:rsid w:val="00C33B1E"/>
    <w:rsid w:val="00C33C79"/>
    <w:rsid w:val="00C33C7A"/>
    <w:rsid w:val="00C33CE0"/>
    <w:rsid w:val="00C3429C"/>
    <w:rsid w:val="00C346CC"/>
    <w:rsid w:val="00C346DA"/>
    <w:rsid w:val="00C346F3"/>
    <w:rsid w:val="00C347E3"/>
    <w:rsid w:val="00C348BC"/>
    <w:rsid w:val="00C348EF"/>
    <w:rsid w:val="00C34988"/>
    <w:rsid w:val="00C34B57"/>
    <w:rsid w:val="00C34BE2"/>
    <w:rsid w:val="00C34CDE"/>
    <w:rsid w:val="00C34DD0"/>
    <w:rsid w:val="00C34F86"/>
    <w:rsid w:val="00C35147"/>
    <w:rsid w:val="00C35227"/>
    <w:rsid w:val="00C353DD"/>
    <w:rsid w:val="00C3555E"/>
    <w:rsid w:val="00C355FA"/>
    <w:rsid w:val="00C356AA"/>
    <w:rsid w:val="00C359B0"/>
    <w:rsid w:val="00C359BA"/>
    <w:rsid w:val="00C35A97"/>
    <w:rsid w:val="00C35C04"/>
    <w:rsid w:val="00C35E71"/>
    <w:rsid w:val="00C35EAB"/>
    <w:rsid w:val="00C35FAF"/>
    <w:rsid w:val="00C36097"/>
    <w:rsid w:val="00C36158"/>
    <w:rsid w:val="00C365F7"/>
    <w:rsid w:val="00C36625"/>
    <w:rsid w:val="00C3667B"/>
    <w:rsid w:val="00C3671C"/>
    <w:rsid w:val="00C368B3"/>
    <w:rsid w:val="00C3697D"/>
    <w:rsid w:val="00C36A4C"/>
    <w:rsid w:val="00C36BC6"/>
    <w:rsid w:val="00C36CDF"/>
    <w:rsid w:val="00C36DC8"/>
    <w:rsid w:val="00C36F5D"/>
    <w:rsid w:val="00C36F67"/>
    <w:rsid w:val="00C36FC1"/>
    <w:rsid w:val="00C3704A"/>
    <w:rsid w:val="00C3706F"/>
    <w:rsid w:val="00C37118"/>
    <w:rsid w:val="00C37156"/>
    <w:rsid w:val="00C3746E"/>
    <w:rsid w:val="00C37505"/>
    <w:rsid w:val="00C37566"/>
    <w:rsid w:val="00C3771D"/>
    <w:rsid w:val="00C377AB"/>
    <w:rsid w:val="00C37823"/>
    <w:rsid w:val="00C379E4"/>
    <w:rsid w:val="00C37C2E"/>
    <w:rsid w:val="00C37CDE"/>
    <w:rsid w:val="00C37D54"/>
    <w:rsid w:val="00C37E9E"/>
    <w:rsid w:val="00C37FD2"/>
    <w:rsid w:val="00C40194"/>
    <w:rsid w:val="00C4039A"/>
    <w:rsid w:val="00C4047C"/>
    <w:rsid w:val="00C40569"/>
    <w:rsid w:val="00C40629"/>
    <w:rsid w:val="00C40670"/>
    <w:rsid w:val="00C406A5"/>
    <w:rsid w:val="00C406CC"/>
    <w:rsid w:val="00C4079E"/>
    <w:rsid w:val="00C40891"/>
    <w:rsid w:val="00C408EC"/>
    <w:rsid w:val="00C408FF"/>
    <w:rsid w:val="00C40AC2"/>
    <w:rsid w:val="00C40AFE"/>
    <w:rsid w:val="00C40CA3"/>
    <w:rsid w:val="00C40D1C"/>
    <w:rsid w:val="00C40FA9"/>
    <w:rsid w:val="00C4103C"/>
    <w:rsid w:val="00C4112F"/>
    <w:rsid w:val="00C4113F"/>
    <w:rsid w:val="00C411E7"/>
    <w:rsid w:val="00C41253"/>
    <w:rsid w:val="00C413F1"/>
    <w:rsid w:val="00C414FD"/>
    <w:rsid w:val="00C416D8"/>
    <w:rsid w:val="00C417B8"/>
    <w:rsid w:val="00C41884"/>
    <w:rsid w:val="00C41886"/>
    <w:rsid w:val="00C418F1"/>
    <w:rsid w:val="00C41911"/>
    <w:rsid w:val="00C41A01"/>
    <w:rsid w:val="00C41A7F"/>
    <w:rsid w:val="00C41BE5"/>
    <w:rsid w:val="00C41C66"/>
    <w:rsid w:val="00C41D65"/>
    <w:rsid w:val="00C41EA8"/>
    <w:rsid w:val="00C41F9D"/>
    <w:rsid w:val="00C420A3"/>
    <w:rsid w:val="00C42238"/>
    <w:rsid w:val="00C4229B"/>
    <w:rsid w:val="00C422C5"/>
    <w:rsid w:val="00C42351"/>
    <w:rsid w:val="00C42634"/>
    <w:rsid w:val="00C42702"/>
    <w:rsid w:val="00C42711"/>
    <w:rsid w:val="00C4279A"/>
    <w:rsid w:val="00C4282B"/>
    <w:rsid w:val="00C42891"/>
    <w:rsid w:val="00C428E4"/>
    <w:rsid w:val="00C42911"/>
    <w:rsid w:val="00C429A7"/>
    <w:rsid w:val="00C42A6D"/>
    <w:rsid w:val="00C42AA0"/>
    <w:rsid w:val="00C42AAD"/>
    <w:rsid w:val="00C42B30"/>
    <w:rsid w:val="00C42E30"/>
    <w:rsid w:val="00C42E3E"/>
    <w:rsid w:val="00C42ED5"/>
    <w:rsid w:val="00C42F56"/>
    <w:rsid w:val="00C42F70"/>
    <w:rsid w:val="00C42FB5"/>
    <w:rsid w:val="00C43091"/>
    <w:rsid w:val="00C431B4"/>
    <w:rsid w:val="00C43260"/>
    <w:rsid w:val="00C433D0"/>
    <w:rsid w:val="00C43409"/>
    <w:rsid w:val="00C43437"/>
    <w:rsid w:val="00C434DC"/>
    <w:rsid w:val="00C435FE"/>
    <w:rsid w:val="00C43639"/>
    <w:rsid w:val="00C43718"/>
    <w:rsid w:val="00C4373D"/>
    <w:rsid w:val="00C43740"/>
    <w:rsid w:val="00C438D5"/>
    <w:rsid w:val="00C439CA"/>
    <w:rsid w:val="00C43ABF"/>
    <w:rsid w:val="00C43AEC"/>
    <w:rsid w:val="00C43B4B"/>
    <w:rsid w:val="00C43BE5"/>
    <w:rsid w:val="00C43C3D"/>
    <w:rsid w:val="00C43F6B"/>
    <w:rsid w:val="00C43FED"/>
    <w:rsid w:val="00C4405E"/>
    <w:rsid w:val="00C440C9"/>
    <w:rsid w:val="00C4429B"/>
    <w:rsid w:val="00C44424"/>
    <w:rsid w:val="00C445A2"/>
    <w:rsid w:val="00C445AB"/>
    <w:rsid w:val="00C4475A"/>
    <w:rsid w:val="00C447BF"/>
    <w:rsid w:val="00C447FE"/>
    <w:rsid w:val="00C44A44"/>
    <w:rsid w:val="00C44C08"/>
    <w:rsid w:val="00C44DAF"/>
    <w:rsid w:val="00C44FF1"/>
    <w:rsid w:val="00C4502D"/>
    <w:rsid w:val="00C45043"/>
    <w:rsid w:val="00C45110"/>
    <w:rsid w:val="00C451CE"/>
    <w:rsid w:val="00C45201"/>
    <w:rsid w:val="00C4523F"/>
    <w:rsid w:val="00C4528F"/>
    <w:rsid w:val="00C452D8"/>
    <w:rsid w:val="00C452EF"/>
    <w:rsid w:val="00C4551A"/>
    <w:rsid w:val="00C4551F"/>
    <w:rsid w:val="00C45596"/>
    <w:rsid w:val="00C45698"/>
    <w:rsid w:val="00C45805"/>
    <w:rsid w:val="00C45926"/>
    <w:rsid w:val="00C45A2B"/>
    <w:rsid w:val="00C45B92"/>
    <w:rsid w:val="00C45C98"/>
    <w:rsid w:val="00C45D7F"/>
    <w:rsid w:val="00C45E39"/>
    <w:rsid w:val="00C45E9E"/>
    <w:rsid w:val="00C45EB0"/>
    <w:rsid w:val="00C4621D"/>
    <w:rsid w:val="00C46342"/>
    <w:rsid w:val="00C463B2"/>
    <w:rsid w:val="00C46567"/>
    <w:rsid w:val="00C465AE"/>
    <w:rsid w:val="00C465EC"/>
    <w:rsid w:val="00C4661A"/>
    <w:rsid w:val="00C466F6"/>
    <w:rsid w:val="00C4696F"/>
    <w:rsid w:val="00C46BDC"/>
    <w:rsid w:val="00C46CAA"/>
    <w:rsid w:val="00C46D5F"/>
    <w:rsid w:val="00C46DCB"/>
    <w:rsid w:val="00C46E4C"/>
    <w:rsid w:val="00C46E7A"/>
    <w:rsid w:val="00C46E82"/>
    <w:rsid w:val="00C4707A"/>
    <w:rsid w:val="00C47138"/>
    <w:rsid w:val="00C47322"/>
    <w:rsid w:val="00C4735E"/>
    <w:rsid w:val="00C4739E"/>
    <w:rsid w:val="00C47444"/>
    <w:rsid w:val="00C474EB"/>
    <w:rsid w:val="00C475DC"/>
    <w:rsid w:val="00C47678"/>
    <w:rsid w:val="00C4780A"/>
    <w:rsid w:val="00C47852"/>
    <w:rsid w:val="00C478D5"/>
    <w:rsid w:val="00C47979"/>
    <w:rsid w:val="00C47983"/>
    <w:rsid w:val="00C47A73"/>
    <w:rsid w:val="00C47B63"/>
    <w:rsid w:val="00C47C43"/>
    <w:rsid w:val="00C47CB7"/>
    <w:rsid w:val="00C47EE8"/>
    <w:rsid w:val="00C47F14"/>
    <w:rsid w:val="00C47F7E"/>
    <w:rsid w:val="00C50101"/>
    <w:rsid w:val="00C50181"/>
    <w:rsid w:val="00C50259"/>
    <w:rsid w:val="00C502C9"/>
    <w:rsid w:val="00C50487"/>
    <w:rsid w:val="00C5062E"/>
    <w:rsid w:val="00C5063F"/>
    <w:rsid w:val="00C506A2"/>
    <w:rsid w:val="00C5084F"/>
    <w:rsid w:val="00C50A6D"/>
    <w:rsid w:val="00C50A88"/>
    <w:rsid w:val="00C50AE7"/>
    <w:rsid w:val="00C50BA7"/>
    <w:rsid w:val="00C50BE9"/>
    <w:rsid w:val="00C50DD6"/>
    <w:rsid w:val="00C50E5D"/>
    <w:rsid w:val="00C50FA2"/>
    <w:rsid w:val="00C51092"/>
    <w:rsid w:val="00C51128"/>
    <w:rsid w:val="00C51195"/>
    <w:rsid w:val="00C513CB"/>
    <w:rsid w:val="00C515B3"/>
    <w:rsid w:val="00C5169D"/>
    <w:rsid w:val="00C5193D"/>
    <w:rsid w:val="00C519E9"/>
    <w:rsid w:val="00C51B74"/>
    <w:rsid w:val="00C51B78"/>
    <w:rsid w:val="00C51C41"/>
    <w:rsid w:val="00C51C6D"/>
    <w:rsid w:val="00C51D17"/>
    <w:rsid w:val="00C51D75"/>
    <w:rsid w:val="00C51EA4"/>
    <w:rsid w:val="00C5201E"/>
    <w:rsid w:val="00C521AB"/>
    <w:rsid w:val="00C521D4"/>
    <w:rsid w:val="00C521E8"/>
    <w:rsid w:val="00C5229A"/>
    <w:rsid w:val="00C52430"/>
    <w:rsid w:val="00C52540"/>
    <w:rsid w:val="00C525E0"/>
    <w:rsid w:val="00C5279C"/>
    <w:rsid w:val="00C527E0"/>
    <w:rsid w:val="00C52800"/>
    <w:rsid w:val="00C5280F"/>
    <w:rsid w:val="00C52B1E"/>
    <w:rsid w:val="00C52B3A"/>
    <w:rsid w:val="00C52C36"/>
    <w:rsid w:val="00C52FC2"/>
    <w:rsid w:val="00C532F5"/>
    <w:rsid w:val="00C53390"/>
    <w:rsid w:val="00C533EF"/>
    <w:rsid w:val="00C5345B"/>
    <w:rsid w:val="00C5359A"/>
    <w:rsid w:val="00C538F2"/>
    <w:rsid w:val="00C5391E"/>
    <w:rsid w:val="00C53942"/>
    <w:rsid w:val="00C53A2A"/>
    <w:rsid w:val="00C53E5D"/>
    <w:rsid w:val="00C53E71"/>
    <w:rsid w:val="00C53F19"/>
    <w:rsid w:val="00C5402C"/>
    <w:rsid w:val="00C54075"/>
    <w:rsid w:val="00C54194"/>
    <w:rsid w:val="00C54851"/>
    <w:rsid w:val="00C54859"/>
    <w:rsid w:val="00C5490D"/>
    <w:rsid w:val="00C54A0F"/>
    <w:rsid w:val="00C54A28"/>
    <w:rsid w:val="00C54B0E"/>
    <w:rsid w:val="00C54B65"/>
    <w:rsid w:val="00C54C53"/>
    <w:rsid w:val="00C54CC1"/>
    <w:rsid w:val="00C54DA3"/>
    <w:rsid w:val="00C55114"/>
    <w:rsid w:val="00C5514B"/>
    <w:rsid w:val="00C552F3"/>
    <w:rsid w:val="00C55500"/>
    <w:rsid w:val="00C555DD"/>
    <w:rsid w:val="00C55729"/>
    <w:rsid w:val="00C5581D"/>
    <w:rsid w:val="00C55ABF"/>
    <w:rsid w:val="00C55BB9"/>
    <w:rsid w:val="00C55C2E"/>
    <w:rsid w:val="00C55D14"/>
    <w:rsid w:val="00C55D6B"/>
    <w:rsid w:val="00C55F9E"/>
    <w:rsid w:val="00C55FD6"/>
    <w:rsid w:val="00C55FFD"/>
    <w:rsid w:val="00C56066"/>
    <w:rsid w:val="00C56321"/>
    <w:rsid w:val="00C56420"/>
    <w:rsid w:val="00C56460"/>
    <w:rsid w:val="00C564DD"/>
    <w:rsid w:val="00C5652A"/>
    <w:rsid w:val="00C56646"/>
    <w:rsid w:val="00C567FA"/>
    <w:rsid w:val="00C56833"/>
    <w:rsid w:val="00C568A5"/>
    <w:rsid w:val="00C56906"/>
    <w:rsid w:val="00C56AA6"/>
    <w:rsid w:val="00C56B01"/>
    <w:rsid w:val="00C56C0B"/>
    <w:rsid w:val="00C56C6C"/>
    <w:rsid w:val="00C56DD6"/>
    <w:rsid w:val="00C56ED0"/>
    <w:rsid w:val="00C5717F"/>
    <w:rsid w:val="00C5719E"/>
    <w:rsid w:val="00C571FA"/>
    <w:rsid w:val="00C5739D"/>
    <w:rsid w:val="00C573A6"/>
    <w:rsid w:val="00C57415"/>
    <w:rsid w:val="00C5752A"/>
    <w:rsid w:val="00C57598"/>
    <w:rsid w:val="00C5759B"/>
    <w:rsid w:val="00C57614"/>
    <w:rsid w:val="00C57636"/>
    <w:rsid w:val="00C57787"/>
    <w:rsid w:val="00C5781F"/>
    <w:rsid w:val="00C5799E"/>
    <w:rsid w:val="00C57A66"/>
    <w:rsid w:val="00C57B69"/>
    <w:rsid w:val="00C57E21"/>
    <w:rsid w:val="00C57E35"/>
    <w:rsid w:val="00C57EA2"/>
    <w:rsid w:val="00C57EAB"/>
    <w:rsid w:val="00C57EDD"/>
    <w:rsid w:val="00C57F1C"/>
    <w:rsid w:val="00C57F84"/>
    <w:rsid w:val="00C57F8F"/>
    <w:rsid w:val="00C6006D"/>
    <w:rsid w:val="00C60086"/>
    <w:rsid w:val="00C60099"/>
    <w:rsid w:val="00C60179"/>
    <w:rsid w:val="00C6028B"/>
    <w:rsid w:val="00C60730"/>
    <w:rsid w:val="00C608F5"/>
    <w:rsid w:val="00C60B06"/>
    <w:rsid w:val="00C60CEA"/>
    <w:rsid w:val="00C60EBF"/>
    <w:rsid w:val="00C60F51"/>
    <w:rsid w:val="00C612AC"/>
    <w:rsid w:val="00C61541"/>
    <w:rsid w:val="00C6167F"/>
    <w:rsid w:val="00C616E1"/>
    <w:rsid w:val="00C617A9"/>
    <w:rsid w:val="00C61822"/>
    <w:rsid w:val="00C61B28"/>
    <w:rsid w:val="00C61B38"/>
    <w:rsid w:val="00C61B89"/>
    <w:rsid w:val="00C61BAA"/>
    <w:rsid w:val="00C61BCC"/>
    <w:rsid w:val="00C61BED"/>
    <w:rsid w:val="00C61C11"/>
    <w:rsid w:val="00C61DE2"/>
    <w:rsid w:val="00C61F01"/>
    <w:rsid w:val="00C61F33"/>
    <w:rsid w:val="00C61FC1"/>
    <w:rsid w:val="00C61FD4"/>
    <w:rsid w:val="00C62022"/>
    <w:rsid w:val="00C6215A"/>
    <w:rsid w:val="00C621F4"/>
    <w:rsid w:val="00C621F7"/>
    <w:rsid w:val="00C621FD"/>
    <w:rsid w:val="00C62211"/>
    <w:rsid w:val="00C622BA"/>
    <w:rsid w:val="00C62458"/>
    <w:rsid w:val="00C624F7"/>
    <w:rsid w:val="00C6265B"/>
    <w:rsid w:val="00C6274E"/>
    <w:rsid w:val="00C62A44"/>
    <w:rsid w:val="00C62A4E"/>
    <w:rsid w:val="00C62B7C"/>
    <w:rsid w:val="00C62BEF"/>
    <w:rsid w:val="00C62BF4"/>
    <w:rsid w:val="00C62ED6"/>
    <w:rsid w:val="00C62F6F"/>
    <w:rsid w:val="00C6303A"/>
    <w:rsid w:val="00C630F3"/>
    <w:rsid w:val="00C63199"/>
    <w:rsid w:val="00C631E0"/>
    <w:rsid w:val="00C6343B"/>
    <w:rsid w:val="00C63772"/>
    <w:rsid w:val="00C63914"/>
    <w:rsid w:val="00C63918"/>
    <w:rsid w:val="00C63A76"/>
    <w:rsid w:val="00C63B1F"/>
    <w:rsid w:val="00C63C38"/>
    <w:rsid w:val="00C63C83"/>
    <w:rsid w:val="00C63D71"/>
    <w:rsid w:val="00C63F64"/>
    <w:rsid w:val="00C64062"/>
    <w:rsid w:val="00C64121"/>
    <w:rsid w:val="00C641D4"/>
    <w:rsid w:val="00C64333"/>
    <w:rsid w:val="00C6437A"/>
    <w:rsid w:val="00C6443E"/>
    <w:rsid w:val="00C6445A"/>
    <w:rsid w:val="00C64568"/>
    <w:rsid w:val="00C64883"/>
    <w:rsid w:val="00C648BB"/>
    <w:rsid w:val="00C648ED"/>
    <w:rsid w:val="00C649B3"/>
    <w:rsid w:val="00C649F8"/>
    <w:rsid w:val="00C64A92"/>
    <w:rsid w:val="00C64AC8"/>
    <w:rsid w:val="00C64B32"/>
    <w:rsid w:val="00C64C94"/>
    <w:rsid w:val="00C64E5D"/>
    <w:rsid w:val="00C64E64"/>
    <w:rsid w:val="00C64FAB"/>
    <w:rsid w:val="00C64FDD"/>
    <w:rsid w:val="00C65012"/>
    <w:rsid w:val="00C65188"/>
    <w:rsid w:val="00C6529B"/>
    <w:rsid w:val="00C654BC"/>
    <w:rsid w:val="00C65616"/>
    <w:rsid w:val="00C656A2"/>
    <w:rsid w:val="00C656CA"/>
    <w:rsid w:val="00C6578B"/>
    <w:rsid w:val="00C658F2"/>
    <w:rsid w:val="00C658FD"/>
    <w:rsid w:val="00C65A8A"/>
    <w:rsid w:val="00C65BC9"/>
    <w:rsid w:val="00C65BDE"/>
    <w:rsid w:val="00C65D22"/>
    <w:rsid w:val="00C65D4C"/>
    <w:rsid w:val="00C65EE2"/>
    <w:rsid w:val="00C65FDC"/>
    <w:rsid w:val="00C66007"/>
    <w:rsid w:val="00C66236"/>
    <w:rsid w:val="00C66238"/>
    <w:rsid w:val="00C6646E"/>
    <w:rsid w:val="00C664FB"/>
    <w:rsid w:val="00C66518"/>
    <w:rsid w:val="00C6665E"/>
    <w:rsid w:val="00C66798"/>
    <w:rsid w:val="00C669DA"/>
    <w:rsid w:val="00C66B8D"/>
    <w:rsid w:val="00C66C12"/>
    <w:rsid w:val="00C66D04"/>
    <w:rsid w:val="00C66F6E"/>
    <w:rsid w:val="00C66FFB"/>
    <w:rsid w:val="00C67033"/>
    <w:rsid w:val="00C67194"/>
    <w:rsid w:val="00C67314"/>
    <w:rsid w:val="00C6760D"/>
    <w:rsid w:val="00C677F7"/>
    <w:rsid w:val="00C678DD"/>
    <w:rsid w:val="00C678E2"/>
    <w:rsid w:val="00C67A0A"/>
    <w:rsid w:val="00C67A26"/>
    <w:rsid w:val="00C67A36"/>
    <w:rsid w:val="00C67AD0"/>
    <w:rsid w:val="00C67AD4"/>
    <w:rsid w:val="00C67BB7"/>
    <w:rsid w:val="00C67C25"/>
    <w:rsid w:val="00C67CAD"/>
    <w:rsid w:val="00C67CD6"/>
    <w:rsid w:val="00C67F9D"/>
    <w:rsid w:val="00C7003B"/>
    <w:rsid w:val="00C70081"/>
    <w:rsid w:val="00C7008C"/>
    <w:rsid w:val="00C70117"/>
    <w:rsid w:val="00C7012C"/>
    <w:rsid w:val="00C7051F"/>
    <w:rsid w:val="00C707E2"/>
    <w:rsid w:val="00C707F1"/>
    <w:rsid w:val="00C7082D"/>
    <w:rsid w:val="00C70AE2"/>
    <w:rsid w:val="00C70B3E"/>
    <w:rsid w:val="00C70C93"/>
    <w:rsid w:val="00C70CDA"/>
    <w:rsid w:val="00C70DEB"/>
    <w:rsid w:val="00C7133B"/>
    <w:rsid w:val="00C71342"/>
    <w:rsid w:val="00C71651"/>
    <w:rsid w:val="00C71759"/>
    <w:rsid w:val="00C7180D"/>
    <w:rsid w:val="00C7181C"/>
    <w:rsid w:val="00C718A6"/>
    <w:rsid w:val="00C71A0A"/>
    <w:rsid w:val="00C71A68"/>
    <w:rsid w:val="00C71A8C"/>
    <w:rsid w:val="00C71D11"/>
    <w:rsid w:val="00C71E58"/>
    <w:rsid w:val="00C71EB9"/>
    <w:rsid w:val="00C71F19"/>
    <w:rsid w:val="00C71F3F"/>
    <w:rsid w:val="00C71F46"/>
    <w:rsid w:val="00C72286"/>
    <w:rsid w:val="00C722AD"/>
    <w:rsid w:val="00C72327"/>
    <w:rsid w:val="00C7234D"/>
    <w:rsid w:val="00C72393"/>
    <w:rsid w:val="00C7239F"/>
    <w:rsid w:val="00C723A1"/>
    <w:rsid w:val="00C72524"/>
    <w:rsid w:val="00C725F8"/>
    <w:rsid w:val="00C72640"/>
    <w:rsid w:val="00C726FA"/>
    <w:rsid w:val="00C72935"/>
    <w:rsid w:val="00C72943"/>
    <w:rsid w:val="00C72987"/>
    <w:rsid w:val="00C729BF"/>
    <w:rsid w:val="00C729C5"/>
    <w:rsid w:val="00C72ED9"/>
    <w:rsid w:val="00C72F66"/>
    <w:rsid w:val="00C7317B"/>
    <w:rsid w:val="00C732C0"/>
    <w:rsid w:val="00C7330F"/>
    <w:rsid w:val="00C73364"/>
    <w:rsid w:val="00C733E1"/>
    <w:rsid w:val="00C736EB"/>
    <w:rsid w:val="00C737F1"/>
    <w:rsid w:val="00C73806"/>
    <w:rsid w:val="00C73856"/>
    <w:rsid w:val="00C73937"/>
    <w:rsid w:val="00C73CE4"/>
    <w:rsid w:val="00C73DEE"/>
    <w:rsid w:val="00C73EEA"/>
    <w:rsid w:val="00C74002"/>
    <w:rsid w:val="00C7406E"/>
    <w:rsid w:val="00C740DE"/>
    <w:rsid w:val="00C7420B"/>
    <w:rsid w:val="00C74292"/>
    <w:rsid w:val="00C74309"/>
    <w:rsid w:val="00C743D3"/>
    <w:rsid w:val="00C74443"/>
    <w:rsid w:val="00C7448D"/>
    <w:rsid w:val="00C744E7"/>
    <w:rsid w:val="00C74623"/>
    <w:rsid w:val="00C7463C"/>
    <w:rsid w:val="00C74640"/>
    <w:rsid w:val="00C74891"/>
    <w:rsid w:val="00C74A29"/>
    <w:rsid w:val="00C74A5A"/>
    <w:rsid w:val="00C74A8F"/>
    <w:rsid w:val="00C74DA6"/>
    <w:rsid w:val="00C74EF1"/>
    <w:rsid w:val="00C75139"/>
    <w:rsid w:val="00C751F1"/>
    <w:rsid w:val="00C75254"/>
    <w:rsid w:val="00C752CF"/>
    <w:rsid w:val="00C752DD"/>
    <w:rsid w:val="00C754CF"/>
    <w:rsid w:val="00C75689"/>
    <w:rsid w:val="00C75766"/>
    <w:rsid w:val="00C75804"/>
    <w:rsid w:val="00C75899"/>
    <w:rsid w:val="00C75926"/>
    <w:rsid w:val="00C75953"/>
    <w:rsid w:val="00C759C3"/>
    <w:rsid w:val="00C759FF"/>
    <w:rsid w:val="00C75A2D"/>
    <w:rsid w:val="00C75B36"/>
    <w:rsid w:val="00C75C1A"/>
    <w:rsid w:val="00C75C70"/>
    <w:rsid w:val="00C75F9E"/>
    <w:rsid w:val="00C76157"/>
    <w:rsid w:val="00C7625F"/>
    <w:rsid w:val="00C76301"/>
    <w:rsid w:val="00C764E4"/>
    <w:rsid w:val="00C76500"/>
    <w:rsid w:val="00C7663E"/>
    <w:rsid w:val="00C766EC"/>
    <w:rsid w:val="00C767D0"/>
    <w:rsid w:val="00C76847"/>
    <w:rsid w:val="00C7698A"/>
    <w:rsid w:val="00C76B8A"/>
    <w:rsid w:val="00C76D26"/>
    <w:rsid w:val="00C77224"/>
    <w:rsid w:val="00C773ED"/>
    <w:rsid w:val="00C77499"/>
    <w:rsid w:val="00C774EA"/>
    <w:rsid w:val="00C7750F"/>
    <w:rsid w:val="00C775CE"/>
    <w:rsid w:val="00C775DE"/>
    <w:rsid w:val="00C7773A"/>
    <w:rsid w:val="00C7777C"/>
    <w:rsid w:val="00C77A0D"/>
    <w:rsid w:val="00C77B54"/>
    <w:rsid w:val="00C77C71"/>
    <w:rsid w:val="00C77CA4"/>
    <w:rsid w:val="00C77EE2"/>
    <w:rsid w:val="00C77EEE"/>
    <w:rsid w:val="00C80077"/>
    <w:rsid w:val="00C800CE"/>
    <w:rsid w:val="00C80581"/>
    <w:rsid w:val="00C80747"/>
    <w:rsid w:val="00C80A86"/>
    <w:rsid w:val="00C80B74"/>
    <w:rsid w:val="00C80D8A"/>
    <w:rsid w:val="00C80E13"/>
    <w:rsid w:val="00C80F44"/>
    <w:rsid w:val="00C81026"/>
    <w:rsid w:val="00C810E9"/>
    <w:rsid w:val="00C81145"/>
    <w:rsid w:val="00C811ED"/>
    <w:rsid w:val="00C8127C"/>
    <w:rsid w:val="00C812A7"/>
    <w:rsid w:val="00C81383"/>
    <w:rsid w:val="00C813B7"/>
    <w:rsid w:val="00C8141F"/>
    <w:rsid w:val="00C8142A"/>
    <w:rsid w:val="00C8147E"/>
    <w:rsid w:val="00C814DF"/>
    <w:rsid w:val="00C81584"/>
    <w:rsid w:val="00C815C3"/>
    <w:rsid w:val="00C81629"/>
    <w:rsid w:val="00C81683"/>
    <w:rsid w:val="00C817B4"/>
    <w:rsid w:val="00C817DA"/>
    <w:rsid w:val="00C81943"/>
    <w:rsid w:val="00C81A23"/>
    <w:rsid w:val="00C81C3D"/>
    <w:rsid w:val="00C81CD3"/>
    <w:rsid w:val="00C81D14"/>
    <w:rsid w:val="00C81D35"/>
    <w:rsid w:val="00C81E4A"/>
    <w:rsid w:val="00C81F3B"/>
    <w:rsid w:val="00C81F58"/>
    <w:rsid w:val="00C81F96"/>
    <w:rsid w:val="00C82009"/>
    <w:rsid w:val="00C820DE"/>
    <w:rsid w:val="00C820E9"/>
    <w:rsid w:val="00C8226F"/>
    <w:rsid w:val="00C822EC"/>
    <w:rsid w:val="00C823EC"/>
    <w:rsid w:val="00C8261B"/>
    <w:rsid w:val="00C82751"/>
    <w:rsid w:val="00C82A44"/>
    <w:rsid w:val="00C82B62"/>
    <w:rsid w:val="00C82D52"/>
    <w:rsid w:val="00C82E18"/>
    <w:rsid w:val="00C82F52"/>
    <w:rsid w:val="00C82FB1"/>
    <w:rsid w:val="00C830CC"/>
    <w:rsid w:val="00C831AC"/>
    <w:rsid w:val="00C831CE"/>
    <w:rsid w:val="00C831D5"/>
    <w:rsid w:val="00C832DB"/>
    <w:rsid w:val="00C8347C"/>
    <w:rsid w:val="00C83539"/>
    <w:rsid w:val="00C835A5"/>
    <w:rsid w:val="00C83614"/>
    <w:rsid w:val="00C83698"/>
    <w:rsid w:val="00C83819"/>
    <w:rsid w:val="00C8397E"/>
    <w:rsid w:val="00C839BC"/>
    <w:rsid w:val="00C83A8E"/>
    <w:rsid w:val="00C83ABA"/>
    <w:rsid w:val="00C83C7E"/>
    <w:rsid w:val="00C83C9A"/>
    <w:rsid w:val="00C83D03"/>
    <w:rsid w:val="00C83DAE"/>
    <w:rsid w:val="00C83F8D"/>
    <w:rsid w:val="00C841E6"/>
    <w:rsid w:val="00C84386"/>
    <w:rsid w:val="00C84480"/>
    <w:rsid w:val="00C8449D"/>
    <w:rsid w:val="00C846EF"/>
    <w:rsid w:val="00C84743"/>
    <w:rsid w:val="00C8486E"/>
    <w:rsid w:val="00C848E6"/>
    <w:rsid w:val="00C849D5"/>
    <w:rsid w:val="00C84A36"/>
    <w:rsid w:val="00C84B7D"/>
    <w:rsid w:val="00C850BA"/>
    <w:rsid w:val="00C85189"/>
    <w:rsid w:val="00C8518A"/>
    <w:rsid w:val="00C8523D"/>
    <w:rsid w:val="00C852B5"/>
    <w:rsid w:val="00C85393"/>
    <w:rsid w:val="00C85471"/>
    <w:rsid w:val="00C854C0"/>
    <w:rsid w:val="00C8552C"/>
    <w:rsid w:val="00C8567B"/>
    <w:rsid w:val="00C856C9"/>
    <w:rsid w:val="00C856DD"/>
    <w:rsid w:val="00C858F3"/>
    <w:rsid w:val="00C859D7"/>
    <w:rsid w:val="00C85A9B"/>
    <w:rsid w:val="00C85AB1"/>
    <w:rsid w:val="00C85AB4"/>
    <w:rsid w:val="00C85BC0"/>
    <w:rsid w:val="00C85DCD"/>
    <w:rsid w:val="00C85EB5"/>
    <w:rsid w:val="00C85EBF"/>
    <w:rsid w:val="00C85EDB"/>
    <w:rsid w:val="00C8633D"/>
    <w:rsid w:val="00C86456"/>
    <w:rsid w:val="00C8645B"/>
    <w:rsid w:val="00C864F8"/>
    <w:rsid w:val="00C865B2"/>
    <w:rsid w:val="00C8669B"/>
    <w:rsid w:val="00C86846"/>
    <w:rsid w:val="00C86973"/>
    <w:rsid w:val="00C8699F"/>
    <w:rsid w:val="00C86A0A"/>
    <w:rsid w:val="00C86ADB"/>
    <w:rsid w:val="00C86ADF"/>
    <w:rsid w:val="00C86E4F"/>
    <w:rsid w:val="00C86E9F"/>
    <w:rsid w:val="00C86FAB"/>
    <w:rsid w:val="00C87037"/>
    <w:rsid w:val="00C8704E"/>
    <w:rsid w:val="00C87065"/>
    <w:rsid w:val="00C87076"/>
    <w:rsid w:val="00C87208"/>
    <w:rsid w:val="00C8726D"/>
    <w:rsid w:val="00C87525"/>
    <w:rsid w:val="00C87610"/>
    <w:rsid w:val="00C87875"/>
    <w:rsid w:val="00C87894"/>
    <w:rsid w:val="00C878E4"/>
    <w:rsid w:val="00C8791F"/>
    <w:rsid w:val="00C87936"/>
    <w:rsid w:val="00C879EE"/>
    <w:rsid w:val="00C87A4A"/>
    <w:rsid w:val="00C87B35"/>
    <w:rsid w:val="00C87BF9"/>
    <w:rsid w:val="00C87C27"/>
    <w:rsid w:val="00C87E1F"/>
    <w:rsid w:val="00C87EDF"/>
    <w:rsid w:val="00C87FAA"/>
    <w:rsid w:val="00C903F5"/>
    <w:rsid w:val="00C90541"/>
    <w:rsid w:val="00C90617"/>
    <w:rsid w:val="00C9067D"/>
    <w:rsid w:val="00C909CC"/>
    <w:rsid w:val="00C90B0F"/>
    <w:rsid w:val="00C90B89"/>
    <w:rsid w:val="00C90B95"/>
    <w:rsid w:val="00C90BD3"/>
    <w:rsid w:val="00C90BFC"/>
    <w:rsid w:val="00C90E16"/>
    <w:rsid w:val="00C9117B"/>
    <w:rsid w:val="00C91186"/>
    <w:rsid w:val="00C91202"/>
    <w:rsid w:val="00C91431"/>
    <w:rsid w:val="00C91499"/>
    <w:rsid w:val="00C915F9"/>
    <w:rsid w:val="00C91632"/>
    <w:rsid w:val="00C916A7"/>
    <w:rsid w:val="00C917C0"/>
    <w:rsid w:val="00C91822"/>
    <w:rsid w:val="00C91C9A"/>
    <w:rsid w:val="00C91E59"/>
    <w:rsid w:val="00C91ED5"/>
    <w:rsid w:val="00C91F8F"/>
    <w:rsid w:val="00C91FAA"/>
    <w:rsid w:val="00C91FC4"/>
    <w:rsid w:val="00C92288"/>
    <w:rsid w:val="00C92312"/>
    <w:rsid w:val="00C923B9"/>
    <w:rsid w:val="00C92654"/>
    <w:rsid w:val="00C92797"/>
    <w:rsid w:val="00C927D2"/>
    <w:rsid w:val="00C9286D"/>
    <w:rsid w:val="00C929AD"/>
    <w:rsid w:val="00C929E9"/>
    <w:rsid w:val="00C92A07"/>
    <w:rsid w:val="00C92AD4"/>
    <w:rsid w:val="00C92B5C"/>
    <w:rsid w:val="00C92B63"/>
    <w:rsid w:val="00C92CA9"/>
    <w:rsid w:val="00C92D65"/>
    <w:rsid w:val="00C92DC8"/>
    <w:rsid w:val="00C92DD6"/>
    <w:rsid w:val="00C92DE5"/>
    <w:rsid w:val="00C92F03"/>
    <w:rsid w:val="00C92F83"/>
    <w:rsid w:val="00C92FC8"/>
    <w:rsid w:val="00C92FD0"/>
    <w:rsid w:val="00C930BD"/>
    <w:rsid w:val="00C9310A"/>
    <w:rsid w:val="00C93285"/>
    <w:rsid w:val="00C933AF"/>
    <w:rsid w:val="00C933D1"/>
    <w:rsid w:val="00C933FA"/>
    <w:rsid w:val="00C93460"/>
    <w:rsid w:val="00C93731"/>
    <w:rsid w:val="00C9381D"/>
    <w:rsid w:val="00C938C6"/>
    <w:rsid w:val="00C938FC"/>
    <w:rsid w:val="00C939F8"/>
    <w:rsid w:val="00C93A66"/>
    <w:rsid w:val="00C93A71"/>
    <w:rsid w:val="00C93AB8"/>
    <w:rsid w:val="00C93AEA"/>
    <w:rsid w:val="00C93B29"/>
    <w:rsid w:val="00C93B9A"/>
    <w:rsid w:val="00C93C1C"/>
    <w:rsid w:val="00C93D15"/>
    <w:rsid w:val="00C93D23"/>
    <w:rsid w:val="00C93F00"/>
    <w:rsid w:val="00C9400E"/>
    <w:rsid w:val="00C94028"/>
    <w:rsid w:val="00C94092"/>
    <w:rsid w:val="00C9418D"/>
    <w:rsid w:val="00C941A6"/>
    <w:rsid w:val="00C94211"/>
    <w:rsid w:val="00C94275"/>
    <w:rsid w:val="00C9439F"/>
    <w:rsid w:val="00C94461"/>
    <w:rsid w:val="00C944E4"/>
    <w:rsid w:val="00C94517"/>
    <w:rsid w:val="00C94550"/>
    <w:rsid w:val="00C945D3"/>
    <w:rsid w:val="00C945E7"/>
    <w:rsid w:val="00C94634"/>
    <w:rsid w:val="00C94707"/>
    <w:rsid w:val="00C94720"/>
    <w:rsid w:val="00C9477C"/>
    <w:rsid w:val="00C9494B"/>
    <w:rsid w:val="00C94996"/>
    <w:rsid w:val="00C94B16"/>
    <w:rsid w:val="00C94C2A"/>
    <w:rsid w:val="00C94DCB"/>
    <w:rsid w:val="00C94DFE"/>
    <w:rsid w:val="00C94EBA"/>
    <w:rsid w:val="00C94F24"/>
    <w:rsid w:val="00C94F29"/>
    <w:rsid w:val="00C95043"/>
    <w:rsid w:val="00C9514B"/>
    <w:rsid w:val="00C951A0"/>
    <w:rsid w:val="00C95368"/>
    <w:rsid w:val="00C953CE"/>
    <w:rsid w:val="00C95473"/>
    <w:rsid w:val="00C956B1"/>
    <w:rsid w:val="00C956F5"/>
    <w:rsid w:val="00C9578D"/>
    <w:rsid w:val="00C957A4"/>
    <w:rsid w:val="00C95A33"/>
    <w:rsid w:val="00C95BAC"/>
    <w:rsid w:val="00C95CB3"/>
    <w:rsid w:val="00C95DAF"/>
    <w:rsid w:val="00C95DED"/>
    <w:rsid w:val="00C95E0F"/>
    <w:rsid w:val="00C95E9B"/>
    <w:rsid w:val="00C95EBC"/>
    <w:rsid w:val="00C961FD"/>
    <w:rsid w:val="00C96347"/>
    <w:rsid w:val="00C96423"/>
    <w:rsid w:val="00C965A1"/>
    <w:rsid w:val="00C96644"/>
    <w:rsid w:val="00C9673E"/>
    <w:rsid w:val="00C967C3"/>
    <w:rsid w:val="00C96A30"/>
    <w:rsid w:val="00C96A85"/>
    <w:rsid w:val="00C96A91"/>
    <w:rsid w:val="00C96B09"/>
    <w:rsid w:val="00C96B91"/>
    <w:rsid w:val="00C96B9B"/>
    <w:rsid w:val="00C96C1E"/>
    <w:rsid w:val="00C96C7F"/>
    <w:rsid w:val="00C96DAA"/>
    <w:rsid w:val="00C96DE3"/>
    <w:rsid w:val="00C96E09"/>
    <w:rsid w:val="00C96E32"/>
    <w:rsid w:val="00C973FE"/>
    <w:rsid w:val="00C974B4"/>
    <w:rsid w:val="00C974C6"/>
    <w:rsid w:val="00C977AC"/>
    <w:rsid w:val="00C979A5"/>
    <w:rsid w:val="00C97B28"/>
    <w:rsid w:val="00C97B7A"/>
    <w:rsid w:val="00C97EA3"/>
    <w:rsid w:val="00C97EC3"/>
    <w:rsid w:val="00C97ED7"/>
    <w:rsid w:val="00C97FAC"/>
    <w:rsid w:val="00CA0124"/>
    <w:rsid w:val="00CA0215"/>
    <w:rsid w:val="00CA0274"/>
    <w:rsid w:val="00CA0281"/>
    <w:rsid w:val="00CA039E"/>
    <w:rsid w:val="00CA0509"/>
    <w:rsid w:val="00CA077F"/>
    <w:rsid w:val="00CA07B4"/>
    <w:rsid w:val="00CA083F"/>
    <w:rsid w:val="00CA093C"/>
    <w:rsid w:val="00CA0C5B"/>
    <w:rsid w:val="00CA0D84"/>
    <w:rsid w:val="00CA0E08"/>
    <w:rsid w:val="00CA0FD4"/>
    <w:rsid w:val="00CA111F"/>
    <w:rsid w:val="00CA113E"/>
    <w:rsid w:val="00CA1188"/>
    <w:rsid w:val="00CA13B3"/>
    <w:rsid w:val="00CA1469"/>
    <w:rsid w:val="00CA1538"/>
    <w:rsid w:val="00CA16BA"/>
    <w:rsid w:val="00CA1786"/>
    <w:rsid w:val="00CA1886"/>
    <w:rsid w:val="00CA1C6C"/>
    <w:rsid w:val="00CA1CF5"/>
    <w:rsid w:val="00CA1F2C"/>
    <w:rsid w:val="00CA1FCB"/>
    <w:rsid w:val="00CA20AF"/>
    <w:rsid w:val="00CA2181"/>
    <w:rsid w:val="00CA21D2"/>
    <w:rsid w:val="00CA2579"/>
    <w:rsid w:val="00CA2785"/>
    <w:rsid w:val="00CA27F3"/>
    <w:rsid w:val="00CA29E0"/>
    <w:rsid w:val="00CA29F3"/>
    <w:rsid w:val="00CA2C01"/>
    <w:rsid w:val="00CA2CA7"/>
    <w:rsid w:val="00CA2CC3"/>
    <w:rsid w:val="00CA2E23"/>
    <w:rsid w:val="00CA2ED8"/>
    <w:rsid w:val="00CA30D0"/>
    <w:rsid w:val="00CA3293"/>
    <w:rsid w:val="00CA35C5"/>
    <w:rsid w:val="00CA360B"/>
    <w:rsid w:val="00CA3664"/>
    <w:rsid w:val="00CA3736"/>
    <w:rsid w:val="00CA37DE"/>
    <w:rsid w:val="00CA387D"/>
    <w:rsid w:val="00CA3AEE"/>
    <w:rsid w:val="00CA3B54"/>
    <w:rsid w:val="00CA3C05"/>
    <w:rsid w:val="00CA3C10"/>
    <w:rsid w:val="00CA3E3E"/>
    <w:rsid w:val="00CA407C"/>
    <w:rsid w:val="00CA4142"/>
    <w:rsid w:val="00CA41BF"/>
    <w:rsid w:val="00CA41E5"/>
    <w:rsid w:val="00CA44AD"/>
    <w:rsid w:val="00CA452E"/>
    <w:rsid w:val="00CA45D6"/>
    <w:rsid w:val="00CA4601"/>
    <w:rsid w:val="00CA4693"/>
    <w:rsid w:val="00CA4799"/>
    <w:rsid w:val="00CA47B2"/>
    <w:rsid w:val="00CA49FC"/>
    <w:rsid w:val="00CA4A51"/>
    <w:rsid w:val="00CA4C24"/>
    <w:rsid w:val="00CA4C69"/>
    <w:rsid w:val="00CA4CC5"/>
    <w:rsid w:val="00CA4D4E"/>
    <w:rsid w:val="00CA4F56"/>
    <w:rsid w:val="00CA50BA"/>
    <w:rsid w:val="00CA5160"/>
    <w:rsid w:val="00CA51A7"/>
    <w:rsid w:val="00CA5465"/>
    <w:rsid w:val="00CA547E"/>
    <w:rsid w:val="00CA564F"/>
    <w:rsid w:val="00CA56C7"/>
    <w:rsid w:val="00CA5867"/>
    <w:rsid w:val="00CA58A1"/>
    <w:rsid w:val="00CA5B27"/>
    <w:rsid w:val="00CA5B88"/>
    <w:rsid w:val="00CA5C3A"/>
    <w:rsid w:val="00CA5C3F"/>
    <w:rsid w:val="00CA5E35"/>
    <w:rsid w:val="00CA5E68"/>
    <w:rsid w:val="00CA5EBE"/>
    <w:rsid w:val="00CA5F16"/>
    <w:rsid w:val="00CA5F9E"/>
    <w:rsid w:val="00CA60E7"/>
    <w:rsid w:val="00CA610F"/>
    <w:rsid w:val="00CA6147"/>
    <w:rsid w:val="00CA6221"/>
    <w:rsid w:val="00CA6400"/>
    <w:rsid w:val="00CA640D"/>
    <w:rsid w:val="00CA6560"/>
    <w:rsid w:val="00CA66B4"/>
    <w:rsid w:val="00CA66B7"/>
    <w:rsid w:val="00CA66BD"/>
    <w:rsid w:val="00CA69F7"/>
    <w:rsid w:val="00CA6A26"/>
    <w:rsid w:val="00CA6EFB"/>
    <w:rsid w:val="00CA725A"/>
    <w:rsid w:val="00CA734B"/>
    <w:rsid w:val="00CA7556"/>
    <w:rsid w:val="00CA755B"/>
    <w:rsid w:val="00CA76A4"/>
    <w:rsid w:val="00CA77B5"/>
    <w:rsid w:val="00CA7958"/>
    <w:rsid w:val="00CA79A4"/>
    <w:rsid w:val="00CA7B67"/>
    <w:rsid w:val="00CA7BC4"/>
    <w:rsid w:val="00CA7BE2"/>
    <w:rsid w:val="00CA7C5C"/>
    <w:rsid w:val="00CA7C6E"/>
    <w:rsid w:val="00CA7EDA"/>
    <w:rsid w:val="00CA7EEF"/>
    <w:rsid w:val="00CA7F1C"/>
    <w:rsid w:val="00CB01BF"/>
    <w:rsid w:val="00CB038F"/>
    <w:rsid w:val="00CB0499"/>
    <w:rsid w:val="00CB055D"/>
    <w:rsid w:val="00CB05FC"/>
    <w:rsid w:val="00CB06A2"/>
    <w:rsid w:val="00CB070F"/>
    <w:rsid w:val="00CB0720"/>
    <w:rsid w:val="00CB075D"/>
    <w:rsid w:val="00CB0813"/>
    <w:rsid w:val="00CB0878"/>
    <w:rsid w:val="00CB09A6"/>
    <w:rsid w:val="00CB0CE4"/>
    <w:rsid w:val="00CB0E45"/>
    <w:rsid w:val="00CB0FE7"/>
    <w:rsid w:val="00CB1103"/>
    <w:rsid w:val="00CB11B3"/>
    <w:rsid w:val="00CB11E0"/>
    <w:rsid w:val="00CB13DA"/>
    <w:rsid w:val="00CB1457"/>
    <w:rsid w:val="00CB1537"/>
    <w:rsid w:val="00CB182A"/>
    <w:rsid w:val="00CB18AD"/>
    <w:rsid w:val="00CB18DC"/>
    <w:rsid w:val="00CB19C5"/>
    <w:rsid w:val="00CB1A65"/>
    <w:rsid w:val="00CB1B57"/>
    <w:rsid w:val="00CB1B89"/>
    <w:rsid w:val="00CB1D0D"/>
    <w:rsid w:val="00CB1DFC"/>
    <w:rsid w:val="00CB1E4F"/>
    <w:rsid w:val="00CB1E96"/>
    <w:rsid w:val="00CB1F56"/>
    <w:rsid w:val="00CB1F76"/>
    <w:rsid w:val="00CB1F82"/>
    <w:rsid w:val="00CB21A3"/>
    <w:rsid w:val="00CB23C6"/>
    <w:rsid w:val="00CB24C8"/>
    <w:rsid w:val="00CB2504"/>
    <w:rsid w:val="00CB27B9"/>
    <w:rsid w:val="00CB2849"/>
    <w:rsid w:val="00CB2911"/>
    <w:rsid w:val="00CB2B6F"/>
    <w:rsid w:val="00CB2D12"/>
    <w:rsid w:val="00CB2DB6"/>
    <w:rsid w:val="00CB2F11"/>
    <w:rsid w:val="00CB2F67"/>
    <w:rsid w:val="00CB3091"/>
    <w:rsid w:val="00CB3271"/>
    <w:rsid w:val="00CB32F2"/>
    <w:rsid w:val="00CB3377"/>
    <w:rsid w:val="00CB33B8"/>
    <w:rsid w:val="00CB34D5"/>
    <w:rsid w:val="00CB3510"/>
    <w:rsid w:val="00CB3599"/>
    <w:rsid w:val="00CB37FC"/>
    <w:rsid w:val="00CB383D"/>
    <w:rsid w:val="00CB38D0"/>
    <w:rsid w:val="00CB3A50"/>
    <w:rsid w:val="00CB3A8B"/>
    <w:rsid w:val="00CB3A91"/>
    <w:rsid w:val="00CB3B14"/>
    <w:rsid w:val="00CB3D68"/>
    <w:rsid w:val="00CB3F11"/>
    <w:rsid w:val="00CB3F76"/>
    <w:rsid w:val="00CB412E"/>
    <w:rsid w:val="00CB4316"/>
    <w:rsid w:val="00CB46CA"/>
    <w:rsid w:val="00CB4729"/>
    <w:rsid w:val="00CB4734"/>
    <w:rsid w:val="00CB4850"/>
    <w:rsid w:val="00CB48BF"/>
    <w:rsid w:val="00CB498C"/>
    <w:rsid w:val="00CB4DEC"/>
    <w:rsid w:val="00CB4F03"/>
    <w:rsid w:val="00CB4F45"/>
    <w:rsid w:val="00CB4F97"/>
    <w:rsid w:val="00CB51BA"/>
    <w:rsid w:val="00CB542D"/>
    <w:rsid w:val="00CB5467"/>
    <w:rsid w:val="00CB5471"/>
    <w:rsid w:val="00CB548E"/>
    <w:rsid w:val="00CB573E"/>
    <w:rsid w:val="00CB5794"/>
    <w:rsid w:val="00CB57F9"/>
    <w:rsid w:val="00CB58EF"/>
    <w:rsid w:val="00CB599A"/>
    <w:rsid w:val="00CB59C2"/>
    <w:rsid w:val="00CB5A9F"/>
    <w:rsid w:val="00CB5C72"/>
    <w:rsid w:val="00CB5D80"/>
    <w:rsid w:val="00CB5D87"/>
    <w:rsid w:val="00CB5F12"/>
    <w:rsid w:val="00CB611B"/>
    <w:rsid w:val="00CB6129"/>
    <w:rsid w:val="00CB61DF"/>
    <w:rsid w:val="00CB626F"/>
    <w:rsid w:val="00CB6422"/>
    <w:rsid w:val="00CB649F"/>
    <w:rsid w:val="00CB6567"/>
    <w:rsid w:val="00CB6574"/>
    <w:rsid w:val="00CB6587"/>
    <w:rsid w:val="00CB65DC"/>
    <w:rsid w:val="00CB65F0"/>
    <w:rsid w:val="00CB6707"/>
    <w:rsid w:val="00CB69EF"/>
    <w:rsid w:val="00CB6AB3"/>
    <w:rsid w:val="00CB6DB2"/>
    <w:rsid w:val="00CB6E24"/>
    <w:rsid w:val="00CB6E57"/>
    <w:rsid w:val="00CB6F2B"/>
    <w:rsid w:val="00CB6FFF"/>
    <w:rsid w:val="00CB7203"/>
    <w:rsid w:val="00CB7211"/>
    <w:rsid w:val="00CB72EB"/>
    <w:rsid w:val="00CB72FD"/>
    <w:rsid w:val="00CB73CF"/>
    <w:rsid w:val="00CB79FF"/>
    <w:rsid w:val="00CB7B00"/>
    <w:rsid w:val="00CB7B18"/>
    <w:rsid w:val="00CB7F3B"/>
    <w:rsid w:val="00CB7F47"/>
    <w:rsid w:val="00CC0073"/>
    <w:rsid w:val="00CC01E9"/>
    <w:rsid w:val="00CC0262"/>
    <w:rsid w:val="00CC032C"/>
    <w:rsid w:val="00CC03F1"/>
    <w:rsid w:val="00CC07FB"/>
    <w:rsid w:val="00CC0AFF"/>
    <w:rsid w:val="00CC0B9C"/>
    <w:rsid w:val="00CC0BD1"/>
    <w:rsid w:val="00CC0E71"/>
    <w:rsid w:val="00CC0EE5"/>
    <w:rsid w:val="00CC0F80"/>
    <w:rsid w:val="00CC1207"/>
    <w:rsid w:val="00CC1377"/>
    <w:rsid w:val="00CC158F"/>
    <w:rsid w:val="00CC163D"/>
    <w:rsid w:val="00CC1676"/>
    <w:rsid w:val="00CC173C"/>
    <w:rsid w:val="00CC17E4"/>
    <w:rsid w:val="00CC182B"/>
    <w:rsid w:val="00CC1A52"/>
    <w:rsid w:val="00CC1AB3"/>
    <w:rsid w:val="00CC1B02"/>
    <w:rsid w:val="00CC1C46"/>
    <w:rsid w:val="00CC1C8F"/>
    <w:rsid w:val="00CC1C98"/>
    <w:rsid w:val="00CC1CC8"/>
    <w:rsid w:val="00CC1D10"/>
    <w:rsid w:val="00CC1D3A"/>
    <w:rsid w:val="00CC1D88"/>
    <w:rsid w:val="00CC1FB6"/>
    <w:rsid w:val="00CC201A"/>
    <w:rsid w:val="00CC20AA"/>
    <w:rsid w:val="00CC2112"/>
    <w:rsid w:val="00CC21D5"/>
    <w:rsid w:val="00CC21D6"/>
    <w:rsid w:val="00CC24BA"/>
    <w:rsid w:val="00CC2568"/>
    <w:rsid w:val="00CC25EA"/>
    <w:rsid w:val="00CC28C0"/>
    <w:rsid w:val="00CC28C7"/>
    <w:rsid w:val="00CC2A9E"/>
    <w:rsid w:val="00CC2AE8"/>
    <w:rsid w:val="00CC2C95"/>
    <w:rsid w:val="00CC2DAD"/>
    <w:rsid w:val="00CC3313"/>
    <w:rsid w:val="00CC33AC"/>
    <w:rsid w:val="00CC342C"/>
    <w:rsid w:val="00CC34AA"/>
    <w:rsid w:val="00CC3602"/>
    <w:rsid w:val="00CC36ED"/>
    <w:rsid w:val="00CC3759"/>
    <w:rsid w:val="00CC37F4"/>
    <w:rsid w:val="00CC3A79"/>
    <w:rsid w:val="00CC3B26"/>
    <w:rsid w:val="00CC3C50"/>
    <w:rsid w:val="00CC3E48"/>
    <w:rsid w:val="00CC401F"/>
    <w:rsid w:val="00CC41B0"/>
    <w:rsid w:val="00CC4303"/>
    <w:rsid w:val="00CC43B5"/>
    <w:rsid w:val="00CC43B9"/>
    <w:rsid w:val="00CC45B2"/>
    <w:rsid w:val="00CC45EF"/>
    <w:rsid w:val="00CC46AE"/>
    <w:rsid w:val="00CC4896"/>
    <w:rsid w:val="00CC49F9"/>
    <w:rsid w:val="00CC4B19"/>
    <w:rsid w:val="00CC4BE4"/>
    <w:rsid w:val="00CC4C35"/>
    <w:rsid w:val="00CC4C3C"/>
    <w:rsid w:val="00CC4E0F"/>
    <w:rsid w:val="00CC4E16"/>
    <w:rsid w:val="00CC4E79"/>
    <w:rsid w:val="00CC5088"/>
    <w:rsid w:val="00CC5271"/>
    <w:rsid w:val="00CC5527"/>
    <w:rsid w:val="00CC585E"/>
    <w:rsid w:val="00CC5B17"/>
    <w:rsid w:val="00CC5C77"/>
    <w:rsid w:val="00CC5D22"/>
    <w:rsid w:val="00CC5E65"/>
    <w:rsid w:val="00CC622D"/>
    <w:rsid w:val="00CC62FC"/>
    <w:rsid w:val="00CC637D"/>
    <w:rsid w:val="00CC63CE"/>
    <w:rsid w:val="00CC6418"/>
    <w:rsid w:val="00CC6574"/>
    <w:rsid w:val="00CC6669"/>
    <w:rsid w:val="00CC66F9"/>
    <w:rsid w:val="00CC66FF"/>
    <w:rsid w:val="00CC6851"/>
    <w:rsid w:val="00CC68F7"/>
    <w:rsid w:val="00CC69E0"/>
    <w:rsid w:val="00CC6A70"/>
    <w:rsid w:val="00CC6B25"/>
    <w:rsid w:val="00CC6BF0"/>
    <w:rsid w:val="00CC6C9E"/>
    <w:rsid w:val="00CC6D3E"/>
    <w:rsid w:val="00CC6D55"/>
    <w:rsid w:val="00CC6F3F"/>
    <w:rsid w:val="00CC6F40"/>
    <w:rsid w:val="00CC703D"/>
    <w:rsid w:val="00CC703F"/>
    <w:rsid w:val="00CC7041"/>
    <w:rsid w:val="00CC7110"/>
    <w:rsid w:val="00CC742B"/>
    <w:rsid w:val="00CC7454"/>
    <w:rsid w:val="00CC7682"/>
    <w:rsid w:val="00CC76EC"/>
    <w:rsid w:val="00CC77EA"/>
    <w:rsid w:val="00CC7887"/>
    <w:rsid w:val="00CC79DF"/>
    <w:rsid w:val="00CC7AE3"/>
    <w:rsid w:val="00CC7AEE"/>
    <w:rsid w:val="00CC7AFB"/>
    <w:rsid w:val="00CC7B1F"/>
    <w:rsid w:val="00CC7B44"/>
    <w:rsid w:val="00CC7FEF"/>
    <w:rsid w:val="00CD0260"/>
    <w:rsid w:val="00CD0430"/>
    <w:rsid w:val="00CD0464"/>
    <w:rsid w:val="00CD0502"/>
    <w:rsid w:val="00CD058B"/>
    <w:rsid w:val="00CD0699"/>
    <w:rsid w:val="00CD0780"/>
    <w:rsid w:val="00CD07D7"/>
    <w:rsid w:val="00CD0851"/>
    <w:rsid w:val="00CD08F6"/>
    <w:rsid w:val="00CD0BEC"/>
    <w:rsid w:val="00CD0D6B"/>
    <w:rsid w:val="00CD0E5A"/>
    <w:rsid w:val="00CD0F71"/>
    <w:rsid w:val="00CD0F83"/>
    <w:rsid w:val="00CD0FCF"/>
    <w:rsid w:val="00CD1034"/>
    <w:rsid w:val="00CD12AB"/>
    <w:rsid w:val="00CD16C1"/>
    <w:rsid w:val="00CD1837"/>
    <w:rsid w:val="00CD1909"/>
    <w:rsid w:val="00CD1ADB"/>
    <w:rsid w:val="00CD1B72"/>
    <w:rsid w:val="00CD1C87"/>
    <w:rsid w:val="00CD1D45"/>
    <w:rsid w:val="00CD1EA3"/>
    <w:rsid w:val="00CD1ED2"/>
    <w:rsid w:val="00CD1F57"/>
    <w:rsid w:val="00CD1F78"/>
    <w:rsid w:val="00CD1FA9"/>
    <w:rsid w:val="00CD20E3"/>
    <w:rsid w:val="00CD216D"/>
    <w:rsid w:val="00CD2196"/>
    <w:rsid w:val="00CD24CB"/>
    <w:rsid w:val="00CD2731"/>
    <w:rsid w:val="00CD274C"/>
    <w:rsid w:val="00CD27EC"/>
    <w:rsid w:val="00CD28AA"/>
    <w:rsid w:val="00CD28AF"/>
    <w:rsid w:val="00CD2A88"/>
    <w:rsid w:val="00CD2BB9"/>
    <w:rsid w:val="00CD2BBE"/>
    <w:rsid w:val="00CD2D53"/>
    <w:rsid w:val="00CD2E78"/>
    <w:rsid w:val="00CD2F5C"/>
    <w:rsid w:val="00CD304C"/>
    <w:rsid w:val="00CD315E"/>
    <w:rsid w:val="00CD3196"/>
    <w:rsid w:val="00CD31B1"/>
    <w:rsid w:val="00CD31D3"/>
    <w:rsid w:val="00CD3218"/>
    <w:rsid w:val="00CD322A"/>
    <w:rsid w:val="00CD35C6"/>
    <w:rsid w:val="00CD3764"/>
    <w:rsid w:val="00CD3834"/>
    <w:rsid w:val="00CD3837"/>
    <w:rsid w:val="00CD3924"/>
    <w:rsid w:val="00CD394C"/>
    <w:rsid w:val="00CD3A83"/>
    <w:rsid w:val="00CD3B1C"/>
    <w:rsid w:val="00CD3B40"/>
    <w:rsid w:val="00CD3C5D"/>
    <w:rsid w:val="00CD3CAD"/>
    <w:rsid w:val="00CD3EB6"/>
    <w:rsid w:val="00CD3F47"/>
    <w:rsid w:val="00CD3F7C"/>
    <w:rsid w:val="00CD405F"/>
    <w:rsid w:val="00CD408C"/>
    <w:rsid w:val="00CD45E6"/>
    <w:rsid w:val="00CD46A9"/>
    <w:rsid w:val="00CD48A3"/>
    <w:rsid w:val="00CD4BC0"/>
    <w:rsid w:val="00CD4CAF"/>
    <w:rsid w:val="00CD52D2"/>
    <w:rsid w:val="00CD531D"/>
    <w:rsid w:val="00CD5379"/>
    <w:rsid w:val="00CD53F4"/>
    <w:rsid w:val="00CD5516"/>
    <w:rsid w:val="00CD55D3"/>
    <w:rsid w:val="00CD57F3"/>
    <w:rsid w:val="00CD5890"/>
    <w:rsid w:val="00CD5986"/>
    <w:rsid w:val="00CD5AD2"/>
    <w:rsid w:val="00CD5AFE"/>
    <w:rsid w:val="00CD5B48"/>
    <w:rsid w:val="00CD5BA1"/>
    <w:rsid w:val="00CD5C7E"/>
    <w:rsid w:val="00CD5F4A"/>
    <w:rsid w:val="00CD5FB5"/>
    <w:rsid w:val="00CD61D6"/>
    <w:rsid w:val="00CD61E6"/>
    <w:rsid w:val="00CD6242"/>
    <w:rsid w:val="00CD63ED"/>
    <w:rsid w:val="00CD641E"/>
    <w:rsid w:val="00CD6446"/>
    <w:rsid w:val="00CD6550"/>
    <w:rsid w:val="00CD65E7"/>
    <w:rsid w:val="00CD6876"/>
    <w:rsid w:val="00CD68DD"/>
    <w:rsid w:val="00CD698C"/>
    <w:rsid w:val="00CD69D8"/>
    <w:rsid w:val="00CD6A3C"/>
    <w:rsid w:val="00CD6B34"/>
    <w:rsid w:val="00CD6B4F"/>
    <w:rsid w:val="00CD6C20"/>
    <w:rsid w:val="00CD6DAF"/>
    <w:rsid w:val="00CD6EC0"/>
    <w:rsid w:val="00CD70EB"/>
    <w:rsid w:val="00CD7231"/>
    <w:rsid w:val="00CD7311"/>
    <w:rsid w:val="00CD7331"/>
    <w:rsid w:val="00CD7536"/>
    <w:rsid w:val="00CD7569"/>
    <w:rsid w:val="00CD76B5"/>
    <w:rsid w:val="00CD76D7"/>
    <w:rsid w:val="00CD76FD"/>
    <w:rsid w:val="00CD7782"/>
    <w:rsid w:val="00CD77DF"/>
    <w:rsid w:val="00CD77F1"/>
    <w:rsid w:val="00CD791F"/>
    <w:rsid w:val="00CD79AF"/>
    <w:rsid w:val="00CD7A96"/>
    <w:rsid w:val="00CD7B40"/>
    <w:rsid w:val="00CD7B75"/>
    <w:rsid w:val="00CD7BA0"/>
    <w:rsid w:val="00CD7C2E"/>
    <w:rsid w:val="00CD7CDE"/>
    <w:rsid w:val="00CD7E79"/>
    <w:rsid w:val="00CE000A"/>
    <w:rsid w:val="00CE00C0"/>
    <w:rsid w:val="00CE02A1"/>
    <w:rsid w:val="00CE049F"/>
    <w:rsid w:val="00CE0557"/>
    <w:rsid w:val="00CE078A"/>
    <w:rsid w:val="00CE0A8E"/>
    <w:rsid w:val="00CE0AA1"/>
    <w:rsid w:val="00CE0C3A"/>
    <w:rsid w:val="00CE0C58"/>
    <w:rsid w:val="00CE0CC2"/>
    <w:rsid w:val="00CE0D3E"/>
    <w:rsid w:val="00CE0E41"/>
    <w:rsid w:val="00CE0E77"/>
    <w:rsid w:val="00CE1048"/>
    <w:rsid w:val="00CE12A3"/>
    <w:rsid w:val="00CE1401"/>
    <w:rsid w:val="00CE14CD"/>
    <w:rsid w:val="00CE14FD"/>
    <w:rsid w:val="00CE150F"/>
    <w:rsid w:val="00CE1553"/>
    <w:rsid w:val="00CE156F"/>
    <w:rsid w:val="00CE16BF"/>
    <w:rsid w:val="00CE16D1"/>
    <w:rsid w:val="00CE16F1"/>
    <w:rsid w:val="00CE18FF"/>
    <w:rsid w:val="00CE190E"/>
    <w:rsid w:val="00CE19AB"/>
    <w:rsid w:val="00CE1C83"/>
    <w:rsid w:val="00CE1CE9"/>
    <w:rsid w:val="00CE2027"/>
    <w:rsid w:val="00CE2069"/>
    <w:rsid w:val="00CE20B5"/>
    <w:rsid w:val="00CE214D"/>
    <w:rsid w:val="00CE2230"/>
    <w:rsid w:val="00CE2282"/>
    <w:rsid w:val="00CE23E2"/>
    <w:rsid w:val="00CE2474"/>
    <w:rsid w:val="00CE2512"/>
    <w:rsid w:val="00CE2723"/>
    <w:rsid w:val="00CE2817"/>
    <w:rsid w:val="00CE284E"/>
    <w:rsid w:val="00CE28B7"/>
    <w:rsid w:val="00CE2AE7"/>
    <w:rsid w:val="00CE2BD4"/>
    <w:rsid w:val="00CE2D42"/>
    <w:rsid w:val="00CE2D9B"/>
    <w:rsid w:val="00CE2EA6"/>
    <w:rsid w:val="00CE2F38"/>
    <w:rsid w:val="00CE31C4"/>
    <w:rsid w:val="00CE3280"/>
    <w:rsid w:val="00CE370B"/>
    <w:rsid w:val="00CE390D"/>
    <w:rsid w:val="00CE39FC"/>
    <w:rsid w:val="00CE3ABC"/>
    <w:rsid w:val="00CE3C2B"/>
    <w:rsid w:val="00CE3C63"/>
    <w:rsid w:val="00CE3C6D"/>
    <w:rsid w:val="00CE3F67"/>
    <w:rsid w:val="00CE414A"/>
    <w:rsid w:val="00CE4158"/>
    <w:rsid w:val="00CE4365"/>
    <w:rsid w:val="00CE43DF"/>
    <w:rsid w:val="00CE450B"/>
    <w:rsid w:val="00CE48F6"/>
    <w:rsid w:val="00CE495A"/>
    <w:rsid w:val="00CE4986"/>
    <w:rsid w:val="00CE4B4A"/>
    <w:rsid w:val="00CE4C7D"/>
    <w:rsid w:val="00CE4CBC"/>
    <w:rsid w:val="00CE4CC2"/>
    <w:rsid w:val="00CE4CCB"/>
    <w:rsid w:val="00CE4D59"/>
    <w:rsid w:val="00CE4E94"/>
    <w:rsid w:val="00CE50EA"/>
    <w:rsid w:val="00CE51AA"/>
    <w:rsid w:val="00CE51E1"/>
    <w:rsid w:val="00CE52FD"/>
    <w:rsid w:val="00CE53F8"/>
    <w:rsid w:val="00CE54EA"/>
    <w:rsid w:val="00CE5588"/>
    <w:rsid w:val="00CE564B"/>
    <w:rsid w:val="00CE566A"/>
    <w:rsid w:val="00CE566B"/>
    <w:rsid w:val="00CE574D"/>
    <w:rsid w:val="00CE577C"/>
    <w:rsid w:val="00CE597E"/>
    <w:rsid w:val="00CE5E83"/>
    <w:rsid w:val="00CE5E8F"/>
    <w:rsid w:val="00CE6390"/>
    <w:rsid w:val="00CE63F6"/>
    <w:rsid w:val="00CE65FE"/>
    <w:rsid w:val="00CE698E"/>
    <w:rsid w:val="00CE69A6"/>
    <w:rsid w:val="00CE6BB7"/>
    <w:rsid w:val="00CE6C51"/>
    <w:rsid w:val="00CE6D55"/>
    <w:rsid w:val="00CE6D70"/>
    <w:rsid w:val="00CE6DF2"/>
    <w:rsid w:val="00CE6E7D"/>
    <w:rsid w:val="00CE6EA3"/>
    <w:rsid w:val="00CE6F68"/>
    <w:rsid w:val="00CE6F8A"/>
    <w:rsid w:val="00CE7018"/>
    <w:rsid w:val="00CE7222"/>
    <w:rsid w:val="00CE7283"/>
    <w:rsid w:val="00CE750C"/>
    <w:rsid w:val="00CE76B5"/>
    <w:rsid w:val="00CE7805"/>
    <w:rsid w:val="00CE7929"/>
    <w:rsid w:val="00CE7948"/>
    <w:rsid w:val="00CE7C71"/>
    <w:rsid w:val="00CE7DFE"/>
    <w:rsid w:val="00CE7E7D"/>
    <w:rsid w:val="00CE7FD2"/>
    <w:rsid w:val="00CE7FD6"/>
    <w:rsid w:val="00CF0071"/>
    <w:rsid w:val="00CF0125"/>
    <w:rsid w:val="00CF0131"/>
    <w:rsid w:val="00CF0260"/>
    <w:rsid w:val="00CF0272"/>
    <w:rsid w:val="00CF02A0"/>
    <w:rsid w:val="00CF03A4"/>
    <w:rsid w:val="00CF03B0"/>
    <w:rsid w:val="00CF0433"/>
    <w:rsid w:val="00CF0453"/>
    <w:rsid w:val="00CF0465"/>
    <w:rsid w:val="00CF0507"/>
    <w:rsid w:val="00CF077B"/>
    <w:rsid w:val="00CF09E6"/>
    <w:rsid w:val="00CF0D20"/>
    <w:rsid w:val="00CF0E3A"/>
    <w:rsid w:val="00CF0E95"/>
    <w:rsid w:val="00CF105F"/>
    <w:rsid w:val="00CF11ED"/>
    <w:rsid w:val="00CF1431"/>
    <w:rsid w:val="00CF1459"/>
    <w:rsid w:val="00CF146C"/>
    <w:rsid w:val="00CF14D7"/>
    <w:rsid w:val="00CF17AC"/>
    <w:rsid w:val="00CF17FF"/>
    <w:rsid w:val="00CF19C5"/>
    <w:rsid w:val="00CF1BDE"/>
    <w:rsid w:val="00CF1C9C"/>
    <w:rsid w:val="00CF1CC6"/>
    <w:rsid w:val="00CF1CEB"/>
    <w:rsid w:val="00CF1D0C"/>
    <w:rsid w:val="00CF1E30"/>
    <w:rsid w:val="00CF207E"/>
    <w:rsid w:val="00CF22F2"/>
    <w:rsid w:val="00CF24BE"/>
    <w:rsid w:val="00CF2947"/>
    <w:rsid w:val="00CF29B2"/>
    <w:rsid w:val="00CF2B42"/>
    <w:rsid w:val="00CF2BBB"/>
    <w:rsid w:val="00CF2C44"/>
    <w:rsid w:val="00CF2EC2"/>
    <w:rsid w:val="00CF2F1B"/>
    <w:rsid w:val="00CF3306"/>
    <w:rsid w:val="00CF330E"/>
    <w:rsid w:val="00CF336E"/>
    <w:rsid w:val="00CF343C"/>
    <w:rsid w:val="00CF3458"/>
    <w:rsid w:val="00CF3490"/>
    <w:rsid w:val="00CF34DC"/>
    <w:rsid w:val="00CF35B2"/>
    <w:rsid w:val="00CF36D7"/>
    <w:rsid w:val="00CF3781"/>
    <w:rsid w:val="00CF395B"/>
    <w:rsid w:val="00CF3980"/>
    <w:rsid w:val="00CF39FD"/>
    <w:rsid w:val="00CF3AE4"/>
    <w:rsid w:val="00CF3D78"/>
    <w:rsid w:val="00CF3EC9"/>
    <w:rsid w:val="00CF3F51"/>
    <w:rsid w:val="00CF410E"/>
    <w:rsid w:val="00CF4128"/>
    <w:rsid w:val="00CF4232"/>
    <w:rsid w:val="00CF43A4"/>
    <w:rsid w:val="00CF4549"/>
    <w:rsid w:val="00CF45E5"/>
    <w:rsid w:val="00CF46A7"/>
    <w:rsid w:val="00CF4A3B"/>
    <w:rsid w:val="00CF4AAC"/>
    <w:rsid w:val="00CF4B34"/>
    <w:rsid w:val="00CF4B59"/>
    <w:rsid w:val="00CF4D3A"/>
    <w:rsid w:val="00CF4E91"/>
    <w:rsid w:val="00CF4EA6"/>
    <w:rsid w:val="00CF4EBC"/>
    <w:rsid w:val="00CF50B4"/>
    <w:rsid w:val="00CF517F"/>
    <w:rsid w:val="00CF51E4"/>
    <w:rsid w:val="00CF547A"/>
    <w:rsid w:val="00CF5517"/>
    <w:rsid w:val="00CF55A2"/>
    <w:rsid w:val="00CF5654"/>
    <w:rsid w:val="00CF565C"/>
    <w:rsid w:val="00CF56F2"/>
    <w:rsid w:val="00CF5777"/>
    <w:rsid w:val="00CF57DD"/>
    <w:rsid w:val="00CF5831"/>
    <w:rsid w:val="00CF59BA"/>
    <w:rsid w:val="00CF5A22"/>
    <w:rsid w:val="00CF5C4B"/>
    <w:rsid w:val="00CF5F26"/>
    <w:rsid w:val="00CF5F78"/>
    <w:rsid w:val="00CF6032"/>
    <w:rsid w:val="00CF6047"/>
    <w:rsid w:val="00CF6091"/>
    <w:rsid w:val="00CF6120"/>
    <w:rsid w:val="00CF639F"/>
    <w:rsid w:val="00CF6458"/>
    <w:rsid w:val="00CF6467"/>
    <w:rsid w:val="00CF6590"/>
    <w:rsid w:val="00CF6678"/>
    <w:rsid w:val="00CF66DF"/>
    <w:rsid w:val="00CF67F7"/>
    <w:rsid w:val="00CF6857"/>
    <w:rsid w:val="00CF6986"/>
    <w:rsid w:val="00CF6A81"/>
    <w:rsid w:val="00CF6ABF"/>
    <w:rsid w:val="00CF6B2D"/>
    <w:rsid w:val="00CF6C8B"/>
    <w:rsid w:val="00CF6E7B"/>
    <w:rsid w:val="00CF6EF7"/>
    <w:rsid w:val="00CF6FD5"/>
    <w:rsid w:val="00CF70AF"/>
    <w:rsid w:val="00CF70E4"/>
    <w:rsid w:val="00CF71C6"/>
    <w:rsid w:val="00CF7201"/>
    <w:rsid w:val="00CF7364"/>
    <w:rsid w:val="00CF73C1"/>
    <w:rsid w:val="00CF7436"/>
    <w:rsid w:val="00CF750A"/>
    <w:rsid w:val="00CF7A74"/>
    <w:rsid w:val="00CF7B0C"/>
    <w:rsid w:val="00CF7B54"/>
    <w:rsid w:val="00CF7CB3"/>
    <w:rsid w:val="00CF7D6B"/>
    <w:rsid w:val="00D00093"/>
    <w:rsid w:val="00D00108"/>
    <w:rsid w:val="00D0014F"/>
    <w:rsid w:val="00D001AB"/>
    <w:rsid w:val="00D001CE"/>
    <w:rsid w:val="00D0029A"/>
    <w:rsid w:val="00D0058C"/>
    <w:rsid w:val="00D007C5"/>
    <w:rsid w:val="00D0083B"/>
    <w:rsid w:val="00D00864"/>
    <w:rsid w:val="00D008DF"/>
    <w:rsid w:val="00D008E5"/>
    <w:rsid w:val="00D00914"/>
    <w:rsid w:val="00D00A21"/>
    <w:rsid w:val="00D00BB0"/>
    <w:rsid w:val="00D00BE2"/>
    <w:rsid w:val="00D00D36"/>
    <w:rsid w:val="00D00E32"/>
    <w:rsid w:val="00D01340"/>
    <w:rsid w:val="00D014F7"/>
    <w:rsid w:val="00D01691"/>
    <w:rsid w:val="00D0179A"/>
    <w:rsid w:val="00D01A14"/>
    <w:rsid w:val="00D01B92"/>
    <w:rsid w:val="00D01D1B"/>
    <w:rsid w:val="00D01EB2"/>
    <w:rsid w:val="00D01F70"/>
    <w:rsid w:val="00D01FEA"/>
    <w:rsid w:val="00D0213C"/>
    <w:rsid w:val="00D021B1"/>
    <w:rsid w:val="00D021E8"/>
    <w:rsid w:val="00D02202"/>
    <w:rsid w:val="00D0231D"/>
    <w:rsid w:val="00D0272D"/>
    <w:rsid w:val="00D0287F"/>
    <w:rsid w:val="00D028F7"/>
    <w:rsid w:val="00D02A6A"/>
    <w:rsid w:val="00D02B62"/>
    <w:rsid w:val="00D02B86"/>
    <w:rsid w:val="00D02C83"/>
    <w:rsid w:val="00D02CDC"/>
    <w:rsid w:val="00D02E62"/>
    <w:rsid w:val="00D02FB3"/>
    <w:rsid w:val="00D02FDB"/>
    <w:rsid w:val="00D03250"/>
    <w:rsid w:val="00D0331E"/>
    <w:rsid w:val="00D03451"/>
    <w:rsid w:val="00D0345A"/>
    <w:rsid w:val="00D03479"/>
    <w:rsid w:val="00D034A6"/>
    <w:rsid w:val="00D034A8"/>
    <w:rsid w:val="00D035F5"/>
    <w:rsid w:val="00D03765"/>
    <w:rsid w:val="00D03766"/>
    <w:rsid w:val="00D037B2"/>
    <w:rsid w:val="00D0387B"/>
    <w:rsid w:val="00D03A0A"/>
    <w:rsid w:val="00D03AA2"/>
    <w:rsid w:val="00D03BE1"/>
    <w:rsid w:val="00D03C0E"/>
    <w:rsid w:val="00D03C13"/>
    <w:rsid w:val="00D03C3B"/>
    <w:rsid w:val="00D03D6E"/>
    <w:rsid w:val="00D03DC9"/>
    <w:rsid w:val="00D03E2F"/>
    <w:rsid w:val="00D03E3E"/>
    <w:rsid w:val="00D03F06"/>
    <w:rsid w:val="00D03F50"/>
    <w:rsid w:val="00D040BD"/>
    <w:rsid w:val="00D040DC"/>
    <w:rsid w:val="00D04288"/>
    <w:rsid w:val="00D042EC"/>
    <w:rsid w:val="00D04388"/>
    <w:rsid w:val="00D044C4"/>
    <w:rsid w:val="00D0452F"/>
    <w:rsid w:val="00D046AC"/>
    <w:rsid w:val="00D04747"/>
    <w:rsid w:val="00D04896"/>
    <w:rsid w:val="00D04903"/>
    <w:rsid w:val="00D0491E"/>
    <w:rsid w:val="00D04947"/>
    <w:rsid w:val="00D04B27"/>
    <w:rsid w:val="00D04BE1"/>
    <w:rsid w:val="00D04C98"/>
    <w:rsid w:val="00D050A1"/>
    <w:rsid w:val="00D050BB"/>
    <w:rsid w:val="00D050C9"/>
    <w:rsid w:val="00D051C2"/>
    <w:rsid w:val="00D0527B"/>
    <w:rsid w:val="00D0528C"/>
    <w:rsid w:val="00D052B5"/>
    <w:rsid w:val="00D052CF"/>
    <w:rsid w:val="00D05537"/>
    <w:rsid w:val="00D055F7"/>
    <w:rsid w:val="00D055FD"/>
    <w:rsid w:val="00D0569C"/>
    <w:rsid w:val="00D057B1"/>
    <w:rsid w:val="00D0593C"/>
    <w:rsid w:val="00D05959"/>
    <w:rsid w:val="00D05A98"/>
    <w:rsid w:val="00D05ABD"/>
    <w:rsid w:val="00D05E2F"/>
    <w:rsid w:val="00D05F40"/>
    <w:rsid w:val="00D06135"/>
    <w:rsid w:val="00D061A8"/>
    <w:rsid w:val="00D061AA"/>
    <w:rsid w:val="00D06552"/>
    <w:rsid w:val="00D06590"/>
    <w:rsid w:val="00D065AA"/>
    <w:rsid w:val="00D065BE"/>
    <w:rsid w:val="00D066F9"/>
    <w:rsid w:val="00D0698B"/>
    <w:rsid w:val="00D06C11"/>
    <w:rsid w:val="00D06C89"/>
    <w:rsid w:val="00D06D58"/>
    <w:rsid w:val="00D06D9A"/>
    <w:rsid w:val="00D06EBA"/>
    <w:rsid w:val="00D07311"/>
    <w:rsid w:val="00D0734F"/>
    <w:rsid w:val="00D07358"/>
    <w:rsid w:val="00D0757B"/>
    <w:rsid w:val="00D078DC"/>
    <w:rsid w:val="00D07A5C"/>
    <w:rsid w:val="00D07B32"/>
    <w:rsid w:val="00D07C00"/>
    <w:rsid w:val="00D07F58"/>
    <w:rsid w:val="00D07FF0"/>
    <w:rsid w:val="00D10093"/>
    <w:rsid w:val="00D10110"/>
    <w:rsid w:val="00D10223"/>
    <w:rsid w:val="00D10241"/>
    <w:rsid w:val="00D102DF"/>
    <w:rsid w:val="00D10392"/>
    <w:rsid w:val="00D10439"/>
    <w:rsid w:val="00D1051F"/>
    <w:rsid w:val="00D1064F"/>
    <w:rsid w:val="00D1065F"/>
    <w:rsid w:val="00D10818"/>
    <w:rsid w:val="00D10B0E"/>
    <w:rsid w:val="00D10C14"/>
    <w:rsid w:val="00D10C94"/>
    <w:rsid w:val="00D10F2D"/>
    <w:rsid w:val="00D10F8A"/>
    <w:rsid w:val="00D10F94"/>
    <w:rsid w:val="00D11039"/>
    <w:rsid w:val="00D11091"/>
    <w:rsid w:val="00D110AF"/>
    <w:rsid w:val="00D110D0"/>
    <w:rsid w:val="00D1123F"/>
    <w:rsid w:val="00D112D6"/>
    <w:rsid w:val="00D11539"/>
    <w:rsid w:val="00D11672"/>
    <w:rsid w:val="00D1178B"/>
    <w:rsid w:val="00D117DA"/>
    <w:rsid w:val="00D1192A"/>
    <w:rsid w:val="00D119E6"/>
    <w:rsid w:val="00D11CFE"/>
    <w:rsid w:val="00D11F0A"/>
    <w:rsid w:val="00D11F55"/>
    <w:rsid w:val="00D120B9"/>
    <w:rsid w:val="00D12102"/>
    <w:rsid w:val="00D121B5"/>
    <w:rsid w:val="00D121D7"/>
    <w:rsid w:val="00D121E9"/>
    <w:rsid w:val="00D122D7"/>
    <w:rsid w:val="00D12314"/>
    <w:rsid w:val="00D12429"/>
    <w:rsid w:val="00D12635"/>
    <w:rsid w:val="00D126DE"/>
    <w:rsid w:val="00D12716"/>
    <w:rsid w:val="00D1279D"/>
    <w:rsid w:val="00D12929"/>
    <w:rsid w:val="00D12967"/>
    <w:rsid w:val="00D1296F"/>
    <w:rsid w:val="00D129AB"/>
    <w:rsid w:val="00D12A25"/>
    <w:rsid w:val="00D12A7D"/>
    <w:rsid w:val="00D12AB7"/>
    <w:rsid w:val="00D12ABB"/>
    <w:rsid w:val="00D12B27"/>
    <w:rsid w:val="00D12BC2"/>
    <w:rsid w:val="00D12C0C"/>
    <w:rsid w:val="00D12E0D"/>
    <w:rsid w:val="00D12E40"/>
    <w:rsid w:val="00D12FB0"/>
    <w:rsid w:val="00D13134"/>
    <w:rsid w:val="00D1314B"/>
    <w:rsid w:val="00D13255"/>
    <w:rsid w:val="00D13609"/>
    <w:rsid w:val="00D1365C"/>
    <w:rsid w:val="00D136A9"/>
    <w:rsid w:val="00D136DA"/>
    <w:rsid w:val="00D1374E"/>
    <w:rsid w:val="00D13964"/>
    <w:rsid w:val="00D13AC0"/>
    <w:rsid w:val="00D13ECE"/>
    <w:rsid w:val="00D13EFF"/>
    <w:rsid w:val="00D13F81"/>
    <w:rsid w:val="00D13FAC"/>
    <w:rsid w:val="00D1400A"/>
    <w:rsid w:val="00D14057"/>
    <w:rsid w:val="00D140C5"/>
    <w:rsid w:val="00D142B6"/>
    <w:rsid w:val="00D14415"/>
    <w:rsid w:val="00D1445A"/>
    <w:rsid w:val="00D14636"/>
    <w:rsid w:val="00D148CD"/>
    <w:rsid w:val="00D14968"/>
    <w:rsid w:val="00D14C5A"/>
    <w:rsid w:val="00D14C95"/>
    <w:rsid w:val="00D14DFC"/>
    <w:rsid w:val="00D14E52"/>
    <w:rsid w:val="00D15057"/>
    <w:rsid w:val="00D15204"/>
    <w:rsid w:val="00D1542A"/>
    <w:rsid w:val="00D1545D"/>
    <w:rsid w:val="00D15487"/>
    <w:rsid w:val="00D15545"/>
    <w:rsid w:val="00D159B1"/>
    <w:rsid w:val="00D15A73"/>
    <w:rsid w:val="00D15B45"/>
    <w:rsid w:val="00D15F55"/>
    <w:rsid w:val="00D15F72"/>
    <w:rsid w:val="00D1602A"/>
    <w:rsid w:val="00D1617A"/>
    <w:rsid w:val="00D161D4"/>
    <w:rsid w:val="00D164A6"/>
    <w:rsid w:val="00D167ED"/>
    <w:rsid w:val="00D16833"/>
    <w:rsid w:val="00D169DC"/>
    <w:rsid w:val="00D169E1"/>
    <w:rsid w:val="00D16A3D"/>
    <w:rsid w:val="00D16BC3"/>
    <w:rsid w:val="00D16C63"/>
    <w:rsid w:val="00D16C84"/>
    <w:rsid w:val="00D16D62"/>
    <w:rsid w:val="00D16D71"/>
    <w:rsid w:val="00D16E91"/>
    <w:rsid w:val="00D16ECC"/>
    <w:rsid w:val="00D1737A"/>
    <w:rsid w:val="00D1752E"/>
    <w:rsid w:val="00D177BE"/>
    <w:rsid w:val="00D17AE7"/>
    <w:rsid w:val="00D17B0B"/>
    <w:rsid w:val="00D17BFF"/>
    <w:rsid w:val="00D17CB4"/>
    <w:rsid w:val="00D17CE0"/>
    <w:rsid w:val="00D17D96"/>
    <w:rsid w:val="00D17DD2"/>
    <w:rsid w:val="00D17EE3"/>
    <w:rsid w:val="00D17FBF"/>
    <w:rsid w:val="00D17FDC"/>
    <w:rsid w:val="00D20051"/>
    <w:rsid w:val="00D20122"/>
    <w:rsid w:val="00D201A7"/>
    <w:rsid w:val="00D2027F"/>
    <w:rsid w:val="00D202B1"/>
    <w:rsid w:val="00D204E3"/>
    <w:rsid w:val="00D20583"/>
    <w:rsid w:val="00D2059C"/>
    <w:rsid w:val="00D205C0"/>
    <w:rsid w:val="00D206C7"/>
    <w:rsid w:val="00D206FC"/>
    <w:rsid w:val="00D2074B"/>
    <w:rsid w:val="00D20856"/>
    <w:rsid w:val="00D2098C"/>
    <w:rsid w:val="00D209AA"/>
    <w:rsid w:val="00D20B01"/>
    <w:rsid w:val="00D20CA4"/>
    <w:rsid w:val="00D20D95"/>
    <w:rsid w:val="00D20E8B"/>
    <w:rsid w:val="00D20F39"/>
    <w:rsid w:val="00D2111A"/>
    <w:rsid w:val="00D212CE"/>
    <w:rsid w:val="00D2137C"/>
    <w:rsid w:val="00D21441"/>
    <w:rsid w:val="00D2145E"/>
    <w:rsid w:val="00D21568"/>
    <w:rsid w:val="00D2163F"/>
    <w:rsid w:val="00D2169A"/>
    <w:rsid w:val="00D2181C"/>
    <w:rsid w:val="00D219C9"/>
    <w:rsid w:val="00D21B20"/>
    <w:rsid w:val="00D21B25"/>
    <w:rsid w:val="00D21C2D"/>
    <w:rsid w:val="00D21D4E"/>
    <w:rsid w:val="00D21DF8"/>
    <w:rsid w:val="00D21EBB"/>
    <w:rsid w:val="00D21F8B"/>
    <w:rsid w:val="00D220F1"/>
    <w:rsid w:val="00D22243"/>
    <w:rsid w:val="00D22283"/>
    <w:rsid w:val="00D222A9"/>
    <w:rsid w:val="00D222F3"/>
    <w:rsid w:val="00D22429"/>
    <w:rsid w:val="00D225BC"/>
    <w:rsid w:val="00D22662"/>
    <w:rsid w:val="00D2276E"/>
    <w:rsid w:val="00D22ABA"/>
    <w:rsid w:val="00D22AF0"/>
    <w:rsid w:val="00D22AF9"/>
    <w:rsid w:val="00D22B27"/>
    <w:rsid w:val="00D22C0F"/>
    <w:rsid w:val="00D22C39"/>
    <w:rsid w:val="00D22D03"/>
    <w:rsid w:val="00D22E3E"/>
    <w:rsid w:val="00D22ED8"/>
    <w:rsid w:val="00D230F5"/>
    <w:rsid w:val="00D2312C"/>
    <w:rsid w:val="00D231D5"/>
    <w:rsid w:val="00D231DD"/>
    <w:rsid w:val="00D232E3"/>
    <w:rsid w:val="00D23441"/>
    <w:rsid w:val="00D235E4"/>
    <w:rsid w:val="00D23616"/>
    <w:rsid w:val="00D2394A"/>
    <w:rsid w:val="00D23994"/>
    <w:rsid w:val="00D23C6A"/>
    <w:rsid w:val="00D23E12"/>
    <w:rsid w:val="00D23E9B"/>
    <w:rsid w:val="00D23E9D"/>
    <w:rsid w:val="00D23FC7"/>
    <w:rsid w:val="00D2408F"/>
    <w:rsid w:val="00D242A0"/>
    <w:rsid w:val="00D243D4"/>
    <w:rsid w:val="00D2443A"/>
    <w:rsid w:val="00D24583"/>
    <w:rsid w:val="00D2480A"/>
    <w:rsid w:val="00D24C1E"/>
    <w:rsid w:val="00D24C38"/>
    <w:rsid w:val="00D24F79"/>
    <w:rsid w:val="00D24F99"/>
    <w:rsid w:val="00D24FA9"/>
    <w:rsid w:val="00D24FE8"/>
    <w:rsid w:val="00D2510F"/>
    <w:rsid w:val="00D25462"/>
    <w:rsid w:val="00D25592"/>
    <w:rsid w:val="00D255A0"/>
    <w:rsid w:val="00D255C2"/>
    <w:rsid w:val="00D25652"/>
    <w:rsid w:val="00D256A6"/>
    <w:rsid w:val="00D257C4"/>
    <w:rsid w:val="00D257F2"/>
    <w:rsid w:val="00D25A28"/>
    <w:rsid w:val="00D25E31"/>
    <w:rsid w:val="00D25E68"/>
    <w:rsid w:val="00D25EC8"/>
    <w:rsid w:val="00D26086"/>
    <w:rsid w:val="00D260F3"/>
    <w:rsid w:val="00D261E0"/>
    <w:rsid w:val="00D26791"/>
    <w:rsid w:val="00D2686B"/>
    <w:rsid w:val="00D26963"/>
    <w:rsid w:val="00D26AD5"/>
    <w:rsid w:val="00D26B51"/>
    <w:rsid w:val="00D26B58"/>
    <w:rsid w:val="00D26BE9"/>
    <w:rsid w:val="00D26EC0"/>
    <w:rsid w:val="00D26EC3"/>
    <w:rsid w:val="00D26F1C"/>
    <w:rsid w:val="00D26F82"/>
    <w:rsid w:val="00D26FB5"/>
    <w:rsid w:val="00D27005"/>
    <w:rsid w:val="00D27051"/>
    <w:rsid w:val="00D270F7"/>
    <w:rsid w:val="00D27145"/>
    <w:rsid w:val="00D271CE"/>
    <w:rsid w:val="00D273B1"/>
    <w:rsid w:val="00D274CD"/>
    <w:rsid w:val="00D2773B"/>
    <w:rsid w:val="00D277D8"/>
    <w:rsid w:val="00D278D2"/>
    <w:rsid w:val="00D2792B"/>
    <w:rsid w:val="00D27A57"/>
    <w:rsid w:val="00D27BAA"/>
    <w:rsid w:val="00D27BCF"/>
    <w:rsid w:val="00D27C5B"/>
    <w:rsid w:val="00D27E20"/>
    <w:rsid w:val="00D300FF"/>
    <w:rsid w:val="00D30209"/>
    <w:rsid w:val="00D3035F"/>
    <w:rsid w:val="00D3051F"/>
    <w:rsid w:val="00D30521"/>
    <w:rsid w:val="00D30525"/>
    <w:rsid w:val="00D30633"/>
    <w:rsid w:val="00D306E9"/>
    <w:rsid w:val="00D30892"/>
    <w:rsid w:val="00D3094D"/>
    <w:rsid w:val="00D30A51"/>
    <w:rsid w:val="00D30AC1"/>
    <w:rsid w:val="00D30AEC"/>
    <w:rsid w:val="00D30CAE"/>
    <w:rsid w:val="00D30D9E"/>
    <w:rsid w:val="00D30DDB"/>
    <w:rsid w:val="00D30ED8"/>
    <w:rsid w:val="00D313D5"/>
    <w:rsid w:val="00D31531"/>
    <w:rsid w:val="00D315BA"/>
    <w:rsid w:val="00D3166F"/>
    <w:rsid w:val="00D316A5"/>
    <w:rsid w:val="00D31817"/>
    <w:rsid w:val="00D31839"/>
    <w:rsid w:val="00D31871"/>
    <w:rsid w:val="00D3199E"/>
    <w:rsid w:val="00D31A6E"/>
    <w:rsid w:val="00D31C4B"/>
    <w:rsid w:val="00D31CD0"/>
    <w:rsid w:val="00D32092"/>
    <w:rsid w:val="00D320D9"/>
    <w:rsid w:val="00D3222C"/>
    <w:rsid w:val="00D32403"/>
    <w:rsid w:val="00D32635"/>
    <w:rsid w:val="00D3266B"/>
    <w:rsid w:val="00D3283B"/>
    <w:rsid w:val="00D3289E"/>
    <w:rsid w:val="00D329E3"/>
    <w:rsid w:val="00D32A3F"/>
    <w:rsid w:val="00D32B31"/>
    <w:rsid w:val="00D32C43"/>
    <w:rsid w:val="00D32CCE"/>
    <w:rsid w:val="00D32D0D"/>
    <w:rsid w:val="00D32D4C"/>
    <w:rsid w:val="00D32E63"/>
    <w:rsid w:val="00D32E85"/>
    <w:rsid w:val="00D32F64"/>
    <w:rsid w:val="00D32F8D"/>
    <w:rsid w:val="00D3324F"/>
    <w:rsid w:val="00D3336C"/>
    <w:rsid w:val="00D3348C"/>
    <w:rsid w:val="00D33784"/>
    <w:rsid w:val="00D338B2"/>
    <w:rsid w:val="00D33980"/>
    <w:rsid w:val="00D33AD0"/>
    <w:rsid w:val="00D33CB8"/>
    <w:rsid w:val="00D33DB8"/>
    <w:rsid w:val="00D33F31"/>
    <w:rsid w:val="00D33FAC"/>
    <w:rsid w:val="00D33FC9"/>
    <w:rsid w:val="00D340DB"/>
    <w:rsid w:val="00D341B4"/>
    <w:rsid w:val="00D3424C"/>
    <w:rsid w:val="00D34385"/>
    <w:rsid w:val="00D3468A"/>
    <w:rsid w:val="00D34693"/>
    <w:rsid w:val="00D346F1"/>
    <w:rsid w:val="00D34703"/>
    <w:rsid w:val="00D347AE"/>
    <w:rsid w:val="00D34974"/>
    <w:rsid w:val="00D34998"/>
    <w:rsid w:val="00D349C1"/>
    <w:rsid w:val="00D34AC0"/>
    <w:rsid w:val="00D34B02"/>
    <w:rsid w:val="00D34BB3"/>
    <w:rsid w:val="00D34BF2"/>
    <w:rsid w:val="00D34C74"/>
    <w:rsid w:val="00D34DE9"/>
    <w:rsid w:val="00D34DF9"/>
    <w:rsid w:val="00D34F65"/>
    <w:rsid w:val="00D35054"/>
    <w:rsid w:val="00D3506C"/>
    <w:rsid w:val="00D35173"/>
    <w:rsid w:val="00D352AE"/>
    <w:rsid w:val="00D35382"/>
    <w:rsid w:val="00D3539C"/>
    <w:rsid w:val="00D35557"/>
    <w:rsid w:val="00D3558A"/>
    <w:rsid w:val="00D3562A"/>
    <w:rsid w:val="00D356E7"/>
    <w:rsid w:val="00D358B8"/>
    <w:rsid w:val="00D358FC"/>
    <w:rsid w:val="00D35A02"/>
    <w:rsid w:val="00D35C55"/>
    <w:rsid w:val="00D35C70"/>
    <w:rsid w:val="00D35E34"/>
    <w:rsid w:val="00D35E35"/>
    <w:rsid w:val="00D36090"/>
    <w:rsid w:val="00D3609C"/>
    <w:rsid w:val="00D3611E"/>
    <w:rsid w:val="00D3618A"/>
    <w:rsid w:val="00D363D8"/>
    <w:rsid w:val="00D36614"/>
    <w:rsid w:val="00D366D8"/>
    <w:rsid w:val="00D36721"/>
    <w:rsid w:val="00D3677F"/>
    <w:rsid w:val="00D367D9"/>
    <w:rsid w:val="00D36A43"/>
    <w:rsid w:val="00D36AD2"/>
    <w:rsid w:val="00D36BA4"/>
    <w:rsid w:val="00D36F68"/>
    <w:rsid w:val="00D36FAE"/>
    <w:rsid w:val="00D37027"/>
    <w:rsid w:val="00D3703A"/>
    <w:rsid w:val="00D372D9"/>
    <w:rsid w:val="00D3739A"/>
    <w:rsid w:val="00D373E4"/>
    <w:rsid w:val="00D3742B"/>
    <w:rsid w:val="00D37436"/>
    <w:rsid w:val="00D37660"/>
    <w:rsid w:val="00D37758"/>
    <w:rsid w:val="00D37868"/>
    <w:rsid w:val="00D378C3"/>
    <w:rsid w:val="00D379C4"/>
    <w:rsid w:val="00D379FE"/>
    <w:rsid w:val="00D37A27"/>
    <w:rsid w:val="00D37B14"/>
    <w:rsid w:val="00D37B2F"/>
    <w:rsid w:val="00D37BE8"/>
    <w:rsid w:val="00D37C29"/>
    <w:rsid w:val="00D37CD4"/>
    <w:rsid w:val="00D37E30"/>
    <w:rsid w:val="00D402F3"/>
    <w:rsid w:val="00D4030F"/>
    <w:rsid w:val="00D40345"/>
    <w:rsid w:val="00D403AC"/>
    <w:rsid w:val="00D4042E"/>
    <w:rsid w:val="00D40483"/>
    <w:rsid w:val="00D404B9"/>
    <w:rsid w:val="00D40551"/>
    <w:rsid w:val="00D405F2"/>
    <w:rsid w:val="00D406D8"/>
    <w:rsid w:val="00D4080E"/>
    <w:rsid w:val="00D4096C"/>
    <w:rsid w:val="00D40AE2"/>
    <w:rsid w:val="00D40B1C"/>
    <w:rsid w:val="00D40CF6"/>
    <w:rsid w:val="00D40D24"/>
    <w:rsid w:val="00D40D66"/>
    <w:rsid w:val="00D40DF2"/>
    <w:rsid w:val="00D40E2B"/>
    <w:rsid w:val="00D40F11"/>
    <w:rsid w:val="00D41144"/>
    <w:rsid w:val="00D41295"/>
    <w:rsid w:val="00D4143C"/>
    <w:rsid w:val="00D414F6"/>
    <w:rsid w:val="00D4153A"/>
    <w:rsid w:val="00D418E8"/>
    <w:rsid w:val="00D41D10"/>
    <w:rsid w:val="00D41D63"/>
    <w:rsid w:val="00D41EF1"/>
    <w:rsid w:val="00D42195"/>
    <w:rsid w:val="00D42225"/>
    <w:rsid w:val="00D42237"/>
    <w:rsid w:val="00D42361"/>
    <w:rsid w:val="00D42804"/>
    <w:rsid w:val="00D4298A"/>
    <w:rsid w:val="00D42B23"/>
    <w:rsid w:val="00D42BDD"/>
    <w:rsid w:val="00D42E08"/>
    <w:rsid w:val="00D42EAC"/>
    <w:rsid w:val="00D4311A"/>
    <w:rsid w:val="00D43176"/>
    <w:rsid w:val="00D43241"/>
    <w:rsid w:val="00D43258"/>
    <w:rsid w:val="00D4349E"/>
    <w:rsid w:val="00D43578"/>
    <w:rsid w:val="00D4359F"/>
    <w:rsid w:val="00D435C8"/>
    <w:rsid w:val="00D4366E"/>
    <w:rsid w:val="00D436C0"/>
    <w:rsid w:val="00D436DB"/>
    <w:rsid w:val="00D4371F"/>
    <w:rsid w:val="00D43762"/>
    <w:rsid w:val="00D437DD"/>
    <w:rsid w:val="00D43898"/>
    <w:rsid w:val="00D4389D"/>
    <w:rsid w:val="00D439B0"/>
    <w:rsid w:val="00D43BA4"/>
    <w:rsid w:val="00D43CA8"/>
    <w:rsid w:val="00D43D47"/>
    <w:rsid w:val="00D43E97"/>
    <w:rsid w:val="00D440E0"/>
    <w:rsid w:val="00D44274"/>
    <w:rsid w:val="00D4438D"/>
    <w:rsid w:val="00D444D3"/>
    <w:rsid w:val="00D4473D"/>
    <w:rsid w:val="00D447FF"/>
    <w:rsid w:val="00D4499B"/>
    <w:rsid w:val="00D44C9F"/>
    <w:rsid w:val="00D44D87"/>
    <w:rsid w:val="00D44DB3"/>
    <w:rsid w:val="00D44E9C"/>
    <w:rsid w:val="00D4520A"/>
    <w:rsid w:val="00D4524F"/>
    <w:rsid w:val="00D45312"/>
    <w:rsid w:val="00D4560F"/>
    <w:rsid w:val="00D456E6"/>
    <w:rsid w:val="00D45702"/>
    <w:rsid w:val="00D45790"/>
    <w:rsid w:val="00D45824"/>
    <w:rsid w:val="00D45836"/>
    <w:rsid w:val="00D458A5"/>
    <w:rsid w:val="00D459A5"/>
    <w:rsid w:val="00D45C04"/>
    <w:rsid w:val="00D45C6F"/>
    <w:rsid w:val="00D45CB0"/>
    <w:rsid w:val="00D45D7F"/>
    <w:rsid w:val="00D45DB3"/>
    <w:rsid w:val="00D46107"/>
    <w:rsid w:val="00D46186"/>
    <w:rsid w:val="00D4626E"/>
    <w:rsid w:val="00D4634E"/>
    <w:rsid w:val="00D46490"/>
    <w:rsid w:val="00D464FC"/>
    <w:rsid w:val="00D465A8"/>
    <w:rsid w:val="00D46704"/>
    <w:rsid w:val="00D467D2"/>
    <w:rsid w:val="00D468EF"/>
    <w:rsid w:val="00D46A21"/>
    <w:rsid w:val="00D46ACC"/>
    <w:rsid w:val="00D46E4C"/>
    <w:rsid w:val="00D472FD"/>
    <w:rsid w:val="00D47442"/>
    <w:rsid w:val="00D47517"/>
    <w:rsid w:val="00D47536"/>
    <w:rsid w:val="00D476C7"/>
    <w:rsid w:val="00D476F5"/>
    <w:rsid w:val="00D47708"/>
    <w:rsid w:val="00D47732"/>
    <w:rsid w:val="00D47775"/>
    <w:rsid w:val="00D478CE"/>
    <w:rsid w:val="00D47B90"/>
    <w:rsid w:val="00D47BB5"/>
    <w:rsid w:val="00D47E26"/>
    <w:rsid w:val="00D47E83"/>
    <w:rsid w:val="00D50072"/>
    <w:rsid w:val="00D50129"/>
    <w:rsid w:val="00D5014D"/>
    <w:rsid w:val="00D50204"/>
    <w:rsid w:val="00D50280"/>
    <w:rsid w:val="00D502FB"/>
    <w:rsid w:val="00D5031A"/>
    <w:rsid w:val="00D50354"/>
    <w:rsid w:val="00D50511"/>
    <w:rsid w:val="00D507FC"/>
    <w:rsid w:val="00D50817"/>
    <w:rsid w:val="00D5093B"/>
    <w:rsid w:val="00D50946"/>
    <w:rsid w:val="00D50A2B"/>
    <w:rsid w:val="00D50B34"/>
    <w:rsid w:val="00D50DB5"/>
    <w:rsid w:val="00D50DF1"/>
    <w:rsid w:val="00D50E22"/>
    <w:rsid w:val="00D51428"/>
    <w:rsid w:val="00D514C6"/>
    <w:rsid w:val="00D515C9"/>
    <w:rsid w:val="00D515E4"/>
    <w:rsid w:val="00D515E9"/>
    <w:rsid w:val="00D516F2"/>
    <w:rsid w:val="00D5170B"/>
    <w:rsid w:val="00D517A0"/>
    <w:rsid w:val="00D51924"/>
    <w:rsid w:val="00D519B0"/>
    <w:rsid w:val="00D519BC"/>
    <w:rsid w:val="00D51B96"/>
    <w:rsid w:val="00D51B9D"/>
    <w:rsid w:val="00D51C44"/>
    <w:rsid w:val="00D51CE2"/>
    <w:rsid w:val="00D51D2A"/>
    <w:rsid w:val="00D51D41"/>
    <w:rsid w:val="00D51D43"/>
    <w:rsid w:val="00D51D8A"/>
    <w:rsid w:val="00D51E4C"/>
    <w:rsid w:val="00D51EB9"/>
    <w:rsid w:val="00D52008"/>
    <w:rsid w:val="00D5209D"/>
    <w:rsid w:val="00D520AF"/>
    <w:rsid w:val="00D521C6"/>
    <w:rsid w:val="00D52340"/>
    <w:rsid w:val="00D52349"/>
    <w:rsid w:val="00D523C5"/>
    <w:rsid w:val="00D524AA"/>
    <w:rsid w:val="00D525A1"/>
    <w:rsid w:val="00D526BE"/>
    <w:rsid w:val="00D5272B"/>
    <w:rsid w:val="00D52787"/>
    <w:rsid w:val="00D52855"/>
    <w:rsid w:val="00D529AC"/>
    <w:rsid w:val="00D529B4"/>
    <w:rsid w:val="00D52A39"/>
    <w:rsid w:val="00D52A56"/>
    <w:rsid w:val="00D52C3C"/>
    <w:rsid w:val="00D52CBC"/>
    <w:rsid w:val="00D52CE4"/>
    <w:rsid w:val="00D52F11"/>
    <w:rsid w:val="00D52F36"/>
    <w:rsid w:val="00D53211"/>
    <w:rsid w:val="00D535F6"/>
    <w:rsid w:val="00D536AE"/>
    <w:rsid w:val="00D53795"/>
    <w:rsid w:val="00D539FE"/>
    <w:rsid w:val="00D53AAE"/>
    <w:rsid w:val="00D53AD7"/>
    <w:rsid w:val="00D53C3D"/>
    <w:rsid w:val="00D53C75"/>
    <w:rsid w:val="00D53CCF"/>
    <w:rsid w:val="00D53D59"/>
    <w:rsid w:val="00D53D6D"/>
    <w:rsid w:val="00D54275"/>
    <w:rsid w:val="00D54296"/>
    <w:rsid w:val="00D54314"/>
    <w:rsid w:val="00D54448"/>
    <w:rsid w:val="00D545A0"/>
    <w:rsid w:val="00D545CB"/>
    <w:rsid w:val="00D54617"/>
    <w:rsid w:val="00D5476E"/>
    <w:rsid w:val="00D547AB"/>
    <w:rsid w:val="00D54878"/>
    <w:rsid w:val="00D549A9"/>
    <w:rsid w:val="00D54A4F"/>
    <w:rsid w:val="00D54A7C"/>
    <w:rsid w:val="00D54B42"/>
    <w:rsid w:val="00D54C10"/>
    <w:rsid w:val="00D54DD3"/>
    <w:rsid w:val="00D54E04"/>
    <w:rsid w:val="00D54E26"/>
    <w:rsid w:val="00D54EEA"/>
    <w:rsid w:val="00D54FB5"/>
    <w:rsid w:val="00D5500B"/>
    <w:rsid w:val="00D5504A"/>
    <w:rsid w:val="00D55087"/>
    <w:rsid w:val="00D5512F"/>
    <w:rsid w:val="00D551A5"/>
    <w:rsid w:val="00D551D6"/>
    <w:rsid w:val="00D551EF"/>
    <w:rsid w:val="00D55342"/>
    <w:rsid w:val="00D553ED"/>
    <w:rsid w:val="00D55455"/>
    <w:rsid w:val="00D5550B"/>
    <w:rsid w:val="00D55530"/>
    <w:rsid w:val="00D555D9"/>
    <w:rsid w:val="00D555FA"/>
    <w:rsid w:val="00D556F7"/>
    <w:rsid w:val="00D5570C"/>
    <w:rsid w:val="00D557E2"/>
    <w:rsid w:val="00D557E4"/>
    <w:rsid w:val="00D5588A"/>
    <w:rsid w:val="00D5590D"/>
    <w:rsid w:val="00D55C43"/>
    <w:rsid w:val="00D55D36"/>
    <w:rsid w:val="00D55DF1"/>
    <w:rsid w:val="00D55EFE"/>
    <w:rsid w:val="00D560E2"/>
    <w:rsid w:val="00D56137"/>
    <w:rsid w:val="00D5614E"/>
    <w:rsid w:val="00D5625F"/>
    <w:rsid w:val="00D56371"/>
    <w:rsid w:val="00D563CC"/>
    <w:rsid w:val="00D563EC"/>
    <w:rsid w:val="00D564D9"/>
    <w:rsid w:val="00D56657"/>
    <w:rsid w:val="00D56679"/>
    <w:rsid w:val="00D566A4"/>
    <w:rsid w:val="00D56744"/>
    <w:rsid w:val="00D56A1A"/>
    <w:rsid w:val="00D56A2D"/>
    <w:rsid w:val="00D56A45"/>
    <w:rsid w:val="00D56AFA"/>
    <w:rsid w:val="00D56BD9"/>
    <w:rsid w:val="00D56D49"/>
    <w:rsid w:val="00D56DF5"/>
    <w:rsid w:val="00D56DFB"/>
    <w:rsid w:val="00D56E57"/>
    <w:rsid w:val="00D56E75"/>
    <w:rsid w:val="00D56ECA"/>
    <w:rsid w:val="00D56F7F"/>
    <w:rsid w:val="00D57229"/>
    <w:rsid w:val="00D57233"/>
    <w:rsid w:val="00D572D5"/>
    <w:rsid w:val="00D572F7"/>
    <w:rsid w:val="00D57327"/>
    <w:rsid w:val="00D574F0"/>
    <w:rsid w:val="00D575FA"/>
    <w:rsid w:val="00D5763B"/>
    <w:rsid w:val="00D57785"/>
    <w:rsid w:val="00D57A16"/>
    <w:rsid w:val="00D57A34"/>
    <w:rsid w:val="00D57AF1"/>
    <w:rsid w:val="00D57CDE"/>
    <w:rsid w:val="00D57DC1"/>
    <w:rsid w:val="00D57DF3"/>
    <w:rsid w:val="00D60058"/>
    <w:rsid w:val="00D60096"/>
    <w:rsid w:val="00D6013A"/>
    <w:rsid w:val="00D60168"/>
    <w:rsid w:val="00D60268"/>
    <w:rsid w:val="00D60490"/>
    <w:rsid w:val="00D604E1"/>
    <w:rsid w:val="00D605AB"/>
    <w:rsid w:val="00D605B9"/>
    <w:rsid w:val="00D6063B"/>
    <w:rsid w:val="00D60686"/>
    <w:rsid w:val="00D608ED"/>
    <w:rsid w:val="00D60B58"/>
    <w:rsid w:val="00D60C83"/>
    <w:rsid w:val="00D60E07"/>
    <w:rsid w:val="00D60E3B"/>
    <w:rsid w:val="00D60E74"/>
    <w:rsid w:val="00D610DA"/>
    <w:rsid w:val="00D61128"/>
    <w:rsid w:val="00D6115A"/>
    <w:rsid w:val="00D6117F"/>
    <w:rsid w:val="00D611F7"/>
    <w:rsid w:val="00D612CA"/>
    <w:rsid w:val="00D614D8"/>
    <w:rsid w:val="00D615E2"/>
    <w:rsid w:val="00D61608"/>
    <w:rsid w:val="00D616E1"/>
    <w:rsid w:val="00D61710"/>
    <w:rsid w:val="00D61833"/>
    <w:rsid w:val="00D61960"/>
    <w:rsid w:val="00D619CC"/>
    <w:rsid w:val="00D619F8"/>
    <w:rsid w:val="00D61A23"/>
    <w:rsid w:val="00D61A2E"/>
    <w:rsid w:val="00D61ABF"/>
    <w:rsid w:val="00D61AFF"/>
    <w:rsid w:val="00D61B4E"/>
    <w:rsid w:val="00D61C72"/>
    <w:rsid w:val="00D61CDC"/>
    <w:rsid w:val="00D61CEE"/>
    <w:rsid w:val="00D61E52"/>
    <w:rsid w:val="00D61EE8"/>
    <w:rsid w:val="00D61F22"/>
    <w:rsid w:val="00D61FFC"/>
    <w:rsid w:val="00D620AA"/>
    <w:rsid w:val="00D620F9"/>
    <w:rsid w:val="00D6210C"/>
    <w:rsid w:val="00D6224B"/>
    <w:rsid w:val="00D623BC"/>
    <w:rsid w:val="00D62450"/>
    <w:rsid w:val="00D6251F"/>
    <w:rsid w:val="00D62546"/>
    <w:rsid w:val="00D6256D"/>
    <w:rsid w:val="00D6259C"/>
    <w:rsid w:val="00D626C9"/>
    <w:rsid w:val="00D626E2"/>
    <w:rsid w:val="00D6279C"/>
    <w:rsid w:val="00D62B20"/>
    <w:rsid w:val="00D62BBE"/>
    <w:rsid w:val="00D62C54"/>
    <w:rsid w:val="00D62E08"/>
    <w:rsid w:val="00D62EB8"/>
    <w:rsid w:val="00D62EC2"/>
    <w:rsid w:val="00D62FE5"/>
    <w:rsid w:val="00D62FED"/>
    <w:rsid w:val="00D63001"/>
    <w:rsid w:val="00D63100"/>
    <w:rsid w:val="00D631D4"/>
    <w:rsid w:val="00D631FB"/>
    <w:rsid w:val="00D63387"/>
    <w:rsid w:val="00D6338A"/>
    <w:rsid w:val="00D634CF"/>
    <w:rsid w:val="00D635B9"/>
    <w:rsid w:val="00D63665"/>
    <w:rsid w:val="00D636A1"/>
    <w:rsid w:val="00D636F5"/>
    <w:rsid w:val="00D63747"/>
    <w:rsid w:val="00D6394E"/>
    <w:rsid w:val="00D63A35"/>
    <w:rsid w:val="00D63B2B"/>
    <w:rsid w:val="00D63C92"/>
    <w:rsid w:val="00D63D07"/>
    <w:rsid w:val="00D63D1E"/>
    <w:rsid w:val="00D63FAB"/>
    <w:rsid w:val="00D64644"/>
    <w:rsid w:val="00D6467C"/>
    <w:rsid w:val="00D64A83"/>
    <w:rsid w:val="00D64D3F"/>
    <w:rsid w:val="00D64DCE"/>
    <w:rsid w:val="00D64E88"/>
    <w:rsid w:val="00D64EFD"/>
    <w:rsid w:val="00D650D5"/>
    <w:rsid w:val="00D652C4"/>
    <w:rsid w:val="00D65345"/>
    <w:rsid w:val="00D653B0"/>
    <w:rsid w:val="00D653CB"/>
    <w:rsid w:val="00D655FC"/>
    <w:rsid w:val="00D656EE"/>
    <w:rsid w:val="00D65787"/>
    <w:rsid w:val="00D659F2"/>
    <w:rsid w:val="00D65AE7"/>
    <w:rsid w:val="00D65B64"/>
    <w:rsid w:val="00D65C9F"/>
    <w:rsid w:val="00D65CDB"/>
    <w:rsid w:val="00D65DF5"/>
    <w:rsid w:val="00D65E96"/>
    <w:rsid w:val="00D66034"/>
    <w:rsid w:val="00D6606C"/>
    <w:rsid w:val="00D661A4"/>
    <w:rsid w:val="00D661F3"/>
    <w:rsid w:val="00D662BE"/>
    <w:rsid w:val="00D662E1"/>
    <w:rsid w:val="00D6638E"/>
    <w:rsid w:val="00D66477"/>
    <w:rsid w:val="00D6648E"/>
    <w:rsid w:val="00D665DE"/>
    <w:rsid w:val="00D668DA"/>
    <w:rsid w:val="00D66962"/>
    <w:rsid w:val="00D66C2E"/>
    <w:rsid w:val="00D66C55"/>
    <w:rsid w:val="00D66E30"/>
    <w:rsid w:val="00D66E3E"/>
    <w:rsid w:val="00D66FA9"/>
    <w:rsid w:val="00D670AB"/>
    <w:rsid w:val="00D6713E"/>
    <w:rsid w:val="00D671AB"/>
    <w:rsid w:val="00D67250"/>
    <w:rsid w:val="00D673A4"/>
    <w:rsid w:val="00D67430"/>
    <w:rsid w:val="00D674D4"/>
    <w:rsid w:val="00D6754D"/>
    <w:rsid w:val="00D67638"/>
    <w:rsid w:val="00D67764"/>
    <w:rsid w:val="00D677B0"/>
    <w:rsid w:val="00D677B5"/>
    <w:rsid w:val="00D6789A"/>
    <w:rsid w:val="00D67A64"/>
    <w:rsid w:val="00D67A8B"/>
    <w:rsid w:val="00D67C02"/>
    <w:rsid w:val="00D67D8E"/>
    <w:rsid w:val="00D67FEA"/>
    <w:rsid w:val="00D7000E"/>
    <w:rsid w:val="00D7018C"/>
    <w:rsid w:val="00D702A1"/>
    <w:rsid w:val="00D702A5"/>
    <w:rsid w:val="00D70434"/>
    <w:rsid w:val="00D70453"/>
    <w:rsid w:val="00D7046C"/>
    <w:rsid w:val="00D70529"/>
    <w:rsid w:val="00D7068A"/>
    <w:rsid w:val="00D706A9"/>
    <w:rsid w:val="00D706B9"/>
    <w:rsid w:val="00D706DD"/>
    <w:rsid w:val="00D706E3"/>
    <w:rsid w:val="00D708A7"/>
    <w:rsid w:val="00D70908"/>
    <w:rsid w:val="00D70986"/>
    <w:rsid w:val="00D7099A"/>
    <w:rsid w:val="00D70A65"/>
    <w:rsid w:val="00D70A7C"/>
    <w:rsid w:val="00D70C78"/>
    <w:rsid w:val="00D70CF7"/>
    <w:rsid w:val="00D70D4D"/>
    <w:rsid w:val="00D70DD1"/>
    <w:rsid w:val="00D70E0C"/>
    <w:rsid w:val="00D70F87"/>
    <w:rsid w:val="00D71054"/>
    <w:rsid w:val="00D71161"/>
    <w:rsid w:val="00D711D1"/>
    <w:rsid w:val="00D71294"/>
    <w:rsid w:val="00D7132F"/>
    <w:rsid w:val="00D71333"/>
    <w:rsid w:val="00D713E7"/>
    <w:rsid w:val="00D7142C"/>
    <w:rsid w:val="00D71452"/>
    <w:rsid w:val="00D71563"/>
    <w:rsid w:val="00D7173E"/>
    <w:rsid w:val="00D71795"/>
    <w:rsid w:val="00D717B8"/>
    <w:rsid w:val="00D717D8"/>
    <w:rsid w:val="00D71950"/>
    <w:rsid w:val="00D71AB3"/>
    <w:rsid w:val="00D71C43"/>
    <w:rsid w:val="00D720BF"/>
    <w:rsid w:val="00D720F8"/>
    <w:rsid w:val="00D72159"/>
    <w:rsid w:val="00D723DD"/>
    <w:rsid w:val="00D723F3"/>
    <w:rsid w:val="00D7247E"/>
    <w:rsid w:val="00D7256E"/>
    <w:rsid w:val="00D72729"/>
    <w:rsid w:val="00D728AF"/>
    <w:rsid w:val="00D72A83"/>
    <w:rsid w:val="00D72B2B"/>
    <w:rsid w:val="00D72D46"/>
    <w:rsid w:val="00D7329E"/>
    <w:rsid w:val="00D733A9"/>
    <w:rsid w:val="00D73470"/>
    <w:rsid w:val="00D735B8"/>
    <w:rsid w:val="00D735C8"/>
    <w:rsid w:val="00D7365F"/>
    <w:rsid w:val="00D738C8"/>
    <w:rsid w:val="00D739C2"/>
    <w:rsid w:val="00D73AA8"/>
    <w:rsid w:val="00D73C43"/>
    <w:rsid w:val="00D73C49"/>
    <w:rsid w:val="00D73D07"/>
    <w:rsid w:val="00D73F27"/>
    <w:rsid w:val="00D73F59"/>
    <w:rsid w:val="00D73F91"/>
    <w:rsid w:val="00D73FF1"/>
    <w:rsid w:val="00D74055"/>
    <w:rsid w:val="00D740A4"/>
    <w:rsid w:val="00D742C6"/>
    <w:rsid w:val="00D74393"/>
    <w:rsid w:val="00D743C4"/>
    <w:rsid w:val="00D744AC"/>
    <w:rsid w:val="00D74716"/>
    <w:rsid w:val="00D74725"/>
    <w:rsid w:val="00D747D5"/>
    <w:rsid w:val="00D7497C"/>
    <w:rsid w:val="00D749E5"/>
    <w:rsid w:val="00D74A17"/>
    <w:rsid w:val="00D74A49"/>
    <w:rsid w:val="00D74AAB"/>
    <w:rsid w:val="00D74B56"/>
    <w:rsid w:val="00D74C65"/>
    <w:rsid w:val="00D74E84"/>
    <w:rsid w:val="00D74E87"/>
    <w:rsid w:val="00D7513B"/>
    <w:rsid w:val="00D75213"/>
    <w:rsid w:val="00D752D2"/>
    <w:rsid w:val="00D75365"/>
    <w:rsid w:val="00D753C1"/>
    <w:rsid w:val="00D755A8"/>
    <w:rsid w:val="00D7564C"/>
    <w:rsid w:val="00D75665"/>
    <w:rsid w:val="00D7568A"/>
    <w:rsid w:val="00D75780"/>
    <w:rsid w:val="00D758CF"/>
    <w:rsid w:val="00D7591A"/>
    <w:rsid w:val="00D75D36"/>
    <w:rsid w:val="00D75F38"/>
    <w:rsid w:val="00D762C3"/>
    <w:rsid w:val="00D762DD"/>
    <w:rsid w:val="00D762F9"/>
    <w:rsid w:val="00D7638B"/>
    <w:rsid w:val="00D76397"/>
    <w:rsid w:val="00D76494"/>
    <w:rsid w:val="00D764FC"/>
    <w:rsid w:val="00D76874"/>
    <w:rsid w:val="00D768AF"/>
    <w:rsid w:val="00D7694E"/>
    <w:rsid w:val="00D76A1A"/>
    <w:rsid w:val="00D76A7B"/>
    <w:rsid w:val="00D76A88"/>
    <w:rsid w:val="00D76ADC"/>
    <w:rsid w:val="00D76C7D"/>
    <w:rsid w:val="00D76D06"/>
    <w:rsid w:val="00D76D1F"/>
    <w:rsid w:val="00D76F3C"/>
    <w:rsid w:val="00D77060"/>
    <w:rsid w:val="00D770CC"/>
    <w:rsid w:val="00D77281"/>
    <w:rsid w:val="00D772C6"/>
    <w:rsid w:val="00D77350"/>
    <w:rsid w:val="00D77393"/>
    <w:rsid w:val="00D773B3"/>
    <w:rsid w:val="00D775C2"/>
    <w:rsid w:val="00D777FB"/>
    <w:rsid w:val="00D7787F"/>
    <w:rsid w:val="00D77B0F"/>
    <w:rsid w:val="00D77EA0"/>
    <w:rsid w:val="00D80053"/>
    <w:rsid w:val="00D800D1"/>
    <w:rsid w:val="00D8010C"/>
    <w:rsid w:val="00D80126"/>
    <w:rsid w:val="00D80269"/>
    <w:rsid w:val="00D8046B"/>
    <w:rsid w:val="00D80519"/>
    <w:rsid w:val="00D8055E"/>
    <w:rsid w:val="00D807B6"/>
    <w:rsid w:val="00D807BB"/>
    <w:rsid w:val="00D808D6"/>
    <w:rsid w:val="00D80ACF"/>
    <w:rsid w:val="00D80C1E"/>
    <w:rsid w:val="00D80C72"/>
    <w:rsid w:val="00D80CDF"/>
    <w:rsid w:val="00D80DA0"/>
    <w:rsid w:val="00D80DE7"/>
    <w:rsid w:val="00D80EC8"/>
    <w:rsid w:val="00D81036"/>
    <w:rsid w:val="00D8110D"/>
    <w:rsid w:val="00D8115D"/>
    <w:rsid w:val="00D81164"/>
    <w:rsid w:val="00D81170"/>
    <w:rsid w:val="00D813B3"/>
    <w:rsid w:val="00D815B3"/>
    <w:rsid w:val="00D815C8"/>
    <w:rsid w:val="00D81644"/>
    <w:rsid w:val="00D817BF"/>
    <w:rsid w:val="00D8187E"/>
    <w:rsid w:val="00D81931"/>
    <w:rsid w:val="00D81BF0"/>
    <w:rsid w:val="00D81C57"/>
    <w:rsid w:val="00D81C81"/>
    <w:rsid w:val="00D81FFA"/>
    <w:rsid w:val="00D820A8"/>
    <w:rsid w:val="00D82124"/>
    <w:rsid w:val="00D8212D"/>
    <w:rsid w:val="00D821B9"/>
    <w:rsid w:val="00D8240C"/>
    <w:rsid w:val="00D82673"/>
    <w:rsid w:val="00D828D6"/>
    <w:rsid w:val="00D82952"/>
    <w:rsid w:val="00D829FB"/>
    <w:rsid w:val="00D82AD0"/>
    <w:rsid w:val="00D82B56"/>
    <w:rsid w:val="00D82BB6"/>
    <w:rsid w:val="00D82FB0"/>
    <w:rsid w:val="00D830F2"/>
    <w:rsid w:val="00D830F8"/>
    <w:rsid w:val="00D83191"/>
    <w:rsid w:val="00D831BF"/>
    <w:rsid w:val="00D8322B"/>
    <w:rsid w:val="00D8354C"/>
    <w:rsid w:val="00D83641"/>
    <w:rsid w:val="00D8378F"/>
    <w:rsid w:val="00D8383A"/>
    <w:rsid w:val="00D83A83"/>
    <w:rsid w:val="00D83C3E"/>
    <w:rsid w:val="00D83DCB"/>
    <w:rsid w:val="00D83E24"/>
    <w:rsid w:val="00D83FF1"/>
    <w:rsid w:val="00D84175"/>
    <w:rsid w:val="00D841A8"/>
    <w:rsid w:val="00D8430A"/>
    <w:rsid w:val="00D8435B"/>
    <w:rsid w:val="00D843A3"/>
    <w:rsid w:val="00D844CA"/>
    <w:rsid w:val="00D8453A"/>
    <w:rsid w:val="00D8463F"/>
    <w:rsid w:val="00D8466E"/>
    <w:rsid w:val="00D84677"/>
    <w:rsid w:val="00D848A2"/>
    <w:rsid w:val="00D849CF"/>
    <w:rsid w:val="00D84A6D"/>
    <w:rsid w:val="00D84B5A"/>
    <w:rsid w:val="00D84D62"/>
    <w:rsid w:val="00D84E53"/>
    <w:rsid w:val="00D84FFC"/>
    <w:rsid w:val="00D854B9"/>
    <w:rsid w:val="00D8555D"/>
    <w:rsid w:val="00D8567A"/>
    <w:rsid w:val="00D85855"/>
    <w:rsid w:val="00D8589E"/>
    <w:rsid w:val="00D858F5"/>
    <w:rsid w:val="00D85A13"/>
    <w:rsid w:val="00D85B21"/>
    <w:rsid w:val="00D85D32"/>
    <w:rsid w:val="00D85E3A"/>
    <w:rsid w:val="00D85EEC"/>
    <w:rsid w:val="00D85F61"/>
    <w:rsid w:val="00D85FA9"/>
    <w:rsid w:val="00D861C6"/>
    <w:rsid w:val="00D86205"/>
    <w:rsid w:val="00D86241"/>
    <w:rsid w:val="00D862C6"/>
    <w:rsid w:val="00D86475"/>
    <w:rsid w:val="00D86AB1"/>
    <w:rsid w:val="00D86BA6"/>
    <w:rsid w:val="00D86D41"/>
    <w:rsid w:val="00D86DE9"/>
    <w:rsid w:val="00D86F69"/>
    <w:rsid w:val="00D8703C"/>
    <w:rsid w:val="00D87046"/>
    <w:rsid w:val="00D87086"/>
    <w:rsid w:val="00D8716C"/>
    <w:rsid w:val="00D871CF"/>
    <w:rsid w:val="00D871E6"/>
    <w:rsid w:val="00D87312"/>
    <w:rsid w:val="00D87333"/>
    <w:rsid w:val="00D8776B"/>
    <w:rsid w:val="00D8785C"/>
    <w:rsid w:val="00D87880"/>
    <w:rsid w:val="00D87939"/>
    <w:rsid w:val="00D87979"/>
    <w:rsid w:val="00D879FC"/>
    <w:rsid w:val="00D87A86"/>
    <w:rsid w:val="00D87B6A"/>
    <w:rsid w:val="00D87B71"/>
    <w:rsid w:val="00D87C2C"/>
    <w:rsid w:val="00D87D01"/>
    <w:rsid w:val="00D87D13"/>
    <w:rsid w:val="00D87E74"/>
    <w:rsid w:val="00D87FDC"/>
    <w:rsid w:val="00D90119"/>
    <w:rsid w:val="00D90131"/>
    <w:rsid w:val="00D90284"/>
    <w:rsid w:val="00D903F5"/>
    <w:rsid w:val="00D905E8"/>
    <w:rsid w:val="00D90B49"/>
    <w:rsid w:val="00D90D04"/>
    <w:rsid w:val="00D90D23"/>
    <w:rsid w:val="00D90D39"/>
    <w:rsid w:val="00D90D5F"/>
    <w:rsid w:val="00D9110B"/>
    <w:rsid w:val="00D91127"/>
    <w:rsid w:val="00D911B3"/>
    <w:rsid w:val="00D911DC"/>
    <w:rsid w:val="00D912DC"/>
    <w:rsid w:val="00D91353"/>
    <w:rsid w:val="00D9139F"/>
    <w:rsid w:val="00D9145D"/>
    <w:rsid w:val="00D914B4"/>
    <w:rsid w:val="00D914FF"/>
    <w:rsid w:val="00D916DB"/>
    <w:rsid w:val="00D9171A"/>
    <w:rsid w:val="00D917D3"/>
    <w:rsid w:val="00D91955"/>
    <w:rsid w:val="00D91A88"/>
    <w:rsid w:val="00D91B36"/>
    <w:rsid w:val="00D91DC3"/>
    <w:rsid w:val="00D91F2B"/>
    <w:rsid w:val="00D922B2"/>
    <w:rsid w:val="00D923D8"/>
    <w:rsid w:val="00D92572"/>
    <w:rsid w:val="00D9285D"/>
    <w:rsid w:val="00D92939"/>
    <w:rsid w:val="00D92ABB"/>
    <w:rsid w:val="00D92BE9"/>
    <w:rsid w:val="00D92BFD"/>
    <w:rsid w:val="00D92DB5"/>
    <w:rsid w:val="00D92E47"/>
    <w:rsid w:val="00D92E9E"/>
    <w:rsid w:val="00D92EFF"/>
    <w:rsid w:val="00D92F7B"/>
    <w:rsid w:val="00D92FF7"/>
    <w:rsid w:val="00D92FFE"/>
    <w:rsid w:val="00D93040"/>
    <w:rsid w:val="00D931FB"/>
    <w:rsid w:val="00D93272"/>
    <w:rsid w:val="00D932AA"/>
    <w:rsid w:val="00D932AD"/>
    <w:rsid w:val="00D93352"/>
    <w:rsid w:val="00D93416"/>
    <w:rsid w:val="00D935AE"/>
    <w:rsid w:val="00D936BF"/>
    <w:rsid w:val="00D936DC"/>
    <w:rsid w:val="00D9377D"/>
    <w:rsid w:val="00D938B1"/>
    <w:rsid w:val="00D93937"/>
    <w:rsid w:val="00D93946"/>
    <w:rsid w:val="00D9397E"/>
    <w:rsid w:val="00D93B1F"/>
    <w:rsid w:val="00D93B9F"/>
    <w:rsid w:val="00D93C71"/>
    <w:rsid w:val="00D93C82"/>
    <w:rsid w:val="00D93E9F"/>
    <w:rsid w:val="00D93F1B"/>
    <w:rsid w:val="00D940EE"/>
    <w:rsid w:val="00D94129"/>
    <w:rsid w:val="00D94227"/>
    <w:rsid w:val="00D94250"/>
    <w:rsid w:val="00D94261"/>
    <w:rsid w:val="00D942A9"/>
    <w:rsid w:val="00D9430E"/>
    <w:rsid w:val="00D94387"/>
    <w:rsid w:val="00D94391"/>
    <w:rsid w:val="00D944B1"/>
    <w:rsid w:val="00D944D1"/>
    <w:rsid w:val="00D945B6"/>
    <w:rsid w:val="00D946E9"/>
    <w:rsid w:val="00D94A41"/>
    <w:rsid w:val="00D94B55"/>
    <w:rsid w:val="00D94B58"/>
    <w:rsid w:val="00D94BC8"/>
    <w:rsid w:val="00D94BEA"/>
    <w:rsid w:val="00D94C94"/>
    <w:rsid w:val="00D94D45"/>
    <w:rsid w:val="00D94DE9"/>
    <w:rsid w:val="00D94EE9"/>
    <w:rsid w:val="00D94FCA"/>
    <w:rsid w:val="00D95103"/>
    <w:rsid w:val="00D95144"/>
    <w:rsid w:val="00D951B5"/>
    <w:rsid w:val="00D95267"/>
    <w:rsid w:val="00D95490"/>
    <w:rsid w:val="00D95638"/>
    <w:rsid w:val="00D95643"/>
    <w:rsid w:val="00D9576C"/>
    <w:rsid w:val="00D95978"/>
    <w:rsid w:val="00D95D10"/>
    <w:rsid w:val="00D95E06"/>
    <w:rsid w:val="00D95ECF"/>
    <w:rsid w:val="00D95F1F"/>
    <w:rsid w:val="00D9627F"/>
    <w:rsid w:val="00D96382"/>
    <w:rsid w:val="00D963F9"/>
    <w:rsid w:val="00D964BA"/>
    <w:rsid w:val="00D965D2"/>
    <w:rsid w:val="00D96620"/>
    <w:rsid w:val="00D966C2"/>
    <w:rsid w:val="00D966DF"/>
    <w:rsid w:val="00D96700"/>
    <w:rsid w:val="00D968C9"/>
    <w:rsid w:val="00D96912"/>
    <w:rsid w:val="00D96A64"/>
    <w:rsid w:val="00D96AFF"/>
    <w:rsid w:val="00D96B68"/>
    <w:rsid w:val="00D96BAC"/>
    <w:rsid w:val="00D96C59"/>
    <w:rsid w:val="00D96CB7"/>
    <w:rsid w:val="00D96CC3"/>
    <w:rsid w:val="00D96DDB"/>
    <w:rsid w:val="00D96E12"/>
    <w:rsid w:val="00D96F64"/>
    <w:rsid w:val="00D96FA3"/>
    <w:rsid w:val="00D9709A"/>
    <w:rsid w:val="00D97419"/>
    <w:rsid w:val="00D97507"/>
    <w:rsid w:val="00D976DD"/>
    <w:rsid w:val="00D9781E"/>
    <w:rsid w:val="00D978AC"/>
    <w:rsid w:val="00D97911"/>
    <w:rsid w:val="00D979CC"/>
    <w:rsid w:val="00D979DD"/>
    <w:rsid w:val="00D97CB2"/>
    <w:rsid w:val="00D97EA7"/>
    <w:rsid w:val="00D97ED2"/>
    <w:rsid w:val="00D97FA9"/>
    <w:rsid w:val="00D97FBA"/>
    <w:rsid w:val="00DA00B3"/>
    <w:rsid w:val="00DA0124"/>
    <w:rsid w:val="00DA016A"/>
    <w:rsid w:val="00DA020F"/>
    <w:rsid w:val="00DA02B7"/>
    <w:rsid w:val="00DA02F7"/>
    <w:rsid w:val="00DA02F9"/>
    <w:rsid w:val="00DA0331"/>
    <w:rsid w:val="00DA0467"/>
    <w:rsid w:val="00DA058A"/>
    <w:rsid w:val="00DA059E"/>
    <w:rsid w:val="00DA05ED"/>
    <w:rsid w:val="00DA0693"/>
    <w:rsid w:val="00DA0AEB"/>
    <w:rsid w:val="00DA0B4C"/>
    <w:rsid w:val="00DA0BA4"/>
    <w:rsid w:val="00DA0CC3"/>
    <w:rsid w:val="00DA0CE3"/>
    <w:rsid w:val="00DA0CFA"/>
    <w:rsid w:val="00DA10D6"/>
    <w:rsid w:val="00DA110C"/>
    <w:rsid w:val="00DA1277"/>
    <w:rsid w:val="00DA13FA"/>
    <w:rsid w:val="00DA1443"/>
    <w:rsid w:val="00DA14EC"/>
    <w:rsid w:val="00DA1654"/>
    <w:rsid w:val="00DA16FE"/>
    <w:rsid w:val="00DA17B5"/>
    <w:rsid w:val="00DA181E"/>
    <w:rsid w:val="00DA1912"/>
    <w:rsid w:val="00DA1947"/>
    <w:rsid w:val="00DA1B6E"/>
    <w:rsid w:val="00DA1BCE"/>
    <w:rsid w:val="00DA1C13"/>
    <w:rsid w:val="00DA1E18"/>
    <w:rsid w:val="00DA1EFE"/>
    <w:rsid w:val="00DA2098"/>
    <w:rsid w:val="00DA2131"/>
    <w:rsid w:val="00DA22DC"/>
    <w:rsid w:val="00DA234F"/>
    <w:rsid w:val="00DA2399"/>
    <w:rsid w:val="00DA2584"/>
    <w:rsid w:val="00DA25E0"/>
    <w:rsid w:val="00DA263C"/>
    <w:rsid w:val="00DA26AC"/>
    <w:rsid w:val="00DA271F"/>
    <w:rsid w:val="00DA2750"/>
    <w:rsid w:val="00DA27DA"/>
    <w:rsid w:val="00DA282E"/>
    <w:rsid w:val="00DA2A22"/>
    <w:rsid w:val="00DA2B2F"/>
    <w:rsid w:val="00DA2B92"/>
    <w:rsid w:val="00DA2CA3"/>
    <w:rsid w:val="00DA2DE7"/>
    <w:rsid w:val="00DA2EA8"/>
    <w:rsid w:val="00DA2FA9"/>
    <w:rsid w:val="00DA306D"/>
    <w:rsid w:val="00DA30A9"/>
    <w:rsid w:val="00DA333A"/>
    <w:rsid w:val="00DA351A"/>
    <w:rsid w:val="00DA356B"/>
    <w:rsid w:val="00DA35BF"/>
    <w:rsid w:val="00DA367E"/>
    <w:rsid w:val="00DA3886"/>
    <w:rsid w:val="00DA3991"/>
    <w:rsid w:val="00DA3BA9"/>
    <w:rsid w:val="00DA3C61"/>
    <w:rsid w:val="00DA3CF8"/>
    <w:rsid w:val="00DA3D62"/>
    <w:rsid w:val="00DA3F89"/>
    <w:rsid w:val="00DA41A5"/>
    <w:rsid w:val="00DA4291"/>
    <w:rsid w:val="00DA4332"/>
    <w:rsid w:val="00DA456C"/>
    <w:rsid w:val="00DA45C9"/>
    <w:rsid w:val="00DA47F2"/>
    <w:rsid w:val="00DA49E3"/>
    <w:rsid w:val="00DA4C2A"/>
    <w:rsid w:val="00DA4E2B"/>
    <w:rsid w:val="00DA4FBB"/>
    <w:rsid w:val="00DA4FF3"/>
    <w:rsid w:val="00DA50AD"/>
    <w:rsid w:val="00DA5297"/>
    <w:rsid w:val="00DA5377"/>
    <w:rsid w:val="00DA53CD"/>
    <w:rsid w:val="00DA5495"/>
    <w:rsid w:val="00DA54DC"/>
    <w:rsid w:val="00DA559F"/>
    <w:rsid w:val="00DA55C9"/>
    <w:rsid w:val="00DA58AD"/>
    <w:rsid w:val="00DA5E06"/>
    <w:rsid w:val="00DA5E17"/>
    <w:rsid w:val="00DA5F73"/>
    <w:rsid w:val="00DA5F93"/>
    <w:rsid w:val="00DA5FC3"/>
    <w:rsid w:val="00DA5FEF"/>
    <w:rsid w:val="00DA6038"/>
    <w:rsid w:val="00DA61CC"/>
    <w:rsid w:val="00DA61DF"/>
    <w:rsid w:val="00DA633C"/>
    <w:rsid w:val="00DA67C2"/>
    <w:rsid w:val="00DA6855"/>
    <w:rsid w:val="00DA685E"/>
    <w:rsid w:val="00DA686E"/>
    <w:rsid w:val="00DA6B32"/>
    <w:rsid w:val="00DA6B5E"/>
    <w:rsid w:val="00DA6C18"/>
    <w:rsid w:val="00DA6C6F"/>
    <w:rsid w:val="00DA6EB3"/>
    <w:rsid w:val="00DA6F68"/>
    <w:rsid w:val="00DA6F7E"/>
    <w:rsid w:val="00DA6F82"/>
    <w:rsid w:val="00DA7097"/>
    <w:rsid w:val="00DA70DA"/>
    <w:rsid w:val="00DA7216"/>
    <w:rsid w:val="00DA739F"/>
    <w:rsid w:val="00DA753D"/>
    <w:rsid w:val="00DA75DD"/>
    <w:rsid w:val="00DA7647"/>
    <w:rsid w:val="00DA783A"/>
    <w:rsid w:val="00DA7892"/>
    <w:rsid w:val="00DA792C"/>
    <w:rsid w:val="00DA7980"/>
    <w:rsid w:val="00DA7A21"/>
    <w:rsid w:val="00DA7A45"/>
    <w:rsid w:val="00DA7B33"/>
    <w:rsid w:val="00DA7B51"/>
    <w:rsid w:val="00DA7B75"/>
    <w:rsid w:val="00DA7C7B"/>
    <w:rsid w:val="00DA7D1F"/>
    <w:rsid w:val="00DA7E85"/>
    <w:rsid w:val="00DA7FA6"/>
    <w:rsid w:val="00DB0315"/>
    <w:rsid w:val="00DB051C"/>
    <w:rsid w:val="00DB0590"/>
    <w:rsid w:val="00DB0758"/>
    <w:rsid w:val="00DB07CA"/>
    <w:rsid w:val="00DB07FF"/>
    <w:rsid w:val="00DB092B"/>
    <w:rsid w:val="00DB0B35"/>
    <w:rsid w:val="00DB0B59"/>
    <w:rsid w:val="00DB0B93"/>
    <w:rsid w:val="00DB0BA2"/>
    <w:rsid w:val="00DB0BC8"/>
    <w:rsid w:val="00DB0C2A"/>
    <w:rsid w:val="00DB0D12"/>
    <w:rsid w:val="00DB0D57"/>
    <w:rsid w:val="00DB0DFB"/>
    <w:rsid w:val="00DB0E08"/>
    <w:rsid w:val="00DB116A"/>
    <w:rsid w:val="00DB11DC"/>
    <w:rsid w:val="00DB1233"/>
    <w:rsid w:val="00DB1267"/>
    <w:rsid w:val="00DB13FC"/>
    <w:rsid w:val="00DB1458"/>
    <w:rsid w:val="00DB1558"/>
    <w:rsid w:val="00DB197B"/>
    <w:rsid w:val="00DB199A"/>
    <w:rsid w:val="00DB1A72"/>
    <w:rsid w:val="00DB1A7F"/>
    <w:rsid w:val="00DB1A8B"/>
    <w:rsid w:val="00DB1AA4"/>
    <w:rsid w:val="00DB1B7A"/>
    <w:rsid w:val="00DB1C42"/>
    <w:rsid w:val="00DB1DCE"/>
    <w:rsid w:val="00DB1EF1"/>
    <w:rsid w:val="00DB1F79"/>
    <w:rsid w:val="00DB2035"/>
    <w:rsid w:val="00DB2089"/>
    <w:rsid w:val="00DB2120"/>
    <w:rsid w:val="00DB22C4"/>
    <w:rsid w:val="00DB2330"/>
    <w:rsid w:val="00DB2334"/>
    <w:rsid w:val="00DB23AD"/>
    <w:rsid w:val="00DB25C0"/>
    <w:rsid w:val="00DB25E4"/>
    <w:rsid w:val="00DB267C"/>
    <w:rsid w:val="00DB26B2"/>
    <w:rsid w:val="00DB2906"/>
    <w:rsid w:val="00DB2919"/>
    <w:rsid w:val="00DB2B86"/>
    <w:rsid w:val="00DB2D84"/>
    <w:rsid w:val="00DB2DDD"/>
    <w:rsid w:val="00DB2E53"/>
    <w:rsid w:val="00DB2E9C"/>
    <w:rsid w:val="00DB2EFE"/>
    <w:rsid w:val="00DB2FDB"/>
    <w:rsid w:val="00DB3066"/>
    <w:rsid w:val="00DB30A5"/>
    <w:rsid w:val="00DB31F2"/>
    <w:rsid w:val="00DB324C"/>
    <w:rsid w:val="00DB346D"/>
    <w:rsid w:val="00DB34DC"/>
    <w:rsid w:val="00DB354F"/>
    <w:rsid w:val="00DB39B4"/>
    <w:rsid w:val="00DB39F4"/>
    <w:rsid w:val="00DB3A56"/>
    <w:rsid w:val="00DB3AE5"/>
    <w:rsid w:val="00DB3B0E"/>
    <w:rsid w:val="00DB3BFD"/>
    <w:rsid w:val="00DB3D32"/>
    <w:rsid w:val="00DB3D9D"/>
    <w:rsid w:val="00DB3E63"/>
    <w:rsid w:val="00DB40A2"/>
    <w:rsid w:val="00DB4298"/>
    <w:rsid w:val="00DB4437"/>
    <w:rsid w:val="00DB444F"/>
    <w:rsid w:val="00DB470E"/>
    <w:rsid w:val="00DB473A"/>
    <w:rsid w:val="00DB47C6"/>
    <w:rsid w:val="00DB4837"/>
    <w:rsid w:val="00DB4909"/>
    <w:rsid w:val="00DB493C"/>
    <w:rsid w:val="00DB4941"/>
    <w:rsid w:val="00DB4A82"/>
    <w:rsid w:val="00DB4B8A"/>
    <w:rsid w:val="00DB4CC9"/>
    <w:rsid w:val="00DB4E2F"/>
    <w:rsid w:val="00DB4EED"/>
    <w:rsid w:val="00DB4FD1"/>
    <w:rsid w:val="00DB4FDE"/>
    <w:rsid w:val="00DB5040"/>
    <w:rsid w:val="00DB50AF"/>
    <w:rsid w:val="00DB50C0"/>
    <w:rsid w:val="00DB522B"/>
    <w:rsid w:val="00DB52DE"/>
    <w:rsid w:val="00DB54A9"/>
    <w:rsid w:val="00DB54C6"/>
    <w:rsid w:val="00DB56F0"/>
    <w:rsid w:val="00DB5762"/>
    <w:rsid w:val="00DB581D"/>
    <w:rsid w:val="00DB5820"/>
    <w:rsid w:val="00DB5A8C"/>
    <w:rsid w:val="00DB5AEC"/>
    <w:rsid w:val="00DB5B36"/>
    <w:rsid w:val="00DB5B6D"/>
    <w:rsid w:val="00DB5B91"/>
    <w:rsid w:val="00DB5D4F"/>
    <w:rsid w:val="00DB5EB8"/>
    <w:rsid w:val="00DB5EEE"/>
    <w:rsid w:val="00DB6071"/>
    <w:rsid w:val="00DB60C4"/>
    <w:rsid w:val="00DB6202"/>
    <w:rsid w:val="00DB6205"/>
    <w:rsid w:val="00DB63CD"/>
    <w:rsid w:val="00DB6608"/>
    <w:rsid w:val="00DB6657"/>
    <w:rsid w:val="00DB6673"/>
    <w:rsid w:val="00DB6804"/>
    <w:rsid w:val="00DB6943"/>
    <w:rsid w:val="00DB69A2"/>
    <w:rsid w:val="00DB6B6C"/>
    <w:rsid w:val="00DB6B99"/>
    <w:rsid w:val="00DB6D65"/>
    <w:rsid w:val="00DB6DCE"/>
    <w:rsid w:val="00DB6DE9"/>
    <w:rsid w:val="00DB7097"/>
    <w:rsid w:val="00DB70E9"/>
    <w:rsid w:val="00DB7162"/>
    <w:rsid w:val="00DB7348"/>
    <w:rsid w:val="00DB7471"/>
    <w:rsid w:val="00DB751A"/>
    <w:rsid w:val="00DB7670"/>
    <w:rsid w:val="00DB7841"/>
    <w:rsid w:val="00DB7925"/>
    <w:rsid w:val="00DB79F4"/>
    <w:rsid w:val="00DB7AAA"/>
    <w:rsid w:val="00DB7D16"/>
    <w:rsid w:val="00DB7DC5"/>
    <w:rsid w:val="00DB7E48"/>
    <w:rsid w:val="00DB7E98"/>
    <w:rsid w:val="00DC0056"/>
    <w:rsid w:val="00DC00BE"/>
    <w:rsid w:val="00DC00F7"/>
    <w:rsid w:val="00DC0135"/>
    <w:rsid w:val="00DC01B2"/>
    <w:rsid w:val="00DC01F8"/>
    <w:rsid w:val="00DC03BF"/>
    <w:rsid w:val="00DC0604"/>
    <w:rsid w:val="00DC0844"/>
    <w:rsid w:val="00DC0B47"/>
    <w:rsid w:val="00DC0B80"/>
    <w:rsid w:val="00DC0EBD"/>
    <w:rsid w:val="00DC101A"/>
    <w:rsid w:val="00DC1064"/>
    <w:rsid w:val="00DC13A7"/>
    <w:rsid w:val="00DC1476"/>
    <w:rsid w:val="00DC149D"/>
    <w:rsid w:val="00DC1699"/>
    <w:rsid w:val="00DC1A31"/>
    <w:rsid w:val="00DC1DDF"/>
    <w:rsid w:val="00DC1FEF"/>
    <w:rsid w:val="00DC20A7"/>
    <w:rsid w:val="00DC21AC"/>
    <w:rsid w:val="00DC224C"/>
    <w:rsid w:val="00DC2314"/>
    <w:rsid w:val="00DC231E"/>
    <w:rsid w:val="00DC246E"/>
    <w:rsid w:val="00DC2481"/>
    <w:rsid w:val="00DC2558"/>
    <w:rsid w:val="00DC26AA"/>
    <w:rsid w:val="00DC29B8"/>
    <w:rsid w:val="00DC2BA4"/>
    <w:rsid w:val="00DC2BD7"/>
    <w:rsid w:val="00DC2D40"/>
    <w:rsid w:val="00DC2F6B"/>
    <w:rsid w:val="00DC2FFC"/>
    <w:rsid w:val="00DC2FFE"/>
    <w:rsid w:val="00DC3130"/>
    <w:rsid w:val="00DC3138"/>
    <w:rsid w:val="00DC31F7"/>
    <w:rsid w:val="00DC3374"/>
    <w:rsid w:val="00DC33B6"/>
    <w:rsid w:val="00DC35DB"/>
    <w:rsid w:val="00DC3968"/>
    <w:rsid w:val="00DC3A06"/>
    <w:rsid w:val="00DC3BCA"/>
    <w:rsid w:val="00DC3BE9"/>
    <w:rsid w:val="00DC3C09"/>
    <w:rsid w:val="00DC3C81"/>
    <w:rsid w:val="00DC3E08"/>
    <w:rsid w:val="00DC3E58"/>
    <w:rsid w:val="00DC3E99"/>
    <w:rsid w:val="00DC40A2"/>
    <w:rsid w:val="00DC42C6"/>
    <w:rsid w:val="00DC4325"/>
    <w:rsid w:val="00DC44DE"/>
    <w:rsid w:val="00DC46CB"/>
    <w:rsid w:val="00DC472C"/>
    <w:rsid w:val="00DC489C"/>
    <w:rsid w:val="00DC4935"/>
    <w:rsid w:val="00DC4A37"/>
    <w:rsid w:val="00DC4B31"/>
    <w:rsid w:val="00DC4B60"/>
    <w:rsid w:val="00DC4B96"/>
    <w:rsid w:val="00DC4BD7"/>
    <w:rsid w:val="00DC4CB8"/>
    <w:rsid w:val="00DC4E14"/>
    <w:rsid w:val="00DC5079"/>
    <w:rsid w:val="00DC5121"/>
    <w:rsid w:val="00DC5153"/>
    <w:rsid w:val="00DC52E5"/>
    <w:rsid w:val="00DC5334"/>
    <w:rsid w:val="00DC537F"/>
    <w:rsid w:val="00DC54AA"/>
    <w:rsid w:val="00DC54E5"/>
    <w:rsid w:val="00DC54FE"/>
    <w:rsid w:val="00DC567D"/>
    <w:rsid w:val="00DC56D3"/>
    <w:rsid w:val="00DC570D"/>
    <w:rsid w:val="00DC5985"/>
    <w:rsid w:val="00DC5B71"/>
    <w:rsid w:val="00DC60A8"/>
    <w:rsid w:val="00DC60B3"/>
    <w:rsid w:val="00DC61EE"/>
    <w:rsid w:val="00DC6301"/>
    <w:rsid w:val="00DC630B"/>
    <w:rsid w:val="00DC6440"/>
    <w:rsid w:val="00DC64C4"/>
    <w:rsid w:val="00DC6704"/>
    <w:rsid w:val="00DC6752"/>
    <w:rsid w:val="00DC6B71"/>
    <w:rsid w:val="00DC6C7D"/>
    <w:rsid w:val="00DC6C9D"/>
    <w:rsid w:val="00DC6DAD"/>
    <w:rsid w:val="00DC6DC9"/>
    <w:rsid w:val="00DC6E1A"/>
    <w:rsid w:val="00DC6E78"/>
    <w:rsid w:val="00DC71E1"/>
    <w:rsid w:val="00DC7241"/>
    <w:rsid w:val="00DC7258"/>
    <w:rsid w:val="00DC72AF"/>
    <w:rsid w:val="00DC72B6"/>
    <w:rsid w:val="00DC73A5"/>
    <w:rsid w:val="00DC7409"/>
    <w:rsid w:val="00DC74C1"/>
    <w:rsid w:val="00DC75D5"/>
    <w:rsid w:val="00DC75DE"/>
    <w:rsid w:val="00DC76D6"/>
    <w:rsid w:val="00DC77B6"/>
    <w:rsid w:val="00DC78D5"/>
    <w:rsid w:val="00DC78E4"/>
    <w:rsid w:val="00DC7A90"/>
    <w:rsid w:val="00DC7A9D"/>
    <w:rsid w:val="00DC7B2D"/>
    <w:rsid w:val="00DC7D28"/>
    <w:rsid w:val="00DC7D29"/>
    <w:rsid w:val="00DC7D9D"/>
    <w:rsid w:val="00DC7DF6"/>
    <w:rsid w:val="00DC7E5D"/>
    <w:rsid w:val="00DC7F9A"/>
    <w:rsid w:val="00DD002A"/>
    <w:rsid w:val="00DD00B6"/>
    <w:rsid w:val="00DD00E8"/>
    <w:rsid w:val="00DD00FF"/>
    <w:rsid w:val="00DD0193"/>
    <w:rsid w:val="00DD02D7"/>
    <w:rsid w:val="00DD0341"/>
    <w:rsid w:val="00DD0423"/>
    <w:rsid w:val="00DD04D3"/>
    <w:rsid w:val="00DD0746"/>
    <w:rsid w:val="00DD079E"/>
    <w:rsid w:val="00DD084D"/>
    <w:rsid w:val="00DD0981"/>
    <w:rsid w:val="00DD0A0E"/>
    <w:rsid w:val="00DD0FD0"/>
    <w:rsid w:val="00DD0FD4"/>
    <w:rsid w:val="00DD109F"/>
    <w:rsid w:val="00DD112C"/>
    <w:rsid w:val="00DD11A7"/>
    <w:rsid w:val="00DD141D"/>
    <w:rsid w:val="00DD14F7"/>
    <w:rsid w:val="00DD1834"/>
    <w:rsid w:val="00DD19BB"/>
    <w:rsid w:val="00DD1B9F"/>
    <w:rsid w:val="00DD1FCF"/>
    <w:rsid w:val="00DD2124"/>
    <w:rsid w:val="00DD21D1"/>
    <w:rsid w:val="00DD21EC"/>
    <w:rsid w:val="00DD21F5"/>
    <w:rsid w:val="00DD2211"/>
    <w:rsid w:val="00DD2356"/>
    <w:rsid w:val="00DD2408"/>
    <w:rsid w:val="00DD2477"/>
    <w:rsid w:val="00DD24A4"/>
    <w:rsid w:val="00DD24C2"/>
    <w:rsid w:val="00DD2527"/>
    <w:rsid w:val="00DD25B9"/>
    <w:rsid w:val="00DD2680"/>
    <w:rsid w:val="00DD28CE"/>
    <w:rsid w:val="00DD28E4"/>
    <w:rsid w:val="00DD2941"/>
    <w:rsid w:val="00DD297D"/>
    <w:rsid w:val="00DD2A54"/>
    <w:rsid w:val="00DD2C53"/>
    <w:rsid w:val="00DD2F49"/>
    <w:rsid w:val="00DD2FF5"/>
    <w:rsid w:val="00DD3030"/>
    <w:rsid w:val="00DD3097"/>
    <w:rsid w:val="00DD3283"/>
    <w:rsid w:val="00DD32FE"/>
    <w:rsid w:val="00DD34D4"/>
    <w:rsid w:val="00DD34F7"/>
    <w:rsid w:val="00DD3701"/>
    <w:rsid w:val="00DD375A"/>
    <w:rsid w:val="00DD3767"/>
    <w:rsid w:val="00DD37AC"/>
    <w:rsid w:val="00DD3837"/>
    <w:rsid w:val="00DD3860"/>
    <w:rsid w:val="00DD3A0D"/>
    <w:rsid w:val="00DD3A0E"/>
    <w:rsid w:val="00DD3C5D"/>
    <w:rsid w:val="00DD3CF2"/>
    <w:rsid w:val="00DD3D74"/>
    <w:rsid w:val="00DD3EFB"/>
    <w:rsid w:val="00DD3F7B"/>
    <w:rsid w:val="00DD434A"/>
    <w:rsid w:val="00DD4411"/>
    <w:rsid w:val="00DD4444"/>
    <w:rsid w:val="00DD4528"/>
    <w:rsid w:val="00DD4885"/>
    <w:rsid w:val="00DD48E1"/>
    <w:rsid w:val="00DD4BEE"/>
    <w:rsid w:val="00DD4E3D"/>
    <w:rsid w:val="00DD4F5A"/>
    <w:rsid w:val="00DD51FB"/>
    <w:rsid w:val="00DD525B"/>
    <w:rsid w:val="00DD53F8"/>
    <w:rsid w:val="00DD53FB"/>
    <w:rsid w:val="00DD5446"/>
    <w:rsid w:val="00DD549F"/>
    <w:rsid w:val="00DD5508"/>
    <w:rsid w:val="00DD55C6"/>
    <w:rsid w:val="00DD56FE"/>
    <w:rsid w:val="00DD573F"/>
    <w:rsid w:val="00DD5952"/>
    <w:rsid w:val="00DD5DD9"/>
    <w:rsid w:val="00DD5E43"/>
    <w:rsid w:val="00DD60FD"/>
    <w:rsid w:val="00DD614D"/>
    <w:rsid w:val="00DD6165"/>
    <w:rsid w:val="00DD6240"/>
    <w:rsid w:val="00DD63EF"/>
    <w:rsid w:val="00DD649D"/>
    <w:rsid w:val="00DD65E6"/>
    <w:rsid w:val="00DD6A20"/>
    <w:rsid w:val="00DD6B5B"/>
    <w:rsid w:val="00DD6BA2"/>
    <w:rsid w:val="00DD6C4F"/>
    <w:rsid w:val="00DD6D50"/>
    <w:rsid w:val="00DD6E2D"/>
    <w:rsid w:val="00DD704B"/>
    <w:rsid w:val="00DD7337"/>
    <w:rsid w:val="00DD73F6"/>
    <w:rsid w:val="00DD7480"/>
    <w:rsid w:val="00DD77BD"/>
    <w:rsid w:val="00DD77F0"/>
    <w:rsid w:val="00DD7837"/>
    <w:rsid w:val="00DD78DC"/>
    <w:rsid w:val="00DD79A1"/>
    <w:rsid w:val="00DE0056"/>
    <w:rsid w:val="00DE02EF"/>
    <w:rsid w:val="00DE0430"/>
    <w:rsid w:val="00DE0621"/>
    <w:rsid w:val="00DE0677"/>
    <w:rsid w:val="00DE0919"/>
    <w:rsid w:val="00DE09F0"/>
    <w:rsid w:val="00DE0AA9"/>
    <w:rsid w:val="00DE0B74"/>
    <w:rsid w:val="00DE0BE7"/>
    <w:rsid w:val="00DE0EA7"/>
    <w:rsid w:val="00DE0F18"/>
    <w:rsid w:val="00DE11F8"/>
    <w:rsid w:val="00DE1513"/>
    <w:rsid w:val="00DE15E5"/>
    <w:rsid w:val="00DE181D"/>
    <w:rsid w:val="00DE18BA"/>
    <w:rsid w:val="00DE1AC3"/>
    <w:rsid w:val="00DE1AD8"/>
    <w:rsid w:val="00DE1BF3"/>
    <w:rsid w:val="00DE1C01"/>
    <w:rsid w:val="00DE1C3D"/>
    <w:rsid w:val="00DE1C70"/>
    <w:rsid w:val="00DE1CB3"/>
    <w:rsid w:val="00DE1DBE"/>
    <w:rsid w:val="00DE200A"/>
    <w:rsid w:val="00DE2049"/>
    <w:rsid w:val="00DE2092"/>
    <w:rsid w:val="00DE20D2"/>
    <w:rsid w:val="00DE2188"/>
    <w:rsid w:val="00DE21E9"/>
    <w:rsid w:val="00DE2326"/>
    <w:rsid w:val="00DE256D"/>
    <w:rsid w:val="00DE25A5"/>
    <w:rsid w:val="00DE266D"/>
    <w:rsid w:val="00DE27C1"/>
    <w:rsid w:val="00DE28A2"/>
    <w:rsid w:val="00DE2A20"/>
    <w:rsid w:val="00DE2E0B"/>
    <w:rsid w:val="00DE2E43"/>
    <w:rsid w:val="00DE2E61"/>
    <w:rsid w:val="00DE2F7A"/>
    <w:rsid w:val="00DE31C0"/>
    <w:rsid w:val="00DE3209"/>
    <w:rsid w:val="00DE3281"/>
    <w:rsid w:val="00DE3323"/>
    <w:rsid w:val="00DE3329"/>
    <w:rsid w:val="00DE334A"/>
    <w:rsid w:val="00DE3354"/>
    <w:rsid w:val="00DE3455"/>
    <w:rsid w:val="00DE350A"/>
    <w:rsid w:val="00DE358D"/>
    <w:rsid w:val="00DE35C2"/>
    <w:rsid w:val="00DE363B"/>
    <w:rsid w:val="00DE36AB"/>
    <w:rsid w:val="00DE376A"/>
    <w:rsid w:val="00DE37B7"/>
    <w:rsid w:val="00DE396A"/>
    <w:rsid w:val="00DE3A47"/>
    <w:rsid w:val="00DE3B2D"/>
    <w:rsid w:val="00DE3EA0"/>
    <w:rsid w:val="00DE3F1C"/>
    <w:rsid w:val="00DE3F94"/>
    <w:rsid w:val="00DE3FEF"/>
    <w:rsid w:val="00DE400C"/>
    <w:rsid w:val="00DE4339"/>
    <w:rsid w:val="00DE4377"/>
    <w:rsid w:val="00DE442A"/>
    <w:rsid w:val="00DE4435"/>
    <w:rsid w:val="00DE44FA"/>
    <w:rsid w:val="00DE45E8"/>
    <w:rsid w:val="00DE4880"/>
    <w:rsid w:val="00DE48EB"/>
    <w:rsid w:val="00DE4C00"/>
    <w:rsid w:val="00DE4EF3"/>
    <w:rsid w:val="00DE5037"/>
    <w:rsid w:val="00DE50EB"/>
    <w:rsid w:val="00DE5140"/>
    <w:rsid w:val="00DE51C1"/>
    <w:rsid w:val="00DE525A"/>
    <w:rsid w:val="00DE53F2"/>
    <w:rsid w:val="00DE56E7"/>
    <w:rsid w:val="00DE5753"/>
    <w:rsid w:val="00DE580A"/>
    <w:rsid w:val="00DE580C"/>
    <w:rsid w:val="00DE5824"/>
    <w:rsid w:val="00DE5829"/>
    <w:rsid w:val="00DE5831"/>
    <w:rsid w:val="00DE5A86"/>
    <w:rsid w:val="00DE5ABF"/>
    <w:rsid w:val="00DE5C6D"/>
    <w:rsid w:val="00DE5C7F"/>
    <w:rsid w:val="00DE5EC6"/>
    <w:rsid w:val="00DE61BD"/>
    <w:rsid w:val="00DE61C2"/>
    <w:rsid w:val="00DE6257"/>
    <w:rsid w:val="00DE6371"/>
    <w:rsid w:val="00DE6450"/>
    <w:rsid w:val="00DE6522"/>
    <w:rsid w:val="00DE6563"/>
    <w:rsid w:val="00DE65A9"/>
    <w:rsid w:val="00DE6886"/>
    <w:rsid w:val="00DE690A"/>
    <w:rsid w:val="00DE69E1"/>
    <w:rsid w:val="00DE6B53"/>
    <w:rsid w:val="00DE6E12"/>
    <w:rsid w:val="00DE6E24"/>
    <w:rsid w:val="00DE6EAC"/>
    <w:rsid w:val="00DE70ED"/>
    <w:rsid w:val="00DE711D"/>
    <w:rsid w:val="00DE714D"/>
    <w:rsid w:val="00DE7423"/>
    <w:rsid w:val="00DE743C"/>
    <w:rsid w:val="00DE74E2"/>
    <w:rsid w:val="00DE74F4"/>
    <w:rsid w:val="00DE750C"/>
    <w:rsid w:val="00DE760F"/>
    <w:rsid w:val="00DE7666"/>
    <w:rsid w:val="00DE7736"/>
    <w:rsid w:val="00DE7786"/>
    <w:rsid w:val="00DE77A2"/>
    <w:rsid w:val="00DE77FD"/>
    <w:rsid w:val="00DE7842"/>
    <w:rsid w:val="00DE785A"/>
    <w:rsid w:val="00DE7A5C"/>
    <w:rsid w:val="00DE7B5E"/>
    <w:rsid w:val="00DE7BD7"/>
    <w:rsid w:val="00DE7BFF"/>
    <w:rsid w:val="00DE7D06"/>
    <w:rsid w:val="00DE7D09"/>
    <w:rsid w:val="00DE7D91"/>
    <w:rsid w:val="00DE7DAF"/>
    <w:rsid w:val="00DE7FF8"/>
    <w:rsid w:val="00DF020B"/>
    <w:rsid w:val="00DF0284"/>
    <w:rsid w:val="00DF0393"/>
    <w:rsid w:val="00DF0659"/>
    <w:rsid w:val="00DF0714"/>
    <w:rsid w:val="00DF07E0"/>
    <w:rsid w:val="00DF0A50"/>
    <w:rsid w:val="00DF0A9C"/>
    <w:rsid w:val="00DF0B7A"/>
    <w:rsid w:val="00DF0C88"/>
    <w:rsid w:val="00DF0DBB"/>
    <w:rsid w:val="00DF0F55"/>
    <w:rsid w:val="00DF129A"/>
    <w:rsid w:val="00DF139F"/>
    <w:rsid w:val="00DF142D"/>
    <w:rsid w:val="00DF14AE"/>
    <w:rsid w:val="00DF152A"/>
    <w:rsid w:val="00DF1752"/>
    <w:rsid w:val="00DF17F7"/>
    <w:rsid w:val="00DF18AD"/>
    <w:rsid w:val="00DF1A08"/>
    <w:rsid w:val="00DF1B12"/>
    <w:rsid w:val="00DF1BFC"/>
    <w:rsid w:val="00DF1D82"/>
    <w:rsid w:val="00DF1F18"/>
    <w:rsid w:val="00DF1F54"/>
    <w:rsid w:val="00DF2025"/>
    <w:rsid w:val="00DF21B8"/>
    <w:rsid w:val="00DF2280"/>
    <w:rsid w:val="00DF2304"/>
    <w:rsid w:val="00DF23FB"/>
    <w:rsid w:val="00DF2495"/>
    <w:rsid w:val="00DF2579"/>
    <w:rsid w:val="00DF258C"/>
    <w:rsid w:val="00DF26E5"/>
    <w:rsid w:val="00DF2931"/>
    <w:rsid w:val="00DF2FCF"/>
    <w:rsid w:val="00DF312B"/>
    <w:rsid w:val="00DF3170"/>
    <w:rsid w:val="00DF319B"/>
    <w:rsid w:val="00DF31A2"/>
    <w:rsid w:val="00DF342D"/>
    <w:rsid w:val="00DF356E"/>
    <w:rsid w:val="00DF35A8"/>
    <w:rsid w:val="00DF3627"/>
    <w:rsid w:val="00DF3842"/>
    <w:rsid w:val="00DF3900"/>
    <w:rsid w:val="00DF3914"/>
    <w:rsid w:val="00DF3966"/>
    <w:rsid w:val="00DF3A0E"/>
    <w:rsid w:val="00DF3A96"/>
    <w:rsid w:val="00DF3ABD"/>
    <w:rsid w:val="00DF3AD6"/>
    <w:rsid w:val="00DF3BE6"/>
    <w:rsid w:val="00DF3C10"/>
    <w:rsid w:val="00DF3D22"/>
    <w:rsid w:val="00DF3DBD"/>
    <w:rsid w:val="00DF3DC0"/>
    <w:rsid w:val="00DF3E38"/>
    <w:rsid w:val="00DF3E66"/>
    <w:rsid w:val="00DF3EC7"/>
    <w:rsid w:val="00DF3F71"/>
    <w:rsid w:val="00DF3FE2"/>
    <w:rsid w:val="00DF4014"/>
    <w:rsid w:val="00DF4125"/>
    <w:rsid w:val="00DF41CB"/>
    <w:rsid w:val="00DF42AB"/>
    <w:rsid w:val="00DF42DA"/>
    <w:rsid w:val="00DF4349"/>
    <w:rsid w:val="00DF4436"/>
    <w:rsid w:val="00DF4455"/>
    <w:rsid w:val="00DF4475"/>
    <w:rsid w:val="00DF4552"/>
    <w:rsid w:val="00DF45EF"/>
    <w:rsid w:val="00DF4661"/>
    <w:rsid w:val="00DF46FA"/>
    <w:rsid w:val="00DF491B"/>
    <w:rsid w:val="00DF4A91"/>
    <w:rsid w:val="00DF4AA2"/>
    <w:rsid w:val="00DF4B6F"/>
    <w:rsid w:val="00DF4BB6"/>
    <w:rsid w:val="00DF4BC6"/>
    <w:rsid w:val="00DF4D40"/>
    <w:rsid w:val="00DF5007"/>
    <w:rsid w:val="00DF51AE"/>
    <w:rsid w:val="00DF5288"/>
    <w:rsid w:val="00DF52E8"/>
    <w:rsid w:val="00DF53A5"/>
    <w:rsid w:val="00DF53CB"/>
    <w:rsid w:val="00DF554B"/>
    <w:rsid w:val="00DF5564"/>
    <w:rsid w:val="00DF5603"/>
    <w:rsid w:val="00DF57A4"/>
    <w:rsid w:val="00DF57B9"/>
    <w:rsid w:val="00DF58D6"/>
    <w:rsid w:val="00DF5949"/>
    <w:rsid w:val="00DF5B41"/>
    <w:rsid w:val="00DF5B4D"/>
    <w:rsid w:val="00DF5C15"/>
    <w:rsid w:val="00DF5C70"/>
    <w:rsid w:val="00DF5C71"/>
    <w:rsid w:val="00DF5F80"/>
    <w:rsid w:val="00DF6107"/>
    <w:rsid w:val="00DF617F"/>
    <w:rsid w:val="00DF61B5"/>
    <w:rsid w:val="00DF61F9"/>
    <w:rsid w:val="00DF6268"/>
    <w:rsid w:val="00DF6470"/>
    <w:rsid w:val="00DF671D"/>
    <w:rsid w:val="00DF6778"/>
    <w:rsid w:val="00DF67F7"/>
    <w:rsid w:val="00DF6835"/>
    <w:rsid w:val="00DF687D"/>
    <w:rsid w:val="00DF68DE"/>
    <w:rsid w:val="00DF6907"/>
    <w:rsid w:val="00DF69FC"/>
    <w:rsid w:val="00DF6B80"/>
    <w:rsid w:val="00DF6BA1"/>
    <w:rsid w:val="00DF6CE2"/>
    <w:rsid w:val="00DF6E08"/>
    <w:rsid w:val="00DF6FA2"/>
    <w:rsid w:val="00DF6FCB"/>
    <w:rsid w:val="00DF6FD8"/>
    <w:rsid w:val="00DF7069"/>
    <w:rsid w:val="00DF729E"/>
    <w:rsid w:val="00DF733B"/>
    <w:rsid w:val="00DF733D"/>
    <w:rsid w:val="00DF7374"/>
    <w:rsid w:val="00DF73BB"/>
    <w:rsid w:val="00DF74ED"/>
    <w:rsid w:val="00DF7675"/>
    <w:rsid w:val="00DF769D"/>
    <w:rsid w:val="00DF76F6"/>
    <w:rsid w:val="00DF77E1"/>
    <w:rsid w:val="00DF790D"/>
    <w:rsid w:val="00DF7AFC"/>
    <w:rsid w:val="00DF7BA8"/>
    <w:rsid w:val="00DF7D2F"/>
    <w:rsid w:val="00DF7F1F"/>
    <w:rsid w:val="00DF7FE8"/>
    <w:rsid w:val="00E000EC"/>
    <w:rsid w:val="00E001E2"/>
    <w:rsid w:val="00E00204"/>
    <w:rsid w:val="00E0027C"/>
    <w:rsid w:val="00E002E0"/>
    <w:rsid w:val="00E00333"/>
    <w:rsid w:val="00E00367"/>
    <w:rsid w:val="00E004A0"/>
    <w:rsid w:val="00E004CC"/>
    <w:rsid w:val="00E0052D"/>
    <w:rsid w:val="00E00603"/>
    <w:rsid w:val="00E00622"/>
    <w:rsid w:val="00E008D3"/>
    <w:rsid w:val="00E0093C"/>
    <w:rsid w:val="00E0099C"/>
    <w:rsid w:val="00E009A7"/>
    <w:rsid w:val="00E00A20"/>
    <w:rsid w:val="00E00BE9"/>
    <w:rsid w:val="00E00C8B"/>
    <w:rsid w:val="00E00CAC"/>
    <w:rsid w:val="00E00D0A"/>
    <w:rsid w:val="00E00D30"/>
    <w:rsid w:val="00E00E39"/>
    <w:rsid w:val="00E00EBC"/>
    <w:rsid w:val="00E00EF5"/>
    <w:rsid w:val="00E0101B"/>
    <w:rsid w:val="00E01264"/>
    <w:rsid w:val="00E01385"/>
    <w:rsid w:val="00E01544"/>
    <w:rsid w:val="00E01545"/>
    <w:rsid w:val="00E0156C"/>
    <w:rsid w:val="00E01696"/>
    <w:rsid w:val="00E01A4F"/>
    <w:rsid w:val="00E01AFB"/>
    <w:rsid w:val="00E01B70"/>
    <w:rsid w:val="00E01C6B"/>
    <w:rsid w:val="00E01D8F"/>
    <w:rsid w:val="00E01EA6"/>
    <w:rsid w:val="00E02024"/>
    <w:rsid w:val="00E02056"/>
    <w:rsid w:val="00E020BA"/>
    <w:rsid w:val="00E02211"/>
    <w:rsid w:val="00E0242C"/>
    <w:rsid w:val="00E02440"/>
    <w:rsid w:val="00E02469"/>
    <w:rsid w:val="00E02510"/>
    <w:rsid w:val="00E0252B"/>
    <w:rsid w:val="00E0282B"/>
    <w:rsid w:val="00E0285A"/>
    <w:rsid w:val="00E02A34"/>
    <w:rsid w:val="00E02A5E"/>
    <w:rsid w:val="00E02AAD"/>
    <w:rsid w:val="00E02B04"/>
    <w:rsid w:val="00E02B62"/>
    <w:rsid w:val="00E02B8C"/>
    <w:rsid w:val="00E02CB2"/>
    <w:rsid w:val="00E02CD4"/>
    <w:rsid w:val="00E02EB5"/>
    <w:rsid w:val="00E02F7E"/>
    <w:rsid w:val="00E02F80"/>
    <w:rsid w:val="00E02F87"/>
    <w:rsid w:val="00E0301C"/>
    <w:rsid w:val="00E0305E"/>
    <w:rsid w:val="00E030AA"/>
    <w:rsid w:val="00E03188"/>
    <w:rsid w:val="00E03305"/>
    <w:rsid w:val="00E0330E"/>
    <w:rsid w:val="00E03313"/>
    <w:rsid w:val="00E033A8"/>
    <w:rsid w:val="00E033DD"/>
    <w:rsid w:val="00E03445"/>
    <w:rsid w:val="00E034D7"/>
    <w:rsid w:val="00E03528"/>
    <w:rsid w:val="00E035A0"/>
    <w:rsid w:val="00E035D3"/>
    <w:rsid w:val="00E0369B"/>
    <w:rsid w:val="00E036A0"/>
    <w:rsid w:val="00E036B6"/>
    <w:rsid w:val="00E0371D"/>
    <w:rsid w:val="00E03830"/>
    <w:rsid w:val="00E038F4"/>
    <w:rsid w:val="00E03923"/>
    <w:rsid w:val="00E03AC9"/>
    <w:rsid w:val="00E03AF1"/>
    <w:rsid w:val="00E03BA1"/>
    <w:rsid w:val="00E03C11"/>
    <w:rsid w:val="00E03FC5"/>
    <w:rsid w:val="00E03FE8"/>
    <w:rsid w:val="00E0413C"/>
    <w:rsid w:val="00E0442C"/>
    <w:rsid w:val="00E045AD"/>
    <w:rsid w:val="00E0463A"/>
    <w:rsid w:val="00E04770"/>
    <w:rsid w:val="00E0488C"/>
    <w:rsid w:val="00E04972"/>
    <w:rsid w:val="00E04A47"/>
    <w:rsid w:val="00E04A6F"/>
    <w:rsid w:val="00E04A70"/>
    <w:rsid w:val="00E04A8B"/>
    <w:rsid w:val="00E04BFE"/>
    <w:rsid w:val="00E04CC5"/>
    <w:rsid w:val="00E04CD6"/>
    <w:rsid w:val="00E04D38"/>
    <w:rsid w:val="00E04D85"/>
    <w:rsid w:val="00E04ECF"/>
    <w:rsid w:val="00E04EF3"/>
    <w:rsid w:val="00E04F6B"/>
    <w:rsid w:val="00E04F71"/>
    <w:rsid w:val="00E04F73"/>
    <w:rsid w:val="00E05030"/>
    <w:rsid w:val="00E0504A"/>
    <w:rsid w:val="00E050A6"/>
    <w:rsid w:val="00E05137"/>
    <w:rsid w:val="00E0516F"/>
    <w:rsid w:val="00E051BF"/>
    <w:rsid w:val="00E0532D"/>
    <w:rsid w:val="00E053D3"/>
    <w:rsid w:val="00E0547A"/>
    <w:rsid w:val="00E0566F"/>
    <w:rsid w:val="00E056D4"/>
    <w:rsid w:val="00E058AB"/>
    <w:rsid w:val="00E05AB0"/>
    <w:rsid w:val="00E05B1E"/>
    <w:rsid w:val="00E05BC4"/>
    <w:rsid w:val="00E05C65"/>
    <w:rsid w:val="00E05D6A"/>
    <w:rsid w:val="00E05E95"/>
    <w:rsid w:val="00E05FF0"/>
    <w:rsid w:val="00E0618D"/>
    <w:rsid w:val="00E0619F"/>
    <w:rsid w:val="00E061DE"/>
    <w:rsid w:val="00E06314"/>
    <w:rsid w:val="00E0641B"/>
    <w:rsid w:val="00E0645A"/>
    <w:rsid w:val="00E06697"/>
    <w:rsid w:val="00E066BA"/>
    <w:rsid w:val="00E066BF"/>
    <w:rsid w:val="00E06765"/>
    <w:rsid w:val="00E0684C"/>
    <w:rsid w:val="00E06858"/>
    <w:rsid w:val="00E069E1"/>
    <w:rsid w:val="00E06A7D"/>
    <w:rsid w:val="00E06AAF"/>
    <w:rsid w:val="00E06F01"/>
    <w:rsid w:val="00E06F60"/>
    <w:rsid w:val="00E07079"/>
    <w:rsid w:val="00E071BA"/>
    <w:rsid w:val="00E07247"/>
    <w:rsid w:val="00E07253"/>
    <w:rsid w:val="00E073E9"/>
    <w:rsid w:val="00E0754B"/>
    <w:rsid w:val="00E075CB"/>
    <w:rsid w:val="00E07732"/>
    <w:rsid w:val="00E079B3"/>
    <w:rsid w:val="00E07B49"/>
    <w:rsid w:val="00E07D78"/>
    <w:rsid w:val="00E07EBF"/>
    <w:rsid w:val="00E07FB2"/>
    <w:rsid w:val="00E100E2"/>
    <w:rsid w:val="00E102F3"/>
    <w:rsid w:val="00E1032E"/>
    <w:rsid w:val="00E10339"/>
    <w:rsid w:val="00E1036C"/>
    <w:rsid w:val="00E103AA"/>
    <w:rsid w:val="00E104F0"/>
    <w:rsid w:val="00E10598"/>
    <w:rsid w:val="00E1074A"/>
    <w:rsid w:val="00E10793"/>
    <w:rsid w:val="00E10992"/>
    <w:rsid w:val="00E109C7"/>
    <w:rsid w:val="00E10C7B"/>
    <w:rsid w:val="00E10CB5"/>
    <w:rsid w:val="00E10DEA"/>
    <w:rsid w:val="00E10E46"/>
    <w:rsid w:val="00E10E72"/>
    <w:rsid w:val="00E10F6F"/>
    <w:rsid w:val="00E1105A"/>
    <w:rsid w:val="00E1109E"/>
    <w:rsid w:val="00E11133"/>
    <w:rsid w:val="00E111D9"/>
    <w:rsid w:val="00E111DD"/>
    <w:rsid w:val="00E111FB"/>
    <w:rsid w:val="00E1137D"/>
    <w:rsid w:val="00E113F6"/>
    <w:rsid w:val="00E11591"/>
    <w:rsid w:val="00E11660"/>
    <w:rsid w:val="00E1187F"/>
    <w:rsid w:val="00E118D6"/>
    <w:rsid w:val="00E11A5F"/>
    <w:rsid w:val="00E11A8D"/>
    <w:rsid w:val="00E11AC5"/>
    <w:rsid w:val="00E11B2C"/>
    <w:rsid w:val="00E11BF0"/>
    <w:rsid w:val="00E11CB0"/>
    <w:rsid w:val="00E11D45"/>
    <w:rsid w:val="00E11E42"/>
    <w:rsid w:val="00E11E8E"/>
    <w:rsid w:val="00E11F56"/>
    <w:rsid w:val="00E120B4"/>
    <w:rsid w:val="00E12129"/>
    <w:rsid w:val="00E121DF"/>
    <w:rsid w:val="00E122AA"/>
    <w:rsid w:val="00E12338"/>
    <w:rsid w:val="00E12386"/>
    <w:rsid w:val="00E12455"/>
    <w:rsid w:val="00E1263A"/>
    <w:rsid w:val="00E12724"/>
    <w:rsid w:val="00E127EE"/>
    <w:rsid w:val="00E12A8C"/>
    <w:rsid w:val="00E12ABA"/>
    <w:rsid w:val="00E12C82"/>
    <w:rsid w:val="00E12C94"/>
    <w:rsid w:val="00E12D70"/>
    <w:rsid w:val="00E12E6C"/>
    <w:rsid w:val="00E12E6D"/>
    <w:rsid w:val="00E12EE1"/>
    <w:rsid w:val="00E12EEC"/>
    <w:rsid w:val="00E12F31"/>
    <w:rsid w:val="00E12F54"/>
    <w:rsid w:val="00E12FD6"/>
    <w:rsid w:val="00E130A1"/>
    <w:rsid w:val="00E13132"/>
    <w:rsid w:val="00E1313C"/>
    <w:rsid w:val="00E1345D"/>
    <w:rsid w:val="00E13713"/>
    <w:rsid w:val="00E13B0F"/>
    <w:rsid w:val="00E13B37"/>
    <w:rsid w:val="00E13BC5"/>
    <w:rsid w:val="00E13D75"/>
    <w:rsid w:val="00E13DAE"/>
    <w:rsid w:val="00E13E00"/>
    <w:rsid w:val="00E13E50"/>
    <w:rsid w:val="00E1404E"/>
    <w:rsid w:val="00E140D6"/>
    <w:rsid w:val="00E14173"/>
    <w:rsid w:val="00E1417C"/>
    <w:rsid w:val="00E14216"/>
    <w:rsid w:val="00E1425E"/>
    <w:rsid w:val="00E142E6"/>
    <w:rsid w:val="00E14357"/>
    <w:rsid w:val="00E14499"/>
    <w:rsid w:val="00E144F9"/>
    <w:rsid w:val="00E1455D"/>
    <w:rsid w:val="00E145D1"/>
    <w:rsid w:val="00E146A0"/>
    <w:rsid w:val="00E146A7"/>
    <w:rsid w:val="00E146F2"/>
    <w:rsid w:val="00E1488E"/>
    <w:rsid w:val="00E14907"/>
    <w:rsid w:val="00E14BCD"/>
    <w:rsid w:val="00E14DC9"/>
    <w:rsid w:val="00E14E29"/>
    <w:rsid w:val="00E14E61"/>
    <w:rsid w:val="00E14EE5"/>
    <w:rsid w:val="00E14FC5"/>
    <w:rsid w:val="00E1509D"/>
    <w:rsid w:val="00E150AC"/>
    <w:rsid w:val="00E1517B"/>
    <w:rsid w:val="00E156FB"/>
    <w:rsid w:val="00E1575D"/>
    <w:rsid w:val="00E157BF"/>
    <w:rsid w:val="00E15853"/>
    <w:rsid w:val="00E1585A"/>
    <w:rsid w:val="00E158AD"/>
    <w:rsid w:val="00E15952"/>
    <w:rsid w:val="00E15960"/>
    <w:rsid w:val="00E1597D"/>
    <w:rsid w:val="00E15A0D"/>
    <w:rsid w:val="00E15CB4"/>
    <w:rsid w:val="00E15D3D"/>
    <w:rsid w:val="00E15D42"/>
    <w:rsid w:val="00E15D48"/>
    <w:rsid w:val="00E161A7"/>
    <w:rsid w:val="00E161DB"/>
    <w:rsid w:val="00E1620A"/>
    <w:rsid w:val="00E1624E"/>
    <w:rsid w:val="00E1634D"/>
    <w:rsid w:val="00E16478"/>
    <w:rsid w:val="00E164CD"/>
    <w:rsid w:val="00E1651F"/>
    <w:rsid w:val="00E1656E"/>
    <w:rsid w:val="00E1662A"/>
    <w:rsid w:val="00E16637"/>
    <w:rsid w:val="00E166E8"/>
    <w:rsid w:val="00E16A08"/>
    <w:rsid w:val="00E16B47"/>
    <w:rsid w:val="00E16C25"/>
    <w:rsid w:val="00E16F0A"/>
    <w:rsid w:val="00E16F19"/>
    <w:rsid w:val="00E171BD"/>
    <w:rsid w:val="00E1729F"/>
    <w:rsid w:val="00E172CC"/>
    <w:rsid w:val="00E172DD"/>
    <w:rsid w:val="00E1736D"/>
    <w:rsid w:val="00E17396"/>
    <w:rsid w:val="00E17484"/>
    <w:rsid w:val="00E174AF"/>
    <w:rsid w:val="00E17575"/>
    <w:rsid w:val="00E17600"/>
    <w:rsid w:val="00E17900"/>
    <w:rsid w:val="00E17976"/>
    <w:rsid w:val="00E179DD"/>
    <w:rsid w:val="00E17A34"/>
    <w:rsid w:val="00E17A3C"/>
    <w:rsid w:val="00E17C94"/>
    <w:rsid w:val="00E17CAF"/>
    <w:rsid w:val="00E17CC7"/>
    <w:rsid w:val="00E17E59"/>
    <w:rsid w:val="00E17E75"/>
    <w:rsid w:val="00E17EB0"/>
    <w:rsid w:val="00E17FC0"/>
    <w:rsid w:val="00E1AECD"/>
    <w:rsid w:val="00E20130"/>
    <w:rsid w:val="00E20152"/>
    <w:rsid w:val="00E20197"/>
    <w:rsid w:val="00E2062B"/>
    <w:rsid w:val="00E20880"/>
    <w:rsid w:val="00E208A2"/>
    <w:rsid w:val="00E208B5"/>
    <w:rsid w:val="00E20905"/>
    <w:rsid w:val="00E20C37"/>
    <w:rsid w:val="00E20F04"/>
    <w:rsid w:val="00E20F55"/>
    <w:rsid w:val="00E21036"/>
    <w:rsid w:val="00E210FF"/>
    <w:rsid w:val="00E21191"/>
    <w:rsid w:val="00E21196"/>
    <w:rsid w:val="00E21217"/>
    <w:rsid w:val="00E214F7"/>
    <w:rsid w:val="00E2152B"/>
    <w:rsid w:val="00E215AD"/>
    <w:rsid w:val="00E21614"/>
    <w:rsid w:val="00E2169E"/>
    <w:rsid w:val="00E21833"/>
    <w:rsid w:val="00E218BB"/>
    <w:rsid w:val="00E21AA4"/>
    <w:rsid w:val="00E21C1A"/>
    <w:rsid w:val="00E21D87"/>
    <w:rsid w:val="00E21EFF"/>
    <w:rsid w:val="00E22016"/>
    <w:rsid w:val="00E22230"/>
    <w:rsid w:val="00E22517"/>
    <w:rsid w:val="00E2252D"/>
    <w:rsid w:val="00E22609"/>
    <w:rsid w:val="00E2267D"/>
    <w:rsid w:val="00E22685"/>
    <w:rsid w:val="00E226B4"/>
    <w:rsid w:val="00E227D0"/>
    <w:rsid w:val="00E22B57"/>
    <w:rsid w:val="00E22BFA"/>
    <w:rsid w:val="00E22D61"/>
    <w:rsid w:val="00E22E5B"/>
    <w:rsid w:val="00E22EE1"/>
    <w:rsid w:val="00E22FF5"/>
    <w:rsid w:val="00E23001"/>
    <w:rsid w:val="00E232BD"/>
    <w:rsid w:val="00E23427"/>
    <w:rsid w:val="00E2346F"/>
    <w:rsid w:val="00E23628"/>
    <w:rsid w:val="00E23697"/>
    <w:rsid w:val="00E2374E"/>
    <w:rsid w:val="00E2394F"/>
    <w:rsid w:val="00E239CD"/>
    <w:rsid w:val="00E239DA"/>
    <w:rsid w:val="00E23A0F"/>
    <w:rsid w:val="00E23ABE"/>
    <w:rsid w:val="00E23D25"/>
    <w:rsid w:val="00E23F6D"/>
    <w:rsid w:val="00E23FB5"/>
    <w:rsid w:val="00E2426A"/>
    <w:rsid w:val="00E24340"/>
    <w:rsid w:val="00E2436C"/>
    <w:rsid w:val="00E24514"/>
    <w:rsid w:val="00E24617"/>
    <w:rsid w:val="00E24674"/>
    <w:rsid w:val="00E2477B"/>
    <w:rsid w:val="00E247E9"/>
    <w:rsid w:val="00E24889"/>
    <w:rsid w:val="00E248BC"/>
    <w:rsid w:val="00E248BD"/>
    <w:rsid w:val="00E24930"/>
    <w:rsid w:val="00E24961"/>
    <w:rsid w:val="00E249E3"/>
    <w:rsid w:val="00E24AB1"/>
    <w:rsid w:val="00E24AB3"/>
    <w:rsid w:val="00E24BB9"/>
    <w:rsid w:val="00E24C16"/>
    <w:rsid w:val="00E24C4C"/>
    <w:rsid w:val="00E24F7E"/>
    <w:rsid w:val="00E25066"/>
    <w:rsid w:val="00E25106"/>
    <w:rsid w:val="00E2516B"/>
    <w:rsid w:val="00E251F3"/>
    <w:rsid w:val="00E252CA"/>
    <w:rsid w:val="00E254B6"/>
    <w:rsid w:val="00E254CB"/>
    <w:rsid w:val="00E254DC"/>
    <w:rsid w:val="00E25554"/>
    <w:rsid w:val="00E25623"/>
    <w:rsid w:val="00E25714"/>
    <w:rsid w:val="00E25719"/>
    <w:rsid w:val="00E25A34"/>
    <w:rsid w:val="00E25A8E"/>
    <w:rsid w:val="00E25AE9"/>
    <w:rsid w:val="00E25B04"/>
    <w:rsid w:val="00E25B15"/>
    <w:rsid w:val="00E25D13"/>
    <w:rsid w:val="00E25DD0"/>
    <w:rsid w:val="00E25FF2"/>
    <w:rsid w:val="00E26087"/>
    <w:rsid w:val="00E26205"/>
    <w:rsid w:val="00E26247"/>
    <w:rsid w:val="00E26265"/>
    <w:rsid w:val="00E262FD"/>
    <w:rsid w:val="00E26408"/>
    <w:rsid w:val="00E265F5"/>
    <w:rsid w:val="00E2661C"/>
    <w:rsid w:val="00E267CE"/>
    <w:rsid w:val="00E268BF"/>
    <w:rsid w:val="00E26986"/>
    <w:rsid w:val="00E269E4"/>
    <w:rsid w:val="00E26A52"/>
    <w:rsid w:val="00E26B39"/>
    <w:rsid w:val="00E26DA7"/>
    <w:rsid w:val="00E26DEC"/>
    <w:rsid w:val="00E26E6F"/>
    <w:rsid w:val="00E27094"/>
    <w:rsid w:val="00E270C8"/>
    <w:rsid w:val="00E27183"/>
    <w:rsid w:val="00E271BF"/>
    <w:rsid w:val="00E27331"/>
    <w:rsid w:val="00E27426"/>
    <w:rsid w:val="00E274F4"/>
    <w:rsid w:val="00E2754E"/>
    <w:rsid w:val="00E27563"/>
    <w:rsid w:val="00E27969"/>
    <w:rsid w:val="00E27995"/>
    <w:rsid w:val="00E279F5"/>
    <w:rsid w:val="00E27A13"/>
    <w:rsid w:val="00E27AB1"/>
    <w:rsid w:val="00E27D07"/>
    <w:rsid w:val="00E27E22"/>
    <w:rsid w:val="00E27F41"/>
    <w:rsid w:val="00E3025F"/>
    <w:rsid w:val="00E30364"/>
    <w:rsid w:val="00E303AA"/>
    <w:rsid w:val="00E305E9"/>
    <w:rsid w:val="00E308C6"/>
    <w:rsid w:val="00E308D4"/>
    <w:rsid w:val="00E3090E"/>
    <w:rsid w:val="00E30B4B"/>
    <w:rsid w:val="00E30BD6"/>
    <w:rsid w:val="00E30BF3"/>
    <w:rsid w:val="00E30DD9"/>
    <w:rsid w:val="00E30E3D"/>
    <w:rsid w:val="00E30EE1"/>
    <w:rsid w:val="00E314D7"/>
    <w:rsid w:val="00E316AD"/>
    <w:rsid w:val="00E317E1"/>
    <w:rsid w:val="00E31800"/>
    <w:rsid w:val="00E31981"/>
    <w:rsid w:val="00E319AD"/>
    <w:rsid w:val="00E319B2"/>
    <w:rsid w:val="00E31A76"/>
    <w:rsid w:val="00E31B2A"/>
    <w:rsid w:val="00E31C1B"/>
    <w:rsid w:val="00E31E1D"/>
    <w:rsid w:val="00E31F17"/>
    <w:rsid w:val="00E31FF1"/>
    <w:rsid w:val="00E31FFF"/>
    <w:rsid w:val="00E32098"/>
    <w:rsid w:val="00E324B8"/>
    <w:rsid w:val="00E326C2"/>
    <w:rsid w:val="00E3271A"/>
    <w:rsid w:val="00E327A6"/>
    <w:rsid w:val="00E327C2"/>
    <w:rsid w:val="00E329DF"/>
    <w:rsid w:val="00E32A61"/>
    <w:rsid w:val="00E32C64"/>
    <w:rsid w:val="00E32CC4"/>
    <w:rsid w:val="00E32CD8"/>
    <w:rsid w:val="00E32E26"/>
    <w:rsid w:val="00E32F0A"/>
    <w:rsid w:val="00E33074"/>
    <w:rsid w:val="00E332E1"/>
    <w:rsid w:val="00E3333F"/>
    <w:rsid w:val="00E3366C"/>
    <w:rsid w:val="00E336D6"/>
    <w:rsid w:val="00E338A3"/>
    <w:rsid w:val="00E339EE"/>
    <w:rsid w:val="00E33A94"/>
    <w:rsid w:val="00E33AD7"/>
    <w:rsid w:val="00E33B62"/>
    <w:rsid w:val="00E33F77"/>
    <w:rsid w:val="00E34262"/>
    <w:rsid w:val="00E3433E"/>
    <w:rsid w:val="00E343EB"/>
    <w:rsid w:val="00E34435"/>
    <w:rsid w:val="00E3445E"/>
    <w:rsid w:val="00E344EF"/>
    <w:rsid w:val="00E345D0"/>
    <w:rsid w:val="00E34693"/>
    <w:rsid w:val="00E3474D"/>
    <w:rsid w:val="00E34A1A"/>
    <w:rsid w:val="00E34B7A"/>
    <w:rsid w:val="00E34B83"/>
    <w:rsid w:val="00E34BA3"/>
    <w:rsid w:val="00E34C0D"/>
    <w:rsid w:val="00E34E30"/>
    <w:rsid w:val="00E34EBA"/>
    <w:rsid w:val="00E34F25"/>
    <w:rsid w:val="00E34FC8"/>
    <w:rsid w:val="00E35069"/>
    <w:rsid w:val="00E351A8"/>
    <w:rsid w:val="00E35224"/>
    <w:rsid w:val="00E352C9"/>
    <w:rsid w:val="00E3539B"/>
    <w:rsid w:val="00E35706"/>
    <w:rsid w:val="00E3570D"/>
    <w:rsid w:val="00E35806"/>
    <w:rsid w:val="00E358BF"/>
    <w:rsid w:val="00E3598E"/>
    <w:rsid w:val="00E359C1"/>
    <w:rsid w:val="00E35B8A"/>
    <w:rsid w:val="00E35CA4"/>
    <w:rsid w:val="00E35DBE"/>
    <w:rsid w:val="00E361CA"/>
    <w:rsid w:val="00E36240"/>
    <w:rsid w:val="00E36286"/>
    <w:rsid w:val="00E363F4"/>
    <w:rsid w:val="00E3647B"/>
    <w:rsid w:val="00E3652C"/>
    <w:rsid w:val="00E36546"/>
    <w:rsid w:val="00E3664B"/>
    <w:rsid w:val="00E366E7"/>
    <w:rsid w:val="00E3670D"/>
    <w:rsid w:val="00E367A5"/>
    <w:rsid w:val="00E368A8"/>
    <w:rsid w:val="00E36BD0"/>
    <w:rsid w:val="00E36C0C"/>
    <w:rsid w:val="00E36ECB"/>
    <w:rsid w:val="00E36EF0"/>
    <w:rsid w:val="00E36F5E"/>
    <w:rsid w:val="00E37079"/>
    <w:rsid w:val="00E3707F"/>
    <w:rsid w:val="00E370FA"/>
    <w:rsid w:val="00E3726A"/>
    <w:rsid w:val="00E372F2"/>
    <w:rsid w:val="00E37383"/>
    <w:rsid w:val="00E373A9"/>
    <w:rsid w:val="00E373CF"/>
    <w:rsid w:val="00E374C1"/>
    <w:rsid w:val="00E37554"/>
    <w:rsid w:val="00E375CF"/>
    <w:rsid w:val="00E3763A"/>
    <w:rsid w:val="00E37692"/>
    <w:rsid w:val="00E37719"/>
    <w:rsid w:val="00E377E8"/>
    <w:rsid w:val="00E3780E"/>
    <w:rsid w:val="00E378BB"/>
    <w:rsid w:val="00E379F1"/>
    <w:rsid w:val="00E37B08"/>
    <w:rsid w:val="00E37BC5"/>
    <w:rsid w:val="00E37CB2"/>
    <w:rsid w:val="00E37CB9"/>
    <w:rsid w:val="00E37DD9"/>
    <w:rsid w:val="00E37FF4"/>
    <w:rsid w:val="00E4007C"/>
    <w:rsid w:val="00E40138"/>
    <w:rsid w:val="00E401E7"/>
    <w:rsid w:val="00E40372"/>
    <w:rsid w:val="00E403F6"/>
    <w:rsid w:val="00E4040C"/>
    <w:rsid w:val="00E4058F"/>
    <w:rsid w:val="00E405E5"/>
    <w:rsid w:val="00E406A6"/>
    <w:rsid w:val="00E4083C"/>
    <w:rsid w:val="00E4088E"/>
    <w:rsid w:val="00E40A4B"/>
    <w:rsid w:val="00E40B31"/>
    <w:rsid w:val="00E40B73"/>
    <w:rsid w:val="00E40B8C"/>
    <w:rsid w:val="00E40D0B"/>
    <w:rsid w:val="00E40D3A"/>
    <w:rsid w:val="00E40E49"/>
    <w:rsid w:val="00E40F38"/>
    <w:rsid w:val="00E412C5"/>
    <w:rsid w:val="00E412D6"/>
    <w:rsid w:val="00E414A6"/>
    <w:rsid w:val="00E414CA"/>
    <w:rsid w:val="00E414E8"/>
    <w:rsid w:val="00E4152A"/>
    <w:rsid w:val="00E415A9"/>
    <w:rsid w:val="00E415E8"/>
    <w:rsid w:val="00E41A9A"/>
    <w:rsid w:val="00E41CFA"/>
    <w:rsid w:val="00E41DF9"/>
    <w:rsid w:val="00E41E39"/>
    <w:rsid w:val="00E41EBC"/>
    <w:rsid w:val="00E41F1A"/>
    <w:rsid w:val="00E41FAD"/>
    <w:rsid w:val="00E41FD3"/>
    <w:rsid w:val="00E42056"/>
    <w:rsid w:val="00E42122"/>
    <w:rsid w:val="00E4214E"/>
    <w:rsid w:val="00E4216C"/>
    <w:rsid w:val="00E423FB"/>
    <w:rsid w:val="00E4247B"/>
    <w:rsid w:val="00E42507"/>
    <w:rsid w:val="00E42538"/>
    <w:rsid w:val="00E42565"/>
    <w:rsid w:val="00E425DD"/>
    <w:rsid w:val="00E42713"/>
    <w:rsid w:val="00E4289F"/>
    <w:rsid w:val="00E4296E"/>
    <w:rsid w:val="00E429CA"/>
    <w:rsid w:val="00E42C95"/>
    <w:rsid w:val="00E42D09"/>
    <w:rsid w:val="00E43004"/>
    <w:rsid w:val="00E4300C"/>
    <w:rsid w:val="00E43067"/>
    <w:rsid w:val="00E43112"/>
    <w:rsid w:val="00E43169"/>
    <w:rsid w:val="00E43172"/>
    <w:rsid w:val="00E431BB"/>
    <w:rsid w:val="00E4326A"/>
    <w:rsid w:val="00E433EE"/>
    <w:rsid w:val="00E4348A"/>
    <w:rsid w:val="00E434AD"/>
    <w:rsid w:val="00E435D0"/>
    <w:rsid w:val="00E435F7"/>
    <w:rsid w:val="00E436D0"/>
    <w:rsid w:val="00E43772"/>
    <w:rsid w:val="00E437EF"/>
    <w:rsid w:val="00E43BF3"/>
    <w:rsid w:val="00E43C85"/>
    <w:rsid w:val="00E43D5E"/>
    <w:rsid w:val="00E43D65"/>
    <w:rsid w:val="00E43D7F"/>
    <w:rsid w:val="00E44201"/>
    <w:rsid w:val="00E44569"/>
    <w:rsid w:val="00E44705"/>
    <w:rsid w:val="00E4484C"/>
    <w:rsid w:val="00E44869"/>
    <w:rsid w:val="00E44A76"/>
    <w:rsid w:val="00E44A89"/>
    <w:rsid w:val="00E44C20"/>
    <w:rsid w:val="00E44C2D"/>
    <w:rsid w:val="00E44C5B"/>
    <w:rsid w:val="00E44DA3"/>
    <w:rsid w:val="00E44EBB"/>
    <w:rsid w:val="00E44F67"/>
    <w:rsid w:val="00E44F69"/>
    <w:rsid w:val="00E45157"/>
    <w:rsid w:val="00E4515D"/>
    <w:rsid w:val="00E4518D"/>
    <w:rsid w:val="00E45412"/>
    <w:rsid w:val="00E45483"/>
    <w:rsid w:val="00E4579A"/>
    <w:rsid w:val="00E4589C"/>
    <w:rsid w:val="00E4599C"/>
    <w:rsid w:val="00E45ACF"/>
    <w:rsid w:val="00E45AD3"/>
    <w:rsid w:val="00E45B3D"/>
    <w:rsid w:val="00E45B74"/>
    <w:rsid w:val="00E45F09"/>
    <w:rsid w:val="00E45F45"/>
    <w:rsid w:val="00E45FFE"/>
    <w:rsid w:val="00E460D7"/>
    <w:rsid w:val="00E461F1"/>
    <w:rsid w:val="00E462DA"/>
    <w:rsid w:val="00E463FB"/>
    <w:rsid w:val="00E464BC"/>
    <w:rsid w:val="00E464D9"/>
    <w:rsid w:val="00E4651A"/>
    <w:rsid w:val="00E4653A"/>
    <w:rsid w:val="00E4658D"/>
    <w:rsid w:val="00E465DA"/>
    <w:rsid w:val="00E46688"/>
    <w:rsid w:val="00E46787"/>
    <w:rsid w:val="00E46830"/>
    <w:rsid w:val="00E46AD6"/>
    <w:rsid w:val="00E46D7F"/>
    <w:rsid w:val="00E46E6A"/>
    <w:rsid w:val="00E46EDD"/>
    <w:rsid w:val="00E46FC4"/>
    <w:rsid w:val="00E47052"/>
    <w:rsid w:val="00E47084"/>
    <w:rsid w:val="00E47160"/>
    <w:rsid w:val="00E4722F"/>
    <w:rsid w:val="00E47590"/>
    <w:rsid w:val="00E47668"/>
    <w:rsid w:val="00E476DC"/>
    <w:rsid w:val="00E476E8"/>
    <w:rsid w:val="00E47C26"/>
    <w:rsid w:val="00E47C6E"/>
    <w:rsid w:val="00E47DF0"/>
    <w:rsid w:val="00E47ED2"/>
    <w:rsid w:val="00E5017D"/>
    <w:rsid w:val="00E501F9"/>
    <w:rsid w:val="00E50283"/>
    <w:rsid w:val="00E502AE"/>
    <w:rsid w:val="00E5041B"/>
    <w:rsid w:val="00E50562"/>
    <w:rsid w:val="00E5057A"/>
    <w:rsid w:val="00E505CD"/>
    <w:rsid w:val="00E505DA"/>
    <w:rsid w:val="00E50624"/>
    <w:rsid w:val="00E5068B"/>
    <w:rsid w:val="00E506B2"/>
    <w:rsid w:val="00E506E4"/>
    <w:rsid w:val="00E506EF"/>
    <w:rsid w:val="00E50946"/>
    <w:rsid w:val="00E50C47"/>
    <w:rsid w:val="00E50D64"/>
    <w:rsid w:val="00E50DCC"/>
    <w:rsid w:val="00E50E4D"/>
    <w:rsid w:val="00E50F00"/>
    <w:rsid w:val="00E50F19"/>
    <w:rsid w:val="00E50FFC"/>
    <w:rsid w:val="00E510D7"/>
    <w:rsid w:val="00E51207"/>
    <w:rsid w:val="00E51403"/>
    <w:rsid w:val="00E51615"/>
    <w:rsid w:val="00E516AE"/>
    <w:rsid w:val="00E51A3D"/>
    <w:rsid w:val="00E51C28"/>
    <w:rsid w:val="00E51DC2"/>
    <w:rsid w:val="00E51FC6"/>
    <w:rsid w:val="00E51FCE"/>
    <w:rsid w:val="00E5209D"/>
    <w:rsid w:val="00E52171"/>
    <w:rsid w:val="00E5239A"/>
    <w:rsid w:val="00E524B4"/>
    <w:rsid w:val="00E52744"/>
    <w:rsid w:val="00E528BA"/>
    <w:rsid w:val="00E52A28"/>
    <w:rsid w:val="00E52A47"/>
    <w:rsid w:val="00E52AFE"/>
    <w:rsid w:val="00E52C20"/>
    <w:rsid w:val="00E52DE9"/>
    <w:rsid w:val="00E52E13"/>
    <w:rsid w:val="00E52EB9"/>
    <w:rsid w:val="00E52F53"/>
    <w:rsid w:val="00E52FF6"/>
    <w:rsid w:val="00E53098"/>
    <w:rsid w:val="00E530DC"/>
    <w:rsid w:val="00E531F3"/>
    <w:rsid w:val="00E53321"/>
    <w:rsid w:val="00E53396"/>
    <w:rsid w:val="00E53500"/>
    <w:rsid w:val="00E53706"/>
    <w:rsid w:val="00E5372D"/>
    <w:rsid w:val="00E53957"/>
    <w:rsid w:val="00E53BE5"/>
    <w:rsid w:val="00E53C24"/>
    <w:rsid w:val="00E5418B"/>
    <w:rsid w:val="00E54580"/>
    <w:rsid w:val="00E546CF"/>
    <w:rsid w:val="00E5478A"/>
    <w:rsid w:val="00E547C6"/>
    <w:rsid w:val="00E547D4"/>
    <w:rsid w:val="00E5486D"/>
    <w:rsid w:val="00E54885"/>
    <w:rsid w:val="00E548F6"/>
    <w:rsid w:val="00E54A9E"/>
    <w:rsid w:val="00E54BAD"/>
    <w:rsid w:val="00E54C3E"/>
    <w:rsid w:val="00E54E1D"/>
    <w:rsid w:val="00E54E9C"/>
    <w:rsid w:val="00E54F57"/>
    <w:rsid w:val="00E55068"/>
    <w:rsid w:val="00E550AC"/>
    <w:rsid w:val="00E5513B"/>
    <w:rsid w:val="00E55224"/>
    <w:rsid w:val="00E55353"/>
    <w:rsid w:val="00E553A5"/>
    <w:rsid w:val="00E555DD"/>
    <w:rsid w:val="00E55638"/>
    <w:rsid w:val="00E5579E"/>
    <w:rsid w:val="00E557DA"/>
    <w:rsid w:val="00E55B31"/>
    <w:rsid w:val="00E55DE7"/>
    <w:rsid w:val="00E55E22"/>
    <w:rsid w:val="00E55E49"/>
    <w:rsid w:val="00E55E4D"/>
    <w:rsid w:val="00E55EB1"/>
    <w:rsid w:val="00E56073"/>
    <w:rsid w:val="00E560FA"/>
    <w:rsid w:val="00E5618C"/>
    <w:rsid w:val="00E5629E"/>
    <w:rsid w:val="00E563A3"/>
    <w:rsid w:val="00E5643B"/>
    <w:rsid w:val="00E56643"/>
    <w:rsid w:val="00E56689"/>
    <w:rsid w:val="00E56870"/>
    <w:rsid w:val="00E568D8"/>
    <w:rsid w:val="00E56923"/>
    <w:rsid w:val="00E56980"/>
    <w:rsid w:val="00E56A5A"/>
    <w:rsid w:val="00E56A73"/>
    <w:rsid w:val="00E56C04"/>
    <w:rsid w:val="00E56C3F"/>
    <w:rsid w:val="00E56C74"/>
    <w:rsid w:val="00E56E25"/>
    <w:rsid w:val="00E56EAE"/>
    <w:rsid w:val="00E570A8"/>
    <w:rsid w:val="00E570EC"/>
    <w:rsid w:val="00E57144"/>
    <w:rsid w:val="00E571BA"/>
    <w:rsid w:val="00E57390"/>
    <w:rsid w:val="00E5740F"/>
    <w:rsid w:val="00E5744B"/>
    <w:rsid w:val="00E57547"/>
    <w:rsid w:val="00E578A2"/>
    <w:rsid w:val="00E579FA"/>
    <w:rsid w:val="00E57B25"/>
    <w:rsid w:val="00E57C52"/>
    <w:rsid w:val="00E57C88"/>
    <w:rsid w:val="00E57CA9"/>
    <w:rsid w:val="00E60017"/>
    <w:rsid w:val="00E6011D"/>
    <w:rsid w:val="00E6015D"/>
    <w:rsid w:val="00E603AC"/>
    <w:rsid w:val="00E60626"/>
    <w:rsid w:val="00E606AA"/>
    <w:rsid w:val="00E60909"/>
    <w:rsid w:val="00E60A7D"/>
    <w:rsid w:val="00E60C1E"/>
    <w:rsid w:val="00E60D79"/>
    <w:rsid w:val="00E60F96"/>
    <w:rsid w:val="00E6111D"/>
    <w:rsid w:val="00E6132C"/>
    <w:rsid w:val="00E613D3"/>
    <w:rsid w:val="00E61452"/>
    <w:rsid w:val="00E614F5"/>
    <w:rsid w:val="00E615DC"/>
    <w:rsid w:val="00E615E4"/>
    <w:rsid w:val="00E616C9"/>
    <w:rsid w:val="00E617E2"/>
    <w:rsid w:val="00E617E6"/>
    <w:rsid w:val="00E619FC"/>
    <w:rsid w:val="00E61AA3"/>
    <w:rsid w:val="00E61ADA"/>
    <w:rsid w:val="00E61BA4"/>
    <w:rsid w:val="00E61DFE"/>
    <w:rsid w:val="00E61F00"/>
    <w:rsid w:val="00E6215B"/>
    <w:rsid w:val="00E62367"/>
    <w:rsid w:val="00E62417"/>
    <w:rsid w:val="00E6243F"/>
    <w:rsid w:val="00E624EE"/>
    <w:rsid w:val="00E62528"/>
    <w:rsid w:val="00E625F2"/>
    <w:rsid w:val="00E626B4"/>
    <w:rsid w:val="00E626E1"/>
    <w:rsid w:val="00E6285F"/>
    <w:rsid w:val="00E628A8"/>
    <w:rsid w:val="00E6298C"/>
    <w:rsid w:val="00E62AB8"/>
    <w:rsid w:val="00E62B5E"/>
    <w:rsid w:val="00E62D3A"/>
    <w:rsid w:val="00E62F47"/>
    <w:rsid w:val="00E62F64"/>
    <w:rsid w:val="00E62FFA"/>
    <w:rsid w:val="00E63264"/>
    <w:rsid w:val="00E633E5"/>
    <w:rsid w:val="00E63407"/>
    <w:rsid w:val="00E635BD"/>
    <w:rsid w:val="00E63624"/>
    <w:rsid w:val="00E6371D"/>
    <w:rsid w:val="00E63732"/>
    <w:rsid w:val="00E6374E"/>
    <w:rsid w:val="00E637C5"/>
    <w:rsid w:val="00E6392D"/>
    <w:rsid w:val="00E63949"/>
    <w:rsid w:val="00E639A8"/>
    <w:rsid w:val="00E63A14"/>
    <w:rsid w:val="00E63A2D"/>
    <w:rsid w:val="00E63A82"/>
    <w:rsid w:val="00E63AAE"/>
    <w:rsid w:val="00E63B6E"/>
    <w:rsid w:val="00E63CD1"/>
    <w:rsid w:val="00E63CE4"/>
    <w:rsid w:val="00E63EA2"/>
    <w:rsid w:val="00E63FE4"/>
    <w:rsid w:val="00E64108"/>
    <w:rsid w:val="00E64204"/>
    <w:rsid w:val="00E6440A"/>
    <w:rsid w:val="00E644B2"/>
    <w:rsid w:val="00E644FB"/>
    <w:rsid w:val="00E64598"/>
    <w:rsid w:val="00E645EF"/>
    <w:rsid w:val="00E646BA"/>
    <w:rsid w:val="00E6476A"/>
    <w:rsid w:val="00E64773"/>
    <w:rsid w:val="00E647A5"/>
    <w:rsid w:val="00E64914"/>
    <w:rsid w:val="00E649EC"/>
    <w:rsid w:val="00E64A4A"/>
    <w:rsid w:val="00E64C7E"/>
    <w:rsid w:val="00E64D99"/>
    <w:rsid w:val="00E64F37"/>
    <w:rsid w:val="00E64FD6"/>
    <w:rsid w:val="00E650FC"/>
    <w:rsid w:val="00E65137"/>
    <w:rsid w:val="00E652A9"/>
    <w:rsid w:val="00E6530B"/>
    <w:rsid w:val="00E653B6"/>
    <w:rsid w:val="00E654EA"/>
    <w:rsid w:val="00E655F4"/>
    <w:rsid w:val="00E656AD"/>
    <w:rsid w:val="00E656B2"/>
    <w:rsid w:val="00E656E3"/>
    <w:rsid w:val="00E6573A"/>
    <w:rsid w:val="00E65776"/>
    <w:rsid w:val="00E659CF"/>
    <w:rsid w:val="00E659E4"/>
    <w:rsid w:val="00E65A0B"/>
    <w:rsid w:val="00E65A73"/>
    <w:rsid w:val="00E65AD5"/>
    <w:rsid w:val="00E65BEE"/>
    <w:rsid w:val="00E65E1F"/>
    <w:rsid w:val="00E65F66"/>
    <w:rsid w:val="00E6616B"/>
    <w:rsid w:val="00E661E6"/>
    <w:rsid w:val="00E662CE"/>
    <w:rsid w:val="00E66453"/>
    <w:rsid w:val="00E66485"/>
    <w:rsid w:val="00E665BA"/>
    <w:rsid w:val="00E6670F"/>
    <w:rsid w:val="00E667A0"/>
    <w:rsid w:val="00E6687E"/>
    <w:rsid w:val="00E66AF5"/>
    <w:rsid w:val="00E66B5B"/>
    <w:rsid w:val="00E66CCD"/>
    <w:rsid w:val="00E66DD1"/>
    <w:rsid w:val="00E66E09"/>
    <w:rsid w:val="00E66E23"/>
    <w:rsid w:val="00E66F34"/>
    <w:rsid w:val="00E66F7A"/>
    <w:rsid w:val="00E670AF"/>
    <w:rsid w:val="00E670CD"/>
    <w:rsid w:val="00E67130"/>
    <w:rsid w:val="00E67190"/>
    <w:rsid w:val="00E671E2"/>
    <w:rsid w:val="00E6742D"/>
    <w:rsid w:val="00E6756B"/>
    <w:rsid w:val="00E67579"/>
    <w:rsid w:val="00E6760B"/>
    <w:rsid w:val="00E67662"/>
    <w:rsid w:val="00E67711"/>
    <w:rsid w:val="00E67812"/>
    <w:rsid w:val="00E6789D"/>
    <w:rsid w:val="00E678EF"/>
    <w:rsid w:val="00E67AB1"/>
    <w:rsid w:val="00E67AD9"/>
    <w:rsid w:val="00E67BC7"/>
    <w:rsid w:val="00E67BE8"/>
    <w:rsid w:val="00E67C4D"/>
    <w:rsid w:val="00E67D50"/>
    <w:rsid w:val="00E67DFB"/>
    <w:rsid w:val="00E67EB7"/>
    <w:rsid w:val="00E7001B"/>
    <w:rsid w:val="00E70173"/>
    <w:rsid w:val="00E701A7"/>
    <w:rsid w:val="00E703BB"/>
    <w:rsid w:val="00E703E2"/>
    <w:rsid w:val="00E7043D"/>
    <w:rsid w:val="00E70457"/>
    <w:rsid w:val="00E70519"/>
    <w:rsid w:val="00E706E8"/>
    <w:rsid w:val="00E706F4"/>
    <w:rsid w:val="00E707DA"/>
    <w:rsid w:val="00E70861"/>
    <w:rsid w:val="00E70A95"/>
    <w:rsid w:val="00E70ADD"/>
    <w:rsid w:val="00E70C2F"/>
    <w:rsid w:val="00E70CE8"/>
    <w:rsid w:val="00E70E06"/>
    <w:rsid w:val="00E70E95"/>
    <w:rsid w:val="00E7100D"/>
    <w:rsid w:val="00E71073"/>
    <w:rsid w:val="00E71286"/>
    <w:rsid w:val="00E71300"/>
    <w:rsid w:val="00E713A4"/>
    <w:rsid w:val="00E7152A"/>
    <w:rsid w:val="00E71569"/>
    <w:rsid w:val="00E719AC"/>
    <w:rsid w:val="00E71A77"/>
    <w:rsid w:val="00E71B58"/>
    <w:rsid w:val="00E71B5E"/>
    <w:rsid w:val="00E71B64"/>
    <w:rsid w:val="00E71CCE"/>
    <w:rsid w:val="00E71D0A"/>
    <w:rsid w:val="00E71E53"/>
    <w:rsid w:val="00E71F0E"/>
    <w:rsid w:val="00E71F5B"/>
    <w:rsid w:val="00E71FBE"/>
    <w:rsid w:val="00E71FCB"/>
    <w:rsid w:val="00E7235F"/>
    <w:rsid w:val="00E72431"/>
    <w:rsid w:val="00E72466"/>
    <w:rsid w:val="00E72806"/>
    <w:rsid w:val="00E7280D"/>
    <w:rsid w:val="00E7293A"/>
    <w:rsid w:val="00E72A28"/>
    <w:rsid w:val="00E72AF0"/>
    <w:rsid w:val="00E72B4F"/>
    <w:rsid w:val="00E72C77"/>
    <w:rsid w:val="00E72E0F"/>
    <w:rsid w:val="00E72E3C"/>
    <w:rsid w:val="00E73099"/>
    <w:rsid w:val="00E7325A"/>
    <w:rsid w:val="00E7328F"/>
    <w:rsid w:val="00E732CB"/>
    <w:rsid w:val="00E733ED"/>
    <w:rsid w:val="00E73653"/>
    <w:rsid w:val="00E736BF"/>
    <w:rsid w:val="00E737F4"/>
    <w:rsid w:val="00E73972"/>
    <w:rsid w:val="00E739E4"/>
    <w:rsid w:val="00E73AC9"/>
    <w:rsid w:val="00E73DFB"/>
    <w:rsid w:val="00E73E18"/>
    <w:rsid w:val="00E73E84"/>
    <w:rsid w:val="00E73F72"/>
    <w:rsid w:val="00E740E0"/>
    <w:rsid w:val="00E741E1"/>
    <w:rsid w:val="00E74216"/>
    <w:rsid w:val="00E743C3"/>
    <w:rsid w:val="00E743FD"/>
    <w:rsid w:val="00E74708"/>
    <w:rsid w:val="00E7471B"/>
    <w:rsid w:val="00E7476E"/>
    <w:rsid w:val="00E7476F"/>
    <w:rsid w:val="00E74836"/>
    <w:rsid w:val="00E748DE"/>
    <w:rsid w:val="00E7493A"/>
    <w:rsid w:val="00E7498E"/>
    <w:rsid w:val="00E74A88"/>
    <w:rsid w:val="00E74AAD"/>
    <w:rsid w:val="00E74B0B"/>
    <w:rsid w:val="00E74DC3"/>
    <w:rsid w:val="00E74FDD"/>
    <w:rsid w:val="00E7507E"/>
    <w:rsid w:val="00E75123"/>
    <w:rsid w:val="00E75644"/>
    <w:rsid w:val="00E756C4"/>
    <w:rsid w:val="00E757DC"/>
    <w:rsid w:val="00E7583B"/>
    <w:rsid w:val="00E7588F"/>
    <w:rsid w:val="00E759AF"/>
    <w:rsid w:val="00E75A6B"/>
    <w:rsid w:val="00E75D45"/>
    <w:rsid w:val="00E75DF2"/>
    <w:rsid w:val="00E75E3D"/>
    <w:rsid w:val="00E75FB0"/>
    <w:rsid w:val="00E76056"/>
    <w:rsid w:val="00E7612C"/>
    <w:rsid w:val="00E76181"/>
    <w:rsid w:val="00E7623D"/>
    <w:rsid w:val="00E762BE"/>
    <w:rsid w:val="00E76309"/>
    <w:rsid w:val="00E76357"/>
    <w:rsid w:val="00E7641F"/>
    <w:rsid w:val="00E76623"/>
    <w:rsid w:val="00E76631"/>
    <w:rsid w:val="00E766CE"/>
    <w:rsid w:val="00E76847"/>
    <w:rsid w:val="00E769BE"/>
    <w:rsid w:val="00E76A28"/>
    <w:rsid w:val="00E76C9B"/>
    <w:rsid w:val="00E76CCB"/>
    <w:rsid w:val="00E76CD1"/>
    <w:rsid w:val="00E76D70"/>
    <w:rsid w:val="00E76E5A"/>
    <w:rsid w:val="00E76E79"/>
    <w:rsid w:val="00E76EA2"/>
    <w:rsid w:val="00E7705E"/>
    <w:rsid w:val="00E77273"/>
    <w:rsid w:val="00E775B2"/>
    <w:rsid w:val="00E7764C"/>
    <w:rsid w:val="00E7777C"/>
    <w:rsid w:val="00E778EA"/>
    <w:rsid w:val="00E77AF2"/>
    <w:rsid w:val="00E77AF8"/>
    <w:rsid w:val="00E77D86"/>
    <w:rsid w:val="00E77DC3"/>
    <w:rsid w:val="00E77E65"/>
    <w:rsid w:val="00E77E88"/>
    <w:rsid w:val="00E80081"/>
    <w:rsid w:val="00E80242"/>
    <w:rsid w:val="00E80300"/>
    <w:rsid w:val="00E803E0"/>
    <w:rsid w:val="00E8042F"/>
    <w:rsid w:val="00E805A9"/>
    <w:rsid w:val="00E805F7"/>
    <w:rsid w:val="00E80738"/>
    <w:rsid w:val="00E809F2"/>
    <w:rsid w:val="00E80A18"/>
    <w:rsid w:val="00E80ABC"/>
    <w:rsid w:val="00E80E0B"/>
    <w:rsid w:val="00E8108D"/>
    <w:rsid w:val="00E810DF"/>
    <w:rsid w:val="00E8123D"/>
    <w:rsid w:val="00E812B4"/>
    <w:rsid w:val="00E81346"/>
    <w:rsid w:val="00E8141C"/>
    <w:rsid w:val="00E8142B"/>
    <w:rsid w:val="00E81497"/>
    <w:rsid w:val="00E81605"/>
    <w:rsid w:val="00E816A9"/>
    <w:rsid w:val="00E816EB"/>
    <w:rsid w:val="00E817BD"/>
    <w:rsid w:val="00E8180D"/>
    <w:rsid w:val="00E8184A"/>
    <w:rsid w:val="00E8185F"/>
    <w:rsid w:val="00E81ACD"/>
    <w:rsid w:val="00E81AEE"/>
    <w:rsid w:val="00E81B75"/>
    <w:rsid w:val="00E81B76"/>
    <w:rsid w:val="00E81B86"/>
    <w:rsid w:val="00E81C0A"/>
    <w:rsid w:val="00E81CD0"/>
    <w:rsid w:val="00E81DEA"/>
    <w:rsid w:val="00E81E86"/>
    <w:rsid w:val="00E81FBD"/>
    <w:rsid w:val="00E821BE"/>
    <w:rsid w:val="00E8224F"/>
    <w:rsid w:val="00E82276"/>
    <w:rsid w:val="00E82467"/>
    <w:rsid w:val="00E8253C"/>
    <w:rsid w:val="00E82932"/>
    <w:rsid w:val="00E82A6F"/>
    <w:rsid w:val="00E82B61"/>
    <w:rsid w:val="00E82B8D"/>
    <w:rsid w:val="00E82D13"/>
    <w:rsid w:val="00E82DB7"/>
    <w:rsid w:val="00E82F1A"/>
    <w:rsid w:val="00E82F8D"/>
    <w:rsid w:val="00E82FA0"/>
    <w:rsid w:val="00E83126"/>
    <w:rsid w:val="00E83250"/>
    <w:rsid w:val="00E8331A"/>
    <w:rsid w:val="00E83324"/>
    <w:rsid w:val="00E83341"/>
    <w:rsid w:val="00E8343B"/>
    <w:rsid w:val="00E834F3"/>
    <w:rsid w:val="00E83651"/>
    <w:rsid w:val="00E838A4"/>
    <w:rsid w:val="00E839D9"/>
    <w:rsid w:val="00E839FC"/>
    <w:rsid w:val="00E83A4E"/>
    <w:rsid w:val="00E83A58"/>
    <w:rsid w:val="00E83AEC"/>
    <w:rsid w:val="00E83C57"/>
    <w:rsid w:val="00E83E06"/>
    <w:rsid w:val="00E83E13"/>
    <w:rsid w:val="00E84024"/>
    <w:rsid w:val="00E84189"/>
    <w:rsid w:val="00E841DE"/>
    <w:rsid w:val="00E841F0"/>
    <w:rsid w:val="00E844CC"/>
    <w:rsid w:val="00E8474C"/>
    <w:rsid w:val="00E8476C"/>
    <w:rsid w:val="00E84896"/>
    <w:rsid w:val="00E84A3B"/>
    <w:rsid w:val="00E84BAD"/>
    <w:rsid w:val="00E84C7E"/>
    <w:rsid w:val="00E84CE1"/>
    <w:rsid w:val="00E84EC2"/>
    <w:rsid w:val="00E85185"/>
    <w:rsid w:val="00E851C9"/>
    <w:rsid w:val="00E852CE"/>
    <w:rsid w:val="00E853C6"/>
    <w:rsid w:val="00E8544D"/>
    <w:rsid w:val="00E85593"/>
    <w:rsid w:val="00E85740"/>
    <w:rsid w:val="00E857E6"/>
    <w:rsid w:val="00E85842"/>
    <w:rsid w:val="00E85A2D"/>
    <w:rsid w:val="00E85A35"/>
    <w:rsid w:val="00E85A8A"/>
    <w:rsid w:val="00E85B3B"/>
    <w:rsid w:val="00E85B9E"/>
    <w:rsid w:val="00E85E0F"/>
    <w:rsid w:val="00E86119"/>
    <w:rsid w:val="00E864F9"/>
    <w:rsid w:val="00E865EF"/>
    <w:rsid w:val="00E86604"/>
    <w:rsid w:val="00E86610"/>
    <w:rsid w:val="00E86742"/>
    <w:rsid w:val="00E869C6"/>
    <w:rsid w:val="00E86A20"/>
    <w:rsid w:val="00E86A42"/>
    <w:rsid w:val="00E86AF1"/>
    <w:rsid w:val="00E86C96"/>
    <w:rsid w:val="00E86E59"/>
    <w:rsid w:val="00E86FA3"/>
    <w:rsid w:val="00E86FE7"/>
    <w:rsid w:val="00E87045"/>
    <w:rsid w:val="00E870DE"/>
    <w:rsid w:val="00E870F8"/>
    <w:rsid w:val="00E8717E"/>
    <w:rsid w:val="00E87233"/>
    <w:rsid w:val="00E8772A"/>
    <w:rsid w:val="00E87778"/>
    <w:rsid w:val="00E878D7"/>
    <w:rsid w:val="00E87A42"/>
    <w:rsid w:val="00E87B07"/>
    <w:rsid w:val="00E87C2B"/>
    <w:rsid w:val="00E87CF8"/>
    <w:rsid w:val="00E87DF9"/>
    <w:rsid w:val="00E90134"/>
    <w:rsid w:val="00E90245"/>
    <w:rsid w:val="00E9029F"/>
    <w:rsid w:val="00E902DE"/>
    <w:rsid w:val="00E90313"/>
    <w:rsid w:val="00E903AC"/>
    <w:rsid w:val="00E903CA"/>
    <w:rsid w:val="00E906E2"/>
    <w:rsid w:val="00E90827"/>
    <w:rsid w:val="00E9092F"/>
    <w:rsid w:val="00E90947"/>
    <w:rsid w:val="00E90948"/>
    <w:rsid w:val="00E90BC0"/>
    <w:rsid w:val="00E90C29"/>
    <w:rsid w:val="00E90C6B"/>
    <w:rsid w:val="00E90DF8"/>
    <w:rsid w:val="00E90F9D"/>
    <w:rsid w:val="00E91223"/>
    <w:rsid w:val="00E916E9"/>
    <w:rsid w:val="00E91790"/>
    <w:rsid w:val="00E918C5"/>
    <w:rsid w:val="00E91C04"/>
    <w:rsid w:val="00E91D3A"/>
    <w:rsid w:val="00E91D67"/>
    <w:rsid w:val="00E91EE6"/>
    <w:rsid w:val="00E91F3E"/>
    <w:rsid w:val="00E9213C"/>
    <w:rsid w:val="00E92182"/>
    <w:rsid w:val="00E92226"/>
    <w:rsid w:val="00E9226E"/>
    <w:rsid w:val="00E92292"/>
    <w:rsid w:val="00E923F1"/>
    <w:rsid w:val="00E925DD"/>
    <w:rsid w:val="00E9263F"/>
    <w:rsid w:val="00E92643"/>
    <w:rsid w:val="00E926F1"/>
    <w:rsid w:val="00E92704"/>
    <w:rsid w:val="00E92786"/>
    <w:rsid w:val="00E92854"/>
    <w:rsid w:val="00E928C7"/>
    <w:rsid w:val="00E92960"/>
    <w:rsid w:val="00E92C02"/>
    <w:rsid w:val="00E92CF4"/>
    <w:rsid w:val="00E92D08"/>
    <w:rsid w:val="00E93046"/>
    <w:rsid w:val="00E931D0"/>
    <w:rsid w:val="00E93232"/>
    <w:rsid w:val="00E93399"/>
    <w:rsid w:val="00E93481"/>
    <w:rsid w:val="00E9348F"/>
    <w:rsid w:val="00E936C2"/>
    <w:rsid w:val="00E9370E"/>
    <w:rsid w:val="00E9376D"/>
    <w:rsid w:val="00E93777"/>
    <w:rsid w:val="00E937D9"/>
    <w:rsid w:val="00E93992"/>
    <w:rsid w:val="00E93A1C"/>
    <w:rsid w:val="00E93A71"/>
    <w:rsid w:val="00E93BA8"/>
    <w:rsid w:val="00E93DBA"/>
    <w:rsid w:val="00E93EF2"/>
    <w:rsid w:val="00E93F2A"/>
    <w:rsid w:val="00E93F38"/>
    <w:rsid w:val="00E940B7"/>
    <w:rsid w:val="00E940D4"/>
    <w:rsid w:val="00E940E9"/>
    <w:rsid w:val="00E94140"/>
    <w:rsid w:val="00E94264"/>
    <w:rsid w:val="00E9432B"/>
    <w:rsid w:val="00E944BB"/>
    <w:rsid w:val="00E945E6"/>
    <w:rsid w:val="00E949D4"/>
    <w:rsid w:val="00E94EBD"/>
    <w:rsid w:val="00E95198"/>
    <w:rsid w:val="00E9521D"/>
    <w:rsid w:val="00E95265"/>
    <w:rsid w:val="00E952E6"/>
    <w:rsid w:val="00E9531A"/>
    <w:rsid w:val="00E953A2"/>
    <w:rsid w:val="00E95559"/>
    <w:rsid w:val="00E95560"/>
    <w:rsid w:val="00E956A3"/>
    <w:rsid w:val="00E957EF"/>
    <w:rsid w:val="00E95A14"/>
    <w:rsid w:val="00E95A2C"/>
    <w:rsid w:val="00E95A8F"/>
    <w:rsid w:val="00E95C1C"/>
    <w:rsid w:val="00E95C85"/>
    <w:rsid w:val="00E95D33"/>
    <w:rsid w:val="00E95D4B"/>
    <w:rsid w:val="00E95E03"/>
    <w:rsid w:val="00E95EA9"/>
    <w:rsid w:val="00E95F40"/>
    <w:rsid w:val="00E960A5"/>
    <w:rsid w:val="00E960C1"/>
    <w:rsid w:val="00E961D8"/>
    <w:rsid w:val="00E961FF"/>
    <w:rsid w:val="00E96220"/>
    <w:rsid w:val="00E9635A"/>
    <w:rsid w:val="00E963B5"/>
    <w:rsid w:val="00E9658F"/>
    <w:rsid w:val="00E966BE"/>
    <w:rsid w:val="00E9671F"/>
    <w:rsid w:val="00E96962"/>
    <w:rsid w:val="00E96A12"/>
    <w:rsid w:val="00E96C59"/>
    <w:rsid w:val="00E96D56"/>
    <w:rsid w:val="00E96DA6"/>
    <w:rsid w:val="00E97010"/>
    <w:rsid w:val="00E97130"/>
    <w:rsid w:val="00E97345"/>
    <w:rsid w:val="00E973CE"/>
    <w:rsid w:val="00E97581"/>
    <w:rsid w:val="00E97637"/>
    <w:rsid w:val="00E9782A"/>
    <w:rsid w:val="00E978C0"/>
    <w:rsid w:val="00E97A79"/>
    <w:rsid w:val="00E97B36"/>
    <w:rsid w:val="00E97C19"/>
    <w:rsid w:val="00E97C62"/>
    <w:rsid w:val="00E97ED2"/>
    <w:rsid w:val="00EA0038"/>
    <w:rsid w:val="00EA0043"/>
    <w:rsid w:val="00EA0179"/>
    <w:rsid w:val="00EA022C"/>
    <w:rsid w:val="00EA0231"/>
    <w:rsid w:val="00EA0245"/>
    <w:rsid w:val="00EA02DE"/>
    <w:rsid w:val="00EA049B"/>
    <w:rsid w:val="00EA068A"/>
    <w:rsid w:val="00EA06BC"/>
    <w:rsid w:val="00EA071A"/>
    <w:rsid w:val="00EA092F"/>
    <w:rsid w:val="00EA0A49"/>
    <w:rsid w:val="00EA0A53"/>
    <w:rsid w:val="00EA0A9A"/>
    <w:rsid w:val="00EA0B34"/>
    <w:rsid w:val="00EA0BCE"/>
    <w:rsid w:val="00EA0C99"/>
    <w:rsid w:val="00EA0EAA"/>
    <w:rsid w:val="00EA1094"/>
    <w:rsid w:val="00EA1252"/>
    <w:rsid w:val="00EA14DE"/>
    <w:rsid w:val="00EA16DE"/>
    <w:rsid w:val="00EA17ED"/>
    <w:rsid w:val="00EA186F"/>
    <w:rsid w:val="00EA18B2"/>
    <w:rsid w:val="00EA194D"/>
    <w:rsid w:val="00EA1957"/>
    <w:rsid w:val="00EA1964"/>
    <w:rsid w:val="00EA1A54"/>
    <w:rsid w:val="00EA1ADC"/>
    <w:rsid w:val="00EA1ADE"/>
    <w:rsid w:val="00EA1B36"/>
    <w:rsid w:val="00EA1D0B"/>
    <w:rsid w:val="00EA1EC2"/>
    <w:rsid w:val="00EA1F1C"/>
    <w:rsid w:val="00EA1F74"/>
    <w:rsid w:val="00EA1FF6"/>
    <w:rsid w:val="00EA208E"/>
    <w:rsid w:val="00EA20C6"/>
    <w:rsid w:val="00EA224A"/>
    <w:rsid w:val="00EA2284"/>
    <w:rsid w:val="00EA2460"/>
    <w:rsid w:val="00EA2624"/>
    <w:rsid w:val="00EA2863"/>
    <w:rsid w:val="00EA2901"/>
    <w:rsid w:val="00EA2960"/>
    <w:rsid w:val="00EA29C5"/>
    <w:rsid w:val="00EA2BA6"/>
    <w:rsid w:val="00EA2C9C"/>
    <w:rsid w:val="00EA2D17"/>
    <w:rsid w:val="00EA2E6C"/>
    <w:rsid w:val="00EA2E7D"/>
    <w:rsid w:val="00EA3256"/>
    <w:rsid w:val="00EA3285"/>
    <w:rsid w:val="00EA3504"/>
    <w:rsid w:val="00EA3524"/>
    <w:rsid w:val="00EA35AD"/>
    <w:rsid w:val="00EA35C1"/>
    <w:rsid w:val="00EA3670"/>
    <w:rsid w:val="00EA3877"/>
    <w:rsid w:val="00EA391C"/>
    <w:rsid w:val="00EA399F"/>
    <w:rsid w:val="00EA39EF"/>
    <w:rsid w:val="00EA3BAB"/>
    <w:rsid w:val="00EA3D70"/>
    <w:rsid w:val="00EA3D71"/>
    <w:rsid w:val="00EA3D86"/>
    <w:rsid w:val="00EA3E67"/>
    <w:rsid w:val="00EA3F05"/>
    <w:rsid w:val="00EA4042"/>
    <w:rsid w:val="00EA4140"/>
    <w:rsid w:val="00EA4143"/>
    <w:rsid w:val="00EA45AD"/>
    <w:rsid w:val="00EA462B"/>
    <w:rsid w:val="00EA4674"/>
    <w:rsid w:val="00EA46B3"/>
    <w:rsid w:val="00EA4A4E"/>
    <w:rsid w:val="00EA4C67"/>
    <w:rsid w:val="00EA4D38"/>
    <w:rsid w:val="00EA4E64"/>
    <w:rsid w:val="00EA4F07"/>
    <w:rsid w:val="00EA50B6"/>
    <w:rsid w:val="00EA50D2"/>
    <w:rsid w:val="00EA5116"/>
    <w:rsid w:val="00EA511D"/>
    <w:rsid w:val="00EA522C"/>
    <w:rsid w:val="00EA523E"/>
    <w:rsid w:val="00EA5268"/>
    <w:rsid w:val="00EA52CB"/>
    <w:rsid w:val="00EA538D"/>
    <w:rsid w:val="00EA5853"/>
    <w:rsid w:val="00EA5C84"/>
    <w:rsid w:val="00EA5D9C"/>
    <w:rsid w:val="00EA5E27"/>
    <w:rsid w:val="00EA5E8F"/>
    <w:rsid w:val="00EA6043"/>
    <w:rsid w:val="00EA61E0"/>
    <w:rsid w:val="00EA6592"/>
    <w:rsid w:val="00EA69B1"/>
    <w:rsid w:val="00EA6ADB"/>
    <w:rsid w:val="00EA6BDA"/>
    <w:rsid w:val="00EA6C28"/>
    <w:rsid w:val="00EA6CA2"/>
    <w:rsid w:val="00EA6E34"/>
    <w:rsid w:val="00EA6F7B"/>
    <w:rsid w:val="00EA7295"/>
    <w:rsid w:val="00EA73A9"/>
    <w:rsid w:val="00EA73D3"/>
    <w:rsid w:val="00EA7461"/>
    <w:rsid w:val="00EA760C"/>
    <w:rsid w:val="00EA788A"/>
    <w:rsid w:val="00EA7BCB"/>
    <w:rsid w:val="00EA7BFC"/>
    <w:rsid w:val="00EA7C98"/>
    <w:rsid w:val="00EA7CF7"/>
    <w:rsid w:val="00EA7DC6"/>
    <w:rsid w:val="00EA7E89"/>
    <w:rsid w:val="00EB0147"/>
    <w:rsid w:val="00EB043F"/>
    <w:rsid w:val="00EB046E"/>
    <w:rsid w:val="00EB04FE"/>
    <w:rsid w:val="00EB06B7"/>
    <w:rsid w:val="00EB06FE"/>
    <w:rsid w:val="00EB0978"/>
    <w:rsid w:val="00EB0A0C"/>
    <w:rsid w:val="00EB0A53"/>
    <w:rsid w:val="00EB0AFA"/>
    <w:rsid w:val="00EB0BE0"/>
    <w:rsid w:val="00EB0D29"/>
    <w:rsid w:val="00EB0D5E"/>
    <w:rsid w:val="00EB0EED"/>
    <w:rsid w:val="00EB0EFC"/>
    <w:rsid w:val="00EB103B"/>
    <w:rsid w:val="00EB10CD"/>
    <w:rsid w:val="00EB10E1"/>
    <w:rsid w:val="00EB10E5"/>
    <w:rsid w:val="00EB1181"/>
    <w:rsid w:val="00EB118B"/>
    <w:rsid w:val="00EB11D9"/>
    <w:rsid w:val="00EB1260"/>
    <w:rsid w:val="00EB144E"/>
    <w:rsid w:val="00EB149B"/>
    <w:rsid w:val="00EB16D5"/>
    <w:rsid w:val="00EB18A9"/>
    <w:rsid w:val="00EB18C3"/>
    <w:rsid w:val="00EB18F2"/>
    <w:rsid w:val="00EB197A"/>
    <w:rsid w:val="00EB19F5"/>
    <w:rsid w:val="00EB1A8A"/>
    <w:rsid w:val="00EB1AA3"/>
    <w:rsid w:val="00EB1B1E"/>
    <w:rsid w:val="00EB1C18"/>
    <w:rsid w:val="00EB1CF7"/>
    <w:rsid w:val="00EB1D40"/>
    <w:rsid w:val="00EB1D51"/>
    <w:rsid w:val="00EB1DBE"/>
    <w:rsid w:val="00EB1F75"/>
    <w:rsid w:val="00EB200A"/>
    <w:rsid w:val="00EB224C"/>
    <w:rsid w:val="00EB235E"/>
    <w:rsid w:val="00EB24FC"/>
    <w:rsid w:val="00EB262E"/>
    <w:rsid w:val="00EB265E"/>
    <w:rsid w:val="00EB26B0"/>
    <w:rsid w:val="00EB27DE"/>
    <w:rsid w:val="00EB2832"/>
    <w:rsid w:val="00EB2A13"/>
    <w:rsid w:val="00EB2A1B"/>
    <w:rsid w:val="00EB2B67"/>
    <w:rsid w:val="00EB2C5E"/>
    <w:rsid w:val="00EB3152"/>
    <w:rsid w:val="00EB31B8"/>
    <w:rsid w:val="00EB328E"/>
    <w:rsid w:val="00EB3309"/>
    <w:rsid w:val="00EB3348"/>
    <w:rsid w:val="00EB33A5"/>
    <w:rsid w:val="00EB3560"/>
    <w:rsid w:val="00EB37BA"/>
    <w:rsid w:val="00EB3845"/>
    <w:rsid w:val="00EB38F3"/>
    <w:rsid w:val="00EB393E"/>
    <w:rsid w:val="00EB39E7"/>
    <w:rsid w:val="00EB39EC"/>
    <w:rsid w:val="00EB39ED"/>
    <w:rsid w:val="00EB3A96"/>
    <w:rsid w:val="00EB3C10"/>
    <w:rsid w:val="00EB4048"/>
    <w:rsid w:val="00EB4353"/>
    <w:rsid w:val="00EB43CF"/>
    <w:rsid w:val="00EB4400"/>
    <w:rsid w:val="00EB440A"/>
    <w:rsid w:val="00EB454F"/>
    <w:rsid w:val="00EB4798"/>
    <w:rsid w:val="00EB47E2"/>
    <w:rsid w:val="00EB484F"/>
    <w:rsid w:val="00EB4A94"/>
    <w:rsid w:val="00EB4B29"/>
    <w:rsid w:val="00EB4DB3"/>
    <w:rsid w:val="00EB4FEF"/>
    <w:rsid w:val="00EB501D"/>
    <w:rsid w:val="00EB504E"/>
    <w:rsid w:val="00EB52D0"/>
    <w:rsid w:val="00EB53D1"/>
    <w:rsid w:val="00EB5556"/>
    <w:rsid w:val="00EB55BB"/>
    <w:rsid w:val="00EB5722"/>
    <w:rsid w:val="00EB576F"/>
    <w:rsid w:val="00EB587B"/>
    <w:rsid w:val="00EB5B76"/>
    <w:rsid w:val="00EB5B7E"/>
    <w:rsid w:val="00EB5CD2"/>
    <w:rsid w:val="00EB5D9D"/>
    <w:rsid w:val="00EB5E6B"/>
    <w:rsid w:val="00EB5E85"/>
    <w:rsid w:val="00EB5ECD"/>
    <w:rsid w:val="00EB5F9A"/>
    <w:rsid w:val="00EB61B0"/>
    <w:rsid w:val="00EB62D2"/>
    <w:rsid w:val="00EB6370"/>
    <w:rsid w:val="00EB65A2"/>
    <w:rsid w:val="00EB65F8"/>
    <w:rsid w:val="00EB66B2"/>
    <w:rsid w:val="00EB675E"/>
    <w:rsid w:val="00EB68C5"/>
    <w:rsid w:val="00EB6909"/>
    <w:rsid w:val="00EB6B21"/>
    <w:rsid w:val="00EB6BC0"/>
    <w:rsid w:val="00EB6C94"/>
    <w:rsid w:val="00EB6D6F"/>
    <w:rsid w:val="00EB6D90"/>
    <w:rsid w:val="00EB6E8B"/>
    <w:rsid w:val="00EB7052"/>
    <w:rsid w:val="00EB709A"/>
    <w:rsid w:val="00EB71CB"/>
    <w:rsid w:val="00EB722D"/>
    <w:rsid w:val="00EB72F4"/>
    <w:rsid w:val="00EB7328"/>
    <w:rsid w:val="00EB7463"/>
    <w:rsid w:val="00EB74C1"/>
    <w:rsid w:val="00EB75E7"/>
    <w:rsid w:val="00EB764A"/>
    <w:rsid w:val="00EB7721"/>
    <w:rsid w:val="00EB7AEF"/>
    <w:rsid w:val="00EB7B31"/>
    <w:rsid w:val="00EB7B65"/>
    <w:rsid w:val="00EB7F19"/>
    <w:rsid w:val="00EBB3F8"/>
    <w:rsid w:val="00EC021E"/>
    <w:rsid w:val="00EC022B"/>
    <w:rsid w:val="00EC02A9"/>
    <w:rsid w:val="00EC0448"/>
    <w:rsid w:val="00EC044F"/>
    <w:rsid w:val="00EC0565"/>
    <w:rsid w:val="00EC0574"/>
    <w:rsid w:val="00EC06E8"/>
    <w:rsid w:val="00EC0737"/>
    <w:rsid w:val="00EC0768"/>
    <w:rsid w:val="00EC0811"/>
    <w:rsid w:val="00EC0833"/>
    <w:rsid w:val="00EC0885"/>
    <w:rsid w:val="00EC0BF3"/>
    <w:rsid w:val="00EC0DD1"/>
    <w:rsid w:val="00EC0EFF"/>
    <w:rsid w:val="00EC0FF7"/>
    <w:rsid w:val="00EC110F"/>
    <w:rsid w:val="00EC11BC"/>
    <w:rsid w:val="00EC11FF"/>
    <w:rsid w:val="00EC15A9"/>
    <w:rsid w:val="00EC15D7"/>
    <w:rsid w:val="00EC15EC"/>
    <w:rsid w:val="00EC1615"/>
    <w:rsid w:val="00EC172A"/>
    <w:rsid w:val="00EC188E"/>
    <w:rsid w:val="00EC19EF"/>
    <w:rsid w:val="00EC1A4F"/>
    <w:rsid w:val="00EC1C15"/>
    <w:rsid w:val="00EC1C57"/>
    <w:rsid w:val="00EC1C5E"/>
    <w:rsid w:val="00EC1CE5"/>
    <w:rsid w:val="00EC1D39"/>
    <w:rsid w:val="00EC1DAB"/>
    <w:rsid w:val="00EC1EFB"/>
    <w:rsid w:val="00EC1FCA"/>
    <w:rsid w:val="00EC208A"/>
    <w:rsid w:val="00EC20A7"/>
    <w:rsid w:val="00EC2184"/>
    <w:rsid w:val="00EC230E"/>
    <w:rsid w:val="00EC2778"/>
    <w:rsid w:val="00EC28DF"/>
    <w:rsid w:val="00EC29B3"/>
    <w:rsid w:val="00EC29CA"/>
    <w:rsid w:val="00EC2B37"/>
    <w:rsid w:val="00EC2D0C"/>
    <w:rsid w:val="00EC2D36"/>
    <w:rsid w:val="00EC2E0E"/>
    <w:rsid w:val="00EC2ED2"/>
    <w:rsid w:val="00EC3064"/>
    <w:rsid w:val="00EC31E1"/>
    <w:rsid w:val="00EC3234"/>
    <w:rsid w:val="00EC3303"/>
    <w:rsid w:val="00EC3323"/>
    <w:rsid w:val="00EC3407"/>
    <w:rsid w:val="00EC3514"/>
    <w:rsid w:val="00EC38C0"/>
    <w:rsid w:val="00EC38F1"/>
    <w:rsid w:val="00EC39FF"/>
    <w:rsid w:val="00EC3AB1"/>
    <w:rsid w:val="00EC3AC5"/>
    <w:rsid w:val="00EC3AF1"/>
    <w:rsid w:val="00EC3C20"/>
    <w:rsid w:val="00EC3C60"/>
    <w:rsid w:val="00EC3C62"/>
    <w:rsid w:val="00EC3C7F"/>
    <w:rsid w:val="00EC3ECC"/>
    <w:rsid w:val="00EC3FA0"/>
    <w:rsid w:val="00EC40B1"/>
    <w:rsid w:val="00EC412A"/>
    <w:rsid w:val="00EC41AE"/>
    <w:rsid w:val="00EC438D"/>
    <w:rsid w:val="00EC4431"/>
    <w:rsid w:val="00EC44A8"/>
    <w:rsid w:val="00EC4571"/>
    <w:rsid w:val="00EC4770"/>
    <w:rsid w:val="00EC487B"/>
    <w:rsid w:val="00EC49B7"/>
    <w:rsid w:val="00EC4A4B"/>
    <w:rsid w:val="00EC4D23"/>
    <w:rsid w:val="00EC4E06"/>
    <w:rsid w:val="00EC4EAF"/>
    <w:rsid w:val="00EC4EC3"/>
    <w:rsid w:val="00EC5096"/>
    <w:rsid w:val="00EC51BF"/>
    <w:rsid w:val="00EC51C2"/>
    <w:rsid w:val="00EC5213"/>
    <w:rsid w:val="00EC53C4"/>
    <w:rsid w:val="00EC558D"/>
    <w:rsid w:val="00EC59E9"/>
    <w:rsid w:val="00EC5A1E"/>
    <w:rsid w:val="00EC5B6A"/>
    <w:rsid w:val="00EC5BB6"/>
    <w:rsid w:val="00EC5C48"/>
    <w:rsid w:val="00EC5DCD"/>
    <w:rsid w:val="00EC5E1F"/>
    <w:rsid w:val="00EC5EA9"/>
    <w:rsid w:val="00EC6056"/>
    <w:rsid w:val="00EC607F"/>
    <w:rsid w:val="00EC612A"/>
    <w:rsid w:val="00EC624E"/>
    <w:rsid w:val="00EC63E8"/>
    <w:rsid w:val="00EC64F1"/>
    <w:rsid w:val="00EC64FE"/>
    <w:rsid w:val="00EC6554"/>
    <w:rsid w:val="00EC6690"/>
    <w:rsid w:val="00EC68B2"/>
    <w:rsid w:val="00EC696A"/>
    <w:rsid w:val="00EC69AA"/>
    <w:rsid w:val="00EC69DA"/>
    <w:rsid w:val="00EC6C76"/>
    <w:rsid w:val="00EC6D13"/>
    <w:rsid w:val="00EC6FA6"/>
    <w:rsid w:val="00EC6FB8"/>
    <w:rsid w:val="00EC7054"/>
    <w:rsid w:val="00EC71C3"/>
    <w:rsid w:val="00EC721E"/>
    <w:rsid w:val="00EC7265"/>
    <w:rsid w:val="00EC7437"/>
    <w:rsid w:val="00EC744E"/>
    <w:rsid w:val="00EC7472"/>
    <w:rsid w:val="00EC74ED"/>
    <w:rsid w:val="00EC74EF"/>
    <w:rsid w:val="00EC7788"/>
    <w:rsid w:val="00EC79B2"/>
    <w:rsid w:val="00EC79B8"/>
    <w:rsid w:val="00EC7B28"/>
    <w:rsid w:val="00EC7BA7"/>
    <w:rsid w:val="00EC7DE9"/>
    <w:rsid w:val="00ED0049"/>
    <w:rsid w:val="00ED0124"/>
    <w:rsid w:val="00ED0259"/>
    <w:rsid w:val="00ED0320"/>
    <w:rsid w:val="00ED03DB"/>
    <w:rsid w:val="00ED04D7"/>
    <w:rsid w:val="00ED05FA"/>
    <w:rsid w:val="00ED0601"/>
    <w:rsid w:val="00ED06AB"/>
    <w:rsid w:val="00ED0880"/>
    <w:rsid w:val="00ED0A97"/>
    <w:rsid w:val="00ED0D91"/>
    <w:rsid w:val="00ED0E4D"/>
    <w:rsid w:val="00ED0E60"/>
    <w:rsid w:val="00ED0FA1"/>
    <w:rsid w:val="00ED1156"/>
    <w:rsid w:val="00ED1204"/>
    <w:rsid w:val="00ED162C"/>
    <w:rsid w:val="00ED1758"/>
    <w:rsid w:val="00ED187F"/>
    <w:rsid w:val="00ED18EE"/>
    <w:rsid w:val="00ED1A7A"/>
    <w:rsid w:val="00ED1AC9"/>
    <w:rsid w:val="00ED1DE4"/>
    <w:rsid w:val="00ED1E80"/>
    <w:rsid w:val="00ED1F80"/>
    <w:rsid w:val="00ED212A"/>
    <w:rsid w:val="00ED216D"/>
    <w:rsid w:val="00ED2289"/>
    <w:rsid w:val="00ED237A"/>
    <w:rsid w:val="00ED2544"/>
    <w:rsid w:val="00ED2601"/>
    <w:rsid w:val="00ED26E7"/>
    <w:rsid w:val="00ED27C5"/>
    <w:rsid w:val="00ED2839"/>
    <w:rsid w:val="00ED2859"/>
    <w:rsid w:val="00ED288D"/>
    <w:rsid w:val="00ED296D"/>
    <w:rsid w:val="00ED298E"/>
    <w:rsid w:val="00ED2AA1"/>
    <w:rsid w:val="00ED2C3B"/>
    <w:rsid w:val="00ED2CC5"/>
    <w:rsid w:val="00ED2D03"/>
    <w:rsid w:val="00ED2DE7"/>
    <w:rsid w:val="00ED2F90"/>
    <w:rsid w:val="00ED312C"/>
    <w:rsid w:val="00ED31E4"/>
    <w:rsid w:val="00ED328A"/>
    <w:rsid w:val="00ED32DA"/>
    <w:rsid w:val="00ED3382"/>
    <w:rsid w:val="00ED3481"/>
    <w:rsid w:val="00ED34BF"/>
    <w:rsid w:val="00ED375B"/>
    <w:rsid w:val="00ED391D"/>
    <w:rsid w:val="00ED3961"/>
    <w:rsid w:val="00ED3998"/>
    <w:rsid w:val="00ED3A1D"/>
    <w:rsid w:val="00ED3A2F"/>
    <w:rsid w:val="00ED3C1A"/>
    <w:rsid w:val="00ED3C1C"/>
    <w:rsid w:val="00ED3C95"/>
    <w:rsid w:val="00ED3CBD"/>
    <w:rsid w:val="00ED3D71"/>
    <w:rsid w:val="00ED3DA6"/>
    <w:rsid w:val="00ED4030"/>
    <w:rsid w:val="00ED4133"/>
    <w:rsid w:val="00ED421D"/>
    <w:rsid w:val="00ED461F"/>
    <w:rsid w:val="00ED473A"/>
    <w:rsid w:val="00ED48EF"/>
    <w:rsid w:val="00ED491F"/>
    <w:rsid w:val="00ED4960"/>
    <w:rsid w:val="00ED4966"/>
    <w:rsid w:val="00ED4998"/>
    <w:rsid w:val="00ED49A0"/>
    <w:rsid w:val="00ED4A6F"/>
    <w:rsid w:val="00ED4C69"/>
    <w:rsid w:val="00ED4CC1"/>
    <w:rsid w:val="00ED4E60"/>
    <w:rsid w:val="00ED4EC1"/>
    <w:rsid w:val="00ED4EC4"/>
    <w:rsid w:val="00ED4FE7"/>
    <w:rsid w:val="00ED527A"/>
    <w:rsid w:val="00ED5324"/>
    <w:rsid w:val="00ED5764"/>
    <w:rsid w:val="00ED5957"/>
    <w:rsid w:val="00ED5971"/>
    <w:rsid w:val="00ED598A"/>
    <w:rsid w:val="00ED59AD"/>
    <w:rsid w:val="00ED59EF"/>
    <w:rsid w:val="00ED5A5E"/>
    <w:rsid w:val="00ED5AE4"/>
    <w:rsid w:val="00ED5C15"/>
    <w:rsid w:val="00ED5E0C"/>
    <w:rsid w:val="00ED5E32"/>
    <w:rsid w:val="00ED5E81"/>
    <w:rsid w:val="00ED604A"/>
    <w:rsid w:val="00ED6115"/>
    <w:rsid w:val="00ED6171"/>
    <w:rsid w:val="00ED617B"/>
    <w:rsid w:val="00ED6217"/>
    <w:rsid w:val="00ED6235"/>
    <w:rsid w:val="00ED62C8"/>
    <w:rsid w:val="00ED63D1"/>
    <w:rsid w:val="00ED6488"/>
    <w:rsid w:val="00ED663A"/>
    <w:rsid w:val="00ED665D"/>
    <w:rsid w:val="00ED6879"/>
    <w:rsid w:val="00ED68EF"/>
    <w:rsid w:val="00ED6968"/>
    <w:rsid w:val="00ED6C6A"/>
    <w:rsid w:val="00ED6CE5"/>
    <w:rsid w:val="00ED6EA4"/>
    <w:rsid w:val="00ED7067"/>
    <w:rsid w:val="00ED71EB"/>
    <w:rsid w:val="00ED7282"/>
    <w:rsid w:val="00ED728B"/>
    <w:rsid w:val="00ED72A6"/>
    <w:rsid w:val="00ED7347"/>
    <w:rsid w:val="00ED737C"/>
    <w:rsid w:val="00ED7440"/>
    <w:rsid w:val="00ED753C"/>
    <w:rsid w:val="00ED758B"/>
    <w:rsid w:val="00ED7624"/>
    <w:rsid w:val="00ED7683"/>
    <w:rsid w:val="00ED774E"/>
    <w:rsid w:val="00ED785B"/>
    <w:rsid w:val="00ED79AB"/>
    <w:rsid w:val="00ED7BD1"/>
    <w:rsid w:val="00ED7BEB"/>
    <w:rsid w:val="00ED7E67"/>
    <w:rsid w:val="00EE01E9"/>
    <w:rsid w:val="00EE0581"/>
    <w:rsid w:val="00EE06EA"/>
    <w:rsid w:val="00EE078F"/>
    <w:rsid w:val="00EE0798"/>
    <w:rsid w:val="00EE0885"/>
    <w:rsid w:val="00EE08BD"/>
    <w:rsid w:val="00EE0947"/>
    <w:rsid w:val="00EE0B9D"/>
    <w:rsid w:val="00EE0CB4"/>
    <w:rsid w:val="00EE0CEB"/>
    <w:rsid w:val="00EE0D4E"/>
    <w:rsid w:val="00EE0E7C"/>
    <w:rsid w:val="00EE0F63"/>
    <w:rsid w:val="00EE104C"/>
    <w:rsid w:val="00EE1145"/>
    <w:rsid w:val="00EE11C5"/>
    <w:rsid w:val="00EE11D6"/>
    <w:rsid w:val="00EE15A4"/>
    <w:rsid w:val="00EE15A6"/>
    <w:rsid w:val="00EE1698"/>
    <w:rsid w:val="00EE16B6"/>
    <w:rsid w:val="00EE16B8"/>
    <w:rsid w:val="00EE1738"/>
    <w:rsid w:val="00EE1778"/>
    <w:rsid w:val="00EE1B9D"/>
    <w:rsid w:val="00EE1BCF"/>
    <w:rsid w:val="00EE1CC8"/>
    <w:rsid w:val="00EE1E12"/>
    <w:rsid w:val="00EE1EE6"/>
    <w:rsid w:val="00EE23BE"/>
    <w:rsid w:val="00EE256E"/>
    <w:rsid w:val="00EE260A"/>
    <w:rsid w:val="00EE2753"/>
    <w:rsid w:val="00EE27A3"/>
    <w:rsid w:val="00EE2819"/>
    <w:rsid w:val="00EE28C9"/>
    <w:rsid w:val="00EE2974"/>
    <w:rsid w:val="00EE2A05"/>
    <w:rsid w:val="00EE2AD6"/>
    <w:rsid w:val="00EE2AF1"/>
    <w:rsid w:val="00EE2B0B"/>
    <w:rsid w:val="00EE2BAF"/>
    <w:rsid w:val="00EE2D43"/>
    <w:rsid w:val="00EE2D66"/>
    <w:rsid w:val="00EE2D9B"/>
    <w:rsid w:val="00EE2E3E"/>
    <w:rsid w:val="00EE2EAB"/>
    <w:rsid w:val="00EE2EB0"/>
    <w:rsid w:val="00EE2EC7"/>
    <w:rsid w:val="00EE2F6A"/>
    <w:rsid w:val="00EE2FB4"/>
    <w:rsid w:val="00EE32BE"/>
    <w:rsid w:val="00EE33FA"/>
    <w:rsid w:val="00EE340D"/>
    <w:rsid w:val="00EE34B7"/>
    <w:rsid w:val="00EE35C1"/>
    <w:rsid w:val="00EE39EC"/>
    <w:rsid w:val="00EE3A1C"/>
    <w:rsid w:val="00EE3BA3"/>
    <w:rsid w:val="00EE3CC3"/>
    <w:rsid w:val="00EE3D48"/>
    <w:rsid w:val="00EE3E7A"/>
    <w:rsid w:val="00EE3EF1"/>
    <w:rsid w:val="00EE3F52"/>
    <w:rsid w:val="00EE4485"/>
    <w:rsid w:val="00EE45B7"/>
    <w:rsid w:val="00EE45DF"/>
    <w:rsid w:val="00EE4636"/>
    <w:rsid w:val="00EE4658"/>
    <w:rsid w:val="00EE4779"/>
    <w:rsid w:val="00EE47B1"/>
    <w:rsid w:val="00EE48C5"/>
    <w:rsid w:val="00EE495D"/>
    <w:rsid w:val="00EE4A2C"/>
    <w:rsid w:val="00EE4ABA"/>
    <w:rsid w:val="00EE4ABB"/>
    <w:rsid w:val="00EE4B4B"/>
    <w:rsid w:val="00EE4C7A"/>
    <w:rsid w:val="00EE4D24"/>
    <w:rsid w:val="00EE4FBD"/>
    <w:rsid w:val="00EE5058"/>
    <w:rsid w:val="00EE50A5"/>
    <w:rsid w:val="00EE50AD"/>
    <w:rsid w:val="00EE51BC"/>
    <w:rsid w:val="00EE5236"/>
    <w:rsid w:val="00EE5470"/>
    <w:rsid w:val="00EE54BF"/>
    <w:rsid w:val="00EE5780"/>
    <w:rsid w:val="00EE58A0"/>
    <w:rsid w:val="00EE5A17"/>
    <w:rsid w:val="00EE5BE6"/>
    <w:rsid w:val="00EE5C94"/>
    <w:rsid w:val="00EE5E08"/>
    <w:rsid w:val="00EE5E12"/>
    <w:rsid w:val="00EE5EFC"/>
    <w:rsid w:val="00EE6036"/>
    <w:rsid w:val="00EE61EB"/>
    <w:rsid w:val="00EE63E5"/>
    <w:rsid w:val="00EE659A"/>
    <w:rsid w:val="00EE65AE"/>
    <w:rsid w:val="00EE67E3"/>
    <w:rsid w:val="00EE6AB6"/>
    <w:rsid w:val="00EE6B2B"/>
    <w:rsid w:val="00EE6D3B"/>
    <w:rsid w:val="00EE6EAC"/>
    <w:rsid w:val="00EE6F36"/>
    <w:rsid w:val="00EE6FEB"/>
    <w:rsid w:val="00EE6FF5"/>
    <w:rsid w:val="00EE7268"/>
    <w:rsid w:val="00EE731E"/>
    <w:rsid w:val="00EE7343"/>
    <w:rsid w:val="00EE752C"/>
    <w:rsid w:val="00EE7543"/>
    <w:rsid w:val="00EE7569"/>
    <w:rsid w:val="00EE76CF"/>
    <w:rsid w:val="00EE7A6A"/>
    <w:rsid w:val="00EE7C1F"/>
    <w:rsid w:val="00EE7E09"/>
    <w:rsid w:val="00EE7E4F"/>
    <w:rsid w:val="00EE7E92"/>
    <w:rsid w:val="00EF001C"/>
    <w:rsid w:val="00EF02F8"/>
    <w:rsid w:val="00EF03F5"/>
    <w:rsid w:val="00EF04A5"/>
    <w:rsid w:val="00EF0638"/>
    <w:rsid w:val="00EF0652"/>
    <w:rsid w:val="00EF07A2"/>
    <w:rsid w:val="00EF088C"/>
    <w:rsid w:val="00EF0950"/>
    <w:rsid w:val="00EF0952"/>
    <w:rsid w:val="00EF0A15"/>
    <w:rsid w:val="00EF0BAB"/>
    <w:rsid w:val="00EF0CBB"/>
    <w:rsid w:val="00EF0CCE"/>
    <w:rsid w:val="00EF0DF7"/>
    <w:rsid w:val="00EF0EA9"/>
    <w:rsid w:val="00EF1268"/>
    <w:rsid w:val="00EF12FB"/>
    <w:rsid w:val="00EF163E"/>
    <w:rsid w:val="00EF1810"/>
    <w:rsid w:val="00EF199B"/>
    <w:rsid w:val="00EF1C27"/>
    <w:rsid w:val="00EF1C61"/>
    <w:rsid w:val="00EF1C6C"/>
    <w:rsid w:val="00EF1CB2"/>
    <w:rsid w:val="00EF1CE7"/>
    <w:rsid w:val="00EF21BB"/>
    <w:rsid w:val="00EF223D"/>
    <w:rsid w:val="00EF2275"/>
    <w:rsid w:val="00EF22FB"/>
    <w:rsid w:val="00EF23D4"/>
    <w:rsid w:val="00EF2411"/>
    <w:rsid w:val="00EF24A1"/>
    <w:rsid w:val="00EF260B"/>
    <w:rsid w:val="00EF29F7"/>
    <w:rsid w:val="00EF2A69"/>
    <w:rsid w:val="00EF2B3A"/>
    <w:rsid w:val="00EF2CAA"/>
    <w:rsid w:val="00EF2E74"/>
    <w:rsid w:val="00EF2F2B"/>
    <w:rsid w:val="00EF3225"/>
    <w:rsid w:val="00EF334E"/>
    <w:rsid w:val="00EF359C"/>
    <w:rsid w:val="00EF3894"/>
    <w:rsid w:val="00EF390C"/>
    <w:rsid w:val="00EF3940"/>
    <w:rsid w:val="00EF39C2"/>
    <w:rsid w:val="00EF3A9E"/>
    <w:rsid w:val="00EF3AFA"/>
    <w:rsid w:val="00EF3B19"/>
    <w:rsid w:val="00EF3B37"/>
    <w:rsid w:val="00EF3B48"/>
    <w:rsid w:val="00EF3DA1"/>
    <w:rsid w:val="00EF3E3F"/>
    <w:rsid w:val="00EF3EB9"/>
    <w:rsid w:val="00EF3F31"/>
    <w:rsid w:val="00EF3F35"/>
    <w:rsid w:val="00EF426A"/>
    <w:rsid w:val="00EF42BE"/>
    <w:rsid w:val="00EF4402"/>
    <w:rsid w:val="00EF4443"/>
    <w:rsid w:val="00EF47A5"/>
    <w:rsid w:val="00EF482C"/>
    <w:rsid w:val="00EF48E2"/>
    <w:rsid w:val="00EF4AEC"/>
    <w:rsid w:val="00EF4AF8"/>
    <w:rsid w:val="00EF4C29"/>
    <w:rsid w:val="00EF4DB7"/>
    <w:rsid w:val="00EF4E4F"/>
    <w:rsid w:val="00EF4EC9"/>
    <w:rsid w:val="00EF5034"/>
    <w:rsid w:val="00EF50F1"/>
    <w:rsid w:val="00EF5194"/>
    <w:rsid w:val="00EF5289"/>
    <w:rsid w:val="00EF5294"/>
    <w:rsid w:val="00EF5387"/>
    <w:rsid w:val="00EF552C"/>
    <w:rsid w:val="00EF55A7"/>
    <w:rsid w:val="00EF567A"/>
    <w:rsid w:val="00EF56D9"/>
    <w:rsid w:val="00EF57A5"/>
    <w:rsid w:val="00EF595F"/>
    <w:rsid w:val="00EF5A31"/>
    <w:rsid w:val="00EF5BB8"/>
    <w:rsid w:val="00EF5D76"/>
    <w:rsid w:val="00EF5F24"/>
    <w:rsid w:val="00EF5F88"/>
    <w:rsid w:val="00EF6158"/>
    <w:rsid w:val="00EF61A0"/>
    <w:rsid w:val="00EF624E"/>
    <w:rsid w:val="00EF6375"/>
    <w:rsid w:val="00EF64B6"/>
    <w:rsid w:val="00EF67C0"/>
    <w:rsid w:val="00EF692F"/>
    <w:rsid w:val="00EF69B9"/>
    <w:rsid w:val="00EF69C9"/>
    <w:rsid w:val="00EF69E7"/>
    <w:rsid w:val="00EF6A9C"/>
    <w:rsid w:val="00EF6B4A"/>
    <w:rsid w:val="00EF6B5D"/>
    <w:rsid w:val="00EF6E5E"/>
    <w:rsid w:val="00EF700F"/>
    <w:rsid w:val="00EF7117"/>
    <w:rsid w:val="00EF71EE"/>
    <w:rsid w:val="00EF744E"/>
    <w:rsid w:val="00EF752C"/>
    <w:rsid w:val="00EF76E3"/>
    <w:rsid w:val="00EF7882"/>
    <w:rsid w:val="00EF7B6C"/>
    <w:rsid w:val="00EF7C0C"/>
    <w:rsid w:val="00EF7C5B"/>
    <w:rsid w:val="00F00023"/>
    <w:rsid w:val="00F00387"/>
    <w:rsid w:val="00F005E8"/>
    <w:rsid w:val="00F00675"/>
    <w:rsid w:val="00F00717"/>
    <w:rsid w:val="00F007A4"/>
    <w:rsid w:val="00F007B0"/>
    <w:rsid w:val="00F007ED"/>
    <w:rsid w:val="00F00904"/>
    <w:rsid w:val="00F00BD8"/>
    <w:rsid w:val="00F00BE2"/>
    <w:rsid w:val="00F00CC8"/>
    <w:rsid w:val="00F00D26"/>
    <w:rsid w:val="00F010D7"/>
    <w:rsid w:val="00F01100"/>
    <w:rsid w:val="00F0110A"/>
    <w:rsid w:val="00F011A8"/>
    <w:rsid w:val="00F01375"/>
    <w:rsid w:val="00F0146C"/>
    <w:rsid w:val="00F014B8"/>
    <w:rsid w:val="00F01538"/>
    <w:rsid w:val="00F015B8"/>
    <w:rsid w:val="00F01629"/>
    <w:rsid w:val="00F016A4"/>
    <w:rsid w:val="00F018A6"/>
    <w:rsid w:val="00F018AA"/>
    <w:rsid w:val="00F0199E"/>
    <w:rsid w:val="00F019C5"/>
    <w:rsid w:val="00F01B19"/>
    <w:rsid w:val="00F01B2D"/>
    <w:rsid w:val="00F01DAE"/>
    <w:rsid w:val="00F01DE3"/>
    <w:rsid w:val="00F01E07"/>
    <w:rsid w:val="00F01EB9"/>
    <w:rsid w:val="00F020C4"/>
    <w:rsid w:val="00F022FB"/>
    <w:rsid w:val="00F02391"/>
    <w:rsid w:val="00F023DB"/>
    <w:rsid w:val="00F024F2"/>
    <w:rsid w:val="00F02508"/>
    <w:rsid w:val="00F025D4"/>
    <w:rsid w:val="00F028AA"/>
    <w:rsid w:val="00F02922"/>
    <w:rsid w:val="00F0292F"/>
    <w:rsid w:val="00F02943"/>
    <w:rsid w:val="00F02ACA"/>
    <w:rsid w:val="00F02C8D"/>
    <w:rsid w:val="00F02FF9"/>
    <w:rsid w:val="00F031F2"/>
    <w:rsid w:val="00F032F9"/>
    <w:rsid w:val="00F03378"/>
    <w:rsid w:val="00F0339D"/>
    <w:rsid w:val="00F0345A"/>
    <w:rsid w:val="00F035D1"/>
    <w:rsid w:val="00F03623"/>
    <w:rsid w:val="00F0374A"/>
    <w:rsid w:val="00F03753"/>
    <w:rsid w:val="00F0380B"/>
    <w:rsid w:val="00F03844"/>
    <w:rsid w:val="00F03863"/>
    <w:rsid w:val="00F03D7A"/>
    <w:rsid w:val="00F041D8"/>
    <w:rsid w:val="00F042C0"/>
    <w:rsid w:val="00F0437E"/>
    <w:rsid w:val="00F04417"/>
    <w:rsid w:val="00F04518"/>
    <w:rsid w:val="00F04665"/>
    <w:rsid w:val="00F046C3"/>
    <w:rsid w:val="00F0475F"/>
    <w:rsid w:val="00F0478C"/>
    <w:rsid w:val="00F047DC"/>
    <w:rsid w:val="00F0487B"/>
    <w:rsid w:val="00F04A50"/>
    <w:rsid w:val="00F04B86"/>
    <w:rsid w:val="00F04C56"/>
    <w:rsid w:val="00F04DAF"/>
    <w:rsid w:val="00F04E14"/>
    <w:rsid w:val="00F04E8F"/>
    <w:rsid w:val="00F04EA1"/>
    <w:rsid w:val="00F04EBD"/>
    <w:rsid w:val="00F04FBC"/>
    <w:rsid w:val="00F05071"/>
    <w:rsid w:val="00F050B7"/>
    <w:rsid w:val="00F050E4"/>
    <w:rsid w:val="00F051D6"/>
    <w:rsid w:val="00F051FA"/>
    <w:rsid w:val="00F0520A"/>
    <w:rsid w:val="00F052DC"/>
    <w:rsid w:val="00F05361"/>
    <w:rsid w:val="00F05457"/>
    <w:rsid w:val="00F05686"/>
    <w:rsid w:val="00F0594C"/>
    <w:rsid w:val="00F05987"/>
    <w:rsid w:val="00F05BBF"/>
    <w:rsid w:val="00F05D89"/>
    <w:rsid w:val="00F05F0E"/>
    <w:rsid w:val="00F05FDF"/>
    <w:rsid w:val="00F0612C"/>
    <w:rsid w:val="00F062D2"/>
    <w:rsid w:val="00F06409"/>
    <w:rsid w:val="00F06643"/>
    <w:rsid w:val="00F06701"/>
    <w:rsid w:val="00F0671A"/>
    <w:rsid w:val="00F06A3F"/>
    <w:rsid w:val="00F06B63"/>
    <w:rsid w:val="00F06F28"/>
    <w:rsid w:val="00F06F85"/>
    <w:rsid w:val="00F0707B"/>
    <w:rsid w:val="00F0711C"/>
    <w:rsid w:val="00F0712A"/>
    <w:rsid w:val="00F07165"/>
    <w:rsid w:val="00F071FB"/>
    <w:rsid w:val="00F0740E"/>
    <w:rsid w:val="00F074A0"/>
    <w:rsid w:val="00F075D5"/>
    <w:rsid w:val="00F076EE"/>
    <w:rsid w:val="00F077C6"/>
    <w:rsid w:val="00F078F1"/>
    <w:rsid w:val="00F07A63"/>
    <w:rsid w:val="00F07BA3"/>
    <w:rsid w:val="00F07C81"/>
    <w:rsid w:val="00F07CAD"/>
    <w:rsid w:val="00F07CD4"/>
    <w:rsid w:val="00F07D55"/>
    <w:rsid w:val="00F07E50"/>
    <w:rsid w:val="00F07F71"/>
    <w:rsid w:val="00F101AF"/>
    <w:rsid w:val="00F1057E"/>
    <w:rsid w:val="00F1076D"/>
    <w:rsid w:val="00F10870"/>
    <w:rsid w:val="00F10899"/>
    <w:rsid w:val="00F108B4"/>
    <w:rsid w:val="00F10932"/>
    <w:rsid w:val="00F10959"/>
    <w:rsid w:val="00F10AF4"/>
    <w:rsid w:val="00F10B91"/>
    <w:rsid w:val="00F10D99"/>
    <w:rsid w:val="00F10FA2"/>
    <w:rsid w:val="00F11177"/>
    <w:rsid w:val="00F11188"/>
    <w:rsid w:val="00F1118F"/>
    <w:rsid w:val="00F11280"/>
    <w:rsid w:val="00F113C6"/>
    <w:rsid w:val="00F1142A"/>
    <w:rsid w:val="00F11430"/>
    <w:rsid w:val="00F1167A"/>
    <w:rsid w:val="00F11695"/>
    <w:rsid w:val="00F1172B"/>
    <w:rsid w:val="00F11750"/>
    <w:rsid w:val="00F1177F"/>
    <w:rsid w:val="00F1184B"/>
    <w:rsid w:val="00F1188C"/>
    <w:rsid w:val="00F11965"/>
    <w:rsid w:val="00F119B6"/>
    <w:rsid w:val="00F11D51"/>
    <w:rsid w:val="00F11D98"/>
    <w:rsid w:val="00F11DAE"/>
    <w:rsid w:val="00F11F0C"/>
    <w:rsid w:val="00F11FF8"/>
    <w:rsid w:val="00F1221A"/>
    <w:rsid w:val="00F1226B"/>
    <w:rsid w:val="00F122C3"/>
    <w:rsid w:val="00F1233A"/>
    <w:rsid w:val="00F1239E"/>
    <w:rsid w:val="00F123A2"/>
    <w:rsid w:val="00F123EB"/>
    <w:rsid w:val="00F1241B"/>
    <w:rsid w:val="00F12491"/>
    <w:rsid w:val="00F12497"/>
    <w:rsid w:val="00F125E0"/>
    <w:rsid w:val="00F1260D"/>
    <w:rsid w:val="00F12715"/>
    <w:rsid w:val="00F127EF"/>
    <w:rsid w:val="00F1294A"/>
    <w:rsid w:val="00F12987"/>
    <w:rsid w:val="00F12AB5"/>
    <w:rsid w:val="00F12B05"/>
    <w:rsid w:val="00F12BD0"/>
    <w:rsid w:val="00F12BF1"/>
    <w:rsid w:val="00F12D61"/>
    <w:rsid w:val="00F12E6E"/>
    <w:rsid w:val="00F13038"/>
    <w:rsid w:val="00F130D2"/>
    <w:rsid w:val="00F132F8"/>
    <w:rsid w:val="00F13363"/>
    <w:rsid w:val="00F1345F"/>
    <w:rsid w:val="00F13638"/>
    <w:rsid w:val="00F136A1"/>
    <w:rsid w:val="00F137EC"/>
    <w:rsid w:val="00F13999"/>
    <w:rsid w:val="00F13D0C"/>
    <w:rsid w:val="00F13EED"/>
    <w:rsid w:val="00F1404F"/>
    <w:rsid w:val="00F1407F"/>
    <w:rsid w:val="00F1409F"/>
    <w:rsid w:val="00F140CF"/>
    <w:rsid w:val="00F1416C"/>
    <w:rsid w:val="00F14173"/>
    <w:rsid w:val="00F141BE"/>
    <w:rsid w:val="00F145C3"/>
    <w:rsid w:val="00F146AE"/>
    <w:rsid w:val="00F146E9"/>
    <w:rsid w:val="00F14741"/>
    <w:rsid w:val="00F14ABB"/>
    <w:rsid w:val="00F14BE6"/>
    <w:rsid w:val="00F14C9D"/>
    <w:rsid w:val="00F14CF9"/>
    <w:rsid w:val="00F14ED9"/>
    <w:rsid w:val="00F14EE3"/>
    <w:rsid w:val="00F14EED"/>
    <w:rsid w:val="00F14EF8"/>
    <w:rsid w:val="00F14F52"/>
    <w:rsid w:val="00F14F82"/>
    <w:rsid w:val="00F1506F"/>
    <w:rsid w:val="00F150B6"/>
    <w:rsid w:val="00F1514A"/>
    <w:rsid w:val="00F15196"/>
    <w:rsid w:val="00F151AB"/>
    <w:rsid w:val="00F151C5"/>
    <w:rsid w:val="00F152FE"/>
    <w:rsid w:val="00F1537E"/>
    <w:rsid w:val="00F154E6"/>
    <w:rsid w:val="00F1586E"/>
    <w:rsid w:val="00F15959"/>
    <w:rsid w:val="00F15A6E"/>
    <w:rsid w:val="00F15A8B"/>
    <w:rsid w:val="00F15B17"/>
    <w:rsid w:val="00F15B1A"/>
    <w:rsid w:val="00F15B44"/>
    <w:rsid w:val="00F15C80"/>
    <w:rsid w:val="00F15EE5"/>
    <w:rsid w:val="00F15EFC"/>
    <w:rsid w:val="00F15F43"/>
    <w:rsid w:val="00F15F65"/>
    <w:rsid w:val="00F1606F"/>
    <w:rsid w:val="00F161BE"/>
    <w:rsid w:val="00F1622D"/>
    <w:rsid w:val="00F16385"/>
    <w:rsid w:val="00F16588"/>
    <w:rsid w:val="00F166D0"/>
    <w:rsid w:val="00F1681A"/>
    <w:rsid w:val="00F16957"/>
    <w:rsid w:val="00F169A3"/>
    <w:rsid w:val="00F16A4B"/>
    <w:rsid w:val="00F16B4A"/>
    <w:rsid w:val="00F16CDD"/>
    <w:rsid w:val="00F16D2F"/>
    <w:rsid w:val="00F16E22"/>
    <w:rsid w:val="00F17065"/>
    <w:rsid w:val="00F170A5"/>
    <w:rsid w:val="00F17186"/>
    <w:rsid w:val="00F17350"/>
    <w:rsid w:val="00F17384"/>
    <w:rsid w:val="00F1743A"/>
    <w:rsid w:val="00F17557"/>
    <w:rsid w:val="00F17576"/>
    <w:rsid w:val="00F175DF"/>
    <w:rsid w:val="00F17806"/>
    <w:rsid w:val="00F1793B"/>
    <w:rsid w:val="00F179CB"/>
    <w:rsid w:val="00F17A00"/>
    <w:rsid w:val="00F17B76"/>
    <w:rsid w:val="00F17C51"/>
    <w:rsid w:val="00F17C5F"/>
    <w:rsid w:val="00F2002E"/>
    <w:rsid w:val="00F200E4"/>
    <w:rsid w:val="00F200FA"/>
    <w:rsid w:val="00F2014D"/>
    <w:rsid w:val="00F20229"/>
    <w:rsid w:val="00F20246"/>
    <w:rsid w:val="00F2035D"/>
    <w:rsid w:val="00F203A8"/>
    <w:rsid w:val="00F20476"/>
    <w:rsid w:val="00F20527"/>
    <w:rsid w:val="00F205A5"/>
    <w:rsid w:val="00F20648"/>
    <w:rsid w:val="00F2084E"/>
    <w:rsid w:val="00F20A3E"/>
    <w:rsid w:val="00F20B3B"/>
    <w:rsid w:val="00F20BFA"/>
    <w:rsid w:val="00F20C53"/>
    <w:rsid w:val="00F20CAF"/>
    <w:rsid w:val="00F20CEF"/>
    <w:rsid w:val="00F20E87"/>
    <w:rsid w:val="00F21012"/>
    <w:rsid w:val="00F2108E"/>
    <w:rsid w:val="00F210DE"/>
    <w:rsid w:val="00F210F2"/>
    <w:rsid w:val="00F212B4"/>
    <w:rsid w:val="00F21315"/>
    <w:rsid w:val="00F2134C"/>
    <w:rsid w:val="00F21563"/>
    <w:rsid w:val="00F21770"/>
    <w:rsid w:val="00F217DF"/>
    <w:rsid w:val="00F21817"/>
    <w:rsid w:val="00F21909"/>
    <w:rsid w:val="00F2191A"/>
    <w:rsid w:val="00F21A37"/>
    <w:rsid w:val="00F21B06"/>
    <w:rsid w:val="00F21C08"/>
    <w:rsid w:val="00F21DF8"/>
    <w:rsid w:val="00F21F62"/>
    <w:rsid w:val="00F22020"/>
    <w:rsid w:val="00F22070"/>
    <w:rsid w:val="00F220F2"/>
    <w:rsid w:val="00F22283"/>
    <w:rsid w:val="00F222E4"/>
    <w:rsid w:val="00F22334"/>
    <w:rsid w:val="00F2236E"/>
    <w:rsid w:val="00F22427"/>
    <w:rsid w:val="00F22682"/>
    <w:rsid w:val="00F22685"/>
    <w:rsid w:val="00F22799"/>
    <w:rsid w:val="00F227E5"/>
    <w:rsid w:val="00F22941"/>
    <w:rsid w:val="00F22AB0"/>
    <w:rsid w:val="00F22AE1"/>
    <w:rsid w:val="00F22B5A"/>
    <w:rsid w:val="00F22C5E"/>
    <w:rsid w:val="00F22C89"/>
    <w:rsid w:val="00F22D55"/>
    <w:rsid w:val="00F22E76"/>
    <w:rsid w:val="00F23000"/>
    <w:rsid w:val="00F23065"/>
    <w:rsid w:val="00F23118"/>
    <w:rsid w:val="00F2347B"/>
    <w:rsid w:val="00F23598"/>
    <w:rsid w:val="00F23615"/>
    <w:rsid w:val="00F23682"/>
    <w:rsid w:val="00F2397A"/>
    <w:rsid w:val="00F239B3"/>
    <w:rsid w:val="00F23B90"/>
    <w:rsid w:val="00F23BD3"/>
    <w:rsid w:val="00F23CB4"/>
    <w:rsid w:val="00F23CE9"/>
    <w:rsid w:val="00F23D64"/>
    <w:rsid w:val="00F2408F"/>
    <w:rsid w:val="00F242C6"/>
    <w:rsid w:val="00F24344"/>
    <w:rsid w:val="00F24369"/>
    <w:rsid w:val="00F24452"/>
    <w:rsid w:val="00F246AF"/>
    <w:rsid w:val="00F246B1"/>
    <w:rsid w:val="00F246CC"/>
    <w:rsid w:val="00F24739"/>
    <w:rsid w:val="00F24799"/>
    <w:rsid w:val="00F2497E"/>
    <w:rsid w:val="00F24C0D"/>
    <w:rsid w:val="00F24C24"/>
    <w:rsid w:val="00F24C57"/>
    <w:rsid w:val="00F24F2C"/>
    <w:rsid w:val="00F25153"/>
    <w:rsid w:val="00F251CB"/>
    <w:rsid w:val="00F251FB"/>
    <w:rsid w:val="00F253E3"/>
    <w:rsid w:val="00F25542"/>
    <w:rsid w:val="00F255D3"/>
    <w:rsid w:val="00F255D7"/>
    <w:rsid w:val="00F256D8"/>
    <w:rsid w:val="00F256FC"/>
    <w:rsid w:val="00F25755"/>
    <w:rsid w:val="00F2577C"/>
    <w:rsid w:val="00F2592F"/>
    <w:rsid w:val="00F25968"/>
    <w:rsid w:val="00F259F5"/>
    <w:rsid w:val="00F25D14"/>
    <w:rsid w:val="00F25D51"/>
    <w:rsid w:val="00F25DA8"/>
    <w:rsid w:val="00F25DF4"/>
    <w:rsid w:val="00F25F4A"/>
    <w:rsid w:val="00F25FB7"/>
    <w:rsid w:val="00F26030"/>
    <w:rsid w:val="00F26106"/>
    <w:rsid w:val="00F261AC"/>
    <w:rsid w:val="00F2624A"/>
    <w:rsid w:val="00F2628C"/>
    <w:rsid w:val="00F262B1"/>
    <w:rsid w:val="00F265D9"/>
    <w:rsid w:val="00F26619"/>
    <w:rsid w:val="00F26646"/>
    <w:rsid w:val="00F266DE"/>
    <w:rsid w:val="00F26735"/>
    <w:rsid w:val="00F26778"/>
    <w:rsid w:val="00F26AEE"/>
    <w:rsid w:val="00F26B13"/>
    <w:rsid w:val="00F26B39"/>
    <w:rsid w:val="00F26B6A"/>
    <w:rsid w:val="00F26CB5"/>
    <w:rsid w:val="00F26D3F"/>
    <w:rsid w:val="00F26D8A"/>
    <w:rsid w:val="00F26F70"/>
    <w:rsid w:val="00F271BC"/>
    <w:rsid w:val="00F2724C"/>
    <w:rsid w:val="00F2734E"/>
    <w:rsid w:val="00F27403"/>
    <w:rsid w:val="00F274F0"/>
    <w:rsid w:val="00F2756B"/>
    <w:rsid w:val="00F27660"/>
    <w:rsid w:val="00F276B9"/>
    <w:rsid w:val="00F276CC"/>
    <w:rsid w:val="00F276D2"/>
    <w:rsid w:val="00F276E4"/>
    <w:rsid w:val="00F27713"/>
    <w:rsid w:val="00F27905"/>
    <w:rsid w:val="00F27A39"/>
    <w:rsid w:val="00F27A3B"/>
    <w:rsid w:val="00F27B02"/>
    <w:rsid w:val="00F27B28"/>
    <w:rsid w:val="00F27B64"/>
    <w:rsid w:val="00F27B8E"/>
    <w:rsid w:val="00F27BAF"/>
    <w:rsid w:val="00F27D4E"/>
    <w:rsid w:val="00F27D80"/>
    <w:rsid w:val="00F27E51"/>
    <w:rsid w:val="00F30117"/>
    <w:rsid w:val="00F3025B"/>
    <w:rsid w:val="00F30329"/>
    <w:rsid w:val="00F305C6"/>
    <w:rsid w:val="00F3090B"/>
    <w:rsid w:val="00F30A1B"/>
    <w:rsid w:val="00F30B25"/>
    <w:rsid w:val="00F30B4B"/>
    <w:rsid w:val="00F30C42"/>
    <w:rsid w:val="00F30C7A"/>
    <w:rsid w:val="00F30C9F"/>
    <w:rsid w:val="00F30D89"/>
    <w:rsid w:val="00F30F12"/>
    <w:rsid w:val="00F31038"/>
    <w:rsid w:val="00F310EC"/>
    <w:rsid w:val="00F3123A"/>
    <w:rsid w:val="00F3130D"/>
    <w:rsid w:val="00F31448"/>
    <w:rsid w:val="00F314FC"/>
    <w:rsid w:val="00F3166B"/>
    <w:rsid w:val="00F3167F"/>
    <w:rsid w:val="00F31B60"/>
    <w:rsid w:val="00F31C1A"/>
    <w:rsid w:val="00F31C78"/>
    <w:rsid w:val="00F31D05"/>
    <w:rsid w:val="00F31D83"/>
    <w:rsid w:val="00F31D95"/>
    <w:rsid w:val="00F32020"/>
    <w:rsid w:val="00F3208A"/>
    <w:rsid w:val="00F320B6"/>
    <w:rsid w:val="00F321D6"/>
    <w:rsid w:val="00F322CA"/>
    <w:rsid w:val="00F3231B"/>
    <w:rsid w:val="00F323B2"/>
    <w:rsid w:val="00F32410"/>
    <w:rsid w:val="00F324C2"/>
    <w:rsid w:val="00F32584"/>
    <w:rsid w:val="00F327A0"/>
    <w:rsid w:val="00F3289B"/>
    <w:rsid w:val="00F32B69"/>
    <w:rsid w:val="00F32B93"/>
    <w:rsid w:val="00F32F97"/>
    <w:rsid w:val="00F33093"/>
    <w:rsid w:val="00F33183"/>
    <w:rsid w:val="00F331CF"/>
    <w:rsid w:val="00F33379"/>
    <w:rsid w:val="00F33439"/>
    <w:rsid w:val="00F334AA"/>
    <w:rsid w:val="00F33650"/>
    <w:rsid w:val="00F33670"/>
    <w:rsid w:val="00F33699"/>
    <w:rsid w:val="00F33740"/>
    <w:rsid w:val="00F337AE"/>
    <w:rsid w:val="00F338B7"/>
    <w:rsid w:val="00F338E1"/>
    <w:rsid w:val="00F33950"/>
    <w:rsid w:val="00F33A6B"/>
    <w:rsid w:val="00F33AD5"/>
    <w:rsid w:val="00F33AE8"/>
    <w:rsid w:val="00F33BF3"/>
    <w:rsid w:val="00F33CBB"/>
    <w:rsid w:val="00F33DD8"/>
    <w:rsid w:val="00F33E27"/>
    <w:rsid w:val="00F33E37"/>
    <w:rsid w:val="00F33F09"/>
    <w:rsid w:val="00F33F70"/>
    <w:rsid w:val="00F34199"/>
    <w:rsid w:val="00F34230"/>
    <w:rsid w:val="00F344E9"/>
    <w:rsid w:val="00F34734"/>
    <w:rsid w:val="00F34748"/>
    <w:rsid w:val="00F34AD0"/>
    <w:rsid w:val="00F34D87"/>
    <w:rsid w:val="00F34EB5"/>
    <w:rsid w:val="00F34F30"/>
    <w:rsid w:val="00F34FC0"/>
    <w:rsid w:val="00F3502F"/>
    <w:rsid w:val="00F353BB"/>
    <w:rsid w:val="00F35581"/>
    <w:rsid w:val="00F355A8"/>
    <w:rsid w:val="00F356A3"/>
    <w:rsid w:val="00F357C9"/>
    <w:rsid w:val="00F357EA"/>
    <w:rsid w:val="00F3589C"/>
    <w:rsid w:val="00F3589F"/>
    <w:rsid w:val="00F35A03"/>
    <w:rsid w:val="00F35B1B"/>
    <w:rsid w:val="00F35C86"/>
    <w:rsid w:val="00F35D2E"/>
    <w:rsid w:val="00F35DDE"/>
    <w:rsid w:val="00F35E4A"/>
    <w:rsid w:val="00F35F24"/>
    <w:rsid w:val="00F35F3B"/>
    <w:rsid w:val="00F360EC"/>
    <w:rsid w:val="00F361C0"/>
    <w:rsid w:val="00F361E0"/>
    <w:rsid w:val="00F361F7"/>
    <w:rsid w:val="00F3634A"/>
    <w:rsid w:val="00F36374"/>
    <w:rsid w:val="00F363E7"/>
    <w:rsid w:val="00F3646D"/>
    <w:rsid w:val="00F3648D"/>
    <w:rsid w:val="00F364E6"/>
    <w:rsid w:val="00F366CE"/>
    <w:rsid w:val="00F36889"/>
    <w:rsid w:val="00F368D5"/>
    <w:rsid w:val="00F3694A"/>
    <w:rsid w:val="00F36998"/>
    <w:rsid w:val="00F36A62"/>
    <w:rsid w:val="00F36A6E"/>
    <w:rsid w:val="00F36ADC"/>
    <w:rsid w:val="00F36C26"/>
    <w:rsid w:val="00F36C28"/>
    <w:rsid w:val="00F36C8D"/>
    <w:rsid w:val="00F36E7D"/>
    <w:rsid w:val="00F36ECE"/>
    <w:rsid w:val="00F36F87"/>
    <w:rsid w:val="00F370A2"/>
    <w:rsid w:val="00F370F2"/>
    <w:rsid w:val="00F3711C"/>
    <w:rsid w:val="00F372CA"/>
    <w:rsid w:val="00F37379"/>
    <w:rsid w:val="00F373C2"/>
    <w:rsid w:val="00F375BA"/>
    <w:rsid w:val="00F37603"/>
    <w:rsid w:val="00F3769B"/>
    <w:rsid w:val="00F37785"/>
    <w:rsid w:val="00F3779E"/>
    <w:rsid w:val="00F3787D"/>
    <w:rsid w:val="00F379DD"/>
    <w:rsid w:val="00F37A4D"/>
    <w:rsid w:val="00F37B59"/>
    <w:rsid w:val="00F37C1A"/>
    <w:rsid w:val="00F37DD5"/>
    <w:rsid w:val="00F3C460"/>
    <w:rsid w:val="00F40096"/>
    <w:rsid w:val="00F400F7"/>
    <w:rsid w:val="00F4011E"/>
    <w:rsid w:val="00F4026E"/>
    <w:rsid w:val="00F40279"/>
    <w:rsid w:val="00F4029F"/>
    <w:rsid w:val="00F40500"/>
    <w:rsid w:val="00F4060B"/>
    <w:rsid w:val="00F4061F"/>
    <w:rsid w:val="00F4062C"/>
    <w:rsid w:val="00F40669"/>
    <w:rsid w:val="00F406A3"/>
    <w:rsid w:val="00F40817"/>
    <w:rsid w:val="00F4085E"/>
    <w:rsid w:val="00F40CA1"/>
    <w:rsid w:val="00F40CE7"/>
    <w:rsid w:val="00F40DAC"/>
    <w:rsid w:val="00F40F02"/>
    <w:rsid w:val="00F41081"/>
    <w:rsid w:val="00F411C1"/>
    <w:rsid w:val="00F4123A"/>
    <w:rsid w:val="00F41252"/>
    <w:rsid w:val="00F41269"/>
    <w:rsid w:val="00F41270"/>
    <w:rsid w:val="00F4139B"/>
    <w:rsid w:val="00F41426"/>
    <w:rsid w:val="00F41553"/>
    <w:rsid w:val="00F415B7"/>
    <w:rsid w:val="00F417C2"/>
    <w:rsid w:val="00F41804"/>
    <w:rsid w:val="00F41971"/>
    <w:rsid w:val="00F419E3"/>
    <w:rsid w:val="00F419E9"/>
    <w:rsid w:val="00F41B1B"/>
    <w:rsid w:val="00F41BA4"/>
    <w:rsid w:val="00F41C30"/>
    <w:rsid w:val="00F41CE4"/>
    <w:rsid w:val="00F41DFB"/>
    <w:rsid w:val="00F41EC4"/>
    <w:rsid w:val="00F41F3E"/>
    <w:rsid w:val="00F41FE2"/>
    <w:rsid w:val="00F420EF"/>
    <w:rsid w:val="00F422F5"/>
    <w:rsid w:val="00F4231E"/>
    <w:rsid w:val="00F4242E"/>
    <w:rsid w:val="00F42538"/>
    <w:rsid w:val="00F42584"/>
    <w:rsid w:val="00F425DF"/>
    <w:rsid w:val="00F426A4"/>
    <w:rsid w:val="00F426C3"/>
    <w:rsid w:val="00F426DA"/>
    <w:rsid w:val="00F4277C"/>
    <w:rsid w:val="00F428C5"/>
    <w:rsid w:val="00F429C7"/>
    <w:rsid w:val="00F42D25"/>
    <w:rsid w:val="00F42E94"/>
    <w:rsid w:val="00F42FFD"/>
    <w:rsid w:val="00F430A5"/>
    <w:rsid w:val="00F4313C"/>
    <w:rsid w:val="00F43251"/>
    <w:rsid w:val="00F433F8"/>
    <w:rsid w:val="00F434B1"/>
    <w:rsid w:val="00F43589"/>
    <w:rsid w:val="00F43665"/>
    <w:rsid w:val="00F436AA"/>
    <w:rsid w:val="00F4387B"/>
    <w:rsid w:val="00F4394A"/>
    <w:rsid w:val="00F439F3"/>
    <w:rsid w:val="00F43D51"/>
    <w:rsid w:val="00F43DE4"/>
    <w:rsid w:val="00F43E3B"/>
    <w:rsid w:val="00F441A7"/>
    <w:rsid w:val="00F442B8"/>
    <w:rsid w:val="00F442C4"/>
    <w:rsid w:val="00F44412"/>
    <w:rsid w:val="00F4449A"/>
    <w:rsid w:val="00F444B2"/>
    <w:rsid w:val="00F444BB"/>
    <w:rsid w:val="00F4455F"/>
    <w:rsid w:val="00F44666"/>
    <w:rsid w:val="00F44804"/>
    <w:rsid w:val="00F44866"/>
    <w:rsid w:val="00F44921"/>
    <w:rsid w:val="00F44A70"/>
    <w:rsid w:val="00F44B4A"/>
    <w:rsid w:val="00F44CF0"/>
    <w:rsid w:val="00F44F69"/>
    <w:rsid w:val="00F45071"/>
    <w:rsid w:val="00F450EF"/>
    <w:rsid w:val="00F45150"/>
    <w:rsid w:val="00F45234"/>
    <w:rsid w:val="00F452E0"/>
    <w:rsid w:val="00F45304"/>
    <w:rsid w:val="00F45319"/>
    <w:rsid w:val="00F454E0"/>
    <w:rsid w:val="00F4558A"/>
    <w:rsid w:val="00F45647"/>
    <w:rsid w:val="00F45655"/>
    <w:rsid w:val="00F4592C"/>
    <w:rsid w:val="00F45976"/>
    <w:rsid w:val="00F45A9D"/>
    <w:rsid w:val="00F45AE6"/>
    <w:rsid w:val="00F45CB9"/>
    <w:rsid w:val="00F45CC0"/>
    <w:rsid w:val="00F45D01"/>
    <w:rsid w:val="00F45E67"/>
    <w:rsid w:val="00F45FFD"/>
    <w:rsid w:val="00F4603C"/>
    <w:rsid w:val="00F460CB"/>
    <w:rsid w:val="00F461E2"/>
    <w:rsid w:val="00F4630A"/>
    <w:rsid w:val="00F46366"/>
    <w:rsid w:val="00F463B8"/>
    <w:rsid w:val="00F46493"/>
    <w:rsid w:val="00F466A8"/>
    <w:rsid w:val="00F469AD"/>
    <w:rsid w:val="00F46B65"/>
    <w:rsid w:val="00F46CCC"/>
    <w:rsid w:val="00F46ED5"/>
    <w:rsid w:val="00F471A7"/>
    <w:rsid w:val="00F47281"/>
    <w:rsid w:val="00F474EB"/>
    <w:rsid w:val="00F4777B"/>
    <w:rsid w:val="00F47912"/>
    <w:rsid w:val="00F47989"/>
    <w:rsid w:val="00F47A96"/>
    <w:rsid w:val="00F47B16"/>
    <w:rsid w:val="00F47BEF"/>
    <w:rsid w:val="00F47E84"/>
    <w:rsid w:val="00F47E93"/>
    <w:rsid w:val="00F47F22"/>
    <w:rsid w:val="00F47FB3"/>
    <w:rsid w:val="00F47FCE"/>
    <w:rsid w:val="00F50195"/>
    <w:rsid w:val="00F50246"/>
    <w:rsid w:val="00F5026E"/>
    <w:rsid w:val="00F504B1"/>
    <w:rsid w:val="00F504D2"/>
    <w:rsid w:val="00F50646"/>
    <w:rsid w:val="00F50794"/>
    <w:rsid w:val="00F50A44"/>
    <w:rsid w:val="00F50A9E"/>
    <w:rsid w:val="00F50B79"/>
    <w:rsid w:val="00F50BA6"/>
    <w:rsid w:val="00F50C07"/>
    <w:rsid w:val="00F50D16"/>
    <w:rsid w:val="00F50DDA"/>
    <w:rsid w:val="00F50F52"/>
    <w:rsid w:val="00F50F59"/>
    <w:rsid w:val="00F50FB0"/>
    <w:rsid w:val="00F50FB1"/>
    <w:rsid w:val="00F51009"/>
    <w:rsid w:val="00F510B5"/>
    <w:rsid w:val="00F511BD"/>
    <w:rsid w:val="00F51249"/>
    <w:rsid w:val="00F5124F"/>
    <w:rsid w:val="00F5126D"/>
    <w:rsid w:val="00F512C2"/>
    <w:rsid w:val="00F513D7"/>
    <w:rsid w:val="00F5143F"/>
    <w:rsid w:val="00F51526"/>
    <w:rsid w:val="00F515BE"/>
    <w:rsid w:val="00F51610"/>
    <w:rsid w:val="00F5166A"/>
    <w:rsid w:val="00F518B8"/>
    <w:rsid w:val="00F518EE"/>
    <w:rsid w:val="00F51B13"/>
    <w:rsid w:val="00F51B21"/>
    <w:rsid w:val="00F51B38"/>
    <w:rsid w:val="00F51BFA"/>
    <w:rsid w:val="00F51CBD"/>
    <w:rsid w:val="00F51E2A"/>
    <w:rsid w:val="00F52022"/>
    <w:rsid w:val="00F52156"/>
    <w:rsid w:val="00F52236"/>
    <w:rsid w:val="00F52293"/>
    <w:rsid w:val="00F522D4"/>
    <w:rsid w:val="00F52427"/>
    <w:rsid w:val="00F52453"/>
    <w:rsid w:val="00F525D9"/>
    <w:rsid w:val="00F525E1"/>
    <w:rsid w:val="00F5265F"/>
    <w:rsid w:val="00F5269F"/>
    <w:rsid w:val="00F52735"/>
    <w:rsid w:val="00F5282B"/>
    <w:rsid w:val="00F528D6"/>
    <w:rsid w:val="00F5292C"/>
    <w:rsid w:val="00F52AA7"/>
    <w:rsid w:val="00F52B2B"/>
    <w:rsid w:val="00F52C47"/>
    <w:rsid w:val="00F52CA2"/>
    <w:rsid w:val="00F53085"/>
    <w:rsid w:val="00F530FC"/>
    <w:rsid w:val="00F5310D"/>
    <w:rsid w:val="00F53141"/>
    <w:rsid w:val="00F53241"/>
    <w:rsid w:val="00F5328A"/>
    <w:rsid w:val="00F533C6"/>
    <w:rsid w:val="00F536BE"/>
    <w:rsid w:val="00F536CF"/>
    <w:rsid w:val="00F53708"/>
    <w:rsid w:val="00F537B5"/>
    <w:rsid w:val="00F53930"/>
    <w:rsid w:val="00F53A72"/>
    <w:rsid w:val="00F53B3C"/>
    <w:rsid w:val="00F53B51"/>
    <w:rsid w:val="00F53C07"/>
    <w:rsid w:val="00F53D86"/>
    <w:rsid w:val="00F53E02"/>
    <w:rsid w:val="00F53F27"/>
    <w:rsid w:val="00F53F86"/>
    <w:rsid w:val="00F53F9D"/>
    <w:rsid w:val="00F54366"/>
    <w:rsid w:val="00F54380"/>
    <w:rsid w:val="00F54610"/>
    <w:rsid w:val="00F54676"/>
    <w:rsid w:val="00F546CB"/>
    <w:rsid w:val="00F54951"/>
    <w:rsid w:val="00F54B9C"/>
    <w:rsid w:val="00F54C46"/>
    <w:rsid w:val="00F54C9B"/>
    <w:rsid w:val="00F5504B"/>
    <w:rsid w:val="00F55080"/>
    <w:rsid w:val="00F5535E"/>
    <w:rsid w:val="00F553DA"/>
    <w:rsid w:val="00F55422"/>
    <w:rsid w:val="00F554FF"/>
    <w:rsid w:val="00F555A6"/>
    <w:rsid w:val="00F5561F"/>
    <w:rsid w:val="00F55655"/>
    <w:rsid w:val="00F55676"/>
    <w:rsid w:val="00F557B8"/>
    <w:rsid w:val="00F55A34"/>
    <w:rsid w:val="00F55A3F"/>
    <w:rsid w:val="00F55A99"/>
    <w:rsid w:val="00F55B26"/>
    <w:rsid w:val="00F55BC6"/>
    <w:rsid w:val="00F55CF3"/>
    <w:rsid w:val="00F55D11"/>
    <w:rsid w:val="00F55DDF"/>
    <w:rsid w:val="00F55F6D"/>
    <w:rsid w:val="00F5606A"/>
    <w:rsid w:val="00F561F6"/>
    <w:rsid w:val="00F561FE"/>
    <w:rsid w:val="00F562FF"/>
    <w:rsid w:val="00F5638F"/>
    <w:rsid w:val="00F5673C"/>
    <w:rsid w:val="00F56780"/>
    <w:rsid w:val="00F56A4A"/>
    <w:rsid w:val="00F56A65"/>
    <w:rsid w:val="00F56C3F"/>
    <w:rsid w:val="00F56C5C"/>
    <w:rsid w:val="00F56D29"/>
    <w:rsid w:val="00F56DFA"/>
    <w:rsid w:val="00F570C5"/>
    <w:rsid w:val="00F57113"/>
    <w:rsid w:val="00F572A8"/>
    <w:rsid w:val="00F57301"/>
    <w:rsid w:val="00F573EE"/>
    <w:rsid w:val="00F5746E"/>
    <w:rsid w:val="00F57485"/>
    <w:rsid w:val="00F57715"/>
    <w:rsid w:val="00F57717"/>
    <w:rsid w:val="00F57796"/>
    <w:rsid w:val="00F57810"/>
    <w:rsid w:val="00F5793A"/>
    <w:rsid w:val="00F5795E"/>
    <w:rsid w:val="00F57A0C"/>
    <w:rsid w:val="00F57B3F"/>
    <w:rsid w:val="00F57B86"/>
    <w:rsid w:val="00F60094"/>
    <w:rsid w:val="00F60511"/>
    <w:rsid w:val="00F60596"/>
    <w:rsid w:val="00F605B6"/>
    <w:rsid w:val="00F60608"/>
    <w:rsid w:val="00F6072C"/>
    <w:rsid w:val="00F607A5"/>
    <w:rsid w:val="00F607F2"/>
    <w:rsid w:val="00F60842"/>
    <w:rsid w:val="00F609EB"/>
    <w:rsid w:val="00F60A73"/>
    <w:rsid w:val="00F60B70"/>
    <w:rsid w:val="00F60BE2"/>
    <w:rsid w:val="00F60CF1"/>
    <w:rsid w:val="00F60D95"/>
    <w:rsid w:val="00F60E45"/>
    <w:rsid w:val="00F60E53"/>
    <w:rsid w:val="00F60E81"/>
    <w:rsid w:val="00F60F0A"/>
    <w:rsid w:val="00F60F1C"/>
    <w:rsid w:val="00F60F55"/>
    <w:rsid w:val="00F60FC7"/>
    <w:rsid w:val="00F60FEC"/>
    <w:rsid w:val="00F6112C"/>
    <w:rsid w:val="00F61179"/>
    <w:rsid w:val="00F61246"/>
    <w:rsid w:val="00F61251"/>
    <w:rsid w:val="00F6137E"/>
    <w:rsid w:val="00F613B8"/>
    <w:rsid w:val="00F613CF"/>
    <w:rsid w:val="00F61412"/>
    <w:rsid w:val="00F617FE"/>
    <w:rsid w:val="00F61846"/>
    <w:rsid w:val="00F61A1E"/>
    <w:rsid w:val="00F61AC7"/>
    <w:rsid w:val="00F61B25"/>
    <w:rsid w:val="00F61B78"/>
    <w:rsid w:val="00F61C77"/>
    <w:rsid w:val="00F61C89"/>
    <w:rsid w:val="00F61D98"/>
    <w:rsid w:val="00F61E7C"/>
    <w:rsid w:val="00F61E9C"/>
    <w:rsid w:val="00F621C3"/>
    <w:rsid w:val="00F6248E"/>
    <w:rsid w:val="00F624FE"/>
    <w:rsid w:val="00F6259D"/>
    <w:rsid w:val="00F62830"/>
    <w:rsid w:val="00F62AC4"/>
    <w:rsid w:val="00F62B7D"/>
    <w:rsid w:val="00F62C5F"/>
    <w:rsid w:val="00F62D95"/>
    <w:rsid w:val="00F62DBF"/>
    <w:rsid w:val="00F62E60"/>
    <w:rsid w:val="00F62EEB"/>
    <w:rsid w:val="00F62FC7"/>
    <w:rsid w:val="00F62FFD"/>
    <w:rsid w:val="00F63086"/>
    <w:rsid w:val="00F63251"/>
    <w:rsid w:val="00F6332F"/>
    <w:rsid w:val="00F634F2"/>
    <w:rsid w:val="00F635A4"/>
    <w:rsid w:val="00F63677"/>
    <w:rsid w:val="00F63823"/>
    <w:rsid w:val="00F638F2"/>
    <w:rsid w:val="00F638F7"/>
    <w:rsid w:val="00F639FF"/>
    <w:rsid w:val="00F63B41"/>
    <w:rsid w:val="00F63C13"/>
    <w:rsid w:val="00F63EF3"/>
    <w:rsid w:val="00F63F67"/>
    <w:rsid w:val="00F64141"/>
    <w:rsid w:val="00F64316"/>
    <w:rsid w:val="00F643C4"/>
    <w:rsid w:val="00F6442A"/>
    <w:rsid w:val="00F6479D"/>
    <w:rsid w:val="00F647C7"/>
    <w:rsid w:val="00F647EA"/>
    <w:rsid w:val="00F648D0"/>
    <w:rsid w:val="00F648E8"/>
    <w:rsid w:val="00F64BAE"/>
    <w:rsid w:val="00F64BE4"/>
    <w:rsid w:val="00F64C60"/>
    <w:rsid w:val="00F64CB7"/>
    <w:rsid w:val="00F64E87"/>
    <w:rsid w:val="00F65250"/>
    <w:rsid w:val="00F6540A"/>
    <w:rsid w:val="00F6547B"/>
    <w:rsid w:val="00F654F5"/>
    <w:rsid w:val="00F65505"/>
    <w:rsid w:val="00F65558"/>
    <w:rsid w:val="00F6571A"/>
    <w:rsid w:val="00F657F9"/>
    <w:rsid w:val="00F6586D"/>
    <w:rsid w:val="00F6589F"/>
    <w:rsid w:val="00F658CB"/>
    <w:rsid w:val="00F65A22"/>
    <w:rsid w:val="00F65CA7"/>
    <w:rsid w:val="00F65D9B"/>
    <w:rsid w:val="00F65DF1"/>
    <w:rsid w:val="00F6600A"/>
    <w:rsid w:val="00F66181"/>
    <w:rsid w:val="00F663BE"/>
    <w:rsid w:val="00F6644C"/>
    <w:rsid w:val="00F665D1"/>
    <w:rsid w:val="00F6662D"/>
    <w:rsid w:val="00F66797"/>
    <w:rsid w:val="00F66986"/>
    <w:rsid w:val="00F669E7"/>
    <w:rsid w:val="00F66DF0"/>
    <w:rsid w:val="00F67077"/>
    <w:rsid w:val="00F6738F"/>
    <w:rsid w:val="00F67485"/>
    <w:rsid w:val="00F67488"/>
    <w:rsid w:val="00F6749F"/>
    <w:rsid w:val="00F674A8"/>
    <w:rsid w:val="00F675BA"/>
    <w:rsid w:val="00F675E6"/>
    <w:rsid w:val="00F67768"/>
    <w:rsid w:val="00F677FA"/>
    <w:rsid w:val="00F67896"/>
    <w:rsid w:val="00F67A5E"/>
    <w:rsid w:val="00F67AC2"/>
    <w:rsid w:val="00F67DCF"/>
    <w:rsid w:val="00F67F62"/>
    <w:rsid w:val="00F70020"/>
    <w:rsid w:val="00F70022"/>
    <w:rsid w:val="00F70544"/>
    <w:rsid w:val="00F70853"/>
    <w:rsid w:val="00F70911"/>
    <w:rsid w:val="00F7091C"/>
    <w:rsid w:val="00F70AC5"/>
    <w:rsid w:val="00F70AF4"/>
    <w:rsid w:val="00F70CDE"/>
    <w:rsid w:val="00F70D5A"/>
    <w:rsid w:val="00F70E37"/>
    <w:rsid w:val="00F70EA4"/>
    <w:rsid w:val="00F70EB6"/>
    <w:rsid w:val="00F70ED0"/>
    <w:rsid w:val="00F70F65"/>
    <w:rsid w:val="00F70FE3"/>
    <w:rsid w:val="00F71060"/>
    <w:rsid w:val="00F710A6"/>
    <w:rsid w:val="00F71196"/>
    <w:rsid w:val="00F7129F"/>
    <w:rsid w:val="00F712BB"/>
    <w:rsid w:val="00F712DF"/>
    <w:rsid w:val="00F71325"/>
    <w:rsid w:val="00F713C3"/>
    <w:rsid w:val="00F714BF"/>
    <w:rsid w:val="00F71852"/>
    <w:rsid w:val="00F718A9"/>
    <w:rsid w:val="00F71CBF"/>
    <w:rsid w:val="00F71CC2"/>
    <w:rsid w:val="00F71D44"/>
    <w:rsid w:val="00F71EBD"/>
    <w:rsid w:val="00F71ECE"/>
    <w:rsid w:val="00F7202D"/>
    <w:rsid w:val="00F7202F"/>
    <w:rsid w:val="00F72220"/>
    <w:rsid w:val="00F722F7"/>
    <w:rsid w:val="00F7252B"/>
    <w:rsid w:val="00F725B2"/>
    <w:rsid w:val="00F72652"/>
    <w:rsid w:val="00F726DC"/>
    <w:rsid w:val="00F7270F"/>
    <w:rsid w:val="00F72831"/>
    <w:rsid w:val="00F7286E"/>
    <w:rsid w:val="00F72B03"/>
    <w:rsid w:val="00F72B62"/>
    <w:rsid w:val="00F72D8A"/>
    <w:rsid w:val="00F72D97"/>
    <w:rsid w:val="00F72EE0"/>
    <w:rsid w:val="00F72EF8"/>
    <w:rsid w:val="00F72EFD"/>
    <w:rsid w:val="00F7314D"/>
    <w:rsid w:val="00F7314E"/>
    <w:rsid w:val="00F73258"/>
    <w:rsid w:val="00F7332D"/>
    <w:rsid w:val="00F73381"/>
    <w:rsid w:val="00F7346D"/>
    <w:rsid w:val="00F73505"/>
    <w:rsid w:val="00F73516"/>
    <w:rsid w:val="00F736C3"/>
    <w:rsid w:val="00F7378D"/>
    <w:rsid w:val="00F73898"/>
    <w:rsid w:val="00F738FF"/>
    <w:rsid w:val="00F73A5B"/>
    <w:rsid w:val="00F73AD3"/>
    <w:rsid w:val="00F73B53"/>
    <w:rsid w:val="00F73C37"/>
    <w:rsid w:val="00F73CBF"/>
    <w:rsid w:val="00F73CD9"/>
    <w:rsid w:val="00F73D0C"/>
    <w:rsid w:val="00F73EF6"/>
    <w:rsid w:val="00F74053"/>
    <w:rsid w:val="00F74111"/>
    <w:rsid w:val="00F743CA"/>
    <w:rsid w:val="00F7440D"/>
    <w:rsid w:val="00F744D6"/>
    <w:rsid w:val="00F7456F"/>
    <w:rsid w:val="00F746D7"/>
    <w:rsid w:val="00F748E6"/>
    <w:rsid w:val="00F74900"/>
    <w:rsid w:val="00F749EC"/>
    <w:rsid w:val="00F749F7"/>
    <w:rsid w:val="00F74C37"/>
    <w:rsid w:val="00F74C97"/>
    <w:rsid w:val="00F74CAD"/>
    <w:rsid w:val="00F74EBA"/>
    <w:rsid w:val="00F7504E"/>
    <w:rsid w:val="00F75057"/>
    <w:rsid w:val="00F750FB"/>
    <w:rsid w:val="00F753DC"/>
    <w:rsid w:val="00F7552D"/>
    <w:rsid w:val="00F755C1"/>
    <w:rsid w:val="00F75602"/>
    <w:rsid w:val="00F757BF"/>
    <w:rsid w:val="00F75A0C"/>
    <w:rsid w:val="00F75AE7"/>
    <w:rsid w:val="00F75C2F"/>
    <w:rsid w:val="00F75D06"/>
    <w:rsid w:val="00F75D6B"/>
    <w:rsid w:val="00F75DF5"/>
    <w:rsid w:val="00F75FBA"/>
    <w:rsid w:val="00F76026"/>
    <w:rsid w:val="00F76152"/>
    <w:rsid w:val="00F762DE"/>
    <w:rsid w:val="00F7638A"/>
    <w:rsid w:val="00F764CB"/>
    <w:rsid w:val="00F76550"/>
    <w:rsid w:val="00F766AB"/>
    <w:rsid w:val="00F76730"/>
    <w:rsid w:val="00F7698E"/>
    <w:rsid w:val="00F769A0"/>
    <w:rsid w:val="00F76A57"/>
    <w:rsid w:val="00F76AB5"/>
    <w:rsid w:val="00F76B9E"/>
    <w:rsid w:val="00F76BA4"/>
    <w:rsid w:val="00F76BC8"/>
    <w:rsid w:val="00F76C0D"/>
    <w:rsid w:val="00F770C9"/>
    <w:rsid w:val="00F770CC"/>
    <w:rsid w:val="00F77177"/>
    <w:rsid w:val="00F7722A"/>
    <w:rsid w:val="00F772C4"/>
    <w:rsid w:val="00F7739A"/>
    <w:rsid w:val="00F774B8"/>
    <w:rsid w:val="00F77543"/>
    <w:rsid w:val="00F77597"/>
    <w:rsid w:val="00F7766F"/>
    <w:rsid w:val="00F776B6"/>
    <w:rsid w:val="00F77784"/>
    <w:rsid w:val="00F77951"/>
    <w:rsid w:val="00F77A64"/>
    <w:rsid w:val="00F77A7C"/>
    <w:rsid w:val="00F77B2B"/>
    <w:rsid w:val="00F77BA3"/>
    <w:rsid w:val="00F77BC2"/>
    <w:rsid w:val="00F77C63"/>
    <w:rsid w:val="00F77E04"/>
    <w:rsid w:val="00F77F79"/>
    <w:rsid w:val="00F77F9E"/>
    <w:rsid w:val="00F77FDD"/>
    <w:rsid w:val="00F77FE6"/>
    <w:rsid w:val="00F80109"/>
    <w:rsid w:val="00F801B9"/>
    <w:rsid w:val="00F801D0"/>
    <w:rsid w:val="00F803AA"/>
    <w:rsid w:val="00F80657"/>
    <w:rsid w:val="00F80793"/>
    <w:rsid w:val="00F807B1"/>
    <w:rsid w:val="00F8082C"/>
    <w:rsid w:val="00F80925"/>
    <w:rsid w:val="00F80A5D"/>
    <w:rsid w:val="00F80AAE"/>
    <w:rsid w:val="00F80DFD"/>
    <w:rsid w:val="00F80E5C"/>
    <w:rsid w:val="00F80E65"/>
    <w:rsid w:val="00F80E75"/>
    <w:rsid w:val="00F80EB8"/>
    <w:rsid w:val="00F80EE8"/>
    <w:rsid w:val="00F80F52"/>
    <w:rsid w:val="00F81087"/>
    <w:rsid w:val="00F810D2"/>
    <w:rsid w:val="00F811B8"/>
    <w:rsid w:val="00F811EA"/>
    <w:rsid w:val="00F812ED"/>
    <w:rsid w:val="00F813A3"/>
    <w:rsid w:val="00F8143E"/>
    <w:rsid w:val="00F814E0"/>
    <w:rsid w:val="00F81531"/>
    <w:rsid w:val="00F815AD"/>
    <w:rsid w:val="00F81701"/>
    <w:rsid w:val="00F8189B"/>
    <w:rsid w:val="00F8198E"/>
    <w:rsid w:val="00F81A57"/>
    <w:rsid w:val="00F81ABF"/>
    <w:rsid w:val="00F81B01"/>
    <w:rsid w:val="00F81B2D"/>
    <w:rsid w:val="00F81B70"/>
    <w:rsid w:val="00F81B9D"/>
    <w:rsid w:val="00F81C2A"/>
    <w:rsid w:val="00F81E69"/>
    <w:rsid w:val="00F82010"/>
    <w:rsid w:val="00F82021"/>
    <w:rsid w:val="00F82130"/>
    <w:rsid w:val="00F82270"/>
    <w:rsid w:val="00F823CF"/>
    <w:rsid w:val="00F824BE"/>
    <w:rsid w:val="00F825CB"/>
    <w:rsid w:val="00F825FF"/>
    <w:rsid w:val="00F82668"/>
    <w:rsid w:val="00F826D1"/>
    <w:rsid w:val="00F82750"/>
    <w:rsid w:val="00F828C4"/>
    <w:rsid w:val="00F82A58"/>
    <w:rsid w:val="00F82A68"/>
    <w:rsid w:val="00F82CB1"/>
    <w:rsid w:val="00F82DDA"/>
    <w:rsid w:val="00F82DFF"/>
    <w:rsid w:val="00F82F9D"/>
    <w:rsid w:val="00F83659"/>
    <w:rsid w:val="00F83664"/>
    <w:rsid w:val="00F83813"/>
    <w:rsid w:val="00F8389D"/>
    <w:rsid w:val="00F839A9"/>
    <w:rsid w:val="00F83AD3"/>
    <w:rsid w:val="00F83B1E"/>
    <w:rsid w:val="00F83B8E"/>
    <w:rsid w:val="00F83BF7"/>
    <w:rsid w:val="00F83C36"/>
    <w:rsid w:val="00F83CAB"/>
    <w:rsid w:val="00F8406A"/>
    <w:rsid w:val="00F84074"/>
    <w:rsid w:val="00F840A9"/>
    <w:rsid w:val="00F840B8"/>
    <w:rsid w:val="00F8414D"/>
    <w:rsid w:val="00F84326"/>
    <w:rsid w:val="00F84997"/>
    <w:rsid w:val="00F84A0B"/>
    <w:rsid w:val="00F84ABA"/>
    <w:rsid w:val="00F84E51"/>
    <w:rsid w:val="00F84EDF"/>
    <w:rsid w:val="00F84FC5"/>
    <w:rsid w:val="00F84FDF"/>
    <w:rsid w:val="00F84FE0"/>
    <w:rsid w:val="00F8537C"/>
    <w:rsid w:val="00F854D4"/>
    <w:rsid w:val="00F8567E"/>
    <w:rsid w:val="00F8570E"/>
    <w:rsid w:val="00F8582B"/>
    <w:rsid w:val="00F8583B"/>
    <w:rsid w:val="00F858C5"/>
    <w:rsid w:val="00F85A7D"/>
    <w:rsid w:val="00F85AAC"/>
    <w:rsid w:val="00F85AFB"/>
    <w:rsid w:val="00F85BF8"/>
    <w:rsid w:val="00F85DD0"/>
    <w:rsid w:val="00F85FC0"/>
    <w:rsid w:val="00F86116"/>
    <w:rsid w:val="00F86368"/>
    <w:rsid w:val="00F8642C"/>
    <w:rsid w:val="00F86471"/>
    <w:rsid w:val="00F864FE"/>
    <w:rsid w:val="00F8653C"/>
    <w:rsid w:val="00F865CC"/>
    <w:rsid w:val="00F86632"/>
    <w:rsid w:val="00F86700"/>
    <w:rsid w:val="00F8670E"/>
    <w:rsid w:val="00F86726"/>
    <w:rsid w:val="00F867D2"/>
    <w:rsid w:val="00F867E3"/>
    <w:rsid w:val="00F86B06"/>
    <w:rsid w:val="00F86B2D"/>
    <w:rsid w:val="00F86CB7"/>
    <w:rsid w:val="00F86CFC"/>
    <w:rsid w:val="00F86D11"/>
    <w:rsid w:val="00F86DE8"/>
    <w:rsid w:val="00F86EAA"/>
    <w:rsid w:val="00F87194"/>
    <w:rsid w:val="00F871B1"/>
    <w:rsid w:val="00F871E0"/>
    <w:rsid w:val="00F874AC"/>
    <w:rsid w:val="00F874AE"/>
    <w:rsid w:val="00F875E1"/>
    <w:rsid w:val="00F875F0"/>
    <w:rsid w:val="00F87778"/>
    <w:rsid w:val="00F87925"/>
    <w:rsid w:val="00F87940"/>
    <w:rsid w:val="00F87CB4"/>
    <w:rsid w:val="00F87CDE"/>
    <w:rsid w:val="00F87DCB"/>
    <w:rsid w:val="00F87E47"/>
    <w:rsid w:val="00F87F61"/>
    <w:rsid w:val="00F900D0"/>
    <w:rsid w:val="00F90346"/>
    <w:rsid w:val="00F90395"/>
    <w:rsid w:val="00F903A6"/>
    <w:rsid w:val="00F903AD"/>
    <w:rsid w:val="00F90478"/>
    <w:rsid w:val="00F904F5"/>
    <w:rsid w:val="00F90555"/>
    <w:rsid w:val="00F907A4"/>
    <w:rsid w:val="00F90851"/>
    <w:rsid w:val="00F9088F"/>
    <w:rsid w:val="00F90938"/>
    <w:rsid w:val="00F90A18"/>
    <w:rsid w:val="00F90BA6"/>
    <w:rsid w:val="00F90C5C"/>
    <w:rsid w:val="00F90C86"/>
    <w:rsid w:val="00F90EC8"/>
    <w:rsid w:val="00F90F4D"/>
    <w:rsid w:val="00F90FD9"/>
    <w:rsid w:val="00F911D3"/>
    <w:rsid w:val="00F912A2"/>
    <w:rsid w:val="00F91521"/>
    <w:rsid w:val="00F915EB"/>
    <w:rsid w:val="00F91853"/>
    <w:rsid w:val="00F918BB"/>
    <w:rsid w:val="00F919E9"/>
    <w:rsid w:val="00F91AB9"/>
    <w:rsid w:val="00F91B82"/>
    <w:rsid w:val="00F91DB1"/>
    <w:rsid w:val="00F91E71"/>
    <w:rsid w:val="00F91EB2"/>
    <w:rsid w:val="00F91EDE"/>
    <w:rsid w:val="00F91EE1"/>
    <w:rsid w:val="00F91F39"/>
    <w:rsid w:val="00F91F7E"/>
    <w:rsid w:val="00F91FCD"/>
    <w:rsid w:val="00F9208B"/>
    <w:rsid w:val="00F92317"/>
    <w:rsid w:val="00F92421"/>
    <w:rsid w:val="00F924A6"/>
    <w:rsid w:val="00F9262A"/>
    <w:rsid w:val="00F9272D"/>
    <w:rsid w:val="00F927AC"/>
    <w:rsid w:val="00F927D8"/>
    <w:rsid w:val="00F92A74"/>
    <w:rsid w:val="00F92C47"/>
    <w:rsid w:val="00F92CD7"/>
    <w:rsid w:val="00F92D8E"/>
    <w:rsid w:val="00F92F90"/>
    <w:rsid w:val="00F9302A"/>
    <w:rsid w:val="00F93136"/>
    <w:rsid w:val="00F9337B"/>
    <w:rsid w:val="00F933F5"/>
    <w:rsid w:val="00F9346A"/>
    <w:rsid w:val="00F93852"/>
    <w:rsid w:val="00F938A5"/>
    <w:rsid w:val="00F938C5"/>
    <w:rsid w:val="00F93912"/>
    <w:rsid w:val="00F939F8"/>
    <w:rsid w:val="00F939FA"/>
    <w:rsid w:val="00F93BA3"/>
    <w:rsid w:val="00F93CBE"/>
    <w:rsid w:val="00F93E8F"/>
    <w:rsid w:val="00F93F10"/>
    <w:rsid w:val="00F93F63"/>
    <w:rsid w:val="00F94025"/>
    <w:rsid w:val="00F941C9"/>
    <w:rsid w:val="00F943A5"/>
    <w:rsid w:val="00F94400"/>
    <w:rsid w:val="00F94511"/>
    <w:rsid w:val="00F945D3"/>
    <w:rsid w:val="00F94684"/>
    <w:rsid w:val="00F94826"/>
    <w:rsid w:val="00F94857"/>
    <w:rsid w:val="00F94873"/>
    <w:rsid w:val="00F94929"/>
    <w:rsid w:val="00F94946"/>
    <w:rsid w:val="00F949AA"/>
    <w:rsid w:val="00F94AFC"/>
    <w:rsid w:val="00F94C22"/>
    <w:rsid w:val="00F94D04"/>
    <w:rsid w:val="00F94D2D"/>
    <w:rsid w:val="00F94E99"/>
    <w:rsid w:val="00F94F57"/>
    <w:rsid w:val="00F9501D"/>
    <w:rsid w:val="00F9509F"/>
    <w:rsid w:val="00F950BF"/>
    <w:rsid w:val="00F95100"/>
    <w:rsid w:val="00F95175"/>
    <w:rsid w:val="00F95181"/>
    <w:rsid w:val="00F9518D"/>
    <w:rsid w:val="00F95219"/>
    <w:rsid w:val="00F95274"/>
    <w:rsid w:val="00F95284"/>
    <w:rsid w:val="00F952F1"/>
    <w:rsid w:val="00F95453"/>
    <w:rsid w:val="00F955E1"/>
    <w:rsid w:val="00F9578E"/>
    <w:rsid w:val="00F9587B"/>
    <w:rsid w:val="00F959AB"/>
    <w:rsid w:val="00F95BD3"/>
    <w:rsid w:val="00F95F94"/>
    <w:rsid w:val="00F96031"/>
    <w:rsid w:val="00F9606A"/>
    <w:rsid w:val="00F96141"/>
    <w:rsid w:val="00F965FF"/>
    <w:rsid w:val="00F966B0"/>
    <w:rsid w:val="00F96A14"/>
    <w:rsid w:val="00F96AFA"/>
    <w:rsid w:val="00F96BF4"/>
    <w:rsid w:val="00F96C2F"/>
    <w:rsid w:val="00F96E06"/>
    <w:rsid w:val="00F96E37"/>
    <w:rsid w:val="00F9708A"/>
    <w:rsid w:val="00F971D8"/>
    <w:rsid w:val="00F971F7"/>
    <w:rsid w:val="00F9724C"/>
    <w:rsid w:val="00F9739E"/>
    <w:rsid w:val="00F973C3"/>
    <w:rsid w:val="00F973D7"/>
    <w:rsid w:val="00F975DF"/>
    <w:rsid w:val="00F979F2"/>
    <w:rsid w:val="00F97B7E"/>
    <w:rsid w:val="00F97D87"/>
    <w:rsid w:val="00F97D8C"/>
    <w:rsid w:val="00F97EE9"/>
    <w:rsid w:val="00F97F7E"/>
    <w:rsid w:val="00FA01AD"/>
    <w:rsid w:val="00FA01FD"/>
    <w:rsid w:val="00FA0313"/>
    <w:rsid w:val="00FA050B"/>
    <w:rsid w:val="00FA066F"/>
    <w:rsid w:val="00FA076D"/>
    <w:rsid w:val="00FA07B1"/>
    <w:rsid w:val="00FA084D"/>
    <w:rsid w:val="00FA0A4D"/>
    <w:rsid w:val="00FA0C26"/>
    <w:rsid w:val="00FA0CB9"/>
    <w:rsid w:val="00FA0E45"/>
    <w:rsid w:val="00FA0E60"/>
    <w:rsid w:val="00FA1075"/>
    <w:rsid w:val="00FA1244"/>
    <w:rsid w:val="00FA1263"/>
    <w:rsid w:val="00FA1462"/>
    <w:rsid w:val="00FA14E6"/>
    <w:rsid w:val="00FA176B"/>
    <w:rsid w:val="00FA17DD"/>
    <w:rsid w:val="00FA1942"/>
    <w:rsid w:val="00FA19E7"/>
    <w:rsid w:val="00FA1AA2"/>
    <w:rsid w:val="00FA1BE9"/>
    <w:rsid w:val="00FA1C75"/>
    <w:rsid w:val="00FA1E4C"/>
    <w:rsid w:val="00FA1EAB"/>
    <w:rsid w:val="00FA1ED7"/>
    <w:rsid w:val="00FA1F1D"/>
    <w:rsid w:val="00FA1FAA"/>
    <w:rsid w:val="00FA2056"/>
    <w:rsid w:val="00FA2231"/>
    <w:rsid w:val="00FA2464"/>
    <w:rsid w:val="00FA2667"/>
    <w:rsid w:val="00FA269C"/>
    <w:rsid w:val="00FA26C0"/>
    <w:rsid w:val="00FA26F8"/>
    <w:rsid w:val="00FA2713"/>
    <w:rsid w:val="00FA2747"/>
    <w:rsid w:val="00FA2826"/>
    <w:rsid w:val="00FA2847"/>
    <w:rsid w:val="00FA28E3"/>
    <w:rsid w:val="00FA2918"/>
    <w:rsid w:val="00FA29FC"/>
    <w:rsid w:val="00FA2A03"/>
    <w:rsid w:val="00FA2C3C"/>
    <w:rsid w:val="00FA2C8C"/>
    <w:rsid w:val="00FA2F6D"/>
    <w:rsid w:val="00FA30DB"/>
    <w:rsid w:val="00FA3107"/>
    <w:rsid w:val="00FA342E"/>
    <w:rsid w:val="00FA3488"/>
    <w:rsid w:val="00FA35DF"/>
    <w:rsid w:val="00FA36C7"/>
    <w:rsid w:val="00FA3A0B"/>
    <w:rsid w:val="00FA3B0E"/>
    <w:rsid w:val="00FA3CAF"/>
    <w:rsid w:val="00FA3CE8"/>
    <w:rsid w:val="00FA3D6B"/>
    <w:rsid w:val="00FA3DBC"/>
    <w:rsid w:val="00FA42DC"/>
    <w:rsid w:val="00FA435A"/>
    <w:rsid w:val="00FA439C"/>
    <w:rsid w:val="00FA4414"/>
    <w:rsid w:val="00FA4470"/>
    <w:rsid w:val="00FA447E"/>
    <w:rsid w:val="00FA478D"/>
    <w:rsid w:val="00FA493F"/>
    <w:rsid w:val="00FA4963"/>
    <w:rsid w:val="00FA4A09"/>
    <w:rsid w:val="00FA4DD5"/>
    <w:rsid w:val="00FA4FC3"/>
    <w:rsid w:val="00FA5074"/>
    <w:rsid w:val="00FA53DB"/>
    <w:rsid w:val="00FA56E3"/>
    <w:rsid w:val="00FA581B"/>
    <w:rsid w:val="00FA5A81"/>
    <w:rsid w:val="00FA5C49"/>
    <w:rsid w:val="00FA5C6F"/>
    <w:rsid w:val="00FA5DF7"/>
    <w:rsid w:val="00FA5E6B"/>
    <w:rsid w:val="00FA5F14"/>
    <w:rsid w:val="00FA60EF"/>
    <w:rsid w:val="00FA6129"/>
    <w:rsid w:val="00FA63EA"/>
    <w:rsid w:val="00FA6448"/>
    <w:rsid w:val="00FA6537"/>
    <w:rsid w:val="00FA672F"/>
    <w:rsid w:val="00FA684C"/>
    <w:rsid w:val="00FA690C"/>
    <w:rsid w:val="00FA692D"/>
    <w:rsid w:val="00FA6AE5"/>
    <w:rsid w:val="00FA6BA7"/>
    <w:rsid w:val="00FA6D25"/>
    <w:rsid w:val="00FA6E08"/>
    <w:rsid w:val="00FA6E9C"/>
    <w:rsid w:val="00FA71A6"/>
    <w:rsid w:val="00FA71E0"/>
    <w:rsid w:val="00FA72CC"/>
    <w:rsid w:val="00FA737C"/>
    <w:rsid w:val="00FA738B"/>
    <w:rsid w:val="00FA7546"/>
    <w:rsid w:val="00FA7574"/>
    <w:rsid w:val="00FA764D"/>
    <w:rsid w:val="00FA7777"/>
    <w:rsid w:val="00FA77AF"/>
    <w:rsid w:val="00FA77D7"/>
    <w:rsid w:val="00FA7986"/>
    <w:rsid w:val="00FA79D0"/>
    <w:rsid w:val="00FA7B5C"/>
    <w:rsid w:val="00FA7BD8"/>
    <w:rsid w:val="00FA7EB3"/>
    <w:rsid w:val="00FA7F48"/>
    <w:rsid w:val="00FA7F67"/>
    <w:rsid w:val="00FB016A"/>
    <w:rsid w:val="00FB01D8"/>
    <w:rsid w:val="00FB0278"/>
    <w:rsid w:val="00FB02FD"/>
    <w:rsid w:val="00FB0482"/>
    <w:rsid w:val="00FB0488"/>
    <w:rsid w:val="00FB065A"/>
    <w:rsid w:val="00FB06DB"/>
    <w:rsid w:val="00FB08C2"/>
    <w:rsid w:val="00FB09F2"/>
    <w:rsid w:val="00FB0A18"/>
    <w:rsid w:val="00FB0A76"/>
    <w:rsid w:val="00FB0AC1"/>
    <w:rsid w:val="00FB0CCA"/>
    <w:rsid w:val="00FB0E0C"/>
    <w:rsid w:val="00FB0E94"/>
    <w:rsid w:val="00FB0FA8"/>
    <w:rsid w:val="00FB118C"/>
    <w:rsid w:val="00FB11E5"/>
    <w:rsid w:val="00FB148E"/>
    <w:rsid w:val="00FB14B9"/>
    <w:rsid w:val="00FB162F"/>
    <w:rsid w:val="00FB165A"/>
    <w:rsid w:val="00FB18A4"/>
    <w:rsid w:val="00FB1BEF"/>
    <w:rsid w:val="00FB1E21"/>
    <w:rsid w:val="00FB1E41"/>
    <w:rsid w:val="00FB2065"/>
    <w:rsid w:val="00FB2090"/>
    <w:rsid w:val="00FB20A7"/>
    <w:rsid w:val="00FB2151"/>
    <w:rsid w:val="00FB2195"/>
    <w:rsid w:val="00FB21C3"/>
    <w:rsid w:val="00FB2402"/>
    <w:rsid w:val="00FB2601"/>
    <w:rsid w:val="00FB2774"/>
    <w:rsid w:val="00FB2A5E"/>
    <w:rsid w:val="00FB2AC0"/>
    <w:rsid w:val="00FB2AD1"/>
    <w:rsid w:val="00FB2B8D"/>
    <w:rsid w:val="00FB2C6C"/>
    <w:rsid w:val="00FB2C7C"/>
    <w:rsid w:val="00FB2E68"/>
    <w:rsid w:val="00FB300C"/>
    <w:rsid w:val="00FB3063"/>
    <w:rsid w:val="00FB309A"/>
    <w:rsid w:val="00FB30E9"/>
    <w:rsid w:val="00FB3146"/>
    <w:rsid w:val="00FB342D"/>
    <w:rsid w:val="00FB347B"/>
    <w:rsid w:val="00FB34ED"/>
    <w:rsid w:val="00FB35A1"/>
    <w:rsid w:val="00FB36E6"/>
    <w:rsid w:val="00FB37C6"/>
    <w:rsid w:val="00FB38AC"/>
    <w:rsid w:val="00FB3992"/>
    <w:rsid w:val="00FB3B9E"/>
    <w:rsid w:val="00FB3C1B"/>
    <w:rsid w:val="00FB3D69"/>
    <w:rsid w:val="00FB3E55"/>
    <w:rsid w:val="00FB3E62"/>
    <w:rsid w:val="00FB3F66"/>
    <w:rsid w:val="00FB3F7B"/>
    <w:rsid w:val="00FB4145"/>
    <w:rsid w:val="00FB4253"/>
    <w:rsid w:val="00FB4296"/>
    <w:rsid w:val="00FB42F2"/>
    <w:rsid w:val="00FB43BF"/>
    <w:rsid w:val="00FB4535"/>
    <w:rsid w:val="00FB45A5"/>
    <w:rsid w:val="00FB45F8"/>
    <w:rsid w:val="00FB4651"/>
    <w:rsid w:val="00FB4724"/>
    <w:rsid w:val="00FB47AC"/>
    <w:rsid w:val="00FB4835"/>
    <w:rsid w:val="00FB4A84"/>
    <w:rsid w:val="00FB4AD3"/>
    <w:rsid w:val="00FB4CC2"/>
    <w:rsid w:val="00FB4CEE"/>
    <w:rsid w:val="00FB4D84"/>
    <w:rsid w:val="00FB4E98"/>
    <w:rsid w:val="00FB519E"/>
    <w:rsid w:val="00FB528D"/>
    <w:rsid w:val="00FB528F"/>
    <w:rsid w:val="00FB537A"/>
    <w:rsid w:val="00FB548D"/>
    <w:rsid w:val="00FB5894"/>
    <w:rsid w:val="00FB58F6"/>
    <w:rsid w:val="00FB5950"/>
    <w:rsid w:val="00FB5AB4"/>
    <w:rsid w:val="00FB5B50"/>
    <w:rsid w:val="00FB5B63"/>
    <w:rsid w:val="00FB5E6A"/>
    <w:rsid w:val="00FB5EF9"/>
    <w:rsid w:val="00FB5F92"/>
    <w:rsid w:val="00FB5FF4"/>
    <w:rsid w:val="00FB60BE"/>
    <w:rsid w:val="00FB6157"/>
    <w:rsid w:val="00FB62AC"/>
    <w:rsid w:val="00FB6460"/>
    <w:rsid w:val="00FB652A"/>
    <w:rsid w:val="00FB65C6"/>
    <w:rsid w:val="00FB6680"/>
    <w:rsid w:val="00FB66AA"/>
    <w:rsid w:val="00FB66F4"/>
    <w:rsid w:val="00FB6731"/>
    <w:rsid w:val="00FB679F"/>
    <w:rsid w:val="00FB67C9"/>
    <w:rsid w:val="00FB6842"/>
    <w:rsid w:val="00FB69E9"/>
    <w:rsid w:val="00FB6B87"/>
    <w:rsid w:val="00FB6BFD"/>
    <w:rsid w:val="00FB6C46"/>
    <w:rsid w:val="00FB6CE7"/>
    <w:rsid w:val="00FB6D06"/>
    <w:rsid w:val="00FB6D24"/>
    <w:rsid w:val="00FB6DE5"/>
    <w:rsid w:val="00FB6ECE"/>
    <w:rsid w:val="00FB6FF0"/>
    <w:rsid w:val="00FB73B4"/>
    <w:rsid w:val="00FB7520"/>
    <w:rsid w:val="00FB766C"/>
    <w:rsid w:val="00FB7749"/>
    <w:rsid w:val="00FB7889"/>
    <w:rsid w:val="00FB7AD5"/>
    <w:rsid w:val="00FB7B54"/>
    <w:rsid w:val="00FB7C98"/>
    <w:rsid w:val="00FB7DE1"/>
    <w:rsid w:val="00FB7E86"/>
    <w:rsid w:val="00FC007C"/>
    <w:rsid w:val="00FC01FF"/>
    <w:rsid w:val="00FC02FE"/>
    <w:rsid w:val="00FC0385"/>
    <w:rsid w:val="00FC03C8"/>
    <w:rsid w:val="00FC041E"/>
    <w:rsid w:val="00FC04C0"/>
    <w:rsid w:val="00FC06AF"/>
    <w:rsid w:val="00FC06F5"/>
    <w:rsid w:val="00FC07B3"/>
    <w:rsid w:val="00FC0815"/>
    <w:rsid w:val="00FC0914"/>
    <w:rsid w:val="00FC09D7"/>
    <w:rsid w:val="00FC0A91"/>
    <w:rsid w:val="00FC0BC3"/>
    <w:rsid w:val="00FC0BF6"/>
    <w:rsid w:val="00FC0D57"/>
    <w:rsid w:val="00FC0DD9"/>
    <w:rsid w:val="00FC0DDC"/>
    <w:rsid w:val="00FC0E0B"/>
    <w:rsid w:val="00FC0E17"/>
    <w:rsid w:val="00FC1105"/>
    <w:rsid w:val="00FC11AC"/>
    <w:rsid w:val="00FC146E"/>
    <w:rsid w:val="00FC148A"/>
    <w:rsid w:val="00FC160F"/>
    <w:rsid w:val="00FC1617"/>
    <w:rsid w:val="00FC1A95"/>
    <w:rsid w:val="00FC1ACC"/>
    <w:rsid w:val="00FC1D5A"/>
    <w:rsid w:val="00FC1E5F"/>
    <w:rsid w:val="00FC1E78"/>
    <w:rsid w:val="00FC21E2"/>
    <w:rsid w:val="00FC2206"/>
    <w:rsid w:val="00FC25AB"/>
    <w:rsid w:val="00FC25F7"/>
    <w:rsid w:val="00FC2867"/>
    <w:rsid w:val="00FC2A90"/>
    <w:rsid w:val="00FC2AE4"/>
    <w:rsid w:val="00FC2BF0"/>
    <w:rsid w:val="00FC2C3B"/>
    <w:rsid w:val="00FC2D0C"/>
    <w:rsid w:val="00FC2D30"/>
    <w:rsid w:val="00FC2E59"/>
    <w:rsid w:val="00FC2E8D"/>
    <w:rsid w:val="00FC2EF4"/>
    <w:rsid w:val="00FC310D"/>
    <w:rsid w:val="00FC324F"/>
    <w:rsid w:val="00FC337E"/>
    <w:rsid w:val="00FC33B5"/>
    <w:rsid w:val="00FC3430"/>
    <w:rsid w:val="00FC34B0"/>
    <w:rsid w:val="00FC36E2"/>
    <w:rsid w:val="00FC37A5"/>
    <w:rsid w:val="00FC3851"/>
    <w:rsid w:val="00FC3DCF"/>
    <w:rsid w:val="00FC3EA3"/>
    <w:rsid w:val="00FC3EB4"/>
    <w:rsid w:val="00FC3F83"/>
    <w:rsid w:val="00FC4058"/>
    <w:rsid w:val="00FC4199"/>
    <w:rsid w:val="00FC41FA"/>
    <w:rsid w:val="00FC4301"/>
    <w:rsid w:val="00FC4368"/>
    <w:rsid w:val="00FC4427"/>
    <w:rsid w:val="00FC449C"/>
    <w:rsid w:val="00FC4552"/>
    <w:rsid w:val="00FC46D3"/>
    <w:rsid w:val="00FC46F5"/>
    <w:rsid w:val="00FC4763"/>
    <w:rsid w:val="00FC4784"/>
    <w:rsid w:val="00FC4840"/>
    <w:rsid w:val="00FC4987"/>
    <w:rsid w:val="00FC498D"/>
    <w:rsid w:val="00FC49F6"/>
    <w:rsid w:val="00FC4E4D"/>
    <w:rsid w:val="00FC4E7E"/>
    <w:rsid w:val="00FC521B"/>
    <w:rsid w:val="00FC5278"/>
    <w:rsid w:val="00FC529D"/>
    <w:rsid w:val="00FC5559"/>
    <w:rsid w:val="00FC5664"/>
    <w:rsid w:val="00FC572F"/>
    <w:rsid w:val="00FC57A4"/>
    <w:rsid w:val="00FC58A7"/>
    <w:rsid w:val="00FC5913"/>
    <w:rsid w:val="00FC5943"/>
    <w:rsid w:val="00FC5A56"/>
    <w:rsid w:val="00FC5B33"/>
    <w:rsid w:val="00FC5C9C"/>
    <w:rsid w:val="00FC5CD9"/>
    <w:rsid w:val="00FC5E1C"/>
    <w:rsid w:val="00FC6066"/>
    <w:rsid w:val="00FC60A3"/>
    <w:rsid w:val="00FC6152"/>
    <w:rsid w:val="00FC621C"/>
    <w:rsid w:val="00FC62AE"/>
    <w:rsid w:val="00FC641D"/>
    <w:rsid w:val="00FC64D5"/>
    <w:rsid w:val="00FC66FB"/>
    <w:rsid w:val="00FC6706"/>
    <w:rsid w:val="00FC6784"/>
    <w:rsid w:val="00FC6891"/>
    <w:rsid w:val="00FC6936"/>
    <w:rsid w:val="00FC696B"/>
    <w:rsid w:val="00FC6B08"/>
    <w:rsid w:val="00FC6B31"/>
    <w:rsid w:val="00FC6BCD"/>
    <w:rsid w:val="00FC6CE9"/>
    <w:rsid w:val="00FC6CEA"/>
    <w:rsid w:val="00FC6D31"/>
    <w:rsid w:val="00FC6EA5"/>
    <w:rsid w:val="00FC700F"/>
    <w:rsid w:val="00FC7031"/>
    <w:rsid w:val="00FC7082"/>
    <w:rsid w:val="00FC70AE"/>
    <w:rsid w:val="00FC7141"/>
    <w:rsid w:val="00FC7182"/>
    <w:rsid w:val="00FC72B7"/>
    <w:rsid w:val="00FC7432"/>
    <w:rsid w:val="00FC746E"/>
    <w:rsid w:val="00FC74A7"/>
    <w:rsid w:val="00FC74E2"/>
    <w:rsid w:val="00FC7778"/>
    <w:rsid w:val="00FC77A1"/>
    <w:rsid w:val="00FC7BC8"/>
    <w:rsid w:val="00FC7EB3"/>
    <w:rsid w:val="00FC7FFB"/>
    <w:rsid w:val="00FD012D"/>
    <w:rsid w:val="00FD044A"/>
    <w:rsid w:val="00FD0671"/>
    <w:rsid w:val="00FD0700"/>
    <w:rsid w:val="00FD0841"/>
    <w:rsid w:val="00FD097C"/>
    <w:rsid w:val="00FD0A2C"/>
    <w:rsid w:val="00FD0C3C"/>
    <w:rsid w:val="00FD0C9A"/>
    <w:rsid w:val="00FD0D1D"/>
    <w:rsid w:val="00FD0DCB"/>
    <w:rsid w:val="00FD0E9E"/>
    <w:rsid w:val="00FD0F43"/>
    <w:rsid w:val="00FD1104"/>
    <w:rsid w:val="00FD118F"/>
    <w:rsid w:val="00FD1367"/>
    <w:rsid w:val="00FD147F"/>
    <w:rsid w:val="00FD14DE"/>
    <w:rsid w:val="00FD1613"/>
    <w:rsid w:val="00FD17F9"/>
    <w:rsid w:val="00FD1805"/>
    <w:rsid w:val="00FD197A"/>
    <w:rsid w:val="00FD1A0C"/>
    <w:rsid w:val="00FD1B1A"/>
    <w:rsid w:val="00FD1BA9"/>
    <w:rsid w:val="00FD1DFD"/>
    <w:rsid w:val="00FD2166"/>
    <w:rsid w:val="00FD216D"/>
    <w:rsid w:val="00FD219F"/>
    <w:rsid w:val="00FD223B"/>
    <w:rsid w:val="00FD230B"/>
    <w:rsid w:val="00FD2460"/>
    <w:rsid w:val="00FD2544"/>
    <w:rsid w:val="00FD26BC"/>
    <w:rsid w:val="00FD274A"/>
    <w:rsid w:val="00FD27C4"/>
    <w:rsid w:val="00FD2A04"/>
    <w:rsid w:val="00FD2A89"/>
    <w:rsid w:val="00FD2AE1"/>
    <w:rsid w:val="00FD2B17"/>
    <w:rsid w:val="00FD2B4A"/>
    <w:rsid w:val="00FD2C7F"/>
    <w:rsid w:val="00FD2DF7"/>
    <w:rsid w:val="00FD2E58"/>
    <w:rsid w:val="00FD312C"/>
    <w:rsid w:val="00FD3272"/>
    <w:rsid w:val="00FD349B"/>
    <w:rsid w:val="00FD34A4"/>
    <w:rsid w:val="00FD35B8"/>
    <w:rsid w:val="00FD389A"/>
    <w:rsid w:val="00FD397B"/>
    <w:rsid w:val="00FD3ABC"/>
    <w:rsid w:val="00FD3B08"/>
    <w:rsid w:val="00FD3DA1"/>
    <w:rsid w:val="00FD3DE0"/>
    <w:rsid w:val="00FD3F49"/>
    <w:rsid w:val="00FD4163"/>
    <w:rsid w:val="00FD433F"/>
    <w:rsid w:val="00FD458F"/>
    <w:rsid w:val="00FD46D7"/>
    <w:rsid w:val="00FD4D07"/>
    <w:rsid w:val="00FD4D51"/>
    <w:rsid w:val="00FD4D70"/>
    <w:rsid w:val="00FD4D9F"/>
    <w:rsid w:val="00FD4E28"/>
    <w:rsid w:val="00FD4E79"/>
    <w:rsid w:val="00FD4E8E"/>
    <w:rsid w:val="00FD4EAA"/>
    <w:rsid w:val="00FD4F34"/>
    <w:rsid w:val="00FD4FEE"/>
    <w:rsid w:val="00FD5005"/>
    <w:rsid w:val="00FD50D2"/>
    <w:rsid w:val="00FD50F4"/>
    <w:rsid w:val="00FD5174"/>
    <w:rsid w:val="00FD518C"/>
    <w:rsid w:val="00FD528E"/>
    <w:rsid w:val="00FD53D2"/>
    <w:rsid w:val="00FD55D2"/>
    <w:rsid w:val="00FD55E0"/>
    <w:rsid w:val="00FD577C"/>
    <w:rsid w:val="00FD5897"/>
    <w:rsid w:val="00FD59C4"/>
    <w:rsid w:val="00FD59D3"/>
    <w:rsid w:val="00FD5A64"/>
    <w:rsid w:val="00FD5A77"/>
    <w:rsid w:val="00FD5C68"/>
    <w:rsid w:val="00FD5E24"/>
    <w:rsid w:val="00FD5E42"/>
    <w:rsid w:val="00FD5FF1"/>
    <w:rsid w:val="00FD61A5"/>
    <w:rsid w:val="00FD61F0"/>
    <w:rsid w:val="00FD6313"/>
    <w:rsid w:val="00FD6479"/>
    <w:rsid w:val="00FD66B6"/>
    <w:rsid w:val="00FD6739"/>
    <w:rsid w:val="00FD67EA"/>
    <w:rsid w:val="00FD6912"/>
    <w:rsid w:val="00FD6964"/>
    <w:rsid w:val="00FD6C76"/>
    <w:rsid w:val="00FD6CF0"/>
    <w:rsid w:val="00FD6F31"/>
    <w:rsid w:val="00FD6F70"/>
    <w:rsid w:val="00FD730C"/>
    <w:rsid w:val="00FD7426"/>
    <w:rsid w:val="00FD747E"/>
    <w:rsid w:val="00FD7761"/>
    <w:rsid w:val="00FD77C9"/>
    <w:rsid w:val="00FD7898"/>
    <w:rsid w:val="00FD793A"/>
    <w:rsid w:val="00FD79DE"/>
    <w:rsid w:val="00FD7A18"/>
    <w:rsid w:val="00FD7A1C"/>
    <w:rsid w:val="00FD7B11"/>
    <w:rsid w:val="00FD7C2E"/>
    <w:rsid w:val="00FD7C46"/>
    <w:rsid w:val="00FD7C68"/>
    <w:rsid w:val="00FD7CA5"/>
    <w:rsid w:val="00FD7DBD"/>
    <w:rsid w:val="00FD7ECB"/>
    <w:rsid w:val="00FD7FB6"/>
    <w:rsid w:val="00FD7FD3"/>
    <w:rsid w:val="00FE0034"/>
    <w:rsid w:val="00FE0160"/>
    <w:rsid w:val="00FE0248"/>
    <w:rsid w:val="00FE0286"/>
    <w:rsid w:val="00FE0317"/>
    <w:rsid w:val="00FE031E"/>
    <w:rsid w:val="00FE03BE"/>
    <w:rsid w:val="00FE03FF"/>
    <w:rsid w:val="00FE043E"/>
    <w:rsid w:val="00FE04A2"/>
    <w:rsid w:val="00FE06A5"/>
    <w:rsid w:val="00FE0779"/>
    <w:rsid w:val="00FE07BE"/>
    <w:rsid w:val="00FE0845"/>
    <w:rsid w:val="00FE0A09"/>
    <w:rsid w:val="00FE0A81"/>
    <w:rsid w:val="00FE0AD0"/>
    <w:rsid w:val="00FE0CA8"/>
    <w:rsid w:val="00FE0D98"/>
    <w:rsid w:val="00FE0E66"/>
    <w:rsid w:val="00FE0F2A"/>
    <w:rsid w:val="00FE0FF5"/>
    <w:rsid w:val="00FE113B"/>
    <w:rsid w:val="00FE1621"/>
    <w:rsid w:val="00FE1743"/>
    <w:rsid w:val="00FE181B"/>
    <w:rsid w:val="00FE1F94"/>
    <w:rsid w:val="00FE1FC6"/>
    <w:rsid w:val="00FE2006"/>
    <w:rsid w:val="00FE2039"/>
    <w:rsid w:val="00FE213E"/>
    <w:rsid w:val="00FE21C0"/>
    <w:rsid w:val="00FE225C"/>
    <w:rsid w:val="00FE226E"/>
    <w:rsid w:val="00FE2288"/>
    <w:rsid w:val="00FE22EA"/>
    <w:rsid w:val="00FE2421"/>
    <w:rsid w:val="00FE265D"/>
    <w:rsid w:val="00FE271C"/>
    <w:rsid w:val="00FE2886"/>
    <w:rsid w:val="00FE29AD"/>
    <w:rsid w:val="00FE2BD2"/>
    <w:rsid w:val="00FE2E33"/>
    <w:rsid w:val="00FE2EC1"/>
    <w:rsid w:val="00FE2F2F"/>
    <w:rsid w:val="00FE3041"/>
    <w:rsid w:val="00FE312C"/>
    <w:rsid w:val="00FE3152"/>
    <w:rsid w:val="00FE3174"/>
    <w:rsid w:val="00FE3301"/>
    <w:rsid w:val="00FE33CE"/>
    <w:rsid w:val="00FE33E9"/>
    <w:rsid w:val="00FE36AD"/>
    <w:rsid w:val="00FE38DB"/>
    <w:rsid w:val="00FE3A4C"/>
    <w:rsid w:val="00FE3B1D"/>
    <w:rsid w:val="00FE3B69"/>
    <w:rsid w:val="00FE3BCC"/>
    <w:rsid w:val="00FE3C44"/>
    <w:rsid w:val="00FE3D29"/>
    <w:rsid w:val="00FE3D88"/>
    <w:rsid w:val="00FE3E22"/>
    <w:rsid w:val="00FE3EEB"/>
    <w:rsid w:val="00FE3F69"/>
    <w:rsid w:val="00FE40D7"/>
    <w:rsid w:val="00FE4201"/>
    <w:rsid w:val="00FE433C"/>
    <w:rsid w:val="00FE43D4"/>
    <w:rsid w:val="00FE43FC"/>
    <w:rsid w:val="00FE4440"/>
    <w:rsid w:val="00FE4458"/>
    <w:rsid w:val="00FE4491"/>
    <w:rsid w:val="00FE483F"/>
    <w:rsid w:val="00FE4893"/>
    <w:rsid w:val="00FE490D"/>
    <w:rsid w:val="00FE4A67"/>
    <w:rsid w:val="00FE4B08"/>
    <w:rsid w:val="00FE4B87"/>
    <w:rsid w:val="00FE4BD8"/>
    <w:rsid w:val="00FE4C22"/>
    <w:rsid w:val="00FE4C50"/>
    <w:rsid w:val="00FE4EFE"/>
    <w:rsid w:val="00FE4F72"/>
    <w:rsid w:val="00FE545B"/>
    <w:rsid w:val="00FE549D"/>
    <w:rsid w:val="00FE55AC"/>
    <w:rsid w:val="00FE5733"/>
    <w:rsid w:val="00FE589A"/>
    <w:rsid w:val="00FE5A05"/>
    <w:rsid w:val="00FE5A0C"/>
    <w:rsid w:val="00FE5A5D"/>
    <w:rsid w:val="00FE5CA9"/>
    <w:rsid w:val="00FE5EC8"/>
    <w:rsid w:val="00FE6264"/>
    <w:rsid w:val="00FE63F0"/>
    <w:rsid w:val="00FE665A"/>
    <w:rsid w:val="00FE6779"/>
    <w:rsid w:val="00FE6980"/>
    <w:rsid w:val="00FE69DC"/>
    <w:rsid w:val="00FE6A53"/>
    <w:rsid w:val="00FE6A99"/>
    <w:rsid w:val="00FE6B40"/>
    <w:rsid w:val="00FE6BDB"/>
    <w:rsid w:val="00FE6C0F"/>
    <w:rsid w:val="00FE6D04"/>
    <w:rsid w:val="00FE6DE8"/>
    <w:rsid w:val="00FE6F27"/>
    <w:rsid w:val="00FE6F70"/>
    <w:rsid w:val="00FE724A"/>
    <w:rsid w:val="00FE7372"/>
    <w:rsid w:val="00FE7379"/>
    <w:rsid w:val="00FE749A"/>
    <w:rsid w:val="00FE749E"/>
    <w:rsid w:val="00FE755E"/>
    <w:rsid w:val="00FE757C"/>
    <w:rsid w:val="00FE7598"/>
    <w:rsid w:val="00FE75BC"/>
    <w:rsid w:val="00FE75D4"/>
    <w:rsid w:val="00FE75EF"/>
    <w:rsid w:val="00FE7662"/>
    <w:rsid w:val="00FE7738"/>
    <w:rsid w:val="00FE7868"/>
    <w:rsid w:val="00FE7C1C"/>
    <w:rsid w:val="00FE7C90"/>
    <w:rsid w:val="00FE7D0A"/>
    <w:rsid w:val="00FE7EFC"/>
    <w:rsid w:val="00FE7F42"/>
    <w:rsid w:val="00FF0088"/>
    <w:rsid w:val="00FF0184"/>
    <w:rsid w:val="00FF01CE"/>
    <w:rsid w:val="00FF0226"/>
    <w:rsid w:val="00FF0252"/>
    <w:rsid w:val="00FF0278"/>
    <w:rsid w:val="00FF04D0"/>
    <w:rsid w:val="00FF05DB"/>
    <w:rsid w:val="00FF068B"/>
    <w:rsid w:val="00FF0878"/>
    <w:rsid w:val="00FF0913"/>
    <w:rsid w:val="00FF0A85"/>
    <w:rsid w:val="00FF0B13"/>
    <w:rsid w:val="00FF0BA1"/>
    <w:rsid w:val="00FF0C2F"/>
    <w:rsid w:val="00FF0CC5"/>
    <w:rsid w:val="00FF0D1F"/>
    <w:rsid w:val="00FF0F98"/>
    <w:rsid w:val="00FF0FB8"/>
    <w:rsid w:val="00FF0FBF"/>
    <w:rsid w:val="00FF109C"/>
    <w:rsid w:val="00FF10A4"/>
    <w:rsid w:val="00FF11B5"/>
    <w:rsid w:val="00FF1281"/>
    <w:rsid w:val="00FF12BE"/>
    <w:rsid w:val="00FF13B9"/>
    <w:rsid w:val="00FF13F0"/>
    <w:rsid w:val="00FF1512"/>
    <w:rsid w:val="00FF15E6"/>
    <w:rsid w:val="00FF1743"/>
    <w:rsid w:val="00FF1929"/>
    <w:rsid w:val="00FF2231"/>
    <w:rsid w:val="00FF2372"/>
    <w:rsid w:val="00FF244A"/>
    <w:rsid w:val="00FF24C0"/>
    <w:rsid w:val="00FF257A"/>
    <w:rsid w:val="00FF2627"/>
    <w:rsid w:val="00FF28BE"/>
    <w:rsid w:val="00FF2AD5"/>
    <w:rsid w:val="00FF2E9A"/>
    <w:rsid w:val="00FF3052"/>
    <w:rsid w:val="00FF312E"/>
    <w:rsid w:val="00FF3345"/>
    <w:rsid w:val="00FF3374"/>
    <w:rsid w:val="00FF3387"/>
    <w:rsid w:val="00FF3442"/>
    <w:rsid w:val="00FF35ED"/>
    <w:rsid w:val="00FF36A5"/>
    <w:rsid w:val="00FF36B1"/>
    <w:rsid w:val="00FF36C4"/>
    <w:rsid w:val="00FF36D6"/>
    <w:rsid w:val="00FF36F0"/>
    <w:rsid w:val="00FF384F"/>
    <w:rsid w:val="00FF3AB0"/>
    <w:rsid w:val="00FF3D0C"/>
    <w:rsid w:val="00FF3D12"/>
    <w:rsid w:val="00FF3E1E"/>
    <w:rsid w:val="00FF3E36"/>
    <w:rsid w:val="00FF3F06"/>
    <w:rsid w:val="00FF3F51"/>
    <w:rsid w:val="00FF3F78"/>
    <w:rsid w:val="00FF40B4"/>
    <w:rsid w:val="00FF40E1"/>
    <w:rsid w:val="00FF429F"/>
    <w:rsid w:val="00FF449D"/>
    <w:rsid w:val="00FF4521"/>
    <w:rsid w:val="00FF45F3"/>
    <w:rsid w:val="00FF4A35"/>
    <w:rsid w:val="00FF4A7F"/>
    <w:rsid w:val="00FF4C5B"/>
    <w:rsid w:val="00FF4CD3"/>
    <w:rsid w:val="00FF4CF4"/>
    <w:rsid w:val="00FF4D62"/>
    <w:rsid w:val="00FF4EFB"/>
    <w:rsid w:val="00FF4F87"/>
    <w:rsid w:val="00FF512C"/>
    <w:rsid w:val="00FF5205"/>
    <w:rsid w:val="00FF5257"/>
    <w:rsid w:val="00FF537A"/>
    <w:rsid w:val="00FF53C8"/>
    <w:rsid w:val="00FF5499"/>
    <w:rsid w:val="00FF55D6"/>
    <w:rsid w:val="00FF55F9"/>
    <w:rsid w:val="00FF56BC"/>
    <w:rsid w:val="00FF5711"/>
    <w:rsid w:val="00FF57A5"/>
    <w:rsid w:val="00FF5BD7"/>
    <w:rsid w:val="00FF5D1F"/>
    <w:rsid w:val="00FF5E6E"/>
    <w:rsid w:val="00FF5F83"/>
    <w:rsid w:val="00FF61EE"/>
    <w:rsid w:val="00FF63A4"/>
    <w:rsid w:val="00FF63B7"/>
    <w:rsid w:val="00FF64FC"/>
    <w:rsid w:val="00FF65F6"/>
    <w:rsid w:val="00FF698F"/>
    <w:rsid w:val="00FF6994"/>
    <w:rsid w:val="00FF6B3F"/>
    <w:rsid w:val="00FF6B7A"/>
    <w:rsid w:val="00FF6B83"/>
    <w:rsid w:val="00FF6BD2"/>
    <w:rsid w:val="00FF6C9A"/>
    <w:rsid w:val="00FF6CB9"/>
    <w:rsid w:val="00FF6DFF"/>
    <w:rsid w:val="00FF6E56"/>
    <w:rsid w:val="00FF6E61"/>
    <w:rsid w:val="00FF6EF7"/>
    <w:rsid w:val="00FF6EFE"/>
    <w:rsid w:val="00FF6F86"/>
    <w:rsid w:val="00FF7064"/>
    <w:rsid w:val="00FF70C6"/>
    <w:rsid w:val="00FF70D6"/>
    <w:rsid w:val="00FF7131"/>
    <w:rsid w:val="00FF7180"/>
    <w:rsid w:val="00FF7181"/>
    <w:rsid w:val="00FF7278"/>
    <w:rsid w:val="00FF7388"/>
    <w:rsid w:val="00FF73BC"/>
    <w:rsid w:val="00FF748A"/>
    <w:rsid w:val="00FF74B2"/>
    <w:rsid w:val="00FF7521"/>
    <w:rsid w:val="00FF757E"/>
    <w:rsid w:val="00FF76B5"/>
    <w:rsid w:val="00FF77F2"/>
    <w:rsid w:val="00FF7980"/>
    <w:rsid w:val="00FF7A0D"/>
    <w:rsid w:val="00FF7DD4"/>
    <w:rsid w:val="00FF7E6B"/>
    <w:rsid w:val="01056F74"/>
    <w:rsid w:val="01070998"/>
    <w:rsid w:val="010ABD1A"/>
    <w:rsid w:val="010C8CC2"/>
    <w:rsid w:val="0110693A"/>
    <w:rsid w:val="011325B7"/>
    <w:rsid w:val="0129A508"/>
    <w:rsid w:val="012C3A7C"/>
    <w:rsid w:val="013BBB77"/>
    <w:rsid w:val="013FEABB"/>
    <w:rsid w:val="0146E9B2"/>
    <w:rsid w:val="015481E9"/>
    <w:rsid w:val="0160C465"/>
    <w:rsid w:val="0162B888"/>
    <w:rsid w:val="01637C11"/>
    <w:rsid w:val="0163BC2D"/>
    <w:rsid w:val="0164F372"/>
    <w:rsid w:val="0167D0B4"/>
    <w:rsid w:val="016A7255"/>
    <w:rsid w:val="016D8193"/>
    <w:rsid w:val="0171E151"/>
    <w:rsid w:val="0188C220"/>
    <w:rsid w:val="019E4D3A"/>
    <w:rsid w:val="01A079A9"/>
    <w:rsid w:val="01B1F9C4"/>
    <w:rsid w:val="01B2BA08"/>
    <w:rsid w:val="01B70E8B"/>
    <w:rsid w:val="01BE0CA8"/>
    <w:rsid w:val="01C11D1B"/>
    <w:rsid w:val="01C581D7"/>
    <w:rsid w:val="01C66D78"/>
    <w:rsid w:val="01D0AFA7"/>
    <w:rsid w:val="01D26B98"/>
    <w:rsid w:val="01D2DF6E"/>
    <w:rsid w:val="01DD5C4A"/>
    <w:rsid w:val="01E0CA0E"/>
    <w:rsid w:val="01E5FC5E"/>
    <w:rsid w:val="01F14249"/>
    <w:rsid w:val="01F42EDC"/>
    <w:rsid w:val="02061CA7"/>
    <w:rsid w:val="02169FDA"/>
    <w:rsid w:val="0217CF7B"/>
    <w:rsid w:val="021AC1EA"/>
    <w:rsid w:val="02245951"/>
    <w:rsid w:val="022D133F"/>
    <w:rsid w:val="023231B1"/>
    <w:rsid w:val="0233F3AD"/>
    <w:rsid w:val="023B146F"/>
    <w:rsid w:val="023D2286"/>
    <w:rsid w:val="023FE80C"/>
    <w:rsid w:val="02426F4B"/>
    <w:rsid w:val="0246CFBD"/>
    <w:rsid w:val="0246E8FE"/>
    <w:rsid w:val="024BCAC6"/>
    <w:rsid w:val="025776DA"/>
    <w:rsid w:val="025B266D"/>
    <w:rsid w:val="025CDDBA"/>
    <w:rsid w:val="026DA043"/>
    <w:rsid w:val="027285A4"/>
    <w:rsid w:val="0273B0FC"/>
    <w:rsid w:val="0280D1FF"/>
    <w:rsid w:val="02822D96"/>
    <w:rsid w:val="02825094"/>
    <w:rsid w:val="029212DD"/>
    <w:rsid w:val="0297617D"/>
    <w:rsid w:val="02A353A5"/>
    <w:rsid w:val="02BD731F"/>
    <w:rsid w:val="02C37763"/>
    <w:rsid w:val="02C6AC14"/>
    <w:rsid w:val="02D2FA27"/>
    <w:rsid w:val="02D5517A"/>
    <w:rsid w:val="02D5F82C"/>
    <w:rsid w:val="02E0131E"/>
    <w:rsid w:val="02E3C5FC"/>
    <w:rsid w:val="02EDAD1D"/>
    <w:rsid w:val="02F49252"/>
    <w:rsid w:val="02F583D2"/>
    <w:rsid w:val="0300F11F"/>
    <w:rsid w:val="030C6213"/>
    <w:rsid w:val="030C6481"/>
    <w:rsid w:val="03111506"/>
    <w:rsid w:val="03118F74"/>
    <w:rsid w:val="031C26C0"/>
    <w:rsid w:val="031C6729"/>
    <w:rsid w:val="031E75D3"/>
    <w:rsid w:val="0323BE1A"/>
    <w:rsid w:val="032EFBC0"/>
    <w:rsid w:val="0334A324"/>
    <w:rsid w:val="0334F48C"/>
    <w:rsid w:val="03353CB9"/>
    <w:rsid w:val="03366995"/>
    <w:rsid w:val="033A0BED"/>
    <w:rsid w:val="033C9909"/>
    <w:rsid w:val="0344B072"/>
    <w:rsid w:val="034A7A29"/>
    <w:rsid w:val="034C3976"/>
    <w:rsid w:val="03525E83"/>
    <w:rsid w:val="0355B6D0"/>
    <w:rsid w:val="0359CA0B"/>
    <w:rsid w:val="0363CA1A"/>
    <w:rsid w:val="03693164"/>
    <w:rsid w:val="036B8CDA"/>
    <w:rsid w:val="036FD796"/>
    <w:rsid w:val="03776F57"/>
    <w:rsid w:val="037F031D"/>
    <w:rsid w:val="0385F258"/>
    <w:rsid w:val="03888CDF"/>
    <w:rsid w:val="038A2F3F"/>
    <w:rsid w:val="038FFB52"/>
    <w:rsid w:val="039435B8"/>
    <w:rsid w:val="0396E793"/>
    <w:rsid w:val="03977FEC"/>
    <w:rsid w:val="039B8FF5"/>
    <w:rsid w:val="03AFF70F"/>
    <w:rsid w:val="03AFFE81"/>
    <w:rsid w:val="03B01CA6"/>
    <w:rsid w:val="03BD0DF4"/>
    <w:rsid w:val="03BEE6E9"/>
    <w:rsid w:val="03C5F038"/>
    <w:rsid w:val="03CA709E"/>
    <w:rsid w:val="03CF7ABF"/>
    <w:rsid w:val="03D06250"/>
    <w:rsid w:val="03D8A648"/>
    <w:rsid w:val="03DDD785"/>
    <w:rsid w:val="03E520CB"/>
    <w:rsid w:val="03EA896D"/>
    <w:rsid w:val="03EBDAA0"/>
    <w:rsid w:val="03F01EF6"/>
    <w:rsid w:val="03F0C366"/>
    <w:rsid w:val="03F27E96"/>
    <w:rsid w:val="03F39E87"/>
    <w:rsid w:val="03F3C463"/>
    <w:rsid w:val="03F6E3B5"/>
    <w:rsid w:val="03F75445"/>
    <w:rsid w:val="03F82D0E"/>
    <w:rsid w:val="03FF36BB"/>
    <w:rsid w:val="04000B57"/>
    <w:rsid w:val="040437A3"/>
    <w:rsid w:val="04075924"/>
    <w:rsid w:val="0407B96C"/>
    <w:rsid w:val="0409F9A4"/>
    <w:rsid w:val="040AE73B"/>
    <w:rsid w:val="040AFFE9"/>
    <w:rsid w:val="0412AD3D"/>
    <w:rsid w:val="0426A854"/>
    <w:rsid w:val="0428F4CF"/>
    <w:rsid w:val="04320ECC"/>
    <w:rsid w:val="0432CB2A"/>
    <w:rsid w:val="043433DF"/>
    <w:rsid w:val="043928F3"/>
    <w:rsid w:val="043CFA1C"/>
    <w:rsid w:val="043FB4DE"/>
    <w:rsid w:val="0441FB25"/>
    <w:rsid w:val="04432394"/>
    <w:rsid w:val="0444610E"/>
    <w:rsid w:val="0444B195"/>
    <w:rsid w:val="0446EF1B"/>
    <w:rsid w:val="044AC0C5"/>
    <w:rsid w:val="044D1A15"/>
    <w:rsid w:val="0450501F"/>
    <w:rsid w:val="0464947B"/>
    <w:rsid w:val="04670943"/>
    <w:rsid w:val="0473D07C"/>
    <w:rsid w:val="047A2196"/>
    <w:rsid w:val="047ED67D"/>
    <w:rsid w:val="04805E00"/>
    <w:rsid w:val="048136B6"/>
    <w:rsid w:val="049172C2"/>
    <w:rsid w:val="0494DC92"/>
    <w:rsid w:val="0499A6F4"/>
    <w:rsid w:val="04AA6366"/>
    <w:rsid w:val="04AD3D57"/>
    <w:rsid w:val="04AD8FC8"/>
    <w:rsid w:val="04AE6DD5"/>
    <w:rsid w:val="04B56403"/>
    <w:rsid w:val="04B675D2"/>
    <w:rsid w:val="04B7FC04"/>
    <w:rsid w:val="04B8F285"/>
    <w:rsid w:val="04BD698C"/>
    <w:rsid w:val="04BDD9DB"/>
    <w:rsid w:val="04D0FF77"/>
    <w:rsid w:val="04D2980E"/>
    <w:rsid w:val="04D60DEF"/>
    <w:rsid w:val="04D67C05"/>
    <w:rsid w:val="04E0BE09"/>
    <w:rsid w:val="04E3EF23"/>
    <w:rsid w:val="04E7A4E0"/>
    <w:rsid w:val="04EFCA91"/>
    <w:rsid w:val="04FFA2E0"/>
    <w:rsid w:val="05019B31"/>
    <w:rsid w:val="050B653D"/>
    <w:rsid w:val="05106516"/>
    <w:rsid w:val="05120A2C"/>
    <w:rsid w:val="0512CF34"/>
    <w:rsid w:val="0512D249"/>
    <w:rsid w:val="05165A08"/>
    <w:rsid w:val="05175394"/>
    <w:rsid w:val="0519A961"/>
    <w:rsid w:val="051F8970"/>
    <w:rsid w:val="05216C46"/>
    <w:rsid w:val="0521FD08"/>
    <w:rsid w:val="0528F935"/>
    <w:rsid w:val="052F90EE"/>
    <w:rsid w:val="05306338"/>
    <w:rsid w:val="05398C5F"/>
    <w:rsid w:val="05426978"/>
    <w:rsid w:val="054A5882"/>
    <w:rsid w:val="054A60C7"/>
    <w:rsid w:val="054A82C2"/>
    <w:rsid w:val="0554542C"/>
    <w:rsid w:val="0559DF51"/>
    <w:rsid w:val="05679EBB"/>
    <w:rsid w:val="058F98A5"/>
    <w:rsid w:val="059AF131"/>
    <w:rsid w:val="05A14A53"/>
    <w:rsid w:val="05A27125"/>
    <w:rsid w:val="05A62BE1"/>
    <w:rsid w:val="05B46192"/>
    <w:rsid w:val="05B64978"/>
    <w:rsid w:val="05B7AD2D"/>
    <w:rsid w:val="05B9829B"/>
    <w:rsid w:val="05BFF66E"/>
    <w:rsid w:val="05C2A5F4"/>
    <w:rsid w:val="05C9FA5A"/>
    <w:rsid w:val="05CB197C"/>
    <w:rsid w:val="05CF74B8"/>
    <w:rsid w:val="05D2F82E"/>
    <w:rsid w:val="05D61D2A"/>
    <w:rsid w:val="05D9AD4B"/>
    <w:rsid w:val="05DF3383"/>
    <w:rsid w:val="0600F0A5"/>
    <w:rsid w:val="06030414"/>
    <w:rsid w:val="06042A24"/>
    <w:rsid w:val="0604CE06"/>
    <w:rsid w:val="0606EC14"/>
    <w:rsid w:val="061167F5"/>
    <w:rsid w:val="0622EDA5"/>
    <w:rsid w:val="062D6CAA"/>
    <w:rsid w:val="0647B5A6"/>
    <w:rsid w:val="0652338C"/>
    <w:rsid w:val="0657259D"/>
    <w:rsid w:val="0658B072"/>
    <w:rsid w:val="065E65C8"/>
    <w:rsid w:val="0663C649"/>
    <w:rsid w:val="06786477"/>
    <w:rsid w:val="067BFD7E"/>
    <w:rsid w:val="067C272A"/>
    <w:rsid w:val="067DD02D"/>
    <w:rsid w:val="068653AF"/>
    <w:rsid w:val="068EBADB"/>
    <w:rsid w:val="068FD873"/>
    <w:rsid w:val="0699C375"/>
    <w:rsid w:val="069AAA37"/>
    <w:rsid w:val="069F3882"/>
    <w:rsid w:val="06A46DEE"/>
    <w:rsid w:val="06A88B88"/>
    <w:rsid w:val="06ADF4F6"/>
    <w:rsid w:val="06BD42C8"/>
    <w:rsid w:val="06C1F5D7"/>
    <w:rsid w:val="06C6068D"/>
    <w:rsid w:val="06CAC7F9"/>
    <w:rsid w:val="06D163D1"/>
    <w:rsid w:val="06D3E269"/>
    <w:rsid w:val="06E1A134"/>
    <w:rsid w:val="06E1D929"/>
    <w:rsid w:val="06E401A1"/>
    <w:rsid w:val="06E7E096"/>
    <w:rsid w:val="06E91949"/>
    <w:rsid w:val="07008862"/>
    <w:rsid w:val="0704256D"/>
    <w:rsid w:val="070A6E3A"/>
    <w:rsid w:val="070E17B7"/>
    <w:rsid w:val="072631E4"/>
    <w:rsid w:val="07304359"/>
    <w:rsid w:val="073AAAC5"/>
    <w:rsid w:val="0740AD57"/>
    <w:rsid w:val="07420941"/>
    <w:rsid w:val="074C9A41"/>
    <w:rsid w:val="0756019B"/>
    <w:rsid w:val="0757354E"/>
    <w:rsid w:val="0768BE1A"/>
    <w:rsid w:val="0772A07B"/>
    <w:rsid w:val="07811DA3"/>
    <w:rsid w:val="078A5FB1"/>
    <w:rsid w:val="07904BE3"/>
    <w:rsid w:val="0790B586"/>
    <w:rsid w:val="0794CFBA"/>
    <w:rsid w:val="079C803C"/>
    <w:rsid w:val="07A4D650"/>
    <w:rsid w:val="07A969F6"/>
    <w:rsid w:val="07AE038E"/>
    <w:rsid w:val="07B13D53"/>
    <w:rsid w:val="07B33320"/>
    <w:rsid w:val="07B782A2"/>
    <w:rsid w:val="07C2DC9F"/>
    <w:rsid w:val="07C52A97"/>
    <w:rsid w:val="07C9F073"/>
    <w:rsid w:val="07D463E5"/>
    <w:rsid w:val="07D535FC"/>
    <w:rsid w:val="07D94107"/>
    <w:rsid w:val="07DBC7E9"/>
    <w:rsid w:val="07DF56F9"/>
    <w:rsid w:val="07E8E461"/>
    <w:rsid w:val="07EE1928"/>
    <w:rsid w:val="07F9E339"/>
    <w:rsid w:val="0806EC8A"/>
    <w:rsid w:val="0809FD33"/>
    <w:rsid w:val="080BAC16"/>
    <w:rsid w:val="080D1B4B"/>
    <w:rsid w:val="080F8814"/>
    <w:rsid w:val="0810E587"/>
    <w:rsid w:val="0815DB78"/>
    <w:rsid w:val="081AF015"/>
    <w:rsid w:val="08208484"/>
    <w:rsid w:val="08229F02"/>
    <w:rsid w:val="082C42AC"/>
    <w:rsid w:val="082EA214"/>
    <w:rsid w:val="0834BC00"/>
    <w:rsid w:val="08394B0B"/>
    <w:rsid w:val="083FD77F"/>
    <w:rsid w:val="084162DE"/>
    <w:rsid w:val="0841F259"/>
    <w:rsid w:val="0844E6D3"/>
    <w:rsid w:val="08456F4D"/>
    <w:rsid w:val="0846725F"/>
    <w:rsid w:val="0847993A"/>
    <w:rsid w:val="08485C8F"/>
    <w:rsid w:val="084BB30D"/>
    <w:rsid w:val="084F5DDD"/>
    <w:rsid w:val="084FA035"/>
    <w:rsid w:val="085B7D6D"/>
    <w:rsid w:val="086FEAA1"/>
    <w:rsid w:val="087B927C"/>
    <w:rsid w:val="08855E7B"/>
    <w:rsid w:val="08A01FAA"/>
    <w:rsid w:val="08A3793A"/>
    <w:rsid w:val="08B3A173"/>
    <w:rsid w:val="08B8A7A7"/>
    <w:rsid w:val="08CA78AE"/>
    <w:rsid w:val="08CAC56F"/>
    <w:rsid w:val="08CDA45C"/>
    <w:rsid w:val="08CEF66B"/>
    <w:rsid w:val="08D12443"/>
    <w:rsid w:val="08D20AA8"/>
    <w:rsid w:val="08DDEB50"/>
    <w:rsid w:val="08E290A0"/>
    <w:rsid w:val="08F058B1"/>
    <w:rsid w:val="08F7D81C"/>
    <w:rsid w:val="08F9C166"/>
    <w:rsid w:val="08FB1A5F"/>
    <w:rsid w:val="08FBB300"/>
    <w:rsid w:val="08FE3BF1"/>
    <w:rsid w:val="08FEF0EE"/>
    <w:rsid w:val="0905B9EB"/>
    <w:rsid w:val="090F56C8"/>
    <w:rsid w:val="09152553"/>
    <w:rsid w:val="092223D1"/>
    <w:rsid w:val="09234326"/>
    <w:rsid w:val="09282A5E"/>
    <w:rsid w:val="092B5F14"/>
    <w:rsid w:val="0933FA76"/>
    <w:rsid w:val="0936EA2E"/>
    <w:rsid w:val="0941AA6A"/>
    <w:rsid w:val="094232E9"/>
    <w:rsid w:val="094532C8"/>
    <w:rsid w:val="0948DDFD"/>
    <w:rsid w:val="0951EDF0"/>
    <w:rsid w:val="0955D262"/>
    <w:rsid w:val="0965AD12"/>
    <w:rsid w:val="0967EE43"/>
    <w:rsid w:val="096C5CF4"/>
    <w:rsid w:val="0983EE0D"/>
    <w:rsid w:val="09871EDE"/>
    <w:rsid w:val="09893BA1"/>
    <w:rsid w:val="098A9316"/>
    <w:rsid w:val="098CD064"/>
    <w:rsid w:val="0991D034"/>
    <w:rsid w:val="099AFADC"/>
    <w:rsid w:val="099E28EC"/>
    <w:rsid w:val="09ACD14C"/>
    <w:rsid w:val="09BB5D84"/>
    <w:rsid w:val="09BD49B6"/>
    <w:rsid w:val="09BE823D"/>
    <w:rsid w:val="09D7D4C6"/>
    <w:rsid w:val="09DA3BB4"/>
    <w:rsid w:val="09DE26D0"/>
    <w:rsid w:val="09E1997D"/>
    <w:rsid w:val="09E89902"/>
    <w:rsid w:val="09EC9161"/>
    <w:rsid w:val="09ECB36E"/>
    <w:rsid w:val="09ECC1ED"/>
    <w:rsid w:val="09ED5682"/>
    <w:rsid w:val="09F028E2"/>
    <w:rsid w:val="09F115E8"/>
    <w:rsid w:val="09F91198"/>
    <w:rsid w:val="09FE2F9B"/>
    <w:rsid w:val="0A020CA4"/>
    <w:rsid w:val="0A08AAFD"/>
    <w:rsid w:val="0A099804"/>
    <w:rsid w:val="0A0D6447"/>
    <w:rsid w:val="0A0F1746"/>
    <w:rsid w:val="0A10138B"/>
    <w:rsid w:val="0A17E4B6"/>
    <w:rsid w:val="0A1A767C"/>
    <w:rsid w:val="0A1C78F4"/>
    <w:rsid w:val="0A211DD1"/>
    <w:rsid w:val="0A215F1C"/>
    <w:rsid w:val="0A2637F6"/>
    <w:rsid w:val="0A26A89A"/>
    <w:rsid w:val="0A27E843"/>
    <w:rsid w:val="0A2988CC"/>
    <w:rsid w:val="0A2FCBCB"/>
    <w:rsid w:val="0A309C10"/>
    <w:rsid w:val="0A30D681"/>
    <w:rsid w:val="0A38BAE5"/>
    <w:rsid w:val="0A39C60C"/>
    <w:rsid w:val="0A400E5C"/>
    <w:rsid w:val="0A4B3C22"/>
    <w:rsid w:val="0A4B432C"/>
    <w:rsid w:val="0A53E956"/>
    <w:rsid w:val="0A5D1A18"/>
    <w:rsid w:val="0A79AFC8"/>
    <w:rsid w:val="0A7AD73C"/>
    <w:rsid w:val="0A7C1747"/>
    <w:rsid w:val="0A7D0561"/>
    <w:rsid w:val="0A7DB7D8"/>
    <w:rsid w:val="0A83BDA4"/>
    <w:rsid w:val="0A868F63"/>
    <w:rsid w:val="0A8A6B65"/>
    <w:rsid w:val="0AA26385"/>
    <w:rsid w:val="0AA68CE4"/>
    <w:rsid w:val="0AA77DD4"/>
    <w:rsid w:val="0AA91751"/>
    <w:rsid w:val="0AB416BD"/>
    <w:rsid w:val="0AB71DE0"/>
    <w:rsid w:val="0AB7A282"/>
    <w:rsid w:val="0AC1C94E"/>
    <w:rsid w:val="0AD063B0"/>
    <w:rsid w:val="0ADE70D4"/>
    <w:rsid w:val="0AEDC078"/>
    <w:rsid w:val="0AEF8C9B"/>
    <w:rsid w:val="0AF7379B"/>
    <w:rsid w:val="0AFBFDD5"/>
    <w:rsid w:val="0B01C5BD"/>
    <w:rsid w:val="0B0AF7E1"/>
    <w:rsid w:val="0B0FE936"/>
    <w:rsid w:val="0B143B07"/>
    <w:rsid w:val="0B245A1F"/>
    <w:rsid w:val="0B281DF6"/>
    <w:rsid w:val="0B2BFEF5"/>
    <w:rsid w:val="0B2DDEA5"/>
    <w:rsid w:val="0B36F756"/>
    <w:rsid w:val="0B3D2049"/>
    <w:rsid w:val="0B3DEBD2"/>
    <w:rsid w:val="0B539AA6"/>
    <w:rsid w:val="0B585780"/>
    <w:rsid w:val="0B58FB71"/>
    <w:rsid w:val="0B5E67E9"/>
    <w:rsid w:val="0B63A58F"/>
    <w:rsid w:val="0B63BC9F"/>
    <w:rsid w:val="0B6416D1"/>
    <w:rsid w:val="0B72CDB8"/>
    <w:rsid w:val="0B8089E2"/>
    <w:rsid w:val="0B82156D"/>
    <w:rsid w:val="0B84EE95"/>
    <w:rsid w:val="0BA45C7E"/>
    <w:rsid w:val="0BA4B71E"/>
    <w:rsid w:val="0BA4BF88"/>
    <w:rsid w:val="0BA5DB96"/>
    <w:rsid w:val="0BB50DCE"/>
    <w:rsid w:val="0BC5FA43"/>
    <w:rsid w:val="0BD0E305"/>
    <w:rsid w:val="0BDB986A"/>
    <w:rsid w:val="0BDFD50C"/>
    <w:rsid w:val="0BE16DF1"/>
    <w:rsid w:val="0BEBD517"/>
    <w:rsid w:val="0BFC60FA"/>
    <w:rsid w:val="0BFFEE4C"/>
    <w:rsid w:val="0C026A03"/>
    <w:rsid w:val="0C048082"/>
    <w:rsid w:val="0C053D4C"/>
    <w:rsid w:val="0C1442A6"/>
    <w:rsid w:val="0C1AD87A"/>
    <w:rsid w:val="0C264B39"/>
    <w:rsid w:val="0C3048A9"/>
    <w:rsid w:val="0C359383"/>
    <w:rsid w:val="0C3841A1"/>
    <w:rsid w:val="0C3A1DC5"/>
    <w:rsid w:val="0C3F1FF9"/>
    <w:rsid w:val="0C4A9CC6"/>
    <w:rsid w:val="0C4F6171"/>
    <w:rsid w:val="0C582B4F"/>
    <w:rsid w:val="0C58797D"/>
    <w:rsid w:val="0C5F2098"/>
    <w:rsid w:val="0C61000E"/>
    <w:rsid w:val="0C6A281C"/>
    <w:rsid w:val="0C845F98"/>
    <w:rsid w:val="0C85874B"/>
    <w:rsid w:val="0C87A90D"/>
    <w:rsid w:val="0C8F951E"/>
    <w:rsid w:val="0C95B6BD"/>
    <w:rsid w:val="0C970047"/>
    <w:rsid w:val="0C986795"/>
    <w:rsid w:val="0CB4101D"/>
    <w:rsid w:val="0CB5AE2B"/>
    <w:rsid w:val="0CB87468"/>
    <w:rsid w:val="0CC54DF5"/>
    <w:rsid w:val="0CC56608"/>
    <w:rsid w:val="0CDBC6DC"/>
    <w:rsid w:val="0CDD0F33"/>
    <w:rsid w:val="0CE4B943"/>
    <w:rsid w:val="0CE79BFA"/>
    <w:rsid w:val="0CF8B0F9"/>
    <w:rsid w:val="0CF90698"/>
    <w:rsid w:val="0CFC2EA9"/>
    <w:rsid w:val="0D18745B"/>
    <w:rsid w:val="0D1D63A5"/>
    <w:rsid w:val="0D1FACF4"/>
    <w:rsid w:val="0D2DBD0E"/>
    <w:rsid w:val="0D389A4F"/>
    <w:rsid w:val="0D3A4D7C"/>
    <w:rsid w:val="0D4039C4"/>
    <w:rsid w:val="0D4272CE"/>
    <w:rsid w:val="0D450A21"/>
    <w:rsid w:val="0D4E3E16"/>
    <w:rsid w:val="0D5B3715"/>
    <w:rsid w:val="0D5B9B2B"/>
    <w:rsid w:val="0D646077"/>
    <w:rsid w:val="0D64BF09"/>
    <w:rsid w:val="0D655FF1"/>
    <w:rsid w:val="0D6709A0"/>
    <w:rsid w:val="0D679FF7"/>
    <w:rsid w:val="0D6B8D46"/>
    <w:rsid w:val="0D757EFF"/>
    <w:rsid w:val="0D79B396"/>
    <w:rsid w:val="0D81ADC5"/>
    <w:rsid w:val="0D83ED3A"/>
    <w:rsid w:val="0D8B28C4"/>
    <w:rsid w:val="0D90FAAB"/>
    <w:rsid w:val="0D9333F7"/>
    <w:rsid w:val="0D940CB5"/>
    <w:rsid w:val="0D977496"/>
    <w:rsid w:val="0D9D9AC8"/>
    <w:rsid w:val="0D9EFC5B"/>
    <w:rsid w:val="0DAD4CA6"/>
    <w:rsid w:val="0DAEE192"/>
    <w:rsid w:val="0DB144EC"/>
    <w:rsid w:val="0DB437F8"/>
    <w:rsid w:val="0DC0E26E"/>
    <w:rsid w:val="0DC8E69F"/>
    <w:rsid w:val="0DCB1A9F"/>
    <w:rsid w:val="0DCF1A9E"/>
    <w:rsid w:val="0DD19EB0"/>
    <w:rsid w:val="0DD1B729"/>
    <w:rsid w:val="0DD52F2F"/>
    <w:rsid w:val="0DE6E21E"/>
    <w:rsid w:val="0DFE7190"/>
    <w:rsid w:val="0E04CAC8"/>
    <w:rsid w:val="0E04FE8D"/>
    <w:rsid w:val="0E101230"/>
    <w:rsid w:val="0E162612"/>
    <w:rsid w:val="0E1D5ABA"/>
    <w:rsid w:val="0E2F9D42"/>
    <w:rsid w:val="0E355F08"/>
    <w:rsid w:val="0E356BF2"/>
    <w:rsid w:val="0E380C96"/>
    <w:rsid w:val="0E40FE70"/>
    <w:rsid w:val="0E45C058"/>
    <w:rsid w:val="0E4AD3FD"/>
    <w:rsid w:val="0E4E0763"/>
    <w:rsid w:val="0E505CC2"/>
    <w:rsid w:val="0E535908"/>
    <w:rsid w:val="0E56C513"/>
    <w:rsid w:val="0E5B4FCE"/>
    <w:rsid w:val="0E7080D5"/>
    <w:rsid w:val="0E71FB7E"/>
    <w:rsid w:val="0E75D691"/>
    <w:rsid w:val="0E76D36B"/>
    <w:rsid w:val="0E7BD10A"/>
    <w:rsid w:val="0E7ED9A2"/>
    <w:rsid w:val="0E848636"/>
    <w:rsid w:val="0E87B0DB"/>
    <w:rsid w:val="0E96D166"/>
    <w:rsid w:val="0E9E49CF"/>
    <w:rsid w:val="0E9FDF48"/>
    <w:rsid w:val="0EAA3923"/>
    <w:rsid w:val="0EAB3424"/>
    <w:rsid w:val="0EAF5335"/>
    <w:rsid w:val="0EB05702"/>
    <w:rsid w:val="0EC7C590"/>
    <w:rsid w:val="0ECB3C11"/>
    <w:rsid w:val="0ECDA6B6"/>
    <w:rsid w:val="0ED826B8"/>
    <w:rsid w:val="0ED94D15"/>
    <w:rsid w:val="0EEB3633"/>
    <w:rsid w:val="0EF356F1"/>
    <w:rsid w:val="0EF3AF4F"/>
    <w:rsid w:val="0EF68102"/>
    <w:rsid w:val="0F0172D0"/>
    <w:rsid w:val="0F03917C"/>
    <w:rsid w:val="0F0C6D7B"/>
    <w:rsid w:val="0F10845F"/>
    <w:rsid w:val="0F1BDEF6"/>
    <w:rsid w:val="0F22F83D"/>
    <w:rsid w:val="0F2B0AB5"/>
    <w:rsid w:val="0F2BC201"/>
    <w:rsid w:val="0F2E3277"/>
    <w:rsid w:val="0F2F6271"/>
    <w:rsid w:val="0F397E69"/>
    <w:rsid w:val="0F3B2A07"/>
    <w:rsid w:val="0F47F21B"/>
    <w:rsid w:val="0F4F106F"/>
    <w:rsid w:val="0F4FAE30"/>
    <w:rsid w:val="0F526817"/>
    <w:rsid w:val="0F543156"/>
    <w:rsid w:val="0F54EF76"/>
    <w:rsid w:val="0F59A2DB"/>
    <w:rsid w:val="0F5A5E25"/>
    <w:rsid w:val="0F6A02DB"/>
    <w:rsid w:val="0F6D8AC4"/>
    <w:rsid w:val="0F744123"/>
    <w:rsid w:val="0F7E1E08"/>
    <w:rsid w:val="0F8DD7A1"/>
    <w:rsid w:val="0F988782"/>
    <w:rsid w:val="0F9B74E3"/>
    <w:rsid w:val="0FA0656A"/>
    <w:rsid w:val="0FAA9C58"/>
    <w:rsid w:val="0FB165FF"/>
    <w:rsid w:val="0FB2A57C"/>
    <w:rsid w:val="0FB965E8"/>
    <w:rsid w:val="0FC669BF"/>
    <w:rsid w:val="0FC6E133"/>
    <w:rsid w:val="0FC9305F"/>
    <w:rsid w:val="0FCD5F53"/>
    <w:rsid w:val="0FDBD493"/>
    <w:rsid w:val="0FDD8F94"/>
    <w:rsid w:val="0FE75568"/>
    <w:rsid w:val="0FED9FA3"/>
    <w:rsid w:val="0FF9EEE4"/>
    <w:rsid w:val="0FFB0238"/>
    <w:rsid w:val="0FFF1A72"/>
    <w:rsid w:val="100021DE"/>
    <w:rsid w:val="10088321"/>
    <w:rsid w:val="1009AFB8"/>
    <w:rsid w:val="100B5AAB"/>
    <w:rsid w:val="10144E15"/>
    <w:rsid w:val="101AB3DD"/>
    <w:rsid w:val="102F6496"/>
    <w:rsid w:val="102F6991"/>
    <w:rsid w:val="1038927A"/>
    <w:rsid w:val="10396F1C"/>
    <w:rsid w:val="103DD454"/>
    <w:rsid w:val="104A39A1"/>
    <w:rsid w:val="104B5683"/>
    <w:rsid w:val="1057F344"/>
    <w:rsid w:val="1059DD50"/>
    <w:rsid w:val="10679056"/>
    <w:rsid w:val="106BBCAE"/>
    <w:rsid w:val="107D1C63"/>
    <w:rsid w:val="10871BC0"/>
    <w:rsid w:val="1091420F"/>
    <w:rsid w:val="10934616"/>
    <w:rsid w:val="109CF1BE"/>
    <w:rsid w:val="109E7459"/>
    <w:rsid w:val="109EBEB5"/>
    <w:rsid w:val="10A32D60"/>
    <w:rsid w:val="10A98B63"/>
    <w:rsid w:val="10A9A1B8"/>
    <w:rsid w:val="10C06B5C"/>
    <w:rsid w:val="10C08FF2"/>
    <w:rsid w:val="10C201B2"/>
    <w:rsid w:val="10C2F41C"/>
    <w:rsid w:val="10C6C5C8"/>
    <w:rsid w:val="10D1E2A1"/>
    <w:rsid w:val="10E2C867"/>
    <w:rsid w:val="10EAA581"/>
    <w:rsid w:val="10EF20BC"/>
    <w:rsid w:val="11059FDD"/>
    <w:rsid w:val="1110E385"/>
    <w:rsid w:val="111B0E70"/>
    <w:rsid w:val="111ED413"/>
    <w:rsid w:val="111F50C5"/>
    <w:rsid w:val="112D85DC"/>
    <w:rsid w:val="113377AA"/>
    <w:rsid w:val="113DB3EF"/>
    <w:rsid w:val="113F8AA5"/>
    <w:rsid w:val="1142500F"/>
    <w:rsid w:val="11472494"/>
    <w:rsid w:val="114775A5"/>
    <w:rsid w:val="11481024"/>
    <w:rsid w:val="11599D9B"/>
    <w:rsid w:val="1161DDDF"/>
    <w:rsid w:val="11623876"/>
    <w:rsid w:val="1163FC2D"/>
    <w:rsid w:val="1173C080"/>
    <w:rsid w:val="117C1160"/>
    <w:rsid w:val="1191E648"/>
    <w:rsid w:val="11999676"/>
    <w:rsid w:val="1199BA3C"/>
    <w:rsid w:val="11B22B1A"/>
    <w:rsid w:val="11B53E28"/>
    <w:rsid w:val="11C50C56"/>
    <w:rsid w:val="11CDFBC5"/>
    <w:rsid w:val="11CED6DE"/>
    <w:rsid w:val="11D450CE"/>
    <w:rsid w:val="11D6DEC0"/>
    <w:rsid w:val="11D87088"/>
    <w:rsid w:val="11F98E2E"/>
    <w:rsid w:val="11FAF5DD"/>
    <w:rsid w:val="11FBACD3"/>
    <w:rsid w:val="12036E3F"/>
    <w:rsid w:val="121A91DD"/>
    <w:rsid w:val="12215A42"/>
    <w:rsid w:val="12236A3C"/>
    <w:rsid w:val="12242550"/>
    <w:rsid w:val="1225B388"/>
    <w:rsid w:val="12284551"/>
    <w:rsid w:val="122F8E05"/>
    <w:rsid w:val="1230E879"/>
    <w:rsid w:val="12312DC0"/>
    <w:rsid w:val="1235DA42"/>
    <w:rsid w:val="1242C3EA"/>
    <w:rsid w:val="12434129"/>
    <w:rsid w:val="12436455"/>
    <w:rsid w:val="1247B87B"/>
    <w:rsid w:val="12486D8F"/>
    <w:rsid w:val="12533225"/>
    <w:rsid w:val="1259B8FF"/>
    <w:rsid w:val="125A2E2A"/>
    <w:rsid w:val="125F5F5B"/>
    <w:rsid w:val="1262790E"/>
    <w:rsid w:val="128077E9"/>
    <w:rsid w:val="1285AF12"/>
    <w:rsid w:val="1289FD87"/>
    <w:rsid w:val="12916F20"/>
    <w:rsid w:val="1291F6A2"/>
    <w:rsid w:val="129869CC"/>
    <w:rsid w:val="12997E14"/>
    <w:rsid w:val="12AB0C64"/>
    <w:rsid w:val="12C84DCC"/>
    <w:rsid w:val="12DD58E2"/>
    <w:rsid w:val="12DDF3CB"/>
    <w:rsid w:val="12E66FEB"/>
    <w:rsid w:val="12E73044"/>
    <w:rsid w:val="12F57685"/>
    <w:rsid w:val="12F64D1D"/>
    <w:rsid w:val="12F69F02"/>
    <w:rsid w:val="12F6E4F0"/>
    <w:rsid w:val="12FC15F6"/>
    <w:rsid w:val="13064020"/>
    <w:rsid w:val="1312CAA9"/>
    <w:rsid w:val="1313D560"/>
    <w:rsid w:val="13157005"/>
    <w:rsid w:val="1317DE2D"/>
    <w:rsid w:val="13224FD2"/>
    <w:rsid w:val="1324F6AD"/>
    <w:rsid w:val="132A2B26"/>
    <w:rsid w:val="1338294B"/>
    <w:rsid w:val="13424C68"/>
    <w:rsid w:val="1342C881"/>
    <w:rsid w:val="13446536"/>
    <w:rsid w:val="13475A5D"/>
    <w:rsid w:val="134BD8F7"/>
    <w:rsid w:val="13528BF5"/>
    <w:rsid w:val="13532646"/>
    <w:rsid w:val="1354199D"/>
    <w:rsid w:val="135D801B"/>
    <w:rsid w:val="136126E5"/>
    <w:rsid w:val="136AEAD2"/>
    <w:rsid w:val="137DD875"/>
    <w:rsid w:val="1388039F"/>
    <w:rsid w:val="139500A8"/>
    <w:rsid w:val="13A11708"/>
    <w:rsid w:val="13B6FD86"/>
    <w:rsid w:val="13BC1D37"/>
    <w:rsid w:val="13C3DF51"/>
    <w:rsid w:val="13CAFAE9"/>
    <w:rsid w:val="13CF3D5A"/>
    <w:rsid w:val="13D228AF"/>
    <w:rsid w:val="13D6F518"/>
    <w:rsid w:val="13DEBF04"/>
    <w:rsid w:val="13DF8A8F"/>
    <w:rsid w:val="13DF8BA1"/>
    <w:rsid w:val="13E7123B"/>
    <w:rsid w:val="13E8E78C"/>
    <w:rsid w:val="13EE4AAA"/>
    <w:rsid w:val="13EF9ED4"/>
    <w:rsid w:val="13F1AA4B"/>
    <w:rsid w:val="13FA6F5E"/>
    <w:rsid w:val="14040DB7"/>
    <w:rsid w:val="14059F82"/>
    <w:rsid w:val="140C5FD4"/>
    <w:rsid w:val="14101436"/>
    <w:rsid w:val="141723C2"/>
    <w:rsid w:val="1418A065"/>
    <w:rsid w:val="1425BF16"/>
    <w:rsid w:val="1428B4C9"/>
    <w:rsid w:val="14357B37"/>
    <w:rsid w:val="143CE5F7"/>
    <w:rsid w:val="143E3FE9"/>
    <w:rsid w:val="14431FB8"/>
    <w:rsid w:val="144373D0"/>
    <w:rsid w:val="144DDA62"/>
    <w:rsid w:val="145B9A24"/>
    <w:rsid w:val="145DA311"/>
    <w:rsid w:val="145FCDC3"/>
    <w:rsid w:val="14610498"/>
    <w:rsid w:val="14666B60"/>
    <w:rsid w:val="1467BA9A"/>
    <w:rsid w:val="146A55A3"/>
    <w:rsid w:val="146F1692"/>
    <w:rsid w:val="1476BD64"/>
    <w:rsid w:val="1483891B"/>
    <w:rsid w:val="148AFA3C"/>
    <w:rsid w:val="149C70DB"/>
    <w:rsid w:val="149CCE94"/>
    <w:rsid w:val="149E334D"/>
    <w:rsid w:val="149EF3CE"/>
    <w:rsid w:val="14A38E95"/>
    <w:rsid w:val="14B29D42"/>
    <w:rsid w:val="14B92401"/>
    <w:rsid w:val="14C9217C"/>
    <w:rsid w:val="14CC5B3F"/>
    <w:rsid w:val="14CDA737"/>
    <w:rsid w:val="14D0CAC3"/>
    <w:rsid w:val="14D13CDB"/>
    <w:rsid w:val="14D2802A"/>
    <w:rsid w:val="14D43B80"/>
    <w:rsid w:val="14D734EC"/>
    <w:rsid w:val="14DD691A"/>
    <w:rsid w:val="14E95B18"/>
    <w:rsid w:val="14F9FCD7"/>
    <w:rsid w:val="14FA3CA1"/>
    <w:rsid w:val="14FD3A92"/>
    <w:rsid w:val="14FD9C6E"/>
    <w:rsid w:val="1500451F"/>
    <w:rsid w:val="15048479"/>
    <w:rsid w:val="150655B5"/>
    <w:rsid w:val="150BB640"/>
    <w:rsid w:val="151B65C3"/>
    <w:rsid w:val="151E8165"/>
    <w:rsid w:val="152583C8"/>
    <w:rsid w:val="15272098"/>
    <w:rsid w:val="153D7943"/>
    <w:rsid w:val="153DE633"/>
    <w:rsid w:val="1541ADD3"/>
    <w:rsid w:val="1541F067"/>
    <w:rsid w:val="154439EE"/>
    <w:rsid w:val="15445616"/>
    <w:rsid w:val="154503CE"/>
    <w:rsid w:val="1546043B"/>
    <w:rsid w:val="154C3EA2"/>
    <w:rsid w:val="154E2057"/>
    <w:rsid w:val="1555EB0D"/>
    <w:rsid w:val="15564C01"/>
    <w:rsid w:val="1556D4D0"/>
    <w:rsid w:val="155AD68C"/>
    <w:rsid w:val="1560665A"/>
    <w:rsid w:val="1561EEB6"/>
    <w:rsid w:val="15750E75"/>
    <w:rsid w:val="15756F91"/>
    <w:rsid w:val="15795376"/>
    <w:rsid w:val="15820756"/>
    <w:rsid w:val="158D2F01"/>
    <w:rsid w:val="158DF775"/>
    <w:rsid w:val="15934421"/>
    <w:rsid w:val="1594169B"/>
    <w:rsid w:val="159E3E43"/>
    <w:rsid w:val="15B63419"/>
    <w:rsid w:val="15BB191F"/>
    <w:rsid w:val="15CA6CE7"/>
    <w:rsid w:val="15D3F12E"/>
    <w:rsid w:val="15D89B78"/>
    <w:rsid w:val="15D9F476"/>
    <w:rsid w:val="15E34EC7"/>
    <w:rsid w:val="15E39711"/>
    <w:rsid w:val="15E94E19"/>
    <w:rsid w:val="15F45269"/>
    <w:rsid w:val="15F60901"/>
    <w:rsid w:val="15F96ADA"/>
    <w:rsid w:val="16006FA1"/>
    <w:rsid w:val="16045EDD"/>
    <w:rsid w:val="160C1217"/>
    <w:rsid w:val="160DF9AB"/>
    <w:rsid w:val="160EDD94"/>
    <w:rsid w:val="160F707F"/>
    <w:rsid w:val="1613D878"/>
    <w:rsid w:val="16186023"/>
    <w:rsid w:val="1626308E"/>
    <w:rsid w:val="162865B9"/>
    <w:rsid w:val="1632A56B"/>
    <w:rsid w:val="1635039E"/>
    <w:rsid w:val="1637C1F8"/>
    <w:rsid w:val="164911DF"/>
    <w:rsid w:val="164E0200"/>
    <w:rsid w:val="164E0B13"/>
    <w:rsid w:val="1657EE07"/>
    <w:rsid w:val="165D369F"/>
    <w:rsid w:val="165DAAEA"/>
    <w:rsid w:val="165E05A2"/>
    <w:rsid w:val="16686B04"/>
    <w:rsid w:val="166BE94B"/>
    <w:rsid w:val="166DBF5D"/>
    <w:rsid w:val="16760F0A"/>
    <w:rsid w:val="16761D3C"/>
    <w:rsid w:val="167A4A85"/>
    <w:rsid w:val="167B790F"/>
    <w:rsid w:val="16856FBD"/>
    <w:rsid w:val="1688490D"/>
    <w:rsid w:val="1688ED17"/>
    <w:rsid w:val="16892104"/>
    <w:rsid w:val="1696BC5B"/>
    <w:rsid w:val="16A637BD"/>
    <w:rsid w:val="16A8AEC0"/>
    <w:rsid w:val="16AD9CD1"/>
    <w:rsid w:val="16B23D1D"/>
    <w:rsid w:val="16B418CB"/>
    <w:rsid w:val="16B47355"/>
    <w:rsid w:val="16C05419"/>
    <w:rsid w:val="16C37474"/>
    <w:rsid w:val="16C6F3C3"/>
    <w:rsid w:val="16CB1DA9"/>
    <w:rsid w:val="16D12709"/>
    <w:rsid w:val="16D5B2A0"/>
    <w:rsid w:val="16D6AE4F"/>
    <w:rsid w:val="16D9F034"/>
    <w:rsid w:val="16DB95FB"/>
    <w:rsid w:val="16DED305"/>
    <w:rsid w:val="16E1DBE9"/>
    <w:rsid w:val="16E8E668"/>
    <w:rsid w:val="16F53A1E"/>
    <w:rsid w:val="16F74B44"/>
    <w:rsid w:val="17041CDE"/>
    <w:rsid w:val="17067AED"/>
    <w:rsid w:val="17129688"/>
    <w:rsid w:val="17132FB0"/>
    <w:rsid w:val="17139246"/>
    <w:rsid w:val="17141412"/>
    <w:rsid w:val="1714D227"/>
    <w:rsid w:val="17268710"/>
    <w:rsid w:val="172BE43B"/>
    <w:rsid w:val="1730CFF8"/>
    <w:rsid w:val="1734BEB1"/>
    <w:rsid w:val="175A2AB0"/>
    <w:rsid w:val="175B889E"/>
    <w:rsid w:val="175BF646"/>
    <w:rsid w:val="175C5BF3"/>
    <w:rsid w:val="175DE739"/>
    <w:rsid w:val="17645DB7"/>
    <w:rsid w:val="176F6351"/>
    <w:rsid w:val="1774B542"/>
    <w:rsid w:val="1776A866"/>
    <w:rsid w:val="17819686"/>
    <w:rsid w:val="17819F6A"/>
    <w:rsid w:val="178CD21F"/>
    <w:rsid w:val="1793D6EF"/>
    <w:rsid w:val="17A0FD70"/>
    <w:rsid w:val="17A2BBC9"/>
    <w:rsid w:val="17B568A0"/>
    <w:rsid w:val="17B59CD4"/>
    <w:rsid w:val="17B76416"/>
    <w:rsid w:val="17B80795"/>
    <w:rsid w:val="17BB36E5"/>
    <w:rsid w:val="17BBF22A"/>
    <w:rsid w:val="17BF9015"/>
    <w:rsid w:val="17C3D8AD"/>
    <w:rsid w:val="17C5DFA4"/>
    <w:rsid w:val="17D5DF14"/>
    <w:rsid w:val="17D829AB"/>
    <w:rsid w:val="17D87BA2"/>
    <w:rsid w:val="17D98251"/>
    <w:rsid w:val="17DD8AE2"/>
    <w:rsid w:val="17F67968"/>
    <w:rsid w:val="1807A35C"/>
    <w:rsid w:val="180C6FBB"/>
    <w:rsid w:val="18159864"/>
    <w:rsid w:val="181FA57D"/>
    <w:rsid w:val="1823953E"/>
    <w:rsid w:val="182A5FAF"/>
    <w:rsid w:val="18389F16"/>
    <w:rsid w:val="18436FE5"/>
    <w:rsid w:val="184443B6"/>
    <w:rsid w:val="1845E4E9"/>
    <w:rsid w:val="18482A5A"/>
    <w:rsid w:val="184D199E"/>
    <w:rsid w:val="1851094D"/>
    <w:rsid w:val="185B456B"/>
    <w:rsid w:val="185B62CB"/>
    <w:rsid w:val="185CB7BD"/>
    <w:rsid w:val="18624105"/>
    <w:rsid w:val="1864556C"/>
    <w:rsid w:val="1867C3BC"/>
    <w:rsid w:val="187335CD"/>
    <w:rsid w:val="1873A94B"/>
    <w:rsid w:val="18753AFA"/>
    <w:rsid w:val="1877A8D2"/>
    <w:rsid w:val="1883607F"/>
    <w:rsid w:val="18847994"/>
    <w:rsid w:val="188AF418"/>
    <w:rsid w:val="188B6AF2"/>
    <w:rsid w:val="18A2A5EC"/>
    <w:rsid w:val="18A490D8"/>
    <w:rsid w:val="18A9CB83"/>
    <w:rsid w:val="18AA8E03"/>
    <w:rsid w:val="18B006D8"/>
    <w:rsid w:val="18BCCE90"/>
    <w:rsid w:val="18BD6C52"/>
    <w:rsid w:val="18BE7B48"/>
    <w:rsid w:val="18BFACCE"/>
    <w:rsid w:val="18C05A96"/>
    <w:rsid w:val="18C0A8CD"/>
    <w:rsid w:val="18C34DE0"/>
    <w:rsid w:val="18C43297"/>
    <w:rsid w:val="18C8D391"/>
    <w:rsid w:val="18D98952"/>
    <w:rsid w:val="18DA5F9D"/>
    <w:rsid w:val="18E1B8B9"/>
    <w:rsid w:val="18E5D68C"/>
    <w:rsid w:val="18ED19C2"/>
    <w:rsid w:val="18ED81B1"/>
    <w:rsid w:val="18F157FD"/>
    <w:rsid w:val="18F595AF"/>
    <w:rsid w:val="18FA5673"/>
    <w:rsid w:val="190BFF02"/>
    <w:rsid w:val="191C80AC"/>
    <w:rsid w:val="191CAA66"/>
    <w:rsid w:val="191ED5DD"/>
    <w:rsid w:val="1922C698"/>
    <w:rsid w:val="1927EC64"/>
    <w:rsid w:val="192CC84C"/>
    <w:rsid w:val="192F9B1F"/>
    <w:rsid w:val="1932015B"/>
    <w:rsid w:val="19343675"/>
    <w:rsid w:val="193451F8"/>
    <w:rsid w:val="193B5C11"/>
    <w:rsid w:val="193DE0C0"/>
    <w:rsid w:val="193FD91B"/>
    <w:rsid w:val="1946188C"/>
    <w:rsid w:val="194CA9B2"/>
    <w:rsid w:val="19562F86"/>
    <w:rsid w:val="19585AEB"/>
    <w:rsid w:val="195E8836"/>
    <w:rsid w:val="196DA5E3"/>
    <w:rsid w:val="19736F2D"/>
    <w:rsid w:val="1979B60A"/>
    <w:rsid w:val="197BAE71"/>
    <w:rsid w:val="197F81C2"/>
    <w:rsid w:val="198756A4"/>
    <w:rsid w:val="1989EE3E"/>
    <w:rsid w:val="198C487D"/>
    <w:rsid w:val="198C75F7"/>
    <w:rsid w:val="1992093A"/>
    <w:rsid w:val="199918D0"/>
    <w:rsid w:val="199D95FA"/>
    <w:rsid w:val="19A440C5"/>
    <w:rsid w:val="19A7F1B1"/>
    <w:rsid w:val="19ABA15B"/>
    <w:rsid w:val="19BD025A"/>
    <w:rsid w:val="19C29056"/>
    <w:rsid w:val="19CD31F1"/>
    <w:rsid w:val="19CF636E"/>
    <w:rsid w:val="19D7B1DF"/>
    <w:rsid w:val="19DB5093"/>
    <w:rsid w:val="19DCFEB0"/>
    <w:rsid w:val="19F2E145"/>
    <w:rsid w:val="19F47D0D"/>
    <w:rsid w:val="19F68BC4"/>
    <w:rsid w:val="1A0361DB"/>
    <w:rsid w:val="1A0643CD"/>
    <w:rsid w:val="1A0CCF9E"/>
    <w:rsid w:val="1A0D44D4"/>
    <w:rsid w:val="1A10BD22"/>
    <w:rsid w:val="1A21F14D"/>
    <w:rsid w:val="1A2DD9B6"/>
    <w:rsid w:val="1A2EDD0C"/>
    <w:rsid w:val="1A2F9124"/>
    <w:rsid w:val="1A36092A"/>
    <w:rsid w:val="1A3D3E91"/>
    <w:rsid w:val="1A4013DC"/>
    <w:rsid w:val="1A4AC006"/>
    <w:rsid w:val="1A596F43"/>
    <w:rsid w:val="1A5A299A"/>
    <w:rsid w:val="1A6A0C7E"/>
    <w:rsid w:val="1A6DDCEA"/>
    <w:rsid w:val="1A6E28EB"/>
    <w:rsid w:val="1A773A72"/>
    <w:rsid w:val="1A7C6173"/>
    <w:rsid w:val="1A7F2AE1"/>
    <w:rsid w:val="1A962DBD"/>
    <w:rsid w:val="1A96423F"/>
    <w:rsid w:val="1A9A2527"/>
    <w:rsid w:val="1A9AE0E0"/>
    <w:rsid w:val="1A9C4B28"/>
    <w:rsid w:val="1A9DCB8F"/>
    <w:rsid w:val="1AA20234"/>
    <w:rsid w:val="1AB15C0D"/>
    <w:rsid w:val="1AB39591"/>
    <w:rsid w:val="1ABA95F7"/>
    <w:rsid w:val="1ACCD065"/>
    <w:rsid w:val="1AD6B66E"/>
    <w:rsid w:val="1AD7084F"/>
    <w:rsid w:val="1AE079EC"/>
    <w:rsid w:val="1AE0996F"/>
    <w:rsid w:val="1AE96D7A"/>
    <w:rsid w:val="1AF8AA4F"/>
    <w:rsid w:val="1B01881F"/>
    <w:rsid w:val="1B02CF2D"/>
    <w:rsid w:val="1B1F0537"/>
    <w:rsid w:val="1B205F97"/>
    <w:rsid w:val="1B229DFB"/>
    <w:rsid w:val="1B27FBF3"/>
    <w:rsid w:val="1B2AFA8B"/>
    <w:rsid w:val="1B379A6E"/>
    <w:rsid w:val="1B39401E"/>
    <w:rsid w:val="1B423AC6"/>
    <w:rsid w:val="1B47B251"/>
    <w:rsid w:val="1B500D75"/>
    <w:rsid w:val="1B56CCC3"/>
    <w:rsid w:val="1B5C206C"/>
    <w:rsid w:val="1B5CBDDA"/>
    <w:rsid w:val="1B689F58"/>
    <w:rsid w:val="1B6F5BF3"/>
    <w:rsid w:val="1B6F8805"/>
    <w:rsid w:val="1B7E3667"/>
    <w:rsid w:val="1B837F3F"/>
    <w:rsid w:val="1B861BBA"/>
    <w:rsid w:val="1B8A927A"/>
    <w:rsid w:val="1B912FD4"/>
    <w:rsid w:val="1B9ABC20"/>
    <w:rsid w:val="1BA3F9BE"/>
    <w:rsid w:val="1BA8DD39"/>
    <w:rsid w:val="1BB70B41"/>
    <w:rsid w:val="1BBE3EDA"/>
    <w:rsid w:val="1BC92D2A"/>
    <w:rsid w:val="1BCD568A"/>
    <w:rsid w:val="1BD33166"/>
    <w:rsid w:val="1BDE9046"/>
    <w:rsid w:val="1BE6ED84"/>
    <w:rsid w:val="1BE723FD"/>
    <w:rsid w:val="1BEC9B44"/>
    <w:rsid w:val="1BF29DDF"/>
    <w:rsid w:val="1BF72969"/>
    <w:rsid w:val="1BFD1052"/>
    <w:rsid w:val="1C06465C"/>
    <w:rsid w:val="1C1EE0CC"/>
    <w:rsid w:val="1C2865E0"/>
    <w:rsid w:val="1C33CE63"/>
    <w:rsid w:val="1C34337F"/>
    <w:rsid w:val="1C3542D7"/>
    <w:rsid w:val="1C3AE59A"/>
    <w:rsid w:val="1C409E13"/>
    <w:rsid w:val="1C51AD32"/>
    <w:rsid w:val="1C52B4CC"/>
    <w:rsid w:val="1C5BE1F8"/>
    <w:rsid w:val="1C634954"/>
    <w:rsid w:val="1C6A2BFF"/>
    <w:rsid w:val="1C749FDA"/>
    <w:rsid w:val="1C905674"/>
    <w:rsid w:val="1CA00994"/>
    <w:rsid w:val="1CA2B4E3"/>
    <w:rsid w:val="1CB7A1A2"/>
    <w:rsid w:val="1CB80FC1"/>
    <w:rsid w:val="1CDC3658"/>
    <w:rsid w:val="1CDDCCB9"/>
    <w:rsid w:val="1CDEB7DE"/>
    <w:rsid w:val="1CDECDC6"/>
    <w:rsid w:val="1CE66023"/>
    <w:rsid w:val="1CF912A1"/>
    <w:rsid w:val="1D01F1AF"/>
    <w:rsid w:val="1D126BC5"/>
    <w:rsid w:val="1D1676D7"/>
    <w:rsid w:val="1D18027F"/>
    <w:rsid w:val="1D1F89D0"/>
    <w:rsid w:val="1D20394E"/>
    <w:rsid w:val="1D20BC63"/>
    <w:rsid w:val="1D22983E"/>
    <w:rsid w:val="1D2E5417"/>
    <w:rsid w:val="1D34B17B"/>
    <w:rsid w:val="1D38F3B7"/>
    <w:rsid w:val="1D3908F1"/>
    <w:rsid w:val="1D3B6A03"/>
    <w:rsid w:val="1D4AD79C"/>
    <w:rsid w:val="1D4C936F"/>
    <w:rsid w:val="1D566372"/>
    <w:rsid w:val="1D629F13"/>
    <w:rsid w:val="1D62BB6E"/>
    <w:rsid w:val="1D6633BF"/>
    <w:rsid w:val="1D69A582"/>
    <w:rsid w:val="1D69C88C"/>
    <w:rsid w:val="1D721946"/>
    <w:rsid w:val="1D78DC2C"/>
    <w:rsid w:val="1D7BB134"/>
    <w:rsid w:val="1D7C1DC6"/>
    <w:rsid w:val="1D7E45A7"/>
    <w:rsid w:val="1D8820D3"/>
    <w:rsid w:val="1D9B5D1E"/>
    <w:rsid w:val="1D9D52FB"/>
    <w:rsid w:val="1D9EDE33"/>
    <w:rsid w:val="1DA1688D"/>
    <w:rsid w:val="1DABAE7D"/>
    <w:rsid w:val="1DB79A62"/>
    <w:rsid w:val="1DBC4C10"/>
    <w:rsid w:val="1DC5D694"/>
    <w:rsid w:val="1DD360DB"/>
    <w:rsid w:val="1DD44497"/>
    <w:rsid w:val="1DDF9728"/>
    <w:rsid w:val="1DEAE972"/>
    <w:rsid w:val="1DF297C1"/>
    <w:rsid w:val="1DF37A75"/>
    <w:rsid w:val="1E0D8AB7"/>
    <w:rsid w:val="1E10BBD4"/>
    <w:rsid w:val="1E193582"/>
    <w:rsid w:val="1E1B0819"/>
    <w:rsid w:val="1E1C0D3D"/>
    <w:rsid w:val="1E1C42F7"/>
    <w:rsid w:val="1E2046EC"/>
    <w:rsid w:val="1E23C70C"/>
    <w:rsid w:val="1E28B5D4"/>
    <w:rsid w:val="1E303ADB"/>
    <w:rsid w:val="1E34A6E4"/>
    <w:rsid w:val="1E3EA69D"/>
    <w:rsid w:val="1E3EF3AC"/>
    <w:rsid w:val="1E486621"/>
    <w:rsid w:val="1E4B132A"/>
    <w:rsid w:val="1E4F174C"/>
    <w:rsid w:val="1E502FEB"/>
    <w:rsid w:val="1E53E52F"/>
    <w:rsid w:val="1E567938"/>
    <w:rsid w:val="1E5C65C7"/>
    <w:rsid w:val="1E5D3A14"/>
    <w:rsid w:val="1E651D0B"/>
    <w:rsid w:val="1E68CED9"/>
    <w:rsid w:val="1E704FF6"/>
    <w:rsid w:val="1E775815"/>
    <w:rsid w:val="1E78B920"/>
    <w:rsid w:val="1E822429"/>
    <w:rsid w:val="1E835340"/>
    <w:rsid w:val="1E8476A0"/>
    <w:rsid w:val="1E8659EF"/>
    <w:rsid w:val="1E90E8A0"/>
    <w:rsid w:val="1E953759"/>
    <w:rsid w:val="1E9744DD"/>
    <w:rsid w:val="1E9B8BB8"/>
    <w:rsid w:val="1EA3149F"/>
    <w:rsid w:val="1EA3E2A7"/>
    <w:rsid w:val="1EA516ED"/>
    <w:rsid w:val="1EAE7BD3"/>
    <w:rsid w:val="1EC296B3"/>
    <w:rsid w:val="1EC4A342"/>
    <w:rsid w:val="1ED6A198"/>
    <w:rsid w:val="1EDEAABF"/>
    <w:rsid w:val="1EDEF891"/>
    <w:rsid w:val="1EE0A9B4"/>
    <w:rsid w:val="1EEBE141"/>
    <w:rsid w:val="1F0542A8"/>
    <w:rsid w:val="1F0E35D8"/>
    <w:rsid w:val="1F0EAA22"/>
    <w:rsid w:val="1F12EFC4"/>
    <w:rsid w:val="1F21784C"/>
    <w:rsid w:val="1F2451DB"/>
    <w:rsid w:val="1F37AE71"/>
    <w:rsid w:val="1F3D4495"/>
    <w:rsid w:val="1F3F333B"/>
    <w:rsid w:val="1F43068D"/>
    <w:rsid w:val="1F5409C2"/>
    <w:rsid w:val="1F56A0A7"/>
    <w:rsid w:val="1F5B1AF7"/>
    <w:rsid w:val="1F5C9E23"/>
    <w:rsid w:val="1F64EF98"/>
    <w:rsid w:val="1F6570C7"/>
    <w:rsid w:val="1F72DDDA"/>
    <w:rsid w:val="1F761181"/>
    <w:rsid w:val="1F86C226"/>
    <w:rsid w:val="1F8C3883"/>
    <w:rsid w:val="1F92B8B6"/>
    <w:rsid w:val="1FA23F61"/>
    <w:rsid w:val="1FA4AE6E"/>
    <w:rsid w:val="1FAE97EB"/>
    <w:rsid w:val="1FAEC210"/>
    <w:rsid w:val="1FB25B9A"/>
    <w:rsid w:val="1FB4586E"/>
    <w:rsid w:val="1FBDD63F"/>
    <w:rsid w:val="1FC0BF0C"/>
    <w:rsid w:val="1FC3C047"/>
    <w:rsid w:val="1FC65899"/>
    <w:rsid w:val="1FCC721A"/>
    <w:rsid w:val="1FD01140"/>
    <w:rsid w:val="1FD25705"/>
    <w:rsid w:val="1FD80E18"/>
    <w:rsid w:val="1FDA42E7"/>
    <w:rsid w:val="1FE20FAC"/>
    <w:rsid w:val="1FED74CA"/>
    <w:rsid w:val="1FF3ECA5"/>
    <w:rsid w:val="1FF517C0"/>
    <w:rsid w:val="1FFC53EB"/>
    <w:rsid w:val="2007F3EE"/>
    <w:rsid w:val="20120FCF"/>
    <w:rsid w:val="201CDD0D"/>
    <w:rsid w:val="201DF64B"/>
    <w:rsid w:val="20262F0E"/>
    <w:rsid w:val="203E0C5E"/>
    <w:rsid w:val="203E0D56"/>
    <w:rsid w:val="2049CBC3"/>
    <w:rsid w:val="204EDF48"/>
    <w:rsid w:val="2051E0C1"/>
    <w:rsid w:val="205FA64F"/>
    <w:rsid w:val="2065B323"/>
    <w:rsid w:val="206A05DF"/>
    <w:rsid w:val="206BEBC5"/>
    <w:rsid w:val="20725DDF"/>
    <w:rsid w:val="20899249"/>
    <w:rsid w:val="208DC6BC"/>
    <w:rsid w:val="208DEE7F"/>
    <w:rsid w:val="209B2928"/>
    <w:rsid w:val="20A15241"/>
    <w:rsid w:val="20A891C3"/>
    <w:rsid w:val="20B59127"/>
    <w:rsid w:val="20B78EB4"/>
    <w:rsid w:val="20C5D704"/>
    <w:rsid w:val="20C82534"/>
    <w:rsid w:val="20D1B98E"/>
    <w:rsid w:val="20D2F44C"/>
    <w:rsid w:val="20EC9DBE"/>
    <w:rsid w:val="20F057A2"/>
    <w:rsid w:val="20F19B9E"/>
    <w:rsid w:val="20FED80A"/>
    <w:rsid w:val="210369EC"/>
    <w:rsid w:val="21101118"/>
    <w:rsid w:val="2115B0EC"/>
    <w:rsid w:val="2119FB6E"/>
    <w:rsid w:val="21268642"/>
    <w:rsid w:val="2127629D"/>
    <w:rsid w:val="212B7512"/>
    <w:rsid w:val="212E443E"/>
    <w:rsid w:val="212F649F"/>
    <w:rsid w:val="21384A25"/>
    <w:rsid w:val="213B7CD9"/>
    <w:rsid w:val="213E574C"/>
    <w:rsid w:val="214281B8"/>
    <w:rsid w:val="2143651A"/>
    <w:rsid w:val="21438765"/>
    <w:rsid w:val="21444887"/>
    <w:rsid w:val="214A20EC"/>
    <w:rsid w:val="214D4B0E"/>
    <w:rsid w:val="215039C7"/>
    <w:rsid w:val="21645320"/>
    <w:rsid w:val="21692276"/>
    <w:rsid w:val="216D8DD4"/>
    <w:rsid w:val="216DD779"/>
    <w:rsid w:val="217B4590"/>
    <w:rsid w:val="21846790"/>
    <w:rsid w:val="218564DD"/>
    <w:rsid w:val="218639EE"/>
    <w:rsid w:val="218F9CD4"/>
    <w:rsid w:val="2191F9B7"/>
    <w:rsid w:val="219418B8"/>
    <w:rsid w:val="2194F535"/>
    <w:rsid w:val="219D192C"/>
    <w:rsid w:val="21A0945C"/>
    <w:rsid w:val="21B200D7"/>
    <w:rsid w:val="21B3AA1B"/>
    <w:rsid w:val="21B54875"/>
    <w:rsid w:val="21BF789F"/>
    <w:rsid w:val="21C7560D"/>
    <w:rsid w:val="21C7A984"/>
    <w:rsid w:val="21CDC688"/>
    <w:rsid w:val="21D0F2F1"/>
    <w:rsid w:val="21D13236"/>
    <w:rsid w:val="21D42466"/>
    <w:rsid w:val="21DC0D37"/>
    <w:rsid w:val="21E13133"/>
    <w:rsid w:val="21E65BAF"/>
    <w:rsid w:val="21EA4BF4"/>
    <w:rsid w:val="21EF7FF9"/>
    <w:rsid w:val="21F032C8"/>
    <w:rsid w:val="21F8115D"/>
    <w:rsid w:val="220352B5"/>
    <w:rsid w:val="22077931"/>
    <w:rsid w:val="2209ABEF"/>
    <w:rsid w:val="221B8701"/>
    <w:rsid w:val="221EA7E7"/>
    <w:rsid w:val="22250056"/>
    <w:rsid w:val="22267062"/>
    <w:rsid w:val="2228D8BE"/>
    <w:rsid w:val="222A735C"/>
    <w:rsid w:val="2230342F"/>
    <w:rsid w:val="223642D0"/>
    <w:rsid w:val="2237A676"/>
    <w:rsid w:val="223C0E38"/>
    <w:rsid w:val="2247A7F3"/>
    <w:rsid w:val="224CDC5B"/>
    <w:rsid w:val="224DF3F4"/>
    <w:rsid w:val="2268A149"/>
    <w:rsid w:val="2274C88D"/>
    <w:rsid w:val="22800ED2"/>
    <w:rsid w:val="22814EF2"/>
    <w:rsid w:val="2284C1A2"/>
    <w:rsid w:val="228B29A9"/>
    <w:rsid w:val="22948F20"/>
    <w:rsid w:val="2299D6D1"/>
    <w:rsid w:val="229F807A"/>
    <w:rsid w:val="22A1ECB5"/>
    <w:rsid w:val="22A7B77B"/>
    <w:rsid w:val="22A857AF"/>
    <w:rsid w:val="22ABD157"/>
    <w:rsid w:val="22AD52C9"/>
    <w:rsid w:val="22B121AB"/>
    <w:rsid w:val="22B19E51"/>
    <w:rsid w:val="22B3A327"/>
    <w:rsid w:val="22B79631"/>
    <w:rsid w:val="22BA965D"/>
    <w:rsid w:val="22BCAB93"/>
    <w:rsid w:val="22BDB52F"/>
    <w:rsid w:val="22C17C70"/>
    <w:rsid w:val="22C67B23"/>
    <w:rsid w:val="22C892AA"/>
    <w:rsid w:val="22CC868A"/>
    <w:rsid w:val="22CF05BB"/>
    <w:rsid w:val="22DA15D0"/>
    <w:rsid w:val="22E06650"/>
    <w:rsid w:val="22E321A7"/>
    <w:rsid w:val="22E82352"/>
    <w:rsid w:val="22E9E443"/>
    <w:rsid w:val="22FB46BE"/>
    <w:rsid w:val="2300982F"/>
    <w:rsid w:val="230F9DA0"/>
    <w:rsid w:val="2311500C"/>
    <w:rsid w:val="23126F0F"/>
    <w:rsid w:val="2313AC25"/>
    <w:rsid w:val="2314724A"/>
    <w:rsid w:val="23174D8D"/>
    <w:rsid w:val="231ADA4B"/>
    <w:rsid w:val="231FF3C0"/>
    <w:rsid w:val="23357C4F"/>
    <w:rsid w:val="23374783"/>
    <w:rsid w:val="23387622"/>
    <w:rsid w:val="233CE191"/>
    <w:rsid w:val="233E1D3B"/>
    <w:rsid w:val="233F7A56"/>
    <w:rsid w:val="2340451E"/>
    <w:rsid w:val="234B4D05"/>
    <w:rsid w:val="234F47EB"/>
    <w:rsid w:val="2351A9C5"/>
    <w:rsid w:val="2357CF9D"/>
    <w:rsid w:val="235A3B8F"/>
    <w:rsid w:val="235C25F2"/>
    <w:rsid w:val="235DD21F"/>
    <w:rsid w:val="23626E86"/>
    <w:rsid w:val="2367A966"/>
    <w:rsid w:val="2368FBF3"/>
    <w:rsid w:val="236ECBEA"/>
    <w:rsid w:val="236FBB32"/>
    <w:rsid w:val="237D8367"/>
    <w:rsid w:val="238491E4"/>
    <w:rsid w:val="2387008C"/>
    <w:rsid w:val="2387DC16"/>
    <w:rsid w:val="23889C7C"/>
    <w:rsid w:val="2388DDE3"/>
    <w:rsid w:val="238CC9FC"/>
    <w:rsid w:val="239604DC"/>
    <w:rsid w:val="239628AD"/>
    <w:rsid w:val="2396EEBE"/>
    <w:rsid w:val="239FC5FE"/>
    <w:rsid w:val="23A755CF"/>
    <w:rsid w:val="23AAB91A"/>
    <w:rsid w:val="23ADEABA"/>
    <w:rsid w:val="23B4DF35"/>
    <w:rsid w:val="23B5B17A"/>
    <w:rsid w:val="23B8D06A"/>
    <w:rsid w:val="23C1900A"/>
    <w:rsid w:val="23CB46B9"/>
    <w:rsid w:val="23D1ACC6"/>
    <w:rsid w:val="23D23450"/>
    <w:rsid w:val="23E25AF0"/>
    <w:rsid w:val="23E34B7D"/>
    <w:rsid w:val="23EC85B1"/>
    <w:rsid w:val="23F6F028"/>
    <w:rsid w:val="23FCE551"/>
    <w:rsid w:val="23FDC373"/>
    <w:rsid w:val="240057E5"/>
    <w:rsid w:val="2402EDDE"/>
    <w:rsid w:val="2407505F"/>
    <w:rsid w:val="2408C10A"/>
    <w:rsid w:val="2419209D"/>
    <w:rsid w:val="2426BA00"/>
    <w:rsid w:val="242D1A9F"/>
    <w:rsid w:val="24307256"/>
    <w:rsid w:val="2436E52D"/>
    <w:rsid w:val="2440C025"/>
    <w:rsid w:val="2451C3FE"/>
    <w:rsid w:val="2451D96F"/>
    <w:rsid w:val="24587562"/>
    <w:rsid w:val="245CF1AA"/>
    <w:rsid w:val="245DA3F5"/>
    <w:rsid w:val="245FE054"/>
    <w:rsid w:val="24602BBF"/>
    <w:rsid w:val="246B4390"/>
    <w:rsid w:val="246E908C"/>
    <w:rsid w:val="24773453"/>
    <w:rsid w:val="24813AC3"/>
    <w:rsid w:val="24A17AF6"/>
    <w:rsid w:val="24A279F2"/>
    <w:rsid w:val="24A5504E"/>
    <w:rsid w:val="24A7C656"/>
    <w:rsid w:val="24AF333A"/>
    <w:rsid w:val="24B5DCEB"/>
    <w:rsid w:val="24B813C9"/>
    <w:rsid w:val="24B8D6DD"/>
    <w:rsid w:val="24B9AD3C"/>
    <w:rsid w:val="24C15B36"/>
    <w:rsid w:val="24C1A967"/>
    <w:rsid w:val="24C1E73F"/>
    <w:rsid w:val="24D50F58"/>
    <w:rsid w:val="24DF3DAD"/>
    <w:rsid w:val="24E150F1"/>
    <w:rsid w:val="24E1D395"/>
    <w:rsid w:val="24E5BA90"/>
    <w:rsid w:val="24E70F48"/>
    <w:rsid w:val="24E8D4E9"/>
    <w:rsid w:val="24F616C6"/>
    <w:rsid w:val="24F68FFA"/>
    <w:rsid w:val="250AF4D5"/>
    <w:rsid w:val="250D9B93"/>
    <w:rsid w:val="250E0337"/>
    <w:rsid w:val="250E3B61"/>
    <w:rsid w:val="2511AFBD"/>
    <w:rsid w:val="251DB4B4"/>
    <w:rsid w:val="252254FD"/>
    <w:rsid w:val="25239C7F"/>
    <w:rsid w:val="2525679E"/>
    <w:rsid w:val="2526A37A"/>
    <w:rsid w:val="252831D9"/>
    <w:rsid w:val="252A78A6"/>
    <w:rsid w:val="252B0144"/>
    <w:rsid w:val="252C1B54"/>
    <w:rsid w:val="252FAD66"/>
    <w:rsid w:val="25315898"/>
    <w:rsid w:val="253442DF"/>
    <w:rsid w:val="25390DB2"/>
    <w:rsid w:val="253A4CA1"/>
    <w:rsid w:val="253CAD10"/>
    <w:rsid w:val="253EEED2"/>
    <w:rsid w:val="2543463D"/>
    <w:rsid w:val="2543EF25"/>
    <w:rsid w:val="254AC57E"/>
    <w:rsid w:val="2551A9FC"/>
    <w:rsid w:val="255B692C"/>
    <w:rsid w:val="25621C13"/>
    <w:rsid w:val="25630F67"/>
    <w:rsid w:val="256446BE"/>
    <w:rsid w:val="25658009"/>
    <w:rsid w:val="256E7666"/>
    <w:rsid w:val="2576F31C"/>
    <w:rsid w:val="257A63DF"/>
    <w:rsid w:val="25822093"/>
    <w:rsid w:val="258515E4"/>
    <w:rsid w:val="2586D810"/>
    <w:rsid w:val="25939213"/>
    <w:rsid w:val="25952F29"/>
    <w:rsid w:val="259645B3"/>
    <w:rsid w:val="2596AF52"/>
    <w:rsid w:val="2598CEEE"/>
    <w:rsid w:val="25A437AF"/>
    <w:rsid w:val="25A63940"/>
    <w:rsid w:val="25A9BB89"/>
    <w:rsid w:val="25ACFDAB"/>
    <w:rsid w:val="25BE1410"/>
    <w:rsid w:val="25C295EA"/>
    <w:rsid w:val="25C7630A"/>
    <w:rsid w:val="25CB0C4E"/>
    <w:rsid w:val="25CD77EB"/>
    <w:rsid w:val="25DD7AF5"/>
    <w:rsid w:val="25E00933"/>
    <w:rsid w:val="25E60ADE"/>
    <w:rsid w:val="25E729E9"/>
    <w:rsid w:val="25EC0CEE"/>
    <w:rsid w:val="25EE0B66"/>
    <w:rsid w:val="25F26CDD"/>
    <w:rsid w:val="25F6D72F"/>
    <w:rsid w:val="25F7472D"/>
    <w:rsid w:val="25FFAF05"/>
    <w:rsid w:val="26044448"/>
    <w:rsid w:val="260AC29B"/>
    <w:rsid w:val="260F2C16"/>
    <w:rsid w:val="2616E675"/>
    <w:rsid w:val="2624A93E"/>
    <w:rsid w:val="26279B9E"/>
    <w:rsid w:val="2629114D"/>
    <w:rsid w:val="262BD221"/>
    <w:rsid w:val="2633E40A"/>
    <w:rsid w:val="264886B7"/>
    <w:rsid w:val="2649424C"/>
    <w:rsid w:val="2649C3E0"/>
    <w:rsid w:val="26556464"/>
    <w:rsid w:val="2658EEC4"/>
    <w:rsid w:val="26682227"/>
    <w:rsid w:val="266928A9"/>
    <w:rsid w:val="26696363"/>
    <w:rsid w:val="2670F748"/>
    <w:rsid w:val="26723A9E"/>
    <w:rsid w:val="267567E0"/>
    <w:rsid w:val="267971F7"/>
    <w:rsid w:val="267BB62C"/>
    <w:rsid w:val="267CA0A0"/>
    <w:rsid w:val="267FCF62"/>
    <w:rsid w:val="26807C9F"/>
    <w:rsid w:val="268876B3"/>
    <w:rsid w:val="26920F57"/>
    <w:rsid w:val="269470E1"/>
    <w:rsid w:val="2696E4A7"/>
    <w:rsid w:val="269A4DA0"/>
    <w:rsid w:val="269D95EF"/>
    <w:rsid w:val="26AA29FD"/>
    <w:rsid w:val="26B2B03B"/>
    <w:rsid w:val="26B809F8"/>
    <w:rsid w:val="26BCD227"/>
    <w:rsid w:val="26BD73C1"/>
    <w:rsid w:val="26BF5E6F"/>
    <w:rsid w:val="26CC7F86"/>
    <w:rsid w:val="26CD4B92"/>
    <w:rsid w:val="26CD98CE"/>
    <w:rsid w:val="26CE70BF"/>
    <w:rsid w:val="26D282A4"/>
    <w:rsid w:val="26D2F8B8"/>
    <w:rsid w:val="26D3E763"/>
    <w:rsid w:val="26D43915"/>
    <w:rsid w:val="26DDD07C"/>
    <w:rsid w:val="26E9E433"/>
    <w:rsid w:val="26EE2121"/>
    <w:rsid w:val="27046B08"/>
    <w:rsid w:val="27053077"/>
    <w:rsid w:val="2705A5AD"/>
    <w:rsid w:val="27088C55"/>
    <w:rsid w:val="27151048"/>
    <w:rsid w:val="271560CE"/>
    <w:rsid w:val="271848A6"/>
    <w:rsid w:val="271A2570"/>
    <w:rsid w:val="271E3FB8"/>
    <w:rsid w:val="271EE8EE"/>
    <w:rsid w:val="272553B5"/>
    <w:rsid w:val="2726A327"/>
    <w:rsid w:val="27280E82"/>
    <w:rsid w:val="2729D101"/>
    <w:rsid w:val="27361E37"/>
    <w:rsid w:val="27366637"/>
    <w:rsid w:val="273CFA84"/>
    <w:rsid w:val="2743FA5F"/>
    <w:rsid w:val="274874AF"/>
    <w:rsid w:val="27490A6B"/>
    <w:rsid w:val="274A9E6F"/>
    <w:rsid w:val="274D317A"/>
    <w:rsid w:val="275A642D"/>
    <w:rsid w:val="275DC159"/>
    <w:rsid w:val="2760C70A"/>
    <w:rsid w:val="276CB1EE"/>
    <w:rsid w:val="276CDB7E"/>
    <w:rsid w:val="276D8FCF"/>
    <w:rsid w:val="27765EC7"/>
    <w:rsid w:val="2778ADD7"/>
    <w:rsid w:val="277A2264"/>
    <w:rsid w:val="2780E58B"/>
    <w:rsid w:val="278467E5"/>
    <w:rsid w:val="2786E5DB"/>
    <w:rsid w:val="279520D9"/>
    <w:rsid w:val="2799BBC6"/>
    <w:rsid w:val="27A0A334"/>
    <w:rsid w:val="27A69716"/>
    <w:rsid w:val="27A7D50F"/>
    <w:rsid w:val="27A80F7A"/>
    <w:rsid w:val="27A9C6CB"/>
    <w:rsid w:val="27AAD538"/>
    <w:rsid w:val="27BD3FF8"/>
    <w:rsid w:val="27BE3357"/>
    <w:rsid w:val="27BE74A8"/>
    <w:rsid w:val="27D19F18"/>
    <w:rsid w:val="27D514BF"/>
    <w:rsid w:val="27D8341D"/>
    <w:rsid w:val="27E29F2E"/>
    <w:rsid w:val="27E3D41E"/>
    <w:rsid w:val="27F1A672"/>
    <w:rsid w:val="27F2145A"/>
    <w:rsid w:val="27F44700"/>
    <w:rsid w:val="27F569D8"/>
    <w:rsid w:val="27F5EFA8"/>
    <w:rsid w:val="27F7A290"/>
    <w:rsid w:val="280155BE"/>
    <w:rsid w:val="2801D9BF"/>
    <w:rsid w:val="28073CBC"/>
    <w:rsid w:val="280B8C8D"/>
    <w:rsid w:val="28177357"/>
    <w:rsid w:val="2818E296"/>
    <w:rsid w:val="2828F130"/>
    <w:rsid w:val="2832571C"/>
    <w:rsid w:val="2838F7D5"/>
    <w:rsid w:val="2839FE1A"/>
    <w:rsid w:val="284CFB78"/>
    <w:rsid w:val="2856B483"/>
    <w:rsid w:val="28577B3F"/>
    <w:rsid w:val="28689D08"/>
    <w:rsid w:val="2869E68F"/>
    <w:rsid w:val="2877D29F"/>
    <w:rsid w:val="287BB4DB"/>
    <w:rsid w:val="2883FD04"/>
    <w:rsid w:val="28877623"/>
    <w:rsid w:val="28A82922"/>
    <w:rsid w:val="28AA5C9E"/>
    <w:rsid w:val="28AD2EF8"/>
    <w:rsid w:val="28B2CCA0"/>
    <w:rsid w:val="28C7EBB8"/>
    <w:rsid w:val="28D77A6D"/>
    <w:rsid w:val="28DAA68D"/>
    <w:rsid w:val="28DE2A75"/>
    <w:rsid w:val="28DEEA4C"/>
    <w:rsid w:val="28DF235E"/>
    <w:rsid w:val="28E7F08C"/>
    <w:rsid w:val="28E80C0A"/>
    <w:rsid w:val="28F20C7C"/>
    <w:rsid w:val="28FAF477"/>
    <w:rsid w:val="28FB0193"/>
    <w:rsid w:val="29118E11"/>
    <w:rsid w:val="2941E480"/>
    <w:rsid w:val="29468862"/>
    <w:rsid w:val="294DC4DA"/>
    <w:rsid w:val="29504EAE"/>
    <w:rsid w:val="29518399"/>
    <w:rsid w:val="29576D48"/>
    <w:rsid w:val="29578D20"/>
    <w:rsid w:val="295D48D1"/>
    <w:rsid w:val="2971333B"/>
    <w:rsid w:val="297245BE"/>
    <w:rsid w:val="2985612D"/>
    <w:rsid w:val="298B14CB"/>
    <w:rsid w:val="29904119"/>
    <w:rsid w:val="2995C4FB"/>
    <w:rsid w:val="29A2AD02"/>
    <w:rsid w:val="29A71A8B"/>
    <w:rsid w:val="29A9182A"/>
    <w:rsid w:val="29AA6187"/>
    <w:rsid w:val="29B3506E"/>
    <w:rsid w:val="29B6E461"/>
    <w:rsid w:val="29C55162"/>
    <w:rsid w:val="29C6A520"/>
    <w:rsid w:val="29C6D53D"/>
    <w:rsid w:val="29CB5C43"/>
    <w:rsid w:val="29CD6012"/>
    <w:rsid w:val="29CE953E"/>
    <w:rsid w:val="29CFD81A"/>
    <w:rsid w:val="29D40CC6"/>
    <w:rsid w:val="29D678CC"/>
    <w:rsid w:val="29E1C601"/>
    <w:rsid w:val="29E2EE85"/>
    <w:rsid w:val="29E380BB"/>
    <w:rsid w:val="29E9EFD8"/>
    <w:rsid w:val="29EA5A4C"/>
    <w:rsid w:val="29F00310"/>
    <w:rsid w:val="29FA3850"/>
    <w:rsid w:val="29FC64F0"/>
    <w:rsid w:val="2A10EDA1"/>
    <w:rsid w:val="2A17F262"/>
    <w:rsid w:val="2A1AC5EC"/>
    <w:rsid w:val="2A1CBE36"/>
    <w:rsid w:val="2A1E24EA"/>
    <w:rsid w:val="2A277644"/>
    <w:rsid w:val="2A2A0C77"/>
    <w:rsid w:val="2A2A7D47"/>
    <w:rsid w:val="2A36AD9E"/>
    <w:rsid w:val="2A45B50E"/>
    <w:rsid w:val="2A488564"/>
    <w:rsid w:val="2A546B7B"/>
    <w:rsid w:val="2A59A1BF"/>
    <w:rsid w:val="2A5D0CE1"/>
    <w:rsid w:val="2A648A2E"/>
    <w:rsid w:val="2A747F9F"/>
    <w:rsid w:val="2A74E869"/>
    <w:rsid w:val="2A788507"/>
    <w:rsid w:val="2A7A238E"/>
    <w:rsid w:val="2A7C4658"/>
    <w:rsid w:val="2A7E44A0"/>
    <w:rsid w:val="2A7EF376"/>
    <w:rsid w:val="2A84755C"/>
    <w:rsid w:val="2A8558FD"/>
    <w:rsid w:val="2A89BBF1"/>
    <w:rsid w:val="2A8B4DA1"/>
    <w:rsid w:val="2A9475F6"/>
    <w:rsid w:val="2A9E4ACA"/>
    <w:rsid w:val="2A9E79CF"/>
    <w:rsid w:val="2AAD1582"/>
    <w:rsid w:val="2AB09253"/>
    <w:rsid w:val="2AB715F5"/>
    <w:rsid w:val="2ABB133D"/>
    <w:rsid w:val="2ABB9FE7"/>
    <w:rsid w:val="2ABBF6BE"/>
    <w:rsid w:val="2ABE49F4"/>
    <w:rsid w:val="2ABF192F"/>
    <w:rsid w:val="2AC16845"/>
    <w:rsid w:val="2ACA6EA6"/>
    <w:rsid w:val="2ACE228F"/>
    <w:rsid w:val="2AD0F93E"/>
    <w:rsid w:val="2AE4F968"/>
    <w:rsid w:val="2AE86B5F"/>
    <w:rsid w:val="2AEA45BD"/>
    <w:rsid w:val="2AF283E3"/>
    <w:rsid w:val="2AFF0F15"/>
    <w:rsid w:val="2B0EA5E7"/>
    <w:rsid w:val="2B13C6A6"/>
    <w:rsid w:val="2B1CFB9E"/>
    <w:rsid w:val="2B206A59"/>
    <w:rsid w:val="2B2A607C"/>
    <w:rsid w:val="2B4466A4"/>
    <w:rsid w:val="2B4FF523"/>
    <w:rsid w:val="2B5237EB"/>
    <w:rsid w:val="2B549E6B"/>
    <w:rsid w:val="2B54E8FE"/>
    <w:rsid w:val="2B5756C1"/>
    <w:rsid w:val="2B63F02D"/>
    <w:rsid w:val="2B64D391"/>
    <w:rsid w:val="2B721BAD"/>
    <w:rsid w:val="2B7860B4"/>
    <w:rsid w:val="2B7884B8"/>
    <w:rsid w:val="2B788538"/>
    <w:rsid w:val="2B797F14"/>
    <w:rsid w:val="2B7DBB32"/>
    <w:rsid w:val="2B829A1D"/>
    <w:rsid w:val="2B8525AD"/>
    <w:rsid w:val="2B8D4E99"/>
    <w:rsid w:val="2BB1E16C"/>
    <w:rsid w:val="2BB72A7A"/>
    <w:rsid w:val="2BC092CD"/>
    <w:rsid w:val="2BC2CF03"/>
    <w:rsid w:val="2BC5BBA1"/>
    <w:rsid w:val="2BC8244B"/>
    <w:rsid w:val="2BD05E5D"/>
    <w:rsid w:val="2BDD5290"/>
    <w:rsid w:val="2BE3700B"/>
    <w:rsid w:val="2BED1546"/>
    <w:rsid w:val="2BF4C3B6"/>
    <w:rsid w:val="2BFFC6B7"/>
    <w:rsid w:val="2C0011D8"/>
    <w:rsid w:val="2C002099"/>
    <w:rsid w:val="2C01618B"/>
    <w:rsid w:val="2C154025"/>
    <w:rsid w:val="2C156890"/>
    <w:rsid w:val="2C29F741"/>
    <w:rsid w:val="2C334B1D"/>
    <w:rsid w:val="2C422901"/>
    <w:rsid w:val="2C440509"/>
    <w:rsid w:val="2C4A66F3"/>
    <w:rsid w:val="2C556BD2"/>
    <w:rsid w:val="2C56CC5B"/>
    <w:rsid w:val="2C581E89"/>
    <w:rsid w:val="2C583790"/>
    <w:rsid w:val="2C58F748"/>
    <w:rsid w:val="2C68F168"/>
    <w:rsid w:val="2C6F874A"/>
    <w:rsid w:val="2C7AF554"/>
    <w:rsid w:val="2C8D7C0E"/>
    <w:rsid w:val="2C8EED53"/>
    <w:rsid w:val="2C95C4E0"/>
    <w:rsid w:val="2C981593"/>
    <w:rsid w:val="2C9B9C75"/>
    <w:rsid w:val="2CA67DAB"/>
    <w:rsid w:val="2CBD53FF"/>
    <w:rsid w:val="2CC27B6C"/>
    <w:rsid w:val="2CC80FE9"/>
    <w:rsid w:val="2CCA8789"/>
    <w:rsid w:val="2CCBAD45"/>
    <w:rsid w:val="2CCC1948"/>
    <w:rsid w:val="2CCE70F1"/>
    <w:rsid w:val="2CCEB1B9"/>
    <w:rsid w:val="2CCFFEC3"/>
    <w:rsid w:val="2CD3DAAF"/>
    <w:rsid w:val="2CD48034"/>
    <w:rsid w:val="2CD55E30"/>
    <w:rsid w:val="2CDB8050"/>
    <w:rsid w:val="2CEF41EE"/>
    <w:rsid w:val="2CF4C6ED"/>
    <w:rsid w:val="2CFA7680"/>
    <w:rsid w:val="2D04D408"/>
    <w:rsid w:val="2D0847CC"/>
    <w:rsid w:val="2D0956FF"/>
    <w:rsid w:val="2D19999E"/>
    <w:rsid w:val="2D1AF3B1"/>
    <w:rsid w:val="2D2CE38B"/>
    <w:rsid w:val="2D305AD5"/>
    <w:rsid w:val="2D312847"/>
    <w:rsid w:val="2D3D341B"/>
    <w:rsid w:val="2D46FF5D"/>
    <w:rsid w:val="2D4C0599"/>
    <w:rsid w:val="2D4CE4D0"/>
    <w:rsid w:val="2D4F9458"/>
    <w:rsid w:val="2D50C837"/>
    <w:rsid w:val="2D624818"/>
    <w:rsid w:val="2D6B3336"/>
    <w:rsid w:val="2D7095F0"/>
    <w:rsid w:val="2D961A58"/>
    <w:rsid w:val="2D96C45C"/>
    <w:rsid w:val="2D989AF9"/>
    <w:rsid w:val="2D99B31A"/>
    <w:rsid w:val="2D9CB301"/>
    <w:rsid w:val="2DA3C741"/>
    <w:rsid w:val="2DA5E6CE"/>
    <w:rsid w:val="2DA87B92"/>
    <w:rsid w:val="2DB04F83"/>
    <w:rsid w:val="2DB0F973"/>
    <w:rsid w:val="2DB1143B"/>
    <w:rsid w:val="2DBDF790"/>
    <w:rsid w:val="2DC293B2"/>
    <w:rsid w:val="2DC5E1F7"/>
    <w:rsid w:val="2DC66D0E"/>
    <w:rsid w:val="2DD6786B"/>
    <w:rsid w:val="2DDD4889"/>
    <w:rsid w:val="2DE574AD"/>
    <w:rsid w:val="2DE6D4A3"/>
    <w:rsid w:val="2DEF76D0"/>
    <w:rsid w:val="2DF12D37"/>
    <w:rsid w:val="2DF51BA0"/>
    <w:rsid w:val="2E02D42D"/>
    <w:rsid w:val="2E0A2567"/>
    <w:rsid w:val="2E104534"/>
    <w:rsid w:val="2E1769CE"/>
    <w:rsid w:val="2E1E624C"/>
    <w:rsid w:val="2E253110"/>
    <w:rsid w:val="2E302BB3"/>
    <w:rsid w:val="2E3D9762"/>
    <w:rsid w:val="2E3DF518"/>
    <w:rsid w:val="2E45F451"/>
    <w:rsid w:val="2E462FA1"/>
    <w:rsid w:val="2E48E418"/>
    <w:rsid w:val="2E542501"/>
    <w:rsid w:val="2E574217"/>
    <w:rsid w:val="2E59D654"/>
    <w:rsid w:val="2E621C1E"/>
    <w:rsid w:val="2E6ED048"/>
    <w:rsid w:val="2E6FB37C"/>
    <w:rsid w:val="2E71383B"/>
    <w:rsid w:val="2E882349"/>
    <w:rsid w:val="2E8A98A3"/>
    <w:rsid w:val="2E8E8F3C"/>
    <w:rsid w:val="2E8F8E5B"/>
    <w:rsid w:val="2E913043"/>
    <w:rsid w:val="2E9300A1"/>
    <w:rsid w:val="2EA08DFF"/>
    <w:rsid w:val="2EAB8BA7"/>
    <w:rsid w:val="2EACBF8A"/>
    <w:rsid w:val="2EADA822"/>
    <w:rsid w:val="2EB4A3E3"/>
    <w:rsid w:val="2EC38D71"/>
    <w:rsid w:val="2EC41FB6"/>
    <w:rsid w:val="2ED195C8"/>
    <w:rsid w:val="2ED913B7"/>
    <w:rsid w:val="2EDDCE0E"/>
    <w:rsid w:val="2EE667EA"/>
    <w:rsid w:val="2EE98E6F"/>
    <w:rsid w:val="2EED5FE1"/>
    <w:rsid w:val="2EF2DB75"/>
    <w:rsid w:val="2EF55913"/>
    <w:rsid w:val="2EF9C9B7"/>
    <w:rsid w:val="2F049F01"/>
    <w:rsid w:val="2F16D13C"/>
    <w:rsid w:val="2F175E0A"/>
    <w:rsid w:val="2F17DA30"/>
    <w:rsid w:val="2F24F8B4"/>
    <w:rsid w:val="2F258E49"/>
    <w:rsid w:val="2F2C0139"/>
    <w:rsid w:val="2F311131"/>
    <w:rsid w:val="2F396F0A"/>
    <w:rsid w:val="2F410118"/>
    <w:rsid w:val="2F43625F"/>
    <w:rsid w:val="2F48D7C7"/>
    <w:rsid w:val="2F4909D6"/>
    <w:rsid w:val="2F4CCB3F"/>
    <w:rsid w:val="2F5F3392"/>
    <w:rsid w:val="2F67DD99"/>
    <w:rsid w:val="2F6C6CA2"/>
    <w:rsid w:val="2F76A615"/>
    <w:rsid w:val="2F7ADC5C"/>
    <w:rsid w:val="2F7FF551"/>
    <w:rsid w:val="2F800542"/>
    <w:rsid w:val="2F880D3C"/>
    <w:rsid w:val="2F8BE8D4"/>
    <w:rsid w:val="2F950D7A"/>
    <w:rsid w:val="2F966D3C"/>
    <w:rsid w:val="2F9A8772"/>
    <w:rsid w:val="2FA1D7C1"/>
    <w:rsid w:val="2FA98BF6"/>
    <w:rsid w:val="2FAB296F"/>
    <w:rsid w:val="2FABDFA4"/>
    <w:rsid w:val="2FB7C98B"/>
    <w:rsid w:val="2FBE4448"/>
    <w:rsid w:val="2FC08AE4"/>
    <w:rsid w:val="2FC65091"/>
    <w:rsid w:val="2FC6ACE6"/>
    <w:rsid w:val="2FDA6FC1"/>
    <w:rsid w:val="2FDC7EE4"/>
    <w:rsid w:val="2FE3E2F4"/>
    <w:rsid w:val="2FE8E636"/>
    <w:rsid w:val="2FECC522"/>
    <w:rsid w:val="2FF3C277"/>
    <w:rsid w:val="2FF90E75"/>
    <w:rsid w:val="3001DBFD"/>
    <w:rsid w:val="300B32E0"/>
    <w:rsid w:val="300DFA4B"/>
    <w:rsid w:val="300E549C"/>
    <w:rsid w:val="300E6CC0"/>
    <w:rsid w:val="3027AE2C"/>
    <w:rsid w:val="302CBC87"/>
    <w:rsid w:val="302F1291"/>
    <w:rsid w:val="303247FB"/>
    <w:rsid w:val="3039D57D"/>
    <w:rsid w:val="3039FB0A"/>
    <w:rsid w:val="304A770C"/>
    <w:rsid w:val="304F2154"/>
    <w:rsid w:val="305409AB"/>
    <w:rsid w:val="3056731F"/>
    <w:rsid w:val="306EBB93"/>
    <w:rsid w:val="306F155C"/>
    <w:rsid w:val="3073AFC4"/>
    <w:rsid w:val="30742443"/>
    <w:rsid w:val="3078461A"/>
    <w:rsid w:val="3085040E"/>
    <w:rsid w:val="308847A0"/>
    <w:rsid w:val="308FFA6E"/>
    <w:rsid w:val="30916A25"/>
    <w:rsid w:val="309A7E81"/>
    <w:rsid w:val="309EDDC1"/>
    <w:rsid w:val="30A19835"/>
    <w:rsid w:val="30A5E6A8"/>
    <w:rsid w:val="30A7B34E"/>
    <w:rsid w:val="30AB9DB4"/>
    <w:rsid w:val="30BC087A"/>
    <w:rsid w:val="30CC6C3E"/>
    <w:rsid w:val="30E06713"/>
    <w:rsid w:val="30E75E9C"/>
    <w:rsid w:val="30FCA795"/>
    <w:rsid w:val="30FE4140"/>
    <w:rsid w:val="3106F1A9"/>
    <w:rsid w:val="310D53FF"/>
    <w:rsid w:val="310E3F31"/>
    <w:rsid w:val="31111DCA"/>
    <w:rsid w:val="311F8904"/>
    <w:rsid w:val="3124EB2A"/>
    <w:rsid w:val="313028A1"/>
    <w:rsid w:val="3134903F"/>
    <w:rsid w:val="3142DFAE"/>
    <w:rsid w:val="314BFBA5"/>
    <w:rsid w:val="314C2D21"/>
    <w:rsid w:val="314D1F43"/>
    <w:rsid w:val="3156A959"/>
    <w:rsid w:val="3157E362"/>
    <w:rsid w:val="3162CFA3"/>
    <w:rsid w:val="3165C391"/>
    <w:rsid w:val="31696EE4"/>
    <w:rsid w:val="316CA1FF"/>
    <w:rsid w:val="316F8825"/>
    <w:rsid w:val="317248C7"/>
    <w:rsid w:val="3175258F"/>
    <w:rsid w:val="317E51CA"/>
    <w:rsid w:val="3182AAB1"/>
    <w:rsid w:val="3188453B"/>
    <w:rsid w:val="318BD736"/>
    <w:rsid w:val="318D2837"/>
    <w:rsid w:val="3197A592"/>
    <w:rsid w:val="31A533D4"/>
    <w:rsid w:val="31AE9C85"/>
    <w:rsid w:val="31C6C019"/>
    <w:rsid w:val="31D0B02F"/>
    <w:rsid w:val="31D4CAE2"/>
    <w:rsid w:val="31D51E0B"/>
    <w:rsid w:val="31D74739"/>
    <w:rsid w:val="31DE1355"/>
    <w:rsid w:val="31E16B33"/>
    <w:rsid w:val="31E1FAA9"/>
    <w:rsid w:val="31E77614"/>
    <w:rsid w:val="31F29544"/>
    <w:rsid w:val="31F62A30"/>
    <w:rsid w:val="31FB54AE"/>
    <w:rsid w:val="3207EE11"/>
    <w:rsid w:val="320DC724"/>
    <w:rsid w:val="320DE047"/>
    <w:rsid w:val="3210A8CF"/>
    <w:rsid w:val="32296941"/>
    <w:rsid w:val="322AD6DF"/>
    <w:rsid w:val="32349742"/>
    <w:rsid w:val="323893C1"/>
    <w:rsid w:val="323F0119"/>
    <w:rsid w:val="32431F2F"/>
    <w:rsid w:val="3243D546"/>
    <w:rsid w:val="32452D9E"/>
    <w:rsid w:val="324D4CF7"/>
    <w:rsid w:val="32518F58"/>
    <w:rsid w:val="325651E1"/>
    <w:rsid w:val="3257C72F"/>
    <w:rsid w:val="325EEC04"/>
    <w:rsid w:val="325F43CD"/>
    <w:rsid w:val="3260FBF6"/>
    <w:rsid w:val="3262A55C"/>
    <w:rsid w:val="3266614C"/>
    <w:rsid w:val="32689270"/>
    <w:rsid w:val="3269A33F"/>
    <w:rsid w:val="32738EB1"/>
    <w:rsid w:val="3275DBBF"/>
    <w:rsid w:val="327F540D"/>
    <w:rsid w:val="32811552"/>
    <w:rsid w:val="328B55DD"/>
    <w:rsid w:val="328C8DD2"/>
    <w:rsid w:val="328DEFA7"/>
    <w:rsid w:val="328FC187"/>
    <w:rsid w:val="329CDC00"/>
    <w:rsid w:val="32A3C139"/>
    <w:rsid w:val="32A54FEE"/>
    <w:rsid w:val="32C883DE"/>
    <w:rsid w:val="32D07CCA"/>
    <w:rsid w:val="32E4F96A"/>
    <w:rsid w:val="32E61CDC"/>
    <w:rsid w:val="32EDE8C4"/>
    <w:rsid w:val="32F3A9BA"/>
    <w:rsid w:val="32F3B980"/>
    <w:rsid w:val="3305FB36"/>
    <w:rsid w:val="330629AC"/>
    <w:rsid w:val="330A0C1B"/>
    <w:rsid w:val="330AA9AF"/>
    <w:rsid w:val="330C98A7"/>
    <w:rsid w:val="33141A1A"/>
    <w:rsid w:val="331F372E"/>
    <w:rsid w:val="3322D874"/>
    <w:rsid w:val="33231B98"/>
    <w:rsid w:val="33326424"/>
    <w:rsid w:val="33390C99"/>
    <w:rsid w:val="3339119E"/>
    <w:rsid w:val="3339B4EC"/>
    <w:rsid w:val="334B1C1F"/>
    <w:rsid w:val="334F530B"/>
    <w:rsid w:val="334FBC05"/>
    <w:rsid w:val="3356574A"/>
    <w:rsid w:val="3356BD5A"/>
    <w:rsid w:val="3357CE5D"/>
    <w:rsid w:val="336194C4"/>
    <w:rsid w:val="336B97E2"/>
    <w:rsid w:val="336D58B8"/>
    <w:rsid w:val="33814D10"/>
    <w:rsid w:val="3384374C"/>
    <w:rsid w:val="3388B55F"/>
    <w:rsid w:val="338C3C88"/>
    <w:rsid w:val="33988815"/>
    <w:rsid w:val="33A29B46"/>
    <w:rsid w:val="33A76DFC"/>
    <w:rsid w:val="33AABB2A"/>
    <w:rsid w:val="33AE7D59"/>
    <w:rsid w:val="33BE8761"/>
    <w:rsid w:val="33D910C4"/>
    <w:rsid w:val="33D98C69"/>
    <w:rsid w:val="33E346FD"/>
    <w:rsid w:val="33EAF68B"/>
    <w:rsid w:val="33EB7B10"/>
    <w:rsid w:val="33FB9C72"/>
    <w:rsid w:val="33FC5B81"/>
    <w:rsid w:val="33FE1785"/>
    <w:rsid w:val="34098DC4"/>
    <w:rsid w:val="34178A34"/>
    <w:rsid w:val="3417B364"/>
    <w:rsid w:val="342017EE"/>
    <w:rsid w:val="3422F0AD"/>
    <w:rsid w:val="342997B6"/>
    <w:rsid w:val="342AB1A7"/>
    <w:rsid w:val="3442B971"/>
    <w:rsid w:val="344559F9"/>
    <w:rsid w:val="3449F148"/>
    <w:rsid w:val="344BC84F"/>
    <w:rsid w:val="344F8A2A"/>
    <w:rsid w:val="345A220C"/>
    <w:rsid w:val="3461BE4C"/>
    <w:rsid w:val="346537C4"/>
    <w:rsid w:val="347B9400"/>
    <w:rsid w:val="347BCCD1"/>
    <w:rsid w:val="34817333"/>
    <w:rsid w:val="34842C4C"/>
    <w:rsid w:val="3485B622"/>
    <w:rsid w:val="348AEF1E"/>
    <w:rsid w:val="348DF563"/>
    <w:rsid w:val="3490F70D"/>
    <w:rsid w:val="34A3ED9A"/>
    <w:rsid w:val="34B89B99"/>
    <w:rsid w:val="34C6EBEA"/>
    <w:rsid w:val="34DAB695"/>
    <w:rsid w:val="34E37D27"/>
    <w:rsid w:val="34E88C16"/>
    <w:rsid w:val="34E9F833"/>
    <w:rsid w:val="34EAC4B6"/>
    <w:rsid w:val="34F37C01"/>
    <w:rsid w:val="34FD5C40"/>
    <w:rsid w:val="34FE701B"/>
    <w:rsid w:val="3518F7CC"/>
    <w:rsid w:val="35214902"/>
    <w:rsid w:val="3528B629"/>
    <w:rsid w:val="352C34EC"/>
    <w:rsid w:val="353087DF"/>
    <w:rsid w:val="3531F236"/>
    <w:rsid w:val="35366BA1"/>
    <w:rsid w:val="353B4393"/>
    <w:rsid w:val="353FD288"/>
    <w:rsid w:val="35418E90"/>
    <w:rsid w:val="3544B019"/>
    <w:rsid w:val="354548AC"/>
    <w:rsid w:val="3546158A"/>
    <w:rsid w:val="35548E2A"/>
    <w:rsid w:val="35592CBE"/>
    <w:rsid w:val="35606831"/>
    <w:rsid w:val="356ADCFF"/>
    <w:rsid w:val="356DA26D"/>
    <w:rsid w:val="356DE79D"/>
    <w:rsid w:val="356E89E5"/>
    <w:rsid w:val="3574E1D9"/>
    <w:rsid w:val="3585AA6F"/>
    <w:rsid w:val="3589F25D"/>
    <w:rsid w:val="35A1FE4A"/>
    <w:rsid w:val="35A27804"/>
    <w:rsid w:val="35A2B234"/>
    <w:rsid w:val="35A8508D"/>
    <w:rsid w:val="35A91AC6"/>
    <w:rsid w:val="35AB5F69"/>
    <w:rsid w:val="35AB904F"/>
    <w:rsid w:val="35B03D83"/>
    <w:rsid w:val="35B99137"/>
    <w:rsid w:val="35C092A8"/>
    <w:rsid w:val="35CA4C04"/>
    <w:rsid w:val="35CBE3CF"/>
    <w:rsid w:val="35D085DD"/>
    <w:rsid w:val="35D3F614"/>
    <w:rsid w:val="35DB2AD1"/>
    <w:rsid w:val="35DD64DB"/>
    <w:rsid w:val="35DF1168"/>
    <w:rsid w:val="35E171E6"/>
    <w:rsid w:val="35F6E367"/>
    <w:rsid w:val="35F86B6F"/>
    <w:rsid w:val="35FB73E9"/>
    <w:rsid w:val="36028983"/>
    <w:rsid w:val="3604A4DB"/>
    <w:rsid w:val="3608DD51"/>
    <w:rsid w:val="361104FF"/>
    <w:rsid w:val="3611A1AD"/>
    <w:rsid w:val="3614251B"/>
    <w:rsid w:val="3619B2BA"/>
    <w:rsid w:val="36226DF4"/>
    <w:rsid w:val="362AB52C"/>
    <w:rsid w:val="362D38E6"/>
    <w:rsid w:val="3635D034"/>
    <w:rsid w:val="36360387"/>
    <w:rsid w:val="3639129B"/>
    <w:rsid w:val="36420B08"/>
    <w:rsid w:val="36427F48"/>
    <w:rsid w:val="364D8461"/>
    <w:rsid w:val="365DBD0A"/>
    <w:rsid w:val="365E99FE"/>
    <w:rsid w:val="365EA66B"/>
    <w:rsid w:val="36614FE7"/>
    <w:rsid w:val="3663FEDD"/>
    <w:rsid w:val="366599F8"/>
    <w:rsid w:val="36672165"/>
    <w:rsid w:val="366BDF45"/>
    <w:rsid w:val="366D131E"/>
    <w:rsid w:val="366D7D63"/>
    <w:rsid w:val="3688D88B"/>
    <w:rsid w:val="368CD8EB"/>
    <w:rsid w:val="3691FF37"/>
    <w:rsid w:val="36AA49A7"/>
    <w:rsid w:val="36ACCBC8"/>
    <w:rsid w:val="36B49239"/>
    <w:rsid w:val="36BA8537"/>
    <w:rsid w:val="36CBDAD3"/>
    <w:rsid w:val="36D04DDF"/>
    <w:rsid w:val="36D183E1"/>
    <w:rsid w:val="36DEBA1D"/>
    <w:rsid w:val="36E0C5BB"/>
    <w:rsid w:val="36EC31CD"/>
    <w:rsid w:val="36ECCE74"/>
    <w:rsid w:val="36F1B73C"/>
    <w:rsid w:val="36F4E635"/>
    <w:rsid w:val="36F4F137"/>
    <w:rsid w:val="36F75B7C"/>
    <w:rsid w:val="3701D3AD"/>
    <w:rsid w:val="370BAC70"/>
    <w:rsid w:val="371B7E2A"/>
    <w:rsid w:val="372B410F"/>
    <w:rsid w:val="372C20FF"/>
    <w:rsid w:val="37307F63"/>
    <w:rsid w:val="3736246E"/>
    <w:rsid w:val="374629B6"/>
    <w:rsid w:val="37493862"/>
    <w:rsid w:val="375136CC"/>
    <w:rsid w:val="3751A66A"/>
    <w:rsid w:val="375479BC"/>
    <w:rsid w:val="37584E97"/>
    <w:rsid w:val="37591D3E"/>
    <w:rsid w:val="376E544F"/>
    <w:rsid w:val="378EFF61"/>
    <w:rsid w:val="379158B6"/>
    <w:rsid w:val="379A7E8C"/>
    <w:rsid w:val="37A04DFA"/>
    <w:rsid w:val="37A5D601"/>
    <w:rsid w:val="37A805A3"/>
    <w:rsid w:val="37AC61B2"/>
    <w:rsid w:val="37B0210D"/>
    <w:rsid w:val="37C0DB87"/>
    <w:rsid w:val="37C1B24F"/>
    <w:rsid w:val="37C9618F"/>
    <w:rsid w:val="37DCB2E3"/>
    <w:rsid w:val="37E3363E"/>
    <w:rsid w:val="37EC847F"/>
    <w:rsid w:val="37EE6C63"/>
    <w:rsid w:val="37EFBF5A"/>
    <w:rsid w:val="37F03F35"/>
    <w:rsid w:val="37F48055"/>
    <w:rsid w:val="3805AE08"/>
    <w:rsid w:val="38250BE9"/>
    <w:rsid w:val="382806D2"/>
    <w:rsid w:val="3829A591"/>
    <w:rsid w:val="3838D70F"/>
    <w:rsid w:val="3841C3C9"/>
    <w:rsid w:val="3849F41C"/>
    <w:rsid w:val="384C05E1"/>
    <w:rsid w:val="38548B3E"/>
    <w:rsid w:val="385F4990"/>
    <w:rsid w:val="38644889"/>
    <w:rsid w:val="386455F0"/>
    <w:rsid w:val="386CF6EA"/>
    <w:rsid w:val="38706AE8"/>
    <w:rsid w:val="3871F592"/>
    <w:rsid w:val="3879A28A"/>
    <w:rsid w:val="388653A1"/>
    <w:rsid w:val="388BA36A"/>
    <w:rsid w:val="388CE9D5"/>
    <w:rsid w:val="3892F49D"/>
    <w:rsid w:val="38937250"/>
    <w:rsid w:val="3897452F"/>
    <w:rsid w:val="389C20C9"/>
    <w:rsid w:val="389CFB44"/>
    <w:rsid w:val="389F85B6"/>
    <w:rsid w:val="38A34C57"/>
    <w:rsid w:val="38AABD7F"/>
    <w:rsid w:val="38B9BA26"/>
    <w:rsid w:val="38BE119F"/>
    <w:rsid w:val="38C0D0FA"/>
    <w:rsid w:val="38C2523C"/>
    <w:rsid w:val="38CFD567"/>
    <w:rsid w:val="38D9B1E1"/>
    <w:rsid w:val="38E0DE4E"/>
    <w:rsid w:val="38EB2574"/>
    <w:rsid w:val="38EF8A76"/>
    <w:rsid w:val="38F58373"/>
    <w:rsid w:val="38FB36B7"/>
    <w:rsid w:val="38FEB716"/>
    <w:rsid w:val="38FF5366"/>
    <w:rsid w:val="38FFA68D"/>
    <w:rsid w:val="39052C3C"/>
    <w:rsid w:val="390ABD01"/>
    <w:rsid w:val="391BB1C1"/>
    <w:rsid w:val="39218A4C"/>
    <w:rsid w:val="3923243B"/>
    <w:rsid w:val="3931F143"/>
    <w:rsid w:val="3931FEB7"/>
    <w:rsid w:val="393203CB"/>
    <w:rsid w:val="393387D3"/>
    <w:rsid w:val="393A6325"/>
    <w:rsid w:val="3959E570"/>
    <w:rsid w:val="396349AF"/>
    <w:rsid w:val="396DAB57"/>
    <w:rsid w:val="39717ADD"/>
    <w:rsid w:val="39764BDA"/>
    <w:rsid w:val="3981D97C"/>
    <w:rsid w:val="3982B92C"/>
    <w:rsid w:val="3983D915"/>
    <w:rsid w:val="3993B213"/>
    <w:rsid w:val="3997117F"/>
    <w:rsid w:val="39A1E877"/>
    <w:rsid w:val="39A29AEF"/>
    <w:rsid w:val="39A455F3"/>
    <w:rsid w:val="39A862F5"/>
    <w:rsid w:val="39A8C49A"/>
    <w:rsid w:val="39A9A322"/>
    <w:rsid w:val="39AB1365"/>
    <w:rsid w:val="39AFF494"/>
    <w:rsid w:val="39B54EE5"/>
    <w:rsid w:val="39BE4E25"/>
    <w:rsid w:val="39C198CA"/>
    <w:rsid w:val="39D8A1DD"/>
    <w:rsid w:val="39DB0913"/>
    <w:rsid w:val="39DC22DD"/>
    <w:rsid w:val="39DFACE3"/>
    <w:rsid w:val="39E087CE"/>
    <w:rsid w:val="39E980B7"/>
    <w:rsid w:val="39F2ECA2"/>
    <w:rsid w:val="39F57B00"/>
    <w:rsid w:val="3A00C2A2"/>
    <w:rsid w:val="3A0760FA"/>
    <w:rsid w:val="3A0DE50A"/>
    <w:rsid w:val="3A10580F"/>
    <w:rsid w:val="3A1BD054"/>
    <w:rsid w:val="3A217030"/>
    <w:rsid w:val="3A28E2FF"/>
    <w:rsid w:val="3A2BCB93"/>
    <w:rsid w:val="3A347AE0"/>
    <w:rsid w:val="3A3C3B9C"/>
    <w:rsid w:val="3A41189F"/>
    <w:rsid w:val="3A48172D"/>
    <w:rsid w:val="3A5229AD"/>
    <w:rsid w:val="3A66ECD2"/>
    <w:rsid w:val="3A6AAC3F"/>
    <w:rsid w:val="3A6C9BAB"/>
    <w:rsid w:val="3A76F688"/>
    <w:rsid w:val="3A7BC50F"/>
    <w:rsid w:val="3A7FD848"/>
    <w:rsid w:val="3A8069A1"/>
    <w:rsid w:val="3A8212FE"/>
    <w:rsid w:val="3A9016F5"/>
    <w:rsid w:val="3A9A9FEF"/>
    <w:rsid w:val="3A9C088C"/>
    <w:rsid w:val="3AA7ED6F"/>
    <w:rsid w:val="3AA93777"/>
    <w:rsid w:val="3AAEA460"/>
    <w:rsid w:val="3AB73DCE"/>
    <w:rsid w:val="3ABA1BF4"/>
    <w:rsid w:val="3ABC5D68"/>
    <w:rsid w:val="3ACED443"/>
    <w:rsid w:val="3AD0AFF1"/>
    <w:rsid w:val="3AD6E4FE"/>
    <w:rsid w:val="3AD91812"/>
    <w:rsid w:val="3ADBD404"/>
    <w:rsid w:val="3AE11C9D"/>
    <w:rsid w:val="3AE19B69"/>
    <w:rsid w:val="3AE2DABA"/>
    <w:rsid w:val="3AE95AC4"/>
    <w:rsid w:val="3AEBD656"/>
    <w:rsid w:val="3AFB2F3E"/>
    <w:rsid w:val="3B017030"/>
    <w:rsid w:val="3B0461CF"/>
    <w:rsid w:val="3B1B3051"/>
    <w:rsid w:val="3B1EF1FA"/>
    <w:rsid w:val="3B31CD5E"/>
    <w:rsid w:val="3B3F2A8D"/>
    <w:rsid w:val="3B3F92B9"/>
    <w:rsid w:val="3B4D8247"/>
    <w:rsid w:val="3B53172B"/>
    <w:rsid w:val="3B548005"/>
    <w:rsid w:val="3B55522D"/>
    <w:rsid w:val="3B5F5462"/>
    <w:rsid w:val="3B60B6BC"/>
    <w:rsid w:val="3B6A8766"/>
    <w:rsid w:val="3B6F8A0D"/>
    <w:rsid w:val="3B6FD3B1"/>
    <w:rsid w:val="3B7226D0"/>
    <w:rsid w:val="3B7C5E4E"/>
    <w:rsid w:val="3B83F9C8"/>
    <w:rsid w:val="3B86FD97"/>
    <w:rsid w:val="3B86FE03"/>
    <w:rsid w:val="3B882442"/>
    <w:rsid w:val="3B89FF08"/>
    <w:rsid w:val="3B8B396D"/>
    <w:rsid w:val="3B92B601"/>
    <w:rsid w:val="3B9C651F"/>
    <w:rsid w:val="3BA34274"/>
    <w:rsid w:val="3BA6C6B3"/>
    <w:rsid w:val="3BAA3232"/>
    <w:rsid w:val="3BB79C05"/>
    <w:rsid w:val="3BB9D5C3"/>
    <w:rsid w:val="3BC14C37"/>
    <w:rsid w:val="3BCBBE4A"/>
    <w:rsid w:val="3BCE1533"/>
    <w:rsid w:val="3BCF7AC1"/>
    <w:rsid w:val="3BD173B2"/>
    <w:rsid w:val="3BD3DB5F"/>
    <w:rsid w:val="3BDD95EC"/>
    <w:rsid w:val="3BDFD9A2"/>
    <w:rsid w:val="3C03284F"/>
    <w:rsid w:val="3C09F57E"/>
    <w:rsid w:val="3C14E7C9"/>
    <w:rsid w:val="3C255111"/>
    <w:rsid w:val="3C2B7680"/>
    <w:rsid w:val="3C2D238C"/>
    <w:rsid w:val="3C2E9027"/>
    <w:rsid w:val="3C3611F9"/>
    <w:rsid w:val="3C3A173E"/>
    <w:rsid w:val="3C3FB114"/>
    <w:rsid w:val="3C4B1D82"/>
    <w:rsid w:val="3C4D6C7A"/>
    <w:rsid w:val="3C4DEE59"/>
    <w:rsid w:val="3C5F8527"/>
    <w:rsid w:val="3C615410"/>
    <w:rsid w:val="3C627480"/>
    <w:rsid w:val="3C641B6B"/>
    <w:rsid w:val="3C65812C"/>
    <w:rsid w:val="3C67B1FB"/>
    <w:rsid w:val="3C6AE2B6"/>
    <w:rsid w:val="3C6EF399"/>
    <w:rsid w:val="3C6EFDC8"/>
    <w:rsid w:val="3C822E11"/>
    <w:rsid w:val="3C834D34"/>
    <w:rsid w:val="3C892546"/>
    <w:rsid w:val="3C981ED8"/>
    <w:rsid w:val="3C993B6E"/>
    <w:rsid w:val="3C9D37AF"/>
    <w:rsid w:val="3CA2D629"/>
    <w:rsid w:val="3CA74DFE"/>
    <w:rsid w:val="3CA8C624"/>
    <w:rsid w:val="3CA980C4"/>
    <w:rsid w:val="3CAD7C15"/>
    <w:rsid w:val="3CAFE490"/>
    <w:rsid w:val="3CB3AE47"/>
    <w:rsid w:val="3CB3B43F"/>
    <w:rsid w:val="3CB522A5"/>
    <w:rsid w:val="3CB667AB"/>
    <w:rsid w:val="3CB66931"/>
    <w:rsid w:val="3CB9A2E8"/>
    <w:rsid w:val="3CBA8D1C"/>
    <w:rsid w:val="3CC407BA"/>
    <w:rsid w:val="3CC9E692"/>
    <w:rsid w:val="3CCC7D1E"/>
    <w:rsid w:val="3CCEF627"/>
    <w:rsid w:val="3CD21FD6"/>
    <w:rsid w:val="3CDA8A01"/>
    <w:rsid w:val="3CDD229C"/>
    <w:rsid w:val="3CE2A1CD"/>
    <w:rsid w:val="3CE4F20E"/>
    <w:rsid w:val="3CE678F2"/>
    <w:rsid w:val="3D017A25"/>
    <w:rsid w:val="3D0D1672"/>
    <w:rsid w:val="3D16D101"/>
    <w:rsid w:val="3D1870E1"/>
    <w:rsid w:val="3D42912C"/>
    <w:rsid w:val="3D5123A9"/>
    <w:rsid w:val="3D549D2F"/>
    <w:rsid w:val="3D58C2A5"/>
    <w:rsid w:val="3D6EB3FF"/>
    <w:rsid w:val="3D76611E"/>
    <w:rsid w:val="3D87A1D5"/>
    <w:rsid w:val="3D8934A7"/>
    <w:rsid w:val="3D8B1CF1"/>
    <w:rsid w:val="3D8C9CCC"/>
    <w:rsid w:val="3D92C02A"/>
    <w:rsid w:val="3D94BE7A"/>
    <w:rsid w:val="3D992337"/>
    <w:rsid w:val="3D9BBF04"/>
    <w:rsid w:val="3D9D107E"/>
    <w:rsid w:val="3DA8DEA8"/>
    <w:rsid w:val="3DB91B32"/>
    <w:rsid w:val="3DBC8E49"/>
    <w:rsid w:val="3DC55804"/>
    <w:rsid w:val="3DD0544C"/>
    <w:rsid w:val="3DD1DA00"/>
    <w:rsid w:val="3DD8A748"/>
    <w:rsid w:val="3DEC588A"/>
    <w:rsid w:val="3DF17EC7"/>
    <w:rsid w:val="3DF478BC"/>
    <w:rsid w:val="3E0E3531"/>
    <w:rsid w:val="3E11A902"/>
    <w:rsid w:val="3E236EEC"/>
    <w:rsid w:val="3E25A4C2"/>
    <w:rsid w:val="3E2A5EB3"/>
    <w:rsid w:val="3E2BE170"/>
    <w:rsid w:val="3E2DCC1F"/>
    <w:rsid w:val="3E3B5D04"/>
    <w:rsid w:val="3E4483E8"/>
    <w:rsid w:val="3E44AE05"/>
    <w:rsid w:val="3E460334"/>
    <w:rsid w:val="3E489875"/>
    <w:rsid w:val="3E4937F2"/>
    <w:rsid w:val="3E49B6F3"/>
    <w:rsid w:val="3E4AD20A"/>
    <w:rsid w:val="3E4BF204"/>
    <w:rsid w:val="3E515AC8"/>
    <w:rsid w:val="3E523148"/>
    <w:rsid w:val="3E589F1A"/>
    <w:rsid w:val="3E5B9279"/>
    <w:rsid w:val="3E75093D"/>
    <w:rsid w:val="3E789B5A"/>
    <w:rsid w:val="3E79DE37"/>
    <w:rsid w:val="3E7F0C04"/>
    <w:rsid w:val="3E87C7E3"/>
    <w:rsid w:val="3E9109B9"/>
    <w:rsid w:val="3E945DB8"/>
    <w:rsid w:val="3E95070F"/>
    <w:rsid w:val="3EA2F01D"/>
    <w:rsid w:val="3EAE2054"/>
    <w:rsid w:val="3EBDB458"/>
    <w:rsid w:val="3ECD8C7B"/>
    <w:rsid w:val="3ED33648"/>
    <w:rsid w:val="3EDF27C5"/>
    <w:rsid w:val="3EE2369E"/>
    <w:rsid w:val="3EE7CB9E"/>
    <w:rsid w:val="3EEBCC9C"/>
    <w:rsid w:val="3EEC9887"/>
    <w:rsid w:val="3EEE9266"/>
    <w:rsid w:val="3F02C459"/>
    <w:rsid w:val="3F06AAEE"/>
    <w:rsid w:val="3F075C77"/>
    <w:rsid w:val="3F0EA8A4"/>
    <w:rsid w:val="3F10B99F"/>
    <w:rsid w:val="3F145C55"/>
    <w:rsid w:val="3F1820D1"/>
    <w:rsid w:val="3F20C6F1"/>
    <w:rsid w:val="3F24E3EC"/>
    <w:rsid w:val="3F25DB50"/>
    <w:rsid w:val="3F270DDF"/>
    <w:rsid w:val="3F31FB03"/>
    <w:rsid w:val="3F345105"/>
    <w:rsid w:val="3F36D8D9"/>
    <w:rsid w:val="3F3D012D"/>
    <w:rsid w:val="3F42EB47"/>
    <w:rsid w:val="3F451675"/>
    <w:rsid w:val="3F4C9DEE"/>
    <w:rsid w:val="3F4E8CAB"/>
    <w:rsid w:val="3F54BE89"/>
    <w:rsid w:val="3F5CEE66"/>
    <w:rsid w:val="3F63540A"/>
    <w:rsid w:val="3F698414"/>
    <w:rsid w:val="3F6BEF1E"/>
    <w:rsid w:val="3F7FC5E2"/>
    <w:rsid w:val="3F8023B5"/>
    <w:rsid w:val="3F83FB36"/>
    <w:rsid w:val="3F8CF3B5"/>
    <w:rsid w:val="3F8EC877"/>
    <w:rsid w:val="3F92F50A"/>
    <w:rsid w:val="3F962F43"/>
    <w:rsid w:val="3F98DAFE"/>
    <w:rsid w:val="3FA0FB76"/>
    <w:rsid w:val="3FA2C1F2"/>
    <w:rsid w:val="3FA5C435"/>
    <w:rsid w:val="3FA684C5"/>
    <w:rsid w:val="3FB8D274"/>
    <w:rsid w:val="3FC29940"/>
    <w:rsid w:val="3FC445EC"/>
    <w:rsid w:val="3FC7FBBA"/>
    <w:rsid w:val="3FD3DDE7"/>
    <w:rsid w:val="3FD3E1C1"/>
    <w:rsid w:val="3FDA5D3E"/>
    <w:rsid w:val="3FE1D438"/>
    <w:rsid w:val="3FE29FAA"/>
    <w:rsid w:val="3FE2D87D"/>
    <w:rsid w:val="3FF31DCB"/>
    <w:rsid w:val="3FF8C662"/>
    <w:rsid w:val="40056980"/>
    <w:rsid w:val="400DF0C9"/>
    <w:rsid w:val="400EA404"/>
    <w:rsid w:val="401128B0"/>
    <w:rsid w:val="40144ACE"/>
    <w:rsid w:val="401547EB"/>
    <w:rsid w:val="401DE773"/>
    <w:rsid w:val="4020DF42"/>
    <w:rsid w:val="402584D3"/>
    <w:rsid w:val="402E5491"/>
    <w:rsid w:val="402F6F75"/>
    <w:rsid w:val="4033E5DF"/>
    <w:rsid w:val="4041BB60"/>
    <w:rsid w:val="4046A5F7"/>
    <w:rsid w:val="40492E2E"/>
    <w:rsid w:val="404CA15A"/>
    <w:rsid w:val="404DAF63"/>
    <w:rsid w:val="404DED85"/>
    <w:rsid w:val="404DF3EC"/>
    <w:rsid w:val="4052A4E0"/>
    <w:rsid w:val="4055503D"/>
    <w:rsid w:val="405B40EE"/>
    <w:rsid w:val="405C5D6A"/>
    <w:rsid w:val="405C603B"/>
    <w:rsid w:val="4064D791"/>
    <w:rsid w:val="406510AF"/>
    <w:rsid w:val="40752187"/>
    <w:rsid w:val="4080A7F9"/>
    <w:rsid w:val="4081B3F9"/>
    <w:rsid w:val="40843F00"/>
    <w:rsid w:val="40903355"/>
    <w:rsid w:val="409692C6"/>
    <w:rsid w:val="40979E58"/>
    <w:rsid w:val="409ACCE3"/>
    <w:rsid w:val="40AF48F3"/>
    <w:rsid w:val="40B4988D"/>
    <w:rsid w:val="40B6F470"/>
    <w:rsid w:val="40C286CD"/>
    <w:rsid w:val="40C540E5"/>
    <w:rsid w:val="40D1C1F5"/>
    <w:rsid w:val="40D41AEE"/>
    <w:rsid w:val="40D6C738"/>
    <w:rsid w:val="40DE36FF"/>
    <w:rsid w:val="40EF9067"/>
    <w:rsid w:val="40FA3C6A"/>
    <w:rsid w:val="4106E4AA"/>
    <w:rsid w:val="41073433"/>
    <w:rsid w:val="411368D6"/>
    <w:rsid w:val="411A58F5"/>
    <w:rsid w:val="411A8135"/>
    <w:rsid w:val="411DC801"/>
    <w:rsid w:val="4123E410"/>
    <w:rsid w:val="4131F703"/>
    <w:rsid w:val="4132937C"/>
    <w:rsid w:val="413A2FF8"/>
    <w:rsid w:val="4144C6A3"/>
    <w:rsid w:val="4148BF42"/>
    <w:rsid w:val="41561428"/>
    <w:rsid w:val="415840D2"/>
    <w:rsid w:val="417ABF86"/>
    <w:rsid w:val="4186B595"/>
    <w:rsid w:val="418FAA09"/>
    <w:rsid w:val="419369E2"/>
    <w:rsid w:val="419D60A6"/>
    <w:rsid w:val="419D6A25"/>
    <w:rsid w:val="41A80AC5"/>
    <w:rsid w:val="41A813EF"/>
    <w:rsid w:val="41AD6D02"/>
    <w:rsid w:val="41B0B93B"/>
    <w:rsid w:val="41B1E8FB"/>
    <w:rsid w:val="41B7FFF1"/>
    <w:rsid w:val="41BD4407"/>
    <w:rsid w:val="41C06522"/>
    <w:rsid w:val="41C14AC9"/>
    <w:rsid w:val="41C6B232"/>
    <w:rsid w:val="41D76151"/>
    <w:rsid w:val="41DCD7D3"/>
    <w:rsid w:val="41EC67B2"/>
    <w:rsid w:val="41F5F02A"/>
    <w:rsid w:val="41F73527"/>
    <w:rsid w:val="41FFEEB3"/>
    <w:rsid w:val="4204A0DB"/>
    <w:rsid w:val="4214215B"/>
    <w:rsid w:val="42333D82"/>
    <w:rsid w:val="423F4B31"/>
    <w:rsid w:val="4242A822"/>
    <w:rsid w:val="42432098"/>
    <w:rsid w:val="424915E8"/>
    <w:rsid w:val="424A1014"/>
    <w:rsid w:val="424CDF33"/>
    <w:rsid w:val="424F2E0A"/>
    <w:rsid w:val="425705E4"/>
    <w:rsid w:val="426357DD"/>
    <w:rsid w:val="4264D570"/>
    <w:rsid w:val="4265C243"/>
    <w:rsid w:val="4266F520"/>
    <w:rsid w:val="4268ED6B"/>
    <w:rsid w:val="426984BD"/>
    <w:rsid w:val="426ADF51"/>
    <w:rsid w:val="42780A5E"/>
    <w:rsid w:val="427D4CC4"/>
    <w:rsid w:val="428E977D"/>
    <w:rsid w:val="4291EBE8"/>
    <w:rsid w:val="42985CAA"/>
    <w:rsid w:val="42990344"/>
    <w:rsid w:val="4299D19E"/>
    <w:rsid w:val="42A0C56D"/>
    <w:rsid w:val="42A73CC3"/>
    <w:rsid w:val="42B06016"/>
    <w:rsid w:val="42B1DB5F"/>
    <w:rsid w:val="42B95A2A"/>
    <w:rsid w:val="42BB9717"/>
    <w:rsid w:val="42C10BDD"/>
    <w:rsid w:val="42C5FA72"/>
    <w:rsid w:val="42C8C048"/>
    <w:rsid w:val="42D1EDBB"/>
    <w:rsid w:val="42D4ECD0"/>
    <w:rsid w:val="42D5DCAC"/>
    <w:rsid w:val="42DBA66D"/>
    <w:rsid w:val="42EB720E"/>
    <w:rsid w:val="42F02EF6"/>
    <w:rsid w:val="42F1B109"/>
    <w:rsid w:val="42F755CC"/>
    <w:rsid w:val="42FAE1F3"/>
    <w:rsid w:val="42FF90F7"/>
    <w:rsid w:val="4302DEE9"/>
    <w:rsid w:val="4309E987"/>
    <w:rsid w:val="430D6016"/>
    <w:rsid w:val="4311D0C7"/>
    <w:rsid w:val="43170290"/>
    <w:rsid w:val="431CB225"/>
    <w:rsid w:val="431E7897"/>
    <w:rsid w:val="43204342"/>
    <w:rsid w:val="4320E954"/>
    <w:rsid w:val="4324B9F3"/>
    <w:rsid w:val="432842BA"/>
    <w:rsid w:val="432A15DB"/>
    <w:rsid w:val="432FFE96"/>
    <w:rsid w:val="43328544"/>
    <w:rsid w:val="4335E824"/>
    <w:rsid w:val="433D188B"/>
    <w:rsid w:val="433D7EB1"/>
    <w:rsid w:val="4341048E"/>
    <w:rsid w:val="434DD2E3"/>
    <w:rsid w:val="4351989A"/>
    <w:rsid w:val="4361B70B"/>
    <w:rsid w:val="436A2302"/>
    <w:rsid w:val="436D7D0F"/>
    <w:rsid w:val="43728DBC"/>
    <w:rsid w:val="4372B222"/>
    <w:rsid w:val="43769EE6"/>
    <w:rsid w:val="4378E900"/>
    <w:rsid w:val="437CD612"/>
    <w:rsid w:val="437E9E75"/>
    <w:rsid w:val="4382D361"/>
    <w:rsid w:val="43849335"/>
    <w:rsid w:val="438A5BFE"/>
    <w:rsid w:val="438BF45E"/>
    <w:rsid w:val="43900B02"/>
    <w:rsid w:val="43A6494A"/>
    <w:rsid w:val="43ADFDBF"/>
    <w:rsid w:val="43B3471C"/>
    <w:rsid w:val="43BC99C2"/>
    <w:rsid w:val="43BE3D2A"/>
    <w:rsid w:val="43C53988"/>
    <w:rsid w:val="43D571F7"/>
    <w:rsid w:val="43E67044"/>
    <w:rsid w:val="43EAE6D2"/>
    <w:rsid w:val="43F0AEE3"/>
    <w:rsid w:val="43F4CAAE"/>
    <w:rsid w:val="43F7DE33"/>
    <w:rsid w:val="44007473"/>
    <w:rsid w:val="44074CD1"/>
    <w:rsid w:val="44078C82"/>
    <w:rsid w:val="44082C77"/>
    <w:rsid w:val="440A07DA"/>
    <w:rsid w:val="440A9559"/>
    <w:rsid w:val="440CFB35"/>
    <w:rsid w:val="440DDB78"/>
    <w:rsid w:val="440FA923"/>
    <w:rsid w:val="442025B6"/>
    <w:rsid w:val="4422DB87"/>
    <w:rsid w:val="442BCE87"/>
    <w:rsid w:val="44325039"/>
    <w:rsid w:val="443B0BF1"/>
    <w:rsid w:val="443CA38F"/>
    <w:rsid w:val="4445330E"/>
    <w:rsid w:val="4445B772"/>
    <w:rsid w:val="44492380"/>
    <w:rsid w:val="445360FE"/>
    <w:rsid w:val="44538AA3"/>
    <w:rsid w:val="4458BEE1"/>
    <w:rsid w:val="4461A488"/>
    <w:rsid w:val="446245EE"/>
    <w:rsid w:val="44666598"/>
    <w:rsid w:val="447E5F32"/>
    <w:rsid w:val="4481CEB8"/>
    <w:rsid w:val="448D6382"/>
    <w:rsid w:val="448E2BD0"/>
    <w:rsid w:val="449536AC"/>
    <w:rsid w:val="449A2C34"/>
    <w:rsid w:val="449AF573"/>
    <w:rsid w:val="449C489C"/>
    <w:rsid w:val="44A21932"/>
    <w:rsid w:val="44A2A2B2"/>
    <w:rsid w:val="44AA6558"/>
    <w:rsid w:val="44AD7E55"/>
    <w:rsid w:val="44AF2CD6"/>
    <w:rsid w:val="44C03789"/>
    <w:rsid w:val="44C3152F"/>
    <w:rsid w:val="44D7AC1E"/>
    <w:rsid w:val="44E8F2C9"/>
    <w:rsid w:val="44EBCEA1"/>
    <w:rsid w:val="44EFE7FA"/>
    <w:rsid w:val="44F25A67"/>
    <w:rsid w:val="44F42BF8"/>
    <w:rsid w:val="44F8F48A"/>
    <w:rsid w:val="44FD880F"/>
    <w:rsid w:val="450859F4"/>
    <w:rsid w:val="450BA3C2"/>
    <w:rsid w:val="450F1B8B"/>
    <w:rsid w:val="450FCD76"/>
    <w:rsid w:val="45184DE0"/>
    <w:rsid w:val="45207EC9"/>
    <w:rsid w:val="452114E4"/>
    <w:rsid w:val="45235562"/>
    <w:rsid w:val="452C0932"/>
    <w:rsid w:val="45339C9F"/>
    <w:rsid w:val="4539A25F"/>
    <w:rsid w:val="453F0187"/>
    <w:rsid w:val="4541E512"/>
    <w:rsid w:val="45420D0A"/>
    <w:rsid w:val="45479536"/>
    <w:rsid w:val="454D5FAC"/>
    <w:rsid w:val="454E254C"/>
    <w:rsid w:val="45590D2D"/>
    <w:rsid w:val="455DFDDB"/>
    <w:rsid w:val="455E4887"/>
    <w:rsid w:val="45604269"/>
    <w:rsid w:val="45633EA4"/>
    <w:rsid w:val="456899BD"/>
    <w:rsid w:val="456ABB16"/>
    <w:rsid w:val="45741834"/>
    <w:rsid w:val="45753515"/>
    <w:rsid w:val="4591DB13"/>
    <w:rsid w:val="45947A97"/>
    <w:rsid w:val="4596E6EA"/>
    <w:rsid w:val="459808D1"/>
    <w:rsid w:val="459AB943"/>
    <w:rsid w:val="459E6399"/>
    <w:rsid w:val="45A4FD57"/>
    <w:rsid w:val="45A7E4CF"/>
    <w:rsid w:val="45B2CC6F"/>
    <w:rsid w:val="45B363E5"/>
    <w:rsid w:val="45B61EC1"/>
    <w:rsid w:val="45C256BA"/>
    <w:rsid w:val="45C4BDE8"/>
    <w:rsid w:val="45C6284B"/>
    <w:rsid w:val="45D3FBA1"/>
    <w:rsid w:val="45D91A40"/>
    <w:rsid w:val="45E946F5"/>
    <w:rsid w:val="45E948A5"/>
    <w:rsid w:val="45EB0DB9"/>
    <w:rsid w:val="460181E3"/>
    <w:rsid w:val="460200CA"/>
    <w:rsid w:val="4602A9AD"/>
    <w:rsid w:val="4605B686"/>
    <w:rsid w:val="460641D7"/>
    <w:rsid w:val="4610B88E"/>
    <w:rsid w:val="4618890A"/>
    <w:rsid w:val="46193015"/>
    <w:rsid w:val="461B21C5"/>
    <w:rsid w:val="461E47B4"/>
    <w:rsid w:val="46254AE9"/>
    <w:rsid w:val="46272E91"/>
    <w:rsid w:val="463117BC"/>
    <w:rsid w:val="46440391"/>
    <w:rsid w:val="4647AF5B"/>
    <w:rsid w:val="46518E2F"/>
    <w:rsid w:val="46568907"/>
    <w:rsid w:val="46570927"/>
    <w:rsid w:val="46572AA2"/>
    <w:rsid w:val="465B84AC"/>
    <w:rsid w:val="465C580F"/>
    <w:rsid w:val="46672775"/>
    <w:rsid w:val="46681560"/>
    <w:rsid w:val="466EDF71"/>
    <w:rsid w:val="467133D3"/>
    <w:rsid w:val="467A3BE2"/>
    <w:rsid w:val="467A5209"/>
    <w:rsid w:val="467B1829"/>
    <w:rsid w:val="467B315F"/>
    <w:rsid w:val="46848F29"/>
    <w:rsid w:val="46890751"/>
    <w:rsid w:val="469F2DBB"/>
    <w:rsid w:val="46AF3498"/>
    <w:rsid w:val="46B90FFA"/>
    <w:rsid w:val="46BA90F6"/>
    <w:rsid w:val="46BAA2C6"/>
    <w:rsid w:val="46BD0270"/>
    <w:rsid w:val="46BFD5A0"/>
    <w:rsid w:val="46C0EE62"/>
    <w:rsid w:val="46C148CA"/>
    <w:rsid w:val="46CAFB1B"/>
    <w:rsid w:val="46CB8638"/>
    <w:rsid w:val="46E8C4B2"/>
    <w:rsid w:val="46EE11F5"/>
    <w:rsid w:val="46F778E1"/>
    <w:rsid w:val="46F89542"/>
    <w:rsid w:val="46FDB67B"/>
    <w:rsid w:val="47057844"/>
    <w:rsid w:val="47069115"/>
    <w:rsid w:val="4706E98C"/>
    <w:rsid w:val="47083C15"/>
    <w:rsid w:val="470CBAA5"/>
    <w:rsid w:val="470D5C99"/>
    <w:rsid w:val="471F87D2"/>
    <w:rsid w:val="47322963"/>
    <w:rsid w:val="473A9FFB"/>
    <w:rsid w:val="4756DBF2"/>
    <w:rsid w:val="475D6982"/>
    <w:rsid w:val="4768C3DF"/>
    <w:rsid w:val="476DEAE4"/>
    <w:rsid w:val="477A32A2"/>
    <w:rsid w:val="47848E1A"/>
    <w:rsid w:val="47872052"/>
    <w:rsid w:val="47876EE0"/>
    <w:rsid w:val="4789055D"/>
    <w:rsid w:val="478D8E84"/>
    <w:rsid w:val="478F76AC"/>
    <w:rsid w:val="479676A8"/>
    <w:rsid w:val="4796A50A"/>
    <w:rsid w:val="4797A013"/>
    <w:rsid w:val="47990628"/>
    <w:rsid w:val="47991C5B"/>
    <w:rsid w:val="479CED61"/>
    <w:rsid w:val="479D61F5"/>
    <w:rsid w:val="47A7E761"/>
    <w:rsid w:val="47AB5FD9"/>
    <w:rsid w:val="47BB64DD"/>
    <w:rsid w:val="47BC747C"/>
    <w:rsid w:val="47C0F4DA"/>
    <w:rsid w:val="47C0F6BD"/>
    <w:rsid w:val="47CD8571"/>
    <w:rsid w:val="47D84AD7"/>
    <w:rsid w:val="47D92B2A"/>
    <w:rsid w:val="47DE27E0"/>
    <w:rsid w:val="47DF140D"/>
    <w:rsid w:val="47E03702"/>
    <w:rsid w:val="47E77017"/>
    <w:rsid w:val="47E9318E"/>
    <w:rsid w:val="47EB0E3E"/>
    <w:rsid w:val="47ECD7A0"/>
    <w:rsid w:val="47ECECBB"/>
    <w:rsid w:val="47EEB2F3"/>
    <w:rsid w:val="47F4D879"/>
    <w:rsid w:val="47F5B065"/>
    <w:rsid w:val="47FCE31B"/>
    <w:rsid w:val="47FF1169"/>
    <w:rsid w:val="4802260C"/>
    <w:rsid w:val="480408FB"/>
    <w:rsid w:val="480D4DAD"/>
    <w:rsid w:val="48150890"/>
    <w:rsid w:val="481B53D2"/>
    <w:rsid w:val="48280BAF"/>
    <w:rsid w:val="482CAA3E"/>
    <w:rsid w:val="48315641"/>
    <w:rsid w:val="483FE1FC"/>
    <w:rsid w:val="48412D30"/>
    <w:rsid w:val="4841C9CE"/>
    <w:rsid w:val="4856D0AA"/>
    <w:rsid w:val="48571C92"/>
    <w:rsid w:val="485BF6DC"/>
    <w:rsid w:val="4862D812"/>
    <w:rsid w:val="486967E6"/>
    <w:rsid w:val="487077A5"/>
    <w:rsid w:val="487829B5"/>
    <w:rsid w:val="487FBD61"/>
    <w:rsid w:val="4885293B"/>
    <w:rsid w:val="489989E5"/>
    <w:rsid w:val="489C727D"/>
    <w:rsid w:val="48A07020"/>
    <w:rsid w:val="48A71663"/>
    <w:rsid w:val="48AD5BAC"/>
    <w:rsid w:val="48BB89BA"/>
    <w:rsid w:val="48BD6473"/>
    <w:rsid w:val="48BF7624"/>
    <w:rsid w:val="48C2766F"/>
    <w:rsid w:val="48C9AAE4"/>
    <w:rsid w:val="48D5C7A8"/>
    <w:rsid w:val="48DA3D3B"/>
    <w:rsid w:val="48F138EA"/>
    <w:rsid w:val="4905ECD3"/>
    <w:rsid w:val="491AEB9C"/>
    <w:rsid w:val="49212A69"/>
    <w:rsid w:val="4921C236"/>
    <w:rsid w:val="4939BC93"/>
    <w:rsid w:val="493BFFE3"/>
    <w:rsid w:val="493D5758"/>
    <w:rsid w:val="49501A95"/>
    <w:rsid w:val="4952EFA8"/>
    <w:rsid w:val="4955EF2F"/>
    <w:rsid w:val="49588013"/>
    <w:rsid w:val="495B1212"/>
    <w:rsid w:val="49602392"/>
    <w:rsid w:val="49626EE4"/>
    <w:rsid w:val="496E4F90"/>
    <w:rsid w:val="497796E1"/>
    <w:rsid w:val="4977E773"/>
    <w:rsid w:val="49812619"/>
    <w:rsid w:val="49826826"/>
    <w:rsid w:val="498D7B9C"/>
    <w:rsid w:val="4997A127"/>
    <w:rsid w:val="499ACCD0"/>
    <w:rsid w:val="49A8ACC6"/>
    <w:rsid w:val="49ADBF21"/>
    <w:rsid w:val="49AF9717"/>
    <w:rsid w:val="49B5D663"/>
    <w:rsid w:val="49B9B1F3"/>
    <w:rsid w:val="49CFD690"/>
    <w:rsid w:val="49D0BA23"/>
    <w:rsid w:val="49D292DC"/>
    <w:rsid w:val="49D56C18"/>
    <w:rsid w:val="49D81DA0"/>
    <w:rsid w:val="49E43201"/>
    <w:rsid w:val="49E6419B"/>
    <w:rsid w:val="49E68E7D"/>
    <w:rsid w:val="49EC83FF"/>
    <w:rsid w:val="49EFA4E7"/>
    <w:rsid w:val="49F43178"/>
    <w:rsid w:val="49FF818B"/>
    <w:rsid w:val="4A01C709"/>
    <w:rsid w:val="4A047AA8"/>
    <w:rsid w:val="4A056897"/>
    <w:rsid w:val="4A17A2AB"/>
    <w:rsid w:val="4A23C3A6"/>
    <w:rsid w:val="4A24E2C2"/>
    <w:rsid w:val="4A26850A"/>
    <w:rsid w:val="4A30663E"/>
    <w:rsid w:val="4A382F7F"/>
    <w:rsid w:val="4A3CEB5F"/>
    <w:rsid w:val="4A3DBE43"/>
    <w:rsid w:val="4A464FB0"/>
    <w:rsid w:val="4A497BBB"/>
    <w:rsid w:val="4A4C9A55"/>
    <w:rsid w:val="4A5133BB"/>
    <w:rsid w:val="4A5822B6"/>
    <w:rsid w:val="4A6F661A"/>
    <w:rsid w:val="4A8F891C"/>
    <w:rsid w:val="4A8FECFB"/>
    <w:rsid w:val="4A927C62"/>
    <w:rsid w:val="4A9327F4"/>
    <w:rsid w:val="4A96EC26"/>
    <w:rsid w:val="4A9C6C46"/>
    <w:rsid w:val="4A9CBAFB"/>
    <w:rsid w:val="4A9E1337"/>
    <w:rsid w:val="4AA681F4"/>
    <w:rsid w:val="4AAD2F83"/>
    <w:rsid w:val="4AAD4849"/>
    <w:rsid w:val="4AAED7C9"/>
    <w:rsid w:val="4AB2105B"/>
    <w:rsid w:val="4AB4A1B6"/>
    <w:rsid w:val="4ABB60AB"/>
    <w:rsid w:val="4ABBD192"/>
    <w:rsid w:val="4ABDB010"/>
    <w:rsid w:val="4AC8D9CA"/>
    <w:rsid w:val="4AD1CB6E"/>
    <w:rsid w:val="4AD32B6D"/>
    <w:rsid w:val="4ADD9A3B"/>
    <w:rsid w:val="4AE17EC2"/>
    <w:rsid w:val="4AE6E211"/>
    <w:rsid w:val="4AF3E3B3"/>
    <w:rsid w:val="4AFFB0BA"/>
    <w:rsid w:val="4B13C9A6"/>
    <w:rsid w:val="4B184FAE"/>
    <w:rsid w:val="4B1AEDB1"/>
    <w:rsid w:val="4B1E178E"/>
    <w:rsid w:val="4B1FE8A7"/>
    <w:rsid w:val="4B23D4C7"/>
    <w:rsid w:val="4B2A727F"/>
    <w:rsid w:val="4B33E054"/>
    <w:rsid w:val="4B36BD6F"/>
    <w:rsid w:val="4B381AF1"/>
    <w:rsid w:val="4B434B15"/>
    <w:rsid w:val="4B493AC1"/>
    <w:rsid w:val="4B4A373E"/>
    <w:rsid w:val="4B4E437E"/>
    <w:rsid w:val="4B4EACAB"/>
    <w:rsid w:val="4B4EEFD5"/>
    <w:rsid w:val="4B52502C"/>
    <w:rsid w:val="4B55B717"/>
    <w:rsid w:val="4B599ABC"/>
    <w:rsid w:val="4B61024F"/>
    <w:rsid w:val="4B63FDD2"/>
    <w:rsid w:val="4B69335C"/>
    <w:rsid w:val="4B6E7394"/>
    <w:rsid w:val="4B77B777"/>
    <w:rsid w:val="4B7B9C9F"/>
    <w:rsid w:val="4B810DB5"/>
    <w:rsid w:val="4B84D0BB"/>
    <w:rsid w:val="4B86658F"/>
    <w:rsid w:val="4B887A08"/>
    <w:rsid w:val="4B919933"/>
    <w:rsid w:val="4B9800DD"/>
    <w:rsid w:val="4BA0357C"/>
    <w:rsid w:val="4BA9DEF7"/>
    <w:rsid w:val="4BB81F0C"/>
    <w:rsid w:val="4BBD6ADF"/>
    <w:rsid w:val="4BBE72BE"/>
    <w:rsid w:val="4BC62164"/>
    <w:rsid w:val="4BCA2220"/>
    <w:rsid w:val="4BD51CAF"/>
    <w:rsid w:val="4BD8514F"/>
    <w:rsid w:val="4BDA3BB4"/>
    <w:rsid w:val="4BF40A17"/>
    <w:rsid w:val="4BF99E34"/>
    <w:rsid w:val="4BFCBA7B"/>
    <w:rsid w:val="4C06B16B"/>
    <w:rsid w:val="4C0765A7"/>
    <w:rsid w:val="4C193D6B"/>
    <w:rsid w:val="4C27669E"/>
    <w:rsid w:val="4C2FB2E0"/>
    <w:rsid w:val="4C344FED"/>
    <w:rsid w:val="4C348180"/>
    <w:rsid w:val="4C370BDE"/>
    <w:rsid w:val="4C3F0CA8"/>
    <w:rsid w:val="4C49197F"/>
    <w:rsid w:val="4C4AA247"/>
    <w:rsid w:val="4C541D84"/>
    <w:rsid w:val="4C59C11F"/>
    <w:rsid w:val="4C5A59C0"/>
    <w:rsid w:val="4C6C3630"/>
    <w:rsid w:val="4C73AE36"/>
    <w:rsid w:val="4C74FA40"/>
    <w:rsid w:val="4C773482"/>
    <w:rsid w:val="4C7ADA8D"/>
    <w:rsid w:val="4C7C75F7"/>
    <w:rsid w:val="4C8043E4"/>
    <w:rsid w:val="4C86C270"/>
    <w:rsid w:val="4C8B5A1F"/>
    <w:rsid w:val="4C8E338F"/>
    <w:rsid w:val="4C8EE5D3"/>
    <w:rsid w:val="4C8F8E23"/>
    <w:rsid w:val="4C95A86D"/>
    <w:rsid w:val="4C9FEA97"/>
    <w:rsid w:val="4CA17D1A"/>
    <w:rsid w:val="4CA72B96"/>
    <w:rsid w:val="4CAD88D1"/>
    <w:rsid w:val="4CB11F95"/>
    <w:rsid w:val="4CB16FE3"/>
    <w:rsid w:val="4CBA71CD"/>
    <w:rsid w:val="4CC5F97C"/>
    <w:rsid w:val="4CCD6064"/>
    <w:rsid w:val="4CDB41F5"/>
    <w:rsid w:val="4CDD438A"/>
    <w:rsid w:val="4CDEF03D"/>
    <w:rsid w:val="4CE773F2"/>
    <w:rsid w:val="4CEA36B0"/>
    <w:rsid w:val="4CF154B8"/>
    <w:rsid w:val="4CFD80CE"/>
    <w:rsid w:val="4D056FA4"/>
    <w:rsid w:val="4D09238F"/>
    <w:rsid w:val="4D11CEE9"/>
    <w:rsid w:val="4D1BA0E3"/>
    <w:rsid w:val="4D29F425"/>
    <w:rsid w:val="4D2C689F"/>
    <w:rsid w:val="4D2D057E"/>
    <w:rsid w:val="4D3953B1"/>
    <w:rsid w:val="4D3B4B3F"/>
    <w:rsid w:val="4D405DAE"/>
    <w:rsid w:val="4D406F76"/>
    <w:rsid w:val="4D40E5C6"/>
    <w:rsid w:val="4D41B148"/>
    <w:rsid w:val="4D424747"/>
    <w:rsid w:val="4D453199"/>
    <w:rsid w:val="4D52EDBA"/>
    <w:rsid w:val="4D56B7FA"/>
    <w:rsid w:val="4D80FC4D"/>
    <w:rsid w:val="4D86CAF3"/>
    <w:rsid w:val="4D88A1B6"/>
    <w:rsid w:val="4D8A663D"/>
    <w:rsid w:val="4D8D3715"/>
    <w:rsid w:val="4D913ECE"/>
    <w:rsid w:val="4D9900AB"/>
    <w:rsid w:val="4DA86799"/>
    <w:rsid w:val="4DB2CACD"/>
    <w:rsid w:val="4DB39A45"/>
    <w:rsid w:val="4DB4D76F"/>
    <w:rsid w:val="4DB78800"/>
    <w:rsid w:val="4DBC13D6"/>
    <w:rsid w:val="4DC4E197"/>
    <w:rsid w:val="4DCD002A"/>
    <w:rsid w:val="4DD2830B"/>
    <w:rsid w:val="4DE6096C"/>
    <w:rsid w:val="4DF053B4"/>
    <w:rsid w:val="4DF112D0"/>
    <w:rsid w:val="4DF26790"/>
    <w:rsid w:val="4E0D82E9"/>
    <w:rsid w:val="4E0E5189"/>
    <w:rsid w:val="4E12AE62"/>
    <w:rsid w:val="4E186EAF"/>
    <w:rsid w:val="4E2BED17"/>
    <w:rsid w:val="4E34742E"/>
    <w:rsid w:val="4E39E060"/>
    <w:rsid w:val="4E39FB8C"/>
    <w:rsid w:val="4E3AF72A"/>
    <w:rsid w:val="4E3EDD0D"/>
    <w:rsid w:val="4E40BA49"/>
    <w:rsid w:val="4E494B98"/>
    <w:rsid w:val="4E4D56CB"/>
    <w:rsid w:val="4E581397"/>
    <w:rsid w:val="4E599FD6"/>
    <w:rsid w:val="4E5A9D88"/>
    <w:rsid w:val="4E5E13E0"/>
    <w:rsid w:val="4E65BA1E"/>
    <w:rsid w:val="4E6CC0FF"/>
    <w:rsid w:val="4E73B089"/>
    <w:rsid w:val="4E774CEB"/>
    <w:rsid w:val="4E84645C"/>
    <w:rsid w:val="4E879B0D"/>
    <w:rsid w:val="4E88E426"/>
    <w:rsid w:val="4E8988B2"/>
    <w:rsid w:val="4E8CE5CB"/>
    <w:rsid w:val="4E979C3B"/>
    <w:rsid w:val="4EA54B74"/>
    <w:rsid w:val="4EA64DD9"/>
    <w:rsid w:val="4EAB1F68"/>
    <w:rsid w:val="4EAFEA79"/>
    <w:rsid w:val="4EB0E3B3"/>
    <w:rsid w:val="4EB230CB"/>
    <w:rsid w:val="4EB95AC2"/>
    <w:rsid w:val="4EC19C25"/>
    <w:rsid w:val="4EC99BA1"/>
    <w:rsid w:val="4ECB413B"/>
    <w:rsid w:val="4ED7EA3D"/>
    <w:rsid w:val="4EE03F93"/>
    <w:rsid w:val="4EE7ABA7"/>
    <w:rsid w:val="4EEC4F14"/>
    <w:rsid w:val="4EF262FD"/>
    <w:rsid w:val="4EF80589"/>
    <w:rsid w:val="4EF8D8B0"/>
    <w:rsid w:val="4F072622"/>
    <w:rsid w:val="4F09F15F"/>
    <w:rsid w:val="4F15F358"/>
    <w:rsid w:val="4F177398"/>
    <w:rsid w:val="4F1908C7"/>
    <w:rsid w:val="4F1A1ADF"/>
    <w:rsid w:val="4F2223BC"/>
    <w:rsid w:val="4F311BBD"/>
    <w:rsid w:val="4F3B461F"/>
    <w:rsid w:val="4F3B629E"/>
    <w:rsid w:val="4F4031C1"/>
    <w:rsid w:val="4F44B081"/>
    <w:rsid w:val="4F4A8DB3"/>
    <w:rsid w:val="4F4B38B3"/>
    <w:rsid w:val="4F740E0E"/>
    <w:rsid w:val="4F75DE6F"/>
    <w:rsid w:val="4F7FADBE"/>
    <w:rsid w:val="4F825524"/>
    <w:rsid w:val="4F83FA58"/>
    <w:rsid w:val="4F858A22"/>
    <w:rsid w:val="4F869753"/>
    <w:rsid w:val="4F87F829"/>
    <w:rsid w:val="4F8D1571"/>
    <w:rsid w:val="4F9064E2"/>
    <w:rsid w:val="4F948D8E"/>
    <w:rsid w:val="4F9CBCAE"/>
    <w:rsid w:val="4FA53799"/>
    <w:rsid w:val="4FAA221E"/>
    <w:rsid w:val="4FAB28DF"/>
    <w:rsid w:val="4FB00C83"/>
    <w:rsid w:val="4FB4A4A9"/>
    <w:rsid w:val="4FB54DD2"/>
    <w:rsid w:val="4FBC5220"/>
    <w:rsid w:val="4FC2EF6C"/>
    <w:rsid w:val="4FCB6703"/>
    <w:rsid w:val="4FD5754F"/>
    <w:rsid w:val="4FDBDCEA"/>
    <w:rsid w:val="4FDC6310"/>
    <w:rsid w:val="4FDF50D1"/>
    <w:rsid w:val="4FE6F4BB"/>
    <w:rsid w:val="4FEB2C36"/>
    <w:rsid w:val="4FEF4B80"/>
    <w:rsid w:val="5001F8CD"/>
    <w:rsid w:val="5002C98C"/>
    <w:rsid w:val="5002F3F9"/>
    <w:rsid w:val="50038561"/>
    <w:rsid w:val="5014A453"/>
    <w:rsid w:val="5016B7C7"/>
    <w:rsid w:val="5016EBF2"/>
    <w:rsid w:val="501EE8F3"/>
    <w:rsid w:val="5029B67B"/>
    <w:rsid w:val="502E45E6"/>
    <w:rsid w:val="502F83C5"/>
    <w:rsid w:val="5031D163"/>
    <w:rsid w:val="5036822A"/>
    <w:rsid w:val="5038697B"/>
    <w:rsid w:val="503B8116"/>
    <w:rsid w:val="503D8CF3"/>
    <w:rsid w:val="504A050F"/>
    <w:rsid w:val="5054712D"/>
    <w:rsid w:val="5057DA81"/>
    <w:rsid w:val="505A8D40"/>
    <w:rsid w:val="505BB960"/>
    <w:rsid w:val="505BD96E"/>
    <w:rsid w:val="50678187"/>
    <w:rsid w:val="50754363"/>
    <w:rsid w:val="50777EE0"/>
    <w:rsid w:val="507D1D96"/>
    <w:rsid w:val="507E9068"/>
    <w:rsid w:val="508219B3"/>
    <w:rsid w:val="50821A52"/>
    <w:rsid w:val="5084E78E"/>
    <w:rsid w:val="50871842"/>
    <w:rsid w:val="508748CF"/>
    <w:rsid w:val="5094A8EE"/>
    <w:rsid w:val="5095F5F7"/>
    <w:rsid w:val="50960650"/>
    <w:rsid w:val="509A9100"/>
    <w:rsid w:val="50A481FA"/>
    <w:rsid w:val="50A4F0B5"/>
    <w:rsid w:val="50AB0202"/>
    <w:rsid w:val="50B69D1A"/>
    <w:rsid w:val="50BACFD6"/>
    <w:rsid w:val="50BD1110"/>
    <w:rsid w:val="50C3647C"/>
    <w:rsid w:val="50C4B3E0"/>
    <w:rsid w:val="50D35DEB"/>
    <w:rsid w:val="50DC0174"/>
    <w:rsid w:val="50E16C65"/>
    <w:rsid w:val="50E69DE6"/>
    <w:rsid w:val="50F36695"/>
    <w:rsid w:val="50F40A26"/>
    <w:rsid w:val="50F457D3"/>
    <w:rsid w:val="51011039"/>
    <w:rsid w:val="510D504B"/>
    <w:rsid w:val="510F30D8"/>
    <w:rsid w:val="511759DC"/>
    <w:rsid w:val="511EE809"/>
    <w:rsid w:val="512930F6"/>
    <w:rsid w:val="512A9DC2"/>
    <w:rsid w:val="5130941D"/>
    <w:rsid w:val="5139F174"/>
    <w:rsid w:val="513BFBBF"/>
    <w:rsid w:val="514D9555"/>
    <w:rsid w:val="514E0C35"/>
    <w:rsid w:val="51513C94"/>
    <w:rsid w:val="516510DA"/>
    <w:rsid w:val="516AEA52"/>
    <w:rsid w:val="516C60C3"/>
    <w:rsid w:val="517151C0"/>
    <w:rsid w:val="5179A444"/>
    <w:rsid w:val="517C5287"/>
    <w:rsid w:val="517C99C9"/>
    <w:rsid w:val="5181530A"/>
    <w:rsid w:val="5191EDD2"/>
    <w:rsid w:val="5196794B"/>
    <w:rsid w:val="51A11359"/>
    <w:rsid w:val="51A3623D"/>
    <w:rsid w:val="51A808CA"/>
    <w:rsid w:val="51A98FC1"/>
    <w:rsid w:val="51A9EA18"/>
    <w:rsid w:val="51BC5819"/>
    <w:rsid w:val="51CADEE5"/>
    <w:rsid w:val="51D0BB43"/>
    <w:rsid w:val="51D1BCC7"/>
    <w:rsid w:val="51D44966"/>
    <w:rsid w:val="51D7DF63"/>
    <w:rsid w:val="51DC7DA1"/>
    <w:rsid w:val="51DC88E9"/>
    <w:rsid w:val="51DFABD5"/>
    <w:rsid w:val="51E287C4"/>
    <w:rsid w:val="51F46377"/>
    <w:rsid w:val="51F8CF05"/>
    <w:rsid w:val="51F9421F"/>
    <w:rsid w:val="51FCD44A"/>
    <w:rsid w:val="51FE6055"/>
    <w:rsid w:val="51FF5A76"/>
    <w:rsid w:val="5204D61C"/>
    <w:rsid w:val="52083838"/>
    <w:rsid w:val="52086962"/>
    <w:rsid w:val="520950CF"/>
    <w:rsid w:val="52221144"/>
    <w:rsid w:val="5228078D"/>
    <w:rsid w:val="5238C6C7"/>
    <w:rsid w:val="524AC4B6"/>
    <w:rsid w:val="524E2C09"/>
    <w:rsid w:val="524F2926"/>
    <w:rsid w:val="525199B7"/>
    <w:rsid w:val="5259E291"/>
    <w:rsid w:val="525E50DE"/>
    <w:rsid w:val="5264F108"/>
    <w:rsid w:val="526B3493"/>
    <w:rsid w:val="527455A9"/>
    <w:rsid w:val="52761573"/>
    <w:rsid w:val="527CA140"/>
    <w:rsid w:val="5281D42C"/>
    <w:rsid w:val="5288F007"/>
    <w:rsid w:val="5289D26A"/>
    <w:rsid w:val="529490B5"/>
    <w:rsid w:val="5297C7DF"/>
    <w:rsid w:val="52A4E67F"/>
    <w:rsid w:val="52A61B14"/>
    <w:rsid w:val="52A71339"/>
    <w:rsid w:val="52A7BFD2"/>
    <w:rsid w:val="52ADB044"/>
    <w:rsid w:val="52BBC902"/>
    <w:rsid w:val="52C35577"/>
    <w:rsid w:val="52CBE619"/>
    <w:rsid w:val="52D85E55"/>
    <w:rsid w:val="52DE1D41"/>
    <w:rsid w:val="52E33CA8"/>
    <w:rsid w:val="52F3A22E"/>
    <w:rsid w:val="52FEEC5F"/>
    <w:rsid w:val="52FFAEED"/>
    <w:rsid w:val="53007335"/>
    <w:rsid w:val="5305B627"/>
    <w:rsid w:val="5308B9CD"/>
    <w:rsid w:val="53188F77"/>
    <w:rsid w:val="531B1606"/>
    <w:rsid w:val="531D85EB"/>
    <w:rsid w:val="532177C8"/>
    <w:rsid w:val="53223A94"/>
    <w:rsid w:val="5334078A"/>
    <w:rsid w:val="533CCC9B"/>
    <w:rsid w:val="533CEE15"/>
    <w:rsid w:val="5340EEFE"/>
    <w:rsid w:val="5349DD27"/>
    <w:rsid w:val="534B870E"/>
    <w:rsid w:val="534BDD4D"/>
    <w:rsid w:val="5354070B"/>
    <w:rsid w:val="53552351"/>
    <w:rsid w:val="53611ACD"/>
    <w:rsid w:val="53668D78"/>
    <w:rsid w:val="5366F77A"/>
    <w:rsid w:val="536A27DF"/>
    <w:rsid w:val="5388B039"/>
    <w:rsid w:val="53893399"/>
    <w:rsid w:val="539A0653"/>
    <w:rsid w:val="53A0FBD9"/>
    <w:rsid w:val="53A184B9"/>
    <w:rsid w:val="53A46EF6"/>
    <w:rsid w:val="53AE2CB5"/>
    <w:rsid w:val="53AEFDF6"/>
    <w:rsid w:val="53B62CED"/>
    <w:rsid w:val="53BD130E"/>
    <w:rsid w:val="53C53180"/>
    <w:rsid w:val="53D6F85D"/>
    <w:rsid w:val="53D6FC96"/>
    <w:rsid w:val="53DAE80A"/>
    <w:rsid w:val="53DAFD58"/>
    <w:rsid w:val="53DBE804"/>
    <w:rsid w:val="53E26F9B"/>
    <w:rsid w:val="53E622CF"/>
    <w:rsid w:val="53F88B3C"/>
    <w:rsid w:val="53F9307F"/>
    <w:rsid w:val="53FD0B87"/>
    <w:rsid w:val="5405A346"/>
    <w:rsid w:val="5407678C"/>
    <w:rsid w:val="54096AA0"/>
    <w:rsid w:val="540B58F9"/>
    <w:rsid w:val="540B675B"/>
    <w:rsid w:val="540C3F34"/>
    <w:rsid w:val="540D39E1"/>
    <w:rsid w:val="54180D79"/>
    <w:rsid w:val="541C2AB3"/>
    <w:rsid w:val="541DC26D"/>
    <w:rsid w:val="542182B9"/>
    <w:rsid w:val="542FAD6A"/>
    <w:rsid w:val="543559F4"/>
    <w:rsid w:val="5436EA8C"/>
    <w:rsid w:val="5460B269"/>
    <w:rsid w:val="546656A0"/>
    <w:rsid w:val="546E6BD9"/>
    <w:rsid w:val="54768CCC"/>
    <w:rsid w:val="547CD4BF"/>
    <w:rsid w:val="54800E91"/>
    <w:rsid w:val="54914F7D"/>
    <w:rsid w:val="5495799A"/>
    <w:rsid w:val="5497C7CC"/>
    <w:rsid w:val="54B2AB6A"/>
    <w:rsid w:val="54B5C4E8"/>
    <w:rsid w:val="54BD2F81"/>
    <w:rsid w:val="54C524A4"/>
    <w:rsid w:val="54CE5AD4"/>
    <w:rsid w:val="54CF17D9"/>
    <w:rsid w:val="54D29D4E"/>
    <w:rsid w:val="54D37638"/>
    <w:rsid w:val="54D37A29"/>
    <w:rsid w:val="54D5D3AA"/>
    <w:rsid w:val="54DACCBC"/>
    <w:rsid w:val="54DDA0A6"/>
    <w:rsid w:val="54E5CCE6"/>
    <w:rsid w:val="54E8B89E"/>
    <w:rsid w:val="54F0C437"/>
    <w:rsid w:val="54F34E7C"/>
    <w:rsid w:val="54F9049A"/>
    <w:rsid w:val="54FA6BCE"/>
    <w:rsid w:val="5514549D"/>
    <w:rsid w:val="551D8FA5"/>
    <w:rsid w:val="551E9F8E"/>
    <w:rsid w:val="551F46A5"/>
    <w:rsid w:val="5521C7D5"/>
    <w:rsid w:val="55259180"/>
    <w:rsid w:val="5528E738"/>
    <w:rsid w:val="55297000"/>
    <w:rsid w:val="553C75F8"/>
    <w:rsid w:val="553FBDB0"/>
    <w:rsid w:val="55440E89"/>
    <w:rsid w:val="554D5504"/>
    <w:rsid w:val="5552F96E"/>
    <w:rsid w:val="5555EDB7"/>
    <w:rsid w:val="5555F1D2"/>
    <w:rsid w:val="5560F26F"/>
    <w:rsid w:val="55614AC9"/>
    <w:rsid w:val="5561AC8F"/>
    <w:rsid w:val="55753850"/>
    <w:rsid w:val="5575C54A"/>
    <w:rsid w:val="5588FB24"/>
    <w:rsid w:val="558B4071"/>
    <w:rsid w:val="558BA29E"/>
    <w:rsid w:val="558CD080"/>
    <w:rsid w:val="5590E622"/>
    <w:rsid w:val="55968B94"/>
    <w:rsid w:val="559EFA6C"/>
    <w:rsid w:val="55A3D1C8"/>
    <w:rsid w:val="55A4B727"/>
    <w:rsid w:val="55ABF37A"/>
    <w:rsid w:val="55B414C7"/>
    <w:rsid w:val="55B76885"/>
    <w:rsid w:val="55B9D0A2"/>
    <w:rsid w:val="55C38720"/>
    <w:rsid w:val="55CAA7F5"/>
    <w:rsid w:val="55CBAE9B"/>
    <w:rsid w:val="55CE992A"/>
    <w:rsid w:val="55D3C1CF"/>
    <w:rsid w:val="55D4324A"/>
    <w:rsid w:val="55D8450F"/>
    <w:rsid w:val="55D88CBA"/>
    <w:rsid w:val="55DE59F3"/>
    <w:rsid w:val="55DEFB18"/>
    <w:rsid w:val="55EB26A7"/>
    <w:rsid w:val="56244015"/>
    <w:rsid w:val="56259B70"/>
    <w:rsid w:val="56261D0B"/>
    <w:rsid w:val="5631A830"/>
    <w:rsid w:val="5633F6E6"/>
    <w:rsid w:val="563B4172"/>
    <w:rsid w:val="563FFEBB"/>
    <w:rsid w:val="564001D8"/>
    <w:rsid w:val="564238D2"/>
    <w:rsid w:val="5648FF77"/>
    <w:rsid w:val="5649ACDF"/>
    <w:rsid w:val="5654D31A"/>
    <w:rsid w:val="56569FAB"/>
    <w:rsid w:val="565F5805"/>
    <w:rsid w:val="5660B6D7"/>
    <w:rsid w:val="5665EFA3"/>
    <w:rsid w:val="566B56DD"/>
    <w:rsid w:val="56749E61"/>
    <w:rsid w:val="56775593"/>
    <w:rsid w:val="567CDB32"/>
    <w:rsid w:val="567E2647"/>
    <w:rsid w:val="567EC86B"/>
    <w:rsid w:val="56811679"/>
    <w:rsid w:val="568472E6"/>
    <w:rsid w:val="568A95F8"/>
    <w:rsid w:val="568CA8FE"/>
    <w:rsid w:val="568EBD53"/>
    <w:rsid w:val="56912F30"/>
    <w:rsid w:val="5694B11D"/>
    <w:rsid w:val="5694EF6A"/>
    <w:rsid w:val="5694F028"/>
    <w:rsid w:val="56969043"/>
    <w:rsid w:val="56A34AE4"/>
    <w:rsid w:val="56A6375D"/>
    <w:rsid w:val="56A80A2B"/>
    <w:rsid w:val="56AEA347"/>
    <w:rsid w:val="56B45278"/>
    <w:rsid w:val="56BFB64F"/>
    <w:rsid w:val="56C15886"/>
    <w:rsid w:val="56C9A685"/>
    <w:rsid w:val="56D156AB"/>
    <w:rsid w:val="56D9F12A"/>
    <w:rsid w:val="56DA5062"/>
    <w:rsid w:val="56F7D788"/>
    <w:rsid w:val="56F8338B"/>
    <w:rsid w:val="5701265B"/>
    <w:rsid w:val="570243A3"/>
    <w:rsid w:val="5703D393"/>
    <w:rsid w:val="5703FD06"/>
    <w:rsid w:val="5707A88B"/>
    <w:rsid w:val="57109FB2"/>
    <w:rsid w:val="571149DD"/>
    <w:rsid w:val="571288DD"/>
    <w:rsid w:val="571A715B"/>
    <w:rsid w:val="571EE83A"/>
    <w:rsid w:val="57294A04"/>
    <w:rsid w:val="572BA05F"/>
    <w:rsid w:val="572C193C"/>
    <w:rsid w:val="57394BE2"/>
    <w:rsid w:val="573F0A67"/>
    <w:rsid w:val="5740D990"/>
    <w:rsid w:val="5747D112"/>
    <w:rsid w:val="574B2F32"/>
    <w:rsid w:val="575C0D3D"/>
    <w:rsid w:val="575DD5F8"/>
    <w:rsid w:val="575F4DF2"/>
    <w:rsid w:val="576EC45C"/>
    <w:rsid w:val="576FCBE2"/>
    <w:rsid w:val="5773913A"/>
    <w:rsid w:val="577B80A2"/>
    <w:rsid w:val="578489CA"/>
    <w:rsid w:val="5795F7ED"/>
    <w:rsid w:val="5797EB30"/>
    <w:rsid w:val="579A1EF4"/>
    <w:rsid w:val="579C2F72"/>
    <w:rsid w:val="57A5BBDC"/>
    <w:rsid w:val="57BEA073"/>
    <w:rsid w:val="57BF94B3"/>
    <w:rsid w:val="57C0946F"/>
    <w:rsid w:val="57C6AE85"/>
    <w:rsid w:val="57CDADD2"/>
    <w:rsid w:val="57DDC328"/>
    <w:rsid w:val="57DE7464"/>
    <w:rsid w:val="57DED521"/>
    <w:rsid w:val="57DFEA16"/>
    <w:rsid w:val="57E32A78"/>
    <w:rsid w:val="57E5F3E1"/>
    <w:rsid w:val="57EC8518"/>
    <w:rsid w:val="57EE83D9"/>
    <w:rsid w:val="57F0882A"/>
    <w:rsid w:val="57F209B2"/>
    <w:rsid w:val="57F6EF02"/>
    <w:rsid w:val="57FAF3CD"/>
    <w:rsid w:val="58043C24"/>
    <w:rsid w:val="58079F24"/>
    <w:rsid w:val="58105BCA"/>
    <w:rsid w:val="581C913C"/>
    <w:rsid w:val="58251617"/>
    <w:rsid w:val="5828B43C"/>
    <w:rsid w:val="58312E31"/>
    <w:rsid w:val="583A8AC0"/>
    <w:rsid w:val="583BBDFA"/>
    <w:rsid w:val="583F09A2"/>
    <w:rsid w:val="583F6F54"/>
    <w:rsid w:val="584773DE"/>
    <w:rsid w:val="584EEF18"/>
    <w:rsid w:val="58503B46"/>
    <w:rsid w:val="5851E769"/>
    <w:rsid w:val="585D48E5"/>
    <w:rsid w:val="58620CCB"/>
    <w:rsid w:val="5867E1C4"/>
    <w:rsid w:val="586C3077"/>
    <w:rsid w:val="589C017D"/>
    <w:rsid w:val="58ACB39C"/>
    <w:rsid w:val="58AFE55D"/>
    <w:rsid w:val="58B29DB1"/>
    <w:rsid w:val="58B861CE"/>
    <w:rsid w:val="58BA4C96"/>
    <w:rsid w:val="58C57326"/>
    <w:rsid w:val="58DC4A0E"/>
    <w:rsid w:val="58E5F49B"/>
    <w:rsid w:val="58E624F8"/>
    <w:rsid w:val="58EBA627"/>
    <w:rsid w:val="58EFAE95"/>
    <w:rsid w:val="5900E192"/>
    <w:rsid w:val="5903D52F"/>
    <w:rsid w:val="590CA0D3"/>
    <w:rsid w:val="590CF7F9"/>
    <w:rsid w:val="59120C20"/>
    <w:rsid w:val="59188B1E"/>
    <w:rsid w:val="591CD418"/>
    <w:rsid w:val="5921FF6D"/>
    <w:rsid w:val="592221EF"/>
    <w:rsid w:val="59282D26"/>
    <w:rsid w:val="592BB049"/>
    <w:rsid w:val="592EBB21"/>
    <w:rsid w:val="5930FD9E"/>
    <w:rsid w:val="5932993C"/>
    <w:rsid w:val="59386044"/>
    <w:rsid w:val="593F9B40"/>
    <w:rsid w:val="594E9012"/>
    <w:rsid w:val="5953544B"/>
    <w:rsid w:val="5956DB61"/>
    <w:rsid w:val="5958D32F"/>
    <w:rsid w:val="597927C8"/>
    <w:rsid w:val="5981279F"/>
    <w:rsid w:val="59854F71"/>
    <w:rsid w:val="59907B60"/>
    <w:rsid w:val="5992233F"/>
    <w:rsid w:val="599926FA"/>
    <w:rsid w:val="599A3957"/>
    <w:rsid w:val="599DFDE5"/>
    <w:rsid w:val="59BED2F1"/>
    <w:rsid w:val="59BF890A"/>
    <w:rsid w:val="59C113AC"/>
    <w:rsid w:val="59CD5DC8"/>
    <w:rsid w:val="59CD6053"/>
    <w:rsid w:val="59D9D4CC"/>
    <w:rsid w:val="59E0F4A7"/>
    <w:rsid w:val="59E8DF80"/>
    <w:rsid w:val="59FCEB02"/>
    <w:rsid w:val="5A0BBC05"/>
    <w:rsid w:val="5A0F2A52"/>
    <w:rsid w:val="5A142B30"/>
    <w:rsid w:val="5A196FAA"/>
    <w:rsid w:val="5A1A9E49"/>
    <w:rsid w:val="5A1DEFB2"/>
    <w:rsid w:val="5A21641C"/>
    <w:rsid w:val="5A230B3C"/>
    <w:rsid w:val="5A272DB6"/>
    <w:rsid w:val="5A284093"/>
    <w:rsid w:val="5A2AC4D8"/>
    <w:rsid w:val="5A328B2E"/>
    <w:rsid w:val="5A3C6B50"/>
    <w:rsid w:val="5A420550"/>
    <w:rsid w:val="5A438BEB"/>
    <w:rsid w:val="5A4460E1"/>
    <w:rsid w:val="5A44A8A0"/>
    <w:rsid w:val="5A4C2923"/>
    <w:rsid w:val="5A55A95C"/>
    <w:rsid w:val="5A568EA2"/>
    <w:rsid w:val="5A58B321"/>
    <w:rsid w:val="5A5C5329"/>
    <w:rsid w:val="5A60405A"/>
    <w:rsid w:val="5A613B8A"/>
    <w:rsid w:val="5A6ACC74"/>
    <w:rsid w:val="5A6C4900"/>
    <w:rsid w:val="5A754627"/>
    <w:rsid w:val="5A793CBD"/>
    <w:rsid w:val="5A840DB0"/>
    <w:rsid w:val="5A8C79A9"/>
    <w:rsid w:val="5A94682C"/>
    <w:rsid w:val="5A94A232"/>
    <w:rsid w:val="5A9B9A34"/>
    <w:rsid w:val="5A9CDC73"/>
    <w:rsid w:val="5A9D007C"/>
    <w:rsid w:val="5A9F29A1"/>
    <w:rsid w:val="5AA15E35"/>
    <w:rsid w:val="5AA79075"/>
    <w:rsid w:val="5AAB461B"/>
    <w:rsid w:val="5AB50ACA"/>
    <w:rsid w:val="5AB5384D"/>
    <w:rsid w:val="5AB79749"/>
    <w:rsid w:val="5AD0442F"/>
    <w:rsid w:val="5AD51BD7"/>
    <w:rsid w:val="5AD7C549"/>
    <w:rsid w:val="5ADB4BB1"/>
    <w:rsid w:val="5AE89794"/>
    <w:rsid w:val="5AEED405"/>
    <w:rsid w:val="5AFCEAC0"/>
    <w:rsid w:val="5AFCFE34"/>
    <w:rsid w:val="5B0961DE"/>
    <w:rsid w:val="5B0C71D6"/>
    <w:rsid w:val="5B183BEF"/>
    <w:rsid w:val="5B1D6063"/>
    <w:rsid w:val="5B2275E2"/>
    <w:rsid w:val="5B28BA82"/>
    <w:rsid w:val="5B354282"/>
    <w:rsid w:val="5B3972A0"/>
    <w:rsid w:val="5B466C1D"/>
    <w:rsid w:val="5B4AC13D"/>
    <w:rsid w:val="5B4EB286"/>
    <w:rsid w:val="5B55B87E"/>
    <w:rsid w:val="5B5E15EF"/>
    <w:rsid w:val="5B5E7302"/>
    <w:rsid w:val="5B5FC8C9"/>
    <w:rsid w:val="5B60FD85"/>
    <w:rsid w:val="5B694D19"/>
    <w:rsid w:val="5B69EE84"/>
    <w:rsid w:val="5B6EF8E7"/>
    <w:rsid w:val="5B82EE55"/>
    <w:rsid w:val="5B853F40"/>
    <w:rsid w:val="5B978EAD"/>
    <w:rsid w:val="5B9E137F"/>
    <w:rsid w:val="5B9E7FD3"/>
    <w:rsid w:val="5BA1323B"/>
    <w:rsid w:val="5BAD4904"/>
    <w:rsid w:val="5BAFBBD2"/>
    <w:rsid w:val="5BB105EE"/>
    <w:rsid w:val="5BB717AE"/>
    <w:rsid w:val="5BB79997"/>
    <w:rsid w:val="5BC22611"/>
    <w:rsid w:val="5BCD8C46"/>
    <w:rsid w:val="5BD5853A"/>
    <w:rsid w:val="5BD7C078"/>
    <w:rsid w:val="5BDE2723"/>
    <w:rsid w:val="5BE03220"/>
    <w:rsid w:val="5BE07CA4"/>
    <w:rsid w:val="5BE4E326"/>
    <w:rsid w:val="5BFAB462"/>
    <w:rsid w:val="5BFC97FC"/>
    <w:rsid w:val="5BFFE868"/>
    <w:rsid w:val="5C0664A9"/>
    <w:rsid w:val="5C19E242"/>
    <w:rsid w:val="5C290219"/>
    <w:rsid w:val="5C2F09CB"/>
    <w:rsid w:val="5C2F3B7C"/>
    <w:rsid w:val="5C2F6B76"/>
    <w:rsid w:val="5C343107"/>
    <w:rsid w:val="5C3CF3C1"/>
    <w:rsid w:val="5C3F075E"/>
    <w:rsid w:val="5C447292"/>
    <w:rsid w:val="5C4AF7BF"/>
    <w:rsid w:val="5C4D23C0"/>
    <w:rsid w:val="5C4E8175"/>
    <w:rsid w:val="5C6B1421"/>
    <w:rsid w:val="5C70C5F1"/>
    <w:rsid w:val="5C77F0D5"/>
    <w:rsid w:val="5C85A84F"/>
    <w:rsid w:val="5C9B195B"/>
    <w:rsid w:val="5CAE0508"/>
    <w:rsid w:val="5CB0FE52"/>
    <w:rsid w:val="5CB69D7F"/>
    <w:rsid w:val="5CB6E1C7"/>
    <w:rsid w:val="5CB8BE85"/>
    <w:rsid w:val="5CB8E8D3"/>
    <w:rsid w:val="5CB9E6A8"/>
    <w:rsid w:val="5CC45899"/>
    <w:rsid w:val="5CCC3231"/>
    <w:rsid w:val="5CE47DB8"/>
    <w:rsid w:val="5CF3DFD1"/>
    <w:rsid w:val="5CF9A852"/>
    <w:rsid w:val="5CFE40A3"/>
    <w:rsid w:val="5D03023C"/>
    <w:rsid w:val="5D05915E"/>
    <w:rsid w:val="5D0AADF4"/>
    <w:rsid w:val="5D1358B8"/>
    <w:rsid w:val="5D1445F3"/>
    <w:rsid w:val="5D15737C"/>
    <w:rsid w:val="5D161BC5"/>
    <w:rsid w:val="5D24CEF3"/>
    <w:rsid w:val="5D29C4E9"/>
    <w:rsid w:val="5D2E200C"/>
    <w:rsid w:val="5D36F941"/>
    <w:rsid w:val="5D384387"/>
    <w:rsid w:val="5D3DC0FA"/>
    <w:rsid w:val="5D434905"/>
    <w:rsid w:val="5D48E63B"/>
    <w:rsid w:val="5D525104"/>
    <w:rsid w:val="5D528D2D"/>
    <w:rsid w:val="5D5D0290"/>
    <w:rsid w:val="5D697B5B"/>
    <w:rsid w:val="5D6E4124"/>
    <w:rsid w:val="5D704852"/>
    <w:rsid w:val="5D70CE1C"/>
    <w:rsid w:val="5D737AAC"/>
    <w:rsid w:val="5D7A2506"/>
    <w:rsid w:val="5D7FC64A"/>
    <w:rsid w:val="5D82BDCB"/>
    <w:rsid w:val="5D92F41E"/>
    <w:rsid w:val="5D931630"/>
    <w:rsid w:val="5D95A1CD"/>
    <w:rsid w:val="5D9D6E2D"/>
    <w:rsid w:val="5DA0585B"/>
    <w:rsid w:val="5DA1DEA6"/>
    <w:rsid w:val="5DADB4E2"/>
    <w:rsid w:val="5DB580E8"/>
    <w:rsid w:val="5DCBDDB6"/>
    <w:rsid w:val="5DCCA94F"/>
    <w:rsid w:val="5DD23C30"/>
    <w:rsid w:val="5DD5CCB7"/>
    <w:rsid w:val="5DD8AD43"/>
    <w:rsid w:val="5DDA7B38"/>
    <w:rsid w:val="5DDEA3F7"/>
    <w:rsid w:val="5DE2CF48"/>
    <w:rsid w:val="5DE3D7E0"/>
    <w:rsid w:val="5DE5DF00"/>
    <w:rsid w:val="5DE75AD6"/>
    <w:rsid w:val="5DECA263"/>
    <w:rsid w:val="5DED95D4"/>
    <w:rsid w:val="5DFBF5E1"/>
    <w:rsid w:val="5E053582"/>
    <w:rsid w:val="5E080E34"/>
    <w:rsid w:val="5E0CA14B"/>
    <w:rsid w:val="5E1AADC4"/>
    <w:rsid w:val="5E2CFB9C"/>
    <w:rsid w:val="5E2EE6E5"/>
    <w:rsid w:val="5E3F1888"/>
    <w:rsid w:val="5E477E4A"/>
    <w:rsid w:val="5E4D8CC5"/>
    <w:rsid w:val="5E5435BA"/>
    <w:rsid w:val="5E868F86"/>
    <w:rsid w:val="5E8B4BFE"/>
    <w:rsid w:val="5E8D1485"/>
    <w:rsid w:val="5E8DFC51"/>
    <w:rsid w:val="5E967CC1"/>
    <w:rsid w:val="5E994992"/>
    <w:rsid w:val="5E9A1CBF"/>
    <w:rsid w:val="5E9E504F"/>
    <w:rsid w:val="5EA7CE78"/>
    <w:rsid w:val="5EB22BDC"/>
    <w:rsid w:val="5EC769E5"/>
    <w:rsid w:val="5ECCBFAD"/>
    <w:rsid w:val="5ED12C3C"/>
    <w:rsid w:val="5EDCF557"/>
    <w:rsid w:val="5EE09150"/>
    <w:rsid w:val="5EED5462"/>
    <w:rsid w:val="5EED75AD"/>
    <w:rsid w:val="5EF1565F"/>
    <w:rsid w:val="5EF26A87"/>
    <w:rsid w:val="5EF8D644"/>
    <w:rsid w:val="5EFC4E73"/>
    <w:rsid w:val="5EFF5D0B"/>
    <w:rsid w:val="5F00FF46"/>
    <w:rsid w:val="5F037544"/>
    <w:rsid w:val="5F0871D0"/>
    <w:rsid w:val="5F10516F"/>
    <w:rsid w:val="5F15F811"/>
    <w:rsid w:val="5F17094E"/>
    <w:rsid w:val="5F2D67D3"/>
    <w:rsid w:val="5F2E2EDC"/>
    <w:rsid w:val="5F3F5AF5"/>
    <w:rsid w:val="5F413D95"/>
    <w:rsid w:val="5F42B9B3"/>
    <w:rsid w:val="5F4BC1BC"/>
    <w:rsid w:val="5F4CCD59"/>
    <w:rsid w:val="5F4DA1E7"/>
    <w:rsid w:val="5F510BC9"/>
    <w:rsid w:val="5F537B1B"/>
    <w:rsid w:val="5F5609BB"/>
    <w:rsid w:val="5F5656B9"/>
    <w:rsid w:val="5F60622F"/>
    <w:rsid w:val="5F646A79"/>
    <w:rsid w:val="5F67D8E5"/>
    <w:rsid w:val="5F6AAC34"/>
    <w:rsid w:val="5F6E0EED"/>
    <w:rsid w:val="5F7104FB"/>
    <w:rsid w:val="5F73578A"/>
    <w:rsid w:val="5F829F77"/>
    <w:rsid w:val="5F850C2A"/>
    <w:rsid w:val="5F89CA9F"/>
    <w:rsid w:val="5F8DB9AB"/>
    <w:rsid w:val="5F90300D"/>
    <w:rsid w:val="5F954487"/>
    <w:rsid w:val="5F9E71B4"/>
    <w:rsid w:val="5FA369CF"/>
    <w:rsid w:val="5FA5CFF7"/>
    <w:rsid w:val="5FA82076"/>
    <w:rsid w:val="5FAC8AE2"/>
    <w:rsid w:val="5FB4FE53"/>
    <w:rsid w:val="5FB9705C"/>
    <w:rsid w:val="5FBBB918"/>
    <w:rsid w:val="5FBD36A4"/>
    <w:rsid w:val="5FC43C1F"/>
    <w:rsid w:val="5FDBB223"/>
    <w:rsid w:val="5FE2DB81"/>
    <w:rsid w:val="5FE4973B"/>
    <w:rsid w:val="5FE6BA2C"/>
    <w:rsid w:val="5FE9CF51"/>
    <w:rsid w:val="5FF1DD83"/>
    <w:rsid w:val="5FF46CDE"/>
    <w:rsid w:val="6005981A"/>
    <w:rsid w:val="6007FB90"/>
    <w:rsid w:val="6008E20C"/>
    <w:rsid w:val="60105C35"/>
    <w:rsid w:val="6016DCC2"/>
    <w:rsid w:val="601BAA4C"/>
    <w:rsid w:val="601BF723"/>
    <w:rsid w:val="6020A002"/>
    <w:rsid w:val="60231763"/>
    <w:rsid w:val="6029B9CD"/>
    <w:rsid w:val="602F656C"/>
    <w:rsid w:val="60311E32"/>
    <w:rsid w:val="603198C3"/>
    <w:rsid w:val="6043611D"/>
    <w:rsid w:val="60479F33"/>
    <w:rsid w:val="604C6E27"/>
    <w:rsid w:val="604DDA88"/>
    <w:rsid w:val="6055D77B"/>
    <w:rsid w:val="6059908D"/>
    <w:rsid w:val="606F09BD"/>
    <w:rsid w:val="6076375E"/>
    <w:rsid w:val="607A1CE1"/>
    <w:rsid w:val="6084C10E"/>
    <w:rsid w:val="608880EB"/>
    <w:rsid w:val="608AE6AC"/>
    <w:rsid w:val="608D7CEB"/>
    <w:rsid w:val="608E0C8E"/>
    <w:rsid w:val="608F88B2"/>
    <w:rsid w:val="609ADDDB"/>
    <w:rsid w:val="60A01EB4"/>
    <w:rsid w:val="60A3FF93"/>
    <w:rsid w:val="60BDCA44"/>
    <w:rsid w:val="60C15154"/>
    <w:rsid w:val="60C88AA9"/>
    <w:rsid w:val="60D388E3"/>
    <w:rsid w:val="60D5BE3F"/>
    <w:rsid w:val="60D7EDE5"/>
    <w:rsid w:val="60E11B57"/>
    <w:rsid w:val="60E1AF14"/>
    <w:rsid w:val="60E927D2"/>
    <w:rsid w:val="60FAD4BF"/>
    <w:rsid w:val="60FE9A29"/>
    <w:rsid w:val="6103231B"/>
    <w:rsid w:val="61069417"/>
    <w:rsid w:val="610BE6F2"/>
    <w:rsid w:val="6117823C"/>
    <w:rsid w:val="61185851"/>
    <w:rsid w:val="611E1BB3"/>
    <w:rsid w:val="611E7ACC"/>
    <w:rsid w:val="612015EF"/>
    <w:rsid w:val="61224B0E"/>
    <w:rsid w:val="61243DC2"/>
    <w:rsid w:val="6125F131"/>
    <w:rsid w:val="612F11A1"/>
    <w:rsid w:val="61369401"/>
    <w:rsid w:val="61376D98"/>
    <w:rsid w:val="6137D54D"/>
    <w:rsid w:val="6138A09E"/>
    <w:rsid w:val="614B8975"/>
    <w:rsid w:val="614C4A51"/>
    <w:rsid w:val="61526AB6"/>
    <w:rsid w:val="615324A8"/>
    <w:rsid w:val="615992CB"/>
    <w:rsid w:val="615C13DB"/>
    <w:rsid w:val="6162D891"/>
    <w:rsid w:val="6162E56C"/>
    <w:rsid w:val="616DAC6B"/>
    <w:rsid w:val="616F1F93"/>
    <w:rsid w:val="61732B36"/>
    <w:rsid w:val="6180C20F"/>
    <w:rsid w:val="6187D5AE"/>
    <w:rsid w:val="6188BDCF"/>
    <w:rsid w:val="618904B6"/>
    <w:rsid w:val="61898FAC"/>
    <w:rsid w:val="619089E5"/>
    <w:rsid w:val="61919A8A"/>
    <w:rsid w:val="6194D5EF"/>
    <w:rsid w:val="619AA390"/>
    <w:rsid w:val="619B0999"/>
    <w:rsid w:val="61A0F616"/>
    <w:rsid w:val="61A4D0C4"/>
    <w:rsid w:val="61A73FC6"/>
    <w:rsid w:val="61ADE963"/>
    <w:rsid w:val="61B08362"/>
    <w:rsid w:val="61BC2038"/>
    <w:rsid w:val="61BE866C"/>
    <w:rsid w:val="61C07574"/>
    <w:rsid w:val="61C12E8E"/>
    <w:rsid w:val="61CCC893"/>
    <w:rsid w:val="61E1A32E"/>
    <w:rsid w:val="61E913E6"/>
    <w:rsid w:val="61EDD8D7"/>
    <w:rsid w:val="61F10718"/>
    <w:rsid w:val="61F57F8F"/>
    <w:rsid w:val="61F5B63C"/>
    <w:rsid w:val="61F6FBE5"/>
    <w:rsid w:val="61FFC881"/>
    <w:rsid w:val="620DD2D7"/>
    <w:rsid w:val="621795F8"/>
    <w:rsid w:val="62186125"/>
    <w:rsid w:val="621D4420"/>
    <w:rsid w:val="622A2955"/>
    <w:rsid w:val="6237F4FE"/>
    <w:rsid w:val="6243BCAA"/>
    <w:rsid w:val="624A1580"/>
    <w:rsid w:val="62508C96"/>
    <w:rsid w:val="6255DFB7"/>
    <w:rsid w:val="625BB794"/>
    <w:rsid w:val="6264D265"/>
    <w:rsid w:val="626F3F0F"/>
    <w:rsid w:val="62712347"/>
    <w:rsid w:val="6279131A"/>
    <w:rsid w:val="62813CE8"/>
    <w:rsid w:val="628192AF"/>
    <w:rsid w:val="628DEE85"/>
    <w:rsid w:val="628EB8DC"/>
    <w:rsid w:val="62A14378"/>
    <w:rsid w:val="62A8A631"/>
    <w:rsid w:val="62B24BE9"/>
    <w:rsid w:val="62BD66D1"/>
    <w:rsid w:val="62D122A0"/>
    <w:rsid w:val="62D5BF58"/>
    <w:rsid w:val="62D5E265"/>
    <w:rsid w:val="62D92559"/>
    <w:rsid w:val="62D9C658"/>
    <w:rsid w:val="62E0825B"/>
    <w:rsid w:val="62E17226"/>
    <w:rsid w:val="62E2EE6B"/>
    <w:rsid w:val="62E3A7D3"/>
    <w:rsid w:val="62E5B539"/>
    <w:rsid w:val="62EE0146"/>
    <w:rsid w:val="62F14A5A"/>
    <w:rsid w:val="62F8B56F"/>
    <w:rsid w:val="62FF6D70"/>
    <w:rsid w:val="6305B3A9"/>
    <w:rsid w:val="630DF34A"/>
    <w:rsid w:val="63150ABC"/>
    <w:rsid w:val="6315EA90"/>
    <w:rsid w:val="631E72AC"/>
    <w:rsid w:val="6327BE16"/>
    <w:rsid w:val="6333F164"/>
    <w:rsid w:val="633476AB"/>
    <w:rsid w:val="63397B61"/>
    <w:rsid w:val="633B5D15"/>
    <w:rsid w:val="633C29A4"/>
    <w:rsid w:val="634A34FD"/>
    <w:rsid w:val="634A3E89"/>
    <w:rsid w:val="63500F38"/>
    <w:rsid w:val="63521DF0"/>
    <w:rsid w:val="635646D0"/>
    <w:rsid w:val="635DE81B"/>
    <w:rsid w:val="636AFC5A"/>
    <w:rsid w:val="637252AD"/>
    <w:rsid w:val="6372795A"/>
    <w:rsid w:val="6383C267"/>
    <w:rsid w:val="639B8F34"/>
    <w:rsid w:val="639CC5C8"/>
    <w:rsid w:val="63AFED87"/>
    <w:rsid w:val="63B08886"/>
    <w:rsid w:val="63B373EC"/>
    <w:rsid w:val="63B5BE61"/>
    <w:rsid w:val="63BCED86"/>
    <w:rsid w:val="63C4DD4F"/>
    <w:rsid w:val="63C89B34"/>
    <w:rsid w:val="63D5CAA0"/>
    <w:rsid w:val="63DF17CA"/>
    <w:rsid w:val="63E084DE"/>
    <w:rsid w:val="63E958E5"/>
    <w:rsid w:val="63EA0F28"/>
    <w:rsid w:val="63EC3734"/>
    <w:rsid w:val="640612C5"/>
    <w:rsid w:val="6406556B"/>
    <w:rsid w:val="640942D8"/>
    <w:rsid w:val="6415F42D"/>
    <w:rsid w:val="641CAC25"/>
    <w:rsid w:val="641FC75C"/>
    <w:rsid w:val="643AC237"/>
    <w:rsid w:val="643B0CBA"/>
    <w:rsid w:val="64402F2B"/>
    <w:rsid w:val="6446BBFA"/>
    <w:rsid w:val="644AA990"/>
    <w:rsid w:val="64534CA1"/>
    <w:rsid w:val="64641601"/>
    <w:rsid w:val="64642713"/>
    <w:rsid w:val="6464BBE9"/>
    <w:rsid w:val="6464FCB4"/>
    <w:rsid w:val="6465D56E"/>
    <w:rsid w:val="646F5CF4"/>
    <w:rsid w:val="6473C277"/>
    <w:rsid w:val="647A6CC8"/>
    <w:rsid w:val="647BB90D"/>
    <w:rsid w:val="64867AD2"/>
    <w:rsid w:val="6486CA5C"/>
    <w:rsid w:val="6489264A"/>
    <w:rsid w:val="64A0FEAA"/>
    <w:rsid w:val="64A1A7EF"/>
    <w:rsid w:val="64B2EC02"/>
    <w:rsid w:val="64BA7E2C"/>
    <w:rsid w:val="64C34D92"/>
    <w:rsid w:val="64C4C734"/>
    <w:rsid w:val="64D40151"/>
    <w:rsid w:val="64D47E30"/>
    <w:rsid w:val="64DE72EC"/>
    <w:rsid w:val="64DE89B8"/>
    <w:rsid w:val="64E14371"/>
    <w:rsid w:val="64E4D1A8"/>
    <w:rsid w:val="64F1795F"/>
    <w:rsid w:val="64F1F80A"/>
    <w:rsid w:val="64F23123"/>
    <w:rsid w:val="64F50DD2"/>
    <w:rsid w:val="6509687C"/>
    <w:rsid w:val="650EFB03"/>
    <w:rsid w:val="6514D581"/>
    <w:rsid w:val="651A7CA1"/>
    <w:rsid w:val="6520197E"/>
    <w:rsid w:val="65292FB7"/>
    <w:rsid w:val="652AC33F"/>
    <w:rsid w:val="652AD663"/>
    <w:rsid w:val="652E0B76"/>
    <w:rsid w:val="652FE864"/>
    <w:rsid w:val="6532FEE9"/>
    <w:rsid w:val="6533256B"/>
    <w:rsid w:val="6537D707"/>
    <w:rsid w:val="6544C94A"/>
    <w:rsid w:val="6544D353"/>
    <w:rsid w:val="65472EEE"/>
    <w:rsid w:val="6553EE4C"/>
    <w:rsid w:val="65560F30"/>
    <w:rsid w:val="655E40D3"/>
    <w:rsid w:val="655E7372"/>
    <w:rsid w:val="65671E6C"/>
    <w:rsid w:val="65709D90"/>
    <w:rsid w:val="6576D43B"/>
    <w:rsid w:val="6578C893"/>
    <w:rsid w:val="657974DA"/>
    <w:rsid w:val="6579C7ED"/>
    <w:rsid w:val="657D9BAB"/>
    <w:rsid w:val="6584BFB4"/>
    <w:rsid w:val="65850239"/>
    <w:rsid w:val="65883CD5"/>
    <w:rsid w:val="6588616A"/>
    <w:rsid w:val="658A1BC9"/>
    <w:rsid w:val="658EE5C0"/>
    <w:rsid w:val="65916933"/>
    <w:rsid w:val="659EA0E1"/>
    <w:rsid w:val="65A07FA9"/>
    <w:rsid w:val="65A72F2B"/>
    <w:rsid w:val="65A8C0F3"/>
    <w:rsid w:val="65ACA551"/>
    <w:rsid w:val="65AD4093"/>
    <w:rsid w:val="65B6FDA0"/>
    <w:rsid w:val="65BDB327"/>
    <w:rsid w:val="65BE6CAB"/>
    <w:rsid w:val="65C07F76"/>
    <w:rsid w:val="65C3CE8D"/>
    <w:rsid w:val="65DC7528"/>
    <w:rsid w:val="65DE1B4B"/>
    <w:rsid w:val="65F8885D"/>
    <w:rsid w:val="6603986E"/>
    <w:rsid w:val="6608EB39"/>
    <w:rsid w:val="660988D1"/>
    <w:rsid w:val="660FE885"/>
    <w:rsid w:val="6619140A"/>
    <w:rsid w:val="661D5CEC"/>
    <w:rsid w:val="662A4ACE"/>
    <w:rsid w:val="66374632"/>
    <w:rsid w:val="663B4CBE"/>
    <w:rsid w:val="6641626B"/>
    <w:rsid w:val="665ACC8E"/>
    <w:rsid w:val="6666EA2B"/>
    <w:rsid w:val="667061BA"/>
    <w:rsid w:val="6672110B"/>
    <w:rsid w:val="66761290"/>
    <w:rsid w:val="667770C4"/>
    <w:rsid w:val="668AE4DF"/>
    <w:rsid w:val="668CFA84"/>
    <w:rsid w:val="6691FDEB"/>
    <w:rsid w:val="6692F5A3"/>
    <w:rsid w:val="6693E904"/>
    <w:rsid w:val="669E450E"/>
    <w:rsid w:val="66A4CC9E"/>
    <w:rsid w:val="66AAA658"/>
    <w:rsid w:val="66ABB02D"/>
    <w:rsid w:val="66CCC498"/>
    <w:rsid w:val="66D290AA"/>
    <w:rsid w:val="66DC0F0B"/>
    <w:rsid w:val="66DC20B3"/>
    <w:rsid w:val="66DDC1C2"/>
    <w:rsid w:val="66DFDEA6"/>
    <w:rsid w:val="66E41346"/>
    <w:rsid w:val="66EE56A0"/>
    <w:rsid w:val="66F9A21F"/>
    <w:rsid w:val="67030D34"/>
    <w:rsid w:val="67099CB0"/>
    <w:rsid w:val="670A2C2F"/>
    <w:rsid w:val="6710BA4A"/>
    <w:rsid w:val="6713FFD7"/>
    <w:rsid w:val="6716DA8D"/>
    <w:rsid w:val="671C275D"/>
    <w:rsid w:val="672C7ED1"/>
    <w:rsid w:val="672D0F07"/>
    <w:rsid w:val="67363244"/>
    <w:rsid w:val="67374E6E"/>
    <w:rsid w:val="673CFB5B"/>
    <w:rsid w:val="674AC81E"/>
    <w:rsid w:val="674F8ACA"/>
    <w:rsid w:val="6751F4E3"/>
    <w:rsid w:val="6752585E"/>
    <w:rsid w:val="6757947B"/>
    <w:rsid w:val="675F807D"/>
    <w:rsid w:val="6760C91D"/>
    <w:rsid w:val="676BAF42"/>
    <w:rsid w:val="6779B0B4"/>
    <w:rsid w:val="677C1B37"/>
    <w:rsid w:val="67863FE6"/>
    <w:rsid w:val="678ABEF5"/>
    <w:rsid w:val="679106FF"/>
    <w:rsid w:val="679C87C8"/>
    <w:rsid w:val="679FA5E6"/>
    <w:rsid w:val="67A59D6F"/>
    <w:rsid w:val="67A755DD"/>
    <w:rsid w:val="67A809C8"/>
    <w:rsid w:val="67A8B0EA"/>
    <w:rsid w:val="67AFBD93"/>
    <w:rsid w:val="67BA070C"/>
    <w:rsid w:val="67BA30A2"/>
    <w:rsid w:val="67BEB84A"/>
    <w:rsid w:val="67CB893C"/>
    <w:rsid w:val="67D467FE"/>
    <w:rsid w:val="67E0338B"/>
    <w:rsid w:val="67EAA4D8"/>
    <w:rsid w:val="67F93778"/>
    <w:rsid w:val="67F9C6AF"/>
    <w:rsid w:val="68000403"/>
    <w:rsid w:val="6803D114"/>
    <w:rsid w:val="68073DAF"/>
    <w:rsid w:val="68098B6F"/>
    <w:rsid w:val="680C5854"/>
    <w:rsid w:val="680F28F6"/>
    <w:rsid w:val="6819A531"/>
    <w:rsid w:val="681B0FD5"/>
    <w:rsid w:val="68203AC0"/>
    <w:rsid w:val="6826B2EF"/>
    <w:rsid w:val="682ACEDF"/>
    <w:rsid w:val="683B1BCC"/>
    <w:rsid w:val="68422B69"/>
    <w:rsid w:val="6848EEB8"/>
    <w:rsid w:val="684B1047"/>
    <w:rsid w:val="685BA2FA"/>
    <w:rsid w:val="685EF057"/>
    <w:rsid w:val="6866C1AC"/>
    <w:rsid w:val="68703812"/>
    <w:rsid w:val="687646BA"/>
    <w:rsid w:val="687D3BAF"/>
    <w:rsid w:val="687D6755"/>
    <w:rsid w:val="68837307"/>
    <w:rsid w:val="6889B793"/>
    <w:rsid w:val="6891E98E"/>
    <w:rsid w:val="689939D5"/>
    <w:rsid w:val="689D3180"/>
    <w:rsid w:val="689E2DAD"/>
    <w:rsid w:val="68A3DCEA"/>
    <w:rsid w:val="68AFE77A"/>
    <w:rsid w:val="68B77BE8"/>
    <w:rsid w:val="68B8EC03"/>
    <w:rsid w:val="68BA14D0"/>
    <w:rsid w:val="68BB6422"/>
    <w:rsid w:val="68C07A69"/>
    <w:rsid w:val="68C138E7"/>
    <w:rsid w:val="68C4F138"/>
    <w:rsid w:val="68C52E28"/>
    <w:rsid w:val="68C578B9"/>
    <w:rsid w:val="68C5EEEF"/>
    <w:rsid w:val="68C7CD55"/>
    <w:rsid w:val="68CA0B53"/>
    <w:rsid w:val="68CBB6EA"/>
    <w:rsid w:val="68D122AE"/>
    <w:rsid w:val="68D21542"/>
    <w:rsid w:val="68DBA553"/>
    <w:rsid w:val="68E85229"/>
    <w:rsid w:val="68E9855E"/>
    <w:rsid w:val="68EBB5F2"/>
    <w:rsid w:val="68F1CB18"/>
    <w:rsid w:val="68F52BC8"/>
    <w:rsid w:val="68F9050C"/>
    <w:rsid w:val="6903BD9C"/>
    <w:rsid w:val="6904898F"/>
    <w:rsid w:val="6905636C"/>
    <w:rsid w:val="690C87EE"/>
    <w:rsid w:val="690D867C"/>
    <w:rsid w:val="690E28DC"/>
    <w:rsid w:val="69119F2E"/>
    <w:rsid w:val="69183C3A"/>
    <w:rsid w:val="6919CDAC"/>
    <w:rsid w:val="69271A8E"/>
    <w:rsid w:val="69279126"/>
    <w:rsid w:val="69286133"/>
    <w:rsid w:val="6931DCED"/>
    <w:rsid w:val="6932C04A"/>
    <w:rsid w:val="6935086E"/>
    <w:rsid w:val="6937A803"/>
    <w:rsid w:val="693D567E"/>
    <w:rsid w:val="69454B21"/>
    <w:rsid w:val="69501AAF"/>
    <w:rsid w:val="69528CD9"/>
    <w:rsid w:val="69532F68"/>
    <w:rsid w:val="695953D9"/>
    <w:rsid w:val="6962B47F"/>
    <w:rsid w:val="6970BAC5"/>
    <w:rsid w:val="6973AC6E"/>
    <w:rsid w:val="69743DB0"/>
    <w:rsid w:val="697660EB"/>
    <w:rsid w:val="6983D1A7"/>
    <w:rsid w:val="69844308"/>
    <w:rsid w:val="6985E484"/>
    <w:rsid w:val="6988EA29"/>
    <w:rsid w:val="698AB82E"/>
    <w:rsid w:val="698E1231"/>
    <w:rsid w:val="699EA744"/>
    <w:rsid w:val="699EE466"/>
    <w:rsid w:val="69A122E4"/>
    <w:rsid w:val="69A46091"/>
    <w:rsid w:val="69A54B6B"/>
    <w:rsid w:val="69A624F0"/>
    <w:rsid w:val="69A90459"/>
    <w:rsid w:val="69AE9EE0"/>
    <w:rsid w:val="69B5620F"/>
    <w:rsid w:val="69BBB777"/>
    <w:rsid w:val="69BFA4CB"/>
    <w:rsid w:val="69C3C5C0"/>
    <w:rsid w:val="69C8FF7F"/>
    <w:rsid w:val="69CCCEA4"/>
    <w:rsid w:val="69CE5048"/>
    <w:rsid w:val="69CFADF3"/>
    <w:rsid w:val="69D0B704"/>
    <w:rsid w:val="69D23D5A"/>
    <w:rsid w:val="69D7DD91"/>
    <w:rsid w:val="69DBCC76"/>
    <w:rsid w:val="69E24B0A"/>
    <w:rsid w:val="69E2866A"/>
    <w:rsid w:val="69E6CC52"/>
    <w:rsid w:val="69EDA1A2"/>
    <w:rsid w:val="69F1B9FF"/>
    <w:rsid w:val="69F1D18C"/>
    <w:rsid w:val="69F7A9AB"/>
    <w:rsid w:val="69F94E55"/>
    <w:rsid w:val="69FB178F"/>
    <w:rsid w:val="69FD7999"/>
    <w:rsid w:val="6A00F159"/>
    <w:rsid w:val="6A0CB87A"/>
    <w:rsid w:val="6A1279E3"/>
    <w:rsid w:val="6A17BFBB"/>
    <w:rsid w:val="6A18A8BC"/>
    <w:rsid w:val="6A18F07C"/>
    <w:rsid w:val="6A1C6215"/>
    <w:rsid w:val="6A24159E"/>
    <w:rsid w:val="6A2CBF92"/>
    <w:rsid w:val="6A2E9B8D"/>
    <w:rsid w:val="6A339E87"/>
    <w:rsid w:val="6A3CEF3D"/>
    <w:rsid w:val="6A3F6945"/>
    <w:rsid w:val="6A47D722"/>
    <w:rsid w:val="6A5988F1"/>
    <w:rsid w:val="6A5ABA7D"/>
    <w:rsid w:val="6A6102A5"/>
    <w:rsid w:val="6A629ADD"/>
    <w:rsid w:val="6A62EAF0"/>
    <w:rsid w:val="6A636EE0"/>
    <w:rsid w:val="6A642021"/>
    <w:rsid w:val="6A6A9D0C"/>
    <w:rsid w:val="6A714AE2"/>
    <w:rsid w:val="6A794CB8"/>
    <w:rsid w:val="6A7FEC8A"/>
    <w:rsid w:val="6A83C948"/>
    <w:rsid w:val="6A846791"/>
    <w:rsid w:val="6A861E1A"/>
    <w:rsid w:val="6A87033A"/>
    <w:rsid w:val="6A9AA812"/>
    <w:rsid w:val="6A9C8831"/>
    <w:rsid w:val="6AA4AEE5"/>
    <w:rsid w:val="6AAA300C"/>
    <w:rsid w:val="6AAC5055"/>
    <w:rsid w:val="6AB6BE6C"/>
    <w:rsid w:val="6AD49DD5"/>
    <w:rsid w:val="6ADA96E4"/>
    <w:rsid w:val="6ADD4951"/>
    <w:rsid w:val="6AE37C30"/>
    <w:rsid w:val="6AEA6358"/>
    <w:rsid w:val="6AEFAB70"/>
    <w:rsid w:val="6AF33F26"/>
    <w:rsid w:val="6B0ECF25"/>
    <w:rsid w:val="6B0FD450"/>
    <w:rsid w:val="6B144F83"/>
    <w:rsid w:val="6B1A592B"/>
    <w:rsid w:val="6B1B3D6C"/>
    <w:rsid w:val="6B1D9E4B"/>
    <w:rsid w:val="6B284E85"/>
    <w:rsid w:val="6B2A91C9"/>
    <w:rsid w:val="6B2EDD7A"/>
    <w:rsid w:val="6B31FAB5"/>
    <w:rsid w:val="6B470172"/>
    <w:rsid w:val="6B4DDFDF"/>
    <w:rsid w:val="6B5242C9"/>
    <w:rsid w:val="6B52F292"/>
    <w:rsid w:val="6B54B054"/>
    <w:rsid w:val="6B58D33C"/>
    <w:rsid w:val="6B688C05"/>
    <w:rsid w:val="6B726C42"/>
    <w:rsid w:val="6B732614"/>
    <w:rsid w:val="6B77175A"/>
    <w:rsid w:val="6B8AB71A"/>
    <w:rsid w:val="6B8AE66B"/>
    <w:rsid w:val="6B941CB2"/>
    <w:rsid w:val="6B945A9F"/>
    <w:rsid w:val="6B9681CC"/>
    <w:rsid w:val="6BA74E95"/>
    <w:rsid w:val="6BA829C6"/>
    <w:rsid w:val="6BAA2367"/>
    <w:rsid w:val="6BAF79E9"/>
    <w:rsid w:val="6BCF23D9"/>
    <w:rsid w:val="6BD32683"/>
    <w:rsid w:val="6BD96638"/>
    <w:rsid w:val="6BE0AEFE"/>
    <w:rsid w:val="6BE6FF7D"/>
    <w:rsid w:val="6BEC8AD3"/>
    <w:rsid w:val="6BECEDCD"/>
    <w:rsid w:val="6BED8467"/>
    <w:rsid w:val="6BEE8A27"/>
    <w:rsid w:val="6BF40913"/>
    <w:rsid w:val="6BFD0917"/>
    <w:rsid w:val="6BFEE221"/>
    <w:rsid w:val="6C007622"/>
    <w:rsid w:val="6C036486"/>
    <w:rsid w:val="6C109CC0"/>
    <w:rsid w:val="6C155F16"/>
    <w:rsid w:val="6C23DB6A"/>
    <w:rsid w:val="6C24AE34"/>
    <w:rsid w:val="6C254EF2"/>
    <w:rsid w:val="6C262222"/>
    <w:rsid w:val="6C28C0CE"/>
    <w:rsid w:val="6C2A9ED2"/>
    <w:rsid w:val="6C2C0158"/>
    <w:rsid w:val="6C2C1E52"/>
    <w:rsid w:val="6C32DDE3"/>
    <w:rsid w:val="6C360562"/>
    <w:rsid w:val="6C3DB2FB"/>
    <w:rsid w:val="6C3EE504"/>
    <w:rsid w:val="6C43DB13"/>
    <w:rsid w:val="6C4A483D"/>
    <w:rsid w:val="6C54724A"/>
    <w:rsid w:val="6C5C814B"/>
    <w:rsid w:val="6C5E9D4E"/>
    <w:rsid w:val="6C683920"/>
    <w:rsid w:val="6C6AF595"/>
    <w:rsid w:val="6C73A660"/>
    <w:rsid w:val="6C7E79CA"/>
    <w:rsid w:val="6C81B714"/>
    <w:rsid w:val="6C83290F"/>
    <w:rsid w:val="6C845BB8"/>
    <w:rsid w:val="6C92239C"/>
    <w:rsid w:val="6CA30851"/>
    <w:rsid w:val="6CAC4C20"/>
    <w:rsid w:val="6CAE9839"/>
    <w:rsid w:val="6CB00EC9"/>
    <w:rsid w:val="6CB5AE43"/>
    <w:rsid w:val="6CCB0BAE"/>
    <w:rsid w:val="6CD36891"/>
    <w:rsid w:val="6CDB0DA8"/>
    <w:rsid w:val="6CE5D26E"/>
    <w:rsid w:val="6CE79072"/>
    <w:rsid w:val="6CF161C3"/>
    <w:rsid w:val="6CFEF36E"/>
    <w:rsid w:val="6D0142DA"/>
    <w:rsid w:val="6D01C4AE"/>
    <w:rsid w:val="6D092C52"/>
    <w:rsid w:val="6D0E3774"/>
    <w:rsid w:val="6D21C507"/>
    <w:rsid w:val="6D30350E"/>
    <w:rsid w:val="6D3ED6B1"/>
    <w:rsid w:val="6D41B0DA"/>
    <w:rsid w:val="6D4554E3"/>
    <w:rsid w:val="6D518733"/>
    <w:rsid w:val="6D543673"/>
    <w:rsid w:val="6D5466CA"/>
    <w:rsid w:val="6D62AD1E"/>
    <w:rsid w:val="6D675F70"/>
    <w:rsid w:val="6D70EDD7"/>
    <w:rsid w:val="6D7B5FC2"/>
    <w:rsid w:val="6D7C819E"/>
    <w:rsid w:val="6D83A9A9"/>
    <w:rsid w:val="6D85969C"/>
    <w:rsid w:val="6D874815"/>
    <w:rsid w:val="6D89ACC4"/>
    <w:rsid w:val="6D8E2ABE"/>
    <w:rsid w:val="6D910789"/>
    <w:rsid w:val="6D965111"/>
    <w:rsid w:val="6D9C1E37"/>
    <w:rsid w:val="6D9DA8BB"/>
    <w:rsid w:val="6DA33AE8"/>
    <w:rsid w:val="6DA5D1A6"/>
    <w:rsid w:val="6DA6DC56"/>
    <w:rsid w:val="6DAE093F"/>
    <w:rsid w:val="6DAF03EC"/>
    <w:rsid w:val="6DAFDDC6"/>
    <w:rsid w:val="6DBA5B18"/>
    <w:rsid w:val="6DC5FCAD"/>
    <w:rsid w:val="6DDA88BF"/>
    <w:rsid w:val="6DDC2843"/>
    <w:rsid w:val="6DDDDAFF"/>
    <w:rsid w:val="6DE7C7F5"/>
    <w:rsid w:val="6DECB5B7"/>
    <w:rsid w:val="6DED3CC4"/>
    <w:rsid w:val="6DFABCEB"/>
    <w:rsid w:val="6DFDF954"/>
    <w:rsid w:val="6DFFC031"/>
    <w:rsid w:val="6E02E41F"/>
    <w:rsid w:val="6E067A9E"/>
    <w:rsid w:val="6E06EBE1"/>
    <w:rsid w:val="6E07978E"/>
    <w:rsid w:val="6E096F62"/>
    <w:rsid w:val="6E113BAA"/>
    <w:rsid w:val="6E136D40"/>
    <w:rsid w:val="6E14BAB5"/>
    <w:rsid w:val="6E21051C"/>
    <w:rsid w:val="6E2AF03E"/>
    <w:rsid w:val="6E2C9232"/>
    <w:rsid w:val="6E2D14B4"/>
    <w:rsid w:val="6E2D490F"/>
    <w:rsid w:val="6E32F6BC"/>
    <w:rsid w:val="6E3EB47C"/>
    <w:rsid w:val="6E42837B"/>
    <w:rsid w:val="6E4AD446"/>
    <w:rsid w:val="6E4D53BA"/>
    <w:rsid w:val="6E4F87AA"/>
    <w:rsid w:val="6E546D93"/>
    <w:rsid w:val="6E6002AD"/>
    <w:rsid w:val="6E62DD3A"/>
    <w:rsid w:val="6E63069A"/>
    <w:rsid w:val="6E64AAC5"/>
    <w:rsid w:val="6E64DA36"/>
    <w:rsid w:val="6E666AFF"/>
    <w:rsid w:val="6E6AE77A"/>
    <w:rsid w:val="6E70F5EE"/>
    <w:rsid w:val="6E795779"/>
    <w:rsid w:val="6E7D7A61"/>
    <w:rsid w:val="6E852F27"/>
    <w:rsid w:val="6E8920BB"/>
    <w:rsid w:val="6E8FBA71"/>
    <w:rsid w:val="6EAE15FF"/>
    <w:rsid w:val="6EAF627C"/>
    <w:rsid w:val="6EB24817"/>
    <w:rsid w:val="6EB5CC89"/>
    <w:rsid w:val="6EB6BD49"/>
    <w:rsid w:val="6EB8B4B6"/>
    <w:rsid w:val="6EC1770E"/>
    <w:rsid w:val="6ECBAEE8"/>
    <w:rsid w:val="6ED21798"/>
    <w:rsid w:val="6EDAFC71"/>
    <w:rsid w:val="6EE30680"/>
    <w:rsid w:val="6EE79E74"/>
    <w:rsid w:val="6EF13714"/>
    <w:rsid w:val="6F06F316"/>
    <w:rsid w:val="6F093008"/>
    <w:rsid w:val="6F0D96E1"/>
    <w:rsid w:val="6F0E39EE"/>
    <w:rsid w:val="6F11DDF5"/>
    <w:rsid w:val="6F1B442E"/>
    <w:rsid w:val="6F1C6045"/>
    <w:rsid w:val="6F214AD9"/>
    <w:rsid w:val="6F2ABE7A"/>
    <w:rsid w:val="6F2B0A60"/>
    <w:rsid w:val="6F2C3003"/>
    <w:rsid w:val="6F3456AE"/>
    <w:rsid w:val="6F3C36B4"/>
    <w:rsid w:val="6F42295D"/>
    <w:rsid w:val="6F4564D9"/>
    <w:rsid w:val="6F45A1E5"/>
    <w:rsid w:val="6F51FBC5"/>
    <w:rsid w:val="6F59FB67"/>
    <w:rsid w:val="6F5A2EFB"/>
    <w:rsid w:val="6F607275"/>
    <w:rsid w:val="6F64187D"/>
    <w:rsid w:val="6F66EBCE"/>
    <w:rsid w:val="6F6922B6"/>
    <w:rsid w:val="6F6B34D4"/>
    <w:rsid w:val="6F6CBEAA"/>
    <w:rsid w:val="6F6CD944"/>
    <w:rsid w:val="6F7773A0"/>
    <w:rsid w:val="6F7993C4"/>
    <w:rsid w:val="6F7BFF77"/>
    <w:rsid w:val="6F7EC9BA"/>
    <w:rsid w:val="6F8891EF"/>
    <w:rsid w:val="6F8A66B2"/>
    <w:rsid w:val="6F8CB11C"/>
    <w:rsid w:val="6F8CF4B9"/>
    <w:rsid w:val="6F93BA37"/>
    <w:rsid w:val="6F9476E1"/>
    <w:rsid w:val="6F9D3744"/>
    <w:rsid w:val="6FA534F3"/>
    <w:rsid w:val="6FA9F63D"/>
    <w:rsid w:val="6FCC43D4"/>
    <w:rsid w:val="6FD24707"/>
    <w:rsid w:val="6FD3B558"/>
    <w:rsid w:val="6FDD97BE"/>
    <w:rsid w:val="6FE3F48F"/>
    <w:rsid w:val="6FED03E7"/>
    <w:rsid w:val="6FF0CD76"/>
    <w:rsid w:val="700843C4"/>
    <w:rsid w:val="700D9BBE"/>
    <w:rsid w:val="70227AC8"/>
    <w:rsid w:val="702D8C45"/>
    <w:rsid w:val="7031556A"/>
    <w:rsid w:val="70337801"/>
    <w:rsid w:val="70339E2C"/>
    <w:rsid w:val="70359FEC"/>
    <w:rsid w:val="7039B683"/>
    <w:rsid w:val="7040F95E"/>
    <w:rsid w:val="70447F5B"/>
    <w:rsid w:val="7048CBB3"/>
    <w:rsid w:val="70491BBA"/>
    <w:rsid w:val="704ECDEC"/>
    <w:rsid w:val="70583CAA"/>
    <w:rsid w:val="7077F491"/>
    <w:rsid w:val="707C3BDC"/>
    <w:rsid w:val="7084630C"/>
    <w:rsid w:val="708DE252"/>
    <w:rsid w:val="7090A042"/>
    <w:rsid w:val="709686AD"/>
    <w:rsid w:val="709C1F0A"/>
    <w:rsid w:val="70A26A62"/>
    <w:rsid w:val="70A459A8"/>
    <w:rsid w:val="70A5E8B0"/>
    <w:rsid w:val="70B18F37"/>
    <w:rsid w:val="70B85F67"/>
    <w:rsid w:val="70BE35AD"/>
    <w:rsid w:val="70D38070"/>
    <w:rsid w:val="70E03554"/>
    <w:rsid w:val="70E53D1C"/>
    <w:rsid w:val="70F4EE37"/>
    <w:rsid w:val="7101679F"/>
    <w:rsid w:val="71046921"/>
    <w:rsid w:val="710E384C"/>
    <w:rsid w:val="71115CCC"/>
    <w:rsid w:val="711C5E7C"/>
    <w:rsid w:val="7123F07A"/>
    <w:rsid w:val="71321344"/>
    <w:rsid w:val="7132F585"/>
    <w:rsid w:val="7134FC4A"/>
    <w:rsid w:val="713ADCAF"/>
    <w:rsid w:val="7152429B"/>
    <w:rsid w:val="7154D1C4"/>
    <w:rsid w:val="7162EADC"/>
    <w:rsid w:val="7165060E"/>
    <w:rsid w:val="71669952"/>
    <w:rsid w:val="716E90E1"/>
    <w:rsid w:val="716FB2E0"/>
    <w:rsid w:val="717533A3"/>
    <w:rsid w:val="7177DE6E"/>
    <w:rsid w:val="71782D8A"/>
    <w:rsid w:val="71810B04"/>
    <w:rsid w:val="71896780"/>
    <w:rsid w:val="7194EB06"/>
    <w:rsid w:val="7196C627"/>
    <w:rsid w:val="71984783"/>
    <w:rsid w:val="719B4C4C"/>
    <w:rsid w:val="71A352D2"/>
    <w:rsid w:val="71A4BD72"/>
    <w:rsid w:val="71AA5298"/>
    <w:rsid w:val="71AE0E41"/>
    <w:rsid w:val="71AE88AC"/>
    <w:rsid w:val="71AF72ED"/>
    <w:rsid w:val="71B09CB2"/>
    <w:rsid w:val="71B0EDA6"/>
    <w:rsid w:val="71B5EC88"/>
    <w:rsid w:val="71B96F8E"/>
    <w:rsid w:val="71C9646F"/>
    <w:rsid w:val="71CACBBA"/>
    <w:rsid w:val="71D06C11"/>
    <w:rsid w:val="71D0A0A4"/>
    <w:rsid w:val="71D42DBD"/>
    <w:rsid w:val="71D9DD24"/>
    <w:rsid w:val="71DE7010"/>
    <w:rsid w:val="71E2FFF6"/>
    <w:rsid w:val="71E6B6DC"/>
    <w:rsid w:val="71EF4352"/>
    <w:rsid w:val="71F0CBD0"/>
    <w:rsid w:val="71F35CA0"/>
    <w:rsid w:val="71F60A2E"/>
    <w:rsid w:val="71FF339F"/>
    <w:rsid w:val="720A8A39"/>
    <w:rsid w:val="720B6EE0"/>
    <w:rsid w:val="720BCF56"/>
    <w:rsid w:val="721D4C46"/>
    <w:rsid w:val="72296157"/>
    <w:rsid w:val="723377E8"/>
    <w:rsid w:val="7234EAEF"/>
    <w:rsid w:val="723803CA"/>
    <w:rsid w:val="723BB9C9"/>
    <w:rsid w:val="723E6213"/>
    <w:rsid w:val="72446190"/>
    <w:rsid w:val="7247D313"/>
    <w:rsid w:val="7247EF90"/>
    <w:rsid w:val="724C34AF"/>
    <w:rsid w:val="724CCA2F"/>
    <w:rsid w:val="72596492"/>
    <w:rsid w:val="725CD379"/>
    <w:rsid w:val="7260041B"/>
    <w:rsid w:val="72609734"/>
    <w:rsid w:val="726D1518"/>
    <w:rsid w:val="729B8352"/>
    <w:rsid w:val="72A0F107"/>
    <w:rsid w:val="72A7AADF"/>
    <w:rsid w:val="72A92447"/>
    <w:rsid w:val="72ACE8F2"/>
    <w:rsid w:val="72B1605F"/>
    <w:rsid w:val="72BD493F"/>
    <w:rsid w:val="72C4C981"/>
    <w:rsid w:val="72CE722B"/>
    <w:rsid w:val="72D2068F"/>
    <w:rsid w:val="72EBFDB0"/>
    <w:rsid w:val="72F1DAF3"/>
    <w:rsid w:val="7305AA11"/>
    <w:rsid w:val="7312C227"/>
    <w:rsid w:val="7313B118"/>
    <w:rsid w:val="7322B5F6"/>
    <w:rsid w:val="7325965A"/>
    <w:rsid w:val="733DE709"/>
    <w:rsid w:val="73466861"/>
    <w:rsid w:val="734941DE"/>
    <w:rsid w:val="734B3059"/>
    <w:rsid w:val="734D62F8"/>
    <w:rsid w:val="735A2E89"/>
    <w:rsid w:val="73650CFC"/>
    <w:rsid w:val="736982B2"/>
    <w:rsid w:val="736A1CFE"/>
    <w:rsid w:val="736F0400"/>
    <w:rsid w:val="7370D2DC"/>
    <w:rsid w:val="7378F808"/>
    <w:rsid w:val="7379D44E"/>
    <w:rsid w:val="737E75C0"/>
    <w:rsid w:val="738F5AC0"/>
    <w:rsid w:val="738F6482"/>
    <w:rsid w:val="739C34EF"/>
    <w:rsid w:val="73A79CF9"/>
    <w:rsid w:val="73B70BD2"/>
    <w:rsid w:val="73BC6727"/>
    <w:rsid w:val="73C61685"/>
    <w:rsid w:val="73C6D780"/>
    <w:rsid w:val="73CB46D3"/>
    <w:rsid w:val="73CBAB3F"/>
    <w:rsid w:val="73DEF8DA"/>
    <w:rsid w:val="73DFF137"/>
    <w:rsid w:val="73E01EF3"/>
    <w:rsid w:val="73E2EB72"/>
    <w:rsid w:val="73E761E7"/>
    <w:rsid w:val="73E822BB"/>
    <w:rsid w:val="73EC57C1"/>
    <w:rsid w:val="73ECFDF3"/>
    <w:rsid w:val="73F2E12F"/>
    <w:rsid w:val="73F33DBC"/>
    <w:rsid w:val="740EF158"/>
    <w:rsid w:val="7412DB9B"/>
    <w:rsid w:val="7419F0F6"/>
    <w:rsid w:val="741E885A"/>
    <w:rsid w:val="74245903"/>
    <w:rsid w:val="7424A76B"/>
    <w:rsid w:val="742CA0BE"/>
    <w:rsid w:val="742E4AF1"/>
    <w:rsid w:val="7439BD5B"/>
    <w:rsid w:val="743A96D0"/>
    <w:rsid w:val="7446B521"/>
    <w:rsid w:val="744F30D2"/>
    <w:rsid w:val="7452E09D"/>
    <w:rsid w:val="74550BEA"/>
    <w:rsid w:val="745A46EC"/>
    <w:rsid w:val="745F5E52"/>
    <w:rsid w:val="746523B9"/>
    <w:rsid w:val="74690D20"/>
    <w:rsid w:val="7472631C"/>
    <w:rsid w:val="747632CF"/>
    <w:rsid w:val="7476FFCB"/>
    <w:rsid w:val="7478056F"/>
    <w:rsid w:val="7480D9F2"/>
    <w:rsid w:val="7487CD71"/>
    <w:rsid w:val="748980BB"/>
    <w:rsid w:val="748CC32A"/>
    <w:rsid w:val="7490B30C"/>
    <w:rsid w:val="7491B912"/>
    <w:rsid w:val="74A37229"/>
    <w:rsid w:val="74A7E038"/>
    <w:rsid w:val="74A8AA80"/>
    <w:rsid w:val="74AC5706"/>
    <w:rsid w:val="74AC6161"/>
    <w:rsid w:val="74ACF0A6"/>
    <w:rsid w:val="74BC8EB9"/>
    <w:rsid w:val="74BED99A"/>
    <w:rsid w:val="74C2AB4E"/>
    <w:rsid w:val="74CA4EBD"/>
    <w:rsid w:val="74CB1370"/>
    <w:rsid w:val="74CB38A2"/>
    <w:rsid w:val="74D3158F"/>
    <w:rsid w:val="74D5E7C1"/>
    <w:rsid w:val="74D9A119"/>
    <w:rsid w:val="74D9EB80"/>
    <w:rsid w:val="74E69573"/>
    <w:rsid w:val="74FE80B5"/>
    <w:rsid w:val="7509BBBD"/>
    <w:rsid w:val="750B789C"/>
    <w:rsid w:val="75107363"/>
    <w:rsid w:val="75112FF7"/>
    <w:rsid w:val="7515A9E3"/>
    <w:rsid w:val="751EBCFF"/>
    <w:rsid w:val="7527B16D"/>
    <w:rsid w:val="7528275D"/>
    <w:rsid w:val="75308445"/>
    <w:rsid w:val="75310BEC"/>
    <w:rsid w:val="7535E77D"/>
    <w:rsid w:val="75388DB3"/>
    <w:rsid w:val="753ADBF9"/>
    <w:rsid w:val="753F7DFA"/>
    <w:rsid w:val="75505F50"/>
    <w:rsid w:val="7555EA6A"/>
    <w:rsid w:val="7560B03D"/>
    <w:rsid w:val="756277FF"/>
    <w:rsid w:val="75637223"/>
    <w:rsid w:val="75655A08"/>
    <w:rsid w:val="756A6BE4"/>
    <w:rsid w:val="756E3A5E"/>
    <w:rsid w:val="7578470E"/>
    <w:rsid w:val="75793D08"/>
    <w:rsid w:val="759323CC"/>
    <w:rsid w:val="7595DB6C"/>
    <w:rsid w:val="7599F68D"/>
    <w:rsid w:val="759BFD26"/>
    <w:rsid w:val="759D9EE1"/>
    <w:rsid w:val="75A04933"/>
    <w:rsid w:val="75A32AF2"/>
    <w:rsid w:val="75A7BD95"/>
    <w:rsid w:val="75AC138F"/>
    <w:rsid w:val="75AE4BE1"/>
    <w:rsid w:val="75C8A9EF"/>
    <w:rsid w:val="75D4BF65"/>
    <w:rsid w:val="75DBE29F"/>
    <w:rsid w:val="75DBF6FC"/>
    <w:rsid w:val="75DEE073"/>
    <w:rsid w:val="75E03CA9"/>
    <w:rsid w:val="75E65D2C"/>
    <w:rsid w:val="75EFE045"/>
    <w:rsid w:val="75F8AE50"/>
    <w:rsid w:val="75FC4277"/>
    <w:rsid w:val="7604CED9"/>
    <w:rsid w:val="7605AEED"/>
    <w:rsid w:val="76140994"/>
    <w:rsid w:val="76156548"/>
    <w:rsid w:val="76161CD8"/>
    <w:rsid w:val="76169EC6"/>
    <w:rsid w:val="7616DA4D"/>
    <w:rsid w:val="76186F20"/>
    <w:rsid w:val="761ABBB3"/>
    <w:rsid w:val="76211772"/>
    <w:rsid w:val="76272A75"/>
    <w:rsid w:val="7636377D"/>
    <w:rsid w:val="763D998B"/>
    <w:rsid w:val="76406C65"/>
    <w:rsid w:val="7643902C"/>
    <w:rsid w:val="764AB3EA"/>
    <w:rsid w:val="765C3CE1"/>
    <w:rsid w:val="765C7289"/>
    <w:rsid w:val="765CDEF8"/>
    <w:rsid w:val="76610508"/>
    <w:rsid w:val="76705B80"/>
    <w:rsid w:val="76734ABD"/>
    <w:rsid w:val="76750F88"/>
    <w:rsid w:val="76779132"/>
    <w:rsid w:val="767AB5CF"/>
    <w:rsid w:val="767E8E36"/>
    <w:rsid w:val="768F67DC"/>
    <w:rsid w:val="76972932"/>
    <w:rsid w:val="76982CFB"/>
    <w:rsid w:val="769BBABE"/>
    <w:rsid w:val="76A86B86"/>
    <w:rsid w:val="76AED650"/>
    <w:rsid w:val="76B41D9B"/>
    <w:rsid w:val="76BDC1EE"/>
    <w:rsid w:val="76BE3321"/>
    <w:rsid w:val="76C6DB9C"/>
    <w:rsid w:val="76DD6996"/>
    <w:rsid w:val="76DEA25B"/>
    <w:rsid w:val="76E49213"/>
    <w:rsid w:val="76E4FD6F"/>
    <w:rsid w:val="76E6CF1A"/>
    <w:rsid w:val="76E8A3F9"/>
    <w:rsid w:val="76F0D63E"/>
    <w:rsid w:val="770487BE"/>
    <w:rsid w:val="77106B9D"/>
    <w:rsid w:val="7727B268"/>
    <w:rsid w:val="772A357F"/>
    <w:rsid w:val="77307598"/>
    <w:rsid w:val="7736E0AA"/>
    <w:rsid w:val="7736E99A"/>
    <w:rsid w:val="773E4160"/>
    <w:rsid w:val="77477AED"/>
    <w:rsid w:val="775E1665"/>
    <w:rsid w:val="77629D62"/>
    <w:rsid w:val="776D9418"/>
    <w:rsid w:val="776FD421"/>
    <w:rsid w:val="77745A38"/>
    <w:rsid w:val="7775E9E8"/>
    <w:rsid w:val="7776534F"/>
    <w:rsid w:val="77865904"/>
    <w:rsid w:val="778723A4"/>
    <w:rsid w:val="77991E75"/>
    <w:rsid w:val="77A4037F"/>
    <w:rsid w:val="77BB3A64"/>
    <w:rsid w:val="77C08CF6"/>
    <w:rsid w:val="77C1FA15"/>
    <w:rsid w:val="77C4DC31"/>
    <w:rsid w:val="77C51B18"/>
    <w:rsid w:val="77C9AD62"/>
    <w:rsid w:val="77CA8C55"/>
    <w:rsid w:val="77D1B941"/>
    <w:rsid w:val="77D7BC3D"/>
    <w:rsid w:val="77DC5F2E"/>
    <w:rsid w:val="77E5898D"/>
    <w:rsid w:val="77EAF3B7"/>
    <w:rsid w:val="77EF3DF9"/>
    <w:rsid w:val="77F2ABCE"/>
    <w:rsid w:val="77FF93A4"/>
    <w:rsid w:val="78057AE8"/>
    <w:rsid w:val="780616CE"/>
    <w:rsid w:val="78072C07"/>
    <w:rsid w:val="780CE6DE"/>
    <w:rsid w:val="780D612E"/>
    <w:rsid w:val="78163A12"/>
    <w:rsid w:val="78168D3D"/>
    <w:rsid w:val="7817F4C9"/>
    <w:rsid w:val="7823689B"/>
    <w:rsid w:val="78271F3A"/>
    <w:rsid w:val="7831877F"/>
    <w:rsid w:val="78392204"/>
    <w:rsid w:val="78398967"/>
    <w:rsid w:val="7845AC2F"/>
    <w:rsid w:val="784AFF95"/>
    <w:rsid w:val="78637B4B"/>
    <w:rsid w:val="78685FB4"/>
    <w:rsid w:val="7891B80E"/>
    <w:rsid w:val="7893F1ED"/>
    <w:rsid w:val="78A33CE7"/>
    <w:rsid w:val="78AC7143"/>
    <w:rsid w:val="78AD7F94"/>
    <w:rsid w:val="78B6AFB1"/>
    <w:rsid w:val="78CB83DB"/>
    <w:rsid w:val="78CD52CE"/>
    <w:rsid w:val="78DC042E"/>
    <w:rsid w:val="78DC7D9A"/>
    <w:rsid w:val="78E27B60"/>
    <w:rsid w:val="78EA642E"/>
    <w:rsid w:val="78EA6480"/>
    <w:rsid w:val="78EF121C"/>
    <w:rsid w:val="78EFC813"/>
    <w:rsid w:val="78F352E2"/>
    <w:rsid w:val="78FBC3CD"/>
    <w:rsid w:val="78FD2F81"/>
    <w:rsid w:val="79027D00"/>
    <w:rsid w:val="7911E5C2"/>
    <w:rsid w:val="7915DAF3"/>
    <w:rsid w:val="792537B2"/>
    <w:rsid w:val="792778B6"/>
    <w:rsid w:val="7929837D"/>
    <w:rsid w:val="793143CF"/>
    <w:rsid w:val="793575DF"/>
    <w:rsid w:val="7940B97A"/>
    <w:rsid w:val="7940BA55"/>
    <w:rsid w:val="7941A721"/>
    <w:rsid w:val="794C7D34"/>
    <w:rsid w:val="795D0962"/>
    <w:rsid w:val="795D337D"/>
    <w:rsid w:val="797335CA"/>
    <w:rsid w:val="79792BE3"/>
    <w:rsid w:val="797A3659"/>
    <w:rsid w:val="797A70CC"/>
    <w:rsid w:val="797BD271"/>
    <w:rsid w:val="7981B8E5"/>
    <w:rsid w:val="7984132A"/>
    <w:rsid w:val="79891D02"/>
    <w:rsid w:val="799DBF67"/>
    <w:rsid w:val="799E71BF"/>
    <w:rsid w:val="79A27F78"/>
    <w:rsid w:val="79AD5BFA"/>
    <w:rsid w:val="79B42059"/>
    <w:rsid w:val="79B46324"/>
    <w:rsid w:val="79B843DB"/>
    <w:rsid w:val="79BABDF5"/>
    <w:rsid w:val="79BDBA89"/>
    <w:rsid w:val="79BF8DC4"/>
    <w:rsid w:val="79C6EAB6"/>
    <w:rsid w:val="79CD00FB"/>
    <w:rsid w:val="79D178B2"/>
    <w:rsid w:val="79D33E8D"/>
    <w:rsid w:val="79D4B52C"/>
    <w:rsid w:val="79D4D465"/>
    <w:rsid w:val="79DC1A87"/>
    <w:rsid w:val="79E155CC"/>
    <w:rsid w:val="79E8775B"/>
    <w:rsid w:val="79E8A836"/>
    <w:rsid w:val="79EE1B86"/>
    <w:rsid w:val="79F241E4"/>
    <w:rsid w:val="79F8A2FE"/>
    <w:rsid w:val="79FA40F8"/>
    <w:rsid w:val="7A071C0C"/>
    <w:rsid w:val="7A0A4A8C"/>
    <w:rsid w:val="7A0A67C2"/>
    <w:rsid w:val="7A109BAF"/>
    <w:rsid w:val="7A15F947"/>
    <w:rsid w:val="7A2E7A94"/>
    <w:rsid w:val="7A362220"/>
    <w:rsid w:val="7A472CDC"/>
    <w:rsid w:val="7A4ED876"/>
    <w:rsid w:val="7A51804C"/>
    <w:rsid w:val="7A5423B5"/>
    <w:rsid w:val="7A548A5A"/>
    <w:rsid w:val="7A550F26"/>
    <w:rsid w:val="7A56C5B5"/>
    <w:rsid w:val="7A56F284"/>
    <w:rsid w:val="7A5BC516"/>
    <w:rsid w:val="7A63FF7D"/>
    <w:rsid w:val="7A6A167D"/>
    <w:rsid w:val="7A6E753F"/>
    <w:rsid w:val="7A79C982"/>
    <w:rsid w:val="7A7A757F"/>
    <w:rsid w:val="7A905452"/>
    <w:rsid w:val="7A96CA7F"/>
    <w:rsid w:val="7A978E6A"/>
    <w:rsid w:val="7A9A4C10"/>
    <w:rsid w:val="7AA3BDC5"/>
    <w:rsid w:val="7AA508DD"/>
    <w:rsid w:val="7AA5580C"/>
    <w:rsid w:val="7AA71312"/>
    <w:rsid w:val="7ABE3775"/>
    <w:rsid w:val="7ABF1E32"/>
    <w:rsid w:val="7AC22A9A"/>
    <w:rsid w:val="7AC52DD5"/>
    <w:rsid w:val="7ACB20E4"/>
    <w:rsid w:val="7ACD3201"/>
    <w:rsid w:val="7ACE4D84"/>
    <w:rsid w:val="7ACFF85A"/>
    <w:rsid w:val="7AD130C8"/>
    <w:rsid w:val="7AD1E872"/>
    <w:rsid w:val="7AD3ADB8"/>
    <w:rsid w:val="7AD4FF7E"/>
    <w:rsid w:val="7ADA5EC7"/>
    <w:rsid w:val="7ADB5861"/>
    <w:rsid w:val="7AE19CF4"/>
    <w:rsid w:val="7AE28645"/>
    <w:rsid w:val="7AF5E3A1"/>
    <w:rsid w:val="7AF8F250"/>
    <w:rsid w:val="7AF98A7B"/>
    <w:rsid w:val="7AFA4EC0"/>
    <w:rsid w:val="7B018EE2"/>
    <w:rsid w:val="7B03962D"/>
    <w:rsid w:val="7B0FAD66"/>
    <w:rsid w:val="7B11575D"/>
    <w:rsid w:val="7B16527E"/>
    <w:rsid w:val="7B182724"/>
    <w:rsid w:val="7B1C0202"/>
    <w:rsid w:val="7B222DF1"/>
    <w:rsid w:val="7B27F075"/>
    <w:rsid w:val="7B2888BB"/>
    <w:rsid w:val="7B2CCA9E"/>
    <w:rsid w:val="7B33CE99"/>
    <w:rsid w:val="7B34D48B"/>
    <w:rsid w:val="7B39730E"/>
    <w:rsid w:val="7B410532"/>
    <w:rsid w:val="7B46B5AE"/>
    <w:rsid w:val="7B578842"/>
    <w:rsid w:val="7B5CFCB6"/>
    <w:rsid w:val="7B5E41CB"/>
    <w:rsid w:val="7B62BE0B"/>
    <w:rsid w:val="7B67DC40"/>
    <w:rsid w:val="7B685690"/>
    <w:rsid w:val="7B830C6C"/>
    <w:rsid w:val="7B87DF50"/>
    <w:rsid w:val="7B8DEFE5"/>
    <w:rsid w:val="7B910327"/>
    <w:rsid w:val="7B94A33A"/>
    <w:rsid w:val="7B99CDC3"/>
    <w:rsid w:val="7BA17E64"/>
    <w:rsid w:val="7BA2EF54"/>
    <w:rsid w:val="7BA40F42"/>
    <w:rsid w:val="7BA84D06"/>
    <w:rsid w:val="7BA9E01F"/>
    <w:rsid w:val="7BAF434F"/>
    <w:rsid w:val="7BB32D3F"/>
    <w:rsid w:val="7BB6043F"/>
    <w:rsid w:val="7BB8FFE8"/>
    <w:rsid w:val="7BB9FAA3"/>
    <w:rsid w:val="7BBFF5C1"/>
    <w:rsid w:val="7BC3575C"/>
    <w:rsid w:val="7BC52E4E"/>
    <w:rsid w:val="7BD53109"/>
    <w:rsid w:val="7BD576E7"/>
    <w:rsid w:val="7BEF2B48"/>
    <w:rsid w:val="7C1B0ED2"/>
    <w:rsid w:val="7C1FCFF9"/>
    <w:rsid w:val="7C23C558"/>
    <w:rsid w:val="7C274462"/>
    <w:rsid w:val="7C276343"/>
    <w:rsid w:val="7C28D9E8"/>
    <w:rsid w:val="7C2CC1C4"/>
    <w:rsid w:val="7C2F5F08"/>
    <w:rsid w:val="7C3805D0"/>
    <w:rsid w:val="7C40C3E6"/>
    <w:rsid w:val="7C46F544"/>
    <w:rsid w:val="7C4E8C1E"/>
    <w:rsid w:val="7C5E3017"/>
    <w:rsid w:val="7C64DCD2"/>
    <w:rsid w:val="7C6C9995"/>
    <w:rsid w:val="7C6CC244"/>
    <w:rsid w:val="7C6CF25E"/>
    <w:rsid w:val="7C6F3FE7"/>
    <w:rsid w:val="7C7A3208"/>
    <w:rsid w:val="7C7D2789"/>
    <w:rsid w:val="7C7E012E"/>
    <w:rsid w:val="7C7FBA55"/>
    <w:rsid w:val="7C887995"/>
    <w:rsid w:val="7C8A584C"/>
    <w:rsid w:val="7C8AA619"/>
    <w:rsid w:val="7C8CA893"/>
    <w:rsid w:val="7CA05AD1"/>
    <w:rsid w:val="7CA1057A"/>
    <w:rsid w:val="7CA1B646"/>
    <w:rsid w:val="7CA75ACE"/>
    <w:rsid w:val="7CAC6FC7"/>
    <w:rsid w:val="7CB6203D"/>
    <w:rsid w:val="7CBC1E9D"/>
    <w:rsid w:val="7CC0C201"/>
    <w:rsid w:val="7CC7D7D2"/>
    <w:rsid w:val="7CCF21B6"/>
    <w:rsid w:val="7CD545A8"/>
    <w:rsid w:val="7CD95E03"/>
    <w:rsid w:val="7CFA61C5"/>
    <w:rsid w:val="7CFCFACE"/>
    <w:rsid w:val="7D0228B9"/>
    <w:rsid w:val="7D02CBAE"/>
    <w:rsid w:val="7D0527D0"/>
    <w:rsid w:val="7D31C0A1"/>
    <w:rsid w:val="7D4B9602"/>
    <w:rsid w:val="7D5135BF"/>
    <w:rsid w:val="7D5BBEC2"/>
    <w:rsid w:val="7D5D28F0"/>
    <w:rsid w:val="7D5E6B9A"/>
    <w:rsid w:val="7D62885B"/>
    <w:rsid w:val="7D704300"/>
    <w:rsid w:val="7D7E299B"/>
    <w:rsid w:val="7D8FB62F"/>
    <w:rsid w:val="7D8FDC9E"/>
    <w:rsid w:val="7D925566"/>
    <w:rsid w:val="7D92F528"/>
    <w:rsid w:val="7D985510"/>
    <w:rsid w:val="7DA0DCBF"/>
    <w:rsid w:val="7DB24A54"/>
    <w:rsid w:val="7DB3E118"/>
    <w:rsid w:val="7DBFBB9F"/>
    <w:rsid w:val="7DC0A25B"/>
    <w:rsid w:val="7DD35400"/>
    <w:rsid w:val="7DD398B7"/>
    <w:rsid w:val="7DD4EABA"/>
    <w:rsid w:val="7DDBC7F5"/>
    <w:rsid w:val="7DE057C3"/>
    <w:rsid w:val="7DE67DF0"/>
    <w:rsid w:val="7DE7F846"/>
    <w:rsid w:val="7DFA3FAE"/>
    <w:rsid w:val="7E08953B"/>
    <w:rsid w:val="7E174287"/>
    <w:rsid w:val="7E19D3A0"/>
    <w:rsid w:val="7E27FA9B"/>
    <w:rsid w:val="7E2A3DA0"/>
    <w:rsid w:val="7E2C57F6"/>
    <w:rsid w:val="7E2DDBAA"/>
    <w:rsid w:val="7E30C372"/>
    <w:rsid w:val="7E351946"/>
    <w:rsid w:val="7E3F4715"/>
    <w:rsid w:val="7E43C2C7"/>
    <w:rsid w:val="7E573AB2"/>
    <w:rsid w:val="7E6E151C"/>
    <w:rsid w:val="7E7CDE64"/>
    <w:rsid w:val="7E9062CA"/>
    <w:rsid w:val="7E9760CB"/>
    <w:rsid w:val="7EA8DAC6"/>
    <w:rsid w:val="7EAA3D0E"/>
    <w:rsid w:val="7EAB516E"/>
    <w:rsid w:val="7EBA2E42"/>
    <w:rsid w:val="7ECD4AEC"/>
    <w:rsid w:val="7ECD5832"/>
    <w:rsid w:val="7EDA743E"/>
    <w:rsid w:val="7EEC8B95"/>
    <w:rsid w:val="7EECDA60"/>
    <w:rsid w:val="7EF03821"/>
    <w:rsid w:val="7EF51790"/>
    <w:rsid w:val="7EF74F16"/>
    <w:rsid w:val="7EFAD883"/>
    <w:rsid w:val="7EFB184F"/>
    <w:rsid w:val="7F003CA7"/>
    <w:rsid w:val="7F08EA47"/>
    <w:rsid w:val="7F0C6B29"/>
    <w:rsid w:val="7F0E5834"/>
    <w:rsid w:val="7F243DCD"/>
    <w:rsid w:val="7F2CCF16"/>
    <w:rsid w:val="7F31F74C"/>
    <w:rsid w:val="7F36FDEA"/>
    <w:rsid w:val="7F38AF30"/>
    <w:rsid w:val="7F48B9E6"/>
    <w:rsid w:val="7F4CE783"/>
    <w:rsid w:val="7F514260"/>
    <w:rsid w:val="7F54ACC6"/>
    <w:rsid w:val="7F5CCE40"/>
    <w:rsid w:val="7F643DCE"/>
    <w:rsid w:val="7F69D32B"/>
    <w:rsid w:val="7F6AAD70"/>
    <w:rsid w:val="7F7756AB"/>
    <w:rsid w:val="7F7947C8"/>
    <w:rsid w:val="7F79E75F"/>
    <w:rsid w:val="7F896F91"/>
    <w:rsid w:val="7F945FE8"/>
    <w:rsid w:val="7F9714EC"/>
    <w:rsid w:val="7F98F117"/>
    <w:rsid w:val="7F9A9776"/>
    <w:rsid w:val="7F9ACE88"/>
    <w:rsid w:val="7FA43083"/>
    <w:rsid w:val="7FB0B25B"/>
    <w:rsid w:val="7FBE764E"/>
    <w:rsid w:val="7FC1E8B2"/>
    <w:rsid w:val="7FC38EE8"/>
    <w:rsid w:val="7FC79C3E"/>
    <w:rsid w:val="7FCA0AF5"/>
    <w:rsid w:val="7FCB02E8"/>
    <w:rsid w:val="7FCC1FEE"/>
    <w:rsid w:val="7FD47198"/>
    <w:rsid w:val="7FE5FC4F"/>
    <w:rsid w:val="7FEB85DC"/>
    <w:rsid w:val="7FEC2A6F"/>
    <w:rsid w:val="7FFCFFF8"/>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263BE0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EB31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EB31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semiHidden/>
    <w:unhideWhenUsed/>
    <w:qFormat/>
    <w:rsid w:val="00EB31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semiHidden/>
    <w:unhideWhenUsed/>
    <w:qFormat/>
    <w:rsid w:val="00EB31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semiHidden/>
    <w:unhideWhenUsed/>
    <w:qFormat/>
    <w:rsid w:val="00EB31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semiHidden/>
    <w:unhideWhenUsed/>
    <w:qFormat/>
    <w:rsid w:val="00EB31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semiHidden/>
    <w:unhideWhenUsed/>
    <w:qFormat/>
    <w:rsid w:val="00EB31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semiHidden/>
    <w:unhideWhenUsed/>
    <w:qFormat/>
    <w:rsid w:val="00EB31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semiHidden/>
    <w:unhideWhenUsed/>
    <w:qFormat/>
    <w:rsid w:val="00EB31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B31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EB31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semiHidden/>
    <w:rsid w:val="00EB31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semiHidden/>
    <w:rsid w:val="00EB31B8"/>
    <w:rPr>
      <w:rFonts w:eastAsiaTheme="majorEastAsia" w:cstheme="majorBidi"/>
      <w:i/>
      <w:iCs/>
      <w:color w:val="0F4761" w:themeColor="accent1" w:themeShade="BF"/>
    </w:rPr>
  </w:style>
  <w:style w:type="character" w:customStyle="1" w:styleId="Heading5Char">
    <w:name w:val="Heading 5 Char"/>
    <w:basedOn w:val="DefaultParagraphFont"/>
    <w:link w:val="Heading5"/>
    <w:semiHidden/>
    <w:rsid w:val="00EB31B8"/>
    <w:rPr>
      <w:rFonts w:eastAsiaTheme="majorEastAsia" w:cstheme="majorBidi"/>
      <w:color w:val="0F4761" w:themeColor="accent1" w:themeShade="BF"/>
    </w:rPr>
  </w:style>
  <w:style w:type="character" w:customStyle="1" w:styleId="Heading6Char">
    <w:name w:val="Heading 6 Char"/>
    <w:basedOn w:val="DefaultParagraphFont"/>
    <w:link w:val="Heading6"/>
    <w:semiHidden/>
    <w:rsid w:val="00EB31B8"/>
    <w:rPr>
      <w:rFonts w:eastAsiaTheme="majorEastAsia" w:cstheme="majorBidi"/>
      <w:i/>
      <w:iCs/>
      <w:color w:val="595959" w:themeColor="text1" w:themeTint="A6"/>
    </w:rPr>
  </w:style>
  <w:style w:type="character" w:customStyle="1" w:styleId="Heading7Char">
    <w:name w:val="Heading 7 Char"/>
    <w:basedOn w:val="DefaultParagraphFont"/>
    <w:link w:val="Heading7"/>
    <w:semiHidden/>
    <w:rsid w:val="00EB31B8"/>
    <w:rPr>
      <w:rFonts w:eastAsiaTheme="majorEastAsia" w:cstheme="majorBidi"/>
      <w:color w:val="595959" w:themeColor="text1" w:themeTint="A6"/>
    </w:rPr>
  </w:style>
  <w:style w:type="character" w:customStyle="1" w:styleId="Heading8Char">
    <w:name w:val="Heading 8 Char"/>
    <w:basedOn w:val="DefaultParagraphFont"/>
    <w:link w:val="Heading8"/>
    <w:semiHidden/>
    <w:rsid w:val="00EB31B8"/>
    <w:rPr>
      <w:rFonts w:eastAsiaTheme="majorEastAsia" w:cstheme="majorBidi"/>
      <w:i/>
      <w:iCs/>
      <w:color w:val="272727" w:themeColor="text1" w:themeTint="D8"/>
    </w:rPr>
  </w:style>
  <w:style w:type="character" w:customStyle="1" w:styleId="Heading9Char">
    <w:name w:val="Heading 9 Char"/>
    <w:basedOn w:val="DefaultParagraphFont"/>
    <w:link w:val="Heading9"/>
    <w:semiHidden/>
    <w:rsid w:val="00EB31B8"/>
    <w:rPr>
      <w:rFonts w:eastAsiaTheme="majorEastAsia" w:cstheme="majorBidi"/>
      <w:color w:val="272727" w:themeColor="text1" w:themeTint="D8"/>
    </w:rPr>
  </w:style>
  <w:style w:type="paragraph" w:styleId="Title">
    <w:name w:val="Title"/>
    <w:basedOn w:val="Normal"/>
    <w:next w:val="Normal"/>
    <w:link w:val="TitleChar"/>
    <w:uiPriority w:val="10"/>
    <w:qFormat/>
    <w:rsid w:val="00EB31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31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31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31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31B8"/>
    <w:pPr>
      <w:spacing w:before="160"/>
      <w:jc w:val="center"/>
    </w:pPr>
    <w:rPr>
      <w:i/>
      <w:iCs/>
      <w:color w:val="404040" w:themeColor="text1" w:themeTint="BF"/>
    </w:rPr>
  </w:style>
  <w:style w:type="character" w:customStyle="1" w:styleId="QuoteChar">
    <w:name w:val="Quote Char"/>
    <w:basedOn w:val="DefaultParagraphFont"/>
    <w:link w:val="Quote"/>
    <w:uiPriority w:val="29"/>
    <w:rsid w:val="00EB31B8"/>
    <w:rPr>
      <w:i/>
      <w:iCs/>
      <w:color w:val="404040" w:themeColor="text1" w:themeTint="BF"/>
    </w:rPr>
  </w:style>
  <w:style w:type="paragraph" w:styleId="ListParagraph">
    <w:name w:val="List Paragraph"/>
    <w:aliases w:val="Fiche List Paragraph,OBC Bullet,Dot pt,F5 List Paragraph,List Paragraph1,No Spacing1,List Paragraph Char Char Char,Indicator Text,Numbered Para 1,Bullet 1,Bullet Points,MAIN CONTENT,List Paragraph11,2,Bullet St,L,Lettre d'introduction,bod"/>
    <w:basedOn w:val="Normal"/>
    <w:link w:val="ListParagraphChar"/>
    <w:uiPriority w:val="34"/>
    <w:qFormat/>
    <w:rsid w:val="00EB31B8"/>
    <w:pPr>
      <w:ind w:left="720"/>
      <w:contextualSpacing/>
    </w:pPr>
  </w:style>
  <w:style w:type="character" w:styleId="IntenseEmphasis">
    <w:name w:val="Intense Emphasis"/>
    <w:basedOn w:val="DefaultParagraphFont"/>
    <w:uiPriority w:val="21"/>
    <w:qFormat/>
    <w:rsid w:val="00EB31B8"/>
    <w:rPr>
      <w:i/>
      <w:iCs/>
      <w:color w:val="0F4761" w:themeColor="accent1" w:themeShade="BF"/>
    </w:rPr>
  </w:style>
  <w:style w:type="paragraph" w:styleId="IntenseQuote">
    <w:name w:val="Intense Quote"/>
    <w:basedOn w:val="Normal"/>
    <w:next w:val="Normal"/>
    <w:link w:val="IntenseQuoteChar"/>
    <w:uiPriority w:val="30"/>
    <w:qFormat/>
    <w:rsid w:val="00EB31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31B8"/>
    <w:rPr>
      <w:i/>
      <w:iCs/>
      <w:color w:val="0F4761" w:themeColor="accent1" w:themeShade="BF"/>
    </w:rPr>
  </w:style>
  <w:style w:type="character" w:styleId="IntenseReference">
    <w:name w:val="Intense Reference"/>
    <w:basedOn w:val="DefaultParagraphFont"/>
    <w:uiPriority w:val="32"/>
    <w:qFormat/>
    <w:rsid w:val="00EB31B8"/>
    <w:rPr>
      <w:b/>
      <w:bCs/>
      <w:smallCaps/>
      <w:color w:val="0F4761" w:themeColor="accent1" w:themeShade="BF"/>
      <w:spacing w:val="5"/>
    </w:rPr>
  </w:style>
  <w:style w:type="paragraph" w:styleId="BodyText">
    <w:name w:val="Body Text"/>
    <w:basedOn w:val="Normal"/>
    <w:link w:val="BodyTextChar"/>
    <w:rsid w:val="00EB31B8"/>
    <w:pPr>
      <w:suppressAutoHyphens/>
      <w:spacing w:after="120" w:line="276" w:lineRule="auto"/>
    </w:pPr>
    <w:rPr>
      <w:rFonts w:ascii="Calibri" w:eastAsia="Calibri" w:hAnsi="Calibri" w:cs="Times New Roman"/>
      <w:kern w:val="0"/>
      <w:lang w:eastAsia="ar-SA"/>
      <w14:ligatures w14:val="none"/>
    </w:rPr>
  </w:style>
  <w:style w:type="character" w:customStyle="1" w:styleId="BodyTextChar">
    <w:name w:val="Body Text Char"/>
    <w:basedOn w:val="DefaultParagraphFont"/>
    <w:link w:val="BodyText"/>
    <w:rsid w:val="00EB31B8"/>
    <w:rPr>
      <w:rFonts w:ascii="Calibri" w:eastAsia="Calibri" w:hAnsi="Calibri" w:cs="Times New Roman"/>
      <w:kern w:val="0"/>
      <w:lang w:val="fr-FR" w:eastAsia="ar-SA"/>
      <w14:ligatures w14:val="none"/>
    </w:rPr>
  </w:style>
  <w:style w:type="character" w:styleId="EndnoteReference">
    <w:name w:val="endnote reference"/>
    <w:rsid w:val="00EB31B8"/>
    <w:rPr>
      <w:vertAlign w:val="superscript"/>
    </w:rPr>
  </w:style>
  <w:style w:type="character" w:styleId="Strong">
    <w:name w:val="Strong"/>
    <w:uiPriority w:val="22"/>
    <w:qFormat/>
    <w:rsid w:val="00EB31B8"/>
    <w:rPr>
      <w:b/>
      <w:bCs/>
    </w:rPr>
  </w:style>
  <w:style w:type="character" w:styleId="CommentReference">
    <w:name w:val="annotation reference"/>
    <w:uiPriority w:val="99"/>
    <w:rsid w:val="00EB31B8"/>
    <w:rPr>
      <w:sz w:val="16"/>
      <w:szCs w:val="16"/>
    </w:rPr>
  </w:style>
  <w:style w:type="character" w:styleId="FootnoteReference">
    <w:name w:val="footnote reference"/>
    <w:aliases w:val="Footnote number,Footnote,Footnote symbol,note TESI,Ref,de nota al pie,(NECG) Footnote Reference,fr,Footnote Reference1,Footnote Reference11,o,Voetnootverwijzing,Footnotemark,FR,Footnotemark1,Footnotemark2,FR1,Footnotemark3,FR2,FR3,FR4"/>
    <w:link w:val="FootnoteReferenceLVL6"/>
    <w:uiPriority w:val="99"/>
    <w:qFormat/>
    <w:rsid w:val="00EB31B8"/>
    <w:rPr>
      <w:vertAlign w:val="superscript"/>
    </w:rPr>
  </w:style>
  <w:style w:type="character" w:styleId="Emphasis">
    <w:name w:val="Emphasis"/>
    <w:uiPriority w:val="20"/>
    <w:qFormat/>
    <w:rsid w:val="00EB31B8"/>
    <w:rPr>
      <w:b/>
      <w:bCs/>
      <w:i w:val="0"/>
      <w:iCs w:val="0"/>
    </w:rPr>
  </w:style>
  <w:style w:type="character" w:styleId="Hyperlink">
    <w:name w:val="Hyperlink"/>
    <w:uiPriority w:val="99"/>
    <w:rsid w:val="00EB31B8"/>
    <w:rPr>
      <w:color w:val="0000FF"/>
      <w:u w:val="single"/>
    </w:rPr>
  </w:style>
  <w:style w:type="character" w:styleId="PageNumber">
    <w:name w:val="page number"/>
    <w:rsid w:val="00EB31B8"/>
  </w:style>
  <w:style w:type="paragraph" w:styleId="CommentText">
    <w:name w:val="annotation text"/>
    <w:basedOn w:val="Normal"/>
    <w:link w:val="CommentTextChar"/>
    <w:uiPriority w:val="99"/>
    <w:rsid w:val="00EB31B8"/>
    <w:pPr>
      <w:suppressAutoHyphens/>
      <w:spacing w:after="200" w:line="276" w:lineRule="auto"/>
    </w:pPr>
    <w:rPr>
      <w:rFonts w:ascii="Calibri" w:eastAsia="Calibri" w:hAnsi="Calibri" w:cs="Times New Roman"/>
      <w:kern w:val="0"/>
      <w:sz w:val="20"/>
      <w:szCs w:val="20"/>
      <w:lang w:eastAsia="ar-SA"/>
      <w14:ligatures w14:val="none"/>
    </w:rPr>
  </w:style>
  <w:style w:type="character" w:customStyle="1" w:styleId="CommentTextChar">
    <w:name w:val="Comment Text Char"/>
    <w:basedOn w:val="DefaultParagraphFont"/>
    <w:link w:val="CommentText"/>
    <w:uiPriority w:val="99"/>
    <w:rsid w:val="00EB31B8"/>
    <w:rPr>
      <w:rFonts w:ascii="Calibri" w:eastAsia="Calibri" w:hAnsi="Calibri" w:cs="Times New Roman"/>
      <w:kern w:val="0"/>
      <w:sz w:val="20"/>
      <w:szCs w:val="20"/>
      <w:lang w:val="fr-FR" w:eastAsia="ar-SA"/>
      <w14:ligatures w14:val="none"/>
    </w:rPr>
  </w:style>
  <w:style w:type="paragraph" w:styleId="CommentSubject">
    <w:name w:val="annotation subject"/>
    <w:basedOn w:val="CommentText"/>
    <w:next w:val="CommentText"/>
    <w:link w:val="CommentSubjectChar"/>
    <w:rsid w:val="00EB31B8"/>
    <w:rPr>
      <w:b/>
      <w:bCs/>
    </w:rPr>
  </w:style>
  <w:style w:type="character" w:customStyle="1" w:styleId="CommentSubjectChar">
    <w:name w:val="Comment Subject Char"/>
    <w:basedOn w:val="CommentTextChar"/>
    <w:link w:val="CommentSubject"/>
    <w:rsid w:val="00EB31B8"/>
    <w:rPr>
      <w:rFonts w:ascii="Calibri" w:eastAsia="Calibri" w:hAnsi="Calibri" w:cs="Times New Roman"/>
      <w:b/>
      <w:bCs/>
      <w:kern w:val="0"/>
      <w:sz w:val="20"/>
      <w:szCs w:val="20"/>
      <w:lang w:val="fr-FR" w:eastAsia="ar-SA"/>
      <w14:ligatures w14:val="none"/>
    </w:rPr>
  </w:style>
  <w:style w:type="paragraph" w:styleId="Caption">
    <w:name w:val="caption"/>
    <w:basedOn w:val="Normal"/>
    <w:qFormat/>
    <w:rsid w:val="00EB31B8"/>
    <w:pPr>
      <w:suppressLineNumbers/>
      <w:suppressAutoHyphens/>
      <w:spacing w:before="120" w:after="120" w:line="276" w:lineRule="auto"/>
    </w:pPr>
    <w:rPr>
      <w:rFonts w:ascii="Calibri" w:eastAsia="Calibri" w:hAnsi="Calibri" w:cs="Arial"/>
      <w:i/>
      <w:iCs/>
      <w:kern w:val="0"/>
      <w:sz w:val="24"/>
      <w:szCs w:val="24"/>
      <w:lang w:eastAsia="ar-SA"/>
      <w14:ligatures w14:val="none"/>
    </w:rPr>
  </w:style>
  <w:style w:type="paragraph" w:styleId="EndnoteText">
    <w:name w:val="endnote text"/>
    <w:basedOn w:val="Normal"/>
    <w:link w:val="EndnoteTextChar"/>
    <w:uiPriority w:val="99"/>
    <w:unhideWhenUsed/>
    <w:rsid w:val="00EB31B8"/>
    <w:pPr>
      <w:suppressAutoHyphens/>
      <w:spacing w:after="200" w:line="276" w:lineRule="auto"/>
    </w:pPr>
    <w:rPr>
      <w:rFonts w:ascii="Calibri" w:eastAsia="Calibri" w:hAnsi="Calibri" w:cs="Times New Roman"/>
      <w:kern w:val="0"/>
      <w:sz w:val="20"/>
      <w:szCs w:val="20"/>
      <w:lang w:eastAsia="ar-SA"/>
      <w14:ligatures w14:val="none"/>
    </w:rPr>
  </w:style>
  <w:style w:type="character" w:customStyle="1" w:styleId="EndnoteTextChar">
    <w:name w:val="Endnote Text Char"/>
    <w:basedOn w:val="DefaultParagraphFont"/>
    <w:link w:val="EndnoteText"/>
    <w:uiPriority w:val="99"/>
    <w:rsid w:val="00EB31B8"/>
    <w:rPr>
      <w:rFonts w:ascii="Calibri" w:eastAsia="Calibri" w:hAnsi="Calibri" w:cs="Times New Roman"/>
      <w:kern w:val="0"/>
      <w:sz w:val="20"/>
      <w:szCs w:val="20"/>
      <w:lang w:val="fr-FR" w:eastAsia="ar-SA"/>
      <w14:ligatures w14:val="none"/>
    </w:rPr>
  </w:style>
  <w:style w:type="paragraph" w:styleId="BalloonText">
    <w:name w:val="Balloon Text"/>
    <w:basedOn w:val="Normal"/>
    <w:link w:val="BalloonTextChar"/>
    <w:rsid w:val="00EB31B8"/>
    <w:pPr>
      <w:suppressAutoHyphens/>
      <w:spacing w:after="0" w:line="240" w:lineRule="auto"/>
    </w:pPr>
    <w:rPr>
      <w:rFonts w:ascii="Tahoma" w:eastAsia="Calibri" w:hAnsi="Tahoma" w:cs="Tahoma"/>
      <w:kern w:val="0"/>
      <w:sz w:val="16"/>
      <w:szCs w:val="16"/>
      <w:lang w:eastAsia="ar-SA"/>
      <w14:ligatures w14:val="none"/>
    </w:rPr>
  </w:style>
  <w:style w:type="character" w:customStyle="1" w:styleId="BalloonTextChar">
    <w:name w:val="Balloon Text Char"/>
    <w:basedOn w:val="DefaultParagraphFont"/>
    <w:link w:val="BalloonText"/>
    <w:rsid w:val="00EB31B8"/>
    <w:rPr>
      <w:rFonts w:ascii="Tahoma" w:eastAsia="Calibri" w:hAnsi="Tahoma" w:cs="Tahoma"/>
      <w:kern w:val="0"/>
      <w:sz w:val="16"/>
      <w:szCs w:val="16"/>
      <w:lang w:val="fr-FR" w:eastAsia="ar-SA"/>
      <w14:ligatures w14:val="none"/>
    </w:rPr>
  </w:style>
  <w:style w:type="paragraph" w:styleId="FootnoteText">
    <w:name w:val="footnote text"/>
    <w:aliases w:val="Footnote Text Char2 Char,Footnote Text Char Char Char1,Footnote Text Char1 Char Char Char,Footnote Text Char2 Char Char Char Char,Footnote Text Char1 Char1 Char Char Char Char,Footnote Text Char Char1 Char Char Char Cha,fn,footnote text,C"/>
    <w:basedOn w:val="Normal"/>
    <w:link w:val="FootnoteTextChar"/>
    <w:uiPriority w:val="99"/>
    <w:qFormat/>
    <w:rsid w:val="00EB31B8"/>
    <w:pPr>
      <w:suppressAutoHyphens/>
      <w:spacing w:after="200" w:line="276" w:lineRule="auto"/>
    </w:pPr>
    <w:rPr>
      <w:rFonts w:ascii="Calibri" w:eastAsia="Calibri" w:hAnsi="Calibri" w:cs="Times New Roman"/>
      <w:kern w:val="0"/>
      <w:sz w:val="20"/>
      <w:szCs w:val="20"/>
      <w:lang w:eastAsia="ar-SA"/>
      <w14:ligatures w14:val="none"/>
    </w:rPr>
  </w:style>
  <w:style w:type="character" w:customStyle="1" w:styleId="FootnoteTextChar">
    <w:name w:val="Footnote Text Char"/>
    <w:aliases w:val="Footnote Text Char2 Char Char,Footnote Text Char Char Char1 Char,Footnote Text Char1 Char Char Char Char,Footnote Text Char2 Char Char Char Char Char,Footnote Text Char1 Char1 Char Char Char Char Char,fn Char,footnote text Char,C Char"/>
    <w:basedOn w:val="DefaultParagraphFont"/>
    <w:link w:val="FootnoteText"/>
    <w:uiPriority w:val="99"/>
    <w:qFormat/>
    <w:rsid w:val="00EB31B8"/>
    <w:rPr>
      <w:rFonts w:ascii="Calibri" w:eastAsia="Calibri" w:hAnsi="Calibri" w:cs="Times New Roman"/>
      <w:kern w:val="0"/>
      <w:sz w:val="20"/>
      <w:szCs w:val="20"/>
      <w:lang w:val="fr-FR" w:eastAsia="ar-SA"/>
      <w14:ligatures w14:val="none"/>
    </w:rPr>
  </w:style>
  <w:style w:type="paragraph" w:styleId="List">
    <w:name w:val="List"/>
    <w:basedOn w:val="BodyText"/>
    <w:rsid w:val="00EB31B8"/>
    <w:rPr>
      <w:rFonts w:cs="Arial"/>
    </w:rPr>
  </w:style>
  <w:style w:type="paragraph" w:styleId="Header">
    <w:name w:val="header"/>
    <w:basedOn w:val="Normal"/>
    <w:link w:val="HeaderChar"/>
    <w:rsid w:val="00EB31B8"/>
    <w:pPr>
      <w:tabs>
        <w:tab w:val="center" w:pos="4536"/>
        <w:tab w:val="right" w:pos="9072"/>
      </w:tabs>
      <w:suppressAutoHyphens/>
      <w:spacing w:after="0" w:line="240" w:lineRule="auto"/>
    </w:pPr>
    <w:rPr>
      <w:rFonts w:ascii="Calibri" w:eastAsia="Calibri" w:hAnsi="Calibri" w:cs="Times New Roman"/>
      <w:kern w:val="0"/>
      <w:lang w:eastAsia="ar-SA"/>
      <w14:ligatures w14:val="none"/>
    </w:rPr>
  </w:style>
  <w:style w:type="character" w:customStyle="1" w:styleId="HeaderChar">
    <w:name w:val="Header Char"/>
    <w:basedOn w:val="DefaultParagraphFont"/>
    <w:link w:val="Header"/>
    <w:rsid w:val="00EB31B8"/>
    <w:rPr>
      <w:rFonts w:ascii="Calibri" w:eastAsia="Calibri" w:hAnsi="Calibri" w:cs="Times New Roman"/>
      <w:kern w:val="0"/>
      <w:lang w:val="fr-FR" w:eastAsia="ar-SA"/>
      <w14:ligatures w14:val="none"/>
    </w:rPr>
  </w:style>
  <w:style w:type="paragraph" w:styleId="Footer">
    <w:name w:val="footer"/>
    <w:basedOn w:val="Normal"/>
    <w:link w:val="FooterChar"/>
    <w:uiPriority w:val="99"/>
    <w:rsid w:val="00EB31B8"/>
    <w:pPr>
      <w:tabs>
        <w:tab w:val="center" w:pos="4536"/>
        <w:tab w:val="right" w:pos="9072"/>
      </w:tabs>
      <w:suppressAutoHyphens/>
      <w:spacing w:after="200" w:line="276" w:lineRule="auto"/>
    </w:pPr>
    <w:rPr>
      <w:rFonts w:ascii="Calibri" w:eastAsia="Calibri" w:hAnsi="Calibri" w:cs="Times New Roman"/>
      <w:kern w:val="0"/>
      <w:lang w:eastAsia="ar-SA"/>
      <w14:ligatures w14:val="none"/>
    </w:rPr>
  </w:style>
  <w:style w:type="character" w:customStyle="1" w:styleId="FooterChar">
    <w:name w:val="Footer Char"/>
    <w:basedOn w:val="DefaultParagraphFont"/>
    <w:link w:val="Footer"/>
    <w:uiPriority w:val="99"/>
    <w:rsid w:val="00EB31B8"/>
    <w:rPr>
      <w:rFonts w:ascii="Calibri" w:eastAsia="Calibri" w:hAnsi="Calibri" w:cs="Times New Roman"/>
      <w:kern w:val="0"/>
      <w:lang w:val="fr-FR" w:eastAsia="ar-SA"/>
      <w14:ligatures w14:val="none"/>
    </w:rPr>
  </w:style>
  <w:style w:type="paragraph" w:styleId="Date">
    <w:name w:val="Date"/>
    <w:basedOn w:val="Normal"/>
    <w:next w:val="References"/>
    <w:link w:val="DateChar"/>
    <w:uiPriority w:val="1"/>
    <w:rsid w:val="00EB31B8"/>
    <w:pPr>
      <w:spacing w:after="0" w:line="240" w:lineRule="auto"/>
      <w:ind w:left="5102" w:right="-567"/>
    </w:pPr>
    <w:rPr>
      <w:rFonts w:ascii="Times New Roman" w:eastAsia="Times New Roman" w:hAnsi="Times New Roman" w:cs="Times New Roman"/>
      <w:kern w:val="0"/>
      <w:sz w:val="24"/>
      <w:szCs w:val="20"/>
      <w:lang w:eastAsia="en-IE"/>
      <w14:ligatures w14:val="none"/>
    </w:rPr>
  </w:style>
  <w:style w:type="character" w:customStyle="1" w:styleId="DateChar">
    <w:name w:val="Date Char"/>
    <w:basedOn w:val="DefaultParagraphFont"/>
    <w:link w:val="Date"/>
    <w:uiPriority w:val="1"/>
    <w:rsid w:val="00EB31B8"/>
    <w:rPr>
      <w:rFonts w:ascii="Times New Roman" w:eastAsia="Times New Roman" w:hAnsi="Times New Roman" w:cs="Times New Roman"/>
      <w:kern w:val="0"/>
      <w:sz w:val="24"/>
      <w:szCs w:val="20"/>
      <w:lang w:val="fr-FR" w:eastAsia="en-IE"/>
      <w14:ligatures w14:val="none"/>
    </w:rPr>
  </w:style>
  <w:style w:type="paragraph" w:customStyle="1" w:styleId="References">
    <w:name w:val="References"/>
    <w:basedOn w:val="Normal"/>
    <w:uiPriority w:val="1"/>
    <w:rsid w:val="00EB31B8"/>
    <w:pPr>
      <w:spacing w:after="240" w:line="240" w:lineRule="auto"/>
      <w:ind w:left="5102" w:right="-567"/>
      <w:contextualSpacing/>
    </w:pPr>
    <w:rPr>
      <w:rFonts w:ascii="Times New Roman" w:eastAsia="Times New Roman" w:hAnsi="Times New Roman" w:cs="Times New Roman"/>
      <w:kern w:val="0"/>
      <w:sz w:val="20"/>
      <w:szCs w:val="20"/>
      <w:lang w:eastAsia="en-IE"/>
      <w14:ligatures w14:val="none"/>
    </w:rPr>
  </w:style>
  <w:style w:type="paragraph" w:styleId="NormalWeb">
    <w:name w:val="Normal (Web)"/>
    <w:basedOn w:val="Normal"/>
    <w:uiPriority w:val="99"/>
    <w:unhideWhenUsed/>
    <w:rsid w:val="00EB31B8"/>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PlainText">
    <w:name w:val="Plain Text"/>
    <w:basedOn w:val="Normal"/>
    <w:link w:val="PlainTextChar"/>
    <w:uiPriority w:val="99"/>
    <w:unhideWhenUsed/>
    <w:rsid w:val="00EB31B8"/>
    <w:pPr>
      <w:spacing w:after="0" w:line="240" w:lineRule="auto"/>
    </w:pPr>
    <w:rPr>
      <w:rFonts w:ascii="Calibri" w:eastAsia="Times New Roman" w:hAnsi="Calibri" w:cs="Consolas"/>
      <w:kern w:val="0"/>
      <w:szCs w:val="21"/>
      <w14:ligatures w14:val="none"/>
    </w:rPr>
  </w:style>
  <w:style w:type="character" w:customStyle="1" w:styleId="PlainTextChar">
    <w:name w:val="Plain Text Char"/>
    <w:basedOn w:val="DefaultParagraphFont"/>
    <w:link w:val="PlainText"/>
    <w:uiPriority w:val="99"/>
    <w:rsid w:val="00EB31B8"/>
    <w:rPr>
      <w:rFonts w:ascii="Calibri" w:eastAsia="Times New Roman" w:hAnsi="Calibri" w:cs="Consolas"/>
      <w:kern w:val="0"/>
      <w:szCs w:val="21"/>
      <w:lang w:val="fr-FR"/>
      <w14:ligatures w14:val="none"/>
    </w:rPr>
  </w:style>
  <w:style w:type="paragraph" w:styleId="Signature">
    <w:name w:val="Signature"/>
    <w:basedOn w:val="Normal"/>
    <w:next w:val="Normal"/>
    <w:link w:val="SignatureChar"/>
    <w:rsid w:val="00EB31B8"/>
    <w:pPr>
      <w:tabs>
        <w:tab w:val="left" w:pos="5103"/>
      </w:tabs>
      <w:suppressAutoHyphens/>
      <w:spacing w:before="1200" w:after="0" w:line="240" w:lineRule="auto"/>
      <w:ind w:left="5103"/>
      <w:jc w:val="center"/>
    </w:pPr>
    <w:rPr>
      <w:rFonts w:ascii="Times New Roman" w:eastAsia="Times New Roman" w:hAnsi="Times New Roman" w:cs="Times New Roman"/>
      <w:kern w:val="0"/>
      <w:sz w:val="24"/>
      <w:szCs w:val="20"/>
      <w:lang w:eastAsia="ar-SA"/>
      <w14:ligatures w14:val="none"/>
    </w:rPr>
  </w:style>
  <w:style w:type="character" w:customStyle="1" w:styleId="SignatureChar">
    <w:name w:val="Signature Char"/>
    <w:basedOn w:val="DefaultParagraphFont"/>
    <w:link w:val="Signature"/>
    <w:rsid w:val="00EB31B8"/>
    <w:rPr>
      <w:rFonts w:ascii="Times New Roman" w:eastAsia="Times New Roman" w:hAnsi="Times New Roman" w:cs="Times New Roman"/>
      <w:kern w:val="0"/>
      <w:sz w:val="24"/>
      <w:szCs w:val="20"/>
      <w:lang w:val="fr-FR" w:eastAsia="ar-SA"/>
      <w14:ligatures w14:val="none"/>
    </w:rPr>
  </w:style>
  <w:style w:type="table" w:styleId="TableGrid">
    <w:name w:val="Table Grid"/>
    <w:basedOn w:val="TableNormal"/>
    <w:uiPriority w:val="59"/>
    <w:rsid w:val="00EB31B8"/>
    <w:pPr>
      <w:spacing w:after="0" w:line="240" w:lineRule="auto"/>
    </w:pPr>
    <w:rPr>
      <w:rFonts w:ascii="Times New Roman" w:eastAsia="SimSun" w:hAnsi="Times New Roman" w:cs="Times New Roman"/>
      <w:kern w:val="0"/>
      <w:sz w:val="20"/>
      <w:szCs w:val="20"/>
      <w:lang w:eastAsia="en-IE"/>
      <w14:ligatures w14:val="none"/>
    </w:rPr>
    <w:tblPr/>
  </w:style>
  <w:style w:type="character" w:customStyle="1" w:styleId="WW8Num1z0">
    <w:name w:val="WW8Num1z0"/>
    <w:rsid w:val="00EB31B8"/>
  </w:style>
  <w:style w:type="character" w:customStyle="1" w:styleId="WW8Num1z1">
    <w:name w:val="WW8Num1z1"/>
    <w:rsid w:val="00EB31B8"/>
  </w:style>
  <w:style w:type="character" w:customStyle="1" w:styleId="WW8Num1z2">
    <w:name w:val="WW8Num1z2"/>
    <w:rsid w:val="00EB31B8"/>
  </w:style>
  <w:style w:type="character" w:customStyle="1" w:styleId="WW8Num1z3">
    <w:name w:val="WW8Num1z3"/>
    <w:rsid w:val="00EB31B8"/>
  </w:style>
  <w:style w:type="character" w:customStyle="1" w:styleId="WW8Num1z4">
    <w:name w:val="WW8Num1z4"/>
    <w:rsid w:val="00EB31B8"/>
  </w:style>
  <w:style w:type="character" w:customStyle="1" w:styleId="WW8Num1z5">
    <w:name w:val="WW8Num1z5"/>
    <w:rsid w:val="00EB31B8"/>
  </w:style>
  <w:style w:type="character" w:customStyle="1" w:styleId="WW8Num1z6">
    <w:name w:val="WW8Num1z6"/>
    <w:rsid w:val="00EB31B8"/>
  </w:style>
  <w:style w:type="character" w:customStyle="1" w:styleId="WW8Num1z7">
    <w:name w:val="WW8Num1z7"/>
    <w:rsid w:val="00EB31B8"/>
  </w:style>
  <w:style w:type="character" w:customStyle="1" w:styleId="WW8Num1z8">
    <w:name w:val="WW8Num1z8"/>
    <w:rsid w:val="00EB31B8"/>
  </w:style>
  <w:style w:type="character" w:customStyle="1" w:styleId="WW8Num2z0">
    <w:name w:val="WW8Num2z0"/>
    <w:rsid w:val="00EB31B8"/>
    <w:rPr>
      <w:rFonts w:ascii="Symbol" w:hAnsi="Symbol" w:cs="Symbol" w:hint="default"/>
    </w:rPr>
  </w:style>
  <w:style w:type="character" w:customStyle="1" w:styleId="WW8Num2z1">
    <w:name w:val="WW8Num2z1"/>
    <w:rsid w:val="00EB31B8"/>
    <w:rPr>
      <w:rFonts w:ascii="Courier New" w:hAnsi="Courier New" w:cs="Courier New" w:hint="default"/>
    </w:rPr>
  </w:style>
  <w:style w:type="character" w:customStyle="1" w:styleId="WW8Num2z2">
    <w:name w:val="WW8Num2z2"/>
    <w:rsid w:val="00EB31B8"/>
    <w:rPr>
      <w:rFonts w:ascii="Wingdings" w:hAnsi="Wingdings" w:cs="Wingdings" w:hint="default"/>
    </w:rPr>
  </w:style>
  <w:style w:type="character" w:customStyle="1" w:styleId="WW8Num3z0">
    <w:name w:val="WW8Num3z0"/>
    <w:rsid w:val="00EB31B8"/>
  </w:style>
  <w:style w:type="character" w:customStyle="1" w:styleId="WW8Num3z1">
    <w:name w:val="WW8Num3z1"/>
    <w:rsid w:val="00EB31B8"/>
  </w:style>
  <w:style w:type="character" w:customStyle="1" w:styleId="WW8Num3z2">
    <w:name w:val="WW8Num3z2"/>
    <w:rsid w:val="00EB31B8"/>
  </w:style>
  <w:style w:type="character" w:customStyle="1" w:styleId="WW8Num3z3">
    <w:name w:val="WW8Num3z3"/>
    <w:rsid w:val="00EB31B8"/>
  </w:style>
  <w:style w:type="character" w:customStyle="1" w:styleId="WW8Num3z4">
    <w:name w:val="WW8Num3z4"/>
    <w:rsid w:val="00EB31B8"/>
  </w:style>
  <w:style w:type="character" w:customStyle="1" w:styleId="WW8Num3z5">
    <w:name w:val="WW8Num3z5"/>
    <w:rsid w:val="00EB31B8"/>
  </w:style>
  <w:style w:type="character" w:customStyle="1" w:styleId="WW8Num3z6">
    <w:name w:val="WW8Num3z6"/>
    <w:rsid w:val="00EB31B8"/>
  </w:style>
  <w:style w:type="character" w:customStyle="1" w:styleId="WW8Num3z7">
    <w:name w:val="WW8Num3z7"/>
    <w:rsid w:val="00EB31B8"/>
  </w:style>
  <w:style w:type="character" w:customStyle="1" w:styleId="WW8Num3z8">
    <w:name w:val="WW8Num3z8"/>
    <w:rsid w:val="00EB31B8"/>
  </w:style>
  <w:style w:type="character" w:customStyle="1" w:styleId="WW8Num4z0">
    <w:name w:val="WW8Num4z0"/>
    <w:rsid w:val="00EB31B8"/>
    <w:rPr>
      <w:rFonts w:ascii="Times New Roman" w:eastAsia="Calibri" w:hAnsi="Times New Roman" w:cs="Times New Roman" w:hint="default"/>
    </w:rPr>
  </w:style>
  <w:style w:type="character" w:customStyle="1" w:styleId="WW8Num4z1">
    <w:name w:val="WW8Num4z1"/>
    <w:rsid w:val="00EB31B8"/>
    <w:rPr>
      <w:rFonts w:ascii="Courier New" w:hAnsi="Courier New" w:cs="Courier New" w:hint="default"/>
    </w:rPr>
  </w:style>
  <w:style w:type="character" w:customStyle="1" w:styleId="WW8Num4z2">
    <w:name w:val="WW8Num4z2"/>
    <w:rsid w:val="00EB31B8"/>
    <w:rPr>
      <w:rFonts w:ascii="Wingdings" w:hAnsi="Wingdings" w:cs="Wingdings" w:hint="default"/>
    </w:rPr>
  </w:style>
  <w:style w:type="character" w:customStyle="1" w:styleId="WW8Num4z3">
    <w:name w:val="WW8Num4z3"/>
    <w:rsid w:val="00EB31B8"/>
    <w:rPr>
      <w:rFonts w:ascii="Symbol" w:hAnsi="Symbol" w:cs="Symbol" w:hint="default"/>
    </w:rPr>
  </w:style>
  <w:style w:type="character" w:customStyle="1" w:styleId="WW8Num5z0">
    <w:name w:val="WW8Num5z0"/>
    <w:rsid w:val="00EB31B8"/>
    <w:rPr>
      <w:rFonts w:ascii="Symbol" w:hAnsi="Symbol" w:cs="Symbol" w:hint="default"/>
    </w:rPr>
  </w:style>
  <w:style w:type="character" w:customStyle="1" w:styleId="WW8Num5z1">
    <w:name w:val="WW8Num5z1"/>
    <w:rsid w:val="00EB31B8"/>
    <w:rPr>
      <w:rFonts w:ascii="Courier New" w:hAnsi="Courier New" w:cs="Courier New" w:hint="default"/>
    </w:rPr>
  </w:style>
  <w:style w:type="character" w:customStyle="1" w:styleId="WW8Num5z2">
    <w:name w:val="WW8Num5z2"/>
    <w:rsid w:val="00EB31B8"/>
    <w:rPr>
      <w:rFonts w:ascii="Wingdings" w:hAnsi="Wingdings" w:cs="Wingdings" w:hint="default"/>
    </w:rPr>
  </w:style>
  <w:style w:type="character" w:customStyle="1" w:styleId="WW8Num6z0">
    <w:name w:val="WW8Num6z0"/>
    <w:rsid w:val="00EB31B8"/>
  </w:style>
  <w:style w:type="character" w:customStyle="1" w:styleId="WW8Num6z1">
    <w:name w:val="WW8Num6z1"/>
    <w:rsid w:val="00EB31B8"/>
  </w:style>
  <w:style w:type="character" w:customStyle="1" w:styleId="WW8Num6z2">
    <w:name w:val="WW8Num6z2"/>
    <w:rsid w:val="00EB31B8"/>
  </w:style>
  <w:style w:type="character" w:customStyle="1" w:styleId="WW8Num6z3">
    <w:name w:val="WW8Num6z3"/>
    <w:rsid w:val="00EB31B8"/>
  </w:style>
  <w:style w:type="character" w:customStyle="1" w:styleId="WW8Num6z4">
    <w:name w:val="WW8Num6z4"/>
    <w:rsid w:val="00EB31B8"/>
  </w:style>
  <w:style w:type="character" w:customStyle="1" w:styleId="WW8Num6z5">
    <w:name w:val="WW8Num6z5"/>
    <w:rsid w:val="00EB31B8"/>
  </w:style>
  <w:style w:type="character" w:customStyle="1" w:styleId="WW8Num6z6">
    <w:name w:val="WW8Num6z6"/>
    <w:rsid w:val="00EB31B8"/>
  </w:style>
  <w:style w:type="character" w:customStyle="1" w:styleId="WW8Num6z7">
    <w:name w:val="WW8Num6z7"/>
    <w:rsid w:val="00EB31B8"/>
  </w:style>
  <w:style w:type="character" w:customStyle="1" w:styleId="WW8Num6z8">
    <w:name w:val="WW8Num6z8"/>
    <w:rsid w:val="00EB31B8"/>
  </w:style>
  <w:style w:type="character" w:customStyle="1" w:styleId="WW8Num7z0">
    <w:name w:val="WW8Num7z0"/>
    <w:rsid w:val="00EB31B8"/>
    <w:rPr>
      <w:rFonts w:ascii="Symbol" w:hAnsi="Symbol" w:cs="Symbol" w:hint="default"/>
    </w:rPr>
  </w:style>
  <w:style w:type="character" w:customStyle="1" w:styleId="WW8Num7z1">
    <w:name w:val="WW8Num7z1"/>
    <w:rsid w:val="00EB31B8"/>
  </w:style>
  <w:style w:type="character" w:customStyle="1" w:styleId="WW8Num7z2">
    <w:name w:val="WW8Num7z2"/>
    <w:rsid w:val="00EB31B8"/>
  </w:style>
  <w:style w:type="character" w:customStyle="1" w:styleId="WW8Num7z3">
    <w:name w:val="WW8Num7z3"/>
    <w:rsid w:val="00EB31B8"/>
  </w:style>
  <w:style w:type="character" w:customStyle="1" w:styleId="WW8Num7z4">
    <w:name w:val="WW8Num7z4"/>
    <w:rsid w:val="00EB31B8"/>
  </w:style>
  <w:style w:type="character" w:customStyle="1" w:styleId="WW8Num7z5">
    <w:name w:val="WW8Num7z5"/>
    <w:rsid w:val="00EB31B8"/>
  </w:style>
  <w:style w:type="character" w:customStyle="1" w:styleId="WW8Num7z6">
    <w:name w:val="WW8Num7z6"/>
    <w:rsid w:val="00EB31B8"/>
  </w:style>
  <w:style w:type="character" w:customStyle="1" w:styleId="WW8Num7z7">
    <w:name w:val="WW8Num7z7"/>
    <w:rsid w:val="00EB31B8"/>
  </w:style>
  <w:style w:type="character" w:customStyle="1" w:styleId="WW8Num7z8">
    <w:name w:val="WW8Num7z8"/>
    <w:rsid w:val="00EB31B8"/>
  </w:style>
  <w:style w:type="character" w:customStyle="1" w:styleId="WW8Num8z0">
    <w:name w:val="WW8Num8z0"/>
    <w:rsid w:val="00EB31B8"/>
    <w:rPr>
      <w:rFonts w:ascii="Symbol" w:hAnsi="Symbol" w:cs="Symbol" w:hint="default"/>
    </w:rPr>
  </w:style>
  <w:style w:type="character" w:customStyle="1" w:styleId="WW8Num8z1">
    <w:name w:val="WW8Num8z1"/>
    <w:rsid w:val="00EB31B8"/>
    <w:rPr>
      <w:rFonts w:ascii="Courier New" w:hAnsi="Courier New" w:cs="Courier New" w:hint="default"/>
    </w:rPr>
  </w:style>
  <w:style w:type="character" w:customStyle="1" w:styleId="WW8Num8z2">
    <w:name w:val="WW8Num8z2"/>
    <w:rsid w:val="00EB31B8"/>
    <w:rPr>
      <w:rFonts w:ascii="Wingdings" w:hAnsi="Wingdings" w:cs="Wingdings" w:hint="default"/>
    </w:rPr>
  </w:style>
  <w:style w:type="character" w:customStyle="1" w:styleId="WW8Num9z0">
    <w:name w:val="WW8Num9z0"/>
    <w:rsid w:val="00EB31B8"/>
    <w:rPr>
      <w:rFonts w:ascii="Symbol" w:hAnsi="Symbol" w:cs="Symbol" w:hint="default"/>
      <w:sz w:val="24"/>
      <w:szCs w:val="24"/>
    </w:rPr>
  </w:style>
  <w:style w:type="character" w:customStyle="1" w:styleId="WW8Num9z1">
    <w:name w:val="WW8Num9z1"/>
    <w:rsid w:val="00EB31B8"/>
    <w:rPr>
      <w:rFonts w:ascii="Courier New" w:hAnsi="Courier New" w:cs="Courier New" w:hint="default"/>
    </w:rPr>
  </w:style>
  <w:style w:type="character" w:customStyle="1" w:styleId="WW8Num9z2">
    <w:name w:val="WW8Num9z2"/>
    <w:rsid w:val="00EB31B8"/>
    <w:rPr>
      <w:rFonts w:ascii="Wingdings" w:hAnsi="Wingdings" w:cs="Wingdings" w:hint="default"/>
    </w:rPr>
  </w:style>
  <w:style w:type="character" w:customStyle="1" w:styleId="WW8Num10z0">
    <w:name w:val="WW8Num10z0"/>
    <w:rsid w:val="00EB31B8"/>
    <w:rPr>
      <w:rFonts w:ascii="Symbol" w:hAnsi="Symbol" w:cs="Symbol" w:hint="default"/>
    </w:rPr>
  </w:style>
  <w:style w:type="character" w:customStyle="1" w:styleId="WW8Num10z1">
    <w:name w:val="WW8Num10z1"/>
    <w:rsid w:val="00EB31B8"/>
    <w:rPr>
      <w:rFonts w:ascii="Courier New" w:hAnsi="Courier New" w:cs="Courier New" w:hint="default"/>
    </w:rPr>
  </w:style>
  <w:style w:type="character" w:customStyle="1" w:styleId="WW8Num10z2">
    <w:name w:val="WW8Num10z2"/>
    <w:rsid w:val="00EB31B8"/>
    <w:rPr>
      <w:rFonts w:ascii="Wingdings" w:hAnsi="Wingdings" w:cs="Wingdings" w:hint="default"/>
    </w:rPr>
  </w:style>
  <w:style w:type="character" w:customStyle="1" w:styleId="WW8Num11z0">
    <w:name w:val="WW8Num11z0"/>
    <w:rsid w:val="00EB31B8"/>
  </w:style>
  <w:style w:type="character" w:customStyle="1" w:styleId="WW8Num11z1">
    <w:name w:val="WW8Num11z1"/>
    <w:rsid w:val="00EB31B8"/>
  </w:style>
  <w:style w:type="character" w:customStyle="1" w:styleId="WW8Num11z2">
    <w:name w:val="WW8Num11z2"/>
    <w:rsid w:val="00EB31B8"/>
  </w:style>
  <w:style w:type="character" w:customStyle="1" w:styleId="WW8Num11z3">
    <w:name w:val="WW8Num11z3"/>
    <w:rsid w:val="00EB31B8"/>
  </w:style>
  <w:style w:type="character" w:customStyle="1" w:styleId="WW8Num11z4">
    <w:name w:val="WW8Num11z4"/>
    <w:rsid w:val="00EB31B8"/>
  </w:style>
  <w:style w:type="character" w:customStyle="1" w:styleId="WW8Num11z5">
    <w:name w:val="WW8Num11z5"/>
    <w:rsid w:val="00EB31B8"/>
  </w:style>
  <w:style w:type="character" w:customStyle="1" w:styleId="WW8Num11z6">
    <w:name w:val="WW8Num11z6"/>
    <w:rsid w:val="00EB31B8"/>
  </w:style>
  <w:style w:type="character" w:customStyle="1" w:styleId="WW8Num11z7">
    <w:name w:val="WW8Num11z7"/>
    <w:rsid w:val="00EB31B8"/>
  </w:style>
  <w:style w:type="character" w:customStyle="1" w:styleId="WW8Num11z8">
    <w:name w:val="WW8Num11z8"/>
    <w:rsid w:val="00EB31B8"/>
  </w:style>
  <w:style w:type="character" w:customStyle="1" w:styleId="WW8Num12z0">
    <w:name w:val="WW8Num12z0"/>
    <w:rsid w:val="00EB31B8"/>
    <w:rPr>
      <w:rFonts w:ascii="Symbol" w:hAnsi="Symbol" w:cs="Symbol" w:hint="default"/>
    </w:rPr>
  </w:style>
  <w:style w:type="character" w:customStyle="1" w:styleId="WW8Num12z1">
    <w:name w:val="WW8Num12z1"/>
    <w:rsid w:val="00EB31B8"/>
    <w:rPr>
      <w:rFonts w:ascii="Courier New" w:hAnsi="Courier New" w:cs="Courier New" w:hint="default"/>
    </w:rPr>
  </w:style>
  <w:style w:type="character" w:customStyle="1" w:styleId="WW8Num12z2">
    <w:name w:val="WW8Num12z2"/>
    <w:rsid w:val="00EB31B8"/>
    <w:rPr>
      <w:rFonts w:ascii="Wingdings" w:hAnsi="Wingdings" w:cs="Wingdings" w:hint="default"/>
    </w:rPr>
  </w:style>
  <w:style w:type="character" w:customStyle="1" w:styleId="WW8Num13z0">
    <w:name w:val="WW8Num13z0"/>
    <w:rsid w:val="00EB31B8"/>
  </w:style>
  <w:style w:type="character" w:customStyle="1" w:styleId="WW8Num13z1">
    <w:name w:val="WW8Num13z1"/>
    <w:rsid w:val="00EB31B8"/>
  </w:style>
  <w:style w:type="character" w:customStyle="1" w:styleId="WW8Num13z2">
    <w:name w:val="WW8Num13z2"/>
    <w:rsid w:val="00EB31B8"/>
  </w:style>
  <w:style w:type="character" w:customStyle="1" w:styleId="WW8Num13z3">
    <w:name w:val="WW8Num13z3"/>
    <w:rsid w:val="00EB31B8"/>
  </w:style>
  <w:style w:type="character" w:customStyle="1" w:styleId="WW8Num13z4">
    <w:name w:val="WW8Num13z4"/>
    <w:rsid w:val="00EB31B8"/>
  </w:style>
  <w:style w:type="character" w:customStyle="1" w:styleId="WW8Num13z5">
    <w:name w:val="WW8Num13z5"/>
    <w:rsid w:val="00EB31B8"/>
  </w:style>
  <w:style w:type="character" w:customStyle="1" w:styleId="WW8Num13z6">
    <w:name w:val="WW8Num13z6"/>
    <w:rsid w:val="00EB31B8"/>
  </w:style>
  <w:style w:type="character" w:customStyle="1" w:styleId="WW8Num13z7">
    <w:name w:val="WW8Num13z7"/>
    <w:rsid w:val="00EB31B8"/>
  </w:style>
  <w:style w:type="character" w:customStyle="1" w:styleId="WW8Num13z8">
    <w:name w:val="WW8Num13z8"/>
    <w:rsid w:val="00EB31B8"/>
  </w:style>
  <w:style w:type="character" w:customStyle="1" w:styleId="WW8Num14z0">
    <w:name w:val="WW8Num14z0"/>
    <w:rsid w:val="00EB31B8"/>
    <w:rPr>
      <w:rFonts w:ascii="Times New Roman" w:eastAsia="Calibri" w:hAnsi="Times New Roman" w:cs="Times New Roman" w:hint="default"/>
    </w:rPr>
  </w:style>
  <w:style w:type="character" w:customStyle="1" w:styleId="WW8Num14z1">
    <w:name w:val="WW8Num14z1"/>
    <w:rsid w:val="00EB31B8"/>
    <w:rPr>
      <w:rFonts w:ascii="Courier New" w:hAnsi="Courier New" w:cs="Courier New" w:hint="default"/>
    </w:rPr>
  </w:style>
  <w:style w:type="character" w:customStyle="1" w:styleId="WW8Num14z2">
    <w:name w:val="WW8Num14z2"/>
    <w:rsid w:val="00EB31B8"/>
    <w:rPr>
      <w:rFonts w:ascii="Wingdings" w:hAnsi="Wingdings" w:cs="Wingdings" w:hint="default"/>
    </w:rPr>
  </w:style>
  <w:style w:type="character" w:customStyle="1" w:styleId="WW8Num14z3">
    <w:name w:val="WW8Num14z3"/>
    <w:rsid w:val="00EB31B8"/>
    <w:rPr>
      <w:rFonts w:ascii="Symbol" w:hAnsi="Symbol" w:cs="Symbol" w:hint="default"/>
    </w:rPr>
  </w:style>
  <w:style w:type="character" w:customStyle="1" w:styleId="WW8Num15z0">
    <w:name w:val="WW8Num15z0"/>
    <w:rsid w:val="00EB31B8"/>
    <w:rPr>
      <w:rFonts w:hint="default"/>
    </w:rPr>
  </w:style>
  <w:style w:type="character" w:customStyle="1" w:styleId="WW8Num15z1">
    <w:name w:val="WW8Num15z1"/>
    <w:rsid w:val="00EB31B8"/>
  </w:style>
  <w:style w:type="character" w:customStyle="1" w:styleId="WW8Num15z2">
    <w:name w:val="WW8Num15z2"/>
    <w:rsid w:val="00EB31B8"/>
  </w:style>
  <w:style w:type="character" w:customStyle="1" w:styleId="WW8Num15z3">
    <w:name w:val="WW8Num15z3"/>
    <w:rsid w:val="00EB31B8"/>
  </w:style>
  <w:style w:type="character" w:customStyle="1" w:styleId="WW8Num15z4">
    <w:name w:val="WW8Num15z4"/>
    <w:rsid w:val="00EB31B8"/>
  </w:style>
  <w:style w:type="character" w:customStyle="1" w:styleId="WW8Num15z5">
    <w:name w:val="WW8Num15z5"/>
    <w:rsid w:val="00EB31B8"/>
  </w:style>
  <w:style w:type="character" w:customStyle="1" w:styleId="WW8Num15z6">
    <w:name w:val="WW8Num15z6"/>
    <w:rsid w:val="00EB31B8"/>
  </w:style>
  <w:style w:type="character" w:customStyle="1" w:styleId="WW8Num15z7">
    <w:name w:val="WW8Num15z7"/>
    <w:rsid w:val="00EB31B8"/>
  </w:style>
  <w:style w:type="character" w:customStyle="1" w:styleId="WW8Num15z8">
    <w:name w:val="WW8Num15z8"/>
    <w:rsid w:val="00EB31B8"/>
  </w:style>
  <w:style w:type="character" w:customStyle="1" w:styleId="WW8Num16z0">
    <w:name w:val="WW8Num16z0"/>
    <w:rsid w:val="00EB31B8"/>
  </w:style>
  <w:style w:type="character" w:customStyle="1" w:styleId="WW8Num16z1">
    <w:name w:val="WW8Num16z1"/>
    <w:rsid w:val="00EB31B8"/>
  </w:style>
  <w:style w:type="character" w:customStyle="1" w:styleId="WW8Num16z2">
    <w:name w:val="WW8Num16z2"/>
    <w:rsid w:val="00EB31B8"/>
  </w:style>
  <w:style w:type="character" w:customStyle="1" w:styleId="WW8Num16z3">
    <w:name w:val="WW8Num16z3"/>
    <w:rsid w:val="00EB31B8"/>
  </w:style>
  <w:style w:type="character" w:customStyle="1" w:styleId="WW8Num16z4">
    <w:name w:val="WW8Num16z4"/>
    <w:rsid w:val="00EB31B8"/>
  </w:style>
  <w:style w:type="character" w:customStyle="1" w:styleId="WW8Num16z5">
    <w:name w:val="WW8Num16z5"/>
    <w:rsid w:val="00EB31B8"/>
  </w:style>
  <w:style w:type="character" w:customStyle="1" w:styleId="WW8Num16z6">
    <w:name w:val="WW8Num16z6"/>
    <w:rsid w:val="00EB31B8"/>
  </w:style>
  <w:style w:type="character" w:customStyle="1" w:styleId="WW8Num16z7">
    <w:name w:val="WW8Num16z7"/>
    <w:rsid w:val="00EB31B8"/>
  </w:style>
  <w:style w:type="character" w:customStyle="1" w:styleId="WW8Num16z8">
    <w:name w:val="WW8Num16z8"/>
    <w:rsid w:val="00EB31B8"/>
  </w:style>
  <w:style w:type="character" w:customStyle="1" w:styleId="WW8Num17z0">
    <w:name w:val="WW8Num17z0"/>
    <w:rsid w:val="00EB31B8"/>
    <w:rPr>
      <w:rFonts w:ascii="Symbol" w:hAnsi="Symbol" w:cs="Symbol" w:hint="default"/>
    </w:rPr>
  </w:style>
  <w:style w:type="character" w:customStyle="1" w:styleId="WW8Num17z1">
    <w:name w:val="WW8Num17z1"/>
    <w:rsid w:val="00EB31B8"/>
    <w:rPr>
      <w:rFonts w:ascii="Courier New" w:hAnsi="Courier New" w:cs="Courier New" w:hint="default"/>
    </w:rPr>
  </w:style>
  <w:style w:type="character" w:customStyle="1" w:styleId="WW8Num17z2">
    <w:name w:val="WW8Num17z2"/>
    <w:rsid w:val="00EB31B8"/>
    <w:rPr>
      <w:rFonts w:ascii="Wingdings" w:hAnsi="Wingdings" w:cs="Wingdings" w:hint="default"/>
    </w:rPr>
  </w:style>
  <w:style w:type="character" w:customStyle="1" w:styleId="WW8Num18z0">
    <w:name w:val="WW8Num18z0"/>
    <w:rsid w:val="00EB31B8"/>
  </w:style>
  <w:style w:type="character" w:customStyle="1" w:styleId="WW8Num18z1">
    <w:name w:val="WW8Num18z1"/>
    <w:rsid w:val="00EB31B8"/>
  </w:style>
  <w:style w:type="character" w:customStyle="1" w:styleId="WW8Num18z2">
    <w:name w:val="WW8Num18z2"/>
    <w:rsid w:val="00EB31B8"/>
  </w:style>
  <w:style w:type="character" w:customStyle="1" w:styleId="WW8Num18z3">
    <w:name w:val="WW8Num18z3"/>
    <w:rsid w:val="00EB31B8"/>
  </w:style>
  <w:style w:type="character" w:customStyle="1" w:styleId="WW8Num18z4">
    <w:name w:val="WW8Num18z4"/>
    <w:rsid w:val="00EB31B8"/>
  </w:style>
  <w:style w:type="character" w:customStyle="1" w:styleId="WW8Num18z5">
    <w:name w:val="WW8Num18z5"/>
    <w:rsid w:val="00EB31B8"/>
  </w:style>
  <w:style w:type="character" w:customStyle="1" w:styleId="WW8Num18z6">
    <w:name w:val="WW8Num18z6"/>
    <w:rsid w:val="00EB31B8"/>
  </w:style>
  <w:style w:type="character" w:customStyle="1" w:styleId="WW8Num18z7">
    <w:name w:val="WW8Num18z7"/>
    <w:rsid w:val="00EB31B8"/>
  </w:style>
  <w:style w:type="character" w:customStyle="1" w:styleId="WW8Num18z8">
    <w:name w:val="WW8Num18z8"/>
    <w:rsid w:val="00EB31B8"/>
  </w:style>
  <w:style w:type="character" w:customStyle="1" w:styleId="WW8Num19z0">
    <w:name w:val="WW8Num19z0"/>
    <w:rsid w:val="00EB31B8"/>
  </w:style>
  <w:style w:type="character" w:customStyle="1" w:styleId="WW8Num19z1">
    <w:name w:val="WW8Num19z1"/>
    <w:rsid w:val="00EB31B8"/>
  </w:style>
  <w:style w:type="character" w:customStyle="1" w:styleId="WW8Num19z2">
    <w:name w:val="WW8Num19z2"/>
    <w:rsid w:val="00EB31B8"/>
  </w:style>
  <w:style w:type="character" w:customStyle="1" w:styleId="WW8Num19z3">
    <w:name w:val="WW8Num19z3"/>
    <w:rsid w:val="00EB31B8"/>
  </w:style>
  <w:style w:type="character" w:customStyle="1" w:styleId="WW8Num19z4">
    <w:name w:val="WW8Num19z4"/>
    <w:rsid w:val="00EB31B8"/>
  </w:style>
  <w:style w:type="character" w:customStyle="1" w:styleId="WW8Num19z5">
    <w:name w:val="WW8Num19z5"/>
    <w:rsid w:val="00EB31B8"/>
  </w:style>
  <w:style w:type="character" w:customStyle="1" w:styleId="WW8Num19z6">
    <w:name w:val="WW8Num19z6"/>
    <w:rsid w:val="00EB31B8"/>
  </w:style>
  <w:style w:type="character" w:customStyle="1" w:styleId="WW8Num19z7">
    <w:name w:val="WW8Num19z7"/>
    <w:rsid w:val="00EB31B8"/>
  </w:style>
  <w:style w:type="character" w:customStyle="1" w:styleId="WW8Num19z8">
    <w:name w:val="WW8Num19z8"/>
    <w:rsid w:val="00EB31B8"/>
  </w:style>
  <w:style w:type="character" w:customStyle="1" w:styleId="WW8Num20z0">
    <w:name w:val="WW8Num20z0"/>
    <w:rsid w:val="00EB31B8"/>
    <w:rPr>
      <w:rFonts w:ascii="Symbol" w:hAnsi="Symbol" w:cs="Symbol" w:hint="default"/>
      <w:sz w:val="24"/>
      <w:szCs w:val="24"/>
    </w:rPr>
  </w:style>
  <w:style w:type="character" w:customStyle="1" w:styleId="WW8Num20z1">
    <w:name w:val="WW8Num20z1"/>
    <w:rsid w:val="00EB31B8"/>
    <w:rPr>
      <w:rFonts w:ascii="Courier New" w:hAnsi="Courier New" w:cs="Courier New" w:hint="default"/>
    </w:rPr>
  </w:style>
  <w:style w:type="character" w:customStyle="1" w:styleId="WW8Num20z2">
    <w:name w:val="WW8Num20z2"/>
    <w:rsid w:val="00EB31B8"/>
    <w:rPr>
      <w:rFonts w:ascii="Wingdings" w:hAnsi="Wingdings" w:cs="Wingdings" w:hint="default"/>
    </w:rPr>
  </w:style>
  <w:style w:type="character" w:customStyle="1" w:styleId="WW8Num21z0">
    <w:name w:val="WW8Num21z0"/>
    <w:rsid w:val="00EB31B8"/>
    <w:rPr>
      <w:rFonts w:ascii="Symbol" w:hAnsi="Symbol" w:cs="Symbol" w:hint="default"/>
    </w:rPr>
  </w:style>
  <w:style w:type="character" w:customStyle="1" w:styleId="WW8Num21z1">
    <w:name w:val="WW8Num21z1"/>
    <w:rsid w:val="00EB31B8"/>
    <w:rPr>
      <w:rFonts w:ascii="Courier New" w:hAnsi="Courier New" w:cs="Courier New" w:hint="default"/>
    </w:rPr>
  </w:style>
  <w:style w:type="character" w:customStyle="1" w:styleId="WW8Num21z2">
    <w:name w:val="WW8Num21z2"/>
    <w:rsid w:val="00EB31B8"/>
    <w:rPr>
      <w:rFonts w:ascii="Wingdings" w:hAnsi="Wingdings" w:cs="Wingdings" w:hint="default"/>
    </w:rPr>
  </w:style>
  <w:style w:type="character" w:customStyle="1" w:styleId="WW8Num22z0">
    <w:name w:val="WW8Num22z0"/>
    <w:rsid w:val="00EB31B8"/>
  </w:style>
  <w:style w:type="character" w:customStyle="1" w:styleId="WW8Num22z1">
    <w:name w:val="WW8Num22z1"/>
    <w:rsid w:val="00EB31B8"/>
  </w:style>
  <w:style w:type="character" w:customStyle="1" w:styleId="WW8Num22z2">
    <w:name w:val="WW8Num22z2"/>
    <w:rsid w:val="00EB31B8"/>
  </w:style>
  <w:style w:type="character" w:customStyle="1" w:styleId="WW8Num22z3">
    <w:name w:val="WW8Num22z3"/>
    <w:rsid w:val="00EB31B8"/>
  </w:style>
  <w:style w:type="character" w:customStyle="1" w:styleId="WW8Num22z4">
    <w:name w:val="WW8Num22z4"/>
    <w:rsid w:val="00EB31B8"/>
  </w:style>
  <w:style w:type="character" w:customStyle="1" w:styleId="WW8Num22z5">
    <w:name w:val="WW8Num22z5"/>
    <w:rsid w:val="00EB31B8"/>
  </w:style>
  <w:style w:type="character" w:customStyle="1" w:styleId="WW8Num22z6">
    <w:name w:val="WW8Num22z6"/>
    <w:rsid w:val="00EB31B8"/>
  </w:style>
  <w:style w:type="character" w:customStyle="1" w:styleId="WW8Num22z7">
    <w:name w:val="WW8Num22z7"/>
    <w:rsid w:val="00EB31B8"/>
  </w:style>
  <w:style w:type="character" w:customStyle="1" w:styleId="WW8Num22z8">
    <w:name w:val="WW8Num22z8"/>
    <w:rsid w:val="00EB31B8"/>
  </w:style>
  <w:style w:type="character" w:customStyle="1" w:styleId="WW8Num23z0">
    <w:name w:val="WW8Num23z0"/>
    <w:rsid w:val="00EB31B8"/>
    <w:rPr>
      <w:rFonts w:ascii="Symbol" w:hAnsi="Symbol" w:cs="Symbol" w:hint="default"/>
    </w:rPr>
  </w:style>
  <w:style w:type="character" w:customStyle="1" w:styleId="WW8Num23z1">
    <w:name w:val="WW8Num23z1"/>
    <w:rsid w:val="00EB31B8"/>
    <w:rPr>
      <w:rFonts w:ascii="Courier New" w:hAnsi="Courier New" w:cs="Courier New" w:hint="default"/>
    </w:rPr>
  </w:style>
  <w:style w:type="character" w:customStyle="1" w:styleId="WW8Num23z2">
    <w:name w:val="WW8Num23z2"/>
    <w:rsid w:val="00EB31B8"/>
    <w:rPr>
      <w:rFonts w:ascii="Wingdings" w:hAnsi="Wingdings" w:cs="Wingdings" w:hint="default"/>
    </w:rPr>
  </w:style>
  <w:style w:type="character" w:customStyle="1" w:styleId="WW8Num24z0">
    <w:name w:val="WW8Num24z0"/>
    <w:rsid w:val="00EB31B8"/>
  </w:style>
  <w:style w:type="character" w:customStyle="1" w:styleId="WW8Num24z1">
    <w:name w:val="WW8Num24z1"/>
    <w:rsid w:val="00EB31B8"/>
  </w:style>
  <w:style w:type="character" w:customStyle="1" w:styleId="WW8Num24z2">
    <w:name w:val="WW8Num24z2"/>
    <w:rsid w:val="00EB31B8"/>
  </w:style>
  <w:style w:type="character" w:customStyle="1" w:styleId="WW8Num24z3">
    <w:name w:val="WW8Num24z3"/>
    <w:rsid w:val="00EB31B8"/>
  </w:style>
  <w:style w:type="character" w:customStyle="1" w:styleId="WW8Num24z4">
    <w:name w:val="WW8Num24z4"/>
    <w:rsid w:val="00EB31B8"/>
  </w:style>
  <w:style w:type="character" w:customStyle="1" w:styleId="WW8Num24z5">
    <w:name w:val="WW8Num24z5"/>
    <w:rsid w:val="00EB31B8"/>
  </w:style>
  <w:style w:type="character" w:customStyle="1" w:styleId="WW8Num24z6">
    <w:name w:val="WW8Num24z6"/>
    <w:rsid w:val="00EB31B8"/>
  </w:style>
  <w:style w:type="character" w:customStyle="1" w:styleId="WW8Num24z7">
    <w:name w:val="WW8Num24z7"/>
    <w:rsid w:val="00EB31B8"/>
  </w:style>
  <w:style w:type="character" w:customStyle="1" w:styleId="WW8Num24z8">
    <w:name w:val="WW8Num24z8"/>
    <w:rsid w:val="00EB31B8"/>
  </w:style>
  <w:style w:type="character" w:customStyle="1" w:styleId="WW8Num25z0">
    <w:name w:val="WW8Num25z0"/>
    <w:rsid w:val="00EB31B8"/>
  </w:style>
  <w:style w:type="character" w:customStyle="1" w:styleId="WW8Num25z1">
    <w:name w:val="WW8Num25z1"/>
    <w:rsid w:val="00EB31B8"/>
  </w:style>
  <w:style w:type="character" w:customStyle="1" w:styleId="WW8Num25z2">
    <w:name w:val="WW8Num25z2"/>
    <w:rsid w:val="00EB31B8"/>
  </w:style>
  <w:style w:type="character" w:customStyle="1" w:styleId="WW8Num25z3">
    <w:name w:val="WW8Num25z3"/>
    <w:rsid w:val="00EB31B8"/>
  </w:style>
  <w:style w:type="character" w:customStyle="1" w:styleId="WW8Num25z4">
    <w:name w:val="WW8Num25z4"/>
    <w:rsid w:val="00EB31B8"/>
  </w:style>
  <w:style w:type="character" w:customStyle="1" w:styleId="WW8Num25z5">
    <w:name w:val="WW8Num25z5"/>
    <w:rsid w:val="00EB31B8"/>
  </w:style>
  <w:style w:type="character" w:customStyle="1" w:styleId="WW8Num25z6">
    <w:name w:val="WW8Num25z6"/>
    <w:rsid w:val="00EB31B8"/>
  </w:style>
  <w:style w:type="character" w:customStyle="1" w:styleId="WW8Num25z7">
    <w:name w:val="WW8Num25z7"/>
    <w:rsid w:val="00EB31B8"/>
  </w:style>
  <w:style w:type="character" w:customStyle="1" w:styleId="WW8Num25z8">
    <w:name w:val="WW8Num25z8"/>
    <w:rsid w:val="00EB31B8"/>
  </w:style>
  <w:style w:type="character" w:customStyle="1" w:styleId="WW8Num26z0">
    <w:name w:val="WW8Num26z0"/>
    <w:rsid w:val="00EB31B8"/>
    <w:rPr>
      <w:rFonts w:hint="default"/>
    </w:rPr>
  </w:style>
  <w:style w:type="character" w:customStyle="1" w:styleId="WW8Num26z1">
    <w:name w:val="WW8Num26z1"/>
    <w:rsid w:val="00EB31B8"/>
  </w:style>
  <w:style w:type="character" w:customStyle="1" w:styleId="WW8Num26z2">
    <w:name w:val="WW8Num26z2"/>
    <w:rsid w:val="00EB31B8"/>
  </w:style>
  <w:style w:type="character" w:customStyle="1" w:styleId="WW8Num26z3">
    <w:name w:val="WW8Num26z3"/>
    <w:rsid w:val="00EB31B8"/>
  </w:style>
  <w:style w:type="character" w:customStyle="1" w:styleId="WW8Num26z4">
    <w:name w:val="WW8Num26z4"/>
    <w:rsid w:val="00EB31B8"/>
  </w:style>
  <w:style w:type="character" w:customStyle="1" w:styleId="WW8Num26z5">
    <w:name w:val="WW8Num26z5"/>
    <w:rsid w:val="00EB31B8"/>
  </w:style>
  <w:style w:type="character" w:customStyle="1" w:styleId="WW8Num26z6">
    <w:name w:val="WW8Num26z6"/>
    <w:rsid w:val="00EB31B8"/>
  </w:style>
  <w:style w:type="character" w:customStyle="1" w:styleId="WW8Num26z7">
    <w:name w:val="WW8Num26z7"/>
    <w:rsid w:val="00EB31B8"/>
  </w:style>
  <w:style w:type="character" w:customStyle="1" w:styleId="WW8Num26z8">
    <w:name w:val="WW8Num26z8"/>
    <w:rsid w:val="00EB31B8"/>
  </w:style>
  <w:style w:type="character" w:customStyle="1" w:styleId="WW8Num27z0">
    <w:name w:val="WW8Num27z0"/>
    <w:rsid w:val="00EB31B8"/>
  </w:style>
  <w:style w:type="character" w:customStyle="1" w:styleId="WW8Num27z1">
    <w:name w:val="WW8Num27z1"/>
    <w:rsid w:val="00EB31B8"/>
  </w:style>
  <w:style w:type="character" w:customStyle="1" w:styleId="WW8Num27z2">
    <w:name w:val="WW8Num27z2"/>
    <w:rsid w:val="00EB31B8"/>
  </w:style>
  <w:style w:type="character" w:customStyle="1" w:styleId="WW8Num27z3">
    <w:name w:val="WW8Num27z3"/>
    <w:rsid w:val="00EB31B8"/>
  </w:style>
  <w:style w:type="character" w:customStyle="1" w:styleId="WW8Num27z4">
    <w:name w:val="WW8Num27z4"/>
    <w:rsid w:val="00EB31B8"/>
  </w:style>
  <w:style w:type="character" w:customStyle="1" w:styleId="WW8Num27z5">
    <w:name w:val="WW8Num27z5"/>
    <w:rsid w:val="00EB31B8"/>
  </w:style>
  <w:style w:type="character" w:customStyle="1" w:styleId="WW8Num27z6">
    <w:name w:val="WW8Num27z6"/>
    <w:rsid w:val="00EB31B8"/>
  </w:style>
  <w:style w:type="character" w:customStyle="1" w:styleId="WW8Num27z7">
    <w:name w:val="WW8Num27z7"/>
    <w:rsid w:val="00EB31B8"/>
  </w:style>
  <w:style w:type="character" w:customStyle="1" w:styleId="WW8Num27z8">
    <w:name w:val="WW8Num27z8"/>
    <w:rsid w:val="00EB31B8"/>
  </w:style>
  <w:style w:type="character" w:customStyle="1" w:styleId="WW8Num28z0">
    <w:name w:val="WW8Num28z0"/>
    <w:rsid w:val="00EB31B8"/>
  </w:style>
  <w:style w:type="character" w:customStyle="1" w:styleId="WW8Num28z1">
    <w:name w:val="WW8Num28z1"/>
    <w:rsid w:val="00EB31B8"/>
  </w:style>
  <w:style w:type="character" w:customStyle="1" w:styleId="WW8Num28z2">
    <w:name w:val="WW8Num28z2"/>
    <w:rsid w:val="00EB31B8"/>
  </w:style>
  <w:style w:type="character" w:customStyle="1" w:styleId="WW8Num28z3">
    <w:name w:val="WW8Num28z3"/>
    <w:rsid w:val="00EB31B8"/>
  </w:style>
  <w:style w:type="character" w:customStyle="1" w:styleId="WW8Num28z4">
    <w:name w:val="WW8Num28z4"/>
    <w:rsid w:val="00EB31B8"/>
  </w:style>
  <w:style w:type="character" w:customStyle="1" w:styleId="WW8Num28z5">
    <w:name w:val="WW8Num28z5"/>
    <w:rsid w:val="00EB31B8"/>
  </w:style>
  <w:style w:type="character" w:customStyle="1" w:styleId="WW8Num28z6">
    <w:name w:val="WW8Num28z6"/>
    <w:rsid w:val="00EB31B8"/>
  </w:style>
  <w:style w:type="character" w:customStyle="1" w:styleId="WW8Num28z7">
    <w:name w:val="WW8Num28z7"/>
    <w:rsid w:val="00EB31B8"/>
  </w:style>
  <w:style w:type="character" w:customStyle="1" w:styleId="WW8Num28z8">
    <w:name w:val="WW8Num28z8"/>
    <w:rsid w:val="00EB31B8"/>
  </w:style>
  <w:style w:type="character" w:customStyle="1" w:styleId="WW8Num29z0">
    <w:name w:val="WW8Num29z0"/>
    <w:rsid w:val="00EB31B8"/>
  </w:style>
  <w:style w:type="character" w:customStyle="1" w:styleId="WW8Num29z1">
    <w:name w:val="WW8Num29z1"/>
    <w:rsid w:val="00EB31B8"/>
  </w:style>
  <w:style w:type="character" w:customStyle="1" w:styleId="WW8Num29z2">
    <w:name w:val="WW8Num29z2"/>
    <w:rsid w:val="00EB31B8"/>
  </w:style>
  <w:style w:type="character" w:customStyle="1" w:styleId="WW8Num29z3">
    <w:name w:val="WW8Num29z3"/>
    <w:rsid w:val="00EB31B8"/>
  </w:style>
  <w:style w:type="character" w:customStyle="1" w:styleId="WW8Num29z4">
    <w:name w:val="WW8Num29z4"/>
    <w:rsid w:val="00EB31B8"/>
  </w:style>
  <w:style w:type="character" w:customStyle="1" w:styleId="WW8Num29z5">
    <w:name w:val="WW8Num29z5"/>
    <w:rsid w:val="00EB31B8"/>
  </w:style>
  <w:style w:type="character" w:customStyle="1" w:styleId="WW8Num29z6">
    <w:name w:val="WW8Num29z6"/>
    <w:rsid w:val="00EB31B8"/>
  </w:style>
  <w:style w:type="character" w:customStyle="1" w:styleId="WW8Num29z7">
    <w:name w:val="WW8Num29z7"/>
    <w:rsid w:val="00EB31B8"/>
  </w:style>
  <w:style w:type="character" w:customStyle="1" w:styleId="WW8Num29z8">
    <w:name w:val="WW8Num29z8"/>
    <w:rsid w:val="00EB31B8"/>
  </w:style>
  <w:style w:type="character" w:customStyle="1" w:styleId="WW8Num30z0">
    <w:name w:val="WW8Num30z0"/>
    <w:rsid w:val="00EB31B8"/>
    <w:rPr>
      <w:rFonts w:ascii="Symbol" w:hAnsi="Symbol" w:cs="Symbol" w:hint="default"/>
    </w:rPr>
  </w:style>
  <w:style w:type="character" w:customStyle="1" w:styleId="WW8Num30z1">
    <w:name w:val="WW8Num30z1"/>
    <w:rsid w:val="00EB31B8"/>
    <w:rPr>
      <w:rFonts w:ascii="Courier New" w:hAnsi="Courier New" w:cs="Courier New" w:hint="default"/>
    </w:rPr>
  </w:style>
  <w:style w:type="character" w:customStyle="1" w:styleId="WW8Num30z2">
    <w:name w:val="WW8Num30z2"/>
    <w:rsid w:val="00EB31B8"/>
    <w:rPr>
      <w:rFonts w:ascii="Wingdings" w:hAnsi="Wingdings" w:cs="Wingdings" w:hint="default"/>
    </w:rPr>
  </w:style>
  <w:style w:type="character" w:customStyle="1" w:styleId="WW8Num31z0">
    <w:name w:val="WW8Num31z0"/>
    <w:rsid w:val="00EB31B8"/>
  </w:style>
  <w:style w:type="character" w:customStyle="1" w:styleId="WW8Num31z1">
    <w:name w:val="WW8Num31z1"/>
    <w:rsid w:val="00EB31B8"/>
  </w:style>
  <w:style w:type="character" w:customStyle="1" w:styleId="WW8Num31z2">
    <w:name w:val="WW8Num31z2"/>
    <w:rsid w:val="00EB31B8"/>
  </w:style>
  <w:style w:type="character" w:customStyle="1" w:styleId="WW8Num31z3">
    <w:name w:val="WW8Num31z3"/>
    <w:rsid w:val="00EB31B8"/>
  </w:style>
  <w:style w:type="character" w:customStyle="1" w:styleId="WW8Num31z4">
    <w:name w:val="WW8Num31z4"/>
    <w:rsid w:val="00EB31B8"/>
  </w:style>
  <w:style w:type="character" w:customStyle="1" w:styleId="WW8Num31z5">
    <w:name w:val="WW8Num31z5"/>
    <w:rsid w:val="00EB31B8"/>
  </w:style>
  <w:style w:type="character" w:customStyle="1" w:styleId="WW8Num31z6">
    <w:name w:val="WW8Num31z6"/>
    <w:rsid w:val="00EB31B8"/>
  </w:style>
  <w:style w:type="character" w:customStyle="1" w:styleId="WW8Num31z7">
    <w:name w:val="WW8Num31z7"/>
    <w:rsid w:val="00EB31B8"/>
  </w:style>
  <w:style w:type="character" w:customStyle="1" w:styleId="WW8Num31z8">
    <w:name w:val="WW8Num31z8"/>
    <w:rsid w:val="00EB31B8"/>
  </w:style>
  <w:style w:type="character" w:customStyle="1" w:styleId="WW8Num32z0">
    <w:name w:val="WW8Num32z0"/>
    <w:rsid w:val="00EB31B8"/>
  </w:style>
  <w:style w:type="character" w:customStyle="1" w:styleId="WW8Num32z1">
    <w:name w:val="WW8Num32z1"/>
    <w:rsid w:val="00EB31B8"/>
  </w:style>
  <w:style w:type="character" w:customStyle="1" w:styleId="WW8Num32z2">
    <w:name w:val="WW8Num32z2"/>
    <w:rsid w:val="00EB31B8"/>
  </w:style>
  <w:style w:type="character" w:customStyle="1" w:styleId="WW8Num32z3">
    <w:name w:val="WW8Num32z3"/>
    <w:rsid w:val="00EB31B8"/>
  </w:style>
  <w:style w:type="character" w:customStyle="1" w:styleId="WW8Num32z4">
    <w:name w:val="WW8Num32z4"/>
    <w:rsid w:val="00EB31B8"/>
  </w:style>
  <w:style w:type="character" w:customStyle="1" w:styleId="WW8Num32z5">
    <w:name w:val="WW8Num32z5"/>
    <w:rsid w:val="00EB31B8"/>
  </w:style>
  <w:style w:type="character" w:customStyle="1" w:styleId="WW8Num32z6">
    <w:name w:val="WW8Num32z6"/>
    <w:rsid w:val="00EB31B8"/>
  </w:style>
  <w:style w:type="character" w:customStyle="1" w:styleId="WW8Num32z7">
    <w:name w:val="WW8Num32z7"/>
    <w:rsid w:val="00EB31B8"/>
  </w:style>
  <w:style w:type="character" w:customStyle="1" w:styleId="WW8Num32z8">
    <w:name w:val="WW8Num32z8"/>
    <w:rsid w:val="00EB31B8"/>
  </w:style>
  <w:style w:type="character" w:customStyle="1" w:styleId="WW8Num33z0">
    <w:name w:val="WW8Num33z0"/>
    <w:rsid w:val="00EB31B8"/>
  </w:style>
  <w:style w:type="character" w:customStyle="1" w:styleId="WW8Num33z1">
    <w:name w:val="WW8Num33z1"/>
    <w:rsid w:val="00EB31B8"/>
  </w:style>
  <w:style w:type="character" w:customStyle="1" w:styleId="WW8Num33z2">
    <w:name w:val="WW8Num33z2"/>
    <w:rsid w:val="00EB31B8"/>
  </w:style>
  <w:style w:type="character" w:customStyle="1" w:styleId="WW8Num33z3">
    <w:name w:val="WW8Num33z3"/>
    <w:rsid w:val="00EB31B8"/>
  </w:style>
  <w:style w:type="character" w:customStyle="1" w:styleId="WW8Num33z4">
    <w:name w:val="WW8Num33z4"/>
    <w:rsid w:val="00EB31B8"/>
  </w:style>
  <w:style w:type="character" w:customStyle="1" w:styleId="WW8Num33z5">
    <w:name w:val="WW8Num33z5"/>
    <w:rsid w:val="00EB31B8"/>
  </w:style>
  <w:style w:type="character" w:customStyle="1" w:styleId="WW8Num33z6">
    <w:name w:val="WW8Num33z6"/>
    <w:rsid w:val="00EB31B8"/>
  </w:style>
  <w:style w:type="character" w:customStyle="1" w:styleId="WW8Num33z7">
    <w:name w:val="WW8Num33z7"/>
    <w:rsid w:val="00EB31B8"/>
  </w:style>
  <w:style w:type="character" w:customStyle="1" w:styleId="WW8Num33z8">
    <w:name w:val="WW8Num33z8"/>
    <w:rsid w:val="00EB31B8"/>
  </w:style>
  <w:style w:type="character" w:customStyle="1" w:styleId="FootnoteCharacters">
    <w:name w:val="Footnote Characters"/>
    <w:rsid w:val="00EB31B8"/>
    <w:rPr>
      <w:vertAlign w:val="superscript"/>
    </w:rPr>
  </w:style>
  <w:style w:type="character" w:customStyle="1" w:styleId="SubjectChar">
    <w:name w:val="Subject Char"/>
    <w:rsid w:val="00EB31B8"/>
    <w:rPr>
      <w:rFonts w:ascii="Times New Roman" w:eastAsia="Times New Roman" w:hAnsi="Times New Roman" w:cs="Times New Roman"/>
      <w:b/>
      <w:sz w:val="24"/>
    </w:rPr>
  </w:style>
  <w:style w:type="character" w:customStyle="1" w:styleId="EndnoteCharacters">
    <w:name w:val="Endnote Characters"/>
    <w:rsid w:val="00EB31B8"/>
  </w:style>
  <w:style w:type="paragraph" w:customStyle="1" w:styleId="Heading">
    <w:name w:val="Heading"/>
    <w:basedOn w:val="Normal"/>
    <w:next w:val="BodyText"/>
    <w:rsid w:val="00EB31B8"/>
    <w:pPr>
      <w:keepNext/>
      <w:suppressAutoHyphens/>
      <w:spacing w:before="240" w:after="120" w:line="276" w:lineRule="auto"/>
    </w:pPr>
    <w:rPr>
      <w:rFonts w:ascii="Arial" w:eastAsia="Microsoft YaHei" w:hAnsi="Arial" w:cs="Arial"/>
      <w:kern w:val="0"/>
      <w:sz w:val="28"/>
      <w:szCs w:val="28"/>
      <w:lang w:eastAsia="ar-SA"/>
      <w14:ligatures w14:val="none"/>
    </w:rPr>
  </w:style>
  <w:style w:type="paragraph" w:customStyle="1" w:styleId="Index">
    <w:name w:val="Index"/>
    <w:basedOn w:val="Normal"/>
    <w:rsid w:val="00EB31B8"/>
    <w:pPr>
      <w:suppressLineNumbers/>
      <w:suppressAutoHyphens/>
      <w:spacing w:after="200" w:line="276" w:lineRule="auto"/>
    </w:pPr>
    <w:rPr>
      <w:rFonts w:ascii="Calibri" w:eastAsia="Calibri" w:hAnsi="Calibri" w:cs="Arial"/>
      <w:kern w:val="0"/>
      <w:lang w:eastAsia="ar-SA"/>
      <w14:ligatures w14:val="none"/>
    </w:rPr>
  </w:style>
  <w:style w:type="paragraph" w:customStyle="1" w:styleId="bttitref">
    <w:name w:val="bttitref"/>
    <w:basedOn w:val="Normal"/>
    <w:rsid w:val="00EB31B8"/>
    <w:pPr>
      <w:suppressAutoHyphens/>
      <w:spacing w:before="280" w:after="280" w:line="240" w:lineRule="auto"/>
    </w:pPr>
    <w:rPr>
      <w:rFonts w:ascii="Times New Roman" w:eastAsia="Times New Roman" w:hAnsi="Times New Roman" w:cs="Times New Roman"/>
      <w:kern w:val="0"/>
      <w:sz w:val="24"/>
      <w:szCs w:val="24"/>
      <w:lang w:eastAsia="ar-SA"/>
      <w14:ligatures w14:val="none"/>
    </w:rPr>
  </w:style>
  <w:style w:type="paragraph" w:customStyle="1" w:styleId="ColorfulList-Accent11">
    <w:name w:val="Colorful List - Accent 11"/>
    <w:basedOn w:val="Normal"/>
    <w:uiPriority w:val="34"/>
    <w:qFormat/>
    <w:rsid w:val="00EB31B8"/>
    <w:pPr>
      <w:suppressAutoHyphens/>
      <w:spacing w:after="80" w:line="240" w:lineRule="auto"/>
      <w:ind w:left="720"/>
      <w:jc w:val="both"/>
    </w:pPr>
    <w:rPr>
      <w:rFonts w:ascii="Calibri" w:eastAsia="Calibri" w:hAnsi="Calibri" w:cs="Calibri"/>
      <w:kern w:val="0"/>
      <w:lang w:eastAsia="ar-SA"/>
      <w14:ligatures w14:val="none"/>
    </w:rPr>
  </w:style>
  <w:style w:type="paragraph" w:customStyle="1" w:styleId="BVIfnr">
    <w:name w:val="BVI fnr Знак Знак"/>
    <w:basedOn w:val="Normal"/>
    <w:rsid w:val="00EB31B8"/>
    <w:pPr>
      <w:suppressAutoHyphens/>
      <w:spacing w:line="240" w:lineRule="exact"/>
    </w:pPr>
    <w:rPr>
      <w:rFonts w:ascii="Calibri" w:eastAsia="Calibri" w:hAnsi="Calibri" w:cs="Times New Roman"/>
      <w:kern w:val="0"/>
      <w:sz w:val="20"/>
      <w:szCs w:val="20"/>
      <w:vertAlign w:val="superscript"/>
      <w:lang w:eastAsia="ar-SA"/>
      <w14:ligatures w14:val="none"/>
    </w:rPr>
  </w:style>
  <w:style w:type="paragraph" w:customStyle="1" w:styleId="Text1">
    <w:name w:val="Text 1"/>
    <w:basedOn w:val="Normal"/>
    <w:rsid w:val="00EB31B8"/>
    <w:pPr>
      <w:suppressAutoHyphens/>
      <w:spacing w:after="240" w:line="240" w:lineRule="auto"/>
      <w:ind w:left="482"/>
      <w:jc w:val="both"/>
    </w:pPr>
    <w:rPr>
      <w:rFonts w:ascii="Times New Roman" w:eastAsia="Times New Roman" w:hAnsi="Times New Roman" w:cs="Times New Roman"/>
      <w:kern w:val="0"/>
      <w:sz w:val="24"/>
      <w:szCs w:val="20"/>
      <w:lang w:eastAsia="ar-SA"/>
      <w14:ligatures w14:val="none"/>
    </w:rPr>
  </w:style>
  <w:style w:type="paragraph" w:customStyle="1" w:styleId="ColorfulShading-Accent11">
    <w:name w:val="Colorful Shading - Accent 11"/>
    <w:rsid w:val="00EB31B8"/>
    <w:pPr>
      <w:suppressAutoHyphens/>
      <w:spacing w:after="0" w:line="240" w:lineRule="auto"/>
    </w:pPr>
    <w:rPr>
      <w:rFonts w:ascii="Calibri" w:eastAsia="Calibri" w:hAnsi="Calibri" w:cs="Times New Roman"/>
      <w:kern w:val="0"/>
      <w:lang w:eastAsia="ar-SA"/>
      <w14:ligatures w14:val="none"/>
    </w:rPr>
  </w:style>
  <w:style w:type="paragraph" w:customStyle="1" w:styleId="NoteHead">
    <w:name w:val="NoteHead"/>
    <w:basedOn w:val="Normal"/>
    <w:next w:val="Subject"/>
    <w:uiPriority w:val="2"/>
    <w:rsid w:val="00EB31B8"/>
    <w:pPr>
      <w:suppressAutoHyphens/>
      <w:spacing w:before="720" w:after="720" w:line="240" w:lineRule="auto"/>
      <w:jc w:val="center"/>
    </w:pPr>
    <w:rPr>
      <w:rFonts w:ascii="Times New Roman" w:eastAsia="Times New Roman" w:hAnsi="Times New Roman" w:cs="Times New Roman"/>
      <w:b/>
      <w:smallCaps/>
      <w:kern w:val="0"/>
      <w:sz w:val="24"/>
      <w:szCs w:val="20"/>
      <w:lang w:eastAsia="ar-SA"/>
      <w14:ligatures w14:val="none"/>
    </w:rPr>
  </w:style>
  <w:style w:type="paragraph" w:customStyle="1" w:styleId="Subject">
    <w:name w:val="Subject"/>
    <w:basedOn w:val="Normal"/>
    <w:next w:val="Normal"/>
    <w:rsid w:val="00EB31B8"/>
    <w:pPr>
      <w:suppressAutoHyphens/>
      <w:spacing w:after="480" w:line="240" w:lineRule="auto"/>
      <w:ind w:left="1531" w:hanging="1531"/>
    </w:pPr>
    <w:rPr>
      <w:rFonts w:ascii="Times New Roman" w:eastAsia="Times New Roman" w:hAnsi="Times New Roman" w:cs="Times New Roman"/>
      <w:b/>
      <w:kern w:val="0"/>
      <w:sz w:val="24"/>
      <w:szCs w:val="20"/>
      <w:lang w:eastAsia="ar-SA"/>
      <w14:ligatures w14:val="none"/>
    </w:rPr>
  </w:style>
  <w:style w:type="paragraph" w:customStyle="1" w:styleId="Copies">
    <w:name w:val="Copies"/>
    <w:basedOn w:val="Normal"/>
    <w:next w:val="Normal"/>
    <w:rsid w:val="00EB31B8"/>
    <w:pPr>
      <w:tabs>
        <w:tab w:val="left" w:pos="2552"/>
        <w:tab w:val="left" w:pos="2835"/>
        <w:tab w:val="left" w:pos="5670"/>
        <w:tab w:val="left" w:pos="6379"/>
        <w:tab w:val="left" w:pos="6804"/>
      </w:tabs>
      <w:suppressAutoHyphens/>
      <w:spacing w:before="480" w:after="0" w:line="240" w:lineRule="auto"/>
      <w:ind w:left="1985" w:hanging="1985"/>
    </w:pPr>
    <w:rPr>
      <w:rFonts w:ascii="Times New Roman" w:eastAsia="Times New Roman" w:hAnsi="Times New Roman" w:cs="Times New Roman"/>
      <w:kern w:val="0"/>
      <w:sz w:val="24"/>
      <w:szCs w:val="20"/>
      <w:lang w:eastAsia="ar-SA"/>
      <w14:ligatures w14:val="none"/>
    </w:rPr>
  </w:style>
  <w:style w:type="paragraph" w:customStyle="1" w:styleId="TableContents">
    <w:name w:val="Table Contents"/>
    <w:basedOn w:val="Normal"/>
    <w:rsid w:val="00EB31B8"/>
    <w:pPr>
      <w:suppressLineNumbers/>
      <w:suppressAutoHyphens/>
      <w:spacing w:after="200" w:line="276" w:lineRule="auto"/>
    </w:pPr>
    <w:rPr>
      <w:rFonts w:ascii="Calibri" w:eastAsia="Calibri" w:hAnsi="Calibri" w:cs="Times New Roman"/>
      <w:kern w:val="0"/>
      <w:lang w:eastAsia="ar-SA"/>
      <w14:ligatures w14:val="none"/>
    </w:rPr>
  </w:style>
  <w:style w:type="paragraph" w:customStyle="1" w:styleId="TableHeading">
    <w:name w:val="Table Heading"/>
    <w:basedOn w:val="TableContents"/>
    <w:rsid w:val="00EB31B8"/>
    <w:pPr>
      <w:jc w:val="center"/>
    </w:pPr>
    <w:rPr>
      <w:b/>
      <w:bCs/>
    </w:rPr>
  </w:style>
  <w:style w:type="character" w:customStyle="1" w:styleId="st1">
    <w:name w:val="st1"/>
    <w:rsid w:val="00EB31B8"/>
  </w:style>
  <w:style w:type="paragraph" w:customStyle="1" w:styleId="ZCom">
    <w:name w:val="Z_Com"/>
    <w:basedOn w:val="Normal"/>
    <w:next w:val="Normal"/>
    <w:uiPriority w:val="2"/>
    <w:rsid w:val="00EB31B8"/>
    <w:pPr>
      <w:widowControl w:val="0"/>
      <w:spacing w:before="90" w:after="0" w:line="240" w:lineRule="auto"/>
      <w:ind w:right="85"/>
    </w:pPr>
    <w:rPr>
      <w:rFonts w:ascii="Times New Roman" w:eastAsia="Times New Roman" w:hAnsi="Times New Roman" w:cs="Times New Roman"/>
      <w:kern w:val="0"/>
      <w:sz w:val="24"/>
      <w:szCs w:val="20"/>
      <w:lang w:eastAsia="en-IE"/>
      <w14:ligatures w14:val="none"/>
    </w:rPr>
  </w:style>
  <w:style w:type="paragraph" w:customStyle="1" w:styleId="ZDGName">
    <w:name w:val="Z_DGName"/>
    <w:basedOn w:val="Normal"/>
    <w:uiPriority w:val="2"/>
    <w:rsid w:val="00EB31B8"/>
    <w:pPr>
      <w:widowControl w:val="0"/>
      <w:spacing w:after="0" w:line="240" w:lineRule="auto"/>
      <w:ind w:right="85"/>
    </w:pPr>
    <w:rPr>
      <w:rFonts w:ascii="Times New Roman" w:eastAsia="Times New Roman" w:hAnsi="Times New Roman" w:cs="Times New Roman"/>
      <w:kern w:val="0"/>
      <w:sz w:val="16"/>
      <w:szCs w:val="20"/>
      <w:lang w:eastAsia="en-IE"/>
      <w14:ligatures w14:val="none"/>
    </w:rPr>
  </w:style>
  <w:style w:type="paragraph" w:customStyle="1" w:styleId="ZFlag">
    <w:name w:val="Z_Flag"/>
    <w:basedOn w:val="Normal"/>
    <w:next w:val="Normal"/>
    <w:uiPriority w:val="2"/>
    <w:rsid w:val="00EB31B8"/>
    <w:pPr>
      <w:widowControl w:val="0"/>
      <w:spacing w:after="0" w:line="240" w:lineRule="auto"/>
      <w:ind w:right="85"/>
      <w:jc w:val="both"/>
    </w:pPr>
    <w:rPr>
      <w:rFonts w:ascii="Times New Roman" w:eastAsia="Times New Roman" w:hAnsi="Times New Roman" w:cs="Times New Roman"/>
      <w:kern w:val="0"/>
      <w:sz w:val="24"/>
      <w:szCs w:val="20"/>
      <w:lang w:eastAsia="en-IE"/>
      <w14:ligatures w14:val="none"/>
    </w:rPr>
  </w:style>
  <w:style w:type="table" w:customStyle="1" w:styleId="TableLetterhead">
    <w:name w:val="Table Letterhead"/>
    <w:basedOn w:val="TableNormal"/>
    <w:semiHidden/>
    <w:rsid w:val="00EB31B8"/>
    <w:pPr>
      <w:spacing w:after="0" w:line="240" w:lineRule="auto"/>
    </w:pPr>
    <w:rPr>
      <w:rFonts w:ascii="Times New Roman" w:eastAsia="SimSun" w:hAnsi="Times New Roman" w:cs="Times New Roman"/>
      <w:kern w:val="0"/>
      <w:sz w:val="24"/>
      <w:szCs w:val="20"/>
      <w:lang w:eastAsia="en-IE"/>
      <w14:ligatures w14:val="none"/>
    </w:rPr>
    <w:tblPr/>
  </w:style>
  <w:style w:type="paragraph" w:styleId="Revision">
    <w:name w:val="Revision"/>
    <w:uiPriority w:val="99"/>
    <w:semiHidden/>
    <w:rsid w:val="00EB31B8"/>
    <w:pPr>
      <w:spacing w:after="0" w:line="240" w:lineRule="auto"/>
    </w:pPr>
    <w:rPr>
      <w:rFonts w:ascii="Calibri" w:eastAsia="Calibri" w:hAnsi="Calibri" w:cs="Times New Roman"/>
      <w:kern w:val="0"/>
      <w:lang w:eastAsia="ar-SA"/>
      <w14:ligatures w14:val="none"/>
    </w:rPr>
  </w:style>
  <w:style w:type="paragraph" w:styleId="NoSpacing">
    <w:name w:val="No Spacing"/>
    <w:uiPriority w:val="1"/>
    <w:qFormat/>
    <w:rsid w:val="00EB31B8"/>
    <w:pPr>
      <w:spacing w:after="0" w:line="240" w:lineRule="auto"/>
    </w:pPr>
    <w:rPr>
      <w:rFonts w:ascii="Calibri" w:eastAsia="Calibri" w:hAnsi="Calibri" w:cs="Times New Roman"/>
      <w14:ligatures w14:val="none"/>
    </w:rPr>
  </w:style>
  <w:style w:type="paragraph" w:customStyle="1" w:styleId="Enclosures">
    <w:name w:val="Enclosures"/>
    <w:basedOn w:val="Normal"/>
    <w:next w:val="Normal"/>
    <w:rsid w:val="00EB31B8"/>
    <w:pPr>
      <w:keepNext/>
      <w:keepLines/>
      <w:tabs>
        <w:tab w:val="left" w:pos="5670"/>
      </w:tabs>
      <w:spacing w:before="480" w:after="0" w:line="240" w:lineRule="auto"/>
      <w:ind w:left="1985" w:hanging="1985"/>
    </w:pPr>
    <w:rPr>
      <w:rFonts w:ascii="Times New Roman" w:eastAsia="Times New Roman" w:hAnsi="Times New Roman" w:cs="Times New Roman"/>
      <w:kern w:val="0"/>
      <w:sz w:val="24"/>
      <w:szCs w:val="20"/>
      <w14:ligatures w14:val="none"/>
    </w:rPr>
  </w:style>
  <w:style w:type="paragraph" w:customStyle="1" w:styleId="Contact">
    <w:name w:val="Contact"/>
    <w:basedOn w:val="Normal"/>
    <w:next w:val="Enclosures"/>
    <w:rsid w:val="00EB31B8"/>
    <w:pPr>
      <w:spacing w:before="480" w:after="0" w:line="240" w:lineRule="auto"/>
      <w:ind w:left="567" w:hanging="567"/>
    </w:pPr>
    <w:rPr>
      <w:rFonts w:ascii="Times New Roman" w:eastAsia="Times New Roman" w:hAnsi="Times New Roman" w:cs="Times New Roman"/>
      <w:kern w:val="0"/>
      <w:sz w:val="24"/>
      <w:szCs w:val="20"/>
      <w14:ligatures w14:val="none"/>
    </w:rPr>
  </w:style>
  <w:style w:type="character" w:customStyle="1" w:styleId="UnresolvedMention">
    <w:name w:val="Unresolved Mention"/>
    <w:uiPriority w:val="99"/>
    <w:semiHidden/>
    <w:unhideWhenUsed/>
    <w:rsid w:val="00EB31B8"/>
    <w:rPr>
      <w:color w:val="605E5C"/>
      <w:shd w:val="clear" w:color="auto" w:fill="E1DFDD"/>
    </w:rPr>
  </w:style>
  <w:style w:type="character" w:styleId="FollowedHyperlink">
    <w:name w:val="FollowedHyperlink"/>
    <w:uiPriority w:val="99"/>
    <w:semiHidden/>
    <w:unhideWhenUsed/>
    <w:rsid w:val="00EB31B8"/>
    <w:rPr>
      <w:color w:val="96607D"/>
      <w:u w:val="single"/>
    </w:rPr>
  </w:style>
  <w:style w:type="paragraph" w:customStyle="1" w:styleId="FootnoteReferenceLVL6">
    <w:name w:val="Footnote Reference_LVL6"/>
    <w:aliases w:val="Footnote Reference_LVL61,Footnote Reference_LVL62,Footnote Reference_LVL63,Footnote Reference_LVL64,Odwo&lt;0142&gt;anie przypisu,SUPER,BVI fnr Char1 Char"/>
    <w:basedOn w:val="Normal"/>
    <w:next w:val="Normal"/>
    <w:link w:val="FootnoteReference"/>
    <w:uiPriority w:val="99"/>
    <w:rsid w:val="00EB31B8"/>
    <w:pPr>
      <w:spacing w:line="240" w:lineRule="exact"/>
      <w:jc w:val="both"/>
    </w:pPr>
    <w:rPr>
      <w:vertAlign w:val="superscript"/>
    </w:rPr>
  </w:style>
  <w:style w:type="character" w:customStyle="1" w:styleId="normaltextrun">
    <w:name w:val="normaltextrun"/>
    <w:basedOn w:val="DefaultParagraphFont"/>
    <w:rsid w:val="00EB31B8"/>
  </w:style>
  <w:style w:type="character" w:customStyle="1" w:styleId="cf01">
    <w:name w:val="cf01"/>
    <w:rsid w:val="00EB31B8"/>
    <w:rPr>
      <w:rFonts w:ascii="Segoe UI" w:hAnsi="Segoe UI" w:cs="Segoe UI" w:hint="default"/>
      <w:sz w:val="18"/>
      <w:szCs w:val="18"/>
    </w:rPr>
  </w:style>
  <w:style w:type="character" w:customStyle="1" w:styleId="hgkelc">
    <w:name w:val="hgkelc"/>
    <w:basedOn w:val="DefaultParagraphFont"/>
    <w:rsid w:val="00EB31B8"/>
  </w:style>
  <w:style w:type="paragraph" w:customStyle="1" w:styleId="paragraph">
    <w:name w:val="paragraph"/>
    <w:basedOn w:val="Normal"/>
    <w:rsid w:val="00EB31B8"/>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customStyle="1" w:styleId="ListParagraphChar">
    <w:name w:val="List Paragraph Char"/>
    <w:aliases w:val="Fiche List Paragraph Char,OBC Bullet Char,Dot pt Char,F5 List Paragraph Char,List Paragraph1 Char,No Spacing1 Char,List Paragraph Char Char Char Char,Indicator Text Char,Numbered Para 1 Char,Bullet 1 Char,Bullet Points Char,2 Char"/>
    <w:link w:val="ListParagraph"/>
    <w:uiPriority w:val="34"/>
    <w:qFormat/>
    <w:locked/>
    <w:rsid w:val="00EB31B8"/>
  </w:style>
  <w:style w:type="paragraph" w:customStyle="1" w:styleId="ListBullet1">
    <w:name w:val="List Bullet 1"/>
    <w:basedOn w:val="Normal"/>
    <w:uiPriority w:val="35"/>
    <w:rsid w:val="00EB31B8"/>
    <w:pPr>
      <w:tabs>
        <w:tab w:val="num" w:pos="0"/>
      </w:tabs>
      <w:suppressAutoHyphens/>
      <w:spacing w:after="240" w:line="276" w:lineRule="auto"/>
      <w:ind w:left="765" w:hanging="283"/>
      <w:jc w:val="both"/>
    </w:pPr>
    <w:rPr>
      <w:rFonts w:ascii="Times New Roman" w:eastAsia="Times New Roman" w:hAnsi="Times New Roman" w:cs="Times New Roman"/>
      <w:kern w:val="0"/>
      <w:sz w:val="24"/>
      <w:szCs w:val="24"/>
      <w:lang w:eastAsia="ar-SA"/>
      <w14:ligatures w14:val="none"/>
    </w:rPr>
  </w:style>
  <w:style w:type="character" w:customStyle="1" w:styleId="Mention">
    <w:name w:val="Mention"/>
    <w:basedOn w:val="DefaultParagraphFont"/>
    <w:uiPriority w:val="99"/>
    <w:unhideWhenUsed/>
    <w:rsid w:val="00EB31B8"/>
    <w:rPr>
      <w:color w:val="2B579A"/>
      <w:shd w:val="clear" w:color="auto" w:fill="E1DFDD"/>
    </w:rPr>
  </w:style>
  <w:style w:type="paragraph" w:customStyle="1" w:styleId="Pagedecouverture">
    <w:name w:val="Page de couverture"/>
    <w:basedOn w:val="Normal"/>
    <w:next w:val="Normal"/>
    <w:link w:val="PagedecouvertureChar"/>
    <w:rsid w:val="00A54997"/>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A54997"/>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A54997"/>
    <w:rPr>
      <w:rFonts w:ascii="Times New Roman" w:hAnsi="Times New Roman" w:cs="Times New Roman"/>
      <w:sz w:val="24"/>
    </w:rPr>
  </w:style>
  <w:style w:type="paragraph" w:customStyle="1" w:styleId="HeaderCoverPage">
    <w:name w:val="Header Cover Page"/>
    <w:basedOn w:val="Normal"/>
    <w:link w:val="HeaderCoverPageChar"/>
    <w:rsid w:val="00A54997"/>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A54997"/>
    <w:rPr>
      <w:rFonts w:ascii="Times New Roman" w:hAnsi="Times New Roman" w:cs="Times New Roman"/>
      <w:sz w:val="24"/>
    </w:rPr>
  </w:style>
  <w:style w:type="character" w:customStyle="1" w:styleId="Marker">
    <w:name w:val="Marker"/>
    <w:basedOn w:val="DefaultParagraphFont"/>
    <w:rsid w:val="00E2252D"/>
    <w:rPr>
      <w:color w:val="0000FF"/>
      <w:shd w:val="clear" w:color="auto" w:fill="auto"/>
    </w:rPr>
  </w:style>
  <w:style w:type="paragraph" w:customStyle="1" w:styleId="FooterSensitivity">
    <w:name w:val="Footer Sensitivity"/>
    <w:basedOn w:val="Normal"/>
    <w:link w:val="FooterSensitivityChar"/>
    <w:rsid w:val="00E2252D"/>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PagedecouvertureChar">
    <w:name w:val="Page de couverture Char"/>
    <w:basedOn w:val="DefaultParagraphFont"/>
    <w:link w:val="Pagedecouverture"/>
    <w:rsid w:val="00E2252D"/>
    <w:rPr>
      <w:rFonts w:ascii="Times New Roman" w:hAnsi="Times New Roman" w:cs="Times New Roman"/>
      <w:kern w:val="0"/>
      <w:sz w:val="24"/>
      <w:lang w:val="fr-FR"/>
      <w14:ligatures w14:val="none"/>
    </w:rPr>
  </w:style>
  <w:style w:type="character" w:customStyle="1" w:styleId="FooterSensitivityChar">
    <w:name w:val="Footer Sensitivity Char"/>
    <w:basedOn w:val="PagedecouvertureChar"/>
    <w:link w:val="FooterSensitivity"/>
    <w:rsid w:val="00E2252D"/>
    <w:rPr>
      <w:rFonts w:ascii="Times New Roman" w:hAnsi="Times New Roman" w:cs="Times New Roman"/>
      <w:b/>
      <w:kern w:val="0"/>
      <w:sz w:val="32"/>
      <w:lang w:val="fr-FR"/>
      <w14:ligatures w14:val="none"/>
    </w:rPr>
  </w:style>
  <w:style w:type="paragraph" w:customStyle="1" w:styleId="HeaderSensitivity">
    <w:name w:val="Header Sensitivity"/>
    <w:basedOn w:val="Normal"/>
    <w:link w:val="HeaderSensitivityChar"/>
    <w:rsid w:val="00E2252D"/>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E2252D"/>
    <w:rPr>
      <w:rFonts w:ascii="Times New Roman" w:hAnsi="Times New Roman" w:cs="Times New Roman"/>
      <w:b/>
      <w:kern w:val="0"/>
      <w:sz w:val="32"/>
      <w:lang w:val="fr-FR"/>
      <w14:ligatures w14:val="none"/>
    </w:rPr>
  </w:style>
  <w:style w:type="paragraph" w:customStyle="1" w:styleId="HeaderSensitivityRight">
    <w:name w:val="Header Sensitivity Right"/>
    <w:basedOn w:val="Normal"/>
    <w:link w:val="HeaderSensitivityRightChar"/>
    <w:rsid w:val="00E2252D"/>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E2252D"/>
    <w:rPr>
      <w:rFonts w:ascii="Times New Roman" w:hAnsi="Times New Roman" w:cs="Times New Roman"/>
      <w:kern w:val="0"/>
      <w:sz w:val="28"/>
      <w:lang w:val="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635977">
      <w:bodyDiv w:val="1"/>
      <w:marLeft w:val="0"/>
      <w:marRight w:val="0"/>
      <w:marTop w:val="0"/>
      <w:marBottom w:val="0"/>
      <w:divBdr>
        <w:top w:val="none" w:sz="0" w:space="0" w:color="auto"/>
        <w:left w:val="none" w:sz="0" w:space="0" w:color="auto"/>
        <w:bottom w:val="none" w:sz="0" w:space="0" w:color="auto"/>
        <w:right w:val="none" w:sz="0" w:space="0" w:color="auto"/>
      </w:divBdr>
    </w:div>
    <w:div w:id="71852304">
      <w:bodyDiv w:val="1"/>
      <w:marLeft w:val="0"/>
      <w:marRight w:val="0"/>
      <w:marTop w:val="0"/>
      <w:marBottom w:val="0"/>
      <w:divBdr>
        <w:top w:val="none" w:sz="0" w:space="0" w:color="auto"/>
        <w:left w:val="none" w:sz="0" w:space="0" w:color="auto"/>
        <w:bottom w:val="none" w:sz="0" w:space="0" w:color="auto"/>
        <w:right w:val="none" w:sz="0" w:space="0" w:color="auto"/>
      </w:divBdr>
    </w:div>
    <w:div w:id="78018389">
      <w:bodyDiv w:val="1"/>
      <w:marLeft w:val="0"/>
      <w:marRight w:val="0"/>
      <w:marTop w:val="0"/>
      <w:marBottom w:val="0"/>
      <w:divBdr>
        <w:top w:val="none" w:sz="0" w:space="0" w:color="auto"/>
        <w:left w:val="none" w:sz="0" w:space="0" w:color="auto"/>
        <w:bottom w:val="none" w:sz="0" w:space="0" w:color="auto"/>
        <w:right w:val="none" w:sz="0" w:space="0" w:color="auto"/>
      </w:divBdr>
    </w:div>
    <w:div w:id="153111083">
      <w:bodyDiv w:val="1"/>
      <w:marLeft w:val="0"/>
      <w:marRight w:val="0"/>
      <w:marTop w:val="0"/>
      <w:marBottom w:val="0"/>
      <w:divBdr>
        <w:top w:val="none" w:sz="0" w:space="0" w:color="auto"/>
        <w:left w:val="none" w:sz="0" w:space="0" w:color="auto"/>
        <w:bottom w:val="none" w:sz="0" w:space="0" w:color="auto"/>
        <w:right w:val="none" w:sz="0" w:space="0" w:color="auto"/>
      </w:divBdr>
    </w:div>
    <w:div w:id="160512402">
      <w:bodyDiv w:val="1"/>
      <w:marLeft w:val="0"/>
      <w:marRight w:val="0"/>
      <w:marTop w:val="0"/>
      <w:marBottom w:val="0"/>
      <w:divBdr>
        <w:top w:val="none" w:sz="0" w:space="0" w:color="auto"/>
        <w:left w:val="none" w:sz="0" w:space="0" w:color="auto"/>
        <w:bottom w:val="none" w:sz="0" w:space="0" w:color="auto"/>
        <w:right w:val="none" w:sz="0" w:space="0" w:color="auto"/>
      </w:divBdr>
    </w:div>
    <w:div w:id="306663466">
      <w:bodyDiv w:val="1"/>
      <w:marLeft w:val="0"/>
      <w:marRight w:val="0"/>
      <w:marTop w:val="0"/>
      <w:marBottom w:val="0"/>
      <w:divBdr>
        <w:top w:val="none" w:sz="0" w:space="0" w:color="auto"/>
        <w:left w:val="none" w:sz="0" w:space="0" w:color="auto"/>
        <w:bottom w:val="none" w:sz="0" w:space="0" w:color="auto"/>
        <w:right w:val="none" w:sz="0" w:space="0" w:color="auto"/>
      </w:divBdr>
    </w:div>
    <w:div w:id="318652507">
      <w:bodyDiv w:val="1"/>
      <w:marLeft w:val="0"/>
      <w:marRight w:val="0"/>
      <w:marTop w:val="0"/>
      <w:marBottom w:val="0"/>
      <w:divBdr>
        <w:top w:val="none" w:sz="0" w:space="0" w:color="auto"/>
        <w:left w:val="none" w:sz="0" w:space="0" w:color="auto"/>
        <w:bottom w:val="none" w:sz="0" w:space="0" w:color="auto"/>
        <w:right w:val="none" w:sz="0" w:space="0" w:color="auto"/>
      </w:divBdr>
      <w:divsChild>
        <w:div w:id="385642632">
          <w:marLeft w:val="0"/>
          <w:marRight w:val="0"/>
          <w:marTop w:val="0"/>
          <w:marBottom w:val="0"/>
          <w:divBdr>
            <w:top w:val="none" w:sz="0" w:space="0" w:color="auto"/>
            <w:left w:val="none" w:sz="0" w:space="0" w:color="auto"/>
            <w:bottom w:val="none" w:sz="0" w:space="0" w:color="auto"/>
            <w:right w:val="none" w:sz="0" w:space="0" w:color="auto"/>
          </w:divBdr>
        </w:div>
        <w:div w:id="715157936">
          <w:marLeft w:val="0"/>
          <w:marRight w:val="0"/>
          <w:marTop w:val="0"/>
          <w:marBottom w:val="0"/>
          <w:divBdr>
            <w:top w:val="none" w:sz="0" w:space="0" w:color="auto"/>
            <w:left w:val="none" w:sz="0" w:space="0" w:color="auto"/>
            <w:bottom w:val="none" w:sz="0" w:space="0" w:color="auto"/>
            <w:right w:val="none" w:sz="0" w:space="0" w:color="auto"/>
          </w:divBdr>
        </w:div>
      </w:divsChild>
    </w:div>
    <w:div w:id="504445293">
      <w:bodyDiv w:val="1"/>
      <w:marLeft w:val="0"/>
      <w:marRight w:val="0"/>
      <w:marTop w:val="0"/>
      <w:marBottom w:val="0"/>
      <w:divBdr>
        <w:top w:val="none" w:sz="0" w:space="0" w:color="auto"/>
        <w:left w:val="none" w:sz="0" w:space="0" w:color="auto"/>
        <w:bottom w:val="none" w:sz="0" w:space="0" w:color="auto"/>
        <w:right w:val="none" w:sz="0" w:space="0" w:color="auto"/>
      </w:divBdr>
    </w:div>
    <w:div w:id="520507535">
      <w:bodyDiv w:val="1"/>
      <w:marLeft w:val="0"/>
      <w:marRight w:val="0"/>
      <w:marTop w:val="0"/>
      <w:marBottom w:val="0"/>
      <w:divBdr>
        <w:top w:val="none" w:sz="0" w:space="0" w:color="auto"/>
        <w:left w:val="none" w:sz="0" w:space="0" w:color="auto"/>
        <w:bottom w:val="none" w:sz="0" w:space="0" w:color="auto"/>
        <w:right w:val="none" w:sz="0" w:space="0" w:color="auto"/>
      </w:divBdr>
    </w:div>
    <w:div w:id="571283451">
      <w:bodyDiv w:val="1"/>
      <w:marLeft w:val="0"/>
      <w:marRight w:val="0"/>
      <w:marTop w:val="0"/>
      <w:marBottom w:val="0"/>
      <w:divBdr>
        <w:top w:val="none" w:sz="0" w:space="0" w:color="auto"/>
        <w:left w:val="none" w:sz="0" w:space="0" w:color="auto"/>
        <w:bottom w:val="none" w:sz="0" w:space="0" w:color="auto"/>
        <w:right w:val="none" w:sz="0" w:space="0" w:color="auto"/>
      </w:divBdr>
    </w:div>
    <w:div w:id="580256759">
      <w:bodyDiv w:val="1"/>
      <w:marLeft w:val="0"/>
      <w:marRight w:val="0"/>
      <w:marTop w:val="0"/>
      <w:marBottom w:val="0"/>
      <w:divBdr>
        <w:top w:val="none" w:sz="0" w:space="0" w:color="auto"/>
        <w:left w:val="none" w:sz="0" w:space="0" w:color="auto"/>
        <w:bottom w:val="none" w:sz="0" w:space="0" w:color="auto"/>
        <w:right w:val="none" w:sz="0" w:space="0" w:color="auto"/>
      </w:divBdr>
    </w:div>
    <w:div w:id="586034666">
      <w:bodyDiv w:val="1"/>
      <w:marLeft w:val="0"/>
      <w:marRight w:val="0"/>
      <w:marTop w:val="0"/>
      <w:marBottom w:val="0"/>
      <w:divBdr>
        <w:top w:val="none" w:sz="0" w:space="0" w:color="auto"/>
        <w:left w:val="none" w:sz="0" w:space="0" w:color="auto"/>
        <w:bottom w:val="none" w:sz="0" w:space="0" w:color="auto"/>
        <w:right w:val="none" w:sz="0" w:space="0" w:color="auto"/>
      </w:divBdr>
    </w:div>
    <w:div w:id="597641661">
      <w:bodyDiv w:val="1"/>
      <w:marLeft w:val="0"/>
      <w:marRight w:val="0"/>
      <w:marTop w:val="0"/>
      <w:marBottom w:val="0"/>
      <w:divBdr>
        <w:top w:val="none" w:sz="0" w:space="0" w:color="auto"/>
        <w:left w:val="none" w:sz="0" w:space="0" w:color="auto"/>
        <w:bottom w:val="none" w:sz="0" w:space="0" w:color="auto"/>
        <w:right w:val="none" w:sz="0" w:space="0" w:color="auto"/>
      </w:divBdr>
    </w:div>
    <w:div w:id="661741901">
      <w:bodyDiv w:val="1"/>
      <w:marLeft w:val="0"/>
      <w:marRight w:val="0"/>
      <w:marTop w:val="0"/>
      <w:marBottom w:val="0"/>
      <w:divBdr>
        <w:top w:val="none" w:sz="0" w:space="0" w:color="auto"/>
        <w:left w:val="none" w:sz="0" w:space="0" w:color="auto"/>
        <w:bottom w:val="none" w:sz="0" w:space="0" w:color="auto"/>
        <w:right w:val="none" w:sz="0" w:space="0" w:color="auto"/>
      </w:divBdr>
    </w:div>
    <w:div w:id="704915028">
      <w:bodyDiv w:val="1"/>
      <w:marLeft w:val="0"/>
      <w:marRight w:val="0"/>
      <w:marTop w:val="0"/>
      <w:marBottom w:val="0"/>
      <w:divBdr>
        <w:top w:val="none" w:sz="0" w:space="0" w:color="auto"/>
        <w:left w:val="none" w:sz="0" w:space="0" w:color="auto"/>
        <w:bottom w:val="none" w:sz="0" w:space="0" w:color="auto"/>
        <w:right w:val="none" w:sz="0" w:space="0" w:color="auto"/>
      </w:divBdr>
    </w:div>
    <w:div w:id="733510858">
      <w:bodyDiv w:val="1"/>
      <w:marLeft w:val="0"/>
      <w:marRight w:val="0"/>
      <w:marTop w:val="0"/>
      <w:marBottom w:val="0"/>
      <w:divBdr>
        <w:top w:val="none" w:sz="0" w:space="0" w:color="auto"/>
        <w:left w:val="none" w:sz="0" w:space="0" w:color="auto"/>
        <w:bottom w:val="none" w:sz="0" w:space="0" w:color="auto"/>
        <w:right w:val="none" w:sz="0" w:space="0" w:color="auto"/>
      </w:divBdr>
    </w:div>
    <w:div w:id="757362291">
      <w:bodyDiv w:val="1"/>
      <w:marLeft w:val="0"/>
      <w:marRight w:val="0"/>
      <w:marTop w:val="0"/>
      <w:marBottom w:val="0"/>
      <w:divBdr>
        <w:top w:val="none" w:sz="0" w:space="0" w:color="auto"/>
        <w:left w:val="none" w:sz="0" w:space="0" w:color="auto"/>
        <w:bottom w:val="none" w:sz="0" w:space="0" w:color="auto"/>
        <w:right w:val="none" w:sz="0" w:space="0" w:color="auto"/>
      </w:divBdr>
    </w:div>
    <w:div w:id="947614386">
      <w:bodyDiv w:val="1"/>
      <w:marLeft w:val="0"/>
      <w:marRight w:val="0"/>
      <w:marTop w:val="0"/>
      <w:marBottom w:val="0"/>
      <w:divBdr>
        <w:top w:val="none" w:sz="0" w:space="0" w:color="auto"/>
        <w:left w:val="none" w:sz="0" w:space="0" w:color="auto"/>
        <w:bottom w:val="none" w:sz="0" w:space="0" w:color="auto"/>
        <w:right w:val="none" w:sz="0" w:space="0" w:color="auto"/>
      </w:divBdr>
    </w:div>
    <w:div w:id="949626480">
      <w:bodyDiv w:val="1"/>
      <w:marLeft w:val="0"/>
      <w:marRight w:val="0"/>
      <w:marTop w:val="0"/>
      <w:marBottom w:val="0"/>
      <w:divBdr>
        <w:top w:val="none" w:sz="0" w:space="0" w:color="auto"/>
        <w:left w:val="none" w:sz="0" w:space="0" w:color="auto"/>
        <w:bottom w:val="none" w:sz="0" w:space="0" w:color="auto"/>
        <w:right w:val="none" w:sz="0" w:space="0" w:color="auto"/>
      </w:divBdr>
    </w:div>
    <w:div w:id="970793314">
      <w:bodyDiv w:val="1"/>
      <w:marLeft w:val="0"/>
      <w:marRight w:val="0"/>
      <w:marTop w:val="0"/>
      <w:marBottom w:val="0"/>
      <w:divBdr>
        <w:top w:val="none" w:sz="0" w:space="0" w:color="auto"/>
        <w:left w:val="none" w:sz="0" w:space="0" w:color="auto"/>
        <w:bottom w:val="none" w:sz="0" w:space="0" w:color="auto"/>
        <w:right w:val="none" w:sz="0" w:space="0" w:color="auto"/>
      </w:divBdr>
    </w:div>
    <w:div w:id="1002077527">
      <w:bodyDiv w:val="1"/>
      <w:marLeft w:val="0"/>
      <w:marRight w:val="0"/>
      <w:marTop w:val="0"/>
      <w:marBottom w:val="0"/>
      <w:divBdr>
        <w:top w:val="none" w:sz="0" w:space="0" w:color="auto"/>
        <w:left w:val="none" w:sz="0" w:space="0" w:color="auto"/>
        <w:bottom w:val="none" w:sz="0" w:space="0" w:color="auto"/>
        <w:right w:val="none" w:sz="0" w:space="0" w:color="auto"/>
      </w:divBdr>
    </w:div>
    <w:div w:id="1088771604">
      <w:bodyDiv w:val="1"/>
      <w:marLeft w:val="0"/>
      <w:marRight w:val="0"/>
      <w:marTop w:val="0"/>
      <w:marBottom w:val="0"/>
      <w:divBdr>
        <w:top w:val="none" w:sz="0" w:space="0" w:color="auto"/>
        <w:left w:val="none" w:sz="0" w:space="0" w:color="auto"/>
        <w:bottom w:val="none" w:sz="0" w:space="0" w:color="auto"/>
        <w:right w:val="none" w:sz="0" w:space="0" w:color="auto"/>
      </w:divBdr>
    </w:div>
    <w:div w:id="1112897158">
      <w:bodyDiv w:val="1"/>
      <w:marLeft w:val="0"/>
      <w:marRight w:val="0"/>
      <w:marTop w:val="0"/>
      <w:marBottom w:val="0"/>
      <w:divBdr>
        <w:top w:val="none" w:sz="0" w:space="0" w:color="auto"/>
        <w:left w:val="none" w:sz="0" w:space="0" w:color="auto"/>
        <w:bottom w:val="none" w:sz="0" w:space="0" w:color="auto"/>
        <w:right w:val="none" w:sz="0" w:space="0" w:color="auto"/>
      </w:divBdr>
    </w:div>
    <w:div w:id="1122379722">
      <w:bodyDiv w:val="1"/>
      <w:marLeft w:val="0"/>
      <w:marRight w:val="0"/>
      <w:marTop w:val="0"/>
      <w:marBottom w:val="0"/>
      <w:divBdr>
        <w:top w:val="none" w:sz="0" w:space="0" w:color="auto"/>
        <w:left w:val="none" w:sz="0" w:space="0" w:color="auto"/>
        <w:bottom w:val="none" w:sz="0" w:space="0" w:color="auto"/>
        <w:right w:val="none" w:sz="0" w:space="0" w:color="auto"/>
      </w:divBdr>
    </w:div>
    <w:div w:id="1144422186">
      <w:bodyDiv w:val="1"/>
      <w:marLeft w:val="0"/>
      <w:marRight w:val="0"/>
      <w:marTop w:val="0"/>
      <w:marBottom w:val="0"/>
      <w:divBdr>
        <w:top w:val="none" w:sz="0" w:space="0" w:color="auto"/>
        <w:left w:val="none" w:sz="0" w:space="0" w:color="auto"/>
        <w:bottom w:val="none" w:sz="0" w:space="0" w:color="auto"/>
        <w:right w:val="none" w:sz="0" w:space="0" w:color="auto"/>
      </w:divBdr>
    </w:div>
    <w:div w:id="1182738789">
      <w:bodyDiv w:val="1"/>
      <w:marLeft w:val="0"/>
      <w:marRight w:val="0"/>
      <w:marTop w:val="0"/>
      <w:marBottom w:val="0"/>
      <w:divBdr>
        <w:top w:val="none" w:sz="0" w:space="0" w:color="auto"/>
        <w:left w:val="none" w:sz="0" w:space="0" w:color="auto"/>
        <w:bottom w:val="none" w:sz="0" w:space="0" w:color="auto"/>
        <w:right w:val="none" w:sz="0" w:space="0" w:color="auto"/>
      </w:divBdr>
    </w:div>
    <w:div w:id="1185747325">
      <w:bodyDiv w:val="1"/>
      <w:marLeft w:val="0"/>
      <w:marRight w:val="0"/>
      <w:marTop w:val="0"/>
      <w:marBottom w:val="0"/>
      <w:divBdr>
        <w:top w:val="none" w:sz="0" w:space="0" w:color="auto"/>
        <w:left w:val="none" w:sz="0" w:space="0" w:color="auto"/>
        <w:bottom w:val="none" w:sz="0" w:space="0" w:color="auto"/>
        <w:right w:val="none" w:sz="0" w:space="0" w:color="auto"/>
      </w:divBdr>
    </w:div>
    <w:div w:id="1192839514">
      <w:bodyDiv w:val="1"/>
      <w:marLeft w:val="0"/>
      <w:marRight w:val="0"/>
      <w:marTop w:val="0"/>
      <w:marBottom w:val="0"/>
      <w:divBdr>
        <w:top w:val="none" w:sz="0" w:space="0" w:color="auto"/>
        <w:left w:val="none" w:sz="0" w:space="0" w:color="auto"/>
        <w:bottom w:val="none" w:sz="0" w:space="0" w:color="auto"/>
        <w:right w:val="none" w:sz="0" w:space="0" w:color="auto"/>
      </w:divBdr>
    </w:div>
    <w:div w:id="1214390877">
      <w:bodyDiv w:val="1"/>
      <w:marLeft w:val="0"/>
      <w:marRight w:val="0"/>
      <w:marTop w:val="0"/>
      <w:marBottom w:val="0"/>
      <w:divBdr>
        <w:top w:val="none" w:sz="0" w:space="0" w:color="auto"/>
        <w:left w:val="none" w:sz="0" w:space="0" w:color="auto"/>
        <w:bottom w:val="none" w:sz="0" w:space="0" w:color="auto"/>
        <w:right w:val="none" w:sz="0" w:space="0" w:color="auto"/>
      </w:divBdr>
    </w:div>
    <w:div w:id="1271427879">
      <w:bodyDiv w:val="1"/>
      <w:marLeft w:val="0"/>
      <w:marRight w:val="0"/>
      <w:marTop w:val="0"/>
      <w:marBottom w:val="0"/>
      <w:divBdr>
        <w:top w:val="none" w:sz="0" w:space="0" w:color="auto"/>
        <w:left w:val="none" w:sz="0" w:space="0" w:color="auto"/>
        <w:bottom w:val="none" w:sz="0" w:space="0" w:color="auto"/>
        <w:right w:val="none" w:sz="0" w:space="0" w:color="auto"/>
      </w:divBdr>
    </w:div>
    <w:div w:id="1272401631">
      <w:bodyDiv w:val="1"/>
      <w:marLeft w:val="0"/>
      <w:marRight w:val="0"/>
      <w:marTop w:val="0"/>
      <w:marBottom w:val="0"/>
      <w:divBdr>
        <w:top w:val="none" w:sz="0" w:space="0" w:color="auto"/>
        <w:left w:val="none" w:sz="0" w:space="0" w:color="auto"/>
        <w:bottom w:val="none" w:sz="0" w:space="0" w:color="auto"/>
        <w:right w:val="none" w:sz="0" w:space="0" w:color="auto"/>
      </w:divBdr>
    </w:div>
    <w:div w:id="1278558453">
      <w:bodyDiv w:val="1"/>
      <w:marLeft w:val="0"/>
      <w:marRight w:val="0"/>
      <w:marTop w:val="0"/>
      <w:marBottom w:val="0"/>
      <w:divBdr>
        <w:top w:val="none" w:sz="0" w:space="0" w:color="auto"/>
        <w:left w:val="none" w:sz="0" w:space="0" w:color="auto"/>
        <w:bottom w:val="none" w:sz="0" w:space="0" w:color="auto"/>
        <w:right w:val="none" w:sz="0" w:space="0" w:color="auto"/>
      </w:divBdr>
    </w:div>
    <w:div w:id="1298604047">
      <w:bodyDiv w:val="1"/>
      <w:marLeft w:val="0"/>
      <w:marRight w:val="0"/>
      <w:marTop w:val="0"/>
      <w:marBottom w:val="0"/>
      <w:divBdr>
        <w:top w:val="none" w:sz="0" w:space="0" w:color="auto"/>
        <w:left w:val="none" w:sz="0" w:space="0" w:color="auto"/>
        <w:bottom w:val="none" w:sz="0" w:space="0" w:color="auto"/>
        <w:right w:val="none" w:sz="0" w:space="0" w:color="auto"/>
      </w:divBdr>
    </w:div>
    <w:div w:id="1311859889">
      <w:bodyDiv w:val="1"/>
      <w:marLeft w:val="0"/>
      <w:marRight w:val="0"/>
      <w:marTop w:val="0"/>
      <w:marBottom w:val="0"/>
      <w:divBdr>
        <w:top w:val="none" w:sz="0" w:space="0" w:color="auto"/>
        <w:left w:val="none" w:sz="0" w:space="0" w:color="auto"/>
        <w:bottom w:val="none" w:sz="0" w:space="0" w:color="auto"/>
        <w:right w:val="none" w:sz="0" w:space="0" w:color="auto"/>
      </w:divBdr>
    </w:div>
    <w:div w:id="1404134526">
      <w:bodyDiv w:val="1"/>
      <w:marLeft w:val="0"/>
      <w:marRight w:val="0"/>
      <w:marTop w:val="0"/>
      <w:marBottom w:val="0"/>
      <w:divBdr>
        <w:top w:val="none" w:sz="0" w:space="0" w:color="auto"/>
        <w:left w:val="none" w:sz="0" w:space="0" w:color="auto"/>
        <w:bottom w:val="none" w:sz="0" w:space="0" w:color="auto"/>
        <w:right w:val="none" w:sz="0" w:space="0" w:color="auto"/>
      </w:divBdr>
    </w:div>
    <w:div w:id="1463383086">
      <w:bodyDiv w:val="1"/>
      <w:marLeft w:val="0"/>
      <w:marRight w:val="0"/>
      <w:marTop w:val="0"/>
      <w:marBottom w:val="0"/>
      <w:divBdr>
        <w:top w:val="none" w:sz="0" w:space="0" w:color="auto"/>
        <w:left w:val="none" w:sz="0" w:space="0" w:color="auto"/>
        <w:bottom w:val="none" w:sz="0" w:space="0" w:color="auto"/>
        <w:right w:val="none" w:sz="0" w:space="0" w:color="auto"/>
      </w:divBdr>
    </w:div>
    <w:div w:id="1514831678">
      <w:bodyDiv w:val="1"/>
      <w:marLeft w:val="0"/>
      <w:marRight w:val="0"/>
      <w:marTop w:val="0"/>
      <w:marBottom w:val="0"/>
      <w:divBdr>
        <w:top w:val="none" w:sz="0" w:space="0" w:color="auto"/>
        <w:left w:val="none" w:sz="0" w:space="0" w:color="auto"/>
        <w:bottom w:val="none" w:sz="0" w:space="0" w:color="auto"/>
        <w:right w:val="none" w:sz="0" w:space="0" w:color="auto"/>
      </w:divBdr>
    </w:div>
    <w:div w:id="1563563435">
      <w:bodyDiv w:val="1"/>
      <w:marLeft w:val="0"/>
      <w:marRight w:val="0"/>
      <w:marTop w:val="0"/>
      <w:marBottom w:val="0"/>
      <w:divBdr>
        <w:top w:val="none" w:sz="0" w:space="0" w:color="auto"/>
        <w:left w:val="none" w:sz="0" w:space="0" w:color="auto"/>
        <w:bottom w:val="none" w:sz="0" w:space="0" w:color="auto"/>
        <w:right w:val="none" w:sz="0" w:space="0" w:color="auto"/>
      </w:divBdr>
    </w:div>
    <w:div w:id="1612666084">
      <w:bodyDiv w:val="1"/>
      <w:marLeft w:val="0"/>
      <w:marRight w:val="0"/>
      <w:marTop w:val="0"/>
      <w:marBottom w:val="0"/>
      <w:divBdr>
        <w:top w:val="none" w:sz="0" w:space="0" w:color="auto"/>
        <w:left w:val="none" w:sz="0" w:space="0" w:color="auto"/>
        <w:bottom w:val="none" w:sz="0" w:space="0" w:color="auto"/>
        <w:right w:val="none" w:sz="0" w:space="0" w:color="auto"/>
      </w:divBdr>
    </w:div>
    <w:div w:id="1636134812">
      <w:bodyDiv w:val="1"/>
      <w:marLeft w:val="0"/>
      <w:marRight w:val="0"/>
      <w:marTop w:val="0"/>
      <w:marBottom w:val="0"/>
      <w:divBdr>
        <w:top w:val="none" w:sz="0" w:space="0" w:color="auto"/>
        <w:left w:val="none" w:sz="0" w:space="0" w:color="auto"/>
        <w:bottom w:val="none" w:sz="0" w:space="0" w:color="auto"/>
        <w:right w:val="none" w:sz="0" w:space="0" w:color="auto"/>
      </w:divBdr>
    </w:div>
    <w:div w:id="1773355373">
      <w:bodyDiv w:val="1"/>
      <w:marLeft w:val="0"/>
      <w:marRight w:val="0"/>
      <w:marTop w:val="0"/>
      <w:marBottom w:val="0"/>
      <w:divBdr>
        <w:top w:val="none" w:sz="0" w:space="0" w:color="auto"/>
        <w:left w:val="none" w:sz="0" w:space="0" w:color="auto"/>
        <w:bottom w:val="none" w:sz="0" w:space="0" w:color="auto"/>
        <w:right w:val="none" w:sz="0" w:space="0" w:color="auto"/>
      </w:divBdr>
    </w:div>
    <w:div w:id="1840733859">
      <w:bodyDiv w:val="1"/>
      <w:marLeft w:val="0"/>
      <w:marRight w:val="0"/>
      <w:marTop w:val="0"/>
      <w:marBottom w:val="0"/>
      <w:divBdr>
        <w:top w:val="none" w:sz="0" w:space="0" w:color="auto"/>
        <w:left w:val="none" w:sz="0" w:space="0" w:color="auto"/>
        <w:bottom w:val="none" w:sz="0" w:space="0" w:color="auto"/>
        <w:right w:val="none" w:sz="0" w:space="0" w:color="auto"/>
      </w:divBdr>
    </w:div>
    <w:div w:id="1891571887">
      <w:bodyDiv w:val="1"/>
      <w:marLeft w:val="0"/>
      <w:marRight w:val="0"/>
      <w:marTop w:val="0"/>
      <w:marBottom w:val="0"/>
      <w:divBdr>
        <w:top w:val="none" w:sz="0" w:space="0" w:color="auto"/>
        <w:left w:val="none" w:sz="0" w:space="0" w:color="auto"/>
        <w:bottom w:val="none" w:sz="0" w:space="0" w:color="auto"/>
        <w:right w:val="none" w:sz="0" w:space="0" w:color="auto"/>
      </w:divBdr>
    </w:div>
    <w:div w:id="1899243385">
      <w:bodyDiv w:val="1"/>
      <w:marLeft w:val="0"/>
      <w:marRight w:val="0"/>
      <w:marTop w:val="0"/>
      <w:marBottom w:val="0"/>
      <w:divBdr>
        <w:top w:val="none" w:sz="0" w:space="0" w:color="auto"/>
        <w:left w:val="none" w:sz="0" w:space="0" w:color="auto"/>
        <w:bottom w:val="none" w:sz="0" w:space="0" w:color="auto"/>
        <w:right w:val="none" w:sz="0" w:space="0" w:color="auto"/>
      </w:divBdr>
      <w:divsChild>
        <w:div w:id="62878962">
          <w:marLeft w:val="0"/>
          <w:marRight w:val="0"/>
          <w:marTop w:val="0"/>
          <w:marBottom w:val="0"/>
          <w:divBdr>
            <w:top w:val="none" w:sz="0" w:space="0" w:color="auto"/>
            <w:left w:val="none" w:sz="0" w:space="0" w:color="auto"/>
            <w:bottom w:val="none" w:sz="0" w:space="0" w:color="auto"/>
            <w:right w:val="none" w:sz="0" w:space="0" w:color="auto"/>
          </w:divBdr>
        </w:div>
        <w:div w:id="587429128">
          <w:marLeft w:val="0"/>
          <w:marRight w:val="0"/>
          <w:marTop w:val="0"/>
          <w:marBottom w:val="0"/>
          <w:divBdr>
            <w:top w:val="none" w:sz="0" w:space="0" w:color="auto"/>
            <w:left w:val="none" w:sz="0" w:space="0" w:color="auto"/>
            <w:bottom w:val="none" w:sz="0" w:space="0" w:color="auto"/>
            <w:right w:val="none" w:sz="0" w:space="0" w:color="auto"/>
          </w:divBdr>
        </w:div>
      </w:divsChild>
    </w:div>
    <w:div w:id="1916890521">
      <w:bodyDiv w:val="1"/>
      <w:marLeft w:val="0"/>
      <w:marRight w:val="0"/>
      <w:marTop w:val="0"/>
      <w:marBottom w:val="0"/>
      <w:divBdr>
        <w:top w:val="none" w:sz="0" w:space="0" w:color="auto"/>
        <w:left w:val="none" w:sz="0" w:space="0" w:color="auto"/>
        <w:bottom w:val="none" w:sz="0" w:space="0" w:color="auto"/>
        <w:right w:val="none" w:sz="0" w:space="0" w:color="auto"/>
      </w:divBdr>
    </w:div>
    <w:div w:id="2025130238">
      <w:bodyDiv w:val="1"/>
      <w:marLeft w:val="0"/>
      <w:marRight w:val="0"/>
      <w:marTop w:val="0"/>
      <w:marBottom w:val="0"/>
      <w:divBdr>
        <w:top w:val="none" w:sz="0" w:space="0" w:color="auto"/>
        <w:left w:val="none" w:sz="0" w:space="0" w:color="auto"/>
        <w:bottom w:val="none" w:sz="0" w:space="0" w:color="auto"/>
        <w:right w:val="none" w:sz="0" w:space="0" w:color="auto"/>
      </w:divBdr>
    </w:div>
    <w:div w:id="2096826041">
      <w:bodyDiv w:val="1"/>
      <w:marLeft w:val="0"/>
      <w:marRight w:val="0"/>
      <w:marTop w:val="0"/>
      <w:marBottom w:val="0"/>
      <w:divBdr>
        <w:top w:val="none" w:sz="0" w:space="0" w:color="auto"/>
        <w:left w:val="none" w:sz="0" w:space="0" w:color="auto"/>
        <w:bottom w:val="none" w:sz="0" w:space="0" w:color="auto"/>
        <w:right w:val="none" w:sz="0" w:space="0" w:color="auto"/>
      </w:divBdr>
    </w:div>
    <w:div w:id="2145922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eceuropaeu.sharepoint.com/teams/GRP-GRP-JUSTD3/Shared%20Documents/Future%20Gender%20Equality%20Strategy%202026-2030/Post%20RSCC/Commission%20proposes%20new%20measures%20to%20improve%20health%20and%20the%20healthcare%20sector%20-%20European%20Commission" TargetMode="External"/><Relationship Id="rId21" Type="http://schemas.openxmlformats.org/officeDocument/2006/relationships/hyperlink" Target="https://digital-strategy.ec.europa.eu/fr/library/action-plan-against-cyberbullying" TargetMode="External"/><Relationship Id="rId34" Type="http://schemas.openxmlformats.org/officeDocument/2006/relationships/hyperlink" Target="https://eur-lex.europa.eu/legal-content/EN/TXT/?uri=celex:52025PC0555" TargetMode="External"/><Relationship Id="rId42" Type="http://schemas.openxmlformats.org/officeDocument/2006/relationships/hyperlink" Target="https://employment-social-affairs.ec.europa.eu/policies-and-activities/european-pillar-social-rights-building-fairer-and-more-inclusive-european-union_en?prefLang=fr" TargetMode="External"/><Relationship Id="rId47" Type="http://schemas.openxmlformats.org/officeDocument/2006/relationships/hyperlink" Target="https://eur-lex.europa.eu/legal-content/FR/TXT/?uri=CELEX:32022H1215(01)" TargetMode="External"/><Relationship Id="rId50" Type="http://schemas.openxmlformats.org/officeDocument/2006/relationships/hyperlink" Target="https://eur-lex.europa.eu/legal-content/FR/TXT/?uri=CELEX:32022L2381" TargetMode="External"/><Relationship Id="rId55" Type="http://schemas.openxmlformats.org/officeDocument/2006/relationships/hyperlink" Target="https://build-up.ec.europa.eu/en/news-and-events/news/construction-blueprint-launches-phase-2" TargetMode="External"/><Relationship Id="rId63" Type="http://schemas.openxmlformats.org/officeDocument/2006/relationships/hyperlink" Target="https://eur-lex.europa.eu/legal-content/FR/TXT/HTML/?uri=CELEX:52025DC0089" TargetMode="External"/><Relationship Id="rId68" Type="http://schemas.openxmlformats.org/officeDocument/2006/relationships/hyperlink" Target="https://eur-lex.europa.eu/legal-content/FR/TXT/?uri=CELEX:32014R1141" TargetMode="External"/><Relationship Id="rId76" Type="http://schemas.openxmlformats.org/officeDocument/2006/relationships/hyperlink" Target="https://commission.europa.eu/topics/equality-and-inclusion/equality-and-inclusion-key-actions/task-force-equality-european-commission_fr" TargetMode="External"/><Relationship Id="rId84" Type="http://schemas.openxmlformats.org/officeDocument/2006/relationships/hyperlink" Target="https://eu-diversity-inclusion.campaign.europa.eu/european-capitals-inclusion-and-diversity-award_fr" TargetMode="External"/><Relationship Id="rId89" Type="http://schemas.openxmlformats.org/officeDocument/2006/relationships/hyperlink" Target="https://enlargement.ec.europa.eu/funding-technical-assistance/neighbourhood-development-and-international-cooperation-instrument-global-europe-ndici-global-europe_en?prefLang=fr" TargetMode="External"/><Relationship Id="rId97"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hyperlink" Target="https://digital-strategy.ec.europa.eu/fr/library/code-conduct-disinformation" TargetMode="External"/><Relationship Id="rId92"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yperlink" Target="https://commission.europa.eu/document/0c3fe55d-9e4f-4377-9d14-93d03398b434_en" TargetMode="External"/><Relationship Id="rId29" Type="http://schemas.openxmlformats.org/officeDocument/2006/relationships/hyperlink" Target="https://health.ec.europa.eu/publications/proposal-regulation-establish-measures-strengthen-unions-biotechnology-and-biomanufacturing-sectors_en?prefLang=fr" TargetMode="External"/><Relationship Id="rId11" Type="http://schemas.openxmlformats.org/officeDocument/2006/relationships/header" Target="header2.xml"/><Relationship Id="rId24" Type="http://schemas.openxmlformats.org/officeDocument/2006/relationships/hyperlink" Target="https://research-and-innovation.ec.europa.eu/research-area/health/womens-health_en?prefLang=fr" TargetMode="External"/><Relationship Id="rId32" Type="http://schemas.openxmlformats.org/officeDocument/2006/relationships/hyperlink" Target="https://public-buyers-community.ec.europa.eu/resources/public-procurement-directives" TargetMode="External"/><Relationship Id="rId37" Type="http://schemas.openxmlformats.org/officeDocument/2006/relationships/hyperlink" Target="https://eur-lex.europa.eu/legal-content/FR/TXT/?uri=CELEX:32004L0113" TargetMode="External"/><Relationship Id="rId40" Type="http://schemas.openxmlformats.org/officeDocument/2006/relationships/hyperlink" Target="https://housing.ec.europa.eu/european-affordable-housing-plan_en" TargetMode="External"/><Relationship Id="rId45" Type="http://schemas.openxmlformats.org/officeDocument/2006/relationships/hyperlink" Target="https://eur-lex.europa.eu/legal-content/FR/TXT/?uri=CELEX:32019L1158" TargetMode="External"/><Relationship Id="rId53" Type="http://schemas.openxmlformats.org/officeDocument/2006/relationships/hyperlink" Target="https://eur-lex.europa.eu/legal-content/FR/TXT/?uri=CELEX:52025DC0944" TargetMode="External"/><Relationship Id="rId58" Type="http://schemas.openxmlformats.org/officeDocument/2006/relationships/hyperlink" Target="https://transport.ec.europa.eu/transport-themes/social-issues-equality-and-attractiveness-transport-sector/equality/diversity-transport_en?prefLang=fr" TargetMode="External"/><Relationship Id="rId66" Type="http://schemas.openxmlformats.org/officeDocument/2006/relationships/hyperlink" Target="https://sport.ec.europa.eu/european-week-of-sport" TargetMode="External"/><Relationship Id="rId74" Type="http://schemas.openxmlformats.org/officeDocument/2006/relationships/hyperlink" Target="https://home-affairs.ec.europa.eu/networks/eu-knowledge-hub-prevention-radicalisation_en?prefLang=fr" TargetMode="External"/><Relationship Id="rId79" Type="http://schemas.openxmlformats.org/officeDocument/2006/relationships/hyperlink" Target="https://commission.europa.eu/strategy-and-policy/policies/justice-and-fundamental-rights/gender-equality/who-we-work-gender-equality/high-level-group-gender-mainstreaming-and-advisory-committee-equal-opportunities-women-and-men_fr" TargetMode="External"/><Relationship Id="rId87" Type="http://schemas.openxmlformats.org/officeDocument/2006/relationships/hyperlink" Target="https://www.unwomen.org/fr/articles/article-explicatif/quest-ce-que-le-programme-pour-les-femmes-la-paix-et-la-securite" TargetMode="External"/><Relationship Id="rId5" Type="http://schemas.openxmlformats.org/officeDocument/2006/relationships/settings" Target="settings.xml"/><Relationship Id="rId61" Type="http://schemas.openxmlformats.org/officeDocument/2006/relationships/hyperlink" Target="https://eur-lex.europa.eu/legal-content/fr/TXT/?uri=LEGISSUM:4617909" TargetMode="External"/><Relationship Id="rId82" Type="http://schemas.openxmlformats.org/officeDocument/2006/relationships/hyperlink" Target="https://civil-protection-humanitarian-aid.ec.europa.eu/what/civil-protection/eu-civil-protection-mechanism_en?prefLang=fr" TargetMode="External"/><Relationship Id="rId90" Type="http://schemas.openxmlformats.org/officeDocument/2006/relationships/hyperlink" Target="https://policy.trade.ec.europa.eu/development-and-sustainability/generalised-scheme-preferences_en?prefLang=fr" TargetMode="External"/><Relationship Id="rId95" Type="http://schemas.openxmlformats.org/officeDocument/2006/relationships/header" Target="header6.xml"/><Relationship Id="rId19" Type="http://schemas.openxmlformats.org/officeDocument/2006/relationships/hyperlink" Target="https://eur-lex.europa.eu/eli/reg/2022/2065/oj/fra" TargetMode="External"/><Relationship Id="rId14" Type="http://schemas.openxmlformats.org/officeDocument/2006/relationships/header" Target="header3.xml"/><Relationship Id="rId22" Type="http://schemas.openxmlformats.org/officeDocument/2006/relationships/hyperlink" Target="https://eur-lex.europa.eu/legal-content/FR/TXT/?uri=CELEX:32024L1712" TargetMode="External"/><Relationship Id="rId27" Type="http://schemas.openxmlformats.org/officeDocument/2006/relationships/hyperlink" Target="https://health.ec.europa.eu/non-communicable-diseases/cardiovascular-health_fr" TargetMode="External"/><Relationship Id="rId30" Type="http://schemas.openxmlformats.org/officeDocument/2006/relationships/hyperlink" Target="https://citizens-initiative.europa.eu/sites/default/files/2026-02/C_2026_3225_EN.pdf" TargetMode="External"/><Relationship Id="rId35" Type="http://schemas.openxmlformats.org/officeDocument/2006/relationships/hyperlink" Target="https://eur-lex.europa.eu/legal-content/FR/TXT/?uri=CELEX:52025DC0681" TargetMode="External"/><Relationship Id="rId43" Type="http://schemas.openxmlformats.org/officeDocument/2006/relationships/hyperlink" Target="https://commission.europa.eu/funding-tenders/find-funding/eu-funding-programmes/recovery-and-resilience-facility_en?prefLang=fr" TargetMode="External"/><Relationship Id="rId48" Type="http://schemas.openxmlformats.org/officeDocument/2006/relationships/hyperlink" Target="https://www.un.org/en/development/desa/population/migration/generalassembly/docs/globalcompact/ILO_C_189.pdf" TargetMode="External"/><Relationship Id="rId56" Type="http://schemas.openxmlformats.org/officeDocument/2006/relationships/hyperlink" Target="https://defence-industry-space.ec.europa.eu/eu-space/eu-space-and-defence-industry-diversity-inclusion-network_en?prefLang=fr" TargetMode="External"/><Relationship Id="rId64" Type="http://schemas.openxmlformats.org/officeDocument/2006/relationships/hyperlink" Target="https://school-education.ec.europa.eu/en?prefLang=fr" TargetMode="External"/><Relationship Id="rId69" Type="http://schemas.openxmlformats.org/officeDocument/2006/relationships/hyperlink" Target="https://eur-lex.europa.eu/eli/reco/2023/2829/oj/fra" TargetMode="External"/><Relationship Id="rId77" Type="http://schemas.openxmlformats.org/officeDocument/2006/relationships/hyperlink" Target="https://commission.europa.eu/strategy-and-policy/eu-budget/long-term-eu-budget/eu-budget-2028-2034_en?prefLang=fr" TargetMode="External"/><Relationship Id="rId8" Type="http://schemas.openxmlformats.org/officeDocument/2006/relationships/endnotes" Target="endnotes.xml"/><Relationship Id="rId51" Type="http://schemas.openxmlformats.org/officeDocument/2006/relationships/hyperlink" Target="https://eur-lex.europa.eu/legal-content/FR/TXT/?uri=CELEX%3A52021DC0323&amp;qid=1626089672913" TargetMode="External"/><Relationship Id="rId72" Type="http://schemas.openxmlformats.org/officeDocument/2006/relationships/hyperlink" Target="https://eur-lex.europa.eu/legal-content/FR/TXT/?uri=CELEX%3A52025DC0148" TargetMode="External"/><Relationship Id="rId80" Type="http://schemas.openxmlformats.org/officeDocument/2006/relationships/hyperlink" Target="https://commission.europa.eu/document/download/8c30975d-bc1c-4415-8dcd-a71cb28f3662_en?filename=JUST_template_comingsoon_standard.pdf" TargetMode="External"/><Relationship Id="rId85" Type="http://schemas.openxmlformats.org/officeDocument/2006/relationships/hyperlink" Target="https://commission.europa.eu/topics/international-partnerships/global-gateway_en" TargetMode="External"/><Relationship Id="rId93" Type="http://schemas.openxmlformats.org/officeDocument/2006/relationships/footer" Target="footer4.xml"/><Relationship Id="rId98" Type="http://schemas.openxmlformats.org/officeDocument/2006/relationships/theme" Target="theme/theme1.xml"/><Relationship Id="rId3" Type="http://schemas.openxmlformats.org/officeDocument/2006/relationships/numbering" Target="numbering.xml"/><Relationship Id="rId12" Type="http://schemas.openxmlformats.org/officeDocument/2006/relationships/footer" Target="footer1.xml"/><Relationship Id="rId17" Type="http://schemas.openxmlformats.org/officeDocument/2006/relationships/hyperlink" Target="https://eur-lex.europa.eu/eli/dir/2024/1385/oj/fra" TargetMode="External"/><Relationship Id="rId25" Type="http://schemas.openxmlformats.org/officeDocument/2006/relationships/hyperlink" Target="https://commission.europa.eu/topics/public-health/european-health-union/cancer-plan-europe_fr" TargetMode="External"/><Relationship Id="rId33" Type="http://schemas.openxmlformats.org/officeDocument/2006/relationships/hyperlink" Target="https://advisory.eib.org/about/gender-finance-lab" TargetMode="External"/><Relationship Id="rId38" Type="http://schemas.openxmlformats.org/officeDocument/2006/relationships/hyperlink" Target="https://eur-lex.europa.eu/legal-content/FR/TXT/?uri=CELEX:32010L0041" TargetMode="External"/><Relationship Id="rId46" Type="http://schemas.openxmlformats.org/officeDocument/2006/relationships/hyperlink" Target="https://eur-lex.europa.eu/legal-content/FR/TXT/?uri=CELEX:32022H1220(01)" TargetMode="External"/><Relationship Id="rId59" Type="http://schemas.openxmlformats.org/officeDocument/2006/relationships/hyperlink" Target="https://op.europa.eu/fr/publication-detail/-/publication/1712e683-b4ec-11ee-b164-01aa75ed71a1" TargetMode="External"/><Relationship Id="rId67" Type="http://schemas.openxmlformats.org/officeDocument/2006/relationships/hyperlink" Target="https://sport.ec.europa.eu/initiatives/beactive-eu-sport-awards" TargetMode="External"/><Relationship Id="rId20" Type="http://schemas.openxmlformats.org/officeDocument/2006/relationships/hyperlink" Target="https://eceuropaeu.sharepoint.com/teams/GRP-GRP-JUSTD3/Shared%20Documents/Future%20Gender%20Equality%20Strategy%202026-2030/Post%20RSCC/Guidelines%20on%20measures%20to%20ensure%20a%20high%20level%20of%20privacy,%20safety%20and%20security%20for%20minors%20online" TargetMode="External"/><Relationship Id="rId41" Type="http://schemas.openxmlformats.org/officeDocument/2006/relationships/hyperlink" Target="https://ec.europa.eu/eurostat/cache/dashboard/social-scoreboard/" TargetMode="External"/><Relationship Id="rId54" Type="http://schemas.openxmlformats.org/officeDocument/2006/relationships/hyperlink" Target="https://eur-lex.europa.eu/legal-content/FR/TXT/?uri=CELEX:32022D2481" TargetMode="External"/><Relationship Id="rId62" Type="http://schemas.openxmlformats.org/officeDocument/2006/relationships/hyperlink" Target="https://eit-girlsgostem.eu/" TargetMode="External"/><Relationship Id="rId70" Type="http://schemas.openxmlformats.org/officeDocument/2006/relationships/hyperlink" Target="https://commission.europa.eu/document/2539eb53-9485-4199-bfdc-97166893ff45_en" TargetMode="External"/><Relationship Id="rId75" Type="http://schemas.openxmlformats.org/officeDocument/2006/relationships/hyperlink" Target="https://eur-lex.europa.eu/legal-content/FR/TXT/HTML/?uri=OJ:L_202401500" TargetMode="External"/><Relationship Id="rId83" Type="http://schemas.openxmlformats.org/officeDocument/2006/relationships/hyperlink" Target="https://ec.europa.eu/regional_policy/information-sources/publications/communications/2025/eu-agenda-for-cities-2025_fr" TargetMode="External"/><Relationship Id="rId88" Type="http://schemas.openxmlformats.org/officeDocument/2006/relationships/hyperlink" Target="https://enlargement.ec.europa.eu/funding-technical-assistance/overview-instrument-pre-accession-assistance_fr" TargetMode="External"/><Relationship Id="rId91" Type="http://schemas.openxmlformats.org/officeDocument/2006/relationships/header" Target="header4.xml"/><Relationship Id="rId96"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https://commission.europa.eu/publications/agoraeu_en?prefLang=fr" TargetMode="External"/><Relationship Id="rId28" Type="http://schemas.openxmlformats.org/officeDocument/2006/relationships/hyperlink" Target="https://eur-lex.europa.eu/legal-content/FR/TXT/?uri=CELEX:32001L0083" TargetMode="External"/><Relationship Id="rId36" Type="http://schemas.openxmlformats.org/officeDocument/2006/relationships/hyperlink" Target="https://eismea.ec.europa.eu/esteam-fests-and-communities-girls-and-women_en" TargetMode="External"/><Relationship Id="rId49" Type="http://schemas.openxmlformats.org/officeDocument/2006/relationships/hyperlink" Target="https://eu-diversity-inclusion.campaign.europa.eu/eu-platform-diversity-charters_en?prefLang=fr" TargetMode="External"/><Relationship Id="rId57" Type="http://schemas.openxmlformats.org/officeDocument/2006/relationships/hyperlink" Target="https://transport.ec.europa.eu/transport-themes/social-issues-equality-and-attractiveness-transport-sector/equality/women-transport-eu-platform-change_en?prefLang=fr" TargetMode="External"/><Relationship Id="rId10" Type="http://schemas.openxmlformats.org/officeDocument/2006/relationships/header" Target="header1.xml"/><Relationship Id="rId31" Type="http://schemas.openxmlformats.org/officeDocument/2006/relationships/hyperlink" Target="https://eur-lex.europa.eu/eli/dir/2023/970/oj/fra" TargetMode="External"/><Relationship Id="rId44" Type="http://schemas.openxmlformats.org/officeDocument/2006/relationships/hyperlink" Target="https://eur-lex.europa.eu/legal-content/FR/TXT/?uri=CELEX:52022DC0440" TargetMode="External"/><Relationship Id="rId52" Type="http://schemas.openxmlformats.org/officeDocument/2006/relationships/hyperlink" Target="https://eur-lex.europa.eu/eli/reg/2024/1689/oj" TargetMode="External"/><Relationship Id="rId60" Type="http://schemas.openxmlformats.org/officeDocument/2006/relationships/hyperlink" Target="https://eur-lex.europa.eu/legal-content/FR/TXT/?uri=CELEX:32023R0988" TargetMode="External"/><Relationship Id="rId65" Type="http://schemas.openxmlformats.org/officeDocument/2006/relationships/hyperlink" Target="https://erasmus-plus.ec.europa.eu/fr" TargetMode="External"/><Relationship Id="rId73" Type="http://schemas.openxmlformats.org/officeDocument/2006/relationships/hyperlink" Target="https://home-affairs.ec.europa.eu/news/policy-practice-joint-events-2025-12-12_en?prefLang=fr" TargetMode="External"/><Relationship Id="rId78" Type="http://schemas.openxmlformats.org/officeDocument/2006/relationships/hyperlink" Target="https://commission.europa.eu/publications/budget-expenditure-tracking-and-performance-framework_en?prefLang=fr" TargetMode="External"/><Relationship Id="rId81" Type="http://schemas.openxmlformats.org/officeDocument/2006/relationships/hyperlink" Target="https://eur-lex.europa.eu/resource.html?uri=cellar:0c2f33c9-0b29-11f0-b1a3-01aa75ed71a1.0012.02/DOC_1&amp;format=PDF" TargetMode="External"/><Relationship Id="rId86" Type="http://schemas.openxmlformats.org/officeDocument/2006/relationships/hyperlink" Target="https://www.unwomen.org/fr/nos-methodes/commission-condition-de-la-femme" TargetMode="External"/><Relationship Id="rId94" Type="http://schemas.openxmlformats.org/officeDocument/2006/relationships/footer" Target="footer5.xml"/><Relationship Id="rId4" Type="http://schemas.openxmlformats.org/officeDocument/2006/relationships/styles" Target="styles.xml"/><Relationship Id="rId9" Type="http://schemas.openxmlformats.org/officeDocument/2006/relationships/image" Target="media/image1.emf"/><Relationship Id="rId13" Type="http://schemas.openxmlformats.org/officeDocument/2006/relationships/footer" Target="footer2.xml"/><Relationship Id="rId18" Type="http://schemas.openxmlformats.org/officeDocument/2006/relationships/hyperlink" Target="https://commission.europa.eu/strategy-and-policy/policies/justice-and-fundamental-rights/gender-equality/who-we-work-gender-equality/mutual-learning-programme-gender-equality_en?prefLang=fr" TargetMode="External"/><Relationship Id="rId39" Type="http://schemas.openxmlformats.org/officeDocument/2006/relationships/hyperlink" Target="https://eur-lex.europa.eu/legal-content/FR/TXT/?uri=oj:JOC_2023_041_R_0001"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www.securityhero.io/state-of-deepfakes/" TargetMode="External"/><Relationship Id="rId18" Type="http://schemas.openxmlformats.org/officeDocument/2006/relationships/hyperlink" Target="https://www.europarl.europa.eu/RegData/etudes/STUD/2025/778519/IUST_STU%282025%29778519_EN.pdf?utm_source=chatgpt.com" TargetMode="External"/><Relationship Id="rId26" Type="http://schemas.openxmlformats.org/officeDocument/2006/relationships/hyperlink" Target="https://gendergap-investments.eu/uploads/documents/Final-Report-Gender-Gap-in-Investments-04.11.25.pdf" TargetMode="External"/><Relationship Id="rId39" Type="http://schemas.openxmlformats.org/officeDocument/2006/relationships/hyperlink" Target="https://eige.europa.eu/gender-statistics/dgs/indicator/wmidm_adm_nat__wmid_natadmin/bar/year:2025/geo:EU27_2020,IPA,EEA,BE,BG,CZ,DK,DE,EE,IE,EL,ES,FR,HR,IT,CY,LV,LT,LU,HU,MT,NL,AT,PL,PT,RO,SI,SK,FI,SE,IS,LI,NO,UK,ME,MK,AL,RS,TR,BA,XK/EGROUP:ADM_NAT/sex:M,W/UNIT:PC/POSITION:ADMIN/BEIS:TOT" TargetMode="External"/><Relationship Id="rId21" Type="http://schemas.openxmlformats.org/officeDocument/2006/relationships/hyperlink" Target="https://cancer-inequalities.jrc.ec.europa.eu/analytical-report-2026" TargetMode="External"/><Relationship Id="rId34" Type="http://schemas.openxmlformats.org/officeDocument/2006/relationships/hyperlink" Target="https://www.mynewsdesk.com/eurofound/pressreleases/mind-the-gap-gender-employment-gap-cost-europe-over-390-euros-billion-in-2023-3373047" TargetMode="External"/><Relationship Id="rId42" Type="http://schemas.openxmlformats.org/officeDocument/2006/relationships/hyperlink" Target="https://eur-lex.europa.eu/legal-content/FR/TXT/?uri=CELEX:32006L0054" TargetMode="External"/><Relationship Id="rId47" Type="http://schemas.openxmlformats.org/officeDocument/2006/relationships/hyperlink" Target="https://eur-lex.europa.eu/legal-content/FR/TXT/?uri=CELEX%3A52025DC0148" TargetMode="External"/><Relationship Id="rId50" Type="http://schemas.openxmlformats.org/officeDocument/2006/relationships/hyperlink" Target="https://publications.jrc.ec.europa.eu/repository/handle/JRC141299" TargetMode="External"/><Relationship Id="rId55" Type="http://schemas.openxmlformats.org/officeDocument/2006/relationships/hyperlink" Target="https://eur-lex.europa.eu/legal-content/fr/TXT/PDF/?uri=CELEX:52023IR2488" TargetMode="External"/><Relationship Id="rId7" Type="http://schemas.openxmlformats.org/officeDocument/2006/relationships/hyperlink" Target="https://commission.europa.eu/strategy-and-policy/policies/justice-and-fundamental-rights/disability/union-equality-strategy-rights-persons-disabilities-2021-2030_en?prefLang=fr" TargetMode="External"/><Relationship Id="rId12" Type="http://schemas.openxmlformats.org/officeDocument/2006/relationships/hyperlink" Target="https://ec.europa.eu/eurostat/databrowser/view/crim_hom_vrel/bookmark/table?bookmarkId=67c1d34c-1b65-4511-8924-865ae24b0931&amp;c=1771508613000" TargetMode="External"/><Relationship Id="rId17" Type="http://schemas.openxmlformats.org/officeDocument/2006/relationships/hyperlink" Target="https://www.europarl.europa.eu/RegData/etudes/BRIE/2025/772855/EPRS_BRI(2025)772855_EN.pdf" TargetMode="External"/><Relationship Id="rId25" Type="http://schemas.openxmlformats.org/officeDocument/2006/relationships/hyperlink" Target="https://eige.europa.eu/publications-resources/publications/gender-responsive-public-procurement-step-step-toolkit?language_content_entity=en" TargetMode="External"/><Relationship Id="rId33" Type="http://schemas.openxmlformats.org/officeDocument/2006/relationships/hyperlink" Target="https://ec.europa.eu/eurostat/statistics-explained/index.php?title=Gender_statistics" TargetMode="External"/><Relationship Id="rId38" Type="http://schemas.openxmlformats.org/officeDocument/2006/relationships/hyperlink" Target="https://eige.europa.eu/gender-statistics/dgs/indicator/wmidm_adm_nat__wmid_natadmin/bar/year:2025/geo:EU27_2020,IPA,EEA,BE,BG,CZ,DK,DE,EE,IE,EL,ES,FR,HR,IT,CY,LV,LT,LU,HU,MT,NL,AT,PL,PT,RO,SI,SK,FI,SE,IS,LI,NO,UK,ME,MK,AL,RS,TR,BA,XK/EGROUP:ADM_NAT/sex:M,W/UNIT:PC/POSITION:ADMIN/BEIS:TOT" TargetMode="External"/><Relationship Id="rId46" Type="http://schemas.openxmlformats.org/officeDocument/2006/relationships/hyperlink" Target="https://www.oscepa.org/en/documents/special-representatives/gender-issues/report-17/4247-2021-report-by-the-special-representative-on-gender-issues-violence-against-women-journalists-and-politicians-a-growing-crisis/file" TargetMode="External"/><Relationship Id="rId2" Type="http://schemas.openxmlformats.org/officeDocument/2006/relationships/hyperlink" Target="https://eige.europa.eu/gender-equality-index" TargetMode="External"/><Relationship Id="rId16" Type="http://schemas.openxmlformats.org/officeDocument/2006/relationships/hyperlink" Target="https://eige.europa.eu/publications-resources/toolkits-guides/gender-equality-index-2021-report/thematic-focus-health?utm_source=chatgpt.com" TargetMode="External"/><Relationship Id="rId20" Type="http://schemas.openxmlformats.org/officeDocument/2006/relationships/hyperlink" Target="https://cancer-inequalities.jrc.ec.europa.eu/analytical-report-2026" TargetMode="External"/><Relationship Id="rId29" Type="http://schemas.openxmlformats.org/officeDocument/2006/relationships/hyperlink" Target="https://eceuropaeu.sharepoint.com/teams/GRP-GRP-JUSTD3/Shared%20Documents/Future%20Gender%20Equality%20Strategy%202026-2030/Post%20RSCC/Sharing%20Care_Closing%20the%20gap%20survey_2024" TargetMode="External"/><Relationship Id="rId41" Type="http://schemas.openxmlformats.org/officeDocument/2006/relationships/hyperlink" Target="https://www.ilo.org/fr/themes-et-secteurs/violence-et-harcelement-dans-le-monde-du-travail" TargetMode="External"/><Relationship Id="rId54" Type="http://schemas.openxmlformats.org/officeDocument/2006/relationships/hyperlink" Target="https://eur-lex.europa.eu/legal-content/FR/TXT/?uri=celex:52025DC0790" TargetMode="External"/><Relationship Id="rId1" Type="http://schemas.openxmlformats.org/officeDocument/2006/relationships/hyperlink" Target="https://eige.europa.eu/newsroom/economic-benefits-gender-equality?language_content_entity=en" TargetMode="External"/><Relationship Id="rId6" Type="http://schemas.openxmlformats.org/officeDocument/2006/relationships/hyperlink" Target="https://commission.europa.eu/strategy-and-policy/policies/justice-and-fundamental-rights/combatting-discrimination/racism-and-xenophobia/anti-racism-strategy_en?prefLang=fr" TargetMode="External"/><Relationship Id="rId11" Type="http://schemas.openxmlformats.org/officeDocument/2006/relationships/hyperlink" Target="https://data.consilium.europa.eu/doc/document/ST-8957-2024-INIT/fr/pdf" TargetMode="External"/><Relationship Id="rId24" Type="http://schemas.openxmlformats.org/officeDocument/2006/relationships/hyperlink" Target="https://eige.europa.eu/publications-resources/publications/gender-responsive-public-procurement-step-step-toolkit?language_content_entity=en" TargetMode="External"/><Relationship Id="rId32" Type="http://schemas.openxmlformats.org/officeDocument/2006/relationships/hyperlink" Target="https://employment-social-affairs.ec.europa.eu/policies-and-activities/social-protection-social-inclusion/social-protection-committee/indicators-sub-group/monitoring-and-benchmarking-frameworks_en?prefLang=fr" TargetMode="External"/><Relationship Id="rId37" Type="http://schemas.openxmlformats.org/officeDocument/2006/relationships/hyperlink" Target="https://eige.europa.eu/gender-statistics/dgs/indicator/wmidm_adm_nat__wmid_natadmin/bar/year:2025/geo:EU27_2020,IPA,EEA,BE,BG,CZ,DK,DE,EE,IE,EL,ES,FR,HR,IT,CY,LV,LT,LU,HU,MT,NL,AT,PL,PT,RO,SI,SK,FI,SE,IS,LI,NO,UK,ME,MK,AL,RS,TR,BA,XK/EGROUP:ADM_NAT/sex:M,W/UNIT:PC/POSITION:ADMIN/BEIS:TOT" TargetMode="External"/><Relationship Id="rId40" Type="http://schemas.openxmlformats.org/officeDocument/2006/relationships/hyperlink" Target="https://eige.europa.eu/gender-statistics/dgs/indicator/wmidm_adm_nat__wmid_natadmin/bar/year:2025/geo:EU27_2020,IPA,EEA,BE,BG,CZ,DK,DE,EE,IE,EL,ES,FR,HR,IT,CY,LV,LT,LU,HU,MT,NL,AT,PL,PT,RO,SI,SK,FI,SE,IS,LI,NO,UK,ME,MK,AL,RS,TR,BA,XK/EGROUP:ADM_NAT/sex:M,W/UNIT:PC/POSITION:ADMIN/BEIS:TOT" TargetMode="External"/><Relationship Id="rId45" Type="http://schemas.openxmlformats.org/officeDocument/2006/relationships/hyperlink" Target="https://ccre-cemr.org/wp-content/uploads/2024/11/Women-In-Politics-Study-2024-ENG.pdf" TargetMode="External"/><Relationship Id="rId53" Type="http://schemas.openxmlformats.org/officeDocument/2006/relationships/hyperlink" Target="https://www.epfweb.org/node/1147" TargetMode="External"/><Relationship Id="rId5" Type="http://schemas.openxmlformats.org/officeDocument/2006/relationships/hyperlink" Target="https://commission.europa.eu/strategy-and-policy/policies/justice-and-fundamental-rights/combatting-discrimination/lesbian-gay-bi-trans-and-intersex-equality/lgbtiq-equality-strategy-2026-2030_en?prefLang=fr" TargetMode="External"/><Relationship Id="rId15" Type="http://schemas.openxmlformats.org/officeDocument/2006/relationships/hyperlink" Target="https://ec.europa.eu/eurostat/statistics-explained/index.php?title=Trafficking_in_human_beings_statistics" TargetMode="External"/><Relationship Id="rId23" Type="http://schemas.openxmlformats.org/officeDocument/2006/relationships/hyperlink" Target="https://eige.europa.eu/publications-resources/publications/gender-responsive-public-procurement-step-step-toolkit?language_content_entity=en" TargetMode="External"/><Relationship Id="rId28" Type="http://schemas.openxmlformats.org/officeDocument/2006/relationships/hyperlink" Target="https://ec.europa.eu/eurostat/web/products-eurostat-news/w/ddn-20260225-1" TargetMode="External"/><Relationship Id="rId36" Type="http://schemas.openxmlformats.org/officeDocument/2006/relationships/hyperlink" Target="https://eige.europa.eu/gender-statistics/dgs/indicator/wmidm_adm_nat__wmid_natadmin/bar/year:2025/geo:EU27_2020,IPA,EEA,BE,BG,CZ,DK,DE,EE,IE,EL,ES,FR,HR,IT,CY,LV,LT,LU,HU,MT,NL,AT,PL,PT,RO,SI,SK,FI,SE,IS,LI,NO,UK,ME,MK,AL,RS,TR,BA,XK/EGROUP:ADM_NAT/sex:M,W/UNIT:PC/POSITION:ADMIN/BEIS:TOT" TargetMode="External"/><Relationship Id="rId49" Type="http://schemas.openxmlformats.org/officeDocument/2006/relationships/hyperlink" Target="https://publications.jrc.ec.europa.eu/repository/handle/JRC141299" TargetMode="External"/><Relationship Id="rId57" Type="http://schemas.openxmlformats.org/officeDocument/2006/relationships/hyperlink" Target="https://www.who.int/fr/news-room/fact-sheets/detail/violence-against-women" TargetMode="External"/><Relationship Id="rId10" Type="http://schemas.openxmlformats.org/officeDocument/2006/relationships/hyperlink" Target="https://www.europarl.europa.eu/doceo/document/TA-10-2025-0278_FR.html" TargetMode="External"/><Relationship Id="rId19" Type="http://schemas.openxmlformats.org/officeDocument/2006/relationships/hyperlink" Target="https://research-and-innovation.ec.europa.eu/research-area/health/womens-health_en?prefLang=fr" TargetMode="External"/><Relationship Id="rId31" Type="http://schemas.openxmlformats.org/officeDocument/2006/relationships/hyperlink" Target="https://ec.europa.eu/economy_finance/recovery-and-resilience-scoreboard/assets/thematic_analysis/scoreboard_thematic_analysis_equality.pdf" TargetMode="External"/><Relationship Id="rId44" Type="http://schemas.openxmlformats.org/officeDocument/2006/relationships/hyperlink" Target="https://eur-lex.europa.eu/legal-content/FR/TXT/?uri=CELEX:52025DC0287" TargetMode="External"/><Relationship Id="rId52" Type="http://schemas.openxmlformats.org/officeDocument/2006/relationships/hyperlink" Target="https://www.epfweb.org/node/1147" TargetMode="External"/><Relationship Id="rId4" Type="http://schemas.openxmlformats.org/officeDocument/2006/relationships/hyperlink" Target="https://europa.eu/eurobarometer/surveys/detail/2974" TargetMode="External"/><Relationship Id="rId9" Type="http://schemas.openxmlformats.org/officeDocument/2006/relationships/hyperlink" Target="https://ec.europa.eu/info/law/better-regulation/have-your-say/initiatives/14611-Strategie-en-faveur-de-legalite-entre-les-hommes-et-les-femmes-2026-2030_fr" TargetMode="External"/><Relationship Id="rId14" Type="http://schemas.openxmlformats.org/officeDocument/2006/relationships/hyperlink" Target="https://www.consilium.europa.eu/fr/press/press-releases/2025/12/10/the-eu-strengthens-the-protection-and-support-of-victims-of-crime/" TargetMode="External"/><Relationship Id="rId22" Type="http://schemas.openxmlformats.org/officeDocument/2006/relationships/hyperlink" Target="https://commission.europa.eu/strategy-and-policy/policies/justice-and-fundamental-rights/gender-equality/equal-pay/gender-pay-gap-situation-eu_fr" TargetMode="External"/><Relationship Id="rId27" Type="http://schemas.openxmlformats.org/officeDocument/2006/relationships/hyperlink" Target="https://europa.eu/eurobarometer/surveys/detail/2953" TargetMode="External"/><Relationship Id="rId30" Type="http://schemas.openxmlformats.org/officeDocument/2006/relationships/hyperlink" Target="https://www.eurofound.europa.eu/en/publications/all/unpaid-care-eu" TargetMode="External"/><Relationship Id="rId35" Type="http://schemas.openxmlformats.org/officeDocument/2006/relationships/hyperlink" Target="https://www.mynewsdesk.com/eurofound/pressreleases/mind-the-gap-gender-employment-gap-cost-europe-over-390-euros-billion-in-2023-3373047" TargetMode="External"/><Relationship Id="rId43" Type="http://schemas.openxmlformats.org/officeDocument/2006/relationships/hyperlink" Target="https://webgate.ec.europa.eu/circabc-ewpp/ui/group/bab664d7-1188-47b2-9fa6-869902320ba2/library/e85dc3be-6a98-4c8c-b1d8-b3a94efcc551?p=1&amp;n=10&amp;sort=modified_DESC" TargetMode="External"/><Relationship Id="rId48" Type="http://schemas.openxmlformats.org/officeDocument/2006/relationships/hyperlink" Target="https://eur-lex.europa.eu/legal-content/FR/TXT/?uri=CELEX%3A52025DC0148" TargetMode="External"/><Relationship Id="rId56" Type="http://schemas.openxmlformats.org/officeDocument/2006/relationships/hyperlink" Target="https://www.unwomen.org/sites/default/files/Headquarters/Attachments/Sections/How%20We%20Work/flagship%20programmes/UN-Women-Flagship-programme-Safe-cities-public-spaces-en.pdf" TargetMode="External"/><Relationship Id="rId8" Type="http://schemas.openxmlformats.org/officeDocument/2006/relationships/hyperlink" Target="https://commission.europa.eu/document/download/99cc0720-68c2-4300-854f-592bf21dceaf_en?filename=eu_roma_strategic_framework_for_equality_inclusion_and_participation_for_2020_-_2030.pdf" TargetMode="External"/><Relationship Id="rId51" Type="http://schemas.openxmlformats.org/officeDocument/2006/relationships/hyperlink" Target="https://www.epfweb.org/node/1147" TargetMode="External"/><Relationship Id="rId3" Type="http://schemas.openxmlformats.org/officeDocument/2006/relationships/hyperlink" Target="https://commission.europa.eu/strategy-and-policy/policies/justice-and-fundamental-rights/gender-equality/gender-equality-strategy_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DA1763E5DCF94383754B6D3E5E6622" ma:contentTypeVersion="14" ma:contentTypeDescription="Create a new document." ma:contentTypeScope="" ma:versionID="a73eb565eb2084c96d4280eeed00782b">
  <xsd:schema xmlns:xsd="http://www.w3.org/2001/XMLSchema" xmlns:xs="http://www.w3.org/2001/XMLSchema" xmlns:p="http://schemas.microsoft.com/office/2006/metadata/properties" xmlns:ns2="d74c950a-78ac-4838-92ef-a1426a5f274c" xmlns:ns3="17c60b09-739e-4693-8901-93c6edee2864" targetNamespace="http://schemas.microsoft.com/office/2006/metadata/properties" ma:root="true" ma:fieldsID="cff35dac466581fa589380c1cac7cbf1" ns2:_="" ns3:_="">
    <xsd:import namespace="d74c950a-78ac-4838-92ef-a1426a5f274c"/>
    <xsd:import namespace="17c60b09-739e-4693-8901-93c6edee28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4c950a-78ac-4838-92ef-a1426a5f27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7c60b09-739e-4693-8901-93c6edee28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9229e2e4-9b27-46a4-9e27-626ad04e2923}" ma:internalName="TaxCatchAll" ma:showField="CatchAllData" ma:web="17c60b09-739e-4693-8901-93c6edee28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4F3C92-2391-4BF6-AD0E-445120CB80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4c950a-78ac-4838-92ef-a1426a5f274c"/>
    <ds:schemaRef ds:uri="17c60b09-739e-4693-8901-93c6edee28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5B70DAE-66B5-4A71-9289-AC6ACF3F66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13230</Words>
  <Characters>75413</Characters>
  <Application>Microsoft Office Word</Application>
  <DocSecurity>0</DocSecurity>
  <Lines>628</Lines>
  <Paragraphs>176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88467</CharactersWithSpaces>
  <SharedDoc>false</SharedDoc>
  <HLinks>
    <vt:vector size="726" baseType="variant">
      <vt:variant>
        <vt:i4>1114229</vt:i4>
      </vt:variant>
      <vt:variant>
        <vt:i4>225</vt:i4>
      </vt:variant>
      <vt:variant>
        <vt:i4>0</vt:i4>
      </vt:variant>
      <vt:variant>
        <vt:i4>5</vt:i4>
      </vt:variant>
      <vt:variant>
        <vt:lpwstr>https://policy.trade.ec.europa.eu/development-and-sustainability/generalised-scheme-preferences_en</vt:lpwstr>
      </vt:variant>
      <vt:variant>
        <vt:lpwstr/>
      </vt:variant>
      <vt:variant>
        <vt:i4>1441853</vt:i4>
      </vt:variant>
      <vt:variant>
        <vt:i4>222</vt:i4>
      </vt:variant>
      <vt:variant>
        <vt:i4>0</vt:i4>
      </vt:variant>
      <vt:variant>
        <vt:i4>5</vt:i4>
      </vt:variant>
      <vt:variant>
        <vt:lpwstr>https://enlargement.ec.europa.eu/funding-technical-assistance/neighbourhood-development-and-international-cooperation-instrument-global-europe-ndici-global-europe_en</vt:lpwstr>
      </vt:variant>
      <vt:variant>
        <vt:lpwstr/>
      </vt:variant>
      <vt:variant>
        <vt:i4>196671</vt:i4>
      </vt:variant>
      <vt:variant>
        <vt:i4>219</vt:i4>
      </vt:variant>
      <vt:variant>
        <vt:i4>0</vt:i4>
      </vt:variant>
      <vt:variant>
        <vt:i4>5</vt:i4>
      </vt:variant>
      <vt:variant>
        <vt:lpwstr>https://enlargement.ec.europa.eu/funding-technical-assistance/overview-instrument-pre-accession-assistance_en</vt:lpwstr>
      </vt:variant>
      <vt:variant>
        <vt:lpwstr/>
      </vt:variant>
      <vt:variant>
        <vt:i4>524289</vt:i4>
      </vt:variant>
      <vt:variant>
        <vt:i4>216</vt:i4>
      </vt:variant>
      <vt:variant>
        <vt:i4>0</vt:i4>
      </vt:variant>
      <vt:variant>
        <vt:i4>5</vt:i4>
      </vt:variant>
      <vt:variant>
        <vt:lpwstr>https://www.unwomen.org/en/articles/explainer/what-is-the-women-peace-and-security-agenda</vt:lpwstr>
      </vt:variant>
      <vt:variant>
        <vt:lpwstr/>
      </vt:variant>
      <vt:variant>
        <vt:i4>65604</vt:i4>
      </vt:variant>
      <vt:variant>
        <vt:i4>213</vt:i4>
      </vt:variant>
      <vt:variant>
        <vt:i4>0</vt:i4>
      </vt:variant>
      <vt:variant>
        <vt:i4>5</vt:i4>
      </vt:variant>
      <vt:variant>
        <vt:lpwstr>https://www.unwomen.org/en/how-we-work/commission-on-the-status-of-women</vt:lpwstr>
      </vt:variant>
      <vt:variant>
        <vt:lpwstr/>
      </vt:variant>
      <vt:variant>
        <vt:i4>2621447</vt:i4>
      </vt:variant>
      <vt:variant>
        <vt:i4>210</vt:i4>
      </vt:variant>
      <vt:variant>
        <vt:i4>0</vt:i4>
      </vt:variant>
      <vt:variant>
        <vt:i4>5</vt:i4>
      </vt:variant>
      <vt:variant>
        <vt:lpwstr>https://commission.europa.eu/topics/international-partnerships/global-gateway_en</vt:lpwstr>
      </vt:variant>
      <vt:variant>
        <vt:lpwstr/>
      </vt:variant>
      <vt:variant>
        <vt:i4>3014665</vt:i4>
      </vt:variant>
      <vt:variant>
        <vt:i4>206</vt:i4>
      </vt:variant>
      <vt:variant>
        <vt:i4>0</vt:i4>
      </vt:variant>
      <vt:variant>
        <vt:i4>5</vt:i4>
      </vt:variant>
      <vt:variant>
        <vt:lpwstr>https://eu-diversity-inclusion.campaign.europa.eu/european-capitals-inclusion-and-diversity-award_en</vt:lpwstr>
      </vt:variant>
      <vt:variant>
        <vt:lpwstr/>
      </vt:variant>
      <vt:variant>
        <vt:i4>327784</vt:i4>
      </vt:variant>
      <vt:variant>
        <vt:i4>204</vt:i4>
      </vt:variant>
      <vt:variant>
        <vt:i4>0</vt:i4>
      </vt:variant>
      <vt:variant>
        <vt:i4>5</vt:i4>
      </vt:variant>
      <vt:variant>
        <vt:lpwstr>https://commission.europa.eu/strategy-and-policy/policies/justice-and-fundamental-rights/combatting-discrimination/tackling-discrimination/diversity-and-inclusion-initiatives/european-capitals-inclusion-and-diversity-award_en</vt:lpwstr>
      </vt:variant>
      <vt:variant>
        <vt:lpwstr/>
      </vt:variant>
      <vt:variant>
        <vt:i4>3801134</vt:i4>
      </vt:variant>
      <vt:variant>
        <vt:i4>201</vt:i4>
      </vt:variant>
      <vt:variant>
        <vt:i4>0</vt:i4>
      </vt:variant>
      <vt:variant>
        <vt:i4>5</vt:i4>
      </vt:variant>
      <vt:variant>
        <vt:lpwstr>https://ec.europa.eu/regional_policy/information-sources/publications/communications/2025/eu-agenda-for-cities-2025_en</vt:lpwstr>
      </vt:variant>
      <vt:variant>
        <vt:lpwstr/>
      </vt:variant>
      <vt:variant>
        <vt:i4>1572917</vt:i4>
      </vt:variant>
      <vt:variant>
        <vt:i4>198</vt:i4>
      </vt:variant>
      <vt:variant>
        <vt:i4>0</vt:i4>
      </vt:variant>
      <vt:variant>
        <vt:i4>5</vt:i4>
      </vt:variant>
      <vt:variant>
        <vt:lpwstr>https://civil-protection-humanitarian-aid.ec.europa.eu/what/civil-protection/eu-civil-protection-mechanism_en</vt:lpwstr>
      </vt:variant>
      <vt:variant>
        <vt:lpwstr/>
      </vt:variant>
      <vt:variant>
        <vt:i4>917517</vt:i4>
      </vt:variant>
      <vt:variant>
        <vt:i4>195</vt:i4>
      </vt:variant>
      <vt:variant>
        <vt:i4>0</vt:i4>
      </vt:variant>
      <vt:variant>
        <vt:i4>5</vt:i4>
      </vt:variant>
      <vt:variant>
        <vt:lpwstr>https://webgate.ec.europa.eu/circabc-ewpp/d/d/workspace/SpacesStore/b81316ab-a513-49a1-b520-b6a6e0de6986/file.bin</vt:lpwstr>
      </vt:variant>
      <vt:variant>
        <vt:lpwstr/>
      </vt:variant>
      <vt:variant>
        <vt:i4>196698</vt:i4>
      </vt:variant>
      <vt:variant>
        <vt:i4>192</vt:i4>
      </vt:variant>
      <vt:variant>
        <vt:i4>0</vt:i4>
      </vt:variant>
      <vt:variant>
        <vt:i4>5</vt:i4>
      </vt:variant>
      <vt:variant>
        <vt:lpwstr>https://commission.europa.eu/document/download/8c30975d-bc1c-4415-8dcd-a71cb28f3662_en?filename=JUST_template_comingsoon_standard.pdf</vt:lpwstr>
      </vt:variant>
      <vt:variant>
        <vt:lpwstr/>
      </vt:variant>
      <vt:variant>
        <vt:i4>7471131</vt:i4>
      </vt:variant>
      <vt:variant>
        <vt:i4>189</vt:i4>
      </vt:variant>
      <vt:variant>
        <vt:i4>0</vt:i4>
      </vt:variant>
      <vt:variant>
        <vt:i4>5</vt:i4>
      </vt:variant>
      <vt:variant>
        <vt:lpwstr>https://commission.europa.eu/strategy-and-policy/policies/justice-and-fundamental-rights/gender-equality/who-we-work-gender-equality/high-level-group-gender-mainstreaming-and-advisory-committee-equal-opportunities-women-and-men_en</vt:lpwstr>
      </vt:variant>
      <vt:variant>
        <vt:lpwstr>advisorycommitteeonequalopportunitiesforwomenandmen</vt:lpwstr>
      </vt:variant>
      <vt:variant>
        <vt:i4>393272</vt:i4>
      </vt:variant>
      <vt:variant>
        <vt:i4>186</vt:i4>
      </vt:variant>
      <vt:variant>
        <vt:i4>0</vt:i4>
      </vt:variant>
      <vt:variant>
        <vt:i4>5</vt:i4>
      </vt:variant>
      <vt:variant>
        <vt:lpwstr>https://commission.europa.eu/publications/budget-expenditure-tracking-and-performance-framework_en</vt:lpwstr>
      </vt:variant>
      <vt:variant>
        <vt:lpwstr/>
      </vt:variant>
      <vt:variant>
        <vt:i4>1900598</vt:i4>
      </vt:variant>
      <vt:variant>
        <vt:i4>183</vt:i4>
      </vt:variant>
      <vt:variant>
        <vt:i4>0</vt:i4>
      </vt:variant>
      <vt:variant>
        <vt:i4>5</vt:i4>
      </vt:variant>
      <vt:variant>
        <vt:lpwstr>https://commission.europa.eu/strategy-and-policy/eu-budget/long-term-eu-budget/eu-budget-2028-2034_en</vt:lpwstr>
      </vt:variant>
      <vt:variant>
        <vt:lpwstr/>
      </vt:variant>
      <vt:variant>
        <vt:i4>3997779</vt:i4>
      </vt:variant>
      <vt:variant>
        <vt:i4>180</vt:i4>
      </vt:variant>
      <vt:variant>
        <vt:i4>0</vt:i4>
      </vt:variant>
      <vt:variant>
        <vt:i4>5</vt:i4>
      </vt:variant>
      <vt:variant>
        <vt:lpwstr>https://commission.europa.eu/topics/equality-and-inclusion/equality-and-inclusion-key-actions/task-force-equality-european-commission_en</vt:lpwstr>
      </vt:variant>
      <vt:variant>
        <vt:lpwstr/>
      </vt:variant>
      <vt:variant>
        <vt:i4>7602273</vt:i4>
      </vt:variant>
      <vt:variant>
        <vt:i4>177</vt:i4>
      </vt:variant>
      <vt:variant>
        <vt:i4>0</vt:i4>
      </vt:variant>
      <vt:variant>
        <vt:i4>5</vt:i4>
      </vt:variant>
      <vt:variant>
        <vt:lpwstr>https://eur-lex.europa.eu/eli/dir/2024/1500/oj/eng</vt:lpwstr>
      </vt:variant>
      <vt:variant>
        <vt:lpwstr/>
      </vt:variant>
      <vt:variant>
        <vt:i4>6553614</vt:i4>
      </vt:variant>
      <vt:variant>
        <vt:i4>174</vt:i4>
      </vt:variant>
      <vt:variant>
        <vt:i4>0</vt:i4>
      </vt:variant>
      <vt:variant>
        <vt:i4>5</vt:i4>
      </vt:variant>
      <vt:variant>
        <vt:lpwstr>https://home-affairs.ec.europa.eu/networks/eu-knowledge-hub-prevention-radicalisation_en</vt:lpwstr>
      </vt:variant>
      <vt:variant>
        <vt:lpwstr/>
      </vt:variant>
      <vt:variant>
        <vt:i4>4522040</vt:i4>
      </vt:variant>
      <vt:variant>
        <vt:i4>171</vt:i4>
      </vt:variant>
      <vt:variant>
        <vt:i4>0</vt:i4>
      </vt:variant>
      <vt:variant>
        <vt:i4>5</vt:i4>
      </vt:variant>
      <vt:variant>
        <vt:lpwstr>https://home-affairs.ec.europa.eu/news/policy-practice-joint-events-2025-12-12_en</vt:lpwstr>
      </vt:variant>
      <vt:variant>
        <vt:lpwstr/>
      </vt:variant>
      <vt:variant>
        <vt:i4>7995427</vt:i4>
      </vt:variant>
      <vt:variant>
        <vt:i4>168</vt:i4>
      </vt:variant>
      <vt:variant>
        <vt:i4>0</vt:i4>
      </vt:variant>
      <vt:variant>
        <vt:i4>5</vt:i4>
      </vt:variant>
      <vt:variant>
        <vt:lpwstr>https://eur-lex.europa.eu/legal-content/EN/TXT/?uri=CELEX%3A52025DC0148</vt:lpwstr>
      </vt:variant>
      <vt:variant>
        <vt:lpwstr/>
      </vt:variant>
      <vt:variant>
        <vt:i4>4915282</vt:i4>
      </vt:variant>
      <vt:variant>
        <vt:i4>165</vt:i4>
      </vt:variant>
      <vt:variant>
        <vt:i4>0</vt:i4>
      </vt:variant>
      <vt:variant>
        <vt:i4>5</vt:i4>
      </vt:variant>
      <vt:variant>
        <vt:lpwstr>https://digital-strategy.ec.europa.eu/en/library/code-conduct-disinformation</vt:lpwstr>
      </vt:variant>
      <vt:variant>
        <vt:lpwstr/>
      </vt:variant>
      <vt:variant>
        <vt:i4>1966205</vt:i4>
      </vt:variant>
      <vt:variant>
        <vt:i4>162</vt:i4>
      </vt:variant>
      <vt:variant>
        <vt:i4>0</vt:i4>
      </vt:variant>
      <vt:variant>
        <vt:i4>5</vt:i4>
      </vt:variant>
      <vt:variant>
        <vt:lpwstr>https://commission.europa.eu/document/2539eb53-9485-4199-bfdc-97166893ff45_en</vt:lpwstr>
      </vt:variant>
      <vt:variant>
        <vt:lpwstr/>
      </vt:variant>
      <vt:variant>
        <vt:i4>7995502</vt:i4>
      </vt:variant>
      <vt:variant>
        <vt:i4>159</vt:i4>
      </vt:variant>
      <vt:variant>
        <vt:i4>0</vt:i4>
      </vt:variant>
      <vt:variant>
        <vt:i4>5</vt:i4>
      </vt:variant>
      <vt:variant>
        <vt:lpwstr>https://eur-lex.europa.eu/eli/reco/2023/2829/oj/eng</vt:lpwstr>
      </vt:variant>
      <vt:variant>
        <vt:lpwstr/>
      </vt:variant>
      <vt:variant>
        <vt:i4>8126564</vt:i4>
      </vt:variant>
      <vt:variant>
        <vt:i4>156</vt:i4>
      </vt:variant>
      <vt:variant>
        <vt:i4>0</vt:i4>
      </vt:variant>
      <vt:variant>
        <vt:i4>5</vt:i4>
      </vt:variant>
      <vt:variant>
        <vt:lpwstr>https://eur-lex.europa.eu/eli/reg/2014/1141/oj/eng</vt:lpwstr>
      </vt:variant>
      <vt:variant>
        <vt:lpwstr/>
      </vt:variant>
      <vt:variant>
        <vt:i4>3080290</vt:i4>
      </vt:variant>
      <vt:variant>
        <vt:i4>153</vt:i4>
      </vt:variant>
      <vt:variant>
        <vt:i4>0</vt:i4>
      </vt:variant>
      <vt:variant>
        <vt:i4>5</vt:i4>
      </vt:variant>
      <vt:variant>
        <vt:lpwstr>https://sport.ec.europa.eu/initiatives/beactive-eu-sport-awards</vt:lpwstr>
      </vt:variant>
      <vt:variant>
        <vt:lpwstr/>
      </vt:variant>
      <vt:variant>
        <vt:i4>458758</vt:i4>
      </vt:variant>
      <vt:variant>
        <vt:i4>150</vt:i4>
      </vt:variant>
      <vt:variant>
        <vt:i4>0</vt:i4>
      </vt:variant>
      <vt:variant>
        <vt:i4>5</vt:i4>
      </vt:variant>
      <vt:variant>
        <vt:lpwstr>https://sport.ec.europa.eu/european-week-of-sport</vt:lpwstr>
      </vt:variant>
      <vt:variant>
        <vt:lpwstr/>
      </vt:variant>
      <vt:variant>
        <vt:i4>2949166</vt:i4>
      </vt:variant>
      <vt:variant>
        <vt:i4>147</vt:i4>
      </vt:variant>
      <vt:variant>
        <vt:i4>0</vt:i4>
      </vt:variant>
      <vt:variant>
        <vt:i4>5</vt:i4>
      </vt:variant>
      <vt:variant>
        <vt:lpwstr>https://erasmus-plus.ec.europa.eu/</vt:lpwstr>
      </vt:variant>
      <vt:variant>
        <vt:lpwstr/>
      </vt:variant>
      <vt:variant>
        <vt:i4>1245201</vt:i4>
      </vt:variant>
      <vt:variant>
        <vt:i4>144</vt:i4>
      </vt:variant>
      <vt:variant>
        <vt:i4>0</vt:i4>
      </vt:variant>
      <vt:variant>
        <vt:i4>5</vt:i4>
      </vt:variant>
      <vt:variant>
        <vt:lpwstr>https://school-education.ec.europa.eu/en</vt:lpwstr>
      </vt:variant>
      <vt:variant>
        <vt:lpwstr/>
      </vt:variant>
      <vt:variant>
        <vt:i4>720994</vt:i4>
      </vt:variant>
      <vt:variant>
        <vt:i4>141</vt:i4>
      </vt:variant>
      <vt:variant>
        <vt:i4>0</vt:i4>
      </vt:variant>
      <vt:variant>
        <vt:i4>5</vt:i4>
      </vt:variant>
      <vt:variant>
        <vt:lpwstr>https://education.ec.europa.eu/sites/default/files/2025-03/STEM_Education_Strategic_Plan_COM_2025_89_1_EN_0.pdf</vt:lpwstr>
      </vt:variant>
      <vt:variant>
        <vt:lpwstr/>
      </vt:variant>
      <vt:variant>
        <vt:i4>7995428</vt:i4>
      </vt:variant>
      <vt:variant>
        <vt:i4>138</vt:i4>
      </vt:variant>
      <vt:variant>
        <vt:i4>0</vt:i4>
      </vt:variant>
      <vt:variant>
        <vt:i4>5</vt:i4>
      </vt:variant>
      <vt:variant>
        <vt:lpwstr>https://eit-girlsgostem.eu/</vt:lpwstr>
      </vt:variant>
      <vt:variant>
        <vt:lpwstr/>
      </vt:variant>
      <vt:variant>
        <vt:i4>1179727</vt:i4>
      </vt:variant>
      <vt:variant>
        <vt:i4>135</vt:i4>
      </vt:variant>
      <vt:variant>
        <vt:i4>0</vt:i4>
      </vt:variant>
      <vt:variant>
        <vt:i4>5</vt:i4>
      </vt:variant>
      <vt:variant>
        <vt:lpwstr>https://eur-lex.europa.eu/EN/legal-content/summary/strategic-framework-for-european-cooperation-in-education-and-training-towards-the-european-education-area-and-beyond.html</vt:lpwstr>
      </vt:variant>
      <vt:variant>
        <vt:lpwstr/>
      </vt:variant>
      <vt:variant>
        <vt:i4>1441873</vt:i4>
      </vt:variant>
      <vt:variant>
        <vt:i4>132</vt:i4>
      </vt:variant>
      <vt:variant>
        <vt:i4>0</vt:i4>
      </vt:variant>
      <vt:variant>
        <vt:i4>5</vt:i4>
      </vt:variant>
      <vt:variant>
        <vt:lpwstr>https://eur-lex.europa.eu/eli/reg/2023/988/oj/eng</vt:lpwstr>
      </vt:variant>
      <vt:variant>
        <vt:lpwstr/>
      </vt:variant>
      <vt:variant>
        <vt:i4>4522063</vt:i4>
      </vt:variant>
      <vt:variant>
        <vt:i4>129</vt:i4>
      </vt:variant>
      <vt:variant>
        <vt:i4>0</vt:i4>
      </vt:variant>
      <vt:variant>
        <vt:i4>5</vt:i4>
      </vt:variant>
      <vt:variant>
        <vt:lpwstr>https://op.europa.eu/en/publication-detail/-/publication/1712e683-b4ec-11ee-b164-01aa75ed71a1/language-en</vt:lpwstr>
      </vt:variant>
      <vt:variant>
        <vt:lpwstr/>
      </vt:variant>
      <vt:variant>
        <vt:i4>6094967</vt:i4>
      </vt:variant>
      <vt:variant>
        <vt:i4>126</vt:i4>
      </vt:variant>
      <vt:variant>
        <vt:i4>0</vt:i4>
      </vt:variant>
      <vt:variant>
        <vt:i4>5</vt:i4>
      </vt:variant>
      <vt:variant>
        <vt:lpwstr>https://transport.ec.europa.eu/transport-themes/social-issues-equality-and-attractiveness-transport-sector/equality/diversity-transport_en</vt:lpwstr>
      </vt:variant>
      <vt:variant>
        <vt:lpwstr/>
      </vt:variant>
      <vt:variant>
        <vt:i4>1769598</vt:i4>
      </vt:variant>
      <vt:variant>
        <vt:i4>123</vt:i4>
      </vt:variant>
      <vt:variant>
        <vt:i4>0</vt:i4>
      </vt:variant>
      <vt:variant>
        <vt:i4>5</vt:i4>
      </vt:variant>
      <vt:variant>
        <vt:lpwstr>https://transport.ec.europa.eu/transport-themes/social-issues-equality-and-attractiveness-transport-sector/equality/women-transport-eu-platform-change_en</vt:lpwstr>
      </vt:variant>
      <vt:variant>
        <vt:lpwstr/>
      </vt:variant>
      <vt:variant>
        <vt:i4>5767291</vt:i4>
      </vt:variant>
      <vt:variant>
        <vt:i4>120</vt:i4>
      </vt:variant>
      <vt:variant>
        <vt:i4>0</vt:i4>
      </vt:variant>
      <vt:variant>
        <vt:i4>5</vt:i4>
      </vt:variant>
      <vt:variant>
        <vt:lpwstr>https://defence-industry-space.ec.europa.eu/eu-space/eu-space-and-defence-industry-diversity-inclusion-network_en</vt:lpwstr>
      </vt:variant>
      <vt:variant>
        <vt:lpwstr/>
      </vt:variant>
      <vt:variant>
        <vt:i4>2031709</vt:i4>
      </vt:variant>
      <vt:variant>
        <vt:i4>117</vt:i4>
      </vt:variant>
      <vt:variant>
        <vt:i4>0</vt:i4>
      </vt:variant>
      <vt:variant>
        <vt:i4>5</vt:i4>
      </vt:variant>
      <vt:variant>
        <vt:lpwstr>https://build-up.ec.europa.eu/en/news-and-events/news/construction-blueprint-launches-phase-2</vt:lpwstr>
      </vt:variant>
      <vt:variant>
        <vt:lpwstr/>
      </vt:variant>
      <vt:variant>
        <vt:i4>7798833</vt:i4>
      </vt:variant>
      <vt:variant>
        <vt:i4>114</vt:i4>
      </vt:variant>
      <vt:variant>
        <vt:i4>0</vt:i4>
      </vt:variant>
      <vt:variant>
        <vt:i4>5</vt:i4>
      </vt:variant>
      <vt:variant>
        <vt:lpwstr>https://eur-lex.europa.eu/eli/dec/2022/2481/oj</vt:lpwstr>
      </vt:variant>
      <vt:variant>
        <vt:lpwstr/>
      </vt:variant>
      <vt:variant>
        <vt:i4>6422622</vt:i4>
      </vt:variant>
      <vt:variant>
        <vt:i4>111</vt:i4>
      </vt:variant>
      <vt:variant>
        <vt:i4>0</vt:i4>
      </vt:variant>
      <vt:variant>
        <vt:i4>5</vt:i4>
      </vt:variant>
      <vt:variant>
        <vt:lpwstr>https://employment-social-affairs.ec.europa.eu/document/download/82975aa7-bdd6-4a64-b3e3-82433901f8f7_en?filename=Quality-Jobs-Roadmap_Communication_2025.pdf</vt:lpwstr>
      </vt:variant>
      <vt:variant>
        <vt:lpwstr/>
      </vt:variant>
      <vt:variant>
        <vt:i4>7340136</vt:i4>
      </vt:variant>
      <vt:variant>
        <vt:i4>108</vt:i4>
      </vt:variant>
      <vt:variant>
        <vt:i4>0</vt:i4>
      </vt:variant>
      <vt:variant>
        <vt:i4>5</vt:i4>
      </vt:variant>
      <vt:variant>
        <vt:lpwstr>https://eur-lex.europa.eu/eli/reg/2024/1689/oj/eng</vt:lpwstr>
      </vt:variant>
      <vt:variant>
        <vt:lpwstr/>
      </vt:variant>
      <vt:variant>
        <vt:i4>7274547</vt:i4>
      </vt:variant>
      <vt:variant>
        <vt:i4>105</vt:i4>
      </vt:variant>
      <vt:variant>
        <vt:i4>0</vt:i4>
      </vt:variant>
      <vt:variant>
        <vt:i4>5</vt:i4>
      </vt:variant>
      <vt:variant>
        <vt:lpwstr>https://eur-lex.europa.eu/legal-content/EN/TXT/?uri=CELEX%3A52021DC0323&amp;qid=1626089672913</vt:lpwstr>
      </vt:variant>
      <vt:variant>
        <vt:lpwstr>PP1Contents</vt:lpwstr>
      </vt:variant>
      <vt:variant>
        <vt:i4>7929958</vt:i4>
      </vt:variant>
      <vt:variant>
        <vt:i4>102</vt:i4>
      </vt:variant>
      <vt:variant>
        <vt:i4>0</vt:i4>
      </vt:variant>
      <vt:variant>
        <vt:i4>5</vt:i4>
      </vt:variant>
      <vt:variant>
        <vt:lpwstr>https://eur-lex.europa.eu/eli/dir/2022/2381/oj/eng</vt:lpwstr>
      </vt:variant>
      <vt:variant>
        <vt:lpwstr/>
      </vt:variant>
      <vt:variant>
        <vt:i4>6881357</vt:i4>
      </vt:variant>
      <vt:variant>
        <vt:i4>99</vt:i4>
      </vt:variant>
      <vt:variant>
        <vt:i4>0</vt:i4>
      </vt:variant>
      <vt:variant>
        <vt:i4>5</vt:i4>
      </vt:variant>
      <vt:variant>
        <vt:lpwstr>https://eu-diversity-inclusion.campaign.europa.eu/eu-platform-diversity-charters_en</vt:lpwstr>
      </vt:variant>
      <vt:variant>
        <vt:lpwstr/>
      </vt:variant>
      <vt:variant>
        <vt:i4>1835010</vt:i4>
      </vt:variant>
      <vt:variant>
        <vt:i4>96</vt:i4>
      </vt:variant>
      <vt:variant>
        <vt:i4>0</vt:i4>
      </vt:variant>
      <vt:variant>
        <vt:i4>5</vt:i4>
      </vt:variant>
      <vt:variant>
        <vt:lpwstr>https://www.un.org/en/development/desa/population/migration/generalassembly/docs/globalcompact/ILO_C_189.pdf</vt:lpwstr>
      </vt:variant>
      <vt:variant>
        <vt:lpwstr/>
      </vt:variant>
      <vt:variant>
        <vt:i4>5505042</vt:i4>
      </vt:variant>
      <vt:variant>
        <vt:i4>93</vt:i4>
      </vt:variant>
      <vt:variant>
        <vt:i4>0</vt:i4>
      </vt:variant>
      <vt:variant>
        <vt:i4>5</vt:i4>
      </vt:variant>
      <vt:variant>
        <vt:lpwstr>https://eur-lex.europa.eu/legal-content/EN/TXT/?uri=OJ:JOC_2022_476_R_0001</vt:lpwstr>
      </vt:variant>
      <vt:variant>
        <vt:lpwstr/>
      </vt:variant>
      <vt:variant>
        <vt:i4>5963792</vt:i4>
      </vt:variant>
      <vt:variant>
        <vt:i4>90</vt:i4>
      </vt:variant>
      <vt:variant>
        <vt:i4>0</vt:i4>
      </vt:variant>
      <vt:variant>
        <vt:i4>5</vt:i4>
      </vt:variant>
      <vt:variant>
        <vt:lpwstr>https://eur-lex.europa.eu/legal-content/EN/TXT/?uri=OJ:JOC_2022_484_R_0001</vt:lpwstr>
      </vt:variant>
      <vt:variant>
        <vt:lpwstr/>
      </vt:variant>
      <vt:variant>
        <vt:i4>8126574</vt:i4>
      </vt:variant>
      <vt:variant>
        <vt:i4>87</vt:i4>
      </vt:variant>
      <vt:variant>
        <vt:i4>0</vt:i4>
      </vt:variant>
      <vt:variant>
        <vt:i4>5</vt:i4>
      </vt:variant>
      <vt:variant>
        <vt:lpwstr>https://eur-lex.europa.eu/eli/dir/2019/1158/oj/eng</vt:lpwstr>
      </vt:variant>
      <vt:variant>
        <vt:lpwstr/>
      </vt:variant>
      <vt:variant>
        <vt:i4>262162</vt:i4>
      </vt:variant>
      <vt:variant>
        <vt:i4>84</vt:i4>
      </vt:variant>
      <vt:variant>
        <vt:i4>0</vt:i4>
      </vt:variant>
      <vt:variant>
        <vt:i4>5</vt:i4>
      </vt:variant>
      <vt:variant>
        <vt:lpwstr>https://eur-lex.europa.eu/legal-content/EN/TXT/?uri=CELEX:52022DC0440</vt:lpwstr>
      </vt:variant>
      <vt:variant>
        <vt:lpwstr/>
      </vt:variant>
      <vt:variant>
        <vt:i4>3473414</vt:i4>
      </vt:variant>
      <vt:variant>
        <vt:i4>81</vt:i4>
      </vt:variant>
      <vt:variant>
        <vt:i4>0</vt:i4>
      </vt:variant>
      <vt:variant>
        <vt:i4>5</vt:i4>
      </vt:variant>
      <vt:variant>
        <vt:lpwstr>https://commission.europa.eu/funding-tenders/find-funding/eu-funding-programmes/recovery-and-resilience-facility_en</vt:lpwstr>
      </vt:variant>
      <vt:variant>
        <vt:lpwstr/>
      </vt:variant>
      <vt:variant>
        <vt:i4>589861</vt:i4>
      </vt:variant>
      <vt:variant>
        <vt:i4>78</vt:i4>
      </vt:variant>
      <vt:variant>
        <vt:i4>0</vt:i4>
      </vt:variant>
      <vt:variant>
        <vt:i4>5</vt:i4>
      </vt:variant>
      <vt:variant>
        <vt:lpwstr>https://employment-social-affairs.ec.europa.eu/policies-and-activities/european-pillar-social-rights-building-fairer-and-more-inclusive-european-union_en</vt:lpwstr>
      </vt:variant>
      <vt:variant>
        <vt:lpwstr/>
      </vt:variant>
      <vt:variant>
        <vt:i4>5767199</vt:i4>
      </vt:variant>
      <vt:variant>
        <vt:i4>75</vt:i4>
      </vt:variant>
      <vt:variant>
        <vt:i4>0</vt:i4>
      </vt:variant>
      <vt:variant>
        <vt:i4>5</vt:i4>
      </vt:variant>
      <vt:variant>
        <vt:lpwstr>https://ec.europa.eu/eurostat/cache/dashboard/social-scoreboard/</vt:lpwstr>
      </vt:variant>
      <vt:variant>
        <vt:lpwstr/>
      </vt:variant>
      <vt:variant>
        <vt:i4>6291541</vt:i4>
      </vt:variant>
      <vt:variant>
        <vt:i4>72</vt:i4>
      </vt:variant>
      <vt:variant>
        <vt:i4>0</vt:i4>
      </vt:variant>
      <vt:variant>
        <vt:i4>5</vt:i4>
      </vt:variant>
      <vt:variant>
        <vt:lpwstr>https://housing.ec.europa.eu/european-affordable-housing-plan_en</vt:lpwstr>
      </vt:variant>
      <vt:variant>
        <vt:lpwstr/>
      </vt:variant>
      <vt:variant>
        <vt:i4>5701648</vt:i4>
      </vt:variant>
      <vt:variant>
        <vt:i4>69</vt:i4>
      </vt:variant>
      <vt:variant>
        <vt:i4>0</vt:i4>
      </vt:variant>
      <vt:variant>
        <vt:i4>5</vt:i4>
      </vt:variant>
      <vt:variant>
        <vt:lpwstr>https://eur-lex.europa.eu/legal-content/EN/TXT/?uri=oj:JOC_2023_041_R_0001</vt:lpwstr>
      </vt:variant>
      <vt:variant>
        <vt:lpwstr/>
      </vt:variant>
      <vt:variant>
        <vt:i4>4522070</vt:i4>
      </vt:variant>
      <vt:variant>
        <vt:i4>66</vt:i4>
      </vt:variant>
      <vt:variant>
        <vt:i4>0</vt:i4>
      </vt:variant>
      <vt:variant>
        <vt:i4>5</vt:i4>
      </vt:variant>
      <vt:variant>
        <vt:lpwstr>https://eur-lex.europa.eu/eli/dir/2010/41/oj/eng</vt:lpwstr>
      </vt:variant>
      <vt:variant>
        <vt:lpwstr/>
      </vt:variant>
      <vt:variant>
        <vt:i4>1966169</vt:i4>
      </vt:variant>
      <vt:variant>
        <vt:i4>63</vt:i4>
      </vt:variant>
      <vt:variant>
        <vt:i4>0</vt:i4>
      </vt:variant>
      <vt:variant>
        <vt:i4>5</vt:i4>
      </vt:variant>
      <vt:variant>
        <vt:lpwstr>https://eur-lex.europa.eu/eli/dir/2004/113/oj/eng</vt:lpwstr>
      </vt:variant>
      <vt:variant>
        <vt:lpwstr/>
      </vt:variant>
      <vt:variant>
        <vt:i4>7077902</vt:i4>
      </vt:variant>
      <vt:variant>
        <vt:i4>60</vt:i4>
      </vt:variant>
      <vt:variant>
        <vt:i4>0</vt:i4>
      </vt:variant>
      <vt:variant>
        <vt:i4>5</vt:i4>
      </vt:variant>
      <vt:variant>
        <vt:lpwstr>https://eismea.ec.europa.eu/esteam-fests-and-communities-girls-and-women_en</vt:lpwstr>
      </vt:variant>
      <vt:variant>
        <vt:lpwstr/>
      </vt:variant>
      <vt:variant>
        <vt:i4>524311</vt:i4>
      </vt:variant>
      <vt:variant>
        <vt:i4>57</vt:i4>
      </vt:variant>
      <vt:variant>
        <vt:i4>0</vt:i4>
      </vt:variant>
      <vt:variant>
        <vt:i4>5</vt:i4>
      </vt:variant>
      <vt:variant>
        <vt:lpwstr>https://eur-lex.europa.eu/legal-content/EN/TXT/?uri=CELEX:52025DC0681</vt:lpwstr>
      </vt:variant>
      <vt:variant>
        <vt:lpwstr/>
      </vt:variant>
      <vt:variant>
        <vt:i4>1114132</vt:i4>
      </vt:variant>
      <vt:variant>
        <vt:i4>54</vt:i4>
      </vt:variant>
      <vt:variant>
        <vt:i4>0</vt:i4>
      </vt:variant>
      <vt:variant>
        <vt:i4>5</vt:i4>
      </vt:variant>
      <vt:variant>
        <vt:lpwstr>https://eur-lex.europa.eu/legal-content/EN/TXT/?uri=celex:52025PC0555</vt:lpwstr>
      </vt:variant>
      <vt:variant>
        <vt:lpwstr/>
      </vt:variant>
      <vt:variant>
        <vt:i4>1638470</vt:i4>
      </vt:variant>
      <vt:variant>
        <vt:i4>51</vt:i4>
      </vt:variant>
      <vt:variant>
        <vt:i4>0</vt:i4>
      </vt:variant>
      <vt:variant>
        <vt:i4>5</vt:i4>
      </vt:variant>
      <vt:variant>
        <vt:lpwstr>https://advisory.eib.org/about/gender-finance-lab</vt:lpwstr>
      </vt:variant>
      <vt:variant>
        <vt:lpwstr/>
      </vt:variant>
      <vt:variant>
        <vt:i4>4456523</vt:i4>
      </vt:variant>
      <vt:variant>
        <vt:i4>48</vt:i4>
      </vt:variant>
      <vt:variant>
        <vt:i4>0</vt:i4>
      </vt:variant>
      <vt:variant>
        <vt:i4>5</vt:i4>
      </vt:variant>
      <vt:variant>
        <vt:lpwstr>https://public-buyers-community.ec.europa.eu/resources/public-procurement-directives</vt:lpwstr>
      </vt:variant>
      <vt:variant>
        <vt:lpwstr/>
      </vt:variant>
      <vt:variant>
        <vt:i4>1179741</vt:i4>
      </vt:variant>
      <vt:variant>
        <vt:i4>45</vt:i4>
      </vt:variant>
      <vt:variant>
        <vt:i4>0</vt:i4>
      </vt:variant>
      <vt:variant>
        <vt:i4>5</vt:i4>
      </vt:variant>
      <vt:variant>
        <vt:lpwstr>https://eur-lex.europa.eu/eli/dir/2023/970/oj/eng</vt:lpwstr>
      </vt:variant>
      <vt:variant>
        <vt:lpwstr/>
      </vt:variant>
      <vt:variant>
        <vt:i4>5373984</vt:i4>
      </vt:variant>
      <vt:variant>
        <vt:i4>42</vt:i4>
      </vt:variant>
      <vt:variant>
        <vt:i4>0</vt:i4>
      </vt:variant>
      <vt:variant>
        <vt:i4>5</vt:i4>
      </vt:variant>
      <vt:variant>
        <vt:lpwstr>https://citizens-initiative.europa.eu/sites/default/files/2026-02/C_2026_3225_EN.pdf</vt:lpwstr>
      </vt:variant>
      <vt:variant>
        <vt:lpwstr/>
      </vt:variant>
      <vt:variant>
        <vt:i4>3539015</vt:i4>
      </vt:variant>
      <vt:variant>
        <vt:i4>39</vt:i4>
      </vt:variant>
      <vt:variant>
        <vt:i4>0</vt:i4>
      </vt:variant>
      <vt:variant>
        <vt:i4>5</vt:i4>
      </vt:variant>
      <vt:variant>
        <vt:lpwstr>https://health.ec.europa.eu/publications/proposal-regulation-establish-measures-strengthen-unions-biotechnology-and-biomanufacturing-sectors_en</vt:lpwstr>
      </vt:variant>
      <vt:variant>
        <vt:lpwstr/>
      </vt:variant>
      <vt:variant>
        <vt:i4>4718677</vt:i4>
      </vt:variant>
      <vt:variant>
        <vt:i4>36</vt:i4>
      </vt:variant>
      <vt:variant>
        <vt:i4>0</vt:i4>
      </vt:variant>
      <vt:variant>
        <vt:i4>5</vt:i4>
      </vt:variant>
      <vt:variant>
        <vt:lpwstr>https://eur-lex.europa.eu/eli/dir/2001/83/oj/eng</vt:lpwstr>
      </vt:variant>
      <vt:variant>
        <vt:lpwstr/>
      </vt:variant>
      <vt:variant>
        <vt:i4>4587570</vt:i4>
      </vt:variant>
      <vt:variant>
        <vt:i4>33</vt:i4>
      </vt:variant>
      <vt:variant>
        <vt:i4>0</vt:i4>
      </vt:variant>
      <vt:variant>
        <vt:i4>5</vt:i4>
      </vt:variant>
      <vt:variant>
        <vt:lpwstr>https://health.ec.europa.eu/non-communicable-diseases/cardiovascular-health_en</vt:lpwstr>
      </vt:variant>
      <vt:variant>
        <vt:lpwstr/>
      </vt:variant>
      <vt:variant>
        <vt:i4>4128874</vt:i4>
      </vt:variant>
      <vt:variant>
        <vt:i4>30</vt:i4>
      </vt:variant>
      <vt:variant>
        <vt:i4>0</vt:i4>
      </vt:variant>
      <vt:variant>
        <vt:i4>5</vt:i4>
      </vt:variant>
      <vt:variant>
        <vt:lpwstr>https://eceuropaeu.sharepoint.com/teams/GRP-GRP-JUSTD3/Shared Documents/Future Gender Equality Strategy 2026-2030/Post RSCC/Commission proposes new measures to improve health and the healthcare sector - European Commission</vt:lpwstr>
      </vt:variant>
      <vt:variant>
        <vt:lpwstr/>
      </vt:variant>
      <vt:variant>
        <vt:i4>131105</vt:i4>
      </vt:variant>
      <vt:variant>
        <vt:i4>27</vt:i4>
      </vt:variant>
      <vt:variant>
        <vt:i4>0</vt:i4>
      </vt:variant>
      <vt:variant>
        <vt:i4>5</vt:i4>
      </vt:variant>
      <vt:variant>
        <vt:lpwstr>https://commission.europa.eu/topics/public-health/european-health-union/cancer-plan-europe_en</vt:lpwstr>
      </vt:variant>
      <vt:variant>
        <vt:lpwstr/>
      </vt:variant>
      <vt:variant>
        <vt:i4>5177405</vt:i4>
      </vt:variant>
      <vt:variant>
        <vt:i4>24</vt:i4>
      </vt:variant>
      <vt:variant>
        <vt:i4>0</vt:i4>
      </vt:variant>
      <vt:variant>
        <vt:i4>5</vt:i4>
      </vt:variant>
      <vt:variant>
        <vt:lpwstr>https://research-and-innovation.ec.europa.eu/research-area/health/womens-health_en</vt:lpwstr>
      </vt:variant>
      <vt:variant>
        <vt:lpwstr/>
      </vt:variant>
      <vt:variant>
        <vt:i4>2621513</vt:i4>
      </vt:variant>
      <vt:variant>
        <vt:i4>21</vt:i4>
      </vt:variant>
      <vt:variant>
        <vt:i4>0</vt:i4>
      </vt:variant>
      <vt:variant>
        <vt:i4>5</vt:i4>
      </vt:variant>
      <vt:variant>
        <vt:lpwstr>https://commission.europa.eu/publications/agoraeu_en</vt:lpwstr>
      </vt:variant>
      <vt:variant>
        <vt:lpwstr/>
      </vt:variant>
      <vt:variant>
        <vt:i4>7667809</vt:i4>
      </vt:variant>
      <vt:variant>
        <vt:i4>18</vt:i4>
      </vt:variant>
      <vt:variant>
        <vt:i4>0</vt:i4>
      </vt:variant>
      <vt:variant>
        <vt:i4>5</vt:i4>
      </vt:variant>
      <vt:variant>
        <vt:lpwstr>https://eur-lex.europa.eu/eli/dir/2024/1712/oj/eng</vt:lpwstr>
      </vt:variant>
      <vt:variant>
        <vt:lpwstr/>
      </vt:variant>
      <vt:variant>
        <vt:i4>8192057</vt:i4>
      </vt:variant>
      <vt:variant>
        <vt:i4>15</vt:i4>
      </vt:variant>
      <vt:variant>
        <vt:i4>0</vt:i4>
      </vt:variant>
      <vt:variant>
        <vt:i4>5</vt:i4>
      </vt:variant>
      <vt:variant>
        <vt:lpwstr>https://digital-strategy.ec.europa.eu/en/library/action-plan-against-cyberbullying</vt:lpwstr>
      </vt:variant>
      <vt:variant>
        <vt:lpwstr/>
      </vt:variant>
      <vt:variant>
        <vt:i4>3539041</vt:i4>
      </vt:variant>
      <vt:variant>
        <vt:i4>12</vt:i4>
      </vt:variant>
      <vt:variant>
        <vt:i4>0</vt:i4>
      </vt:variant>
      <vt:variant>
        <vt:i4>5</vt:i4>
      </vt:variant>
      <vt:variant>
        <vt:lpwstr>https://eceuropaeu.sharepoint.com/teams/GRP-GRP-JUSTD3/Shared Documents/Future Gender Equality Strategy 2026-2030/Post RSCC/Guidelines on measures to ensure a high level of privacy, safety and security for minors online</vt:lpwstr>
      </vt:variant>
      <vt:variant>
        <vt:lpwstr/>
      </vt:variant>
      <vt:variant>
        <vt:i4>8061026</vt:i4>
      </vt:variant>
      <vt:variant>
        <vt:i4>9</vt:i4>
      </vt:variant>
      <vt:variant>
        <vt:i4>0</vt:i4>
      </vt:variant>
      <vt:variant>
        <vt:i4>5</vt:i4>
      </vt:variant>
      <vt:variant>
        <vt:lpwstr>https://eur-lex.europa.eu/eli/reg/2022/2065/oj/eng</vt:lpwstr>
      </vt:variant>
      <vt:variant>
        <vt:lpwstr/>
      </vt:variant>
      <vt:variant>
        <vt:i4>393338</vt:i4>
      </vt:variant>
      <vt:variant>
        <vt:i4>6</vt:i4>
      </vt:variant>
      <vt:variant>
        <vt:i4>0</vt:i4>
      </vt:variant>
      <vt:variant>
        <vt:i4>5</vt:i4>
      </vt:variant>
      <vt:variant>
        <vt:lpwstr>https://commission.europa.eu/strategy-and-policy/policies/justice-and-fundamental-rights/gender-equality/who-we-work-gender-equality/mutual-learning-programme-gender-equality_en</vt:lpwstr>
      </vt:variant>
      <vt:variant>
        <vt:lpwstr/>
      </vt:variant>
      <vt:variant>
        <vt:i4>8126562</vt:i4>
      </vt:variant>
      <vt:variant>
        <vt:i4>3</vt:i4>
      </vt:variant>
      <vt:variant>
        <vt:i4>0</vt:i4>
      </vt:variant>
      <vt:variant>
        <vt:i4>5</vt:i4>
      </vt:variant>
      <vt:variant>
        <vt:lpwstr>https://eur-lex.europa.eu/eli/dir/2024/1385/oj/eng</vt:lpwstr>
      </vt:variant>
      <vt:variant>
        <vt:lpwstr/>
      </vt:variant>
      <vt:variant>
        <vt:i4>4718709</vt:i4>
      </vt:variant>
      <vt:variant>
        <vt:i4>0</vt:i4>
      </vt:variant>
      <vt:variant>
        <vt:i4>0</vt:i4>
      </vt:variant>
      <vt:variant>
        <vt:i4>5</vt:i4>
      </vt:variant>
      <vt:variant>
        <vt:lpwstr>https://commission.europa.eu/document/0c3fe55d-9e4f-4377-9d14-93d03398b434_en</vt:lpwstr>
      </vt:variant>
      <vt:variant>
        <vt:lpwstr/>
      </vt:variant>
      <vt:variant>
        <vt:i4>3342461</vt:i4>
      </vt:variant>
      <vt:variant>
        <vt:i4>138</vt:i4>
      </vt:variant>
      <vt:variant>
        <vt:i4>0</vt:i4>
      </vt:variant>
      <vt:variant>
        <vt:i4>5</vt:i4>
      </vt:variant>
      <vt:variant>
        <vt:lpwstr>https://www.who.int/news-room/fact-sheets/detail/violence-against-women</vt:lpwstr>
      </vt:variant>
      <vt:variant>
        <vt:lpwstr/>
      </vt:variant>
      <vt:variant>
        <vt:i4>7471225</vt:i4>
      </vt:variant>
      <vt:variant>
        <vt:i4>135</vt:i4>
      </vt:variant>
      <vt:variant>
        <vt:i4>0</vt:i4>
      </vt:variant>
      <vt:variant>
        <vt:i4>5</vt:i4>
      </vt:variant>
      <vt:variant>
        <vt:lpwstr>https://www.unwomen.org/sites/default/files/Headquarters/Attachments/Sections/How We Work/flagship programmes/UN-Women-Flagship-programme-Safe-cities-public-spaces-en.pdf</vt:lpwstr>
      </vt:variant>
      <vt:variant>
        <vt:lpwstr/>
      </vt:variant>
      <vt:variant>
        <vt:i4>1114185</vt:i4>
      </vt:variant>
      <vt:variant>
        <vt:i4>132</vt:i4>
      </vt:variant>
      <vt:variant>
        <vt:i4>0</vt:i4>
      </vt:variant>
      <vt:variant>
        <vt:i4>5</vt:i4>
      </vt:variant>
      <vt:variant>
        <vt:lpwstr>https://eur-lex.europa.eu/legal-content/EN/TXT/PDF/?uri=CELEX:52023IR2488</vt:lpwstr>
      </vt:variant>
      <vt:variant>
        <vt:lpwstr/>
      </vt:variant>
      <vt:variant>
        <vt:i4>589846</vt:i4>
      </vt:variant>
      <vt:variant>
        <vt:i4>129</vt:i4>
      </vt:variant>
      <vt:variant>
        <vt:i4>0</vt:i4>
      </vt:variant>
      <vt:variant>
        <vt:i4>5</vt:i4>
      </vt:variant>
      <vt:variant>
        <vt:lpwstr>https://eur-lex.europa.eu/legal-content/EN/TXT/?uri=celex:52025DC0790</vt:lpwstr>
      </vt:variant>
      <vt:variant>
        <vt:lpwstr/>
      </vt:variant>
      <vt:variant>
        <vt:i4>393306</vt:i4>
      </vt:variant>
      <vt:variant>
        <vt:i4>126</vt:i4>
      </vt:variant>
      <vt:variant>
        <vt:i4>0</vt:i4>
      </vt:variant>
      <vt:variant>
        <vt:i4>5</vt:i4>
      </vt:variant>
      <vt:variant>
        <vt:lpwstr>https://www.epfweb.org/node/1147</vt:lpwstr>
      </vt:variant>
      <vt:variant>
        <vt:lpwstr/>
      </vt:variant>
      <vt:variant>
        <vt:i4>720967</vt:i4>
      </vt:variant>
      <vt:variant>
        <vt:i4>123</vt:i4>
      </vt:variant>
      <vt:variant>
        <vt:i4>0</vt:i4>
      </vt:variant>
      <vt:variant>
        <vt:i4>5</vt:i4>
      </vt:variant>
      <vt:variant>
        <vt:lpwstr>https://publications.jrc.ec.europa.eu/repository/handle/JRC141299</vt:lpwstr>
      </vt:variant>
      <vt:variant>
        <vt:lpwstr/>
      </vt:variant>
      <vt:variant>
        <vt:i4>7995427</vt:i4>
      </vt:variant>
      <vt:variant>
        <vt:i4>120</vt:i4>
      </vt:variant>
      <vt:variant>
        <vt:i4>0</vt:i4>
      </vt:variant>
      <vt:variant>
        <vt:i4>5</vt:i4>
      </vt:variant>
      <vt:variant>
        <vt:lpwstr>https://eur-lex.europa.eu/legal-content/EN/TXT/?uri=CELEX%3A52025DC0148</vt:lpwstr>
      </vt:variant>
      <vt:variant>
        <vt:lpwstr/>
      </vt:variant>
      <vt:variant>
        <vt:i4>4980745</vt:i4>
      </vt:variant>
      <vt:variant>
        <vt:i4>117</vt:i4>
      </vt:variant>
      <vt:variant>
        <vt:i4>0</vt:i4>
      </vt:variant>
      <vt:variant>
        <vt:i4>5</vt:i4>
      </vt:variant>
      <vt:variant>
        <vt:lpwstr>https://www.oscepa.org/en/documents/special-representatives/gender-issues/report-17/4247-2021-report-by-the-special-representative-on-gender-issues-violence-against-women-journalists-and-politicians-a-growing-crisis/file</vt:lpwstr>
      </vt:variant>
      <vt:variant>
        <vt:lpwstr/>
      </vt:variant>
      <vt:variant>
        <vt:i4>4784137</vt:i4>
      </vt:variant>
      <vt:variant>
        <vt:i4>114</vt:i4>
      </vt:variant>
      <vt:variant>
        <vt:i4>0</vt:i4>
      </vt:variant>
      <vt:variant>
        <vt:i4>5</vt:i4>
      </vt:variant>
      <vt:variant>
        <vt:lpwstr>https://ccre-cemr.org/wp-content/uploads/2024/11/Women-In-Politics-Study-2024-ENG.pdf</vt:lpwstr>
      </vt:variant>
      <vt:variant>
        <vt:lpwstr/>
      </vt:variant>
      <vt:variant>
        <vt:i4>196698</vt:i4>
      </vt:variant>
      <vt:variant>
        <vt:i4>111</vt:i4>
      </vt:variant>
      <vt:variant>
        <vt:i4>0</vt:i4>
      </vt:variant>
      <vt:variant>
        <vt:i4>5</vt:i4>
      </vt:variant>
      <vt:variant>
        <vt:lpwstr>https://eur-lex.europa.eu/legal-content/EN/TXT/?uri=COM:2025:287:FIN</vt:lpwstr>
      </vt:variant>
      <vt:variant>
        <vt:lpwstr/>
      </vt:variant>
      <vt:variant>
        <vt:i4>3276881</vt:i4>
      </vt:variant>
      <vt:variant>
        <vt:i4>105</vt:i4>
      </vt:variant>
      <vt:variant>
        <vt:i4>0</vt:i4>
      </vt:variant>
      <vt:variant>
        <vt:i4>5</vt:i4>
      </vt:variant>
      <vt:variant>
        <vt:lpwstr>https://webgate.ec.europa.eu/circabc-ewpp/ui/group/bab664d7-1188-47b2-9fa6-869902320ba2/library/e85dc3be-6a98-4c8c-b1d8-b3a94efcc551?p=1&amp;n=10&amp;sort=modified_DESC</vt:lpwstr>
      </vt:variant>
      <vt:variant>
        <vt:lpwstr/>
      </vt:variant>
      <vt:variant>
        <vt:i4>4325458</vt:i4>
      </vt:variant>
      <vt:variant>
        <vt:i4>102</vt:i4>
      </vt:variant>
      <vt:variant>
        <vt:i4>0</vt:i4>
      </vt:variant>
      <vt:variant>
        <vt:i4>5</vt:i4>
      </vt:variant>
      <vt:variant>
        <vt:lpwstr>https://eur-lex.europa.eu/eli/dir/2006/54/oj/eng</vt:lpwstr>
      </vt:variant>
      <vt:variant>
        <vt:lpwstr/>
      </vt:variant>
      <vt:variant>
        <vt:i4>6029318</vt:i4>
      </vt:variant>
      <vt:variant>
        <vt:i4>99</vt:i4>
      </vt:variant>
      <vt:variant>
        <vt:i4>0</vt:i4>
      </vt:variant>
      <vt:variant>
        <vt:i4>5</vt:i4>
      </vt:variant>
      <vt:variant>
        <vt:lpwstr>https://www.ilo.org/topics-and-sectors/violence-and-harassment-world-work</vt:lpwstr>
      </vt:variant>
      <vt:variant>
        <vt:lpwstr/>
      </vt:variant>
      <vt:variant>
        <vt:i4>1245281</vt:i4>
      </vt:variant>
      <vt:variant>
        <vt:i4>96</vt:i4>
      </vt:variant>
      <vt:variant>
        <vt:i4>0</vt:i4>
      </vt:variant>
      <vt:variant>
        <vt:i4>5</vt:i4>
      </vt:variant>
      <vt:variant>
        <vt:lpwstr>https://eige.europa.eu/gender-statistics/dgs/indicator/wmidm_adm_nat__wmid_natadmin/bar/year:2025/geo:EU27_2020,IPA,EEA,BE,BG,CZ,DK,DE,EE,IE,EL,ES,FR,HR,IT,CY,LV,LT,LU,HU,MT,NL,AT,PL,PT,RO,SI,SK,FI,SE,IS,LI,NO,UK,ME,MK,AL,RS,TR,BA,XK/EGROUP:ADM_NAT/sex:M,W/UNIT:PC/POSITION:ADMIN/BEIS:TOT</vt:lpwstr>
      </vt:variant>
      <vt:variant>
        <vt:lpwstr/>
      </vt:variant>
      <vt:variant>
        <vt:i4>1179663</vt:i4>
      </vt:variant>
      <vt:variant>
        <vt:i4>93</vt:i4>
      </vt:variant>
      <vt:variant>
        <vt:i4>0</vt:i4>
      </vt:variant>
      <vt:variant>
        <vt:i4>5</vt:i4>
      </vt:variant>
      <vt:variant>
        <vt:lpwstr>https://www.mynewsdesk.com/eurofound/pressreleases/mind-the-gap-gender-employment-gap-cost-europe-over-390-euros-billion-in-2023-3373047</vt:lpwstr>
      </vt:variant>
      <vt:variant>
        <vt:lpwstr/>
      </vt:variant>
      <vt:variant>
        <vt:i4>3735555</vt:i4>
      </vt:variant>
      <vt:variant>
        <vt:i4>90</vt:i4>
      </vt:variant>
      <vt:variant>
        <vt:i4>0</vt:i4>
      </vt:variant>
      <vt:variant>
        <vt:i4>5</vt:i4>
      </vt:variant>
      <vt:variant>
        <vt:lpwstr>https://ec.europa.eu/eurostat/statistics-explained/index.php?title=Gender_statistics</vt:lpwstr>
      </vt:variant>
      <vt:variant>
        <vt:lpwstr/>
      </vt:variant>
      <vt:variant>
        <vt:i4>3276887</vt:i4>
      </vt:variant>
      <vt:variant>
        <vt:i4>87</vt:i4>
      </vt:variant>
      <vt:variant>
        <vt:i4>0</vt:i4>
      </vt:variant>
      <vt:variant>
        <vt:i4>5</vt:i4>
      </vt:variant>
      <vt:variant>
        <vt:lpwstr>https://employment-social-affairs.ec.europa.eu/policies-and-activities/social-protection-social-inclusion/social-protection-committee/indicators-sub-group/monitoring-and-benchmarking-frameworks_en</vt:lpwstr>
      </vt:variant>
      <vt:variant>
        <vt:lpwstr/>
      </vt:variant>
      <vt:variant>
        <vt:i4>6160502</vt:i4>
      </vt:variant>
      <vt:variant>
        <vt:i4>84</vt:i4>
      </vt:variant>
      <vt:variant>
        <vt:i4>0</vt:i4>
      </vt:variant>
      <vt:variant>
        <vt:i4>5</vt:i4>
      </vt:variant>
      <vt:variant>
        <vt:lpwstr>https://ec.europa.eu/economy_finance/recovery-and-resilience-scoreboard/assets/thematic_analysis/scoreboard_thematic_analysis_equality.pdf</vt:lpwstr>
      </vt:variant>
      <vt:variant>
        <vt:lpwstr/>
      </vt:variant>
      <vt:variant>
        <vt:i4>7405673</vt:i4>
      </vt:variant>
      <vt:variant>
        <vt:i4>81</vt:i4>
      </vt:variant>
      <vt:variant>
        <vt:i4>0</vt:i4>
      </vt:variant>
      <vt:variant>
        <vt:i4>5</vt:i4>
      </vt:variant>
      <vt:variant>
        <vt:lpwstr>https://www.eurofound.europa.eu/en/publications/all/unpaid-care-eu</vt:lpwstr>
      </vt:variant>
      <vt:variant>
        <vt:lpwstr/>
      </vt:variant>
      <vt:variant>
        <vt:i4>8323121</vt:i4>
      </vt:variant>
      <vt:variant>
        <vt:i4>78</vt:i4>
      </vt:variant>
      <vt:variant>
        <vt:i4>0</vt:i4>
      </vt:variant>
      <vt:variant>
        <vt:i4>5</vt:i4>
      </vt:variant>
      <vt:variant>
        <vt:lpwstr>https://eceuropaeu.sharepoint.com/teams/GRP-GRP-JUSTD3/Shared Documents/Future Gender Equality Strategy 2026-2030/Post RSCC/Sharing Care_Closing the gap survey_2024</vt:lpwstr>
      </vt:variant>
      <vt:variant>
        <vt:lpwstr/>
      </vt:variant>
      <vt:variant>
        <vt:i4>3407993</vt:i4>
      </vt:variant>
      <vt:variant>
        <vt:i4>75</vt:i4>
      </vt:variant>
      <vt:variant>
        <vt:i4>0</vt:i4>
      </vt:variant>
      <vt:variant>
        <vt:i4>5</vt:i4>
      </vt:variant>
      <vt:variant>
        <vt:lpwstr>https://ec.europa.eu/eurostat/web/products-eurostat-news/w/ddn-20260225-1</vt:lpwstr>
      </vt:variant>
      <vt:variant>
        <vt:lpwstr>:~:text=In%202024%2C%20the%20average%20pension,%25)%20and%20Hungary%20(9.6%25).</vt:lpwstr>
      </vt:variant>
      <vt:variant>
        <vt:i4>2162792</vt:i4>
      </vt:variant>
      <vt:variant>
        <vt:i4>72</vt:i4>
      </vt:variant>
      <vt:variant>
        <vt:i4>0</vt:i4>
      </vt:variant>
      <vt:variant>
        <vt:i4>5</vt:i4>
      </vt:variant>
      <vt:variant>
        <vt:lpwstr>https://europa.eu/eurobarometer/surveys/detail/2953</vt:lpwstr>
      </vt:variant>
      <vt:variant>
        <vt:lpwstr/>
      </vt:variant>
      <vt:variant>
        <vt:i4>3473518</vt:i4>
      </vt:variant>
      <vt:variant>
        <vt:i4>69</vt:i4>
      </vt:variant>
      <vt:variant>
        <vt:i4>0</vt:i4>
      </vt:variant>
      <vt:variant>
        <vt:i4>5</vt:i4>
      </vt:variant>
      <vt:variant>
        <vt:lpwstr>https://gendergap-investments.eu/uploads/documents/Final-Report-Gender-Gap-in-Investments-04.11.25.pdf</vt:lpwstr>
      </vt:variant>
      <vt:variant>
        <vt:lpwstr/>
      </vt:variant>
      <vt:variant>
        <vt:i4>6160397</vt:i4>
      </vt:variant>
      <vt:variant>
        <vt:i4>66</vt:i4>
      </vt:variant>
      <vt:variant>
        <vt:i4>0</vt:i4>
      </vt:variant>
      <vt:variant>
        <vt:i4>5</vt:i4>
      </vt:variant>
      <vt:variant>
        <vt:lpwstr>https://eige.europa.eu/publications-resources/publications/gender-responsive-public-procurement-step-step-toolkit?language_content_entity=en</vt:lpwstr>
      </vt:variant>
      <vt:variant>
        <vt:lpwstr/>
      </vt:variant>
      <vt:variant>
        <vt:i4>131135</vt:i4>
      </vt:variant>
      <vt:variant>
        <vt:i4>60</vt:i4>
      </vt:variant>
      <vt:variant>
        <vt:i4>0</vt:i4>
      </vt:variant>
      <vt:variant>
        <vt:i4>5</vt:i4>
      </vt:variant>
      <vt:variant>
        <vt:lpwstr>https://commission.europa.eu/strategy-and-policy/policies/justice-and-fundamental-rights/gender-equality/equal-pay/gender-pay-gap-situation-eu_en</vt:lpwstr>
      </vt:variant>
      <vt:variant>
        <vt:lpwstr/>
      </vt:variant>
      <vt:variant>
        <vt:i4>6946927</vt:i4>
      </vt:variant>
      <vt:variant>
        <vt:i4>57</vt:i4>
      </vt:variant>
      <vt:variant>
        <vt:i4>0</vt:i4>
      </vt:variant>
      <vt:variant>
        <vt:i4>5</vt:i4>
      </vt:variant>
      <vt:variant>
        <vt:lpwstr>https://cancer-inequalities.jrc.ec.europa.eu/analytical-report-2026</vt:lpwstr>
      </vt:variant>
      <vt:variant>
        <vt:lpwstr/>
      </vt:variant>
      <vt:variant>
        <vt:i4>5177405</vt:i4>
      </vt:variant>
      <vt:variant>
        <vt:i4>54</vt:i4>
      </vt:variant>
      <vt:variant>
        <vt:i4>0</vt:i4>
      </vt:variant>
      <vt:variant>
        <vt:i4>5</vt:i4>
      </vt:variant>
      <vt:variant>
        <vt:lpwstr>https://research-and-innovation.ec.europa.eu/research-area/health/womens-health_en</vt:lpwstr>
      </vt:variant>
      <vt:variant>
        <vt:lpwstr/>
      </vt:variant>
      <vt:variant>
        <vt:i4>4653165</vt:i4>
      </vt:variant>
      <vt:variant>
        <vt:i4>51</vt:i4>
      </vt:variant>
      <vt:variant>
        <vt:i4>0</vt:i4>
      </vt:variant>
      <vt:variant>
        <vt:i4>5</vt:i4>
      </vt:variant>
      <vt:variant>
        <vt:lpwstr>https://www.europarl.europa.eu/RegData/etudes/STUD/2025/778519/IUST_STU%282025%29778519_EN.pdf?utm_source=chatgpt.com</vt:lpwstr>
      </vt:variant>
      <vt:variant>
        <vt:lpwstr/>
      </vt:variant>
      <vt:variant>
        <vt:i4>3014777</vt:i4>
      </vt:variant>
      <vt:variant>
        <vt:i4>48</vt:i4>
      </vt:variant>
      <vt:variant>
        <vt:i4>0</vt:i4>
      </vt:variant>
      <vt:variant>
        <vt:i4>5</vt:i4>
      </vt:variant>
      <vt:variant>
        <vt:lpwstr>https://www.europarl.europa.eu/RegData/etudes/BRIE/2025/772855/EPRS_BRI(2025)772855_EN.pdf</vt:lpwstr>
      </vt:variant>
      <vt:variant>
        <vt:lpwstr/>
      </vt:variant>
      <vt:variant>
        <vt:i4>3801096</vt:i4>
      </vt:variant>
      <vt:variant>
        <vt:i4>45</vt:i4>
      </vt:variant>
      <vt:variant>
        <vt:i4>0</vt:i4>
      </vt:variant>
      <vt:variant>
        <vt:i4>5</vt:i4>
      </vt:variant>
      <vt:variant>
        <vt:lpwstr>https://eige.europa.eu/publications-resources/toolkits-guides/gender-equality-index-2021-report/thematic-focus-health?utm_source=chatgpt.com</vt:lpwstr>
      </vt:variant>
      <vt:variant>
        <vt:lpwstr/>
      </vt:variant>
      <vt:variant>
        <vt:i4>1310743</vt:i4>
      </vt:variant>
      <vt:variant>
        <vt:i4>42</vt:i4>
      </vt:variant>
      <vt:variant>
        <vt:i4>0</vt:i4>
      </vt:variant>
      <vt:variant>
        <vt:i4>5</vt:i4>
      </vt:variant>
      <vt:variant>
        <vt:lpwstr>https://ec.europa.eu/eurostat/statistics-explained/index.php?title=Trafficking_in_human_beings_statistics</vt:lpwstr>
      </vt:variant>
      <vt:variant>
        <vt:lpwstr/>
      </vt:variant>
      <vt:variant>
        <vt:i4>655386</vt:i4>
      </vt:variant>
      <vt:variant>
        <vt:i4>39</vt:i4>
      </vt:variant>
      <vt:variant>
        <vt:i4>0</vt:i4>
      </vt:variant>
      <vt:variant>
        <vt:i4>5</vt:i4>
      </vt:variant>
      <vt:variant>
        <vt:lpwstr>https://www.consilium.europa.eu/en/press/press-releases/2025/12/10/the-eu-strengthens-the-protection-and-support-of-victims-of-crime/</vt:lpwstr>
      </vt:variant>
      <vt:variant>
        <vt:lpwstr/>
      </vt:variant>
      <vt:variant>
        <vt:i4>2883689</vt:i4>
      </vt:variant>
      <vt:variant>
        <vt:i4>36</vt:i4>
      </vt:variant>
      <vt:variant>
        <vt:i4>0</vt:i4>
      </vt:variant>
      <vt:variant>
        <vt:i4>5</vt:i4>
      </vt:variant>
      <vt:variant>
        <vt:lpwstr>https://www.securityhero.io/state-of-deepfakes/</vt:lpwstr>
      </vt:variant>
      <vt:variant>
        <vt:lpwstr>overview-of-current-state</vt:lpwstr>
      </vt:variant>
      <vt:variant>
        <vt:i4>2293814</vt:i4>
      </vt:variant>
      <vt:variant>
        <vt:i4>33</vt:i4>
      </vt:variant>
      <vt:variant>
        <vt:i4>0</vt:i4>
      </vt:variant>
      <vt:variant>
        <vt:i4>5</vt:i4>
      </vt:variant>
      <vt:variant>
        <vt:lpwstr>https://ec.europa.eu/eurostat/databrowser/bookmark/67c1d34c-1b65-4511-8924-865ae24b0931?lang=en&amp;createdAt=2026-02-19T13:43:33Z</vt:lpwstr>
      </vt:variant>
      <vt:variant>
        <vt:lpwstr/>
      </vt:variant>
      <vt:variant>
        <vt:i4>6684774</vt:i4>
      </vt:variant>
      <vt:variant>
        <vt:i4>30</vt:i4>
      </vt:variant>
      <vt:variant>
        <vt:i4>0</vt:i4>
      </vt:variant>
      <vt:variant>
        <vt:i4>5</vt:i4>
      </vt:variant>
      <vt:variant>
        <vt:lpwstr>https://data.consilium.europa.eu/doc/document/ST-8957-2024-INIT/en/pdf</vt:lpwstr>
      </vt:variant>
      <vt:variant>
        <vt:lpwstr/>
      </vt:variant>
      <vt:variant>
        <vt:i4>7012373</vt:i4>
      </vt:variant>
      <vt:variant>
        <vt:i4>27</vt:i4>
      </vt:variant>
      <vt:variant>
        <vt:i4>0</vt:i4>
      </vt:variant>
      <vt:variant>
        <vt:i4>5</vt:i4>
      </vt:variant>
      <vt:variant>
        <vt:lpwstr>https://www.europarl.europa.eu/doceo/document/TA-10-2025-0278_EN.html</vt:lpwstr>
      </vt:variant>
      <vt:variant>
        <vt:lpwstr/>
      </vt:variant>
      <vt:variant>
        <vt:i4>131108</vt:i4>
      </vt:variant>
      <vt:variant>
        <vt:i4>24</vt:i4>
      </vt:variant>
      <vt:variant>
        <vt:i4>0</vt:i4>
      </vt:variant>
      <vt:variant>
        <vt:i4>5</vt:i4>
      </vt:variant>
      <vt:variant>
        <vt:lpwstr>https://ec.europa.eu/info/law/better-regulation/have-your-say/initiatives/14611-Gender-Equality-Strategy-2026-2030_en</vt:lpwstr>
      </vt:variant>
      <vt:variant>
        <vt:lpwstr/>
      </vt:variant>
      <vt:variant>
        <vt:i4>3473473</vt:i4>
      </vt:variant>
      <vt:variant>
        <vt:i4>21</vt:i4>
      </vt:variant>
      <vt:variant>
        <vt:i4>0</vt:i4>
      </vt:variant>
      <vt:variant>
        <vt:i4>5</vt:i4>
      </vt:variant>
      <vt:variant>
        <vt:lpwstr>https://commission.europa.eu/document/download/99cc0720-68c2-4300-854f-592bf21dceaf_en?filename=eu_roma_strategic_framework_for_equality_inclusion_and_participation_for_2020_-_2030.pdf</vt:lpwstr>
      </vt:variant>
      <vt:variant>
        <vt:lpwstr/>
      </vt:variant>
      <vt:variant>
        <vt:i4>6553666</vt:i4>
      </vt:variant>
      <vt:variant>
        <vt:i4>18</vt:i4>
      </vt:variant>
      <vt:variant>
        <vt:i4>0</vt:i4>
      </vt:variant>
      <vt:variant>
        <vt:i4>5</vt:i4>
      </vt:variant>
      <vt:variant>
        <vt:lpwstr>https://commission.europa.eu/strategy-and-policy/policies/justice-and-fundamental-rights/disability/union-equality-strategy-rights-persons-disabilities-2021-2030_en</vt:lpwstr>
      </vt:variant>
      <vt:variant>
        <vt:lpwstr/>
      </vt:variant>
      <vt:variant>
        <vt:i4>6946816</vt:i4>
      </vt:variant>
      <vt:variant>
        <vt:i4>15</vt:i4>
      </vt:variant>
      <vt:variant>
        <vt:i4>0</vt:i4>
      </vt:variant>
      <vt:variant>
        <vt:i4>5</vt:i4>
      </vt:variant>
      <vt:variant>
        <vt:lpwstr>https://commission.europa.eu/strategy-and-policy/policies/justice-and-fundamental-rights/combatting-discrimination/racism-and-xenophobia/anti-racism-strategy_en</vt:lpwstr>
      </vt:variant>
      <vt:variant>
        <vt:lpwstr/>
      </vt:variant>
      <vt:variant>
        <vt:i4>6488076</vt:i4>
      </vt:variant>
      <vt:variant>
        <vt:i4>12</vt:i4>
      </vt:variant>
      <vt:variant>
        <vt:i4>0</vt:i4>
      </vt:variant>
      <vt:variant>
        <vt:i4>5</vt:i4>
      </vt:variant>
      <vt:variant>
        <vt:lpwstr>https://commission.europa.eu/strategy-and-policy/policies/justice-and-fundamental-rights/combatting-discrimination/lesbian-gay-bi-trans-and-intersex-equality/lgbtiq-equality-strategy-2026-2030_en</vt:lpwstr>
      </vt:variant>
      <vt:variant>
        <vt:lpwstr/>
      </vt:variant>
      <vt:variant>
        <vt:i4>2293864</vt:i4>
      </vt:variant>
      <vt:variant>
        <vt:i4>9</vt:i4>
      </vt:variant>
      <vt:variant>
        <vt:i4>0</vt:i4>
      </vt:variant>
      <vt:variant>
        <vt:i4>5</vt:i4>
      </vt:variant>
      <vt:variant>
        <vt:lpwstr>https://europa.eu/eurobarometer/surveys/detail/2974</vt:lpwstr>
      </vt:variant>
      <vt:variant>
        <vt:lpwstr/>
      </vt:variant>
      <vt:variant>
        <vt:i4>1638462</vt:i4>
      </vt:variant>
      <vt:variant>
        <vt:i4>6</vt:i4>
      </vt:variant>
      <vt:variant>
        <vt:i4>0</vt:i4>
      </vt:variant>
      <vt:variant>
        <vt:i4>5</vt:i4>
      </vt:variant>
      <vt:variant>
        <vt:lpwstr>https://commission.europa.eu/strategy-and-policy/policies/justice-and-fundamental-rights/gender-equality/gender-equality-strategy_en</vt:lpwstr>
      </vt:variant>
      <vt:variant>
        <vt:lpwstr>gender-equality-strategy-2020-2025</vt:lpwstr>
      </vt:variant>
      <vt:variant>
        <vt:i4>1376256</vt:i4>
      </vt:variant>
      <vt:variant>
        <vt:i4>3</vt:i4>
      </vt:variant>
      <vt:variant>
        <vt:i4>0</vt:i4>
      </vt:variant>
      <vt:variant>
        <vt:i4>5</vt:i4>
      </vt:variant>
      <vt:variant>
        <vt:lpwstr>https://eige.europa.eu/gender-equality-index</vt:lpwstr>
      </vt:variant>
      <vt:variant>
        <vt:lpwstr/>
      </vt:variant>
      <vt:variant>
        <vt:i4>5636173</vt:i4>
      </vt:variant>
      <vt:variant>
        <vt:i4>0</vt:i4>
      </vt:variant>
      <vt:variant>
        <vt:i4>0</vt:i4>
      </vt:variant>
      <vt:variant>
        <vt:i4>5</vt:i4>
      </vt:variant>
      <vt:variant>
        <vt:lpwstr>https://eige.europa.eu/newsroom/economic-benefits-gender-equality?language_content_entity=en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2026-03-03T16:11:00Z</dcterms:created>
  <dcterms:modified xsi:type="dcterms:W3CDTF">2026-03-29T14:32:00Z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MSIP_Label_6bd9ddd1-4d20-43f6-abfa-fc3c07406f94_Enabled">
    <vt:lpwstr>true</vt:lpwstr>
  </property>
  <property fmtid="{D5CDD505-2E9C-101B-9397-08002B2CF9AE}" pid="4" name="MSIP_Label_6bd9ddd1-4d20-43f6-abfa-fc3c07406f94_SetDate">
    <vt:lpwstr>2026-03-03T16:11:15Z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f43ba9b6-512e-4c56-b895-f275d877c232</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Last edited using">
    <vt:lpwstr>LW 9.2, Build 20250828</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ies>
</file>