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E23CE6" w14:textId="6E9571F3" w:rsidR="001358EC" w:rsidRDefault="000B5F73" w:rsidP="000B5F73">
      <w:pPr>
        <w:pStyle w:val="Pagedecouverture"/>
        <w:rPr>
          <w:noProof/>
        </w:rPr>
      </w:pPr>
      <w:bookmarkStart w:id="0" w:name="LW_BM_COVERPAGE"/>
      <w:r>
        <w:rPr>
          <w:noProof/>
        </w:rPr>
        <w:pict w14:anchorId="3F3E82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99C1DA3-47B7-4AE1-88D1-010672082A21" style="width:455.25pt;height:300pt">
            <v:imagedata r:id="rId8" o:title=""/>
          </v:shape>
        </w:pict>
      </w:r>
    </w:p>
    <w:bookmarkEnd w:id="0"/>
    <w:p w14:paraId="5547384B" w14:textId="77777777" w:rsidR="001358EC" w:rsidRDefault="001358EC">
      <w:pPr>
        <w:rPr>
          <w:noProof/>
          <w:lang w:val="en-IE"/>
        </w:rPr>
        <w:sectPr w:rsidR="001358EC" w:rsidSect="000B5F7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8476F16" w14:textId="77777777" w:rsidR="001358EC" w:rsidRDefault="00B36EFE">
      <w:pPr>
        <w:spacing w:line="240" w:lineRule="auto"/>
        <w:jc w:val="center"/>
        <w:rPr>
          <w:rFonts w:ascii="Times New Roman" w:hAnsi="Times New Roman" w:cs="Times New Roman"/>
          <w:b/>
          <w:bCs/>
          <w:noProof/>
          <w:sz w:val="24"/>
          <w:szCs w:val="24"/>
          <w:u w:val="single"/>
        </w:rPr>
      </w:pPr>
      <w:bookmarkStart w:id="1" w:name="_GoBack"/>
      <w:bookmarkEnd w:id="1"/>
      <w:r>
        <w:rPr>
          <w:rFonts w:ascii="Times New Roman" w:hAnsi="Times New Roman"/>
          <w:b/>
          <w:noProof/>
          <w:sz w:val="24"/>
          <w:u w:val="single"/>
        </w:rPr>
        <w:lastRenderedPageBreak/>
        <w:t>Le train de mesures sur l’énergie citoyenne: une énergie abordable pour tous</w:t>
      </w:r>
    </w:p>
    <w:p w14:paraId="577D70AA" w14:textId="77777777" w:rsidR="001358EC" w:rsidRDefault="00B36EFE">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b/>
          <w:noProof/>
          <w:color w:val="000000"/>
          <w:sz w:val="24"/>
        </w:rPr>
        <w:t xml:space="preserve">Tous les Européens </w:t>
      </w:r>
      <w:r>
        <w:rPr>
          <w:rFonts w:ascii="Times New Roman" w:hAnsi="Times New Roman"/>
          <w:noProof/>
          <w:color w:val="000000"/>
          <w:sz w:val="24"/>
        </w:rPr>
        <w:t xml:space="preserve">devraient avoir accès à une énergie propre et abordable dans des logements confortables et résilients. </w:t>
      </w:r>
      <w:r>
        <w:rPr>
          <w:rFonts w:ascii="Times New Roman" w:hAnsi="Times New Roman"/>
          <w:b/>
          <w:noProof/>
          <w:sz w:val="24"/>
        </w:rPr>
        <w:t xml:space="preserve">L’accessibilité économique de l’énergie </w:t>
      </w:r>
      <w:r>
        <w:rPr>
          <w:rFonts w:ascii="Times New Roman" w:hAnsi="Times New Roman"/>
          <w:noProof/>
          <w:sz w:val="24"/>
        </w:rPr>
        <w:t>est une condition essentielle à une qualité de vie sûre, décente et à l’abri de la pauvreté, et est indispensable pour garantir l’équité et l’inclusion, en particulier pour les groupes en situation de vulnérabilité et de toutes les générations.</w:t>
      </w:r>
      <w:r>
        <w:rPr>
          <w:rFonts w:ascii="Times New Roman" w:hAnsi="Times New Roman"/>
          <w:noProof/>
          <w:color w:val="000000"/>
          <w:sz w:val="24"/>
        </w:rPr>
        <w:t xml:space="preserve"> Si les prix de l’énergie sont trop élevés, l’ensemble de l’économie en pâtit: la consommation chute et les entreprises ralentissent. Le train de mesures sur l’énergie citoyenne vise à répondre à cette problématique.</w:t>
      </w:r>
    </w:p>
    <w:p w14:paraId="02580327" w14:textId="77777777" w:rsidR="001358EC" w:rsidRDefault="00B36EFE">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La méthode la plus sûre d’obtenir une énergie abordable est de s’appuyer sur</w:t>
      </w:r>
      <w:r>
        <w:rPr>
          <w:rFonts w:ascii="Times New Roman" w:hAnsi="Times New Roman"/>
          <w:b/>
          <w:noProof/>
          <w:color w:val="000000"/>
          <w:sz w:val="24"/>
        </w:rPr>
        <w:t xml:space="preserve"> l’énergie propre que l’Europe peut produire pour elle-même</w:t>
      </w:r>
      <w:r>
        <w:rPr>
          <w:rFonts w:ascii="Times New Roman" w:hAnsi="Times New Roman"/>
          <w:noProof/>
          <w:color w:val="000000"/>
          <w:sz w:val="24"/>
        </w:rPr>
        <w:t>. C’est pourquoi il faut donner aux Européens les moyens de passer du gaz à des solutions plus propres fondées sur l’électricité. L’</w:t>
      </w:r>
      <w:r>
        <w:rPr>
          <w:rFonts w:ascii="Times New Roman" w:hAnsi="Times New Roman"/>
          <w:b/>
          <w:noProof/>
          <w:color w:val="000000"/>
          <w:sz w:val="24"/>
        </w:rPr>
        <w:t>électrification</w:t>
      </w:r>
      <w:r>
        <w:rPr>
          <w:rFonts w:ascii="Times New Roman" w:hAnsi="Times New Roman"/>
          <w:noProof/>
          <w:color w:val="000000"/>
          <w:sz w:val="24"/>
        </w:rPr>
        <w:t xml:space="preserve"> apportera une baisse et une plus grande stabilité des prix au fil du temps, tout en renforçant l’indépendance, la durabilité et la compétitivité européennes. Les États membres ont un rôle à jouer à cet égard en mettant en place des mesures d’incitation ciblées adéquates, par exemple en rendant l’utilisation de l’électricité plus attrayante grâce à des incitations fiscales et à des prélèvements moins élevés.</w:t>
      </w:r>
    </w:p>
    <w:p w14:paraId="057D9709" w14:textId="77777777" w:rsidR="001358EC" w:rsidRDefault="00B36EFE">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themeColor="text1"/>
          <w:sz w:val="24"/>
        </w:rPr>
        <w:t xml:space="preserve">La </w:t>
      </w:r>
      <w:r>
        <w:rPr>
          <w:rFonts w:ascii="Times New Roman" w:hAnsi="Times New Roman"/>
          <w:b/>
          <w:noProof/>
          <w:color w:val="000000" w:themeColor="text1"/>
          <w:sz w:val="24"/>
        </w:rPr>
        <w:t>flexibilité</w:t>
      </w:r>
      <w:r>
        <w:rPr>
          <w:rFonts w:ascii="Times New Roman" w:hAnsi="Times New Roman"/>
          <w:noProof/>
          <w:color w:val="000000" w:themeColor="text1"/>
          <w:sz w:val="24"/>
        </w:rPr>
        <w:t xml:space="preserve"> permet aux foyers équipés de compteurs intelligents d’utiliser de l’énergie lorsque l’électricité est abondante et moins chère. Une recharge intelligente et bidirectionnelle des véhicules électriques peut contribuer à soutenir cette flexibilité. Pour que cela fonctionne, les citoyens doivent avoir accès à des informations fiables et à des conseils adaptés aux différents besoins (y compris les handicaps), à des technologies abordables et à des services qui récompensent les utilisateurs pour avoir déplacé leur consommation d’électricité des heures de pointe vers des périodes moins chères, en accordant une attention particulière aux groupes confrontés à l’exclusion numérique.</w:t>
      </w:r>
      <w:r>
        <w:rPr>
          <w:rFonts w:ascii="Times New Roman" w:hAnsi="Times New Roman"/>
          <w:noProof/>
        </w:rPr>
        <w:t xml:space="preserve"> </w:t>
      </w:r>
      <w:r>
        <w:rPr>
          <w:rFonts w:ascii="Times New Roman" w:hAnsi="Times New Roman"/>
          <w:noProof/>
          <w:color w:val="000000" w:themeColor="text1"/>
          <w:sz w:val="24"/>
        </w:rPr>
        <w:t>Une récente enquête Eurobaromètre</w:t>
      </w:r>
      <w:r>
        <w:rPr>
          <w:rFonts w:ascii="Times New Roman" w:eastAsia="Times New Roman" w:hAnsi="Times New Roman" w:cs="Times New Roman"/>
          <w:noProof/>
          <w:color w:val="000000"/>
          <w:kern w:val="0"/>
          <w:sz w:val="24"/>
          <w:szCs w:val="24"/>
          <w:vertAlign w:val="superscript"/>
          <w:lang w:val="en-IE"/>
        </w:rPr>
        <w:footnoteReference w:id="1"/>
      </w:r>
      <w:r>
        <w:rPr>
          <w:rFonts w:ascii="Times New Roman" w:hAnsi="Times New Roman"/>
          <w:noProof/>
          <w:color w:val="000000" w:themeColor="text1"/>
          <w:sz w:val="24"/>
        </w:rPr>
        <w:t xml:space="preserve"> indique que les consommateurs d’énergie de l’UE souhaitent une meilleure </w:t>
      </w:r>
      <w:r>
        <w:rPr>
          <w:rFonts w:ascii="Times New Roman" w:hAnsi="Times New Roman"/>
          <w:b/>
          <w:noProof/>
          <w:color w:val="000000" w:themeColor="text1"/>
          <w:sz w:val="24"/>
        </w:rPr>
        <w:t>protection</w:t>
      </w:r>
      <w:r>
        <w:rPr>
          <w:rFonts w:ascii="Times New Roman" w:hAnsi="Times New Roman"/>
          <w:noProof/>
          <w:color w:val="000000" w:themeColor="text1"/>
          <w:sz w:val="24"/>
        </w:rPr>
        <w:t xml:space="preserve"> des consommateurs vulnérables et en situation de précarité énergétique, ainsi que davantage de </w:t>
      </w:r>
      <w:r>
        <w:rPr>
          <w:rFonts w:ascii="Times New Roman" w:hAnsi="Times New Roman"/>
          <w:b/>
          <w:noProof/>
          <w:color w:val="000000" w:themeColor="text1"/>
          <w:sz w:val="24"/>
        </w:rPr>
        <w:t>clarté et de transparence sur les factures énergétiques</w:t>
      </w:r>
      <w:r>
        <w:rPr>
          <w:rFonts w:ascii="Times New Roman" w:hAnsi="Times New Roman"/>
          <w:noProof/>
          <w:color w:val="000000" w:themeColor="text1"/>
          <w:sz w:val="24"/>
        </w:rPr>
        <w:t>.</w:t>
      </w:r>
    </w:p>
    <w:p w14:paraId="3E17D9A9" w14:textId="77777777" w:rsidR="001358EC" w:rsidRDefault="00B36EFE">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themeColor="text1"/>
          <w:sz w:val="24"/>
        </w:rPr>
        <w:t xml:space="preserve">Les citoyens – par exemple, les agriculteurs, les habitants de zones rurales, les propriétaires de petites entreprises ou les jardins d’enfants – devraient être en mesure de s’associer, de produire leur énergie eux-mêmes et de la </w:t>
      </w:r>
      <w:r>
        <w:rPr>
          <w:rFonts w:ascii="Times New Roman" w:hAnsi="Times New Roman"/>
          <w:b/>
          <w:noProof/>
          <w:color w:val="000000" w:themeColor="text1"/>
          <w:sz w:val="24"/>
        </w:rPr>
        <w:t>partager</w:t>
      </w:r>
      <w:r>
        <w:rPr>
          <w:rFonts w:ascii="Times New Roman" w:hAnsi="Times New Roman"/>
          <w:noProof/>
          <w:color w:val="000000" w:themeColor="text1"/>
          <w:sz w:val="24"/>
        </w:rPr>
        <w:t>. Cela permettrait de soulager les réseaux énergétiques locaux et d’éviter les investissements inutiles dans les infrastructures énergétiques. Les exigences financières et techniques relatives à la création de</w:t>
      </w:r>
      <w:r>
        <w:rPr>
          <w:rFonts w:ascii="Times New Roman" w:hAnsi="Times New Roman"/>
          <w:b/>
          <w:noProof/>
          <w:color w:val="000000" w:themeColor="text1"/>
          <w:sz w:val="24"/>
        </w:rPr>
        <w:t xml:space="preserve"> communautés énergétiques</w:t>
      </w:r>
      <w:r>
        <w:rPr>
          <w:rFonts w:ascii="Times New Roman" w:hAnsi="Times New Roman"/>
          <w:noProof/>
          <w:color w:val="000000" w:themeColor="text1"/>
          <w:sz w:val="24"/>
        </w:rPr>
        <w:t xml:space="preserve"> devraient être claires et simples. Donner aux consommateurs les moyens d’agir est également bénéfique pour les fabricants européens de </w:t>
      </w:r>
      <w:r>
        <w:rPr>
          <w:rFonts w:ascii="Times New Roman" w:hAnsi="Times New Roman"/>
          <w:b/>
          <w:noProof/>
          <w:color w:val="000000" w:themeColor="text1"/>
          <w:sz w:val="24"/>
        </w:rPr>
        <w:t>technologies propres</w:t>
      </w:r>
      <w:r>
        <w:rPr>
          <w:rFonts w:ascii="Times New Roman" w:hAnsi="Times New Roman"/>
          <w:noProof/>
          <w:color w:val="000000" w:themeColor="text1"/>
          <w:sz w:val="24"/>
        </w:rPr>
        <w:t xml:space="preserve"> et les fournisseurs d’électricité, étant donné que l’augmentation de la demande de produits innovants (tels que des pompes à chaleur) et de services innovants (tels que le leasing social, la chaleur en tant que service) garantira la sécurité des investissements et contribuera à stimuler la croissance sur ces marchés de l’emploi. Ces technologies innovantes amélioreront également le lien entre l’énergie et l’eau, en particulier pendant les sécheresses et les vagues de chaleur, et contribueront ainsi à réduire les factures énergétiques</w:t>
      </w:r>
      <w:r>
        <w:rPr>
          <w:rStyle w:val="FootnoteReference"/>
          <w:rFonts w:ascii="Times New Roman" w:eastAsia="Times New Roman" w:hAnsi="Times New Roman" w:cs="Times New Roman"/>
          <w:noProof/>
          <w:color w:val="000000"/>
          <w:kern w:val="0"/>
          <w:sz w:val="24"/>
          <w:szCs w:val="24"/>
          <w:lang w:val="en-GB"/>
        </w:rPr>
        <w:footnoteReference w:id="2"/>
      </w:r>
      <w:r>
        <w:rPr>
          <w:rFonts w:ascii="Times New Roman" w:hAnsi="Times New Roman"/>
          <w:noProof/>
          <w:color w:val="000000" w:themeColor="text1"/>
          <w:sz w:val="24"/>
        </w:rPr>
        <w:t>.</w:t>
      </w:r>
    </w:p>
    <w:p w14:paraId="34060B5E" w14:textId="77777777" w:rsidR="001358EC" w:rsidRDefault="00B36EFE">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themeColor="text1"/>
          <w:sz w:val="24"/>
        </w:rPr>
        <w:t xml:space="preserve">Le train de mesures sur l’énergie citoyenne vise également à lutter contre la </w:t>
      </w:r>
      <w:r>
        <w:rPr>
          <w:rFonts w:ascii="Times New Roman" w:hAnsi="Times New Roman"/>
          <w:b/>
          <w:noProof/>
          <w:color w:val="000000" w:themeColor="text1"/>
          <w:sz w:val="24"/>
        </w:rPr>
        <w:t>précarité énergétique</w:t>
      </w:r>
      <w:r>
        <w:rPr>
          <w:rFonts w:ascii="Times New Roman" w:hAnsi="Times New Roman"/>
          <w:noProof/>
          <w:color w:val="000000" w:themeColor="text1"/>
          <w:sz w:val="24"/>
        </w:rPr>
        <w:t>, une situation grave à laquelle sont actuellement confrontés un trop grand nombre de citoyens dans l’UE et qui touche de manière disproportionnée les groupes en situation de vulnérabilité et ceux vivant dans des zones rurales ou reculées, des régions ultrapériphériques et des îles. En 2024, près de 10 % des citoyens européens n’ont pas pu chauffer correctement leur logement en hiver, et beaucoup sont exposés à une augmentation des besoins de refroidissement en été. Il est essentiel d’améliorer la performance énergétique des bâtiments et de passer à des systèmes de chauffage et de refroidissement électriques moins chers ou à des systèmes urbains fondés sur les énergies renouvelables afin de réduire la précarité énergétique et les dépenses en matière de logement</w:t>
      </w:r>
      <w:r>
        <w:rPr>
          <w:rFonts w:ascii="Times New Roman" w:hAnsi="Times New Roman"/>
          <w:noProof/>
          <w:color w:val="000000" w:themeColor="text1"/>
          <w:sz w:val="24"/>
          <w:u w:val="single"/>
        </w:rPr>
        <w:t>.</w:t>
      </w:r>
    </w:p>
    <w:p w14:paraId="66EEDDAD" w14:textId="0FE811BA" w:rsidR="001358EC" w:rsidRDefault="00B36EFE">
      <w:pPr>
        <w:spacing w:after="360" w:line="240" w:lineRule="auto"/>
        <w:jc w:val="both"/>
        <w:rPr>
          <w:rFonts w:ascii="Times New Roman" w:hAnsi="Times New Roman"/>
          <w:noProof/>
          <w:color w:val="000000"/>
          <w:kern w:val="0"/>
          <w:sz w:val="24"/>
          <w14:ligatures w14:val="none"/>
        </w:rPr>
      </w:pPr>
      <w:r>
        <w:rPr>
          <w:rFonts w:ascii="Times New Roman" w:hAnsi="Times New Roman"/>
          <w:noProof/>
          <w:color w:val="000000"/>
          <w:sz w:val="24"/>
        </w:rPr>
        <w:t xml:space="preserve">Un ensemble solide de législations de l’UE est déjà en place pour répondre à toutes ces préoccupations, mais sa </w:t>
      </w:r>
      <w:r>
        <w:rPr>
          <w:rFonts w:ascii="Times New Roman" w:hAnsi="Times New Roman"/>
          <w:b/>
          <w:noProof/>
          <w:color w:val="000000"/>
          <w:sz w:val="24"/>
        </w:rPr>
        <w:t>mise en œuvre</w:t>
      </w:r>
      <w:r>
        <w:rPr>
          <w:rFonts w:ascii="Times New Roman" w:hAnsi="Times New Roman"/>
          <w:noProof/>
          <w:color w:val="000000"/>
          <w:sz w:val="24"/>
        </w:rPr>
        <w:t xml:space="preserve"> reste inégale. Il est indispensable de veiller à l’application effective des dispositions législatives européennes pour faire en sorte que </w:t>
      </w:r>
      <w:r>
        <w:rPr>
          <w:rFonts w:ascii="Times New Roman" w:hAnsi="Times New Roman"/>
          <w:noProof/>
          <w:color w:val="000000" w:themeColor="text1"/>
          <w:sz w:val="24"/>
        </w:rPr>
        <w:t xml:space="preserve">les </w:t>
      </w:r>
      <w:r>
        <w:rPr>
          <w:rFonts w:ascii="Times New Roman" w:hAnsi="Times New Roman"/>
          <w:noProof/>
          <w:color w:val="000000"/>
          <w:sz w:val="24"/>
        </w:rPr>
        <w:t xml:space="preserve">citoyens puissent jouir pleinement de leurs droits. </w:t>
      </w:r>
      <w:r>
        <w:rPr>
          <w:rFonts w:ascii="Times New Roman" w:hAnsi="Times New Roman"/>
          <w:noProof/>
          <w:sz w:val="24"/>
        </w:rPr>
        <w:t>Les</w:t>
      </w:r>
      <w:r>
        <w:rPr>
          <w:rFonts w:ascii="Times New Roman" w:hAnsi="Times New Roman"/>
          <w:b/>
          <w:noProof/>
          <w:sz w:val="24"/>
        </w:rPr>
        <w:t xml:space="preserve"> autorités locales</w:t>
      </w:r>
      <w:r>
        <w:rPr>
          <w:rFonts w:ascii="Times New Roman" w:hAnsi="Times New Roman"/>
          <w:noProof/>
          <w:color w:val="000000"/>
          <w:sz w:val="24"/>
        </w:rPr>
        <w:t xml:space="preserve"> </w:t>
      </w:r>
      <w:r>
        <w:rPr>
          <w:rFonts w:ascii="Times New Roman" w:hAnsi="Times New Roman"/>
          <w:noProof/>
          <w:sz w:val="24"/>
        </w:rPr>
        <w:t>jouent un rôle de premier plan dans l’accompagnement des citoyens dans la transition énergétique en prodiguant des conseils administratifs, techniques et financiers</w:t>
      </w:r>
      <w:r>
        <w:rPr>
          <w:rFonts w:ascii="Times New Roman" w:hAnsi="Times New Roman"/>
          <w:noProof/>
          <w:color w:val="000000" w:themeColor="text1"/>
          <w:sz w:val="24"/>
        </w:rPr>
        <w:t>,</w:t>
      </w:r>
      <w:r>
        <w:rPr>
          <w:rFonts w:ascii="Times New Roman" w:hAnsi="Times New Roman"/>
          <w:noProof/>
          <w:sz w:val="24"/>
        </w:rPr>
        <w:t xml:space="preserve"> </w:t>
      </w:r>
      <w:r>
        <w:rPr>
          <w:rFonts w:ascii="Times New Roman" w:hAnsi="Times New Roman"/>
          <w:noProof/>
          <w:color w:val="000000"/>
          <w:sz w:val="24"/>
        </w:rPr>
        <w:t>en particulier lorsqu’il s’agit de lutter contre la précarité énergétique</w:t>
      </w:r>
      <w:r>
        <w:rPr>
          <w:rFonts w:ascii="Times New Roman" w:hAnsi="Times New Roman"/>
          <w:noProof/>
          <w:color w:val="000000" w:themeColor="text1"/>
          <w:sz w:val="24"/>
        </w:rPr>
        <w:t xml:space="preserve"> et d’atteindre des groupes ayant des besoins spécifiques</w:t>
      </w:r>
      <w:r>
        <w:rPr>
          <w:rFonts w:ascii="Times New Roman" w:hAnsi="Times New Roman"/>
          <w:noProof/>
          <w:color w:val="000000"/>
          <w:sz w:val="24"/>
        </w:rPr>
        <w:t xml:space="preserve">. </w:t>
      </w:r>
      <w:r>
        <w:rPr>
          <w:rFonts w:ascii="Times New Roman" w:hAnsi="Times New Roman"/>
          <w:noProof/>
          <w:sz w:val="24"/>
        </w:rPr>
        <w:t>Dans le but d’intensifier</w:t>
      </w:r>
      <w:r>
        <w:rPr>
          <w:rFonts w:ascii="Times New Roman" w:hAnsi="Times New Roman"/>
          <w:noProof/>
          <w:color w:val="000000"/>
          <w:sz w:val="24"/>
        </w:rPr>
        <w:t xml:space="preserve"> </w:t>
      </w:r>
      <w:r>
        <w:rPr>
          <w:rFonts w:ascii="Times New Roman" w:hAnsi="Times New Roman"/>
          <w:noProof/>
          <w:color w:val="000000" w:themeColor="text1"/>
          <w:sz w:val="24"/>
        </w:rPr>
        <w:t>les</w:t>
      </w:r>
      <w:r>
        <w:rPr>
          <w:rFonts w:ascii="Times New Roman" w:hAnsi="Times New Roman"/>
          <w:noProof/>
          <w:color w:val="000000"/>
          <w:sz w:val="24"/>
        </w:rPr>
        <w:t xml:space="preserve"> efforts</w:t>
      </w:r>
      <w:r>
        <w:rPr>
          <w:rFonts w:ascii="Times New Roman" w:hAnsi="Times New Roman"/>
          <w:noProof/>
          <w:color w:val="000000" w:themeColor="text1"/>
          <w:sz w:val="24"/>
        </w:rPr>
        <w:t xml:space="preserve"> conjoints à tous les niveaux</w:t>
      </w:r>
      <w:r>
        <w:rPr>
          <w:rFonts w:ascii="Times New Roman" w:hAnsi="Times New Roman"/>
          <w:noProof/>
          <w:color w:val="000000"/>
          <w:sz w:val="24"/>
        </w:rPr>
        <w:t xml:space="preserve"> de gouvernance</w:t>
      </w:r>
      <w:r>
        <w:rPr>
          <w:rFonts w:ascii="Times New Roman" w:hAnsi="Times New Roman"/>
          <w:noProof/>
          <w:color w:val="000000" w:themeColor="text1"/>
          <w:sz w:val="24"/>
        </w:rPr>
        <w:t xml:space="preserve"> et d’obtenir des résultats pour les citoyens européens, la présente communication, qui complète d’autres initiatives de la Commission</w:t>
      </w:r>
      <w:r>
        <w:rPr>
          <w:rFonts w:ascii="Times New Roman" w:eastAsia="Times New Roman" w:hAnsi="Times New Roman" w:cs="Aptos"/>
          <w:noProof/>
          <w:color w:val="000000"/>
          <w:kern w:val="0"/>
          <w:sz w:val="24"/>
          <w:szCs w:val="24"/>
          <w:vertAlign w:val="superscript"/>
          <w:lang w:val="en-IE"/>
        </w:rPr>
        <w:footnoteReference w:id="3"/>
      </w:r>
      <w:r>
        <w:rPr>
          <w:rFonts w:ascii="Times New Roman" w:hAnsi="Times New Roman"/>
          <w:noProof/>
          <w:color w:val="000000" w:themeColor="text1"/>
          <w:sz w:val="24"/>
        </w:rPr>
        <w:t xml:space="preserve"> sur l’énergie abordable, énonce des actions concrètes visant</w:t>
      </w:r>
      <w:r>
        <w:rPr>
          <w:rFonts w:ascii="Times New Roman" w:hAnsi="Times New Roman"/>
          <w:noProof/>
          <w:color w:val="000000"/>
          <w:sz w:val="24"/>
        </w:rPr>
        <w:t xml:space="preserve">: i) </w:t>
      </w:r>
      <w:r>
        <w:rPr>
          <w:rFonts w:ascii="Times New Roman" w:hAnsi="Times New Roman"/>
          <w:noProof/>
          <w:color w:val="000000"/>
          <w:sz w:val="24"/>
          <w:u w:val="single"/>
        </w:rPr>
        <w:t>à réduire les factures énergétiques des ménages;</w:t>
      </w:r>
      <w:r>
        <w:rPr>
          <w:rFonts w:ascii="Times New Roman" w:hAnsi="Times New Roman"/>
          <w:noProof/>
          <w:color w:val="000000"/>
          <w:sz w:val="24"/>
        </w:rPr>
        <w:t xml:space="preserve"> ii) </w:t>
      </w:r>
      <w:r>
        <w:rPr>
          <w:rFonts w:ascii="Times New Roman" w:hAnsi="Times New Roman"/>
          <w:noProof/>
          <w:color w:val="000000"/>
          <w:sz w:val="24"/>
          <w:u w:val="single"/>
        </w:rPr>
        <w:t>à protéger les consommateurs et à leur donner les moyens d’agir</w:t>
      </w:r>
      <w:r>
        <w:rPr>
          <w:rFonts w:ascii="Times New Roman" w:hAnsi="Times New Roman"/>
          <w:noProof/>
          <w:color w:val="000000"/>
          <w:sz w:val="24"/>
        </w:rPr>
        <w:t xml:space="preserve">; iii) </w:t>
      </w:r>
      <w:r>
        <w:rPr>
          <w:rFonts w:ascii="Times New Roman" w:hAnsi="Times New Roman"/>
          <w:noProof/>
          <w:color w:val="000000"/>
          <w:sz w:val="24"/>
          <w:u w:val="single"/>
        </w:rPr>
        <w:t>à lutter contre la précarité énergétique</w:t>
      </w:r>
      <w:r>
        <w:rPr>
          <w:rFonts w:ascii="Times New Roman" w:hAnsi="Times New Roman"/>
          <w:noProof/>
          <w:color w:val="000000"/>
          <w:sz w:val="24"/>
        </w:rPr>
        <w:t xml:space="preserve">; et iv) </w:t>
      </w:r>
      <w:r>
        <w:rPr>
          <w:rFonts w:ascii="Times New Roman" w:hAnsi="Times New Roman"/>
          <w:noProof/>
          <w:color w:val="000000"/>
          <w:sz w:val="24"/>
          <w:u w:val="single"/>
        </w:rPr>
        <w:t>à mettre en œuvre efficacement la législation existante de l’UE</w:t>
      </w:r>
      <w:r>
        <w:rPr>
          <w:rFonts w:ascii="Times New Roman" w:hAnsi="Times New Roman"/>
          <w:noProof/>
          <w:color w:val="000000"/>
          <w:sz w:val="24"/>
        </w:rPr>
        <w:t>.</w:t>
      </w:r>
    </w:p>
    <w:p w14:paraId="74BB2F74" w14:textId="77777777" w:rsidR="001358EC" w:rsidRDefault="00B36EFE">
      <w:pPr>
        <w:spacing w:after="120" w:line="240" w:lineRule="auto"/>
        <w:jc w:val="center"/>
        <w:rPr>
          <w:rFonts w:ascii="Times New Roman" w:eastAsia="Times New Roman" w:hAnsi="Times New Roman" w:cs="Times New Roman"/>
          <w:noProof/>
          <w:color w:val="000000"/>
          <w:kern w:val="0"/>
          <w:sz w:val="24"/>
          <w:szCs w:val="24"/>
          <w14:ligatures w14:val="none"/>
        </w:rPr>
      </w:pPr>
      <w:r>
        <w:rPr>
          <w:rFonts w:ascii="Times New Roman" w:hAnsi="Times New Roman"/>
          <w:b/>
          <w:smallCaps/>
          <w:noProof/>
          <w:sz w:val="24"/>
          <w:u w:val="single"/>
        </w:rPr>
        <w:t>Pilier I: réduire les factures énergétiques des ménages</w:t>
      </w:r>
    </w:p>
    <w:p w14:paraId="4C186DC6" w14:textId="54FCCFC8" w:rsidR="001358EC" w:rsidRDefault="00B36EFE">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lang w:val="en-GB" w:eastAsia="en-GB"/>
        </w:rPr>
        <mc:AlternateContent>
          <mc:Choice Requires="wps">
            <w:drawing>
              <wp:anchor distT="45720" distB="45720" distL="114300" distR="114300" simplePos="0" relativeHeight="251658240" behindDoc="0" locked="0" layoutInCell="1" allowOverlap="1" wp14:anchorId="1A835016" wp14:editId="3AA40EDF">
                <wp:simplePos x="0" y="0"/>
                <wp:positionH relativeFrom="margin">
                  <wp:posOffset>2006600</wp:posOffset>
                </wp:positionH>
                <wp:positionV relativeFrom="paragraph">
                  <wp:posOffset>72390</wp:posOffset>
                </wp:positionV>
                <wp:extent cx="3702050" cy="3073400"/>
                <wp:effectExtent l="0" t="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0" cy="3073400"/>
                        </a:xfrm>
                        <a:prstGeom prst="rect">
                          <a:avLst/>
                        </a:prstGeom>
                        <a:solidFill>
                          <a:srgbClr val="FFFFFF"/>
                        </a:solidFill>
                        <a:ln w="9525">
                          <a:solidFill>
                            <a:srgbClr val="000000"/>
                          </a:solidFill>
                          <a:miter lim="800000"/>
                          <a:headEnd/>
                          <a:tailEnd/>
                        </a:ln>
                      </wps:spPr>
                      <wps:txbx>
                        <w:txbxContent>
                          <w:p w14:paraId="3A7DF343" w14:textId="77777777" w:rsidR="001358EC" w:rsidRDefault="00B36EFE">
                            <w:pPr>
                              <w:spacing w:after="120" w:line="240" w:lineRule="auto"/>
                              <w:jc w:val="both"/>
                              <w:rPr>
                                <w:rFonts w:ascii="Times New Roman" w:eastAsia="Times New Roman" w:hAnsi="Times New Roman" w:cs="Times New Roman"/>
                                <w:i/>
                                <w:color w:val="000000"/>
                                <w:kern w:val="0"/>
                                <w:sz w:val="20"/>
                                <w:szCs w:val="20"/>
                                <w14:ligatures w14:val="none"/>
                              </w:rPr>
                            </w:pPr>
                            <w:r>
                              <w:rPr>
                                <w:noProof/>
                                <w:lang w:val="en-GB" w:eastAsia="en-GB"/>
                              </w:rPr>
                              <w:drawing>
                                <wp:inline distT="0" distB="0" distL="0" distR="0" wp14:anchorId="431EA252" wp14:editId="09460726">
                                  <wp:extent cx="3714750" cy="2266089"/>
                                  <wp:effectExtent l="0" t="0" r="0" b="1270"/>
                                  <wp:docPr id="1405669071" name="Picture 1" descr="Graphique indiquant le prix de l’électricité et du gaz.&#10;&#10;Le contenu généré par 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69071" name="Picture 1" descr="A graph of a graph showing the amount of electricity and gas&#10;&#10;AI-generated content may be incorrect."/>
                                          <pic:cNvPicPr/>
                                        </pic:nvPicPr>
                                        <pic:blipFill>
                                          <a:blip r:embed="rId15"/>
                                          <a:stretch>
                                            <a:fillRect/>
                                          </a:stretch>
                                        </pic:blipFill>
                                        <pic:spPr>
                                          <a:xfrm>
                                            <a:off x="0" y="0"/>
                                            <a:ext cx="3740150" cy="2281584"/>
                                          </a:xfrm>
                                          <a:prstGeom prst="rect">
                                            <a:avLst/>
                                          </a:prstGeom>
                                        </pic:spPr>
                                      </pic:pic>
                                    </a:graphicData>
                                  </a:graphic>
                                </wp:inline>
                              </w:drawing>
                            </w:r>
                            <w:r>
                              <w:rPr>
                                <w:rFonts w:ascii="Times New Roman" w:hAnsi="Times New Roman"/>
                                <w:i/>
                                <w:color w:val="000000"/>
                                <w:sz w:val="20"/>
                              </w:rPr>
                              <w:t xml:space="preserve"> </w:t>
                            </w:r>
                          </w:p>
                          <w:p w14:paraId="0CEA2A6F" w14:textId="77777777" w:rsidR="001358EC" w:rsidRDefault="00B36EFE">
                            <w:pPr>
                              <w:spacing w:after="120" w:line="240" w:lineRule="auto"/>
                              <w:jc w:val="both"/>
                              <w:rPr>
                                <w:rFonts w:ascii="Times New Roman" w:eastAsia="Times New Roman" w:hAnsi="Times New Roman" w:cs="Times New Roman"/>
                                <w:i/>
                                <w:color w:val="000000"/>
                                <w:kern w:val="0"/>
                                <w:sz w:val="20"/>
                                <w:szCs w:val="20"/>
                                <w14:ligatures w14:val="none"/>
                              </w:rPr>
                            </w:pPr>
                            <w:r>
                              <w:rPr>
                                <w:rFonts w:ascii="Times New Roman" w:hAnsi="Times New Roman"/>
                                <w:i/>
                                <w:color w:val="000000"/>
                                <w:sz w:val="20"/>
                              </w:rPr>
                              <w:t>Figure 1. Prix moyens semestriels de l’électricité et du gaz dans l’UE pour les ménages. Source: Eurostat, prix de l’énergie pour les ménages (tranches DC pour l’électricité et D2 pour le gaz). Les prix comprennent toutes les taxes et tous les prélèvements. Les prix du gaz sont convertis en EUR/kWh.</w:t>
                            </w:r>
                          </w:p>
                          <w:p w14:paraId="0E6A96AE" w14:textId="77777777" w:rsidR="001358EC" w:rsidRDefault="001358EC">
                            <w:pPr>
                              <w:rPr>
                                <w:lang w:val="en-I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835016" id="_x0000_t202" coordsize="21600,21600" o:spt="202" path="m,l,21600r21600,l21600,xe">
                <v:stroke joinstyle="miter"/>
                <v:path gradientshapeok="t" o:connecttype="rect"/>
              </v:shapetype>
              <v:shape id="Text Box 2" o:spid="_x0000_s1026" type="#_x0000_t202" style="position:absolute;left:0;text-align:left;margin-left:158pt;margin-top:5.7pt;width:291.5pt;height:242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">
                <v:textbox>
                  <w:txbxContent>
                    <w:p w14:paraId="3A7DF343" w14:textId="77777777" w:rsidR="001358EC" w:rsidRDefault="00B36EFE">
                      <w:pPr>
                        <w:spacing w:after="120" w:line="240" w:lineRule="auto"/>
                        <w:jc w:val="both"/>
                        <w:rPr>
                          <w:rFonts w:ascii="Times New Roman" w:eastAsia="Times New Roman" w:hAnsi="Times New Roman" w:cs="Times New Roman"/>
                          <w:i/>
                          <w:color w:val="000000"/>
                          <w:kern w:val="0"/>
                          <w:sz w:val="20"/>
                          <w:szCs w:val="20"/>
                          <w14:ligatures w14:val="none"/>
                        </w:rPr>
                      </w:pPr>
                      <w:r>
                        <w:rPr>
                          <w:noProof/>
                          <w:lang w:val="en-GB" w:eastAsia="en-GB"/>
                        </w:rPr>
                        <w:drawing>
                          <wp:inline distT="0" distB="0" distL="0" distR="0" wp14:anchorId="431EA252" wp14:editId="09460726">
                            <wp:extent cx="3714750" cy="2266089"/>
                            <wp:effectExtent l="0" t="0" r="0" b="1270"/>
                            <wp:docPr id="1405669071" name="Picture 1" descr="Graphique indiquant le prix de l’électricité et du gaz.&#10;&#10;Le contenu généré par 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69071" name="Picture 1" descr="A graph of a graph showing the amount of electricity and gas&#10;&#10;AI-generated content may be incorrect."/>
                                    <pic:cNvPicPr/>
                                  </pic:nvPicPr>
                                  <pic:blipFill>
                                    <a:blip r:embed="rId15"/>
                                    <a:stretch>
                                      <a:fillRect/>
                                    </a:stretch>
                                  </pic:blipFill>
                                  <pic:spPr>
                                    <a:xfrm>
                                      <a:off x="0" y="0"/>
                                      <a:ext cx="3740150" cy="2281584"/>
                                    </a:xfrm>
                                    <a:prstGeom prst="rect">
                                      <a:avLst/>
                                    </a:prstGeom>
                                  </pic:spPr>
                                </pic:pic>
                              </a:graphicData>
                            </a:graphic>
                          </wp:inline>
                        </w:drawing>
                      </w:r>
                      <w:r>
                        <w:rPr>
                          <w:rFonts w:ascii="Times New Roman" w:hAnsi="Times New Roman"/>
                          <w:i/>
                          <w:color w:val="000000"/>
                          <w:sz w:val="20"/>
                        </w:rPr>
                        <w:t xml:space="preserve"> </w:t>
                      </w:r>
                    </w:p>
                    <w:p w14:paraId="0CEA2A6F" w14:textId="77777777" w:rsidR="001358EC" w:rsidRDefault="00B36EFE">
                      <w:pPr>
                        <w:spacing w:after="120" w:line="240" w:lineRule="auto"/>
                        <w:jc w:val="both"/>
                        <w:rPr>
                          <w:rFonts w:ascii="Times New Roman" w:eastAsia="Times New Roman" w:hAnsi="Times New Roman" w:cs="Times New Roman"/>
                          <w:i/>
                          <w:color w:val="000000"/>
                          <w:kern w:val="0"/>
                          <w:sz w:val="20"/>
                          <w:szCs w:val="20"/>
                          <w14:ligatures w14:val="none"/>
                        </w:rPr>
                      </w:pPr>
                      <w:r>
                        <w:rPr>
                          <w:rFonts w:ascii="Times New Roman" w:hAnsi="Times New Roman"/>
                          <w:i/>
                          <w:color w:val="000000"/>
                          <w:sz w:val="20"/>
                        </w:rPr>
                        <w:t>Figure 1. Prix moyens semestriels de l’électricité et du gaz dans l’UE pour les ménages. Source: Eurostat, prix de l’énergie pour les ménages (tranches DC pour l’électricité et D2 pour le gaz). Les prix comprennent toutes les taxes et tous les prélèvements. Les prix du gaz sont convertis en EUR/kWh.</w:t>
                      </w:r>
                    </w:p>
                    <w:p w14:paraId="0E6A96AE" w14:textId="77777777" w:rsidR="001358EC" w:rsidRDefault="001358EC">
                      <w:pPr>
                        <w:rPr>
                          <w:lang w:val="en-IE"/>
                        </w:rPr>
                      </w:pPr>
                    </w:p>
                  </w:txbxContent>
                </v:textbox>
                <w10:wrap type="square" anchorx="margin"/>
              </v:shape>
            </w:pict>
          </mc:Fallback>
        </mc:AlternateContent>
      </w:r>
      <w:r>
        <w:rPr>
          <w:noProof/>
        </w:rPr>
        <w:t xml:space="preserve"> </w:t>
      </w:r>
      <w:r>
        <w:rPr>
          <w:rFonts w:ascii="Times New Roman" w:hAnsi="Times New Roman"/>
          <w:b/>
          <w:noProof/>
          <w:sz w:val="24"/>
        </w:rPr>
        <w:t>Les prix élevés de l’énergie pèsent sur l’économie de l’Europe et les citoyens européens.</w:t>
      </w:r>
      <w:r>
        <w:rPr>
          <w:rFonts w:ascii="Times New Roman" w:hAnsi="Times New Roman"/>
          <w:noProof/>
          <w:sz w:val="24"/>
        </w:rPr>
        <w:t xml:space="preserve"> Les prix de l’électricité pour les ménages ont fortement augmenté pendant la crise et restent élevés aujourd’hui, ce qui pénalise de manière disproportionnée les groupes en situation de vulnérabilité. Les prix de détail de l’électricité auxquels sont confrontés les ménages de l’UE dépassent de 36 % leur moyenne de 2014-2020, les prix de détail du gaz étant supérieurs de 68 % à leur moyenne durant la même période. À titre de référence, l’inflation entre 2014 et 2020 était de 26 %, ce qui signifie que les prix ont augmenté de 10 % une fois corrigés de l’inflation. </w:t>
      </w:r>
    </w:p>
    <w:p w14:paraId="60382FDA" w14:textId="77777777" w:rsidR="001358EC" w:rsidRDefault="00B36EFE">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factures énergétiques payées par les citoyens sont influencées par les </w:t>
      </w:r>
      <w:r>
        <w:rPr>
          <w:rFonts w:ascii="Times New Roman" w:hAnsi="Times New Roman"/>
          <w:b/>
          <w:noProof/>
          <w:sz w:val="24"/>
        </w:rPr>
        <w:t>redevances d’accès au réseau</w:t>
      </w:r>
      <w:r>
        <w:rPr>
          <w:rFonts w:ascii="Times New Roman" w:hAnsi="Times New Roman"/>
          <w:noProof/>
          <w:sz w:val="24"/>
        </w:rPr>
        <w:t xml:space="preserve">, </w:t>
      </w:r>
      <w:r>
        <w:rPr>
          <w:rFonts w:ascii="Times New Roman" w:hAnsi="Times New Roman"/>
          <w:b/>
          <w:noProof/>
          <w:sz w:val="24"/>
        </w:rPr>
        <w:t>les taxes et prélèvements nationaux</w:t>
      </w:r>
      <w:r>
        <w:rPr>
          <w:rFonts w:ascii="Times New Roman" w:hAnsi="Times New Roman"/>
          <w:noProof/>
          <w:sz w:val="24"/>
        </w:rPr>
        <w:t xml:space="preserve">, le </w:t>
      </w:r>
      <w:r>
        <w:rPr>
          <w:rFonts w:ascii="Times New Roman" w:hAnsi="Times New Roman"/>
          <w:b/>
          <w:noProof/>
          <w:sz w:val="24"/>
        </w:rPr>
        <w:t>prix de gros de l’énergie</w:t>
      </w:r>
      <w:r>
        <w:rPr>
          <w:rFonts w:ascii="Times New Roman" w:hAnsi="Times New Roman"/>
          <w:noProof/>
          <w:sz w:val="24"/>
        </w:rPr>
        <w:t xml:space="preserve"> et le niveau de la </w:t>
      </w:r>
      <w:r>
        <w:rPr>
          <w:rFonts w:ascii="Times New Roman" w:hAnsi="Times New Roman"/>
          <w:b/>
          <w:noProof/>
          <w:sz w:val="24"/>
        </w:rPr>
        <w:t>consommation</w:t>
      </w:r>
      <w:r>
        <w:rPr>
          <w:rFonts w:ascii="Times New Roman" w:hAnsi="Times New Roman"/>
          <w:noProof/>
          <w:sz w:val="24"/>
        </w:rPr>
        <w:t xml:space="preserve"> individuelle. Les taxes nationales sur l’énergie et le calcul des redevances d’accès relèvent principalement de la responsabilité des États membres et de leurs autorités de régulation, lesquels disposent ainsi d’outils pour rendre les factures énergétiques plus abordables. La Commission propose donc quatre actions concrètes à cet égard.</w:t>
      </w:r>
    </w:p>
    <w:p w14:paraId="66909FC0" w14:textId="77777777" w:rsidR="001358EC" w:rsidRDefault="00B36EFE">
      <w:pPr>
        <w:rPr>
          <w:rFonts w:ascii="Times New Roman" w:eastAsia="Aptos" w:hAnsi="Times New Roman" w:cs="Times New Roman"/>
          <w:b/>
          <w:noProof/>
          <w:color w:val="000000" w:themeColor="text1"/>
          <w:sz w:val="24"/>
          <w:szCs w:val="24"/>
          <w:u w:val="single"/>
        </w:rPr>
      </w:pPr>
      <w:r>
        <w:rPr>
          <w:rFonts w:ascii="Times New Roman" w:hAnsi="Times New Roman"/>
          <w:b/>
          <w:noProof/>
          <w:color w:val="000000" w:themeColor="text1"/>
          <w:sz w:val="24"/>
          <w:u w:val="single"/>
        </w:rPr>
        <w:t>Action nº 1: réduire au niveau minimal de l’UE les taxes et prélèvements sur l’électricité pour les ménages</w:t>
      </w:r>
    </w:p>
    <w:p w14:paraId="554D759F" w14:textId="01BC02E0" w:rsidR="001358EC" w:rsidRDefault="00B36EFE">
      <w:pPr>
        <w:spacing w:line="240" w:lineRule="auto"/>
        <w:jc w:val="both"/>
        <w:rPr>
          <w:rFonts w:ascii="Times New Roman" w:eastAsia="Aptos" w:hAnsi="Times New Roman" w:cs="Times New Roman"/>
          <w:noProof/>
          <w:sz w:val="24"/>
          <w:szCs w:val="24"/>
        </w:rPr>
      </w:pPr>
      <w:r>
        <w:rPr>
          <w:rFonts w:ascii="Times New Roman" w:hAnsi="Times New Roman"/>
          <w:b/>
          <w:noProof/>
          <w:sz w:val="24"/>
          <w:lang w:val="en-GB" w:eastAsia="en-GB"/>
        </w:rPr>
        <mc:AlternateContent>
          <mc:Choice Requires="wps">
            <w:drawing>
              <wp:anchor distT="45720" distB="45720" distL="114300" distR="114300" simplePos="0" relativeHeight="251658241" behindDoc="0" locked="0" layoutInCell="1" allowOverlap="1" wp14:anchorId="42DB414D" wp14:editId="7064FAF7">
                <wp:simplePos x="0" y="0"/>
                <wp:positionH relativeFrom="margin">
                  <wp:posOffset>99060</wp:posOffset>
                </wp:positionH>
                <wp:positionV relativeFrom="paragraph">
                  <wp:posOffset>67310</wp:posOffset>
                </wp:positionV>
                <wp:extent cx="3479800" cy="2514600"/>
                <wp:effectExtent l="0" t="0" r="25400" b="19050"/>
                <wp:wrapSquare wrapText="bothSides"/>
                <wp:docPr id="15240336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0" cy="2514600"/>
                        </a:xfrm>
                        <a:prstGeom prst="rect">
                          <a:avLst/>
                        </a:prstGeom>
                        <a:solidFill>
                          <a:srgbClr val="FFFFFF"/>
                        </a:solidFill>
                        <a:ln w="9525">
                          <a:solidFill>
                            <a:srgbClr val="000000"/>
                          </a:solidFill>
                          <a:miter lim="800000"/>
                          <a:headEnd/>
                          <a:tailEnd/>
                        </a:ln>
                      </wps:spPr>
                      <wps:txbx>
                        <w:txbxContent>
                          <w:p w14:paraId="266AE179" w14:textId="77777777" w:rsidR="001358EC" w:rsidRDefault="00B36EFE">
                            <w:pPr>
                              <w:spacing w:line="240" w:lineRule="auto"/>
                              <w:jc w:val="center"/>
                              <w:rPr>
                                <w:rFonts w:ascii="Times New Roman" w:eastAsia="Aptos" w:hAnsi="Times New Roman" w:cs="Times New Roman"/>
                                <w:sz w:val="20"/>
                                <w:szCs w:val="20"/>
                              </w:rPr>
                            </w:pPr>
                            <w:r>
                              <w:rPr>
                                <w:noProof/>
                                <w:lang w:val="en-GB" w:eastAsia="en-GB"/>
                              </w:rPr>
                              <w:drawing>
                                <wp:inline distT="0" distB="0" distL="0" distR="0" wp14:anchorId="5E8CEABC" wp14:editId="5F161566">
                                  <wp:extent cx="3517180" cy="1987550"/>
                                  <wp:effectExtent l="0" t="0" r="7620" b="0"/>
                                  <wp:docPr id="496041527" name="Picture 1" descr="Graphique reprenant des chiffres et des nombres de personnes.&#10;&#10;Le contenu généré par 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041527" name="Picture 1" descr="A graph of numbers and a number of people&#10;&#10;AI-generated content may be incorrect."/>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3544099" cy="2002762"/>
                                          </a:xfrm>
                                          <a:prstGeom prst="rect">
                                            <a:avLst/>
                                          </a:prstGeom>
                                        </pic:spPr>
                                      </pic:pic>
                                    </a:graphicData>
                                  </a:graphic>
                                </wp:inline>
                              </w:drawing>
                            </w:r>
                          </w:p>
                          <w:p w14:paraId="6D58A78F" w14:textId="77777777" w:rsidR="001358EC" w:rsidRDefault="00B36EFE">
                            <w:pPr>
                              <w:spacing w:line="240" w:lineRule="auto"/>
                              <w:jc w:val="center"/>
                              <w:rPr>
                                <w:rFonts w:ascii="Times New Roman" w:eastAsia="Aptos" w:hAnsi="Times New Roman" w:cs="Times New Roman"/>
                                <w:i/>
                                <w:iCs/>
                                <w:sz w:val="20"/>
                                <w:szCs w:val="20"/>
                              </w:rPr>
                            </w:pPr>
                            <w:r>
                              <w:rPr>
                                <w:rFonts w:ascii="Times New Roman" w:hAnsi="Times New Roman"/>
                                <w:i/>
                                <w:sz w:val="20"/>
                              </w:rPr>
                              <w:t>Figure 2. Composantes du prix de l’électricité pour les ménages moyens de l’UE (2019-2024). Source: Eurostat.</w:t>
                            </w:r>
                          </w:p>
                          <w:p w14:paraId="7D211986" w14:textId="77777777" w:rsidR="001358EC" w:rsidRDefault="001358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DB414D" id="_x0000_s1027" type="#_x0000_t202" style="position:absolute;left:0;text-align:left;margin-left:7.8pt;margin-top:5.3pt;width:274pt;height:198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">
                <v:textbox>
                  <w:txbxContent>
                    <w:p w14:paraId="266AE179" w14:textId="77777777" w:rsidR="001358EC" w:rsidRDefault="00B36EFE">
                      <w:pPr>
                        <w:spacing w:line="240" w:lineRule="auto"/>
                        <w:jc w:val="center"/>
                        <w:rPr>
                          <w:rFonts w:ascii="Times New Roman" w:eastAsia="Aptos" w:hAnsi="Times New Roman" w:cs="Times New Roman"/>
                          <w:sz w:val="20"/>
                          <w:szCs w:val="20"/>
                        </w:rPr>
                      </w:pPr>
                      <w:r>
                        <w:rPr>
                          <w:noProof/>
                          <w:lang w:val="en-GB" w:eastAsia="en-GB"/>
                        </w:rPr>
                        <w:drawing>
                          <wp:inline distT="0" distB="0" distL="0" distR="0" wp14:anchorId="5E8CEABC" wp14:editId="5F161566">
                            <wp:extent cx="3517180" cy="1987550"/>
                            <wp:effectExtent l="0" t="0" r="7620" b="0"/>
                            <wp:docPr id="496041527" name="Picture 1" descr="Graphique reprenant des chiffres et des nombres de personnes.&#10;&#10;Le contenu généré par 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041527" name="Picture 1" descr="A graph of numbers and a number of people&#10;&#10;AI-generated content may be incorrect."/>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3544099" cy="2002762"/>
                                    </a:xfrm>
                                    <a:prstGeom prst="rect">
                                      <a:avLst/>
                                    </a:prstGeom>
                                  </pic:spPr>
                                </pic:pic>
                              </a:graphicData>
                            </a:graphic>
                          </wp:inline>
                        </w:drawing>
                      </w:r>
                    </w:p>
                    <w:p w14:paraId="6D58A78F" w14:textId="77777777" w:rsidR="001358EC" w:rsidRDefault="00B36EFE">
                      <w:pPr>
                        <w:spacing w:line="240" w:lineRule="auto"/>
                        <w:jc w:val="center"/>
                        <w:rPr>
                          <w:rFonts w:ascii="Times New Roman" w:eastAsia="Aptos" w:hAnsi="Times New Roman" w:cs="Times New Roman"/>
                          <w:i/>
                          <w:iCs/>
                          <w:sz w:val="20"/>
                          <w:szCs w:val="20"/>
                        </w:rPr>
                      </w:pPr>
                      <w:r>
                        <w:rPr>
                          <w:rFonts w:ascii="Times New Roman" w:hAnsi="Times New Roman"/>
                          <w:i/>
                          <w:sz w:val="20"/>
                        </w:rPr>
                        <w:t>Figure 2. Composantes du prix de l’électricité pour les ménages moyens de l’UE (2019-2024). Source: Eurostat.</w:t>
                      </w:r>
                    </w:p>
                    <w:p w14:paraId="7D211986" w14:textId="77777777" w:rsidR="001358EC" w:rsidRDefault="001358EC"/>
                  </w:txbxContent>
                </v:textbox>
                <w10:wrap type="square" anchorx="margin"/>
              </v:shape>
            </w:pict>
          </mc:Fallback>
        </mc:AlternateContent>
      </w:r>
      <w:r>
        <w:rPr>
          <w:rFonts w:ascii="Times New Roman" w:hAnsi="Times New Roman"/>
          <w:b/>
          <w:noProof/>
          <w:sz w:val="24"/>
        </w:rPr>
        <w:t>Les taxes et prélèvements sur l’électricité représentent, en moyenne, 25 % du prix pour les ménages et 15 % du prix pour les entreprises.</w:t>
      </w:r>
      <w:r>
        <w:rPr>
          <w:rFonts w:ascii="Times New Roman" w:hAnsi="Times New Roman"/>
          <w:noProof/>
          <w:sz w:val="24"/>
        </w:rPr>
        <w:t xml:space="preserve"> Les États membres peuvent diminuer les taxes et les prélèvements nationaux sur l’énergie, y compris les taxes ou prélèvements supplémentaires sans lien avec l’énergie (par exemple, les redevances de radiodiffusion publique ajoutées aux factures d’électricité</w:t>
      </w:r>
      <w:r>
        <w:rPr>
          <w:rStyle w:val="FootnoteReference"/>
          <w:rFonts w:ascii="Times New Roman" w:eastAsia="Aptos" w:hAnsi="Times New Roman" w:cs="Times New Roman"/>
          <w:noProof/>
          <w:sz w:val="24"/>
          <w:szCs w:val="24"/>
          <w:lang w:val="en-IE"/>
        </w:rPr>
        <w:footnoteReference w:id="4"/>
      </w:r>
      <w:r>
        <w:rPr>
          <w:rFonts w:ascii="Times New Roman" w:hAnsi="Times New Roman"/>
          <w:noProof/>
          <w:sz w:val="24"/>
        </w:rPr>
        <w:t xml:space="preserve">). La suppression des coûts non liés sur les factures d’électricité profite à tous les citoyens, en particulier aux ménages vulnérables. </w:t>
      </w:r>
    </w:p>
    <w:p w14:paraId="17A62BAE" w14:textId="77777777" w:rsidR="001358EC" w:rsidRDefault="00B36EFE">
      <w:pPr>
        <w:spacing w:line="240" w:lineRule="auto"/>
        <w:jc w:val="both"/>
        <w:rPr>
          <w:rFonts w:ascii="Times New Roman" w:eastAsia="Aptos" w:hAnsi="Times New Roman" w:cs="Times New Roman"/>
          <w:noProof/>
          <w:sz w:val="24"/>
          <w:szCs w:val="24"/>
        </w:rPr>
      </w:pPr>
      <w:r>
        <w:rPr>
          <w:rFonts w:ascii="Times New Roman" w:hAnsi="Times New Roman"/>
          <w:noProof/>
          <w:sz w:val="24"/>
        </w:rPr>
        <w:t>Certains États membres</w:t>
      </w:r>
      <w:r>
        <w:rPr>
          <w:rFonts w:ascii="Times New Roman" w:hAnsi="Times New Roman" w:cs="Times New Roman"/>
          <w:noProof/>
          <w:vertAlign w:val="superscript"/>
        </w:rPr>
        <w:footnoteReference w:id="5"/>
      </w:r>
      <w:r>
        <w:rPr>
          <w:rFonts w:ascii="Times New Roman" w:hAnsi="Times New Roman"/>
          <w:noProof/>
          <w:sz w:val="24"/>
        </w:rPr>
        <w:t xml:space="preserve"> ont baissé, ou sont en train de réduire, le taux d’imposition des industries grandes consommatrices d’énergie. La réduction de la taxation s’est également révélée efficace pour limiter temporairement les factures d’énergie pendant la crise énergétique, en particulier lorsque le prix de détail de l’électricité était nettement plus élevé que celui du gaz. En vertu de la directive sur la taxation de l’énergie et de la directive TVA en vigueur, les États membres ont toute latitude pour réduire les taux minimaux d’accise et la TVA sur les prix de l’électricité. Cela aurait un effet immédiat sur les prix de l’électricité et contribuerait également à accélérer l’électrification des utilisations finales. </w:t>
      </w:r>
    </w:p>
    <w:p w14:paraId="5CE680A9" w14:textId="77777777" w:rsidR="001358EC" w:rsidRPr="0034630B" w:rsidRDefault="001358EC">
      <w:pPr>
        <w:spacing w:after="0" w:line="240" w:lineRule="auto"/>
        <w:jc w:val="both"/>
        <w:rPr>
          <w:rFonts w:ascii="Times New Roman" w:eastAsia="Aptos" w:hAnsi="Times New Roman" w:cs="Times New Roman"/>
          <w:noProof/>
          <w:sz w:val="24"/>
          <w:szCs w:val="24"/>
        </w:rPr>
      </w:pPr>
    </w:p>
    <w:tbl>
      <w:tblPr>
        <w:tblStyle w:val="TableGridLight"/>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03"/>
        <w:gridCol w:w="8016"/>
      </w:tblGrid>
      <w:tr w:rsidR="001358EC" w14:paraId="597F8108" w14:textId="77777777">
        <w:trPr>
          <w:trHeight w:val="300"/>
        </w:trPr>
        <w:tc>
          <w:tcPr>
            <w:tcW w:w="990" w:type="dxa"/>
            <w:tcMar>
              <w:left w:w="108" w:type="dxa"/>
              <w:right w:w="108" w:type="dxa"/>
            </w:tcMar>
            <w:vAlign w:val="center"/>
          </w:tcPr>
          <w:p w14:paraId="11E2B40E" w14:textId="77777777" w:rsidR="001358EC" w:rsidRDefault="00B36EFE">
            <w:pPr>
              <w:spacing w:before="60" w:after="60"/>
              <w:rPr>
                <w:rFonts w:ascii="Times New Roman" w:eastAsia="Aptos" w:hAnsi="Times New Roman" w:cs="Times New Roman"/>
                <w:bCs/>
                <w:noProof/>
                <w:sz w:val="24"/>
                <w:szCs w:val="24"/>
              </w:rPr>
            </w:pPr>
            <w:r>
              <w:rPr>
                <w:rFonts w:ascii="Times New Roman" w:hAnsi="Times New Roman"/>
                <w:noProof/>
                <w:sz w:val="24"/>
              </w:rPr>
              <w:t xml:space="preserve">Objectif </w:t>
            </w:r>
          </w:p>
        </w:tc>
        <w:tc>
          <w:tcPr>
            <w:tcW w:w="8016" w:type="dxa"/>
            <w:tcMar>
              <w:left w:w="108" w:type="dxa"/>
              <w:right w:w="108" w:type="dxa"/>
            </w:tcMar>
          </w:tcPr>
          <w:p w14:paraId="41223CB3" w14:textId="77777777" w:rsidR="001358EC" w:rsidRDefault="00B36EFE">
            <w:pPr>
              <w:spacing w:before="60" w:after="60"/>
              <w:rPr>
                <w:rFonts w:ascii="Times New Roman" w:eastAsia="Aptos" w:hAnsi="Times New Roman" w:cs="Times New Roman"/>
                <w:b/>
                <w:bCs/>
                <w:noProof/>
                <w:sz w:val="24"/>
                <w:szCs w:val="24"/>
              </w:rPr>
            </w:pPr>
            <w:r>
              <w:rPr>
                <w:rFonts w:ascii="Times New Roman" w:hAnsi="Times New Roman"/>
                <w:b/>
                <w:noProof/>
                <w:sz w:val="24"/>
              </w:rPr>
              <w:t xml:space="preserve">Réduire les factures d’électricité des consommateurs et soutenir l’électrification </w:t>
            </w:r>
          </w:p>
        </w:tc>
      </w:tr>
      <w:tr w:rsidR="001358EC" w14:paraId="1A902E0A" w14:textId="77777777">
        <w:trPr>
          <w:trHeight w:val="300"/>
        </w:trPr>
        <w:tc>
          <w:tcPr>
            <w:tcW w:w="990" w:type="dxa"/>
            <w:tcMar>
              <w:left w:w="108" w:type="dxa"/>
              <w:right w:w="108" w:type="dxa"/>
            </w:tcMar>
            <w:vAlign w:val="center"/>
          </w:tcPr>
          <w:p w14:paraId="0B86003A" w14:textId="77777777" w:rsidR="001358EC" w:rsidRDefault="00B36EFE">
            <w:pPr>
              <w:spacing w:before="60" w:after="60"/>
              <w:rPr>
                <w:rFonts w:ascii="Times New Roman" w:eastAsia="Aptos" w:hAnsi="Times New Roman" w:cs="Times New Roman"/>
                <w:bCs/>
                <w:noProof/>
                <w:sz w:val="24"/>
                <w:szCs w:val="24"/>
              </w:rPr>
            </w:pPr>
            <w:r>
              <w:rPr>
                <w:rFonts w:ascii="Times New Roman" w:hAnsi="Times New Roman"/>
                <w:noProof/>
                <w:sz w:val="24"/>
              </w:rPr>
              <w:t>Résultat</w:t>
            </w:r>
          </w:p>
        </w:tc>
        <w:tc>
          <w:tcPr>
            <w:tcW w:w="8016" w:type="dxa"/>
            <w:tcMar>
              <w:left w:w="108" w:type="dxa"/>
              <w:right w:w="108" w:type="dxa"/>
            </w:tcMar>
            <w:vAlign w:val="center"/>
          </w:tcPr>
          <w:p w14:paraId="2EC36F43" w14:textId="77777777" w:rsidR="001358EC" w:rsidRDefault="00B36EFE">
            <w:pPr>
              <w:spacing w:before="60" w:after="60"/>
              <w:rPr>
                <w:rFonts w:ascii="Times New Roman" w:eastAsia="Aptos" w:hAnsi="Times New Roman" w:cs="Times New Roman"/>
                <w:b/>
                <w:bCs/>
                <w:noProof/>
                <w:sz w:val="24"/>
                <w:szCs w:val="24"/>
              </w:rPr>
            </w:pPr>
            <w:r>
              <w:rPr>
                <w:rFonts w:ascii="Times New Roman" w:hAnsi="Times New Roman"/>
                <w:noProof/>
                <w:sz w:val="24"/>
              </w:rPr>
              <w:t xml:space="preserve">Les factures des citoyens pourraient être </w:t>
            </w:r>
            <w:r>
              <w:rPr>
                <w:rFonts w:ascii="Times New Roman" w:hAnsi="Times New Roman"/>
                <w:b/>
                <w:noProof/>
                <w:sz w:val="24"/>
              </w:rPr>
              <w:t>réduites de 14 %</w:t>
            </w:r>
            <w:r>
              <w:rPr>
                <w:rFonts w:ascii="Times New Roman" w:hAnsi="Times New Roman"/>
                <w:noProof/>
                <w:sz w:val="24"/>
              </w:rPr>
              <w:t xml:space="preserve">, soit une </w:t>
            </w:r>
            <w:r>
              <w:rPr>
                <w:rFonts w:ascii="Times New Roman" w:hAnsi="Times New Roman"/>
                <w:b/>
                <w:noProof/>
                <w:sz w:val="24"/>
              </w:rPr>
              <w:t>moyenne de 200 EUR par an</w:t>
            </w:r>
            <w:r>
              <w:rPr>
                <w:rFonts w:ascii="Times New Roman" w:hAnsi="Times New Roman"/>
                <w:noProof/>
                <w:sz w:val="24"/>
              </w:rPr>
              <w:t>.</w:t>
            </w:r>
          </w:p>
        </w:tc>
      </w:tr>
      <w:tr w:rsidR="001358EC" w14:paraId="16A606C4" w14:textId="77777777">
        <w:trPr>
          <w:trHeight w:val="300"/>
        </w:trPr>
        <w:tc>
          <w:tcPr>
            <w:tcW w:w="990" w:type="dxa"/>
            <w:tcMar>
              <w:left w:w="108" w:type="dxa"/>
              <w:right w:w="108" w:type="dxa"/>
            </w:tcMar>
            <w:vAlign w:val="center"/>
          </w:tcPr>
          <w:p w14:paraId="2843012A" w14:textId="77777777" w:rsidR="001358EC" w:rsidRDefault="00B36EFE">
            <w:pPr>
              <w:spacing w:before="60" w:after="60"/>
              <w:rPr>
                <w:rFonts w:ascii="Times New Roman" w:eastAsia="Aptos" w:hAnsi="Times New Roman" w:cs="Times New Roman"/>
                <w:bCs/>
                <w:noProof/>
                <w:sz w:val="24"/>
                <w:szCs w:val="24"/>
              </w:rPr>
            </w:pPr>
            <w:r>
              <w:rPr>
                <w:rFonts w:ascii="Times New Roman" w:hAnsi="Times New Roman"/>
                <w:noProof/>
                <w:sz w:val="24"/>
              </w:rPr>
              <w:t>Moyens</w:t>
            </w:r>
          </w:p>
        </w:tc>
        <w:tc>
          <w:tcPr>
            <w:tcW w:w="8016" w:type="dxa"/>
            <w:tcMar>
              <w:left w:w="108" w:type="dxa"/>
              <w:right w:w="108" w:type="dxa"/>
            </w:tcMar>
          </w:tcPr>
          <w:p w14:paraId="2D905F55" w14:textId="77777777" w:rsidR="001358EC" w:rsidRDefault="00B36EFE">
            <w:pPr>
              <w:spacing w:before="60" w:after="60"/>
              <w:rPr>
                <w:rFonts w:ascii="Times New Roman" w:eastAsia="Aptos" w:hAnsi="Times New Roman" w:cs="Times New Roman"/>
                <w:noProof/>
                <w:sz w:val="24"/>
                <w:szCs w:val="24"/>
              </w:rPr>
            </w:pPr>
            <w:r>
              <w:rPr>
                <w:rFonts w:ascii="Times New Roman" w:hAnsi="Times New Roman"/>
                <w:noProof/>
                <w:sz w:val="24"/>
              </w:rPr>
              <w:t>Les États membres doivent contribuer à réduire les factures d’électricité des ménages en procédant à des</w:t>
            </w:r>
            <w:r>
              <w:rPr>
                <w:rFonts w:ascii="Times New Roman" w:hAnsi="Times New Roman"/>
                <w:b/>
                <w:noProof/>
                <w:sz w:val="24"/>
              </w:rPr>
              <w:t xml:space="preserve"> révisions fiscales</w:t>
            </w:r>
            <w:r>
              <w:rPr>
                <w:rFonts w:ascii="Times New Roman" w:hAnsi="Times New Roman"/>
                <w:noProof/>
                <w:sz w:val="24"/>
              </w:rPr>
              <w:t xml:space="preserve"> et en tirant pleinement parti des </w:t>
            </w:r>
            <w:r>
              <w:rPr>
                <w:rFonts w:ascii="Times New Roman" w:hAnsi="Times New Roman"/>
                <w:b/>
                <w:bCs/>
                <w:noProof/>
                <w:sz w:val="24"/>
              </w:rPr>
              <w:t>flexibilités</w:t>
            </w:r>
            <w:r>
              <w:rPr>
                <w:rFonts w:ascii="Times New Roman" w:hAnsi="Times New Roman"/>
                <w:noProof/>
                <w:sz w:val="24"/>
              </w:rPr>
              <w:t xml:space="preserve"> de la législation de l’UE, et en envisageant des </w:t>
            </w:r>
            <w:r>
              <w:rPr>
                <w:rFonts w:ascii="Times New Roman" w:hAnsi="Times New Roman"/>
                <w:b/>
                <w:noProof/>
                <w:sz w:val="24"/>
              </w:rPr>
              <w:t xml:space="preserve">réductions ciblées, totales ou partielles, des taux d’accise </w:t>
            </w:r>
            <w:r>
              <w:rPr>
                <w:rFonts w:ascii="Times New Roman" w:hAnsi="Times New Roman"/>
                <w:noProof/>
                <w:sz w:val="24"/>
              </w:rPr>
              <w:t>sur l’électricité, par exemple pour les ménages vulnérables et en situation de précarité énergétique.</w:t>
            </w:r>
            <w:r>
              <w:rPr>
                <w:rFonts w:ascii="Times New Roman" w:hAnsi="Times New Roman"/>
                <w:b/>
                <w:i/>
                <w:noProof/>
                <w:sz w:val="24"/>
              </w:rPr>
              <w:t xml:space="preserve"> </w:t>
            </w:r>
          </w:p>
        </w:tc>
      </w:tr>
    </w:tbl>
    <w:p w14:paraId="7A5E3A3B" w14:textId="77777777" w:rsidR="001358EC" w:rsidRPr="0034630B" w:rsidRDefault="001358EC">
      <w:pPr>
        <w:rPr>
          <w:rFonts w:ascii="Times New Roman" w:eastAsia="Times New Roman" w:hAnsi="Times New Roman" w:cs="Times New Roman"/>
          <w:b/>
          <w:bCs/>
          <w:noProof/>
          <w:color w:val="000000" w:themeColor="text1"/>
          <w:sz w:val="24"/>
          <w:szCs w:val="24"/>
          <w:u w:val="single"/>
        </w:rPr>
      </w:pPr>
    </w:p>
    <w:p w14:paraId="0BECF002" w14:textId="77777777" w:rsidR="001358EC" w:rsidRDefault="00B36EFE">
      <w:pPr>
        <w:rPr>
          <w:rFonts w:ascii="Times New Roman" w:eastAsia="Times New Roman" w:hAnsi="Times New Roman" w:cs="Times New Roman"/>
          <w:b/>
          <w:bCs/>
          <w:noProof/>
          <w:color w:val="000000" w:themeColor="text1"/>
          <w:sz w:val="24"/>
          <w:szCs w:val="24"/>
          <w:u w:val="single"/>
        </w:rPr>
      </w:pPr>
      <w:r>
        <w:rPr>
          <w:rFonts w:ascii="Times New Roman" w:hAnsi="Times New Roman"/>
          <w:b/>
          <w:noProof/>
          <w:color w:val="000000" w:themeColor="text1"/>
          <w:sz w:val="24"/>
          <w:u w:val="single"/>
        </w:rPr>
        <w:t xml:space="preserve">Action nº 2: réduire les coûts de réseau pour les consommateurs locaux </w:t>
      </w:r>
    </w:p>
    <w:p w14:paraId="1BC038E6" w14:textId="24C70F56" w:rsidR="001358EC" w:rsidRDefault="00B36EFE">
      <w:pPr>
        <w:spacing w:after="120" w:line="240" w:lineRule="auto"/>
        <w:jc w:val="both"/>
        <w:rPr>
          <w:rFonts w:ascii="Times New Roman" w:hAnsi="Times New Roman" w:cs="Times New Roman"/>
          <w:noProof/>
          <w:sz w:val="24"/>
          <w:szCs w:val="24"/>
        </w:rPr>
      </w:pPr>
      <w:r>
        <w:rPr>
          <w:rFonts w:ascii="Times New Roman" w:hAnsi="Times New Roman"/>
          <w:noProof/>
          <w:sz w:val="24"/>
        </w:rPr>
        <w:t>Les consommateurs paient des</w:t>
      </w:r>
      <w:r>
        <w:rPr>
          <w:rFonts w:ascii="Times New Roman" w:hAnsi="Times New Roman"/>
          <w:b/>
          <w:noProof/>
          <w:sz w:val="24"/>
        </w:rPr>
        <w:t xml:space="preserve"> tarifs de réseau</w:t>
      </w:r>
      <w:r>
        <w:rPr>
          <w:rFonts w:ascii="Times New Roman" w:hAnsi="Times New Roman"/>
          <w:noProof/>
          <w:sz w:val="24"/>
        </w:rPr>
        <w:t xml:space="preserve"> pour couvrir le coût du transport de l’énergie jusqu’à leur domicile. Ce coût représente </w:t>
      </w:r>
      <w:r>
        <w:rPr>
          <w:rFonts w:ascii="Times New Roman" w:hAnsi="Times New Roman"/>
          <w:b/>
          <w:noProof/>
          <w:sz w:val="24"/>
        </w:rPr>
        <w:t>entre un quart et un tiers des prix de l’électricité</w:t>
      </w:r>
      <w:r>
        <w:rPr>
          <w:rFonts w:ascii="Times New Roman" w:hAnsi="Times New Roman"/>
          <w:noProof/>
          <w:sz w:val="24"/>
        </w:rPr>
        <w:t xml:space="preserve"> et est déterminant pour l’accessibilité financière de l’énergie. La législation de l’UE protège les consommateurs en imposant que les gestionnaires de réseau ne répercutent que des redevances qui reflètent les coûts, qui sont transparentes, qui tiennent compte de la nécessité de garantir la sécurité et la flexibilité du réseau et qui correspondent aux coûts réels supportés</w:t>
      </w:r>
      <w:r>
        <w:rPr>
          <w:rStyle w:val="FootnoteReference"/>
          <w:rFonts w:ascii="Times New Roman" w:hAnsi="Times New Roman" w:cs="Times New Roman"/>
          <w:noProof/>
          <w:sz w:val="24"/>
          <w:szCs w:val="24"/>
          <w:lang w:val="en-IE"/>
        </w:rPr>
        <w:footnoteReference w:id="6"/>
      </w:r>
      <w:r>
        <w:rPr>
          <w:rFonts w:ascii="Times New Roman" w:hAnsi="Times New Roman"/>
          <w:noProof/>
          <w:sz w:val="24"/>
        </w:rPr>
        <w:t xml:space="preserve">. Les tarifs, et les coûts qui y sont associés, sont soumis à l’approbation d’autorités réglementaires nationales indépendantes. </w:t>
      </w:r>
    </w:p>
    <w:p w14:paraId="38537D90" w14:textId="77777777" w:rsidR="001358EC" w:rsidRDefault="00B36EFE">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Les communautés énergétiques qui produisent de l’énergie pour leur propre consommation ou qui partagent de l’énergie avec leurs voisins peuvent contribuer à réduire l’utilisation des réseaux locaux et à éviter les investissements dans des infrastructures supplémentaires. L’intégration, dans les tarifs de réseau, de mécanismes de valorisation de la flexibilité qui réduisent la facture énergétique des communautés énergétiques et des citoyens partageant leur énergie encouragerait la production et la consommation locales d’énergie et bénéficierait à tous les utilisateurs du réseau.</w:t>
      </w:r>
    </w:p>
    <w:p w14:paraId="7604C504" w14:textId="77777777" w:rsidR="001358EC" w:rsidRDefault="00B36EFE">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2025, la Commission a publié des </w:t>
      </w:r>
      <w:r>
        <w:rPr>
          <w:rFonts w:ascii="Times New Roman" w:hAnsi="Times New Roman"/>
          <w:b/>
          <w:noProof/>
          <w:sz w:val="24"/>
        </w:rPr>
        <w:t>orientations sur les tarifs d’accès au réseau</w:t>
      </w:r>
      <w:r>
        <w:rPr>
          <w:rStyle w:val="FootnoteReference"/>
          <w:rFonts w:ascii="Times New Roman" w:eastAsia="Times New Roman" w:hAnsi="Times New Roman" w:cs="Times New Roman"/>
          <w:noProof/>
          <w:sz w:val="24"/>
          <w:szCs w:val="24"/>
          <w:lang w:val="en-GB"/>
        </w:rPr>
        <w:footnoteReference w:id="7"/>
      </w:r>
      <w:r>
        <w:rPr>
          <w:rFonts w:ascii="Times New Roman" w:hAnsi="Times New Roman"/>
          <w:noProof/>
          <w:sz w:val="24"/>
        </w:rPr>
        <w:t xml:space="preserve"> afin d’aider les autorités de régulation nationales à maintenir les redevances d’accès, et par conséquent les factures des consommateurs, à un niveau bas. La mise en œuvre rapide de ces orientations contribuera à réduire les redevances de réseau pour tous les consommateurs. La Commission encourage les autorités de régulation à appliquer une approche rigoureuse lors de l’évaluation des coûts/recettes et à tenir pleinement compte de la flexibilité potentielle et de la participation active de la demande pour remplacer les investissements coûteux dans les infrastructures. Dans le prolongement des orientations sur les tarifs de réseau, la Commission collaborera avec les autorités de régulation nationales pour accélérer la transition énergétique, notamment en récompensant les effets positifs des communautés énergétiques et du partage de l’énergie.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7853"/>
      </w:tblGrid>
      <w:tr w:rsidR="001358EC" w14:paraId="775D164A" w14:textId="77777777">
        <w:tc>
          <w:tcPr>
            <w:tcW w:w="1163" w:type="dxa"/>
            <w:vAlign w:val="center"/>
          </w:tcPr>
          <w:p w14:paraId="30072423" w14:textId="77777777" w:rsidR="001358EC" w:rsidRDefault="00B36EFE">
            <w:pPr>
              <w:jc w:val="both"/>
              <w:rPr>
                <w:rFonts w:ascii="Times New Roman" w:eastAsia="Times New Roman" w:hAnsi="Times New Roman" w:cs="Times New Roman"/>
                <w:noProof/>
                <w:sz w:val="24"/>
                <w:szCs w:val="24"/>
              </w:rPr>
            </w:pPr>
            <w:r>
              <w:rPr>
                <w:rFonts w:ascii="Times New Roman" w:hAnsi="Times New Roman"/>
                <w:noProof/>
                <w:sz w:val="24"/>
              </w:rPr>
              <w:t xml:space="preserve">Objectif </w:t>
            </w:r>
          </w:p>
        </w:tc>
        <w:tc>
          <w:tcPr>
            <w:tcW w:w="7853" w:type="dxa"/>
          </w:tcPr>
          <w:p w14:paraId="1D022BF5" w14:textId="77777777" w:rsidR="001358EC" w:rsidRDefault="00B36EFE">
            <w:pPr>
              <w:jc w:val="both"/>
              <w:rPr>
                <w:rFonts w:ascii="Times New Roman" w:eastAsia="Times New Roman" w:hAnsi="Times New Roman" w:cs="Times New Roman"/>
                <w:noProof/>
                <w:sz w:val="24"/>
                <w:szCs w:val="24"/>
              </w:rPr>
            </w:pPr>
            <w:r>
              <w:rPr>
                <w:rFonts w:ascii="Times New Roman" w:hAnsi="Times New Roman"/>
                <w:b/>
                <w:noProof/>
                <w:sz w:val="24"/>
              </w:rPr>
              <w:t>Réduire les tarifs de réseau pour les consommateurs</w:t>
            </w:r>
          </w:p>
        </w:tc>
      </w:tr>
      <w:tr w:rsidR="001358EC" w14:paraId="22C3F58C" w14:textId="77777777">
        <w:tc>
          <w:tcPr>
            <w:tcW w:w="1163" w:type="dxa"/>
            <w:vAlign w:val="center"/>
          </w:tcPr>
          <w:p w14:paraId="492D0F3E" w14:textId="77777777" w:rsidR="001358EC" w:rsidRDefault="00B36EFE">
            <w:pPr>
              <w:jc w:val="both"/>
              <w:rPr>
                <w:rFonts w:ascii="Times New Roman" w:eastAsia="Times New Roman" w:hAnsi="Times New Roman" w:cs="Times New Roman"/>
                <w:noProof/>
                <w:sz w:val="24"/>
                <w:szCs w:val="24"/>
              </w:rPr>
            </w:pPr>
            <w:r>
              <w:rPr>
                <w:rFonts w:ascii="Times New Roman" w:hAnsi="Times New Roman"/>
                <w:noProof/>
                <w:sz w:val="24"/>
              </w:rPr>
              <w:t>Résultat</w:t>
            </w:r>
          </w:p>
        </w:tc>
        <w:tc>
          <w:tcPr>
            <w:tcW w:w="7853" w:type="dxa"/>
          </w:tcPr>
          <w:p w14:paraId="60AE88D3" w14:textId="77777777" w:rsidR="001358EC" w:rsidRDefault="00B36EFE">
            <w:pPr>
              <w:jc w:val="both"/>
              <w:rPr>
                <w:rFonts w:ascii="Times New Roman" w:eastAsia="Times New Roman" w:hAnsi="Times New Roman" w:cs="Times New Roman"/>
                <w:noProof/>
                <w:sz w:val="24"/>
                <w:szCs w:val="24"/>
              </w:rPr>
            </w:pPr>
            <w:r>
              <w:rPr>
                <w:rFonts w:ascii="Times New Roman" w:hAnsi="Times New Roman"/>
                <w:noProof/>
                <w:sz w:val="24"/>
              </w:rPr>
              <w:t xml:space="preserve">Une consommation flexible et une production et une consommation flexibles d’électricité locale permettant une </w:t>
            </w:r>
            <w:r>
              <w:rPr>
                <w:rFonts w:ascii="Times New Roman" w:hAnsi="Times New Roman"/>
                <w:b/>
                <w:noProof/>
                <w:sz w:val="24"/>
              </w:rPr>
              <w:t>baisse des besoins d’investissement</w:t>
            </w:r>
            <w:r>
              <w:rPr>
                <w:rFonts w:ascii="Times New Roman" w:hAnsi="Times New Roman"/>
                <w:noProof/>
                <w:sz w:val="24"/>
              </w:rPr>
              <w:t xml:space="preserve"> dans le réseau et une </w:t>
            </w:r>
            <w:r>
              <w:rPr>
                <w:rFonts w:ascii="Times New Roman" w:hAnsi="Times New Roman"/>
                <w:b/>
                <w:noProof/>
                <w:sz w:val="24"/>
              </w:rPr>
              <w:t>exploitation plus efficace</w:t>
            </w:r>
            <w:r>
              <w:rPr>
                <w:rFonts w:ascii="Times New Roman" w:hAnsi="Times New Roman"/>
                <w:noProof/>
                <w:sz w:val="24"/>
              </w:rPr>
              <w:t>.</w:t>
            </w:r>
          </w:p>
        </w:tc>
      </w:tr>
      <w:tr w:rsidR="001358EC" w14:paraId="1A01170B" w14:textId="77777777">
        <w:tc>
          <w:tcPr>
            <w:tcW w:w="1163" w:type="dxa"/>
            <w:vAlign w:val="center"/>
          </w:tcPr>
          <w:p w14:paraId="52AFCF1B" w14:textId="77777777" w:rsidR="001358EC" w:rsidRDefault="00B36EFE">
            <w:pPr>
              <w:jc w:val="both"/>
              <w:rPr>
                <w:rFonts w:ascii="Times New Roman" w:eastAsia="Times New Roman" w:hAnsi="Times New Roman" w:cs="Times New Roman"/>
                <w:noProof/>
                <w:sz w:val="24"/>
                <w:szCs w:val="24"/>
              </w:rPr>
            </w:pPr>
            <w:r>
              <w:rPr>
                <w:rFonts w:ascii="Times New Roman" w:hAnsi="Times New Roman"/>
                <w:noProof/>
                <w:sz w:val="24"/>
              </w:rPr>
              <w:t>Moyens</w:t>
            </w:r>
          </w:p>
        </w:tc>
        <w:tc>
          <w:tcPr>
            <w:tcW w:w="7853" w:type="dxa"/>
          </w:tcPr>
          <w:p w14:paraId="3DA91115" w14:textId="77777777" w:rsidR="001358EC" w:rsidRDefault="00B36EFE">
            <w:pPr>
              <w:widowControl w:val="0"/>
              <w:jc w:val="both"/>
              <w:rPr>
                <w:rFonts w:ascii="Times New Roman" w:eastAsia="Times New Roman" w:hAnsi="Times New Roman" w:cs="Times New Roman"/>
                <w:noProof/>
                <w:sz w:val="24"/>
                <w:szCs w:val="24"/>
              </w:rPr>
            </w:pPr>
            <w:r>
              <w:rPr>
                <w:rFonts w:ascii="Times New Roman" w:hAnsi="Times New Roman"/>
                <w:noProof/>
                <w:sz w:val="24"/>
              </w:rPr>
              <w:t xml:space="preserve">Les autorités de régulation nationales sont encouragées à envisager des </w:t>
            </w:r>
            <w:r>
              <w:rPr>
                <w:rFonts w:ascii="Times New Roman" w:hAnsi="Times New Roman"/>
                <w:b/>
                <w:noProof/>
                <w:sz w:val="24"/>
              </w:rPr>
              <w:t>mesures d’incitation ciblées</w:t>
            </w:r>
            <w:r>
              <w:rPr>
                <w:rFonts w:ascii="Times New Roman" w:hAnsi="Times New Roman"/>
                <w:noProof/>
                <w:sz w:val="24"/>
              </w:rPr>
              <w:t xml:space="preserve"> en matière de tarifs de réseau pour une consommation locale flexible qui réduirait les coûts globaux du réseau, par exemple les communautés énergétiques et les citoyens partageant leur énergie; et à évaluer le </w:t>
            </w:r>
            <w:r>
              <w:rPr>
                <w:rFonts w:ascii="Times New Roman" w:hAnsi="Times New Roman"/>
                <w:b/>
                <w:noProof/>
                <w:sz w:val="24"/>
              </w:rPr>
              <w:t>potentiel de flexibilité</w:t>
            </w:r>
            <w:r>
              <w:rPr>
                <w:rFonts w:ascii="Times New Roman" w:hAnsi="Times New Roman"/>
                <w:noProof/>
                <w:sz w:val="24"/>
              </w:rPr>
              <w:t>, en particulier des communautés énergétiques et du partage de l’énergie, lors de la conception des redevances de réseau. La Commission collaborera étroitement avec l’Agence de l’Union européenne pour la coopération des régulateurs de l’énergie (ACER) et les autorités de régulation nationales en vue de la mise en œuvre rapide des</w:t>
            </w:r>
            <w:r>
              <w:rPr>
                <w:rFonts w:ascii="Times New Roman" w:hAnsi="Times New Roman"/>
                <w:b/>
                <w:noProof/>
                <w:sz w:val="24"/>
              </w:rPr>
              <w:t xml:space="preserve"> orientations de la Commission sur la conception des redevances de réseau</w:t>
            </w:r>
            <w:r>
              <w:rPr>
                <w:rFonts w:ascii="Times New Roman" w:hAnsi="Times New Roman"/>
                <w:noProof/>
                <w:sz w:val="24"/>
              </w:rPr>
              <w:t>.</w:t>
            </w:r>
          </w:p>
        </w:tc>
      </w:tr>
    </w:tbl>
    <w:p w14:paraId="36DDAE41" w14:textId="77777777" w:rsidR="001358EC" w:rsidRDefault="00B36EFE">
      <w:pPr>
        <w:rPr>
          <w:rFonts w:ascii="Times New Roman" w:eastAsia="Times New Roman" w:hAnsi="Times New Roman" w:cs="Times New Roman"/>
          <w:b/>
          <w:bCs/>
          <w:noProof/>
          <w:color w:val="000000" w:themeColor="text1"/>
          <w:sz w:val="24"/>
          <w:szCs w:val="24"/>
          <w:u w:val="single"/>
        </w:rPr>
      </w:pPr>
      <w:bookmarkStart w:id="2" w:name="_Hlk219977777"/>
      <w:r>
        <w:rPr>
          <w:noProof/>
        </w:rPr>
        <w:t xml:space="preserve"> </w:t>
      </w:r>
      <w:r>
        <w:rPr>
          <w:noProof/>
        </w:rPr>
        <w:br/>
      </w:r>
      <w:r>
        <w:rPr>
          <w:rFonts w:ascii="Times New Roman" w:hAnsi="Times New Roman"/>
          <w:b/>
          <w:noProof/>
          <w:color w:val="000000" w:themeColor="text1"/>
          <w:sz w:val="24"/>
          <w:u w:val="single"/>
        </w:rPr>
        <w:t>Action nº 3: encourager l’utilisation de technologies propres et économes en énergie.</w:t>
      </w:r>
    </w:p>
    <w:bookmarkEnd w:id="2"/>
    <w:p w14:paraId="7172C25C" w14:textId="77777777" w:rsidR="001358EC" w:rsidRDefault="00B36EFE">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En 2023, la principale utilisation de l’énergie par les ménages de l’UE était le </w:t>
      </w:r>
      <w:r>
        <w:rPr>
          <w:rFonts w:ascii="Times New Roman" w:hAnsi="Times New Roman"/>
          <w:b/>
          <w:noProof/>
          <w:color w:val="000000" w:themeColor="text1"/>
          <w:sz w:val="24"/>
        </w:rPr>
        <w:t xml:space="preserve">chauffage des habitations </w:t>
      </w:r>
      <w:r>
        <w:rPr>
          <w:rFonts w:ascii="Times New Roman" w:hAnsi="Times New Roman"/>
          <w:noProof/>
          <w:color w:val="000000" w:themeColor="text1"/>
          <w:sz w:val="24"/>
        </w:rPr>
        <w:t>(62,5 % de la consommation d’énergie finale dans le secteur résidentiel), suivi du</w:t>
      </w:r>
      <w:r>
        <w:rPr>
          <w:rFonts w:ascii="Times New Roman" w:hAnsi="Times New Roman"/>
          <w:b/>
          <w:noProof/>
          <w:color w:val="000000" w:themeColor="text1"/>
          <w:sz w:val="24"/>
        </w:rPr>
        <w:t xml:space="preserve"> chauffage de l’eau</w:t>
      </w:r>
      <w:r>
        <w:rPr>
          <w:rFonts w:ascii="Times New Roman" w:hAnsi="Times New Roman"/>
          <w:noProof/>
          <w:color w:val="000000" w:themeColor="text1"/>
          <w:sz w:val="24"/>
        </w:rPr>
        <w:t xml:space="preserve"> (15,1 %)</w:t>
      </w:r>
      <w:r>
        <w:rPr>
          <w:rStyle w:val="FootnoteReference"/>
          <w:rFonts w:ascii="Times New Roman" w:eastAsia="Times New Roman" w:hAnsi="Times New Roman" w:cs="Times New Roman"/>
          <w:noProof/>
          <w:color w:val="000000" w:themeColor="text1"/>
          <w:sz w:val="24"/>
          <w:szCs w:val="24"/>
          <w:lang w:val="en-IE"/>
        </w:rPr>
        <w:footnoteReference w:id="8"/>
      </w:r>
      <w:r>
        <w:rPr>
          <w:rFonts w:ascii="Times New Roman" w:hAnsi="Times New Roman"/>
          <w:noProof/>
          <w:color w:val="000000" w:themeColor="text1"/>
          <w:sz w:val="24"/>
        </w:rPr>
        <w:t xml:space="preserve">. Les </w:t>
      </w:r>
      <w:r>
        <w:rPr>
          <w:rFonts w:ascii="Times New Roman" w:hAnsi="Times New Roman"/>
          <w:b/>
          <w:noProof/>
          <w:color w:val="000000" w:themeColor="text1"/>
          <w:sz w:val="24"/>
        </w:rPr>
        <w:t xml:space="preserve">étiquettes énergétiques de l’UE </w:t>
      </w:r>
      <w:r>
        <w:rPr>
          <w:rFonts w:ascii="Times New Roman" w:hAnsi="Times New Roman"/>
          <w:noProof/>
          <w:color w:val="000000" w:themeColor="text1"/>
          <w:sz w:val="24"/>
        </w:rPr>
        <w:t>affichent déjà les potentiels d’économies d’énergie et présentent aux consommateurs des conseils utiles, par exemple pour les décisions d’achat d’appareils pour leur domicile</w:t>
      </w:r>
      <w:r>
        <w:rPr>
          <w:rStyle w:val="FootnoteReference"/>
          <w:rFonts w:ascii="Times New Roman" w:eastAsia="Times New Roman" w:hAnsi="Times New Roman" w:cs="Times New Roman"/>
          <w:noProof/>
          <w:color w:val="000000" w:themeColor="text1"/>
          <w:sz w:val="24"/>
          <w:szCs w:val="24"/>
          <w:lang w:val="en-IE"/>
        </w:rPr>
        <w:footnoteReference w:id="9"/>
      </w:r>
      <w:r>
        <w:rPr>
          <w:rFonts w:ascii="Times New Roman" w:hAnsi="Times New Roman"/>
          <w:noProof/>
          <w:color w:val="000000" w:themeColor="text1"/>
          <w:sz w:val="24"/>
        </w:rPr>
        <w:t xml:space="preserve">. </w:t>
      </w:r>
      <w:r>
        <w:rPr>
          <w:rFonts w:ascii="Times New Roman" w:hAnsi="Times New Roman"/>
          <w:noProof/>
          <w:sz w:val="24"/>
        </w:rPr>
        <w:t>Les</w:t>
      </w:r>
      <w:r>
        <w:rPr>
          <w:rFonts w:ascii="Times New Roman" w:hAnsi="Times New Roman"/>
          <w:b/>
          <w:noProof/>
          <w:sz w:val="24"/>
        </w:rPr>
        <w:t xml:space="preserve"> systèmes domestiques de gestion de l’énergie</w:t>
      </w:r>
      <w:r>
        <w:rPr>
          <w:rFonts w:ascii="Times New Roman" w:hAnsi="Times New Roman"/>
          <w:noProof/>
          <w:sz w:val="24"/>
        </w:rPr>
        <w:t xml:space="preserve"> et les </w:t>
      </w:r>
      <w:r>
        <w:rPr>
          <w:rFonts w:ascii="Times New Roman" w:hAnsi="Times New Roman"/>
          <w:b/>
          <w:noProof/>
          <w:sz w:val="24"/>
        </w:rPr>
        <w:t>appareils intelligents modernes en matière d’énergie</w:t>
      </w:r>
      <w:r>
        <w:rPr>
          <w:rFonts w:ascii="Times New Roman" w:hAnsi="Times New Roman"/>
          <w:noProof/>
          <w:sz w:val="24"/>
        </w:rPr>
        <w:t xml:space="preserve"> ont la capacité de réduire les factures </w:t>
      </w:r>
      <w:r>
        <w:rPr>
          <w:rFonts w:ascii="Times New Roman" w:hAnsi="Times New Roman"/>
          <w:noProof/>
          <w:color w:val="000000" w:themeColor="text1"/>
          <w:sz w:val="24"/>
        </w:rPr>
        <w:t>énergétiques</w:t>
      </w:r>
      <w:r>
        <w:rPr>
          <w:rFonts w:ascii="Times New Roman" w:hAnsi="Times New Roman"/>
          <w:noProof/>
          <w:sz w:val="24"/>
        </w:rPr>
        <w:t>.</w:t>
      </w:r>
      <w:r>
        <w:rPr>
          <w:rFonts w:ascii="Times New Roman" w:hAnsi="Times New Roman"/>
          <w:noProof/>
          <w:color w:val="000000" w:themeColor="text1"/>
          <w:sz w:val="24"/>
        </w:rPr>
        <w:t xml:space="preserve"> La transition vers une mobilité électrique offre des possibilités supplémentaires de réduire les coûts de l’énergie grâce à la recharge intelligente et bidirectionnelle des véhicules électriques, permettant aux ménages d’optimiser leur consommation d’électricité. Pourtant, ils sont souvent perçus comme trop onéreux, principalement en raison des coûts initiaux élevés. Pour y remédier, certains États membres ont mis en place des </w:t>
      </w:r>
      <w:r>
        <w:rPr>
          <w:rFonts w:ascii="Times New Roman" w:hAnsi="Times New Roman"/>
          <w:b/>
          <w:noProof/>
          <w:color w:val="000000" w:themeColor="text1"/>
          <w:sz w:val="24"/>
        </w:rPr>
        <w:t>modèles de financement innovants</w:t>
      </w:r>
      <w:r>
        <w:rPr>
          <w:rFonts w:ascii="Times New Roman" w:hAnsi="Times New Roman"/>
          <w:noProof/>
          <w:color w:val="000000" w:themeColor="text1"/>
          <w:sz w:val="24"/>
        </w:rPr>
        <w:t>, notamment le crédit-bail social</w:t>
      </w:r>
      <w:r>
        <w:rPr>
          <w:rStyle w:val="FootnoteReference"/>
          <w:rFonts w:ascii="Times New Roman" w:eastAsia="Times New Roman" w:hAnsi="Times New Roman" w:cs="Times New Roman"/>
          <w:noProof/>
          <w:color w:val="000000" w:themeColor="text1"/>
          <w:sz w:val="24"/>
          <w:szCs w:val="24"/>
          <w:lang w:val="en-IE"/>
        </w:rPr>
        <w:footnoteReference w:id="10"/>
      </w:r>
      <w:r>
        <w:rPr>
          <w:rFonts w:ascii="Times New Roman" w:hAnsi="Times New Roman"/>
          <w:noProof/>
          <w:color w:val="000000" w:themeColor="text1"/>
          <w:sz w:val="24"/>
        </w:rPr>
        <w:t>. Sur certains marchés, des entreprises proposent aux clients des systèmes de chauffage propres (y compris leur maintenance) en permettant aux consommateurs d'en supporter les coûts par mensualités flexibles</w:t>
      </w:r>
      <w:r>
        <w:rPr>
          <w:rStyle w:val="FootnoteReference"/>
          <w:rFonts w:ascii="Times New Roman" w:eastAsia="Times New Roman" w:hAnsi="Times New Roman" w:cs="Times New Roman"/>
          <w:noProof/>
          <w:color w:val="000000" w:themeColor="text1"/>
          <w:sz w:val="24"/>
          <w:szCs w:val="24"/>
          <w:lang w:val="en-IE"/>
        </w:rPr>
        <w:footnoteReference w:id="11"/>
      </w:r>
      <w:r>
        <w:rPr>
          <w:rFonts w:ascii="Times New Roman" w:hAnsi="Times New Roman"/>
          <w:noProof/>
          <w:color w:val="000000" w:themeColor="text1"/>
          <w:sz w:val="24"/>
        </w:rPr>
        <w:t xml:space="preserve">. Des programmes allant au-delà des subventions sont en cours d’élaboration, mais, dans la plupart des cas, ils n’ont pas encore été largement déployés. </w:t>
      </w:r>
    </w:p>
    <w:p w14:paraId="5A973FF4" w14:textId="77777777" w:rsidR="001358EC" w:rsidRDefault="00B36EFE">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 Commission invite instamment les États membres et les entreprises à aller</w:t>
      </w:r>
      <w:r>
        <w:rPr>
          <w:rFonts w:ascii="Times New Roman" w:hAnsi="Times New Roman"/>
          <w:b/>
          <w:noProof/>
          <w:color w:val="000000" w:themeColor="text1"/>
          <w:sz w:val="24"/>
        </w:rPr>
        <w:t xml:space="preserve"> au-delà d’une approche fondée uniquement sur des subventions</w:t>
      </w:r>
      <w:r>
        <w:rPr>
          <w:rFonts w:ascii="Times New Roman" w:hAnsi="Times New Roman"/>
          <w:noProof/>
          <w:color w:val="000000" w:themeColor="text1"/>
          <w:sz w:val="24"/>
        </w:rPr>
        <w:t xml:space="preserve"> et à mettre au point des </w:t>
      </w:r>
      <w:r>
        <w:rPr>
          <w:rFonts w:ascii="Times New Roman" w:hAnsi="Times New Roman"/>
          <w:b/>
          <w:noProof/>
          <w:color w:val="000000" w:themeColor="text1"/>
          <w:sz w:val="24"/>
        </w:rPr>
        <w:t>services énergétiques et des solutions de financement innovants</w:t>
      </w:r>
      <w:r>
        <w:rPr>
          <w:rFonts w:ascii="Times New Roman" w:hAnsi="Times New Roman"/>
          <w:noProof/>
          <w:color w:val="000000" w:themeColor="text1"/>
          <w:sz w:val="24"/>
        </w:rPr>
        <w:t>, par exemple des mécanismes combinant le crédit-bail social et la possibilité de couvrir les coûts d’investissement initiaux, en proposant la chaleur en tant que service</w:t>
      </w:r>
      <w:r>
        <w:rPr>
          <w:rFonts w:ascii="Times New Roman" w:eastAsia="Times New Roman" w:hAnsi="Times New Roman" w:cs="Times New Roman"/>
          <w:noProof/>
          <w:color w:val="000000" w:themeColor="text1"/>
          <w:sz w:val="24"/>
          <w:szCs w:val="24"/>
          <w:vertAlign w:val="superscript"/>
          <w:lang w:val="en-IE"/>
        </w:rPr>
        <w:footnoteReference w:id="12"/>
      </w:r>
      <w:r>
        <w:rPr>
          <w:rFonts w:ascii="Times New Roman" w:hAnsi="Times New Roman"/>
          <w:noProof/>
          <w:color w:val="000000" w:themeColor="text1"/>
          <w:sz w:val="24"/>
        </w:rPr>
        <w:t xml:space="preserve">, ou des tarifs flexibles pour les pompes à chaleur et les coûts de maintenance. Les citoyens de l’UE auront ainsi un meilleur accès aux technologies propres et économes en énergie et en eau, ce qui améliorera la qualité de vie grâce, par exemple, à une diminution de la pollution, une amélioration du confort intérieur et de la santé, et réduira les factures énergétiques. Les systèmes bien conçus </w:t>
      </w:r>
      <w:r>
        <w:rPr>
          <w:rFonts w:ascii="Times New Roman" w:hAnsi="Times New Roman"/>
          <w:b/>
          <w:noProof/>
          <w:color w:val="000000" w:themeColor="text1"/>
          <w:sz w:val="24"/>
        </w:rPr>
        <w:t>combinant des financements publics et privés</w:t>
      </w:r>
      <w:r>
        <w:rPr>
          <w:rFonts w:ascii="Times New Roman" w:hAnsi="Times New Roman"/>
          <w:noProof/>
          <w:color w:val="000000" w:themeColor="text1"/>
          <w:sz w:val="24"/>
        </w:rPr>
        <w:t xml:space="preserve"> dans lesquels la priorité est donnée aux personnes en situation de précarité énergétique et à d’autres groupes en situation de vulnérabilité auront un effet positif sur les ménages à revenus faibles et intermédiaires, dont les coûts de l’énergie peuvent représenter une part disproportionnée du revenu global. De même, il convient de soutenir les investissements visant à déployer des solutions propres ou économes en énergie en dehors du réseau. Avec la future stratégie d’investissement dans l’énergie propre</w:t>
      </w:r>
      <w:r>
        <w:rPr>
          <w:rStyle w:val="FootnoteReference"/>
          <w:rFonts w:ascii="Times New Roman" w:eastAsia="Times New Roman" w:hAnsi="Times New Roman" w:cs="Times New Roman"/>
          <w:noProof/>
          <w:color w:val="000000" w:themeColor="text1"/>
          <w:sz w:val="24"/>
          <w:szCs w:val="24"/>
          <w:lang w:val="en-IE"/>
        </w:rPr>
        <w:footnoteReference w:id="13"/>
      </w:r>
      <w:r>
        <w:rPr>
          <w:rFonts w:ascii="Times New Roman" w:hAnsi="Times New Roman"/>
          <w:noProof/>
          <w:color w:val="000000" w:themeColor="text1"/>
          <w:sz w:val="24"/>
        </w:rPr>
        <w:t xml:space="preserve">, la Commission vise à débloquer des investissements privés dans l’efficacité énergétique. </w:t>
      </w:r>
    </w:p>
    <w:tbl>
      <w:tblPr>
        <w:tblStyle w:val="TableGridLight"/>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7904"/>
      </w:tblGrid>
      <w:tr w:rsidR="001358EC" w14:paraId="3FC807B9" w14:textId="77777777">
        <w:trPr>
          <w:trHeight w:val="300"/>
        </w:trPr>
        <w:tc>
          <w:tcPr>
            <w:tcW w:w="1163" w:type="dxa"/>
            <w:vAlign w:val="center"/>
            <w:hideMark/>
          </w:tcPr>
          <w:p w14:paraId="777D4948" w14:textId="4B4FAA7E" w:rsidR="001358EC" w:rsidRDefault="00B36EFE">
            <w:pPr>
              <w:jc w:val="both"/>
              <w:textAlignment w:val="baseline"/>
              <w:rPr>
                <w:rFonts w:ascii="Times New Roman" w:eastAsia="Times New Roman" w:hAnsi="Times New Roman" w:cs="Times New Roman"/>
                <w:noProof/>
                <w:color w:val="000000" w:themeColor="text1"/>
                <w:sz w:val="24"/>
                <w:szCs w:val="24"/>
              </w:rPr>
            </w:pPr>
            <w:bookmarkStart w:id="3" w:name="_Hlk219977816"/>
            <w:r>
              <w:rPr>
                <w:rFonts w:ascii="Times New Roman" w:hAnsi="Times New Roman"/>
                <w:noProof/>
                <w:color w:val="000000" w:themeColor="text1"/>
                <w:sz w:val="24"/>
              </w:rPr>
              <w:t>Objectif </w:t>
            </w:r>
          </w:p>
        </w:tc>
        <w:tc>
          <w:tcPr>
            <w:tcW w:w="7904" w:type="dxa"/>
            <w:hideMark/>
          </w:tcPr>
          <w:p w14:paraId="1C71409A" w14:textId="77777777" w:rsidR="001358EC" w:rsidRDefault="00B36EFE">
            <w:pPr>
              <w:jc w:val="both"/>
              <w:textAlignment w:val="baseline"/>
              <w:rPr>
                <w:rFonts w:ascii="Times New Roman" w:eastAsia="Times New Roman" w:hAnsi="Times New Roman" w:cs="Times New Roman"/>
                <w:b/>
                <w:bCs/>
                <w:noProof/>
                <w:color w:val="000000" w:themeColor="text1"/>
                <w:kern w:val="0"/>
                <w:sz w:val="18"/>
                <w:szCs w:val="18"/>
                <w14:ligatures w14:val="none"/>
              </w:rPr>
            </w:pPr>
            <w:r>
              <w:rPr>
                <w:rFonts w:ascii="Times New Roman" w:hAnsi="Times New Roman"/>
                <w:b/>
                <w:noProof/>
                <w:color w:val="000000" w:themeColor="text1"/>
                <w:sz w:val="24"/>
              </w:rPr>
              <w:t xml:space="preserve">Améliorer l’accès à des technologies propres et efficaces grâce à des solutions innovantes </w:t>
            </w:r>
          </w:p>
        </w:tc>
      </w:tr>
      <w:tr w:rsidR="001358EC" w14:paraId="16170199" w14:textId="77777777">
        <w:trPr>
          <w:trHeight w:val="300"/>
        </w:trPr>
        <w:tc>
          <w:tcPr>
            <w:tcW w:w="1163" w:type="dxa"/>
            <w:vAlign w:val="center"/>
          </w:tcPr>
          <w:p w14:paraId="77DD0B63" w14:textId="77777777" w:rsidR="001358EC" w:rsidRDefault="00B36EFE">
            <w:pPr>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sz w:val="24"/>
              </w:rPr>
              <w:t>Résultat</w:t>
            </w:r>
          </w:p>
        </w:tc>
        <w:tc>
          <w:tcPr>
            <w:tcW w:w="7904" w:type="dxa"/>
          </w:tcPr>
          <w:p w14:paraId="760AC43B" w14:textId="77777777" w:rsidR="001358EC" w:rsidRDefault="00B36EFE">
            <w:pPr>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Amélioration de la performance énergétique des bâtiments, baisse des factures énergétiques.</w:t>
            </w:r>
          </w:p>
        </w:tc>
      </w:tr>
      <w:tr w:rsidR="001358EC" w14:paraId="35653C81" w14:textId="77777777">
        <w:trPr>
          <w:trHeight w:val="300"/>
        </w:trPr>
        <w:tc>
          <w:tcPr>
            <w:tcW w:w="1163" w:type="dxa"/>
            <w:vAlign w:val="center"/>
            <w:hideMark/>
          </w:tcPr>
          <w:p w14:paraId="0BA50F4B" w14:textId="77777777" w:rsidR="001358EC" w:rsidRDefault="00B36EFE">
            <w:pPr>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Moyens </w:t>
            </w:r>
          </w:p>
        </w:tc>
        <w:tc>
          <w:tcPr>
            <w:tcW w:w="7904" w:type="dxa"/>
            <w:hideMark/>
          </w:tcPr>
          <w:p w14:paraId="56487960" w14:textId="77777777" w:rsidR="001358EC" w:rsidRDefault="00B36EFE">
            <w:pPr>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 Commission collaborera avec les États membres et les parties prenantes, au sein de la </w:t>
            </w:r>
            <w:r>
              <w:rPr>
                <w:rFonts w:ascii="Times New Roman" w:hAnsi="Times New Roman"/>
                <w:b/>
                <w:noProof/>
                <w:color w:val="000000" w:themeColor="text1"/>
                <w:sz w:val="24"/>
              </w:rPr>
              <w:t>coalition européenne pour le financement de l’efficacité énergétique</w:t>
            </w:r>
            <w:r>
              <w:rPr>
                <w:rFonts w:ascii="Times New Roman" w:hAnsi="Times New Roman"/>
                <w:noProof/>
                <w:color w:val="000000" w:themeColor="text1"/>
                <w:sz w:val="24"/>
              </w:rPr>
              <w:t xml:space="preserve">, sur la conception de modèles de services énergétiques et de solutions de financement pratiques et innovants, ainsi que d’approches allant au-delà des subventions, y compris le partage des bonnes pratiques pour atteindre les ménages vulnérables, accroître l’adoption des systèmes de gestion de l’énergie des maisons et des bâtiments et des appareils intelligents en matière d’énergie et améliorer l’accès des ménages à des services et technologies énergétiques électrifiés, flexibles et efficaces (T4 2026). </w:t>
            </w:r>
          </w:p>
        </w:tc>
      </w:tr>
    </w:tbl>
    <w:p w14:paraId="07CEF888" w14:textId="77777777" w:rsidR="001358EC" w:rsidRDefault="001358EC">
      <w:pPr>
        <w:spacing w:after="0" w:line="240" w:lineRule="auto"/>
        <w:jc w:val="both"/>
        <w:rPr>
          <w:rFonts w:ascii="Times New Roman" w:eastAsia="Times New Roman" w:hAnsi="Times New Roman" w:cs="Times New Roman"/>
          <w:b/>
          <w:bCs/>
          <w:noProof/>
          <w:color w:val="000000" w:themeColor="text1"/>
          <w:sz w:val="24"/>
          <w:szCs w:val="24"/>
          <w:u w:val="single"/>
        </w:rPr>
      </w:pPr>
      <w:bookmarkStart w:id="4" w:name="_Hlk219977829"/>
      <w:bookmarkEnd w:id="3"/>
    </w:p>
    <w:p w14:paraId="2A2140D1" w14:textId="77777777" w:rsidR="001358EC" w:rsidRDefault="00B36EFE">
      <w:pPr>
        <w:keepNext/>
        <w:keepLines/>
        <w:rPr>
          <w:rFonts w:ascii="Times New Roman" w:eastAsia="Times New Roman" w:hAnsi="Times New Roman" w:cs="Times New Roman"/>
          <w:b/>
          <w:bCs/>
          <w:noProof/>
          <w:color w:val="000000" w:themeColor="text1"/>
          <w:sz w:val="24"/>
          <w:szCs w:val="24"/>
          <w:u w:val="single"/>
        </w:rPr>
      </w:pPr>
      <w:r>
        <w:rPr>
          <w:rFonts w:ascii="Times New Roman" w:hAnsi="Times New Roman"/>
          <w:b/>
          <w:noProof/>
          <w:color w:val="000000" w:themeColor="text1"/>
          <w:sz w:val="24"/>
          <w:u w:val="single"/>
        </w:rPr>
        <w:t>Action nº 4: mettre les consommateurs en mesure d’obtenir l’offre la moins chère et de changer rapidement de fournisseur</w:t>
      </w:r>
      <w:bookmarkEnd w:id="4"/>
    </w:p>
    <w:p w14:paraId="58C0495F" w14:textId="77777777" w:rsidR="001358EC" w:rsidRDefault="00B36EFE">
      <w:pPr>
        <w:keepNext/>
        <w:keepLines/>
        <w:spacing w:after="0" w:line="240" w:lineRule="auto"/>
        <w:jc w:val="both"/>
        <w:rPr>
          <w:rFonts w:ascii="Times New Roman" w:eastAsia="Times New Roman" w:hAnsi="Times New Roman" w:cs="Times New Roman"/>
          <w:b/>
          <w:bCs/>
          <w:noProof/>
          <w:color w:val="000000" w:themeColor="text1"/>
          <w:sz w:val="24"/>
          <w:szCs w:val="24"/>
          <w:u w:val="single"/>
        </w:rPr>
      </w:pPr>
      <w:r>
        <w:rPr>
          <w:rFonts w:ascii="Times New Roman" w:hAnsi="Times New Roman"/>
          <w:noProof/>
          <w:sz w:val="24"/>
        </w:rPr>
        <w:t xml:space="preserve">La législation de l’UE donne aux citoyens </w:t>
      </w:r>
      <w:r>
        <w:rPr>
          <w:rFonts w:ascii="Times New Roman" w:hAnsi="Times New Roman"/>
          <w:b/>
          <w:noProof/>
          <w:sz w:val="24"/>
        </w:rPr>
        <w:t>le droit de changer</w:t>
      </w:r>
      <w:r>
        <w:rPr>
          <w:rFonts w:ascii="Times New Roman" w:hAnsi="Times New Roman"/>
          <w:noProof/>
          <w:sz w:val="24"/>
        </w:rPr>
        <w:t xml:space="preserve"> de fournisseur d’énergie</w:t>
      </w:r>
      <w:r>
        <w:rPr>
          <w:rStyle w:val="FootnoteReference"/>
          <w:rFonts w:ascii="Times New Roman" w:hAnsi="Times New Roman" w:cs="Times New Roman"/>
          <w:noProof/>
          <w:sz w:val="24"/>
          <w:szCs w:val="24"/>
          <w:lang w:val="en-GB"/>
        </w:rPr>
        <w:footnoteReference w:id="14"/>
      </w:r>
      <w:r>
        <w:rPr>
          <w:rFonts w:ascii="Times New Roman" w:hAnsi="Times New Roman"/>
          <w:noProof/>
          <w:sz w:val="24"/>
        </w:rPr>
        <w:t xml:space="preserve">; pourtant, on estime que les citoyens perdent en moyenne </w:t>
      </w:r>
      <w:r>
        <w:rPr>
          <w:rFonts w:ascii="Times New Roman" w:hAnsi="Times New Roman"/>
          <w:b/>
          <w:noProof/>
          <w:sz w:val="24"/>
        </w:rPr>
        <w:t xml:space="preserve">152 EUR par an </w:t>
      </w:r>
      <w:r>
        <w:rPr>
          <w:rFonts w:ascii="Times New Roman" w:hAnsi="Times New Roman"/>
          <w:noProof/>
          <w:sz w:val="24"/>
        </w:rPr>
        <w:t>en n’agissant pas dans ce sens</w:t>
      </w:r>
      <w:r>
        <w:rPr>
          <w:rStyle w:val="FootnoteReference"/>
          <w:rFonts w:ascii="Times New Roman" w:hAnsi="Times New Roman" w:cs="Times New Roman"/>
          <w:noProof/>
          <w:sz w:val="24"/>
          <w:szCs w:val="24"/>
          <w:lang w:val="en-IE"/>
        </w:rPr>
        <w:footnoteReference w:id="15"/>
      </w:r>
      <w:r>
        <w:rPr>
          <w:rFonts w:ascii="Times New Roman" w:hAnsi="Times New Roman"/>
          <w:noProof/>
          <w:sz w:val="24"/>
        </w:rPr>
        <w:t xml:space="preserve">. L’une des raisons de cette inaction est le manque de transparence; les outils de comparaison existants ne peuvent pas tous être suffisants à cet égard, et si les plateformes intermédiaires peuvent faciliter le changement de fournisseur, leurs modèles économiques ne sont pas toujours clairs, ce qui peut compromettre la transparence et la responsabilité. </w:t>
      </w:r>
    </w:p>
    <w:p w14:paraId="63CBAB3C" w14:textId="77777777" w:rsidR="001358EC" w:rsidRDefault="00B36EFE">
      <w:pPr>
        <w:spacing w:before="120"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La Commission invite les États membres à veiller à ce que les fournisseurs d’énergie donnent à leurs clients, au moins une fois par an, les </w:t>
      </w:r>
      <w:r>
        <w:rPr>
          <w:rFonts w:ascii="Times New Roman" w:hAnsi="Times New Roman"/>
          <w:b/>
          <w:noProof/>
          <w:sz w:val="24"/>
        </w:rPr>
        <w:t>«meilleurs conseils tarifaires»</w:t>
      </w:r>
      <w:r>
        <w:rPr>
          <w:rFonts w:ascii="Times New Roman" w:hAnsi="Times New Roman"/>
          <w:noProof/>
          <w:sz w:val="24"/>
        </w:rPr>
        <w:t xml:space="preserve"> sur la base de leur consommation spécifique d’énergie et à </w:t>
      </w:r>
      <w:r>
        <w:rPr>
          <w:rFonts w:ascii="Times New Roman" w:hAnsi="Times New Roman"/>
          <w:noProof/>
          <w:color w:val="000000" w:themeColor="text1"/>
          <w:sz w:val="24"/>
        </w:rPr>
        <w:t xml:space="preserve">mettre en place un </w:t>
      </w:r>
      <w:r>
        <w:rPr>
          <w:rFonts w:ascii="Times New Roman" w:hAnsi="Times New Roman"/>
          <w:b/>
          <w:noProof/>
          <w:color w:val="000000" w:themeColor="text1"/>
          <w:sz w:val="24"/>
        </w:rPr>
        <w:t>«système d’alerte précoce»</w:t>
      </w:r>
      <w:r>
        <w:rPr>
          <w:rFonts w:ascii="Times New Roman" w:hAnsi="Times New Roman"/>
          <w:noProof/>
          <w:sz w:val="24"/>
        </w:rPr>
        <w:t xml:space="preserve"> s’il existe un risque que la consommation d’énergie du client dépasse </w:t>
      </w:r>
      <w:r>
        <w:rPr>
          <w:rFonts w:ascii="Times New Roman" w:hAnsi="Times New Roman"/>
          <w:noProof/>
        </w:rPr>
        <w:t xml:space="preserve">largement </w:t>
      </w:r>
      <w:r>
        <w:rPr>
          <w:rFonts w:ascii="Times New Roman" w:hAnsi="Times New Roman"/>
          <w:noProof/>
          <w:sz w:val="24"/>
        </w:rPr>
        <w:t>le niveau présumé au moment de la conclusion du contrat et chaque fois qu’une offre moins chère devient disponible</w:t>
      </w:r>
      <w:r>
        <w:rPr>
          <w:rStyle w:val="FootnoteReference"/>
          <w:rFonts w:ascii="Times New Roman" w:eastAsia="Times New Roman, Aptos" w:hAnsi="Times New Roman" w:cs="Times New Roman"/>
          <w:noProof/>
          <w:sz w:val="24"/>
          <w:szCs w:val="24"/>
          <w:lang w:val="en-IE"/>
        </w:rPr>
        <w:footnoteReference w:id="16"/>
      </w:r>
      <w:r>
        <w:rPr>
          <w:rFonts w:ascii="Times New Roman" w:hAnsi="Times New Roman"/>
          <w:noProof/>
          <w:color w:val="000000" w:themeColor="text1"/>
        </w:rPr>
        <w:t>.</w:t>
      </w:r>
      <w:r>
        <w:rPr>
          <w:rFonts w:ascii="Times New Roman" w:hAnsi="Times New Roman"/>
          <w:noProof/>
          <w:color w:val="000000" w:themeColor="text1"/>
          <w:sz w:val="24"/>
        </w:rPr>
        <w:t xml:space="preserve"> </w:t>
      </w:r>
      <w:r>
        <w:rPr>
          <w:rFonts w:ascii="Times New Roman" w:hAnsi="Times New Roman"/>
          <w:noProof/>
          <w:sz w:val="24"/>
        </w:rPr>
        <w:t xml:space="preserve">Ces services, </w:t>
      </w:r>
      <w:r>
        <w:rPr>
          <w:rFonts w:ascii="Times New Roman" w:hAnsi="Times New Roman"/>
          <w:noProof/>
          <w:color w:val="000000" w:themeColor="text1"/>
          <w:sz w:val="24"/>
        </w:rPr>
        <w:t>qui s’inspirent de ceux fournis dans d’autres secteurs</w:t>
      </w:r>
      <w:r>
        <w:rPr>
          <w:rStyle w:val="FootnoteReference"/>
          <w:rFonts w:ascii="Times New Roman" w:eastAsia="Times New Roman" w:hAnsi="Times New Roman" w:cs="Times New Roman"/>
          <w:noProof/>
          <w:color w:val="000000" w:themeColor="text1"/>
          <w:sz w:val="24"/>
          <w:szCs w:val="24"/>
          <w:lang w:val="en-US"/>
        </w:rPr>
        <w:footnoteReference w:id="17"/>
      </w:r>
      <w:r>
        <w:rPr>
          <w:rFonts w:ascii="Times New Roman" w:hAnsi="Times New Roman"/>
          <w:noProof/>
          <w:color w:val="000000" w:themeColor="text1"/>
          <w:sz w:val="24"/>
        </w:rPr>
        <w:t>, permettraient aux consommateurs de réagir rapidement et de modifier leur contrat (par exemple, en passant d’un contrat flexible à un contrat fixe), ce qui aurait une incidence positive sur leurs factures.</w:t>
      </w:r>
    </w:p>
    <w:p w14:paraId="177501F4" w14:textId="77777777" w:rsidR="001358EC" w:rsidRDefault="00B36EFE">
      <w:pPr>
        <w:spacing w:before="120" w:after="0" w:line="240" w:lineRule="auto"/>
        <w:jc w:val="both"/>
        <w:rPr>
          <w:rFonts w:ascii="Times New Roman" w:eastAsia="Times New Roman" w:hAnsi="Times New Roman" w:cs="Times New Roman"/>
          <w:noProof/>
          <w:sz w:val="24"/>
          <w:szCs w:val="24"/>
        </w:rPr>
      </w:pPr>
      <w:r>
        <w:rPr>
          <w:rFonts w:ascii="Times New Roman" w:hAnsi="Times New Roman"/>
          <w:noProof/>
          <w:sz w:val="24"/>
        </w:rPr>
        <w:t>Les citoyens devraient avoir accès à des</w:t>
      </w:r>
      <w:r>
        <w:rPr>
          <w:rFonts w:ascii="Times New Roman" w:hAnsi="Times New Roman"/>
          <w:b/>
          <w:noProof/>
          <w:sz w:val="24"/>
        </w:rPr>
        <w:t xml:space="preserve"> informations claires</w:t>
      </w:r>
      <w:r>
        <w:rPr>
          <w:rFonts w:ascii="Times New Roman" w:hAnsi="Times New Roman"/>
          <w:noProof/>
          <w:sz w:val="24"/>
        </w:rPr>
        <w:t xml:space="preserve"> sur leurs contrats: un résumé devrait être fourni en temps utile avant la conclusion ou la prolongation d’un contrat. Afin de garantir que les consommateurs vulnérables, y compris ceux qui ne disposent pas d’outils ou de compétences numériques, puissent effectivement exercer leurs droits, les fournisseurs devraient fournir ce résumé gratuitement dans des formats accessibles et par différents canaux. La Commission fournira des orientations sur les principales modalités et conditions contractuelles et encouragera les fournisseurs à fournir un </w:t>
      </w:r>
      <w:r>
        <w:rPr>
          <w:rFonts w:ascii="Times New Roman" w:hAnsi="Times New Roman"/>
          <w:b/>
          <w:noProof/>
          <w:sz w:val="24"/>
        </w:rPr>
        <w:t>résumé normalisé</w:t>
      </w:r>
      <w:r>
        <w:rPr>
          <w:rFonts w:ascii="Times New Roman" w:hAnsi="Times New Roman"/>
          <w:noProof/>
          <w:sz w:val="24"/>
        </w:rPr>
        <w:t xml:space="preserve">. </w:t>
      </w:r>
    </w:p>
    <w:p w14:paraId="7ED8A95B" w14:textId="77777777" w:rsidR="001358EC" w:rsidRDefault="00B36EFE">
      <w:pPr>
        <w:spacing w:before="120" w:after="0" w:line="240" w:lineRule="auto"/>
        <w:jc w:val="both"/>
        <w:rPr>
          <w:rFonts w:ascii="Times New Roman" w:eastAsia="Times New Roman" w:hAnsi="Times New Roman" w:cs="Times New Roman"/>
          <w:noProof/>
          <w:sz w:val="24"/>
          <w:szCs w:val="24"/>
        </w:rPr>
      </w:pPr>
      <w:r>
        <w:rPr>
          <w:rFonts w:ascii="Times New Roman" w:hAnsi="Times New Roman"/>
          <w:noProof/>
          <w:sz w:val="24"/>
        </w:rPr>
        <w:t>Il existe également des</w:t>
      </w:r>
      <w:r>
        <w:rPr>
          <w:rFonts w:ascii="Times New Roman" w:hAnsi="Times New Roman"/>
          <w:b/>
          <w:noProof/>
          <w:sz w:val="24"/>
        </w:rPr>
        <w:t xml:space="preserve"> obstacles techniques </w:t>
      </w:r>
      <w:r>
        <w:rPr>
          <w:rFonts w:ascii="Times New Roman" w:hAnsi="Times New Roman"/>
          <w:noProof/>
          <w:sz w:val="24"/>
        </w:rPr>
        <w:t xml:space="preserve">inutiles au changement de fournisseur. Pour y remédier, la Commission prévoira des règles techniques à l’intention des fournisseurs afin de garantir que les opérations de suivi administratif concernant un changement de fournisseur puissent être accomplies dans un délai de 24 heures dans l’ensemble de l’UE. En outre, un </w:t>
      </w:r>
      <w:r>
        <w:rPr>
          <w:rFonts w:ascii="Times New Roman" w:hAnsi="Times New Roman"/>
          <w:b/>
          <w:noProof/>
          <w:sz w:val="24"/>
        </w:rPr>
        <w:t>déploiement complet des compteurs intelligents</w:t>
      </w:r>
      <w:r>
        <w:rPr>
          <w:rFonts w:ascii="Times New Roman" w:hAnsi="Times New Roman"/>
          <w:noProof/>
          <w:sz w:val="24"/>
        </w:rPr>
        <w:t xml:space="preserve"> par les États membres est essentiel car, pour exercer leurs droits ou bénéficier de services de flexibilité (voir action nº 6), les citoyens doivent avoir une vision claire de l’énergie qu’ils consomment. </w:t>
      </w:r>
    </w:p>
    <w:p w14:paraId="58E5FF58" w14:textId="77777777" w:rsidR="001358EC" w:rsidRPr="0034630B" w:rsidRDefault="001358EC">
      <w:pPr>
        <w:spacing w:after="0" w:line="240" w:lineRule="auto"/>
        <w:jc w:val="both"/>
        <w:rPr>
          <w:rFonts w:ascii="Times New Roman" w:eastAsia="Times New Roman" w:hAnsi="Times New Roman" w:cs="Times New Roman"/>
          <w:noProof/>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7853"/>
      </w:tblGrid>
      <w:tr w:rsidR="001358EC" w14:paraId="33DF74C8" w14:textId="77777777">
        <w:tc>
          <w:tcPr>
            <w:tcW w:w="1163" w:type="dxa"/>
            <w:vAlign w:val="center"/>
            <w:hideMark/>
          </w:tcPr>
          <w:p w14:paraId="0A81B368" w14:textId="77777777" w:rsidR="001358EC" w:rsidRDefault="00B36EFE">
            <w:pPr>
              <w:widowControl w:val="0"/>
              <w:rPr>
                <w:rFonts w:ascii="Times New Roman" w:hAnsi="Times New Roman" w:cs="Times New Roman"/>
                <w:noProof/>
                <w:sz w:val="24"/>
                <w:szCs w:val="24"/>
              </w:rPr>
            </w:pPr>
            <w:bookmarkStart w:id="5" w:name="_Hlk219977843"/>
            <w:r>
              <w:rPr>
                <w:rFonts w:ascii="Times New Roman" w:hAnsi="Times New Roman"/>
                <w:noProof/>
                <w:sz w:val="24"/>
              </w:rPr>
              <w:t>Objectif</w:t>
            </w:r>
          </w:p>
        </w:tc>
        <w:tc>
          <w:tcPr>
            <w:tcW w:w="7853" w:type="dxa"/>
            <w:vAlign w:val="center"/>
            <w:hideMark/>
          </w:tcPr>
          <w:p w14:paraId="2CCC477E" w14:textId="77777777" w:rsidR="001358EC" w:rsidRDefault="00B36EFE">
            <w:pPr>
              <w:widowControl w:val="0"/>
              <w:jc w:val="both"/>
              <w:rPr>
                <w:rFonts w:ascii="Times New Roman" w:hAnsi="Times New Roman" w:cs="Times New Roman"/>
                <w:b/>
                <w:noProof/>
                <w:sz w:val="24"/>
                <w:szCs w:val="24"/>
              </w:rPr>
            </w:pPr>
            <w:r>
              <w:rPr>
                <w:rFonts w:ascii="Times New Roman" w:hAnsi="Times New Roman"/>
                <w:b/>
                <w:noProof/>
                <w:sz w:val="24"/>
              </w:rPr>
              <w:t>Améliorer la transparence et la comparabilité des offres de fourniture d’énergie;  permettre le changement technique de fournisseur dans un délai de 24 heures.</w:t>
            </w:r>
          </w:p>
        </w:tc>
      </w:tr>
      <w:tr w:rsidR="001358EC" w14:paraId="3929F469" w14:textId="77777777">
        <w:tc>
          <w:tcPr>
            <w:tcW w:w="1163" w:type="dxa"/>
          </w:tcPr>
          <w:p w14:paraId="1E8FE57D" w14:textId="77777777" w:rsidR="001358EC" w:rsidRDefault="00B36EFE">
            <w:pPr>
              <w:widowControl w:val="0"/>
              <w:rPr>
                <w:rFonts w:ascii="Times New Roman" w:hAnsi="Times New Roman" w:cs="Times New Roman"/>
                <w:noProof/>
                <w:sz w:val="24"/>
                <w:szCs w:val="24"/>
              </w:rPr>
            </w:pPr>
            <w:r>
              <w:rPr>
                <w:rFonts w:ascii="Times New Roman" w:hAnsi="Times New Roman"/>
                <w:noProof/>
                <w:sz w:val="24"/>
              </w:rPr>
              <w:t>Résultat</w:t>
            </w:r>
          </w:p>
        </w:tc>
        <w:tc>
          <w:tcPr>
            <w:tcW w:w="7853" w:type="dxa"/>
            <w:vAlign w:val="center"/>
          </w:tcPr>
          <w:p w14:paraId="1163B52B" w14:textId="77777777" w:rsidR="001358EC" w:rsidRDefault="00B36EFE">
            <w:p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Grâce au changement de fournisseur, les économies estimées pourraient atteindre </w:t>
            </w:r>
            <w:r>
              <w:rPr>
                <w:rFonts w:ascii="Times New Roman" w:hAnsi="Times New Roman"/>
                <w:b/>
                <w:noProof/>
                <w:color w:val="000000" w:themeColor="text1"/>
                <w:sz w:val="24"/>
              </w:rPr>
              <w:t>152 EUR par an</w:t>
            </w:r>
            <w:r>
              <w:rPr>
                <w:rFonts w:ascii="Times New Roman" w:hAnsi="Times New Roman"/>
                <w:noProof/>
                <w:color w:val="000000" w:themeColor="text1"/>
                <w:sz w:val="24"/>
              </w:rPr>
              <w:t>.</w:t>
            </w:r>
          </w:p>
        </w:tc>
      </w:tr>
      <w:tr w:rsidR="001358EC" w14:paraId="784D18D0" w14:textId="77777777">
        <w:tc>
          <w:tcPr>
            <w:tcW w:w="1163" w:type="dxa"/>
            <w:vAlign w:val="center"/>
          </w:tcPr>
          <w:p w14:paraId="1992260E" w14:textId="77777777" w:rsidR="001358EC" w:rsidRDefault="00B36EFE">
            <w:pPr>
              <w:widowControl w:val="0"/>
              <w:rPr>
                <w:rFonts w:ascii="Times New Roman" w:hAnsi="Times New Roman" w:cs="Times New Roman"/>
                <w:noProof/>
                <w:sz w:val="24"/>
                <w:szCs w:val="24"/>
              </w:rPr>
            </w:pPr>
            <w:r>
              <w:rPr>
                <w:rFonts w:ascii="Times New Roman" w:hAnsi="Times New Roman"/>
                <w:noProof/>
                <w:sz w:val="24"/>
              </w:rPr>
              <w:t>Moyens</w:t>
            </w:r>
          </w:p>
        </w:tc>
        <w:tc>
          <w:tcPr>
            <w:tcW w:w="7853" w:type="dxa"/>
          </w:tcPr>
          <w:p w14:paraId="16CAAC9F" w14:textId="77777777" w:rsidR="001358EC" w:rsidRDefault="00B36EFE">
            <w:p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 Commission adoptera des </w:t>
            </w:r>
            <w:r>
              <w:rPr>
                <w:rFonts w:ascii="Times New Roman" w:hAnsi="Times New Roman"/>
                <w:b/>
                <w:noProof/>
                <w:color w:val="000000" w:themeColor="text1"/>
                <w:sz w:val="24"/>
              </w:rPr>
              <w:t>règles techniques relatives au changement de fournisseur</w:t>
            </w:r>
            <w:r>
              <w:rPr>
                <w:rFonts w:ascii="Times New Roman" w:hAnsi="Times New Roman"/>
                <w:noProof/>
                <w:color w:val="000000" w:themeColor="text1"/>
                <w:sz w:val="24"/>
              </w:rPr>
              <w:t xml:space="preserve"> (T1 2026); adoptera une</w:t>
            </w:r>
            <w:r>
              <w:rPr>
                <w:rFonts w:ascii="Times New Roman" w:hAnsi="Times New Roman"/>
                <w:b/>
                <w:noProof/>
                <w:color w:val="000000" w:themeColor="text1"/>
                <w:sz w:val="24"/>
              </w:rPr>
              <w:t xml:space="preserve"> recommandation sur le résumé des principales modalités et conditions</w:t>
            </w:r>
            <w:r>
              <w:rPr>
                <w:rFonts w:ascii="Times New Roman" w:hAnsi="Times New Roman"/>
                <w:noProof/>
                <w:color w:val="000000" w:themeColor="text1"/>
                <w:sz w:val="24"/>
              </w:rPr>
              <w:t xml:space="preserve"> des contrats énergétiques (T1 2026); et envisagera une </w:t>
            </w:r>
            <w:r>
              <w:rPr>
                <w:rFonts w:ascii="Times New Roman" w:hAnsi="Times New Roman"/>
                <w:b/>
                <w:noProof/>
                <w:color w:val="000000" w:themeColor="text1"/>
                <w:sz w:val="24"/>
              </w:rPr>
              <w:t>recommandation sur des modèles normalisés</w:t>
            </w:r>
            <w:r>
              <w:rPr>
                <w:rFonts w:ascii="Times New Roman" w:hAnsi="Times New Roman"/>
                <w:noProof/>
                <w:color w:val="000000" w:themeColor="text1"/>
                <w:sz w:val="24"/>
              </w:rPr>
              <w:t xml:space="preserve"> pour les factures énergétiques (2027).</w:t>
            </w:r>
          </w:p>
        </w:tc>
      </w:tr>
      <w:bookmarkEnd w:id="5"/>
    </w:tbl>
    <w:p w14:paraId="40BDE796" w14:textId="77777777" w:rsidR="001358EC" w:rsidRPr="0034630B" w:rsidRDefault="001358EC">
      <w:pPr>
        <w:spacing w:line="240" w:lineRule="auto"/>
        <w:rPr>
          <w:rFonts w:ascii="Times New Roman" w:hAnsi="Times New Roman" w:cs="Times New Roman"/>
          <w:b/>
          <w:smallCaps/>
          <w:noProof/>
          <w:sz w:val="24"/>
          <w:szCs w:val="24"/>
          <w:u w:val="single"/>
        </w:rPr>
      </w:pPr>
    </w:p>
    <w:p w14:paraId="506A416E" w14:textId="77777777" w:rsidR="001358EC" w:rsidRDefault="00B36EFE">
      <w:pPr>
        <w:jc w:val="center"/>
        <w:rPr>
          <w:rFonts w:ascii="Times New Roman" w:hAnsi="Times New Roman" w:cs="Times New Roman"/>
          <w:b/>
          <w:bCs/>
          <w:smallCaps/>
          <w:noProof/>
          <w:sz w:val="24"/>
          <w:szCs w:val="24"/>
          <w:u w:val="single"/>
        </w:rPr>
      </w:pPr>
      <w:bookmarkStart w:id="6" w:name="_Hlk219978164"/>
      <w:r>
        <w:rPr>
          <w:rFonts w:ascii="Times New Roman" w:hAnsi="Times New Roman"/>
          <w:b/>
          <w:smallCaps/>
          <w:noProof/>
          <w:sz w:val="24"/>
          <w:u w:val="single"/>
        </w:rPr>
        <w:t>Pilier II: protéger les consommateurs et leur donner les moyens d’agir</w:t>
      </w:r>
    </w:p>
    <w:p w14:paraId="175CEDEF" w14:textId="77777777" w:rsidR="001358EC" w:rsidRDefault="00B36EFE">
      <w:pPr>
        <w:spacing w:before="120" w:after="120" w:line="240" w:lineRule="auto"/>
        <w:rPr>
          <w:rFonts w:ascii="Times New Roman" w:hAnsi="Times New Roman" w:cs="Times New Roman"/>
          <w:b/>
          <w:bCs/>
          <w:noProof/>
          <w:color w:val="000000" w:themeColor="text1"/>
          <w:sz w:val="24"/>
          <w:szCs w:val="24"/>
          <w:u w:val="single"/>
        </w:rPr>
      </w:pPr>
      <w:bookmarkStart w:id="7" w:name="_Hlk219977860"/>
      <w:bookmarkEnd w:id="6"/>
      <w:r>
        <w:rPr>
          <w:rStyle w:val="normaltextrun"/>
          <w:rFonts w:ascii="Times New Roman" w:hAnsi="Times New Roman"/>
          <w:b/>
          <w:noProof/>
          <w:color w:val="000000" w:themeColor="text1"/>
          <w:sz w:val="24"/>
          <w:u w:val="single"/>
        </w:rPr>
        <w:t xml:space="preserve">Action nº 5: encourager l’autoproduction et le partage d’énergie entre citoyens </w:t>
      </w:r>
    </w:p>
    <w:bookmarkEnd w:id="7"/>
    <w:p w14:paraId="63209C8D" w14:textId="77777777" w:rsidR="001358EC" w:rsidRDefault="00B36EFE">
      <w:pPr>
        <w:widowControl w:val="0"/>
        <w:spacing w:before="120"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Les citoyens peuvent décider d’unir leurs forces et de constituer une </w:t>
      </w:r>
      <w:r>
        <w:rPr>
          <w:rFonts w:ascii="Times New Roman" w:hAnsi="Times New Roman"/>
          <w:b/>
          <w:noProof/>
          <w:color w:val="000000" w:themeColor="text1"/>
          <w:sz w:val="24"/>
        </w:rPr>
        <w:t>communauté énergétique</w:t>
      </w:r>
      <w:r>
        <w:rPr>
          <w:rFonts w:ascii="Times New Roman" w:hAnsi="Times New Roman"/>
          <w:noProof/>
          <w:color w:val="000000" w:themeColor="text1"/>
          <w:sz w:val="24"/>
        </w:rPr>
        <w:t xml:space="preserve"> pour gérer des investissements conjoints et produire et consommer de l’énergie renouvelable, par exemple au moyen de panneaux solaires, d’éoliennes et de systèmes de chauffage urbain. </w:t>
      </w:r>
      <w:r>
        <w:rPr>
          <w:rFonts w:ascii="Times New Roman" w:hAnsi="Times New Roman"/>
          <w:noProof/>
        </w:rPr>
        <w:t>Il</w:t>
      </w:r>
      <w:r>
        <w:rPr>
          <w:rFonts w:ascii="Times New Roman" w:hAnsi="Times New Roman"/>
          <w:noProof/>
          <w:color w:val="000000" w:themeColor="text1"/>
          <w:sz w:val="24"/>
        </w:rPr>
        <w:t xml:space="preserve"> s’agit d’un droit garanti par le droit de l’UE</w:t>
      </w:r>
      <w:r>
        <w:rPr>
          <w:rStyle w:val="FootnoteReference"/>
          <w:rFonts w:ascii="Times New Roman" w:eastAsia="Times New Roman" w:hAnsi="Times New Roman" w:cs="Times New Roman"/>
          <w:noProof/>
          <w:color w:val="000000" w:themeColor="text1"/>
          <w:sz w:val="24"/>
          <w:szCs w:val="24"/>
          <w:lang w:val="en-IE"/>
        </w:rPr>
        <w:footnoteReference w:id="18"/>
      </w:r>
      <w:r>
        <w:rPr>
          <w:noProof/>
        </w:rPr>
        <w:t>.</w:t>
      </w:r>
      <w:r>
        <w:rPr>
          <w:rFonts w:ascii="Times New Roman" w:hAnsi="Times New Roman"/>
          <w:noProof/>
          <w:color w:val="000000" w:themeColor="text1"/>
          <w:sz w:val="24"/>
        </w:rPr>
        <w:t xml:space="preserve"> Alors que plus de 8 000 communautés énergétiques sont actuellement actives en Europe</w:t>
      </w:r>
      <w:r>
        <w:rPr>
          <w:rStyle w:val="FootnoteReference"/>
          <w:rFonts w:ascii="Times New Roman" w:eastAsia="Times New Roman" w:hAnsi="Times New Roman" w:cs="Times New Roman"/>
          <w:noProof/>
          <w:color w:val="000000" w:themeColor="text1"/>
          <w:sz w:val="24"/>
          <w:szCs w:val="24"/>
          <w:lang w:val="en-IE"/>
        </w:rPr>
        <w:footnoteReference w:id="19"/>
      </w:r>
      <w:r>
        <w:rPr>
          <w:rFonts w:ascii="Times New Roman" w:hAnsi="Times New Roman"/>
          <w:noProof/>
          <w:color w:val="000000" w:themeColor="text1"/>
          <w:sz w:val="24"/>
        </w:rPr>
        <w:t xml:space="preserve">, le </w:t>
      </w:r>
      <w:r>
        <w:rPr>
          <w:rFonts w:ascii="Times New Roman" w:hAnsi="Times New Roman"/>
          <w:b/>
          <w:bCs/>
          <w:noProof/>
          <w:color w:val="000000" w:themeColor="text1"/>
          <w:sz w:val="24"/>
        </w:rPr>
        <w:t>potentiel inexploité</w:t>
      </w:r>
      <w:r>
        <w:rPr>
          <w:rFonts w:ascii="Times New Roman" w:hAnsi="Times New Roman"/>
          <w:noProof/>
          <w:color w:val="000000" w:themeColor="text1"/>
          <w:sz w:val="24"/>
        </w:rPr>
        <w:t xml:space="preserve"> est énorme, en particulier dans les zones rurales, </w:t>
      </w:r>
      <w:r>
        <w:rPr>
          <w:rFonts w:ascii="Times New Roman" w:hAnsi="Times New Roman"/>
          <w:noProof/>
          <w:color w:val="000000" w:themeColor="text1"/>
          <w:sz w:val="24"/>
          <w:u w:val="single"/>
        </w:rPr>
        <w:t>par exemple grâce à la production d’énergie renouvelable, y compris de biogaz et de biométhane, et à la gestion des déchets</w:t>
      </w:r>
      <w:r>
        <w:rPr>
          <w:rFonts w:ascii="Times New Roman" w:hAnsi="Times New Roman"/>
          <w:noProof/>
          <w:color w:val="000000" w:themeColor="text1"/>
          <w:sz w:val="24"/>
        </w:rPr>
        <w:t xml:space="preserve">. Des avantages collectifs peuvent également être obtenus en </w:t>
      </w:r>
      <w:r>
        <w:rPr>
          <w:rFonts w:ascii="Times New Roman" w:hAnsi="Times New Roman"/>
          <w:b/>
          <w:noProof/>
          <w:color w:val="000000" w:themeColor="text1"/>
          <w:sz w:val="24"/>
        </w:rPr>
        <w:t>partageant l’énergie</w:t>
      </w:r>
      <w:r>
        <w:rPr>
          <w:rFonts w:ascii="Times New Roman" w:hAnsi="Times New Roman"/>
          <w:noProof/>
          <w:color w:val="000000" w:themeColor="text1"/>
          <w:sz w:val="24"/>
        </w:rPr>
        <w:t>. Cela permet à un plus grand groupe</w:t>
      </w:r>
      <w:r>
        <w:rPr>
          <w:rFonts w:ascii="Times New Roman" w:hAnsi="Times New Roman"/>
          <w:noProof/>
          <w:sz w:val="24"/>
        </w:rPr>
        <w:t xml:space="preserve"> de personnes, </w:t>
      </w:r>
      <w:r>
        <w:rPr>
          <w:rFonts w:ascii="Times New Roman" w:hAnsi="Times New Roman"/>
          <w:noProof/>
          <w:color w:val="000000" w:themeColor="text1"/>
          <w:sz w:val="24"/>
        </w:rPr>
        <w:t>telles que les locataires, les ménages à faible revenu et ceux qui ne disposent pas d’un espace approprié</w:t>
      </w:r>
      <w:r>
        <w:rPr>
          <w:rFonts w:ascii="Times New Roman" w:hAnsi="Times New Roman"/>
          <w:noProof/>
          <w:sz w:val="24"/>
        </w:rPr>
        <w:t xml:space="preserve">, de bénéficier directement de </w:t>
      </w:r>
      <w:r>
        <w:rPr>
          <w:rFonts w:ascii="Times New Roman" w:hAnsi="Times New Roman"/>
          <w:noProof/>
          <w:color w:val="000000" w:themeColor="text1"/>
          <w:sz w:val="24"/>
        </w:rPr>
        <w:t>l’énergie renouvelable produite localement</w:t>
      </w:r>
      <w:r>
        <w:rPr>
          <w:rFonts w:ascii="Times New Roman" w:hAnsi="Times New Roman"/>
          <w:noProof/>
          <w:sz w:val="24"/>
        </w:rPr>
        <w:t>.</w:t>
      </w:r>
      <w:r>
        <w:rPr>
          <w:rFonts w:ascii="Times New Roman" w:hAnsi="Times New Roman"/>
          <w:noProof/>
          <w:color w:val="000000" w:themeColor="text1"/>
          <w:sz w:val="24"/>
        </w:rPr>
        <w:t xml:space="preserve"> </w:t>
      </w:r>
      <w:r>
        <w:rPr>
          <w:rFonts w:ascii="Times New Roman" w:hAnsi="Times New Roman"/>
          <w:noProof/>
          <w:sz w:val="24"/>
        </w:rPr>
        <w:t xml:space="preserve">L’autoproduction et le partage de l’énergie entraînent une plus grande autonomie et un accès stable à des prix abordables et moins volatils et rendent le système énergétique plus efficace. </w:t>
      </w:r>
    </w:p>
    <w:p w14:paraId="7522A5EF" w14:textId="77777777" w:rsidR="001358EC" w:rsidRDefault="00B36EFE">
      <w:pPr>
        <w:spacing w:before="120" w:after="120" w:line="240" w:lineRule="auto"/>
        <w:jc w:val="both"/>
        <w:rPr>
          <w:rFonts w:ascii="Times New Roman" w:eastAsia="Times New Roman" w:hAnsi="Times New Roman" w:cs="Times New Roman"/>
          <w:noProof/>
          <w:color w:val="000000" w:themeColor="text1"/>
          <w:sz w:val="24"/>
          <w:szCs w:val="24"/>
          <w:vertAlign w:val="superscript"/>
        </w:rPr>
      </w:pPr>
      <w:r>
        <w:rPr>
          <w:rFonts w:ascii="Times New Roman" w:hAnsi="Times New Roman"/>
          <w:noProof/>
          <w:sz w:val="24"/>
        </w:rPr>
        <w:t>D’ici à 2030, plus de 16 millions de ménages et 630 000 PME pourraient produire leur propre énergie renouvelable</w:t>
      </w:r>
      <w:r>
        <w:rPr>
          <w:rStyle w:val="FootnoteReference"/>
          <w:rFonts w:ascii="Times New Roman" w:hAnsi="Times New Roman"/>
          <w:noProof/>
          <w:sz w:val="24"/>
          <w:szCs w:val="24"/>
          <w:lang w:val="en-US"/>
        </w:rPr>
        <w:footnoteReference w:id="20"/>
      </w:r>
      <w:r>
        <w:rPr>
          <w:noProof/>
          <w:color w:val="000000" w:themeColor="text1"/>
        </w:rPr>
        <w:t>.</w:t>
      </w:r>
      <w:r>
        <w:rPr>
          <w:rStyle w:val="FootnoteReference"/>
          <w:rFonts w:ascii="Times New Roman" w:hAnsi="Times New Roman"/>
          <w:noProof/>
          <w:sz w:val="24"/>
        </w:rPr>
        <w:t xml:space="preserve"> </w:t>
      </w:r>
      <w:r>
        <w:rPr>
          <w:rFonts w:ascii="Times New Roman" w:hAnsi="Times New Roman"/>
          <w:noProof/>
          <w:color w:val="000000" w:themeColor="text1"/>
          <w:sz w:val="24"/>
        </w:rPr>
        <w:t xml:space="preserve">Il est possible d’aller </w:t>
      </w:r>
      <w:r>
        <w:rPr>
          <w:rFonts w:ascii="Times New Roman" w:hAnsi="Times New Roman"/>
          <w:b/>
          <w:noProof/>
          <w:color w:val="000000" w:themeColor="text1"/>
          <w:sz w:val="24"/>
        </w:rPr>
        <w:t>jusqu’à décupler</w:t>
      </w:r>
      <w:r>
        <w:rPr>
          <w:rFonts w:ascii="Times New Roman" w:hAnsi="Times New Roman"/>
          <w:noProof/>
          <w:sz w:val="24"/>
        </w:rPr>
        <w:t xml:space="preserve"> la capacité installée d’énergie renouvelable des communautés de ménages</w:t>
      </w:r>
      <w:r>
        <w:rPr>
          <w:rStyle w:val="FootnoteReference"/>
          <w:rFonts w:ascii="Times New Roman" w:eastAsia="Times New Roman" w:hAnsi="Times New Roman" w:cs="Times New Roman"/>
          <w:noProof/>
          <w:sz w:val="24"/>
          <w:szCs w:val="24"/>
          <w:lang w:val="en-GB"/>
        </w:rPr>
        <w:footnoteReference w:id="21"/>
      </w:r>
      <w:r>
        <w:rPr>
          <w:rFonts w:ascii="Times New Roman" w:hAnsi="Times New Roman"/>
          <w:noProof/>
          <w:sz w:val="24"/>
        </w:rPr>
        <w:t>. Les ménages individuels qui produisent et consomment leur propre énergie solaire peuvent réaliser des économies de 260 à 550 EUR par an. Pour les communautés de ménages produisant une combinaison d’énergie éolienne et solaire, ces économies pourraient être comprises entre 440 et 930 EUR par an</w:t>
      </w:r>
      <w:r>
        <w:rPr>
          <w:rFonts w:ascii="Times New Roman" w:eastAsia="Times New Roman" w:hAnsi="Times New Roman" w:cs="Times New Roman"/>
          <w:noProof/>
          <w:color w:val="000000" w:themeColor="text1"/>
          <w:sz w:val="24"/>
          <w:szCs w:val="24"/>
          <w:vertAlign w:val="superscript"/>
          <w:lang w:val="en-GB"/>
        </w:rPr>
        <w:footnoteReference w:id="22"/>
      </w:r>
      <w:r>
        <w:rPr>
          <w:rFonts w:ascii="Times New Roman" w:hAnsi="Times New Roman"/>
          <w:noProof/>
          <w:sz w:val="24"/>
        </w:rPr>
        <w:t>.</w:t>
      </w:r>
    </w:p>
    <w:p w14:paraId="4D44C46C" w14:textId="77777777" w:rsidR="001358EC" w:rsidRDefault="00B36EFE">
      <w:pPr>
        <w:widowControl w:val="0"/>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Pour réaliser ce potentiel, les communautés énergétiques doivent être habilitées à partager l’électricité sans être soumises à des frais de fournisseurs excessifs, à vendre l’énergie excédentaire et à exploiter leur potentiel pour compenser une demande forte ou faible du marché. Les exigences administratives doivent être réduites au minimum. Une aide ciblée devrait être fournie pour garantir l’accessibilité aux ménages vulnérables et en situation de précarité énergétique. Afin d’accompagner les États membres dans cette entreprise, la Commission publiera un </w:t>
      </w:r>
      <w:r>
        <w:rPr>
          <w:rFonts w:ascii="Times New Roman" w:hAnsi="Times New Roman"/>
          <w:b/>
          <w:noProof/>
          <w:sz w:val="24"/>
        </w:rPr>
        <w:t>plan d’action sur les communautés énergétiques</w:t>
      </w:r>
      <w:r>
        <w:rPr>
          <w:rFonts w:ascii="Times New Roman" w:hAnsi="Times New Roman"/>
          <w:noProof/>
          <w:sz w:val="24"/>
        </w:rPr>
        <w:t>.</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7853"/>
      </w:tblGrid>
      <w:tr w:rsidR="001358EC" w14:paraId="27AFEE1E" w14:textId="77777777">
        <w:tc>
          <w:tcPr>
            <w:tcW w:w="1163" w:type="dxa"/>
            <w:vAlign w:val="center"/>
            <w:hideMark/>
          </w:tcPr>
          <w:p w14:paraId="62305426" w14:textId="77777777" w:rsidR="001358EC" w:rsidRDefault="00B36EFE">
            <w:pPr>
              <w:widowControl w:val="0"/>
              <w:rPr>
                <w:rFonts w:ascii="Times New Roman" w:hAnsi="Times New Roman" w:cs="Times New Roman"/>
                <w:noProof/>
                <w:sz w:val="24"/>
                <w:szCs w:val="24"/>
              </w:rPr>
            </w:pPr>
            <w:bookmarkStart w:id="9" w:name="_Hlk219977892"/>
            <w:r>
              <w:rPr>
                <w:rFonts w:ascii="Times New Roman" w:hAnsi="Times New Roman"/>
                <w:noProof/>
                <w:sz w:val="24"/>
              </w:rPr>
              <w:t>Objectif</w:t>
            </w:r>
          </w:p>
        </w:tc>
        <w:tc>
          <w:tcPr>
            <w:tcW w:w="7853" w:type="dxa"/>
            <w:vAlign w:val="center"/>
            <w:hideMark/>
          </w:tcPr>
          <w:p w14:paraId="73192BBD" w14:textId="77777777" w:rsidR="001358EC" w:rsidRDefault="00B36EFE">
            <w:pPr>
              <w:widowControl w:val="0"/>
              <w:jc w:val="both"/>
              <w:rPr>
                <w:rFonts w:ascii="Times New Roman" w:hAnsi="Times New Roman" w:cs="Times New Roman"/>
                <w:b/>
                <w:noProof/>
                <w:sz w:val="24"/>
                <w:szCs w:val="24"/>
              </w:rPr>
            </w:pPr>
            <w:r>
              <w:rPr>
                <w:rFonts w:ascii="Times New Roman" w:hAnsi="Times New Roman"/>
                <w:b/>
                <w:noProof/>
                <w:sz w:val="24"/>
              </w:rPr>
              <w:t>Exploiter le potentiel des communautés énergétiques pour aller jusqu’à décupler leur capacité installée d’énergie renouvelable dans l’UE d’ici à 2030, permettant ainsi la production d’électricité renouvelable pour 25 à 30 millions de ménages.</w:t>
            </w:r>
          </w:p>
        </w:tc>
      </w:tr>
      <w:tr w:rsidR="001358EC" w14:paraId="10175CAC" w14:textId="77777777">
        <w:tc>
          <w:tcPr>
            <w:tcW w:w="1163" w:type="dxa"/>
            <w:vAlign w:val="center"/>
          </w:tcPr>
          <w:p w14:paraId="234EC380" w14:textId="77777777" w:rsidR="001358EC" w:rsidRDefault="00B36EFE">
            <w:pPr>
              <w:widowControl w:val="0"/>
              <w:rPr>
                <w:rFonts w:ascii="Times New Roman" w:hAnsi="Times New Roman" w:cs="Times New Roman"/>
                <w:noProof/>
                <w:sz w:val="24"/>
                <w:szCs w:val="24"/>
              </w:rPr>
            </w:pPr>
            <w:r>
              <w:rPr>
                <w:rFonts w:ascii="Times New Roman" w:hAnsi="Times New Roman"/>
                <w:noProof/>
                <w:sz w:val="24"/>
              </w:rPr>
              <w:t>Résultat</w:t>
            </w:r>
          </w:p>
        </w:tc>
        <w:tc>
          <w:tcPr>
            <w:tcW w:w="7853" w:type="dxa"/>
            <w:vAlign w:val="center"/>
          </w:tcPr>
          <w:p w14:paraId="1FAECDBC" w14:textId="77777777" w:rsidR="001358EC" w:rsidRDefault="00B36EFE">
            <w:pPr>
              <w:widowControl w:val="0"/>
              <w:jc w:val="both"/>
              <w:rPr>
                <w:rFonts w:ascii="Times New Roman" w:hAnsi="Times New Roman" w:cs="Times New Roman"/>
                <w:noProof/>
                <w:sz w:val="24"/>
                <w:szCs w:val="24"/>
              </w:rPr>
            </w:pPr>
            <w:r>
              <w:rPr>
                <w:rFonts w:ascii="Times New Roman" w:hAnsi="Times New Roman"/>
                <w:noProof/>
                <w:sz w:val="24"/>
              </w:rPr>
              <w:t xml:space="preserve">Économies potentielles de </w:t>
            </w:r>
            <w:r>
              <w:rPr>
                <w:rFonts w:ascii="Times New Roman" w:hAnsi="Times New Roman"/>
                <w:b/>
                <w:noProof/>
                <w:sz w:val="24"/>
              </w:rPr>
              <w:t>260 à 550 EUR par an</w:t>
            </w:r>
            <w:r>
              <w:rPr>
                <w:rFonts w:ascii="Times New Roman" w:hAnsi="Times New Roman"/>
                <w:noProof/>
                <w:sz w:val="24"/>
              </w:rPr>
              <w:t xml:space="preserve"> pour les ménages individuels et avantages financiers potentiels de </w:t>
            </w:r>
            <w:r>
              <w:rPr>
                <w:rFonts w:ascii="Times New Roman" w:hAnsi="Times New Roman"/>
                <w:b/>
                <w:noProof/>
                <w:sz w:val="24"/>
              </w:rPr>
              <w:t>440 à 930 EUR par an</w:t>
            </w:r>
            <w:r>
              <w:rPr>
                <w:rFonts w:ascii="Times New Roman" w:hAnsi="Times New Roman"/>
                <w:noProof/>
                <w:sz w:val="24"/>
              </w:rPr>
              <w:t xml:space="preserve"> pour les communautés.</w:t>
            </w:r>
          </w:p>
        </w:tc>
      </w:tr>
      <w:tr w:rsidR="001358EC" w14:paraId="02AEF217" w14:textId="77777777">
        <w:tc>
          <w:tcPr>
            <w:tcW w:w="1163" w:type="dxa"/>
            <w:vAlign w:val="center"/>
          </w:tcPr>
          <w:p w14:paraId="6B4AEEE0" w14:textId="77777777" w:rsidR="001358EC" w:rsidRDefault="00B36EFE">
            <w:pPr>
              <w:widowControl w:val="0"/>
              <w:rPr>
                <w:rFonts w:ascii="Times New Roman" w:hAnsi="Times New Roman" w:cs="Times New Roman"/>
                <w:noProof/>
                <w:sz w:val="24"/>
                <w:szCs w:val="24"/>
              </w:rPr>
            </w:pPr>
            <w:r>
              <w:rPr>
                <w:rFonts w:ascii="Times New Roman" w:hAnsi="Times New Roman"/>
                <w:noProof/>
                <w:sz w:val="24"/>
              </w:rPr>
              <w:t>Moyens</w:t>
            </w:r>
          </w:p>
        </w:tc>
        <w:tc>
          <w:tcPr>
            <w:tcW w:w="7853" w:type="dxa"/>
            <w:vAlign w:val="center"/>
          </w:tcPr>
          <w:p w14:paraId="34BAF0A6" w14:textId="77777777" w:rsidR="001358EC" w:rsidRDefault="00B36EFE">
            <w:pPr>
              <w:widowControl w:val="0"/>
              <w:jc w:val="both"/>
              <w:rPr>
                <w:rFonts w:ascii="Times New Roman" w:hAnsi="Times New Roman" w:cs="Times New Roman"/>
                <w:noProof/>
                <w:sz w:val="24"/>
                <w:szCs w:val="24"/>
              </w:rPr>
            </w:pPr>
            <w:r>
              <w:rPr>
                <w:rFonts w:ascii="Times New Roman" w:hAnsi="Times New Roman"/>
                <w:noProof/>
                <w:sz w:val="24"/>
              </w:rPr>
              <w:t xml:space="preserve">La Commission </w:t>
            </w:r>
            <w:r>
              <w:rPr>
                <w:rFonts w:ascii="Times New Roman" w:hAnsi="Times New Roman"/>
                <w:b/>
                <w:noProof/>
                <w:sz w:val="24"/>
              </w:rPr>
              <w:t>fournira aux États membres des orientations concernant la manière de libérer le potentiel des communautés énergétiques et de l’autoconsommation d’énergie</w:t>
            </w:r>
            <w:r>
              <w:rPr>
                <w:rFonts w:ascii="Times New Roman" w:hAnsi="Times New Roman"/>
                <w:noProof/>
                <w:sz w:val="24"/>
              </w:rPr>
              <w:t xml:space="preserve">, y compris le partage de bonnes pratiques, sur la base d’une évaluation des obstacles potentiels et existants (T1 2026); </w:t>
            </w:r>
            <w:r>
              <w:rPr>
                <w:rFonts w:ascii="Times New Roman" w:hAnsi="Times New Roman"/>
                <w:noProof/>
                <w:color w:val="000000" w:themeColor="text1"/>
                <w:sz w:val="24"/>
              </w:rPr>
              <w:t>adoptera un</w:t>
            </w:r>
            <w:r>
              <w:rPr>
                <w:rFonts w:ascii="Times New Roman" w:hAnsi="Times New Roman"/>
                <w:b/>
                <w:noProof/>
                <w:color w:val="000000" w:themeColor="text1"/>
                <w:sz w:val="24"/>
              </w:rPr>
              <w:t xml:space="preserve"> règlement d’exécution sur l’interopérabilité des données</w:t>
            </w:r>
            <w:r>
              <w:rPr>
                <w:rFonts w:ascii="Times New Roman" w:hAnsi="Times New Roman"/>
                <w:noProof/>
                <w:color w:val="000000" w:themeColor="text1"/>
                <w:sz w:val="24"/>
              </w:rPr>
              <w:t xml:space="preserve"> afin de garantir que le partage d’énergie est facile à utiliser et entièrement automatisé pour les consommateurs </w:t>
            </w:r>
            <w:r>
              <w:rPr>
                <w:rFonts w:ascii="Times New Roman" w:hAnsi="Times New Roman"/>
                <w:noProof/>
                <w:sz w:val="24"/>
              </w:rPr>
              <w:t xml:space="preserve">(2027); et </w:t>
            </w:r>
            <w:r>
              <w:rPr>
                <w:rFonts w:ascii="Times New Roman" w:hAnsi="Times New Roman"/>
                <w:noProof/>
                <w:color w:val="000000" w:themeColor="text1"/>
                <w:sz w:val="24"/>
              </w:rPr>
              <w:t>publiera une série de</w:t>
            </w:r>
            <w:r>
              <w:rPr>
                <w:rFonts w:ascii="Times New Roman" w:hAnsi="Times New Roman"/>
                <w:b/>
                <w:noProof/>
                <w:color w:val="000000" w:themeColor="text1"/>
                <w:sz w:val="24"/>
              </w:rPr>
              <w:t xml:space="preserve"> guides pratiques, étape par étape</w:t>
            </w:r>
            <w:r>
              <w:rPr>
                <w:rFonts w:ascii="Times New Roman" w:hAnsi="Times New Roman"/>
                <w:noProof/>
                <w:color w:val="000000" w:themeColor="text1"/>
                <w:sz w:val="24"/>
              </w:rPr>
              <w:t>, sur la manière de mettre en place et de gérer des projets énergétiques communautaires à l’intention des ménages et d’autres parties prenantes, y compris les PME, les agriculteurs et les pouvoirs publics (2026-2027).</w:t>
            </w:r>
          </w:p>
        </w:tc>
      </w:tr>
    </w:tbl>
    <w:p w14:paraId="0C8A1168" w14:textId="77777777" w:rsidR="001358EC" w:rsidRDefault="001358EC">
      <w:pPr>
        <w:rPr>
          <w:rFonts w:ascii="Times New Roman" w:eastAsia="Times New Roman" w:hAnsi="Times New Roman" w:cs="Times New Roman"/>
          <w:b/>
          <w:bCs/>
          <w:noProof/>
          <w:color w:val="000000" w:themeColor="text1"/>
          <w:sz w:val="24"/>
          <w:szCs w:val="24"/>
          <w:u w:val="single"/>
        </w:rPr>
      </w:pPr>
      <w:bookmarkStart w:id="10" w:name="_Hlk219977904"/>
      <w:bookmarkEnd w:id="9"/>
    </w:p>
    <w:p w14:paraId="27CA8D57" w14:textId="77777777" w:rsidR="001358EC" w:rsidRDefault="00B36EFE">
      <w:pPr>
        <w:rPr>
          <w:rFonts w:ascii="Times New Roman" w:eastAsia="Times New Roman" w:hAnsi="Times New Roman" w:cs="Times New Roman"/>
          <w:b/>
          <w:bCs/>
          <w:noProof/>
          <w:color w:val="000000" w:themeColor="text1"/>
          <w:sz w:val="24"/>
          <w:szCs w:val="24"/>
          <w:u w:val="single"/>
        </w:rPr>
      </w:pPr>
      <w:r>
        <w:rPr>
          <w:rFonts w:ascii="Times New Roman" w:hAnsi="Times New Roman"/>
          <w:b/>
          <w:noProof/>
          <w:color w:val="000000" w:themeColor="text1"/>
          <w:sz w:val="24"/>
          <w:u w:val="single"/>
        </w:rPr>
        <w:t>Action nº 6: promouvoir la flexibilité grâce à des contrats de détail</w:t>
      </w:r>
    </w:p>
    <w:bookmarkEnd w:id="10"/>
    <w:p w14:paraId="209D02D0" w14:textId="03A4266C" w:rsidR="001358EC" w:rsidRDefault="00B36EFE">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Les consommateurs ayant des contrats de détail flexibles peuvent réaliser d’importantes économies.</w:t>
      </w:r>
      <w:r>
        <w:rPr>
          <w:rFonts w:ascii="Times New Roman" w:hAnsi="Times New Roman"/>
          <w:noProof/>
          <w:color w:val="000000" w:themeColor="text1"/>
          <w:sz w:val="24"/>
        </w:rPr>
        <w:t xml:space="preserve"> Dans certains cas, les factures d’électricité peuvent être jusqu’à </w:t>
      </w:r>
      <w:r>
        <w:rPr>
          <w:rFonts w:ascii="Times New Roman" w:hAnsi="Times New Roman"/>
          <w:b/>
          <w:noProof/>
          <w:color w:val="000000" w:themeColor="text1"/>
          <w:sz w:val="24"/>
        </w:rPr>
        <w:t>40 % moins élevées</w:t>
      </w:r>
      <w:r>
        <w:rPr>
          <w:rFonts w:ascii="Times New Roman" w:hAnsi="Times New Roman"/>
          <w:noProof/>
          <w:color w:val="000000" w:themeColor="text1"/>
          <w:sz w:val="24"/>
        </w:rPr>
        <w:t>, lorsque la demande de chauffage est déplacée vers des périodes où les prix de l’électricité sont bas</w:t>
      </w:r>
      <w:r>
        <w:rPr>
          <w:rStyle w:val="FootnoteReference"/>
          <w:rFonts w:ascii="Times New Roman" w:eastAsia="Times New Roman" w:hAnsi="Times New Roman" w:cs="Times New Roman"/>
          <w:noProof/>
          <w:color w:val="000000" w:themeColor="text1"/>
          <w:sz w:val="24"/>
          <w:szCs w:val="24"/>
          <w:lang w:val="en-US"/>
        </w:rPr>
        <w:footnoteReference w:id="23"/>
      </w:r>
      <w:r>
        <w:rPr>
          <w:rFonts w:ascii="Times New Roman" w:hAnsi="Times New Roman"/>
          <w:noProof/>
          <w:color w:val="000000" w:themeColor="text1"/>
          <w:sz w:val="24"/>
        </w:rPr>
        <w:t xml:space="preserve">. C’est l’une des raisons pour lesquelles la flexibilité de la demande devrait être activement encouragée dans l’ensemble de l’UE. Parmi ses avantages figure la réduction de la production d’électricité et des coûts de réseau, ainsi que des besoins en matière de mesures de soutien des capacités, avec des économies annuelles potentielles estimées à </w:t>
      </w:r>
      <w:r>
        <w:rPr>
          <w:rFonts w:ascii="Times New Roman" w:hAnsi="Times New Roman"/>
          <w:b/>
          <w:noProof/>
          <w:color w:val="000000" w:themeColor="text1"/>
          <w:sz w:val="24"/>
        </w:rPr>
        <w:t>2,7 milliards d’EUR d’ici à 2030</w:t>
      </w:r>
      <w:r>
        <w:rPr>
          <w:rStyle w:val="FootnoteReference"/>
          <w:rFonts w:ascii="Times New Roman" w:eastAsia="Times New Roman" w:hAnsi="Times New Roman" w:cs="Times New Roman"/>
          <w:noProof/>
          <w:color w:val="000000" w:themeColor="text1"/>
          <w:sz w:val="24"/>
          <w:szCs w:val="24"/>
          <w:lang w:val="en-US"/>
        </w:rPr>
        <w:footnoteReference w:id="24"/>
      </w:r>
      <w:r>
        <w:rPr>
          <w:rFonts w:ascii="Times New Roman" w:hAnsi="Times New Roman"/>
          <w:noProof/>
          <w:color w:val="000000" w:themeColor="text1"/>
          <w:sz w:val="24"/>
        </w:rPr>
        <w:t xml:space="preserve">. </w:t>
      </w:r>
    </w:p>
    <w:p w14:paraId="4281A357" w14:textId="77777777" w:rsidR="001358EC" w:rsidRDefault="00B36EFE">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Pour obtenir ces avantages, il faut veiller à ce que </w:t>
      </w:r>
      <w:r>
        <w:rPr>
          <w:rFonts w:ascii="Times New Roman" w:hAnsi="Times New Roman"/>
          <w:b/>
          <w:noProof/>
          <w:color w:val="000000" w:themeColor="text1"/>
          <w:sz w:val="24"/>
        </w:rPr>
        <w:t>les contrats de détail flexibles</w:t>
      </w:r>
      <w:r>
        <w:rPr>
          <w:rFonts w:ascii="Times New Roman" w:hAnsi="Times New Roman"/>
          <w:noProof/>
          <w:sz w:val="24"/>
        </w:rPr>
        <w:t xml:space="preserve"> </w:t>
      </w:r>
      <w:r>
        <w:rPr>
          <w:rFonts w:ascii="Times New Roman" w:hAnsi="Times New Roman"/>
          <w:b/>
          <w:noProof/>
          <w:sz w:val="24"/>
        </w:rPr>
        <w:t>soient largement disponibles</w:t>
      </w:r>
      <w:r>
        <w:rPr>
          <w:rFonts w:ascii="Times New Roman" w:hAnsi="Times New Roman"/>
          <w:noProof/>
          <w:sz w:val="24"/>
        </w:rPr>
        <w:t xml:space="preserve">; que les consommateurs aient </w:t>
      </w:r>
      <w:r>
        <w:rPr>
          <w:rFonts w:ascii="Times New Roman" w:hAnsi="Times New Roman"/>
          <w:b/>
          <w:noProof/>
          <w:sz w:val="24"/>
        </w:rPr>
        <w:t>accès à une tarification transparente et à des informations fiables</w:t>
      </w:r>
      <w:r>
        <w:rPr>
          <w:rFonts w:ascii="Times New Roman" w:hAnsi="Times New Roman"/>
          <w:noProof/>
          <w:sz w:val="24"/>
        </w:rPr>
        <w:t xml:space="preserve">, </w:t>
      </w:r>
      <w:r>
        <w:rPr>
          <w:rFonts w:ascii="Times New Roman" w:hAnsi="Times New Roman"/>
          <w:noProof/>
          <w:color w:val="000000" w:themeColor="text1"/>
          <w:sz w:val="24"/>
        </w:rPr>
        <w:t xml:space="preserve">ainsi qu’à des </w:t>
      </w:r>
      <w:r>
        <w:rPr>
          <w:rFonts w:ascii="Times New Roman" w:hAnsi="Times New Roman"/>
          <w:b/>
          <w:noProof/>
          <w:color w:val="000000" w:themeColor="text1"/>
          <w:sz w:val="24"/>
        </w:rPr>
        <w:t>conseils ciblés</w:t>
      </w:r>
      <w:r>
        <w:rPr>
          <w:rFonts w:ascii="Times New Roman" w:hAnsi="Times New Roman"/>
          <w:noProof/>
          <w:color w:val="000000" w:themeColor="text1"/>
          <w:sz w:val="24"/>
        </w:rPr>
        <w:t xml:space="preserve"> sur la manière de choisir le contrat de fourniture le mieux adapté à leurs besoins; </w:t>
      </w:r>
      <w:r>
        <w:rPr>
          <w:rFonts w:ascii="Times New Roman" w:hAnsi="Times New Roman"/>
          <w:noProof/>
          <w:sz w:val="24"/>
        </w:rPr>
        <w:t xml:space="preserve">et que les </w:t>
      </w:r>
      <w:r>
        <w:rPr>
          <w:rFonts w:ascii="Times New Roman" w:hAnsi="Times New Roman"/>
          <w:b/>
          <w:noProof/>
          <w:sz w:val="24"/>
        </w:rPr>
        <w:t xml:space="preserve">outils techniques </w:t>
      </w:r>
      <w:r>
        <w:rPr>
          <w:rFonts w:ascii="Times New Roman" w:hAnsi="Times New Roman"/>
          <w:noProof/>
          <w:sz w:val="24"/>
        </w:rPr>
        <w:t xml:space="preserve">nécessaires soient en place. </w:t>
      </w:r>
      <w:r>
        <w:rPr>
          <w:rFonts w:ascii="Times New Roman" w:hAnsi="Times New Roman"/>
          <w:noProof/>
          <w:color w:val="000000" w:themeColor="text1"/>
          <w:sz w:val="24"/>
        </w:rPr>
        <w:t xml:space="preserve">Les </w:t>
      </w:r>
      <w:r>
        <w:rPr>
          <w:rFonts w:ascii="Times New Roman" w:hAnsi="Times New Roman"/>
          <w:b/>
          <w:noProof/>
          <w:color w:val="000000" w:themeColor="text1"/>
          <w:sz w:val="24"/>
        </w:rPr>
        <w:t>systèmes intelligents de mesure</w:t>
      </w:r>
      <w:r>
        <w:rPr>
          <w:rFonts w:ascii="Times New Roman" w:hAnsi="Times New Roman"/>
          <w:noProof/>
          <w:color w:val="000000" w:themeColor="text1"/>
          <w:sz w:val="24"/>
        </w:rPr>
        <w:t xml:space="preserve"> sont essentiels: ils fournissent les données nécessaires pour que la flexibilité fonctionne. Un accès efficace aux données pertinentes facilite davantage une plus grande automatisation, améliorant ainsi l’expérience des consommateurs, tout en garantissant une protection élevée des données.</w:t>
      </w:r>
    </w:p>
    <w:p w14:paraId="02642487" w14:textId="77777777" w:rsidR="001358EC" w:rsidRDefault="00B36EFE">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Promouvoir la flexibilité revient également à lever les obstacles auxquels se heurtent les fournisseurs de services de flexibilité, c’est-à-dire les entreprises qui récompensent leurs clients pour avoir déplacé leur consommation d’électricité des heures de pointe vers des périodes moins chères, réduisant ainsi la pression sur les réseaux locaux. La Commission fournira des orientations pour contribuer à supprimer ces obstacles, tels que des mesures dissuasives ou des signaux de prix inappropriés.</w:t>
      </w:r>
    </w:p>
    <w:p w14:paraId="56D9F7A7" w14:textId="7FBAE677" w:rsidR="001358EC" w:rsidRDefault="00B36EFE">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En dehors de l’UE, </w:t>
      </w:r>
      <w:r>
        <w:rPr>
          <w:rFonts w:ascii="Times New Roman" w:hAnsi="Times New Roman"/>
          <w:i/>
          <w:noProof/>
          <w:color w:val="000000" w:themeColor="text1"/>
          <w:sz w:val="24"/>
        </w:rPr>
        <w:t>Solar Sharer Offer</w:t>
      </w:r>
      <w:r w:rsidR="0034630B">
        <w:rPr>
          <w:rFonts w:ascii="Times New Roman" w:hAnsi="Times New Roman"/>
          <w:i/>
          <w:noProof/>
          <w:color w:val="000000" w:themeColor="text1"/>
          <w:sz w:val="24"/>
        </w:rPr>
        <w:t>,</w:t>
      </w:r>
      <w:r>
        <w:rPr>
          <w:rFonts w:ascii="Times New Roman" w:hAnsi="Times New Roman"/>
          <w:noProof/>
          <w:color w:val="000000" w:themeColor="text1"/>
          <w:sz w:val="24"/>
        </w:rPr>
        <w:t xml:space="preserve"> en Australie, fournit aux ménages de l’électricité à coût nul en période de forte production solaire. Au sein de l’UE, des fournisseurs ont également mis au point des offres d’électricité à coût nul. Les États membres pourraient envisager d’étudier des mécanismes similaires adaptés au cadre réglementaire de l’UE, qui permettent aux citoyens de bénéficier directement de la transition propre en réduisant les factures sans nécessiter d’investissements initiaux dans des panneaux solaires en toiture, qui encouragent la flexibilité du côté de la demande, alignent la consommation sur les périodes de forte production d’énergies renouvelables, améliorent l’efficacité du réseau et renforcent le soutien public à la décarbonation, en rendant visibles et tangibles les avantages de la transition énergétique.</w:t>
      </w:r>
    </w:p>
    <w:tbl>
      <w:tblPr>
        <w:tblStyle w:val="TableGridLight"/>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079"/>
      </w:tblGrid>
      <w:tr w:rsidR="001358EC" w14:paraId="4F3F3B18" w14:textId="77777777">
        <w:tc>
          <w:tcPr>
            <w:tcW w:w="1163" w:type="dxa"/>
            <w:vAlign w:val="center"/>
            <w:hideMark/>
          </w:tcPr>
          <w:p w14:paraId="02FEACBF" w14:textId="77777777" w:rsidR="001358EC" w:rsidRDefault="00B36EFE">
            <w:pPr>
              <w:rPr>
                <w:rFonts w:ascii="Times New Roman" w:hAnsi="Times New Roman" w:cs="Times New Roman"/>
                <w:noProof/>
                <w:sz w:val="24"/>
                <w:szCs w:val="24"/>
              </w:rPr>
            </w:pPr>
            <w:bookmarkStart w:id="11" w:name="_Hlk219977915"/>
            <w:r>
              <w:rPr>
                <w:rFonts w:ascii="Times New Roman" w:hAnsi="Times New Roman"/>
                <w:noProof/>
                <w:sz w:val="24"/>
              </w:rPr>
              <w:t>Objectif</w:t>
            </w:r>
          </w:p>
        </w:tc>
        <w:tc>
          <w:tcPr>
            <w:tcW w:w="8079" w:type="dxa"/>
            <w:hideMark/>
          </w:tcPr>
          <w:p w14:paraId="7F35D527" w14:textId="77777777" w:rsidR="001358EC" w:rsidRDefault="00B36EFE">
            <w:pPr>
              <w:jc w:val="both"/>
              <w:rPr>
                <w:rFonts w:ascii="Times New Roman" w:eastAsia="Times New Roman" w:hAnsi="Times New Roman" w:cs="Times New Roman"/>
                <w:b/>
                <w:bCs/>
                <w:noProof/>
                <w:sz w:val="24"/>
                <w:szCs w:val="24"/>
              </w:rPr>
            </w:pPr>
            <w:r>
              <w:rPr>
                <w:rFonts w:ascii="Times New Roman" w:hAnsi="Times New Roman"/>
                <w:b/>
                <w:noProof/>
                <w:sz w:val="24"/>
              </w:rPr>
              <w:t xml:space="preserve">Permettre aux citoyens de bénéficier en toute confiance de contrats de détail flexibles et de dispositifs énergétiques intelligents qui optimisent la consommation d’énergie. </w:t>
            </w:r>
          </w:p>
        </w:tc>
      </w:tr>
      <w:tr w:rsidR="001358EC" w14:paraId="7D1B2D71" w14:textId="77777777">
        <w:tc>
          <w:tcPr>
            <w:tcW w:w="1163" w:type="dxa"/>
            <w:vAlign w:val="center"/>
          </w:tcPr>
          <w:p w14:paraId="47CAF749" w14:textId="77777777" w:rsidR="001358EC" w:rsidRDefault="00B36EFE">
            <w:pPr>
              <w:rPr>
                <w:rFonts w:ascii="Times New Roman" w:hAnsi="Times New Roman" w:cs="Times New Roman"/>
                <w:noProof/>
                <w:sz w:val="24"/>
                <w:szCs w:val="24"/>
              </w:rPr>
            </w:pPr>
            <w:r>
              <w:rPr>
                <w:rFonts w:ascii="Times New Roman" w:hAnsi="Times New Roman"/>
                <w:noProof/>
                <w:sz w:val="24"/>
              </w:rPr>
              <w:t xml:space="preserve">Résultat </w:t>
            </w:r>
          </w:p>
        </w:tc>
        <w:tc>
          <w:tcPr>
            <w:tcW w:w="8079" w:type="dxa"/>
            <w:vAlign w:val="center"/>
          </w:tcPr>
          <w:p w14:paraId="507D971E" w14:textId="77777777" w:rsidR="001358EC" w:rsidRDefault="00B36EFE">
            <w:pPr>
              <w:jc w:val="both"/>
              <w:rPr>
                <w:rFonts w:ascii="Times New Roman" w:hAnsi="Times New Roman" w:cs="Times New Roman"/>
                <w:noProof/>
              </w:rPr>
            </w:pPr>
            <w:r>
              <w:rPr>
                <w:rFonts w:ascii="Times New Roman" w:hAnsi="Times New Roman"/>
                <w:noProof/>
                <w:sz w:val="24"/>
              </w:rPr>
              <w:t xml:space="preserve">Baisse des factures des consommateurs et des coûts du système, avec des économies potentielles pouvant aller </w:t>
            </w:r>
            <w:r>
              <w:rPr>
                <w:rFonts w:ascii="Times New Roman" w:hAnsi="Times New Roman"/>
                <w:b/>
                <w:noProof/>
                <w:sz w:val="24"/>
              </w:rPr>
              <w:t>jusqu’à 40 %</w:t>
            </w:r>
            <w:r>
              <w:rPr>
                <w:rStyle w:val="FootnoteReference"/>
                <w:rFonts w:ascii="Times New Roman" w:hAnsi="Times New Roman" w:cs="Times New Roman"/>
                <w:noProof/>
                <w:sz w:val="24"/>
                <w:szCs w:val="24"/>
                <w:lang w:val="en-IE"/>
              </w:rPr>
              <w:footnoteReference w:id="25"/>
            </w:r>
            <w:r>
              <w:rPr>
                <w:rFonts w:ascii="Times New Roman" w:hAnsi="Times New Roman"/>
                <w:noProof/>
                <w:sz w:val="24"/>
              </w:rPr>
              <w:t>.</w:t>
            </w:r>
            <w:r>
              <w:rPr>
                <w:rFonts w:ascii="Times New Roman" w:hAnsi="Times New Roman"/>
                <w:noProof/>
              </w:rPr>
              <w:t xml:space="preserve"> </w:t>
            </w:r>
          </w:p>
        </w:tc>
      </w:tr>
      <w:tr w:rsidR="001358EC" w14:paraId="73E354FF" w14:textId="77777777">
        <w:tc>
          <w:tcPr>
            <w:tcW w:w="1163" w:type="dxa"/>
            <w:vAlign w:val="center"/>
            <w:hideMark/>
          </w:tcPr>
          <w:p w14:paraId="16AB3633" w14:textId="77777777" w:rsidR="001358EC" w:rsidRDefault="00B36EFE">
            <w:pPr>
              <w:rPr>
                <w:rFonts w:ascii="Times New Roman" w:hAnsi="Times New Roman" w:cs="Times New Roman"/>
                <w:noProof/>
                <w:sz w:val="24"/>
                <w:szCs w:val="24"/>
              </w:rPr>
            </w:pPr>
            <w:r>
              <w:rPr>
                <w:rFonts w:ascii="Times New Roman" w:hAnsi="Times New Roman"/>
                <w:noProof/>
                <w:sz w:val="24"/>
              </w:rPr>
              <w:t>Moyens</w:t>
            </w:r>
          </w:p>
        </w:tc>
        <w:tc>
          <w:tcPr>
            <w:tcW w:w="8079" w:type="dxa"/>
            <w:vAlign w:val="center"/>
            <w:hideMark/>
          </w:tcPr>
          <w:p w14:paraId="414AF69A" w14:textId="77777777" w:rsidR="001358EC" w:rsidRDefault="00B36EFE">
            <w:pPr>
              <w:jc w:val="both"/>
              <w:rPr>
                <w:rFonts w:ascii="Times New Roman" w:hAnsi="Times New Roman" w:cs="Times New Roman"/>
                <w:noProof/>
                <w:sz w:val="24"/>
                <w:szCs w:val="24"/>
              </w:rPr>
            </w:pPr>
            <w:r>
              <w:rPr>
                <w:rFonts w:ascii="Times New Roman" w:hAnsi="Times New Roman"/>
                <w:noProof/>
                <w:sz w:val="24"/>
              </w:rPr>
              <w:t xml:space="preserve">La Commission fournira des </w:t>
            </w:r>
            <w:r>
              <w:rPr>
                <w:rFonts w:ascii="Times New Roman" w:hAnsi="Times New Roman"/>
                <w:b/>
                <w:noProof/>
                <w:sz w:val="24"/>
              </w:rPr>
              <w:t>orientations pour promouvoir la rémunération de la flexibilité</w:t>
            </w:r>
            <w:r>
              <w:rPr>
                <w:rFonts w:ascii="Times New Roman" w:hAnsi="Times New Roman"/>
                <w:noProof/>
                <w:sz w:val="24"/>
              </w:rPr>
              <w:t xml:space="preserve"> dans les contrats de détail (T1 2026); améliorera l’accès aux données nécessaires à la flexibilité au moyen d’un </w:t>
            </w:r>
            <w:r>
              <w:rPr>
                <w:rFonts w:ascii="Times New Roman" w:hAnsi="Times New Roman"/>
                <w:b/>
                <w:noProof/>
                <w:sz w:val="24"/>
              </w:rPr>
              <w:t>règlement d’exécution relatif aux exigences et procédures d’interopérabilité</w:t>
            </w:r>
            <w:r>
              <w:rPr>
                <w:rFonts w:ascii="Times New Roman" w:hAnsi="Times New Roman"/>
                <w:noProof/>
                <w:sz w:val="24"/>
              </w:rPr>
              <w:t xml:space="preserve"> (2027); et promouvra le potentiel de flexibilité et d’efficacité des projets pertinents dans le cadre des nouveaux </w:t>
            </w:r>
            <w:r>
              <w:rPr>
                <w:rFonts w:ascii="Times New Roman" w:hAnsi="Times New Roman"/>
                <w:b/>
                <w:noProof/>
                <w:sz w:val="24"/>
              </w:rPr>
              <w:t>partenariats pour un logement de qualité</w:t>
            </w:r>
            <w:r>
              <w:rPr>
                <w:rFonts w:ascii="Times New Roman" w:hAnsi="Times New Roman"/>
                <w:noProof/>
                <w:sz w:val="24"/>
              </w:rPr>
              <w:t xml:space="preserve"> (2026).</w:t>
            </w:r>
          </w:p>
        </w:tc>
      </w:tr>
    </w:tbl>
    <w:p w14:paraId="7340BFC8" w14:textId="77777777" w:rsidR="001358EC" w:rsidRDefault="00B36EFE">
      <w:pPr>
        <w:keepNext/>
        <w:keepLines/>
        <w:spacing w:after="120" w:line="240" w:lineRule="auto"/>
        <w:jc w:val="both"/>
        <w:rPr>
          <w:rFonts w:ascii="Times New Roman" w:hAnsi="Times New Roman" w:cs="Times New Roman"/>
          <w:b/>
          <w:noProof/>
          <w:color w:val="000000" w:themeColor="text1"/>
          <w:sz w:val="24"/>
          <w:szCs w:val="24"/>
          <w:u w:val="single"/>
        </w:rPr>
      </w:pPr>
      <w:bookmarkStart w:id="12" w:name="_Hlk219977926"/>
      <w:bookmarkEnd w:id="11"/>
      <w:r>
        <w:rPr>
          <w:rStyle w:val="normaltextrun"/>
          <w:rFonts w:ascii="Times New Roman" w:hAnsi="Times New Roman"/>
          <w:b/>
          <w:noProof/>
          <w:color w:val="000000" w:themeColor="text1"/>
          <w:sz w:val="24"/>
          <w:u w:val="single"/>
        </w:rPr>
        <w:t xml:space="preserve">Action nº 7: renforcer la confiance des consommateurs </w:t>
      </w:r>
      <w:bookmarkEnd w:id="12"/>
    </w:p>
    <w:p w14:paraId="160A5352" w14:textId="77777777" w:rsidR="001358EC" w:rsidRDefault="00B36EFE">
      <w:pPr>
        <w:pStyle w:val="oj-normal"/>
        <w:keepNext/>
        <w:keepLines/>
        <w:spacing w:before="0" w:beforeAutospacing="0" w:after="120" w:afterAutospacing="0"/>
        <w:jc w:val="both"/>
        <w:rPr>
          <w:noProof/>
          <w:color w:val="000000" w:themeColor="text1"/>
        </w:rPr>
      </w:pPr>
      <w:r>
        <w:rPr>
          <w:noProof/>
          <w:color w:val="000000" w:themeColor="text1"/>
        </w:rPr>
        <w:t xml:space="preserve">Les consommateurs d’énergie sont confrontés à des </w:t>
      </w:r>
      <w:r>
        <w:rPr>
          <w:b/>
          <w:noProof/>
          <w:color w:val="000000" w:themeColor="text1"/>
        </w:rPr>
        <w:t>pratiques agressives de télémarketing</w:t>
      </w:r>
      <w:r>
        <w:rPr>
          <w:noProof/>
          <w:color w:val="000000" w:themeColor="text1"/>
        </w:rPr>
        <w:t xml:space="preserve"> ou ont parfois du mal à s’y retrouver dans les marchés de l’énergie. Il en résulte un </w:t>
      </w:r>
      <w:r>
        <w:rPr>
          <w:b/>
          <w:noProof/>
          <w:color w:val="000000" w:themeColor="text1"/>
        </w:rPr>
        <w:t>manque de confiance</w:t>
      </w:r>
      <w:r>
        <w:rPr>
          <w:noProof/>
          <w:color w:val="000000" w:themeColor="text1"/>
        </w:rPr>
        <w:t xml:space="preserve"> dans le marché et une restriction des possibilités de bénéficier d’options moins coûteuses ou de services plus innovants</w:t>
      </w:r>
      <w:r>
        <w:rPr>
          <w:rStyle w:val="FootnoteReference"/>
          <w:rFonts w:eastAsia="Times New Roman, Aptos"/>
          <w:noProof/>
          <w:color w:val="000000" w:themeColor="text1"/>
          <w:lang w:val="en-US"/>
        </w:rPr>
        <w:footnoteReference w:id="26"/>
      </w:r>
      <w:r>
        <w:rPr>
          <w:noProof/>
          <w:color w:val="000000" w:themeColor="text1"/>
        </w:rPr>
        <w:t xml:space="preserve">. </w:t>
      </w:r>
    </w:p>
    <w:p w14:paraId="252B276A" w14:textId="77777777" w:rsidR="001358EC" w:rsidRDefault="00B36EFE">
      <w:pPr>
        <w:pStyle w:val="oj-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20" w:afterAutospacing="0"/>
        <w:jc w:val="both"/>
        <w:rPr>
          <w:noProof/>
        </w:rPr>
      </w:pPr>
      <w:r>
        <w:rPr>
          <w:noProof/>
        </w:rPr>
        <w:t xml:space="preserve">Afin d’améliorer la qualité des services énergétiques pour les clients, la Commission dialoguera avec les associations de consommateurs, les fournisseurs d’énergie et les régulateurs en vue d’élaborer </w:t>
      </w:r>
      <w:r>
        <w:rPr>
          <w:b/>
          <w:noProof/>
        </w:rPr>
        <w:t>un nouveau code de service pour les fournisseurs d’énergie</w:t>
      </w:r>
      <w:r>
        <w:rPr>
          <w:noProof/>
        </w:rPr>
        <w:t>, comme première étape vers la lutte contre les</w:t>
      </w:r>
      <w:r>
        <w:rPr>
          <w:b/>
          <w:noProof/>
        </w:rPr>
        <w:t xml:space="preserve"> pratiques commerciales déloyales</w:t>
      </w:r>
      <w:r>
        <w:rPr>
          <w:noProof/>
        </w:rPr>
        <w:t xml:space="preserve">. Ce code donnera aux fournisseurs d’énergie la possibilité de s’engager volontairement à aller au-delà des exigences en place afin d’assurer un traitement efficace des plaintes et d’éviter les interruptions de fourniture pour les consommateurs vulnérables, </w:t>
      </w:r>
      <w:r>
        <w:rPr>
          <w:rStyle w:val="normaltextrun"/>
          <w:noProof/>
        </w:rPr>
        <w:t>tels que ceux vivant dans des zones rurales</w:t>
      </w:r>
      <w:r>
        <w:rPr>
          <w:noProof/>
        </w:rPr>
        <w:t>, au moyen de délais de préavis plus longs, de plans de paiement adaptés et d’une fourniture minimale, et de proposer des «meilleurs conseils tarifaires» et des systèmes d’«alerte précoce» (voir l’action nº 4).</w:t>
      </w:r>
      <w:r>
        <w:rPr>
          <w:noProof/>
          <w:color w:val="000000" w:themeColor="text1"/>
        </w:rPr>
        <w:t xml:space="preserve"> Le code servira de </w:t>
      </w:r>
      <w:r>
        <w:rPr>
          <w:b/>
          <w:noProof/>
          <w:color w:val="000000" w:themeColor="text1"/>
        </w:rPr>
        <w:t>label de confiance</w:t>
      </w:r>
      <w:r>
        <w:rPr>
          <w:noProof/>
          <w:color w:val="000000" w:themeColor="text1"/>
        </w:rPr>
        <w:t xml:space="preserve"> à l’aide duquel les fournisseurs d’énergie signaleront aux consommateurs qu’ils peuvent s’attendre à des services transparents et équitables. </w:t>
      </w:r>
      <w:r>
        <w:rPr>
          <w:noProof/>
        </w:rPr>
        <w:t>Un code de ce type est déjà appliqué et mis en œuvre avec succès dans certains États membres</w:t>
      </w:r>
      <w:r>
        <w:rPr>
          <w:rStyle w:val="FootnoteReference"/>
          <w:noProof/>
        </w:rPr>
        <w:footnoteReference w:id="27"/>
      </w:r>
      <w:r>
        <w:rPr>
          <w:noProof/>
        </w:rPr>
        <w:t>. Il appartiendra aux États membres de décider si et comment un tel code sera mis en vigueur au niveau national.</w:t>
      </w:r>
    </w:p>
    <w:p w14:paraId="0393D0F3" w14:textId="77777777" w:rsidR="001358EC" w:rsidRDefault="00B36EFE">
      <w:pPr>
        <w:pStyle w:val="oj-normal"/>
        <w:spacing w:before="0" w:beforeAutospacing="0" w:after="120" w:afterAutospacing="0"/>
        <w:jc w:val="both"/>
        <w:rPr>
          <w:rFonts w:eastAsia="Times New Roman, Aptos"/>
          <w:noProof/>
          <w:color w:val="000000" w:themeColor="text1"/>
          <w:vertAlign w:val="superscript"/>
        </w:rPr>
      </w:pPr>
      <w:r>
        <w:rPr>
          <w:noProof/>
          <w:color w:val="000000" w:themeColor="text1"/>
        </w:rPr>
        <w:t xml:space="preserve">Si </w:t>
      </w:r>
      <w:r>
        <w:rPr>
          <w:b/>
          <w:noProof/>
          <w:color w:val="000000" w:themeColor="text1"/>
        </w:rPr>
        <w:t>l’IA et la</w:t>
      </w:r>
      <w:r>
        <w:rPr>
          <w:noProof/>
          <w:color w:val="000000" w:themeColor="text1"/>
        </w:rPr>
        <w:t xml:space="preserve"> </w:t>
      </w:r>
      <w:r>
        <w:rPr>
          <w:b/>
          <w:noProof/>
        </w:rPr>
        <w:t>transition numérique</w:t>
      </w:r>
      <w:r>
        <w:rPr>
          <w:noProof/>
        </w:rPr>
        <w:t xml:space="preserve"> apportent de nombreux avantages, notamment </w:t>
      </w:r>
      <w:r>
        <w:rPr>
          <w:noProof/>
          <w:color w:val="000000" w:themeColor="text1"/>
        </w:rPr>
        <w:t>des économies d’énergie et des réductions de la facture énergétique</w:t>
      </w:r>
      <w:r>
        <w:rPr>
          <w:noProof/>
        </w:rPr>
        <w:t xml:space="preserve">, elles posent également de nouveaux défis. Par conséquent, la Commission déterminera si les règles actuelles répondent aux besoins à cet égard. </w:t>
      </w:r>
    </w:p>
    <w:p w14:paraId="58C399AC" w14:textId="77777777" w:rsidR="001358EC" w:rsidRDefault="00B36EFE">
      <w:pPr>
        <w:pStyle w:val="oj-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noProof/>
          <w:color w:val="1F1F1F"/>
        </w:rPr>
      </w:pPr>
      <w:r>
        <w:rPr>
          <w:noProof/>
          <w:color w:val="1F1F1F"/>
        </w:rPr>
        <w:t>La confiance dans le marché s’érode si les fournisseurs d’énergie ne se protègent pas eux-mêmes contre la volatilité des prix. Lorsque les fournisseurs d’énergie font faillite, les clients peuvent perdre tout paiement anticipé et être contraints de conclure des contrats moins favorables. Pour éviter cela, la Commission fournira aux régulateurs nationaux des orientations sur la manière dont ils peuvent veiller à ce que les fournisseurs d’énergie élaborent de</w:t>
      </w:r>
      <w:r>
        <w:rPr>
          <w:b/>
          <w:noProof/>
          <w:color w:val="1F1F1F"/>
        </w:rPr>
        <w:t xml:space="preserve"> bonnes stratégies de gestion des risques et de couverture</w:t>
      </w:r>
      <w:r>
        <w:rPr>
          <w:noProof/>
          <w:color w:val="1F1F1F"/>
        </w:rPr>
        <w:t xml:space="preserve">, afin de contribuer au maintien de la stabilité et de la fiabilité du marché de détail de l’électricité. </w:t>
      </w:r>
    </w:p>
    <w:p w14:paraId="62EB3971" w14:textId="77777777" w:rsidR="001358EC" w:rsidRDefault="001358EC">
      <w:pPr>
        <w:pStyle w:val="oj-normal"/>
        <w:spacing w:before="0" w:beforeAutospacing="0" w:after="0" w:afterAutospacing="0"/>
        <w:jc w:val="both"/>
        <w:rPr>
          <w:rFonts w:eastAsiaTheme="minorEastAsia"/>
          <w:noProof/>
          <w:lang w:eastAsia="en-US"/>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8013"/>
      </w:tblGrid>
      <w:tr w:rsidR="001358EC" w14:paraId="133C5960" w14:textId="77777777">
        <w:tc>
          <w:tcPr>
            <w:tcW w:w="988" w:type="dxa"/>
            <w:vAlign w:val="center"/>
            <w:hideMark/>
          </w:tcPr>
          <w:p w14:paraId="75079BB5" w14:textId="77777777" w:rsidR="001358EC" w:rsidRDefault="00B36EFE">
            <w:pPr>
              <w:rPr>
                <w:rFonts w:ascii="Times New Roman" w:hAnsi="Times New Roman" w:cs="Times New Roman"/>
                <w:noProof/>
                <w:sz w:val="24"/>
                <w:szCs w:val="24"/>
              </w:rPr>
            </w:pPr>
            <w:bookmarkStart w:id="13" w:name="_Hlk219977944"/>
            <w:r>
              <w:rPr>
                <w:rFonts w:ascii="Times New Roman" w:hAnsi="Times New Roman"/>
                <w:noProof/>
                <w:sz w:val="24"/>
              </w:rPr>
              <w:t>Objectif</w:t>
            </w:r>
          </w:p>
        </w:tc>
        <w:tc>
          <w:tcPr>
            <w:tcW w:w="8028" w:type="dxa"/>
            <w:vAlign w:val="center"/>
            <w:hideMark/>
          </w:tcPr>
          <w:p w14:paraId="3FED7207" w14:textId="77777777" w:rsidR="001358EC" w:rsidRDefault="00B36EFE">
            <w:pPr>
              <w:jc w:val="both"/>
              <w:rPr>
                <w:rFonts w:ascii="Times New Roman" w:hAnsi="Times New Roman" w:cs="Times New Roman"/>
                <w:b/>
                <w:bCs/>
                <w:noProof/>
                <w:sz w:val="24"/>
                <w:szCs w:val="24"/>
              </w:rPr>
            </w:pPr>
            <w:r>
              <w:rPr>
                <w:rFonts w:ascii="Times New Roman" w:hAnsi="Times New Roman"/>
                <w:b/>
                <w:noProof/>
                <w:sz w:val="24"/>
              </w:rPr>
              <w:t>Renforcer la confiance; lutter contre le (télé)marketing agressif et trompeur; protéger les citoyens des conséquences des défaillances du marché.</w:t>
            </w:r>
          </w:p>
        </w:tc>
      </w:tr>
      <w:tr w:rsidR="001358EC" w14:paraId="39B2F5D9" w14:textId="77777777">
        <w:tc>
          <w:tcPr>
            <w:tcW w:w="988" w:type="dxa"/>
            <w:vAlign w:val="center"/>
          </w:tcPr>
          <w:p w14:paraId="0D3D81C2" w14:textId="77777777" w:rsidR="001358EC" w:rsidRDefault="00B36EFE">
            <w:pPr>
              <w:rPr>
                <w:rFonts w:ascii="Times New Roman" w:hAnsi="Times New Roman" w:cs="Times New Roman"/>
                <w:noProof/>
                <w:sz w:val="24"/>
                <w:szCs w:val="24"/>
              </w:rPr>
            </w:pPr>
            <w:r>
              <w:rPr>
                <w:rFonts w:ascii="Times New Roman" w:hAnsi="Times New Roman"/>
                <w:noProof/>
                <w:sz w:val="24"/>
              </w:rPr>
              <w:t>Résultat</w:t>
            </w:r>
          </w:p>
        </w:tc>
        <w:tc>
          <w:tcPr>
            <w:tcW w:w="8028" w:type="dxa"/>
            <w:vAlign w:val="center"/>
          </w:tcPr>
          <w:p w14:paraId="0BA7A6B4" w14:textId="77777777" w:rsidR="001358EC" w:rsidRDefault="00B36EFE">
            <w:pPr>
              <w:jc w:val="both"/>
              <w:rPr>
                <w:rFonts w:ascii="Times New Roman" w:hAnsi="Times New Roman" w:cs="Times New Roman"/>
                <w:noProof/>
                <w:sz w:val="24"/>
                <w:szCs w:val="24"/>
              </w:rPr>
            </w:pPr>
            <w:r>
              <w:rPr>
                <w:rFonts w:ascii="Times New Roman" w:hAnsi="Times New Roman"/>
                <w:noProof/>
                <w:sz w:val="24"/>
              </w:rPr>
              <w:t>Renforcement de la confiance des consommateurs et amélioration de la qualité du service. Une plus grande transparence du marché conduisant à une tarification compétitive et à une meilleure efficacité des services.</w:t>
            </w:r>
          </w:p>
        </w:tc>
      </w:tr>
      <w:tr w:rsidR="001358EC" w14:paraId="1AAA945A" w14:textId="77777777">
        <w:tc>
          <w:tcPr>
            <w:tcW w:w="988" w:type="dxa"/>
            <w:vAlign w:val="center"/>
            <w:hideMark/>
          </w:tcPr>
          <w:p w14:paraId="218E50FD" w14:textId="77777777" w:rsidR="001358EC" w:rsidRDefault="00B36EFE">
            <w:pPr>
              <w:rPr>
                <w:rFonts w:ascii="Times New Roman" w:hAnsi="Times New Roman" w:cs="Times New Roman"/>
                <w:noProof/>
                <w:sz w:val="24"/>
                <w:szCs w:val="24"/>
              </w:rPr>
            </w:pPr>
            <w:r>
              <w:rPr>
                <w:rFonts w:ascii="Times New Roman" w:hAnsi="Times New Roman"/>
                <w:noProof/>
                <w:sz w:val="24"/>
              </w:rPr>
              <w:t>Moyens</w:t>
            </w:r>
          </w:p>
        </w:tc>
        <w:tc>
          <w:tcPr>
            <w:tcW w:w="8028" w:type="dxa"/>
            <w:vAlign w:val="center"/>
            <w:hideMark/>
          </w:tcPr>
          <w:p w14:paraId="6BC5B480" w14:textId="77777777" w:rsidR="001358EC" w:rsidRDefault="00B36EFE">
            <w:pPr>
              <w:pStyle w:val="Considrant"/>
              <w:numPr>
                <w:ilvl w:val="0"/>
                <w:numId w:val="0"/>
              </w:numPr>
              <w:spacing w:before="0" w:after="0"/>
              <w:rPr>
                <w:rFonts w:ascii="Times New Roman" w:hAnsi="Times New Roman" w:cs="Times New Roman"/>
                <w:noProof/>
              </w:rPr>
            </w:pPr>
            <w:r>
              <w:rPr>
                <w:rFonts w:ascii="Times New Roman" w:hAnsi="Times New Roman"/>
                <w:noProof/>
              </w:rPr>
              <w:t>La Commission permettra aux consommateurs de bénéficier d’avantages en proposant un</w:t>
            </w:r>
            <w:r>
              <w:rPr>
                <w:rFonts w:ascii="Times New Roman" w:hAnsi="Times New Roman"/>
                <w:b/>
                <w:noProof/>
              </w:rPr>
              <w:t xml:space="preserve"> code de service </w:t>
            </w:r>
            <w:r>
              <w:rPr>
                <w:rFonts w:ascii="Times New Roman" w:hAnsi="Times New Roman"/>
                <w:noProof/>
              </w:rPr>
              <w:t xml:space="preserve">facilement compréhensible sur les droits des consommateurs aux fournisseurs d’énergie, qui pourront s’engager volontairement à respecter des normes élevées de protection des consommateurs fondées sur la transparence, l’équité, la confiance mutuelle et la responsabilité (T4 2026); publiera de nouvelles orientations pour aider les autorités réglementaires nationales à prévenir les défaillances des fournisseurs en </w:t>
            </w:r>
            <w:r>
              <w:rPr>
                <w:rFonts w:ascii="Times New Roman" w:hAnsi="Times New Roman"/>
                <w:b/>
                <w:noProof/>
              </w:rPr>
              <w:t>améliorant la gestion des risques</w:t>
            </w:r>
            <w:r>
              <w:rPr>
                <w:rFonts w:ascii="Times New Roman" w:hAnsi="Times New Roman"/>
                <w:noProof/>
              </w:rPr>
              <w:t xml:space="preserve"> (T1 2026); et évaluera la nécessité d’adopter une nouvelle </w:t>
            </w:r>
            <w:r>
              <w:rPr>
                <w:rFonts w:ascii="Times New Roman" w:hAnsi="Times New Roman"/>
                <w:b/>
                <w:noProof/>
              </w:rPr>
              <w:t>proposition juridique sur les droits des consommateurs de l’UE en matière d’énergie pour l’après-2029</w:t>
            </w:r>
            <w:r>
              <w:rPr>
                <w:rFonts w:ascii="Times New Roman" w:hAnsi="Times New Roman"/>
                <w:noProof/>
              </w:rPr>
              <w:t xml:space="preserve"> afin de garantir les droits des consommateurs également dans les nouveaux contrats innovants et de lutter contre les pratiques de (télé)marketing agressives ou trompeuses (2028).</w:t>
            </w:r>
          </w:p>
        </w:tc>
      </w:tr>
      <w:bookmarkEnd w:id="13"/>
    </w:tbl>
    <w:p w14:paraId="1D0A124B" w14:textId="77777777" w:rsidR="001358EC" w:rsidRPr="0034630B" w:rsidRDefault="001358EC">
      <w:pPr>
        <w:spacing w:line="240" w:lineRule="auto"/>
        <w:rPr>
          <w:rFonts w:ascii="Times New Roman" w:hAnsi="Times New Roman" w:cs="Times New Roman"/>
          <w:b/>
          <w:bCs/>
          <w:smallCaps/>
          <w:noProof/>
          <w:sz w:val="24"/>
          <w:szCs w:val="24"/>
          <w:u w:val="single"/>
        </w:rPr>
      </w:pPr>
    </w:p>
    <w:p w14:paraId="266C99AB" w14:textId="77777777" w:rsidR="001358EC" w:rsidRDefault="00B36EFE">
      <w:pPr>
        <w:jc w:val="center"/>
        <w:rPr>
          <w:rFonts w:ascii="Times New Roman" w:hAnsi="Times New Roman" w:cs="Times New Roman"/>
          <w:b/>
          <w:bCs/>
          <w:smallCaps/>
          <w:noProof/>
          <w:sz w:val="24"/>
          <w:szCs w:val="24"/>
          <w:u w:val="single"/>
        </w:rPr>
      </w:pPr>
      <w:r>
        <w:rPr>
          <w:rFonts w:ascii="Times New Roman" w:hAnsi="Times New Roman"/>
          <w:b/>
          <w:smallCaps/>
          <w:noProof/>
          <w:sz w:val="24"/>
          <w:u w:val="single"/>
        </w:rPr>
        <w:t>Pilier III: lutter contre la précarité et la vulnérabilité énergétiques</w:t>
      </w:r>
    </w:p>
    <w:p w14:paraId="2F500778" w14:textId="77777777" w:rsidR="001358EC" w:rsidRDefault="00B36EFE">
      <w:pPr>
        <w:jc w:val="both"/>
        <w:rPr>
          <w:rFonts w:ascii="Times New Roman" w:hAnsi="Times New Roman" w:cs="Times New Roman"/>
          <w:noProof/>
          <w:sz w:val="24"/>
          <w:szCs w:val="24"/>
        </w:rPr>
      </w:pPr>
      <w:r>
        <w:rPr>
          <w:rFonts w:ascii="Times New Roman" w:hAnsi="Times New Roman"/>
          <w:b/>
          <w:noProof/>
          <w:sz w:val="24"/>
        </w:rPr>
        <w:t>L’équité et l’égalité sont au cœur de la transition énergétique.</w:t>
      </w:r>
      <w:r>
        <w:rPr>
          <w:rFonts w:ascii="Times New Roman" w:hAnsi="Times New Roman"/>
          <w:noProof/>
          <w:sz w:val="24"/>
        </w:rPr>
        <w:t xml:space="preserve"> La protection des consommateurs vulnérables et des personnes en situation de précarité énergétique est </w:t>
      </w:r>
      <w:r>
        <w:rPr>
          <w:rFonts w:ascii="Times New Roman" w:hAnsi="Times New Roman"/>
          <w:b/>
          <w:noProof/>
          <w:sz w:val="24"/>
        </w:rPr>
        <w:t>la première des priorités</w:t>
      </w:r>
      <w:r>
        <w:rPr>
          <w:rFonts w:ascii="Times New Roman" w:hAnsi="Times New Roman"/>
          <w:noProof/>
          <w:sz w:val="24"/>
        </w:rPr>
        <w:t xml:space="preserve"> pour les Européens, selon la dernière enquête Eurobaromètre</w:t>
      </w:r>
      <w:r>
        <w:rPr>
          <w:rStyle w:val="FootnoteReference"/>
          <w:rFonts w:ascii="Times New Roman" w:hAnsi="Times New Roman" w:cs="Times New Roman"/>
          <w:noProof/>
          <w:sz w:val="24"/>
          <w:szCs w:val="24"/>
          <w:lang w:val="en-GB"/>
        </w:rPr>
        <w:footnoteReference w:id="28"/>
      </w:r>
      <w:r>
        <w:rPr>
          <w:rFonts w:ascii="Times New Roman" w:hAnsi="Times New Roman"/>
          <w:noProof/>
          <w:sz w:val="24"/>
        </w:rPr>
        <w:t xml:space="preserve">. La précarité énergétique, le caractère inabordable du logement et l’accès limité au logement social peuvent entraîner des risques croissants de vulnérabilité. L’UE élabore actuellement la première stratégie européenne de lutte contre la pauvreté afin d’aider les personnes à accéder à la protection et aux services essentiels, de s’attaquer aux causes profondes de la pauvreté et de contribuer à l’éradication de la pauvreté d’ici à 2050. Permettre à chacun d’avoir accès à l’énergie en tant que service essentiel réduira la vulnérabilité et la pauvreté dans l’UE. </w:t>
      </w:r>
    </w:p>
    <w:p w14:paraId="2C3B51F9" w14:textId="77777777" w:rsidR="001358EC" w:rsidRDefault="00B36EFE">
      <w:pPr>
        <w:spacing w:line="240" w:lineRule="auto"/>
        <w:jc w:val="both"/>
        <w:rPr>
          <w:rFonts w:ascii="Times New Roman" w:eastAsiaTheme="minorEastAsia" w:hAnsi="Times New Roman" w:cs="Times New Roman"/>
          <w:b/>
          <w:bCs/>
          <w:noProof/>
          <w:sz w:val="24"/>
          <w:szCs w:val="24"/>
          <w:u w:val="single"/>
        </w:rPr>
      </w:pPr>
      <w:bookmarkStart w:id="14" w:name="_Hlk219977967"/>
      <w:r>
        <w:rPr>
          <w:rFonts w:ascii="Times New Roman" w:hAnsi="Times New Roman"/>
          <w:b/>
          <w:noProof/>
          <w:sz w:val="24"/>
          <w:u w:val="single"/>
        </w:rPr>
        <w:t>Action nº 8: unir nos forces pour réduire la précarité énergétique</w:t>
      </w:r>
    </w:p>
    <w:bookmarkEnd w:id="14"/>
    <w:p w14:paraId="7AC48CF4" w14:textId="77777777" w:rsidR="001358EC" w:rsidRDefault="00B36EFE">
      <w:pPr>
        <w:widowControl w:val="0"/>
        <w:spacing w:after="120" w:line="240" w:lineRule="auto"/>
        <w:jc w:val="both"/>
        <w:rPr>
          <w:rFonts w:ascii="Times New Roman" w:hAnsi="Times New Roman" w:cs="Times New Roman"/>
          <w:noProof/>
          <w:sz w:val="24"/>
          <w:szCs w:val="24"/>
        </w:rPr>
      </w:pPr>
      <w:r>
        <w:rPr>
          <w:rFonts w:ascii="Times New Roman" w:hAnsi="Times New Roman"/>
          <w:noProof/>
          <w:sz w:val="24"/>
        </w:rPr>
        <w:t>En 2024, environ</w:t>
      </w:r>
      <w:r>
        <w:rPr>
          <w:rFonts w:ascii="Times New Roman" w:hAnsi="Times New Roman"/>
          <w:b/>
          <w:noProof/>
          <w:sz w:val="24"/>
        </w:rPr>
        <w:t xml:space="preserve"> 42 millions d’Européens </w:t>
      </w:r>
      <w:r>
        <w:rPr>
          <w:rFonts w:ascii="Times New Roman" w:hAnsi="Times New Roman"/>
          <w:noProof/>
          <w:sz w:val="24"/>
        </w:rPr>
        <w:t>(9,2 % de la population de l’UE) n’étaient pas en mesure de chauffer correctement leur logement</w:t>
      </w:r>
      <w:r>
        <w:rPr>
          <w:rStyle w:val="FootnoteReference"/>
          <w:rFonts w:ascii="Times New Roman" w:hAnsi="Times New Roman" w:cs="Times New Roman"/>
          <w:noProof/>
          <w:sz w:val="24"/>
          <w:szCs w:val="24"/>
          <w:lang w:val="en-IE"/>
        </w:rPr>
        <w:footnoteReference w:id="29"/>
      </w:r>
      <w:r>
        <w:rPr>
          <w:rFonts w:ascii="Times New Roman" w:hAnsi="Times New Roman"/>
          <w:noProof/>
          <w:sz w:val="24"/>
        </w:rPr>
        <w:t>. Il s’agit d’une situation grave et inacceptable pour un trop grand nombre de citoyens de l’UE, et qui frappe de manière disproportionnée les familles et les groupes de population exposés au risque de pauvreté ou de discrimination.</w:t>
      </w:r>
    </w:p>
    <w:p w14:paraId="61606220" w14:textId="40284D41" w:rsidR="001358EC" w:rsidRDefault="00B36EFE">
      <w:pPr>
        <w:widowControl w:val="0"/>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 cadre juridique de l’UE impose aux États membres de lutter contre la précarité énergétique et de protéger les consommateurs vulnérables au moyen de mesures stratégiques et d’actions concrètes. Toutefois, l’évaluation par la Commission</w:t>
      </w:r>
      <w:r>
        <w:rPr>
          <w:rStyle w:val="FootnoteReference"/>
          <w:rFonts w:ascii="Times New Roman" w:hAnsi="Times New Roman" w:cs="Times New Roman"/>
          <w:noProof/>
          <w:sz w:val="24"/>
          <w:szCs w:val="24"/>
          <w:lang w:val="en-IE"/>
        </w:rPr>
        <w:footnoteReference w:id="30"/>
      </w:r>
      <w:r>
        <w:rPr>
          <w:rFonts w:ascii="Times New Roman" w:hAnsi="Times New Roman"/>
          <w:noProof/>
          <w:sz w:val="24"/>
        </w:rPr>
        <w:t xml:space="preserve"> de la version finale des plans nationaux en matière d’énergie et de climat montre</w:t>
      </w:r>
      <w:r>
        <w:rPr>
          <w:rFonts w:ascii="Times New Roman" w:hAnsi="Times New Roman"/>
          <w:b/>
          <w:noProof/>
          <w:sz w:val="24"/>
        </w:rPr>
        <w:t xml:space="preserve"> </w:t>
      </w:r>
      <w:r>
        <w:rPr>
          <w:rFonts w:ascii="Times New Roman" w:hAnsi="Times New Roman"/>
          <w:noProof/>
          <w:sz w:val="24"/>
        </w:rPr>
        <w:t>que</w:t>
      </w:r>
      <w:r>
        <w:rPr>
          <w:rFonts w:ascii="Times New Roman" w:hAnsi="Times New Roman"/>
          <w:b/>
          <w:noProof/>
          <w:sz w:val="24"/>
        </w:rPr>
        <w:t xml:space="preserve"> ces règles sont mises en œuvre de manière inégale dans l’ensemble de l’UE</w:t>
      </w:r>
      <w:r>
        <w:rPr>
          <w:rFonts w:ascii="Times New Roman" w:hAnsi="Times New Roman"/>
          <w:noProof/>
          <w:sz w:val="24"/>
        </w:rPr>
        <w:t>. Cela s’explique, en partie, par la difficulté de localiser et d’atteindre les ménages vulnérables et les personnes en situation de précarité énergétique, ainsi que de</w:t>
      </w:r>
      <w:r>
        <w:rPr>
          <w:rFonts w:ascii="Times New Roman" w:hAnsi="Times New Roman"/>
          <w:b/>
          <w:noProof/>
          <w:sz w:val="24"/>
        </w:rPr>
        <w:t xml:space="preserve"> réellement traduire les besoins en mesures de soutien efficaces</w:t>
      </w:r>
      <w:r>
        <w:rPr>
          <w:rFonts w:ascii="Times New Roman" w:hAnsi="Times New Roman"/>
          <w:noProof/>
          <w:sz w:val="24"/>
        </w:rPr>
        <w:t xml:space="preserve">, étant donné que la précarité et la vulnérabilité énergétiques sont </w:t>
      </w:r>
      <w:r>
        <w:rPr>
          <w:rFonts w:ascii="Times New Roman" w:hAnsi="Times New Roman"/>
          <w:b/>
          <w:noProof/>
          <w:sz w:val="24"/>
        </w:rPr>
        <w:t>multiformes</w:t>
      </w:r>
      <w:r>
        <w:rPr>
          <w:rFonts w:ascii="Times New Roman" w:hAnsi="Times New Roman"/>
          <w:noProof/>
          <w:sz w:val="24"/>
        </w:rPr>
        <w:t xml:space="preserve">. Afin d’aider les États membres à rendre leurs </w:t>
      </w:r>
      <w:r>
        <w:rPr>
          <w:rFonts w:ascii="Times New Roman" w:hAnsi="Times New Roman"/>
          <w:b/>
          <w:noProof/>
          <w:sz w:val="24"/>
        </w:rPr>
        <w:t>plans nationaux</w:t>
      </w:r>
      <w:r>
        <w:rPr>
          <w:rFonts w:ascii="Times New Roman" w:hAnsi="Times New Roman"/>
          <w:noProof/>
          <w:sz w:val="24"/>
        </w:rPr>
        <w:t xml:space="preserve"> plus ambitieux et à réduire la précarité énergétique, la Commission fournira des orientations supplémentaires et partagera les bonnes pratiques reproductibles. Ces dernières porteront avant tout sur les approches nationales et locales efficaces pour lutter contre la précarité énergétique et la dispersion des incitations</w:t>
      </w:r>
      <w:r>
        <w:rPr>
          <w:rStyle w:val="FootnoteReference"/>
          <w:rFonts w:ascii="Times New Roman" w:hAnsi="Times New Roman" w:cs="Times New Roman"/>
          <w:noProof/>
          <w:sz w:val="24"/>
          <w:szCs w:val="24"/>
          <w:lang w:val="en-IE"/>
        </w:rPr>
        <w:footnoteReference w:id="31"/>
      </w:r>
      <w:r>
        <w:rPr>
          <w:rFonts w:ascii="Times New Roman" w:hAnsi="Times New Roman"/>
          <w:noProof/>
          <w:sz w:val="24"/>
        </w:rPr>
        <w:t xml:space="preserve">, tout en veillant à ce que les incitations aux économies d’énergie et à l’efficacité énergétique soient maintenues, même pour les ménages bénéficiant de prestations sociales pour couvrir leurs factures énergétiques. Conformément à la directive (UE) 2024/1275 sur la performance énergétique des bâtiments, la Commission aidera également les États membres à élaborer </w:t>
      </w:r>
      <w:r>
        <w:rPr>
          <w:rFonts w:ascii="Times New Roman" w:hAnsi="Times New Roman"/>
          <w:b/>
          <w:noProof/>
          <w:sz w:val="24"/>
        </w:rPr>
        <w:t>leurs plans nationaux de rénovation des bâtiments</w:t>
      </w:r>
      <w:r>
        <w:rPr>
          <w:rFonts w:ascii="Times New Roman" w:hAnsi="Times New Roman"/>
          <w:noProof/>
          <w:sz w:val="24"/>
        </w:rPr>
        <w:t xml:space="preserve"> d’ici la fin de 2026 afin de recenser les bâtiments les moins performants, où résident les citoyens les plus vulnérables, et de concevoir des politiques adaptées qui les aident à réduire leurs factures énergétiques et à vivre plus confortablement chez eux, hiver comme été. Les plans visent également à intégrer l’</w:t>
      </w:r>
      <w:r>
        <w:rPr>
          <w:rFonts w:ascii="Times New Roman" w:hAnsi="Times New Roman"/>
          <w:b/>
          <w:noProof/>
          <w:sz w:val="24"/>
        </w:rPr>
        <w:t>accessibilité</w:t>
      </w:r>
      <w:r>
        <w:rPr>
          <w:rFonts w:ascii="Times New Roman" w:hAnsi="Times New Roman"/>
          <w:noProof/>
          <w:sz w:val="24"/>
        </w:rPr>
        <w:t xml:space="preserve"> pour les personnes âgées et les personnes en situation de handicap dans le contexte des rénovations. </w:t>
      </w:r>
    </w:p>
    <w:p w14:paraId="49A15EA2" w14:textId="77777777" w:rsidR="001358EC" w:rsidRDefault="00B36EFE">
      <w:pPr>
        <w:widowControl w:val="0"/>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Outre les projets en matière de précarité énergétique au titre du Fonds social pour le climat</w:t>
      </w:r>
      <w:r>
        <w:rPr>
          <w:rStyle w:val="FootnoteReference"/>
          <w:rFonts w:ascii="Times New Roman" w:eastAsia="Times New Roman" w:hAnsi="Times New Roman" w:cs="Times New Roman"/>
          <w:noProof/>
          <w:sz w:val="24"/>
          <w:szCs w:val="24"/>
          <w:lang w:val="en-GB"/>
        </w:rPr>
        <w:footnoteReference w:id="32"/>
      </w:r>
      <w:r>
        <w:rPr>
          <w:rFonts w:ascii="Times New Roman" w:hAnsi="Times New Roman"/>
          <w:noProof/>
          <w:sz w:val="24"/>
        </w:rPr>
        <w:t>, des fonds de la politique de cohésion</w:t>
      </w:r>
      <w:r>
        <w:rPr>
          <w:rStyle w:val="FootnoteReference"/>
          <w:rFonts w:ascii="Times New Roman" w:eastAsia="Times New Roman" w:hAnsi="Times New Roman" w:cs="Times New Roman"/>
          <w:noProof/>
          <w:sz w:val="24"/>
          <w:szCs w:val="24"/>
          <w:lang w:val="en-IE"/>
        </w:rPr>
        <w:footnoteReference w:id="33"/>
      </w:r>
      <w:r>
        <w:rPr>
          <w:rFonts w:ascii="Times New Roman" w:hAnsi="Times New Roman"/>
          <w:noProof/>
          <w:sz w:val="24"/>
        </w:rPr>
        <w:t xml:space="preserve"> ou d’autres aides fournies au niveau local par l’intermédiaire du groupe consultatif sur la précarité énergétique (EPAH), la Commission lancera </w:t>
      </w:r>
      <w:r>
        <w:rPr>
          <w:rFonts w:ascii="Times New Roman" w:hAnsi="Times New Roman"/>
          <w:b/>
          <w:noProof/>
          <w:sz w:val="24"/>
        </w:rPr>
        <w:t>un nouvel appel à propositions dans le cadre du programme LIFE</w:t>
      </w:r>
      <w:r>
        <w:rPr>
          <w:rStyle w:val="FootnoteReference"/>
          <w:rFonts w:ascii="Times New Roman" w:eastAsia="Times New Roman" w:hAnsi="Times New Roman" w:cs="Times New Roman"/>
          <w:noProof/>
          <w:sz w:val="24"/>
          <w:szCs w:val="24"/>
          <w:lang w:val="en-GB"/>
        </w:rPr>
        <w:footnoteReference w:id="34"/>
      </w:r>
      <w:r>
        <w:rPr>
          <w:rFonts w:ascii="Times New Roman" w:hAnsi="Times New Roman"/>
          <w:noProof/>
          <w:sz w:val="24"/>
        </w:rPr>
        <w:t xml:space="preserve"> afin de financer des projets qui aident les autorités nationales, régionales et locales à lutter contre la précarité énergétique, en s’appuyant sur dix projets déjà en cours. Cela permettra à des intervenants supplémentaires de concevoir et de renforcer les mesures ciblées apportant aux ménages en situation de précarité énergétique des solutions durables pour une énergie abordable et de meilleures conditions de vie. En outre, la Commission fournira des orientations sur les moyens de protéger les ménages vulnérables et les personnes en situation de précarité énergétique lors du </w:t>
      </w:r>
      <w:r>
        <w:rPr>
          <w:rFonts w:ascii="Times New Roman" w:hAnsi="Times New Roman"/>
          <w:b/>
          <w:noProof/>
          <w:sz w:val="24"/>
        </w:rPr>
        <w:t>déclassement des réseaux de gaz naturel</w:t>
      </w:r>
      <w:r>
        <w:rPr>
          <w:rFonts w:ascii="Times New Roman" w:hAnsi="Times New Roman"/>
          <w:noProof/>
          <w:sz w:val="24"/>
        </w:rPr>
        <w:t>.</w:t>
      </w:r>
    </w:p>
    <w:p w14:paraId="4EB8541A" w14:textId="77777777" w:rsidR="001358EC" w:rsidRPr="0034630B" w:rsidRDefault="001358EC">
      <w:pPr>
        <w:widowControl w:val="0"/>
        <w:spacing w:after="0" w:line="240" w:lineRule="auto"/>
        <w:jc w:val="both"/>
        <w:rPr>
          <w:rFonts w:ascii="Times New Roman" w:eastAsia="Times New Roman" w:hAnsi="Times New Roman" w:cs="Times New Roman"/>
          <w:noProof/>
          <w:sz w:val="24"/>
          <w:szCs w:val="24"/>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028"/>
      </w:tblGrid>
      <w:tr w:rsidR="001358EC" w14:paraId="353FF95A" w14:textId="77777777">
        <w:tc>
          <w:tcPr>
            <w:tcW w:w="988" w:type="dxa"/>
            <w:vAlign w:val="center"/>
            <w:hideMark/>
          </w:tcPr>
          <w:p w14:paraId="107F4ED4" w14:textId="77777777" w:rsidR="001358EC" w:rsidRDefault="00B36EFE">
            <w:pPr>
              <w:jc w:val="both"/>
              <w:rPr>
                <w:rFonts w:ascii="Times New Roman" w:hAnsi="Times New Roman" w:cs="Times New Roman"/>
                <w:noProof/>
                <w:sz w:val="24"/>
                <w:szCs w:val="24"/>
              </w:rPr>
            </w:pPr>
            <w:bookmarkStart w:id="15" w:name="_Hlk219977988"/>
            <w:r>
              <w:rPr>
                <w:rFonts w:ascii="Times New Roman" w:hAnsi="Times New Roman"/>
                <w:noProof/>
                <w:sz w:val="24"/>
              </w:rPr>
              <w:t>Objectif</w:t>
            </w:r>
          </w:p>
        </w:tc>
        <w:tc>
          <w:tcPr>
            <w:tcW w:w="8028" w:type="dxa"/>
            <w:hideMark/>
          </w:tcPr>
          <w:p w14:paraId="7EFFC546" w14:textId="77777777" w:rsidR="001358EC" w:rsidRDefault="00B36EFE">
            <w:pPr>
              <w:jc w:val="both"/>
              <w:rPr>
                <w:rFonts w:ascii="Times New Roman" w:hAnsi="Times New Roman" w:cs="Times New Roman"/>
                <w:b/>
                <w:bCs/>
                <w:noProof/>
                <w:sz w:val="24"/>
                <w:szCs w:val="24"/>
              </w:rPr>
            </w:pPr>
            <w:r>
              <w:rPr>
                <w:rFonts w:ascii="Times New Roman" w:hAnsi="Times New Roman"/>
                <w:b/>
                <w:noProof/>
                <w:sz w:val="24"/>
              </w:rPr>
              <w:t xml:space="preserve">Aider les autorités nationales et locales à prendre des mesures concrètes pour réduire le nombre de personnes en situation de précarité énergétique et protéger les consommateurs vulnérables afin de garantir une transition énergétique juste et équitable. </w:t>
            </w:r>
          </w:p>
        </w:tc>
      </w:tr>
      <w:tr w:rsidR="001358EC" w14:paraId="58FF8538" w14:textId="77777777">
        <w:tc>
          <w:tcPr>
            <w:tcW w:w="988" w:type="dxa"/>
            <w:vAlign w:val="center"/>
          </w:tcPr>
          <w:p w14:paraId="724DD353" w14:textId="77777777" w:rsidR="001358EC" w:rsidRDefault="00B36EFE">
            <w:pPr>
              <w:jc w:val="both"/>
              <w:rPr>
                <w:rFonts w:ascii="Times New Roman" w:hAnsi="Times New Roman" w:cs="Times New Roman"/>
                <w:noProof/>
                <w:sz w:val="24"/>
                <w:szCs w:val="24"/>
              </w:rPr>
            </w:pPr>
            <w:r>
              <w:rPr>
                <w:rFonts w:ascii="Times New Roman" w:hAnsi="Times New Roman"/>
                <w:noProof/>
                <w:sz w:val="24"/>
              </w:rPr>
              <w:t>Résultat</w:t>
            </w:r>
          </w:p>
        </w:tc>
        <w:tc>
          <w:tcPr>
            <w:tcW w:w="8028" w:type="dxa"/>
            <w:vAlign w:val="center"/>
          </w:tcPr>
          <w:p w14:paraId="2EB10AFE" w14:textId="77777777" w:rsidR="001358EC" w:rsidRDefault="00B36EFE">
            <w:pPr>
              <w:widowControl w:val="0"/>
              <w:jc w:val="both"/>
              <w:rPr>
                <w:rFonts w:ascii="Times New Roman" w:eastAsia="Times New Roman" w:hAnsi="Times New Roman" w:cs="Times New Roman"/>
                <w:noProof/>
                <w:sz w:val="24"/>
                <w:szCs w:val="24"/>
              </w:rPr>
            </w:pPr>
            <w:r>
              <w:rPr>
                <w:rFonts w:ascii="Times New Roman" w:hAnsi="Times New Roman"/>
                <w:noProof/>
                <w:sz w:val="24"/>
              </w:rPr>
              <w:t xml:space="preserve">Des politiques plus cohérentes et plus ciblées en faveur des ménages vulnérables en situation de précarité énergétique ou risquant de le devenir; un accès plus rapide, plus équitable et plus abordable aux solutions structurelles (par exemple, les rénovations); la réduction progressive et mesurable de la précarité énergétique et des problèmes sanitaires et sociaux connexes dans l’ensemble de l’UE. </w:t>
            </w:r>
          </w:p>
        </w:tc>
      </w:tr>
      <w:tr w:rsidR="001358EC" w14:paraId="2A3B38DF" w14:textId="77777777">
        <w:tc>
          <w:tcPr>
            <w:tcW w:w="988" w:type="dxa"/>
            <w:vAlign w:val="center"/>
            <w:hideMark/>
          </w:tcPr>
          <w:p w14:paraId="5DA6921A" w14:textId="77777777" w:rsidR="001358EC" w:rsidRDefault="00B36EFE">
            <w:pPr>
              <w:jc w:val="both"/>
              <w:rPr>
                <w:rFonts w:ascii="Times New Roman" w:hAnsi="Times New Roman" w:cs="Times New Roman"/>
                <w:noProof/>
                <w:sz w:val="24"/>
                <w:szCs w:val="24"/>
              </w:rPr>
            </w:pPr>
            <w:r>
              <w:rPr>
                <w:rFonts w:ascii="Times New Roman" w:hAnsi="Times New Roman"/>
                <w:noProof/>
                <w:sz w:val="24"/>
              </w:rPr>
              <w:t>Moyens</w:t>
            </w:r>
          </w:p>
        </w:tc>
        <w:tc>
          <w:tcPr>
            <w:tcW w:w="8028" w:type="dxa"/>
            <w:vAlign w:val="center"/>
            <w:hideMark/>
          </w:tcPr>
          <w:p w14:paraId="5A3FEAB3" w14:textId="77777777" w:rsidR="001358EC" w:rsidRDefault="00B36EFE">
            <w:pPr>
              <w:widowControl w:val="0"/>
              <w:jc w:val="both"/>
              <w:rPr>
                <w:rFonts w:ascii="Times New Roman" w:eastAsia="Times New Roman" w:hAnsi="Times New Roman" w:cs="Times New Roman"/>
                <w:noProof/>
                <w:sz w:val="24"/>
                <w:szCs w:val="24"/>
              </w:rPr>
            </w:pPr>
            <w:r>
              <w:rPr>
                <w:rFonts w:ascii="Times New Roman" w:hAnsi="Times New Roman"/>
                <w:noProof/>
                <w:sz w:val="24"/>
              </w:rPr>
              <w:t>La Commission:</w:t>
            </w:r>
          </w:p>
          <w:p w14:paraId="611BCD83" w14:textId="77777777" w:rsidR="001358EC" w:rsidRDefault="00B36EFE">
            <w:pPr>
              <w:pStyle w:val="ListParagraph"/>
              <w:widowControl w:val="0"/>
              <w:numPr>
                <w:ilvl w:val="0"/>
                <w:numId w:val="21"/>
              </w:numPr>
              <w:jc w:val="both"/>
              <w:rPr>
                <w:rFonts w:ascii="Times New Roman" w:eastAsia="Times New Roman" w:hAnsi="Times New Roman" w:cs="Times New Roman"/>
                <w:noProof/>
                <w:sz w:val="24"/>
                <w:szCs w:val="24"/>
              </w:rPr>
            </w:pPr>
            <w:r>
              <w:rPr>
                <w:rFonts w:ascii="Times New Roman" w:hAnsi="Times New Roman"/>
                <w:noProof/>
                <w:sz w:val="24"/>
              </w:rPr>
              <w:t xml:space="preserve">mettra à jour sa </w:t>
            </w:r>
            <w:r>
              <w:rPr>
                <w:rFonts w:ascii="Times New Roman" w:hAnsi="Times New Roman"/>
                <w:b/>
                <w:noProof/>
                <w:sz w:val="24"/>
              </w:rPr>
              <w:t>recommandation sur la précarité énergétique</w:t>
            </w:r>
            <w:r>
              <w:rPr>
                <w:rStyle w:val="FootnoteReference"/>
                <w:rFonts w:ascii="Times New Roman" w:eastAsia="Times New Roman, Aptos" w:hAnsi="Times New Roman" w:cs="Times New Roman"/>
                <w:noProof/>
                <w:sz w:val="24"/>
                <w:szCs w:val="24"/>
                <w:lang w:val="en-IE"/>
              </w:rPr>
              <w:footnoteReference w:id="35"/>
            </w:r>
            <w:r>
              <w:rPr>
                <w:rFonts w:ascii="Times New Roman" w:hAnsi="Times New Roman"/>
                <w:noProof/>
                <w:sz w:val="24"/>
              </w:rPr>
              <w:t xml:space="preserve"> afin de fournir des analyses supplémentaires et de partager les bonnes pratiques reproductibles. Cette recommandation comprendra des pratiques qui permettent de lutter efficacement contre la précarité énergétique et de supprimer le partage des incitations, utilisera des outils numériques, simplifiera l’ouverture d’un dialogue avec les citoyens vulnérables, mettra en œuvre des mesures intersectorielles visant à protéger les citoyens contre les vagues de chaleur, promouvra des outils de financement innovants pour les mesures d’efficacité énergétique et illustrera comment le partage de l’énergie et les communautés énergétiques peuvent réduire efficacement la précarité énergétique (T4 2026);</w:t>
            </w:r>
          </w:p>
          <w:p w14:paraId="02A7F76E" w14:textId="77777777" w:rsidR="001358EC" w:rsidRDefault="00B36EFE">
            <w:pPr>
              <w:pStyle w:val="ListParagraph"/>
              <w:widowControl w:val="0"/>
              <w:numPr>
                <w:ilvl w:val="0"/>
                <w:numId w:val="21"/>
              </w:numPr>
              <w:jc w:val="both"/>
              <w:rPr>
                <w:rFonts w:ascii="Times New Roman" w:eastAsia="Times New Roman" w:hAnsi="Times New Roman" w:cs="Times New Roman"/>
                <w:noProof/>
                <w:sz w:val="24"/>
                <w:szCs w:val="24"/>
              </w:rPr>
            </w:pPr>
            <w:r>
              <w:rPr>
                <w:rFonts w:ascii="Times New Roman" w:hAnsi="Times New Roman"/>
                <w:noProof/>
                <w:sz w:val="24"/>
              </w:rPr>
              <w:t xml:space="preserve">continuera à fournir une </w:t>
            </w:r>
            <w:r>
              <w:rPr>
                <w:rFonts w:ascii="Times New Roman" w:hAnsi="Times New Roman"/>
                <w:b/>
                <w:noProof/>
                <w:sz w:val="24"/>
              </w:rPr>
              <w:t xml:space="preserve">assistance technique </w:t>
            </w:r>
            <w:r>
              <w:rPr>
                <w:rFonts w:ascii="Times New Roman" w:hAnsi="Times New Roman"/>
                <w:noProof/>
                <w:sz w:val="24"/>
              </w:rPr>
              <w:t>et des orientations supplémentaires aux autorités nationales, régionales et locales afin de cibler efficacement les citoyens vulnérables au moyen de politiques et de mesures (2026-2028); et</w:t>
            </w:r>
          </w:p>
          <w:p w14:paraId="00CBEC77" w14:textId="77777777" w:rsidR="001358EC" w:rsidRDefault="00B36EFE">
            <w:pPr>
              <w:pStyle w:val="ListParagraph"/>
              <w:widowControl w:val="0"/>
              <w:numPr>
                <w:ilvl w:val="0"/>
                <w:numId w:val="21"/>
              </w:numPr>
              <w:jc w:val="both"/>
              <w:rPr>
                <w:rFonts w:ascii="Times New Roman" w:eastAsia="Times New Roman" w:hAnsi="Times New Roman" w:cs="Times New Roman"/>
                <w:noProof/>
                <w:sz w:val="24"/>
                <w:szCs w:val="24"/>
              </w:rPr>
            </w:pPr>
            <w:r>
              <w:rPr>
                <w:rFonts w:ascii="Times New Roman" w:hAnsi="Times New Roman"/>
                <w:noProof/>
                <w:sz w:val="24"/>
              </w:rPr>
              <w:t xml:space="preserve">aidera les autorités nationales, régionales et locales à atteindre les citoyens en situation de précarité énergétique au moyen de mesures efficaces en finançant, </w:t>
            </w:r>
            <w:r>
              <w:rPr>
                <w:rFonts w:ascii="Times New Roman" w:hAnsi="Times New Roman"/>
                <w:b/>
                <w:noProof/>
                <w:sz w:val="24"/>
              </w:rPr>
              <w:t>dans le cadre du programme LIFE, de nouveaux projets</w:t>
            </w:r>
            <w:r>
              <w:rPr>
                <w:rFonts w:ascii="Times New Roman" w:hAnsi="Times New Roman"/>
                <w:noProof/>
                <w:sz w:val="24"/>
              </w:rPr>
              <w:t xml:space="preserve"> visant à lutter contre la précarité énergétique. Elle prendra des mesures de communication et d’information adaptées pour informer les citoyens vulnérables et en situation de précarité énergétique des possibilités d’économies d’énergie rentables (2026-2027).</w:t>
            </w:r>
          </w:p>
        </w:tc>
      </w:tr>
    </w:tbl>
    <w:p w14:paraId="3D0190DB" w14:textId="77777777" w:rsidR="001358EC" w:rsidRDefault="001358EC">
      <w:pPr>
        <w:rPr>
          <w:rFonts w:ascii="Times New Roman" w:hAnsi="Times New Roman" w:cs="Times New Roman"/>
          <w:b/>
          <w:bCs/>
          <w:noProof/>
          <w:sz w:val="24"/>
          <w:szCs w:val="24"/>
          <w:u w:val="single"/>
        </w:rPr>
      </w:pPr>
      <w:bookmarkStart w:id="16" w:name="_Hlk219978000"/>
      <w:bookmarkEnd w:id="15"/>
    </w:p>
    <w:p w14:paraId="001F040E" w14:textId="77777777" w:rsidR="001358EC" w:rsidRDefault="00B36EFE">
      <w:pPr>
        <w:rPr>
          <w:rFonts w:ascii="Times New Roman" w:hAnsi="Times New Roman" w:cs="Times New Roman"/>
          <w:b/>
          <w:bCs/>
          <w:noProof/>
          <w:sz w:val="24"/>
          <w:szCs w:val="24"/>
          <w:u w:val="single"/>
        </w:rPr>
      </w:pPr>
      <w:r>
        <w:rPr>
          <w:rFonts w:ascii="Times New Roman" w:hAnsi="Times New Roman"/>
          <w:b/>
          <w:noProof/>
          <w:sz w:val="24"/>
          <w:u w:val="single"/>
        </w:rPr>
        <w:t xml:space="preserve">Action nº 9: protéger les citoyens vulnérables contre les interruptions de fourniture </w:t>
      </w:r>
    </w:p>
    <w:bookmarkEnd w:id="16"/>
    <w:p w14:paraId="40EB4AD4" w14:textId="77777777" w:rsidR="001358EC" w:rsidRDefault="00B36EFE">
      <w:pPr>
        <w:tabs>
          <w:tab w:val="left" w:pos="2552"/>
        </w:tabs>
        <w:spacing w:line="240" w:lineRule="auto"/>
        <w:jc w:val="both"/>
        <w:rPr>
          <w:rFonts w:ascii="Times New Roman" w:hAnsi="Times New Roman" w:cs="Times New Roman"/>
          <w:noProof/>
          <w:sz w:val="24"/>
          <w:szCs w:val="24"/>
        </w:rPr>
      </w:pPr>
      <w:r>
        <w:rPr>
          <w:rFonts w:ascii="Times New Roman" w:hAnsi="Times New Roman"/>
          <w:noProof/>
          <w:sz w:val="24"/>
        </w:rPr>
        <w:t xml:space="preserve">Pour de nombreux citoyens de l’UE, y compris ceux qui sont déjà confrontés à la précarité énergétique, </w:t>
      </w:r>
      <w:r>
        <w:rPr>
          <w:rFonts w:ascii="Times New Roman" w:hAnsi="Times New Roman"/>
          <w:b/>
          <w:noProof/>
          <w:sz w:val="24"/>
        </w:rPr>
        <w:t>l’incapacité de payer les factures d’énergie</w:t>
      </w:r>
      <w:r>
        <w:rPr>
          <w:rFonts w:ascii="Times New Roman" w:hAnsi="Times New Roman"/>
          <w:noProof/>
          <w:sz w:val="24"/>
        </w:rPr>
        <w:t xml:space="preserve"> est une préoccupation majeure supplémentaire. Le risque de se voir couper l’électricité et le gaz a une incidence grave sur leur qualité de vie et leur santé, y compris mentale. En 2024, environ </w:t>
      </w:r>
      <w:r>
        <w:rPr>
          <w:rFonts w:ascii="Times New Roman" w:hAnsi="Times New Roman"/>
          <w:b/>
          <w:noProof/>
          <w:sz w:val="24"/>
        </w:rPr>
        <w:t>31 millions d’Européens étaient en retard de paiement sur leurs factures de consommation courante</w:t>
      </w:r>
      <w:r>
        <w:rPr>
          <w:rStyle w:val="FootnoteReference"/>
          <w:rFonts w:ascii="Times New Roman" w:hAnsi="Times New Roman" w:cs="Times New Roman"/>
          <w:noProof/>
          <w:sz w:val="24"/>
          <w:szCs w:val="24"/>
          <w:lang w:val="en-GB"/>
        </w:rPr>
        <w:footnoteReference w:id="36"/>
      </w:r>
      <w:r>
        <w:rPr>
          <w:rFonts w:ascii="Times New Roman" w:hAnsi="Times New Roman"/>
          <w:noProof/>
          <w:sz w:val="24"/>
        </w:rPr>
        <w:t>.</w:t>
      </w:r>
    </w:p>
    <w:p w14:paraId="1DA27445" w14:textId="77777777" w:rsidR="001358EC" w:rsidRDefault="00B36EFE">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La Commission coopérera avec les États membres, les autorités de régulation nationales, les fournisseurs d’énergie, les organisations de consommateurs et les autres parties prenantes concernées afin de mettre en place des systèmes au niveau national pour détecter les </w:t>
      </w:r>
      <w:r>
        <w:rPr>
          <w:rFonts w:ascii="Times New Roman" w:hAnsi="Times New Roman"/>
          <w:b/>
          <w:noProof/>
          <w:sz w:val="24"/>
        </w:rPr>
        <w:t xml:space="preserve">signes d’alerte précoce </w:t>
      </w:r>
      <w:r>
        <w:rPr>
          <w:rFonts w:ascii="Times New Roman" w:hAnsi="Times New Roman"/>
          <w:noProof/>
          <w:sz w:val="24"/>
        </w:rPr>
        <w:t xml:space="preserve">lorsque les ménages rencontrent des difficultés à payer leurs factures d’énergie. L’objectif est d’aider les entreprises du secteur de l’énergie à intervenir et à offrir un soutien à ces ménages avant que le problème ne s’aggrave. En outre, la Commission encouragera le recours aux bonnes pratiques en matière de prévention des interruptions de fourniture et de protection contre celles-ci, y compris les </w:t>
      </w:r>
      <w:r>
        <w:rPr>
          <w:rFonts w:ascii="Times New Roman" w:hAnsi="Times New Roman"/>
          <w:b/>
          <w:noProof/>
          <w:sz w:val="24"/>
        </w:rPr>
        <w:t>mécanismes de gestion des dettes</w:t>
      </w:r>
      <w:r>
        <w:rPr>
          <w:rFonts w:ascii="Times New Roman" w:hAnsi="Times New Roman"/>
          <w:noProof/>
          <w:sz w:val="24"/>
        </w:rPr>
        <w:t xml:space="preserve">. </w:t>
      </w:r>
    </w:p>
    <w:p w14:paraId="7C534757" w14:textId="77777777" w:rsidR="001358EC" w:rsidRPr="0034630B" w:rsidRDefault="001358EC">
      <w:pPr>
        <w:spacing w:after="0" w:line="240" w:lineRule="auto"/>
        <w:jc w:val="both"/>
        <w:rPr>
          <w:rFonts w:ascii="Times New Roman" w:hAnsi="Times New Roman" w:cs="Times New Roman"/>
          <w:noProof/>
          <w:sz w:val="24"/>
          <w:szCs w:val="24"/>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8013"/>
      </w:tblGrid>
      <w:tr w:rsidR="001358EC" w14:paraId="64694F4D" w14:textId="77777777">
        <w:tc>
          <w:tcPr>
            <w:tcW w:w="0" w:type="auto"/>
            <w:vAlign w:val="center"/>
            <w:hideMark/>
          </w:tcPr>
          <w:p w14:paraId="21E4D15D" w14:textId="77777777" w:rsidR="001358EC" w:rsidRDefault="00B36EFE">
            <w:pPr>
              <w:rPr>
                <w:rFonts w:ascii="Times New Roman" w:hAnsi="Times New Roman" w:cs="Times New Roman"/>
                <w:bCs/>
                <w:noProof/>
                <w:sz w:val="24"/>
                <w:szCs w:val="24"/>
              </w:rPr>
            </w:pPr>
            <w:bookmarkStart w:id="17" w:name="_Hlk219978012"/>
            <w:r>
              <w:rPr>
                <w:rFonts w:ascii="Times New Roman" w:hAnsi="Times New Roman"/>
                <w:noProof/>
                <w:sz w:val="24"/>
              </w:rPr>
              <w:t>Objectif</w:t>
            </w:r>
          </w:p>
        </w:tc>
        <w:tc>
          <w:tcPr>
            <w:tcW w:w="0" w:type="auto"/>
            <w:vAlign w:val="center"/>
            <w:hideMark/>
          </w:tcPr>
          <w:p w14:paraId="6240A0E5" w14:textId="77777777" w:rsidR="001358EC" w:rsidRDefault="00B36EFE">
            <w:pPr>
              <w:rPr>
                <w:rFonts w:ascii="Times New Roman" w:hAnsi="Times New Roman" w:cs="Times New Roman"/>
                <w:b/>
                <w:bCs/>
                <w:noProof/>
                <w:sz w:val="24"/>
                <w:szCs w:val="24"/>
              </w:rPr>
            </w:pPr>
            <w:r>
              <w:rPr>
                <w:rFonts w:ascii="Times New Roman" w:hAnsi="Times New Roman"/>
                <w:b/>
                <w:noProof/>
                <w:sz w:val="24"/>
              </w:rPr>
              <w:t>Une meilleure protection des citoyens vulnérables et en situation de précarité énergétique exposés au risque d’interruptions de fourniture, grâce à des systèmes d’alerte précoce et de gestion de la dette.</w:t>
            </w:r>
          </w:p>
        </w:tc>
      </w:tr>
      <w:tr w:rsidR="001358EC" w14:paraId="026FCE51" w14:textId="77777777">
        <w:tc>
          <w:tcPr>
            <w:tcW w:w="0" w:type="auto"/>
            <w:vAlign w:val="center"/>
          </w:tcPr>
          <w:p w14:paraId="37141C35" w14:textId="77777777" w:rsidR="001358EC" w:rsidRDefault="00B36EFE">
            <w:pPr>
              <w:rPr>
                <w:rFonts w:ascii="Times New Roman" w:hAnsi="Times New Roman" w:cs="Times New Roman"/>
                <w:bCs/>
                <w:noProof/>
                <w:sz w:val="24"/>
                <w:szCs w:val="24"/>
              </w:rPr>
            </w:pPr>
            <w:r>
              <w:rPr>
                <w:rFonts w:ascii="Times New Roman" w:hAnsi="Times New Roman"/>
                <w:noProof/>
                <w:sz w:val="24"/>
              </w:rPr>
              <w:t>Résultat</w:t>
            </w:r>
          </w:p>
        </w:tc>
        <w:tc>
          <w:tcPr>
            <w:tcW w:w="0" w:type="auto"/>
            <w:vAlign w:val="center"/>
          </w:tcPr>
          <w:p w14:paraId="198AF1ED" w14:textId="77777777" w:rsidR="001358EC" w:rsidRDefault="00B36EFE">
            <w:pPr>
              <w:jc w:val="both"/>
              <w:rPr>
                <w:rFonts w:ascii="Times New Roman" w:hAnsi="Times New Roman" w:cs="Times New Roman"/>
                <w:noProof/>
                <w:sz w:val="24"/>
                <w:szCs w:val="24"/>
              </w:rPr>
            </w:pPr>
            <w:r>
              <w:rPr>
                <w:rFonts w:ascii="Times New Roman" w:hAnsi="Times New Roman"/>
                <w:noProof/>
                <w:sz w:val="24"/>
              </w:rPr>
              <w:t>Moins d’interruptions de fourniture; une protection cohérente des consommateurs vulnérables dans l’ensemble de l’UE; une réduction de la vulnérabilité; une amélioration de la justice sociale, de la santé et du bien-être.</w:t>
            </w:r>
          </w:p>
        </w:tc>
      </w:tr>
      <w:tr w:rsidR="001358EC" w14:paraId="49D8BBD5" w14:textId="77777777">
        <w:tc>
          <w:tcPr>
            <w:tcW w:w="0" w:type="auto"/>
            <w:vAlign w:val="center"/>
            <w:hideMark/>
          </w:tcPr>
          <w:p w14:paraId="164ABC44" w14:textId="77777777" w:rsidR="001358EC" w:rsidRDefault="00B36EFE">
            <w:pPr>
              <w:rPr>
                <w:rFonts w:ascii="Times New Roman" w:hAnsi="Times New Roman" w:cs="Times New Roman"/>
                <w:bCs/>
                <w:noProof/>
                <w:sz w:val="24"/>
                <w:szCs w:val="24"/>
              </w:rPr>
            </w:pPr>
            <w:r>
              <w:rPr>
                <w:rFonts w:ascii="Times New Roman" w:hAnsi="Times New Roman"/>
                <w:noProof/>
                <w:sz w:val="24"/>
              </w:rPr>
              <w:t>Moyens</w:t>
            </w:r>
          </w:p>
        </w:tc>
        <w:tc>
          <w:tcPr>
            <w:tcW w:w="0" w:type="auto"/>
            <w:vAlign w:val="center"/>
            <w:hideMark/>
          </w:tcPr>
          <w:p w14:paraId="4C253114" w14:textId="77777777" w:rsidR="001358EC" w:rsidRDefault="00B36EFE">
            <w:pPr>
              <w:jc w:val="both"/>
              <w:rPr>
                <w:rFonts w:ascii="Times New Roman" w:hAnsi="Times New Roman" w:cs="Times New Roman"/>
                <w:noProof/>
                <w:sz w:val="24"/>
                <w:szCs w:val="24"/>
              </w:rPr>
            </w:pPr>
            <w:r>
              <w:rPr>
                <w:rFonts w:ascii="Times New Roman" w:hAnsi="Times New Roman"/>
                <w:noProof/>
                <w:sz w:val="24"/>
              </w:rPr>
              <w:t>La Commission élaborera des</w:t>
            </w:r>
            <w:r>
              <w:rPr>
                <w:rFonts w:ascii="Times New Roman" w:hAnsi="Times New Roman"/>
                <w:b/>
                <w:noProof/>
                <w:sz w:val="24"/>
              </w:rPr>
              <w:t xml:space="preserve"> lignes directrices</w:t>
            </w:r>
            <w:r>
              <w:rPr>
                <w:rFonts w:ascii="Times New Roman" w:hAnsi="Times New Roman"/>
                <w:noProof/>
                <w:sz w:val="24"/>
              </w:rPr>
              <w:t xml:space="preserve"> de soutien et organisera des cours de formation à l’intention des autorités nationales et locales portant sur la conception et la mise en œuvre de </w:t>
            </w:r>
            <w:r>
              <w:rPr>
                <w:rFonts w:ascii="Times New Roman" w:hAnsi="Times New Roman"/>
                <w:b/>
                <w:noProof/>
                <w:sz w:val="24"/>
              </w:rPr>
              <w:t>garanties contre l’interruption de fourniture</w:t>
            </w:r>
            <w:r>
              <w:rPr>
                <w:rFonts w:ascii="Times New Roman" w:hAnsi="Times New Roman"/>
                <w:noProof/>
                <w:sz w:val="24"/>
              </w:rPr>
              <w:t>, et</w:t>
            </w:r>
            <w:r>
              <w:rPr>
                <w:rFonts w:ascii="Times New Roman" w:hAnsi="Times New Roman"/>
                <w:b/>
                <w:noProof/>
                <w:sz w:val="24"/>
              </w:rPr>
              <w:t xml:space="preserve"> </w:t>
            </w:r>
            <w:r>
              <w:rPr>
                <w:rFonts w:ascii="Times New Roman" w:hAnsi="Times New Roman"/>
                <w:noProof/>
                <w:sz w:val="24"/>
              </w:rPr>
              <w:t>promouvra les bonnes pratiques au moyen d’ateliers, d’événements et de publications ciblés (T2-T3 2026); et informera sur les aides disponibles par des actions de communication spécifiques (tout au long de l’année 2026).</w:t>
            </w:r>
          </w:p>
        </w:tc>
      </w:tr>
      <w:bookmarkEnd w:id="17"/>
    </w:tbl>
    <w:p w14:paraId="1AAAC5FB" w14:textId="77777777" w:rsidR="001358EC" w:rsidRPr="0034630B" w:rsidRDefault="001358EC">
      <w:pPr>
        <w:spacing w:after="0" w:line="240" w:lineRule="auto"/>
        <w:jc w:val="both"/>
        <w:rPr>
          <w:rFonts w:ascii="Times New Roman" w:eastAsia="Times New Roman" w:hAnsi="Times New Roman" w:cs="Times New Roman"/>
          <w:noProof/>
          <w:sz w:val="24"/>
          <w:szCs w:val="24"/>
        </w:rPr>
      </w:pPr>
    </w:p>
    <w:p w14:paraId="2479DB5E" w14:textId="77777777" w:rsidR="001358EC" w:rsidRDefault="00B36EFE">
      <w:pPr>
        <w:jc w:val="center"/>
        <w:rPr>
          <w:rFonts w:ascii="Times New Roman" w:hAnsi="Times New Roman" w:cs="Times New Roman"/>
          <w:b/>
          <w:bCs/>
          <w:smallCaps/>
          <w:noProof/>
          <w:sz w:val="24"/>
          <w:szCs w:val="24"/>
          <w:u w:val="single"/>
        </w:rPr>
      </w:pPr>
      <w:r>
        <w:rPr>
          <w:rFonts w:ascii="Times New Roman" w:hAnsi="Times New Roman"/>
          <w:b/>
          <w:smallCaps/>
          <w:noProof/>
          <w:sz w:val="24"/>
          <w:u w:val="single"/>
        </w:rPr>
        <w:t>Pilier IV: mise en œuvre de la législation existante de l’UE</w:t>
      </w:r>
    </w:p>
    <w:p w14:paraId="71E16CED" w14:textId="77777777" w:rsidR="001358EC" w:rsidRDefault="00B36EFE">
      <w:pPr>
        <w:spacing w:after="12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La législation de l’UE permet aux citoyens européens de bénéficier d’une forte protection des consommateurs, </w:t>
      </w:r>
      <w:r>
        <w:rPr>
          <w:rFonts w:ascii="Times New Roman" w:hAnsi="Times New Roman"/>
          <w:b/>
          <w:noProof/>
          <w:color w:val="000000" w:themeColor="text1"/>
          <w:sz w:val="24"/>
        </w:rPr>
        <w:t>mais la mise en œuvre des dispositions législatives reste inégale</w:t>
      </w:r>
      <w:r>
        <w:rPr>
          <w:rFonts w:ascii="Times New Roman" w:hAnsi="Times New Roman"/>
          <w:noProof/>
          <w:color w:val="000000" w:themeColor="text1"/>
          <w:sz w:val="24"/>
        </w:rPr>
        <w:t xml:space="preserve">. Sans une mise en œuvre rigoureuse sur le terrain, l’écart entre l’ambition de l’UE et l’expérience vécue par les citoyens persistera. </w:t>
      </w:r>
      <w:r>
        <w:rPr>
          <w:rFonts w:ascii="Times New Roman" w:hAnsi="Times New Roman"/>
          <w:noProof/>
          <w:sz w:val="24"/>
        </w:rPr>
        <w:t>Les</w:t>
      </w:r>
      <w:r>
        <w:rPr>
          <w:rFonts w:ascii="Times New Roman" w:hAnsi="Times New Roman"/>
          <w:b/>
          <w:noProof/>
          <w:sz w:val="24"/>
        </w:rPr>
        <w:t xml:space="preserve"> autorités locales </w:t>
      </w:r>
      <w:r>
        <w:rPr>
          <w:rFonts w:ascii="Times New Roman" w:hAnsi="Times New Roman"/>
          <w:noProof/>
          <w:sz w:val="24"/>
        </w:rPr>
        <w:t xml:space="preserve">ont un rôle essentiel à jouer pour soutenir les citoyens et dialoguer avec eux, mais elles ne sont souvent pas suffisamment associées à l’élaboration des politiques et </w:t>
      </w:r>
      <w:r>
        <w:rPr>
          <w:rFonts w:ascii="Times New Roman" w:hAnsi="Times New Roman"/>
          <w:b/>
          <w:noProof/>
          <w:sz w:val="24"/>
        </w:rPr>
        <w:t>ne disposent pas des pouvoirs et des moyens nécessaires</w:t>
      </w:r>
      <w:r>
        <w:rPr>
          <w:rFonts w:ascii="Times New Roman" w:hAnsi="Times New Roman"/>
          <w:noProof/>
          <w:sz w:val="24"/>
        </w:rPr>
        <w:t xml:space="preserve"> pour mener à bien les mesures en faveur des citoyens. </w:t>
      </w:r>
    </w:p>
    <w:p w14:paraId="701CC0BF" w14:textId="77777777" w:rsidR="001358EC" w:rsidRDefault="00B36EFE">
      <w:pPr>
        <w:spacing w:after="120" w:line="240" w:lineRule="auto"/>
        <w:jc w:val="both"/>
        <w:rPr>
          <w:rFonts w:ascii="Times New Roman" w:eastAsia="Times New Roman" w:hAnsi="Times New Roman" w:cs="Times New Roman"/>
          <w:noProof/>
          <w:color w:val="000000" w:themeColor="text1"/>
          <w:kern w:val="0"/>
          <w:sz w:val="24"/>
          <w:szCs w:val="24"/>
        </w:rPr>
      </w:pPr>
      <w:r>
        <w:rPr>
          <w:rFonts w:ascii="Times New Roman" w:hAnsi="Times New Roman"/>
          <w:noProof/>
          <w:color w:val="000000" w:themeColor="text1"/>
          <w:sz w:val="24"/>
        </w:rPr>
        <w:t>La Commission collaborera avec les États membres et les parties prenantes concernées pour contribuer à la mise en œuvre et à l’application de la législation de l’UE, notamment en adoptant</w:t>
      </w:r>
      <w:r>
        <w:rPr>
          <w:rFonts w:ascii="Times New Roman" w:hAnsi="Times New Roman"/>
          <w:b/>
          <w:noProof/>
          <w:color w:val="000000" w:themeColor="text1"/>
          <w:sz w:val="24"/>
        </w:rPr>
        <w:t xml:space="preserve"> des orientations et des analyses techniques</w:t>
      </w:r>
      <w:r>
        <w:rPr>
          <w:rFonts w:ascii="Times New Roman" w:hAnsi="Times New Roman"/>
          <w:noProof/>
          <w:color w:val="000000" w:themeColor="text1"/>
          <w:sz w:val="24"/>
        </w:rPr>
        <w:t xml:space="preserve"> sur </w:t>
      </w:r>
      <w:r>
        <w:rPr>
          <w:rFonts w:ascii="Times New Roman" w:hAnsi="Times New Roman"/>
          <w:noProof/>
          <w:color w:val="000000" w:themeColor="text1"/>
          <w:sz w:val="24"/>
          <w:u w:val="single"/>
        </w:rPr>
        <w:t>les communautés énergétiques et l’autoconsommation</w:t>
      </w:r>
      <w:r>
        <w:rPr>
          <w:rFonts w:ascii="Times New Roman" w:hAnsi="Times New Roman"/>
          <w:noProof/>
          <w:color w:val="000000" w:themeColor="text1"/>
          <w:sz w:val="24"/>
        </w:rPr>
        <w:t xml:space="preserve">, y compris un </w:t>
      </w:r>
      <w:r>
        <w:rPr>
          <w:rFonts w:ascii="Times New Roman" w:hAnsi="Times New Roman"/>
          <w:noProof/>
          <w:color w:val="000000" w:themeColor="text1"/>
          <w:sz w:val="24"/>
          <w:u w:val="single"/>
        </w:rPr>
        <w:t>plan d’action sur les communautés énergétiques</w:t>
      </w:r>
      <w:r>
        <w:rPr>
          <w:rFonts w:ascii="Times New Roman" w:hAnsi="Times New Roman"/>
          <w:noProof/>
          <w:color w:val="000000" w:themeColor="text1"/>
          <w:sz w:val="24"/>
        </w:rPr>
        <w:t xml:space="preserve">; </w:t>
      </w:r>
      <w:r>
        <w:rPr>
          <w:rFonts w:ascii="Times New Roman" w:hAnsi="Times New Roman"/>
          <w:noProof/>
          <w:color w:val="000000" w:themeColor="text1"/>
          <w:sz w:val="24"/>
          <w:u w:val="single"/>
        </w:rPr>
        <w:t>la protection des clients vulnérables et des clients en situation de précarité énergétique</w:t>
      </w:r>
      <w:r>
        <w:rPr>
          <w:rFonts w:ascii="Times New Roman" w:hAnsi="Times New Roman"/>
          <w:noProof/>
          <w:color w:val="000000" w:themeColor="text1"/>
          <w:sz w:val="24"/>
        </w:rPr>
        <w:t xml:space="preserve"> contre les</w:t>
      </w:r>
      <w:r>
        <w:rPr>
          <w:rFonts w:ascii="Times New Roman" w:hAnsi="Times New Roman"/>
          <w:noProof/>
          <w:color w:val="000000" w:themeColor="text1"/>
          <w:sz w:val="24"/>
          <w:u w:val="single"/>
        </w:rPr>
        <w:t xml:space="preserve"> interruptions de fourniture d’énergie</w:t>
      </w:r>
      <w:r>
        <w:rPr>
          <w:rFonts w:ascii="Times New Roman" w:hAnsi="Times New Roman"/>
          <w:noProof/>
          <w:color w:val="000000" w:themeColor="text1"/>
          <w:sz w:val="24"/>
        </w:rPr>
        <w:t xml:space="preserve"> et </w:t>
      </w:r>
      <w:r>
        <w:rPr>
          <w:rFonts w:ascii="Times New Roman" w:hAnsi="Times New Roman"/>
          <w:noProof/>
          <w:color w:val="000000" w:themeColor="text1"/>
          <w:sz w:val="24"/>
          <w:u w:val="single"/>
        </w:rPr>
        <w:t>durant l’abandon progressif du gaz</w:t>
      </w:r>
      <w:r>
        <w:rPr>
          <w:rFonts w:ascii="Times New Roman" w:hAnsi="Times New Roman"/>
          <w:noProof/>
          <w:color w:val="000000" w:themeColor="text1"/>
          <w:sz w:val="24"/>
        </w:rPr>
        <w:t xml:space="preserve">; le résumé des </w:t>
      </w:r>
      <w:r>
        <w:rPr>
          <w:rFonts w:ascii="Times New Roman" w:hAnsi="Times New Roman"/>
          <w:noProof/>
          <w:color w:val="000000" w:themeColor="text1"/>
          <w:sz w:val="24"/>
          <w:u w:val="single"/>
        </w:rPr>
        <w:t>principales conditions contractuelles</w:t>
      </w:r>
      <w:r>
        <w:rPr>
          <w:rFonts w:ascii="Times New Roman" w:hAnsi="Times New Roman"/>
          <w:noProof/>
          <w:color w:val="000000" w:themeColor="text1"/>
          <w:sz w:val="24"/>
        </w:rPr>
        <w:t xml:space="preserve">; la </w:t>
      </w:r>
      <w:r>
        <w:rPr>
          <w:rFonts w:ascii="Times New Roman" w:hAnsi="Times New Roman"/>
          <w:noProof/>
          <w:color w:val="000000" w:themeColor="text1"/>
          <w:sz w:val="24"/>
          <w:u w:val="single"/>
        </w:rPr>
        <w:t>gestion des risques fournisseurs</w:t>
      </w:r>
      <w:r>
        <w:rPr>
          <w:rFonts w:ascii="Times New Roman" w:hAnsi="Times New Roman"/>
          <w:noProof/>
          <w:color w:val="000000" w:themeColor="text1"/>
          <w:sz w:val="24"/>
        </w:rPr>
        <w:t>; les</w:t>
      </w:r>
      <w:r>
        <w:rPr>
          <w:rFonts w:ascii="Times New Roman" w:hAnsi="Times New Roman"/>
          <w:noProof/>
          <w:color w:val="000000" w:themeColor="text1"/>
          <w:sz w:val="24"/>
          <w:u w:val="single"/>
        </w:rPr>
        <w:t xml:space="preserve"> prix de détail basés sur le marché</w:t>
      </w:r>
      <w:r>
        <w:rPr>
          <w:rFonts w:ascii="Times New Roman" w:hAnsi="Times New Roman"/>
          <w:noProof/>
          <w:color w:val="000000" w:themeColor="text1"/>
          <w:sz w:val="24"/>
        </w:rPr>
        <w:t xml:space="preserve">; la rémunération de la </w:t>
      </w:r>
      <w:r>
        <w:rPr>
          <w:rFonts w:ascii="Times New Roman" w:hAnsi="Times New Roman"/>
          <w:noProof/>
          <w:color w:val="000000" w:themeColor="text1"/>
          <w:sz w:val="24"/>
          <w:u w:val="single"/>
        </w:rPr>
        <w:t>flexibilité</w:t>
      </w:r>
      <w:r>
        <w:rPr>
          <w:rFonts w:ascii="Times New Roman" w:hAnsi="Times New Roman"/>
          <w:noProof/>
          <w:color w:val="000000" w:themeColor="text1"/>
          <w:sz w:val="24"/>
        </w:rPr>
        <w:t xml:space="preserve"> dans les contrats de détail; des règles techniques pour le </w:t>
      </w:r>
      <w:r>
        <w:rPr>
          <w:rFonts w:ascii="Times New Roman" w:hAnsi="Times New Roman"/>
          <w:noProof/>
          <w:color w:val="000000" w:themeColor="text1"/>
          <w:sz w:val="24"/>
          <w:u w:val="single"/>
        </w:rPr>
        <w:t>changement de fournisseur</w:t>
      </w:r>
      <w:r>
        <w:rPr>
          <w:rFonts w:ascii="Times New Roman" w:hAnsi="Times New Roman"/>
          <w:noProof/>
          <w:color w:val="000000" w:themeColor="text1"/>
          <w:sz w:val="24"/>
        </w:rPr>
        <w:t xml:space="preserve">. </w:t>
      </w:r>
    </w:p>
    <w:p w14:paraId="1A1B5AF2" w14:textId="77777777" w:rsidR="001358EC" w:rsidRDefault="00B36EFE">
      <w:pPr>
        <w:pStyle w:val="oj-normal"/>
        <w:spacing w:before="120" w:beforeAutospacing="0" w:after="120" w:afterAutospacing="0"/>
        <w:jc w:val="both"/>
        <w:rPr>
          <w:noProof/>
          <w:color w:val="000000" w:themeColor="text1"/>
        </w:rPr>
      </w:pPr>
      <w:r>
        <w:rPr>
          <w:noProof/>
        </w:rPr>
        <w:t xml:space="preserve">La mise en œuvre ne peut évidemment pas se faire sans tenir compte de </w:t>
      </w:r>
      <w:r>
        <w:rPr>
          <w:b/>
          <w:noProof/>
        </w:rPr>
        <w:t>toutes les parties prenantes concernées</w:t>
      </w:r>
      <w:r>
        <w:rPr>
          <w:noProof/>
        </w:rPr>
        <w:t xml:space="preserve">. C’est pourquoi, pour atteindre tous les objectifs énoncés dans la présente communication, il est essentiel d’avoir une interaction et un </w:t>
      </w:r>
      <w:r>
        <w:rPr>
          <w:b/>
          <w:noProof/>
        </w:rPr>
        <w:t>engagement</w:t>
      </w:r>
      <w:r>
        <w:rPr>
          <w:noProof/>
        </w:rPr>
        <w:t xml:space="preserve"> forts entre la Commission, les États membres et les citoyens eux-mêmes, ainsi qu’avec la société civile, les régulateurs, l’industrie et le monde universitaire. À cette fin, la Commission </w:t>
      </w:r>
      <w:r>
        <w:rPr>
          <w:b/>
          <w:noProof/>
        </w:rPr>
        <w:t>rationalisera</w:t>
      </w:r>
      <w:r>
        <w:rPr>
          <w:noProof/>
        </w:rPr>
        <w:t xml:space="preserve"> les initiatives existantes et accroîtra la visibilité des outils de soutien actuels, tels que le Citizen Energy Advisory Hub, le groupe consultatif sur la précarité énergétique, la Convention des maires, l’initiative en faveur d’une énergie propre pour les îles de l’Union, l’initiative pour les régions charbonnières en transition et l’Energy Behaviour Forum, en faisant du </w:t>
      </w:r>
      <w:r>
        <w:rPr>
          <w:b/>
          <w:noProof/>
        </w:rPr>
        <w:t>forum des citoyens pour l’énergie</w:t>
      </w:r>
      <w:r>
        <w:rPr>
          <w:noProof/>
        </w:rPr>
        <w:t xml:space="preserve"> un lieu de discussion pour le partage des bonnes pratiques et le suivi des progrès accomplis dans la mise en œuvre. La Commission publiera également des orientations à l’intention des États membres afin de donner aux villes les moyens d’agir, en les aidant à libérer tout le potentiel des autorités locales dans la réalisation de la transition vers une énergie propre. </w:t>
      </w:r>
      <w:r>
        <w:rPr>
          <w:b/>
          <w:noProof/>
        </w:rPr>
        <w:t>Par l’intermédiaire des organisations nationales de consommateurs, la Commission accordera une attention particulière à l’engagement des citoyens, en veillant à ce que les consommateurs soient informés de leurs droits et des possibilités offertes sur le marché de l’énergie de l’UE.</w:t>
      </w:r>
      <w:r>
        <w:rPr>
          <w:noProof/>
        </w:rPr>
        <w:t xml:space="preserve"> </w:t>
      </w:r>
    </w:p>
    <w:sectPr w:rsidR="001358EC">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93E12A" w14:textId="77777777" w:rsidR="004969BF" w:rsidRDefault="004969BF">
      <w:pPr>
        <w:spacing w:after="0" w:line="240" w:lineRule="auto"/>
      </w:pPr>
      <w:r>
        <w:separator/>
      </w:r>
    </w:p>
  </w:endnote>
  <w:endnote w:type="continuationSeparator" w:id="0">
    <w:p w14:paraId="7596FA79" w14:textId="77777777" w:rsidR="004969BF" w:rsidRDefault="00496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panose1 w:val="00000000000000000000"/>
    <w:charset w:val="00"/>
    <w:family w:val="roman"/>
    <w:notTrueType/>
    <w:pitch w:val="default"/>
  </w:font>
  <w:font w:name="Times New Roman, Apto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F2E1F" w14:textId="395358B3" w:rsidR="000B5F73" w:rsidRPr="000B5F73" w:rsidRDefault="000B5F73" w:rsidP="000B5F73">
    <w:pPr>
      <w:pStyle w:val="FooterCoverPage"/>
      <w:rPr>
        <w:rFonts w:ascii="Arial" w:hAnsi="Arial" w:cs="Arial"/>
        <w:b/>
        <w:sz w:val="48"/>
      </w:rPr>
    </w:pPr>
    <w:r w:rsidRPr="000B5F73">
      <w:rPr>
        <w:rFonts w:ascii="Arial" w:hAnsi="Arial" w:cs="Arial"/>
        <w:b/>
        <w:sz w:val="48"/>
      </w:rPr>
      <w:t>FR</w:t>
    </w:r>
    <w:r w:rsidRPr="000B5F73">
      <w:rPr>
        <w:rFonts w:ascii="Arial" w:hAnsi="Arial" w:cs="Arial"/>
        <w:b/>
        <w:sz w:val="48"/>
      </w:rPr>
      <w:tab/>
    </w:r>
    <w:r w:rsidRPr="000B5F73">
      <w:rPr>
        <w:rFonts w:ascii="Arial" w:hAnsi="Arial" w:cs="Arial"/>
        <w:b/>
        <w:sz w:val="48"/>
      </w:rPr>
      <w:tab/>
    </w:r>
    <w:r w:rsidRPr="000B5F73">
      <w:tab/>
    </w:r>
    <w:r w:rsidRPr="000B5F7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41E66" w14:textId="3486FCCC" w:rsidR="000B5F73" w:rsidRPr="000B5F73" w:rsidRDefault="000B5F73" w:rsidP="000B5F73">
    <w:pPr>
      <w:pStyle w:val="FooterCoverPage"/>
      <w:rPr>
        <w:rFonts w:ascii="Arial" w:hAnsi="Arial" w:cs="Arial"/>
        <w:b/>
        <w:sz w:val="48"/>
      </w:rPr>
    </w:pPr>
    <w:r w:rsidRPr="000B5F73">
      <w:rPr>
        <w:rFonts w:ascii="Arial" w:hAnsi="Arial" w:cs="Arial"/>
        <w:b/>
        <w:sz w:val="48"/>
      </w:rPr>
      <w:t>FR</w:t>
    </w:r>
    <w:r w:rsidRPr="000B5F73">
      <w:rPr>
        <w:rFonts w:ascii="Arial" w:hAnsi="Arial" w:cs="Arial"/>
        <w:b/>
        <w:sz w:val="48"/>
      </w:rPr>
      <w:tab/>
    </w:r>
    <w:r w:rsidRPr="000B5F73">
      <w:rPr>
        <w:rFonts w:ascii="Arial" w:hAnsi="Arial" w:cs="Arial"/>
        <w:b/>
        <w:sz w:val="48"/>
      </w:rPr>
      <w:tab/>
    </w:r>
    <w:r w:rsidRPr="000B5F73">
      <w:tab/>
    </w:r>
    <w:r w:rsidRPr="000B5F7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FD9C6" w14:textId="77777777" w:rsidR="000B5F73" w:rsidRPr="000B5F73" w:rsidRDefault="000B5F73" w:rsidP="000B5F7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82221" w14:textId="77777777" w:rsidR="001358EC" w:rsidRDefault="001358E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5247822"/>
      <w:docPartObj>
        <w:docPartGallery w:val="Page Numbers (Bottom of Page)"/>
        <w:docPartUnique/>
      </w:docPartObj>
    </w:sdtPr>
    <w:sdtEndPr>
      <w:rPr>
        <w:noProof/>
      </w:rPr>
    </w:sdtEndPr>
    <w:sdtContent>
      <w:p w14:paraId="458B27EE" w14:textId="2166B9A0" w:rsidR="001358EC" w:rsidRDefault="00B36EFE">
        <w:pPr>
          <w:pStyle w:val="Footer"/>
          <w:jc w:val="center"/>
        </w:pPr>
        <w:r>
          <w:fldChar w:fldCharType="begin"/>
        </w:r>
        <w:r>
          <w:instrText xml:space="preserve"> PAGE   \* MERGEFORMAT </w:instrText>
        </w:r>
        <w:r>
          <w:fldChar w:fldCharType="separate"/>
        </w:r>
        <w:r w:rsidR="000B5F73">
          <w:rPr>
            <w:noProof/>
          </w:rPr>
          <w:t>1</w:t>
        </w:r>
        <w:r>
          <w:fldChar w:fldCharType="end"/>
        </w:r>
      </w:p>
    </w:sdtContent>
  </w:sdt>
  <w:p w14:paraId="0687B06D" w14:textId="77777777" w:rsidR="001358EC" w:rsidRDefault="001358EC">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F0619" w14:textId="77777777" w:rsidR="001358EC" w:rsidRDefault="001358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8A7E9A" w14:textId="77777777" w:rsidR="004969BF" w:rsidRDefault="004969BF">
      <w:pPr>
        <w:spacing w:after="0" w:line="240" w:lineRule="auto"/>
      </w:pPr>
      <w:r>
        <w:separator/>
      </w:r>
    </w:p>
  </w:footnote>
  <w:footnote w:type="continuationSeparator" w:id="0">
    <w:p w14:paraId="296ECE24" w14:textId="77777777" w:rsidR="004969BF" w:rsidRDefault="004969BF">
      <w:pPr>
        <w:spacing w:after="0" w:line="240" w:lineRule="auto"/>
      </w:pPr>
      <w:r>
        <w:continuationSeparator/>
      </w:r>
    </w:p>
  </w:footnote>
  <w:footnote w:id="1">
    <w:p w14:paraId="23957392" w14:textId="77777777" w:rsidR="001358EC" w:rsidRDefault="00B36EF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Enquête Eurobaromètre Flash 566</w:t>
        </w:r>
      </w:hyperlink>
      <w:r>
        <w:rPr>
          <w:rFonts w:ascii="Times New Roman" w:hAnsi="Times New Roman"/>
        </w:rPr>
        <w:t>,</w:t>
      </w:r>
      <w:r>
        <w:rPr>
          <w:rFonts w:ascii="Times New Roman" w:hAnsi="Times New Roman"/>
          <w:i/>
        </w:rPr>
        <w:t xml:space="preserve"> Consumer behaviour in the energy transition</w:t>
      </w:r>
      <w:r>
        <w:rPr>
          <w:rFonts w:ascii="Times New Roman" w:hAnsi="Times New Roman"/>
        </w:rPr>
        <w:t xml:space="preserve"> (Comportement des consommateurs durant la transition énergétique), décembre 2025.</w:t>
      </w:r>
    </w:p>
  </w:footnote>
  <w:footnote w:id="2">
    <w:p w14:paraId="377F72D1" w14:textId="77777777" w:rsidR="001358EC" w:rsidRDefault="00B36EF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Stratégie européenne pour la résilience dans le domaine de l’eau, COM(2025) 280.</w:t>
      </w:r>
    </w:p>
  </w:footnote>
  <w:footnote w:id="3">
    <w:p w14:paraId="2F64A068" w14:textId="77777777" w:rsidR="001358EC" w:rsidRDefault="00B36EFE">
      <w:pPr>
        <w:pStyle w:val="FootnoteText"/>
        <w:rPr>
          <w:rFonts w:ascii="Times New Roman" w:hAnsi="Times New Roman" w:cs="Times New Roman"/>
          <w:i/>
        </w:rPr>
      </w:pPr>
      <w:r>
        <w:rPr>
          <w:rStyle w:val="FootnoteReference"/>
          <w:rFonts w:ascii="Times New Roman" w:hAnsi="Times New Roman" w:cs="Times New Roman"/>
          <w:lang w:val="en-IE"/>
        </w:rPr>
        <w:footnoteRef/>
      </w:r>
      <w:r>
        <w:rPr>
          <w:rFonts w:ascii="Times New Roman" w:hAnsi="Times New Roman"/>
        </w:rPr>
        <w:t xml:space="preserve"> À savoir le </w:t>
      </w:r>
      <w:hyperlink r:id="rId2" w:history="1">
        <w:r>
          <w:rPr>
            <w:rStyle w:val="Hyperlink"/>
            <w:rFonts w:ascii="Times New Roman" w:hAnsi="Times New Roman"/>
          </w:rPr>
          <w:t>pacte pour une industrie propre</w:t>
        </w:r>
      </w:hyperlink>
      <w:r>
        <w:rPr>
          <w:rFonts w:ascii="Times New Roman" w:hAnsi="Times New Roman"/>
        </w:rPr>
        <w:t xml:space="preserve">, le </w:t>
      </w:r>
      <w:hyperlink r:id="rId3" w:history="1">
        <w:r>
          <w:rPr>
            <w:rStyle w:val="Hyperlink"/>
            <w:rFonts w:ascii="Times New Roman" w:hAnsi="Times New Roman"/>
          </w:rPr>
          <w:t>plan d’action pour une énergie abordable</w:t>
        </w:r>
      </w:hyperlink>
      <w:r>
        <w:rPr>
          <w:rFonts w:ascii="Times New Roman" w:hAnsi="Times New Roman"/>
        </w:rPr>
        <w:t xml:space="preserve">, le </w:t>
      </w:r>
      <w:hyperlink r:id="rId4" w:history="1">
        <w:r>
          <w:rPr>
            <w:rStyle w:val="Hyperlink"/>
            <w:rFonts w:ascii="Times New Roman" w:hAnsi="Times New Roman"/>
          </w:rPr>
          <w:t>plan européen pour des logements abordables</w:t>
        </w:r>
      </w:hyperlink>
      <w:r>
        <w:rPr>
          <w:rFonts w:ascii="Times New Roman" w:hAnsi="Times New Roman"/>
        </w:rPr>
        <w:t xml:space="preserve">, le </w:t>
      </w:r>
      <w:hyperlink r:id="rId5" w:history="1">
        <w:r>
          <w:rPr>
            <w:rStyle w:val="Hyperlink"/>
            <w:rFonts w:ascii="Times New Roman" w:hAnsi="Times New Roman"/>
          </w:rPr>
          <w:t>train de mesures sur les réseaux européens</w:t>
        </w:r>
      </w:hyperlink>
      <w:r>
        <w:rPr>
          <w:rFonts w:ascii="Times New Roman" w:hAnsi="Times New Roman"/>
        </w:rPr>
        <w:t>, le</w:t>
      </w:r>
      <w:hyperlink r:id="rId6" w:history="1">
        <w:r>
          <w:rPr>
            <w:rStyle w:val="Hyperlink"/>
            <w:rFonts w:ascii="Times New Roman" w:hAnsi="Times New Roman"/>
          </w:rPr>
          <w:t>programme de l’Union pour les villes</w:t>
        </w:r>
      </w:hyperlink>
      <w:r>
        <w:rPr>
          <w:rFonts w:ascii="Times New Roman" w:hAnsi="Times New Roman"/>
        </w:rPr>
        <w:t>, ainsi que la future stratégie pour l’électrification, la stratégie en matière de chauffage et de refroidissement ou la feuille de route stratégique pour la numérisation dans le secteur de l’énergie.</w:t>
      </w:r>
    </w:p>
  </w:footnote>
  <w:footnote w:id="4">
    <w:p w14:paraId="426A7F83" w14:textId="77777777" w:rsidR="001358EC" w:rsidRDefault="00B36EFE">
      <w:pPr>
        <w:pStyle w:val="FootnoteText"/>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La Grèce, l’Italie et le Portugal ajoutent aux factures d’électricité des redevances liées au service public de radiodiffusion.</w:t>
      </w:r>
    </w:p>
  </w:footnote>
  <w:footnote w:id="5">
    <w:p w14:paraId="0AAA943E" w14:textId="77777777" w:rsidR="001358EC" w:rsidRDefault="00B36EFE">
      <w:pPr>
        <w:pStyle w:val="FootnoteText"/>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L’Allemagne, la France.</w:t>
      </w:r>
    </w:p>
  </w:footnote>
  <w:footnote w:id="6">
    <w:p w14:paraId="4D05C538" w14:textId="77777777" w:rsidR="001358EC" w:rsidRDefault="00B36EFE">
      <w:pPr>
        <w:pStyle w:val="FootnoteText"/>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Directive 2019/944 du Parlement européen et du Conseil du 5 juin 2019 concernant des règles communes pour le marché intérieur de l’électricité et modifiant la directive 2012/27/UE (refonte).</w:t>
      </w:r>
    </w:p>
  </w:footnote>
  <w:footnote w:id="7">
    <w:p w14:paraId="716BE61C" w14:textId="77777777" w:rsidR="001358EC" w:rsidRDefault="00B36EF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Style w:val="Hyperlink"/>
            <w:rFonts w:ascii="Times New Roman" w:hAnsi="Times New Roman"/>
          </w:rPr>
          <w:t>Lignes directrices sur les redevances de réseau à l’épreuve du temps pour réduire les coûts du système énergétique</w:t>
        </w:r>
      </w:hyperlink>
      <w:r>
        <w:rPr>
          <w:rFonts w:ascii="Times New Roman" w:hAnsi="Times New Roman"/>
        </w:rPr>
        <w:t>, C(2025) 4010 final.</w:t>
      </w:r>
    </w:p>
  </w:footnote>
  <w:footnote w:id="8">
    <w:p w14:paraId="5367A82C" w14:textId="77777777" w:rsidR="001358EC" w:rsidRDefault="00B36EF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Eurostat, </w:t>
      </w:r>
      <w:hyperlink r:id="rId8" w:history="1">
        <w:r>
          <w:rPr>
            <w:rStyle w:val="Hyperlink"/>
            <w:rFonts w:ascii="Times New Roman" w:hAnsi="Times New Roman"/>
          </w:rPr>
          <w:t>Energy consumption in households (Consommation d’énergie des ménages)</w:t>
        </w:r>
      </w:hyperlink>
      <w:r>
        <w:rPr>
          <w:rFonts w:ascii="Times New Roman" w:hAnsi="Times New Roman"/>
        </w:rPr>
        <w:t>, juin 2025.</w:t>
      </w:r>
    </w:p>
  </w:footnote>
  <w:footnote w:id="9">
    <w:p w14:paraId="4AAB7E52" w14:textId="77777777" w:rsidR="001358EC" w:rsidRDefault="00B36EF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 w:history="1">
        <w:r>
          <w:rPr>
            <w:rFonts w:ascii="Times New Roman" w:hAnsi="Times New Roman"/>
            <w:color w:val="0000FF"/>
            <w:u w:val="single"/>
          </w:rPr>
          <w:t>European’s attitudes towards energy policies (Les attitudes des Européens à l’égard des politiques énergétiques) – septembre 2024 – enquête Eurobaromètre</w:t>
        </w:r>
      </w:hyperlink>
      <w:r>
        <w:rPr>
          <w:rFonts w:ascii="Times New Roman" w:hAnsi="Times New Roman"/>
        </w:rPr>
        <w:t>. Plus des trois quarts des personnes interrogées avaient utilisé l’étiquette énergétique de l’UE au cours des cinq dernières années.</w:t>
      </w:r>
    </w:p>
  </w:footnote>
  <w:footnote w:id="10">
    <w:p w14:paraId="3019DD91" w14:textId="77777777" w:rsidR="001358EC" w:rsidRDefault="00B36EF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 exemple, la France a lancé la deuxième édition du système de crédit-bail social pour les véhicules électriques. En Lettonie, une entreprise publique fournit aux entreprises et aux ménages un accès à des ressources financières au moyen de prêts, de garanties et d’investissements dans des fonds de capital-risque.</w:t>
      </w:r>
    </w:p>
  </w:footnote>
  <w:footnote w:id="11">
    <w:p w14:paraId="6B55CBFB" w14:textId="77777777" w:rsidR="001358EC" w:rsidRDefault="00B36EF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Bonnes pratiques fournies dans l’annexe de la recommandation de la Commission </w:t>
      </w:r>
      <w:r>
        <w:rPr>
          <w:rFonts w:ascii="Times New Roman" w:hAnsi="Times New Roman"/>
          <w:color w:val="000000" w:themeColor="text1"/>
        </w:rPr>
        <w:t>sur la libération des investissements privés dans l’efficacité énergétique</w:t>
      </w:r>
      <w:r>
        <w:rPr>
          <w:rFonts w:ascii="Times New Roman" w:hAnsi="Times New Roman"/>
        </w:rPr>
        <w:t>.</w:t>
      </w:r>
      <w:r>
        <w:rPr>
          <w:rFonts w:ascii="Times New Roman" w:hAnsi="Times New Roman"/>
          <w:color w:val="000000" w:themeColor="text1"/>
        </w:rPr>
        <w:t xml:space="preserve"> COM(2026) 1526, Recommandation </w:t>
      </w:r>
    </w:p>
  </w:footnote>
  <w:footnote w:id="12">
    <w:p w14:paraId="557F40E3" w14:textId="77777777" w:rsidR="001358EC" w:rsidRDefault="00B36EF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 modèle économique qui permet aux clients de payer pour la chaleur qu’ils utilisent plutôt que pour l’infrastructure ou le combustible.</w:t>
      </w:r>
    </w:p>
  </w:footnote>
  <w:footnote w:id="13">
    <w:p w14:paraId="0DE9231A" w14:textId="77777777" w:rsidR="001358EC" w:rsidRDefault="00B36EF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COM(2026) 116, Stratégie d’investissement dans l’énergie propre.</w:t>
      </w:r>
    </w:p>
  </w:footnote>
  <w:footnote w:id="14">
    <w:p w14:paraId="43F45FBB" w14:textId="77777777" w:rsidR="001358EC" w:rsidRDefault="00B36EF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Directive (UE) 2019/944 du Parlement européen et du Conseil du 5 juin 2019 concernant des règles communes pour le marché intérieur de l’électricité et modifiant la directive 2012/27/UE (refonte), articles 4, 12.</w:t>
      </w:r>
    </w:p>
  </w:footnote>
  <w:footnote w:id="15">
    <w:p w14:paraId="1109671F" w14:textId="77777777" w:rsidR="001358EC" w:rsidRDefault="00B36EF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 w:history="1">
        <w:r>
          <w:rPr>
            <w:rStyle w:val="Hyperlink"/>
            <w:rFonts w:ascii="Times New Roman" w:hAnsi="Times New Roman"/>
          </w:rPr>
          <w:t>ACER 2021 Annual Report on the Results of Monitoring the Internal Electricity and Natural Gas Markets (Rapport annuel 2021 de l’ACER sur les résultats de la surveillance des marchés intérieurs de l’électricité et du gaz naturel)</w:t>
        </w:r>
      </w:hyperlink>
      <w:r>
        <w:t>.</w:t>
      </w:r>
    </w:p>
  </w:footnote>
  <w:footnote w:id="16">
    <w:p w14:paraId="30C5D01A" w14:textId="77777777" w:rsidR="001358EC" w:rsidRDefault="00B36EF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olor w:val="000000" w:themeColor="text1"/>
        </w:rPr>
        <w:t xml:space="preserve"> Voir également l’action nº 7.</w:t>
      </w:r>
    </w:p>
  </w:footnote>
  <w:footnote w:id="17">
    <w:p w14:paraId="2FCD45FF" w14:textId="77777777" w:rsidR="001358EC" w:rsidRDefault="00B36EF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Dans le secteur des télécommunications, les fournisseurs devraient donner</w:t>
      </w:r>
      <w:r>
        <w:rPr>
          <w:rFonts w:ascii="Times New Roman" w:hAnsi="Times New Roman"/>
          <w:color w:val="000000" w:themeColor="text1"/>
        </w:rPr>
        <w:t xml:space="preserve"> les meilleurs conseils tarifaires au moins une fois par an à leurs clients, ce qui pourrait encourager ces derniers à modifier leur option de contrat.</w:t>
      </w:r>
    </w:p>
  </w:footnote>
  <w:footnote w:id="18">
    <w:p w14:paraId="7103053A" w14:textId="77777777" w:rsidR="001358EC" w:rsidRDefault="00B36EFE">
      <w:pPr>
        <w:spacing w:after="0"/>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Article 16 de la directive (UE) 2019/944 et article 22 de la directive (UE) 2018/2001.</w:t>
      </w:r>
    </w:p>
  </w:footnote>
  <w:footnote w:id="19">
    <w:p w14:paraId="1BEC67C0" w14:textId="603E2649" w:rsidR="001358EC" w:rsidRDefault="00B36EFE">
      <w:pPr>
        <w:pStyle w:val="FootnoteText"/>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Estimation fondée sur une interprétation large du concept, qui ne se limite pas aux seules définitions de l’UE.</w:t>
      </w:r>
      <w:r>
        <w:rPr>
          <w:rStyle w:val="FootnoteReference"/>
          <w:rFonts w:ascii="Times New Roman" w:hAnsi="Times New Roman"/>
        </w:rPr>
        <w:t>.</w:t>
      </w:r>
    </w:p>
  </w:footnote>
  <w:footnote w:id="20">
    <w:p w14:paraId="5754F6F5" w14:textId="77777777" w:rsidR="001358EC" w:rsidRDefault="00B36EF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Étude EnTEC sur le potentiel de l’énergie citoyenne (à paraître).</w:t>
      </w:r>
    </w:p>
  </w:footnote>
  <w:footnote w:id="21">
    <w:p w14:paraId="7192F668" w14:textId="77777777" w:rsidR="001358EC" w:rsidRDefault="00B36EFE">
      <w:pPr>
        <w:pStyle w:val="FootnoteText"/>
        <w:rPr>
          <w:rStyle w:val="FootnoteReference"/>
          <w:rFonts w:ascii="Times New Roman" w:hAnsi="Times New Roman"/>
        </w:rPr>
      </w:pPr>
      <w:r>
        <w:rPr>
          <w:rStyle w:val="FootnoteReference"/>
          <w:rFonts w:ascii="Times New Roman" w:hAnsi="Times New Roman" w:cs="Times New Roman"/>
        </w:rPr>
        <w:footnoteRef/>
      </w:r>
      <w:r>
        <w:rPr>
          <w:rFonts w:ascii="Times New Roman" w:hAnsi="Times New Roman"/>
        </w:rPr>
        <w:t xml:space="preserve"> L’énergie communautaire pourrait représenter jusqu’à 90 GW, soit 8 % de la production totale d’électricité renouvelable dans l’UE d’ici à 2030.</w:t>
      </w:r>
      <w:r>
        <w:rPr>
          <w:rStyle w:val="FootnoteReference"/>
          <w:rFonts w:ascii="Times New Roman" w:hAnsi="Times New Roman"/>
          <w:vertAlign w:val="baseline"/>
        </w:rPr>
        <w:t xml:space="preserve"> Voir l’étude EnTEC sur le potentiel de l’énergie citoyenne (à paraître).</w:t>
      </w:r>
    </w:p>
  </w:footnote>
  <w:footnote w:id="22">
    <w:p w14:paraId="2E03F915" w14:textId="77777777" w:rsidR="001358EC" w:rsidRDefault="00B36EFE">
      <w:pPr>
        <w:pStyle w:val="FootnoteText"/>
        <w:rPr>
          <w:rFonts w:ascii="Times New Roman" w:eastAsia="Calibri" w:hAnsi="Times New Roman" w:cs="Times New Roman"/>
          <w:color w:val="505050"/>
          <w:sz w:val="24"/>
          <w:szCs w:val="24"/>
        </w:rPr>
      </w:pPr>
      <w:r>
        <w:rPr>
          <w:rFonts w:ascii="Times New Roman" w:hAnsi="Times New Roman"/>
          <w:lang w:val="en-GB"/>
        </w:rPr>
        <w:footnoteRef/>
      </w:r>
      <w:r>
        <w:rPr>
          <w:rFonts w:ascii="Times New Roman" w:hAnsi="Times New Roman"/>
          <w:vertAlign w:val="superscript"/>
        </w:rPr>
        <w:t xml:space="preserve"> </w:t>
      </w:r>
      <w:r>
        <w:rPr>
          <w:rFonts w:ascii="Times New Roman" w:hAnsi="Times New Roman"/>
        </w:rPr>
        <w:t>Les économies de coûts sont calculées sur la base des prix du marché de gros et de détail en 2020 et</w:t>
      </w:r>
      <w:r>
        <w:t xml:space="preserve"> </w:t>
      </w:r>
      <w:bookmarkStart w:id="8" w:name="_Int_llEikH4a"/>
      <w:r>
        <w:rPr>
          <w:rFonts w:ascii="Times New Roman" w:hAnsi="Times New Roman"/>
        </w:rPr>
        <w:t>2022</w:t>
      </w:r>
      <w:bookmarkEnd w:id="8"/>
      <w:r>
        <w:rPr>
          <w:rFonts w:ascii="Times New Roman" w:hAnsi="Times New Roman"/>
        </w:rPr>
        <w:t xml:space="preserve">. Lorsque l’électricité est autoconsommée par l’intermédiaire du réseau, tous les tarifs et taxes de réseau s’appliquent. </w:t>
      </w:r>
    </w:p>
  </w:footnote>
  <w:footnote w:id="23">
    <w:p w14:paraId="6977537F" w14:textId="77777777" w:rsidR="001358EC" w:rsidRDefault="00B36EFE">
      <w:pPr>
        <w:pStyle w:val="FootnoteText"/>
        <w:jc w:val="both"/>
        <w:rPr>
          <w:rFonts w:ascii="Times New Roman" w:hAnsi="Times New Roman" w:cs="Times New Roman"/>
        </w:rPr>
      </w:pPr>
      <w:r>
        <w:rPr>
          <w:rFonts w:ascii="Times New Roman" w:hAnsi="Times New Roman" w:cs="Times New Roman"/>
          <w:vertAlign w:val="superscript"/>
          <w:lang w:val="en-IE"/>
        </w:rPr>
        <w:footnoteRef/>
      </w:r>
      <w:r>
        <w:rPr>
          <w:rFonts w:ascii="Times New Roman" w:hAnsi="Times New Roman"/>
        </w:rPr>
        <w:t xml:space="preserve"> Sur la base des données du </w:t>
      </w:r>
      <w:hyperlink r:id="rId11" w:history="1">
        <w:r>
          <w:rPr>
            <w:rStyle w:val="Hyperlink"/>
            <w:rFonts w:ascii="Times New Roman" w:hAnsi="Times New Roman"/>
          </w:rPr>
          <w:t>rapport de surveillance du marché 2025 de l’ACER</w:t>
        </w:r>
      </w:hyperlink>
      <w:r>
        <w:rPr>
          <w:rFonts w:ascii="Times New Roman" w:hAnsi="Times New Roman"/>
        </w:rPr>
        <w:t xml:space="preserve"> et des calculs de la Commission.</w:t>
      </w:r>
    </w:p>
  </w:footnote>
  <w:footnote w:id="24">
    <w:p w14:paraId="21CB2A2C" w14:textId="77777777" w:rsidR="001358EC" w:rsidRDefault="00B36EFE">
      <w:pPr>
        <w:pStyle w:val="FootnoteText"/>
        <w:jc w:val="both"/>
        <w:rPr>
          <w:rFonts w:ascii="Times New Roman" w:hAnsi="Times New Roman" w:cs="Times New Roman"/>
          <w:iCs/>
        </w:rPr>
      </w:pPr>
      <w:r>
        <w:rPr>
          <w:rStyle w:val="FootnoteReference"/>
          <w:rFonts w:ascii="Times New Roman" w:hAnsi="Times New Roman" w:cs="Times New Roman"/>
        </w:rPr>
        <w:footnoteRef/>
      </w:r>
      <w:r>
        <w:rPr>
          <w:rFonts w:ascii="Times New Roman" w:hAnsi="Times New Roman"/>
        </w:rPr>
        <w:t xml:space="preserve"> </w:t>
      </w:r>
      <w:hyperlink r:id="rId12" w:history="1">
        <w:r>
          <w:rPr>
            <w:rFonts w:ascii="Times New Roman" w:hAnsi="Times New Roman"/>
            <w:i/>
          </w:rPr>
          <w:t>Demand-side Flexibility:</w:t>
        </w:r>
      </w:hyperlink>
      <w:hyperlink r:id="rId13" w:history="1">
        <w:r>
          <w:rPr>
            <w:rFonts w:ascii="Times New Roman" w:hAnsi="Times New Roman"/>
            <w:i/>
          </w:rPr>
          <w:t>Quantification of benefits in the EU</w:t>
        </w:r>
      </w:hyperlink>
      <w:r>
        <w:rPr>
          <w:rFonts w:ascii="Times New Roman" w:hAnsi="Times New Roman"/>
        </w:rPr>
        <w:t xml:space="preserve"> (Flexibilité du côté de la demande: quantification des avantages dans l’UE); rapport de DNV pour smartEn, septembre 2022. </w:t>
      </w:r>
    </w:p>
  </w:footnote>
  <w:footnote w:id="25">
    <w:p w14:paraId="0A1D9734" w14:textId="77777777" w:rsidR="001358EC" w:rsidRDefault="00B36EF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 la base des données du rapport de surveillance du marché 2025 de l’ACER intitulé </w:t>
      </w:r>
      <w:r>
        <w:rPr>
          <w:rFonts w:ascii="Times New Roman" w:hAnsi="Times New Roman"/>
          <w:i/>
        </w:rPr>
        <w:t>Rewarding Flexibility:</w:t>
      </w:r>
      <w:r>
        <w:rPr>
          <w:rFonts w:ascii="Times New Roman" w:hAnsi="Times New Roman"/>
        </w:rPr>
        <w:t xml:space="preserve"> </w:t>
      </w:r>
      <w:r>
        <w:rPr>
          <w:rFonts w:ascii="Times New Roman" w:hAnsi="Times New Roman"/>
          <w:i/>
        </w:rPr>
        <w:t>How retail contract choice can help unlock consumer flexibility</w:t>
      </w:r>
      <w:r>
        <w:rPr>
          <w:rFonts w:ascii="Times New Roman" w:hAnsi="Times New Roman"/>
        </w:rPr>
        <w:t xml:space="preserve"> (Récompenser la flexibilité: comment les choix de contrat de détail peuvent contribuer à débloquer la flexibilité des consommateurs) et des calculs de la Commission, les consommateurs d’électricité pourraient réaliser des économies allant jusqu’à 40 % s’ils passaient à un contrat à tarification dynamique et géraient activement leur consommation.</w:t>
      </w:r>
    </w:p>
  </w:footnote>
  <w:footnote w:id="26">
    <w:p w14:paraId="2C3E68BA" w14:textId="77777777" w:rsidR="001358EC" w:rsidRDefault="00B36EFE">
      <w:pPr>
        <w:spacing w:after="0" w:line="240" w:lineRule="auto"/>
        <w:jc w:val="both"/>
        <w:rPr>
          <w:rFonts w:ascii="Times New Roman" w:eastAsia="Times New Roman, Aptos" w:hAnsi="Times New Roman" w:cs="Times New Roman"/>
          <w:sz w:val="20"/>
          <w:szCs w:val="20"/>
        </w:rPr>
      </w:pPr>
      <w:r>
        <w:rPr>
          <w:rStyle w:val="FootnoteReference"/>
          <w:rFonts w:ascii="Times New Roman" w:hAnsi="Times New Roman" w:cs="Times New Roman"/>
          <w:sz w:val="20"/>
          <w:szCs w:val="20"/>
          <w:lang w:val="en-IE"/>
        </w:rPr>
        <w:footnoteRef/>
      </w:r>
      <w:r>
        <w:rPr>
          <w:rFonts w:ascii="Times New Roman" w:hAnsi="Times New Roman"/>
          <w:sz w:val="20"/>
        </w:rPr>
        <w:t xml:space="preserve"> </w:t>
      </w:r>
      <w:r>
        <w:rPr>
          <w:rFonts w:ascii="Times New Roman" w:hAnsi="Times New Roman"/>
          <w:color w:val="000000" w:themeColor="text1"/>
          <w:sz w:val="20"/>
        </w:rPr>
        <w:t>L’</w:t>
      </w:r>
      <w:hyperlink r:id="rId14" w:history="1">
        <w:r>
          <w:rPr>
            <w:rStyle w:val="Hyperlink"/>
            <w:rFonts w:ascii="Times New Roman" w:hAnsi="Times New Roman"/>
            <w:sz w:val="20"/>
          </w:rPr>
          <w:t>Eurobaromètre</w:t>
        </w:r>
      </w:hyperlink>
      <w:r>
        <w:rPr>
          <w:rFonts w:ascii="Times New Roman" w:hAnsi="Times New Roman"/>
          <w:color w:val="000000" w:themeColor="text1"/>
          <w:sz w:val="20"/>
        </w:rPr>
        <w:t xml:space="preserve"> indique les pratiques commerciales déloyales comme un domaine à améliorer. 82 % des personnes interrogées feraient davantage confiance à un fournisseur d’énergie si ce dernier s’engageait à respecter un code de bonnes pratiques officiellement certifié en matière de droits des consommateurs.</w:t>
      </w:r>
      <w:r>
        <w:rPr>
          <w:rFonts w:ascii="Times New Roman" w:hAnsi="Times New Roman"/>
          <w:sz w:val="20"/>
        </w:rPr>
        <w:t xml:space="preserve"> </w:t>
      </w:r>
    </w:p>
  </w:footnote>
  <w:footnote w:id="27">
    <w:p w14:paraId="7144824E" w14:textId="77777777" w:rsidR="001358EC" w:rsidRDefault="00B36EF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 exemple, en Irlande, aux Pays-Bas et en France.</w:t>
      </w:r>
    </w:p>
  </w:footnote>
  <w:footnote w:id="28">
    <w:p w14:paraId="6C47E943" w14:textId="77777777" w:rsidR="001358EC" w:rsidRDefault="00B36EF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5" w:history="1">
        <w:r>
          <w:rPr>
            <w:rStyle w:val="Hyperlink"/>
            <w:rFonts w:ascii="Times New Roman" w:hAnsi="Times New Roman"/>
          </w:rPr>
          <w:t>Enquête Eurobaromètre Flash 566</w:t>
        </w:r>
      </w:hyperlink>
      <w:r>
        <w:rPr>
          <w:rFonts w:ascii="Times New Roman" w:hAnsi="Times New Roman"/>
        </w:rPr>
        <w:t>,</w:t>
      </w:r>
      <w:r>
        <w:rPr>
          <w:rFonts w:ascii="Times New Roman" w:hAnsi="Times New Roman"/>
          <w:i/>
        </w:rPr>
        <w:t xml:space="preserve"> Consumer behaviour in the energy transition</w:t>
      </w:r>
      <w:r>
        <w:rPr>
          <w:rFonts w:ascii="Times New Roman" w:hAnsi="Times New Roman"/>
        </w:rPr>
        <w:t xml:space="preserve"> (Comportement des consommateurs durant la transition énergétique), décembre 2025.</w:t>
      </w:r>
    </w:p>
  </w:footnote>
  <w:footnote w:id="29">
    <w:p w14:paraId="1DCCA428" w14:textId="77777777" w:rsidR="001358EC" w:rsidRDefault="00B36EF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Eurostat, </w:t>
      </w:r>
      <w:hyperlink r:id="rId16" w:history="1">
        <w:r>
          <w:rPr>
            <w:rStyle w:val="Hyperlink"/>
            <w:rFonts w:ascii="Times New Roman" w:hAnsi="Times New Roman"/>
          </w:rPr>
          <w:t>Population dans l’incapacité de maintenir une température adéquate dans le logement, par statut de pauvreté</w:t>
        </w:r>
      </w:hyperlink>
      <w:r>
        <w:rPr>
          <w:rFonts w:ascii="Times New Roman" w:hAnsi="Times New Roman"/>
        </w:rPr>
        <w:t>, février 2026.</w:t>
      </w:r>
    </w:p>
  </w:footnote>
  <w:footnote w:id="30">
    <w:p w14:paraId="4EC24CE6" w14:textId="77777777" w:rsidR="001358EC" w:rsidRDefault="00B36EF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7" w:history="1">
        <w:r>
          <w:rPr>
            <w:rStyle w:val="Hyperlink"/>
            <w:rFonts w:ascii="Times New Roman" w:hAnsi="Times New Roman"/>
          </w:rPr>
          <w:t>SDW(2025) 140 final/2</w:t>
        </w:r>
      </w:hyperlink>
      <w:r>
        <w:rPr>
          <w:rFonts w:ascii="Times New Roman" w:hAnsi="Times New Roman"/>
        </w:rPr>
        <w:t>.</w:t>
      </w:r>
    </w:p>
  </w:footnote>
  <w:footnote w:id="31">
    <w:p w14:paraId="0F0D0081" w14:textId="77777777" w:rsidR="001358EC" w:rsidRDefault="00B36EF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partage des incitations intervient lorsque les propriétaires manquent de motivation pour améliorer le logement étant donné que ce sont les locataires qui bénéficient de la plupart des avantages liés aux rénovations auxquelles ils ne peuvent pas procéder eux-mêmes.</w:t>
      </w:r>
    </w:p>
  </w:footnote>
  <w:footnote w:id="32">
    <w:p w14:paraId="00D90C64" w14:textId="4A4C73CC" w:rsidR="001358EC" w:rsidRDefault="00B36EF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Entre 2026 et 2032, le Fonds social pour le climat fournira jusqu’à 86,7 milliards d’EUR pour aider les personnes vulnérables et les petites entreprises les plus touchées par la hausse des coûts de l’énergie et des transports. </w:t>
      </w:r>
    </w:p>
  </w:footnote>
  <w:footnote w:id="33">
    <w:p w14:paraId="21BCFC4C" w14:textId="77777777" w:rsidR="001358EC" w:rsidRDefault="00B36EFE">
      <w:pPr>
        <w:pStyle w:val="FootnoteText"/>
        <w:rPr>
          <w:rFonts w:ascii="Times New Roman" w:hAnsi="Times New Roman" w:cs="Times New Roman"/>
        </w:rPr>
      </w:pPr>
      <w:r>
        <w:rPr>
          <w:rFonts w:ascii="Times New Roman" w:hAnsi="Times New Roman" w:cs="Times New Roman"/>
          <w:vertAlign w:val="superscript"/>
          <w:lang w:val="en-IE"/>
        </w:rPr>
        <w:footnoteRef/>
      </w:r>
      <w:r>
        <w:rPr>
          <w:vertAlign w:val="superscript"/>
        </w:rPr>
        <w:t xml:space="preserve"> </w:t>
      </w:r>
      <w:r>
        <w:rPr>
          <w:rFonts w:ascii="Times New Roman" w:hAnsi="Times New Roman"/>
        </w:rPr>
        <w:t>Le règlement relatif à la modernisation de la politique de cohésion encourage les États membres à accroître le financement en faveur de logements abordables et durables, en mettant l’accent sur les ménages touchés par la précarité énergétique.</w:t>
      </w:r>
    </w:p>
  </w:footnote>
  <w:footnote w:id="34">
    <w:p w14:paraId="6A27AA47" w14:textId="77777777" w:rsidR="001358EC" w:rsidRDefault="00B36EF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8" w:history="1">
        <w:r>
          <w:rPr>
            <w:rStyle w:val="Hyperlink"/>
            <w:rFonts w:ascii="Times New Roman" w:hAnsi="Times New Roman"/>
          </w:rPr>
          <w:t>Programme de travail pluriannuel aux fins de la mise en œuvre du programme LIFE au cours de la période 2025-2027.</w:t>
        </w:r>
      </w:hyperlink>
    </w:p>
  </w:footnote>
  <w:footnote w:id="35">
    <w:p w14:paraId="0EBC53C1" w14:textId="77777777" w:rsidR="001358EC" w:rsidRDefault="00B36EFE">
      <w:pPr>
        <w:pStyle w:val="FootnoteText"/>
        <w:rPr>
          <w:rFonts w:ascii="Times New Roman" w:hAnsi="Times New Roman" w:cs="Times New Roman"/>
        </w:rPr>
      </w:pPr>
      <w:r>
        <w:rPr>
          <w:rFonts w:ascii="Times New Roman" w:hAnsi="Times New Roman" w:cs="Times New Roman"/>
          <w:vertAlign w:val="superscript"/>
          <w:lang w:val="en-IE"/>
        </w:rPr>
        <w:footnoteRef/>
      </w:r>
      <w:r>
        <w:rPr>
          <w:rFonts w:ascii="Times New Roman" w:hAnsi="Times New Roman"/>
          <w:vertAlign w:val="superscript"/>
        </w:rPr>
        <w:t xml:space="preserve"> </w:t>
      </w:r>
      <w:hyperlink r:id="rId19" w:history="1">
        <w:r>
          <w:rPr>
            <w:rStyle w:val="Hyperlink"/>
            <w:rFonts w:ascii="Times New Roman" w:hAnsi="Times New Roman"/>
          </w:rPr>
          <w:t>EUR-LEX 32023H2407</w:t>
        </w:r>
      </w:hyperlink>
      <w:r>
        <w:t>.</w:t>
      </w:r>
    </w:p>
  </w:footnote>
  <w:footnote w:id="36">
    <w:p w14:paraId="69E5C8C2" w14:textId="77777777" w:rsidR="001358EC" w:rsidRDefault="00B36EF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Eurostat, </w:t>
      </w:r>
      <w:hyperlink r:id="rId20" w:history="1">
        <w:r>
          <w:rPr>
            <w:rStyle w:val="Hyperlink"/>
            <w:rFonts w:ascii="Times New Roman" w:hAnsi="Times New Roman"/>
          </w:rPr>
          <w:t>«Arriérés de facture courante»</w:t>
        </w:r>
      </w:hyperlink>
      <w:r>
        <w:rPr>
          <w:rFonts w:ascii="Times New Roman" w:hAnsi="Times New Roman"/>
        </w:rPr>
        <w:t>, février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1B792" w14:textId="77777777" w:rsidR="000B5F73" w:rsidRPr="000B5F73" w:rsidRDefault="000B5F73" w:rsidP="000B5F7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D60A8" w14:textId="77777777" w:rsidR="000B5F73" w:rsidRPr="000B5F73" w:rsidRDefault="000B5F73" w:rsidP="000B5F7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8D918" w14:textId="77777777" w:rsidR="000B5F73" w:rsidRPr="000B5F73" w:rsidRDefault="000B5F73" w:rsidP="000B5F7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2AA92" w14:textId="77777777" w:rsidR="001358EC" w:rsidRDefault="001358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18B03" w14:textId="77777777" w:rsidR="001358EC" w:rsidRDefault="001358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C3DB0" w14:textId="77777777" w:rsidR="001358EC" w:rsidRDefault="001358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A7C4E"/>
    <w:multiLevelType w:val="hybridMultilevel"/>
    <w:tmpl w:val="2320D000"/>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F810AFA"/>
    <w:multiLevelType w:val="hybridMultilevel"/>
    <w:tmpl w:val="8592A25A"/>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0B2268B"/>
    <w:multiLevelType w:val="hybridMultilevel"/>
    <w:tmpl w:val="CBBEDB14"/>
    <w:lvl w:ilvl="0" w:tplc="18090003">
      <w:start w:val="1"/>
      <w:numFmt w:val="bullet"/>
      <w:lvlText w:val="o"/>
      <w:lvlJc w:val="left"/>
      <w:pPr>
        <w:ind w:left="182" w:hanging="360"/>
      </w:pPr>
      <w:rPr>
        <w:rFonts w:ascii="Courier New" w:hAnsi="Courier New" w:cs="Courier New" w:hint="default"/>
      </w:rPr>
    </w:lvl>
    <w:lvl w:ilvl="1" w:tplc="18090003" w:tentative="1">
      <w:start w:val="1"/>
      <w:numFmt w:val="bullet"/>
      <w:lvlText w:val="o"/>
      <w:lvlJc w:val="left"/>
      <w:pPr>
        <w:ind w:left="902" w:hanging="360"/>
      </w:pPr>
      <w:rPr>
        <w:rFonts w:ascii="Courier New" w:hAnsi="Courier New" w:cs="Courier New" w:hint="default"/>
      </w:rPr>
    </w:lvl>
    <w:lvl w:ilvl="2" w:tplc="18090005" w:tentative="1">
      <w:start w:val="1"/>
      <w:numFmt w:val="bullet"/>
      <w:lvlText w:val=""/>
      <w:lvlJc w:val="left"/>
      <w:pPr>
        <w:ind w:left="1622" w:hanging="360"/>
      </w:pPr>
      <w:rPr>
        <w:rFonts w:ascii="Wingdings" w:hAnsi="Wingdings" w:hint="default"/>
      </w:rPr>
    </w:lvl>
    <w:lvl w:ilvl="3" w:tplc="18090001" w:tentative="1">
      <w:start w:val="1"/>
      <w:numFmt w:val="bullet"/>
      <w:lvlText w:val=""/>
      <w:lvlJc w:val="left"/>
      <w:pPr>
        <w:ind w:left="2342" w:hanging="360"/>
      </w:pPr>
      <w:rPr>
        <w:rFonts w:ascii="Symbol" w:hAnsi="Symbol" w:hint="default"/>
      </w:rPr>
    </w:lvl>
    <w:lvl w:ilvl="4" w:tplc="18090003" w:tentative="1">
      <w:start w:val="1"/>
      <w:numFmt w:val="bullet"/>
      <w:lvlText w:val="o"/>
      <w:lvlJc w:val="left"/>
      <w:pPr>
        <w:ind w:left="3062" w:hanging="360"/>
      </w:pPr>
      <w:rPr>
        <w:rFonts w:ascii="Courier New" w:hAnsi="Courier New" w:cs="Courier New" w:hint="default"/>
      </w:rPr>
    </w:lvl>
    <w:lvl w:ilvl="5" w:tplc="18090005" w:tentative="1">
      <w:start w:val="1"/>
      <w:numFmt w:val="bullet"/>
      <w:lvlText w:val=""/>
      <w:lvlJc w:val="left"/>
      <w:pPr>
        <w:ind w:left="3782" w:hanging="360"/>
      </w:pPr>
      <w:rPr>
        <w:rFonts w:ascii="Wingdings" w:hAnsi="Wingdings" w:hint="default"/>
      </w:rPr>
    </w:lvl>
    <w:lvl w:ilvl="6" w:tplc="18090001" w:tentative="1">
      <w:start w:val="1"/>
      <w:numFmt w:val="bullet"/>
      <w:lvlText w:val=""/>
      <w:lvlJc w:val="left"/>
      <w:pPr>
        <w:ind w:left="4502" w:hanging="360"/>
      </w:pPr>
      <w:rPr>
        <w:rFonts w:ascii="Symbol" w:hAnsi="Symbol" w:hint="default"/>
      </w:rPr>
    </w:lvl>
    <w:lvl w:ilvl="7" w:tplc="18090003" w:tentative="1">
      <w:start w:val="1"/>
      <w:numFmt w:val="bullet"/>
      <w:lvlText w:val="o"/>
      <w:lvlJc w:val="left"/>
      <w:pPr>
        <w:ind w:left="5222" w:hanging="360"/>
      </w:pPr>
      <w:rPr>
        <w:rFonts w:ascii="Courier New" w:hAnsi="Courier New" w:cs="Courier New" w:hint="default"/>
      </w:rPr>
    </w:lvl>
    <w:lvl w:ilvl="8" w:tplc="18090005" w:tentative="1">
      <w:start w:val="1"/>
      <w:numFmt w:val="bullet"/>
      <w:lvlText w:val=""/>
      <w:lvlJc w:val="left"/>
      <w:pPr>
        <w:ind w:left="5942" w:hanging="360"/>
      </w:pPr>
      <w:rPr>
        <w:rFonts w:ascii="Wingdings" w:hAnsi="Wingdings" w:hint="default"/>
      </w:rPr>
    </w:lvl>
  </w:abstractNum>
  <w:abstractNum w:abstractNumId="3" w15:restartNumberingAfterBreak="0">
    <w:nsid w:val="15BA4175"/>
    <w:multiLevelType w:val="hybridMultilevel"/>
    <w:tmpl w:val="F0243E36"/>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8C876A4"/>
    <w:multiLevelType w:val="hybridMultilevel"/>
    <w:tmpl w:val="98DA925A"/>
    <w:lvl w:ilvl="0" w:tplc="FADC9342">
      <w:start w:val="1"/>
      <w:numFmt w:val="decimal"/>
      <w:lvlText w:val="%1."/>
      <w:lvlJc w:val="left"/>
      <w:pPr>
        <w:ind w:left="720" w:hanging="360"/>
      </w:pPr>
    </w:lvl>
    <w:lvl w:ilvl="1" w:tplc="B08EC8C6">
      <w:start w:val="1"/>
      <w:numFmt w:val="decimal"/>
      <w:lvlText w:val="%2."/>
      <w:lvlJc w:val="left"/>
      <w:pPr>
        <w:ind w:left="720" w:hanging="360"/>
      </w:pPr>
    </w:lvl>
    <w:lvl w:ilvl="2" w:tplc="D228F09E">
      <w:start w:val="1"/>
      <w:numFmt w:val="decimal"/>
      <w:lvlText w:val="%3."/>
      <w:lvlJc w:val="left"/>
      <w:pPr>
        <w:ind w:left="720" w:hanging="360"/>
      </w:pPr>
    </w:lvl>
    <w:lvl w:ilvl="3" w:tplc="92D6A65A">
      <w:start w:val="1"/>
      <w:numFmt w:val="decimal"/>
      <w:lvlText w:val="%4."/>
      <w:lvlJc w:val="left"/>
      <w:pPr>
        <w:ind w:left="720" w:hanging="360"/>
      </w:pPr>
    </w:lvl>
    <w:lvl w:ilvl="4" w:tplc="7122BAEA">
      <w:start w:val="1"/>
      <w:numFmt w:val="decimal"/>
      <w:lvlText w:val="%5."/>
      <w:lvlJc w:val="left"/>
      <w:pPr>
        <w:ind w:left="720" w:hanging="360"/>
      </w:pPr>
    </w:lvl>
    <w:lvl w:ilvl="5" w:tplc="394A294C">
      <w:start w:val="1"/>
      <w:numFmt w:val="decimal"/>
      <w:lvlText w:val="%6."/>
      <w:lvlJc w:val="left"/>
      <w:pPr>
        <w:ind w:left="720" w:hanging="360"/>
      </w:pPr>
    </w:lvl>
    <w:lvl w:ilvl="6" w:tplc="AEAA3860">
      <w:start w:val="1"/>
      <w:numFmt w:val="decimal"/>
      <w:lvlText w:val="%7."/>
      <w:lvlJc w:val="left"/>
      <w:pPr>
        <w:ind w:left="720" w:hanging="360"/>
      </w:pPr>
    </w:lvl>
    <w:lvl w:ilvl="7" w:tplc="3B92AA5E">
      <w:start w:val="1"/>
      <w:numFmt w:val="decimal"/>
      <w:lvlText w:val="%8."/>
      <w:lvlJc w:val="left"/>
      <w:pPr>
        <w:ind w:left="720" w:hanging="360"/>
      </w:pPr>
    </w:lvl>
    <w:lvl w:ilvl="8" w:tplc="642414CC">
      <w:start w:val="1"/>
      <w:numFmt w:val="decimal"/>
      <w:lvlText w:val="%9."/>
      <w:lvlJc w:val="left"/>
      <w:pPr>
        <w:ind w:left="720" w:hanging="360"/>
      </w:pPr>
    </w:lvl>
  </w:abstractNum>
  <w:abstractNum w:abstractNumId="5" w15:restartNumberingAfterBreak="0">
    <w:nsid w:val="1A264B20"/>
    <w:multiLevelType w:val="hybridMultilevel"/>
    <w:tmpl w:val="B0821352"/>
    <w:lvl w:ilvl="0" w:tplc="B28AE77A">
      <w:start w:val="1"/>
      <w:numFmt w:val="decimal"/>
      <w:lvlText w:val="%1."/>
      <w:lvlJc w:val="left"/>
      <w:pPr>
        <w:ind w:left="720" w:hanging="360"/>
      </w:pPr>
    </w:lvl>
    <w:lvl w:ilvl="1" w:tplc="E9588CC4">
      <w:start w:val="1"/>
      <w:numFmt w:val="decimal"/>
      <w:lvlText w:val="%2."/>
      <w:lvlJc w:val="left"/>
      <w:pPr>
        <w:ind w:left="720" w:hanging="360"/>
      </w:pPr>
    </w:lvl>
    <w:lvl w:ilvl="2" w:tplc="B450FF4C">
      <w:start w:val="1"/>
      <w:numFmt w:val="decimal"/>
      <w:lvlText w:val="%3."/>
      <w:lvlJc w:val="left"/>
      <w:pPr>
        <w:ind w:left="720" w:hanging="360"/>
      </w:pPr>
    </w:lvl>
    <w:lvl w:ilvl="3" w:tplc="A8C29E7E">
      <w:start w:val="1"/>
      <w:numFmt w:val="decimal"/>
      <w:lvlText w:val="%4."/>
      <w:lvlJc w:val="left"/>
      <w:pPr>
        <w:ind w:left="720" w:hanging="360"/>
      </w:pPr>
    </w:lvl>
    <w:lvl w:ilvl="4" w:tplc="D1E27D9C">
      <w:start w:val="1"/>
      <w:numFmt w:val="decimal"/>
      <w:lvlText w:val="%5."/>
      <w:lvlJc w:val="left"/>
      <w:pPr>
        <w:ind w:left="720" w:hanging="360"/>
      </w:pPr>
    </w:lvl>
    <w:lvl w:ilvl="5" w:tplc="513609D8">
      <w:start w:val="1"/>
      <w:numFmt w:val="decimal"/>
      <w:lvlText w:val="%6."/>
      <w:lvlJc w:val="left"/>
      <w:pPr>
        <w:ind w:left="720" w:hanging="360"/>
      </w:pPr>
    </w:lvl>
    <w:lvl w:ilvl="6" w:tplc="0DF24A58">
      <w:start w:val="1"/>
      <w:numFmt w:val="decimal"/>
      <w:lvlText w:val="%7."/>
      <w:lvlJc w:val="left"/>
      <w:pPr>
        <w:ind w:left="720" w:hanging="360"/>
      </w:pPr>
    </w:lvl>
    <w:lvl w:ilvl="7" w:tplc="6606599C">
      <w:start w:val="1"/>
      <w:numFmt w:val="decimal"/>
      <w:lvlText w:val="%8."/>
      <w:lvlJc w:val="left"/>
      <w:pPr>
        <w:ind w:left="720" w:hanging="360"/>
      </w:pPr>
    </w:lvl>
    <w:lvl w:ilvl="8" w:tplc="4860F6AE">
      <w:start w:val="1"/>
      <w:numFmt w:val="decimal"/>
      <w:lvlText w:val="%9."/>
      <w:lvlJc w:val="left"/>
      <w:pPr>
        <w:ind w:left="720" w:hanging="360"/>
      </w:pPr>
    </w:lvl>
  </w:abstractNum>
  <w:abstractNum w:abstractNumId="6" w15:restartNumberingAfterBreak="0">
    <w:nsid w:val="1AB71AE3"/>
    <w:multiLevelType w:val="hybridMultilevel"/>
    <w:tmpl w:val="739C86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0315CDA"/>
    <w:multiLevelType w:val="hybridMultilevel"/>
    <w:tmpl w:val="FFFFFFFF"/>
    <w:lvl w:ilvl="0" w:tplc="D1BE05B6">
      <w:start w:val="1"/>
      <w:numFmt w:val="bullet"/>
      <w:lvlText w:val="o"/>
      <w:lvlJc w:val="left"/>
      <w:pPr>
        <w:ind w:left="720" w:hanging="360"/>
      </w:pPr>
      <w:rPr>
        <w:rFonts w:ascii="Courier New" w:hAnsi="Courier New" w:hint="default"/>
      </w:rPr>
    </w:lvl>
    <w:lvl w:ilvl="1" w:tplc="85D27372">
      <w:start w:val="1"/>
      <w:numFmt w:val="bullet"/>
      <w:lvlText w:val="o"/>
      <w:lvlJc w:val="left"/>
      <w:pPr>
        <w:ind w:left="1440" w:hanging="360"/>
      </w:pPr>
      <w:rPr>
        <w:rFonts w:ascii="Courier New" w:hAnsi="Courier New" w:hint="default"/>
      </w:rPr>
    </w:lvl>
    <w:lvl w:ilvl="2" w:tplc="4F34D4C0">
      <w:start w:val="1"/>
      <w:numFmt w:val="bullet"/>
      <w:lvlText w:val=""/>
      <w:lvlJc w:val="left"/>
      <w:pPr>
        <w:ind w:left="2160" w:hanging="360"/>
      </w:pPr>
      <w:rPr>
        <w:rFonts w:ascii="Wingdings" w:hAnsi="Wingdings" w:hint="default"/>
      </w:rPr>
    </w:lvl>
    <w:lvl w:ilvl="3" w:tplc="66FAF9CA">
      <w:start w:val="1"/>
      <w:numFmt w:val="bullet"/>
      <w:lvlText w:val=""/>
      <w:lvlJc w:val="left"/>
      <w:pPr>
        <w:ind w:left="2880" w:hanging="360"/>
      </w:pPr>
      <w:rPr>
        <w:rFonts w:ascii="Symbol" w:hAnsi="Symbol" w:hint="default"/>
      </w:rPr>
    </w:lvl>
    <w:lvl w:ilvl="4" w:tplc="7B5E3708">
      <w:start w:val="1"/>
      <w:numFmt w:val="bullet"/>
      <w:lvlText w:val="o"/>
      <w:lvlJc w:val="left"/>
      <w:pPr>
        <w:ind w:left="3600" w:hanging="360"/>
      </w:pPr>
      <w:rPr>
        <w:rFonts w:ascii="Courier New" w:hAnsi="Courier New" w:hint="default"/>
      </w:rPr>
    </w:lvl>
    <w:lvl w:ilvl="5" w:tplc="9D82074A">
      <w:start w:val="1"/>
      <w:numFmt w:val="bullet"/>
      <w:lvlText w:val=""/>
      <w:lvlJc w:val="left"/>
      <w:pPr>
        <w:ind w:left="4320" w:hanging="360"/>
      </w:pPr>
      <w:rPr>
        <w:rFonts w:ascii="Wingdings" w:hAnsi="Wingdings" w:hint="default"/>
      </w:rPr>
    </w:lvl>
    <w:lvl w:ilvl="6" w:tplc="E5DE0D3A">
      <w:start w:val="1"/>
      <w:numFmt w:val="bullet"/>
      <w:lvlText w:val=""/>
      <w:lvlJc w:val="left"/>
      <w:pPr>
        <w:ind w:left="5040" w:hanging="360"/>
      </w:pPr>
      <w:rPr>
        <w:rFonts w:ascii="Symbol" w:hAnsi="Symbol" w:hint="default"/>
      </w:rPr>
    </w:lvl>
    <w:lvl w:ilvl="7" w:tplc="D5F8407E">
      <w:start w:val="1"/>
      <w:numFmt w:val="bullet"/>
      <w:lvlText w:val="o"/>
      <w:lvlJc w:val="left"/>
      <w:pPr>
        <w:ind w:left="5760" w:hanging="360"/>
      </w:pPr>
      <w:rPr>
        <w:rFonts w:ascii="Courier New" w:hAnsi="Courier New" w:hint="default"/>
      </w:rPr>
    </w:lvl>
    <w:lvl w:ilvl="8" w:tplc="81B8ED3E">
      <w:start w:val="1"/>
      <w:numFmt w:val="bullet"/>
      <w:lvlText w:val=""/>
      <w:lvlJc w:val="left"/>
      <w:pPr>
        <w:ind w:left="6480" w:hanging="360"/>
      </w:pPr>
      <w:rPr>
        <w:rFonts w:ascii="Wingdings" w:hAnsi="Wingdings" w:hint="default"/>
      </w:rPr>
    </w:lvl>
  </w:abstractNum>
  <w:abstractNum w:abstractNumId="8" w15:restartNumberingAfterBreak="0">
    <w:nsid w:val="22500F55"/>
    <w:multiLevelType w:val="multilevel"/>
    <w:tmpl w:val="C9C05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FA1BBA"/>
    <w:multiLevelType w:val="hybridMultilevel"/>
    <w:tmpl w:val="71321B28"/>
    <w:lvl w:ilvl="0" w:tplc="1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3187535D"/>
    <w:multiLevelType w:val="hybridMultilevel"/>
    <w:tmpl w:val="9FA05DDC"/>
    <w:lvl w:ilvl="0" w:tplc="34786BA6">
      <w:start w:val="1"/>
      <w:numFmt w:val="decimal"/>
      <w:lvlText w:val="%1."/>
      <w:lvlJc w:val="left"/>
      <w:pPr>
        <w:ind w:left="720" w:hanging="360"/>
      </w:pPr>
    </w:lvl>
    <w:lvl w:ilvl="1" w:tplc="5D0E4892">
      <w:start w:val="1"/>
      <w:numFmt w:val="decimal"/>
      <w:lvlText w:val="%2."/>
      <w:lvlJc w:val="left"/>
      <w:pPr>
        <w:ind w:left="720" w:hanging="360"/>
      </w:pPr>
    </w:lvl>
    <w:lvl w:ilvl="2" w:tplc="9506910A">
      <w:start w:val="1"/>
      <w:numFmt w:val="decimal"/>
      <w:lvlText w:val="%3."/>
      <w:lvlJc w:val="left"/>
      <w:pPr>
        <w:ind w:left="720" w:hanging="360"/>
      </w:pPr>
    </w:lvl>
    <w:lvl w:ilvl="3" w:tplc="AE76558A">
      <w:start w:val="1"/>
      <w:numFmt w:val="decimal"/>
      <w:lvlText w:val="%4."/>
      <w:lvlJc w:val="left"/>
      <w:pPr>
        <w:ind w:left="720" w:hanging="360"/>
      </w:pPr>
    </w:lvl>
    <w:lvl w:ilvl="4" w:tplc="19705B44">
      <w:start w:val="1"/>
      <w:numFmt w:val="decimal"/>
      <w:lvlText w:val="%5."/>
      <w:lvlJc w:val="left"/>
      <w:pPr>
        <w:ind w:left="720" w:hanging="360"/>
      </w:pPr>
    </w:lvl>
    <w:lvl w:ilvl="5" w:tplc="B732699E">
      <w:start w:val="1"/>
      <w:numFmt w:val="decimal"/>
      <w:lvlText w:val="%6."/>
      <w:lvlJc w:val="left"/>
      <w:pPr>
        <w:ind w:left="720" w:hanging="360"/>
      </w:pPr>
    </w:lvl>
    <w:lvl w:ilvl="6" w:tplc="5C743EF2">
      <w:start w:val="1"/>
      <w:numFmt w:val="decimal"/>
      <w:lvlText w:val="%7."/>
      <w:lvlJc w:val="left"/>
      <w:pPr>
        <w:ind w:left="720" w:hanging="360"/>
      </w:pPr>
    </w:lvl>
    <w:lvl w:ilvl="7" w:tplc="42E01FD6">
      <w:start w:val="1"/>
      <w:numFmt w:val="decimal"/>
      <w:lvlText w:val="%8."/>
      <w:lvlJc w:val="left"/>
      <w:pPr>
        <w:ind w:left="720" w:hanging="360"/>
      </w:pPr>
    </w:lvl>
    <w:lvl w:ilvl="8" w:tplc="A1A4BBF0">
      <w:start w:val="1"/>
      <w:numFmt w:val="decimal"/>
      <w:lvlText w:val="%9."/>
      <w:lvlJc w:val="left"/>
      <w:pPr>
        <w:ind w:left="720" w:hanging="360"/>
      </w:pPr>
    </w:lvl>
  </w:abstractNum>
  <w:abstractNum w:abstractNumId="11" w15:restartNumberingAfterBreak="0">
    <w:nsid w:val="375A3332"/>
    <w:multiLevelType w:val="hybridMultilevel"/>
    <w:tmpl w:val="A2EE1500"/>
    <w:lvl w:ilvl="0" w:tplc="223EE81A">
      <w:start w:val="1"/>
      <w:numFmt w:val="bullet"/>
      <w:lvlText w:val=""/>
      <w:lvlJc w:val="left"/>
      <w:pPr>
        <w:ind w:left="720" w:hanging="360"/>
      </w:pPr>
      <w:rPr>
        <w:rFonts w:ascii="Symbol" w:hAnsi="Symbol"/>
      </w:rPr>
    </w:lvl>
    <w:lvl w:ilvl="1" w:tplc="BE94D148">
      <w:start w:val="1"/>
      <w:numFmt w:val="bullet"/>
      <w:lvlText w:val=""/>
      <w:lvlJc w:val="left"/>
      <w:pPr>
        <w:ind w:left="720" w:hanging="360"/>
      </w:pPr>
      <w:rPr>
        <w:rFonts w:ascii="Symbol" w:hAnsi="Symbol"/>
      </w:rPr>
    </w:lvl>
    <w:lvl w:ilvl="2" w:tplc="4C54C686">
      <w:start w:val="1"/>
      <w:numFmt w:val="bullet"/>
      <w:lvlText w:val=""/>
      <w:lvlJc w:val="left"/>
      <w:pPr>
        <w:ind w:left="720" w:hanging="360"/>
      </w:pPr>
      <w:rPr>
        <w:rFonts w:ascii="Symbol" w:hAnsi="Symbol"/>
      </w:rPr>
    </w:lvl>
    <w:lvl w:ilvl="3" w:tplc="97C6310A">
      <w:start w:val="1"/>
      <w:numFmt w:val="bullet"/>
      <w:lvlText w:val=""/>
      <w:lvlJc w:val="left"/>
      <w:pPr>
        <w:ind w:left="720" w:hanging="360"/>
      </w:pPr>
      <w:rPr>
        <w:rFonts w:ascii="Symbol" w:hAnsi="Symbol"/>
      </w:rPr>
    </w:lvl>
    <w:lvl w:ilvl="4" w:tplc="BC5A5FA0">
      <w:start w:val="1"/>
      <w:numFmt w:val="bullet"/>
      <w:lvlText w:val=""/>
      <w:lvlJc w:val="left"/>
      <w:pPr>
        <w:ind w:left="720" w:hanging="360"/>
      </w:pPr>
      <w:rPr>
        <w:rFonts w:ascii="Symbol" w:hAnsi="Symbol"/>
      </w:rPr>
    </w:lvl>
    <w:lvl w:ilvl="5" w:tplc="072A4506">
      <w:start w:val="1"/>
      <w:numFmt w:val="bullet"/>
      <w:lvlText w:val=""/>
      <w:lvlJc w:val="left"/>
      <w:pPr>
        <w:ind w:left="720" w:hanging="360"/>
      </w:pPr>
      <w:rPr>
        <w:rFonts w:ascii="Symbol" w:hAnsi="Symbol"/>
      </w:rPr>
    </w:lvl>
    <w:lvl w:ilvl="6" w:tplc="6FFA5D64">
      <w:start w:val="1"/>
      <w:numFmt w:val="bullet"/>
      <w:lvlText w:val=""/>
      <w:lvlJc w:val="left"/>
      <w:pPr>
        <w:ind w:left="720" w:hanging="360"/>
      </w:pPr>
      <w:rPr>
        <w:rFonts w:ascii="Symbol" w:hAnsi="Symbol"/>
      </w:rPr>
    </w:lvl>
    <w:lvl w:ilvl="7" w:tplc="4CFE0670">
      <w:start w:val="1"/>
      <w:numFmt w:val="bullet"/>
      <w:lvlText w:val=""/>
      <w:lvlJc w:val="left"/>
      <w:pPr>
        <w:ind w:left="720" w:hanging="360"/>
      </w:pPr>
      <w:rPr>
        <w:rFonts w:ascii="Symbol" w:hAnsi="Symbol"/>
      </w:rPr>
    </w:lvl>
    <w:lvl w:ilvl="8" w:tplc="55DE94DA">
      <w:start w:val="1"/>
      <w:numFmt w:val="bullet"/>
      <w:lvlText w:val=""/>
      <w:lvlJc w:val="left"/>
      <w:pPr>
        <w:ind w:left="720" w:hanging="360"/>
      </w:pPr>
      <w:rPr>
        <w:rFonts w:ascii="Symbol" w:hAnsi="Symbol"/>
      </w:rPr>
    </w:lvl>
  </w:abstractNum>
  <w:abstractNum w:abstractNumId="12" w15:restartNumberingAfterBreak="0">
    <w:nsid w:val="3E7710AF"/>
    <w:multiLevelType w:val="hybridMultilevel"/>
    <w:tmpl w:val="85B276F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6434302"/>
    <w:multiLevelType w:val="hybridMultilevel"/>
    <w:tmpl w:val="229863AC"/>
    <w:lvl w:ilvl="0" w:tplc="FFFFFFFF">
      <w:start w:val="1"/>
      <w:numFmt w:val="bullet"/>
      <w:lvlText w:val=""/>
      <w:lvlJc w:val="left"/>
      <w:pPr>
        <w:ind w:left="720" w:hanging="360"/>
      </w:pPr>
      <w:rPr>
        <w:rFonts w:ascii="Courier New" w:hAnsi="Courier New"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4E3E6764"/>
    <w:multiLevelType w:val="hybridMultilevel"/>
    <w:tmpl w:val="8194929A"/>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08E1AE2"/>
    <w:multiLevelType w:val="multilevel"/>
    <w:tmpl w:val="FC4C9534"/>
    <w:lvl w:ilvl="0">
      <w:start w:val="1"/>
      <w:numFmt w:val="bullet"/>
      <w:pStyle w:val="Considran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0D2C6A"/>
    <w:multiLevelType w:val="hybridMultilevel"/>
    <w:tmpl w:val="39F2598C"/>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5A2624EC"/>
    <w:multiLevelType w:val="hybridMultilevel"/>
    <w:tmpl w:val="65EC9B4C"/>
    <w:lvl w:ilvl="0" w:tplc="4036CB6A">
      <w:start w:val="1"/>
      <w:numFmt w:val="decimal"/>
      <w:lvlText w:val="%1."/>
      <w:lvlJc w:val="left"/>
      <w:pPr>
        <w:ind w:left="1020" w:hanging="360"/>
      </w:pPr>
    </w:lvl>
    <w:lvl w:ilvl="1" w:tplc="47085454">
      <w:start w:val="1"/>
      <w:numFmt w:val="decimal"/>
      <w:lvlText w:val="%2."/>
      <w:lvlJc w:val="left"/>
      <w:pPr>
        <w:ind w:left="1020" w:hanging="360"/>
      </w:pPr>
    </w:lvl>
    <w:lvl w:ilvl="2" w:tplc="93047DA2">
      <w:start w:val="1"/>
      <w:numFmt w:val="decimal"/>
      <w:lvlText w:val="%3."/>
      <w:lvlJc w:val="left"/>
      <w:pPr>
        <w:ind w:left="1020" w:hanging="360"/>
      </w:pPr>
    </w:lvl>
    <w:lvl w:ilvl="3" w:tplc="182EEFC6">
      <w:start w:val="1"/>
      <w:numFmt w:val="decimal"/>
      <w:lvlText w:val="%4."/>
      <w:lvlJc w:val="left"/>
      <w:pPr>
        <w:ind w:left="1020" w:hanging="360"/>
      </w:pPr>
    </w:lvl>
    <w:lvl w:ilvl="4" w:tplc="0E366AC8">
      <w:start w:val="1"/>
      <w:numFmt w:val="decimal"/>
      <w:lvlText w:val="%5."/>
      <w:lvlJc w:val="left"/>
      <w:pPr>
        <w:ind w:left="1020" w:hanging="360"/>
      </w:pPr>
    </w:lvl>
    <w:lvl w:ilvl="5" w:tplc="DE32E3A6">
      <w:start w:val="1"/>
      <w:numFmt w:val="decimal"/>
      <w:lvlText w:val="%6."/>
      <w:lvlJc w:val="left"/>
      <w:pPr>
        <w:ind w:left="1020" w:hanging="360"/>
      </w:pPr>
    </w:lvl>
    <w:lvl w:ilvl="6" w:tplc="EDF43156">
      <w:start w:val="1"/>
      <w:numFmt w:val="decimal"/>
      <w:lvlText w:val="%7."/>
      <w:lvlJc w:val="left"/>
      <w:pPr>
        <w:ind w:left="1020" w:hanging="360"/>
      </w:pPr>
    </w:lvl>
    <w:lvl w:ilvl="7" w:tplc="1A52107C">
      <w:start w:val="1"/>
      <w:numFmt w:val="decimal"/>
      <w:lvlText w:val="%8."/>
      <w:lvlJc w:val="left"/>
      <w:pPr>
        <w:ind w:left="1020" w:hanging="360"/>
      </w:pPr>
    </w:lvl>
    <w:lvl w:ilvl="8" w:tplc="CB4EEB00">
      <w:start w:val="1"/>
      <w:numFmt w:val="decimal"/>
      <w:lvlText w:val="%9."/>
      <w:lvlJc w:val="left"/>
      <w:pPr>
        <w:ind w:left="1020" w:hanging="360"/>
      </w:pPr>
    </w:lvl>
  </w:abstractNum>
  <w:abstractNum w:abstractNumId="18" w15:restartNumberingAfterBreak="0">
    <w:nsid w:val="5DC75BCA"/>
    <w:multiLevelType w:val="hybridMultilevel"/>
    <w:tmpl w:val="4D867BF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1FA78F5"/>
    <w:multiLevelType w:val="hybridMultilevel"/>
    <w:tmpl w:val="2F84457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A4614A1"/>
    <w:multiLevelType w:val="hybridMultilevel"/>
    <w:tmpl w:val="5E3215C8"/>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A5975A7"/>
    <w:multiLevelType w:val="hybridMultilevel"/>
    <w:tmpl w:val="A4C00D4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2"/>
  </w:num>
  <w:num w:numId="4">
    <w:abstractNumId w:val="3"/>
  </w:num>
  <w:num w:numId="5">
    <w:abstractNumId w:val="16"/>
  </w:num>
  <w:num w:numId="6">
    <w:abstractNumId w:val="7"/>
  </w:num>
  <w:num w:numId="7">
    <w:abstractNumId w:val="19"/>
  </w:num>
  <w:num w:numId="8">
    <w:abstractNumId w:val="1"/>
  </w:num>
  <w:num w:numId="9">
    <w:abstractNumId w:val="21"/>
  </w:num>
  <w:num w:numId="10">
    <w:abstractNumId w:val="9"/>
  </w:num>
  <w:num w:numId="11">
    <w:abstractNumId w:val="6"/>
  </w:num>
  <w:num w:numId="12">
    <w:abstractNumId w:val="12"/>
  </w:num>
  <w:num w:numId="13">
    <w:abstractNumId w:val="20"/>
  </w:num>
  <w:num w:numId="14">
    <w:abstractNumId w:val="14"/>
  </w:num>
  <w:num w:numId="15">
    <w:abstractNumId w:val="0"/>
  </w:num>
  <w:num w:numId="16">
    <w:abstractNumId w:val="3"/>
  </w:num>
  <w:num w:numId="17">
    <w:abstractNumId w:val="5"/>
  </w:num>
  <w:num w:numId="18">
    <w:abstractNumId w:val="4"/>
  </w:num>
  <w:num w:numId="19">
    <w:abstractNumId w:val="10"/>
  </w:num>
  <w:num w:numId="20">
    <w:abstractNumId w:val="17"/>
  </w:num>
  <w:num w:numId="21">
    <w:abstractNumId w:val="18"/>
  </w:num>
  <w:num w:numId="22">
    <w:abstractNumId w:val="8"/>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99C1DA3-47B7-4AE1-88D1-010672082A21"/>
    <w:docVar w:name="LW_COVERPAGE_TYPE" w:val="1"/>
    <w:docVar w:name="LW_CROSSREFERENCE" w:val="{SWD(2026) 115 final}"/>
    <w:docVar w:name="LW_DocType" w:val="NORMAL"/>
    <w:docVar w:name="LW_EMISSION" w:val="10.3.2026"/>
    <w:docVar w:name="LW_EMISSION_ISODATE" w:val="2026-03-10"/>
    <w:docVar w:name="LW_EMISSION_LOCATION" w:val="STR"/>
    <w:docVar w:name="LW_EMISSION_PREFIX" w:val="Strasbourg,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e paquet «Citoyens et Énergie»"/>
    <w:docVar w:name="LW_TYPE.DOC.CP" w:val="COMMUNICATION DE LA COMMISSION AU PARLEMENT EUROPÉEN ET AU CONSEIL"/>
    <w:docVar w:name="LW_TYPE.DOC.CP.USERTEXT" w:val="&lt;EMPTY&gt;"/>
    <w:docVar w:name="LwApiVersions" w:val="LW4CoDe 1.24.5.0; LW 9.2, Build 20251112"/>
  </w:docVars>
  <w:rsids>
    <w:rsidRoot w:val="001358EC"/>
    <w:rsid w:val="000B5F73"/>
    <w:rsid w:val="001358EC"/>
    <w:rsid w:val="00311213"/>
    <w:rsid w:val="0034630B"/>
    <w:rsid w:val="004969BF"/>
    <w:rsid w:val="006A2E9C"/>
    <w:rsid w:val="009A5E26"/>
    <w:rsid w:val="00B36EFE"/>
    <w:rsid w:val="00E0677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1B1B0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aliases w:val="1st elvel bullet green,1st level - Bullet List Paragraph,Lettre d'introduction,Paragrafo elenco,List Paragraph1,Medium Grid 1 - Accent 21,FooterText,Paragraphe de liste1,Heading 2_sj,Numbered Para 1,Dot pt,No Spacing1,Bullet 1,lp1,Ha"/>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qFormat/>
    <w:pPr>
      <w:spacing w:line="240" w:lineRule="auto"/>
      <w:jc w:val="both"/>
    </w:pPr>
    <w:rPr>
      <w:kern w:val="0"/>
      <w:sz w:val="20"/>
      <w:szCs w:val="20"/>
    </w:rPr>
  </w:style>
  <w:style w:type="character" w:customStyle="1" w:styleId="CommentTextChar">
    <w:name w:val="Comment Text Char"/>
    <w:basedOn w:val="DefaultParagraphFont"/>
    <w:link w:val="CommentText"/>
    <w:uiPriority w:val="99"/>
    <w:rPr>
      <w:kern w:val="0"/>
      <w:sz w:val="20"/>
      <w:szCs w:val="20"/>
    </w:rPr>
  </w:style>
  <w:style w:type="character" w:customStyle="1" w:styleId="cf01">
    <w:name w:val="cf01"/>
    <w:basedOn w:val="DefaultParagraphFont"/>
    <w:rPr>
      <w:rFonts w:ascii="Segoe UI" w:hAnsi="Segoe UI" w:cs="Segoe UI" w:hint="default"/>
      <w:sz w:val="18"/>
      <w:szCs w:val="18"/>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noteText"/>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qFormat/>
    <w:rPr>
      <w:sz w:val="20"/>
      <w:szCs w:val="20"/>
      <w:lang w:val="fr-FR"/>
    </w:rPr>
  </w:style>
  <w:style w:type="character" w:styleId="FootnoteReference">
    <w:name w:val="footnote reference"/>
    <w:aliases w:val="number,SUPERS,Footnote Reference Superscript,stylish,Footnote symbol,BVI fnr,-E Fußnotenzeichen,Source Reference,Footnote reference number,note TESI,Times 10 Point,Exposant 3 Point,Ref,de nota al pie,EN Footnote Reference,R,ftref,16 P"/>
    <w:basedOn w:val="DefaultParagraphFont"/>
    <w:link w:val="FootnoteReferenceCharCarCharCharCarCharCarCharCarCharCarCharCharCarCarCharCharCharCharCharCarCharCarCharCharCarCharCar"/>
    <w:uiPriority w:val="99"/>
    <w:unhideWhenUsed/>
    <w:qFormat/>
    <w:rPr>
      <w:vertAlign w:val="superscript"/>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pPr>
      <w:spacing w:line="240" w:lineRule="exact"/>
      <w:jc w:val="both"/>
    </w:pPr>
    <w:rPr>
      <w:vertAlign w:val="superscript"/>
    </w:rPr>
  </w:style>
  <w:style w:type="paragraph" w:customStyle="1" w:styleId="oj-normal">
    <w:name w:val="oj-normal"/>
    <w:basedOn w:val="Normal"/>
    <w:pPr>
      <w:spacing w:before="100" w:beforeAutospacing="1" w:after="100" w:afterAutospacing="1" w:line="240" w:lineRule="auto"/>
    </w:pPr>
    <w:rPr>
      <w:rFonts w:ascii="Times New Roman" w:eastAsia="Times New Roman" w:hAnsi="Times New Roman" w:cs="Times New Roman"/>
      <w:kern w:val="0"/>
      <w:sz w:val="24"/>
      <w:szCs w:val="24"/>
      <w:lang w:eastAsia="en-IE"/>
    </w:rPr>
  </w:style>
  <w:style w:type="character" w:styleId="Hyperlink">
    <w:name w:val="Hyperlink"/>
    <w:basedOn w:val="DefaultParagraphFont"/>
    <w:uiPriority w:val="99"/>
    <w:unhideWhenUsed/>
    <w:rPr>
      <w:color w:val="0563C1" w:themeColor="hyperlink"/>
      <w:u w:val="single"/>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customStyle="1" w:styleId="pf0">
    <w:name w:val="pf0"/>
    <w:basedOn w:val="Normal"/>
    <w:pPr>
      <w:spacing w:before="100" w:beforeAutospacing="1" w:after="100" w:afterAutospacing="1" w:line="240" w:lineRule="auto"/>
    </w:pPr>
    <w:rPr>
      <w:rFonts w:ascii="Times New Roman" w:eastAsia="Times New Roman" w:hAnsi="Times New Roman" w:cs="Times New Roman"/>
      <w:kern w:val="0"/>
      <w:sz w:val="24"/>
      <w:szCs w:val="24"/>
      <w:lang w:eastAsia="en-IE"/>
    </w:rPr>
  </w:style>
  <w:style w:type="character" w:styleId="HTMLCite">
    <w:name w:val="HTML Cite"/>
    <w:basedOn w:val="DefaultParagraphFont"/>
    <w:uiPriority w:val="99"/>
    <w:semiHidden/>
    <w:unhideWhenUsed/>
    <w:rPr>
      <w:i/>
      <w:iCs/>
    </w:rPr>
  </w:style>
  <w:style w:type="character" w:customStyle="1" w:styleId="ve-pasteprotect">
    <w:name w:val="ve-pasteprotect"/>
    <w:basedOn w:val="DefaultParagraphFont"/>
  </w:style>
  <w:style w:type="character" w:customStyle="1" w:styleId="normaltextrun">
    <w:name w:val="normaltextrun"/>
    <w:basedOn w:val="DefaultParagraphFont"/>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fr-FR"/>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fr-FR"/>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kern w:val="0"/>
      <w:sz w:val="24"/>
      <w:szCs w:val="24"/>
      <w:lang w:eastAsia="en-IE"/>
    </w:rPr>
  </w:style>
  <w:style w:type="paragraph" w:styleId="CommentSubject">
    <w:name w:val="annotation subject"/>
    <w:basedOn w:val="CommentText"/>
    <w:next w:val="CommentText"/>
    <w:link w:val="CommentSubjectChar"/>
    <w:uiPriority w:val="99"/>
    <w:semiHidden/>
    <w:unhideWhenUsed/>
    <w:pPr>
      <w:jc w:val="left"/>
    </w:pPr>
    <w:rPr>
      <w:b/>
      <w:bCs/>
      <w:kern w:val="2"/>
    </w:rPr>
  </w:style>
  <w:style w:type="character" w:customStyle="1" w:styleId="CommentSubjectChar">
    <w:name w:val="Comment Subject Char"/>
    <w:basedOn w:val="CommentTextChar"/>
    <w:link w:val="CommentSubject"/>
    <w:uiPriority w:val="99"/>
    <w:semiHidden/>
    <w:rPr>
      <w:b/>
      <w:bCs/>
      <w:kern w:val="0"/>
      <w:sz w:val="20"/>
      <w:szCs w:val="20"/>
      <w:lang w:val="fr-FR"/>
    </w:rPr>
  </w:style>
  <w:style w:type="character" w:customStyle="1" w:styleId="Mention">
    <w:name w:val="Mention"/>
    <w:basedOn w:val="DefaultParagraphFont"/>
    <w:uiPriority w:val="99"/>
    <w:unhideWhenUsed/>
    <w:rPr>
      <w:color w:val="2B579A"/>
      <w:shd w:val="clear" w:color="auto" w:fill="E1DFDD"/>
    </w:rPr>
  </w:style>
  <w:style w:type="paragraph" w:styleId="Revision">
    <w:name w:val="Revision"/>
    <w:hidden/>
    <w:uiPriority w:val="99"/>
    <w:semiHidden/>
    <w:pPr>
      <w:spacing w:after="0" w:line="240" w:lineRule="auto"/>
    </w:pPr>
  </w:style>
  <w:style w:type="paragraph" w:customStyle="1" w:styleId="paragraph">
    <w:name w:val="paragraph"/>
    <w:basedOn w:val="Normal"/>
    <w:uiPriority w:val="1"/>
    <w:pPr>
      <w:spacing w:beforeAutospacing="1" w:after="240" w:afterAutospacing="1"/>
    </w:pPr>
    <w:rPr>
      <w:rFonts w:ascii="Times New Roman" w:eastAsia="Times New Roman" w:hAnsi="Times New Roman" w:cs="Times New Roman"/>
      <w:sz w:val="24"/>
      <w:szCs w:val="24"/>
      <w:lang w:eastAsia="en-IE"/>
    </w:rPr>
  </w:style>
  <w:style w:type="paragraph" w:customStyle="1" w:styleId="Default">
    <w:name w:val="Default"/>
    <w:pPr>
      <w:autoSpaceDE w:val="0"/>
      <w:autoSpaceDN w:val="0"/>
      <w:adjustRightInd w:val="0"/>
      <w:spacing w:after="0" w:line="240" w:lineRule="auto"/>
    </w:pPr>
    <w:rPr>
      <w:rFonts w:ascii="Arial" w:eastAsia="Calibri" w:hAnsi="Arial" w:cs="Arial"/>
      <w:color w:val="000000"/>
      <w:kern w:val="0"/>
      <w:sz w:val="24"/>
      <w:szCs w:val="24"/>
      <w:lang w:eastAsia="en-GB"/>
    </w:rPr>
  </w:style>
  <w:style w:type="character" w:customStyle="1" w:styleId="superscript">
    <w:name w:val="superscript"/>
    <w:basedOn w:val="DefaultParagraphFont"/>
  </w:style>
  <w:style w:type="character" w:customStyle="1" w:styleId="eop">
    <w:name w:val="eop"/>
    <w:basedOn w:val="DefaultParagraphFont"/>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ListParagraphChar">
    <w:name w:val="List Paragraph Char"/>
    <w:aliases w:val="1st elvel bullet green Char,1st level - Bullet List Paragraph Char,Lettre d'introduction Char,Paragrafo elenco Char,List Paragraph1 Char,Medium Grid 1 - Accent 21 Char,FooterText Char,Paragraphe de liste1 Char,Heading 2_sj Char"/>
    <w:link w:val="ListParagraph"/>
    <w:uiPriority w:val="34"/>
    <w:qFormat/>
  </w:style>
  <w:style w:type="table" w:styleId="TableGrid">
    <w:name w:val="Table Grid"/>
    <w:basedOn w:val="TableNormal"/>
    <w:uiPriority w:val="39"/>
    <w:pPr>
      <w:spacing w:after="0" w:line="240" w:lineRule="auto"/>
    </w:pPr>
    <w:tbl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itreobjet">
    <w:name w:val="Titre objet"/>
    <w:basedOn w:val="Normal"/>
    <w:uiPriority w:val="1"/>
    <w:pPr>
      <w:spacing w:before="360" w:after="360" w:line="240" w:lineRule="auto"/>
      <w:jc w:val="center"/>
    </w:pPr>
    <w:rPr>
      <w:rFonts w:eastAsiaTheme="minorEastAsia"/>
      <w:b/>
      <w:bCs/>
      <w:sz w:val="24"/>
      <w:szCs w:val="24"/>
    </w:rPr>
  </w:style>
  <w:style w:type="paragraph" w:customStyle="1" w:styleId="Considrant">
    <w:name w:val="Considérant"/>
    <w:basedOn w:val="Normal"/>
    <w:uiPriority w:val="1"/>
    <w:pPr>
      <w:numPr>
        <w:numId w:val="1"/>
      </w:numPr>
      <w:spacing w:before="120" w:after="120" w:line="240" w:lineRule="auto"/>
      <w:jc w:val="both"/>
    </w:pPr>
    <w:rPr>
      <w:rFonts w:eastAsiaTheme="minorEastAsia"/>
      <w:sz w:val="24"/>
      <w:szCs w:val="24"/>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f11">
    <w:name w:val="cf11"/>
    <w:basedOn w:val="DefaultParagraphFont"/>
    <w:rPr>
      <w:rFonts w:ascii="Segoe UI" w:hAnsi="Segoe UI" w:cs="Segoe UI" w:hint="default"/>
      <w:sz w:val="18"/>
      <w:szCs w:val="18"/>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fr-FR"/>
    </w:rPr>
  </w:style>
  <w:style w:type="character" w:styleId="EndnoteReference">
    <w:name w:val="endnote reference"/>
    <w:basedOn w:val="DefaultParagraphFont"/>
    <w:uiPriority w:val="99"/>
    <w:semiHidden/>
    <w:unhideWhenUsed/>
    <w:rPr>
      <w:vertAlign w:val="superscript"/>
    </w:rPr>
  </w:style>
  <w:style w:type="character" w:styleId="LineNumber">
    <w:name w:val="line number"/>
    <w:basedOn w:val="DefaultParagraphFont"/>
    <w:uiPriority w:val="99"/>
    <w:semiHidden/>
    <w:unhideWhenUsed/>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033365">
      <w:bodyDiv w:val="1"/>
      <w:marLeft w:val="0"/>
      <w:marRight w:val="0"/>
      <w:marTop w:val="0"/>
      <w:marBottom w:val="0"/>
      <w:divBdr>
        <w:top w:val="none" w:sz="0" w:space="0" w:color="auto"/>
        <w:left w:val="none" w:sz="0" w:space="0" w:color="auto"/>
        <w:bottom w:val="none" w:sz="0" w:space="0" w:color="auto"/>
        <w:right w:val="none" w:sz="0" w:space="0" w:color="auto"/>
      </w:divBdr>
    </w:div>
    <w:div w:id="804467303">
      <w:bodyDiv w:val="1"/>
      <w:marLeft w:val="0"/>
      <w:marRight w:val="0"/>
      <w:marTop w:val="0"/>
      <w:marBottom w:val="0"/>
      <w:divBdr>
        <w:top w:val="none" w:sz="0" w:space="0" w:color="auto"/>
        <w:left w:val="none" w:sz="0" w:space="0" w:color="auto"/>
        <w:bottom w:val="none" w:sz="0" w:space="0" w:color="auto"/>
        <w:right w:val="none" w:sz="0" w:space="0" w:color="auto"/>
      </w:divBdr>
    </w:div>
    <w:div w:id="845905792">
      <w:bodyDiv w:val="1"/>
      <w:marLeft w:val="0"/>
      <w:marRight w:val="0"/>
      <w:marTop w:val="0"/>
      <w:marBottom w:val="0"/>
      <w:divBdr>
        <w:top w:val="none" w:sz="0" w:space="0" w:color="auto"/>
        <w:left w:val="none" w:sz="0" w:space="0" w:color="auto"/>
        <w:bottom w:val="none" w:sz="0" w:space="0" w:color="auto"/>
        <w:right w:val="none" w:sz="0" w:space="0" w:color="auto"/>
      </w:divBdr>
    </w:div>
    <w:div w:id="863134442">
      <w:bodyDiv w:val="1"/>
      <w:marLeft w:val="0"/>
      <w:marRight w:val="0"/>
      <w:marTop w:val="0"/>
      <w:marBottom w:val="0"/>
      <w:divBdr>
        <w:top w:val="none" w:sz="0" w:space="0" w:color="auto"/>
        <w:left w:val="none" w:sz="0" w:space="0" w:color="auto"/>
        <w:bottom w:val="none" w:sz="0" w:space="0" w:color="auto"/>
        <w:right w:val="none" w:sz="0" w:space="0" w:color="auto"/>
      </w:divBdr>
    </w:div>
    <w:div w:id="1085878185">
      <w:bodyDiv w:val="1"/>
      <w:marLeft w:val="0"/>
      <w:marRight w:val="0"/>
      <w:marTop w:val="0"/>
      <w:marBottom w:val="0"/>
      <w:divBdr>
        <w:top w:val="none" w:sz="0" w:space="0" w:color="auto"/>
        <w:left w:val="none" w:sz="0" w:space="0" w:color="auto"/>
        <w:bottom w:val="none" w:sz="0" w:space="0" w:color="auto"/>
        <w:right w:val="none" w:sz="0" w:space="0" w:color="auto"/>
      </w:divBdr>
    </w:div>
    <w:div w:id="1392384126">
      <w:bodyDiv w:val="1"/>
      <w:marLeft w:val="0"/>
      <w:marRight w:val="0"/>
      <w:marTop w:val="0"/>
      <w:marBottom w:val="0"/>
      <w:divBdr>
        <w:top w:val="none" w:sz="0" w:space="0" w:color="auto"/>
        <w:left w:val="none" w:sz="0" w:space="0" w:color="auto"/>
        <w:bottom w:val="none" w:sz="0" w:space="0" w:color="auto"/>
        <w:right w:val="none" w:sz="0" w:space="0" w:color="auto"/>
      </w:divBdr>
    </w:div>
    <w:div w:id="1557856654">
      <w:bodyDiv w:val="1"/>
      <w:marLeft w:val="0"/>
      <w:marRight w:val="0"/>
      <w:marTop w:val="0"/>
      <w:marBottom w:val="0"/>
      <w:divBdr>
        <w:top w:val="none" w:sz="0" w:space="0" w:color="auto"/>
        <w:left w:val="none" w:sz="0" w:space="0" w:color="auto"/>
        <w:bottom w:val="none" w:sz="0" w:space="0" w:color="auto"/>
        <w:right w:val="none" w:sz="0" w:space="0" w:color="auto"/>
      </w:divBdr>
    </w:div>
    <w:div w:id="1797025690">
      <w:bodyDiv w:val="1"/>
      <w:marLeft w:val="0"/>
      <w:marRight w:val="0"/>
      <w:marTop w:val="0"/>
      <w:marBottom w:val="0"/>
      <w:divBdr>
        <w:top w:val="none" w:sz="0" w:space="0" w:color="auto"/>
        <w:left w:val="none" w:sz="0" w:space="0" w:color="auto"/>
        <w:bottom w:val="none" w:sz="0" w:space="0" w:color="auto"/>
        <w:right w:val="none" w:sz="0" w:space="0" w:color="auto"/>
      </w:divBdr>
    </w:div>
    <w:div w:id="213643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Energy_consumption_in_households" TargetMode="External"/><Relationship Id="rId13" Type="http://schemas.openxmlformats.org/officeDocument/2006/relationships/hyperlink" Target="https://www.dnv.com/publications/demand-side-flexibility-quantification-of-benefits-in-the-eu-232342/" TargetMode="External"/><Relationship Id="rId18" Type="http://schemas.openxmlformats.org/officeDocument/2006/relationships/hyperlink" Target="https://cinea.ec.europa.eu/programmes/life/life-legal-basis/life-multiannual-work-programme-2025-2027_fr" TargetMode="External"/><Relationship Id="rId3" Type="http://schemas.openxmlformats.org/officeDocument/2006/relationships/hyperlink" Target="https://eur-lex.europa.eu/legal-content/FR/TXT/?uri=CELEX%3A52025DC0079&amp;qid=1741780110418" TargetMode="External"/><Relationship Id="rId7" Type="http://schemas.openxmlformats.org/officeDocument/2006/relationships/hyperlink" Target="https://energy.ec.europa.eu/document/download/d911cc86-121d-445c-bd27-a14098ede7e2_en?filename=C_2025_4010_1_EN_ACT_part1_v3.pdf" TargetMode="External"/><Relationship Id="rId12" Type="http://schemas.openxmlformats.org/officeDocument/2006/relationships/hyperlink" Target="https://www.dnv.com/publications/demand-side-flexibility-quantification-of-benefits-in-the-eu-232342/" TargetMode="External"/><Relationship Id="rId17" Type="http://schemas.openxmlformats.org/officeDocument/2006/relationships/hyperlink" Target="https://eur-lex.europa.eu/legal-content/FR/TXT/?uri=CELEX%3A52025DC0274&amp;qid=1769767810018" TargetMode="External"/><Relationship Id="rId2" Type="http://schemas.openxmlformats.org/officeDocument/2006/relationships/hyperlink" Target="https://eur-lex.europa.eu/legal-content/FR/TXT/?uri=CELEX:52025DC0085" TargetMode="External"/><Relationship Id="rId16" Type="http://schemas.openxmlformats.org/officeDocument/2006/relationships/hyperlink" Target="https://ec.europa.eu/eurostat/databrowser/product/page/sdg_07_60" TargetMode="External"/><Relationship Id="rId20" Type="http://schemas.openxmlformats.org/officeDocument/2006/relationships/hyperlink" Target="https://ec.europa.eu/eurostat/databrowser/view/ilc_mdes07/default/table?lang=fr" TargetMode="External"/><Relationship Id="rId1" Type="http://schemas.openxmlformats.org/officeDocument/2006/relationships/hyperlink" Target="https://europa.eu/eurobarometer/surveys/detail/3354" TargetMode="External"/><Relationship Id="rId6" Type="http://schemas.openxmlformats.org/officeDocument/2006/relationships/hyperlink" Target="https://ec.europa.eu/regional_policy/information-sources/publications/communications/2025/eu-agenda-for-cities-2025_fr" TargetMode="External"/><Relationship Id="rId11" Type="http://schemas.openxmlformats.org/officeDocument/2006/relationships/hyperlink" Target="https://www.acer.europa.eu/sites/default/files/documents/Publications/ACER-CEER-2025-Retail-monitoring.pdf" TargetMode="External"/><Relationship Id="rId5" Type="http://schemas.openxmlformats.org/officeDocument/2006/relationships/hyperlink" Target="https://eur-lex.europa.eu/legal-content/FR/TXT/?uri=CELEX%3A52025DC1005&amp;qid=1770212329024" TargetMode="External"/><Relationship Id="rId15" Type="http://schemas.openxmlformats.org/officeDocument/2006/relationships/hyperlink" Target="https://europa.eu/eurobarometer/surveys/detail/3354" TargetMode="External"/><Relationship Id="rId10" Type="http://schemas.openxmlformats.org/officeDocument/2006/relationships/hyperlink" Target="https://www.acer.europa.eu/sites/default/files/documents/Publications/MMR_2021_Energy_Retail_Consumer_Protection_Volume.pdf" TargetMode="External"/><Relationship Id="rId19" Type="http://schemas.openxmlformats.org/officeDocument/2006/relationships/hyperlink" Target="https://eur-lex.europa.eu/eli/reco/2023/2407/oj/fra" TargetMode="External"/><Relationship Id="rId4" Type="http://schemas.openxmlformats.org/officeDocument/2006/relationships/hyperlink" Target="https://eur-lex.europa.eu/legal-content/FR/TXT/PDF/?uri=CELEX:52025DC1025" TargetMode="External"/><Relationship Id="rId9" Type="http://schemas.openxmlformats.org/officeDocument/2006/relationships/hyperlink" Target="https://europa.eu/eurobarometer/surveys/detail/3229?etrans=fr" TargetMode="External"/><Relationship Id="rId14" Type="http://schemas.openxmlformats.org/officeDocument/2006/relationships/hyperlink" Target="https://europa.eu/eurobarometer/surveys/detail/33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0BDE7-EA4F-43DD-A0A2-80A9041AD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6235</Words>
  <Characters>35543</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41695</CharactersWithSpaces>
  <SharedDoc>false</SharedDoc>
  <HLinks>
    <vt:vector size="114" baseType="variant">
      <vt:variant>
        <vt:i4>4063324</vt:i4>
      </vt:variant>
      <vt:variant>
        <vt:i4>54</vt:i4>
      </vt:variant>
      <vt:variant>
        <vt:i4>0</vt:i4>
      </vt:variant>
      <vt:variant>
        <vt:i4>5</vt:i4>
      </vt:variant>
      <vt:variant>
        <vt:lpwstr>https://ec.europa.eu/eurostat/databrowser/view/ilc_mdes07/default/table?lang=en</vt:lpwstr>
      </vt:variant>
      <vt:variant>
        <vt:lpwstr/>
      </vt:variant>
      <vt:variant>
        <vt:i4>7864428</vt:i4>
      </vt:variant>
      <vt:variant>
        <vt:i4>51</vt:i4>
      </vt:variant>
      <vt:variant>
        <vt:i4>0</vt:i4>
      </vt:variant>
      <vt:variant>
        <vt:i4>5</vt:i4>
      </vt:variant>
      <vt:variant>
        <vt:lpwstr>https://eur-lex.europa.eu/eli/reco/2023/2407/oj/eng</vt:lpwstr>
      </vt:variant>
      <vt:variant>
        <vt:lpwstr/>
      </vt:variant>
      <vt:variant>
        <vt:i4>3670107</vt:i4>
      </vt:variant>
      <vt:variant>
        <vt:i4>48</vt:i4>
      </vt:variant>
      <vt:variant>
        <vt:i4>0</vt:i4>
      </vt:variant>
      <vt:variant>
        <vt:i4>5</vt:i4>
      </vt:variant>
      <vt:variant>
        <vt:lpwstr>https://cinea.ec.europa.eu/programmes/life/life-legal-basis/life-multiannual-work-programme-2025-2027_en</vt:lpwstr>
      </vt:variant>
      <vt:variant>
        <vt:lpwstr/>
      </vt:variant>
      <vt:variant>
        <vt:i4>655367</vt:i4>
      </vt:variant>
      <vt:variant>
        <vt:i4>45</vt:i4>
      </vt:variant>
      <vt:variant>
        <vt:i4>0</vt:i4>
      </vt:variant>
      <vt:variant>
        <vt:i4>5</vt:i4>
      </vt:variant>
      <vt:variant>
        <vt:lpwstr>https://eur-lex.europa.eu/legal-content/EN/TXT/?uri=CELEX%3A52025DC0274&amp;qid=1769767810018</vt:lpwstr>
      </vt:variant>
      <vt:variant>
        <vt:lpwstr/>
      </vt:variant>
      <vt:variant>
        <vt:i4>4063264</vt:i4>
      </vt:variant>
      <vt:variant>
        <vt:i4>42</vt:i4>
      </vt:variant>
      <vt:variant>
        <vt:i4>0</vt:i4>
      </vt:variant>
      <vt:variant>
        <vt:i4>5</vt:i4>
      </vt:variant>
      <vt:variant>
        <vt:lpwstr>https://ec.europa.eu/eurostat/databrowser/product/page/sdg_07_60</vt:lpwstr>
      </vt:variant>
      <vt:variant>
        <vt:lpwstr/>
      </vt:variant>
      <vt:variant>
        <vt:i4>2097250</vt:i4>
      </vt:variant>
      <vt:variant>
        <vt:i4>39</vt:i4>
      </vt:variant>
      <vt:variant>
        <vt:i4>0</vt:i4>
      </vt:variant>
      <vt:variant>
        <vt:i4>5</vt:i4>
      </vt:variant>
      <vt:variant>
        <vt:lpwstr>https://europa.eu/eurobarometer/surveys/detail/3354</vt:lpwstr>
      </vt:variant>
      <vt:variant>
        <vt:lpwstr/>
      </vt:variant>
      <vt:variant>
        <vt:i4>2097250</vt:i4>
      </vt:variant>
      <vt:variant>
        <vt:i4>36</vt:i4>
      </vt:variant>
      <vt:variant>
        <vt:i4>0</vt:i4>
      </vt:variant>
      <vt:variant>
        <vt:i4>5</vt:i4>
      </vt:variant>
      <vt:variant>
        <vt:lpwstr>https://europa.eu/eurobarometer/surveys/detail/3354</vt:lpwstr>
      </vt:variant>
      <vt:variant>
        <vt:lpwstr/>
      </vt:variant>
      <vt:variant>
        <vt:i4>524306</vt:i4>
      </vt:variant>
      <vt:variant>
        <vt:i4>33</vt:i4>
      </vt:variant>
      <vt:variant>
        <vt:i4>0</vt:i4>
      </vt:variant>
      <vt:variant>
        <vt:i4>5</vt:i4>
      </vt:variant>
      <vt:variant>
        <vt:lpwstr>https://www.dnv.com/publications/demand-side-flexibility-quantification-of-benefits-in-the-eu-232342/</vt:lpwstr>
      </vt:variant>
      <vt:variant>
        <vt:lpwstr/>
      </vt:variant>
      <vt:variant>
        <vt:i4>2228336</vt:i4>
      </vt:variant>
      <vt:variant>
        <vt:i4>30</vt:i4>
      </vt:variant>
      <vt:variant>
        <vt:i4>0</vt:i4>
      </vt:variant>
      <vt:variant>
        <vt:i4>5</vt:i4>
      </vt:variant>
      <vt:variant>
        <vt:lpwstr>https://www.acer.europa.eu/sites/default/files/documents/Publications/ACER-CEER-2025-Retail-monitoring.pdf</vt:lpwstr>
      </vt:variant>
      <vt:variant>
        <vt:lpwstr/>
      </vt:variant>
      <vt:variant>
        <vt:i4>5242893</vt:i4>
      </vt:variant>
      <vt:variant>
        <vt:i4>27</vt:i4>
      </vt:variant>
      <vt:variant>
        <vt:i4>0</vt:i4>
      </vt:variant>
      <vt:variant>
        <vt:i4>5</vt:i4>
      </vt:variant>
      <vt:variant>
        <vt:lpwstr>https://www.acer.europa.eu/sites/default/files/documents/Publications/MMR_2021_Energy_Retail_Consumer_Protection_Volume.pdf</vt:lpwstr>
      </vt:variant>
      <vt:variant>
        <vt:lpwstr/>
      </vt:variant>
      <vt:variant>
        <vt:i4>1441822</vt:i4>
      </vt:variant>
      <vt:variant>
        <vt:i4>24</vt:i4>
      </vt:variant>
      <vt:variant>
        <vt:i4>0</vt:i4>
      </vt:variant>
      <vt:variant>
        <vt:i4>5</vt:i4>
      </vt:variant>
      <vt:variant>
        <vt:lpwstr>https://europa.eu/eurobarometer/surveys/detail/3229?etrans=hr</vt:lpwstr>
      </vt:variant>
      <vt:variant>
        <vt:lpwstr/>
      </vt:variant>
      <vt:variant>
        <vt:i4>7536728</vt:i4>
      </vt:variant>
      <vt:variant>
        <vt:i4>21</vt:i4>
      </vt:variant>
      <vt:variant>
        <vt:i4>0</vt:i4>
      </vt:variant>
      <vt:variant>
        <vt:i4>5</vt:i4>
      </vt:variant>
      <vt:variant>
        <vt:lpwstr>https://ec.europa.eu/eurostat/statistics-explained/index.php?title=Energy_consumption_in_households</vt:lpwstr>
      </vt:variant>
      <vt:variant>
        <vt:lpwstr/>
      </vt:variant>
      <vt:variant>
        <vt:i4>90</vt:i4>
      </vt:variant>
      <vt:variant>
        <vt:i4>18</vt:i4>
      </vt:variant>
      <vt:variant>
        <vt:i4>0</vt:i4>
      </vt:variant>
      <vt:variant>
        <vt:i4>5</vt:i4>
      </vt:variant>
      <vt:variant>
        <vt:lpwstr>https://energy.ec.europa.eu/document/download/d911cc86-121d-445c-bd27-a14098ede7e2_en?filename=C_2025_4010_1_EN_ACT_part1_v3.pdf</vt:lpwstr>
      </vt:variant>
      <vt:variant>
        <vt:lpwstr/>
      </vt:variant>
      <vt:variant>
        <vt:i4>3801134</vt:i4>
      </vt:variant>
      <vt:variant>
        <vt:i4>15</vt:i4>
      </vt:variant>
      <vt:variant>
        <vt:i4>0</vt:i4>
      </vt:variant>
      <vt:variant>
        <vt:i4>5</vt:i4>
      </vt:variant>
      <vt:variant>
        <vt:lpwstr>https://ec.europa.eu/regional_policy/information-sources/publications/communications/2025/eu-agenda-for-cities-2025_en</vt:lpwstr>
      </vt:variant>
      <vt:variant>
        <vt:lpwstr/>
      </vt:variant>
      <vt:variant>
        <vt:i4>196614</vt:i4>
      </vt:variant>
      <vt:variant>
        <vt:i4>12</vt:i4>
      </vt:variant>
      <vt:variant>
        <vt:i4>0</vt:i4>
      </vt:variant>
      <vt:variant>
        <vt:i4>5</vt:i4>
      </vt:variant>
      <vt:variant>
        <vt:lpwstr>https://eur-lex.europa.eu/legal-content/EN/TXT/?uri=CELEX%3A52025DC1005&amp;qid=1770212329024</vt:lpwstr>
      </vt:variant>
      <vt:variant>
        <vt:lpwstr/>
      </vt:variant>
      <vt:variant>
        <vt:i4>2097153</vt:i4>
      </vt:variant>
      <vt:variant>
        <vt:i4>9</vt:i4>
      </vt:variant>
      <vt:variant>
        <vt:i4>0</vt:i4>
      </vt:variant>
      <vt:variant>
        <vt:i4>5</vt:i4>
      </vt:variant>
      <vt:variant>
        <vt:lpwstr>https://housing.ec.europa.eu/document/download/756915b5-d1b1-4bde-ac82-03532d2d3d90_en?filename=0.pdf</vt:lpwstr>
      </vt:variant>
      <vt:variant>
        <vt:lpwstr/>
      </vt:variant>
      <vt:variant>
        <vt:i4>327689</vt:i4>
      </vt:variant>
      <vt:variant>
        <vt:i4>6</vt:i4>
      </vt:variant>
      <vt:variant>
        <vt:i4>0</vt:i4>
      </vt:variant>
      <vt:variant>
        <vt:i4>5</vt:i4>
      </vt:variant>
      <vt:variant>
        <vt:lpwstr>https://eur-lex.europa.eu/legal-content/EN/TXT/?uri=CELEX%3A52025DC0079&amp;qid=1741780110418</vt:lpwstr>
      </vt:variant>
      <vt:variant>
        <vt:lpwstr/>
      </vt:variant>
      <vt:variant>
        <vt:i4>524305</vt:i4>
      </vt:variant>
      <vt:variant>
        <vt:i4>3</vt:i4>
      </vt:variant>
      <vt:variant>
        <vt:i4>0</vt:i4>
      </vt:variant>
      <vt:variant>
        <vt:i4>5</vt:i4>
      </vt:variant>
      <vt:variant>
        <vt:lpwstr>https://eur-lex.europa.eu/legal-content/EN/TXT/?uri=CELEX:52025DC0085</vt:lpwstr>
      </vt:variant>
      <vt:variant>
        <vt:lpwstr/>
      </vt:variant>
      <vt:variant>
        <vt:i4>2097250</vt:i4>
      </vt:variant>
      <vt:variant>
        <vt:i4>0</vt:i4>
      </vt:variant>
      <vt:variant>
        <vt:i4>0</vt:i4>
      </vt:variant>
      <vt:variant>
        <vt:i4>5</vt:i4>
      </vt:variant>
      <vt:variant>
        <vt:lpwstr>https://europa.eu/eurobarometer/surveys/detail/3354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2026-03-10T10:18:00Z</dcterms:created>
  <dcterms:modified xsi:type="dcterms:W3CDTF">2026-03-10T12:05:00Z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2026-03-10T09:40:55Z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b9f8ed37-74e6-4e79-9256-e570e9087ef8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CP-012</vt:lpwstr>
  </property>
</Properties>
</file>