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D75F0" w14:textId="23CE06AE" w:rsidR="00657E1C" w:rsidRPr="002A2A04" w:rsidRDefault="00E22B5F" w:rsidP="00E22B5F">
      <w:pPr>
        <w:pStyle w:val="Pagedecouverture"/>
        <w:rPr>
          <w:noProof/>
        </w:rPr>
      </w:pPr>
      <w:bookmarkStart w:id="0" w:name="LW_BM_COVERPAGE"/>
      <w:r>
        <w:rPr>
          <w:noProof/>
        </w:rPr>
        <w:pict w14:anchorId="166E6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FE78EB-44FB-4917-91E4-F4C425621BC8" style="width:455.25pt;height:286.5pt">
            <v:imagedata r:id="rId8" o:title=""/>
          </v:shape>
        </w:pict>
      </w:r>
    </w:p>
    <w:bookmarkEnd w:id="0"/>
    <w:p w14:paraId="27C21C9B" w14:textId="77777777" w:rsidR="00657E1C" w:rsidRPr="002A2A04" w:rsidRDefault="00657E1C">
      <w:pPr>
        <w:rPr>
          <w:noProof/>
        </w:rPr>
        <w:sectPr w:rsidR="00657E1C" w:rsidRPr="002A2A04" w:rsidSect="00E22B5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CD0246C" w14:textId="77777777" w:rsidR="00657E1C" w:rsidRPr="002A2A04" w:rsidRDefault="00C23B15">
      <w:pPr>
        <w:spacing w:line="240" w:lineRule="auto"/>
        <w:jc w:val="center"/>
        <w:rPr>
          <w:rFonts w:ascii="Times New Roman" w:hAnsi="Times New Roman" w:cs="Times New Roman"/>
          <w:b/>
          <w:bCs/>
          <w:noProof/>
          <w:sz w:val="24"/>
          <w:szCs w:val="24"/>
          <w:u w:val="single"/>
        </w:rPr>
      </w:pPr>
      <w:bookmarkStart w:id="1" w:name="_GoBack"/>
      <w:bookmarkEnd w:id="1"/>
      <w:r w:rsidRPr="002A2A04">
        <w:rPr>
          <w:rFonts w:ascii="Times New Roman" w:hAnsi="Times New Roman"/>
          <w:b/>
          <w:noProof/>
          <w:sz w:val="24"/>
          <w:u w:val="single"/>
        </w:rPr>
        <w:lastRenderedPageBreak/>
        <w:t>Pachetul de măsuri privind energia pentru cetățeni – energie la prețuri accesibile pentru toți</w:t>
      </w:r>
    </w:p>
    <w:p w14:paraId="38123354" w14:textId="77777777" w:rsidR="00657E1C" w:rsidRPr="002A2A04" w:rsidRDefault="00C23B15">
      <w:pPr>
        <w:spacing w:after="120" w:line="240" w:lineRule="auto"/>
        <w:jc w:val="both"/>
        <w:rPr>
          <w:rFonts w:ascii="Times New Roman" w:eastAsia="Times New Roman" w:hAnsi="Times New Roman" w:cs="Times New Roman"/>
          <w:noProof/>
          <w:color w:val="000000"/>
          <w:kern w:val="0"/>
          <w:sz w:val="24"/>
          <w:szCs w:val="24"/>
          <w14:ligatures w14:val="none"/>
        </w:rPr>
      </w:pPr>
      <w:r w:rsidRPr="002A2A04">
        <w:rPr>
          <w:rFonts w:ascii="Times New Roman" w:hAnsi="Times New Roman"/>
          <w:b/>
          <w:noProof/>
          <w:color w:val="000000"/>
          <w:sz w:val="24"/>
        </w:rPr>
        <w:t>Toți europenii</w:t>
      </w:r>
      <w:r w:rsidRPr="002A2A04">
        <w:rPr>
          <w:rFonts w:ascii="Times New Roman" w:hAnsi="Times New Roman"/>
          <w:noProof/>
          <w:color w:val="000000"/>
          <w:sz w:val="24"/>
        </w:rPr>
        <w:t xml:space="preserve"> ar trebui să aibă acces la energie curată și la prețuri accesibile, în locuințe confortabile și reziliente. </w:t>
      </w:r>
      <w:r w:rsidRPr="002A2A04">
        <w:rPr>
          <w:rFonts w:ascii="Times New Roman" w:hAnsi="Times New Roman"/>
          <w:b/>
          <w:noProof/>
          <w:sz w:val="24"/>
        </w:rPr>
        <w:t>Energia la prețuri accesibile</w:t>
      </w:r>
      <w:r w:rsidRPr="002A2A04">
        <w:rPr>
          <w:rFonts w:ascii="Times New Roman" w:hAnsi="Times New Roman"/>
          <w:noProof/>
          <w:sz w:val="24"/>
        </w:rPr>
        <w:t xml:space="preserve"> este o condiție esențială pentru asigurarea unui nivel de trai sigur, decent și lipsit de sărăcie, precum și pentru asigurarea echității și incluziunii, în special pentru grupurile aflate în situații de vulnerabilitate din toate generațiile.</w:t>
      </w:r>
      <w:r w:rsidRPr="002A2A04">
        <w:rPr>
          <w:rFonts w:ascii="Times New Roman" w:hAnsi="Times New Roman"/>
          <w:noProof/>
          <w:color w:val="000000"/>
          <w:sz w:val="24"/>
        </w:rPr>
        <w:t xml:space="preserve"> În cazul în care prețurile la energie sunt prea ridicate, întreaga economie are de suferit – consumul scade, iar activitatea întreprinderilor încetinește. Acesta este aspectul pe care Pachetul de măsuri privind energia pentru cetățeni își propune să îl abordeze.</w:t>
      </w:r>
    </w:p>
    <w:p w14:paraId="2D47ED2A" w14:textId="77777777" w:rsidR="00657E1C" w:rsidRPr="002A2A04" w:rsidRDefault="00C23B15">
      <w:pPr>
        <w:spacing w:after="120" w:line="240" w:lineRule="auto"/>
        <w:jc w:val="both"/>
        <w:rPr>
          <w:rFonts w:ascii="Times New Roman" w:eastAsia="Times New Roman" w:hAnsi="Times New Roman" w:cs="Times New Roman"/>
          <w:noProof/>
          <w:color w:val="000000"/>
          <w:kern w:val="0"/>
          <w:sz w:val="24"/>
          <w:szCs w:val="24"/>
          <w14:ligatures w14:val="none"/>
        </w:rPr>
      </w:pPr>
      <w:r w:rsidRPr="002A2A04">
        <w:rPr>
          <w:rFonts w:ascii="Times New Roman" w:hAnsi="Times New Roman"/>
          <w:noProof/>
          <w:color w:val="000000"/>
          <w:sz w:val="24"/>
        </w:rPr>
        <w:t xml:space="preserve">Cea mai sigură modalitate de a asigura energie la prețuri accesibile constă în utilizarea </w:t>
      </w:r>
      <w:r w:rsidRPr="002A2A04">
        <w:rPr>
          <w:rFonts w:ascii="Times New Roman" w:hAnsi="Times New Roman"/>
          <w:b/>
          <w:noProof/>
          <w:color w:val="000000"/>
          <w:sz w:val="24"/>
        </w:rPr>
        <w:t>energiei curate pe care Europa o poate produce pentru sine</w:t>
      </w:r>
      <w:r w:rsidRPr="002A2A04">
        <w:rPr>
          <w:rFonts w:ascii="Times New Roman" w:hAnsi="Times New Roman"/>
          <w:noProof/>
          <w:color w:val="000000"/>
          <w:sz w:val="24"/>
        </w:rPr>
        <w:t xml:space="preserve">. Acesta este motivul pentru care europenii trebuie sprijiniți să treacă de la gaze la alternative mai curate, bazate pe energie electrică. </w:t>
      </w:r>
      <w:r w:rsidRPr="002A2A04">
        <w:rPr>
          <w:rFonts w:ascii="Times New Roman" w:hAnsi="Times New Roman"/>
          <w:b/>
          <w:noProof/>
          <w:color w:val="000000"/>
          <w:sz w:val="24"/>
        </w:rPr>
        <w:t>Electrificarea</w:t>
      </w:r>
      <w:r w:rsidRPr="002A2A04">
        <w:rPr>
          <w:rFonts w:ascii="Times New Roman" w:hAnsi="Times New Roman"/>
          <w:noProof/>
          <w:color w:val="000000"/>
          <w:sz w:val="24"/>
        </w:rPr>
        <w:t xml:space="preserve"> va conduce, în timp, la prețuri mai mici și mai stabile, sporind totodată independența, sustenabilitatea și competitivitatea Europei. Statele membre au un rol important în acest sens, prin stabilirea unor stimulente specifice adecvate – de exemplu, prin creșterea atractivității utilizării energiei electrice prin stimulente fiscale și taxe mai mici.</w:t>
      </w:r>
    </w:p>
    <w:p w14:paraId="3B624152" w14:textId="77777777" w:rsidR="00657E1C" w:rsidRPr="002A2A04" w:rsidRDefault="00C23B15">
      <w:pPr>
        <w:spacing w:after="120" w:line="240" w:lineRule="auto"/>
        <w:jc w:val="both"/>
        <w:rPr>
          <w:rFonts w:ascii="Times New Roman" w:eastAsia="Times New Roman" w:hAnsi="Times New Roman" w:cs="Times New Roman"/>
          <w:noProof/>
          <w:color w:val="000000"/>
          <w:kern w:val="0"/>
          <w:sz w:val="24"/>
          <w:szCs w:val="24"/>
          <w14:ligatures w14:val="none"/>
        </w:rPr>
      </w:pPr>
      <w:r w:rsidRPr="002A2A04">
        <w:rPr>
          <w:rFonts w:ascii="Times New Roman" w:hAnsi="Times New Roman"/>
          <w:b/>
          <w:noProof/>
          <w:color w:val="000000" w:themeColor="text1"/>
          <w:sz w:val="24"/>
        </w:rPr>
        <w:t>Flexibilitatea</w:t>
      </w:r>
      <w:r w:rsidRPr="002A2A04">
        <w:rPr>
          <w:rFonts w:ascii="Times New Roman" w:hAnsi="Times New Roman"/>
          <w:noProof/>
          <w:color w:val="000000" w:themeColor="text1"/>
          <w:sz w:val="24"/>
        </w:rPr>
        <w:t xml:space="preserve"> permite locuințelor dotate cu contoare inteligente să consume energia atunci când energia electrică este abundentă și mai ieftină. Încărcarea inteligentă și bidirecțională a vehiculelor electrice poate sprijini și mai mult această flexibilitate. Pentru ca acest mecanism să funcționeze, cetățenii trebuie să aibă acces la informații fiabile și la consiliere adaptată diferitelor nevoi (inclusiv în cazul persoanelor cu dizabilități), la tehnologii la prețuri accesibile, precum și la servicii care recompensează utilizatorii pentru mutarea consumului lor de energie electrică din perioadele de vârf către intervale cu prețuri mai reduse, acordându-se o atenție deosebită grupurilor expuse excluziunii digitale.</w:t>
      </w:r>
      <w:r w:rsidRPr="002A2A04">
        <w:rPr>
          <w:rFonts w:ascii="Times New Roman" w:hAnsi="Times New Roman"/>
          <w:noProof/>
        </w:rPr>
        <w:t xml:space="preserve"> </w:t>
      </w:r>
      <w:r w:rsidRPr="002A2A04">
        <w:rPr>
          <w:rFonts w:ascii="Times New Roman" w:hAnsi="Times New Roman"/>
          <w:noProof/>
          <w:color w:val="000000" w:themeColor="text1"/>
          <w:sz w:val="24"/>
        </w:rPr>
        <w:t>Un sondaj Eurobarometru recent</w:t>
      </w:r>
      <w:r w:rsidRPr="002A2A04">
        <w:rPr>
          <w:rFonts w:ascii="Times New Roman" w:eastAsia="Times New Roman" w:hAnsi="Times New Roman" w:cs="Times New Roman"/>
          <w:noProof/>
          <w:color w:val="000000"/>
          <w:kern w:val="0"/>
          <w:sz w:val="24"/>
          <w:szCs w:val="24"/>
          <w:vertAlign w:val="superscript"/>
        </w:rPr>
        <w:footnoteReference w:id="1"/>
      </w:r>
      <w:r w:rsidRPr="002A2A04">
        <w:rPr>
          <w:rFonts w:ascii="Times New Roman" w:hAnsi="Times New Roman"/>
          <w:noProof/>
          <w:color w:val="000000" w:themeColor="text1"/>
          <w:sz w:val="24"/>
        </w:rPr>
        <w:t xml:space="preserve"> indică faptul că, la nivelul UE, există o cerere pentru o </w:t>
      </w:r>
      <w:r w:rsidRPr="002A2A04">
        <w:rPr>
          <w:rFonts w:ascii="Times New Roman" w:hAnsi="Times New Roman"/>
          <w:b/>
          <w:noProof/>
          <w:color w:val="000000" w:themeColor="text1"/>
          <w:sz w:val="24"/>
        </w:rPr>
        <w:t>protecție</w:t>
      </w:r>
      <w:r w:rsidRPr="002A2A04">
        <w:rPr>
          <w:rFonts w:ascii="Times New Roman" w:hAnsi="Times New Roman"/>
          <w:noProof/>
          <w:color w:val="000000" w:themeColor="text1"/>
          <w:sz w:val="24"/>
        </w:rPr>
        <w:t xml:space="preserve"> mai bună a consumatorilor vulnerabili și a persoanelor afectate de sărăcia energetică, precum și pentru o mai mare </w:t>
      </w:r>
      <w:r w:rsidRPr="002A2A04">
        <w:rPr>
          <w:rFonts w:ascii="Times New Roman" w:hAnsi="Times New Roman"/>
          <w:b/>
          <w:noProof/>
          <w:color w:val="000000" w:themeColor="text1"/>
          <w:sz w:val="24"/>
        </w:rPr>
        <w:t>claritate și transparență a facturilor la energie</w:t>
      </w:r>
      <w:r w:rsidRPr="002A2A04">
        <w:rPr>
          <w:rFonts w:ascii="Times New Roman" w:hAnsi="Times New Roman"/>
          <w:noProof/>
          <w:color w:val="000000" w:themeColor="text1"/>
          <w:sz w:val="24"/>
        </w:rPr>
        <w:t>.</w:t>
      </w:r>
    </w:p>
    <w:p w14:paraId="4370B131" w14:textId="77777777" w:rsidR="00657E1C" w:rsidRPr="002A2A04" w:rsidRDefault="00C23B15">
      <w:pPr>
        <w:spacing w:after="120" w:line="240" w:lineRule="auto"/>
        <w:jc w:val="both"/>
        <w:rPr>
          <w:rFonts w:ascii="Times New Roman" w:eastAsia="Times New Roman" w:hAnsi="Times New Roman" w:cs="Times New Roman"/>
          <w:noProof/>
          <w:color w:val="000000"/>
          <w:kern w:val="0"/>
          <w:sz w:val="24"/>
          <w:szCs w:val="24"/>
          <w14:ligatures w14:val="none"/>
        </w:rPr>
      </w:pPr>
      <w:r w:rsidRPr="002A2A04">
        <w:rPr>
          <w:rFonts w:ascii="Times New Roman" w:hAnsi="Times New Roman"/>
          <w:noProof/>
          <w:color w:val="000000" w:themeColor="text1"/>
          <w:sz w:val="24"/>
        </w:rPr>
        <w:t xml:space="preserve">Cetățenii – de exemplu, fermierii, locuitorii din zonele rurale, proprietarii de întreprinderi mici sau grădinițele – ar trebui să se poată asocia pentru a produce și </w:t>
      </w:r>
      <w:r w:rsidRPr="002A2A04">
        <w:rPr>
          <w:rFonts w:ascii="Times New Roman" w:hAnsi="Times New Roman"/>
          <w:b/>
          <w:noProof/>
          <w:color w:val="000000" w:themeColor="text1"/>
          <w:sz w:val="24"/>
        </w:rPr>
        <w:t>a partaja</w:t>
      </w:r>
      <w:r w:rsidRPr="002A2A04">
        <w:rPr>
          <w:rFonts w:ascii="Times New Roman" w:hAnsi="Times New Roman"/>
          <w:noProof/>
          <w:color w:val="000000" w:themeColor="text1"/>
          <w:sz w:val="24"/>
        </w:rPr>
        <w:t xml:space="preserve"> energia generată din surse proprii. Acest lucru reduce presiunea asupra rețelelor energetice locale și previne investițiile inutile în infrastructura energetică. Cerințele financiare și tehnice pentru crearea </w:t>
      </w:r>
      <w:r w:rsidRPr="002A2A04">
        <w:rPr>
          <w:rFonts w:ascii="Times New Roman" w:hAnsi="Times New Roman"/>
          <w:b/>
          <w:noProof/>
          <w:color w:val="000000" w:themeColor="text1"/>
          <w:sz w:val="24"/>
        </w:rPr>
        <w:t>comunităților de energie</w:t>
      </w:r>
      <w:r w:rsidRPr="002A2A04">
        <w:rPr>
          <w:rFonts w:ascii="Times New Roman" w:hAnsi="Times New Roman"/>
          <w:noProof/>
          <w:color w:val="000000" w:themeColor="text1"/>
          <w:sz w:val="24"/>
        </w:rPr>
        <w:t xml:space="preserve"> ar trebui să fie clare și simple. Consolidarea capacității de acțiune a consumatorilor este, de asemenea, benefică pentru producătorii europeni de </w:t>
      </w:r>
      <w:r w:rsidRPr="002A2A04">
        <w:rPr>
          <w:rFonts w:ascii="Times New Roman" w:hAnsi="Times New Roman"/>
          <w:b/>
          <w:noProof/>
          <w:color w:val="000000" w:themeColor="text1"/>
          <w:sz w:val="24"/>
        </w:rPr>
        <w:t>tehnologii curate</w:t>
      </w:r>
      <w:r w:rsidRPr="002A2A04">
        <w:rPr>
          <w:rFonts w:ascii="Times New Roman" w:hAnsi="Times New Roman"/>
          <w:noProof/>
          <w:color w:val="000000" w:themeColor="text1"/>
          <w:sz w:val="24"/>
        </w:rPr>
        <w:t xml:space="preserve"> și pentru furnizorii de energie electrică, întrucât creșterea cererii de produse inovatoare (precum pompele de căldură) și de servicii inovatoare (precum leasingul social, căldura ca serviciu) oferă predictibilitate investițională și contribuie la crearea de locuri de muncă în aceste sectoare. Aceste tehnologii inovatoare vor îmbunătăți, de asemenea, legătura dintre energie și apă, în special în timpul secetelor și al valurilor de căldură, contribuind astfel la reducerea facturilor la energie</w:t>
      </w:r>
      <w:r w:rsidRPr="002A2A04">
        <w:rPr>
          <w:rStyle w:val="FootnoteReference"/>
          <w:rFonts w:ascii="Times New Roman" w:eastAsia="Times New Roman" w:hAnsi="Times New Roman" w:cs="Times New Roman"/>
          <w:noProof/>
          <w:color w:val="000000"/>
          <w:kern w:val="0"/>
          <w:sz w:val="24"/>
          <w:szCs w:val="24"/>
        </w:rPr>
        <w:footnoteReference w:id="2"/>
      </w:r>
      <w:r w:rsidRPr="002A2A04">
        <w:rPr>
          <w:rFonts w:ascii="Times New Roman" w:hAnsi="Times New Roman"/>
          <w:noProof/>
          <w:color w:val="000000" w:themeColor="text1"/>
          <w:sz w:val="24"/>
        </w:rPr>
        <w:t>.</w:t>
      </w:r>
    </w:p>
    <w:p w14:paraId="554A8CCD" w14:textId="77777777" w:rsidR="00657E1C" w:rsidRPr="002A2A04" w:rsidRDefault="00C23B15">
      <w:pPr>
        <w:spacing w:after="120" w:line="240" w:lineRule="auto"/>
        <w:jc w:val="both"/>
        <w:rPr>
          <w:rFonts w:ascii="Times New Roman" w:eastAsia="Times New Roman" w:hAnsi="Times New Roman" w:cs="Times New Roman"/>
          <w:noProof/>
          <w:color w:val="000000"/>
          <w:kern w:val="0"/>
          <w:sz w:val="24"/>
          <w:szCs w:val="24"/>
          <w14:ligatures w14:val="none"/>
        </w:rPr>
      </w:pPr>
      <w:r w:rsidRPr="002A2A04">
        <w:rPr>
          <w:rFonts w:ascii="Times New Roman" w:hAnsi="Times New Roman"/>
          <w:noProof/>
          <w:color w:val="000000" w:themeColor="text1"/>
          <w:sz w:val="24"/>
        </w:rPr>
        <w:t xml:space="preserve">Totodată, Pachetul de măsuri privind energia pentru cetățeni urmărește combaterea </w:t>
      </w:r>
      <w:r w:rsidRPr="002A2A04">
        <w:rPr>
          <w:rFonts w:ascii="Times New Roman" w:hAnsi="Times New Roman"/>
          <w:b/>
          <w:noProof/>
          <w:color w:val="000000" w:themeColor="text1"/>
          <w:sz w:val="24"/>
        </w:rPr>
        <w:t xml:space="preserve">sărăciei energetice </w:t>
      </w:r>
      <w:r w:rsidRPr="002A2A04">
        <w:rPr>
          <w:rFonts w:ascii="Times New Roman" w:hAnsi="Times New Roman"/>
          <w:noProof/>
          <w:color w:val="000000" w:themeColor="text1"/>
          <w:sz w:val="24"/>
        </w:rPr>
        <w:t>– o situație gravă cu care se confruntă în prezent prea mulți cetățeni din UE și care afectează în mod disproporționat grupurile aflate în situații de vulnerabilitate și pe cele din zonele rurale sau îndepărtate, din regiunile ultraperiferice și de pe insule. În 2024, aproape 10 % din cetățenii europeni nu și-au putut încălzi locuințele în mod adecvat pe timpul iernii, iar mulți se confruntă cu nevoi tot mai mari de răcire pe timpul verii. Îmbunătățirea performanței energetice a clădirilor și trecerea la sisteme electrice de încălzire și răcire mai ieftine sau la sisteme centralizate bazate pe energie din surse regenerabile sunt esențiale pentru reducerea sărăciei energetice și a cheltuielilor legate de locuință.</w:t>
      </w:r>
    </w:p>
    <w:p w14:paraId="280872CF" w14:textId="77777777" w:rsidR="00657E1C" w:rsidRPr="002A2A04" w:rsidRDefault="00C23B15">
      <w:pPr>
        <w:spacing w:after="360" w:line="240" w:lineRule="auto"/>
        <w:jc w:val="both"/>
        <w:rPr>
          <w:rFonts w:ascii="Times New Roman" w:hAnsi="Times New Roman"/>
          <w:noProof/>
          <w:color w:val="000000"/>
          <w:kern w:val="0"/>
          <w:sz w:val="24"/>
          <w14:ligatures w14:val="none"/>
        </w:rPr>
      </w:pPr>
      <w:r w:rsidRPr="002A2A04">
        <w:rPr>
          <w:rFonts w:ascii="Times New Roman" w:hAnsi="Times New Roman"/>
          <w:noProof/>
          <w:color w:val="000000"/>
          <w:sz w:val="24"/>
        </w:rPr>
        <w:t xml:space="preserve">Există deja un ansamblu solid de acte legislative ale UE care acoperă toate aceste aspecte, însă </w:t>
      </w:r>
      <w:r w:rsidRPr="002A2A04">
        <w:rPr>
          <w:rFonts w:ascii="Times New Roman" w:hAnsi="Times New Roman"/>
          <w:b/>
          <w:noProof/>
          <w:color w:val="000000"/>
          <w:sz w:val="24"/>
        </w:rPr>
        <w:t>punerea lui în aplicare</w:t>
      </w:r>
      <w:r w:rsidRPr="002A2A04">
        <w:rPr>
          <w:rFonts w:ascii="Times New Roman" w:hAnsi="Times New Roman"/>
          <w:noProof/>
          <w:color w:val="000000"/>
          <w:sz w:val="24"/>
        </w:rPr>
        <w:t xml:space="preserve"> rămâne neuniformă. Asigurarea respectării și aplicării efective a legislației UE este esențială pentru a garanta că cetățenii pot beneficia </w:t>
      </w:r>
      <w:r w:rsidRPr="002A2A04">
        <w:rPr>
          <w:rFonts w:ascii="Times New Roman" w:hAnsi="Times New Roman"/>
          <w:noProof/>
          <w:color w:val="000000" w:themeColor="text1"/>
          <w:sz w:val="24"/>
        </w:rPr>
        <w:t xml:space="preserve">pe deplin </w:t>
      </w:r>
      <w:r w:rsidRPr="002A2A04">
        <w:rPr>
          <w:rFonts w:ascii="Times New Roman" w:hAnsi="Times New Roman"/>
          <w:noProof/>
          <w:color w:val="000000"/>
          <w:sz w:val="24"/>
        </w:rPr>
        <w:t xml:space="preserve">de drepturile lor. </w:t>
      </w:r>
      <w:r w:rsidRPr="002A2A04">
        <w:rPr>
          <w:rFonts w:ascii="Times New Roman" w:hAnsi="Times New Roman"/>
          <w:b/>
          <w:noProof/>
          <w:color w:val="000000"/>
          <w:sz w:val="24"/>
        </w:rPr>
        <w:t>Autoritățile locale</w:t>
      </w:r>
      <w:r w:rsidRPr="002A2A04">
        <w:rPr>
          <w:rFonts w:ascii="Times New Roman" w:hAnsi="Times New Roman"/>
          <w:noProof/>
          <w:color w:val="000000"/>
          <w:sz w:val="24"/>
        </w:rPr>
        <w:t xml:space="preserve"> joacă un rol esențial în sprijinirea cetățenilor în contextul tranziției energetice, prin furnizarea de consiliere administrativă, tehnică și financiară</w:t>
      </w:r>
      <w:r w:rsidRPr="002A2A04">
        <w:rPr>
          <w:rFonts w:ascii="Times New Roman" w:hAnsi="Times New Roman"/>
          <w:noProof/>
          <w:color w:val="000000" w:themeColor="text1"/>
          <w:sz w:val="24"/>
        </w:rPr>
        <w:t xml:space="preserve">, </w:t>
      </w:r>
      <w:r w:rsidRPr="002A2A04">
        <w:rPr>
          <w:rFonts w:ascii="Times New Roman" w:hAnsi="Times New Roman"/>
          <w:noProof/>
          <w:color w:val="000000"/>
          <w:sz w:val="24"/>
        </w:rPr>
        <w:t>în</w:t>
      </w:r>
      <w:r w:rsidRPr="002A2A04">
        <w:rPr>
          <w:rFonts w:ascii="Times New Roman" w:hAnsi="Times New Roman"/>
          <w:noProof/>
          <w:color w:val="000000" w:themeColor="text1"/>
          <w:sz w:val="24"/>
        </w:rPr>
        <w:t xml:space="preserve"> </w:t>
      </w:r>
      <w:r w:rsidRPr="002A2A04">
        <w:rPr>
          <w:rFonts w:ascii="Times New Roman" w:hAnsi="Times New Roman"/>
          <w:noProof/>
          <w:color w:val="000000"/>
          <w:sz w:val="24"/>
        </w:rPr>
        <w:t>special în ceea ce privește combaterea sărăciei energetice</w:t>
      </w:r>
      <w:r w:rsidRPr="002A2A04">
        <w:rPr>
          <w:rFonts w:ascii="Times New Roman" w:hAnsi="Times New Roman"/>
          <w:noProof/>
          <w:color w:val="000000" w:themeColor="text1"/>
          <w:sz w:val="24"/>
        </w:rPr>
        <w:t xml:space="preserve"> și sprijinirea grupurilor cu nevoi specifice</w:t>
      </w:r>
      <w:r w:rsidRPr="002A2A04">
        <w:rPr>
          <w:rFonts w:ascii="Times New Roman" w:hAnsi="Times New Roman"/>
          <w:noProof/>
          <w:color w:val="000000"/>
          <w:sz w:val="24"/>
        </w:rPr>
        <w:t>. În vederea intensificării</w:t>
      </w:r>
      <w:r w:rsidRPr="002A2A04">
        <w:rPr>
          <w:rFonts w:ascii="Times New Roman" w:hAnsi="Times New Roman"/>
          <w:noProof/>
          <w:color w:val="000000" w:themeColor="text1"/>
          <w:sz w:val="24"/>
        </w:rPr>
        <w:t xml:space="preserve"> </w:t>
      </w:r>
      <w:r w:rsidRPr="002A2A04">
        <w:rPr>
          <w:rFonts w:ascii="Times New Roman" w:hAnsi="Times New Roman"/>
          <w:noProof/>
          <w:color w:val="000000"/>
          <w:sz w:val="24"/>
        </w:rPr>
        <w:t xml:space="preserve">eforturilor </w:t>
      </w:r>
      <w:r w:rsidRPr="002A2A04">
        <w:rPr>
          <w:rFonts w:ascii="Times New Roman" w:hAnsi="Times New Roman"/>
          <w:noProof/>
          <w:color w:val="000000" w:themeColor="text1"/>
          <w:sz w:val="24"/>
        </w:rPr>
        <w:t xml:space="preserve">comune </w:t>
      </w:r>
      <w:r w:rsidRPr="002A2A04">
        <w:rPr>
          <w:rFonts w:ascii="Times New Roman" w:hAnsi="Times New Roman"/>
          <w:noProof/>
          <w:color w:val="000000"/>
          <w:sz w:val="24"/>
        </w:rPr>
        <w:t xml:space="preserve">la toate nivelurile de </w:t>
      </w:r>
      <w:r w:rsidRPr="002A2A04">
        <w:rPr>
          <w:rFonts w:ascii="Times New Roman" w:hAnsi="Times New Roman"/>
          <w:noProof/>
          <w:color w:val="000000" w:themeColor="text1"/>
          <w:sz w:val="24"/>
        </w:rPr>
        <w:t xml:space="preserve">guvernare </w:t>
      </w:r>
      <w:r w:rsidRPr="002A2A04">
        <w:rPr>
          <w:rFonts w:ascii="Times New Roman" w:hAnsi="Times New Roman"/>
          <w:noProof/>
          <w:color w:val="000000"/>
          <w:sz w:val="24"/>
        </w:rPr>
        <w:t>și a obținerii de rezultate pentru cetățenii europeni, prezenta comunicare, care completează alte inițiative ale Comisiei</w:t>
      </w:r>
      <w:r w:rsidRPr="002A2A04">
        <w:rPr>
          <w:rFonts w:ascii="Times New Roman" w:eastAsia="Times New Roman" w:hAnsi="Times New Roman" w:cs="Aptos"/>
          <w:noProof/>
          <w:color w:val="000000"/>
          <w:kern w:val="0"/>
          <w:sz w:val="24"/>
          <w:szCs w:val="24"/>
          <w:vertAlign w:val="superscript"/>
        </w:rPr>
        <w:footnoteReference w:id="3"/>
      </w:r>
      <w:r w:rsidRPr="002A2A04">
        <w:rPr>
          <w:rFonts w:ascii="Times New Roman" w:hAnsi="Times New Roman"/>
          <w:noProof/>
          <w:color w:val="000000"/>
          <w:sz w:val="24"/>
        </w:rPr>
        <w:t xml:space="preserve"> privind energia la prețuri accesibile, stabilește acțiuni concrete pentru: (i) </w:t>
      </w:r>
      <w:r w:rsidRPr="002A2A04">
        <w:rPr>
          <w:rFonts w:ascii="Times New Roman" w:hAnsi="Times New Roman"/>
          <w:noProof/>
          <w:color w:val="000000"/>
          <w:sz w:val="24"/>
          <w:u w:val="single"/>
        </w:rPr>
        <w:t>reducerea facturilor la energie pentru gospodării</w:t>
      </w:r>
      <w:r w:rsidRPr="002A2A04">
        <w:rPr>
          <w:rFonts w:ascii="Times New Roman" w:hAnsi="Times New Roman"/>
          <w:noProof/>
          <w:color w:val="000000"/>
          <w:sz w:val="24"/>
        </w:rPr>
        <w:t xml:space="preserve">, (ii) </w:t>
      </w:r>
      <w:r w:rsidRPr="002A2A04">
        <w:rPr>
          <w:rFonts w:ascii="Times New Roman" w:hAnsi="Times New Roman"/>
          <w:noProof/>
          <w:color w:val="000000"/>
          <w:sz w:val="24"/>
          <w:u w:val="single"/>
        </w:rPr>
        <w:t>protejarea și consolidarea capacității de acțiune a consumatorilor</w:t>
      </w:r>
      <w:r w:rsidRPr="002A2A04">
        <w:rPr>
          <w:rFonts w:ascii="Times New Roman" w:hAnsi="Times New Roman"/>
          <w:noProof/>
          <w:color w:val="000000"/>
          <w:sz w:val="24"/>
        </w:rPr>
        <w:t xml:space="preserve">, (iii) </w:t>
      </w:r>
      <w:r w:rsidRPr="002A2A04">
        <w:rPr>
          <w:rFonts w:ascii="Times New Roman" w:hAnsi="Times New Roman"/>
          <w:noProof/>
          <w:color w:val="000000"/>
          <w:sz w:val="24"/>
          <w:u w:val="single"/>
        </w:rPr>
        <w:t>combaterea sărăciei energetice</w:t>
      </w:r>
      <w:r w:rsidRPr="002A2A04">
        <w:rPr>
          <w:rFonts w:ascii="Times New Roman" w:hAnsi="Times New Roman"/>
          <w:noProof/>
          <w:color w:val="000000"/>
          <w:sz w:val="24"/>
        </w:rPr>
        <w:t xml:space="preserve"> și (iv) </w:t>
      </w:r>
      <w:r w:rsidRPr="002A2A04">
        <w:rPr>
          <w:rFonts w:ascii="Times New Roman" w:hAnsi="Times New Roman"/>
          <w:noProof/>
          <w:color w:val="000000"/>
          <w:sz w:val="24"/>
          <w:u w:val="single"/>
        </w:rPr>
        <w:t>punerea în aplicare eficace a legislației UE existente</w:t>
      </w:r>
      <w:r w:rsidRPr="002A2A04">
        <w:rPr>
          <w:rFonts w:ascii="Times New Roman" w:hAnsi="Times New Roman"/>
          <w:noProof/>
          <w:color w:val="000000"/>
          <w:sz w:val="24"/>
        </w:rPr>
        <w:t>.</w:t>
      </w:r>
    </w:p>
    <w:p w14:paraId="67293CF9" w14:textId="77777777" w:rsidR="00657E1C" w:rsidRPr="002A2A04" w:rsidRDefault="00C23B15">
      <w:pPr>
        <w:spacing w:after="120" w:line="240" w:lineRule="auto"/>
        <w:jc w:val="center"/>
        <w:rPr>
          <w:rFonts w:ascii="Times New Roman" w:eastAsia="Times New Roman" w:hAnsi="Times New Roman" w:cs="Times New Roman"/>
          <w:noProof/>
          <w:color w:val="000000"/>
          <w:kern w:val="0"/>
          <w:sz w:val="24"/>
          <w:szCs w:val="24"/>
          <w14:ligatures w14:val="none"/>
        </w:rPr>
      </w:pPr>
      <w:r w:rsidRPr="002A2A04">
        <w:rPr>
          <w:rFonts w:ascii="Times New Roman" w:hAnsi="Times New Roman"/>
          <w:b/>
          <w:smallCaps/>
          <w:noProof/>
          <w:sz w:val="24"/>
          <w:u w:val="single"/>
        </w:rPr>
        <w:t>Pilonul I: Reducerea facturilor la energie pentru gospodării</w:t>
      </w:r>
    </w:p>
    <w:p w14:paraId="34150B21" w14:textId="042F120A" w:rsidR="00657E1C" w:rsidRPr="002A2A04" w:rsidRDefault="00C23B15">
      <w:pPr>
        <w:spacing w:after="120" w:line="240" w:lineRule="auto"/>
        <w:jc w:val="both"/>
        <w:rPr>
          <w:rFonts w:ascii="Times New Roman" w:eastAsia="Times New Roman" w:hAnsi="Times New Roman" w:cs="Times New Roman"/>
          <w:noProof/>
          <w:sz w:val="24"/>
          <w:szCs w:val="24"/>
        </w:rPr>
      </w:pPr>
      <w:r w:rsidRPr="002A2A04">
        <w:rPr>
          <w:rFonts w:ascii="Times New Roman" w:hAnsi="Times New Roman"/>
          <w:b/>
          <w:noProof/>
          <w:sz w:val="24"/>
          <w:lang w:val="en-GB" w:eastAsia="en-GB"/>
        </w:rPr>
        <mc:AlternateContent>
          <mc:Choice Requires="wps">
            <w:drawing>
              <wp:anchor distT="45720" distB="45720" distL="114300" distR="114300" simplePos="0" relativeHeight="251658240" behindDoc="0" locked="0" layoutInCell="1" allowOverlap="1" wp14:anchorId="72156130" wp14:editId="4D417DF3">
                <wp:simplePos x="0" y="0"/>
                <wp:positionH relativeFrom="margin">
                  <wp:align>right</wp:align>
                </wp:positionH>
                <wp:positionV relativeFrom="paragraph">
                  <wp:posOffset>72390</wp:posOffset>
                </wp:positionV>
                <wp:extent cx="3702050" cy="2734310"/>
                <wp:effectExtent l="0" t="0" r="1270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0" cy="2734310"/>
                        </a:xfrm>
                        <a:prstGeom prst="rect">
                          <a:avLst/>
                        </a:prstGeom>
                        <a:solidFill>
                          <a:srgbClr val="FFFFFF"/>
                        </a:solidFill>
                        <a:ln w="9525">
                          <a:solidFill>
                            <a:srgbClr val="000000"/>
                          </a:solidFill>
                          <a:miter lim="800000"/>
                          <a:headEnd/>
                          <a:tailEnd/>
                        </a:ln>
                      </wps:spPr>
                      <wps:txbx>
                        <w:txbxContent>
                          <w:p w14:paraId="4D19ECB0" w14:textId="1C8A5251" w:rsidR="00657E1C" w:rsidRDefault="00BE4281">
                            <w:pPr>
                              <w:spacing w:after="120" w:line="240" w:lineRule="auto"/>
                              <w:jc w:val="both"/>
                              <w:rPr>
                                <w:rFonts w:ascii="Times New Roman" w:eastAsia="Times New Roman" w:hAnsi="Times New Roman" w:cs="Times New Roman"/>
                                <w:i/>
                                <w:color w:val="000000"/>
                                <w:kern w:val="0"/>
                                <w:sz w:val="20"/>
                                <w:szCs w:val="20"/>
                                <w14:ligatures w14:val="none"/>
                              </w:rPr>
                            </w:pPr>
                            <w:r>
                              <w:rPr>
                                <w:noProof/>
                                <w:lang w:val="en-GB" w:eastAsia="en-GB"/>
                              </w:rPr>
                              <w:drawing>
                                <wp:inline distT="0" distB="0" distL="0" distR="0" wp14:anchorId="1F22974A" wp14:editId="6F667ADB">
                                  <wp:extent cx="3510280" cy="1717040"/>
                                  <wp:effectExtent l="0" t="0" r="0" b="0"/>
                                  <wp:docPr id="2100789907"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89907" name="Picture 1" descr="A graph of a number of people&#10;&#10;AI-generated content may be incorrect."/>
                                          <pic:cNvPicPr>
                                            <a:picLocks noChangeAspect="1"/>
                                          </pic:cNvPicPr>
                                        </pic:nvPicPr>
                                        <pic:blipFill>
                                          <a:blip r:embed="rId15"/>
                                          <a:stretch>
                                            <a:fillRect/>
                                          </a:stretch>
                                        </pic:blipFill>
                                        <pic:spPr>
                                          <a:xfrm>
                                            <a:off x="0" y="0"/>
                                            <a:ext cx="3510280" cy="1717040"/>
                                          </a:xfrm>
                                          <a:prstGeom prst="rect">
                                            <a:avLst/>
                                          </a:prstGeom>
                                        </pic:spPr>
                                      </pic:pic>
                                    </a:graphicData>
                                  </a:graphic>
                                </wp:inline>
                              </w:drawing>
                            </w:r>
                            <w:r w:rsidR="00C23B15">
                              <w:rPr>
                                <w:rFonts w:ascii="Times New Roman" w:hAnsi="Times New Roman"/>
                                <w:i/>
                                <w:color w:val="000000"/>
                                <w:sz w:val="20"/>
                              </w:rPr>
                              <w:t xml:space="preserve"> </w:t>
                            </w:r>
                          </w:p>
                          <w:p w14:paraId="769A0CB4" w14:textId="77777777" w:rsidR="00657E1C" w:rsidRDefault="00C23B15">
                            <w:pPr>
                              <w:spacing w:after="120" w:line="240" w:lineRule="auto"/>
                              <w:jc w:val="both"/>
                              <w:rPr>
                                <w:rFonts w:ascii="Times New Roman" w:eastAsia="Times New Roman" w:hAnsi="Times New Roman" w:cs="Times New Roman"/>
                                <w:i/>
                                <w:color w:val="000000"/>
                                <w:kern w:val="0"/>
                                <w:sz w:val="20"/>
                                <w:szCs w:val="20"/>
                                <w14:ligatures w14:val="none"/>
                              </w:rPr>
                            </w:pPr>
                            <w:r>
                              <w:rPr>
                                <w:rFonts w:ascii="Times New Roman" w:hAnsi="Times New Roman"/>
                                <w:i/>
                                <w:color w:val="000000"/>
                                <w:sz w:val="20"/>
                              </w:rPr>
                              <w:t>Figura 1. Prețurile medii bianuale ale energiei electrice și ale gazelor în UE pentru consumatorii casnici. Sursă: Eurostat – prețurile energiei pentru consumatorii casnici (intervalele DC pentru energia electrică și D2 pentru gaze). Prețurile includ toate impozitele și taxele. Prețurile gazelor sunt exprimate în EUR/kWh</w:t>
                            </w:r>
                          </w:p>
                          <w:p w14:paraId="0EE63D65" w14:textId="77777777" w:rsidR="00657E1C" w:rsidRPr="0049022C" w:rsidRDefault="00657E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156130" id="_x0000_t202" coordsize="21600,21600" o:spt="202" path="m,l,21600r21600,l21600,xe">
                <v:stroke joinstyle="miter"/>
                <v:path gradientshapeok="t" o:connecttype="rect"/>
              </v:shapetype>
              <v:shape id="Text Box 2" o:spid="_x0000_s1026" type="#_x0000_t202" style="position:absolute;left:0;text-align:left;margin-left:240.3pt;margin-top:5.7pt;width:291.5pt;height:215.3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">
                <v:textbox>
                  <w:txbxContent>
                    <w:p w14:paraId="4D19ECB0" w14:textId="1C8A5251" w:rsidR="00657E1C" w:rsidRDefault="00BE4281">
                      <w:pPr>
                        <w:spacing w:after="120" w:line="240" w:lineRule="auto"/>
                        <w:jc w:val="both"/>
                        <w:rPr>
                          <w:rFonts w:ascii="Times New Roman" w:eastAsia="Times New Roman" w:hAnsi="Times New Roman" w:cs="Times New Roman"/>
                          <w:i/>
                          <w:color w:val="000000"/>
                          <w:kern w:val="0"/>
                          <w:sz w:val="20"/>
                          <w:szCs w:val="20"/>
                          <w14:ligatures w14:val="none"/>
                        </w:rPr>
                      </w:pPr>
                      <w:r>
                        <w:rPr>
                          <w:noProof/>
                          <w:lang w:val="en-GB" w:eastAsia="en-GB"/>
                        </w:rPr>
                        <w:drawing>
                          <wp:inline distT="0" distB="0" distL="0" distR="0" wp14:anchorId="1F22974A" wp14:editId="6F667ADB">
                            <wp:extent cx="3510280" cy="1717040"/>
                            <wp:effectExtent l="0" t="0" r="0" b="0"/>
                            <wp:docPr id="2100789907"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89907" name="Picture 1" descr="A graph of a number of people&#10;&#10;AI-generated content may be incorrect."/>
                                    <pic:cNvPicPr>
                                      <a:picLocks noChangeAspect="1"/>
                                    </pic:cNvPicPr>
                                  </pic:nvPicPr>
                                  <pic:blipFill>
                                    <a:blip r:embed="rId15"/>
                                    <a:stretch>
                                      <a:fillRect/>
                                    </a:stretch>
                                  </pic:blipFill>
                                  <pic:spPr>
                                    <a:xfrm>
                                      <a:off x="0" y="0"/>
                                      <a:ext cx="3510280" cy="1717040"/>
                                    </a:xfrm>
                                    <a:prstGeom prst="rect">
                                      <a:avLst/>
                                    </a:prstGeom>
                                  </pic:spPr>
                                </pic:pic>
                              </a:graphicData>
                            </a:graphic>
                          </wp:inline>
                        </w:drawing>
                      </w:r>
                      <w:r w:rsidR="00C23B15">
                        <w:rPr>
                          <w:rFonts w:ascii="Times New Roman" w:hAnsi="Times New Roman"/>
                          <w:i/>
                          <w:color w:val="000000"/>
                          <w:sz w:val="20"/>
                        </w:rPr>
                        <w:t xml:space="preserve"> </w:t>
                      </w:r>
                    </w:p>
                    <w:p w14:paraId="769A0CB4" w14:textId="77777777" w:rsidR="00657E1C" w:rsidRDefault="00C23B15">
                      <w:pPr>
                        <w:spacing w:after="120" w:line="240" w:lineRule="auto"/>
                        <w:jc w:val="both"/>
                        <w:rPr>
                          <w:rFonts w:ascii="Times New Roman" w:eastAsia="Times New Roman" w:hAnsi="Times New Roman" w:cs="Times New Roman"/>
                          <w:i/>
                          <w:color w:val="000000"/>
                          <w:kern w:val="0"/>
                          <w:sz w:val="20"/>
                          <w:szCs w:val="20"/>
                          <w14:ligatures w14:val="none"/>
                        </w:rPr>
                      </w:pPr>
                      <w:r>
                        <w:rPr>
                          <w:rFonts w:ascii="Times New Roman" w:hAnsi="Times New Roman"/>
                          <w:i/>
                          <w:color w:val="000000"/>
                          <w:sz w:val="20"/>
                        </w:rPr>
                        <w:t>Figura 1. Prețurile medii bianuale ale energiei electrice și ale gazelor în UE pentru consumatorii casnici. Sursă: Eurostat – prețurile energiei pentru consumatorii casnici (intervalele DC pentru energia electrică și D2 pentru gaze). Prețurile includ toate impozitele și taxele. Prețurile gazelor sunt exprimate în EUR/kWh</w:t>
                      </w:r>
                    </w:p>
                    <w:p w14:paraId="0EE63D65" w14:textId="77777777" w:rsidR="00657E1C" w:rsidRPr="0049022C" w:rsidRDefault="00657E1C"/>
                  </w:txbxContent>
                </v:textbox>
                <w10:wrap type="square" anchorx="margin"/>
              </v:shape>
            </w:pict>
          </mc:Fallback>
        </mc:AlternateContent>
      </w:r>
      <w:r w:rsidRPr="002A2A04">
        <w:rPr>
          <w:rFonts w:ascii="Times New Roman" w:hAnsi="Times New Roman"/>
          <w:b/>
          <w:noProof/>
          <w:sz w:val="24"/>
        </w:rPr>
        <w:t>Prețurile ridicate la energie afectează economia Europei și pe cetățenii săi.</w:t>
      </w:r>
      <w:r w:rsidRPr="002A2A04">
        <w:rPr>
          <w:rFonts w:ascii="Times New Roman" w:hAnsi="Times New Roman"/>
          <w:noProof/>
          <w:sz w:val="24"/>
        </w:rPr>
        <w:t xml:space="preserve"> Prețurile energiei electrice pentru consumatorii casnici au crescut brusc în timpul crizei și rămân la niveluri ridicate în prezent, afectând în mod disproporționat grupurile aflate în situații de vulnerabilitate. Prețurile cu amănuntul ale energiei electrice suportate de gospodăriile din UE sunt cu 36 % peste media perioadei 2014-2020, în timp ce prețurile cu amănuntul ale gazelor sunt cu 68 % mai mari comparativ cu media din aceeași perioadă. Prin comparație, inflația din aceeași perioadă a fost de 26 %, ceea ce înseamnă că prețurile energiei au crescut cu aproximativ 10 %, după corectarea lor cu inflația.</w:t>
      </w:r>
    </w:p>
    <w:p w14:paraId="2658AF55" w14:textId="77777777" w:rsidR="00657E1C" w:rsidRPr="002A2A04" w:rsidRDefault="00C23B15">
      <w:pPr>
        <w:spacing w:line="240" w:lineRule="auto"/>
        <w:jc w:val="both"/>
        <w:rPr>
          <w:rFonts w:ascii="Times New Roman" w:eastAsia="Times New Roman" w:hAnsi="Times New Roman" w:cs="Times New Roman"/>
          <w:noProof/>
          <w:sz w:val="24"/>
          <w:szCs w:val="24"/>
        </w:rPr>
      </w:pPr>
      <w:r w:rsidRPr="002A2A04">
        <w:rPr>
          <w:rFonts w:ascii="Times New Roman" w:hAnsi="Times New Roman"/>
          <w:noProof/>
          <w:sz w:val="24"/>
        </w:rPr>
        <w:t xml:space="preserve">Facturile la energie plătite de cetățeni sunt influențate de </w:t>
      </w:r>
      <w:r w:rsidRPr="002A2A04">
        <w:rPr>
          <w:rFonts w:ascii="Times New Roman" w:hAnsi="Times New Roman"/>
          <w:b/>
          <w:noProof/>
          <w:sz w:val="24"/>
        </w:rPr>
        <w:t>tarifele de rețea</w:t>
      </w:r>
      <w:r w:rsidRPr="002A2A04">
        <w:rPr>
          <w:rFonts w:ascii="Times New Roman" w:hAnsi="Times New Roman"/>
          <w:noProof/>
          <w:sz w:val="24"/>
        </w:rPr>
        <w:t xml:space="preserve">, de </w:t>
      </w:r>
      <w:r w:rsidRPr="002A2A04">
        <w:rPr>
          <w:rFonts w:ascii="Times New Roman" w:hAnsi="Times New Roman"/>
          <w:b/>
          <w:noProof/>
          <w:sz w:val="24"/>
        </w:rPr>
        <w:t>impozitele și taxele naționale</w:t>
      </w:r>
      <w:r w:rsidRPr="002A2A04">
        <w:rPr>
          <w:rFonts w:ascii="Times New Roman" w:hAnsi="Times New Roman"/>
          <w:noProof/>
          <w:sz w:val="24"/>
        </w:rPr>
        <w:t xml:space="preserve">, de </w:t>
      </w:r>
      <w:r w:rsidRPr="002A2A04">
        <w:rPr>
          <w:rFonts w:ascii="Times New Roman" w:hAnsi="Times New Roman"/>
          <w:b/>
          <w:noProof/>
          <w:sz w:val="24"/>
        </w:rPr>
        <w:t>prețul angro al energiei</w:t>
      </w:r>
      <w:r w:rsidRPr="002A2A04">
        <w:rPr>
          <w:rFonts w:ascii="Times New Roman" w:hAnsi="Times New Roman"/>
          <w:noProof/>
          <w:sz w:val="24"/>
        </w:rPr>
        <w:t xml:space="preserve">, precum și de nivelul </w:t>
      </w:r>
      <w:r w:rsidRPr="002A2A04">
        <w:rPr>
          <w:rFonts w:ascii="Times New Roman" w:hAnsi="Times New Roman"/>
          <w:b/>
          <w:noProof/>
          <w:sz w:val="24"/>
        </w:rPr>
        <w:t>consumului</w:t>
      </w:r>
      <w:r w:rsidRPr="002A2A04">
        <w:rPr>
          <w:rFonts w:ascii="Times New Roman" w:hAnsi="Times New Roman"/>
          <w:noProof/>
          <w:sz w:val="24"/>
        </w:rPr>
        <w:t xml:space="preserve"> individual. Impozitele naționale pe energie și calculul tarifelor de rețea țin, în principal, de responsabilitatea statelor membre și a autorităților lor de reglementare, ceea ce le oferă instrumente pentru a face facturile la energie mai accesibile. Prin urmare, Comisia propune patru acțiuni concrete în acest sens.</w:t>
      </w:r>
    </w:p>
    <w:p w14:paraId="334B0827" w14:textId="77777777" w:rsidR="00657E1C" w:rsidRPr="002A2A04" w:rsidRDefault="00C23B15">
      <w:pPr>
        <w:rPr>
          <w:rFonts w:ascii="Times New Roman" w:eastAsia="Aptos" w:hAnsi="Times New Roman" w:cs="Times New Roman"/>
          <w:b/>
          <w:noProof/>
          <w:color w:val="000000" w:themeColor="text1"/>
          <w:sz w:val="24"/>
          <w:szCs w:val="24"/>
          <w:u w:val="single"/>
        </w:rPr>
      </w:pPr>
      <w:r w:rsidRPr="002A2A04">
        <w:rPr>
          <w:rFonts w:ascii="Times New Roman" w:hAnsi="Times New Roman"/>
          <w:b/>
          <w:noProof/>
          <w:color w:val="000000" w:themeColor="text1"/>
          <w:sz w:val="24"/>
          <w:u w:val="single"/>
        </w:rPr>
        <w:t>Acțiunea 1: Reducerea impozitelor și a taxelor pe energia electrică pentru consumatorii casnici până la nivelul minim al UE</w:t>
      </w:r>
    </w:p>
    <w:p w14:paraId="60848374" w14:textId="52F37FDC" w:rsidR="00657E1C" w:rsidRPr="002A2A04" w:rsidRDefault="00C23B15">
      <w:pPr>
        <w:spacing w:line="240" w:lineRule="auto"/>
        <w:jc w:val="both"/>
        <w:rPr>
          <w:rFonts w:ascii="Times New Roman" w:eastAsia="Aptos" w:hAnsi="Times New Roman" w:cs="Times New Roman"/>
          <w:noProof/>
          <w:sz w:val="24"/>
          <w:szCs w:val="24"/>
        </w:rPr>
      </w:pPr>
      <w:r w:rsidRPr="002A2A04">
        <w:rPr>
          <w:rFonts w:ascii="Times New Roman" w:hAnsi="Times New Roman"/>
          <w:b/>
          <w:noProof/>
          <w:sz w:val="24"/>
          <w:lang w:val="en-GB" w:eastAsia="en-GB"/>
        </w:rPr>
        <mc:AlternateContent>
          <mc:Choice Requires="wps">
            <w:drawing>
              <wp:anchor distT="45720" distB="45720" distL="114300" distR="114300" simplePos="0" relativeHeight="251658241" behindDoc="0" locked="0" layoutInCell="1" allowOverlap="1" wp14:anchorId="2B2FFB03" wp14:editId="6ABD7D0D">
                <wp:simplePos x="0" y="0"/>
                <wp:positionH relativeFrom="margin">
                  <wp:posOffset>99060</wp:posOffset>
                </wp:positionH>
                <wp:positionV relativeFrom="paragraph">
                  <wp:posOffset>67310</wp:posOffset>
                </wp:positionV>
                <wp:extent cx="3479800" cy="2514600"/>
                <wp:effectExtent l="0" t="0" r="25400" b="19050"/>
                <wp:wrapSquare wrapText="bothSides"/>
                <wp:docPr id="1524033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2514600"/>
                        </a:xfrm>
                        <a:prstGeom prst="rect">
                          <a:avLst/>
                        </a:prstGeom>
                        <a:solidFill>
                          <a:srgbClr val="FFFFFF"/>
                        </a:solidFill>
                        <a:ln w="9525">
                          <a:solidFill>
                            <a:srgbClr val="000000"/>
                          </a:solidFill>
                          <a:miter lim="800000"/>
                          <a:headEnd/>
                          <a:tailEnd/>
                        </a:ln>
                      </wps:spPr>
                      <wps:txbx>
                        <w:txbxContent>
                          <w:p w14:paraId="476F5E89" w14:textId="7F7FB147" w:rsidR="00657E1C" w:rsidRDefault="00BC1EB4">
                            <w:pPr>
                              <w:spacing w:line="240" w:lineRule="auto"/>
                              <w:jc w:val="center"/>
                              <w:rPr>
                                <w:rFonts w:ascii="Times New Roman" w:eastAsia="Aptos" w:hAnsi="Times New Roman" w:cs="Times New Roman"/>
                                <w:sz w:val="20"/>
                                <w:szCs w:val="20"/>
                              </w:rPr>
                            </w:pPr>
                            <w:r>
                              <w:rPr>
                                <w:noProof/>
                                <w:lang w:val="en-GB" w:eastAsia="en-GB"/>
                              </w:rPr>
                              <w:drawing>
                                <wp:inline distT="0" distB="0" distL="0" distR="0" wp14:anchorId="3E62E619" wp14:editId="35302D09">
                                  <wp:extent cx="3288030" cy="1863090"/>
                                  <wp:effectExtent l="0" t="0" r="7620" b="3810"/>
                                  <wp:docPr id="1177488813" name="Picture 1"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88813" name="Picture 1" descr="A graph with numbers and a bar&#10;&#10;AI-generated content may be incorrect."/>
                                          <pic:cNvPicPr>
                                            <a:picLocks noChangeAspect="1"/>
                                          </pic:cNvPicPr>
                                        </pic:nvPicPr>
                                        <pic:blipFill>
                                          <a:blip r:embed="rId16"/>
                                          <a:stretch>
                                            <a:fillRect/>
                                          </a:stretch>
                                        </pic:blipFill>
                                        <pic:spPr>
                                          <a:xfrm>
                                            <a:off x="0" y="0"/>
                                            <a:ext cx="3288030" cy="1863090"/>
                                          </a:xfrm>
                                          <a:prstGeom prst="rect">
                                            <a:avLst/>
                                          </a:prstGeom>
                                        </pic:spPr>
                                      </pic:pic>
                                    </a:graphicData>
                                  </a:graphic>
                                </wp:inline>
                              </w:drawing>
                            </w:r>
                          </w:p>
                          <w:p w14:paraId="168A7614" w14:textId="77777777" w:rsidR="00657E1C" w:rsidRDefault="00C23B15">
                            <w:pPr>
                              <w:spacing w:line="240" w:lineRule="auto"/>
                              <w:jc w:val="center"/>
                              <w:rPr>
                                <w:rFonts w:ascii="Times New Roman" w:eastAsia="Aptos" w:hAnsi="Times New Roman" w:cs="Times New Roman"/>
                                <w:i/>
                                <w:iCs/>
                                <w:sz w:val="20"/>
                                <w:szCs w:val="20"/>
                              </w:rPr>
                            </w:pPr>
                            <w:r>
                              <w:rPr>
                                <w:rFonts w:ascii="Times New Roman" w:hAnsi="Times New Roman"/>
                                <w:i/>
                                <w:sz w:val="20"/>
                              </w:rPr>
                              <w:t>Figura 2. Componentele prețului energiei electrice pentru consumatorii casnici medii din UE (2019–2024). Sursă: Eurostat.</w:t>
                            </w:r>
                          </w:p>
                          <w:p w14:paraId="58E09B9B" w14:textId="77777777" w:rsidR="00657E1C" w:rsidRDefault="00657E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FFB03" id="_x0000_s1027" type="#_x0000_t202" style="position:absolute;left:0;text-align:left;margin-left:7.8pt;margin-top:5.3pt;width:274pt;height:198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">
                <v:textbox>
                  <w:txbxContent>
                    <w:p w14:paraId="476F5E89" w14:textId="7F7FB147" w:rsidR="00657E1C" w:rsidRDefault="00BC1EB4">
                      <w:pPr>
                        <w:spacing w:line="240" w:lineRule="auto"/>
                        <w:jc w:val="center"/>
                        <w:rPr>
                          <w:rFonts w:ascii="Times New Roman" w:eastAsia="Aptos" w:hAnsi="Times New Roman" w:cs="Times New Roman"/>
                          <w:sz w:val="20"/>
                          <w:szCs w:val="20"/>
                        </w:rPr>
                      </w:pPr>
                      <w:r>
                        <w:rPr>
                          <w:noProof/>
                          <w:lang w:val="en-GB" w:eastAsia="en-GB"/>
                        </w:rPr>
                        <w:drawing>
                          <wp:inline distT="0" distB="0" distL="0" distR="0" wp14:anchorId="3E62E619" wp14:editId="35302D09">
                            <wp:extent cx="3288030" cy="1863090"/>
                            <wp:effectExtent l="0" t="0" r="7620" b="3810"/>
                            <wp:docPr id="1177488813" name="Picture 1"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88813" name="Picture 1" descr="A graph with numbers and a bar&#10;&#10;AI-generated content may be incorrect."/>
                                    <pic:cNvPicPr>
                                      <a:picLocks noChangeAspect="1"/>
                                    </pic:cNvPicPr>
                                  </pic:nvPicPr>
                                  <pic:blipFill>
                                    <a:blip r:embed="rId16"/>
                                    <a:stretch>
                                      <a:fillRect/>
                                    </a:stretch>
                                  </pic:blipFill>
                                  <pic:spPr>
                                    <a:xfrm>
                                      <a:off x="0" y="0"/>
                                      <a:ext cx="3288030" cy="1863090"/>
                                    </a:xfrm>
                                    <a:prstGeom prst="rect">
                                      <a:avLst/>
                                    </a:prstGeom>
                                  </pic:spPr>
                                </pic:pic>
                              </a:graphicData>
                            </a:graphic>
                          </wp:inline>
                        </w:drawing>
                      </w:r>
                    </w:p>
                    <w:p w14:paraId="168A7614" w14:textId="77777777" w:rsidR="00657E1C" w:rsidRDefault="00C23B15">
                      <w:pPr>
                        <w:spacing w:line="240" w:lineRule="auto"/>
                        <w:jc w:val="center"/>
                        <w:rPr>
                          <w:rFonts w:ascii="Times New Roman" w:eastAsia="Aptos" w:hAnsi="Times New Roman" w:cs="Times New Roman"/>
                          <w:i/>
                          <w:iCs/>
                          <w:sz w:val="20"/>
                          <w:szCs w:val="20"/>
                        </w:rPr>
                      </w:pPr>
                      <w:r>
                        <w:rPr>
                          <w:rFonts w:ascii="Times New Roman" w:hAnsi="Times New Roman"/>
                          <w:i/>
                          <w:sz w:val="20"/>
                        </w:rPr>
                        <w:t>Figura 2. Componentele prețului energiei electrice pentru consumatorii casnici medii din UE (2019–2024). Sursă: Eurostat.</w:t>
                      </w:r>
                    </w:p>
                    <w:p w14:paraId="58E09B9B" w14:textId="77777777" w:rsidR="00657E1C" w:rsidRDefault="00657E1C"/>
                  </w:txbxContent>
                </v:textbox>
                <w10:wrap type="square" anchorx="margin"/>
              </v:shape>
            </w:pict>
          </mc:Fallback>
        </mc:AlternateContent>
      </w:r>
      <w:r w:rsidRPr="002A2A04">
        <w:rPr>
          <w:rFonts w:ascii="Times New Roman" w:hAnsi="Times New Roman"/>
          <w:b/>
          <w:noProof/>
          <w:sz w:val="24"/>
        </w:rPr>
        <w:t>Impozitele și taxele pe energia electrică reprezintă, în medie, 25 % din prețul plătit de consumatorii casnici și 15 % din prețul plătit de întreprinderi.</w:t>
      </w:r>
      <w:r w:rsidRPr="002A2A04">
        <w:rPr>
          <w:rFonts w:ascii="Times New Roman" w:hAnsi="Times New Roman"/>
          <w:noProof/>
          <w:sz w:val="24"/>
        </w:rPr>
        <w:t xml:space="preserve"> Statele membre pot reduce impozitele și taxele naționale pe energie, inclusiv impozitele sau taxele suplimentare fără legătură cu energia (de exemplu, taxele pentru serviciile publice de radiodifuziune adăugate la facturile de energie electrică</w:t>
      </w:r>
      <w:r w:rsidRPr="002A2A04">
        <w:rPr>
          <w:rStyle w:val="FootnoteReference"/>
          <w:rFonts w:ascii="Times New Roman" w:eastAsia="Aptos" w:hAnsi="Times New Roman" w:cs="Times New Roman"/>
          <w:noProof/>
          <w:sz w:val="24"/>
          <w:szCs w:val="24"/>
        </w:rPr>
        <w:footnoteReference w:id="4"/>
      </w:r>
      <w:r w:rsidRPr="002A2A04">
        <w:rPr>
          <w:rFonts w:ascii="Times New Roman" w:hAnsi="Times New Roman"/>
          <w:noProof/>
          <w:sz w:val="24"/>
        </w:rPr>
        <w:t xml:space="preserve">). Eliminarea costurilor fără legătură cu energia aduce beneficii facturilor la energie electrică ale tuturor, în special ale consumatorilor casnici vulnerabili. </w:t>
      </w:r>
    </w:p>
    <w:p w14:paraId="56B3D753" w14:textId="77777777" w:rsidR="00657E1C" w:rsidRPr="002A2A04" w:rsidRDefault="00C23B15">
      <w:pPr>
        <w:spacing w:line="240" w:lineRule="auto"/>
        <w:jc w:val="both"/>
        <w:rPr>
          <w:rFonts w:ascii="Times New Roman" w:eastAsia="Aptos" w:hAnsi="Times New Roman" w:cs="Times New Roman"/>
          <w:noProof/>
          <w:sz w:val="24"/>
          <w:szCs w:val="24"/>
        </w:rPr>
      </w:pPr>
      <w:r w:rsidRPr="002A2A04">
        <w:rPr>
          <w:rFonts w:ascii="Times New Roman" w:hAnsi="Times New Roman"/>
          <w:noProof/>
          <w:sz w:val="24"/>
        </w:rPr>
        <w:t>Unele state membre</w:t>
      </w:r>
      <w:r w:rsidRPr="002A2A04">
        <w:rPr>
          <w:rFonts w:ascii="Times New Roman" w:hAnsi="Times New Roman" w:cs="Times New Roman"/>
          <w:noProof/>
          <w:vertAlign w:val="superscript"/>
        </w:rPr>
        <w:footnoteReference w:id="5"/>
      </w:r>
      <w:r w:rsidRPr="002A2A04">
        <w:rPr>
          <w:rFonts w:ascii="Times New Roman" w:hAnsi="Times New Roman"/>
          <w:noProof/>
          <w:sz w:val="24"/>
        </w:rPr>
        <w:t xml:space="preserve"> au redus sau sunt în curs de a reduce rata de impozitare pentru industriile mari consumatoare de energie. Reducerea impozitării s-a dovedit, de asemenea, eficace în limitarea temporară a facturilor la energie în timpul crizei energetice, în special în situațiile în care prețul cu amănuntul al energiei electrice a fost semnificativ mai ridicat decât cel al gazelor. În temeiul Directivei privind impozitarea energiei și al Directivei TVA în vigoare, statele membre dispun de flexibilitatea necesară pentru a reduce ratele minime ale accizelor și cotele de TVA aplicabile prețurilor energiei electrice. Aceasta ar avea un efect imediat asupra prețurilor energiei electrice și ar contribui, totodată, la accelerarea electrificării utilizărilor finale. </w:t>
      </w:r>
    </w:p>
    <w:p w14:paraId="4C58715B" w14:textId="77777777" w:rsidR="00657E1C" w:rsidRPr="002A2A04" w:rsidRDefault="00657E1C">
      <w:pPr>
        <w:spacing w:after="0" w:line="240" w:lineRule="auto"/>
        <w:jc w:val="both"/>
        <w:rPr>
          <w:rFonts w:ascii="Times New Roman" w:eastAsia="Aptos" w:hAnsi="Times New Roman" w:cs="Times New Roman"/>
          <w:noProof/>
          <w:sz w:val="24"/>
          <w:szCs w:val="24"/>
        </w:rPr>
      </w:pPr>
    </w:p>
    <w:tbl>
      <w:tblPr>
        <w:tblStyle w:val="TableGridLight"/>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2"/>
        <w:gridCol w:w="7898"/>
      </w:tblGrid>
      <w:tr w:rsidR="00657E1C" w:rsidRPr="002A2A04" w14:paraId="2857562B" w14:textId="77777777">
        <w:trPr>
          <w:trHeight w:val="300"/>
        </w:trPr>
        <w:tc>
          <w:tcPr>
            <w:tcW w:w="990" w:type="dxa"/>
            <w:tcMar>
              <w:left w:w="108" w:type="dxa"/>
              <w:right w:w="108" w:type="dxa"/>
            </w:tcMar>
            <w:vAlign w:val="center"/>
          </w:tcPr>
          <w:p w14:paraId="7801809A" w14:textId="77777777" w:rsidR="00657E1C" w:rsidRPr="002A2A04" w:rsidRDefault="00C23B15">
            <w:pPr>
              <w:spacing w:before="60" w:after="60"/>
              <w:rPr>
                <w:rFonts w:ascii="Times New Roman" w:eastAsia="Aptos" w:hAnsi="Times New Roman" w:cs="Times New Roman"/>
                <w:bCs/>
                <w:noProof/>
                <w:sz w:val="24"/>
                <w:szCs w:val="24"/>
              </w:rPr>
            </w:pPr>
            <w:r w:rsidRPr="002A2A04">
              <w:rPr>
                <w:rFonts w:ascii="Times New Roman" w:hAnsi="Times New Roman"/>
                <w:noProof/>
                <w:sz w:val="24"/>
              </w:rPr>
              <w:t xml:space="preserve">Obiectiv </w:t>
            </w:r>
          </w:p>
        </w:tc>
        <w:tc>
          <w:tcPr>
            <w:tcW w:w="8016" w:type="dxa"/>
            <w:tcMar>
              <w:left w:w="108" w:type="dxa"/>
              <w:right w:w="108" w:type="dxa"/>
            </w:tcMar>
          </w:tcPr>
          <w:p w14:paraId="6CAF9E43" w14:textId="77777777" w:rsidR="00657E1C" w:rsidRPr="002A2A04" w:rsidRDefault="00C23B15">
            <w:pPr>
              <w:spacing w:before="60" w:after="60"/>
              <w:rPr>
                <w:rFonts w:ascii="Times New Roman" w:eastAsia="Aptos" w:hAnsi="Times New Roman" w:cs="Times New Roman"/>
                <w:b/>
                <w:bCs/>
                <w:noProof/>
                <w:sz w:val="24"/>
                <w:szCs w:val="24"/>
              </w:rPr>
            </w:pPr>
            <w:r w:rsidRPr="002A2A04">
              <w:rPr>
                <w:rFonts w:ascii="Times New Roman" w:hAnsi="Times New Roman"/>
                <w:b/>
                <w:noProof/>
                <w:sz w:val="24"/>
              </w:rPr>
              <w:t xml:space="preserve">Reducerea facturilor la energie electrică pentru consumatori și sprijinirea electrificării </w:t>
            </w:r>
          </w:p>
        </w:tc>
      </w:tr>
      <w:tr w:rsidR="00657E1C" w:rsidRPr="002A2A04" w14:paraId="1BB828D6" w14:textId="77777777">
        <w:trPr>
          <w:trHeight w:val="300"/>
        </w:trPr>
        <w:tc>
          <w:tcPr>
            <w:tcW w:w="990" w:type="dxa"/>
            <w:tcMar>
              <w:left w:w="108" w:type="dxa"/>
              <w:right w:w="108" w:type="dxa"/>
            </w:tcMar>
            <w:vAlign w:val="center"/>
          </w:tcPr>
          <w:p w14:paraId="399183C4" w14:textId="77777777" w:rsidR="00657E1C" w:rsidRPr="002A2A04" w:rsidRDefault="00C23B15">
            <w:pPr>
              <w:spacing w:before="60" w:after="60"/>
              <w:rPr>
                <w:rFonts w:ascii="Times New Roman" w:eastAsia="Aptos" w:hAnsi="Times New Roman" w:cs="Times New Roman"/>
                <w:bCs/>
                <w:noProof/>
                <w:sz w:val="24"/>
                <w:szCs w:val="24"/>
              </w:rPr>
            </w:pPr>
            <w:r w:rsidRPr="002A2A04">
              <w:rPr>
                <w:rFonts w:ascii="Times New Roman" w:hAnsi="Times New Roman"/>
                <w:noProof/>
                <w:sz w:val="24"/>
              </w:rPr>
              <w:t>Rezultat</w:t>
            </w:r>
          </w:p>
        </w:tc>
        <w:tc>
          <w:tcPr>
            <w:tcW w:w="8016" w:type="dxa"/>
            <w:tcMar>
              <w:left w:w="108" w:type="dxa"/>
              <w:right w:w="108" w:type="dxa"/>
            </w:tcMar>
            <w:vAlign w:val="center"/>
          </w:tcPr>
          <w:p w14:paraId="1E78CF5F" w14:textId="77777777" w:rsidR="00657E1C" w:rsidRPr="002A2A04" w:rsidRDefault="00C23B15">
            <w:pPr>
              <w:spacing w:before="60" w:after="60"/>
              <w:rPr>
                <w:rFonts w:ascii="Times New Roman" w:eastAsia="Aptos" w:hAnsi="Times New Roman" w:cs="Times New Roman"/>
                <w:b/>
                <w:bCs/>
                <w:noProof/>
                <w:sz w:val="24"/>
                <w:szCs w:val="24"/>
              </w:rPr>
            </w:pPr>
            <w:r w:rsidRPr="002A2A04">
              <w:rPr>
                <w:rFonts w:ascii="Times New Roman" w:hAnsi="Times New Roman"/>
                <w:noProof/>
                <w:sz w:val="24"/>
              </w:rPr>
              <w:t xml:space="preserve">Facturile cetățenilor ar putea fi </w:t>
            </w:r>
            <w:r w:rsidRPr="002A2A04">
              <w:rPr>
                <w:rFonts w:ascii="Times New Roman" w:hAnsi="Times New Roman"/>
                <w:b/>
                <w:noProof/>
                <w:sz w:val="24"/>
              </w:rPr>
              <w:t>reduse cu 14 %</w:t>
            </w:r>
            <w:r w:rsidRPr="002A2A04">
              <w:rPr>
                <w:rFonts w:ascii="Times New Roman" w:hAnsi="Times New Roman"/>
                <w:noProof/>
                <w:sz w:val="24"/>
              </w:rPr>
              <w:t xml:space="preserve">, respectiv cu o </w:t>
            </w:r>
            <w:r w:rsidRPr="002A2A04">
              <w:rPr>
                <w:rFonts w:ascii="Times New Roman" w:hAnsi="Times New Roman"/>
                <w:b/>
                <w:noProof/>
                <w:sz w:val="24"/>
              </w:rPr>
              <w:t>medie de 200 EUR pe an</w:t>
            </w:r>
            <w:r w:rsidRPr="002A2A04">
              <w:rPr>
                <w:rFonts w:ascii="Times New Roman" w:hAnsi="Times New Roman"/>
                <w:noProof/>
                <w:sz w:val="24"/>
              </w:rPr>
              <w:t>.</w:t>
            </w:r>
          </w:p>
        </w:tc>
      </w:tr>
      <w:tr w:rsidR="00657E1C" w:rsidRPr="002A2A04" w14:paraId="6FE3025B" w14:textId="77777777">
        <w:trPr>
          <w:trHeight w:val="300"/>
        </w:trPr>
        <w:tc>
          <w:tcPr>
            <w:tcW w:w="990" w:type="dxa"/>
            <w:tcMar>
              <w:left w:w="108" w:type="dxa"/>
              <w:right w:w="108" w:type="dxa"/>
            </w:tcMar>
            <w:vAlign w:val="center"/>
          </w:tcPr>
          <w:p w14:paraId="03034B80" w14:textId="77777777" w:rsidR="00657E1C" w:rsidRPr="002A2A04" w:rsidRDefault="00C23B15">
            <w:pPr>
              <w:spacing w:before="60" w:after="60"/>
              <w:rPr>
                <w:rFonts w:ascii="Times New Roman" w:eastAsia="Aptos" w:hAnsi="Times New Roman" w:cs="Times New Roman"/>
                <w:bCs/>
                <w:noProof/>
                <w:sz w:val="24"/>
                <w:szCs w:val="24"/>
              </w:rPr>
            </w:pPr>
            <w:r w:rsidRPr="002A2A04">
              <w:rPr>
                <w:rFonts w:ascii="Times New Roman" w:hAnsi="Times New Roman"/>
                <w:noProof/>
                <w:sz w:val="24"/>
              </w:rPr>
              <w:t>Realizare</w:t>
            </w:r>
          </w:p>
        </w:tc>
        <w:tc>
          <w:tcPr>
            <w:tcW w:w="8016" w:type="dxa"/>
            <w:tcMar>
              <w:left w:w="108" w:type="dxa"/>
              <w:right w:w="108" w:type="dxa"/>
            </w:tcMar>
          </w:tcPr>
          <w:p w14:paraId="307411FE" w14:textId="77777777" w:rsidR="00657E1C" w:rsidRPr="002A2A04" w:rsidRDefault="00C23B15">
            <w:pPr>
              <w:spacing w:before="60" w:after="60"/>
              <w:rPr>
                <w:rFonts w:ascii="Times New Roman" w:eastAsia="Aptos" w:hAnsi="Times New Roman" w:cs="Times New Roman"/>
                <w:noProof/>
                <w:sz w:val="24"/>
                <w:szCs w:val="24"/>
              </w:rPr>
            </w:pPr>
            <w:r w:rsidRPr="002A2A04">
              <w:rPr>
                <w:rFonts w:ascii="Times New Roman" w:hAnsi="Times New Roman"/>
                <w:noProof/>
                <w:sz w:val="24"/>
              </w:rPr>
              <w:t xml:space="preserve">Statele membre ar urma să contribuie la reducerea facturilor la energie electrică pentru gospodării prin efectuarea de </w:t>
            </w:r>
            <w:r w:rsidRPr="002A2A04">
              <w:rPr>
                <w:rFonts w:ascii="Times New Roman" w:hAnsi="Times New Roman"/>
                <w:b/>
                <w:noProof/>
                <w:sz w:val="24"/>
              </w:rPr>
              <w:t>analize ale regimului de impozitare</w:t>
            </w:r>
            <w:r w:rsidRPr="002A2A04">
              <w:rPr>
                <w:rFonts w:ascii="Times New Roman" w:hAnsi="Times New Roman"/>
                <w:noProof/>
                <w:sz w:val="24"/>
              </w:rPr>
              <w:t xml:space="preserve"> și utilizarea deplină a </w:t>
            </w:r>
            <w:r w:rsidRPr="002A2A04">
              <w:rPr>
                <w:rFonts w:ascii="Times New Roman" w:hAnsi="Times New Roman"/>
                <w:b/>
                <w:bCs/>
                <w:noProof/>
                <w:sz w:val="24"/>
              </w:rPr>
              <w:t>mecanismelor de flexibilitate</w:t>
            </w:r>
            <w:r w:rsidRPr="002A2A04">
              <w:rPr>
                <w:rFonts w:ascii="Times New Roman" w:hAnsi="Times New Roman"/>
                <w:noProof/>
                <w:sz w:val="24"/>
              </w:rPr>
              <w:t xml:space="preserve"> prevăzute în legislația UE, precum și prin luarea în considerare a aplicării unor </w:t>
            </w:r>
            <w:r w:rsidRPr="002A2A04">
              <w:rPr>
                <w:rFonts w:ascii="Times New Roman" w:hAnsi="Times New Roman"/>
                <w:b/>
                <w:noProof/>
                <w:sz w:val="24"/>
              </w:rPr>
              <w:t>reduceri specifice totale sau parțiale ale ratelor</w:t>
            </w:r>
            <w:r w:rsidRPr="002A2A04">
              <w:rPr>
                <w:rFonts w:ascii="Times New Roman" w:hAnsi="Times New Roman"/>
                <w:noProof/>
                <w:sz w:val="24"/>
              </w:rPr>
              <w:t xml:space="preserve"> accizelor la energia electrică, de exemplu, pentru gospodăriile afectate de sărăcia energetică și pentru cele vulnerabile.</w:t>
            </w:r>
            <w:r w:rsidRPr="002A2A04">
              <w:rPr>
                <w:rFonts w:ascii="Times New Roman" w:hAnsi="Times New Roman"/>
                <w:b/>
                <w:i/>
                <w:noProof/>
                <w:sz w:val="24"/>
              </w:rPr>
              <w:t xml:space="preserve"> </w:t>
            </w:r>
          </w:p>
        </w:tc>
      </w:tr>
    </w:tbl>
    <w:p w14:paraId="72DE6008" w14:textId="77777777" w:rsidR="00657E1C" w:rsidRPr="002A2A04" w:rsidRDefault="00657E1C">
      <w:pPr>
        <w:rPr>
          <w:rFonts w:ascii="Times New Roman" w:eastAsia="Times New Roman" w:hAnsi="Times New Roman" w:cs="Times New Roman"/>
          <w:b/>
          <w:bCs/>
          <w:noProof/>
          <w:color w:val="000000" w:themeColor="text1"/>
          <w:sz w:val="24"/>
          <w:szCs w:val="24"/>
          <w:u w:val="single"/>
        </w:rPr>
      </w:pPr>
    </w:p>
    <w:p w14:paraId="5817003A" w14:textId="77777777" w:rsidR="00657E1C" w:rsidRPr="002A2A04" w:rsidRDefault="00C23B15">
      <w:pPr>
        <w:rPr>
          <w:rFonts w:ascii="Times New Roman" w:eastAsia="Times New Roman" w:hAnsi="Times New Roman" w:cs="Times New Roman"/>
          <w:b/>
          <w:bCs/>
          <w:noProof/>
          <w:color w:val="000000" w:themeColor="text1"/>
          <w:sz w:val="24"/>
          <w:szCs w:val="24"/>
          <w:u w:val="single"/>
        </w:rPr>
      </w:pPr>
      <w:r w:rsidRPr="002A2A04">
        <w:rPr>
          <w:rFonts w:ascii="Times New Roman" w:hAnsi="Times New Roman"/>
          <w:b/>
          <w:noProof/>
          <w:color w:val="000000" w:themeColor="text1"/>
          <w:sz w:val="24"/>
          <w:u w:val="single"/>
        </w:rPr>
        <w:t xml:space="preserve">Acțiunea 2: Reducerea costurilor de rețea pentru consumatorii locali </w:t>
      </w:r>
    </w:p>
    <w:p w14:paraId="05708B83" w14:textId="70FA1529" w:rsidR="00657E1C" w:rsidRPr="002A2A04" w:rsidRDefault="00C23B15">
      <w:pPr>
        <w:spacing w:after="120" w:line="240" w:lineRule="auto"/>
        <w:jc w:val="both"/>
        <w:rPr>
          <w:rFonts w:ascii="Times New Roman" w:hAnsi="Times New Roman" w:cs="Times New Roman"/>
          <w:noProof/>
          <w:sz w:val="24"/>
          <w:szCs w:val="24"/>
        </w:rPr>
      </w:pPr>
      <w:r w:rsidRPr="002A2A04">
        <w:rPr>
          <w:rFonts w:ascii="Times New Roman" w:hAnsi="Times New Roman"/>
          <w:noProof/>
          <w:sz w:val="24"/>
        </w:rPr>
        <w:t xml:space="preserve">Consumatorii plătesc </w:t>
      </w:r>
      <w:r w:rsidRPr="002A2A04">
        <w:rPr>
          <w:rFonts w:ascii="Times New Roman" w:hAnsi="Times New Roman"/>
          <w:b/>
          <w:noProof/>
          <w:sz w:val="24"/>
        </w:rPr>
        <w:t>tarife de rețea</w:t>
      </w:r>
      <w:r w:rsidRPr="002A2A04">
        <w:rPr>
          <w:rFonts w:ascii="Times New Roman" w:hAnsi="Times New Roman"/>
          <w:noProof/>
          <w:sz w:val="24"/>
        </w:rPr>
        <w:t xml:space="preserve"> pentru a acoperi costurile transportului energiei către locuințele lor. Acestea reprezintă </w:t>
      </w:r>
      <w:r w:rsidRPr="002A2A04">
        <w:rPr>
          <w:rFonts w:ascii="Times New Roman" w:hAnsi="Times New Roman"/>
          <w:b/>
          <w:noProof/>
          <w:sz w:val="24"/>
        </w:rPr>
        <w:t>între un sfert și o treime din prețurile energiei electrice</w:t>
      </w:r>
      <w:r w:rsidRPr="002A2A04">
        <w:rPr>
          <w:rFonts w:ascii="Times New Roman" w:hAnsi="Times New Roman"/>
          <w:noProof/>
          <w:sz w:val="24"/>
        </w:rPr>
        <w:t xml:space="preserve"> și sunt esențiale pentru asigurarea accesibilității energiei. Legislația UE protejează consumatorii impunând ca operatorii de rețea să transfere către utilizatori numai costuri justificate, transparente, care țin seama de necesitatea securității și flexibilității rețelelor și reflectă costurile reale suportate</w:t>
      </w:r>
      <w:r w:rsidRPr="002A2A04">
        <w:rPr>
          <w:rStyle w:val="FootnoteReference"/>
          <w:rFonts w:ascii="Times New Roman" w:hAnsi="Times New Roman" w:cs="Times New Roman"/>
          <w:noProof/>
          <w:sz w:val="24"/>
          <w:szCs w:val="24"/>
        </w:rPr>
        <w:footnoteReference w:id="6"/>
      </w:r>
      <w:r w:rsidRPr="002A2A04">
        <w:rPr>
          <w:rFonts w:ascii="Times New Roman" w:hAnsi="Times New Roman"/>
          <w:noProof/>
          <w:sz w:val="24"/>
        </w:rPr>
        <w:t>. Tarifele de rețea și costurile asociate acestora sunt supuse aprobării autorităților naționale de reglementare independente.</w:t>
      </w:r>
    </w:p>
    <w:p w14:paraId="49A4DD48" w14:textId="77777777" w:rsidR="00657E1C" w:rsidRPr="002A2A04" w:rsidRDefault="00C23B15">
      <w:pPr>
        <w:spacing w:line="240" w:lineRule="auto"/>
        <w:jc w:val="both"/>
        <w:rPr>
          <w:rFonts w:ascii="Times New Roman" w:eastAsia="Times New Roman" w:hAnsi="Times New Roman" w:cs="Times New Roman"/>
          <w:noProof/>
          <w:sz w:val="24"/>
          <w:szCs w:val="24"/>
        </w:rPr>
      </w:pPr>
      <w:r w:rsidRPr="002A2A04">
        <w:rPr>
          <w:rFonts w:ascii="Times New Roman" w:hAnsi="Times New Roman"/>
          <w:noProof/>
          <w:sz w:val="24"/>
        </w:rPr>
        <w:t>Comunitățile de energie care produc energie pentru consum propriu sau care partajează energie cu vecinii pot contribui la reducerea utilizării rețelelor locale și la evitarea investițiilor în infrastructură suplimentară. Introducerea unor mecanisme de recompensare a flexibilității în cadrul tarifelor de rețea, care să reducă facturile la energie pentru comunitățile de energie și pentru cetățenii implicați în partajarea energiei, ar crea stimulente pentru producția și consumul local de energie și ar aduce beneficii tuturor utilizatorilor rețelei.</w:t>
      </w:r>
    </w:p>
    <w:p w14:paraId="54C9F1F1" w14:textId="77777777" w:rsidR="00657E1C" w:rsidRPr="002A2A04" w:rsidRDefault="00C23B15">
      <w:pPr>
        <w:spacing w:line="240" w:lineRule="auto"/>
        <w:jc w:val="both"/>
        <w:rPr>
          <w:rFonts w:ascii="Times New Roman" w:eastAsia="Times New Roman" w:hAnsi="Times New Roman" w:cs="Times New Roman"/>
          <w:noProof/>
          <w:sz w:val="24"/>
          <w:szCs w:val="24"/>
        </w:rPr>
      </w:pPr>
      <w:r w:rsidRPr="002A2A04">
        <w:rPr>
          <w:rFonts w:ascii="Times New Roman" w:hAnsi="Times New Roman"/>
          <w:noProof/>
          <w:sz w:val="24"/>
        </w:rPr>
        <w:t xml:space="preserve">În 2025, Comisia a publicat </w:t>
      </w:r>
      <w:r w:rsidRPr="002A2A04">
        <w:rPr>
          <w:rFonts w:ascii="Times New Roman" w:hAnsi="Times New Roman"/>
          <w:b/>
          <w:noProof/>
          <w:sz w:val="24"/>
        </w:rPr>
        <w:t>orientări privind tarifele de rețea</w:t>
      </w:r>
      <w:r w:rsidRPr="002A2A04">
        <w:rPr>
          <w:rStyle w:val="FootnoteReference"/>
          <w:rFonts w:ascii="Times New Roman" w:eastAsia="Times New Roman" w:hAnsi="Times New Roman" w:cs="Times New Roman"/>
          <w:noProof/>
          <w:sz w:val="24"/>
          <w:szCs w:val="24"/>
        </w:rPr>
        <w:footnoteReference w:id="7"/>
      </w:r>
      <w:r w:rsidRPr="002A2A04">
        <w:rPr>
          <w:rFonts w:ascii="Times New Roman" w:hAnsi="Times New Roman"/>
          <w:noProof/>
          <w:sz w:val="24"/>
        </w:rPr>
        <w:t xml:space="preserve"> pentru a sprijini autoritățile naționale de reglementare în menținerea la un nivel scăzut a acestor tarife și, implicit, a facturilor consumatorilor. Punerea rapidă în aplicare a acestor orientări va contribui la reducerea tarifelor de rețea pentru toți consumatorii. Comisia încurajează autoritățile de reglementare să adopte o abordare riguroasă în evaluarea costurilor/veniturilor și să țină seama pe deplin de potențialul de flexibilitate și de răspuns al părții de consum, ca alternative la investițiile costisitoare în infrastructură. În continuarea orientărilor privind tarifele de rețea, Comisia va colabora cu autoritățile naționale de reglementare în vederea accelerării tranziției energetice, inclusiv prin recompensarea efectelor pozitive ale comunităților de energie și ale partajării energiei.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853"/>
      </w:tblGrid>
      <w:tr w:rsidR="00657E1C" w:rsidRPr="002A2A04" w14:paraId="631FC1F6" w14:textId="77777777">
        <w:tc>
          <w:tcPr>
            <w:tcW w:w="1163" w:type="dxa"/>
            <w:vAlign w:val="center"/>
          </w:tcPr>
          <w:p w14:paraId="62537BC5" w14:textId="77777777" w:rsidR="00657E1C" w:rsidRPr="002A2A04" w:rsidRDefault="00C23B15">
            <w:pPr>
              <w:jc w:val="both"/>
              <w:rPr>
                <w:rFonts w:ascii="Times New Roman" w:eastAsia="Times New Roman" w:hAnsi="Times New Roman" w:cs="Times New Roman"/>
                <w:noProof/>
                <w:sz w:val="24"/>
                <w:szCs w:val="24"/>
              </w:rPr>
            </w:pPr>
            <w:r w:rsidRPr="002A2A04">
              <w:rPr>
                <w:rFonts w:ascii="Times New Roman" w:hAnsi="Times New Roman"/>
                <w:noProof/>
                <w:sz w:val="24"/>
              </w:rPr>
              <w:t xml:space="preserve">Obiectiv </w:t>
            </w:r>
          </w:p>
        </w:tc>
        <w:tc>
          <w:tcPr>
            <w:tcW w:w="7853" w:type="dxa"/>
          </w:tcPr>
          <w:p w14:paraId="37C030E0" w14:textId="77777777" w:rsidR="00657E1C" w:rsidRPr="002A2A04" w:rsidRDefault="00C23B15">
            <w:pPr>
              <w:jc w:val="both"/>
              <w:rPr>
                <w:rFonts w:ascii="Times New Roman" w:eastAsia="Times New Roman" w:hAnsi="Times New Roman" w:cs="Times New Roman"/>
                <w:noProof/>
                <w:sz w:val="24"/>
                <w:szCs w:val="24"/>
              </w:rPr>
            </w:pPr>
            <w:r w:rsidRPr="002A2A04">
              <w:rPr>
                <w:rFonts w:ascii="Times New Roman" w:hAnsi="Times New Roman"/>
                <w:b/>
                <w:noProof/>
                <w:sz w:val="24"/>
              </w:rPr>
              <w:t>Reducerea tarifelor de rețea pentru consumatori</w:t>
            </w:r>
          </w:p>
        </w:tc>
      </w:tr>
      <w:tr w:rsidR="00657E1C" w:rsidRPr="002A2A04" w14:paraId="13EEE758" w14:textId="77777777">
        <w:tc>
          <w:tcPr>
            <w:tcW w:w="1163" w:type="dxa"/>
            <w:vAlign w:val="center"/>
          </w:tcPr>
          <w:p w14:paraId="5460EA3C" w14:textId="77777777" w:rsidR="00657E1C" w:rsidRPr="002A2A04" w:rsidRDefault="00C23B15">
            <w:pPr>
              <w:jc w:val="both"/>
              <w:rPr>
                <w:rFonts w:ascii="Times New Roman" w:eastAsia="Times New Roman" w:hAnsi="Times New Roman" w:cs="Times New Roman"/>
                <w:noProof/>
                <w:sz w:val="24"/>
                <w:szCs w:val="24"/>
              </w:rPr>
            </w:pPr>
            <w:r w:rsidRPr="002A2A04">
              <w:rPr>
                <w:rFonts w:ascii="Times New Roman" w:hAnsi="Times New Roman"/>
                <w:noProof/>
                <w:sz w:val="24"/>
              </w:rPr>
              <w:t>Rezultat</w:t>
            </w:r>
          </w:p>
        </w:tc>
        <w:tc>
          <w:tcPr>
            <w:tcW w:w="7853" w:type="dxa"/>
          </w:tcPr>
          <w:p w14:paraId="2506E0E8" w14:textId="77777777" w:rsidR="00657E1C" w:rsidRPr="002A2A04" w:rsidRDefault="00C23B15">
            <w:pPr>
              <w:jc w:val="both"/>
              <w:rPr>
                <w:rFonts w:ascii="Times New Roman" w:eastAsia="Times New Roman" w:hAnsi="Times New Roman" w:cs="Times New Roman"/>
                <w:noProof/>
                <w:sz w:val="24"/>
                <w:szCs w:val="24"/>
              </w:rPr>
            </w:pPr>
            <w:r w:rsidRPr="002A2A04">
              <w:rPr>
                <w:rFonts w:ascii="Times New Roman" w:hAnsi="Times New Roman"/>
                <w:noProof/>
                <w:sz w:val="24"/>
              </w:rPr>
              <w:t xml:space="preserve">Consumul flexibil, precum și producția și consumul local flexibil de energie electrică, care contribuie la </w:t>
            </w:r>
            <w:r w:rsidRPr="002A2A04">
              <w:rPr>
                <w:rFonts w:ascii="Times New Roman" w:hAnsi="Times New Roman"/>
                <w:b/>
                <w:noProof/>
                <w:sz w:val="24"/>
              </w:rPr>
              <w:t>reducerea necesarului de investiții în rețea</w:t>
            </w:r>
            <w:r w:rsidRPr="002A2A04">
              <w:rPr>
                <w:rFonts w:ascii="Times New Roman" w:hAnsi="Times New Roman"/>
                <w:noProof/>
                <w:sz w:val="24"/>
              </w:rPr>
              <w:t xml:space="preserve"> și la o</w:t>
            </w:r>
            <w:r w:rsidRPr="002A2A04">
              <w:rPr>
                <w:rFonts w:ascii="Times New Roman" w:hAnsi="Times New Roman"/>
                <w:b/>
                <w:noProof/>
                <w:sz w:val="24"/>
              </w:rPr>
              <w:t xml:space="preserve"> funcționare mai eficientă a acesteia</w:t>
            </w:r>
            <w:r w:rsidRPr="002A2A04">
              <w:rPr>
                <w:rFonts w:ascii="Times New Roman" w:hAnsi="Times New Roman"/>
                <w:noProof/>
                <w:sz w:val="24"/>
              </w:rPr>
              <w:t>.</w:t>
            </w:r>
          </w:p>
        </w:tc>
      </w:tr>
      <w:tr w:rsidR="00657E1C" w:rsidRPr="002A2A04" w14:paraId="6D4E2C90" w14:textId="77777777">
        <w:tc>
          <w:tcPr>
            <w:tcW w:w="1163" w:type="dxa"/>
            <w:vAlign w:val="center"/>
          </w:tcPr>
          <w:p w14:paraId="4F2DE43F" w14:textId="77777777" w:rsidR="00657E1C" w:rsidRPr="002A2A04" w:rsidRDefault="00C23B15">
            <w:pPr>
              <w:jc w:val="both"/>
              <w:rPr>
                <w:rFonts w:ascii="Times New Roman" w:eastAsia="Times New Roman" w:hAnsi="Times New Roman" w:cs="Times New Roman"/>
                <w:noProof/>
                <w:sz w:val="24"/>
                <w:szCs w:val="24"/>
              </w:rPr>
            </w:pPr>
            <w:r w:rsidRPr="002A2A04">
              <w:rPr>
                <w:rFonts w:ascii="Times New Roman" w:hAnsi="Times New Roman"/>
                <w:noProof/>
                <w:sz w:val="24"/>
              </w:rPr>
              <w:t>Realizare</w:t>
            </w:r>
          </w:p>
        </w:tc>
        <w:tc>
          <w:tcPr>
            <w:tcW w:w="7853" w:type="dxa"/>
          </w:tcPr>
          <w:p w14:paraId="2E9A3774" w14:textId="77777777" w:rsidR="00657E1C" w:rsidRPr="002A2A04" w:rsidRDefault="00C23B15">
            <w:pPr>
              <w:widowControl w:val="0"/>
              <w:jc w:val="both"/>
              <w:rPr>
                <w:rFonts w:ascii="Times New Roman" w:eastAsia="Times New Roman" w:hAnsi="Times New Roman" w:cs="Times New Roman"/>
                <w:noProof/>
                <w:sz w:val="24"/>
                <w:szCs w:val="24"/>
              </w:rPr>
            </w:pPr>
            <w:r w:rsidRPr="002A2A04">
              <w:rPr>
                <w:rFonts w:ascii="Times New Roman" w:hAnsi="Times New Roman"/>
                <w:noProof/>
                <w:sz w:val="24"/>
              </w:rPr>
              <w:t xml:space="preserve">Autoritățile naționale de reglementare sunt încurajate să ia în considerare </w:t>
            </w:r>
            <w:r w:rsidRPr="002A2A04">
              <w:rPr>
                <w:rFonts w:ascii="Times New Roman" w:hAnsi="Times New Roman"/>
                <w:b/>
                <w:noProof/>
                <w:sz w:val="24"/>
              </w:rPr>
              <w:t>stimulente specifice</w:t>
            </w:r>
            <w:r w:rsidRPr="002A2A04">
              <w:rPr>
                <w:rFonts w:ascii="Times New Roman" w:hAnsi="Times New Roman"/>
                <w:noProof/>
                <w:sz w:val="24"/>
              </w:rPr>
              <w:t xml:space="preserve"> în cadrul tarifelor de rețea pentru consumul local flexibil, care ar reduce costurile globale ale rețelei, de exemplu în cazul comunităților de energie și al cetățenilor implicați în partajarea energiei și să evalueze </w:t>
            </w:r>
            <w:r w:rsidRPr="002A2A04">
              <w:rPr>
                <w:rFonts w:ascii="Times New Roman" w:hAnsi="Times New Roman"/>
                <w:b/>
                <w:noProof/>
                <w:sz w:val="24"/>
              </w:rPr>
              <w:t>potențialul de flexibilitate</w:t>
            </w:r>
            <w:r w:rsidRPr="002A2A04">
              <w:rPr>
                <w:rFonts w:ascii="Times New Roman" w:hAnsi="Times New Roman"/>
                <w:noProof/>
                <w:sz w:val="24"/>
              </w:rPr>
              <w:t xml:space="preserve">, în special cel provenit din partea comunităților de energie și a partajării energiei, la conceperea tarifelor de rețea. Comisia va coopera îndeaproape cu ACER și cu autoritățile naționale de reglementare în vederea punerii în aplicare rapide a </w:t>
            </w:r>
            <w:r w:rsidRPr="002A2A04">
              <w:rPr>
                <w:rFonts w:ascii="Times New Roman" w:hAnsi="Times New Roman"/>
                <w:b/>
                <w:noProof/>
                <w:sz w:val="24"/>
              </w:rPr>
              <w:t>orientărilor</w:t>
            </w:r>
            <w:r w:rsidRPr="002A2A04">
              <w:rPr>
                <w:rFonts w:ascii="Times New Roman" w:hAnsi="Times New Roman"/>
                <w:noProof/>
                <w:sz w:val="24"/>
              </w:rPr>
              <w:t xml:space="preserve"> Comisiei </w:t>
            </w:r>
            <w:r w:rsidRPr="002A2A04">
              <w:rPr>
                <w:rFonts w:ascii="Times New Roman" w:hAnsi="Times New Roman"/>
                <w:b/>
                <w:noProof/>
                <w:sz w:val="24"/>
              </w:rPr>
              <w:t>privind conceperea tarifelor de rețea</w:t>
            </w:r>
            <w:r w:rsidRPr="002A2A04">
              <w:rPr>
                <w:rFonts w:ascii="Times New Roman" w:hAnsi="Times New Roman"/>
                <w:noProof/>
                <w:sz w:val="24"/>
              </w:rPr>
              <w:t>.</w:t>
            </w:r>
          </w:p>
        </w:tc>
      </w:tr>
    </w:tbl>
    <w:p w14:paraId="6B107ED4" w14:textId="2F9278A7" w:rsidR="00657E1C" w:rsidRPr="002A2A04" w:rsidRDefault="00C23B15">
      <w:pPr>
        <w:rPr>
          <w:rFonts w:ascii="Times New Roman" w:eastAsia="Times New Roman" w:hAnsi="Times New Roman" w:cs="Times New Roman"/>
          <w:b/>
          <w:bCs/>
          <w:noProof/>
          <w:color w:val="000000" w:themeColor="text1"/>
          <w:sz w:val="24"/>
          <w:szCs w:val="24"/>
          <w:u w:val="single"/>
        </w:rPr>
      </w:pPr>
      <w:bookmarkStart w:id="2" w:name="_Hlk219977777"/>
      <w:r w:rsidRPr="002A2A04">
        <w:rPr>
          <w:noProof/>
        </w:rPr>
        <w:br/>
      </w:r>
      <w:r w:rsidRPr="002A2A04">
        <w:rPr>
          <w:rFonts w:ascii="Times New Roman" w:hAnsi="Times New Roman"/>
          <w:b/>
          <w:noProof/>
          <w:color w:val="000000" w:themeColor="text1"/>
          <w:sz w:val="24"/>
          <w:u w:val="single"/>
        </w:rPr>
        <w:t>Acțiunea 3: Stimularea utilizării tehnologiilor curate și eficiente din punct de vedere energetic.</w:t>
      </w:r>
    </w:p>
    <w:bookmarkEnd w:id="2"/>
    <w:p w14:paraId="72DE8838" w14:textId="19D7FAA1" w:rsidR="00657E1C" w:rsidRPr="002A2A04" w:rsidRDefault="00C23B15">
      <w:pPr>
        <w:spacing w:line="240" w:lineRule="auto"/>
        <w:jc w:val="both"/>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 xml:space="preserve">În 2023, cea mai mare parte a energiei consumate de gospodăriile din UE a fost destinată </w:t>
      </w:r>
      <w:r w:rsidRPr="002A2A04">
        <w:rPr>
          <w:rFonts w:ascii="Times New Roman" w:hAnsi="Times New Roman"/>
          <w:b/>
          <w:noProof/>
          <w:color w:val="000000" w:themeColor="text1"/>
          <w:sz w:val="24"/>
        </w:rPr>
        <w:t xml:space="preserve">încălzirii locuințelor </w:t>
      </w:r>
      <w:r w:rsidRPr="002A2A04">
        <w:rPr>
          <w:rFonts w:ascii="Times New Roman" w:hAnsi="Times New Roman"/>
          <w:noProof/>
          <w:color w:val="000000" w:themeColor="text1"/>
          <w:sz w:val="24"/>
        </w:rPr>
        <w:t xml:space="preserve">(62,5 % din consumul final de energie în sectorul rezidențial), urmată de </w:t>
      </w:r>
      <w:r w:rsidRPr="002A2A04">
        <w:rPr>
          <w:rFonts w:ascii="Times New Roman" w:hAnsi="Times New Roman"/>
          <w:b/>
          <w:noProof/>
          <w:color w:val="000000" w:themeColor="text1"/>
          <w:sz w:val="24"/>
        </w:rPr>
        <w:t>încălzirea apei</w:t>
      </w:r>
      <w:r w:rsidRPr="002A2A04">
        <w:rPr>
          <w:rFonts w:ascii="Times New Roman" w:hAnsi="Times New Roman"/>
          <w:noProof/>
          <w:color w:val="000000" w:themeColor="text1"/>
          <w:sz w:val="24"/>
        </w:rPr>
        <w:t xml:space="preserve"> (15,1 %)</w:t>
      </w:r>
      <w:r w:rsidRPr="002A2A04">
        <w:rPr>
          <w:rStyle w:val="FootnoteReference"/>
          <w:rFonts w:ascii="Times New Roman" w:eastAsia="Times New Roman" w:hAnsi="Times New Roman" w:cs="Times New Roman"/>
          <w:noProof/>
          <w:color w:val="000000" w:themeColor="text1"/>
          <w:sz w:val="24"/>
          <w:szCs w:val="24"/>
        </w:rPr>
        <w:footnoteReference w:id="8"/>
      </w:r>
      <w:r w:rsidRPr="002A2A04">
        <w:rPr>
          <w:rFonts w:ascii="Times New Roman" w:hAnsi="Times New Roman"/>
          <w:noProof/>
          <w:color w:val="000000" w:themeColor="text1"/>
          <w:sz w:val="24"/>
        </w:rPr>
        <w:t>.</w:t>
      </w:r>
      <w:r w:rsidR="0049022C" w:rsidRPr="002A2A04">
        <w:rPr>
          <w:rFonts w:ascii="Times New Roman" w:hAnsi="Times New Roman"/>
          <w:noProof/>
          <w:color w:val="000000" w:themeColor="text1"/>
          <w:sz w:val="24"/>
        </w:rPr>
        <w:t xml:space="preserve"> </w:t>
      </w:r>
      <w:r w:rsidRPr="002A2A04">
        <w:rPr>
          <w:rFonts w:ascii="Times New Roman" w:hAnsi="Times New Roman"/>
          <w:b/>
          <w:noProof/>
          <w:color w:val="000000" w:themeColor="text1"/>
          <w:sz w:val="24"/>
        </w:rPr>
        <w:t>Etichetele energetice ale UE</w:t>
      </w:r>
      <w:r w:rsidRPr="002A2A04">
        <w:rPr>
          <w:rFonts w:ascii="Times New Roman" w:hAnsi="Times New Roman"/>
          <w:noProof/>
          <w:color w:val="000000" w:themeColor="text1"/>
          <w:sz w:val="24"/>
        </w:rPr>
        <w:t xml:space="preserve"> indică deja potențialul de economisire și oferă consumatorilor informații utile, de exemplu pentru deciziile de achiziție a aparatelor electrocasnice</w:t>
      </w:r>
      <w:r w:rsidRPr="002A2A04">
        <w:rPr>
          <w:rStyle w:val="FootnoteReference"/>
          <w:rFonts w:ascii="Times New Roman" w:eastAsia="Times New Roman" w:hAnsi="Times New Roman" w:cs="Times New Roman"/>
          <w:noProof/>
          <w:color w:val="000000" w:themeColor="text1"/>
          <w:sz w:val="24"/>
          <w:szCs w:val="24"/>
        </w:rPr>
        <w:footnoteReference w:id="9"/>
      </w:r>
      <w:r w:rsidRPr="002A2A04">
        <w:rPr>
          <w:rFonts w:ascii="Times New Roman" w:hAnsi="Times New Roman"/>
          <w:noProof/>
          <w:color w:val="000000" w:themeColor="text1"/>
          <w:sz w:val="24"/>
        </w:rPr>
        <w:t xml:space="preserve">. </w:t>
      </w:r>
      <w:r w:rsidRPr="002A2A04">
        <w:rPr>
          <w:rFonts w:ascii="Times New Roman" w:hAnsi="Times New Roman"/>
          <w:b/>
          <w:noProof/>
          <w:sz w:val="24"/>
        </w:rPr>
        <w:t>Sistemele de gestionare a energiei la domiciliu</w:t>
      </w:r>
      <w:r w:rsidRPr="002A2A04">
        <w:rPr>
          <w:rFonts w:ascii="Times New Roman" w:hAnsi="Times New Roman"/>
          <w:noProof/>
          <w:sz w:val="24"/>
        </w:rPr>
        <w:t xml:space="preserve"> și </w:t>
      </w:r>
      <w:r w:rsidRPr="002A2A04">
        <w:rPr>
          <w:rFonts w:ascii="Times New Roman" w:hAnsi="Times New Roman"/>
          <w:b/>
          <w:noProof/>
          <w:sz w:val="24"/>
        </w:rPr>
        <w:t>aparatele moderne inteligente din punct de vedere energetic</w:t>
      </w:r>
      <w:r w:rsidRPr="002A2A04">
        <w:rPr>
          <w:rFonts w:ascii="Times New Roman" w:hAnsi="Times New Roman"/>
          <w:noProof/>
          <w:sz w:val="24"/>
        </w:rPr>
        <w:t xml:space="preserve"> au capacitatea de a reduce </w:t>
      </w:r>
      <w:r w:rsidRPr="002A2A04">
        <w:rPr>
          <w:rFonts w:ascii="Times New Roman" w:hAnsi="Times New Roman"/>
          <w:noProof/>
          <w:color w:val="000000" w:themeColor="text1"/>
          <w:sz w:val="24"/>
        </w:rPr>
        <w:t>facturile la energie</w:t>
      </w:r>
      <w:r w:rsidRPr="002A2A04">
        <w:rPr>
          <w:rFonts w:ascii="Times New Roman" w:hAnsi="Times New Roman"/>
          <w:noProof/>
          <w:sz w:val="24"/>
        </w:rPr>
        <w:t>.</w:t>
      </w:r>
      <w:r w:rsidRPr="002A2A04">
        <w:rPr>
          <w:rFonts w:ascii="Times New Roman" w:hAnsi="Times New Roman"/>
          <w:noProof/>
          <w:color w:val="000000" w:themeColor="text1"/>
          <w:sz w:val="24"/>
        </w:rPr>
        <w:t xml:space="preserve"> Tranziția către mobilitatea electrică oferă oportunități suplimentare de reducere a costurilor energiei prin încărcarea inteligentă și bidirecțională a vehiculelor electrice, permițând astfel gospodăriilor să optimizeze utilizarea energiei electrice. Totuși, acestea sunt adesea percepute ca fiind prea costisitoare, în principal din cauza costurilor inițiale ridicate. Pentru a soluționa această problemă, unele state membre au instituit </w:t>
      </w:r>
      <w:r w:rsidRPr="002A2A04">
        <w:rPr>
          <w:rFonts w:ascii="Times New Roman" w:hAnsi="Times New Roman"/>
          <w:b/>
          <w:noProof/>
          <w:color w:val="000000" w:themeColor="text1"/>
          <w:sz w:val="24"/>
        </w:rPr>
        <w:t>modele de finanțare inovatoare</w:t>
      </w:r>
      <w:r w:rsidRPr="002A2A04">
        <w:rPr>
          <w:rFonts w:ascii="Times New Roman" w:hAnsi="Times New Roman"/>
          <w:noProof/>
          <w:color w:val="000000" w:themeColor="text1"/>
          <w:sz w:val="24"/>
        </w:rPr>
        <w:t>, inclusiv leasingul social</w:t>
      </w:r>
      <w:r w:rsidRPr="002A2A04">
        <w:rPr>
          <w:rStyle w:val="FootnoteReference"/>
          <w:rFonts w:ascii="Times New Roman" w:eastAsia="Times New Roman" w:hAnsi="Times New Roman" w:cs="Times New Roman"/>
          <w:noProof/>
          <w:color w:val="000000" w:themeColor="text1"/>
          <w:sz w:val="24"/>
          <w:szCs w:val="24"/>
        </w:rPr>
        <w:footnoteReference w:id="10"/>
      </w:r>
      <w:r w:rsidRPr="002A2A04">
        <w:rPr>
          <w:rFonts w:ascii="Times New Roman" w:hAnsi="Times New Roman"/>
          <w:noProof/>
          <w:color w:val="000000" w:themeColor="text1"/>
          <w:sz w:val="24"/>
        </w:rPr>
        <w:t>. Întreprinderile de pe unele piețe le oferă clienților sisteme de încălzire curate (inclusiv servicii de întreținere), permițându-le consumatorilor să își achite costurile în rate lunare flexibile</w:t>
      </w:r>
      <w:r w:rsidRPr="002A2A04">
        <w:rPr>
          <w:rStyle w:val="FootnoteReference"/>
          <w:rFonts w:ascii="Times New Roman" w:eastAsia="Times New Roman" w:hAnsi="Times New Roman" w:cs="Times New Roman"/>
          <w:noProof/>
          <w:color w:val="000000" w:themeColor="text1"/>
          <w:sz w:val="24"/>
          <w:szCs w:val="24"/>
        </w:rPr>
        <w:footnoteReference w:id="11"/>
      </w:r>
      <w:r w:rsidRPr="002A2A04">
        <w:rPr>
          <w:rFonts w:ascii="Times New Roman" w:hAnsi="Times New Roman"/>
          <w:noProof/>
          <w:color w:val="000000" w:themeColor="text1"/>
          <w:sz w:val="24"/>
        </w:rPr>
        <w:t xml:space="preserve">. Sunt în curs de elaborare scheme de finanțare care depășesc granturile, însă în majoritatea cazurilor, acestea nu au fost încă implementate pe scară largă. </w:t>
      </w:r>
    </w:p>
    <w:p w14:paraId="5E1CBA43" w14:textId="77777777" w:rsidR="00657E1C" w:rsidRPr="002A2A04" w:rsidRDefault="00C23B15">
      <w:pPr>
        <w:spacing w:line="240" w:lineRule="auto"/>
        <w:jc w:val="both"/>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 xml:space="preserve">Comisia îndeamnă statele membre și întreprinderile </w:t>
      </w:r>
      <w:r w:rsidRPr="002A2A04">
        <w:rPr>
          <w:rFonts w:ascii="Times New Roman" w:hAnsi="Times New Roman"/>
          <w:b/>
          <w:noProof/>
          <w:color w:val="000000" w:themeColor="text1"/>
          <w:sz w:val="24"/>
        </w:rPr>
        <w:t xml:space="preserve">să depășească abordarea bazată exclusiv pe granturi </w:t>
      </w:r>
      <w:r w:rsidRPr="002A2A04">
        <w:rPr>
          <w:rFonts w:ascii="Times New Roman" w:hAnsi="Times New Roman"/>
          <w:noProof/>
          <w:color w:val="000000" w:themeColor="text1"/>
          <w:sz w:val="24"/>
        </w:rPr>
        <w:t xml:space="preserve">și să dezvolte </w:t>
      </w:r>
      <w:r w:rsidRPr="002A2A04">
        <w:rPr>
          <w:rFonts w:ascii="Times New Roman" w:hAnsi="Times New Roman"/>
          <w:b/>
          <w:noProof/>
          <w:color w:val="000000" w:themeColor="text1"/>
          <w:sz w:val="24"/>
        </w:rPr>
        <w:t>servicii energetice și soluții de finanțare inovatoare</w:t>
      </w:r>
      <w:r w:rsidRPr="002A2A04">
        <w:rPr>
          <w:rFonts w:ascii="Times New Roman" w:hAnsi="Times New Roman"/>
          <w:noProof/>
          <w:color w:val="000000" w:themeColor="text1"/>
          <w:sz w:val="24"/>
        </w:rPr>
        <w:t xml:space="preserve"> – de exemplu, scheme care combină leasingul social cu mecanisme capabile să acopere costurile de capital inițiale, furnizarea de căldură ca serviciu</w:t>
      </w:r>
      <w:r w:rsidRPr="002A2A04">
        <w:rPr>
          <w:rFonts w:ascii="Times New Roman" w:eastAsia="Times New Roman" w:hAnsi="Times New Roman" w:cs="Times New Roman"/>
          <w:noProof/>
          <w:color w:val="000000" w:themeColor="text1"/>
          <w:sz w:val="24"/>
          <w:szCs w:val="24"/>
          <w:vertAlign w:val="superscript"/>
        </w:rPr>
        <w:footnoteReference w:id="12"/>
      </w:r>
      <w:r w:rsidRPr="002A2A04">
        <w:rPr>
          <w:rFonts w:ascii="Times New Roman" w:hAnsi="Times New Roman"/>
          <w:noProof/>
          <w:color w:val="000000" w:themeColor="text1"/>
          <w:sz w:val="24"/>
        </w:rPr>
        <w:t xml:space="preserve"> sau tarife flexibile pentru pompele de căldură și costurile de întreținere. Acest lucru va oferi cetățenilor UE un acces mai larg la tehnologii curate și eficiente din punctul de vedere al consumului de energie și de apă, care îmbunătățesc calitatea vieții, de exemplu prin reducerea poluării, îmbunătățirea confortului și a sănătății în interior și reducerea facturilor la energie. Schemele concepute în mod corespunzător, </w:t>
      </w:r>
      <w:r w:rsidRPr="002A2A04">
        <w:rPr>
          <w:rFonts w:ascii="Times New Roman" w:hAnsi="Times New Roman"/>
          <w:b/>
          <w:noProof/>
          <w:color w:val="000000" w:themeColor="text1"/>
          <w:sz w:val="24"/>
        </w:rPr>
        <w:t xml:space="preserve">care combină finanțarea publică și privată </w:t>
      </w:r>
      <w:r w:rsidRPr="002A2A04">
        <w:rPr>
          <w:rFonts w:ascii="Times New Roman" w:hAnsi="Times New Roman"/>
          <w:noProof/>
          <w:color w:val="000000" w:themeColor="text1"/>
          <w:sz w:val="24"/>
        </w:rPr>
        <w:t>și care acordă prioritate persoanelor afectate de sărăcia energetică și altor grupuri aflate în situații de vulnerabilitate, vor avea un efect pozitiv asupra gospodăriilor cu venituri mici și medii, ale căror costuri cu energia pot reprezenta o pondere disproporționată din venitul lor total. În mod similar, ar trebui sprijinite investițiile vizând implementarea unor soluții curate sau eficiente din punct de vedere energetic în situații în care nu există acces la rețea. Prin viitoarea strategie de investiții în energia curată</w:t>
      </w:r>
      <w:r w:rsidRPr="002A2A04">
        <w:rPr>
          <w:rStyle w:val="FootnoteReference"/>
          <w:rFonts w:ascii="Times New Roman" w:eastAsia="Times New Roman" w:hAnsi="Times New Roman" w:cs="Times New Roman"/>
          <w:noProof/>
          <w:color w:val="000000" w:themeColor="text1"/>
          <w:sz w:val="24"/>
          <w:szCs w:val="24"/>
        </w:rPr>
        <w:footnoteReference w:id="13"/>
      </w:r>
      <w:r w:rsidRPr="002A2A04">
        <w:rPr>
          <w:rFonts w:ascii="Times New Roman" w:hAnsi="Times New Roman"/>
          <w:noProof/>
          <w:color w:val="000000" w:themeColor="text1"/>
          <w:sz w:val="24"/>
        </w:rPr>
        <w:t xml:space="preserve">, Comisia urmărește să deblocheze investițiile private în eficiența energetică. </w:t>
      </w:r>
    </w:p>
    <w:tbl>
      <w:tblPr>
        <w:tblStyle w:val="TableGridLight"/>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7885"/>
      </w:tblGrid>
      <w:tr w:rsidR="00657E1C" w:rsidRPr="002A2A04" w14:paraId="1D7892C1" w14:textId="77777777">
        <w:trPr>
          <w:trHeight w:val="300"/>
        </w:trPr>
        <w:tc>
          <w:tcPr>
            <w:tcW w:w="1163" w:type="dxa"/>
            <w:vAlign w:val="center"/>
            <w:hideMark/>
          </w:tcPr>
          <w:p w14:paraId="0F22882A" w14:textId="333D8413" w:rsidR="00657E1C" w:rsidRPr="002A2A04" w:rsidRDefault="00C23B15">
            <w:pPr>
              <w:jc w:val="both"/>
              <w:textAlignment w:val="baseline"/>
              <w:rPr>
                <w:rFonts w:ascii="Times New Roman" w:eastAsia="Times New Roman" w:hAnsi="Times New Roman" w:cs="Times New Roman"/>
                <w:noProof/>
                <w:color w:val="000000" w:themeColor="text1"/>
                <w:sz w:val="24"/>
                <w:szCs w:val="24"/>
              </w:rPr>
            </w:pPr>
            <w:bookmarkStart w:id="3" w:name="_Hlk219977816"/>
            <w:r w:rsidRPr="002A2A04">
              <w:rPr>
                <w:rFonts w:ascii="Times New Roman" w:hAnsi="Times New Roman"/>
                <w:noProof/>
                <w:color w:val="000000" w:themeColor="text1"/>
                <w:sz w:val="24"/>
              </w:rPr>
              <w:t>Obiectiv</w:t>
            </w:r>
          </w:p>
        </w:tc>
        <w:tc>
          <w:tcPr>
            <w:tcW w:w="7904" w:type="dxa"/>
            <w:hideMark/>
          </w:tcPr>
          <w:p w14:paraId="3ACE7558" w14:textId="77777777" w:rsidR="00657E1C" w:rsidRPr="002A2A04" w:rsidRDefault="00C23B15">
            <w:pPr>
              <w:jc w:val="both"/>
              <w:textAlignment w:val="baseline"/>
              <w:rPr>
                <w:rFonts w:ascii="Times New Roman" w:eastAsia="Times New Roman" w:hAnsi="Times New Roman" w:cs="Times New Roman"/>
                <w:b/>
                <w:bCs/>
                <w:noProof/>
                <w:color w:val="000000" w:themeColor="text1"/>
                <w:kern w:val="0"/>
                <w:sz w:val="18"/>
                <w:szCs w:val="18"/>
                <w14:ligatures w14:val="none"/>
              </w:rPr>
            </w:pPr>
            <w:r w:rsidRPr="002A2A04">
              <w:rPr>
                <w:rFonts w:ascii="Times New Roman" w:hAnsi="Times New Roman"/>
                <w:b/>
                <w:noProof/>
                <w:color w:val="000000" w:themeColor="text1"/>
                <w:sz w:val="24"/>
              </w:rPr>
              <w:t xml:space="preserve">Sporirea accesului la tehnologii curate și eficiente din punct de vedere energetic prin soluții inovatoare </w:t>
            </w:r>
          </w:p>
        </w:tc>
      </w:tr>
      <w:tr w:rsidR="00657E1C" w:rsidRPr="002A2A04" w14:paraId="102FDF24" w14:textId="77777777">
        <w:trPr>
          <w:trHeight w:val="300"/>
        </w:trPr>
        <w:tc>
          <w:tcPr>
            <w:tcW w:w="1163" w:type="dxa"/>
            <w:vAlign w:val="center"/>
          </w:tcPr>
          <w:p w14:paraId="35A2AB2A" w14:textId="77777777" w:rsidR="00657E1C" w:rsidRPr="002A2A04" w:rsidRDefault="00C23B15">
            <w:pPr>
              <w:jc w:val="both"/>
              <w:textAlignment w:val="baseline"/>
              <w:rPr>
                <w:rFonts w:ascii="Times New Roman" w:eastAsia="Times New Roman" w:hAnsi="Times New Roman" w:cs="Times New Roman"/>
                <w:noProof/>
                <w:color w:val="000000" w:themeColor="text1"/>
                <w:sz w:val="24"/>
                <w:szCs w:val="24"/>
              </w:rPr>
            </w:pPr>
            <w:r w:rsidRPr="002A2A04">
              <w:rPr>
                <w:rFonts w:ascii="Times New Roman" w:hAnsi="Times New Roman"/>
                <w:noProof/>
                <w:sz w:val="24"/>
              </w:rPr>
              <w:t>Rezultat</w:t>
            </w:r>
          </w:p>
        </w:tc>
        <w:tc>
          <w:tcPr>
            <w:tcW w:w="7904" w:type="dxa"/>
          </w:tcPr>
          <w:p w14:paraId="3C8D34D0" w14:textId="77777777" w:rsidR="00657E1C" w:rsidRPr="002A2A04" w:rsidRDefault="00C23B15">
            <w:pPr>
              <w:jc w:val="both"/>
              <w:textAlignment w:val="baseline"/>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Îmbunătățirea performanței energetice a clădirilor, scăderea facturilor la energie.</w:t>
            </w:r>
          </w:p>
        </w:tc>
      </w:tr>
      <w:tr w:rsidR="00657E1C" w:rsidRPr="002A2A04" w14:paraId="058356D6" w14:textId="77777777">
        <w:trPr>
          <w:trHeight w:val="300"/>
        </w:trPr>
        <w:tc>
          <w:tcPr>
            <w:tcW w:w="1163" w:type="dxa"/>
            <w:vAlign w:val="center"/>
            <w:hideMark/>
          </w:tcPr>
          <w:p w14:paraId="179017CF" w14:textId="77777777" w:rsidR="00657E1C" w:rsidRPr="002A2A04" w:rsidRDefault="00C23B15">
            <w:pPr>
              <w:jc w:val="both"/>
              <w:textAlignment w:val="baseline"/>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Realizare </w:t>
            </w:r>
          </w:p>
        </w:tc>
        <w:tc>
          <w:tcPr>
            <w:tcW w:w="7904" w:type="dxa"/>
            <w:hideMark/>
          </w:tcPr>
          <w:p w14:paraId="0DEE2EBA" w14:textId="77777777" w:rsidR="00657E1C" w:rsidRPr="002A2A04" w:rsidRDefault="00C23B15">
            <w:pPr>
              <w:jc w:val="both"/>
              <w:textAlignment w:val="baseline"/>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 xml:space="preserve">Comisia va colabora cu statele membre și cu părțile interesate, în cadrul </w:t>
            </w:r>
            <w:r w:rsidRPr="002A2A04">
              <w:rPr>
                <w:rFonts w:ascii="Times New Roman" w:hAnsi="Times New Roman"/>
                <w:b/>
                <w:noProof/>
                <w:color w:val="000000" w:themeColor="text1"/>
                <w:sz w:val="24"/>
              </w:rPr>
              <w:t>Coaliției europene pentru finanțarea eficienței energetice</w:t>
            </w:r>
            <w:r w:rsidRPr="002A2A04">
              <w:rPr>
                <w:rFonts w:ascii="Times New Roman" w:hAnsi="Times New Roman"/>
                <w:noProof/>
                <w:color w:val="000000" w:themeColor="text1"/>
                <w:sz w:val="24"/>
              </w:rPr>
              <w:t xml:space="preserve">, în vederea elaborării unor modele practice și inovatoare de servicii energetice și soluții de finanțare, inclusiv abordări care depășesc granturile, precum și pentru schimbul de bune practici pentru sprijinirea gospodăriilor vulnerabile, creșterea gradului de utilizare a sistemelor de gestionare a energiei la domiciliu și la nivel de clădiri și a aparatelor inteligente din punct de vedere energetic, precum și îmbunătățirea accesului gospodăriilor la servicii și tehnologii energetice electrificate, flexibile și eficiente (T4 2026). </w:t>
            </w:r>
          </w:p>
        </w:tc>
      </w:tr>
    </w:tbl>
    <w:p w14:paraId="1AA70B3D" w14:textId="77777777" w:rsidR="00657E1C" w:rsidRPr="002A2A04" w:rsidRDefault="00657E1C">
      <w:pPr>
        <w:spacing w:after="0" w:line="240" w:lineRule="auto"/>
        <w:jc w:val="both"/>
        <w:rPr>
          <w:rFonts w:ascii="Times New Roman" w:eastAsia="Times New Roman" w:hAnsi="Times New Roman" w:cs="Times New Roman"/>
          <w:b/>
          <w:bCs/>
          <w:noProof/>
          <w:color w:val="000000" w:themeColor="text1"/>
          <w:sz w:val="24"/>
          <w:szCs w:val="24"/>
          <w:u w:val="single"/>
        </w:rPr>
      </w:pPr>
      <w:bookmarkStart w:id="4" w:name="_Hlk219977829"/>
      <w:bookmarkEnd w:id="3"/>
    </w:p>
    <w:p w14:paraId="1566DF2E" w14:textId="77777777" w:rsidR="00657E1C" w:rsidRPr="002A2A04" w:rsidRDefault="00C23B15">
      <w:pPr>
        <w:keepNext/>
        <w:keepLines/>
        <w:rPr>
          <w:rFonts w:ascii="Times New Roman" w:eastAsia="Times New Roman" w:hAnsi="Times New Roman" w:cs="Times New Roman"/>
          <w:b/>
          <w:bCs/>
          <w:noProof/>
          <w:color w:val="000000" w:themeColor="text1"/>
          <w:sz w:val="24"/>
          <w:szCs w:val="24"/>
          <w:u w:val="single"/>
        </w:rPr>
      </w:pPr>
      <w:r w:rsidRPr="002A2A04">
        <w:rPr>
          <w:rFonts w:ascii="Times New Roman" w:hAnsi="Times New Roman"/>
          <w:b/>
          <w:noProof/>
          <w:color w:val="000000" w:themeColor="text1"/>
          <w:sz w:val="24"/>
          <w:u w:val="single"/>
        </w:rPr>
        <w:t>Acțiunea 4: Consolidarea capacității consumatorilor de a beneficia de cea mai avantajoasă ofertă</w:t>
      </w:r>
      <w:r w:rsidRPr="002A2A04">
        <w:rPr>
          <w:rFonts w:ascii="Times New Roman" w:hAnsi="Times New Roman"/>
          <w:noProof/>
          <w:u w:val="single"/>
        </w:rPr>
        <w:t xml:space="preserve"> </w:t>
      </w:r>
      <w:r w:rsidRPr="002A2A04">
        <w:rPr>
          <w:rFonts w:ascii="Times New Roman" w:hAnsi="Times New Roman"/>
          <w:b/>
          <w:noProof/>
          <w:color w:val="000000" w:themeColor="text1"/>
          <w:sz w:val="24"/>
          <w:u w:val="single"/>
        </w:rPr>
        <w:t>și de a schimba rapid furnizorul</w:t>
      </w:r>
      <w:bookmarkEnd w:id="4"/>
    </w:p>
    <w:p w14:paraId="268CAE25" w14:textId="0B6C4082" w:rsidR="00657E1C" w:rsidRPr="002A2A04" w:rsidRDefault="00C23B15">
      <w:pPr>
        <w:keepNext/>
        <w:keepLines/>
        <w:spacing w:after="0" w:line="240" w:lineRule="auto"/>
        <w:jc w:val="both"/>
        <w:rPr>
          <w:rFonts w:ascii="Times New Roman" w:eastAsia="Times New Roman" w:hAnsi="Times New Roman" w:cs="Times New Roman"/>
          <w:b/>
          <w:bCs/>
          <w:noProof/>
          <w:color w:val="000000" w:themeColor="text1"/>
          <w:sz w:val="24"/>
          <w:szCs w:val="24"/>
          <w:u w:val="single"/>
        </w:rPr>
      </w:pPr>
      <w:r w:rsidRPr="002A2A04">
        <w:rPr>
          <w:rFonts w:ascii="Times New Roman" w:hAnsi="Times New Roman"/>
          <w:noProof/>
          <w:sz w:val="24"/>
        </w:rPr>
        <w:t xml:space="preserve">Legislația UE le conferă cetățenilor </w:t>
      </w:r>
      <w:r w:rsidRPr="002A2A04">
        <w:rPr>
          <w:rFonts w:ascii="Times New Roman" w:hAnsi="Times New Roman"/>
          <w:b/>
          <w:noProof/>
          <w:sz w:val="24"/>
        </w:rPr>
        <w:t>dreptul de a schimba furnizorul</w:t>
      </w:r>
      <w:r w:rsidRPr="002A2A04">
        <w:rPr>
          <w:rFonts w:ascii="Times New Roman" w:hAnsi="Times New Roman"/>
          <w:noProof/>
          <w:sz w:val="24"/>
        </w:rPr>
        <w:t xml:space="preserve"> și de a opta pentru furnizori alternativi de energie</w:t>
      </w:r>
      <w:r w:rsidRPr="002A2A04">
        <w:rPr>
          <w:rStyle w:val="FootnoteReference"/>
          <w:rFonts w:ascii="Times New Roman" w:hAnsi="Times New Roman" w:cs="Times New Roman"/>
          <w:noProof/>
          <w:sz w:val="24"/>
          <w:szCs w:val="24"/>
        </w:rPr>
        <w:footnoteReference w:id="14"/>
      </w:r>
      <w:r w:rsidRPr="002A2A04">
        <w:rPr>
          <w:rFonts w:ascii="Times New Roman" w:hAnsi="Times New Roman"/>
          <w:noProof/>
          <w:sz w:val="24"/>
        </w:rPr>
        <w:t>; cu toate acestea, se estimează că cetățenii pierd,</w:t>
      </w:r>
      <w:r w:rsidRPr="002A2A04">
        <w:rPr>
          <w:rFonts w:ascii="Times New Roman" w:hAnsi="Times New Roman"/>
          <w:noProof/>
        </w:rPr>
        <w:t xml:space="preserve"> </w:t>
      </w:r>
      <w:r w:rsidRPr="002A2A04">
        <w:rPr>
          <w:rFonts w:ascii="Times New Roman" w:hAnsi="Times New Roman"/>
          <w:noProof/>
          <w:sz w:val="24"/>
        </w:rPr>
        <w:t xml:space="preserve">în medie, </w:t>
      </w:r>
      <w:r w:rsidRPr="002A2A04">
        <w:rPr>
          <w:rFonts w:ascii="Times New Roman" w:hAnsi="Times New Roman"/>
          <w:b/>
          <w:noProof/>
          <w:sz w:val="24"/>
        </w:rPr>
        <w:t>152</w:t>
      </w:r>
      <w:r w:rsidR="0049022C" w:rsidRPr="002A2A04">
        <w:rPr>
          <w:rFonts w:ascii="Times New Roman" w:hAnsi="Times New Roman"/>
          <w:b/>
          <w:noProof/>
          <w:sz w:val="24"/>
        </w:rPr>
        <w:t> </w:t>
      </w:r>
      <w:r w:rsidRPr="002A2A04">
        <w:rPr>
          <w:rFonts w:ascii="Times New Roman" w:hAnsi="Times New Roman"/>
          <w:b/>
          <w:noProof/>
          <w:sz w:val="24"/>
        </w:rPr>
        <w:t xml:space="preserve">EUR pe an, </w:t>
      </w:r>
      <w:r w:rsidRPr="002A2A04">
        <w:rPr>
          <w:rFonts w:ascii="Times New Roman" w:hAnsi="Times New Roman"/>
          <w:noProof/>
          <w:sz w:val="24"/>
        </w:rPr>
        <w:t>prin neexercitarea acestui drept</w:t>
      </w:r>
      <w:r w:rsidRPr="002A2A04">
        <w:rPr>
          <w:rStyle w:val="FootnoteReference"/>
          <w:rFonts w:ascii="Times New Roman" w:hAnsi="Times New Roman" w:cs="Times New Roman"/>
          <w:noProof/>
          <w:sz w:val="24"/>
          <w:szCs w:val="24"/>
        </w:rPr>
        <w:footnoteReference w:id="15"/>
      </w:r>
      <w:r w:rsidRPr="002A2A04">
        <w:rPr>
          <w:rFonts w:ascii="Times New Roman" w:hAnsi="Times New Roman"/>
          <w:noProof/>
          <w:sz w:val="24"/>
        </w:rPr>
        <w:t xml:space="preserve">. Unul dintre motive este lipsa de transparență; nu toate instrumentele de comparare existente sunt suficiente în acest sens, iar, deși platformele intermediare pot facilita schimbarea furnizorului, modelele lor de afaceri nu sunt întotdeauna clare, ceea ce poate compromite transparența și responsabilitatea. </w:t>
      </w:r>
    </w:p>
    <w:p w14:paraId="7E019163" w14:textId="77777777" w:rsidR="00657E1C" w:rsidRPr="002A2A04" w:rsidRDefault="00C23B15">
      <w:pPr>
        <w:spacing w:before="120" w:after="0" w:line="240" w:lineRule="auto"/>
        <w:jc w:val="both"/>
        <w:rPr>
          <w:rFonts w:ascii="Times New Roman" w:eastAsia="Times New Roman" w:hAnsi="Times New Roman" w:cs="Times New Roman"/>
          <w:noProof/>
          <w:color w:val="000000" w:themeColor="text1"/>
          <w:sz w:val="24"/>
          <w:szCs w:val="24"/>
        </w:rPr>
      </w:pPr>
      <w:r w:rsidRPr="002A2A04">
        <w:rPr>
          <w:rFonts w:ascii="Times New Roman" w:hAnsi="Times New Roman"/>
          <w:noProof/>
          <w:sz w:val="24"/>
        </w:rPr>
        <w:t>Comisia invită statele membre să se asigure că furnizorii de energie oferă clienților „</w:t>
      </w:r>
      <w:r w:rsidRPr="002A2A04">
        <w:rPr>
          <w:rFonts w:ascii="Times New Roman" w:hAnsi="Times New Roman"/>
          <w:b/>
          <w:noProof/>
          <w:sz w:val="24"/>
        </w:rPr>
        <w:t>consiliere privind cele mai avantajoase tarif</w:t>
      </w:r>
      <w:r w:rsidRPr="002A2A04">
        <w:rPr>
          <w:rFonts w:ascii="Times New Roman" w:hAnsi="Times New Roman"/>
          <w:noProof/>
          <w:sz w:val="24"/>
        </w:rPr>
        <w:t>e”, pe baza consumului lor specific de energie, cel puțin o dată pe an, și</w:t>
      </w:r>
      <w:r w:rsidRPr="002A2A04">
        <w:rPr>
          <w:rFonts w:ascii="Times New Roman" w:hAnsi="Times New Roman"/>
          <w:noProof/>
          <w:color w:val="000000" w:themeColor="text1"/>
          <w:sz w:val="24"/>
        </w:rPr>
        <w:t xml:space="preserve"> să instituie un „</w:t>
      </w:r>
      <w:r w:rsidRPr="002A2A04">
        <w:rPr>
          <w:rFonts w:ascii="Times New Roman" w:hAnsi="Times New Roman"/>
          <w:b/>
          <w:noProof/>
          <w:color w:val="000000" w:themeColor="text1"/>
          <w:sz w:val="24"/>
        </w:rPr>
        <w:t>sistem de alertă timpurie</w:t>
      </w:r>
      <w:r w:rsidRPr="002A2A04">
        <w:rPr>
          <w:rFonts w:ascii="Times New Roman" w:hAnsi="Times New Roman"/>
          <w:noProof/>
          <w:color w:val="000000" w:themeColor="text1"/>
          <w:sz w:val="24"/>
        </w:rPr>
        <w:t xml:space="preserve">” </w:t>
      </w:r>
      <w:r w:rsidRPr="002A2A04">
        <w:rPr>
          <w:rFonts w:ascii="Times New Roman" w:hAnsi="Times New Roman"/>
          <w:noProof/>
          <w:sz w:val="24"/>
        </w:rPr>
        <w:t>în cazul în care există riscul ca nivelul consumului de energie al unui client să depășească semnificativ</w:t>
      </w:r>
      <w:r w:rsidRPr="002A2A04">
        <w:rPr>
          <w:rFonts w:ascii="Times New Roman" w:hAnsi="Times New Roman"/>
          <w:noProof/>
        </w:rPr>
        <w:t xml:space="preserve"> </w:t>
      </w:r>
      <w:r w:rsidRPr="002A2A04">
        <w:rPr>
          <w:rFonts w:ascii="Times New Roman" w:hAnsi="Times New Roman"/>
          <w:noProof/>
          <w:sz w:val="24"/>
        </w:rPr>
        <w:t>nivelul estimat la momentul încheierii contractului, precum și ori de câte ori devine disponibilă o ofertă mai ieftină</w:t>
      </w:r>
      <w:r w:rsidRPr="002A2A04">
        <w:rPr>
          <w:rStyle w:val="FootnoteReference"/>
          <w:rFonts w:ascii="Times New Roman" w:eastAsia="Times New Roman, Aptos" w:hAnsi="Times New Roman" w:cs="Times New Roman"/>
          <w:noProof/>
          <w:sz w:val="24"/>
          <w:szCs w:val="24"/>
        </w:rPr>
        <w:footnoteReference w:id="16"/>
      </w:r>
      <w:r w:rsidRPr="002A2A04">
        <w:rPr>
          <w:rFonts w:ascii="Times New Roman" w:hAnsi="Times New Roman"/>
          <w:noProof/>
          <w:color w:val="000000" w:themeColor="text1"/>
          <w:sz w:val="24"/>
        </w:rPr>
        <w:t xml:space="preserve">. </w:t>
      </w:r>
      <w:r w:rsidRPr="002A2A04">
        <w:rPr>
          <w:rFonts w:ascii="Times New Roman" w:hAnsi="Times New Roman"/>
          <w:noProof/>
          <w:sz w:val="24"/>
        </w:rPr>
        <w:t>Astfel de servicii,</w:t>
      </w:r>
      <w:r w:rsidRPr="002A2A04">
        <w:rPr>
          <w:rFonts w:ascii="Times New Roman" w:hAnsi="Times New Roman"/>
          <w:noProof/>
          <w:color w:val="000000" w:themeColor="text1"/>
          <w:sz w:val="24"/>
        </w:rPr>
        <w:t xml:space="preserve"> similare celor furnizate în alte sectoare</w:t>
      </w:r>
      <w:r w:rsidRPr="002A2A04">
        <w:rPr>
          <w:rStyle w:val="FootnoteReference"/>
          <w:rFonts w:ascii="Times New Roman" w:eastAsia="Times New Roman" w:hAnsi="Times New Roman" w:cs="Times New Roman"/>
          <w:noProof/>
          <w:color w:val="000000" w:themeColor="text1"/>
          <w:sz w:val="24"/>
          <w:szCs w:val="24"/>
        </w:rPr>
        <w:footnoteReference w:id="17"/>
      </w:r>
      <w:r w:rsidRPr="002A2A04">
        <w:rPr>
          <w:rFonts w:ascii="Times New Roman" w:hAnsi="Times New Roman"/>
          <w:noProof/>
          <w:color w:val="000000" w:themeColor="text1"/>
          <w:sz w:val="24"/>
        </w:rPr>
        <w:t>, ar permite consumatorilor să reacționeze prompt și să își modifice contractul (de exemplu, de la tarif flexibil la tarif fix), cu un impact pozitiv asupra facturilor lor.</w:t>
      </w:r>
    </w:p>
    <w:p w14:paraId="1D337BE7" w14:textId="77777777" w:rsidR="00657E1C" w:rsidRPr="002A2A04" w:rsidRDefault="00C23B15">
      <w:pPr>
        <w:spacing w:before="120" w:after="0" w:line="240" w:lineRule="auto"/>
        <w:jc w:val="both"/>
        <w:rPr>
          <w:rFonts w:ascii="Times New Roman" w:eastAsia="Times New Roman" w:hAnsi="Times New Roman" w:cs="Times New Roman"/>
          <w:noProof/>
          <w:sz w:val="24"/>
          <w:szCs w:val="24"/>
        </w:rPr>
      </w:pPr>
      <w:r w:rsidRPr="002A2A04">
        <w:rPr>
          <w:rFonts w:ascii="Times New Roman" w:hAnsi="Times New Roman"/>
          <w:noProof/>
          <w:sz w:val="24"/>
        </w:rPr>
        <w:t xml:space="preserve">Cetățenii ar trebui să aibă acces la </w:t>
      </w:r>
      <w:r w:rsidRPr="002A2A04">
        <w:rPr>
          <w:rFonts w:ascii="Times New Roman" w:hAnsi="Times New Roman"/>
          <w:b/>
          <w:noProof/>
          <w:sz w:val="24"/>
        </w:rPr>
        <w:t xml:space="preserve">informații clare </w:t>
      </w:r>
      <w:r w:rsidRPr="002A2A04">
        <w:rPr>
          <w:rFonts w:ascii="Times New Roman" w:hAnsi="Times New Roman"/>
          <w:noProof/>
          <w:sz w:val="24"/>
        </w:rPr>
        <w:t xml:space="preserve">cu privire la contractele lor; un rezumat concis ar trebui furnizat în timp util înainte de încheierea sau prelungirea unui contract. Pentru a garanta exercitarea efectivă a drepturilor de către consumatorii vulnerabili, inclusiv de către cei care nu dispun de instrumente sau competențe digitale, furnizorii ar trebui să pună acest rezumat la dispoziție gratuit, în formate accesibile și prin mai multe canale. Comisia va oferi orientări privind clauzele și condițiile contractuale esențiale și va încuraja furnizorii să pună la dispoziție un </w:t>
      </w:r>
      <w:r w:rsidRPr="002A2A04">
        <w:rPr>
          <w:rFonts w:ascii="Times New Roman" w:hAnsi="Times New Roman"/>
          <w:b/>
          <w:noProof/>
          <w:sz w:val="24"/>
        </w:rPr>
        <w:t>rezumat standardizat</w:t>
      </w:r>
      <w:r w:rsidRPr="002A2A04">
        <w:rPr>
          <w:rFonts w:ascii="Times New Roman" w:hAnsi="Times New Roman"/>
          <w:noProof/>
          <w:sz w:val="24"/>
        </w:rPr>
        <w:t xml:space="preserve">. </w:t>
      </w:r>
    </w:p>
    <w:p w14:paraId="5B2506FC" w14:textId="77777777" w:rsidR="00657E1C" w:rsidRPr="002A2A04" w:rsidRDefault="00C23B15">
      <w:pPr>
        <w:spacing w:before="120" w:after="0" w:line="240" w:lineRule="auto"/>
        <w:jc w:val="both"/>
        <w:rPr>
          <w:rFonts w:ascii="Times New Roman" w:eastAsia="Times New Roman" w:hAnsi="Times New Roman" w:cs="Times New Roman"/>
          <w:noProof/>
          <w:sz w:val="24"/>
          <w:szCs w:val="24"/>
        </w:rPr>
      </w:pPr>
      <w:r w:rsidRPr="002A2A04">
        <w:rPr>
          <w:rFonts w:ascii="Times New Roman" w:hAnsi="Times New Roman"/>
          <w:noProof/>
          <w:sz w:val="24"/>
        </w:rPr>
        <w:t xml:space="preserve">Există, de asemenea, </w:t>
      </w:r>
      <w:r w:rsidRPr="002A2A04">
        <w:rPr>
          <w:rFonts w:ascii="Times New Roman" w:hAnsi="Times New Roman"/>
          <w:b/>
          <w:noProof/>
          <w:sz w:val="24"/>
        </w:rPr>
        <w:t xml:space="preserve">obstacole tehnice </w:t>
      </w:r>
      <w:r w:rsidRPr="002A2A04">
        <w:rPr>
          <w:rFonts w:ascii="Times New Roman" w:hAnsi="Times New Roman"/>
          <w:noProof/>
          <w:sz w:val="24"/>
        </w:rPr>
        <w:t>inutile în calea schimbării furnizorilor. Pentru a le elimina, Comisia va stabili norme tehnice aplicabile furnizorilor, cu scopul de a garanta finalizarea în 24 de ore a operațiunilor de schimbare a furnizorului la nivel administrativ (</w:t>
      </w:r>
      <w:r w:rsidRPr="002A2A04">
        <w:rPr>
          <w:rFonts w:ascii="Times New Roman" w:hAnsi="Times New Roman"/>
          <w:i/>
          <w:noProof/>
          <w:sz w:val="24"/>
        </w:rPr>
        <w:t>back-office</w:t>
      </w:r>
      <w:r w:rsidRPr="002A2A04">
        <w:rPr>
          <w:rFonts w:ascii="Times New Roman" w:hAnsi="Times New Roman"/>
          <w:noProof/>
          <w:sz w:val="24"/>
        </w:rPr>
        <w:t xml:space="preserve">) în întreaga UE. În plus, </w:t>
      </w:r>
      <w:r w:rsidRPr="002A2A04">
        <w:rPr>
          <w:rFonts w:ascii="Times New Roman" w:hAnsi="Times New Roman"/>
          <w:b/>
          <w:noProof/>
          <w:sz w:val="24"/>
        </w:rPr>
        <w:t>implementarea generalizată a contoarelor inteligente</w:t>
      </w:r>
      <w:r w:rsidRPr="002A2A04">
        <w:rPr>
          <w:rFonts w:ascii="Times New Roman" w:hAnsi="Times New Roman"/>
          <w:noProof/>
          <w:sz w:val="24"/>
        </w:rPr>
        <w:t xml:space="preserve"> de către statele membre este esențială – pentru a-și exercita drepturile sau pentru a beneficia de servicii de flexibilitate (a se vedea acțiunea 6), cetățenii trebuie să aibă o imagine clară a energiei consumate. </w:t>
      </w:r>
    </w:p>
    <w:p w14:paraId="3689E8FC" w14:textId="77777777" w:rsidR="00657E1C" w:rsidRPr="002A2A04" w:rsidRDefault="00657E1C">
      <w:pPr>
        <w:spacing w:after="0" w:line="240" w:lineRule="auto"/>
        <w:jc w:val="both"/>
        <w:rPr>
          <w:rFonts w:ascii="Times New Roman" w:eastAsia="Times New Roman" w:hAnsi="Times New Roman" w:cs="Times New Roman"/>
          <w:noProof/>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853"/>
      </w:tblGrid>
      <w:tr w:rsidR="00657E1C" w:rsidRPr="002A2A04" w14:paraId="6B1C4CA0" w14:textId="77777777">
        <w:tc>
          <w:tcPr>
            <w:tcW w:w="1163" w:type="dxa"/>
            <w:vAlign w:val="center"/>
            <w:hideMark/>
          </w:tcPr>
          <w:p w14:paraId="63BBD38D" w14:textId="77777777" w:rsidR="00657E1C" w:rsidRPr="002A2A04" w:rsidRDefault="00C23B15">
            <w:pPr>
              <w:widowControl w:val="0"/>
              <w:rPr>
                <w:rFonts w:ascii="Times New Roman" w:hAnsi="Times New Roman" w:cs="Times New Roman"/>
                <w:noProof/>
                <w:sz w:val="24"/>
                <w:szCs w:val="24"/>
              </w:rPr>
            </w:pPr>
            <w:bookmarkStart w:id="5" w:name="_Hlk219977843"/>
            <w:r w:rsidRPr="002A2A04">
              <w:rPr>
                <w:rFonts w:ascii="Times New Roman" w:hAnsi="Times New Roman"/>
                <w:noProof/>
                <w:sz w:val="24"/>
              </w:rPr>
              <w:t>Obiectiv</w:t>
            </w:r>
          </w:p>
        </w:tc>
        <w:tc>
          <w:tcPr>
            <w:tcW w:w="7853" w:type="dxa"/>
            <w:vAlign w:val="center"/>
            <w:hideMark/>
          </w:tcPr>
          <w:p w14:paraId="37AFB76B" w14:textId="5A00A8D7" w:rsidR="00657E1C" w:rsidRPr="002A2A04" w:rsidRDefault="00C23B15">
            <w:pPr>
              <w:widowControl w:val="0"/>
              <w:jc w:val="both"/>
              <w:rPr>
                <w:rFonts w:ascii="Times New Roman" w:hAnsi="Times New Roman" w:cs="Times New Roman"/>
                <w:b/>
                <w:noProof/>
                <w:sz w:val="24"/>
                <w:szCs w:val="24"/>
              </w:rPr>
            </w:pPr>
            <w:r w:rsidRPr="002A2A04">
              <w:rPr>
                <w:rFonts w:ascii="Times New Roman" w:hAnsi="Times New Roman"/>
                <w:b/>
                <w:noProof/>
                <w:sz w:val="24"/>
              </w:rPr>
              <w:t>Îmbunătățirea transparenței și comparabilității ofertelor de furnizare a energiei; asigurarea posibilității de schimbare tehnică a furnizorilor în termen de 24 de ore.</w:t>
            </w:r>
          </w:p>
        </w:tc>
      </w:tr>
      <w:tr w:rsidR="00657E1C" w:rsidRPr="002A2A04" w14:paraId="6C0191AA" w14:textId="77777777">
        <w:tc>
          <w:tcPr>
            <w:tcW w:w="1163" w:type="dxa"/>
          </w:tcPr>
          <w:p w14:paraId="37B47E47" w14:textId="77777777" w:rsidR="00657E1C" w:rsidRPr="002A2A04" w:rsidRDefault="00C23B15">
            <w:pPr>
              <w:widowControl w:val="0"/>
              <w:rPr>
                <w:rFonts w:ascii="Times New Roman" w:hAnsi="Times New Roman" w:cs="Times New Roman"/>
                <w:noProof/>
                <w:sz w:val="24"/>
                <w:szCs w:val="24"/>
              </w:rPr>
            </w:pPr>
            <w:r w:rsidRPr="002A2A04">
              <w:rPr>
                <w:rFonts w:ascii="Times New Roman" w:hAnsi="Times New Roman"/>
                <w:noProof/>
                <w:sz w:val="24"/>
              </w:rPr>
              <w:t>Rezultat</w:t>
            </w:r>
          </w:p>
        </w:tc>
        <w:tc>
          <w:tcPr>
            <w:tcW w:w="7853" w:type="dxa"/>
            <w:vAlign w:val="center"/>
          </w:tcPr>
          <w:p w14:paraId="225D2FDA" w14:textId="77777777" w:rsidR="00657E1C" w:rsidRPr="002A2A04" w:rsidRDefault="00C23B15">
            <w:pPr>
              <w:jc w:val="both"/>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 xml:space="preserve">Prin schimbarea furnizorului, economii estimate de până la </w:t>
            </w:r>
            <w:r w:rsidRPr="002A2A04">
              <w:rPr>
                <w:rFonts w:ascii="Times New Roman" w:hAnsi="Times New Roman"/>
                <w:b/>
                <w:noProof/>
                <w:color w:val="000000" w:themeColor="text1"/>
                <w:sz w:val="24"/>
              </w:rPr>
              <w:t>152 EUR pe an</w:t>
            </w:r>
            <w:r w:rsidRPr="002A2A04">
              <w:rPr>
                <w:rFonts w:ascii="Times New Roman" w:hAnsi="Times New Roman"/>
                <w:noProof/>
                <w:color w:val="000000" w:themeColor="text1"/>
                <w:sz w:val="24"/>
              </w:rPr>
              <w:t>.</w:t>
            </w:r>
          </w:p>
        </w:tc>
      </w:tr>
      <w:tr w:rsidR="00657E1C" w:rsidRPr="002A2A04" w14:paraId="54137A69" w14:textId="77777777">
        <w:tc>
          <w:tcPr>
            <w:tcW w:w="1163" w:type="dxa"/>
            <w:vAlign w:val="center"/>
          </w:tcPr>
          <w:p w14:paraId="133E0DF0" w14:textId="77777777" w:rsidR="00657E1C" w:rsidRPr="002A2A04" w:rsidRDefault="00C23B15">
            <w:pPr>
              <w:widowControl w:val="0"/>
              <w:rPr>
                <w:rFonts w:ascii="Times New Roman" w:hAnsi="Times New Roman" w:cs="Times New Roman"/>
                <w:noProof/>
                <w:sz w:val="24"/>
                <w:szCs w:val="24"/>
              </w:rPr>
            </w:pPr>
            <w:r w:rsidRPr="002A2A04">
              <w:rPr>
                <w:rFonts w:ascii="Times New Roman" w:hAnsi="Times New Roman"/>
                <w:noProof/>
                <w:sz w:val="24"/>
              </w:rPr>
              <w:t>Realizare</w:t>
            </w:r>
          </w:p>
        </w:tc>
        <w:tc>
          <w:tcPr>
            <w:tcW w:w="7853" w:type="dxa"/>
          </w:tcPr>
          <w:p w14:paraId="4EA9684F" w14:textId="77777777" w:rsidR="00657E1C" w:rsidRPr="002A2A04" w:rsidRDefault="00C23B15">
            <w:pPr>
              <w:jc w:val="both"/>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 xml:space="preserve">Comisia va adopta </w:t>
            </w:r>
            <w:r w:rsidRPr="002A2A04">
              <w:rPr>
                <w:rFonts w:ascii="Times New Roman" w:hAnsi="Times New Roman"/>
                <w:b/>
                <w:noProof/>
                <w:color w:val="000000" w:themeColor="text1"/>
                <w:sz w:val="24"/>
              </w:rPr>
              <w:t>norme tehnice privind schimbarea furnizorului</w:t>
            </w:r>
            <w:r w:rsidRPr="002A2A04">
              <w:rPr>
                <w:rFonts w:ascii="Times New Roman" w:hAnsi="Times New Roman"/>
                <w:noProof/>
                <w:color w:val="000000" w:themeColor="text1"/>
                <w:sz w:val="24"/>
              </w:rPr>
              <w:t xml:space="preserve"> (T1 2026), va adopta o </w:t>
            </w:r>
            <w:r w:rsidRPr="002A2A04">
              <w:rPr>
                <w:rFonts w:ascii="Times New Roman" w:hAnsi="Times New Roman"/>
                <w:b/>
                <w:noProof/>
                <w:color w:val="000000" w:themeColor="text1"/>
                <w:sz w:val="24"/>
              </w:rPr>
              <w:t>recomandare privind rezumatul clauzelor și condițiilor esențiale</w:t>
            </w:r>
            <w:r w:rsidRPr="002A2A04">
              <w:rPr>
                <w:rFonts w:ascii="Times New Roman" w:hAnsi="Times New Roman"/>
                <w:noProof/>
                <w:color w:val="000000" w:themeColor="text1"/>
                <w:sz w:val="24"/>
              </w:rPr>
              <w:t xml:space="preserve"> ale contractelor de furnizare a energiei (T1 2026) și va lua în considerare adoptarea unei </w:t>
            </w:r>
            <w:r w:rsidRPr="002A2A04">
              <w:rPr>
                <w:rFonts w:ascii="Times New Roman" w:hAnsi="Times New Roman"/>
                <w:b/>
                <w:noProof/>
                <w:color w:val="000000" w:themeColor="text1"/>
                <w:sz w:val="24"/>
              </w:rPr>
              <w:t>recomandări privind modele standardizate</w:t>
            </w:r>
            <w:r w:rsidRPr="002A2A04">
              <w:rPr>
                <w:rFonts w:ascii="Times New Roman" w:hAnsi="Times New Roman"/>
                <w:noProof/>
                <w:color w:val="000000" w:themeColor="text1"/>
                <w:sz w:val="24"/>
              </w:rPr>
              <w:t xml:space="preserve"> pentru facturile la energie (2027).</w:t>
            </w:r>
          </w:p>
        </w:tc>
      </w:tr>
      <w:bookmarkEnd w:id="5"/>
    </w:tbl>
    <w:p w14:paraId="0A4BF493" w14:textId="77777777" w:rsidR="00657E1C" w:rsidRPr="002A2A04" w:rsidRDefault="00657E1C">
      <w:pPr>
        <w:spacing w:line="240" w:lineRule="auto"/>
        <w:rPr>
          <w:rFonts w:ascii="Times New Roman" w:hAnsi="Times New Roman" w:cs="Times New Roman"/>
          <w:b/>
          <w:smallCaps/>
          <w:noProof/>
          <w:sz w:val="24"/>
          <w:szCs w:val="24"/>
          <w:u w:val="single"/>
        </w:rPr>
      </w:pPr>
    </w:p>
    <w:p w14:paraId="1EF26A7F" w14:textId="77777777" w:rsidR="00657E1C" w:rsidRPr="002A2A04" w:rsidRDefault="00C23B15">
      <w:pPr>
        <w:jc w:val="center"/>
        <w:rPr>
          <w:rFonts w:ascii="Times New Roman" w:hAnsi="Times New Roman" w:cs="Times New Roman"/>
          <w:b/>
          <w:bCs/>
          <w:smallCaps/>
          <w:noProof/>
          <w:sz w:val="24"/>
          <w:szCs w:val="24"/>
          <w:u w:val="single"/>
        </w:rPr>
      </w:pPr>
      <w:bookmarkStart w:id="6" w:name="_Hlk219978164"/>
      <w:r w:rsidRPr="002A2A04">
        <w:rPr>
          <w:rFonts w:ascii="Times New Roman" w:hAnsi="Times New Roman"/>
          <w:b/>
          <w:smallCaps/>
          <w:noProof/>
          <w:sz w:val="24"/>
          <w:u w:val="single"/>
        </w:rPr>
        <w:t>Pilonul II: Protejarea și consolidarea capacității de acțiune a consumatorilor</w:t>
      </w:r>
    </w:p>
    <w:p w14:paraId="54EC3B5D" w14:textId="77777777" w:rsidR="00657E1C" w:rsidRPr="002A2A04" w:rsidRDefault="00C23B15">
      <w:pPr>
        <w:spacing w:before="120" w:after="120" w:line="240" w:lineRule="auto"/>
        <w:rPr>
          <w:rFonts w:ascii="Times New Roman" w:hAnsi="Times New Roman" w:cs="Times New Roman"/>
          <w:b/>
          <w:bCs/>
          <w:noProof/>
          <w:color w:val="000000" w:themeColor="text1"/>
          <w:sz w:val="24"/>
          <w:szCs w:val="24"/>
          <w:u w:val="single"/>
        </w:rPr>
      </w:pPr>
      <w:bookmarkStart w:id="7" w:name="_Hlk219977860"/>
      <w:bookmarkEnd w:id="6"/>
      <w:r w:rsidRPr="002A2A04">
        <w:rPr>
          <w:rStyle w:val="normaltextrun"/>
          <w:rFonts w:ascii="Times New Roman" w:hAnsi="Times New Roman"/>
          <w:b/>
          <w:noProof/>
          <w:color w:val="000000" w:themeColor="text1"/>
          <w:sz w:val="24"/>
          <w:u w:val="single"/>
        </w:rPr>
        <w:t xml:space="preserve">Acțiunea 5: Stimularea producției proprii de energie și a partajării energiei între cetățeni </w:t>
      </w:r>
    </w:p>
    <w:bookmarkEnd w:id="7"/>
    <w:p w14:paraId="05AE4597" w14:textId="77777777" w:rsidR="00657E1C" w:rsidRPr="002A2A04" w:rsidRDefault="00C23B15">
      <w:pPr>
        <w:widowControl w:val="0"/>
        <w:spacing w:before="120" w:after="120" w:line="240" w:lineRule="auto"/>
        <w:jc w:val="both"/>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 xml:space="preserve">Cetățenii pot decide să își unească forțele și să înființeze o </w:t>
      </w:r>
      <w:r w:rsidRPr="002A2A04">
        <w:rPr>
          <w:rFonts w:ascii="Times New Roman" w:hAnsi="Times New Roman"/>
          <w:b/>
          <w:noProof/>
          <w:color w:val="000000" w:themeColor="text1"/>
          <w:sz w:val="24"/>
        </w:rPr>
        <w:t xml:space="preserve">comunitate de energie </w:t>
      </w:r>
      <w:r w:rsidRPr="002A2A04">
        <w:rPr>
          <w:rFonts w:ascii="Times New Roman" w:hAnsi="Times New Roman"/>
          <w:noProof/>
          <w:color w:val="000000" w:themeColor="text1"/>
          <w:sz w:val="24"/>
        </w:rPr>
        <w:t>pentru a gestiona investiții comune și pentru a produce și consuma energie din surse regenerabile, de exemplu</w:t>
      </w:r>
      <w:r w:rsidRPr="002A2A04">
        <w:rPr>
          <w:rFonts w:ascii="Times New Roman" w:hAnsi="Times New Roman"/>
          <w:noProof/>
        </w:rPr>
        <w:t xml:space="preserve"> </w:t>
      </w:r>
      <w:r w:rsidRPr="002A2A04">
        <w:rPr>
          <w:rFonts w:ascii="Times New Roman" w:hAnsi="Times New Roman"/>
          <w:noProof/>
          <w:color w:val="000000" w:themeColor="text1"/>
          <w:sz w:val="24"/>
        </w:rPr>
        <w:t>prin panouri solare, turbine eoliene și sisteme de încălzire centralizată. Acesta este un drept garantat de legislația UE</w:t>
      </w:r>
      <w:r w:rsidRPr="002A2A04">
        <w:rPr>
          <w:rStyle w:val="FootnoteReference"/>
          <w:rFonts w:ascii="Times New Roman" w:eastAsia="Times New Roman" w:hAnsi="Times New Roman" w:cs="Times New Roman"/>
          <w:noProof/>
          <w:color w:val="000000" w:themeColor="text1"/>
          <w:sz w:val="24"/>
          <w:szCs w:val="24"/>
        </w:rPr>
        <w:footnoteReference w:id="18"/>
      </w:r>
      <w:r w:rsidRPr="002A2A04">
        <w:rPr>
          <w:noProof/>
        </w:rPr>
        <w:t>.</w:t>
      </w:r>
      <w:r w:rsidRPr="002A2A04">
        <w:rPr>
          <w:rFonts w:ascii="Times New Roman" w:hAnsi="Times New Roman"/>
          <w:noProof/>
          <w:color w:val="000000" w:themeColor="text1"/>
          <w:sz w:val="24"/>
        </w:rPr>
        <w:t xml:space="preserve"> Deși în prezent peste 8 000 de comunități de energie sunt active în Europa</w:t>
      </w:r>
      <w:r w:rsidRPr="002A2A04">
        <w:rPr>
          <w:rStyle w:val="FootnoteReference"/>
          <w:rFonts w:ascii="Times New Roman" w:eastAsia="Times New Roman" w:hAnsi="Times New Roman" w:cs="Times New Roman"/>
          <w:noProof/>
          <w:color w:val="000000" w:themeColor="text1"/>
          <w:sz w:val="24"/>
          <w:szCs w:val="24"/>
        </w:rPr>
        <w:footnoteReference w:id="19"/>
      </w:r>
      <w:r w:rsidRPr="002A2A04">
        <w:rPr>
          <w:rFonts w:ascii="Times New Roman" w:hAnsi="Times New Roman"/>
          <w:noProof/>
          <w:color w:val="000000" w:themeColor="text1"/>
          <w:sz w:val="24"/>
        </w:rPr>
        <w:t xml:space="preserve">, există un </w:t>
      </w:r>
      <w:r w:rsidRPr="002A2A04">
        <w:rPr>
          <w:rFonts w:ascii="Times New Roman" w:hAnsi="Times New Roman"/>
          <w:b/>
          <w:bCs/>
          <w:noProof/>
          <w:color w:val="000000" w:themeColor="text1"/>
          <w:sz w:val="24"/>
        </w:rPr>
        <w:t>potențial neexploatat</w:t>
      </w:r>
      <w:r w:rsidRPr="002A2A04">
        <w:rPr>
          <w:rFonts w:ascii="Times New Roman" w:hAnsi="Times New Roman"/>
          <w:noProof/>
          <w:color w:val="000000" w:themeColor="text1"/>
          <w:sz w:val="24"/>
        </w:rPr>
        <w:t xml:space="preserve"> enorm, în special în zonele rurale, </w:t>
      </w:r>
      <w:r w:rsidRPr="002A2A04">
        <w:rPr>
          <w:rFonts w:ascii="Times New Roman" w:hAnsi="Times New Roman"/>
          <w:noProof/>
          <w:color w:val="000000" w:themeColor="text1"/>
          <w:sz w:val="24"/>
          <w:u w:val="single"/>
        </w:rPr>
        <w:t>de exemplu, în ceea ce privește producția de energie din surse regenerabile, inclusiv de biogaz și de biometan, sau gestionarea deșeurilor la nivel local</w:t>
      </w:r>
      <w:r w:rsidRPr="002A2A04">
        <w:rPr>
          <w:rFonts w:ascii="Times New Roman" w:hAnsi="Times New Roman"/>
          <w:noProof/>
          <w:color w:val="000000" w:themeColor="text1"/>
          <w:sz w:val="24"/>
        </w:rPr>
        <w:t xml:space="preserve">. Beneficii colective pot fi obținute și prin </w:t>
      </w:r>
      <w:r w:rsidRPr="002A2A04">
        <w:rPr>
          <w:rFonts w:ascii="Times New Roman" w:hAnsi="Times New Roman"/>
          <w:b/>
          <w:noProof/>
          <w:color w:val="000000" w:themeColor="text1"/>
          <w:sz w:val="24"/>
        </w:rPr>
        <w:t>partajarea energiei</w:t>
      </w:r>
      <w:r w:rsidRPr="002A2A04">
        <w:rPr>
          <w:rFonts w:ascii="Times New Roman" w:hAnsi="Times New Roman"/>
          <w:noProof/>
          <w:color w:val="000000" w:themeColor="text1"/>
          <w:sz w:val="24"/>
        </w:rPr>
        <w:t xml:space="preserve">. Aceasta permite unui grup mai larg de </w:t>
      </w:r>
      <w:r w:rsidRPr="002A2A04">
        <w:rPr>
          <w:rFonts w:ascii="Times New Roman" w:hAnsi="Times New Roman"/>
          <w:noProof/>
          <w:sz w:val="24"/>
        </w:rPr>
        <w:t xml:space="preserve">persoane, </w:t>
      </w:r>
      <w:r w:rsidRPr="002A2A04">
        <w:rPr>
          <w:rFonts w:ascii="Times New Roman" w:hAnsi="Times New Roman"/>
          <w:noProof/>
          <w:color w:val="000000" w:themeColor="text1"/>
          <w:sz w:val="24"/>
        </w:rPr>
        <w:t>precum chiriașii, gospodăriile cu venituri mici și persoanele care nu dispun de un spațiu adecvat, să beneficieze</w:t>
      </w:r>
      <w:r w:rsidRPr="002A2A04">
        <w:rPr>
          <w:rFonts w:ascii="Times New Roman" w:hAnsi="Times New Roman"/>
          <w:noProof/>
          <w:sz w:val="24"/>
        </w:rPr>
        <w:t xml:space="preserve"> direct </w:t>
      </w:r>
      <w:r w:rsidRPr="002A2A04">
        <w:rPr>
          <w:rFonts w:ascii="Times New Roman" w:hAnsi="Times New Roman"/>
          <w:noProof/>
          <w:color w:val="000000" w:themeColor="text1"/>
          <w:sz w:val="24"/>
        </w:rPr>
        <w:t xml:space="preserve">de energia din surse regenerabile produsă pe plan local. </w:t>
      </w:r>
      <w:r w:rsidRPr="002A2A04">
        <w:rPr>
          <w:rFonts w:ascii="Times New Roman" w:hAnsi="Times New Roman"/>
          <w:noProof/>
          <w:sz w:val="24"/>
        </w:rPr>
        <w:t xml:space="preserve">Producția proprie și partajarea energiei sporesc autonomia, asigură un acces stabil la energie la prețuri accesibile și mai puțin volatile, contribuind totodată la o funcționare mai eficientă a sistemului energetic. </w:t>
      </w:r>
    </w:p>
    <w:p w14:paraId="09B06D6D" w14:textId="77777777" w:rsidR="00657E1C" w:rsidRPr="002A2A04" w:rsidRDefault="00C23B15">
      <w:pPr>
        <w:spacing w:before="120" w:after="120" w:line="240" w:lineRule="auto"/>
        <w:jc w:val="both"/>
        <w:rPr>
          <w:rFonts w:ascii="Times New Roman" w:eastAsia="Times New Roman" w:hAnsi="Times New Roman" w:cs="Times New Roman"/>
          <w:noProof/>
          <w:color w:val="000000" w:themeColor="text1"/>
          <w:sz w:val="24"/>
          <w:szCs w:val="24"/>
          <w:vertAlign w:val="superscript"/>
        </w:rPr>
      </w:pPr>
      <w:r w:rsidRPr="002A2A04">
        <w:rPr>
          <w:rFonts w:ascii="Times New Roman" w:hAnsi="Times New Roman"/>
          <w:noProof/>
          <w:sz w:val="24"/>
        </w:rPr>
        <w:t>Până în 2030, peste 16 milioane de gospodării și 630 000 de IMM-uri și-ar putea produce energia pentru consum propriu din surse regenerabile</w:t>
      </w:r>
      <w:r w:rsidRPr="002A2A04">
        <w:rPr>
          <w:rStyle w:val="FootnoteReference"/>
          <w:rFonts w:ascii="Times New Roman" w:hAnsi="Times New Roman"/>
          <w:noProof/>
          <w:sz w:val="24"/>
          <w:szCs w:val="24"/>
        </w:rPr>
        <w:footnoteReference w:id="20"/>
      </w:r>
      <w:r w:rsidRPr="002A2A04">
        <w:rPr>
          <w:noProof/>
        </w:rPr>
        <w:t>.</w:t>
      </w:r>
      <w:r w:rsidRPr="002A2A04">
        <w:rPr>
          <w:rStyle w:val="FootnoteReference"/>
          <w:rFonts w:ascii="Times New Roman" w:hAnsi="Times New Roman"/>
          <w:noProof/>
          <w:sz w:val="24"/>
        </w:rPr>
        <w:t xml:space="preserve"> </w:t>
      </w:r>
      <w:r w:rsidRPr="002A2A04">
        <w:rPr>
          <w:rFonts w:ascii="Times New Roman" w:hAnsi="Times New Roman"/>
          <w:noProof/>
          <w:color w:val="000000" w:themeColor="text1"/>
          <w:sz w:val="24"/>
        </w:rPr>
        <w:t xml:space="preserve">Există potențialul de a spori </w:t>
      </w:r>
      <w:r w:rsidRPr="002A2A04">
        <w:rPr>
          <w:rFonts w:ascii="Times New Roman" w:hAnsi="Times New Roman"/>
          <w:noProof/>
          <w:sz w:val="24"/>
        </w:rPr>
        <w:t xml:space="preserve">capacitatea instalată de energie din surse regenerabile a comunităților de gospodării de </w:t>
      </w:r>
      <w:r w:rsidRPr="002A2A04">
        <w:rPr>
          <w:rFonts w:ascii="Times New Roman" w:hAnsi="Times New Roman"/>
          <w:b/>
          <w:noProof/>
          <w:sz w:val="24"/>
        </w:rPr>
        <w:t>până la zece ori</w:t>
      </w:r>
      <w:r w:rsidRPr="002A2A04">
        <w:rPr>
          <w:rStyle w:val="FootnoteReference"/>
          <w:rFonts w:ascii="Times New Roman" w:eastAsia="Times New Roman" w:hAnsi="Times New Roman" w:cs="Times New Roman"/>
          <w:noProof/>
          <w:sz w:val="24"/>
          <w:szCs w:val="24"/>
        </w:rPr>
        <w:footnoteReference w:id="21"/>
      </w:r>
      <w:r w:rsidRPr="002A2A04">
        <w:rPr>
          <w:noProof/>
        </w:rPr>
        <w:t>.</w:t>
      </w:r>
      <w:r w:rsidRPr="002A2A04">
        <w:rPr>
          <w:rFonts w:ascii="Times New Roman" w:hAnsi="Times New Roman"/>
          <w:noProof/>
          <w:sz w:val="24"/>
        </w:rPr>
        <w:t xml:space="preserve"> Gospodăriile individuale care produc și consumă propria energie solară pot realiza economii de 260-550 EUR pe an. Pentru comunitățile de gospodării care recurg la o combinație de energie eoliană și solară, economiile ar putea ajunge la 440-930 EUR pe an</w:t>
      </w:r>
      <w:r w:rsidRPr="002A2A04">
        <w:rPr>
          <w:rFonts w:ascii="Times New Roman" w:eastAsia="Times New Roman" w:hAnsi="Times New Roman" w:cs="Times New Roman"/>
          <w:noProof/>
          <w:color w:val="000000" w:themeColor="text1"/>
          <w:sz w:val="24"/>
          <w:szCs w:val="24"/>
          <w:vertAlign w:val="superscript"/>
        </w:rPr>
        <w:footnoteReference w:id="22"/>
      </w:r>
      <w:r w:rsidRPr="002A2A04">
        <w:rPr>
          <w:rFonts w:ascii="Times New Roman" w:hAnsi="Times New Roman"/>
          <w:noProof/>
          <w:sz w:val="24"/>
        </w:rPr>
        <w:t>.</w:t>
      </w:r>
    </w:p>
    <w:p w14:paraId="5062B195" w14:textId="77777777" w:rsidR="00657E1C" w:rsidRPr="002A2A04" w:rsidRDefault="00C23B15">
      <w:pPr>
        <w:widowControl w:val="0"/>
        <w:spacing w:before="120" w:after="120" w:line="240" w:lineRule="auto"/>
        <w:jc w:val="both"/>
        <w:rPr>
          <w:rFonts w:ascii="Times New Roman" w:hAnsi="Times New Roman" w:cs="Times New Roman"/>
          <w:noProof/>
          <w:sz w:val="24"/>
          <w:szCs w:val="24"/>
        </w:rPr>
      </w:pPr>
      <w:r w:rsidRPr="002A2A04">
        <w:rPr>
          <w:rFonts w:ascii="Times New Roman" w:hAnsi="Times New Roman"/>
          <w:noProof/>
          <w:sz w:val="24"/>
        </w:rPr>
        <w:t xml:space="preserve">Pentru a valorifica acest potențial, comunitățile de energie trebuie să fie consolidate din punct de vedere al capacității de acțiune, astfel încât să poată partaja energia electrică fără a face obiectul unor tarife excesive percepute de furnizori, să vândă surplusul de energie și să își valorifice potențialul de a echilibra cererea ridicată sau scăzută de pe piață. Cerințele administrative trebuie reduse la minimum. Ar trebui acordat un sprijin specific pentru a se asigura accesibilitatea gospodăriilor afectate de sărăcia energetică și a altor gospodării vulnerabile. Pentru a sprijini statele membre în acest demers, Comisia va adopta un </w:t>
      </w:r>
      <w:r w:rsidRPr="002A2A04">
        <w:rPr>
          <w:rFonts w:ascii="Times New Roman" w:hAnsi="Times New Roman"/>
          <w:b/>
          <w:noProof/>
          <w:sz w:val="24"/>
        </w:rPr>
        <w:t>plan de acțiune privind comunitățile de energie</w:t>
      </w:r>
      <w:r w:rsidRPr="002A2A04">
        <w:rPr>
          <w:rFonts w:ascii="Times New Roman" w:hAnsi="Times New Roman"/>
          <w:noProof/>
          <w:sz w:val="24"/>
        </w:rPr>
        <w:t>.</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853"/>
      </w:tblGrid>
      <w:tr w:rsidR="00657E1C" w:rsidRPr="002A2A04" w14:paraId="1B1717F2" w14:textId="77777777">
        <w:tc>
          <w:tcPr>
            <w:tcW w:w="1163" w:type="dxa"/>
            <w:vAlign w:val="center"/>
            <w:hideMark/>
          </w:tcPr>
          <w:p w14:paraId="754389CD" w14:textId="77777777" w:rsidR="00657E1C" w:rsidRPr="002A2A04" w:rsidRDefault="00C23B15">
            <w:pPr>
              <w:widowControl w:val="0"/>
              <w:rPr>
                <w:rFonts w:ascii="Times New Roman" w:hAnsi="Times New Roman" w:cs="Times New Roman"/>
                <w:noProof/>
                <w:sz w:val="24"/>
                <w:szCs w:val="24"/>
              </w:rPr>
            </w:pPr>
            <w:bookmarkStart w:id="9" w:name="_Hlk219977892"/>
            <w:r w:rsidRPr="002A2A04">
              <w:rPr>
                <w:rFonts w:ascii="Times New Roman" w:hAnsi="Times New Roman"/>
                <w:noProof/>
                <w:sz w:val="24"/>
              </w:rPr>
              <w:t>Obiectiv</w:t>
            </w:r>
          </w:p>
        </w:tc>
        <w:tc>
          <w:tcPr>
            <w:tcW w:w="7853" w:type="dxa"/>
            <w:vAlign w:val="center"/>
            <w:hideMark/>
          </w:tcPr>
          <w:p w14:paraId="3B0A7429" w14:textId="77777777" w:rsidR="00657E1C" w:rsidRPr="002A2A04" w:rsidRDefault="00C23B15">
            <w:pPr>
              <w:widowControl w:val="0"/>
              <w:jc w:val="both"/>
              <w:rPr>
                <w:rFonts w:ascii="Times New Roman" w:hAnsi="Times New Roman" w:cs="Times New Roman"/>
                <w:b/>
                <w:noProof/>
                <w:sz w:val="24"/>
                <w:szCs w:val="24"/>
              </w:rPr>
            </w:pPr>
            <w:r w:rsidRPr="002A2A04">
              <w:rPr>
                <w:rFonts w:ascii="Times New Roman" w:hAnsi="Times New Roman"/>
                <w:b/>
                <w:noProof/>
                <w:sz w:val="24"/>
              </w:rPr>
              <w:t>Valorificarea potențialului comunităților de energie de a-și spori capacitatea instalată de energie din surse regenerabile de până la zece ori până în 2030 în UE, permițând producerea de energie din surse regenerabile pentru 25-30 de milioane de gospodării.</w:t>
            </w:r>
          </w:p>
        </w:tc>
      </w:tr>
      <w:tr w:rsidR="00657E1C" w:rsidRPr="002A2A04" w14:paraId="06CAAC14" w14:textId="77777777">
        <w:tc>
          <w:tcPr>
            <w:tcW w:w="1163" w:type="dxa"/>
            <w:vAlign w:val="center"/>
          </w:tcPr>
          <w:p w14:paraId="5FFE6A97" w14:textId="77777777" w:rsidR="00657E1C" w:rsidRPr="002A2A04" w:rsidRDefault="00C23B15">
            <w:pPr>
              <w:widowControl w:val="0"/>
              <w:rPr>
                <w:rFonts w:ascii="Times New Roman" w:hAnsi="Times New Roman" w:cs="Times New Roman"/>
                <w:noProof/>
                <w:sz w:val="24"/>
                <w:szCs w:val="24"/>
              </w:rPr>
            </w:pPr>
            <w:r w:rsidRPr="002A2A04">
              <w:rPr>
                <w:rFonts w:ascii="Times New Roman" w:hAnsi="Times New Roman"/>
                <w:noProof/>
                <w:sz w:val="24"/>
              </w:rPr>
              <w:t>Rezultat</w:t>
            </w:r>
          </w:p>
        </w:tc>
        <w:tc>
          <w:tcPr>
            <w:tcW w:w="7853" w:type="dxa"/>
            <w:vAlign w:val="center"/>
          </w:tcPr>
          <w:p w14:paraId="3E4C0E3A" w14:textId="77777777" w:rsidR="00657E1C" w:rsidRPr="002A2A04" w:rsidRDefault="00C23B15">
            <w:pPr>
              <w:widowControl w:val="0"/>
              <w:jc w:val="both"/>
              <w:rPr>
                <w:rFonts w:ascii="Times New Roman" w:hAnsi="Times New Roman" w:cs="Times New Roman"/>
                <w:noProof/>
                <w:sz w:val="24"/>
                <w:szCs w:val="24"/>
              </w:rPr>
            </w:pPr>
            <w:r w:rsidRPr="002A2A04">
              <w:rPr>
                <w:rFonts w:ascii="Times New Roman" w:hAnsi="Times New Roman"/>
                <w:noProof/>
                <w:sz w:val="24"/>
              </w:rPr>
              <w:t xml:space="preserve">Economii potențiale de </w:t>
            </w:r>
            <w:r w:rsidRPr="002A2A04">
              <w:rPr>
                <w:rFonts w:ascii="Times New Roman" w:hAnsi="Times New Roman"/>
                <w:b/>
                <w:noProof/>
                <w:sz w:val="24"/>
              </w:rPr>
              <w:t>260-550 EUR</w:t>
            </w:r>
            <w:r w:rsidRPr="002A2A04">
              <w:rPr>
                <w:rFonts w:ascii="Times New Roman" w:hAnsi="Times New Roman"/>
                <w:noProof/>
                <w:sz w:val="24"/>
              </w:rPr>
              <w:t xml:space="preserve"> pe an pentru gospodăriile individuale și beneficii financiare potențiale de </w:t>
            </w:r>
            <w:r w:rsidRPr="002A2A04">
              <w:rPr>
                <w:rFonts w:ascii="Times New Roman" w:hAnsi="Times New Roman"/>
                <w:b/>
                <w:noProof/>
                <w:sz w:val="24"/>
              </w:rPr>
              <w:t>440-930 EUR</w:t>
            </w:r>
            <w:r w:rsidRPr="002A2A04">
              <w:rPr>
                <w:rFonts w:ascii="Times New Roman" w:hAnsi="Times New Roman"/>
                <w:noProof/>
                <w:sz w:val="24"/>
              </w:rPr>
              <w:t xml:space="preserve"> pe an pentru comunități.</w:t>
            </w:r>
          </w:p>
        </w:tc>
      </w:tr>
      <w:tr w:rsidR="00657E1C" w:rsidRPr="002A2A04" w14:paraId="3D4E165D" w14:textId="77777777">
        <w:tc>
          <w:tcPr>
            <w:tcW w:w="1163" w:type="dxa"/>
            <w:vAlign w:val="center"/>
          </w:tcPr>
          <w:p w14:paraId="2838290C" w14:textId="77777777" w:rsidR="00657E1C" w:rsidRPr="002A2A04" w:rsidRDefault="00C23B15">
            <w:pPr>
              <w:widowControl w:val="0"/>
              <w:rPr>
                <w:rFonts w:ascii="Times New Roman" w:hAnsi="Times New Roman" w:cs="Times New Roman"/>
                <w:noProof/>
                <w:sz w:val="24"/>
                <w:szCs w:val="24"/>
              </w:rPr>
            </w:pPr>
            <w:r w:rsidRPr="002A2A04">
              <w:rPr>
                <w:rFonts w:ascii="Times New Roman" w:hAnsi="Times New Roman"/>
                <w:noProof/>
                <w:sz w:val="24"/>
              </w:rPr>
              <w:t>Realizare</w:t>
            </w:r>
          </w:p>
        </w:tc>
        <w:tc>
          <w:tcPr>
            <w:tcW w:w="7853" w:type="dxa"/>
            <w:vAlign w:val="center"/>
          </w:tcPr>
          <w:p w14:paraId="0D8B8A87" w14:textId="77777777" w:rsidR="00657E1C" w:rsidRPr="002A2A04" w:rsidRDefault="00C23B15">
            <w:pPr>
              <w:widowControl w:val="0"/>
              <w:jc w:val="both"/>
              <w:rPr>
                <w:rFonts w:ascii="Times New Roman" w:hAnsi="Times New Roman" w:cs="Times New Roman"/>
                <w:noProof/>
                <w:sz w:val="24"/>
                <w:szCs w:val="24"/>
              </w:rPr>
            </w:pPr>
            <w:r w:rsidRPr="002A2A04">
              <w:rPr>
                <w:rFonts w:ascii="Times New Roman" w:hAnsi="Times New Roman"/>
                <w:noProof/>
                <w:sz w:val="24"/>
              </w:rPr>
              <w:t xml:space="preserve">Comisia va oferi </w:t>
            </w:r>
            <w:r w:rsidRPr="002A2A04">
              <w:rPr>
                <w:rFonts w:ascii="Times New Roman" w:hAnsi="Times New Roman"/>
                <w:b/>
                <w:noProof/>
                <w:sz w:val="24"/>
              </w:rPr>
              <w:t>orientări statelor membre privind modul de valorificare a potențialului comunităților de energie și al autoconsumului de energie</w:t>
            </w:r>
            <w:r w:rsidRPr="002A2A04">
              <w:rPr>
                <w:rFonts w:ascii="Times New Roman" w:hAnsi="Times New Roman"/>
                <w:noProof/>
                <w:sz w:val="24"/>
              </w:rPr>
              <w:t xml:space="preserve">, inclusiv schimbul de bune practici, pe baza unei evaluări a barierelor existente și potențiale (T1 2026), </w:t>
            </w:r>
            <w:r w:rsidRPr="002A2A04">
              <w:rPr>
                <w:rFonts w:ascii="Times New Roman" w:hAnsi="Times New Roman"/>
                <w:noProof/>
                <w:color w:val="000000" w:themeColor="text1"/>
                <w:sz w:val="24"/>
              </w:rPr>
              <w:t xml:space="preserve">va adopta un </w:t>
            </w:r>
            <w:r w:rsidRPr="002A2A04">
              <w:rPr>
                <w:rFonts w:ascii="Times New Roman" w:hAnsi="Times New Roman"/>
                <w:b/>
                <w:noProof/>
                <w:color w:val="000000" w:themeColor="text1"/>
                <w:sz w:val="24"/>
              </w:rPr>
              <w:t xml:space="preserve">regulament de punere în aplicare privind interoperabilitatea datelor, </w:t>
            </w:r>
            <w:r w:rsidRPr="002A2A04">
              <w:rPr>
                <w:rFonts w:ascii="Times New Roman" w:hAnsi="Times New Roman"/>
                <w:noProof/>
                <w:color w:val="000000" w:themeColor="text1"/>
                <w:sz w:val="24"/>
              </w:rPr>
              <w:t xml:space="preserve">pentru a se asigura că partajarea energiei este ușor de utilizat și complet automatizată pentru consumatori </w:t>
            </w:r>
            <w:r w:rsidRPr="002A2A04">
              <w:rPr>
                <w:rFonts w:ascii="Times New Roman" w:hAnsi="Times New Roman"/>
                <w:noProof/>
                <w:sz w:val="24"/>
              </w:rPr>
              <w:t xml:space="preserve">(2027) și </w:t>
            </w:r>
            <w:r w:rsidRPr="002A2A04">
              <w:rPr>
                <w:rFonts w:ascii="Times New Roman" w:hAnsi="Times New Roman"/>
                <w:noProof/>
                <w:color w:val="000000" w:themeColor="text1"/>
                <w:sz w:val="24"/>
              </w:rPr>
              <w:t xml:space="preserve">va emite o serie de ghiduri </w:t>
            </w:r>
            <w:r w:rsidRPr="002A2A04">
              <w:rPr>
                <w:rFonts w:ascii="Times New Roman" w:hAnsi="Times New Roman"/>
                <w:b/>
                <w:noProof/>
                <w:color w:val="000000" w:themeColor="text1"/>
                <w:sz w:val="24"/>
              </w:rPr>
              <w:t xml:space="preserve">practice, pas cu pas, </w:t>
            </w:r>
            <w:r w:rsidRPr="002A2A04">
              <w:rPr>
                <w:rFonts w:ascii="Times New Roman" w:hAnsi="Times New Roman"/>
                <w:noProof/>
                <w:color w:val="000000" w:themeColor="text1"/>
                <w:sz w:val="24"/>
              </w:rPr>
              <w:t>privind modul de instituire și gestionare a proiectelor energetice comunitare pentru gospodării și alte părți interesate, inclusiv pentru IMM-uri, fermieri și autoritățile publice (2026–2027).</w:t>
            </w:r>
          </w:p>
        </w:tc>
      </w:tr>
    </w:tbl>
    <w:p w14:paraId="77BCC5E6" w14:textId="77777777" w:rsidR="00657E1C" w:rsidRPr="002A2A04" w:rsidRDefault="00657E1C">
      <w:pPr>
        <w:rPr>
          <w:rFonts w:ascii="Times New Roman" w:eastAsia="Times New Roman" w:hAnsi="Times New Roman" w:cs="Times New Roman"/>
          <w:b/>
          <w:bCs/>
          <w:noProof/>
          <w:color w:val="000000" w:themeColor="text1"/>
          <w:sz w:val="24"/>
          <w:szCs w:val="24"/>
          <w:u w:val="single"/>
        </w:rPr>
      </w:pPr>
      <w:bookmarkStart w:id="10" w:name="_Hlk219977904"/>
      <w:bookmarkEnd w:id="9"/>
    </w:p>
    <w:p w14:paraId="2000F9C6" w14:textId="77777777" w:rsidR="00657E1C" w:rsidRPr="002A2A04" w:rsidRDefault="00C23B15">
      <w:pPr>
        <w:rPr>
          <w:rFonts w:ascii="Times New Roman" w:eastAsia="Times New Roman" w:hAnsi="Times New Roman" w:cs="Times New Roman"/>
          <w:b/>
          <w:bCs/>
          <w:noProof/>
          <w:color w:val="000000" w:themeColor="text1"/>
          <w:sz w:val="24"/>
          <w:szCs w:val="24"/>
          <w:u w:val="single"/>
        </w:rPr>
      </w:pPr>
      <w:r w:rsidRPr="002A2A04">
        <w:rPr>
          <w:rFonts w:ascii="Times New Roman" w:hAnsi="Times New Roman"/>
          <w:b/>
          <w:noProof/>
          <w:color w:val="000000" w:themeColor="text1"/>
          <w:sz w:val="24"/>
          <w:u w:val="single"/>
        </w:rPr>
        <w:t>Acțiunea 6: Promovarea flexibilității prin contracte cu amănuntul</w:t>
      </w:r>
    </w:p>
    <w:bookmarkEnd w:id="10"/>
    <w:p w14:paraId="607AE616" w14:textId="450AC38D" w:rsidR="00657E1C" w:rsidRPr="002A2A04" w:rsidRDefault="00C23B15">
      <w:pPr>
        <w:spacing w:line="240" w:lineRule="auto"/>
        <w:jc w:val="both"/>
        <w:rPr>
          <w:rFonts w:ascii="Times New Roman" w:eastAsia="Times New Roman" w:hAnsi="Times New Roman" w:cs="Times New Roman"/>
          <w:noProof/>
          <w:color w:val="000000" w:themeColor="text1"/>
          <w:sz w:val="24"/>
          <w:szCs w:val="24"/>
        </w:rPr>
      </w:pPr>
      <w:r w:rsidRPr="002A2A04">
        <w:rPr>
          <w:rFonts w:ascii="Times New Roman" w:hAnsi="Times New Roman"/>
          <w:b/>
          <w:noProof/>
          <w:color w:val="000000" w:themeColor="text1"/>
          <w:sz w:val="24"/>
        </w:rPr>
        <w:t>Consumatorii care dispun de contracte flexibile cu amănuntul pot realiza economii semnificative</w:t>
      </w:r>
      <w:r w:rsidRPr="002A2A04">
        <w:rPr>
          <w:rFonts w:ascii="Times New Roman" w:hAnsi="Times New Roman"/>
          <w:noProof/>
          <w:color w:val="000000" w:themeColor="text1"/>
          <w:sz w:val="24"/>
        </w:rPr>
        <w:t xml:space="preserve">. În anumite cazuri, facturile la energie electrică pot fi cu până la </w:t>
      </w:r>
      <w:r w:rsidRPr="002A2A04">
        <w:rPr>
          <w:rFonts w:ascii="Times New Roman" w:hAnsi="Times New Roman"/>
          <w:b/>
          <w:noProof/>
          <w:color w:val="000000" w:themeColor="text1"/>
          <w:sz w:val="24"/>
        </w:rPr>
        <w:t>40 % mai mici</w:t>
      </w:r>
      <w:r w:rsidRPr="002A2A04">
        <w:rPr>
          <w:rFonts w:ascii="Times New Roman" w:hAnsi="Times New Roman"/>
          <w:noProof/>
          <w:color w:val="000000" w:themeColor="text1"/>
          <w:sz w:val="24"/>
        </w:rPr>
        <w:t>, atunci când cererea de încălzire este transferată către perioadele în care prețurile energiei electrice sunt scăzute</w:t>
      </w:r>
      <w:r w:rsidRPr="002A2A04">
        <w:rPr>
          <w:rStyle w:val="FootnoteReference"/>
          <w:rFonts w:ascii="Times New Roman" w:eastAsia="Times New Roman" w:hAnsi="Times New Roman" w:cs="Times New Roman"/>
          <w:noProof/>
          <w:color w:val="000000" w:themeColor="text1"/>
          <w:sz w:val="24"/>
          <w:szCs w:val="24"/>
        </w:rPr>
        <w:footnoteReference w:id="23"/>
      </w:r>
      <w:r w:rsidRPr="002A2A04">
        <w:rPr>
          <w:rFonts w:ascii="Times New Roman" w:hAnsi="Times New Roman"/>
          <w:noProof/>
          <w:color w:val="000000" w:themeColor="text1"/>
          <w:sz w:val="24"/>
        </w:rPr>
        <w:t xml:space="preserve">. Acesta este unul dintre motivele pentru care flexibilitatea cererii ar trebui promovată în mod activ la nivelul UE. Printre beneficii se numără reducerea producției de energie electrică, scăderea costurilor de rețea, precum și diminuarea necesarului de măsuri de sprijin pentru capacitate, economiile anuale potențiale fiind estimate la </w:t>
      </w:r>
      <w:r w:rsidRPr="002A2A04">
        <w:rPr>
          <w:rFonts w:ascii="Times New Roman" w:hAnsi="Times New Roman"/>
          <w:b/>
          <w:noProof/>
          <w:color w:val="000000" w:themeColor="text1"/>
          <w:sz w:val="24"/>
        </w:rPr>
        <w:t>2,7 miliarde EUR până în 2030</w:t>
      </w:r>
      <w:r w:rsidRPr="002A2A04">
        <w:rPr>
          <w:rStyle w:val="FootnoteReference"/>
          <w:rFonts w:ascii="Times New Roman" w:eastAsia="Times New Roman" w:hAnsi="Times New Roman" w:cs="Times New Roman"/>
          <w:noProof/>
          <w:color w:val="000000" w:themeColor="text1"/>
          <w:sz w:val="24"/>
          <w:szCs w:val="24"/>
        </w:rPr>
        <w:footnoteReference w:id="24"/>
      </w:r>
      <w:r w:rsidRPr="002A2A04">
        <w:rPr>
          <w:rFonts w:ascii="Times New Roman" w:hAnsi="Times New Roman"/>
          <w:noProof/>
          <w:color w:val="000000" w:themeColor="text1"/>
          <w:sz w:val="24"/>
        </w:rPr>
        <w:t xml:space="preserve">. </w:t>
      </w:r>
    </w:p>
    <w:p w14:paraId="65D9CCEE" w14:textId="77777777" w:rsidR="00657E1C" w:rsidRPr="002A2A04" w:rsidRDefault="00C23B15">
      <w:pPr>
        <w:spacing w:line="240" w:lineRule="auto"/>
        <w:jc w:val="both"/>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 xml:space="preserve">Realizarea acestor beneficii presupune asigurarea următoarelor aspecte: </w:t>
      </w:r>
      <w:r w:rsidRPr="002A2A04">
        <w:rPr>
          <w:rFonts w:ascii="Times New Roman" w:hAnsi="Times New Roman"/>
          <w:b/>
          <w:noProof/>
          <w:color w:val="000000" w:themeColor="text1"/>
          <w:sz w:val="24"/>
        </w:rPr>
        <w:t xml:space="preserve">disponibilitatea pe scară largă a </w:t>
      </w:r>
      <w:r w:rsidRPr="002A2A04">
        <w:rPr>
          <w:rFonts w:ascii="Times New Roman" w:hAnsi="Times New Roman"/>
          <w:b/>
          <w:noProof/>
          <w:sz w:val="24"/>
        </w:rPr>
        <w:t>contractelor cu amănuntul flexibile</w:t>
      </w:r>
      <w:r w:rsidRPr="002A2A04">
        <w:rPr>
          <w:rFonts w:ascii="Times New Roman" w:hAnsi="Times New Roman"/>
          <w:noProof/>
          <w:sz w:val="24"/>
        </w:rPr>
        <w:t xml:space="preserve">, </w:t>
      </w:r>
      <w:r w:rsidRPr="002A2A04">
        <w:rPr>
          <w:rFonts w:ascii="Times New Roman" w:hAnsi="Times New Roman"/>
          <w:b/>
          <w:noProof/>
          <w:sz w:val="24"/>
        </w:rPr>
        <w:t>accesul consumatorilor la prețuri transparente, informații fiabile</w:t>
      </w:r>
      <w:r w:rsidRPr="002A2A04">
        <w:rPr>
          <w:rFonts w:ascii="Times New Roman" w:hAnsi="Times New Roman"/>
          <w:noProof/>
          <w:sz w:val="24"/>
        </w:rPr>
        <w:t xml:space="preserve"> </w:t>
      </w:r>
      <w:r w:rsidRPr="002A2A04">
        <w:rPr>
          <w:rFonts w:ascii="Times New Roman" w:hAnsi="Times New Roman"/>
          <w:noProof/>
          <w:color w:val="000000" w:themeColor="text1"/>
          <w:sz w:val="24"/>
        </w:rPr>
        <w:t xml:space="preserve">și </w:t>
      </w:r>
      <w:r w:rsidRPr="002A2A04">
        <w:rPr>
          <w:rFonts w:ascii="Times New Roman" w:hAnsi="Times New Roman"/>
          <w:b/>
          <w:noProof/>
          <w:color w:val="000000" w:themeColor="text1"/>
          <w:sz w:val="24"/>
        </w:rPr>
        <w:t>consiliere specifică</w:t>
      </w:r>
      <w:r w:rsidRPr="002A2A04">
        <w:rPr>
          <w:rFonts w:ascii="Times New Roman" w:hAnsi="Times New Roman"/>
          <w:noProof/>
          <w:color w:val="000000" w:themeColor="text1"/>
          <w:sz w:val="24"/>
        </w:rPr>
        <w:t xml:space="preserve"> privind alegerea contractului cel mai adecvat nevoilor lor, </w:t>
      </w:r>
      <w:r w:rsidRPr="002A2A04">
        <w:rPr>
          <w:rFonts w:ascii="Times New Roman" w:hAnsi="Times New Roman"/>
          <w:noProof/>
          <w:sz w:val="24"/>
        </w:rPr>
        <w:t xml:space="preserve">precum și existența </w:t>
      </w:r>
      <w:r w:rsidRPr="002A2A04">
        <w:rPr>
          <w:rFonts w:ascii="Times New Roman" w:hAnsi="Times New Roman"/>
          <w:b/>
          <w:noProof/>
          <w:sz w:val="24"/>
        </w:rPr>
        <w:t xml:space="preserve">instrumentelor tehnice </w:t>
      </w:r>
      <w:r w:rsidRPr="002A2A04">
        <w:rPr>
          <w:rFonts w:ascii="Times New Roman" w:hAnsi="Times New Roman"/>
          <w:noProof/>
          <w:sz w:val="24"/>
        </w:rPr>
        <w:t xml:space="preserve">necesare. </w:t>
      </w:r>
      <w:r w:rsidRPr="002A2A04">
        <w:rPr>
          <w:rFonts w:ascii="Times New Roman" w:hAnsi="Times New Roman"/>
          <w:b/>
          <w:noProof/>
          <w:color w:val="000000" w:themeColor="text1"/>
          <w:sz w:val="24"/>
        </w:rPr>
        <w:t>Sistemele de contorizare inteligentă</w:t>
      </w:r>
      <w:r w:rsidRPr="002A2A04">
        <w:rPr>
          <w:rFonts w:ascii="Times New Roman" w:hAnsi="Times New Roman"/>
          <w:noProof/>
          <w:color w:val="000000" w:themeColor="text1"/>
          <w:sz w:val="24"/>
        </w:rPr>
        <w:t xml:space="preserve"> sunt esențiale, întrucât furnizează datele necesare pentru ca mecanismele de flexibilitate să funcționeze. Accesul eficient la datele relevante facilitează o automatizare sporită, îmbunătățind astfel experiența consumatorilor și asigurând totodată un nivel ridicat de protecție a datelor.</w:t>
      </w:r>
    </w:p>
    <w:p w14:paraId="6F97B8B9" w14:textId="77777777" w:rsidR="00657E1C" w:rsidRPr="002A2A04" w:rsidRDefault="00C23B15">
      <w:pPr>
        <w:spacing w:line="240" w:lineRule="auto"/>
        <w:jc w:val="both"/>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Promovarea mecanismelor de flexibilitate presupune, de asemenea, eliminarea barierelor din calea furnizorilor de servicii de flexibilitate – întreprinderi care își recompensează clienții pentru transferul consumului de energie electrică din perioadele de vârf către perioade mai ieftine, reducând astfel presiunea asupra rețelelor locale. Comisia va oferi orientări pentru a contribui la eliminarea acestor bariere, precum factorii de descurajare sau semnalele de preț inadecvate.</w:t>
      </w:r>
    </w:p>
    <w:p w14:paraId="2A96917C" w14:textId="48FCC33A" w:rsidR="00657E1C" w:rsidRPr="002A2A04" w:rsidRDefault="00C23B15">
      <w:pPr>
        <w:spacing w:line="240" w:lineRule="auto"/>
        <w:jc w:val="both"/>
        <w:rPr>
          <w:rFonts w:ascii="Times New Roman" w:eastAsia="Times New Roman" w:hAnsi="Times New Roman" w:cs="Times New Roman"/>
          <w:noProof/>
          <w:color w:val="000000" w:themeColor="text1"/>
          <w:sz w:val="24"/>
          <w:szCs w:val="24"/>
        </w:rPr>
      </w:pPr>
      <w:r w:rsidRPr="002A2A04">
        <w:rPr>
          <w:rFonts w:ascii="Times New Roman" w:hAnsi="Times New Roman"/>
          <w:noProof/>
          <w:color w:val="000000" w:themeColor="text1"/>
          <w:sz w:val="24"/>
        </w:rPr>
        <w:t xml:space="preserve">În afara UE, inițiativa </w:t>
      </w:r>
      <w:r w:rsidRPr="002A2A04">
        <w:rPr>
          <w:rFonts w:ascii="Times New Roman" w:hAnsi="Times New Roman"/>
          <w:i/>
          <w:noProof/>
          <w:color w:val="000000" w:themeColor="text1"/>
          <w:sz w:val="24"/>
        </w:rPr>
        <w:t>Solar Sharer Offer</w:t>
      </w:r>
      <w:r w:rsidRPr="002A2A04">
        <w:rPr>
          <w:rFonts w:ascii="Times New Roman" w:hAnsi="Times New Roman"/>
          <w:noProof/>
          <w:color w:val="000000" w:themeColor="text1"/>
          <w:sz w:val="24"/>
        </w:rPr>
        <w:t xml:space="preserve"> a guvernului australian oferă gospodăriilor energie electrică cu costuri zero în perioadele de producție de energie solară ridicată. În interiorul UE, furnizorii au elaborat, de asemenea, oferte de energie electrică cu costuri zero. Statele membre ar putea dori să ia în considerare mecanisme similare adaptate la cadrul de reglementare al UE, care să le permită cetățenilor să beneficieze direct de tranziția curată prin reducerea facturilor fără a fi nevoie de investiții inițiale în panouri solare, să încurajeze flexibilitatea cererii, să alinieze consumul la perioadele de producție ridicată de energie din surse regenerabile, să îmbunătățească eficiența rețelei și să consolideze sprijinul public pentru decarbonizare, făcând vizibile și tangibile avantajele tranziției energetice.</w:t>
      </w:r>
    </w:p>
    <w:tbl>
      <w:tblPr>
        <w:tblStyle w:val="TableGridLight"/>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079"/>
      </w:tblGrid>
      <w:tr w:rsidR="00657E1C" w:rsidRPr="002A2A04" w14:paraId="158F6B02" w14:textId="77777777">
        <w:tc>
          <w:tcPr>
            <w:tcW w:w="1163" w:type="dxa"/>
            <w:vAlign w:val="center"/>
            <w:hideMark/>
          </w:tcPr>
          <w:p w14:paraId="6D581AAF" w14:textId="77777777" w:rsidR="00657E1C" w:rsidRPr="002A2A04" w:rsidRDefault="00C23B15">
            <w:pPr>
              <w:rPr>
                <w:rFonts w:ascii="Times New Roman" w:hAnsi="Times New Roman" w:cs="Times New Roman"/>
                <w:noProof/>
                <w:sz w:val="24"/>
                <w:szCs w:val="24"/>
              </w:rPr>
            </w:pPr>
            <w:bookmarkStart w:id="11" w:name="_Hlk219977915"/>
            <w:r w:rsidRPr="002A2A04">
              <w:rPr>
                <w:rFonts w:ascii="Times New Roman" w:hAnsi="Times New Roman"/>
                <w:noProof/>
                <w:sz w:val="24"/>
              </w:rPr>
              <w:t>Obiectiv</w:t>
            </w:r>
          </w:p>
        </w:tc>
        <w:tc>
          <w:tcPr>
            <w:tcW w:w="8079" w:type="dxa"/>
            <w:hideMark/>
          </w:tcPr>
          <w:p w14:paraId="6804A734" w14:textId="77777777" w:rsidR="00657E1C" w:rsidRPr="002A2A04" w:rsidRDefault="00C23B15">
            <w:pPr>
              <w:jc w:val="both"/>
              <w:rPr>
                <w:rFonts w:ascii="Times New Roman" w:eastAsia="Times New Roman" w:hAnsi="Times New Roman" w:cs="Times New Roman"/>
                <w:b/>
                <w:bCs/>
                <w:noProof/>
                <w:sz w:val="24"/>
                <w:szCs w:val="24"/>
              </w:rPr>
            </w:pPr>
            <w:r w:rsidRPr="002A2A04">
              <w:rPr>
                <w:rFonts w:ascii="Times New Roman" w:hAnsi="Times New Roman"/>
                <w:b/>
                <w:noProof/>
                <w:sz w:val="24"/>
              </w:rPr>
              <w:t xml:space="preserve">Crearea condițiilor necesare pentru ca cetățenii să poată beneficia cu încredere de contracte cu amănuntul flexibile și de dispozitive energetice inteligente care optimizează consumul de energie. </w:t>
            </w:r>
          </w:p>
        </w:tc>
      </w:tr>
      <w:tr w:rsidR="00657E1C" w:rsidRPr="002A2A04" w14:paraId="63E6EC0F" w14:textId="77777777">
        <w:tc>
          <w:tcPr>
            <w:tcW w:w="1163" w:type="dxa"/>
            <w:vAlign w:val="center"/>
          </w:tcPr>
          <w:p w14:paraId="3A08DB88" w14:textId="77777777" w:rsidR="00657E1C" w:rsidRPr="002A2A04" w:rsidRDefault="00C23B15">
            <w:pPr>
              <w:rPr>
                <w:rFonts w:ascii="Times New Roman" w:hAnsi="Times New Roman" w:cs="Times New Roman"/>
                <w:noProof/>
                <w:sz w:val="24"/>
                <w:szCs w:val="24"/>
              </w:rPr>
            </w:pPr>
            <w:r w:rsidRPr="002A2A04">
              <w:rPr>
                <w:rFonts w:ascii="Times New Roman" w:hAnsi="Times New Roman"/>
                <w:noProof/>
                <w:sz w:val="24"/>
              </w:rPr>
              <w:t xml:space="preserve">Rezultat </w:t>
            </w:r>
          </w:p>
        </w:tc>
        <w:tc>
          <w:tcPr>
            <w:tcW w:w="8079" w:type="dxa"/>
            <w:vAlign w:val="center"/>
          </w:tcPr>
          <w:p w14:paraId="00DAC5E7" w14:textId="77777777" w:rsidR="00657E1C" w:rsidRPr="002A2A04" w:rsidRDefault="00C23B15">
            <w:pPr>
              <w:jc w:val="both"/>
              <w:rPr>
                <w:rFonts w:ascii="Times New Roman" w:hAnsi="Times New Roman" w:cs="Times New Roman"/>
                <w:noProof/>
              </w:rPr>
            </w:pPr>
            <w:r w:rsidRPr="002A2A04">
              <w:rPr>
                <w:rFonts w:ascii="Times New Roman" w:hAnsi="Times New Roman"/>
                <w:noProof/>
                <w:sz w:val="24"/>
              </w:rPr>
              <w:t xml:space="preserve">Reducerea facturilor consumatorilor și a costurilor de sistem, cu economii potențiale </w:t>
            </w:r>
            <w:r w:rsidRPr="002A2A04">
              <w:rPr>
                <w:rFonts w:ascii="Times New Roman" w:hAnsi="Times New Roman"/>
                <w:b/>
                <w:noProof/>
                <w:sz w:val="24"/>
              </w:rPr>
              <w:t>de până la 40 %</w:t>
            </w:r>
            <w:r w:rsidRPr="002A2A04">
              <w:rPr>
                <w:rStyle w:val="FootnoteReference"/>
                <w:rFonts w:ascii="Times New Roman" w:hAnsi="Times New Roman" w:cs="Times New Roman"/>
                <w:noProof/>
                <w:sz w:val="24"/>
                <w:szCs w:val="24"/>
              </w:rPr>
              <w:footnoteReference w:id="25"/>
            </w:r>
            <w:r w:rsidRPr="002A2A04">
              <w:rPr>
                <w:rFonts w:ascii="Times New Roman" w:hAnsi="Times New Roman"/>
                <w:noProof/>
                <w:sz w:val="24"/>
              </w:rPr>
              <w:t>.</w:t>
            </w:r>
            <w:r w:rsidRPr="002A2A04">
              <w:rPr>
                <w:rFonts w:ascii="Times New Roman" w:hAnsi="Times New Roman"/>
                <w:noProof/>
              </w:rPr>
              <w:t xml:space="preserve"> </w:t>
            </w:r>
          </w:p>
        </w:tc>
      </w:tr>
      <w:tr w:rsidR="00657E1C" w:rsidRPr="002A2A04" w14:paraId="2AF9C5F2" w14:textId="77777777">
        <w:tc>
          <w:tcPr>
            <w:tcW w:w="1163" w:type="dxa"/>
            <w:vAlign w:val="center"/>
            <w:hideMark/>
          </w:tcPr>
          <w:p w14:paraId="2CFADDAF" w14:textId="77777777" w:rsidR="00657E1C" w:rsidRPr="002A2A04" w:rsidRDefault="00C23B15">
            <w:pPr>
              <w:rPr>
                <w:rFonts w:ascii="Times New Roman" w:hAnsi="Times New Roman" w:cs="Times New Roman"/>
                <w:noProof/>
                <w:sz w:val="24"/>
                <w:szCs w:val="24"/>
              </w:rPr>
            </w:pPr>
            <w:r w:rsidRPr="002A2A04">
              <w:rPr>
                <w:rFonts w:ascii="Times New Roman" w:hAnsi="Times New Roman"/>
                <w:noProof/>
                <w:sz w:val="24"/>
              </w:rPr>
              <w:t>Realizare</w:t>
            </w:r>
          </w:p>
        </w:tc>
        <w:tc>
          <w:tcPr>
            <w:tcW w:w="8079" w:type="dxa"/>
            <w:vAlign w:val="center"/>
            <w:hideMark/>
          </w:tcPr>
          <w:p w14:paraId="2F174689" w14:textId="77777777" w:rsidR="00657E1C" w:rsidRPr="002A2A04" w:rsidRDefault="00C23B15">
            <w:pPr>
              <w:jc w:val="both"/>
              <w:rPr>
                <w:rFonts w:ascii="Times New Roman" w:hAnsi="Times New Roman" w:cs="Times New Roman"/>
                <w:noProof/>
                <w:sz w:val="24"/>
                <w:szCs w:val="24"/>
              </w:rPr>
            </w:pPr>
            <w:r w:rsidRPr="002A2A04">
              <w:rPr>
                <w:rFonts w:ascii="Times New Roman" w:hAnsi="Times New Roman"/>
                <w:noProof/>
                <w:sz w:val="24"/>
              </w:rPr>
              <w:t xml:space="preserve">Comisia va oferi </w:t>
            </w:r>
            <w:r w:rsidRPr="002A2A04">
              <w:rPr>
                <w:rFonts w:ascii="Times New Roman" w:hAnsi="Times New Roman"/>
                <w:b/>
                <w:noProof/>
                <w:sz w:val="24"/>
              </w:rPr>
              <w:t xml:space="preserve">orientări pentru a promova remunerarea flexibilității </w:t>
            </w:r>
            <w:r w:rsidRPr="002A2A04">
              <w:rPr>
                <w:rFonts w:ascii="Times New Roman" w:hAnsi="Times New Roman"/>
                <w:noProof/>
                <w:sz w:val="24"/>
              </w:rPr>
              <w:t xml:space="preserve">în contractele cu amănuntul (T1 2026), va îmbunătăți accesul la datele necesare pentru flexibilitate prin adoptarea unui </w:t>
            </w:r>
            <w:r w:rsidRPr="002A2A04">
              <w:rPr>
                <w:rFonts w:ascii="Times New Roman" w:hAnsi="Times New Roman"/>
                <w:b/>
                <w:noProof/>
                <w:sz w:val="24"/>
              </w:rPr>
              <w:t xml:space="preserve">regulament de punere în aplicare privind cerințele și procedurile de interoperabilitate </w:t>
            </w:r>
            <w:r w:rsidRPr="002A2A04">
              <w:rPr>
                <w:rFonts w:ascii="Times New Roman" w:hAnsi="Times New Roman"/>
                <w:noProof/>
                <w:sz w:val="24"/>
              </w:rPr>
              <w:t xml:space="preserve">(2027) și va promova potențialul flexibilității și al eficienței în proiectele relevante din cadrul noilor </w:t>
            </w:r>
            <w:r w:rsidRPr="002A2A04">
              <w:rPr>
                <w:rFonts w:ascii="Times New Roman" w:hAnsi="Times New Roman"/>
                <w:b/>
                <w:noProof/>
                <w:sz w:val="24"/>
              </w:rPr>
              <w:t>parteneriate pentru locuințe mai bune</w:t>
            </w:r>
            <w:r w:rsidRPr="002A2A04">
              <w:rPr>
                <w:rFonts w:ascii="Times New Roman" w:hAnsi="Times New Roman"/>
                <w:noProof/>
                <w:sz w:val="24"/>
              </w:rPr>
              <w:t xml:space="preserve"> (2026).</w:t>
            </w:r>
          </w:p>
        </w:tc>
      </w:tr>
    </w:tbl>
    <w:p w14:paraId="4B2B9607" w14:textId="77777777" w:rsidR="00657E1C" w:rsidRPr="002A2A04" w:rsidRDefault="00C23B15">
      <w:pPr>
        <w:keepNext/>
        <w:keepLines/>
        <w:spacing w:after="120" w:line="240" w:lineRule="auto"/>
        <w:jc w:val="both"/>
        <w:rPr>
          <w:rFonts w:ascii="Times New Roman" w:hAnsi="Times New Roman" w:cs="Times New Roman"/>
          <w:b/>
          <w:noProof/>
          <w:color w:val="000000" w:themeColor="text1"/>
          <w:sz w:val="24"/>
          <w:szCs w:val="24"/>
          <w:u w:val="single"/>
        </w:rPr>
      </w:pPr>
      <w:bookmarkStart w:id="12" w:name="_Hlk219977926"/>
      <w:bookmarkEnd w:id="11"/>
      <w:r w:rsidRPr="002A2A04">
        <w:rPr>
          <w:rStyle w:val="normaltextrun"/>
          <w:rFonts w:ascii="Times New Roman" w:hAnsi="Times New Roman"/>
          <w:b/>
          <w:noProof/>
          <w:color w:val="000000" w:themeColor="text1"/>
          <w:sz w:val="24"/>
          <w:u w:val="single"/>
        </w:rPr>
        <w:t xml:space="preserve">Acțiunea 7: Consolidarea încrederii consumatorilor </w:t>
      </w:r>
      <w:bookmarkEnd w:id="12"/>
    </w:p>
    <w:p w14:paraId="62275E76" w14:textId="77777777" w:rsidR="00657E1C" w:rsidRPr="002A2A04" w:rsidRDefault="00C23B15">
      <w:pPr>
        <w:pStyle w:val="oj-normal"/>
        <w:keepNext/>
        <w:keepLines/>
        <w:spacing w:before="0" w:beforeAutospacing="0" w:after="120" w:afterAutospacing="0"/>
        <w:jc w:val="both"/>
        <w:rPr>
          <w:noProof/>
          <w:color w:val="000000" w:themeColor="text1"/>
        </w:rPr>
      </w:pPr>
      <w:r w:rsidRPr="002A2A04">
        <w:rPr>
          <w:noProof/>
          <w:color w:val="000000" w:themeColor="text1"/>
        </w:rPr>
        <w:t xml:space="preserve">Consumatorii de energie se confruntă cu </w:t>
      </w:r>
      <w:r w:rsidRPr="002A2A04">
        <w:rPr>
          <w:b/>
          <w:noProof/>
          <w:color w:val="000000" w:themeColor="text1"/>
        </w:rPr>
        <w:t xml:space="preserve">practici agresive de telemarketing </w:t>
      </w:r>
      <w:r w:rsidRPr="002A2A04">
        <w:rPr>
          <w:noProof/>
          <w:color w:val="000000" w:themeColor="text1"/>
        </w:rPr>
        <w:t xml:space="preserve">sau întâmpină uneori dificultăți în a se orienta pe piețele energiei. Aceasta conduce la o </w:t>
      </w:r>
      <w:r w:rsidRPr="002A2A04">
        <w:rPr>
          <w:b/>
          <w:noProof/>
          <w:color w:val="000000" w:themeColor="text1"/>
        </w:rPr>
        <w:t xml:space="preserve">lipsă de încredere </w:t>
      </w:r>
      <w:r w:rsidRPr="002A2A04">
        <w:rPr>
          <w:noProof/>
          <w:color w:val="000000" w:themeColor="text1"/>
        </w:rPr>
        <w:t>în piață și limitează posibilitatea de a beneficia de alternative mai ieftine sau de servicii mai inovatoare</w:t>
      </w:r>
      <w:r w:rsidRPr="002A2A04">
        <w:rPr>
          <w:rStyle w:val="FootnoteReference"/>
          <w:rFonts w:eastAsia="Times New Roman, Aptos"/>
          <w:noProof/>
          <w:color w:val="000000" w:themeColor="text1"/>
        </w:rPr>
        <w:footnoteReference w:id="26"/>
      </w:r>
      <w:r w:rsidRPr="002A2A04">
        <w:rPr>
          <w:noProof/>
          <w:color w:val="000000" w:themeColor="text1"/>
        </w:rPr>
        <w:t xml:space="preserve">. </w:t>
      </w:r>
    </w:p>
    <w:p w14:paraId="1B5FBF7E" w14:textId="28E752FE" w:rsidR="00657E1C" w:rsidRPr="002A2A04" w:rsidRDefault="00C23B15">
      <w:pPr>
        <w:pStyle w:val="oj-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20" w:afterAutospacing="0"/>
        <w:jc w:val="both"/>
        <w:rPr>
          <w:noProof/>
        </w:rPr>
      </w:pPr>
      <w:r w:rsidRPr="002A2A04">
        <w:rPr>
          <w:noProof/>
        </w:rPr>
        <w:t xml:space="preserve">Pentru a îmbunătăți calitatea serviciilor energetice pentru clienți, Comisia va colabora cu asociațiile de consumatori, furnizorii de energie și autoritățile de reglementare în vederea elaborării unui </w:t>
      </w:r>
      <w:r w:rsidRPr="002A2A04">
        <w:rPr>
          <w:b/>
          <w:noProof/>
        </w:rPr>
        <w:t>nou cod de servicii pentru furnizorii de energie</w:t>
      </w:r>
      <w:r w:rsidRPr="002A2A04">
        <w:rPr>
          <w:noProof/>
        </w:rPr>
        <w:t xml:space="preserve">, ca prim pas în direcția combaterii </w:t>
      </w:r>
      <w:r w:rsidRPr="002A2A04">
        <w:rPr>
          <w:b/>
          <w:noProof/>
        </w:rPr>
        <w:t>practicilor de comercializare neloiale</w:t>
      </w:r>
      <w:r w:rsidRPr="002A2A04">
        <w:rPr>
          <w:noProof/>
        </w:rPr>
        <w:t xml:space="preserve">. Codul va oferi furnizorilor de energie posibilitatea de a se angaja în mod voluntar să depășească cerințele existente, asigurând o gestionare eficientă a plângerilor și prevenind debranșarea consumatorilor vulnerabili – </w:t>
      </w:r>
      <w:r w:rsidRPr="002A2A04">
        <w:rPr>
          <w:rStyle w:val="normaltextrun"/>
          <w:noProof/>
        </w:rPr>
        <w:t>de exemplu, a celor care locuiesc în zonele rurale –</w:t>
      </w:r>
      <w:r w:rsidRPr="002A2A04">
        <w:rPr>
          <w:noProof/>
        </w:rPr>
        <w:t xml:space="preserve"> prin perioade de preaviz mai lungi, planuri de plată adaptate, un nivel minim de furnizare, precum și prin oferirea de „consiliere privind cele mai avantajoase tarife” și sisteme de „alertă timpurie” (a se vedea </w:t>
      </w:r>
      <w:r w:rsidR="0049022C" w:rsidRPr="002A2A04">
        <w:rPr>
          <w:noProof/>
        </w:rPr>
        <w:t>a</w:t>
      </w:r>
      <w:r w:rsidRPr="002A2A04">
        <w:rPr>
          <w:noProof/>
        </w:rPr>
        <w:t>cțiunea 4).</w:t>
      </w:r>
      <w:r w:rsidRPr="002A2A04">
        <w:rPr>
          <w:noProof/>
          <w:color w:val="000000" w:themeColor="text1"/>
        </w:rPr>
        <w:t xml:space="preserve"> Codul va servi drept </w:t>
      </w:r>
      <w:r w:rsidRPr="002A2A04">
        <w:rPr>
          <w:b/>
          <w:noProof/>
          <w:color w:val="000000" w:themeColor="text1"/>
        </w:rPr>
        <w:t>marcă de încredere</w:t>
      </w:r>
      <w:r w:rsidRPr="002A2A04">
        <w:rPr>
          <w:noProof/>
          <w:color w:val="000000" w:themeColor="text1"/>
        </w:rPr>
        <w:t xml:space="preserve">, prin care furnizorii de energie le semnalează consumatorilor că se pot aștepta la servicii transparente și echitabile. </w:t>
      </w:r>
      <w:r w:rsidRPr="002A2A04">
        <w:rPr>
          <w:noProof/>
        </w:rPr>
        <w:t>Unele state membre aplică deja cu succes un astfel de cod și asigură respectarea acestuia</w:t>
      </w:r>
      <w:r w:rsidRPr="002A2A04">
        <w:rPr>
          <w:rStyle w:val="FootnoteReference"/>
          <w:noProof/>
        </w:rPr>
        <w:footnoteReference w:id="27"/>
      </w:r>
      <w:r w:rsidRPr="002A2A04">
        <w:rPr>
          <w:noProof/>
        </w:rPr>
        <w:t>. Rămâne la latitudinea statelor membre să decidă dacă și în ce mod un asemenea cod va fi pus în aplicare la nivel național.</w:t>
      </w:r>
    </w:p>
    <w:p w14:paraId="43420A75" w14:textId="77777777" w:rsidR="00657E1C" w:rsidRPr="002A2A04" w:rsidRDefault="00C23B15">
      <w:pPr>
        <w:pStyle w:val="oj-normal"/>
        <w:spacing w:before="0" w:beforeAutospacing="0" w:after="120" w:afterAutospacing="0"/>
        <w:jc w:val="both"/>
        <w:rPr>
          <w:rFonts w:eastAsia="Times New Roman, Aptos"/>
          <w:noProof/>
          <w:color w:val="000000" w:themeColor="text1"/>
          <w:vertAlign w:val="superscript"/>
        </w:rPr>
      </w:pPr>
      <w:r w:rsidRPr="002A2A04">
        <w:rPr>
          <w:noProof/>
          <w:color w:val="000000" w:themeColor="text1"/>
        </w:rPr>
        <w:t xml:space="preserve">Deși </w:t>
      </w:r>
      <w:r w:rsidRPr="002A2A04">
        <w:rPr>
          <w:b/>
          <w:noProof/>
          <w:color w:val="000000" w:themeColor="text1"/>
        </w:rPr>
        <w:t xml:space="preserve">inteligența artificială și </w:t>
      </w:r>
      <w:r w:rsidRPr="002A2A04">
        <w:rPr>
          <w:b/>
          <w:noProof/>
        </w:rPr>
        <w:t>digitalizarea</w:t>
      </w:r>
      <w:r w:rsidRPr="002A2A04">
        <w:rPr>
          <w:noProof/>
        </w:rPr>
        <w:t xml:space="preserve"> vor aduce numeroase beneficii, inclusiv </w:t>
      </w:r>
      <w:r w:rsidRPr="002A2A04">
        <w:rPr>
          <w:noProof/>
          <w:color w:val="000000" w:themeColor="text1"/>
        </w:rPr>
        <w:t>economii de energie și reduceri ale facturilor la energie</w:t>
      </w:r>
      <w:r w:rsidRPr="002A2A04">
        <w:rPr>
          <w:noProof/>
        </w:rPr>
        <w:t xml:space="preserve">, ele generează totodată noi provocări. Prin urmare, Comisia va evalua dacă normele actuale sunt adecvate scopului în această privință. </w:t>
      </w:r>
    </w:p>
    <w:p w14:paraId="5798017F" w14:textId="77777777" w:rsidR="00657E1C" w:rsidRPr="002A2A04" w:rsidRDefault="00C23B15">
      <w:pPr>
        <w:pStyle w:val="oj-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noProof/>
          <w:color w:val="1F1F1F"/>
        </w:rPr>
      </w:pPr>
      <w:r w:rsidRPr="002A2A04">
        <w:rPr>
          <w:noProof/>
          <w:color w:val="1F1F1F"/>
        </w:rPr>
        <w:t>Încrederea în piață are de suferit atunci când furnizorii de energie nu se protejează împotriva volatilității prețurilor. În cazul în care furnizorii de energie intră în dificultate, clienții pot pierde plățile efectuate în avans și pot fi nevoiți să încheie contracte mai puțin favorabile. Pentru a preveni aceste situații, Comisia va furniza autorităților naționale de reglementare orientări privind modul în care pot asigura faptul că furnizorii de energie elaborează</w:t>
      </w:r>
      <w:r w:rsidRPr="002A2A04">
        <w:rPr>
          <w:b/>
          <w:noProof/>
          <w:color w:val="1F1F1F"/>
        </w:rPr>
        <w:t xml:space="preserve"> strategii adecvate de gestionare și acoperire a riscurilor</w:t>
      </w:r>
      <w:r w:rsidRPr="002A2A04">
        <w:rPr>
          <w:noProof/>
          <w:color w:val="1F1F1F"/>
        </w:rPr>
        <w:t xml:space="preserve">, contribuind astfel la menținerea stabilității și fiabilității pieței cu amănuntul a energiei electrice. </w:t>
      </w:r>
    </w:p>
    <w:p w14:paraId="7D7E3A8D" w14:textId="77777777" w:rsidR="00657E1C" w:rsidRPr="002A2A04" w:rsidRDefault="00657E1C">
      <w:pPr>
        <w:pStyle w:val="oj-normal"/>
        <w:spacing w:before="0" w:beforeAutospacing="0" w:after="0" w:afterAutospacing="0"/>
        <w:jc w:val="both"/>
        <w:rPr>
          <w:rFonts w:eastAsiaTheme="minorEastAsia"/>
          <w:noProof/>
          <w:lang w:eastAsia="en-US"/>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7894"/>
      </w:tblGrid>
      <w:tr w:rsidR="00657E1C" w:rsidRPr="002A2A04" w14:paraId="48522A77" w14:textId="77777777">
        <w:tc>
          <w:tcPr>
            <w:tcW w:w="988" w:type="dxa"/>
            <w:vAlign w:val="center"/>
            <w:hideMark/>
          </w:tcPr>
          <w:p w14:paraId="6E99361F" w14:textId="77777777" w:rsidR="00657E1C" w:rsidRPr="002A2A04" w:rsidRDefault="00C23B15">
            <w:pPr>
              <w:rPr>
                <w:rFonts w:ascii="Times New Roman" w:hAnsi="Times New Roman" w:cs="Times New Roman"/>
                <w:noProof/>
                <w:sz w:val="24"/>
                <w:szCs w:val="24"/>
              </w:rPr>
            </w:pPr>
            <w:bookmarkStart w:id="13" w:name="_Hlk219977944"/>
            <w:r w:rsidRPr="002A2A04">
              <w:rPr>
                <w:rFonts w:ascii="Times New Roman" w:hAnsi="Times New Roman"/>
                <w:noProof/>
                <w:sz w:val="24"/>
              </w:rPr>
              <w:t>Obiectiv</w:t>
            </w:r>
          </w:p>
        </w:tc>
        <w:tc>
          <w:tcPr>
            <w:tcW w:w="8028" w:type="dxa"/>
            <w:vAlign w:val="center"/>
            <w:hideMark/>
          </w:tcPr>
          <w:p w14:paraId="06BE29B1" w14:textId="77777777" w:rsidR="00657E1C" w:rsidRPr="002A2A04" w:rsidRDefault="00C23B15">
            <w:pPr>
              <w:jc w:val="both"/>
              <w:rPr>
                <w:rFonts w:ascii="Times New Roman" w:hAnsi="Times New Roman" w:cs="Times New Roman"/>
                <w:b/>
                <w:bCs/>
                <w:noProof/>
                <w:sz w:val="24"/>
                <w:szCs w:val="24"/>
              </w:rPr>
            </w:pPr>
            <w:r w:rsidRPr="002A2A04">
              <w:rPr>
                <w:rFonts w:ascii="Times New Roman" w:hAnsi="Times New Roman"/>
                <w:b/>
                <w:noProof/>
                <w:sz w:val="24"/>
              </w:rPr>
              <w:t>Consolidarea încrederii; combaterea practicilor de (tele)marketing agresive și înșelătoare; protejarea cetățenilor împotriva consecințelor disfuncționalităților pieței.</w:t>
            </w:r>
          </w:p>
        </w:tc>
      </w:tr>
      <w:tr w:rsidR="00657E1C" w:rsidRPr="002A2A04" w14:paraId="1C592D1F" w14:textId="77777777">
        <w:tc>
          <w:tcPr>
            <w:tcW w:w="988" w:type="dxa"/>
            <w:vAlign w:val="center"/>
          </w:tcPr>
          <w:p w14:paraId="1333F5CB" w14:textId="77777777" w:rsidR="00657E1C" w:rsidRPr="002A2A04" w:rsidRDefault="00C23B15">
            <w:pPr>
              <w:rPr>
                <w:rFonts w:ascii="Times New Roman" w:hAnsi="Times New Roman" w:cs="Times New Roman"/>
                <w:noProof/>
                <w:sz w:val="24"/>
                <w:szCs w:val="24"/>
              </w:rPr>
            </w:pPr>
            <w:r w:rsidRPr="002A2A04">
              <w:rPr>
                <w:rFonts w:ascii="Times New Roman" w:hAnsi="Times New Roman"/>
                <w:noProof/>
                <w:sz w:val="24"/>
              </w:rPr>
              <w:t>Rezultat</w:t>
            </w:r>
          </w:p>
        </w:tc>
        <w:tc>
          <w:tcPr>
            <w:tcW w:w="8028" w:type="dxa"/>
            <w:vAlign w:val="center"/>
          </w:tcPr>
          <w:p w14:paraId="4B692910" w14:textId="77777777" w:rsidR="00657E1C" w:rsidRPr="002A2A04" w:rsidRDefault="00C23B15">
            <w:pPr>
              <w:jc w:val="both"/>
              <w:rPr>
                <w:rFonts w:ascii="Times New Roman" w:hAnsi="Times New Roman" w:cs="Times New Roman"/>
                <w:noProof/>
                <w:sz w:val="24"/>
                <w:szCs w:val="24"/>
              </w:rPr>
            </w:pPr>
            <w:r w:rsidRPr="002A2A04">
              <w:rPr>
                <w:rFonts w:ascii="Times New Roman" w:hAnsi="Times New Roman"/>
                <w:noProof/>
                <w:sz w:val="24"/>
              </w:rPr>
              <w:t>Creșterea încrederii consumatorilor și îmbunătățirea calității serviciilor. O transparență sporită a pieței, conducând la prețuri competitive și la o eficiență îmbunătățită a serviciilor.</w:t>
            </w:r>
          </w:p>
        </w:tc>
      </w:tr>
      <w:tr w:rsidR="00657E1C" w:rsidRPr="002A2A04" w14:paraId="06E1D1C7" w14:textId="77777777">
        <w:tc>
          <w:tcPr>
            <w:tcW w:w="988" w:type="dxa"/>
            <w:vAlign w:val="center"/>
            <w:hideMark/>
          </w:tcPr>
          <w:p w14:paraId="2424BDBA" w14:textId="77777777" w:rsidR="00657E1C" w:rsidRPr="002A2A04" w:rsidRDefault="00C23B15">
            <w:pPr>
              <w:rPr>
                <w:rFonts w:ascii="Times New Roman" w:hAnsi="Times New Roman" w:cs="Times New Roman"/>
                <w:noProof/>
                <w:sz w:val="24"/>
                <w:szCs w:val="24"/>
              </w:rPr>
            </w:pPr>
            <w:r w:rsidRPr="002A2A04">
              <w:rPr>
                <w:rFonts w:ascii="Times New Roman" w:hAnsi="Times New Roman"/>
                <w:noProof/>
                <w:sz w:val="24"/>
              </w:rPr>
              <w:t>Realizare</w:t>
            </w:r>
          </w:p>
        </w:tc>
        <w:tc>
          <w:tcPr>
            <w:tcW w:w="8028" w:type="dxa"/>
            <w:vAlign w:val="center"/>
            <w:hideMark/>
          </w:tcPr>
          <w:p w14:paraId="308F5CA4" w14:textId="77777777" w:rsidR="00657E1C" w:rsidRPr="002A2A04" w:rsidRDefault="00C23B15">
            <w:pPr>
              <w:pStyle w:val="Considrant"/>
              <w:numPr>
                <w:ilvl w:val="0"/>
                <w:numId w:val="0"/>
              </w:numPr>
              <w:spacing w:before="0" w:after="0"/>
              <w:rPr>
                <w:rFonts w:ascii="Times New Roman" w:hAnsi="Times New Roman" w:cs="Times New Roman"/>
                <w:noProof/>
              </w:rPr>
            </w:pPr>
            <w:r w:rsidRPr="002A2A04">
              <w:rPr>
                <w:rFonts w:ascii="Times New Roman" w:hAnsi="Times New Roman"/>
                <w:noProof/>
              </w:rPr>
              <w:t xml:space="preserve">Comisia va debloca beneficiile pentru consumatori prin propunerea unui </w:t>
            </w:r>
            <w:r w:rsidRPr="002A2A04">
              <w:rPr>
                <w:rFonts w:ascii="Times New Roman" w:hAnsi="Times New Roman"/>
                <w:b/>
                <w:noProof/>
              </w:rPr>
              <w:t xml:space="preserve">cod de servicii </w:t>
            </w:r>
            <w:r w:rsidRPr="002A2A04">
              <w:rPr>
                <w:rFonts w:ascii="Times New Roman" w:hAnsi="Times New Roman"/>
                <w:noProof/>
              </w:rPr>
              <w:t xml:space="preserve">ușor de înțeles privind drepturile consumatorilor, destinat furnizorilor de energie, care se pot angaja în mod voluntar să respecte standarde ridicate de protecție a consumatorilor, bazate pe transparență, echitate, încredere reciprocă și responsabilitate (T4 2026), va publica noi orientări pentru a sprijini autoritățile naționale de reglementare în prevenirea intrării în dificultate a furnizorilor, prin </w:t>
            </w:r>
            <w:r w:rsidRPr="002A2A04">
              <w:rPr>
                <w:rFonts w:ascii="Times New Roman" w:hAnsi="Times New Roman"/>
                <w:b/>
                <w:noProof/>
              </w:rPr>
              <w:t>îmbunătățirea gestionării riscurilor</w:t>
            </w:r>
            <w:r w:rsidRPr="002A2A04">
              <w:rPr>
                <w:rFonts w:ascii="Times New Roman" w:hAnsi="Times New Roman"/>
                <w:noProof/>
              </w:rPr>
              <w:t xml:space="preserve"> (T1 2026) și va evalua necesitatea adoptării unei noi</w:t>
            </w:r>
            <w:r w:rsidRPr="002A2A04">
              <w:rPr>
                <w:rFonts w:ascii="Times New Roman" w:hAnsi="Times New Roman"/>
                <w:b/>
                <w:noProof/>
              </w:rPr>
              <w:t xml:space="preserve"> propuneri legislative a UE privind drepturile consumatorilor în domeniul energiei pentru perioada ulterioară anului 2029</w:t>
            </w:r>
            <w:r w:rsidRPr="002A2A04">
              <w:rPr>
                <w:rFonts w:ascii="Times New Roman" w:hAnsi="Times New Roman"/>
                <w:noProof/>
              </w:rPr>
              <w:t>, cu scopul de a garanta drepturile consumatorilor și în cadrul noilor contracte inovatoare și al abordării practicilor de (tele)marketing agresive sau înșelătoare (2028).</w:t>
            </w:r>
          </w:p>
        </w:tc>
      </w:tr>
      <w:bookmarkEnd w:id="13"/>
    </w:tbl>
    <w:p w14:paraId="20397CBD" w14:textId="77777777" w:rsidR="00657E1C" w:rsidRPr="002A2A04" w:rsidRDefault="00657E1C">
      <w:pPr>
        <w:spacing w:line="240" w:lineRule="auto"/>
        <w:rPr>
          <w:rFonts w:ascii="Times New Roman" w:hAnsi="Times New Roman" w:cs="Times New Roman"/>
          <w:b/>
          <w:bCs/>
          <w:smallCaps/>
          <w:noProof/>
          <w:sz w:val="24"/>
          <w:szCs w:val="24"/>
          <w:u w:val="single"/>
        </w:rPr>
      </w:pPr>
    </w:p>
    <w:p w14:paraId="58731009" w14:textId="77777777" w:rsidR="00657E1C" w:rsidRPr="002A2A04" w:rsidRDefault="00C23B15">
      <w:pPr>
        <w:jc w:val="center"/>
        <w:rPr>
          <w:rFonts w:ascii="Times New Roman" w:hAnsi="Times New Roman" w:cs="Times New Roman"/>
          <w:b/>
          <w:bCs/>
          <w:smallCaps/>
          <w:noProof/>
          <w:sz w:val="24"/>
          <w:szCs w:val="24"/>
          <w:u w:val="single"/>
        </w:rPr>
      </w:pPr>
      <w:r w:rsidRPr="002A2A04">
        <w:rPr>
          <w:rFonts w:ascii="Times New Roman" w:hAnsi="Times New Roman"/>
          <w:b/>
          <w:smallCaps/>
          <w:noProof/>
          <w:sz w:val="24"/>
          <w:u w:val="single"/>
        </w:rPr>
        <w:t>Pilonul III: Combaterea sărăciei energetice și a vulnerabilității</w:t>
      </w:r>
    </w:p>
    <w:p w14:paraId="513B1E02" w14:textId="77777777" w:rsidR="00657E1C" w:rsidRPr="002A2A04" w:rsidRDefault="00C23B15">
      <w:pPr>
        <w:jc w:val="both"/>
        <w:rPr>
          <w:rFonts w:ascii="Times New Roman" w:hAnsi="Times New Roman" w:cs="Times New Roman"/>
          <w:noProof/>
          <w:sz w:val="24"/>
          <w:szCs w:val="24"/>
        </w:rPr>
      </w:pPr>
      <w:r w:rsidRPr="002A2A04">
        <w:rPr>
          <w:rFonts w:ascii="Times New Roman" w:hAnsi="Times New Roman"/>
          <w:b/>
          <w:noProof/>
          <w:sz w:val="24"/>
        </w:rPr>
        <w:t>Echitatea și egalitatea se află în centrul tranziției energetice</w:t>
      </w:r>
      <w:r w:rsidRPr="002A2A04">
        <w:rPr>
          <w:rFonts w:ascii="Times New Roman" w:hAnsi="Times New Roman"/>
          <w:noProof/>
          <w:sz w:val="24"/>
        </w:rPr>
        <w:t xml:space="preserve">. Protecția consumatorilor vulnerabili și a persoanelor afectate de sărăcia energetică reprezintă </w:t>
      </w:r>
      <w:r w:rsidRPr="002A2A04">
        <w:rPr>
          <w:rFonts w:ascii="Times New Roman" w:hAnsi="Times New Roman"/>
          <w:b/>
          <w:noProof/>
          <w:sz w:val="24"/>
        </w:rPr>
        <w:t>principala prioritate</w:t>
      </w:r>
      <w:r w:rsidRPr="002A2A04">
        <w:rPr>
          <w:rFonts w:ascii="Times New Roman" w:hAnsi="Times New Roman"/>
          <w:noProof/>
          <w:sz w:val="24"/>
        </w:rPr>
        <w:t xml:space="preserve"> pentru europeni, potrivit celui mai recent sondaj Eurobarometru</w:t>
      </w:r>
      <w:r w:rsidRPr="002A2A04">
        <w:rPr>
          <w:rStyle w:val="FootnoteReference"/>
          <w:rFonts w:ascii="Times New Roman" w:hAnsi="Times New Roman" w:cs="Times New Roman"/>
          <w:noProof/>
          <w:sz w:val="24"/>
          <w:szCs w:val="24"/>
        </w:rPr>
        <w:footnoteReference w:id="28"/>
      </w:r>
      <w:r w:rsidRPr="002A2A04">
        <w:rPr>
          <w:noProof/>
        </w:rPr>
        <w:t>.</w:t>
      </w:r>
      <w:r w:rsidRPr="002A2A04">
        <w:rPr>
          <w:rFonts w:ascii="Times New Roman" w:hAnsi="Times New Roman"/>
          <w:noProof/>
          <w:sz w:val="24"/>
        </w:rPr>
        <w:t xml:space="preserve"> Sărăcia energetică, locuințele inaccesibile ca preț și accesul limitat la locuințe sociale pot conduce la creșterea riscurilor de vulnerabilitate. Uniunea Europeană elaborează în prezent prima strategie a UE pentru combaterea sărăciei cu scopul de a-i ajuta pe cetățeni să aibă acces la protecție și servicii esențiale, de a aborda cauzele profunde ale sărăciei și de a contribui la eradicarea sărăciei până în 2050. Asigurarea accesului tuturor la energie, ca serviciu esențial, va reduce vulnerabilitatea și sărăcia în UE. </w:t>
      </w:r>
    </w:p>
    <w:p w14:paraId="63FB0C6A" w14:textId="77777777" w:rsidR="00657E1C" w:rsidRPr="002A2A04" w:rsidRDefault="00C23B15">
      <w:pPr>
        <w:spacing w:line="240" w:lineRule="auto"/>
        <w:jc w:val="both"/>
        <w:rPr>
          <w:rFonts w:ascii="Times New Roman" w:eastAsiaTheme="minorEastAsia" w:hAnsi="Times New Roman" w:cs="Times New Roman"/>
          <w:b/>
          <w:bCs/>
          <w:noProof/>
          <w:sz w:val="24"/>
          <w:szCs w:val="24"/>
          <w:u w:val="single"/>
        </w:rPr>
      </w:pPr>
      <w:bookmarkStart w:id="14" w:name="_Hlk219977967"/>
      <w:r w:rsidRPr="002A2A04">
        <w:rPr>
          <w:rFonts w:ascii="Times New Roman" w:hAnsi="Times New Roman"/>
          <w:b/>
          <w:noProof/>
          <w:sz w:val="24"/>
          <w:u w:val="single"/>
        </w:rPr>
        <w:t>Acțiunea 8: Unirea forțelor pentru reducerea sărăciei energetice</w:t>
      </w:r>
    </w:p>
    <w:bookmarkEnd w:id="14"/>
    <w:p w14:paraId="3118289C" w14:textId="77777777" w:rsidR="00657E1C" w:rsidRPr="002A2A04" w:rsidRDefault="00C23B15">
      <w:pPr>
        <w:widowControl w:val="0"/>
        <w:spacing w:after="120" w:line="240" w:lineRule="auto"/>
        <w:jc w:val="both"/>
        <w:rPr>
          <w:rFonts w:ascii="Times New Roman" w:hAnsi="Times New Roman" w:cs="Times New Roman"/>
          <w:noProof/>
          <w:sz w:val="24"/>
          <w:szCs w:val="24"/>
        </w:rPr>
      </w:pPr>
      <w:r w:rsidRPr="002A2A04">
        <w:rPr>
          <w:rFonts w:ascii="Times New Roman" w:hAnsi="Times New Roman"/>
          <w:noProof/>
          <w:sz w:val="24"/>
        </w:rPr>
        <w:t xml:space="preserve">În 2024, aproximativ </w:t>
      </w:r>
      <w:r w:rsidRPr="002A2A04">
        <w:rPr>
          <w:rFonts w:ascii="Times New Roman" w:hAnsi="Times New Roman"/>
          <w:b/>
          <w:noProof/>
          <w:sz w:val="24"/>
        </w:rPr>
        <w:t>42 de milioane de europeni</w:t>
      </w:r>
      <w:r w:rsidRPr="002A2A04">
        <w:rPr>
          <w:rFonts w:ascii="Times New Roman" w:hAnsi="Times New Roman"/>
          <w:noProof/>
          <w:sz w:val="24"/>
        </w:rPr>
        <w:t xml:space="preserve"> (9,2 % din populația UE) nu au avut posibilitatea de a-și încălzi locuințele în mod adecvat</w:t>
      </w:r>
      <w:r w:rsidRPr="002A2A04">
        <w:rPr>
          <w:rStyle w:val="FootnoteReference"/>
          <w:rFonts w:ascii="Times New Roman" w:hAnsi="Times New Roman" w:cs="Times New Roman"/>
          <w:noProof/>
          <w:sz w:val="24"/>
          <w:szCs w:val="24"/>
        </w:rPr>
        <w:footnoteReference w:id="29"/>
      </w:r>
      <w:r w:rsidRPr="002A2A04">
        <w:rPr>
          <w:rFonts w:ascii="Times New Roman" w:hAnsi="Times New Roman"/>
          <w:noProof/>
          <w:sz w:val="24"/>
        </w:rPr>
        <w:t>. Aceasta reprezintă o situație gravă și inacceptabilă pentru prea mulți cetățeni din UE, cu un impact disproporționat asupra familiilor și a grupurilor de populație expuse riscului de sărăcie sau de discriminare.</w:t>
      </w:r>
    </w:p>
    <w:p w14:paraId="06DAA3F2" w14:textId="28BD2C49" w:rsidR="00657E1C" w:rsidRPr="002A2A04" w:rsidRDefault="00C23B15">
      <w:pPr>
        <w:widowControl w:val="0"/>
        <w:spacing w:after="120" w:line="240" w:lineRule="auto"/>
        <w:jc w:val="both"/>
        <w:rPr>
          <w:rFonts w:ascii="Times New Roman" w:eastAsia="Times New Roman" w:hAnsi="Times New Roman" w:cs="Times New Roman"/>
          <w:noProof/>
          <w:sz w:val="24"/>
          <w:szCs w:val="24"/>
        </w:rPr>
      </w:pPr>
      <w:r w:rsidRPr="002A2A04">
        <w:rPr>
          <w:rFonts w:ascii="Times New Roman" w:hAnsi="Times New Roman"/>
          <w:noProof/>
          <w:sz w:val="24"/>
        </w:rPr>
        <w:t>Cadrul juridic al UE impune statelor membre să abordeze sărăcia energetică și să protejeze consumatorii vulnerabili prin măsuri de politică și acțiuni concrete. Totuși, evaluarea de către Comisie</w:t>
      </w:r>
      <w:r w:rsidRPr="002A2A04">
        <w:rPr>
          <w:rStyle w:val="FootnoteReference"/>
          <w:rFonts w:ascii="Times New Roman" w:hAnsi="Times New Roman" w:cs="Times New Roman"/>
          <w:noProof/>
          <w:sz w:val="24"/>
          <w:szCs w:val="24"/>
        </w:rPr>
        <w:footnoteReference w:id="30"/>
      </w:r>
      <w:r w:rsidRPr="002A2A04">
        <w:rPr>
          <w:rFonts w:ascii="Times New Roman" w:hAnsi="Times New Roman"/>
          <w:noProof/>
          <w:sz w:val="24"/>
        </w:rPr>
        <w:t xml:space="preserve"> a planurilor naționale actualizate privind energia și clima arată</w:t>
      </w:r>
      <w:r w:rsidRPr="002A2A04">
        <w:rPr>
          <w:rFonts w:ascii="Times New Roman" w:hAnsi="Times New Roman"/>
          <w:b/>
          <w:noProof/>
          <w:sz w:val="24"/>
        </w:rPr>
        <w:t xml:space="preserve"> </w:t>
      </w:r>
      <w:r w:rsidRPr="002A2A04">
        <w:rPr>
          <w:rFonts w:ascii="Times New Roman" w:hAnsi="Times New Roman"/>
          <w:noProof/>
          <w:sz w:val="24"/>
        </w:rPr>
        <w:t>că</w:t>
      </w:r>
      <w:r w:rsidRPr="002A2A04">
        <w:rPr>
          <w:rFonts w:ascii="Times New Roman" w:hAnsi="Times New Roman"/>
          <w:b/>
          <w:noProof/>
          <w:sz w:val="24"/>
        </w:rPr>
        <w:t xml:space="preserve"> </w:t>
      </w:r>
      <w:r w:rsidRPr="002A2A04">
        <w:rPr>
          <w:rFonts w:ascii="Times New Roman" w:hAnsi="Times New Roman"/>
          <w:noProof/>
          <w:sz w:val="24"/>
        </w:rPr>
        <w:t xml:space="preserve">aceste </w:t>
      </w:r>
      <w:r w:rsidRPr="002A2A04">
        <w:rPr>
          <w:rFonts w:ascii="Times New Roman" w:hAnsi="Times New Roman"/>
          <w:b/>
          <w:noProof/>
          <w:sz w:val="24"/>
        </w:rPr>
        <w:t>norme nu sunt puse în aplicare în mod uniform la nivelul UE</w:t>
      </w:r>
      <w:r w:rsidRPr="002A2A04">
        <w:rPr>
          <w:rFonts w:ascii="Times New Roman" w:hAnsi="Times New Roman"/>
          <w:noProof/>
          <w:sz w:val="24"/>
        </w:rPr>
        <w:t xml:space="preserve">. Această situație se datorează, în parte, dificultății de a identifica gospodăriile vulnerabile și persoanele afectate de sărăcia energetică și a comunica cu acestea, precum și dificultății de </w:t>
      </w:r>
      <w:r w:rsidRPr="002A2A04">
        <w:rPr>
          <w:rFonts w:ascii="Times New Roman" w:hAnsi="Times New Roman"/>
          <w:b/>
          <w:noProof/>
          <w:sz w:val="24"/>
        </w:rPr>
        <w:t xml:space="preserve">a transpune în mod eficace nevoile în măsuri de sprijin eficiente, </w:t>
      </w:r>
      <w:r w:rsidRPr="002A2A04">
        <w:rPr>
          <w:rFonts w:ascii="Times New Roman" w:hAnsi="Times New Roman"/>
          <w:noProof/>
          <w:sz w:val="24"/>
        </w:rPr>
        <w:t xml:space="preserve">având în vedere caracterul </w:t>
      </w:r>
      <w:r w:rsidRPr="002A2A04">
        <w:rPr>
          <w:rFonts w:ascii="Times New Roman" w:hAnsi="Times New Roman"/>
          <w:b/>
          <w:noProof/>
          <w:sz w:val="24"/>
        </w:rPr>
        <w:t>multidimensional</w:t>
      </w:r>
      <w:r w:rsidRPr="002A2A04">
        <w:rPr>
          <w:rFonts w:ascii="Times New Roman" w:hAnsi="Times New Roman"/>
          <w:noProof/>
          <w:sz w:val="24"/>
        </w:rPr>
        <w:t xml:space="preserve"> al sărăciei energetice și al vulnerabilității. Pentru a ajuta statele membre să își sporească nivelului de ambiție al </w:t>
      </w:r>
      <w:r w:rsidRPr="002A2A04">
        <w:rPr>
          <w:rFonts w:ascii="Times New Roman" w:hAnsi="Times New Roman"/>
          <w:b/>
          <w:noProof/>
          <w:sz w:val="24"/>
        </w:rPr>
        <w:t>planurilor naționale</w:t>
      </w:r>
      <w:r w:rsidRPr="002A2A04">
        <w:rPr>
          <w:rFonts w:ascii="Times New Roman" w:hAnsi="Times New Roman"/>
          <w:noProof/>
          <w:sz w:val="24"/>
        </w:rPr>
        <w:t xml:space="preserve"> și să reducă sărăcia energetică, Comisia va furniza orientări suplimentare și va face schimb de practici eficace și reproductibile. Acestea se vor axa pe abordări naționale și locale de succes vizând combaterea sărăciei energetice și a motivărilor divergente</w:t>
      </w:r>
      <w:r w:rsidRPr="002A2A04">
        <w:rPr>
          <w:rStyle w:val="FootnoteReference"/>
          <w:rFonts w:ascii="Times New Roman" w:hAnsi="Times New Roman" w:cs="Times New Roman"/>
          <w:noProof/>
          <w:sz w:val="24"/>
          <w:szCs w:val="24"/>
        </w:rPr>
        <w:footnoteReference w:id="31"/>
      </w:r>
      <w:r w:rsidRPr="002A2A04">
        <w:rPr>
          <w:rFonts w:ascii="Times New Roman" w:hAnsi="Times New Roman"/>
          <w:noProof/>
          <w:sz w:val="24"/>
        </w:rPr>
        <w:t>, asigurând totodată menținerea stimulentelor pentru economiile de energie și eficiența energetică chiar și în cazul gospodăriilor care beneficiază de prestații sociale pentru a-și acoperi facturile la energie. În conformitate cu Directiva</w:t>
      </w:r>
      <w:r w:rsidRPr="002A2A04">
        <w:rPr>
          <w:noProof/>
        </w:rPr>
        <w:t xml:space="preserve"> (</w:t>
      </w:r>
      <w:r w:rsidRPr="002A2A04">
        <w:rPr>
          <w:rFonts w:ascii="Times New Roman" w:hAnsi="Times New Roman"/>
          <w:noProof/>
          <w:sz w:val="24"/>
        </w:rPr>
        <w:t xml:space="preserve">UE) 2024/1275 privind performanța energetică a clădirilor, Comisia va ajuta, de asemenea, statele membre să își elaboreze </w:t>
      </w:r>
      <w:r w:rsidRPr="002A2A04">
        <w:rPr>
          <w:rFonts w:ascii="Times New Roman" w:hAnsi="Times New Roman"/>
          <w:b/>
          <w:noProof/>
          <w:sz w:val="24"/>
        </w:rPr>
        <w:t>planurile naționale de renovare a clădirilor</w:t>
      </w:r>
      <w:r w:rsidRPr="002A2A04">
        <w:rPr>
          <w:rFonts w:ascii="Times New Roman" w:hAnsi="Times New Roman"/>
          <w:noProof/>
          <w:sz w:val="24"/>
        </w:rPr>
        <w:t xml:space="preserve"> până la sfârșitul anului 2026, în vederea identificării clădirilor cu cele mai slabe performanțe, în care locuiesc cetățenii cei mai vulnerabili, precum și în vederea conceperii unor politici adaptate care să îi ajute să își reducă facturile la energie și să trăiască mai confortabil în locuințele lor, atât iarna, cât și vara. Planurile urmăresc, totodată, integrarea </w:t>
      </w:r>
      <w:r w:rsidRPr="002A2A04">
        <w:rPr>
          <w:rFonts w:ascii="Times New Roman" w:hAnsi="Times New Roman"/>
          <w:b/>
          <w:noProof/>
          <w:sz w:val="24"/>
        </w:rPr>
        <w:t>accesibilității</w:t>
      </w:r>
      <w:r w:rsidRPr="002A2A04">
        <w:rPr>
          <w:rFonts w:ascii="Times New Roman" w:hAnsi="Times New Roman"/>
          <w:noProof/>
          <w:sz w:val="24"/>
        </w:rPr>
        <w:t xml:space="preserve"> pentru persoanele vârstnice și pentru persoanele cu dizabilități în contextul renovărilor.</w:t>
      </w:r>
    </w:p>
    <w:p w14:paraId="0CD02208" w14:textId="77777777" w:rsidR="00657E1C" w:rsidRPr="002A2A04" w:rsidRDefault="00C23B15">
      <w:pPr>
        <w:widowControl w:val="0"/>
        <w:spacing w:after="120" w:line="240" w:lineRule="auto"/>
        <w:jc w:val="both"/>
        <w:rPr>
          <w:rFonts w:ascii="Times New Roman" w:eastAsia="Times New Roman" w:hAnsi="Times New Roman" w:cs="Times New Roman"/>
          <w:noProof/>
          <w:sz w:val="24"/>
          <w:szCs w:val="24"/>
        </w:rPr>
      </w:pPr>
      <w:r w:rsidRPr="002A2A04">
        <w:rPr>
          <w:rFonts w:ascii="Times New Roman" w:hAnsi="Times New Roman"/>
          <w:noProof/>
          <w:sz w:val="24"/>
        </w:rPr>
        <w:t>Pe lângă proiectele vizând sărăcia energetică finanțate din Fondul social pentru climă</w:t>
      </w:r>
      <w:r w:rsidRPr="002A2A04">
        <w:rPr>
          <w:rStyle w:val="FootnoteReference"/>
          <w:rFonts w:ascii="Times New Roman" w:eastAsia="Times New Roman" w:hAnsi="Times New Roman" w:cs="Times New Roman"/>
          <w:noProof/>
          <w:sz w:val="24"/>
          <w:szCs w:val="24"/>
        </w:rPr>
        <w:footnoteReference w:id="32"/>
      </w:r>
      <w:r w:rsidRPr="002A2A04">
        <w:rPr>
          <w:rFonts w:ascii="Times New Roman" w:hAnsi="Times New Roman"/>
          <w:noProof/>
          <w:sz w:val="24"/>
        </w:rPr>
        <w:t>, fondurile politicii de coeziune</w:t>
      </w:r>
      <w:r w:rsidRPr="002A2A04">
        <w:rPr>
          <w:rStyle w:val="FootnoteReference"/>
          <w:rFonts w:ascii="Times New Roman" w:eastAsia="Times New Roman" w:hAnsi="Times New Roman" w:cs="Times New Roman"/>
          <w:noProof/>
          <w:sz w:val="24"/>
          <w:szCs w:val="24"/>
        </w:rPr>
        <w:footnoteReference w:id="33"/>
      </w:r>
      <w:r w:rsidRPr="002A2A04">
        <w:rPr>
          <w:rFonts w:ascii="Times New Roman" w:hAnsi="Times New Roman"/>
          <w:noProof/>
          <w:sz w:val="24"/>
        </w:rPr>
        <w:t xml:space="preserve"> sau alte forme de sprijin furnizate la nivel local prin intermediul Platformei de consiliere privind sărăcia energetică (EPAH), Comisia va lansa </w:t>
      </w:r>
      <w:r w:rsidRPr="002A2A04">
        <w:rPr>
          <w:rFonts w:ascii="Times New Roman" w:hAnsi="Times New Roman"/>
          <w:b/>
          <w:noProof/>
          <w:sz w:val="24"/>
        </w:rPr>
        <w:t>o nouă cerere de propuneri în cadrul programului LIFE</w:t>
      </w:r>
      <w:r w:rsidRPr="002A2A04">
        <w:rPr>
          <w:rStyle w:val="FootnoteReference"/>
          <w:rFonts w:ascii="Times New Roman" w:eastAsia="Times New Roman" w:hAnsi="Times New Roman" w:cs="Times New Roman"/>
          <w:noProof/>
          <w:sz w:val="24"/>
          <w:szCs w:val="24"/>
        </w:rPr>
        <w:footnoteReference w:id="34"/>
      </w:r>
      <w:r w:rsidRPr="002A2A04">
        <w:rPr>
          <w:rFonts w:ascii="Times New Roman" w:hAnsi="Times New Roman"/>
          <w:noProof/>
          <w:sz w:val="24"/>
        </w:rPr>
        <w:t xml:space="preserve"> pentru a finanța proiecte care sprijină autoritățile naționale, regionale și locale în combaterea sărăciei energetice, valorificând experiența a 10 proiecte deja în curs. Aceasta va consolida capacitatea de acțiune a unor actori suplimentari în vederea conceperii și extinderii unor măsuri specifice, menite să le ofere gospodăriilor afectate de sărăcia energetică soluții durabile pentru energie la prețuri accesibile și condiții de viață îmbunătățite. În plus, Comisia va furniza orientări privind modalitățile de protejare a gospodăriilor vulnerabile și a persoanelor afectate de sărăcia energetică în contextul </w:t>
      </w:r>
      <w:r w:rsidRPr="002A2A04">
        <w:rPr>
          <w:rFonts w:ascii="Times New Roman" w:hAnsi="Times New Roman"/>
          <w:b/>
          <w:noProof/>
          <w:sz w:val="24"/>
        </w:rPr>
        <w:t>dezafectării rețelelor de gaze naturale</w:t>
      </w:r>
      <w:r w:rsidRPr="002A2A04">
        <w:rPr>
          <w:rFonts w:ascii="Times New Roman" w:hAnsi="Times New Roman"/>
          <w:noProof/>
          <w:sz w:val="24"/>
        </w:rPr>
        <w:t>.</w:t>
      </w:r>
    </w:p>
    <w:p w14:paraId="27B63957" w14:textId="77777777" w:rsidR="00657E1C" w:rsidRPr="002A2A04" w:rsidRDefault="00657E1C">
      <w:pPr>
        <w:widowControl w:val="0"/>
        <w:spacing w:after="0" w:line="240" w:lineRule="auto"/>
        <w:jc w:val="both"/>
        <w:rPr>
          <w:rFonts w:ascii="Times New Roman" w:eastAsia="Times New Roman" w:hAnsi="Times New Roman" w:cs="Times New Roman"/>
          <w:noProof/>
          <w:sz w:val="24"/>
          <w:szCs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028"/>
      </w:tblGrid>
      <w:tr w:rsidR="00657E1C" w:rsidRPr="002A2A04" w14:paraId="71C99A74" w14:textId="77777777">
        <w:tc>
          <w:tcPr>
            <w:tcW w:w="988" w:type="dxa"/>
            <w:vAlign w:val="center"/>
            <w:hideMark/>
          </w:tcPr>
          <w:p w14:paraId="14C28D6F" w14:textId="77777777" w:rsidR="00657E1C" w:rsidRPr="002A2A04" w:rsidRDefault="00C23B15">
            <w:pPr>
              <w:jc w:val="both"/>
              <w:rPr>
                <w:rFonts w:ascii="Times New Roman" w:hAnsi="Times New Roman" w:cs="Times New Roman"/>
                <w:noProof/>
                <w:sz w:val="24"/>
                <w:szCs w:val="24"/>
              </w:rPr>
            </w:pPr>
            <w:bookmarkStart w:id="15" w:name="_Hlk219977988"/>
            <w:r w:rsidRPr="002A2A04">
              <w:rPr>
                <w:rFonts w:ascii="Times New Roman" w:hAnsi="Times New Roman"/>
                <w:noProof/>
                <w:sz w:val="24"/>
              </w:rPr>
              <w:t>Obiectiv</w:t>
            </w:r>
          </w:p>
        </w:tc>
        <w:tc>
          <w:tcPr>
            <w:tcW w:w="8028" w:type="dxa"/>
            <w:hideMark/>
          </w:tcPr>
          <w:p w14:paraId="06B8921A" w14:textId="77777777" w:rsidR="00657E1C" w:rsidRPr="002A2A04" w:rsidRDefault="00C23B15">
            <w:pPr>
              <w:jc w:val="both"/>
              <w:rPr>
                <w:rFonts w:ascii="Times New Roman" w:hAnsi="Times New Roman" w:cs="Times New Roman"/>
                <w:b/>
                <w:bCs/>
                <w:noProof/>
                <w:sz w:val="24"/>
                <w:szCs w:val="24"/>
              </w:rPr>
            </w:pPr>
            <w:r w:rsidRPr="002A2A04">
              <w:rPr>
                <w:rFonts w:ascii="Times New Roman" w:hAnsi="Times New Roman"/>
                <w:b/>
                <w:noProof/>
                <w:sz w:val="24"/>
              </w:rPr>
              <w:t xml:space="preserve">Sprijinirea autorităților naționale și locale în adoptarea unor măsuri concrete pentru reducerea numărului de persoane afectate de sărăcia energetică și pentru protejarea consumatorilor vulnerabili, în vederea asigurării unei tranziții energetice echitabile și juste. </w:t>
            </w:r>
          </w:p>
        </w:tc>
      </w:tr>
      <w:tr w:rsidR="00657E1C" w:rsidRPr="002A2A04" w14:paraId="7A3D432A" w14:textId="77777777">
        <w:tc>
          <w:tcPr>
            <w:tcW w:w="988" w:type="dxa"/>
            <w:vAlign w:val="center"/>
          </w:tcPr>
          <w:p w14:paraId="5E373805" w14:textId="77777777" w:rsidR="00657E1C" w:rsidRPr="002A2A04" w:rsidRDefault="00C23B15">
            <w:pPr>
              <w:jc w:val="both"/>
              <w:rPr>
                <w:rFonts w:ascii="Times New Roman" w:hAnsi="Times New Roman" w:cs="Times New Roman"/>
                <w:noProof/>
                <w:sz w:val="24"/>
                <w:szCs w:val="24"/>
              </w:rPr>
            </w:pPr>
            <w:r w:rsidRPr="002A2A04">
              <w:rPr>
                <w:rFonts w:ascii="Times New Roman" w:hAnsi="Times New Roman"/>
                <w:noProof/>
                <w:sz w:val="24"/>
              </w:rPr>
              <w:t>Rezultat</w:t>
            </w:r>
          </w:p>
        </w:tc>
        <w:tc>
          <w:tcPr>
            <w:tcW w:w="8028" w:type="dxa"/>
            <w:vAlign w:val="center"/>
          </w:tcPr>
          <w:p w14:paraId="076CF69B" w14:textId="77777777" w:rsidR="00657E1C" w:rsidRPr="002A2A04" w:rsidRDefault="00C23B15">
            <w:pPr>
              <w:widowControl w:val="0"/>
              <w:jc w:val="both"/>
              <w:rPr>
                <w:rFonts w:ascii="Times New Roman" w:eastAsia="Times New Roman" w:hAnsi="Times New Roman" w:cs="Times New Roman"/>
                <w:noProof/>
                <w:sz w:val="24"/>
                <w:szCs w:val="24"/>
              </w:rPr>
            </w:pPr>
            <w:r w:rsidRPr="002A2A04">
              <w:rPr>
                <w:rFonts w:ascii="Times New Roman" w:hAnsi="Times New Roman"/>
                <w:noProof/>
                <w:sz w:val="24"/>
              </w:rPr>
              <w:t xml:space="preserve">Politici mai coerente și mai bine direcționate pentru gospodăriile vulnerabile care se confruntă cu sărăcia energetică sau sunt expuse riscului de sărăcie energetică; un acces mai rapid, mai echitabil și mai puțin costisitor la soluții structurale (de exemplu, renovări); o reducere progresivă și măsurabilă a sărăciei energetice și a problemelor de sănătate și sociale conexe la nivelul UE. </w:t>
            </w:r>
          </w:p>
        </w:tc>
      </w:tr>
      <w:tr w:rsidR="00657E1C" w:rsidRPr="002A2A04" w14:paraId="0DAB1844" w14:textId="77777777">
        <w:tc>
          <w:tcPr>
            <w:tcW w:w="988" w:type="dxa"/>
            <w:vAlign w:val="center"/>
            <w:hideMark/>
          </w:tcPr>
          <w:p w14:paraId="1B469E91" w14:textId="77777777" w:rsidR="00657E1C" w:rsidRPr="002A2A04" w:rsidRDefault="00C23B15">
            <w:pPr>
              <w:jc w:val="both"/>
              <w:rPr>
                <w:rFonts w:ascii="Times New Roman" w:hAnsi="Times New Roman" w:cs="Times New Roman"/>
                <w:noProof/>
                <w:sz w:val="24"/>
                <w:szCs w:val="24"/>
              </w:rPr>
            </w:pPr>
            <w:r w:rsidRPr="002A2A04">
              <w:rPr>
                <w:rFonts w:ascii="Times New Roman" w:hAnsi="Times New Roman"/>
                <w:noProof/>
                <w:sz w:val="24"/>
              </w:rPr>
              <w:t>Realizare</w:t>
            </w:r>
          </w:p>
        </w:tc>
        <w:tc>
          <w:tcPr>
            <w:tcW w:w="8028" w:type="dxa"/>
            <w:vAlign w:val="center"/>
            <w:hideMark/>
          </w:tcPr>
          <w:p w14:paraId="7F3DE156" w14:textId="77777777" w:rsidR="00657E1C" w:rsidRPr="002A2A04" w:rsidRDefault="00C23B15">
            <w:pPr>
              <w:widowControl w:val="0"/>
              <w:jc w:val="both"/>
              <w:rPr>
                <w:rFonts w:ascii="Times New Roman" w:eastAsia="Times New Roman" w:hAnsi="Times New Roman" w:cs="Times New Roman"/>
                <w:noProof/>
                <w:sz w:val="24"/>
                <w:szCs w:val="24"/>
              </w:rPr>
            </w:pPr>
            <w:r w:rsidRPr="002A2A04">
              <w:rPr>
                <w:rFonts w:ascii="Times New Roman" w:hAnsi="Times New Roman"/>
                <w:noProof/>
                <w:sz w:val="24"/>
              </w:rPr>
              <w:t>Comisia va întreprinde următoarele acțiuni:</w:t>
            </w:r>
          </w:p>
          <w:p w14:paraId="03FA9715" w14:textId="77777777" w:rsidR="00657E1C" w:rsidRPr="002A2A04" w:rsidRDefault="00C23B15">
            <w:pPr>
              <w:pStyle w:val="ListParagraph"/>
              <w:widowControl w:val="0"/>
              <w:numPr>
                <w:ilvl w:val="0"/>
                <w:numId w:val="21"/>
              </w:numPr>
              <w:jc w:val="both"/>
              <w:rPr>
                <w:rFonts w:ascii="Times New Roman" w:eastAsia="Times New Roman" w:hAnsi="Times New Roman" w:cs="Times New Roman"/>
                <w:noProof/>
                <w:sz w:val="24"/>
                <w:szCs w:val="24"/>
              </w:rPr>
            </w:pPr>
            <w:r w:rsidRPr="002A2A04">
              <w:rPr>
                <w:rFonts w:ascii="Times New Roman" w:hAnsi="Times New Roman"/>
                <w:noProof/>
                <w:sz w:val="24"/>
              </w:rPr>
              <w:t xml:space="preserve">actualizarea </w:t>
            </w:r>
            <w:r w:rsidRPr="002A2A04">
              <w:rPr>
                <w:rFonts w:ascii="Times New Roman" w:hAnsi="Times New Roman"/>
                <w:b/>
                <w:noProof/>
                <w:sz w:val="24"/>
              </w:rPr>
              <w:t>Recomandării privind sărăcia energetică</w:t>
            </w:r>
            <w:r w:rsidRPr="002A2A04">
              <w:rPr>
                <w:rStyle w:val="FootnoteReference"/>
                <w:rFonts w:ascii="Times New Roman" w:eastAsia="Times New Roman, Aptos" w:hAnsi="Times New Roman" w:cs="Times New Roman"/>
                <w:noProof/>
                <w:sz w:val="24"/>
                <w:szCs w:val="24"/>
              </w:rPr>
              <w:footnoteReference w:id="35"/>
            </w:r>
            <w:r w:rsidRPr="002A2A04">
              <w:rPr>
                <w:rFonts w:ascii="Times New Roman" w:hAnsi="Times New Roman"/>
                <w:noProof/>
                <w:sz w:val="24"/>
              </w:rPr>
              <w:t>, în scopul furnizării de analize suplimentare și al schimbului de bune practici și de practici reproductibile. Aceasta va include practici care abordează cu succes sărăcia energetică și elimină motivațiile divergente, utilizează instrumente digitale, simplifică interacțiunea cu cetățenii vulnerabili, pun în aplicare măsuri transsectoriale pentru protejarea cetățenilor împotriva valurilor de căldură, promovează instrumente inovatoare de finanțare pentru măsurile de eficiență energetică și evidențiază modul în care partajarea energiei și comunitățile de energie pot avea o contribuție eficace la atenuarea sărăciei energetice (T4 2026);</w:t>
            </w:r>
          </w:p>
          <w:p w14:paraId="3F82B767" w14:textId="77777777" w:rsidR="00657E1C" w:rsidRPr="002A2A04" w:rsidRDefault="00C23B15">
            <w:pPr>
              <w:pStyle w:val="ListParagraph"/>
              <w:widowControl w:val="0"/>
              <w:numPr>
                <w:ilvl w:val="0"/>
                <w:numId w:val="21"/>
              </w:numPr>
              <w:jc w:val="both"/>
              <w:rPr>
                <w:rFonts w:ascii="Times New Roman" w:eastAsia="Times New Roman" w:hAnsi="Times New Roman" w:cs="Times New Roman"/>
                <w:noProof/>
                <w:sz w:val="24"/>
                <w:szCs w:val="24"/>
              </w:rPr>
            </w:pPr>
            <w:r w:rsidRPr="002A2A04">
              <w:rPr>
                <w:rFonts w:ascii="Times New Roman" w:hAnsi="Times New Roman"/>
                <w:noProof/>
                <w:sz w:val="24"/>
              </w:rPr>
              <w:t xml:space="preserve">continuarea furnizării de </w:t>
            </w:r>
            <w:r w:rsidRPr="002A2A04">
              <w:rPr>
                <w:rFonts w:ascii="Times New Roman" w:hAnsi="Times New Roman"/>
                <w:b/>
                <w:noProof/>
                <w:sz w:val="24"/>
              </w:rPr>
              <w:t>asistență tehnică</w:t>
            </w:r>
            <w:r w:rsidRPr="002A2A04">
              <w:rPr>
                <w:rFonts w:ascii="Times New Roman" w:hAnsi="Times New Roman"/>
                <w:noProof/>
                <w:sz w:val="24"/>
              </w:rPr>
              <w:t xml:space="preserve"> și de orientări suplimentare către autoritățile naționale, regionale și locale, pentru ca politicile și măsurile adoptate să îi vizeze în mod eficace pe cetățenii vulnerabili (2026–2028) și</w:t>
            </w:r>
          </w:p>
          <w:p w14:paraId="14C2BBCB" w14:textId="77777777" w:rsidR="00657E1C" w:rsidRPr="002A2A04" w:rsidRDefault="00C23B15">
            <w:pPr>
              <w:pStyle w:val="ListParagraph"/>
              <w:widowControl w:val="0"/>
              <w:numPr>
                <w:ilvl w:val="0"/>
                <w:numId w:val="21"/>
              </w:numPr>
              <w:jc w:val="both"/>
              <w:rPr>
                <w:rFonts w:ascii="Times New Roman" w:eastAsia="Times New Roman" w:hAnsi="Times New Roman" w:cs="Times New Roman"/>
                <w:noProof/>
                <w:sz w:val="24"/>
                <w:szCs w:val="24"/>
              </w:rPr>
            </w:pPr>
            <w:r w:rsidRPr="002A2A04">
              <w:rPr>
                <w:rFonts w:ascii="Times New Roman" w:hAnsi="Times New Roman"/>
                <w:noProof/>
                <w:sz w:val="24"/>
              </w:rPr>
              <w:t xml:space="preserve">sprijinirea autorităților naționale, regionale și locale în adoptarea de măsuri eficiente, direcționate către cetățenii care se confruntă cu sărăcia energetică, prin finanțarea de </w:t>
            </w:r>
            <w:r w:rsidRPr="002A2A04">
              <w:rPr>
                <w:rFonts w:ascii="Times New Roman" w:hAnsi="Times New Roman"/>
                <w:b/>
                <w:noProof/>
                <w:sz w:val="24"/>
              </w:rPr>
              <w:t xml:space="preserve">noi proiecte în cadrul programului LIFE </w:t>
            </w:r>
            <w:r w:rsidRPr="002A2A04">
              <w:rPr>
                <w:rFonts w:ascii="Times New Roman" w:hAnsi="Times New Roman"/>
                <w:noProof/>
                <w:sz w:val="24"/>
              </w:rPr>
              <w:t>destinate combaterii sărăciei energetice. Comisia va derula acțiuni de comunicare și informare adaptate pentru a-i informa pe cetățenii vulnerabili și pe cei afectați de sărăcia energetică cu privire la oportunitățile rentabile de economisire a energiei (2026–2027).</w:t>
            </w:r>
          </w:p>
        </w:tc>
      </w:tr>
    </w:tbl>
    <w:p w14:paraId="77CEA10C" w14:textId="77777777" w:rsidR="00657E1C" w:rsidRPr="002A2A04" w:rsidRDefault="00657E1C">
      <w:pPr>
        <w:rPr>
          <w:rFonts w:ascii="Times New Roman" w:hAnsi="Times New Roman" w:cs="Times New Roman"/>
          <w:b/>
          <w:bCs/>
          <w:noProof/>
          <w:sz w:val="24"/>
          <w:szCs w:val="24"/>
          <w:u w:val="single"/>
        </w:rPr>
      </w:pPr>
      <w:bookmarkStart w:id="16" w:name="_Hlk219978000"/>
      <w:bookmarkEnd w:id="15"/>
    </w:p>
    <w:p w14:paraId="4D0539FA" w14:textId="77777777" w:rsidR="00657E1C" w:rsidRPr="002A2A04" w:rsidRDefault="00C23B15">
      <w:pPr>
        <w:rPr>
          <w:rFonts w:ascii="Times New Roman" w:hAnsi="Times New Roman" w:cs="Times New Roman"/>
          <w:b/>
          <w:bCs/>
          <w:noProof/>
          <w:sz w:val="24"/>
          <w:szCs w:val="24"/>
          <w:u w:val="single"/>
        </w:rPr>
      </w:pPr>
      <w:r w:rsidRPr="002A2A04">
        <w:rPr>
          <w:rFonts w:ascii="Times New Roman" w:hAnsi="Times New Roman"/>
          <w:b/>
          <w:noProof/>
          <w:sz w:val="24"/>
          <w:u w:val="single"/>
        </w:rPr>
        <w:t xml:space="preserve">Acțiunea 9: Protejarea cetățenilor vulnerabili împotriva debranșărilor de la alimentarea cu energie electrică </w:t>
      </w:r>
    </w:p>
    <w:bookmarkEnd w:id="16"/>
    <w:p w14:paraId="5C8E05F5" w14:textId="77777777" w:rsidR="00657E1C" w:rsidRPr="002A2A04" w:rsidRDefault="00C23B15">
      <w:pPr>
        <w:tabs>
          <w:tab w:val="left" w:pos="2552"/>
        </w:tabs>
        <w:spacing w:line="240" w:lineRule="auto"/>
        <w:jc w:val="both"/>
        <w:rPr>
          <w:rFonts w:ascii="Times New Roman" w:hAnsi="Times New Roman" w:cs="Times New Roman"/>
          <w:noProof/>
          <w:sz w:val="24"/>
          <w:szCs w:val="24"/>
        </w:rPr>
      </w:pPr>
      <w:r w:rsidRPr="002A2A04">
        <w:rPr>
          <w:rFonts w:ascii="Times New Roman" w:hAnsi="Times New Roman"/>
          <w:noProof/>
          <w:sz w:val="24"/>
        </w:rPr>
        <w:t xml:space="preserve">Pentru mulți cetățeni ai UE, inclusiv pentru cei care se confruntă deja cu sărăcia energetică, </w:t>
      </w:r>
      <w:r w:rsidRPr="002A2A04">
        <w:rPr>
          <w:rFonts w:ascii="Times New Roman" w:hAnsi="Times New Roman"/>
          <w:b/>
          <w:noProof/>
          <w:sz w:val="24"/>
        </w:rPr>
        <w:t>incapacitatea de a plăti facturile la energie</w:t>
      </w:r>
      <w:r w:rsidRPr="002A2A04">
        <w:rPr>
          <w:rFonts w:ascii="Times New Roman" w:hAnsi="Times New Roman"/>
          <w:noProof/>
          <w:sz w:val="24"/>
        </w:rPr>
        <w:t xml:space="preserve"> reprezintă o preocupare suplimentară presantă, întrucât acest lucru îi expune riscului de debranșare de la alimentarea cu energie electrică și gaze, având un impact grav asupra calității vieții și a sănătății lor, inclusiv a sănătății mintale. În 2024, aproximativ </w:t>
      </w:r>
      <w:r w:rsidRPr="002A2A04">
        <w:rPr>
          <w:rFonts w:ascii="Times New Roman" w:hAnsi="Times New Roman"/>
          <w:b/>
          <w:noProof/>
          <w:sz w:val="24"/>
        </w:rPr>
        <w:t>31 de milioane de europeni au înregistrat întârzieri la plata facturilor la utilități</w:t>
      </w:r>
      <w:r w:rsidRPr="002A2A04">
        <w:rPr>
          <w:rStyle w:val="FootnoteReference"/>
          <w:rFonts w:ascii="Times New Roman" w:hAnsi="Times New Roman" w:cs="Times New Roman"/>
          <w:noProof/>
          <w:sz w:val="24"/>
          <w:szCs w:val="24"/>
        </w:rPr>
        <w:footnoteReference w:id="36"/>
      </w:r>
      <w:r w:rsidRPr="002A2A04">
        <w:rPr>
          <w:rFonts w:ascii="Times New Roman" w:hAnsi="Times New Roman"/>
          <w:noProof/>
          <w:sz w:val="24"/>
        </w:rPr>
        <w:t>.</w:t>
      </w:r>
    </w:p>
    <w:p w14:paraId="4F87758C" w14:textId="77777777" w:rsidR="00657E1C" w:rsidRPr="002A2A04" w:rsidRDefault="00C23B15">
      <w:pPr>
        <w:spacing w:after="0" w:line="240" w:lineRule="auto"/>
        <w:jc w:val="both"/>
        <w:rPr>
          <w:rFonts w:ascii="Times New Roman" w:hAnsi="Times New Roman" w:cs="Times New Roman"/>
          <w:noProof/>
          <w:sz w:val="24"/>
          <w:szCs w:val="24"/>
        </w:rPr>
      </w:pPr>
      <w:r w:rsidRPr="002A2A04">
        <w:rPr>
          <w:rFonts w:ascii="Times New Roman" w:hAnsi="Times New Roman"/>
          <w:noProof/>
          <w:sz w:val="24"/>
        </w:rPr>
        <w:t xml:space="preserve">Comisia va colabora cu statele membre, cu autoritățile naționale de reglementare, cu furnizorii de energie, cu organizațiile de consumatori și cu alte părți interesate relevante pentru a institui sisteme la nivel național în vederea identificării </w:t>
      </w:r>
      <w:r w:rsidRPr="002A2A04">
        <w:rPr>
          <w:rFonts w:ascii="Times New Roman" w:hAnsi="Times New Roman"/>
          <w:b/>
          <w:noProof/>
          <w:sz w:val="24"/>
        </w:rPr>
        <w:t xml:space="preserve">semnalelor de alertă timpurie </w:t>
      </w:r>
      <w:r w:rsidRPr="002A2A04">
        <w:rPr>
          <w:rFonts w:ascii="Times New Roman" w:hAnsi="Times New Roman"/>
          <w:noProof/>
          <w:sz w:val="24"/>
        </w:rPr>
        <w:t xml:space="preserve">atunci când gospodăriile întâmpină dificultăți la plata facturilor la energie. Scopul este de a sprijini întreprinderile din sectorul energetic, astfel încât acestea să intervină și să ofere sprijin gospodăriilor respective înainte ca problema să se agraveze. În plus, Comisia va promova bune practici privind prevenirea debranșărilor de la alimentarea cu energie electrică și protecția împotriva acestora, inclusiv </w:t>
      </w:r>
      <w:r w:rsidRPr="002A2A04">
        <w:rPr>
          <w:rFonts w:ascii="Times New Roman" w:hAnsi="Times New Roman"/>
          <w:b/>
          <w:noProof/>
          <w:sz w:val="24"/>
        </w:rPr>
        <w:t>scheme de gestionare a datoriilor</w:t>
      </w:r>
      <w:r w:rsidRPr="002A2A04">
        <w:rPr>
          <w:rFonts w:ascii="Times New Roman" w:hAnsi="Times New Roman"/>
          <w:noProof/>
          <w:sz w:val="24"/>
        </w:rPr>
        <w:t xml:space="preserve">. </w:t>
      </w:r>
    </w:p>
    <w:p w14:paraId="1AB56B21" w14:textId="77777777" w:rsidR="00657E1C" w:rsidRPr="002A2A04" w:rsidRDefault="00657E1C">
      <w:pPr>
        <w:spacing w:after="0" w:line="240" w:lineRule="auto"/>
        <w:jc w:val="both"/>
        <w:rPr>
          <w:rFonts w:ascii="Times New Roman" w:hAnsi="Times New Roman" w:cs="Times New Roman"/>
          <w:noProof/>
          <w:sz w:val="24"/>
          <w:szCs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7894"/>
      </w:tblGrid>
      <w:tr w:rsidR="00657E1C" w:rsidRPr="002A2A04" w14:paraId="3C765A17" w14:textId="77777777">
        <w:tc>
          <w:tcPr>
            <w:tcW w:w="0" w:type="auto"/>
            <w:vAlign w:val="center"/>
            <w:hideMark/>
          </w:tcPr>
          <w:p w14:paraId="3CDBA0B6" w14:textId="77777777" w:rsidR="00657E1C" w:rsidRPr="002A2A04" w:rsidRDefault="00C23B15">
            <w:pPr>
              <w:rPr>
                <w:rFonts w:ascii="Times New Roman" w:hAnsi="Times New Roman" w:cs="Times New Roman"/>
                <w:bCs/>
                <w:noProof/>
                <w:sz w:val="24"/>
                <w:szCs w:val="24"/>
              </w:rPr>
            </w:pPr>
            <w:bookmarkStart w:id="17" w:name="_Hlk219978012"/>
            <w:r w:rsidRPr="002A2A04">
              <w:rPr>
                <w:rFonts w:ascii="Times New Roman" w:hAnsi="Times New Roman"/>
                <w:noProof/>
                <w:sz w:val="24"/>
              </w:rPr>
              <w:t>Obiectiv</w:t>
            </w:r>
          </w:p>
        </w:tc>
        <w:tc>
          <w:tcPr>
            <w:tcW w:w="0" w:type="auto"/>
            <w:vAlign w:val="center"/>
            <w:hideMark/>
          </w:tcPr>
          <w:p w14:paraId="50B14A25" w14:textId="77777777" w:rsidR="00657E1C" w:rsidRPr="002A2A04" w:rsidRDefault="00C23B15">
            <w:pPr>
              <w:rPr>
                <w:rFonts w:ascii="Times New Roman" w:hAnsi="Times New Roman" w:cs="Times New Roman"/>
                <w:b/>
                <w:bCs/>
                <w:noProof/>
                <w:sz w:val="24"/>
                <w:szCs w:val="24"/>
              </w:rPr>
            </w:pPr>
            <w:r w:rsidRPr="002A2A04">
              <w:rPr>
                <w:rFonts w:ascii="Times New Roman" w:hAnsi="Times New Roman"/>
                <w:b/>
                <w:noProof/>
                <w:sz w:val="24"/>
              </w:rPr>
              <w:t>O mai bună protecție a cetățenilor vulnerabili și afectați de sărăcia energetică expuși riscului de debranșare de la alimentarea cu energie electrică, prin sisteme de alertă timpurie și scheme de gestionare a datoriilor.</w:t>
            </w:r>
          </w:p>
        </w:tc>
      </w:tr>
      <w:tr w:rsidR="00657E1C" w:rsidRPr="002A2A04" w14:paraId="485782E7" w14:textId="77777777">
        <w:tc>
          <w:tcPr>
            <w:tcW w:w="0" w:type="auto"/>
            <w:vAlign w:val="center"/>
          </w:tcPr>
          <w:p w14:paraId="236AE65F" w14:textId="77777777" w:rsidR="00657E1C" w:rsidRPr="002A2A04" w:rsidRDefault="00C23B15">
            <w:pPr>
              <w:rPr>
                <w:rFonts w:ascii="Times New Roman" w:hAnsi="Times New Roman" w:cs="Times New Roman"/>
                <w:bCs/>
                <w:noProof/>
                <w:sz w:val="24"/>
                <w:szCs w:val="24"/>
              </w:rPr>
            </w:pPr>
            <w:r w:rsidRPr="002A2A04">
              <w:rPr>
                <w:rFonts w:ascii="Times New Roman" w:hAnsi="Times New Roman"/>
                <w:noProof/>
                <w:sz w:val="24"/>
              </w:rPr>
              <w:t>Rezultat</w:t>
            </w:r>
          </w:p>
        </w:tc>
        <w:tc>
          <w:tcPr>
            <w:tcW w:w="0" w:type="auto"/>
            <w:vAlign w:val="center"/>
          </w:tcPr>
          <w:p w14:paraId="57147EF6" w14:textId="77777777" w:rsidR="00657E1C" w:rsidRPr="002A2A04" w:rsidRDefault="00C23B15">
            <w:pPr>
              <w:jc w:val="both"/>
              <w:rPr>
                <w:rFonts w:ascii="Times New Roman" w:hAnsi="Times New Roman" w:cs="Times New Roman"/>
                <w:noProof/>
                <w:sz w:val="24"/>
                <w:szCs w:val="24"/>
              </w:rPr>
            </w:pPr>
            <w:r w:rsidRPr="002A2A04">
              <w:rPr>
                <w:rFonts w:ascii="Times New Roman" w:hAnsi="Times New Roman"/>
                <w:noProof/>
                <w:sz w:val="24"/>
              </w:rPr>
              <w:t>Mai puține debranșări de la alimentarea cu energie electrică; protecția consecventă a consumatorilor vulnerabili din întreaga UE; reducerea vulnerabilității; îmbunătățirea justiției sociale, a sănătății și a stării de bine.</w:t>
            </w:r>
          </w:p>
        </w:tc>
      </w:tr>
      <w:tr w:rsidR="00657E1C" w:rsidRPr="002A2A04" w14:paraId="430AE50C" w14:textId="77777777">
        <w:tc>
          <w:tcPr>
            <w:tcW w:w="0" w:type="auto"/>
            <w:vAlign w:val="center"/>
            <w:hideMark/>
          </w:tcPr>
          <w:p w14:paraId="6045A218" w14:textId="77777777" w:rsidR="00657E1C" w:rsidRPr="002A2A04" w:rsidRDefault="00C23B15">
            <w:pPr>
              <w:rPr>
                <w:rFonts w:ascii="Times New Roman" w:hAnsi="Times New Roman" w:cs="Times New Roman"/>
                <w:bCs/>
                <w:noProof/>
                <w:sz w:val="24"/>
                <w:szCs w:val="24"/>
              </w:rPr>
            </w:pPr>
            <w:r w:rsidRPr="002A2A04">
              <w:rPr>
                <w:rFonts w:ascii="Times New Roman" w:hAnsi="Times New Roman"/>
                <w:noProof/>
                <w:sz w:val="24"/>
              </w:rPr>
              <w:t>Realizare</w:t>
            </w:r>
          </w:p>
        </w:tc>
        <w:tc>
          <w:tcPr>
            <w:tcW w:w="0" w:type="auto"/>
            <w:vAlign w:val="center"/>
            <w:hideMark/>
          </w:tcPr>
          <w:p w14:paraId="6A686C2D" w14:textId="77777777" w:rsidR="00657E1C" w:rsidRPr="002A2A04" w:rsidRDefault="00C23B15">
            <w:pPr>
              <w:jc w:val="both"/>
              <w:rPr>
                <w:rFonts w:ascii="Times New Roman" w:hAnsi="Times New Roman" w:cs="Times New Roman"/>
                <w:noProof/>
                <w:sz w:val="24"/>
                <w:szCs w:val="24"/>
              </w:rPr>
            </w:pPr>
            <w:r w:rsidRPr="002A2A04">
              <w:rPr>
                <w:rFonts w:ascii="Times New Roman" w:hAnsi="Times New Roman"/>
                <w:noProof/>
                <w:sz w:val="24"/>
              </w:rPr>
              <w:t xml:space="preserve">Comisia va elabora </w:t>
            </w:r>
            <w:r w:rsidRPr="002A2A04">
              <w:rPr>
                <w:rFonts w:ascii="Times New Roman" w:hAnsi="Times New Roman"/>
                <w:b/>
                <w:noProof/>
                <w:sz w:val="24"/>
              </w:rPr>
              <w:t>orientări</w:t>
            </w:r>
            <w:r w:rsidRPr="002A2A04">
              <w:rPr>
                <w:rFonts w:ascii="Times New Roman" w:hAnsi="Times New Roman"/>
                <w:noProof/>
                <w:sz w:val="24"/>
              </w:rPr>
              <w:t xml:space="preserve"> de sprijin și va organiza cursuri de formare pentru autoritățile naționale și locale cu privire la conceperea și punerea în aplicare a </w:t>
            </w:r>
            <w:r w:rsidRPr="002A2A04">
              <w:rPr>
                <w:rFonts w:ascii="Times New Roman" w:hAnsi="Times New Roman"/>
                <w:b/>
                <w:noProof/>
                <w:sz w:val="24"/>
              </w:rPr>
              <w:t>garanțiilor împotriva debranșării de la alimentarea cu energie electrică</w:t>
            </w:r>
            <w:r w:rsidRPr="002A2A04">
              <w:rPr>
                <w:rFonts w:ascii="Times New Roman" w:hAnsi="Times New Roman"/>
                <w:noProof/>
                <w:sz w:val="24"/>
              </w:rPr>
              <w:t>,</w:t>
            </w:r>
            <w:r w:rsidRPr="002A2A04">
              <w:rPr>
                <w:rFonts w:ascii="Times New Roman" w:hAnsi="Times New Roman"/>
                <w:b/>
                <w:noProof/>
                <w:sz w:val="24"/>
              </w:rPr>
              <w:t xml:space="preserve"> </w:t>
            </w:r>
            <w:r w:rsidRPr="002A2A04">
              <w:rPr>
                <w:rFonts w:ascii="Times New Roman" w:hAnsi="Times New Roman"/>
                <w:noProof/>
                <w:sz w:val="24"/>
              </w:rPr>
              <w:t>promovând totodată cele mai bune practici prin ateliere, evenimente și publicații specifice (T2–T3 2026) și va oferi informații cu privire la sprijinul disponibil prin acțiuni de comunicare specifice (pe parcursul anului 2026).</w:t>
            </w:r>
          </w:p>
        </w:tc>
      </w:tr>
      <w:bookmarkEnd w:id="17"/>
    </w:tbl>
    <w:p w14:paraId="1401CA04" w14:textId="77777777" w:rsidR="00657E1C" w:rsidRPr="002A2A04" w:rsidRDefault="00657E1C">
      <w:pPr>
        <w:spacing w:after="0" w:line="240" w:lineRule="auto"/>
        <w:jc w:val="both"/>
        <w:rPr>
          <w:rFonts w:ascii="Times New Roman" w:eastAsia="Times New Roman" w:hAnsi="Times New Roman" w:cs="Times New Roman"/>
          <w:noProof/>
          <w:sz w:val="24"/>
          <w:szCs w:val="24"/>
        </w:rPr>
      </w:pPr>
    </w:p>
    <w:p w14:paraId="23AFA7F6" w14:textId="77777777" w:rsidR="00657E1C" w:rsidRPr="002A2A04" w:rsidRDefault="00C23B15">
      <w:pPr>
        <w:jc w:val="center"/>
        <w:rPr>
          <w:rFonts w:ascii="Times New Roman" w:hAnsi="Times New Roman" w:cs="Times New Roman"/>
          <w:b/>
          <w:bCs/>
          <w:smallCaps/>
          <w:noProof/>
          <w:sz w:val="24"/>
          <w:szCs w:val="24"/>
          <w:u w:val="single"/>
        </w:rPr>
      </w:pPr>
      <w:r w:rsidRPr="002A2A04">
        <w:rPr>
          <w:rFonts w:ascii="Times New Roman" w:hAnsi="Times New Roman"/>
          <w:b/>
          <w:smallCaps/>
          <w:noProof/>
          <w:sz w:val="24"/>
          <w:u w:val="single"/>
        </w:rPr>
        <w:t>Pilonul IV: Punerea în aplicare a legislației UE existente</w:t>
      </w:r>
    </w:p>
    <w:p w14:paraId="24CB5E29" w14:textId="77777777" w:rsidR="00657E1C" w:rsidRPr="002A2A04" w:rsidRDefault="00C23B15">
      <w:pPr>
        <w:spacing w:after="120" w:line="240" w:lineRule="auto"/>
        <w:jc w:val="both"/>
        <w:rPr>
          <w:rFonts w:ascii="Times New Roman" w:eastAsia="Times New Roman" w:hAnsi="Times New Roman" w:cs="Times New Roman"/>
          <w:noProof/>
          <w:sz w:val="24"/>
          <w:szCs w:val="24"/>
        </w:rPr>
      </w:pPr>
      <w:r w:rsidRPr="002A2A04">
        <w:rPr>
          <w:rFonts w:ascii="Times New Roman" w:hAnsi="Times New Roman"/>
          <w:noProof/>
          <w:color w:val="000000" w:themeColor="text1"/>
          <w:sz w:val="24"/>
        </w:rPr>
        <w:t xml:space="preserve">Cetățenii europeni beneficiază de un cadru robust de protecție a consumatorilor instituit prin legislația UE; cu toate acestea, </w:t>
      </w:r>
      <w:r w:rsidRPr="002A2A04">
        <w:rPr>
          <w:rFonts w:ascii="Times New Roman" w:hAnsi="Times New Roman"/>
          <w:b/>
          <w:noProof/>
          <w:color w:val="000000" w:themeColor="text1"/>
          <w:sz w:val="24"/>
        </w:rPr>
        <w:t>punerea în aplicare rămâne inegală</w:t>
      </w:r>
      <w:r w:rsidRPr="002A2A04">
        <w:rPr>
          <w:rFonts w:ascii="Times New Roman" w:hAnsi="Times New Roman"/>
          <w:noProof/>
          <w:color w:val="000000" w:themeColor="text1"/>
          <w:sz w:val="24"/>
        </w:rPr>
        <w:t xml:space="preserve">. În lipsa unei puneri în aplicare eficace la nivel local, decalajul dintre ambițiile UE și experiența concretă a cetățenilor va persista. </w:t>
      </w:r>
      <w:r w:rsidRPr="002A2A04">
        <w:rPr>
          <w:rFonts w:ascii="Times New Roman" w:hAnsi="Times New Roman"/>
          <w:b/>
          <w:noProof/>
          <w:sz w:val="24"/>
        </w:rPr>
        <w:t>Autoritățile locale</w:t>
      </w:r>
      <w:r w:rsidRPr="002A2A04">
        <w:rPr>
          <w:rFonts w:ascii="Times New Roman" w:hAnsi="Times New Roman"/>
          <w:noProof/>
          <w:sz w:val="24"/>
        </w:rPr>
        <w:t xml:space="preserve"> au un rol esențial în sprijinirea și implicarea cetățenilor, însă sunt adesea insuficient implicate în elaborarea politicilor și </w:t>
      </w:r>
      <w:r w:rsidRPr="002A2A04">
        <w:rPr>
          <w:rFonts w:ascii="Times New Roman" w:hAnsi="Times New Roman"/>
          <w:b/>
          <w:noProof/>
          <w:sz w:val="24"/>
        </w:rPr>
        <w:t>nu dispun de competențele și mijloacele necesare</w:t>
      </w:r>
      <w:r w:rsidRPr="002A2A04">
        <w:rPr>
          <w:rFonts w:ascii="Times New Roman" w:hAnsi="Times New Roman"/>
          <w:noProof/>
          <w:sz w:val="24"/>
        </w:rPr>
        <w:t xml:space="preserve"> pentru a asigura punerea în aplicare a măsurilor la nivelul cetățenilor. </w:t>
      </w:r>
    </w:p>
    <w:p w14:paraId="28E823E9" w14:textId="77777777" w:rsidR="00657E1C" w:rsidRPr="002A2A04" w:rsidRDefault="00C23B15">
      <w:pPr>
        <w:spacing w:after="120" w:line="240" w:lineRule="auto"/>
        <w:jc w:val="both"/>
        <w:rPr>
          <w:rFonts w:ascii="Times New Roman" w:eastAsia="Times New Roman" w:hAnsi="Times New Roman" w:cs="Times New Roman"/>
          <w:noProof/>
          <w:color w:val="000000" w:themeColor="text1"/>
          <w:kern w:val="0"/>
          <w:sz w:val="24"/>
          <w:szCs w:val="24"/>
        </w:rPr>
      </w:pPr>
      <w:r w:rsidRPr="002A2A04">
        <w:rPr>
          <w:rFonts w:ascii="Times New Roman" w:hAnsi="Times New Roman"/>
          <w:noProof/>
          <w:color w:val="000000" w:themeColor="text1"/>
          <w:sz w:val="24"/>
        </w:rPr>
        <w:t xml:space="preserve">Comisia va colabora cu statele membre și cu părțile interesate relevante pentru a sprijini punerea în aplicare și asigurarea respectării legislației UE, în special prin adoptarea de </w:t>
      </w:r>
      <w:r w:rsidRPr="002A2A04">
        <w:rPr>
          <w:rFonts w:ascii="Times New Roman" w:hAnsi="Times New Roman"/>
          <w:b/>
          <w:noProof/>
          <w:color w:val="000000" w:themeColor="text1"/>
          <w:sz w:val="24"/>
        </w:rPr>
        <w:t xml:space="preserve">orientări și analize tehnice </w:t>
      </w:r>
      <w:r w:rsidRPr="002A2A04">
        <w:rPr>
          <w:rFonts w:ascii="Times New Roman" w:hAnsi="Times New Roman"/>
          <w:noProof/>
          <w:color w:val="000000" w:themeColor="text1"/>
          <w:sz w:val="24"/>
        </w:rPr>
        <w:t xml:space="preserve">privind </w:t>
      </w:r>
      <w:r w:rsidRPr="002A2A04">
        <w:rPr>
          <w:rFonts w:ascii="Times New Roman" w:hAnsi="Times New Roman"/>
          <w:noProof/>
          <w:color w:val="000000" w:themeColor="text1"/>
          <w:sz w:val="24"/>
          <w:u w:val="single"/>
        </w:rPr>
        <w:t>comunitățile de energie și autoconsumul</w:t>
      </w:r>
      <w:r w:rsidRPr="002A2A04">
        <w:rPr>
          <w:rFonts w:ascii="Times New Roman" w:hAnsi="Times New Roman"/>
          <w:noProof/>
          <w:color w:val="000000" w:themeColor="text1"/>
          <w:sz w:val="24"/>
        </w:rPr>
        <w:t xml:space="preserve">, inclusiv un </w:t>
      </w:r>
      <w:r w:rsidRPr="002A2A04">
        <w:rPr>
          <w:rFonts w:ascii="Times New Roman" w:hAnsi="Times New Roman"/>
          <w:noProof/>
          <w:color w:val="000000" w:themeColor="text1"/>
          <w:sz w:val="24"/>
          <w:u w:val="single"/>
        </w:rPr>
        <w:t>plan de acțiune privind comunitățile de energie</w:t>
      </w:r>
      <w:r w:rsidRPr="002A2A04">
        <w:rPr>
          <w:rFonts w:ascii="Times New Roman" w:hAnsi="Times New Roman"/>
          <w:noProof/>
          <w:color w:val="000000" w:themeColor="text1"/>
          <w:sz w:val="24"/>
        </w:rPr>
        <w:t xml:space="preserve">; </w:t>
      </w:r>
      <w:r w:rsidRPr="002A2A04">
        <w:rPr>
          <w:rFonts w:ascii="Times New Roman" w:hAnsi="Times New Roman"/>
          <w:noProof/>
          <w:color w:val="000000" w:themeColor="text1"/>
          <w:sz w:val="24"/>
          <w:u w:val="single"/>
        </w:rPr>
        <w:t>protecția clienților vulnerabili și a celor afectați de sărăcia energetică</w:t>
      </w:r>
      <w:r w:rsidRPr="002A2A04">
        <w:rPr>
          <w:rFonts w:ascii="Times New Roman" w:hAnsi="Times New Roman"/>
          <w:noProof/>
          <w:color w:val="000000" w:themeColor="text1"/>
          <w:sz w:val="24"/>
        </w:rPr>
        <w:t xml:space="preserve"> împotriva </w:t>
      </w:r>
      <w:r w:rsidRPr="002A2A04">
        <w:rPr>
          <w:rFonts w:ascii="Times New Roman" w:hAnsi="Times New Roman"/>
          <w:noProof/>
          <w:color w:val="000000" w:themeColor="text1"/>
          <w:sz w:val="24"/>
          <w:u w:val="single"/>
        </w:rPr>
        <w:t>debranșării de la alimentarea cu energie electrică</w:t>
      </w:r>
      <w:r w:rsidRPr="002A2A04">
        <w:rPr>
          <w:rFonts w:ascii="Times New Roman" w:hAnsi="Times New Roman"/>
          <w:noProof/>
          <w:color w:val="000000" w:themeColor="text1"/>
          <w:sz w:val="24"/>
        </w:rPr>
        <w:t xml:space="preserve"> și </w:t>
      </w:r>
      <w:r w:rsidRPr="002A2A04">
        <w:rPr>
          <w:rFonts w:ascii="Times New Roman" w:hAnsi="Times New Roman"/>
          <w:noProof/>
          <w:color w:val="000000" w:themeColor="text1"/>
          <w:sz w:val="24"/>
          <w:u w:val="single"/>
        </w:rPr>
        <w:t>în contextul eliminării treptate a gazelor naturale</w:t>
      </w:r>
      <w:r w:rsidRPr="002A2A04">
        <w:rPr>
          <w:rFonts w:ascii="Times New Roman" w:hAnsi="Times New Roman"/>
          <w:noProof/>
          <w:color w:val="000000" w:themeColor="text1"/>
          <w:sz w:val="24"/>
        </w:rPr>
        <w:t xml:space="preserve">; rezumatul </w:t>
      </w:r>
      <w:r w:rsidRPr="002A2A04">
        <w:rPr>
          <w:rFonts w:ascii="Times New Roman" w:hAnsi="Times New Roman"/>
          <w:noProof/>
          <w:color w:val="000000" w:themeColor="text1"/>
          <w:sz w:val="24"/>
          <w:u w:val="single"/>
        </w:rPr>
        <w:t>principalelor condiții contractuale</w:t>
      </w:r>
      <w:r w:rsidRPr="002A2A04">
        <w:rPr>
          <w:rFonts w:ascii="Times New Roman" w:hAnsi="Times New Roman"/>
          <w:noProof/>
          <w:color w:val="000000" w:themeColor="text1"/>
          <w:sz w:val="24"/>
        </w:rPr>
        <w:t xml:space="preserve">; </w:t>
      </w:r>
      <w:r w:rsidRPr="002A2A04">
        <w:rPr>
          <w:rFonts w:ascii="Times New Roman" w:hAnsi="Times New Roman"/>
          <w:noProof/>
          <w:color w:val="000000" w:themeColor="text1"/>
          <w:sz w:val="24"/>
          <w:u w:val="single"/>
        </w:rPr>
        <w:t>gestionarea riscurilor de către furnizori</w:t>
      </w:r>
      <w:r w:rsidRPr="002A2A04">
        <w:rPr>
          <w:rFonts w:ascii="Times New Roman" w:hAnsi="Times New Roman"/>
          <w:noProof/>
          <w:color w:val="000000" w:themeColor="text1"/>
          <w:sz w:val="24"/>
        </w:rPr>
        <w:t xml:space="preserve">; </w:t>
      </w:r>
      <w:r w:rsidRPr="002A2A04">
        <w:rPr>
          <w:rFonts w:ascii="Times New Roman" w:hAnsi="Times New Roman"/>
          <w:noProof/>
          <w:color w:val="000000" w:themeColor="text1"/>
          <w:sz w:val="24"/>
          <w:u w:val="single"/>
        </w:rPr>
        <w:t>prețurile cu amănuntul bazate pe piață</w:t>
      </w:r>
      <w:r w:rsidRPr="002A2A04">
        <w:rPr>
          <w:rFonts w:ascii="Times New Roman" w:hAnsi="Times New Roman"/>
          <w:noProof/>
          <w:color w:val="000000" w:themeColor="text1"/>
          <w:sz w:val="24"/>
        </w:rPr>
        <w:t xml:space="preserve">; remunerarea </w:t>
      </w:r>
      <w:r w:rsidRPr="002A2A04">
        <w:rPr>
          <w:rFonts w:ascii="Times New Roman" w:hAnsi="Times New Roman"/>
          <w:noProof/>
          <w:color w:val="000000" w:themeColor="text1"/>
          <w:sz w:val="24"/>
          <w:u w:val="single"/>
        </w:rPr>
        <w:t>flexibilității</w:t>
      </w:r>
      <w:r w:rsidRPr="002A2A04">
        <w:rPr>
          <w:rFonts w:ascii="Times New Roman" w:hAnsi="Times New Roman"/>
          <w:noProof/>
          <w:color w:val="000000" w:themeColor="text1"/>
          <w:sz w:val="24"/>
        </w:rPr>
        <w:t xml:space="preserve"> în contractele cu amănuntul; normele tehnice privind </w:t>
      </w:r>
      <w:r w:rsidRPr="002A2A04">
        <w:rPr>
          <w:rFonts w:ascii="Times New Roman" w:hAnsi="Times New Roman"/>
          <w:noProof/>
          <w:color w:val="000000" w:themeColor="text1"/>
          <w:sz w:val="24"/>
          <w:u w:val="single"/>
        </w:rPr>
        <w:t>schimbarea furnizorului</w:t>
      </w:r>
      <w:r w:rsidRPr="002A2A04">
        <w:rPr>
          <w:rFonts w:ascii="Times New Roman" w:hAnsi="Times New Roman"/>
          <w:noProof/>
          <w:color w:val="000000" w:themeColor="text1"/>
          <w:sz w:val="24"/>
        </w:rPr>
        <w:t xml:space="preserve">. </w:t>
      </w:r>
    </w:p>
    <w:p w14:paraId="6CB67364" w14:textId="77777777" w:rsidR="00657E1C" w:rsidRPr="002A2A04" w:rsidRDefault="00C23B15">
      <w:pPr>
        <w:pStyle w:val="oj-normal"/>
        <w:spacing w:before="120" w:beforeAutospacing="0" w:after="120" w:afterAutospacing="0"/>
        <w:jc w:val="both"/>
        <w:rPr>
          <w:noProof/>
          <w:color w:val="000000" w:themeColor="text1"/>
        </w:rPr>
      </w:pPr>
      <w:r w:rsidRPr="002A2A04">
        <w:rPr>
          <w:noProof/>
        </w:rPr>
        <w:t xml:space="preserve">Evident, punerea în aplicare nu poate avea loc fără a se ține seama de </w:t>
      </w:r>
      <w:r w:rsidRPr="002A2A04">
        <w:rPr>
          <w:b/>
          <w:noProof/>
        </w:rPr>
        <w:t>toate părțile interesate</w:t>
      </w:r>
      <w:r w:rsidRPr="002A2A04">
        <w:rPr>
          <w:noProof/>
        </w:rPr>
        <w:t xml:space="preserve">. De aceea, pentru atingerea tuturor obiectivelor stabilite în prezenta comunicare, este esențial să existe un nivel ridicat de interacțiune și </w:t>
      </w:r>
      <w:r w:rsidRPr="002A2A04">
        <w:rPr>
          <w:b/>
          <w:noProof/>
        </w:rPr>
        <w:t>angajament</w:t>
      </w:r>
      <w:r w:rsidRPr="002A2A04">
        <w:rPr>
          <w:noProof/>
        </w:rPr>
        <w:t xml:space="preserve"> între Comisie, statele membre și cetățeni, precum și cu societatea civilă, autoritățile de reglementare, industria și mediul academic. În acest scop, Comisia va </w:t>
      </w:r>
      <w:r w:rsidRPr="002A2A04">
        <w:rPr>
          <w:b/>
          <w:noProof/>
        </w:rPr>
        <w:t>raționaliza</w:t>
      </w:r>
      <w:r w:rsidRPr="002A2A04">
        <w:rPr>
          <w:noProof/>
        </w:rPr>
        <w:t xml:space="preserve"> inițiativele existente și va spori vizibilitatea instrumentelor de sprijin deja disponibile – precum Platforma de consiliere a cetățenilor privind energia, Platforma de consiliere privind sărăcia energetică, Convenția primarilor, Inițiativa UE privind insulele, Inițiativa privind regiunile carbonifere în tranziție și Forumul privind comportamentul energetic – transformând actualul</w:t>
      </w:r>
      <w:r w:rsidRPr="002A2A04">
        <w:rPr>
          <w:b/>
          <w:noProof/>
        </w:rPr>
        <w:t xml:space="preserve"> Forum al cetățenilor</w:t>
      </w:r>
      <w:r w:rsidRPr="002A2A04">
        <w:rPr>
          <w:noProof/>
        </w:rPr>
        <w:t xml:space="preserve"> pentru energie într-un punct focal pentru schimbul de bune practici și monitorizarea progreselor în materie de punere în aplicare. De asemenea, Comisia va emite orientări destinate statelor membre pentru a consolida capacitatea de acțiune a orașelor, sprijinindu-le să valorifice pe deplin potențialul autorităților locale în realizarea tranziției către o energie curată. </w:t>
      </w:r>
      <w:r w:rsidRPr="002A2A04">
        <w:rPr>
          <w:b/>
          <w:noProof/>
        </w:rPr>
        <w:t>Prin intermediul organizațiilor naționale ale consumatorilor, Comisia va acorda o atenție deosebită implicării cetățenilor, asigurându-se că aceștia sunt informați cu privire la drepturile lor și la oportunitățile disponibile pe piața energiei din UE</w:t>
      </w:r>
      <w:r w:rsidRPr="002A2A04">
        <w:rPr>
          <w:noProof/>
        </w:rPr>
        <w:t xml:space="preserve">. </w:t>
      </w:r>
    </w:p>
    <w:sectPr w:rsidR="00657E1C" w:rsidRPr="002A2A04">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6F83EA" w14:textId="77777777" w:rsidR="00657E1C" w:rsidRDefault="00C23B15">
      <w:pPr>
        <w:spacing w:after="0" w:line="240" w:lineRule="auto"/>
      </w:pPr>
      <w:r>
        <w:separator/>
      </w:r>
    </w:p>
  </w:endnote>
  <w:endnote w:type="continuationSeparator" w:id="0">
    <w:p w14:paraId="051736D1" w14:textId="77777777" w:rsidR="00657E1C" w:rsidRDefault="00C23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 w:name="Times New Roman, Apto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0E0BD" w14:textId="33CED77D" w:rsidR="00E22B5F" w:rsidRPr="00E22B5F" w:rsidRDefault="00E22B5F" w:rsidP="00E22B5F">
    <w:pPr>
      <w:pStyle w:val="FooterCoverPage"/>
      <w:rPr>
        <w:rFonts w:ascii="Arial" w:hAnsi="Arial" w:cs="Arial"/>
        <w:b/>
        <w:sz w:val="48"/>
      </w:rPr>
    </w:pPr>
    <w:r w:rsidRPr="00E22B5F">
      <w:rPr>
        <w:rFonts w:ascii="Arial" w:hAnsi="Arial" w:cs="Arial"/>
        <w:b/>
        <w:sz w:val="48"/>
      </w:rPr>
      <w:t>RO</w:t>
    </w:r>
    <w:r w:rsidRPr="00E22B5F">
      <w:rPr>
        <w:rFonts w:ascii="Arial" w:hAnsi="Arial" w:cs="Arial"/>
        <w:b/>
        <w:sz w:val="48"/>
      </w:rPr>
      <w:tab/>
    </w:r>
    <w:r w:rsidRPr="00E22B5F">
      <w:rPr>
        <w:rFonts w:ascii="Arial" w:hAnsi="Arial" w:cs="Arial"/>
        <w:b/>
        <w:sz w:val="48"/>
      </w:rPr>
      <w:tab/>
    </w:r>
    <w:r w:rsidRPr="00E22B5F">
      <w:tab/>
    </w:r>
    <w:r w:rsidRPr="00E22B5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2F915" w14:textId="02D43571" w:rsidR="00E22B5F" w:rsidRPr="00E22B5F" w:rsidRDefault="00E22B5F" w:rsidP="00E22B5F">
    <w:pPr>
      <w:pStyle w:val="FooterCoverPage"/>
      <w:rPr>
        <w:rFonts w:ascii="Arial" w:hAnsi="Arial" w:cs="Arial"/>
        <w:b/>
        <w:sz w:val="48"/>
      </w:rPr>
    </w:pPr>
    <w:r w:rsidRPr="00E22B5F">
      <w:rPr>
        <w:rFonts w:ascii="Arial" w:hAnsi="Arial" w:cs="Arial"/>
        <w:b/>
        <w:sz w:val="48"/>
      </w:rPr>
      <w:t>RO</w:t>
    </w:r>
    <w:r w:rsidRPr="00E22B5F">
      <w:rPr>
        <w:rFonts w:ascii="Arial" w:hAnsi="Arial" w:cs="Arial"/>
        <w:b/>
        <w:sz w:val="48"/>
      </w:rPr>
      <w:tab/>
    </w:r>
    <w:r w:rsidRPr="00E22B5F">
      <w:rPr>
        <w:rFonts w:ascii="Arial" w:hAnsi="Arial" w:cs="Arial"/>
        <w:b/>
        <w:sz w:val="48"/>
      </w:rPr>
      <w:tab/>
    </w:r>
    <w:r w:rsidRPr="00E22B5F">
      <w:tab/>
    </w:r>
    <w:r w:rsidRPr="00E22B5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5D95B" w14:textId="77777777" w:rsidR="00E22B5F" w:rsidRPr="00E22B5F" w:rsidRDefault="00E22B5F" w:rsidP="00E22B5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42049" w14:textId="77777777" w:rsidR="00657E1C" w:rsidRDefault="00657E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247822"/>
      <w:docPartObj>
        <w:docPartGallery w:val="Page Numbers (Bottom of Page)"/>
        <w:docPartUnique/>
      </w:docPartObj>
    </w:sdtPr>
    <w:sdtEndPr>
      <w:rPr>
        <w:noProof/>
      </w:rPr>
    </w:sdtEndPr>
    <w:sdtContent>
      <w:p w14:paraId="47CA2991" w14:textId="7ED4B84B" w:rsidR="00657E1C" w:rsidRDefault="00C23B15">
        <w:pPr>
          <w:pStyle w:val="Footer"/>
          <w:jc w:val="center"/>
        </w:pPr>
        <w:r>
          <w:fldChar w:fldCharType="begin"/>
        </w:r>
        <w:r>
          <w:instrText xml:space="preserve"> PAGE   \* MERGEFORMAT </w:instrText>
        </w:r>
        <w:r>
          <w:fldChar w:fldCharType="separate"/>
        </w:r>
        <w:r w:rsidR="00E22B5F">
          <w:rPr>
            <w:noProof/>
          </w:rPr>
          <w:t>1</w:t>
        </w:r>
        <w:r>
          <w:fldChar w:fldCharType="end"/>
        </w:r>
      </w:p>
    </w:sdtContent>
  </w:sdt>
  <w:p w14:paraId="31A97099" w14:textId="77777777" w:rsidR="00657E1C" w:rsidRDefault="00657E1C">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082A1" w14:textId="77777777" w:rsidR="00657E1C" w:rsidRDefault="00657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54A4A" w14:textId="77777777" w:rsidR="00657E1C" w:rsidRDefault="00C23B15">
      <w:pPr>
        <w:spacing w:after="0" w:line="240" w:lineRule="auto"/>
      </w:pPr>
      <w:r>
        <w:separator/>
      </w:r>
    </w:p>
  </w:footnote>
  <w:footnote w:type="continuationSeparator" w:id="0">
    <w:p w14:paraId="40FEDC4F" w14:textId="77777777" w:rsidR="00657E1C" w:rsidRDefault="00C23B15">
      <w:pPr>
        <w:spacing w:after="0" w:line="240" w:lineRule="auto"/>
      </w:pPr>
      <w:r>
        <w:continuationSeparator/>
      </w:r>
    </w:p>
  </w:footnote>
  <w:footnote w:id="1">
    <w:p w14:paraId="3E59CF96"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w:t>
      </w:r>
      <w:hyperlink r:id="rId1" w:history="1">
        <w:r w:rsidRPr="0049022C">
          <w:rPr>
            <w:rStyle w:val="Hyperlink"/>
            <w:rFonts w:ascii="Times New Roman" w:hAnsi="Times New Roman"/>
          </w:rPr>
          <w:t>Eurobarometrul Flash 566</w:t>
        </w:r>
      </w:hyperlink>
      <w:r w:rsidRPr="0049022C">
        <w:rPr>
          <w:rFonts w:ascii="Times New Roman" w:hAnsi="Times New Roman"/>
        </w:rPr>
        <w:t xml:space="preserve">, </w:t>
      </w:r>
      <w:r w:rsidRPr="0049022C">
        <w:rPr>
          <w:rFonts w:ascii="Times New Roman" w:hAnsi="Times New Roman"/>
          <w:i/>
        </w:rPr>
        <w:t>Consumer behaviour in the energy transition</w:t>
      </w:r>
      <w:r w:rsidRPr="0049022C">
        <w:rPr>
          <w:rFonts w:ascii="Times New Roman" w:hAnsi="Times New Roman"/>
        </w:rPr>
        <w:t xml:space="preserve"> (Comportamentul consumatorilor în contextul tranziției energetice), decembrie 2025.</w:t>
      </w:r>
    </w:p>
  </w:footnote>
  <w:footnote w:id="2">
    <w:p w14:paraId="167D95DF"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O Strategie europeană pentru reziliența în domeniul apei, COM/2025/280 final.</w:t>
      </w:r>
    </w:p>
  </w:footnote>
  <w:footnote w:id="3">
    <w:p w14:paraId="6AEB4076" w14:textId="77777777" w:rsidR="00657E1C" w:rsidRPr="0049022C" w:rsidRDefault="00C23B15">
      <w:pPr>
        <w:pStyle w:val="FootnoteText"/>
        <w:rPr>
          <w:rFonts w:ascii="Times New Roman" w:hAnsi="Times New Roman" w:cs="Times New Roman"/>
          <w:i/>
        </w:rPr>
      </w:pPr>
      <w:r w:rsidRPr="0049022C">
        <w:rPr>
          <w:rStyle w:val="FootnoteReference"/>
          <w:rFonts w:ascii="Times New Roman" w:hAnsi="Times New Roman" w:cs="Times New Roman"/>
        </w:rPr>
        <w:footnoteRef/>
      </w:r>
      <w:r w:rsidRPr="0049022C">
        <w:rPr>
          <w:rFonts w:ascii="Times New Roman" w:hAnsi="Times New Roman"/>
        </w:rPr>
        <w:t xml:space="preserve"> Mai precis, este vorba despre </w:t>
      </w:r>
      <w:hyperlink r:id="rId2" w:history="1">
        <w:r w:rsidRPr="0049022C">
          <w:rPr>
            <w:rStyle w:val="Hyperlink"/>
            <w:rFonts w:ascii="Times New Roman" w:hAnsi="Times New Roman"/>
          </w:rPr>
          <w:t>Pactul pentru o industrie curată</w:t>
        </w:r>
      </w:hyperlink>
      <w:r w:rsidRPr="0049022C">
        <w:rPr>
          <w:rFonts w:ascii="Times New Roman" w:hAnsi="Times New Roman"/>
        </w:rPr>
        <w:t xml:space="preserve">, </w:t>
      </w:r>
      <w:hyperlink r:id="rId3" w:history="1">
        <w:r w:rsidRPr="0049022C">
          <w:rPr>
            <w:rStyle w:val="Hyperlink"/>
            <w:rFonts w:ascii="Times New Roman" w:hAnsi="Times New Roman"/>
          </w:rPr>
          <w:t>Planul de acțiune pentru energie la prețuri accesibile</w:t>
        </w:r>
      </w:hyperlink>
      <w:r w:rsidRPr="0049022C">
        <w:rPr>
          <w:rFonts w:ascii="Times New Roman" w:hAnsi="Times New Roman"/>
        </w:rPr>
        <w:t xml:space="preserve">, </w:t>
      </w:r>
      <w:hyperlink r:id="rId4" w:history="1">
        <w:r w:rsidRPr="0049022C">
          <w:rPr>
            <w:rStyle w:val="Hyperlink"/>
            <w:rFonts w:ascii="Times New Roman" w:hAnsi="Times New Roman"/>
          </w:rPr>
          <w:t>Planul privind locuințele la prețuri accesibile</w:t>
        </w:r>
      </w:hyperlink>
      <w:r w:rsidRPr="0049022C">
        <w:rPr>
          <w:rFonts w:ascii="Times New Roman" w:hAnsi="Times New Roman"/>
        </w:rPr>
        <w:t xml:space="preserve">, </w:t>
      </w:r>
      <w:hyperlink r:id="rId5" w:history="1">
        <w:r w:rsidRPr="0049022C">
          <w:rPr>
            <w:rStyle w:val="Hyperlink"/>
            <w:rFonts w:ascii="Times New Roman" w:hAnsi="Times New Roman"/>
          </w:rPr>
          <w:t>Pachetul privind rețelele</w:t>
        </w:r>
      </w:hyperlink>
      <w:r w:rsidRPr="0049022C">
        <w:rPr>
          <w:rFonts w:ascii="Times New Roman" w:hAnsi="Times New Roman"/>
        </w:rPr>
        <w:t xml:space="preserve">, </w:t>
      </w:r>
      <w:hyperlink r:id="rId6" w:history="1">
        <w:r w:rsidRPr="0049022C">
          <w:rPr>
            <w:rStyle w:val="Hyperlink"/>
            <w:rFonts w:ascii="Times New Roman" w:hAnsi="Times New Roman"/>
          </w:rPr>
          <w:t>Agenda pentru orașe</w:t>
        </w:r>
      </w:hyperlink>
      <w:r w:rsidRPr="0049022C">
        <w:rPr>
          <w:rFonts w:ascii="Times New Roman" w:hAnsi="Times New Roman"/>
        </w:rPr>
        <w:t>, precum și despre viitoarea strategie pentru electrificare, strategia pentru încălzire și răcire sau Foaia de parcurs strategică pentru digitalizare în sectorul energetic.</w:t>
      </w:r>
    </w:p>
  </w:footnote>
  <w:footnote w:id="4">
    <w:p w14:paraId="5E14CE66"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Grecia, Italia și Portugalia adaugă la facturile de energie electrică taxe legate de serviciile publice de radiodifuziune.</w:t>
      </w:r>
    </w:p>
  </w:footnote>
  <w:footnote w:id="5">
    <w:p w14:paraId="5F3F0FAC"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Germania, Franța.</w:t>
      </w:r>
    </w:p>
  </w:footnote>
  <w:footnote w:id="6">
    <w:p w14:paraId="1149138D" w14:textId="77777777" w:rsidR="00657E1C" w:rsidRPr="0049022C" w:rsidRDefault="00C23B15">
      <w:pPr>
        <w:pStyle w:val="FootnoteText"/>
        <w:rPr>
          <w:rFonts w:ascii="Times New Roman" w:hAnsi="Times New Roman"/>
        </w:rPr>
      </w:pPr>
      <w:r w:rsidRPr="0049022C">
        <w:rPr>
          <w:rStyle w:val="FootnoteReference"/>
          <w:rFonts w:ascii="Times New Roman" w:hAnsi="Times New Roman" w:cs="Times New Roman"/>
        </w:rPr>
        <w:footnoteRef/>
      </w:r>
      <w:r w:rsidRPr="0049022C">
        <w:rPr>
          <w:rFonts w:ascii="Times New Roman" w:hAnsi="Times New Roman"/>
        </w:rPr>
        <w:t xml:space="preserve"> Directiva (UE) 2019/944 a Parlamentului European și a Consiliului din 5 iunie 2019 privind normele comune pentru piața internă de energie electrică și de modificare a Directivei 2012/27/UE (reformare).</w:t>
      </w:r>
    </w:p>
  </w:footnote>
  <w:footnote w:id="7">
    <w:p w14:paraId="3B7FC870"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w:t>
      </w:r>
      <w:hyperlink r:id="rId7" w:history="1">
        <w:r w:rsidRPr="0049022C">
          <w:rPr>
            <w:rStyle w:val="Hyperlink"/>
            <w:rFonts w:ascii="Times New Roman" w:hAnsi="Times New Roman"/>
          </w:rPr>
          <w:t>Aviz referitor la Orientările privind tarifele de rețea adaptate exigențelor viitorului pentru reducerea costurilor de sistem</w:t>
        </w:r>
      </w:hyperlink>
      <w:r w:rsidRPr="0049022C">
        <w:rPr>
          <w:rFonts w:ascii="Times New Roman" w:hAnsi="Times New Roman"/>
        </w:rPr>
        <w:t>, C(2025) 4010 final.</w:t>
      </w:r>
    </w:p>
  </w:footnote>
  <w:footnote w:id="8">
    <w:p w14:paraId="30393DB7"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Eurostat, </w:t>
      </w:r>
      <w:hyperlink r:id="rId8" w:history="1">
        <w:r w:rsidRPr="0049022C">
          <w:rPr>
            <w:rStyle w:val="Hyperlink"/>
            <w:rFonts w:ascii="Times New Roman" w:hAnsi="Times New Roman"/>
            <w:i/>
            <w:iCs/>
          </w:rPr>
          <w:t>Energy consumption in households</w:t>
        </w:r>
      </w:hyperlink>
      <w:r w:rsidRPr="0049022C">
        <w:rPr>
          <w:rFonts w:ascii="Times New Roman" w:hAnsi="Times New Roman"/>
        </w:rPr>
        <w:t xml:space="preserve"> (Consumul de energie în gospodării), iunie 2025.</w:t>
      </w:r>
    </w:p>
  </w:footnote>
  <w:footnote w:id="9">
    <w:p w14:paraId="1F0164D5"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w:t>
      </w:r>
      <w:hyperlink r:id="rId9" w:history="1">
        <w:r w:rsidRPr="0049022C">
          <w:rPr>
            <w:rFonts w:ascii="Times New Roman" w:hAnsi="Times New Roman"/>
            <w:i/>
            <w:iCs/>
            <w:color w:val="0000FF"/>
            <w:u w:val="single"/>
          </w:rPr>
          <w:t>Europeans attitudes towards energy policies</w:t>
        </w:r>
        <w:r w:rsidRPr="0049022C">
          <w:rPr>
            <w:rFonts w:ascii="Times New Roman" w:hAnsi="Times New Roman"/>
            <w:color w:val="0000FF"/>
            <w:u w:val="single"/>
          </w:rPr>
          <w:t xml:space="preserve"> (Atitudinile europenilor față de politicile energetice) – septembrie 2024 – sondaj Eurobarometru</w:t>
        </w:r>
      </w:hyperlink>
      <w:r w:rsidRPr="0049022C">
        <w:t>.</w:t>
      </w:r>
      <w:r w:rsidRPr="0049022C">
        <w:rPr>
          <w:rFonts w:ascii="Times New Roman" w:hAnsi="Times New Roman"/>
        </w:rPr>
        <w:t xml:space="preserve"> Peste trei sferturi dintre respondenți au utilizat eticheta energetică a UE în ultimii cinci ani.</w:t>
      </w:r>
    </w:p>
  </w:footnote>
  <w:footnote w:id="10">
    <w:p w14:paraId="13860092"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De exemplu, Franța a lansat a doua ediție a sistemului de leasing social pentru vehiculele electrice. În Letonia, o societate deținută de stat le oferă întreprinderilor și gospodăriilor acces la resurse financiare prin credite, garanții și investiții în fonduri cu capital de risc.</w:t>
      </w:r>
    </w:p>
  </w:footnote>
  <w:footnote w:id="11">
    <w:p w14:paraId="16D09591"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Bune practici prevăzute în anexa la Recomandarea Comisiei privind deblocarea investițiilor private în eficiența energetică,</w:t>
      </w:r>
      <w:r w:rsidRPr="0049022C">
        <w:rPr>
          <w:rFonts w:ascii="Times New Roman" w:hAnsi="Times New Roman"/>
          <w:color w:val="000000" w:themeColor="text1"/>
        </w:rPr>
        <w:t xml:space="preserve"> COM(2026)1526. </w:t>
      </w:r>
    </w:p>
  </w:footnote>
  <w:footnote w:id="12">
    <w:p w14:paraId="5B069BD0"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Style w:val="FootnoteReference"/>
          <w:rFonts w:ascii="Times New Roman" w:hAnsi="Times New Roman"/>
        </w:rPr>
        <w:t xml:space="preserve"> </w:t>
      </w:r>
      <w:r w:rsidRPr="0049022C">
        <w:rPr>
          <w:rFonts w:ascii="Times New Roman" w:hAnsi="Times New Roman"/>
        </w:rPr>
        <w:t>Un model de afaceri care permite clienților să plătească pentru căldura consumată și nu pentru infrastructură sau combustibil.</w:t>
      </w:r>
    </w:p>
  </w:footnote>
  <w:footnote w:id="13">
    <w:p w14:paraId="279466FC"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COM(2026) 116, Strategia de investiții în energia curată.</w:t>
      </w:r>
    </w:p>
  </w:footnote>
  <w:footnote w:id="14">
    <w:p w14:paraId="033FA505"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Directiva (UE) 2019/944 a Parlamentului European și a Consiliului din 5 iunie 2019 privind normele comune pentru piața internă de energie electrică și de modificare a Directivei 2012/27/UE (reformare), articolele 4, 12.</w:t>
      </w:r>
    </w:p>
  </w:footnote>
  <w:footnote w:id="15">
    <w:p w14:paraId="3BAA71A1"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w:t>
      </w:r>
      <w:hyperlink r:id="rId10" w:history="1">
        <w:r w:rsidRPr="0049022C">
          <w:rPr>
            <w:rStyle w:val="Hyperlink"/>
            <w:rFonts w:ascii="Times New Roman" w:hAnsi="Times New Roman"/>
          </w:rPr>
          <w:t xml:space="preserve">ACER, </w:t>
        </w:r>
        <w:r w:rsidRPr="0049022C">
          <w:rPr>
            <w:rStyle w:val="Hyperlink"/>
            <w:rFonts w:ascii="Times New Roman" w:hAnsi="Times New Roman"/>
            <w:i/>
            <w:iCs/>
          </w:rPr>
          <w:t>Annual Report on the Results of Monitoring the Internal Electricity and Natural Gas Markets in 2021</w:t>
        </w:r>
        <w:r w:rsidRPr="0049022C">
          <w:rPr>
            <w:rStyle w:val="Hyperlink"/>
            <w:rFonts w:ascii="Times New Roman" w:hAnsi="Times New Roman"/>
          </w:rPr>
          <w:t xml:space="preserve"> (Raport anual privind rezultatele monitorizării piețelor interne ale energiei electrice și gazelor naturale în 2021)</w:t>
        </w:r>
      </w:hyperlink>
      <w:r w:rsidRPr="0049022C">
        <w:t>.</w:t>
      </w:r>
    </w:p>
  </w:footnote>
  <w:footnote w:id="16">
    <w:p w14:paraId="14D60BE7"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w:t>
      </w:r>
      <w:r w:rsidRPr="0049022C">
        <w:rPr>
          <w:rFonts w:ascii="Times New Roman" w:hAnsi="Times New Roman"/>
          <w:color w:val="000000" w:themeColor="text1"/>
        </w:rPr>
        <w:t>A se vedea, de asemenea, acțiunea 7.</w:t>
      </w:r>
    </w:p>
  </w:footnote>
  <w:footnote w:id="17">
    <w:p w14:paraId="7293624C"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În sectorul telecomunicațiilor, furnizorii sunt obligați să le ofere </w:t>
      </w:r>
      <w:r w:rsidRPr="0049022C">
        <w:rPr>
          <w:rFonts w:ascii="Times New Roman" w:hAnsi="Times New Roman"/>
          <w:color w:val="000000" w:themeColor="text1"/>
        </w:rPr>
        <w:t>clienților consiliere privind cele mai avantajoase tarife cel puțin o dată pe an, ceea ce îi poate încuraja să își schimbe opțiunea contractuală.</w:t>
      </w:r>
    </w:p>
  </w:footnote>
  <w:footnote w:id="18">
    <w:p w14:paraId="1B2F0575" w14:textId="77777777" w:rsidR="00657E1C" w:rsidRPr="0049022C" w:rsidRDefault="00C23B15">
      <w:pPr>
        <w:spacing w:after="0"/>
        <w:rPr>
          <w:rFonts w:ascii="Times New Roman" w:hAnsi="Times New Roman" w:cs="Times New Roman"/>
          <w:sz w:val="20"/>
          <w:szCs w:val="20"/>
        </w:rPr>
      </w:pPr>
      <w:r w:rsidRPr="0049022C">
        <w:rPr>
          <w:rStyle w:val="FootnoteReference"/>
          <w:rFonts w:ascii="Times New Roman" w:hAnsi="Times New Roman" w:cs="Times New Roman"/>
          <w:sz w:val="20"/>
          <w:szCs w:val="20"/>
        </w:rPr>
        <w:footnoteRef/>
      </w:r>
      <w:r w:rsidRPr="0049022C">
        <w:rPr>
          <w:rFonts w:ascii="Times New Roman" w:hAnsi="Times New Roman"/>
          <w:sz w:val="20"/>
        </w:rPr>
        <w:t xml:space="preserve"> Articolul 16 din Directiva (UE) 2019/944 și articolul 22 din Directiva (UE) 2018/2001.</w:t>
      </w:r>
    </w:p>
  </w:footnote>
  <w:footnote w:id="19">
    <w:p w14:paraId="75F1191D"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Style w:val="FootnoteReference"/>
          <w:rFonts w:ascii="Times New Roman" w:hAnsi="Times New Roman"/>
        </w:rPr>
        <w:t xml:space="preserve"> </w:t>
      </w:r>
      <w:r w:rsidRPr="0049022C">
        <w:rPr>
          <w:rFonts w:ascii="Times New Roman" w:hAnsi="Times New Roman"/>
        </w:rPr>
        <w:t>Estimare bazată pe o interpretare largă a conceptului, care nu se limitează doar la definițiile prevăzute în legislația UE.</w:t>
      </w:r>
    </w:p>
  </w:footnote>
  <w:footnote w:id="20">
    <w:p w14:paraId="3D5D75E8"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Studiul EnTEC privind potențialul energiei produse de cetățeni (în curs de elaborare).</w:t>
      </w:r>
    </w:p>
  </w:footnote>
  <w:footnote w:id="21">
    <w:p w14:paraId="45810F3C" w14:textId="77777777" w:rsidR="00657E1C" w:rsidRPr="0049022C" w:rsidRDefault="00C23B15">
      <w:pPr>
        <w:pStyle w:val="FootnoteText"/>
        <w:rPr>
          <w:rStyle w:val="FootnoteReference"/>
          <w:rFonts w:ascii="Times New Roman" w:hAnsi="Times New Roman"/>
        </w:rPr>
      </w:pPr>
      <w:r w:rsidRPr="0049022C">
        <w:rPr>
          <w:rStyle w:val="FootnoteReference"/>
          <w:rFonts w:ascii="Times New Roman" w:hAnsi="Times New Roman" w:cs="Times New Roman"/>
        </w:rPr>
        <w:footnoteRef/>
      </w:r>
      <w:r w:rsidRPr="0049022C">
        <w:rPr>
          <w:rFonts w:ascii="Times New Roman" w:hAnsi="Times New Roman"/>
        </w:rPr>
        <w:t xml:space="preserve"> Energia produsă la nivel de comunități ar putea reprezenta o contribuție de până la 90 GW, ceea ce înseamnă 8 % din producția totală de energie electrică din surse regenerabile în UE până în 2030.</w:t>
      </w:r>
      <w:r w:rsidRPr="0049022C">
        <w:rPr>
          <w:rStyle w:val="FootnoteReference"/>
          <w:rFonts w:ascii="Times New Roman" w:hAnsi="Times New Roman"/>
          <w:vertAlign w:val="baseline"/>
        </w:rPr>
        <w:t xml:space="preserve"> A se vedea studiul EnTEC privind potențialul energiei produse de cetățeni (în curs de elaborare).</w:t>
      </w:r>
    </w:p>
  </w:footnote>
  <w:footnote w:id="22">
    <w:p w14:paraId="0332555B" w14:textId="77777777" w:rsidR="00657E1C" w:rsidRPr="0049022C" w:rsidRDefault="00C23B15">
      <w:pPr>
        <w:pStyle w:val="FootnoteText"/>
        <w:rPr>
          <w:rFonts w:ascii="Times New Roman" w:eastAsia="Calibri" w:hAnsi="Times New Roman" w:cs="Times New Roman"/>
          <w:color w:val="505050"/>
          <w:sz w:val="24"/>
          <w:szCs w:val="24"/>
        </w:rPr>
      </w:pPr>
      <w:r w:rsidRPr="0049022C">
        <w:rPr>
          <w:rFonts w:ascii="Times New Roman" w:hAnsi="Times New Roman"/>
        </w:rPr>
        <w:footnoteRef/>
      </w:r>
      <w:r w:rsidRPr="0049022C">
        <w:rPr>
          <w:rFonts w:ascii="Times New Roman" w:hAnsi="Times New Roman"/>
          <w:vertAlign w:val="superscript"/>
        </w:rPr>
        <w:t xml:space="preserve"> </w:t>
      </w:r>
      <w:r w:rsidRPr="0049022C">
        <w:rPr>
          <w:rFonts w:ascii="Times New Roman" w:hAnsi="Times New Roman"/>
        </w:rPr>
        <w:t xml:space="preserve">Economiile de costuri sunt calculate pe baza prețurilor de pe piețele angro și cu amănuntul din 2020 și </w:t>
      </w:r>
      <w:bookmarkStart w:id="8" w:name="_Int_llEikH4a"/>
      <w:r w:rsidRPr="0049022C">
        <w:rPr>
          <w:rFonts w:ascii="Times New Roman" w:hAnsi="Times New Roman"/>
        </w:rPr>
        <w:t>2022</w:t>
      </w:r>
      <w:bookmarkEnd w:id="8"/>
      <w:r w:rsidRPr="0049022C">
        <w:rPr>
          <w:rFonts w:ascii="Times New Roman" w:hAnsi="Times New Roman"/>
        </w:rPr>
        <w:t xml:space="preserve">. În cazul în care autoconsumul de energie electrică implică utilizarea rețelei, se aplică toate tarifele și taxele de rețea. </w:t>
      </w:r>
    </w:p>
  </w:footnote>
  <w:footnote w:id="23">
    <w:p w14:paraId="3D012E65" w14:textId="77777777" w:rsidR="00657E1C" w:rsidRPr="0049022C" w:rsidRDefault="00C23B15">
      <w:pPr>
        <w:pStyle w:val="FootnoteText"/>
        <w:jc w:val="both"/>
        <w:rPr>
          <w:rFonts w:ascii="Times New Roman" w:hAnsi="Times New Roman" w:cs="Times New Roman"/>
        </w:rPr>
      </w:pPr>
      <w:r w:rsidRPr="0049022C">
        <w:rPr>
          <w:rFonts w:ascii="Times New Roman" w:hAnsi="Times New Roman" w:cs="Times New Roman"/>
          <w:vertAlign w:val="superscript"/>
        </w:rPr>
        <w:footnoteRef/>
      </w:r>
      <w:r w:rsidRPr="0049022C">
        <w:rPr>
          <w:rFonts w:ascii="Times New Roman" w:hAnsi="Times New Roman"/>
        </w:rPr>
        <w:t xml:space="preserve"> Pe baza datelor din </w:t>
      </w:r>
      <w:hyperlink r:id="rId11" w:history="1">
        <w:r w:rsidRPr="0049022C">
          <w:rPr>
            <w:rStyle w:val="Hyperlink"/>
            <w:rFonts w:ascii="Times New Roman" w:hAnsi="Times New Roman"/>
          </w:rPr>
          <w:t>raportul ACER pentru 2025 privind monitorizarea pieței</w:t>
        </w:r>
      </w:hyperlink>
      <w:r w:rsidRPr="0049022C">
        <w:rPr>
          <w:rFonts w:ascii="Times New Roman" w:hAnsi="Times New Roman"/>
        </w:rPr>
        <w:t xml:space="preserve"> și a calculelor proprii ale Comisiei.</w:t>
      </w:r>
    </w:p>
  </w:footnote>
  <w:footnote w:id="24">
    <w:p w14:paraId="715DA438" w14:textId="77777777" w:rsidR="00657E1C" w:rsidRPr="0049022C" w:rsidRDefault="00C23B15">
      <w:pPr>
        <w:pStyle w:val="FootnoteText"/>
        <w:jc w:val="both"/>
        <w:rPr>
          <w:rFonts w:ascii="Times New Roman" w:hAnsi="Times New Roman" w:cs="Times New Roman"/>
          <w:iCs/>
        </w:rPr>
      </w:pPr>
      <w:r w:rsidRPr="0049022C">
        <w:rPr>
          <w:rStyle w:val="FootnoteReference"/>
          <w:rFonts w:ascii="Times New Roman" w:hAnsi="Times New Roman" w:cs="Times New Roman"/>
        </w:rPr>
        <w:footnoteRef/>
      </w:r>
      <w:r w:rsidRPr="0049022C">
        <w:rPr>
          <w:rFonts w:ascii="Times New Roman" w:hAnsi="Times New Roman"/>
        </w:rPr>
        <w:t xml:space="preserve"> </w:t>
      </w:r>
      <w:hyperlink r:id="rId12" w:history="1">
        <w:r w:rsidRPr="0049022C">
          <w:rPr>
            <w:rFonts w:ascii="Times New Roman" w:hAnsi="Times New Roman"/>
          </w:rPr>
          <w:t>Flexibilitatea cererii:</w:t>
        </w:r>
      </w:hyperlink>
      <w:hyperlink r:id="rId13" w:history="1">
        <w:r w:rsidRPr="0049022C">
          <w:rPr>
            <w:rFonts w:ascii="Times New Roman" w:hAnsi="Times New Roman"/>
          </w:rPr>
          <w:t xml:space="preserve"> cuantificarea beneficiilor în UE</w:t>
        </w:r>
      </w:hyperlink>
      <w:r w:rsidRPr="0049022C">
        <w:rPr>
          <w:rFonts w:ascii="Times New Roman" w:hAnsi="Times New Roman"/>
        </w:rPr>
        <w:t xml:space="preserve">; DNV pentru smartEn, septembrie 2022. </w:t>
      </w:r>
    </w:p>
  </w:footnote>
  <w:footnote w:id="25">
    <w:p w14:paraId="3071ECC9" w14:textId="77777777" w:rsidR="00657E1C" w:rsidRPr="0049022C" w:rsidRDefault="00C23B15">
      <w:pPr>
        <w:pStyle w:val="FootnoteText"/>
        <w:jc w:val="both"/>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i/>
        </w:rPr>
        <w:t xml:space="preserve"> </w:t>
      </w:r>
      <w:r w:rsidRPr="0049022C">
        <w:rPr>
          <w:rFonts w:ascii="Times New Roman" w:hAnsi="Times New Roman"/>
        </w:rPr>
        <w:t>Pe baza datelor din raportul ACER pentru 2025 privind monitorizarea pieței (</w:t>
      </w:r>
      <w:r w:rsidRPr="0049022C">
        <w:rPr>
          <w:rFonts w:ascii="Times New Roman" w:hAnsi="Times New Roman"/>
          <w:i/>
          <w:iCs/>
        </w:rPr>
        <w:t>Rewarding Flexibility:</w:t>
      </w:r>
      <w:r w:rsidRPr="0049022C">
        <w:rPr>
          <w:rFonts w:ascii="Times New Roman" w:hAnsi="Times New Roman"/>
        </w:rPr>
        <w:t xml:space="preserve"> </w:t>
      </w:r>
      <w:r w:rsidRPr="0049022C">
        <w:rPr>
          <w:rFonts w:ascii="Times New Roman" w:hAnsi="Times New Roman"/>
          <w:i/>
        </w:rPr>
        <w:t>How retail contract choice can help unlock consumer flexibility</w:t>
      </w:r>
      <w:r w:rsidRPr="0049022C">
        <w:rPr>
          <w:rFonts w:ascii="Times New Roman" w:hAnsi="Times New Roman"/>
        </w:rPr>
        <w:t xml:space="preserve"> - Recompensarea flexibilității: modul în care alegerea contractului cu amănuntul poate contribui la valorificarea flexibilității consumatorilor) și a calculelor proprii ale Comisiei, consumatorii de energie electrică ar putea realiza economii de până la 40 % dacă trec la un contract cu preț dinamic și își gestionează în mod activ consumul.</w:t>
      </w:r>
    </w:p>
  </w:footnote>
  <w:footnote w:id="26">
    <w:p w14:paraId="1D9598FD" w14:textId="77777777" w:rsidR="00657E1C" w:rsidRPr="0049022C" w:rsidRDefault="00C23B15">
      <w:pPr>
        <w:spacing w:after="0" w:line="240" w:lineRule="auto"/>
        <w:jc w:val="both"/>
        <w:rPr>
          <w:rFonts w:ascii="Times New Roman" w:eastAsia="Times New Roman, Aptos" w:hAnsi="Times New Roman" w:cs="Times New Roman"/>
          <w:sz w:val="20"/>
          <w:szCs w:val="20"/>
        </w:rPr>
      </w:pPr>
      <w:r w:rsidRPr="0049022C">
        <w:rPr>
          <w:rStyle w:val="FootnoteReference"/>
          <w:rFonts w:ascii="Times New Roman" w:hAnsi="Times New Roman" w:cs="Times New Roman"/>
          <w:sz w:val="20"/>
          <w:szCs w:val="20"/>
        </w:rPr>
        <w:footnoteRef/>
      </w:r>
      <w:r w:rsidRPr="0049022C">
        <w:rPr>
          <w:rFonts w:ascii="Times New Roman" w:hAnsi="Times New Roman"/>
          <w:sz w:val="20"/>
        </w:rPr>
        <w:t xml:space="preserve"> </w:t>
      </w:r>
      <w:hyperlink r:id="rId14" w:history="1">
        <w:r w:rsidRPr="0049022C">
          <w:rPr>
            <w:rStyle w:val="Hyperlink"/>
            <w:rFonts w:ascii="Times New Roman" w:hAnsi="Times New Roman"/>
            <w:sz w:val="20"/>
          </w:rPr>
          <w:t>Eurobarometrul</w:t>
        </w:r>
      </w:hyperlink>
      <w:r w:rsidRPr="0049022C">
        <w:rPr>
          <w:rFonts w:ascii="Times New Roman" w:hAnsi="Times New Roman"/>
          <w:color w:val="000000" w:themeColor="text1"/>
          <w:sz w:val="20"/>
        </w:rPr>
        <w:t xml:space="preserve"> indică practicile comerciale neloiale drept un domeniu în care sunt necesare îmbunătățiri. 82 % dintre respondenți ar avea mai multă încredere într-un furnizor de energie dacă acesta s-ar angaja să respecte un cod de bune practici certificat oficial privind drepturile consumatorilor.</w:t>
      </w:r>
      <w:r w:rsidRPr="0049022C">
        <w:rPr>
          <w:rFonts w:ascii="Times New Roman" w:hAnsi="Times New Roman"/>
          <w:sz w:val="20"/>
        </w:rPr>
        <w:t xml:space="preserve"> </w:t>
      </w:r>
    </w:p>
  </w:footnote>
  <w:footnote w:id="27">
    <w:p w14:paraId="0F1ADDB5" w14:textId="77777777" w:rsidR="00657E1C" w:rsidRPr="0049022C" w:rsidRDefault="00C23B15">
      <w:pPr>
        <w:pStyle w:val="FootnoteText"/>
        <w:jc w:val="both"/>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De exemplu, Irlanda, Țările de Jos și Franța.</w:t>
      </w:r>
    </w:p>
  </w:footnote>
  <w:footnote w:id="28">
    <w:p w14:paraId="14B81A49" w14:textId="77777777" w:rsidR="00657E1C" w:rsidRPr="0049022C" w:rsidRDefault="00C23B15">
      <w:pPr>
        <w:pStyle w:val="FootnoteText"/>
        <w:jc w:val="both"/>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w:t>
      </w:r>
      <w:hyperlink r:id="rId15" w:history="1">
        <w:r w:rsidRPr="0049022C">
          <w:rPr>
            <w:rStyle w:val="Hyperlink"/>
            <w:rFonts w:ascii="Times New Roman" w:hAnsi="Times New Roman"/>
          </w:rPr>
          <w:t>Eurobarometrul Flash 566</w:t>
        </w:r>
      </w:hyperlink>
      <w:r w:rsidRPr="0049022C">
        <w:rPr>
          <w:rFonts w:ascii="Times New Roman" w:hAnsi="Times New Roman"/>
        </w:rPr>
        <w:t xml:space="preserve">, </w:t>
      </w:r>
      <w:r w:rsidRPr="0049022C">
        <w:rPr>
          <w:rFonts w:ascii="Times New Roman" w:hAnsi="Times New Roman"/>
          <w:i/>
        </w:rPr>
        <w:t>Consumer behaviour in the energy transition</w:t>
      </w:r>
      <w:r w:rsidRPr="0049022C">
        <w:rPr>
          <w:rFonts w:ascii="Times New Roman" w:hAnsi="Times New Roman"/>
        </w:rPr>
        <w:t xml:space="preserve"> (Comportamentul consumatorilor în contextul tranziției energetice), decembrie 2025.</w:t>
      </w:r>
    </w:p>
  </w:footnote>
  <w:footnote w:id="29">
    <w:p w14:paraId="75D51877"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Eurostat </w:t>
      </w:r>
      <w:hyperlink r:id="rId16" w:history="1">
        <w:r w:rsidRPr="0049022C">
          <w:rPr>
            <w:rStyle w:val="Hyperlink"/>
            <w:rFonts w:ascii="Times New Roman" w:hAnsi="Times New Roman"/>
            <w:i/>
            <w:iCs/>
          </w:rPr>
          <w:t>Population unable to keep home adequately warm by poverty status</w:t>
        </w:r>
      </w:hyperlink>
      <w:r w:rsidRPr="0049022C">
        <w:rPr>
          <w:rFonts w:ascii="Times New Roman" w:hAnsi="Times New Roman"/>
        </w:rPr>
        <w:t xml:space="preserve"> (Populație care nu își poate asigura o încălzire adecvată a locuinței, în funcție de nivelul de sărăcie), februarie 2026.</w:t>
      </w:r>
    </w:p>
  </w:footnote>
  <w:footnote w:id="30">
    <w:p w14:paraId="0B18850B"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w:t>
      </w:r>
      <w:hyperlink r:id="rId17" w:history="1">
        <w:r w:rsidRPr="0049022C">
          <w:rPr>
            <w:rStyle w:val="Hyperlink"/>
            <w:rFonts w:ascii="Times New Roman" w:hAnsi="Times New Roman"/>
          </w:rPr>
          <w:t>SWD(2025) 140 final</w:t>
        </w:r>
      </w:hyperlink>
      <w:r w:rsidRPr="0049022C">
        <w:rPr>
          <w:rFonts w:ascii="Times New Roman" w:hAnsi="Times New Roman"/>
        </w:rPr>
        <w:t>.</w:t>
      </w:r>
    </w:p>
  </w:footnote>
  <w:footnote w:id="31">
    <w:p w14:paraId="46B4BB8E"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Motivațiile divergente apar atunci când proprietarii nu sunt motivați să îmbunătățească locuințele, întrucât chiriașii obțin cea mai mare parte a beneficiilor, fără a putea însă realiza ei înșiși modificările.</w:t>
      </w:r>
    </w:p>
  </w:footnote>
  <w:footnote w:id="32">
    <w:p w14:paraId="1E8C1825" w14:textId="0AE5651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Între 2026 și 2032, Fondul social pentru climă va pune la dispoziție până la 86,7 miliarde EUR pentru sprijinirea persoanelor vulnerabile și a întreprinderilor mici cel mai puternic afectate de majorarea costurilor energiei și transporturilor.</w:t>
      </w:r>
    </w:p>
  </w:footnote>
  <w:footnote w:id="33">
    <w:p w14:paraId="7F8709F2" w14:textId="77777777" w:rsidR="00657E1C" w:rsidRPr="0049022C" w:rsidRDefault="00C23B15">
      <w:pPr>
        <w:pStyle w:val="FootnoteText"/>
        <w:rPr>
          <w:rFonts w:ascii="Times New Roman" w:hAnsi="Times New Roman" w:cs="Times New Roman"/>
        </w:rPr>
      </w:pPr>
      <w:r w:rsidRPr="0049022C">
        <w:rPr>
          <w:rFonts w:ascii="Times New Roman" w:hAnsi="Times New Roman" w:cs="Times New Roman"/>
          <w:vertAlign w:val="superscript"/>
        </w:rPr>
        <w:footnoteRef/>
      </w:r>
      <w:r w:rsidRPr="0049022C">
        <w:rPr>
          <w:rFonts w:ascii="Times New Roman" w:hAnsi="Times New Roman"/>
          <w:vertAlign w:val="superscript"/>
        </w:rPr>
        <w:t xml:space="preserve"> </w:t>
      </w:r>
      <w:r w:rsidRPr="0049022C">
        <w:rPr>
          <w:rFonts w:ascii="Times New Roman" w:hAnsi="Times New Roman"/>
        </w:rPr>
        <w:t>Regulamentul privind modernizarea politicii de coeziune încurajează statele membre să sporească finanțarea destinată locuințelor sustenabile și la prețuri accesibile, cu accent pe gospodăriile afectate de sărăcia energetică.</w:t>
      </w:r>
    </w:p>
  </w:footnote>
  <w:footnote w:id="34">
    <w:p w14:paraId="7A958631"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w:t>
      </w:r>
      <w:hyperlink r:id="rId18" w:history="1">
        <w:r w:rsidRPr="0049022C">
          <w:rPr>
            <w:rStyle w:val="Hyperlink"/>
            <w:rFonts w:ascii="Times New Roman" w:hAnsi="Times New Roman"/>
          </w:rPr>
          <w:t>Programul de lucru multianual pentru punerea în aplicare a programului LIFE în perioada 2025-2027</w:t>
        </w:r>
      </w:hyperlink>
      <w:r w:rsidRPr="0049022C">
        <w:t>.</w:t>
      </w:r>
    </w:p>
  </w:footnote>
  <w:footnote w:id="35">
    <w:p w14:paraId="5549FA9D" w14:textId="77777777" w:rsidR="00657E1C" w:rsidRPr="0049022C" w:rsidRDefault="00C23B15">
      <w:pPr>
        <w:pStyle w:val="FootnoteText"/>
        <w:rPr>
          <w:rFonts w:ascii="Times New Roman" w:hAnsi="Times New Roman" w:cs="Times New Roman"/>
        </w:rPr>
      </w:pPr>
      <w:r w:rsidRPr="0049022C">
        <w:rPr>
          <w:rFonts w:ascii="Times New Roman" w:hAnsi="Times New Roman" w:cs="Times New Roman"/>
          <w:vertAlign w:val="superscript"/>
        </w:rPr>
        <w:footnoteRef/>
      </w:r>
      <w:r w:rsidRPr="0049022C">
        <w:rPr>
          <w:rFonts w:ascii="Times New Roman" w:hAnsi="Times New Roman"/>
          <w:vertAlign w:val="superscript"/>
        </w:rPr>
        <w:t xml:space="preserve"> </w:t>
      </w:r>
      <w:hyperlink r:id="rId19" w:history="1">
        <w:r w:rsidRPr="0049022C">
          <w:rPr>
            <w:rStyle w:val="Hyperlink"/>
            <w:rFonts w:ascii="Times New Roman" w:hAnsi="Times New Roman"/>
          </w:rPr>
          <w:t>EUR-LEX 32023H2407</w:t>
        </w:r>
      </w:hyperlink>
      <w:r w:rsidRPr="0049022C">
        <w:t>.</w:t>
      </w:r>
    </w:p>
  </w:footnote>
  <w:footnote w:id="36">
    <w:p w14:paraId="122039C5" w14:textId="77777777" w:rsidR="00657E1C" w:rsidRPr="0049022C" w:rsidRDefault="00C23B15">
      <w:pPr>
        <w:pStyle w:val="FootnoteText"/>
        <w:rPr>
          <w:rFonts w:ascii="Times New Roman" w:hAnsi="Times New Roman" w:cs="Times New Roman"/>
        </w:rPr>
      </w:pPr>
      <w:r w:rsidRPr="0049022C">
        <w:rPr>
          <w:rStyle w:val="FootnoteReference"/>
          <w:rFonts w:ascii="Times New Roman" w:hAnsi="Times New Roman" w:cs="Times New Roman"/>
        </w:rPr>
        <w:footnoteRef/>
      </w:r>
      <w:r w:rsidRPr="0049022C">
        <w:rPr>
          <w:rFonts w:ascii="Times New Roman" w:hAnsi="Times New Roman"/>
        </w:rPr>
        <w:t xml:space="preserve"> Eurostat, </w:t>
      </w:r>
      <w:hyperlink r:id="rId20" w:history="1">
        <w:r w:rsidRPr="0049022C">
          <w:rPr>
            <w:rStyle w:val="Hyperlink"/>
            <w:rFonts w:ascii="Times New Roman" w:hAnsi="Times New Roman"/>
            <w:i/>
            <w:iCs/>
          </w:rPr>
          <w:t>Arrears on utility bills</w:t>
        </w:r>
      </w:hyperlink>
      <w:r w:rsidRPr="0049022C">
        <w:rPr>
          <w:rFonts w:ascii="Times New Roman" w:hAnsi="Times New Roman"/>
        </w:rPr>
        <w:t xml:space="preserve"> (Arierate la plata facturilor la utilități), februarie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A438F" w14:textId="77777777" w:rsidR="00E22B5F" w:rsidRPr="00E22B5F" w:rsidRDefault="00E22B5F" w:rsidP="00E22B5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2C183" w14:textId="77777777" w:rsidR="00E22B5F" w:rsidRPr="00E22B5F" w:rsidRDefault="00E22B5F" w:rsidP="00E22B5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E6ABF" w14:textId="77777777" w:rsidR="00E22B5F" w:rsidRPr="00E22B5F" w:rsidRDefault="00E22B5F" w:rsidP="00E22B5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77F39" w14:textId="77777777" w:rsidR="00657E1C" w:rsidRDefault="00657E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6AE16" w14:textId="77777777" w:rsidR="00657E1C" w:rsidRDefault="00657E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C3086" w14:textId="77777777" w:rsidR="00657E1C" w:rsidRDefault="00657E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A7C4E"/>
    <w:multiLevelType w:val="hybridMultilevel"/>
    <w:tmpl w:val="2320D000"/>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810AFA"/>
    <w:multiLevelType w:val="hybridMultilevel"/>
    <w:tmpl w:val="8592A25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0B2268B"/>
    <w:multiLevelType w:val="hybridMultilevel"/>
    <w:tmpl w:val="CBBEDB14"/>
    <w:lvl w:ilvl="0" w:tplc="18090003">
      <w:start w:val="1"/>
      <w:numFmt w:val="bullet"/>
      <w:lvlText w:val="o"/>
      <w:lvlJc w:val="left"/>
      <w:pPr>
        <w:ind w:left="182" w:hanging="360"/>
      </w:pPr>
      <w:rPr>
        <w:rFonts w:ascii="Courier New" w:hAnsi="Courier New" w:cs="Courier New" w:hint="default"/>
      </w:rPr>
    </w:lvl>
    <w:lvl w:ilvl="1" w:tplc="18090003" w:tentative="1">
      <w:start w:val="1"/>
      <w:numFmt w:val="bullet"/>
      <w:lvlText w:val="o"/>
      <w:lvlJc w:val="left"/>
      <w:pPr>
        <w:ind w:left="902" w:hanging="360"/>
      </w:pPr>
      <w:rPr>
        <w:rFonts w:ascii="Courier New" w:hAnsi="Courier New" w:cs="Courier New" w:hint="default"/>
      </w:rPr>
    </w:lvl>
    <w:lvl w:ilvl="2" w:tplc="18090005" w:tentative="1">
      <w:start w:val="1"/>
      <w:numFmt w:val="bullet"/>
      <w:lvlText w:val=""/>
      <w:lvlJc w:val="left"/>
      <w:pPr>
        <w:ind w:left="1622" w:hanging="360"/>
      </w:pPr>
      <w:rPr>
        <w:rFonts w:ascii="Wingdings" w:hAnsi="Wingdings" w:hint="default"/>
      </w:rPr>
    </w:lvl>
    <w:lvl w:ilvl="3" w:tplc="18090001" w:tentative="1">
      <w:start w:val="1"/>
      <w:numFmt w:val="bullet"/>
      <w:lvlText w:val=""/>
      <w:lvlJc w:val="left"/>
      <w:pPr>
        <w:ind w:left="2342" w:hanging="360"/>
      </w:pPr>
      <w:rPr>
        <w:rFonts w:ascii="Symbol" w:hAnsi="Symbol" w:hint="default"/>
      </w:rPr>
    </w:lvl>
    <w:lvl w:ilvl="4" w:tplc="18090003" w:tentative="1">
      <w:start w:val="1"/>
      <w:numFmt w:val="bullet"/>
      <w:lvlText w:val="o"/>
      <w:lvlJc w:val="left"/>
      <w:pPr>
        <w:ind w:left="3062" w:hanging="360"/>
      </w:pPr>
      <w:rPr>
        <w:rFonts w:ascii="Courier New" w:hAnsi="Courier New" w:cs="Courier New" w:hint="default"/>
      </w:rPr>
    </w:lvl>
    <w:lvl w:ilvl="5" w:tplc="18090005" w:tentative="1">
      <w:start w:val="1"/>
      <w:numFmt w:val="bullet"/>
      <w:lvlText w:val=""/>
      <w:lvlJc w:val="left"/>
      <w:pPr>
        <w:ind w:left="3782" w:hanging="360"/>
      </w:pPr>
      <w:rPr>
        <w:rFonts w:ascii="Wingdings" w:hAnsi="Wingdings" w:hint="default"/>
      </w:rPr>
    </w:lvl>
    <w:lvl w:ilvl="6" w:tplc="18090001" w:tentative="1">
      <w:start w:val="1"/>
      <w:numFmt w:val="bullet"/>
      <w:lvlText w:val=""/>
      <w:lvlJc w:val="left"/>
      <w:pPr>
        <w:ind w:left="4502" w:hanging="360"/>
      </w:pPr>
      <w:rPr>
        <w:rFonts w:ascii="Symbol" w:hAnsi="Symbol" w:hint="default"/>
      </w:rPr>
    </w:lvl>
    <w:lvl w:ilvl="7" w:tplc="18090003" w:tentative="1">
      <w:start w:val="1"/>
      <w:numFmt w:val="bullet"/>
      <w:lvlText w:val="o"/>
      <w:lvlJc w:val="left"/>
      <w:pPr>
        <w:ind w:left="5222" w:hanging="360"/>
      </w:pPr>
      <w:rPr>
        <w:rFonts w:ascii="Courier New" w:hAnsi="Courier New" w:cs="Courier New" w:hint="default"/>
      </w:rPr>
    </w:lvl>
    <w:lvl w:ilvl="8" w:tplc="18090005" w:tentative="1">
      <w:start w:val="1"/>
      <w:numFmt w:val="bullet"/>
      <w:lvlText w:val=""/>
      <w:lvlJc w:val="left"/>
      <w:pPr>
        <w:ind w:left="5942" w:hanging="360"/>
      </w:pPr>
      <w:rPr>
        <w:rFonts w:ascii="Wingdings" w:hAnsi="Wingdings" w:hint="default"/>
      </w:rPr>
    </w:lvl>
  </w:abstractNum>
  <w:abstractNum w:abstractNumId="3" w15:restartNumberingAfterBreak="0">
    <w:nsid w:val="15BA4175"/>
    <w:multiLevelType w:val="hybridMultilevel"/>
    <w:tmpl w:val="F0243E3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C876A4"/>
    <w:multiLevelType w:val="hybridMultilevel"/>
    <w:tmpl w:val="98DA925A"/>
    <w:lvl w:ilvl="0" w:tplc="FADC9342">
      <w:start w:val="1"/>
      <w:numFmt w:val="decimal"/>
      <w:lvlText w:val="%1."/>
      <w:lvlJc w:val="left"/>
      <w:pPr>
        <w:ind w:left="720" w:hanging="360"/>
      </w:pPr>
    </w:lvl>
    <w:lvl w:ilvl="1" w:tplc="B08EC8C6">
      <w:start w:val="1"/>
      <w:numFmt w:val="decimal"/>
      <w:lvlText w:val="%2."/>
      <w:lvlJc w:val="left"/>
      <w:pPr>
        <w:ind w:left="720" w:hanging="360"/>
      </w:pPr>
    </w:lvl>
    <w:lvl w:ilvl="2" w:tplc="D228F09E">
      <w:start w:val="1"/>
      <w:numFmt w:val="decimal"/>
      <w:lvlText w:val="%3."/>
      <w:lvlJc w:val="left"/>
      <w:pPr>
        <w:ind w:left="720" w:hanging="360"/>
      </w:pPr>
    </w:lvl>
    <w:lvl w:ilvl="3" w:tplc="92D6A65A">
      <w:start w:val="1"/>
      <w:numFmt w:val="decimal"/>
      <w:lvlText w:val="%4."/>
      <w:lvlJc w:val="left"/>
      <w:pPr>
        <w:ind w:left="720" w:hanging="360"/>
      </w:pPr>
    </w:lvl>
    <w:lvl w:ilvl="4" w:tplc="7122BAEA">
      <w:start w:val="1"/>
      <w:numFmt w:val="decimal"/>
      <w:lvlText w:val="%5."/>
      <w:lvlJc w:val="left"/>
      <w:pPr>
        <w:ind w:left="720" w:hanging="360"/>
      </w:pPr>
    </w:lvl>
    <w:lvl w:ilvl="5" w:tplc="394A294C">
      <w:start w:val="1"/>
      <w:numFmt w:val="decimal"/>
      <w:lvlText w:val="%6."/>
      <w:lvlJc w:val="left"/>
      <w:pPr>
        <w:ind w:left="720" w:hanging="360"/>
      </w:pPr>
    </w:lvl>
    <w:lvl w:ilvl="6" w:tplc="AEAA3860">
      <w:start w:val="1"/>
      <w:numFmt w:val="decimal"/>
      <w:lvlText w:val="%7."/>
      <w:lvlJc w:val="left"/>
      <w:pPr>
        <w:ind w:left="720" w:hanging="360"/>
      </w:pPr>
    </w:lvl>
    <w:lvl w:ilvl="7" w:tplc="3B92AA5E">
      <w:start w:val="1"/>
      <w:numFmt w:val="decimal"/>
      <w:lvlText w:val="%8."/>
      <w:lvlJc w:val="left"/>
      <w:pPr>
        <w:ind w:left="720" w:hanging="360"/>
      </w:pPr>
    </w:lvl>
    <w:lvl w:ilvl="8" w:tplc="642414CC">
      <w:start w:val="1"/>
      <w:numFmt w:val="decimal"/>
      <w:lvlText w:val="%9."/>
      <w:lvlJc w:val="left"/>
      <w:pPr>
        <w:ind w:left="720" w:hanging="360"/>
      </w:pPr>
    </w:lvl>
  </w:abstractNum>
  <w:abstractNum w:abstractNumId="5" w15:restartNumberingAfterBreak="0">
    <w:nsid w:val="1A264B20"/>
    <w:multiLevelType w:val="hybridMultilevel"/>
    <w:tmpl w:val="B0821352"/>
    <w:lvl w:ilvl="0" w:tplc="B28AE77A">
      <w:start w:val="1"/>
      <w:numFmt w:val="decimal"/>
      <w:lvlText w:val="%1."/>
      <w:lvlJc w:val="left"/>
      <w:pPr>
        <w:ind w:left="720" w:hanging="360"/>
      </w:pPr>
    </w:lvl>
    <w:lvl w:ilvl="1" w:tplc="E9588CC4">
      <w:start w:val="1"/>
      <w:numFmt w:val="decimal"/>
      <w:lvlText w:val="%2."/>
      <w:lvlJc w:val="left"/>
      <w:pPr>
        <w:ind w:left="720" w:hanging="360"/>
      </w:pPr>
    </w:lvl>
    <w:lvl w:ilvl="2" w:tplc="B450FF4C">
      <w:start w:val="1"/>
      <w:numFmt w:val="decimal"/>
      <w:lvlText w:val="%3."/>
      <w:lvlJc w:val="left"/>
      <w:pPr>
        <w:ind w:left="720" w:hanging="360"/>
      </w:pPr>
    </w:lvl>
    <w:lvl w:ilvl="3" w:tplc="A8C29E7E">
      <w:start w:val="1"/>
      <w:numFmt w:val="decimal"/>
      <w:lvlText w:val="%4."/>
      <w:lvlJc w:val="left"/>
      <w:pPr>
        <w:ind w:left="720" w:hanging="360"/>
      </w:pPr>
    </w:lvl>
    <w:lvl w:ilvl="4" w:tplc="D1E27D9C">
      <w:start w:val="1"/>
      <w:numFmt w:val="decimal"/>
      <w:lvlText w:val="%5."/>
      <w:lvlJc w:val="left"/>
      <w:pPr>
        <w:ind w:left="720" w:hanging="360"/>
      </w:pPr>
    </w:lvl>
    <w:lvl w:ilvl="5" w:tplc="513609D8">
      <w:start w:val="1"/>
      <w:numFmt w:val="decimal"/>
      <w:lvlText w:val="%6."/>
      <w:lvlJc w:val="left"/>
      <w:pPr>
        <w:ind w:left="720" w:hanging="360"/>
      </w:pPr>
    </w:lvl>
    <w:lvl w:ilvl="6" w:tplc="0DF24A58">
      <w:start w:val="1"/>
      <w:numFmt w:val="decimal"/>
      <w:lvlText w:val="%7."/>
      <w:lvlJc w:val="left"/>
      <w:pPr>
        <w:ind w:left="720" w:hanging="360"/>
      </w:pPr>
    </w:lvl>
    <w:lvl w:ilvl="7" w:tplc="6606599C">
      <w:start w:val="1"/>
      <w:numFmt w:val="decimal"/>
      <w:lvlText w:val="%8."/>
      <w:lvlJc w:val="left"/>
      <w:pPr>
        <w:ind w:left="720" w:hanging="360"/>
      </w:pPr>
    </w:lvl>
    <w:lvl w:ilvl="8" w:tplc="4860F6AE">
      <w:start w:val="1"/>
      <w:numFmt w:val="decimal"/>
      <w:lvlText w:val="%9."/>
      <w:lvlJc w:val="left"/>
      <w:pPr>
        <w:ind w:left="720" w:hanging="360"/>
      </w:pPr>
    </w:lvl>
  </w:abstractNum>
  <w:abstractNum w:abstractNumId="6" w15:restartNumberingAfterBreak="0">
    <w:nsid w:val="1AB71AE3"/>
    <w:multiLevelType w:val="hybridMultilevel"/>
    <w:tmpl w:val="739C86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315CDA"/>
    <w:multiLevelType w:val="hybridMultilevel"/>
    <w:tmpl w:val="FFFFFFFF"/>
    <w:lvl w:ilvl="0" w:tplc="D1BE05B6">
      <w:start w:val="1"/>
      <w:numFmt w:val="bullet"/>
      <w:lvlText w:val="o"/>
      <w:lvlJc w:val="left"/>
      <w:pPr>
        <w:ind w:left="720" w:hanging="360"/>
      </w:pPr>
      <w:rPr>
        <w:rFonts w:ascii="Courier New" w:hAnsi="Courier New" w:hint="default"/>
      </w:rPr>
    </w:lvl>
    <w:lvl w:ilvl="1" w:tplc="85D27372">
      <w:start w:val="1"/>
      <w:numFmt w:val="bullet"/>
      <w:lvlText w:val="o"/>
      <w:lvlJc w:val="left"/>
      <w:pPr>
        <w:ind w:left="1440" w:hanging="360"/>
      </w:pPr>
      <w:rPr>
        <w:rFonts w:ascii="Courier New" w:hAnsi="Courier New" w:hint="default"/>
      </w:rPr>
    </w:lvl>
    <w:lvl w:ilvl="2" w:tplc="4F34D4C0">
      <w:start w:val="1"/>
      <w:numFmt w:val="bullet"/>
      <w:lvlText w:val=""/>
      <w:lvlJc w:val="left"/>
      <w:pPr>
        <w:ind w:left="2160" w:hanging="360"/>
      </w:pPr>
      <w:rPr>
        <w:rFonts w:ascii="Wingdings" w:hAnsi="Wingdings" w:hint="default"/>
      </w:rPr>
    </w:lvl>
    <w:lvl w:ilvl="3" w:tplc="66FAF9CA">
      <w:start w:val="1"/>
      <w:numFmt w:val="bullet"/>
      <w:lvlText w:val=""/>
      <w:lvlJc w:val="left"/>
      <w:pPr>
        <w:ind w:left="2880" w:hanging="360"/>
      </w:pPr>
      <w:rPr>
        <w:rFonts w:ascii="Symbol" w:hAnsi="Symbol" w:hint="default"/>
      </w:rPr>
    </w:lvl>
    <w:lvl w:ilvl="4" w:tplc="7B5E3708">
      <w:start w:val="1"/>
      <w:numFmt w:val="bullet"/>
      <w:lvlText w:val="o"/>
      <w:lvlJc w:val="left"/>
      <w:pPr>
        <w:ind w:left="3600" w:hanging="360"/>
      </w:pPr>
      <w:rPr>
        <w:rFonts w:ascii="Courier New" w:hAnsi="Courier New" w:hint="default"/>
      </w:rPr>
    </w:lvl>
    <w:lvl w:ilvl="5" w:tplc="9D82074A">
      <w:start w:val="1"/>
      <w:numFmt w:val="bullet"/>
      <w:lvlText w:val=""/>
      <w:lvlJc w:val="left"/>
      <w:pPr>
        <w:ind w:left="4320" w:hanging="360"/>
      </w:pPr>
      <w:rPr>
        <w:rFonts w:ascii="Wingdings" w:hAnsi="Wingdings" w:hint="default"/>
      </w:rPr>
    </w:lvl>
    <w:lvl w:ilvl="6" w:tplc="E5DE0D3A">
      <w:start w:val="1"/>
      <w:numFmt w:val="bullet"/>
      <w:lvlText w:val=""/>
      <w:lvlJc w:val="left"/>
      <w:pPr>
        <w:ind w:left="5040" w:hanging="360"/>
      </w:pPr>
      <w:rPr>
        <w:rFonts w:ascii="Symbol" w:hAnsi="Symbol" w:hint="default"/>
      </w:rPr>
    </w:lvl>
    <w:lvl w:ilvl="7" w:tplc="D5F8407E">
      <w:start w:val="1"/>
      <w:numFmt w:val="bullet"/>
      <w:lvlText w:val="o"/>
      <w:lvlJc w:val="left"/>
      <w:pPr>
        <w:ind w:left="5760" w:hanging="360"/>
      </w:pPr>
      <w:rPr>
        <w:rFonts w:ascii="Courier New" w:hAnsi="Courier New" w:hint="default"/>
      </w:rPr>
    </w:lvl>
    <w:lvl w:ilvl="8" w:tplc="81B8ED3E">
      <w:start w:val="1"/>
      <w:numFmt w:val="bullet"/>
      <w:lvlText w:val=""/>
      <w:lvlJc w:val="left"/>
      <w:pPr>
        <w:ind w:left="6480" w:hanging="360"/>
      </w:pPr>
      <w:rPr>
        <w:rFonts w:ascii="Wingdings" w:hAnsi="Wingdings" w:hint="default"/>
      </w:rPr>
    </w:lvl>
  </w:abstractNum>
  <w:abstractNum w:abstractNumId="8" w15:restartNumberingAfterBreak="0">
    <w:nsid w:val="22500F55"/>
    <w:multiLevelType w:val="multilevel"/>
    <w:tmpl w:val="C9C0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FA1BBA"/>
    <w:multiLevelType w:val="hybridMultilevel"/>
    <w:tmpl w:val="71321B28"/>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3187535D"/>
    <w:multiLevelType w:val="hybridMultilevel"/>
    <w:tmpl w:val="9FA05DDC"/>
    <w:lvl w:ilvl="0" w:tplc="34786BA6">
      <w:start w:val="1"/>
      <w:numFmt w:val="decimal"/>
      <w:lvlText w:val="%1."/>
      <w:lvlJc w:val="left"/>
      <w:pPr>
        <w:ind w:left="720" w:hanging="360"/>
      </w:pPr>
    </w:lvl>
    <w:lvl w:ilvl="1" w:tplc="5D0E4892">
      <w:start w:val="1"/>
      <w:numFmt w:val="decimal"/>
      <w:lvlText w:val="%2."/>
      <w:lvlJc w:val="left"/>
      <w:pPr>
        <w:ind w:left="720" w:hanging="360"/>
      </w:pPr>
    </w:lvl>
    <w:lvl w:ilvl="2" w:tplc="9506910A">
      <w:start w:val="1"/>
      <w:numFmt w:val="decimal"/>
      <w:lvlText w:val="%3."/>
      <w:lvlJc w:val="left"/>
      <w:pPr>
        <w:ind w:left="720" w:hanging="360"/>
      </w:pPr>
    </w:lvl>
    <w:lvl w:ilvl="3" w:tplc="AE76558A">
      <w:start w:val="1"/>
      <w:numFmt w:val="decimal"/>
      <w:lvlText w:val="%4."/>
      <w:lvlJc w:val="left"/>
      <w:pPr>
        <w:ind w:left="720" w:hanging="360"/>
      </w:pPr>
    </w:lvl>
    <w:lvl w:ilvl="4" w:tplc="19705B44">
      <w:start w:val="1"/>
      <w:numFmt w:val="decimal"/>
      <w:lvlText w:val="%5."/>
      <w:lvlJc w:val="left"/>
      <w:pPr>
        <w:ind w:left="720" w:hanging="360"/>
      </w:pPr>
    </w:lvl>
    <w:lvl w:ilvl="5" w:tplc="B732699E">
      <w:start w:val="1"/>
      <w:numFmt w:val="decimal"/>
      <w:lvlText w:val="%6."/>
      <w:lvlJc w:val="left"/>
      <w:pPr>
        <w:ind w:left="720" w:hanging="360"/>
      </w:pPr>
    </w:lvl>
    <w:lvl w:ilvl="6" w:tplc="5C743EF2">
      <w:start w:val="1"/>
      <w:numFmt w:val="decimal"/>
      <w:lvlText w:val="%7."/>
      <w:lvlJc w:val="left"/>
      <w:pPr>
        <w:ind w:left="720" w:hanging="360"/>
      </w:pPr>
    </w:lvl>
    <w:lvl w:ilvl="7" w:tplc="42E01FD6">
      <w:start w:val="1"/>
      <w:numFmt w:val="decimal"/>
      <w:lvlText w:val="%8."/>
      <w:lvlJc w:val="left"/>
      <w:pPr>
        <w:ind w:left="720" w:hanging="360"/>
      </w:pPr>
    </w:lvl>
    <w:lvl w:ilvl="8" w:tplc="A1A4BBF0">
      <w:start w:val="1"/>
      <w:numFmt w:val="decimal"/>
      <w:lvlText w:val="%9."/>
      <w:lvlJc w:val="left"/>
      <w:pPr>
        <w:ind w:left="720" w:hanging="360"/>
      </w:pPr>
    </w:lvl>
  </w:abstractNum>
  <w:abstractNum w:abstractNumId="11" w15:restartNumberingAfterBreak="0">
    <w:nsid w:val="375A3332"/>
    <w:multiLevelType w:val="hybridMultilevel"/>
    <w:tmpl w:val="A2EE1500"/>
    <w:lvl w:ilvl="0" w:tplc="223EE81A">
      <w:start w:val="1"/>
      <w:numFmt w:val="bullet"/>
      <w:lvlText w:val=""/>
      <w:lvlJc w:val="left"/>
      <w:pPr>
        <w:ind w:left="720" w:hanging="360"/>
      </w:pPr>
      <w:rPr>
        <w:rFonts w:ascii="Symbol" w:hAnsi="Symbol"/>
      </w:rPr>
    </w:lvl>
    <w:lvl w:ilvl="1" w:tplc="BE94D148">
      <w:start w:val="1"/>
      <w:numFmt w:val="bullet"/>
      <w:lvlText w:val=""/>
      <w:lvlJc w:val="left"/>
      <w:pPr>
        <w:ind w:left="720" w:hanging="360"/>
      </w:pPr>
      <w:rPr>
        <w:rFonts w:ascii="Symbol" w:hAnsi="Symbol"/>
      </w:rPr>
    </w:lvl>
    <w:lvl w:ilvl="2" w:tplc="4C54C686">
      <w:start w:val="1"/>
      <w:numFmt w:val="bullet"/>
      <w:lvlText w:val=""/>
      <w:lvlJc w:val="left"/>
      <w:pPr>
        <w:ind w:left="720" w:hanging="360"/>
      </w:pPr>
      <w:rPr>
        <w:rFonts w:ascii="Symbol" w:hAnsi="Symbol"/>
      </w:rPr>
    </w:lvl>
    <w:lvl w:ilvl="3" w:tplc="97C6310A">
      <w:start w:val="1"/>
      <w:numFmt w:val="bullet"/>
      <w:lvlText w:val=""/>
      <w:lvlJc w:val="left"/>
      <w:pPr>
        <w:ind w:left="720" w:hanging="360"/>
      </w:pPr>
      <w:rPr>
        <w:rFonts w:ascii="Symbol" w:hAnsi="Symbol"/>
      </w:rPr>
    </w:lvl>
    <w:lvl w:ilvl="4" w:tplc="BC5A5FA0">
      <w:start w:val="1"/>
      <w:numFmt w:val="bullet"/>
      <w:lvlText w:val=""/>
      <w:lvlJc w:val="left"/>
      <w:pPr>
        <w:ind w:left="720" w:hanging="360"/>
      </w:pPr>
      <w:rPr>
        <w:rFonts w:ascii="Symbol" w:hAnsi="Symbol"/>
      </w:rPr>
    </w:lvl>
    <w:lvl w:ilvl="5" w:tplc="072A4506">
      <w:start w:val="1"/>
      <w:numFmt w:val="bullet"/>
      <w:lvlText w:val=""/>
      <w:lvlJc w:val="left"/>
      <w:pPr>
        <w:ind w:left="720" w:hanging="360"/>
      </w:pPr>
      <w:rPr>
        <w:rFonts w:ascii="Symbol" w:hAnsi="Symbol"/>
      </w:rPr>
    </w:lvl>
    <w:lvl w:ilvl="6" w:tplc="6FFA5D64">
      <w:start w:val="1"/>
      <w:numFmt w:val="bullet"/>
      <w:lvlText w:val=""/>
      <w:lvlJc w:val="left"/>
      <w:pPr>
        <w:ind w:left="720" w:hanging="360"/>
      </w:pPr>
      <w:rPr>
        <w:rFonts w:ascii="Symbol" w:hAnsi="Symbol"/>
      </w:rPr>
    </w:lvl>
    <w:lvl w:ilvl="7" w:tplc="4CFE0670">
      <w:start w:val="1"/>
      <w:numFmt w:val="bullet"/>
      <w:lvlText w:val=""/>
      <w:lvlJc w:val="left"/>
      <w:pPr>
        <w:ind w:left="720" w:hanging="360"/>
      </w:pPr>
      <w:rPr>
        <w:rFonts w:ascii="Symbol" w:hAnsi="Symbol"/>
      </w:rPr>
    </w:lvl>
    <w:lvl w:ilvl="8" w:tplc="55DE94DA">
      <w:start w:val="1"/>
      <w:numFmt w:val="bullet"/>
      <w:lvlText w:val=""/>
      <w:lvlJc w:val="left"/>
      <w:pPr>
        <w:ind w:left="720" w:hanging="360"/>
      </w:pPr>
      <w:rPr>
        <w:rFonts w:ascii="Symbol" w:hAnsi="Symbol"/>
      </w:rPr>
    </w:lvl>
  </w:abstractNum>
  <w:abstractNum w:abstractNumId="12" w15:restartNumberingAfterBreak="0">
    <w:nsid w:val="3E7710AF"/>
    <w:multiLevelType w:val="hybridMultilevel"/>
    <w:tmpl w:val="85B276F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6434302"/>
    <w:multiLevelType w:val="hybridMultilevel"/>
    <w:tmpl w:val="229863AC"/>
    <w:lvl w:ilvl="0" w:tplc="FFFFFFFF">
      <w:start w:val="1"/>
      <w:numFmt w:val="bullet"/>
      <w:lvlText w:val=""/>
      <w:lvlJc w:val="left"/>
      <w:pPr>
        <w:ind w:left="720" w:hanging="360"/>
      </w:pPr>
      <w:rPr>
        <w:rFonts w:ascii="Courier New" w:hAnsi="Courier New"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E3E6764"/>
    <w:multiLevelType w:val="hybridMultilevel"/>
    <w:tmpl w:val="8194929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08E1AE2"/>
    <w:multiLevelType w:val="multilevel"/>
    <w:tmpl w:val="FC4C9534"/>
    <w:lvl w:ilvl="0">
      <w:start w:val="1"/>
      <w:numFmt w:val="bullet"/>
      <w:pStyle w:val="Considran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0D2C6A"/>
    <w:multiLevelType w:val="hybridMultilevel"/>
    <w:tmpl w:val="39F2598C"/>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A2624EC"/>
    <w:multiLevelType w:val="hybridMultilevel"/>
    <w:tmpl w:val="65EC9B4C"/>
    <w:lvl w:ilvl="0" w:tplc="4036CB6A">
      <w:start w:val="1"/>
      <w:numFmt w:val="decimal"/>
      <w:lvlText w:val="%1."/>
      <w:lvlJc w:val="left"/>
      <w:pPr>
        <w:ind w:left="1020" w:hanging="360"/>
      </w:pPr>
    </w:lvl>
    <w:lvl w:ilvl="1" w:tplc="47085454">
      <w:start w:val="1"/>
      <w:numFmt w:val="decimal"/>
      <w:lvlText w:val="%2."/>
      <w:lvlJc w:val="left"/>
      <w:pPr>
        <w:ind w:left="1020" w:hanging="360"/>
      </w:pPr>
    </w:lvl>
    <w:lvl w:ilvl="2" w:tplc="93047DA2">
      <w:start w:val="1"/>
      <w:numFmt w:val="decimal"/>
      <w:lvlText w:val="%3."/>
      <w:lvlJc w:val="left"/>
      <w:pPr>
        <w:ind w:left="1020" w:hanging="360"/>
      </w:pPr>
    </w:lvl>
    <w:lvl w:ilvl="3" w:tplc="182EEFC6">
      <w:start w:val="1"/>
      <w:numFmt w:val="decimal"/>
      <w:lvlText w:val="%4."/>
      <w:lvlJc w:val="left"/>
      <w:pPr>
        <w:ind w:left="1020" w:hanging="360"/>
      </w:pPr>
    </w:lvl>
    <w:lvl w:ilvl="4" w:tplc="0E366AC8">
      <w:start w:val="1"/>
      <w:numFmt w:val="decimal"/>
      <w:lvlText w:val="%5."/>
      <w:lvlJc w:val="left"/>
      <w:pPr>
        <w:ind w:left="1020" w:hanging="360"/>
      </w:pPr>
    </w:lvl>
    <w:lvl w:ilvl="5" w:tplc="DE32E3A6">
      <w:start w:val="1"/>
      <w:numFmt w:val="decimal"/>
      <w:lvlText w:val="%6."/>
      <w:lvlJc w:val="left"/>
      <w:pPr>
        <w:ind w:left="1020" w:hanging="360"/>
      </w:pPr>
    </w:lvl>
    <w:lvl w:ilvl="6" w:tplc="EDF43156">
      <w:start w:val="1"/>
      <w:numFmt w:val="decimal"/>
      <w:lvlText w:val="%7."/>
      <w:lvlJc w:val="left"/>
      <w:pPr>
        <w:ind w:left="1020" w:hanging="360"/>
      </w:pPr>
    </w:lvl>
    <w:lvl w:ilvl="7" w:tplc="1A52107C">
      <w:start w:val="1"/>
      <w:numFmt w:val="decimal"/>
      <w:lvlText w:val="%8."/>
      <w:lvlJc w:val="left"/>
      <w:pPr>
        <w:ind w:left="1020" w:hanging="360"/>
      </w:pPr>
    </w:lvl>
    <w:lvl w:ilvl="8" w:tplc="CB4EEB00">
      <w:start w:val="1"/>
      <w:numFmt w:val="decimal"/>
      <w:lvlText w:val="%9."/>
      <w:lvlJc w:val="left"/>
      <w:pPr>
        <w:ind w:left="1020" w:hanging="360"/>
      </w:pPr>
    </w:lvl>
  </w:abstractNum>
  <w:abstractNum w:abstractNumId="18" w15:restartNumberingAfterBreak="0">
    <w:nsid w:val="5DC75BCA"/>
    <w:multiLevelType w:val="hybridMultilevel"/>
    <w:tmpl w:val="4D867BF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1FA78F5"/>
    <w:multiLevelType w:val="hybridMultilevel"/>
    <w:tmpl w:val="2F84457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A4614A1"/>
    <w:multiLevelType w:val="hybridMultilevel"/>
    <w:tmpl w:val="5E3215C8"/>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A5975A7"/>
    <w:multiLevelType w:val="hybridMultilevel"/>
    <w:tmpl w:val="A4C00D4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2"/>
  </w:num>
  <w:num w:numId="4">
    <w:abstractNumId w:val="3"/>
  </w:num>
  <w:num w:numId="5">
    <w:abstractNumId w:val="16"/>
  </w:num>
  <w:num w:numId="6">
    <w:abstractNumId w:val="7"/>
  </w:num>
  <w:num w:numId="7">
    <w:abstractNumId w:val="19"/>
  </w:num>
  <w:num w:numId="8">
    <w:abstractNumId w:val="1"/>
  </w:num>
  <w:num w:numId="9">
    <w:abstractNumId w:val="21"/>
  </w:num>
  <w:num w:numId="10">
    <w:abstractNumId w:val="9"/>
  </w:num>
  <w:num w:numId="11">
    <w:abstractNumId w:val="6"/>
  </w:num>
  <w:num w:numId="12">
    <w:abstractNumId w:val="12"/>
  </w:num>
  <w:num w:numId="13">
    <w:abstractNumId w:val="20"/>
  </w:num>
  <w:num w:numId="14">
    <w:abstractNumId w:val="14"/>
  </w:num>
  <w:num w:numId="15">
    <w:abstractNumId w:val="0"/>
  </w:num>
  <w:num w:numId="16">
    <w:abstractNumId w:val="3"/>
  </w:num>
  <w:num w:numId="17">
    <w:abstractNumId w:val="5"/>
  </w:num>
  <w:num w:numId="18">
    <w:abstractNumId w:val="4"/>
  </w:num>
  <w:num w:numId="19">
    <w:abstractNumId w:val="10"/>
  </w:num>
  <w:num w:numId="20">
    <w:abstractNumId w:val="17"/>
  </w:num>
  <w:num w:numId="21">
    <w:abstractNumId w:val="18"/>
  </w:num>
  <w:num w:numId="22">
    <w:abstractNumId w:val="8"/>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DFE78EB-44FB-4917-91E4-F4C425621BC8"/>
    <w:docVar w:name="LW_COVERPAGE_TYPE" w:val="1"/>
    <w:docVar w:name="LW_CROSSREFERENCE" w:val="{SWD(2026) 115 final}"/>
    <w:docVar w:name="LW_DocType" w:val="NORMAL"/>
    <w:docVar w:name="LW_EMISSION" w:val="10.3.2026"/>
    <w:docVar w:name="LW_EMISSION_ISODATE" w:val="2026-03-10"/>
    <w:docVar w:name="LW_EMISSION_LOCATION" w:val="STR"/>
    <w:docVar w:name="LW_EMISSION_PREFIX" w:val="Strasbourg,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achetul de m\u259?suri privind energia pentru cet\u259?\u539?eni&lt;/FMT&gt;"/>
    <w:docVar w:name="LW_TYPE.DOC.CP" w:val="COMUNICARE A COMISIEI C\u258?TRE PARLAMENTUL EUROPEAN \u536?I CONSILIU"/>
    <w:docVar w:name="LW_TYPE.DOC.CP.USERTEXT" w:val="&lt;EMPTY&gt;"/>
    <w:docVar w:name="LwApiVersions" w:val="LW4CoDe 1.24.5.0; LW 9.2, Build 20251112"/>
  </w:docVars>
  <w:rsids>
    <w:rsidRoot w:val="00657E1C"/>
    <w:rsid w:val="002A2A04"/>
    <w:rsid w:val="003B4804"/>
    <w:rsid w:val="0049022C"/>
    <w:rsid w:val="00657E1C"/>
    <w:rsid w:val="007C4A57"/>
    <w:rsid w:val="00BA0C3E"/>
    <w:rsid w:val="00BC1EB4"/>
    <w:rsid w:val="00BE4281"/>
    <w:rsid w:val="00C23B15"/>
    <w:rsid w:val="00E22B5F"/>
    <w:rsid w:val="00F131D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DEA2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Ha"/>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jc w:val="both"/>
    </w:pPr>
    <w:rPr>
      <w:kern w:val="0"/>
      <w:sz w:val="20"/>
      <w:szCs w:val="20"/>
    </w:rPr>
  </w:style>
  <w:style w:type="character" w:customStyle="1" w:styleId="CommentTextChar">
    <w:name w:val="Comment Text Char"/>
    <w:basedOn w:val="DefaultParagraphFont"/>
    <w:link w:val="CommentText"/>
    <w:uiPriority w:val="99"/>
    <w:rPr>
      <w:kern w:val="0"/>
      <w:sz w:val="20"/>
      <w:szCs w:val="20"/>
    </w:rPr>
  </w:style>
  <w:style w:type="character" w:customStyle="1" w:styleId="cf01">
    <w:name w:val="cf01"/>
    <w:basedOn w:val="DefaultParagraphFont"/>
    <w:rPr>
      <w:rFonts w:ascii="Segoe UI" w:hAnsi="Segoe UI" w:cs="Segoe UI" w:hint="default"/>
      <w:sz w:val="18"/>
      <w:szCs w:val="18"/>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Tex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Pr>
      <w:sz w:val="20"/>
      <w:szCs w:val="20"/>
      <w:lang w:val="ro-RO"/>
    </w:rPr>
  </w:style>
  <w:style w:type="character" w:styleId="FootnoteReference">
    <w:name w:val="footnote reference"/>
    <w:aliases w:val="number,SUPERS,Footnote Reference Superscript,stylish,Footnote symbol,BVI fnr,-E Fußnotenzeichen,Source Reference,Footnote reference number,note TESI,Times 10 Point,Exposant 3 Point,Ref,de nota al pie,EN Footnote Reference,R,ftref,16 P"/>
    <w:basedOn w:val="DefaultParagraphFont"/>
    <w:link w:val="FootnoteReferenceCharCarCharCharCarCharCarCharCarCharCarCharCharCarCarCharCharCharCharCharCarCharCarCharCharCarCharCar"/>
    <w:uiPriority w:val="99"/>
    <w:unhideWhenUsed/>
    <w:qFormat/>
    <w:rPr>
      <w:vertAlign w:val="superscript"/>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pPr>
      <w:spacing w:line="240" w:lineRule="exact"/>
      <w:jc w:val="both"/>
    </w:pPr>
    <w:rPr>
      <w:vertAlign w:val="superscript"/>
    </w:rPr>
  </w:style>
  <w:style w:type="paragraph" w:customStyle="1" w:styleId="oj-normal">
    <w:name w:val="oj-normal"/>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character" w:styleId="Hyperlink">
    <w:name w:val="Hyperlink"/>
    <w:basedOn w:val="DefaultParagraphFont"/>
    <w:uiPriority w:val="99"/>
    <w:unhideWhenUsed/>
    <w:rPr>
      <w:color w:val="0563C1" w:themeColor="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pf0">
    <w:name w:val="pf0"/>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character" w:styleId="HTMLCite">
    <w:name w:val="HTML Cite"/>
    <w:basedOn w:val="DefaultParagraphFont"/>
    <w:uiPriority w:val="99"/>
    <w:semiHidden/>
    <w:unhideWhenUsed/>
    <w:rPr>
      <w:i/>
      <w:iCs/>
    </w:rPr>
  </w:style>
  <w:style w:type="character" w:customStyle="1" w:styleId="ve-pasteprotect">
    <w:name w:val="ve-pasteprotect"/>
    <w:basedOn w:val="DefaultParagraphFont"/>
  </w:style>
  <w:style w:type="character" w:customStyle="1" w:styleId="normaltextrun">
    <w:name w:val="normaltextrun"/>
    <w:basedOn w:val="DefaultParagraphFont"/>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paragraph" w:styleId="CommentSubject">
    <w:name w:val="annotation subject"/>
    <w:basedOn w:val="CommentText"/>
    <w:next w:val="CommentText"/>
    <w:link w:val="CommentSubjectChar"/>
    <w:uiPriority w:val="99"/>
    <w:semiHidden/>
    <w:unhideWhenUsed/>
    <w:pPr>
      <w:jc w:val="left"/>
    </w:pPr>
    <w:rPr>
      <w:b/>
      <w:bCs/>
      <w:kern w:val="2"/>
    </w:rPr>
  </w:style>
  <w:style w:type="character" w:customStyle="1" w:styleId="CommentSubjectChar">
    <w:name w:val="Comment Subject Char"/>
    <w:basedOn w:val="CommentTextChar"/>
    <w:link w:val="CommentSubject"/>
    <w:uiPriority w:val="99"/>
    <w:semiHidden/>
    <w:rPr>
      <w:b/>
      <w:bCs/>
      <w:kern w:val="0"/>
      <w:sz w:val="20"/>
      <w:szCs w:val="20"/>
      <w:lang w:val="ro-RO"/>
    </w:rPr>
  </w:style>
  <w:style w:type="character" w:customStyle="1" w:styleId="Mention">
    <w:name w:val="Mention"/>
    <w:basedOn w:val="DefaultParagraphFont"/>
    <w:uiPriority w:val="99"/>
    <w:unhideWhenUsed/>
    <w:rPr>
      <w:color w:val="2B579A"/>
      <w:shd w:val="clear" w:color="auto" w:fill="E1DFDD"/>
    </w:rPr>
  </w:style>
  <w:style w:type="paragraph" w:styleId="Revision">
    <w:name w:val="Revision"/>
    <w:hidden/>
    <w:uiPriority w:val="99"/>
    <w:semiHidden/>
    <w:pPr>
      <w:spacing w:after="0" w:line="240" w:lineRule="auto"/>
    </w:pPr>
  </w:style>
  <w:style w:type="paragraph" w:customStyle="1" w:styleId="paragraph">
    <w:name w:val="paragraph"/>
    <w:basedOn w:val="Normal"/>
    <w:uiPriority w:val="1"/>
    <w:pPr>
      <w:spacing w:beforeAutospacing="1" w:after="240" w:afterAutospacing="1"/>
    </w:pPr>
    <w:rPr>
      <w:rFonts w:ascii="Times New Roman" w:eastAsia="Times New Roman" w:hAnsi="Times New Roman" w:cs="Times New Roman"/>
      <w:sz w:val="24"/>
      <w:szCs w:val="24"/>
      <w:lang w:eastAsia="en-IE"/>
    </w:rPr>
  </w:style>
  <w:style w:type="paragraph" w:customStyle="1" w:styleId="Default">
    <w:name w:val="Default"/>
    <w:pPr>
      <w:autoSpaceDE w:val="0"/>
      <w:autoSpaceDN w:val="0"/>
      <w:adjustRightInd w:val="0"/>
      <w:spacing w:after="0" w:line="240" w:lineRule="auto"/>
    </w:pPr>
    <w:rPr>
      <w:rFonts w:ascii="Arial" w:eastAsia="Calibri" w:hAnsi="Arial" w:cs="Arial"/>
      <w:color w:val="000000"/>
      <w:kern w:val="0"/>
      <w:sz w:val="24"/>
      <w:szCs w:val="24"/>
      <w:lang w:eastAsia="en-GB"/>
    </w:rPr>
  </w:style>
  <w:style w:type="character" w:customStyle="1" w:styleId="superscript">
    <w:name w:val="superscript"/>
    <w:basedOn w:val="DefaultParagraphFont"/>
  </w:style>
  <w:style w:type="character" w:customStyle="1" w:styleId="eop">
    <w:name w:val="eop"/>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link w:val="ListParagraph"/>
    <w:uiPriority w:val="34"/>
    <w:qFormat/>
  </w:style>
  <w:style w:type="table" w:styleId="TableGrid">
    <w:name w:val="Table Grid"/>
    <w:basedOn w:val="TableNormal"/>
    <w:uiPriority w:val="39"/>
    <w:pPr>
      <w:spacing w:after="0" w:line="240" w:lineRule="auto"/>
    </w:pPr>
    <w:tbl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itreobjet">
    <w:name w:val="Titre objet"/>
    <w:basedOn w:val="Normal"/>
    <w:uiPriority w:val="1"/>
    <w:pPr>
      <w:spacing w:before="360" w:after="360" w:line="240" w:lineRule="auto"/>
      <w:jc w:val="center"/>
    </w:pPr>
    <w:rPr>
      <w:rFonts w:eastAsiaTheme="minorEastAsia"/>
      <w:b/>
      <w:bCs/>
      <w:sz w:val="24"/>
      <w:szCs w:val="24"/>
    </w:rPr>
  </w:style>
  <w:style w:type="paragraph" w:customStyle="1" w:styleId="Considrant">
    <w:name w:val="Considérant"/>
    <w:basedOn w:val="Normal"/>
    <w:uiPriority w:val="1"/>
    <w:pPr>
      <w:numPr>
        <w:numId w:val="1"/>
      </w:numPr>
      <w:spacing w:before="120" w:after="120" w:line="240" w:lineRule="auto"/>
      <w:jc w:val="both"/>
    </w:pPr>
    <w:rPr>
      <w:rFonts w:eastAsiaTheme="minorEastAsia"/>
      <w:sz w:val="24"/>
      <w:szCs w:val="24"/>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11">
    <w:name w:val="cf11"/>
    <w:basedOn w:val="DefaultParagraphFont"/>
    <w:rPr>
      <w:rFonts w:ascii="Segoe UI" w:hAnsi="Segoe UI" w:cs="Segoe UI" w:hint="default"/>
      <w:sz w:val="18"/>
      <w:szCs w:val="1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ro-RO"/>
    </w:rPr>
  </w:style>
  <w:style w:type="character" w:styleId="EndnoteReference">
    <w:name w:val="endnote reference"/>
    <w:basedOn w:val="DefaultParagraphFont"/>
    <w:uiPriority w:val="99"/>
    <w:semiHidden/>
    <w:unhideWhenUsed/>
    <w:rPr>
      <w:vertAlign w:val="superscript"/>
    </w:rPr>
  </w:style>
  <w:style w:type="character" w:styleId="LineNumber">
    <w:name w:val="line number"/>
    <w:basedOn w:val="DefaultParagraphFont"/>
    <w:uiPriority w:val="99"/>
    <w:semiHidden/>
    <w:unhideWhenUsed/>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033365">
      <w:bodyDiv w:val="1"/>
      <w:marLeft w:val="0"/>
      <w:marRight w:val="0"/>
      <w:marTop w:val="0"/>
      <w:marBottom w:val="0"/>
      <w:divBdr>
        <w:top w:val="none" w:sz="0" w:space="0" w:color="auto"/>
        <w:left w:val="none" w:sz="0" w:space="0" w:color="auto"/>
        <w:bottom w:val="none" w:sz="0" w:space="0" w:color="auto"/>
        <w:right w:val="none" w:sz="0" w:space="0" w:color="auto"/>
      </w:divBdr>
    </w:div>
    <w:div w:id="804467303">
      <w:bodyDiv w:val="1"/>
      <w:marLeft w:val="0"/>
      <w:marRight w:val="0"/>
      <w:marTop w:val="0"/>
      <w:marBottom w:val="0"/>
      <w:divBdr>
        <w:top w:val="none" w:sz="0" w:space="0" w:color="auto"/>
        <w:left w:val="none" w:sz="0" w:space="0" w:color="auto"/>
        <w:bottom w:val="none" w:sz="0" w:space="0" w:color="auto"/>
        <w:right w:val="none" w:sz="0" w:space="0" w:color="auto"/>
      </w:divBdr>
    </w:div>
    <w:div w:id="845905792">
      <w:bodyDiv w:val="1"/>
      <w:marLeft w:val="0"/>
      <w:marRight w:val="0"/>
      <w:marTop w:val="0"/>
      <w:marBottom w:val="0"/>
      <w:divBdr>
        <w:top w:val="none" w:sz="0" w:space="0" w:color="auto"/>
        <w:left w:val="none" w:sz="0" w:space="0" w:color="auto"/>
        <w:bottom w:val="none" w:sz="0" w:space="0" w:color="auto"/>
        <w:right w:val="none" w:sz="0" w:space="0" w:color="auto"/>
      </w:divBdr>
    </w:div>
    <w:div w:id="863134442">
      <w:bodyDiv w:val="1"/>
      <w:marLeft w:val="0"/>
      <w:marRight w:val="0"/>
      <w:marTop w:val="0"/>
      <w:marBottom w:val="0"/>
      <w:divBdr>
        <w:top w:val="none" w:sz="0" w:space="0" w:color="auto"/>
        <w:left w:val="none" w:sz="0" w:space="0" w:color="auto"/>
        <w:bottom w:val="none" w:sz="0" w:space="0" w:color="auto"/>
        <w:right w:val="none" w:sz="0" w:space="0" w:color="auto"/>
      </w:divBdr>
    </w:div>
    <w:div w:id="1085878185">
      <w:bodyDiv w:val="1"/>
      <w:marLeft w:val="0"/>
      <w:marRight w:val="0"/>
      <w:marTop w:val="0"/>
      <w:marBottom w:val="0"/>
      <w:divBdr>
        <w:top w:val="none" w:sz="0" w:space="0" w:color="auto"/>
        <w:left w:val="none" w:sz="0" w:space="0" w:color="auto"/>
        <w:bottom w:val="none" w:sz="0" w:space="0" w:color="auto"/>
        <w:right w:val="none" w:sz="0" w:space="0" w:color="auto"/>
      </w:divBdr>
    </w:div>
    <w:div w:id="1392384126">
      <w:bodyDiv w:val="1"/>
      <w:marLeft w:val="0"/>
      <w:marRight w:val="0"/>
      <w:marTop w:val="0"/>
      <w:marBottom w:val="0"/>
      <w:divBdr>
        <w:top w:val="none" w:sz="0" w:space="0" w:color="auto"/>
        <w:left w:val="none" w:sz="0" w:space="0" w:color="auto"/>
        <w:bottom w:val="none" w:sz="0" w:space="0" w:color="auto"/>
        <w:right w:val="none" w:sz="0" w:space="0" w:color="auto"/>
      </w:divBdr>
    </w:div>
    <w:div w:id="1557856654">
      <w:bodyDiv w:val="1"/>
      <w:marLeft w:val="0"/>
      <w:marRight w:val="0"/>
      <w:marTop w:val="0"/>
      <w:marBottom w:val="0"/>
      <w:divBdr>
        <w:top w:val="none" w:sz="0" w:space="0" w:color="auto"/>
        <w:left w:val="none" w:sz="0" w:space="0" w:color="auto"/>
        <w:bottom w:val="none" w:sz="0" w:space="0" w:color="auto"/>
        <w:right w:val="none" w:sz="0" w:space="0" w:color="auto"/>
      </w:divBdr>
    </w:div>
    <w:div w:id="1797025690">
      <w:bodyDiv w:val="1"/>
      <w:marLeft w:val="0"/>
      <w:marRight w:val="0"/>
      <w:marTop w:val="0"/>
      <w:marBottom w:val="0"/>
      <w:divBdr>
        <w:top w:val="none" w:sz="0" w:space="0" w:color="auto"/>
        <w:left w:val="none" w:sz="0" w:space="0" w:color="auto"/>
        <w:bottom w:val="none" w:sz="0" w:space="0" w:color="auto"/>
        <w:right w:val="none" w:sz="0" w:space="0" w:color="auto"/>
      </w:divBdr>
    </w:div>
    <w:div w:id="213643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Energy_consumption_in_households" TargetMode="External"/><Relationship Id="rId13" Type="http://schemas.openxmlformats.org/officeDocument/2006/relationships/hyperlink" Target="https://www.dnv.com/publications/demand-side-flexibility-quantification-of-benefits-in-the-eu-232342/" TargetMode="External"/><Relationship Id="rId18" Type="http://schemas.openxmlformats.org/officeDocument/2006/relationships/hyperlink" Target="https://cinea.ec.europa.eu/programmes/life/life-legal-basis/life-multiannual-work-programme-2025-2027_en" TargetMode="External"/><Relationship Id="rId3" Type="http://schemas.openxmlformats.org/officeDocument/2006/relationships/hyperlink" Target="https://eur-lex.europa.eu/legal-content/RO/TXT/?uri=CELEX%3A52025DC0079&amp;qid=1741780110418" TargetMode="External"/><Relationship Id="rId7" Type="http://schemas.openxmlformats.org/officeDocument/2006/relationships/hyperlink" Target="https://energy.ec.europa.eu/document/download/d911cc86-121d-445c-bd27-a14098ede7e2_en?filename=C_2025_4010_1_EN_ACT_part1_v3.pdf" TargetMode="External"/><Relationship Id="rId12" Type="http://schemas.openxmlformats.org/officeDocument/2006/relationships/hyperlink" Target="https://www.dnv.com/publications/demand-side-flexibility-quantification-of-benefits-in-the-eu-232342/" TargetMode="External"/><Relationship Id="rId17" Type="http://schemas.openxmlformats.org/officeDocument/2006/relationships/hyperlink" Target="https://eur-lex.europa.eu/legal-content/RO/TXT/?uri=CELEX%3A52025DC0274&amp;qid=1769767810018" TargetMode="External"/><Relationship Id="rId2" Type="http://schemas.openxmlformats.org/officeDocument/2006/relationships/hyperlink" Target="https://eur-lex.europa.eu/legal-content/RO/TXT/?uri=CELEX:52025DC0085" TargetMode="External"/><Relationship Id="rId16" Type="http://schemas.openxmlformats.org/officeDocument/2006/relationships/hyperlink" Target="https://ec.europa.eu/eurostat/databrowser/product/page/sdg_07_60" TargetMode="External"/><Relationship Id="rId20" Type="http://schemas.openxmlformats.org/officeDocument/2006/relationships/hyperlink" Target="https://ec.europa.eu/eurostat/databrowser/view/ilc_mdes07/default/table?lang=en" TargetMode="External"/><Relationship Id="rId1" Type="http://schemas.openxmlformats.org/officeDocument/2006/relationships/hyperlink" Target="https://europa.eu/eurobarometer/surveys/detail/3354" TargetMode="External"/><Relationship Id="rId6" Type="http://schemas.openxmlformats.org/officeDocument/2006/relationships/hyperlink" Target="https://ec.europa.eu/regional_policy/information-sources/publications/communications/2025/eu-agenda-for-cities-2025_ro" TargetMode="External"/><Relationship Id="rId11" Type="http://schemas.openxmlformats.org/officeDocument/2006/relationships/hyperlink" Target="https://www.acer.europa.eu/sites/default/files/documents/Publications/ACER-CEER-2025-Retail-monitoring.pdf" TargetMode="External"/><Relationship Id="rId5" Type="http://schemas.openxmlformats.org/officeDocument/2006/relationships/hyperlink" Target="https://eur-lex.europa.eu/legal-content/RO/TXT/?uri=CELEX%3A52025DC1005&amp;qid=1770212329024" TargetMode="External"/><Relationship Id="rId15" Type="http://schemas.openxmlformats.org/officeDocument/2006/relationships/hyperlink" Target="https://europa.eu/eurobarometer/surveys/detail/3354" TargetMode="External"/><Relationship Id="rId10" Type="http://schemas.openxmlformats.org/officeDocument/2006/relationships/hyperlink" Target="https://www.acer.europa.eu/sites/default/files/documents/Publications/MMR_2021_Energy_Retail_Consumer_Protection_Volume.pdf" TargetMode="External"/><Relationship Id="rId19" Type="http://schemas.openxmlformats.org/officeDocument/2006/relationships/hyperlink" Target="https://eur-lex.europa.eu/eli/reco/2023/2407/oj/eng" TargetMode="External"/><Relationship Id="rId4" Type="http://schemas.openxmlformats.org/officeDocument/2006/relationships/hyperlink" Target="https://eur-lex.europa.eu/legal-content/RO/TXT/PDF/?uri=CELEX:52025DC1025" TargetMode="External"/><Relationship Id="rId9" Type="http://schemas.openxmlformats.org/officeDocument/2006/relationships/hyperlink" Target="https://europa.eu/eurobarometer/surveys/detail/3229?etrans=hr" TargetMode="External"/><Relationship Id="rId14" Type="http://schemas.openxmlformats.org/officeDocument/2006/relationships/hyperlink" Target="https://europa.eu/eurobarometer/surveys/detail/3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AFF36-615D-4F11-B343-276BECAE5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6138</Words>
  <Characters>34987</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41043</CharactersWithSpaces>
  <SharedDoc>false</SharedDoc>
  <HLinks>
    <vt:vector size="114" baseType="variant">
      <vt:variant>
        <vt:i4>4063324</vt:i4>
      </vt:variant>
      <vt:variant>
        <vt:i4>54</vt:i4>
      </vt:variant>
      <vt:variant>
        <vt:i4>0</vt:i4>
      </vt:variant>
      <vt:variant>
        <vt:i4>5</vt:i4>
      </vt:variant>
      <vt:variant>
        <vt:lpwstr>https://ec.europa.eu/eurostat/databrowser/view/ilc_mdes07/default/table?lang=en</vt:lpwstr>
      </vt:variant>
      <vt:variant>
        <vt:lpwstr/>
      </vt:variant>
      <vt:variant>
        <vt:i4>7864428</vt:i4>
      </vt:variant>
      <vt:variant>
        <vt:i4>51</vt:i4>
      </vt:variant>
      <vt:variant>
        <vt:i4>0</vt:i4>
      </vt:variant>
      <vt:variant>
        <vt:i4>5</vt:i4>
      </vt:variant>
      <vt:variant>
        <vt:lpwstr>https://eur-lex.europa.eu/eli/reco/2023/2407/oj/eng</vt:lpwstr>
      </vt:variant>
      <vt:variant>
        <vt:lpwstr/>
      </vt:variant>
      <vt:variant>
        <vt:i4>3670107</vt:i4>
      </vt:variant>
      <vt:variant>
        <vt:i4>48</vt:i4>
      </vt:variant>
      <vt:variant>
        <vt:i4>0</vt:i4>
      </vt:variant>
      <vt:variant>
        <vt:i4>5</vt:i4>
      </vt:variant>
      <vt:variant>
        <vt:lpwstr>https://cinea.ec.europa.eu/programmes/life/life-legal-basis/life-multiannual-work-programme-2025-2027_en</vt:lpwstr>
      </vt:variant>
      <vt:variant>
        <vt:lpwstr/>
      </vt:variant>
      <vt:variant>
        <vt:i4>655367</vt:i4>
      </vt:variant>
      <vt:variant>
        <vt:i4>45</vt:i4>
      </vt:variant>
      <vt:variant>
        <vt:i4>0</vt:i4>
      </vt:variant>
      <vt:variant>
        <vt:i4>5</vt:i4>
      </vt:variant>
      <vt:variant>
        <vt:lpwstr>https://eur-lex.europa.eu/legal-content/EN/TXT/?uri=CELEX%3A52025DC0274&amp;qid=1769767810018</vt:lpwstr>
      </vt:variant>
      <vt:variant>
        <vt:lpwstr/>
      </vt:variant>
      <vt:variant>
        <vt:i4>4063264</vt:i4>
      </vt:variant>
      <vt:variant>
        <vt:i4>42</vt:i4>
      </vt:variant>
      <vt:variant>
        <vt:i4>0</vt:i4>
      </vt:variant>
      <vt:variant>
        <vt:i4>5</vt:i4>
      </vt:variant>
      <vt:variant>
        <vt:lpwstr>https://ec.europa.eu/eurostat/databrowser/product/page/sdg_07_60</vt:lpwstr>
      </vt:variant>
      <vt:variant>
        <vt:lpwstr/>
      </vt:variant>
      <vt:variant>
        <vt:i4>2097250</vt:i4>
      </vt:variant>
      <vt:variant>
        <vt:i4>39</vt:i4>
      </vt:variant>
      <vt:variant>
        <vt:i4>0</vt:i4>
      </vt:variant>
      <vt:variant>
        <vt:i4>5</vt:i4>
      </vt:variant>
      <vt:variant>
        <vt:lpwstr>https://europa.eu/eurobarometer/surveys/detail/3354</vt:lpwstr>
      </vt:variant>
      <vt:variant>
        <vt:lpwstr/>
      </vt:variant>
      <vt:variant>
        <vt:i4>2097250</vt:i4>
      </vt:variant>
      <vt:variant>
        <vt:i4>36</vt:i4>
      </vt:variant>
      <vt:variant>
        <vt:i4>0</vt:i4>
      </vt:variant>
      <vt:variant>
        <vt:i4>5</vt:i4>
      </vt:variant>
      <vt:variant>
        <vt:lpwstr>https://europa.eu/eurobarometer/surveys/detail/3354</vt:lpwstr>
      </vt:variant>
      <vt:variant>
        <vt:lpwstr/>
      </vt:variant>
      <vt:variant>
        <vt:i4>524306</vt:i4>
      </vt:variant>
      <vt:variant>
        <vt:i4>33</vt:i4>
      </vt:variant>
      <vt:variant>
        <vt:i4>0</vt:i4>
      </vt:variant>
      <vt:variant>
        <vt:i4>5</vt:i4>
      </vt:variant>
      <vt:variant>
        <vt:lpwstr>https://www.dnv.com/publications/demand-side-flexibility-quantification-of-benefits-in-the-eu-232342/</vt:lpwstr>
      </vt:variant>
      <vt:variant>
        <vt:lpwstr/>
      </vt:variant>
      <vt:variant>
        <vt:i4>2228336</vt:i4>
      </vt:variant>
      <vt:variant>
        <vt:i4>30</vt:i4>
      </vt:variant>
      <vt:variant>
        <vt:i4>0</vt:i4>
      </vt:variant>
      <vt:variant>
        <vt:i4>5</vt:i4>
      </vt:variant>
      <vt:variant>
        <vt:lpwstr>https://www.acer.europa.eu/sites/default/files/documents/Publications/ACER-CEER-2025-Retail-monitoring.pdf</vt:lpwstr>
      </vt:variant>
      <vt:variant>
        <vt:lpwstr/>
      </vt:variant>
      <vt:variant>
        <vt:i4>5242893</vt:i4>
      </vt:variant>
      <vt:variant>
        <vt:i4>27</vt:i4>
      </vt:variant>
      <vt:variant>
        <vt:i4>0</vt:i4>
      </vt:variant>
      <vt:variant>
        <vt:i4>5</vt:i4>
      </vt:variant>
      <vt:variant>
        <vt:lpwstr>https://www.acer.europa.eu/sites/default/files/documents/Publications/MMR_2021_Energy_Retail_Consumer_Protection_Volume.pdf</vt:lpwstr>
      </vt:variant>
      <vt:variant>
        <vt:lpwstr/>
      </vt:variant>
      <vt:variant>
        <vt:i4>1441822</vt:i4>
      </vt:variant>
      <vt:variant>
        <vt:i4>24</vt:i4>
      </vt:variant>
      <vt:variant>
        <vt:i4>0</vt:i4>
      </vt:variant>
      <vt:variant>
        <vt:i4>5</vt:i4>
      </vt:variant>
      <vt:variant>
        <vt:lpwstr>https://europa.eu/eurobarometer/surveys/detail/3229?etrans=hr</vt:lpwstr>
      </vt:variant>
      <vt:variant>
        <vt:lpwstr/>
      </vt:variant>
      <vt:variant>
        <vt:i4>7536728</vt:i4>
      </vt:variant>
      <vt:variant>
        <vt:i4>21</vt:i4>
      </vt:variant>
      <vt:variant>
        <vt:i4>0</vt:i4>
      </vt:variant>
      <vt:variant>
        <vt:i4>5</vt:i4>
      </vt:variant>
      <vt:variant>
        <vt:lpwstr>https://ec.europa.eu/eurostat/statistics-explained/index.php?title=Energy_consumption_in_households</vt:lpwstr>
      </vt:variant>
      <vt:variant>
        <vt:lpwstr/>
      </vt:variant>
      <vt:variant>
        <vt:i4>90</vt:i4>
      </vt:variant>
      <vt:variant>
        <vt:i4>18</vt:i4>
      </vt:variant>
      <vt:variant>
        <vt:i4>0</vt:i4>
      </vt:variant>
      <vt:variant>
        <vt:i4>5</vt:i4>
      </vt:variant>
      <vt:variant>
        <vt:lpwstr>https://energy.ec.europa.eu/document/download/d911cc86-121d-445c-bd27-a14098ede7e2_en?filename=C_2025_4010_1_EN_ACT_part1_v3.pdf</vt:lpwstr>
      </vt:variant>
      <vt:variant>
        <vt:lpwstr/>
      </vt:variant>
      <vt:variant>
        <vt:i4>3801134</vt:i4>
      </vt:variant>
      <vt:variant>
        <vt:i4>15</vt:i4>
      </vt:variant>
      <vt:variant>
        <vt:i4>0</vt:i4>
      </vt:variant>
      <vt:variant>
        <vt:i4>5</vt:i4>
      </vt:variant>
      <vt:variant>
        <vt:lpwstr>https://ec.europa.eu/regional_policy/information-sources/publications/communications/2025/eu-agenda-for-cities-2025_en</vt:lpwstr>
      </vt:variant>
      <vt:variant>
        <vt:lpwstr/>
      </vt:variant>
      <vt:variant>
        <vt:i4>196614</vt:i4>
      </vt:variant>
      <vt:variant>
        <vt:i4>12</vt:i4>
      </vt:variant>
      <vt:variant>
        <vt:i4>0</vt:i4>
      </vt:variant>
      <vt:variant>
        <vt:i4>5</vt:i4>
      </vt:variant>
      <vt:variant>
        <vt:lpwstr>https://eur-lex.europa.eu/legal-content/EN/TXT/?uri=CELEX%3A52025DC1005&amp;qid=1770212329024</vt:lpwstr>
      </vt:variant>
      <vt:variant>
        <vt:lpwstr/>
      </vt:variant>
      <vt:variant>
        <vt:i4>2097153</vt:i4>
      </vt:variant>
      <vt:variant>
        <vt:i4>9</vt:i4>
      </vt:variant>
      <vt:variant>
        <vt:i4>0</vt:i4>
      </vt:variant>
      <vt:variant>
        <vt:i4>5</vt:i4>
      </vt:variant>
      <vt:variant>
        <vt:lpwstr>https://housing.ec.europa.eu/document/download/756915b5-d1b1-4bde-ac82-03532d2d3d90_en?filename=0.pdf</vt:lpwstr>
      </vt:variant>
      <vt:variant>
        <vt:lpwstr/>
      </vt:variant>
      <vt:variant>
        <vt:i4>327689</vt:i4>
      </vt:variant>
      <vt:variant>
        <vt:i4>6</vt:i4>
      </vt:variant>
      <vt:variant>
        <vt:i4>0</vt:i4>
      </vt:variant>
      <vt:variant>
        <vt:i4>5</vt:i4>
      </vt:variant>
      <vt:variant>
        <vt:lpwstr>https://eur-lex.europa.eu/legal-content/EN/TXT/?uri=CELEX%3A52025DC0079&amp;qid=1741780110418</vt:lpwstr>
      </vt:variant>
      <vt:variant>
        <vt:lpwstr/>
      </vt:variant>
      <vt:variant>
        <vt:i4>524305</vt:i4>
      </vt:variant>
      <vt:variant>
        <vt:i4>3</vt:i4>
      </vt:variant>
      <vt:variant>
        <vt:i4>0</vt:i4>
      </vt:variant>
      <vt:variant>
        <vt:i4>5</vt:i4>
      </vt:variant>
      <vt:variant>
        <vt:lpwstr>https://eur-lex.europa.eu/legal-content/EN/TXT/?uri=CELEX:52025DC0085</vt:lpwstr>
      </vt:variant>
      <vt:variant>
        <vt:lpwstr/>
      </vt:variant>
      <vt:variant>
        <vt:i4>2097250</vt:i4>
      </vt:variant>
      <vt:variant>
        <vt:i4>0</vt:i4>
      </vt:variant>
      <vt:variant>
        <vt:i4>0</vt:i4>
      </vt:variant>
      <vt:variant>
        <vt:i4>5</vt:i4>
      </vt:variant>
      <vt:variant>
        <vt:lpwstr>https://europa.eu/eurobarometer/surveys/detail/3354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2026-03-10T10:18:00Z</dcterms:created>
  <dcterms:modified xsi:type="dcterms:W3CDTF">2026-03-10T17:00:00Z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2026-03-10T09:40:55Z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b9f8ed37-74e6-4e79-9256-e570e9087ef8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ies>
</file>