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A18B6" w14:textId="0DEC1E71" w:rsidR="00C601B4" w:rsidRPr="007F5289" w:rsidRDefault="008E0308" w:rsidP="008E0308">
      <w:pPr>
        <w:pStyle w:val="Pagedecouverture"/>
        <w:rPr>
          <w:noProof/>
        </w:rPr>
      </w:pPr>
      <w:bookmarkStart w:id="0" w:name="LW_BM_COVERPAGE"/>
      <w:r>
        <w:rPr>
          <w:noProof/>
        </w:rPr>
        <w:pict w14:anchorId="0EBD2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FB08EE-3B71-4D87-AF1C-9329EBA705C3" style="width:455.25pt;height:313.5pt">
            <v:imagedata r:id="rId15" o:title=""/>
          </v:shape>
        </w:pict>
      </w:r>
    </w:p>
    <w:bookmarkEnd w:id="0"/>
    <w:p w14:paraId="50651908" w14:textId="77777777" w:rsidR="000234ED" w:rsidRPr="007F5289" w:rsidRDefault="000234ED" w:rsidP="000234ED">
      <w:pPr>
        <w:rPr>
          <w:noProof/>
        </w:rPr>
        <w:sectPr w:rsidR="000234ED" w:rsidRPr="007F5289" w:rsidSect="008E0308">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0B79E929" w14:textId="555D600D" w:rsidR="00BD029A" w:rsidRPr="007F5289" w:rsidRDefault="00BD029A" w:rsidP="00D50F7E">
      <w:pPr>
        <w:spacing w:after="0"/>
        <w:jc w:val="left"/>
        <w:rPr>
          <w:b/>
          <w:smallCaps/>
          <w:noProof/>
        </w:rPr>
      </w:pPr>
      <w:bookmarkStart w:id="1" w:name="_GoBack"/>
      <w:bookmarkEnd w:id="1"/>
    </w:p>
    <w:p w14:paraId="366C13D3" w14:textId="24E22895" w:rsidR="000E3436" w:rsidRPr="007F5289" w:rsidRDefault="00912279" w:rsidP="000056DB">
      <w:pPr>
        <w:pStyle w:val="Heading1"/>
        <w:rPr>
          <w:noProof/>
          <w:szCs w:val="24"/>
        </w:rPr>
      </w:pPr>
      <w:r w:rsidRPr="007F5289">
        <w:rPr>
          <w:noProof/>
        </w:rPr>
        <w:t>Introducere</w:t>
      </w:r>
    </w:p>
    <w:p w14:paraId="20C58342" w14:textId="637ADCA2" w:rsidR="000F787B" w:rsidRPr="007F5289" w:rsidRDefault="00DD6AEC" w:rsidP="000456A7">
      <w:pPr>
        <w:pStyle w:val="Text1"/>
        <w:spacing w:after="120"/>
        <w:rPr>
          <w:i/>
          <w:iCs/>
          <w:noProof/>
          <w:u w:val="single"/>
        </w:rPr>
      </w:pPr>
      <w:r w:rsidRPr="007F5289">
        <w:rPr>
          <w:noProof/>
        </w:rPr>
        <w:t>Asigurarea unei aprovizionări cu energie autohtonă, accesibilă ca preț și curată este esențială pentru realizarea obiectivelor strategice ale Uniunii Europene în materie de competitivitate industrială și decarbonizare, precum și pentru consolidarea independenței strategice și a securității aprovizionării cu energie.</w:t>
      </w:r>
      <w:bookmarkStart w:id="2" w:name="_Hlk219050161"/>
    </w:p>
    <w:bookmarkEnd w:id="2"/>
    <w:p w14:paraId="706B9FA0" w14:textId="3DAF2F3E" w:rsidR="00383485" w:rsidRPr="007F5289" w:rsidRDefault="000824C8" w:rsidP="00E7260F">
      <w:pPr>
        <w:pStyle w:val="Text1"/>
        <w:spacing w:after="120"/>
        <w:rPr>
          <w:noProof/>
        </w:rPr>
      </w:pPr>
      <w:r w:rsidRPr="007F5289">
        <w:rPr>
          <w:noProof/>
        </w:rPr>
        <w:t xml:space="preserve">Categoria emergentă a reactoarelor nucleare, cunoscute sub denumirea de </w:t>
      </w:r>
      <w:r w:rsidRPr="007F5289">
        <w:rPr>
          <w:b/>
          <w:noProof/>
        </w:rPr>
        <w:t>reactoare modulare mici</w:t>
      </w:r>
      <w:r w:rsidRPr="007F5289">
        <w:rPr>
          <w:noProof/>
        </w:rPr>
        <w:t xml:space="preserve"> (</w:t>
      </w:r>
      <w:r w:rsidRPr="007F5289">
        <w:rPr>
          <w:i/>
          <w:noProof/>
        </w:rPr>
        <w:t>small modular reactors</w:t>
      </w:r>
      <w:r w:rsidRPr="007F5289">
        <w:rPr>
          <w:noProof/>
        </w:rPr>
        <w:t xml:space="preserve"> – </w:t>
      </w:r>
      <w:r w:rsidRPr="007F5289">
        <w:rPr>
          <w:b/>
          <w:noProof/>
        </w:rPr>
        <w:t>SMR</w:t>
      </w:r>
      <w:r w:rsidRPr="007F5289">
        <w:rPr>
          <w:noProof/>
        </w:rPr>
        <w:t xml:space="preserve">), ar putea contribui la atingerea acestor obiective de politică ale UE și ar putea deveni unul dintre </w:t>
      </w:r>
      <w:r w:rsidRPr="007F5289">
        <w:rPr>
          <w:b/>
          <w:noProof/>
        </w:rPr>
        <w:t>următoarele proiecte majore de dezvoltare industrială ale Europei</w:t>
      </w:r>
      <w:r w:rsidRPr="007F5289">
        <w:rPr>
          <w:noProof/>
        </w:rPr>
        <w:t>.</w:t>
      </w:r>
    </w:p>
    <w:p w14:paraId="62C3C8A8" w14:textId="23E2E29C" w:rsidR="004E34B0" w:rsidRPr="007F5289" w:rsidRDefault="000824C8" w:rsidP="004E34B0">
      <w:pPr>
        <w:pStyle w:val="Text1"/>
        <w:spacing w:after="120"/>
        <w:rPr>
          <w:noProof/>
        </w:rPr>
      </w:pPr>
      <w:r w:rsidRPr="007F5289">
        <w:rPr>
          <w:noProof/>
        </w:rPr>
        <w:t>SMR-urile au potențialul de a mobiliza lanțuri valorice întregi în mai multe state membre ale UE și în diverse domenii de activitate, inclusiv inginerie, materiale avansate și robotică, precum și de a debloca finanțare privată. Ele pot consolida poziția de lider a UE în domeniul cercetării și inovării, pot genera noi cunoștințe tehnologice și pot crea locuri de muncă înalt calificate, precum și capacitate de export pe termen lung, asigurând totodată respectarea celor mai înalte standarde de securitate, siguranță, garanții și radioprotecție în domeniul nuclear din UE, în scopul protejării cetățenilor și a mediului.</w:t>
      </w:r>
    </w:p>
    <w:p w14:paraId="265C8CE6" w14:textId="32A987E1" w:rsidR="004E34B0" w:rsidRPr="007F5289" w:rsidRDefault="000824C8" w:rsidP="004E34B0">
      <w:pPr>
        <w:pStyle w:val="Text1"/>
        <w:spacing w:after="120"/>
        <w:rPr>
          <w:noProof/>
        </w:rPr>
      </w:pPr>
      <w:r w:rsidRPr="007F5289">
        <w:rPr>
          <w:noProof/>
        </w:rPr>
        <w:t>Se preconizează că SMR-urile vor juca un rol esențial, alături de reactoarele nucleare tradiționale de mari dimensiuni, în cadrul unui sistem energetic flexibil, sigur și eficient, caracterizat de o pondere în continuă creștere a energiei electrice curate și de o cerere tot mai mare pentru furnizarea de căldură și abur decarbonizate pentru industrie și gospodării. SMR-urile oferă oportunități atât pentru achizitorii care au nevoie de energie stabilă, flexibilă și curată la scară largă, cât și pentru o gamă largă de actori din industria nucleară, de exemplu prin furnizarea simultană de energie electrică și căldură cu emisii scăzute de carbon.</w:t>
      </w:r>
    </w:p>
    <w:p w14:paraId="1269B21C" w14:textId="014FF6A7" w:rsidR="00C8639F" w:rsidRPr="007F5289" w:rsidRDefault="002A5001" w:rsidP="00EE6543">
      <w:pPr>
        <w:pStyle w:val="Text1"/>
        <w:spacing w:after="120"/>
        <w:rPr>
          <w:noProof/>
          <w:szCs w:val="24"/>
        </w:rPr>
      </w:pPr>
      <w:r w:rsidRPr="007F5289">
        <w:rPr>
          <w:noProof/>
        </w:rPr>
        <w:t>Având în vedere dimensiunea și modularitatea lor, precum și avantajele specifice ale energiei nucleare, reactoarele modulare mici suscită un interes tot mai mare în rândul statelor membre. Evaluările preliminare ale capacității reactoarelor modulare mici preconizate în Uniunea Europeană până în 2050 variază între 17 GW și 53 GW, pentru producerea de energie electrică și pentru alte utilizări</w:t>
      </w:r>
      <w:r w:rsidRPr="007F5289">
        <w:rPr>
          <w:b/>
          <w:noProof/>
        </w:rPr>
        <w:t xml:space="preserve"> </w:t>
      </w:r>
      <w:r w:rsidRPr="007F5289">
        <w:rPr>
          <w:noProof/>
        </w:rPr>
        <w:t>(precum furnizarea de căldură, producerea de hidrogen și combustibili sintetici) (</w:t>
      </w:r>
      <w:r w:rsidRPr="007F5289">
        <w:rPr>
          <w:rStyle w:val="FootnoteReference"/>
          <w:noProof/>
          <w:szCs w:val="24"/>
        </w:rPr>
        <w:footnoteReference w:id="2"/>
      </w:r>
      <w:r w:rsidRPr="007F5289">
        <w:rPr>
          <w:noProof/>
        </w:rPr>
        <w:t>).</w:t>
      </w:r>
    </w:p>
    <w:p w14:paraId="3705E42B" w14:textId="6759342F" w:rsidR="00C8639F" w:rsidRPr="007F5289" w:rsidRDefault="00C8639F" w:rsidP="00C8639F">
      <w:pPr>
        <w:pStyle w:val="Text1"/>
        <w:pBdr>
          <w:top w:val="single" w:sz="4" w:space="1" w:color="auto"/>
          <w:left w:val="single" w:sz="4" w:space="4" w:color="auto"/>
          <w:bottom w:val="single" w:sz="4" w:space="1" w:color="auto"/>
          <w:right w:val="single" w:sz="4" w:space="4" w:color="auto"/>
        </w:pBdr>
        <w:spacing w:after="120"/>
        <w:rPr>
          <w:b/>
          <w:bCs/>
          <w:noProof/>
          <w:u w:val="single"/>
        </w:rPr>
      </w:pPr>
      <w:r w:rsidRPr="007F5289">
        <w:rPr>
          <w:b/>
          <w:noProof/>
          <w:u w:val="single"/>
        </w:rPr>
        <w:t>Ce sunt reactoarele nucleare modulare mici?</w:t>
      </w:r>
    </w:p>
    <w:p w14:paraId="362954BF" w14:textId="7517BEFA" w:rsidR="00222D20" w:rsidRPr="007F5289" w:rsidRDefault="00091495" w:rsidP="00222D20">
      <w:pPr>
        <w:pStyle w:val="Text1"/>
        <w:pBdr>
          <w:top w:val="single" w:sz="4" w:space="1" w:color="auto"/>
          <w:left w:val="single" w:sz="4" w:space="4" w:color="auto"/>
          <w:bottom w:val="single" w:sz="4" w:space="1" w:color="auto"/>
          <w:right w:val="single" w:sz="4" w:space="4" w:color="auto"/>
        </w:pBdr>
        <w:spacing w:after="120"/>
        <w:rPr>
          <w:noProof/>
        </w:rPr>
      </w:pPr>
      <w:r w:rsidRPr="007F5289">
        <w:rPr>
          <w:b/>
          <w:noProof/>
        </w:rPr>
        <w:t>SMR-urile</w:t>
      </w:r>
      <w:r w:rsidRPr="007F5289">
        <w:rPr>
          <w:noProof/>
        </w:rPr>
        <w:t xml:space="preserve"> sunt reactoare nucleare proiectate astfel încât (i) să fie mai mici ca dimensiuni și ca putere față de reactoarele nucleare tradiționale și (ii) să fie modulare, ceea ce înseamnă că reactoarele sau componentele acestora pot fi fabricate într-un mediu industrial și transportate la un amplasament fie pentru utilizare directă, fie pentru asamblare.</w:t>
      </w:r>
    </w:p>
    <w:p w14:paraId="3A4C77AE" w14:textId="4F24436C" w:rsidR="00843D4C" w:rsidRPr="007F5289" w:rsidRDefault="00A0295A" w:rsidP="00222D20">
      <w:pPr>
        <w:pStyle w:val="Text1"/>
        <w:pBdr>
          <w:top w:val="single" w:sz="4" w:space="1" w:color="auto"/>
          <w:left w:val="single" w:sz="4" w:space="4" w:color="auto"/>
          <w:bottom w:val="single" w:sz="4" w:space="1" w:color="auto"/>
          <w:right w:val="single" w:sz="4" w:space="4" w:color="auto"/>
        </w:pBdr>
        <w:spacing w:after="120"/>
        <w:rPr>
          <w:noProof/>
        </w:rPr>
      </w:pPr>
      <w:r w:rsidRPr="007F5289">
        <w:rPr>
          <w:noProof/>
        </w:rPr>
        <w:t xml:space="preserve">O clasificare utilă a reactoarelor modulare mici cuprinde 1) </w:t>
      </w:r>
      <w:r w:rsidRPr="007F5289">
        <w:rPr>
          <w:b/>
          <w:noProof/>
        </w:rPr>
        <w:t>reactoarele cu apă ușoară de tip SMR</w:t>
      </w:r>
      <w:r w:rsidRPr="007F5289">
        <w:rPr>
          <w:noProof/>
        </w:rPr>
        <w:t xml:space="preserve">, care au fost dezvoltate, de regulă, pornind de la reactoare nucleare existente răcite cu apă, 2) </w:t>
      </w:r>
      <w:r w:rsidRPr="007F5289">
        <w:rPr>
          <w:b/>
          <w:noProof/>
        </w:rPr>
        <w:t>reactoarele modulare avansate</w:t>
      </w:r>
      <w:r w:rsidRPr="007F5289">
        <w:rPr>
          <w:noProof/>
        </w:rPr>
        <w:t xml:space="preserve"> (</w:t>
      </w:r>
      <w:r w:rsidRPr="007F5289">
        <w:rPr>
          <w:b/>
          <w:noProof/>
        </w:rPr>
        <w:t>AMR</w:t>
      </w:r>
      <w:r w:rsidRPr="007F5289">
        <w:rPr>
          <w:noProof/>
        </w:rPr>
        <w:t>), care utilizează concepte inovatoare și modele de generație viitoare (</w:t>
      </w:r>
      <w:r w:rsidRPr="007F5289">
        <w:rPr>
          <w:b/>
          <w:noProof/>
        </w:rPr>
        <w:t>generația IV</w:t>
      </w:r>
      <w:r w:rsidRPr="007F5289">
        <w:rPr>
          <w:noProof/>
        </w:rPr>
        <w:t xml:space="preserve">), cu diferiți agenți de răcire (metal lichid, sare topită sau gaz de temperatură înaltă) ori tipuri noi de combustibil nuclear și 3) </w:t>
      </w:r>
      <w:r w:rsidRPr="007F5289">
        <w:rPr>
          <w:b/>
          <w:noProof/>
        </w:rPr>
        <w:t>microreactoarele</w:t>
      </w:r>
      <w:r w:rsidRPr="007F5289">
        <w:rPr>
          <w:noProof/>
        </w:rPr>
        <w:t>, care produc, de regulă, mai puțin de 10 megawați de energie electrică, au cicluri lungi de realimentare și pot fi transportate (</w:t>
      </w:r>
      <w:r w:rsidRPr="007F5289">
        <w:rPr>
          <w:rStyle w:val="FootnoteReference"/>
          <w:noProof/>
          <w:szCs w:val="24"/>
        </w:rPr>
        <w:footnoteReference w:id="3"/>
      </w:r>
      <w:r w:rsidRPr="007F5289">
        <w:rPr>
          <w:noProof/>
        </w:rPr>
        <w:t>).</w:t>
      </w:r>
    </w:p>
    <w:p w14:paraId="075428E8" w14:textId="063AA356" w:rsidR="00D076F8" w:rsidRPr="007F5289" w:rsidRDefault="00183DE7" w:rsidP="00425361">
      <w:pPr>
        <w:pStyle w:val="Text1"/>
        <w:keepNext/>
        <w:spacing w:before="240" w:after="120"/>
        <w:rPr>
          <w:i/>
          <w:iCs/>
          <w:noProof/>
          <w:szCs w:val="24"/>
          <w:u w:val="single"/>
        </w:rPr>
      </w:pPr>
      <w:bookmarkStart w:id="3" w:name="_Hlk219050174"/>
      <w:r w:rsidRPr="007F5289">
        <w:rPr>
          <w:i/>
          <w:noProof/>
          <w:u w:val="single"/>
        </w:rPr>
        <w:t>O varietate de utilizări finale, dincolo de producerea de energie electrică</w:t>
      </w:r>
      <w:bookmarkEnd w:id="3"/>
    </w:p>
    <w:p w14:paraId="3DB99E8F" w14:textId="326C26DB" w:rsidR="00D076F8" w:rsidRPr="007F5289" w:rsidRDefault="00D076F8" w:rsidP="001D2EAB">
      <w:pPr>
        <w:pStyle w:val="Text1"/>
        <w:spacing w:after="120"/>
        <w:rPr>
          <w:noProof/>
          <w:color w:val="000000" w:themeColor="text1"/>
        </w:rPr>
      </w:pPr>
      <w:r w:rsidRPr="007F5289">
        <w:rPr>
          <w:noProof/>
        </w:rPr>
        <w:t xml:space="preserve">Combinarea reactoarelor modulare mici cu surse de energie regenerabilă și cu surse nucleare de mari dimensiuni ar putea oferi un mix energetic flexibil și durabil, facilitând totodată menținerea stabilității rețelei. </w:t>
      </w:r>
      <w:r w:rsidRPr="007F5289">
        <w:rPr>
          <w:noProof/>
          <w:color w:val="000000" w:themeColor="text1"/>
        </w:rPr>
        <w:t>Reactoarele modulare mici pot sprijini în mod eficace echilibrarea sarcinii rețelei.</w:t>
      </w:r>
    </w:p>
    <w:p w14:paraId="18DB6DE2" w14:textId="7E032788" w:rsidR="006E28FB" w:rsidRPr="007F5289" w:rsidRDefault="00E47B93" w:rsidP="006E28FB">
      <w:pPr>
        <w:pStyle w:val="Text1"/>
        <w:spacing w:after="120"/>
        <w:rPr>
          <w:noProof/>
          <w:color w:val="000000" w:themeColor="text1"/>
        </w:rPr>
      </w:pPr>
      <w:r w:rsidRPr="007F5289">
        <w:rPr>
          <w:noProof/>
          <w:color w:val="000000" w:themeColor="text1"/>
        </w:rPr>
        <w:t>Deși primele proiecte de reactoare modulare mici la nivel mondial se concentrează pe producerea de energie electrică, este probabil ca aceste tehnologii să își valorifice pe deplin potențialul atunci când vizează aplicații hibride sau în afara rețelei și producerea de energie termică pentru utilizări industriale și rezidențiale greu de decarbonizat, mai degrabă decât să concureze exclusiv pe piața consacrată a energiei electrice din UE.</w:t>
      </w:r>
    </w:p>
    <w:p w14:paraId="4E296215" w14:textId="4E1E43A3" w:rsidR="00D234F7" w:rsidRPr="007F5289" w:rsidRDefault="00722A19" w:rsidP="0014524F">
      <w:pPr>
        <w:pStyle w:val="Text1"/>
        <w:spacing w:after="120"/>
        <w:rPr>
          <w:noProof/>
          <w:color w:val="000000" w:themeColor="text1"/>
        </w:rPr>
      </w:pPr>
      <w:r w:rsidRPr="007F5289">
        <w:rPr>
          <w:noProof/>
          <w:color w:val="000000" w:themeColor="text1"/>
        </w:rPr>
        <w:t xml:space="preserve">Prin furnizarea de </w:t>
      </w:r>
      <w:r w:rsidRPr="007F5289">
        <w:rPr>
          <w:noProof/>
        </w:rPr>
        <w:t>energie electrică</w:t>
      </w:r>
      <w:r w:rsidRPr="007F5289">
        <w:rPr>
          <w:noProof/>
          <w:color w:val="000000" w:themeColor="text1"/>
        </w:rPr>
        <w:t xml:space="preserve"> și termică cu emisii scăzute de carbon, reactoarele modulare mici pot sprijini direct decarbonizarea sectoarelor greu de decarbonizat aflate în centrul bazei industriale a UE, printre care industria chimică, siderurgia, rafinăriile, transportul maritim, sectorul apărării și sistemele de încălzire centralizată, reducând în același timp presiunea asupra rețelelor de energie electrică generată de creșterea cererii, inclusiv din partea centrelor de date, a producției de hidrogen cu emisii scăzute de carbon și de combustibili sintetici, precum și a desalinizării apei.</w:t>
      </w:r>
    </w:p>
    <w:p w14:paraId="4CD01C1B" w14:textId="53137D88" w:rsidR="0047283C" w:rsidRPr="007F5289" w:rsidRDefault="009564E9" w:rsidP="0047283C">
      <w:pPr>
        <w:pStyle w:val="Text1"/>
        <w:spacing w:after="120"/>
        <w:rPr>
          <w:noProof/>
          <w:color w:val="000000" w:themeColor="text1"/>
        </w:rPr>
      </w:pPr>
      <w:r w:rsidRPr="007F5289">
        <w:rPr>
          <w:noProof/>
          <w:color w:val="000000" w:themeColor="text1"/>
        </w:rPr>
        <w:t>Totodată, microreactoarele ar putea fi utilizate în viitor în diverse situri industriale, porturi, aeroporturi și exploatări miniere, precum și pentru asigurarea energiei necesare operațiunilor de apărare sau de intervenție în caz de dezastre. Având în vedere dimensiunea, portabilitatea și scalabilitatea lor, microreactoarele ar putea acționa ca un factor favorizant, contribuind la crearea unei piețe extinse, cu multiple aplicații, în faza inițială de implementare a acestei tehnologii.</w:t>
      </w:r>
    </w:p>
    <w:p w14:paraId="6C4CEEB3" w14:textId="77777777" w:rsidR="00C0015B" w:rsidRPr="007F5289" w:rsidRDefault="00C0015B" w:rsidP="0089149F">
      <w:pPr>
        <w:spacing w:after="120" w:line="259" w:lineRule="auto"/>
        <w:ind w:left="482"/>
        <w:rPr>
          <w:b/>
          <w:bCs/>
          <w:noProof/>
          <w:szCs w:val="24"/>
        </w:rPr>
      </w:pPr>
      <w:r w:rsidRPr="007F5289">
        <w:rPr>
          <w:b/>
          <w:noProof/>
        </w:rPr>
        <w:t>Caz de utilizare în industria chimică</w:t>
      </w:r>
    </w:p>
    <w:p w14:paraId="0059812B" w14:textId="65209F0F" w:rsidR="003A62A8" w:rsidRPr="007F5289" w:rsidRDefault="00C0015B" w:rsidP="003A62A8">
      <w:pPr>
        <w:pStyle w:val="Text1"/>
        <w:spacing w:after="120"/>
        <w:rPr>
          <w:noProof/>
          <w:szCs w:val="24"/>
        </w:rPr>
      </w:pPr>
      <w:r w:rsidRPr="007F5289">
        <w:rPr>
          <w:noProof/>
        </w:rPr>
        <w:t>Energia electrică cu emisii scăzute de dioxid de carbon și căldura industrială la temperaturi ridicate (abur), la prețuri accesibile, sunt esențiale pentru numeroase instalații de producție din industria chimică. Diferite modele de reactoare modulare mici produc abur la niveluri variate de temperatură, între aproximativ 200 °C și 550 °C, care poate fi convertit în energie electrică și/sau utilizat în multiple procese de producție chimică, inclusiv în industria petrochimică, a amoniacului și a cloralcalilor. Totodată, furnizarea de energie electrică de către reactoarele modulare mici va fi deosebit de relevantă pentru (i) cracarea cu abur, unde temperaturile foarte ridicate necesare (750 °C-900 °C) ar putea fi obținute prin electrificare, precum și pentru (ii) producția de amoniac și metanol, unde reformarea gazelor naturale ar putea fi înlocuită cu electroliza apei. În plus, numeroase activități din industria chimică sunt concentrate în jurul a aproximativ 150 de clustere chimice situate pe întreg teritoriul UE (</w:t>
      </w:r>
      <w:r w:rsidRPr="007F5289">
        <w:rPr>
          <w:rStyle w:val="FootnoteReference"/>
          <w:noProof/>
          <w:szCs w:val="24"/>
        </w:rPr>
        <w:footnoteReference w:id="4"/>
      </w:r>
      <w:r w:rsidRPr="007F5289">
        <w:rPr>
          <w:noProof/>
        </w:rPr>
        <w:t>). Coamplasarea geografică a reactoarelor modulare mici în cadrul acestor situri, ca înlocuitori ai actualelor centrale de cogenerare pe bază de combustibili fosili, ar putea constitui o soluție energetică atractivă, prin reducerea costurilor de distribuție și îmbunătățirea eficienței energetice.</w:t>
      </w:r>
    </w:p>
    <w:p w14:paraId="6A750E82" w14:textId="77777777" w:rsidR="00C0015B" w:rsidRPr="007F5289" w:rsidRDefault="00C0015B" w:rsidP="0089149F">
      <w:pPr>
        <w:spacing w:after="120" w:line="259" w:lineRule="auto"/>
        <w:ind w:left="482"/>
        <w:rPr>
          <w:b/>
          <w:bCs/>
          <w:noProof/>
          <w:szCs w:val="24"/>
        </w:rPr>
      </w:pPr>
      <w:r w:rsidRPr="007F5289">
        <w:rPr>
          <w:b/>
          <w:noProof/>
        </w:rPr>
        <w:t>Caz de utilizare privind încălzirea centralizată</w:t>
      </w:r>
    </w:p>
    <w:p w14:paraId="27BA764E" w14:textId="31404272" w:rsidR="00C0015B" w:rsidRPr="007F5289" w:rsidRDefault="00C0015B" w:rsidP="000D7507">
      <w:pPr>
        <w:pStyle w:val="Text1"/>
        <w:spacing w:after="120"/>
        <w:rPr>
          <w:noProof/>
          <w:szCs w:val="24"/>
        </w:rPr>
      </w:pPr>
      <w:r w:rsidRPr="007F5289">
        <w:rPr>
          <w:noProof/>
        </w:rPr>
        <w:t>Încălzirea și răcirea reprezintă 50 % din consumul final de energie al UE, aproximativ 75 % din cererea de energie termică fiind satisfăcută în prezent de combustibilii fosili(</w:t>
      </w:r>
      <w:r w:rsidRPr="007F5289">
        <w:rPr>
          <w:rStyle w:val="FootnoteReference"/>
          <w:noProof/>
          <w:szCs w:val="24"/>
        </w:rPr>
        <w:footnoteReference w:id="5"/>
      </w:r>
      <w:r w:rsidRPr="007F5289">
        <w:rPr>
          <w:noProof/>
        </w:rPr>
        <w:t>). Deși în Europa există deja mai multe centrale nucleare de mari dimensiuni care furnizează energie rețelelor de încălzire centralizată din Europa, rețelele moderne de încălzire centralizată sunt proiectate să funcționeze la temperaturi cuprinse între 70 °C și 120 °C și sunt, prin urmare, compatibile cu SMR-uri care funcționează la temperaturi și presiuni scăzute. În plus, SMR-urile pot furniza energie electrică cu emisii scăzute de dioxid de carbon sau răcire prin absorbție, pentru a sprijini necesarul de climatizare și refrigerare și pentru a răspunde cererii tot mai mari de răcire.</w:t>
      </w:r>
    </w:p>
    <w:p w14:paraId="7C2F35D1" w14:textId="3E39EFD5" w:rsidR="00C0015B" w:rsidRPr="007F5289" w:rsidRDefault="00C0015B" w:rsidP="00A748FE">
      <w:pPr>
        <w:keepNext/>
        <w:spacing w:after="120" w:line="259" w:lineRule="auto"/>
        <w:ind w:left="482"/>
        <w:rPr>
          <w:b/>
          <w:bCs/>
          <w:noProof/>
          <w:szCs w:val="24"/>
        </w:rPr>
      </w:pPr>
      <w:r w:rsidRPr="007F5289">
        <w:rPr>
          <w:b/>
          <w:noProof/>
        </w:rPr>
        <w:t>Caz de utilizare privind centrele de date</w:t>
      </w:r>
    </w:p>
    <w:p w14:paraId="14674BF6" w14:textId="767E052E" w:rsidR="00C0015B" w:rsidRPr="007F5289" w:rsidRDefault="00C0015B" w:rsidP="005B266A">
      <w:pPr>
        <w:pStyle w:val="Text1"/>
        <w:spacing w:after="120"/>
        <w:rPr>
          <w:noProof/>
          <w:color w:val="000000" w:themeColor="text1"/>
        </w:rPr>
      </w:pPr>
      <w:r w:rsidRPr="007F5289">
        <w:rPr>
          <w:noProof/>
        </w:rPr>
        <w:t>Centrele de date reprezintă în prezent aproximativ 70 TWh din consumul de energie electrică în Europa, putând ajunge la 115 TWh până în 2030 (</w:t>
      </w:r>
      <w:r w:rsidRPr="007F5289">
        <w:rPr>
          <w:rStyle w:val="FootnoteReference"/>
          <w:noProof/>
          <w:szCs w:val="24"/>
        </w:rPr>
        <w:footnoteReference w:id="6"/>
      </w:r>
      <w:r w:rsidRPr="007F5289">
        <w:rPr>
          <w:noProof/>
        </w:rPr>
        <w:t>). Reactoarele modulare mici pot furniza energie electrică dispecerizabilă, cu emisii scăzute de carbon, cu un factor anual de încărcare ridicat, adecvat pentru centrele de date în regim de colocare și pentru cele în regim de hiperscalare bazate pe inteligență artificială, iar proiectarea lor modulară și scalabilă permite extinderea capacității de producție în paralel cu dezvoltarea infrastructurii digitale. În plus, amplasarea SMR-urilor în același loc cu centrele de date, eventual chiar „în spatele contorului”, poate atenua constrângerile rețelei prin furnizarea de energie electrică la fața locului, reducând dependența de rețelele de transport congestionate, necesitatea modernizărilor costisitoare ale rețelei și taxele aferente.</w:t>
      </w:r>
    </w:p>
    <w:p w14:paraId="57E5F428" w14:textId="428F61CF" w:rsidR="00D605D3" w:rsidRPr="007F5289" w:rsidRDefault="00CA00E6" w:rsidP="00802A39">
      <w:pPr>
        <w:pStyle w:val="Text1"/>
        <w:spacing w:before="120" w:after="120" w:line="259" w:lineRule="auto"/>
        <w:rPr>
          <w:i/>
          <w:iCs/>
          <w:noProof/>
          <w:szCs w:val="24"/>
          <w:u w:val="single"/>
        </w:rPr>
      </w:pPr>
      <w:r w:rsidRPr="007F5289">
        <w:rPr>
          <w:i/>
          <w:noProof/>
          <w:u w:val="single"/>
        </w:rPr>
        <w:t>Autonomie sporită, securitate energetică îmbunătățită și aplicații din ce în ce mai sigure</w:t>
      </w:r>
    </w:p>
    <w:p w14:paraId="57AFEE14" w14:textId="075E72D1" w:rsidR="00935E93" w:rsidRPr="007F5289" w:rsidRDefault="00F41794" w:rsidP="0047283C">
      <w:pPr>
        <w:pStyle w:val="Text1"/>
        <w:spacing w:after="120"/>
        <w:rPr>
          <w:noProof/>
          <w:color w:val="000000" w:themeColor="text1"/>
        </w:rPr>
      </w:pPr>
      <w:r w:rsidRPr="007F5289">
        <w:rPr>
          <w:noProof/>
          <w:color w:val="000000" w:themeColor="text1"/>
        </w:rPr>
        <w:t xml:space="preserve">SMR-urile pot consolida </w:t>
      </w:r>
      <w:r w:rsidRPr="007F5289">
        <w:rPr>
          <w:noProof/>
        </w:rPr>
        <w:t>securitatea</w:t>
      </w:r>
      <w:r w:rsidRPr="007F5289">
        <w:rPr>
          <w:noProof/>
          <w:color w:val="000000" w:themeColor="text1"/>
        </w:rPr>
        <w:t xml:space="preserve"> și autonomia energetică a UE prin reducerea dependenței acesteia de combustibilii fosili, completând în același timp alte forme de energie, precum sursele regenerabile.</w:t>
      </w:r>
    </w:p>
    <w:p w14:paraId="2414731F" w14:textId="708083AA" w:rsidR="00F83722" w:rsidRPr="007F5289" w:rsidRDefault="0040181A" w:rsidP="00F83722">
      <w:pPr>
        <w:pStyle w:val="Text1"/>
        <w:spacing w:after="120"/>
        <w:rPr>
          <w:noProof/>
        </w:rPr>
      </w:pPr>
      <w:r w:rsidRPr="007F5289">
        <w:rPr>
          <w:noProof/>
          <w:color w:val="000000" w:themeColor="text1"/>
        </w:rPr>
        <w:t>În plus, anumite modele de AMR-uri sunt dezvoltate pe baza conceptului de ciclu închis al combustibilului.</w:t>
      </w:r>
      <w:r w:rsidRPr="007F5289">
        <w:rPr>
          <w:noProof/>
        </w:rPr>
        <w:t xml:space="preserve"> Acestea vor integra inovații tehnologice semnificative menite să sporească securitatea și sustenabilitatea nucleară, aceasta din urmă prin îmbunătățirea substanțială a utilizării combustibilului și prin reducerea la minimum a deșeurilor radioactive de înaltă activitate, în conformitate cu obiectivele economiei circulare. Din perspectiva sporirii nivelului de securitate, aceste modele se bazează în mare măsură pe caracteristici de securitate inerente și pasive, reducând dependența de sistemele active care necesită surse externe de alimentare cu energie electrică și intervenții ale operatorului. Acest lucru consolidează apărarea în profunzime și sporește reziliența și robustețea generală a securității nucleare. Aderarea la principiul „eficiența apei înainte de toate”, astfel cum se menționează în Strategia pentru reziliența în domeniul apei(</w:t>
      </w:r>
      <w:r w:rsidRPr="007F5289">
        <w:rPr>
          <w:rStyle w:val="FootnoteReference"/>
          <w:noProof/>
        </w:rPr>
        <w:footnoteReference w:id="7"/>
      </w:r>
      <w:r w:rsidRPr="007F5289">
        <w:rPr>
          <w:noProof/>
        </w:rPr>
        <w:t>), va asigura o mai mare sustenabilitate și siguranță a acestei tehnologii, precum și reducerea la minimum a presiunii asupra resurselor de apă prin proiectarea reactoarelor, tehnologiile de răcire și deciziile de amplasare.</w:t>
      </w:r>
    </w:p>
    <w:p w14:paraId="1862E52C" w14:textId="00133ABE" w:rsidR="00C650B5" w:rsidRPr="007F5289" w:rsidRDefault="00815332" w:rsidP="00F83722">
      <w:pPr>
        <w:pStyle w:val="Text1"/>
        <w:spacing w:after="120"/>
        <w:rPr>
          <w:noProof/>
        </w:rPr>
      </w:pPr>
      <w:r w:rsidRPr="007F5289">
        <w:rPr>
          <w:noProof/>
        </w:rPr>
        <w:t>Aplicațiile industriale diverse ale SMR-urilor, inclusiv a viitoarelor AMR-uri, fac din aceste reactoare posibili factori determinanți ai dezvoltării economiei locale, creând cerere de locuri de muncă înalt calificate. În același timp, reducerea potențială a volumelor de deșeuri radioactive de înaltă activitate poate contribui la sporirea încrederii publice în tehnologiile nucleare.</w:t>
      </w:r>
    </w:p>
    <w:p w14:paraId="466A56DA" w14:textId="57C93527" w:rsidR="00B035D4" w:rsidRPr="007F5289" w:rsidRDefault="41DAEA47" w:rsidP="00802A39">
      <w:pPr>
        <w:pStyle w:val="Text1"/>
        <w:spacing w:before="120" w:after="120" w:line="259" w:lineRule="auto"/>
        <w:rPr>
          <w:noProof/>
        </w:rPr>
      </w:pPr>
      <w:r w:rsidRPr="007F5289">
        <w:rPr>
          <w:i/>
          <w:noProof/>
          <w:u w:val="single"/>
        </w:rPr>
        <w:t>Stabilirea unei viziuni pentru dezvoltarea SMR-urilor în UE</w:t>
      </w:r>
    </w:p>
    <w:p w14:paraId="19167808" w14:textId="5EE0A734" w:rsidR="00B035D4" w:rsidRPr="007F5289" w:rsidRDefault="00B035D4" w:rsidP="00B035D4">
      <w:pPr>
        <w:pStyle w:val="Text1"/>
        <w:spacing w:after="120"/>
        <w:rPr>
          <w:noProof/>
          <w:color w:val="000000" w:themeColor="text1"/>
        </w:rPr>
      </w:pPr>
      <w:r w:rsidRPr="007F5289">
        <w:rPr>
          <w:noProof/>
          <w:color w:val="000000" w:themeColor="text1"/>
        </w:rPr>
        <w:t>SMR-urile ar trebui considerate un proiect industrial european comun, bazat pe o colaborare solidă în ceea ce privește cercetarea, lanțul de aprovizionare, acordarea de licențe, competențele și finanțarea la nivelul UE, precum și pe principiile securității, sustenabilității și circularității. Această colaborare va permite SMR-urilor să intre mai repede pe piață, să se extindă rapid și să devină proiecte competitive, eligibile pentru finanțare și profitabile. O abordare fragmentată ar conduce la duplicarea eforturilor, la întârzieri în aprobările din partea autorităților de reglementare, la capacități de producție limitate și la costuri unitare mai ridicate, subminând încrederea publică și investițiile viitoare – un astfel de scenariu nu ar trebui acceptat pentru dezvoltarea acestei tehnologii strategice pentru Europa. Punerea în comun a resurselor va asigura capacitatea necesară pentru a furniza SMR-uri atât pe piața UE, cât și în afara acesteia.</w:t>
      </w:r>
    </w:p>
    <w:p w14:paraId="15201808" w14:textId="5B436C3F" w:rsidR="009558BC" w:rsidRPr="007F5289" w:rsidRDefault="008461CA" w:rsidP="000D7507">
      <w:pPr>
        <w:pStyle w:val="Text1"/>
        <w:spacing w:after="120"/>
        <w:rPr>
          <w:noProof/>
        </w:rPr>
      </w:pPr>
      <w:r w:rsidRPr="007F5289">
        <w:rPr>
          <w:noProof/>
        </w:rPr>
        <w:t>Implementarea cu succes a SMR-urilor va depinde în mare măsură de crearea unei cereri solide pe piață și a unui mediu de afaceri favorabil. Un factor determinant îl va constitui nevoia tot mai mare de electrificare și decarbonizare a producției în diverse industrii. În același timp, este esențial să li se ofere potențialilor achizitori o perspectivă clară asupra aprovizionării viitoare cu energie electrică din SMR-uri, a tendințelor preconizate ale costurilor și a riscurilor investiționale asociate.</w:t>
      </w:r>
    </w:p>
    <w:p w14:paraId="5E02BF77" w14:textId="10C5D6AF" w:rsidR="00BC0D38" w:rsidRPr="007F5289" w:rsidRDefault="00A970CE" w:rsidP="000D7507">
      <w:pPr>
        <w:pStyle w:val="Text1"/>
        <w:spacing w:after="120"/>
        <w:rPr>
          <w:noProof/>
        </w:rPr>
      </w:pPr>
      <w:r w:rsidRPr="007F5289">
        <w:rPr>
          <w:noProof/>
        </w:rPr>
        <w:t>Pentru a crea un ecosistem industrial solid în vederea implementării SMR-urilor în Europa, trebuie îndeplinite anumite condiții: (i) realizarea cât mai rapidă a instalațiilor SMR de pionierat, cel târziu până la începutul anilor 2030, ținând seama de evoluțiile la nivel mondial(</w:t>
      </w:r>
      <w:r w:rsidRPr="007F5289">
        <w:rPr>
          <w:rStyle w:val="FootnoteReference"/>
          <w:noProof/>
          <w:szCs w:val="24"/>
        </w:rPr>
        <w:footnoteReference w:id="8"/>
      </w:r>
      <w:r w:rsidRPr="007F5289">
        <w:rPr>
          <w:noProof/>
        </w:rPr>
        <w:t>); (ii) accelerarea, în paralel, a dezvoltării modelelor avansate (AMR-uri), întrucât acestea acoperă potențiale aplicații suplimentare pe piață, precum furnizarea de căldură la temperaturi ridicate pentru aplicații industriale sau propulsia maritimă; (iii) dezvoltarea unui lanț de aprovizionare industrial european capabil să furnizeze un spectru larg de componente pentru diferite opțiuni de proiectare; (iv) crearea condițiilor pentru o abordare bazată pe flotă, care să permită producția de serie; (v) raționalizarea proceselor de reglementare și sprijinirea unei abordări bazate pe colaborare între autoritățile de reglementare din întreaga UE, pentru a permite acordarea în timp util de licențe reactoarelor modulare mici și realizarea de economii de scară, asigurându-se, totodată, menținerea unor standarde ambițioase de securitate și de mediu.</w:t>
      </w:r>
    </w:p>
    <w:p w14:paraId="1C56A1CF" w14:textId="18F63F83" w:rsidR="00DC419D" w:rsidRPr="007F5289" w:rsidRDefault="00BC0D38" w:rsidP="000D7507">
      <w:pPr>
        <w:pStyle w:val="Text1"/>
        <w:spacing w:after="120"/>
        <w:rPr>
          <w:noProof/>
        </w:rPr>
      </w:pPr>
      <w:r w:rsidRPr="007F5289">
        <w:rPr>
          <w:noProof/>
        </w:rPr>
        <w:t>Acest context impune o abordare strategică la nivelul UE pentru a coordona eforturile europene de dezvoltare și implementarea SMR-urilor la începutul anilor 2030, printr-o cooperare mai strânsă între statele membre și în cooperare cu țări partenere care împărtășesc aceeași viziune la nivel mondial.</w:t>
      </w:r>
    </w:p>
    <w:p w14:paraId="4FBF6EA6" w14:textId="5047A115" w:rsidR="00845799" w:rsidRPr="007F5289" w:rsidRDefault="002C00F0" w:rsidP="00E6604E">
      <w:pPr>
        <w:pStyle w:val="Heading1"/>
        <w:rPr>
          <w:noProof/>
        </w:rPr>
      </w:pPr>
      <w:r w:rsidRPr="007F5289">
        <w:rPr>
          <w:noProof/>
        </w:rPr>
        <w:t>Rolul industriei UE ca forță motrice pentru implementarea SMR-urilor</w:t>
      </w:r>
    </w:p>
    <w:p w14:paraId="2997A558" w14:textId="66FB8D79" w:rsidR="00864B8E" w:rsidRPr="007F5289" w:rsidRDefault="000456A7" w:rsidP="00C83C50">
      <w:pPr>
        <w:pStyle w:val="Text1"/>
        <w:spacing w:after="120"/>
        <w:rPr>
          <w:i/>
          <w:iCs/>
          <w:noProof/>
          <w:szCs w:val="24"/>
          <w:u w:val="single"/>
        </w:rPr>
      </w:pPr>
      <w:r w:rsidRPr="007F5289">
        <w:rPr>
          <w:i/>
          <w:noProof/>
          <w:u w:val="single"/>
        </w:rPr>
        <w:t xml:space="preserve">Axarea pe implementarea unor proiecte concrete SMR în cadrul unui program european integrat </w:t>
      </w:r>
    </w:p>
    <w:p w14:paraId="33C1EF2A" w14:textId="2C808396" w:rsidR="00296EB6" w:rsidRPr="007F5289" w:rsidRDefault="00296EB6" w:rsidP="000D7507">
      <w:pPr>
        <w:pStyle w:val="Text1"/>
        <w:spacing w:after="120"/>
        <w:rPr>
          <w:noProof/>
          <w:color w:val="000000" w:themeColor="text1"/>
        </w:rPr>
      </w:pPr>
      <w:r w:rsidRPr="007F5289">
        <w:rPr>
          <w:noProof/>
        </w:rPr>
        <w:t xml:space="preserve">În septembrie 2025, </w:t>
      </w:r>
      <w:r w:rsidRPr="007F5289">
        <w:rPr>
          <w:b/>
          <w:noProof/>
        </w:rPr>
        <w:t>Alianța industrială europeană pentru reactoarele modulare mici</w:t>
      </w:r>
      <w:r w:rsidRPr="007F5289">
        <w:rPr>
          <w:noProof/>
        </w:rPr>
        <w:t>(</w:t>
      </w:r>
      <w:r w:rsidRPr="007F5289">
        <w:rPr>
          <w:rStyle w:val="FootnoteReference"/>
          <w:noProof/>
        </w:rPr>
        <w:footnoteReference w:id="9"/>
      </w:r>
      <w:r w:rsidRPr="007F5289">
        <w:rPr>
          <w:noProof/>
        </w:rPr>
        <w:t xml:space="preserve">) (denumită în continuare „alianța”) și-a prezentat Planul strategic de acțiune pentru perioada 2025-2029, un program </w:t>
      </w:r>
      <w:r w:rsidRPr="007F5289">
        <w:rPr>
          <w:noProof/>
          <w:color w:val="000000" w:themeColor="text1"/>
        </w:rPr>
        <w:t>operațional</w:t>
      </w:r>
      <w:r w:rsidRPr="007F5289">
        <w:rPr>
          <w:noProof/>
        </w:rPr>
        <w:t xml:space="preserve"> destinat industriei în vederea livrării rezultatelor la timp și în limitele bugetului, care se concentrează asupra unui număr limitat de proiecte. </w:t>
      </w:r>
      <w:r w:rsidRPr="007F5289">
        <w:rPr>
          <w:noProof/>
          <w:color w:val="000000" w:themeColor="text1"/>
        </w:rPr>
        <w:t xml:space="preserve">Deși </w:t>
      </w:r>
      <w:r w:rsidRPr="007F5289">
        <w:rPr>
          <w:noProof/>
        </w:rPr>
        <w:t xml:space="preserve">a identificat deja </w:t>
      </w:r>
      <w:r w:rsidRPr="007F5289">
        <w:rPr>
          <w:noProof/>
          <w:color w:val="000000" w:themeColor="text1"/>
        </w:rPr>
        <w:t>proiecte SMR concrete</w:t>
      </w:r>
      <w:r w:rsidRPr="007F5289">
        <w:rPr>
          <w:noProof/>
        </w:rPr>
        <w:t xml:space="preserve">, alianța trebuie să stimuleze și să coordoneze în continuare acțiunile industriei </w:t>
      </w:r>
      <w:r w:rsidRPr="007F5289">
        <w:rPr>
          <w:noProof/>
          <w:color w:val="000000" w:themeColor="text1"/>
        </w:rPr>
        <w:t>pentru a furniza</w:t>
      </w:r>
      <w:r w:rsidRPr="007F5289">
        <w:rPr>
          <w:noProof/>
        </w:rPr>
        <w:t>:</w:t>
      </w:r>
    </w:p>
    <w:p w14:paraId="3200EAFC" w14:textId="7A8E59A9" w:rsidR="00296EB6" w:rsidRPr="007F5289" w:rsidRDefault="00F71706" w:rsidP="00314508">
      <w:pPr>
        <w:pStyle w:val="Text1"/>
        <w:numPr>
          <w:ilvl w:val="0"/>
          <w:numId w:val="46"/>
        </w:numPr>
        <w:spacing w:after="120"/>
        <w:rPr>
          <w:noProof/>
          <w:color w:val="000000" w:themeColor="text1"/>
        </w:rPr>
      </w:pPr>
      <w:r w:rsidRPr="007F5289">
        <w:rPr>
          <w:noProof/>
          <w:color w:val="000000" w:themeColor="text1"/>
        </w:rPr>
        <w:t>reactoare cu apă ușoară de tip SMR (</w:t>
      </w:r>
      <w:r w:rsidRPr="007F5289">
        <w:rPr>
          <w:i/>
          <w:noProof/>
          <w:color w:val="000000" w:themeColor="text1"/>
        </w:rPr>
        <w:t>light water small and modular reactors</w:t>
      </w:r>
      <w:r w:rsidRPr="007F5289">
        <w:rPr>
          <w:noProof/>
          <w:color w:val="000000" w:themeColor="text1"/>
        </w:rPr>
        <w:t>, LW-SMR);</w:t>
      </w:r>
    </w:p>
    <w:p w14:paraId="68439F62" w14:textId="5944E1E4" w:rsidR="00296EB6" w:rsidRPr="007F5289" w:rsidRDefault="00F71706" w:rsidP="00314508">
      <w:pPr>
        <w:pStyle w:val="Text1"/>
        <w:numPr>
          <w:ilvl w:val="0"/>
          <w:numId w:val="46"/>
        </w:numPr>
        <w:spacing w:after="120"/>
        <w:rPr>
          <w:noProof/>
          <w:color w:val="000000" w:themeColor="text1"/>
        </w:rPr>
      </w:pPr>
      <w:r w:rsidRPr="007F5289">
        <w:rPr>
          <w:noProof/>
          <w:color w:val="000000" w:themeColor="text1"/>
        </w:rPr>
        <w:t>reactoare modulare avansate (AMR).</w:t>
      </w:r>
    </w:p>
    <w:p w14:paraId="05466AA4" w14:textId="5D757E8C" w:rsidR="00296EB6" w:rsidRPr="007F5289" w:rsidRDefault="00685EBD" w:rsidP="000D7507">
      <w:pPr>
        <w:pStyle w:val="Text1"/>
        <w:spacing w:after="120"/>
        <w:rPr>
          <w:noProof/>
          <w:color w:val="000000" w:themeColor="text1"/>
          <w:szCs w:val="24"/>
        </w:rPr>
      </w:pPr>
      <w:r w:rsidRPr="007F5289">
        <w:rPr>
          <w:noProof/>
        </w:rPr>
        <w:t>Unele</w:t>
      </w:r>
      <w:r w:rsidRPr="007F5289">
        <w:rPr>
          <w:noProof/>
          <w:color w:val="000000" w:themeColor="text1"/>
        </w:rPr>
        <w:t xml:space="preserve"> dintre cele mai avansate proiecte LW-SMR se bazează pe modele originare din afara UE. Deși implementarea acestor proiecte în UE este în concordanță cu obiectivul de a face SMR-urile operaționale până la începutul anilor 2030, este esențial să se dezvolte o cooperare echilibrată și reciproc avantajoasă cu deținătorii de tehnologie și cu țările partenere care împărtășesc aceeași viziune. Aceste proiecte vor contribui la dezvoltarea unui lanț de aprovizionare solid al UE, iar partenerii din UE implicați în aceste proiecte trebuie să păstreze drepturile de proprietate intelectuală aferente tehnologiilor și soluțiilor dezvoltate în UE. Cercetarea UE privind securitatea LW-SMR-urilor ar trebui pusă în aplicare independent de originea modelelor reactoarelor din proiectele respective care urmează să fie implementate în UE.</w:t>
      </w:r>
    </w:p>
    <w:p w14:paraId="7975C89A" w14:textId="7F119E75" w:rsidR="00296EB6" w:rsidRPr="007F5289" w:rsidRDefault="00BB6E74" w:rsidP="00296EB6">
      <w:pPr>
        <w:pStyle w:val="Text1"/>
        <w:spacing w:after="120"/>
        <w:rPr>
          <w:noProof/>
          <w:color w:val="000000" w:themeColor="text1"/>
          <w:szCs w:val="24"/>
        </w:rPr>
      </w:pPr>
      <w:r w:rsidRPr="007F5289">
        <w:rPr>
          <w:noProof/>
          <w:color w:val="000000" w:themeColor="text1"/>
        </w:rPr>
        <w:t>AMR-urile necesită un impuls deosebit pentru a se dezvolta și a inova în continuare, inclusiv prin intermediul instalațiilor de testare și demonstrare. Proiectele identificate în prezent de alianță se bazează pe modele și pe eforturi de cercetare ale UE și au beneficiat de proiecte finanțate în cadrul Programului pentru cercetare și formare al Euratom pentru perioada 2021-2025. Proiectele din generația IV sunt esențiale pentru asigurarea cunoștințelor tehnologice și a poziției de lider a UE, reactoarele modulare avansate cu spectru rapid oferind, totodată, oportunități de a asigura sustenabilitatea ciclului combustibilului nuclear pe termen mai lung.</w:t>
      </w:r>
    </w:p>
    <w:p w14:paraId="6539275B" w14:textId="2C2EA9A2" w:rsidR="00864B8E" w:rsidRPr="007F5289" w:rsidRDefault="00864B8E" w:rsidP="00802A39">
      <w:pPr>
        <w:pStyle w:val="Text1"/>
        <w:spacing w:before="120" w:after="120"/>
        <w:rPr>
          <w:i/>
          <w:iCs/>
          <w:noProof/>
          <w:szCs w:val="24"/>
          <w:u w:val="single"/>
        </w:rPr>
      </w:pPr>
      <w:r w:rsidRPr="007F5289">
        <w:rPr>
          <w:i/>
          <w:noProof/>
          <w:u w:val="single"/>
        </w:rPr>
        <w:t>Axarea pe realizarea unui lanț de aprovizionare european pentru producția modulară și în serie</w:t>
      </w:r>
    </w:p>
    <w:p w14:paraId="3372D38E" w14:textId="5AD805F5" w:rsidR="00D93D01" w:rsidRPr="007F5289" w:rsidRDefault="00864B8E" w:rsidP="00C71379">
      <w:pPr>
        <w:pStyle w:val="Text1"/>
        <w:spacing w:after="120"/>
        <w:rPr>
          <w:noProof/>
          <w:color w:val="000000" w:themeColor="text1"/>
        </w:rPr>
      </w:pPr>
      <w:r w:rsidRPr="007F5289">
        <w:rPr>
          <w:noProof/>
          <w:color w:val="000000" w:themeColor="text1"/>
        </w:rPr>
        <w:t xml:space="preserve">Ar trebui promovat un </w:t>
      </w:r>
      <w:r w:rsidRPr="007F5289">
        <w:rPr>
          <w:b/>
          <w:noProof/>
          <w:color w:val="000000" w:themeColor="text1"/>
        </w:rPr>
        <w:t>lanț de aprovizionare european competitiv</w:t>
      </w:r>
      <w:r w:rsidRPr="007F5289">
        <w:rPr>
          <w:noProof/>
          <w:color w:val="000000" w:themeColor="text1"/>
        </w:rPr>
        <w:t xml:space="preserve"> pentru a asigura un nivel ridicat de conținut local și de valoare adăugată europeană în toate proiectele de reactoare modulare mici. Aceasta include servicii legate de ciclul combustibilului, cum ar fi îmbogățirea și conversia, în conformitate cu obiectivele planului REPowerEU</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rPr>
        <w:footnoteReference w:id="10"/>
      </w:r>
      <w:r w:rsidRPr="007F5289">
        <w:rPr>
          <w:noProof/>
          <w:color w:val="000000" w:themeColor="text1"/>
        </w:rPr>
        <w:t>).</w:t>
      </w:r>
    </w:p>
    <w:p w14:paraId="6667D0BE" w14:textId="212D1DAC" w:rsidR="00C71379" w:rsidRPr="007F5289" w:rsidRDefault="00C71379" w:rsidP="00C71379">
      <w:pPr>
        <w:pStyle w:val="Text1"/>
        <w:spacing w:after="120"/>
        <w:rPr>
          <w:noProof/>
          <w:color w:val="000000" w:themeColor="text1"/>
        </w:rPr>
      </w:pPr>
      <w:r w:rsidRPr="007F5289">
        <w:rPr>
          <w:noProof/>
          <w:color w:val="000000" w:themeColor="text1"/>
        </w:rPr>
        <w:t xml:space="preserve">Utilizarea coordonată a resurselor disponibile în întreaga Europă este esențială pentru a realiza complementaritatea și pentru a dezvolta competențe de nivel mondial în cadrul UE. Această abordare va promova un lanț de aprovizionare industrial european extrem de competitiv, cu o capabilități puternice și cu o capacitate suficientă, promovând totodată o cerere robustă pe piață în toate sectoarele și aplicațiile. Propunerea Comisiei de </w:t>
      </w:r>
      <w:r w:rsidRPr="007F5289">
        <w:rPr>
          <w:b/>
          <w:noProof/>
          <w:color w:val="000000" w:themeColor="text1"/>
        </w:rPr>
        <w:t>act legislativ privind accelerarea activității industriale</w:t>
      </w:r>
      <w:r w:rsidR="007F5289" w:rsidRPr="007F5289">
        <w:rPr>
          <w:b/>
          <w:noProof/>
          <w:color w:val="000000" w:themeColor="text1"/>
        </w:rPr>
        <w:t> </w:t>
      </w:r>
      <w:r w:rsidRPr="007F5289">
        <w:rPr>
          <w:noProof/>
          <w:color w:val="000000" w:themeColor="text1"/>
        </w:rPr>
        <w:t>(</w:t>
      </w:r>
      <w:r w:rsidRPr="007F5289">
        <w:rPr>
          <w:rStyle w:val="FootnoteReference"/>
          <w:noProof/>
          <w:color w:val="000000" w:themeColor="text1"/>
        </w:rPr>
        <w:footnoteReference w:id="11"/>
      </w:r>
      <w:r w:rsidRPr="007F5289">
        <w:rPr>
          <w:noProof/>
          <w:color w:val="000000" w:themeColor="text1"/>
        </w:rPr>
        <w:t>) urmărește să contribuie la realizarea acestor obiective.</w:t>
      </w:r>
    </w:p>
    <w:p w14:paraId="6E4B0310" w14:textId="4571F563" w:rsidR="00E549FD" w:rsidRPr="007F5289" w:rsidRDefault="00864B8E" w:rsidP="00EE6543">
      <w:pPr>
        <w:pStyle w:val="Text1"/>
        <w:spacing w:after="120"/>
        <w:rPr>
          <w:noProof/>
          <w:color w:val="000000" w:themeColor="text1"/>
        </w:rPr>
      </w:pPr>
      <w:r w:rsidRPr="007F5289">
        <w:rPr>
          <w:noProof/>
          <w:color w:val="000000" w:themeColor="text1"/>
        </w:rPr>
        <w:t>Alianța trebuie să faciliteze dezvoltarea unui</w:t>
      </w:r>
      <w:r w:rsidRPr="007F5289">
        <w:rPr>
          <w:b/>
          <w:noProof/>
          <w:color w:val="000000" w:themeColor="text1"/>
        </w:rPr>
        <w:t xml:space="preserve"> </w:t>
      </w:r>
      <w:r w:rsidRPr="007F5289">
        <w:rPr>
          <w:noProof/>
          <w:color w:val="000000" w:themeColor="text1"/>
        </w:rPr>
        <w:t xml:space="preserve">lanț de aprovizionare al UE, pentru a asigura beneficii depline pentru întreprinderi și lucrători, acordând, de asemenea, o atenție deosebită lanțurilor de aprovizionare regionale relevante pentru anumite proiecte de reactoare modulare mici. Dezvoltarea </w:t>
      </w:r>
      <w:r w:rsidRPr="007F5289">
        <w:rPr>
          <w:b/>
          <w:noProof/>
          <w:color w:val="000000" w:themeColor="text1"/>
        </w:rPr>
        <w:t>producției modulare</w:t>
      </w:r>
      <w:r w:rsidRPr="007F5289">
        <w:rPr>
          <w:noProof/>
          <w:color w:val="000000" w:themeColor="text1"/>
        </w:rPr>
        <w:t xml:space="preserve"> pentru SMR-uri în Europa este esențială și ar trebui să se inspire din alte domenii industriale, cum ar fi construcțiile navale sau producția de aeronave de pasageri. Modularitatea modelelor și diversitatea furnizorilor vor permite termene de construcție mai scurte comparativ cu centralele nucleare tradiționale, deschizând calea către o industrie europeană mai puternică și mai competitivă.</w:t>
      </w:r>
    </w:p>
    <w:p w14:paraId="38453A8E" w14:textId="72CEAD38" w:rsidR="00864B8E" w:rsidRPr="007F5289" w:rsidRDefault="00E549FD" w:rsidP="00EE6543">
      <w:pPr>
        <w:pStyle w:val="Text1"/>
        <w:spacing w:after="120"/>
        <w:rPr>
          <w:noProof/>
        </w:rPr>
      </w:pPr>
      <w:r w:rsidRPr="007F5289">
        <w:rPr>
          <w:noProof/>
          <w:color w:val="000000" w:themeColor="text1"/>
        </w:rPr>
        <w:t>În plus, construirea</w:t>
      </w:r>
      <w:r w:rsidRPr="007F5289">
        <w:rPr>
          <w:noProof/>
        </w:rPr>
        <w:t xml:space="preserve"> unei flote de SMR-uri cu o proiectare </w:t>
      </w:r>
      <w:r w:rsidRPr="007F5289">
        <w:rPr>
          <w:noProof/>
          <w:color w:val="000000" w:themeColor="text1"/>
        </w:rPr>
        <w:t>coerentă</w:t>
      </w:r>
      <w:r w:rsidRPr="007F5289">
        <w:rPr>
          <w:noProof/>
        </w:rPr>
        <w:t xml:space="preserve"> în mai multe țări va necesita </w:t>
      </w:r>
      <w:r w:rsidRPr="007F5289">
        <w:rPr>
          <w:b/>
          <w:noProof/>
        </w:rPr>
        <w:t>standardizare industrială</w:t>
      </w:r>
      <w:r w:rsidRPr="007F5289">
        <w:rPr>
          <w:noProof/>
        </w:rPr>
        <w:t xml:space="preserve"> și </w:t>
      </w:r>
      <w:r w:rsidRPr="007F5289">
        <w:rPr>
          <w:b/>
          <w:noProof/>
        </w:rPr>
        <w:t>cooperare în materie de reglementare în ceea ce privește acordarea licențelor</w:t>
      </w:r>
      <w:r w:rsidRPr="007F5289">
        <w:rPr>
          <w:noProof/>
        </w:rPr>
        <w:t>. Ambele sunt esențiale pentru reducerea duratelor și a costurilor de construcție prin metode de producție îmbunătățite și procese optimizate la nivelul statelor membre.</w:t>
      </w:r>
    </w:p>
    <w:p w14:paraId="2905F0F7" w14:textId="4E577EF9" w:rsidR="00E50B78" w:rsidRPr="007F5289" w:rsidRDefault="00864B8E" w:rsidP="00802A39">
      <w:pPr>
        <w:pStyle w:val="Text1"/>
        <w:spacing w:before="120" w:after="120"/>
        <w:rPr>
          <w:i/>
          <w:iCs/>
          <w:noProof/>
          <w:szCs w:val="24"/>
          <w:u w:val="single"/>
        </w:rPr>
      </w:pPr>
      <w:r w:rsidRPr="007F5289">
        <w:rPr>
          <w:i/>
          <w:noProof/>
          <w:u w:val="single"/>
        </w:rPr>
        <w:t>Este nevoie de o cooperare industrială mai strânsă și de consolidarea proiectelor</w:t>
      </w:r>
    </w:p>
    <w:p w14:paraId="38B56E06" w14:textId="7C7F1767" w:rsidR="00041582" w:rsidRPr="007F5289" w:rsidRDefault="00041582" w:rsidP="00041582">
      <w:pPr>
        <w:pStyle w:val="Text1"/>
        <w:spacing w:after="120"/>
        <w:rPr>
          <w:noProof/>
          <w:color w:val="000000" w:themeColor="text1"/>
          <w:szCs w:val="24"/>
        </w:rPr>
      </w:pPr>
      <w:r w:rsidRPr="007F5289">
        <w:rPr>
          <w:noProof/>
          <w:color w:val="000000" w:themeColor="text1"/>
        </w:rPr>
        <w:t xml:space="preserve">Experiența industrială în sectorul nuclear din Europa este solidă și poate fi orientată către piața reactoarelor modulare mici. Cu toate acestea, din cauza numărului foarte redus de construcții noi din ultimele decenii, lanțul de aprovizionare trebuie revitalizat </w:t>
      </w:r>
      <w:r w:rsidRPr="007F5289">
        <w:rPr>
          <w:noProof/>
        </w:rPr>
        <w:t>pentru a evita apariția unor dependențe de importuri</w:t>
      </w:r>
      <w:r w:rsidRPr="007F5289">
        <w:rPr>
          <w:noProof/>
          <w:color w:val="000000" w:themeColor="text1"/>
        </w:rPr>
        <w:t>. Întreprinderile europene își dezvoltă în prezent capacitățile și își consolidează forța de muncă pentru a răspunde cererii de noi proiecte nucleare, fie că este vorba de reactoare de mari dimensiuni, fie de reactoare modulare mici.</w:t>
      </w:r>
    </w:p>
    <w:p w14:paraId="178D0EA9" w14:textId="3FDFC2B6" w:rsidR="00864B8E" w:rsidRPr="007F5289" w:rsidRDefault="007802EB" w:rsidP="00EE6543">
      <w:pPr>
        <w:pStyle w:val="Text1"/>
        <w:spacing w:after="120"/>
        <w:rPr>
          <w:noProof/>
          <w:color w:val="000000" w:themeColor="text1"/>
          <w:szCs w:val="24"/>
        </w:rPr>
      </w:pPr>
      <w:r w:rsidRPr="007F5289">
        <w:rPr>
          <w:noProof/>
          <w:color w:val="000000" w:themeColor="text1"/>
        </w:rPr>
        <w:t>Dezvoltatorii de reactoare modulare mici, societățile de utilități publice, potențialii utilizatori finali și întreprinderile aflate de-a lungul lanțului de aprovizionare, inclusiv întreprinderile mici și mijlocii, trebuie să colaboreze îndeaproape pentru a stimula o cerere robustă pe piață, pentru a dezvolta capacitățile necesare ale lanțului de aprovizionare și pentru a stabili argumente economice convingătoare pentru reactoarele modulare mici.</w:t>
      </w:r>
    </w:p>
    <w:p w14:paraId="1A952CD4" w14:textId="39768454" w:rsidR="00A83757" w:rsidRPr="007F5289" w:rsidRDefault="00864B8E" w:rsidP="00EE6543">
      <w:pPr>
        <w:pStyle w:val="Text1"/>
        <w:spacing w:after="120"/>
        <w:rPr>
          <w:noProof/>
          <w:color w:val="000000" w:themeColor="text1"/>
          <w:szCs w:val="24"/>
        </w:rPr>
      </w:pPr>
      <w:r w:rsidRPr="007F5289">
        <w:rPr>
          <w:noProof/>
          <w:color w:val="000000" w:themeColor="text1"/>
        </w:rPr>
        <w:t xml:space="preserve">Start-upurile și întreprinderile în curs de extindere din domeniul reactoarelor modulare mici din întreaga UE care lucrează la modele de reactoare sau la tehnologii identice ori foarte similare ar trebui să exploreze oportunitățile de a-și </w:t>
      </w:r>
      <w:r w:rsidRPr="007F5289">
        <w:rPr>
          <w:b/>
          <w:noProof/>
          <w:color w:val="000000" w:themeColor="text1"/>
        </w:rPr>
        <w:t>uni forțele</w:t>
      </w:r>
      <w:r w:rsidRPr="007F5289">
        <w:rPr>
          <w:noProof/>
          <w:color w:val="000000" w:themeColor="text1"/>
        </w:rPr>
        <w:t xml:space="preserve"> și de a colabora pentru a le aduce în stadiul de prototip, chiar dacă este probabil să fie concurenți pe piețele finale. Aceste societăți ar putea pune în comun accesul la instalațiile de testare și ar putea construi în comun instalații de demonstrare. Dezvoltarea capacităților aferente ciclului combustibilului, inclusiv producția de combustibil nou și, în unele cazuri, capacități suplimentare de reprocesare, trebuie să avanseze în paralel cu activitățile de proiectare a reactoarelor. Nu este viabil din punct de vedere economic să se dezvolte, să se producă și să se implementeze o gamă largă de opțiuni diferite în materie de combustibili și de strategii de gestionare a deșeurilor.</w:t>
      </w:r>
    </w:p>
    <w:p w14:paraId="6D9B887F" w14:textId="12BF57EB" w:rsidR="00983372" w:rsidRPr="007F5289" w:rsidRDefault="0011226D" w:rsidP="00EE6543">
      <w:pPr>
        <w:pStyle w:val="Text1"/>
        <w:spacing w:after="120"/>
        <w:rPr>
          <w:noProof/>
          <w:color w:val="000000" w:themeColor="text1"/>
          <w:szCs w:val="24"/>
        </w:rPr>
      </w:pPr>
      <w:r w:rsidRPr="007F5289">
        <w:rPr>
          <w:noProof/>
          <w:color w:val="000000" w:themeColor="text1"/>
        </w:rPr>
        <w:t>În unele cazuri, start-upurile ar putea dezvolta soluții prin colaborare, iar în alte cazuri ar putea pune în comun resurse pentru a investi în instalații împreună cu alți operatori economici, de exemplu în lanțul de aprovizionare cu combustibil. Barierele care trebuie depășite sunt semnificative și necesită resurse considerabile – financiare și umane – și, prin urmare, vor fi abordate mai eficient prin eforturi colective. Chiar și proiectele în cadrul cărora se lucrează la diferite modele de reactoare ar trebui să exploreze colaborarea în vederea fabricării modulare a anumitor componente și structuri.</w:t>
      </w:r>
    </w:p>
    <w:p w14:paraId="3BE9A304" w14:textId="11330273" w:rsidR="009D0FB3" w:rsidRPr="007F5289" w:rsidRDefault="009D0FB3" w:rsidP="00D844D0">
      <w:pPr>
        <w:pStyle w:val="Text1"/>
        <w:keepNext/>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r w:rsidRPr="007F5289">
        <w:rPr>
          <w:b/>
          <w:i/>
          <w:noProof/>
          <w:u w:val="single"/>
        </w:rPr>
        <w:t>Acțiunea 1:</w:t>
      </w:r>
      <w:r w:rsidRPr="007F5289">
        <w:rPr>
          <w:noProof/>
        </w:rPr>
        <w:tab/>
      </w:r>
      <w:r w:rsidRPr="007F5289">
        <w:rPr>
          <w:b/>
          <w:i/>
          <w:noProof/>
          <w:u w:val="single"/>
        </w:rPr>
        <w:t>Axarea pe inițiativele industriei UE prin identificarea unui număr limitat de proiecte care să beneficieze de sprijin din partea furnizorilor și a altor parteneri din statele membre ale UE</w:t>
      </w:r>
    </w:p>
    <w:p w14:paraId="5D5202CE" w14:textId="765B854E" w:rsidR="00737F9A" w:rsidRPr="007F5289" w:rsidRDefault="0099020A" w:rsidP="5FBF7561">
      <w:pPr>
        <w:pStyle w:val="Text1"/>
        <w:pBdr>
          <w:top w:val="single" w:sz="4" w:space="1" w:color="auto"/>
          <w:left w:val="single" w:sz="4" w:space="4" w:color="auto"/>
          <w:bottom w:val="single" w:sz="4" w:space="1" w:color="auto"/>
          <w:right w:val="single" w:sz="4" w:space="4" w:color="auto"/>
        </w:pBdr>
        <w:spacing w:after="120"/>
        <w:rPr>
          <w:noProof/>
        </w:rPr>
      </w:pPr>
      <w:r w:rsidRPr="007F5289">
        <w:rPr>
          <w:noProof/>
        </w:rPr>
        <w:t>Statele membre și Alianța industrială europeană pentru reactoarele modulare mici trebuie să își concentreze sprijinul asupra unui număr limitat de modele de SMR dintre cele mai promițătoare, în cazul cărora Europa poate asigura o poziție de lider la nivel mondial și își poate consolida competitivitatea și autonomia strategică.</w:t>
      </w:r>
    </w:p>
    <w:p w14:paraId="26C761BC" w14:textId="09E5778D" w:rsidR="004A359A" w:rsidRPr="007F5289" w:rsidRDefault="00AE377A" w:rsidP="00C862A9">
      <w:pPr>
        <w:pStyle w:val="Text1"/>
        <w:pBdr>
          <w:top w:val="single" w:sz="4" w:space="1" w:color="auto"/>
          <w:left w:val="single" w:sz="4" w:space="4" w:color="auto"/>
          <w:bottom w:val="single" w:sz="4" w:space="1" w:color="auto"/>
          <w:right w:val="single" w:sz="4" w:space="4" w:color="auto"/>
        </w:pBdr>
        <w:spacing w:after="120"/>
        <w:rPr>
          <w:noProof/>
        </w:rPr>
      </w:pPr>
      <w:r w:rsidRPr="007F5289">
        <w:rPr>
          <w:noProof/>
        </w:rPr>
        <w:t>Pentru a maximiza șansele de succes, alianța ar trebui să se concentreze pe promovarea cooperării și a unirii forțelor între proiectele sprijinite, în conformitate cu legislația UE și cu legislațiile naționale relevante în materie de concurență. Alianța va reevalua periodic proiectele identificate în raport cu acest obiectiv.</w:t>
      </w:r>
    </w:p>
    <w:p w14:paraId="1BFD5681" w14:textId="056D507D" w:rsidR="00486F8E" w:rsidRPr="007F5289" w:rsidRDefault="00C71379" w:rsidP="00D844D0">
      <w:pPr>
        <w:pStyle w:val="Text1"/>
        <w:keepNext/>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F5289">
        <w:rPr>
          <w:b/>
          <w:i/>
          <w:noProof/>
          <w:u w:val="single"/>
        </w:rPr>
        <w:t>Acțiunea 2:</w:t>
      </w:r>
      <w:r w:rsidRPr="007F5289">
        <w:rPr>
          <w:noProof/>
        </w:rPr>
        <w:tab/>
      </w:r>
      <w:r w:rsidRPr="007F5289">
        <w:rPr>
          <w:b/>
          <w:i/>
          <w:noProof/>
          <w:u w:val="single"/>
        </w:rPr>
        <w:t>Dezvoltarea unui lanț de aprovizionare european competitiv, în conformitate cu cerințele privind conținutul local</w:t>
      </w:r>
    </w:p>
    <w:p w14:paraId="77486D74" w14:textId="62F9E268" w:rsidR="00C11E1F" w:rsidRPr="007F5289" w:rsidRDefault="00C11E1F" w:rsidP="00486F8E">
      <w:pPr>
        <w:pStyle w:val="Text1"/>
        <w:pBdr>
          <w:top w:val="single" w:sz="4" w:space="1" w:color="auto"/>
          <w:left w:val="single" w:sz="4" w:space="4" w:color="auto"/>
          <w:bottom w:val="single" w:sz="4" w:space="1" w:color="auto"/>
          <w:right w:val="single" w:sz="4" w:space="4" w:color="auto"/>
        </w:pBdr>
        <w:spacing w:after="120"/>
        <w:rPr>
          <w:noProof/>
        </w:rPr>
      </w:pPr>
      <w:r w:rsidRPr="007F5289">
        <w:rPr>
          <w:noProof/>
        </w:rPr>
        <w:t>Este necesar ca statele membre, cu sprijinul alianței, să depună eforturi pentru consolidarea lanțului european de aprovizionare pentru dezvoltarea SMR-urilor prin identificarea lacunelor și promovarea colaborării între furnizori, precum și cu dezvoltatorii de SMR, în conformitate cu cerințele privind conținutul local din propunerea Comisiei de act legislativ privind accelerarea activității industriale.</w:t>
      </w:r>
    </w:p>
    <w:p w14:paraId="1564CC13" w14:textId="31D88671" w:rsidR="00FD3E79" w:rsidRPr="007F5289" w:rsidRDefault="00FD3E79" w:rsidP="00D844D0">
      <w:pPr>
        <w:pStyle w:val="Text1"/>
        <w:keepNext/>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F5289">
        <w:rPr>
          <w:b/>
          <w:i/>
          <w:noProof/>
          <w:u w:val="single"/>
        </w:rPr>
        <w:t>Acțiunea 3:</w:t>
      </w:r>
      <w:r w:rsidRPr="007F5289">
        <w:rPr>
          <w:noProof/>
        </w:rPr>
        <w:tab/>
      </w:r>
      <w:r w:rsidRPr="007F5289">
        <w:rPr>
          <w:b/>
          <w:i/>
          <w:noProof/>
          <w:u w:val="single"/>
        </w:rPr>
        <w:t>Elaborarea și punerea în aplicare a unor standarde industriale care să sprijine o abordare de tip flotă în implementarea SMR-urilor</w:t>
      </w:r>
    </w:p>
    <w:p w14:paraId="5E2536B2" w14:textId="2C6963DE" w:rsidR="001E2481" w:rsidRPr="007F5289" w:rsidRDefault="00FD3E79" w:rsidP="00A748FE">
      <w:pPr>
        <w:pStyle w:val="Text1"/>
        <w:pBdr>
          <w:top w:val="single" w:sz="4" w:space="1" w:color="auto"/>
          <w:left w:val="single" w:sz="4" w:space="4" w:color="auto"/>
          <w:bottom w:val="single" w:sz="4" w:space="1" w:color="auto"/>
          <w:right w:val="single" w:sz="4" w:space="4" w:color="auto"/>
        </w:pBdr>
        <w:rPr>
          <w:noProof/>
        </w:rPr>
      </w:pPr>
      <w:r w:rsidRPr="007F5289">
        <w:rPr>
          <w:noProof/>
        </w:rPr>
        <w:t>Industria, inclusiv societățile de utilități publice și operatorii, în cooperare cu organismele de standardizare</w:t>
      </w:r>
      <w:r w:rsidR="007F5289" w:rsidRPr="007F5289">
        <w:rPr>
          <w:noProof/>
        </w:rPr>
        <w:t> </w:t>
      </w:r>
      <w:r w:rsidRPr="007F5289">
        <w:rPr>
          <w:noProof/>
        </w:rPr>
        <w:t>(</w:t>
      </w:r>
      <w:r w:rsidRPr="007F5289">
        <w:rPr>
          <w:rStyle w:val="FootnoteReference"/>
          <w:noProof/>
        </w:rPr>
        <w:footnoteReference w:id="12"/>
      </w:r>
      <w:r w:rsidRPr="007F5289">
        <w:rPr>
          <w:noProof/>
        </w:rPr>
        <w:t>), este încurajată să depună în continuare eforturi în vederea elaborării și punerii în aplicare a unor standarde industriale care să sprijine o abordare de tip flotă în implementarea SMR-urilor și să dezvolte conceptul de producție modulară.</w:t>
      </w:r>
    </w:p>
    <w:p w14:paraId="79F1BBEC" w14:textId="75196C71" w:rsidR="00834123" w:rsidRPr="007F5289" w:rsidRDefault="00C862A9" w:rsidP="00403634">
      <w:pPr>
        <w:pStyle w:val="Text1"/>
        <w:pBdr>
          <w:top w:val="single" w:sz="4" w:space="1" w:color="auto"/>
          <w:left w:val="single" w:sz="4" w:space="4" w:color="auto"/>
          <w:bottom w:val="single" w:sz="4" w:space="1" w:color="auto"/>
          <w:right w:val="single" w:sz="4" w:space="4" w:color="auto"/>
        </w:pBdr>
        <w:spacing w:after="120"/>
        <w:rPr>
          <w:noProof/>
        </w:rPr>
      </w:pPr>
      <w:r w:rsidRPr="007F5289">
        <w:rPr>
          <w:noProof/>
        </w:rPr>
        <w:t>Aceste acțiuni trebuie lansate rapid, în concordanță cu obiectivul punerii în funcțiune a SMR-urilor la începutul anilor 2030.</w:t>
      </w:r>
    </w:p>
    <w:p w14:paraId="1769935E" w14:textId="39456854" w:rsidR="00405639" w:rsidRPr="007F5289" w:rsidRDefault="00E5091C" w:rsidP="0078049A">
      <w:pPr>
        <w:pStyle w:val="Heading1"/>
        <w:rPr>
          <w:noProof/>
        </w:rPr>
      </w:pPr>
      <w:r w:rsidRPr="007F5289">
        <w:rPr>
          <w:noProof/>
        </w:rPr>
        <w:t>Catalizarea finanțării pentru dezvoltarea lanțului valoric al SMR-urilor</w:t>
      </w:r>
    </w:p>
    <w:p w14:paraId="36327804" w14:textId="683F30F3" w:rsidR="00C94A25" w:rsidRPr="007F5289" w:rsidRDefault="00514390" w:rsidP="00A4797F">
      <w:pPr>
        <w:pStyle w:val="Text1"/>
        <w:spacing w:after="120"/>
        <w:rPr>
          <w:noProof/>
        </w:rPr>
      </w:pPr>
      <w:r w:rsidRPr="007F5289">
        <w:rPr>
          <w:noProof/>
        </w:rPr>
        <w:t xml:space="preserve">Modelul de afaceri SMR se bazează pe termene de construcție mai scurte și pe valori inițiale ale </w:t>
      </w:r>
      <w:r w:rsidRPr="007F5289">
        <w:rPr>
          <w:noProof/>
          <w:color w:val="000000" w:themeColor="text1"/>
        </w:rPr>
        <w:t>investițiilor</w:t>
      </w:r>
      <w:r w:rsidRPr="007F5289">
        <w:rPr>
          <w:noProof/>
        </w:rPr>
        <w:t xml:space="preserve"> mai reduse comparativ cu centralele nucleare de mari dimensiuni, ceea ce, la rândul său, permite reducerea costurilor totale de finanțare (pe unitate), făcând SMR-urile deosebit de atractive pentru potențialii investitori. Un element-cheie al acestui model de afaceri este capacitatea de a construi succesiv module suplimentare de reactor, ceea ce permite existența unor unități de reactor generatoare de venituri înainte de finalizarea întregii instalații. Totuși, acest model de afaceri nu a fost încă demonstrat în practică, iar succesul său depinde în mare măsură de capacitatea de a realiza modularitatea și producția în serie. Aceste activități necesită finanțare pentru a depăși costurile inițiale ridicate de capital, termenele lungi de autorizare și dezvoltarea unui lanț de aprovizionare fiabil.</w:t>
      </w:r>
    </w:p>
    <w:p w14:paraId="2B9668D2" w14:textId="2803C409" w:rsidR="00B64409" w:rsidRPr="007F5289" w:rsidRDefault="00D75B30" w:rsidP="00A62F3C">
      <w:pPr>
        <w:pStyle w:val="Text1"/>
        <w:keepNext/>
        <w:spacing w:after="120"/>
        <w:rPr>
          <w:i/>
          <w:iCs/>
          <w:noProof/>
          <w:color w:val="000000" w:themeColor="text1"/>
          <w:u w:val="single"/>
        </w:rPr>
      </w:pPr>
      <w:r w:rsidRPr="007F5289">
        <w:rPr>
          <w:i/>
          <w:noProof/>
          <w:color w:val="000000" w:themeColor="text1"/>
          <w:u w:val="single"/>
        </w:rPr>
        <w:t>Facilitarea mobilizării investițiilor private prin instrumente de reducere a riscurilor</w:t>
      </w:r>
    </w:p>
    <w:p w14:paraId="7E51FE7A" w14:textId="622909A6" w:rsidR="000E64C4" w:rsidRPr="007F5289" w:rsidRDefault="00FF5180" w:rsidP="5FBF7561">
      <w:pPr>
        <w:pStyle w:val="Text1"/>
        <w:spacing w:after="120"/>
        <w:rPr>
          <w:noProof/>
          <w:color w:val="000000" w:themeColor="text1"/>
        </w:rPr>
      </w:pPr>
      <w:r w:rsidRPr="007F5289">
        <w:rPr>
          <w:noProof/>
          <w:color w:val="000000" w:themeColor="text1"/>
        </w:rPr>
        <w:t>Scopul finanțării publice ar trebui să fie mobilizarea capitalului privat disponibil prin intermediul unor instrumente adecvate, precum garanțiile pentru proiectele SMR de pionierat</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rPr>
        <w:footnoteReference w:id="13"/>
      </w:r>
      <w:r w:rsidRPr="007F5289">
        <w:rPr>
          <w:noProof/>
          <w:color w:val="000000" w:themeColor="text1"/>
        </w:rPr>
        <w:t>).</w:t>
      </w:r>
    </w:p>
    <w:p w14:paraId="603A2434" w14:textId="5B640284" w:rsidR="0029257E" w:rsidRPr="007F5289" w:rsidRDefault="005F398F" w:rsidP="00EE6543">
      <w:pPr>
        <w:pStyle w:val="Text1"/>
        <w:spacing w:after="120"/>
        <w:rPr>
          <w:noProof/>
          <w:color w:val="000000" w:themeColor="text1"/>
          <w:szCs w:val="24"/>
        </w:rPr>
      </w:pPr>
      <w:r w:rsidRPr="007F5289">
        <w:rPr>
          <w:noProof/>
          <w:color w:val="000000" w:themeColor="text1"/>
        </w:rPr>
        <w:t>Statele membre care iau în considerare reactoarele modulare mici ca parte a strategiei lor energetice pe termen lung ar trebui să elaboreze, într-o manieră coordonată, instrumente de reducere a riscurilor pentru a atrage investitori. În cadrul acestui demers, ele ar trebui să urmărească valorificarea transparenței oferite de planurile de tranziție ale întreprinderilor în temeiul Directivei privind raportarea de către întreprinderi de informații privind durabilitatea</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14"/>
      </w:r>
      <w:r w:rsidRPr="007F5289">
        <w:rPr>
          <w:noProof/>
          <w:color w:val="000000" w:themeColor="text1"/>
        </w:rPr>
        <w:t>).</w:t>
      </w:r>
    </w:p>
    <w:p w14:paraId="0A02D11F" w14:textId="26C15A4C" w:rsidR="008C477C" w:rsidRPr="007F5289" w:rsidRDefault="009F780D" w:rsidP="008C477C">
      <w:pPr>
        <w:pStyle w:val="Text1"/>
        <w:spacing w:after="120"/>
        <w:rPr>
          <w:noProof/>
          <w:color w:val="000000" w:themeColor="text1"/>
          <w:szCs w:val="24"/>
        </w:rPr>
      </w:pPr>
      <w:r w:rsidRPr="007F5289">
        <w:rPr>
          <w:noProof/>
          <w:color w:val="000000" w:themeColor="text1"/>
        </w:rPr>
        <w:t>Este esențial sprijinul public pentru reducerea riscurilor legate de proiectele SMR pe măsură ce acestea avansează către comercializare. Pentru a combate provocările în materie de finanțare, garanțiile bugetare ale UE din cadrul actualului program InvestEU</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15"/>
      </w:r>
      <w:r w:rsidRPr="007F5289">
        <w:rPr>
          <w:noProof/>
          <w:color w:val="000000" w:themeColor="text1"/>
        </w:rPr>
        <w:t>) ar putea contribui la reducerea riscurilor investițiilor în cele mai inovatoare SMR-uri, inclusiv în reactoare din generația IV, precum și în instalațiile și lanțul de aprovizionare aferente ciclului combustibilului. De asemenea, Fondul pentru inovare dispune de mecanisme care pot sprijini implementarea SMR-urilor de pionierat prin intermediul cererilor sale de propuneri, oferind o platformă pentru finanțarea și dezvoltarea de proiecte mature în etapa de precomercializare.</w:t>
      </w:r>
    </w:p>
    <w:p w14:paraId="680B82FC" w14:textId="04C3C9D0" w:rsidR="0029257E" w:rsidRPr="007F5289" w:rsidRDefault="0029257E" w:rsidP="00812D27">
      <w:pPr>
        <w:pStyle w:val="Text1"/>
        <w:spacing w:after="120"/>
        <w:rPr>
          <w:noProof/>
          <w:color w:val="000000" w:themeColor="text1"/>
        </w:rPr>
      </w:pPr>
      <w:r w:rsidRPr="007F5289">
        <w:rPr>
          <w:b/>
          <w:noProof/>
          <w:color w:val="000000" w:themeColor="text1"/>
        </w:rPr>
        <w:t>PIIEC</w:t>
      </w:r>
      <w:r w:rsidRPr="007F5289">
        <w:rPr>
          <w:noProof/>
          <w:color w:val="000000" w:themeColor="text1"/>
        </w:rPr>
        <w:t xml:space="preserve"> (proiect important de interes european comun) propus privind tehnologiile nucleare inovatoare, inclusiv reactoarele modulare mici, poate avea un rol esențial în punerea în comun a resurselor pentru proiecte comune legate de activități de cercetare, dezvoltare și inovare sau de prima implementare industrială</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rPr>
        <w:footnoteReference w:id="16"/>
      </w:r>
      <w:r w:rsidRPr="007F5289">
        <w:rPr>
          <w:noProof/>
          <w:color w:val="000000" w:themeColor="text1"/>
        </w:rPr>
        <w:t>) a unor astfel de tehnologii. Participarea la un posibil PIIEC viitor privind tehnologiile nucleare inovatoare ar trebui, de asemenea, să faciliteze mobilizarea capitalului privat de către proiectele SMR.</w:t>
      </w:r>
    </w:p>
    <w:p w14:paraId="22438785" w14:textId="6621EC21" w:rsidR="00622E2C" w:rsidRPr="007F5289" w:rsidRDefault="000456A7" w:rsidP="00C314B3">
      <w:pPr>
        <w:pStyle w:val="Text1"/>
        <w:spacing w:after="120"/>
        <w:rPr>
          <w:noProof/>
          <w:color w:val="000000" w:themeColor="text1"/>
          <w:szCs w:val="24"/>
        </w:rPr>
      </w:pPr>
      <w:r w:rsidRPr="007F5289">
        <w:rPr>
          <w:b/>
          <w:noProof/>
          <w:color w:val="000000" w:themeColor="text1"/>
        </w:rPr>
        <w:t xml:space="preserve">Regulamentul privind industria „zero net” </w:t>
      </w:r>
      <w:r w:rsidRPr="007F5289">
        <w:rPr>
          <w:noProof/>
          <w:color w:val="000000" w:themeColor="text1"/>
        </w:rPr>
        <w:t>(</w:t>
      </w:r>
      <w:r w:rsidRPr="007F5289">
        <w:rPr>
          <w:i/>
          <w:noProof/>
          <w:color w:val="000000" w:themeColor="text1"/>
        </w:rPr>
        <w:t>Net-Zero Industry Act,</w:t>
      </w:r>
      <w:r w:rsidRPr="007F5289">
        <w:rPr>
          <w:noProof/>
          <w:color w:val="000000" w:themeColor="text1"/>
        </w:rPr>
        <w:t xml:space="preserve"> NZIA)</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17"/>
      </w:r>
      <w:r w:rsidRPr="007F5289">
        <w:rPr>
          <w:noProof/>
          <w:color w:val="000000" w:themeColor="text1"/>
        </w:rPr>
        <w:t>) ar putea raționaliza procesele de autorizare, ar putea contribui</w:t>
      </w:r>
      <w:r w:rsidRPr="007F5289">
        <w:rPr>
          <w:b/>
          <w:noProof/>
          <w:color w:val="000000" w:themeColor="text1"/>
        </w:rPr>
        <w:t xml:space="preserve"> </w:t>
      </w:r>
      <w:r w:rsidRPr="007F5289">
        <w:rPr>
          <w:noProof/>
          <w:color w:val="000000" w:themeColor="text1"/>
        </w:rPr>
        <w:t>la</w:t>
      </w:r>
      <w:r w:rsidRPr="007F5289">
        <w:rPr>
          <w:b/>
          <w:noProof/>
          <w:color w:val="000000" w:themeColor="text1"/>
        </w:rPr>
        <w:t xml:space="preserve"> </w:t>
      </w:r>
      <w:r w:rsidRPr="007F5289">
        <w:rPr>
          <w:noProof/>
          <w:color w:val="000000" w:themeColor="text1"/>
        </w:rPr>
        <w:t>accelerarea proiectelor strategice și ar putea facilita accesul la finanțare.</w:t>
      </w:r>
    </w:p>
    <w:p w14:paraId="1E48297E" w14:textId="3E6C9756" w:rsidR="00320A23" w:rsidRPr="007F5289" w:rsidRDefault="00320A23" w:rsidP="002211FD">
      <w:pPr>
        <w:pStyle w:val="Text1"/>
        <w:spacing w:after="120"/>
        <w:rPr>
          <w:noProof/>
          <w:color w:val="000000" w:themeColor="text1"/>
          <w:szCs w:val="24"/>
        </w:rPr>
      </w:pPr>
      <w:r w:rsidRPr="007F5289">
        <w:rPr>
          <w:noProof/>
          <w:color w:val="000000" w:themeColor="text1"/>
        </w:rPr>
        <w:t>În temeiul Regulamentului privind industria „zero net”, statele membre și regiunile UE ar putea desemna anumite zone drept „</w:t>
      </w:r>
      <w:r w:rsidRPr="007F5289">
        <w:rPr>
          <w:b/>
          <w:noProof/>
          <w:color w:val="000000" w:themeColor="text1"/>
        </w:rPr>
        <w:t>văi SMR</w:t>
      </w:r>
      <w:r w:rsidRPr="007F5289">
        <w:rPr>
          <w:noProof/>
          <w:color w:val="000000" w:themeColor="text1"/>
        </w:rPr>
        <w:t>” de accelerare a tehnologiilor „zero net”, definite ca zone geografice axate pe activități legate de fabricarea sau asamblarea SMR-urilor. Aceste văi SMR ar putea contribui la simplificarea procedurilor de autorizare, cu respectarea deplină a unor standarde riguroase de securitate și de mediu, ar putea îmbunătăți accesul la finanțare și ar putea stimula inovarea și colaborarea între furnizorii locali. De asemenea, ele pot permite statului membru sau regiunii în cauză să elaboreze măsuri de sprijin, cum ar fi stimulente fiscale, în conformitate cu recomandările Comisiei privind stimulentele fiscale în vederea accelerării tranziției industriale curate</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18"/>
      </w:r>
      <w:r w:rsidRPr="007F5289">
        <w:rPr>
          <w:noProof/>
          <w:color w:val="000000" w:themeColor="text1"/>
        </w:rPr>
        <w:t>).</w:t>
      </w:r>
    </w:p>
    <w:p w14:paraId="7672F0DD" w14:textId="5AB8E0FA" w:rsidR="00E5436F" w:rsidRPr="007F5289" w:rsidRDefault="00E5436F" w:rsidP="00C314B3">
      <w:pPr>
        <w:pStyle w:val="Text1"/>
        <w:spacing w:after="120"/>
        <w:rPr>
          <w:noProof/>
          <w:color w:val="000000" w:themeColor="text1"/>
          <w:szCs w:val="24"/>
        </w:rPr>
      </w:pPr>
      <w:r w:rsidRPr="007F5289">
        <w:rPr>
          <w:noProof/>
          <w:color w:val="000000" w:themeColor="text1"/>
        </w:rPr>
        <w:t>Cadrul privind ajutoarele de stat în contextul Pactului pentru o industrie curată (CISAF)</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19"/>
      </w:r>
      <w:r w:rsidRPr="007F5289">
        <w:rPr>
          <w:noProof/>
          <w:color w:val="000000" w:themeColor="text1"/>
        </w:rPr>
        <w:t>) raționalizează ajutoarele de stat pentru capacitatea de producție în domeniul tehnologiilor curate. Acest cadru le poate permite statelor membre să ofere sprijin vizând extinderea capacității de producție pentru produsele NZIA și principalele componente specifice, inclusiv tehnologia SMR relevantă.</w:t>
      </w:r>
    </w:p>
    <w:p w14:paraId="57A950F5" w14:textId="571813C2" w:rsidR="00C3402E" w:rsidRPr="007F5289" w:rsidRDefault="00662DC8" w:rsidP="00C3402E">
      <w:pPr>
        <w:pStyle w:val="Text1"/>
        <w:spacing w:after="120"/>
        <w:rPr>
          <w:noProof/>
          <w:color w:val="000000" w:themeColor="text1"/>
          <w:szCs w:val="24"/>
        </w:rPr>
      </w:pPr>
      <w:r w:rsidRPr="007F5289">
        <w:rPr>
          <w:noProof/>
        </w:rPr>
        <w:t>Pe baza modelelor Mankala (</w:t>
      </w:r>
      <w:r w:rsidRPr="007F5289">
        <w:rPr>
          <w:rStyle w:val="FootnoteReference"/>
          <w:noProof/>
          <w:szCs w:val="24"/>
        </w:rPr>
        <w:footnoteReference w:id="20"/>
      </w:r>
      <w:r w:rsidRPr="007F5289">
        <w:rPr>
          <w:noProof/>
        </w:rPr>
        <w:t>) și Industrikraft (</w:t>
      </w:r>
      <w:r w:rsidRPr="007F5289">
        <w:rPr>
          <w:rStyle w:val="FootnoteReference"/>
          <w:noProof/>
          <w:szCs w:val="24"/>
        </w:rPr>
        <w:footnoteReference w:id="21"/>
      </w:r>
      <w:r w:rsidRPr="007F5289">
        <w:rPr>
          <w:noProof/>
        </w:rPr>
        <w:t>), industria poate colabora pentru a coinvesti în proiecte SMR, cu scopul de a stimula dezvoltarea acestei tehnologii în UE. În plus, ar putea fi valorificate sinergii cu alte sectoare vizate de inițiativele UE, inclusiv gigafabricile de baterii și marile centre de calcul și de date, precum gigafabricile de inteligență artificială, care se poziționează ca viitori utilizatori finali ai SMR-urilor, în conformitate cu tendințele observate în alte părți ale lumii.</w:t>
      </w:r>
    </w:p>
    <w:p w14:paraId="50092041" w14:textId="409CC0F2" w:rsidR="00BB61B7" w:rsidRPr="007F5289" w:rsidRDefault="00465572" w:rsidP="00723F83">
      <w:pPr>
        <w:pStyle w:val="Text1"/>
        <w:spacing w:after="120"/>
        <w:rPr>
          <w:noProof/>
          <w:color w:val="000000" w:themeColor="text1"/>
        </w:rPr>
      </w:pPr>
      <w:r w:rsidRPr="007F5289">
        <w:rPr>
          <w:b/>
          <w:noProof/>
          <w:color w:val="000000" w:themeColor="text1"/>
        </w:rPr>
        <w:t>Acordurile tripartite</w:t>
      </w:r>
      <w:r w:rsidRPr="007F5289">
        <w:rPr>
          <w:noProof/>
          <w:color w:val="000000" w:themeColor="text1"/>
        </w:rPr>
        <w:t xml:space="preserve"> dintre achizitorii de energie electrică sau termică provenită de la SMR-urile inovatoare, industria nucleară implicată în dezvoltarea de SMR-uri inovatoare, furnizorii de reactoare și întreprinderile din lanțul de aprovizionare, precum și statele membre ar putea să faciliteze accesul la finanțare și să sprijine dezvoltarea și implementarea proiectelor SMR inovatoare în Europa.</w:t>
      </w:r>
    </w:p>
    <w:p w14:paraId="39586D42" w14:textId="59CCEA8C" w:rsidR="00F2339D" w:rsidRPr="007F5289" w:rsidRDefault="00FD3E79" w:rsidP="00F2339D">
      <w:pPr>
        <w:pStyle w:val="Text1"/>
        <w:spacing w:after="120"/>
        <w:rPr>
          <w:i/>
          <w:iCs/>
          <w:noProof/>
          <w:color w:val="000000" w:themeColor="text1"/>
          <w:szCs w:val="24"/>
          <w:u w:val="single"/>
        </w:rPr>
      </w:pPr>
      <w:r w:rsidRPr="007F5289">
        <w:rPr>
          <w:i/>
          <w:noProof/>
          <w:color w:val="000000" w:themeColor="text1"/>
          <w:u w:val="single"/>
        </w:rPr>
        <w:t>Finanțare publică pentru sprijinirea start-upurilor din UE</w:t>
      </w:r>
    </w:p>
    <w:p w14:paraId="5E7C148C" w14:textId="019BBD7A" w:rsidR="00D5394C" w:rsidRPr="007F5289" w:rsidRDefault="003C6B8A" w:rsidP="00D5394C">
      <w:pPr>
        <w:pStyle w:val="Text1"/>
        <w:spacing w:after="120"/>
        <w:rPr>
          <w:noProof/>
          <w:szCs w:val="24"/>
        </w:rPr>
      </w:pPr>
      <w:r w:rsidRPr="007F5289">
        <w:rPr>
          <w:noProof/>
          <w:color w:val="000000" w:themeColor="text1"/>
        </w:rPr>
        <w:t xml:space="preserve">Europa are mai multe start-upuri inovatoare în sectorul nuclear, datorită unei tradiții îndelungate în cercetarea nucleară, sprijinită, de asemenea, de programele de cercetare Euratom. </w:t>
      </w:r>
      <w:r w:rsidRPr="007F5289">
        <w:rPr>
          <w:b/>
          <w:noProof/>
        </w:rPr>
        <w:t>Strategia UE privind start-upurile și întreprinderile în fază de extindere</w:t>
      </w:r>
      <w:r w:rsidR="007F5289" w:rsidRPr="007F5289">
        <w:rPr>
          <w:b/>
          <w:noProof/>
        </w:rPr>
        <w:t> </w:t>
      </w:r>
      <w:r w:rsidRPr="007F5289">
        <w:rPr>
          <w:noProof/>
        </w:rPr>
        <w:t>(</w:t>
      </w:r>
      <w:r w:rsidRPr="007F5289">
        <w:rPr>
          <w:rStyle w:val="FootnoteReference"/>
          <w:noProof/>
          <w:szCs w:val="24"/>
        </w:rPr>
        <w:footnoteReference w:id="22"/>
      </w:r>
      <w:r w:rsidRPr="007F5289">
        <w:rPr>
          <w:noProof/>
        </w:rPr>
        <w:t>) urmărește să faciliteze accesul la finanțare, achiziții publice, piețe, servicii și talente pentru start-upurile și întreprinderile în fază de extindere inovatoare, inclusiv în domeniul tehnologiilor nucleare. Această strategie a anunțat, de asemenea, crearea Fondului „Scale-up Europe” ca parte a Fondului Consiliului European pentru Inovare (CEI), pentru a mobiliza fonduri private semnificative și pentru a face investiții directe de capital în sectoare strategice. În plus, CEI poate oferi sprijin start-upurilor inovatoare care dezvoltă tehnologii nucleare disruptive.</w:t>
      </w:r>
    </w:p>
    <w:p w14:paraId="273E46BA" w14:textId="14227803" w:rsidR="00E0530E" w:rsidRPr="007F5289" w:rsidRDefault="00E0530E">
      <w:pPr>
        <w:spacing w:after="0"/>
        <w:jc w:val="left"/>
        <w:rPr>
          <w:noProof/>
          <w:szCs w:val="24"/>
        </w:rPr>
      </w:pPr>
      <w:r w:rsidRPr="007F5289">
        <w:rPr>
          <w:noProof/>
        </w:rPr>
        <w:br w:type="page"/>
      </w:r>
    </w:p>
    <w:p w14:paraId="738A5F95" w14:textId="27D89027" w:rsidR="004505B0" w:rsidRPr="007F5289" w:rsidRDefault="004505B0" w:rsidP="006523FF">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bookmarkStart w:id="4" w:name="_Hlk223451594"/>
      <w:r w:rsidRPr="007F5289">
        <w:rPr>
          <w:b/>
          <w:i/>
          <w:noProof/>
          <w:u w:val="single"/>
        </w:rPr>
        <w:t>Acțiunea 4:</w:t>
      </w:r>
      <w:r w:rsidRPr="007F5289">
        <w:rPr>
          <w:noProof/>
        </w:rPr>
        <w:tab/>
      </w:r>
      <w:bookmarkStart w:id="5" w:name="_Hlk219101185"/>
      <w:r w:rsidRPr="007F5289">
        <w:rPr>
          <w:b/>
          <w:i/>
          <w:noProof/>
          <w:u w:val="single"/>
        </w:rPr>
        <w:t xml:space="preserve">Dezvoltarea unor sisteme de reducere a riscurilor pentru extinderea tehnologiilor nucleare inovatoare </w:t>
      </w:r>
    </w:p>
    <w:bookmarkEnd w:id="5"/>
    <w:p w14:paraId="6353D3FF" w14:textId="4EC09EF3" w:rsidR="000456A7" w:rsidRPr="007F5289" w:rsidRDefault="009813F1"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F5289">
        <w:rPr>
          <w:noProof/>
        </w:rPr>
        <w:t>Având în vedere rezultatul cererii de propuneri în curs din cadrul Fondului pentru inovare în ceea ce privește proiectele SMR, Comisia Europeană va avea în vedere o suplimentare temporară a InvestEU în valoare de 200 de milioane EUR până în 2028 pentru a sprijini în continuare implementarea unităților comerciale inițiale de tehnologii nucleare inovatoare, inclusiv LW-SMR-uri, AMR-uri, microreactoare și fuziune, în UE</w:t>
      </w:r>
      <w:r w:rsidR="007F5289" w:rsidRPr="007F5289">
        <w:rPr>
          <w:noProof/>
        </w:rPr>
        <w:t> </w:t>
      </w:r>
      <w:r w:rsidRPr="007F5289">
        <w:rPr>
          <w:noProof/>
        </w:rPr>
        <w:t>(</w:t>
      </w:r>
      <w:r w:rsidRPr="007F5289">
        <w:rPr>
          <w:rStyle w:val="FootnoteReference"/>
          <w:noProof/>
        </w:rPr>
        <w:footnoteReference w:id="23"/>
      </w:r>
      <w:r w:rsidRPr="007F5289">
        <w:rPr>
          <w:noProof/>
        </w:rPr>
        <w:t>).</w:t>
      </w:r>
    </w:p>
    <w:p w14:paraId="5C76B25C" w14:textId="5B9954F8" w:rsidR="00B44DE4" w:rsidRPr="007F5289" w:rsidRDefault="005D4354"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F5289">
        <w:rPr>
          <w:noProof/>
        </w:rPr>
        <w:t>Noul Fond „Scale-up Europe”, care urmărește să investească în cele mai promițătoare întreprinderi europene din domenii tehnologice strategice, ar putea, de asemenea, să contribuie la o implementare mai rapidă a tehnologiilor nucleare inovatoare.</w:t>
      </w:r>
    </w:p>
    <w:bookmarkEnd w:id="4"/>
    <w:p w14:paraId="5B964B0E" w14:textId="64339048" w:rsidR="004805FC" w:rsidRPr="007F5289" w:rsidRDefault="004805FC"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F5289">
        <w:rPr>
          <w:b/>
          <w:i/>
          <w:noProof/>
          <w:u w:val="single"/>
        </w:rPr>
        <w:t>Acțiunea 5:</w:t>
      </w:r>
      <w:r w:rsidRPr="007F5289">
        <w:rPr>
          <w:noProof/>
        </w:rPr>
        <w:tab/>
      </w:r>
      <w:r w:rsidRPr="007F5289">
        <w:rPr>
          <w:b/>
          <w:i/>
          <w:noProof/>
          <w:u w:val="single"/>
        </w:rPr>
        <w:t>Elaborarea unui PIIEC privind tehnologiile nucleare inovatoare</w:t>
      </w:r>
    </w:p>
    <w:p w14:paraId="3D75DF2F" w14:textId="5A57469A" w:rsidR="00B8092B" w:rsidRPr="007F5289" w:rsidRDefault="004805FC"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F5289">
        <w:rPr>
          <w:noProof/>
        </w:rPr>
        <w:t>Statele membre vor elabora PIIEC privind tehnologiile nucleare inovatoare, inclusiv reactoarele modulare mici, în conformitate cu obiectivele stabilite în prezenta strategie, cu accent pe crearea condițiilor necesare pentru asigurarea poziției de lider mondial a Europei și pe consolidarea competitivității. Comisia va continua să sprijine procesul prin intermediul Centrului de asistență pentru elaborarea PIIEC și să promoveze o abordare coerentă cu progresele înregistrate în cadrul activităților alianței.</w:t>
      </w:r>
    </w:p>
    <w:p w14:paraId="5AD3561D" w14:textId="7112E36D" w:rsidR="00E838D2" w:rsidRPr="007F5289" w:rsidRDefault="00E838D2"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F5289">
        <w:rPr>
          <w:b/>
          <w:i/>
          <w:noProof/>
          <w:u w:val="single"/>
        </w:rPr>
        <w:t>Acțiunea 6:</w:t>
      </w:r>
      <w:r w:rsidRPr="007F5289">
        <w:rPr>
          <w:noProof/>
        </w:rPr>
        <w:tab/>
      </w:r>
      <w:r w:rsidRPr="007F5289">
        <w:rPr>
          <w:b/>
          <w:i/>
          <w:noProof/>
          <w:u w:val="single"/>
        </w:rPr>
        <w:t xml:space="preserve">Sprijinirea dezvoltării reactoarelor modulare mici în cadrul văilor de accelerare a tehnologiilor „zero net” </w:t>
      </w:r>
    </w:p>
    <w:p w14:paraId="789B7DB5" w14:textId="7CABC8E6" w:rsidR="00E838D2" w:rsidRPr="007F5289" w:rsidRDefault="00E838D2" w:rsidP="006523FF">
      <w:pPr>
        <w:pStyle w:val="Text1"/>
        <w:keepNext/>
        <w:keepLines/>
        <w:pBdr>
          <w:top w:val="single" w:sz="4" w:space="1" w:color="auto"/>
          <w:left w:val="single" w:sz="4" w:space="4" w:color="auto"/>
          <w:bottom w:val="single" w:sz="4" w:space="1" w:color="auto"/>
          <w:right w:val="single" w:sz="4" w:space="4" w:color="auto"/>
        </w:pBdr>
        <w:spacing w:after="120"/>
        <w:rPr>
          <w:noProof/>
        </w:rPr>
      </w:pPr>
      <w:r w:rsidRPr="007F5289">
        <w:rPr>
          <w:noProof/>
        </w:rPr>
        <w:t>Atunci când înființează văi de accelerare a tehnologiilor „zero net”, statele membre și regiunile sunt încurajate să identifice potențialul utilizării energiei electrice și termice provenite de la SMR-uri și, dacă este cazul, să instituie un cadru favorabil corespunzător.</w:t>
      </w:r>
    </w:p>
    <w:p w14:paraId="1F83665D" w14:textId="32DBBBC9" w:rsidR="00881C2E" w:rsidRPr="007F5289" w:rsidRDefault="00881C2E"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F5289">
        <w:rPr>
          <w:noProof/>
        </w:rPr>
        <w:t>Este necesar un angajament ferm și o implicare incluzivă a tuturor actorilor pentru a realiza rapid aceste acțiuni, în scopul implementării primelor SMR-uri la începutul anilor 2030 și al dezvoltării unui lanț de aprovizionare puternic și competitiv.</w:t>
      </w:r>
    </w:p>
    <w:p w14:paraId="157BC934" w14:textId="01E513F2" w:rsidR="00FB5181" w:rsidRPr="007F5289" w:rsidRDefault="005552B2" w:rsidP="004F265B">
      <w:pPr>
        <w:pStyle w:val="Heading1"/>
        <w:rPr>
          <w:bCs/>
          <w:noProof/>
          <w:color w:val="000000" w:themeColor="text1"/>
        </w:rPr>
      </w:pPr>
      <w:r w:rsidRPr="007F5289">
        <w:rPr>
          <w:noProof/>
          <w:color w:val="000000" w:themeColor="text1"/>
        </w:rPr>
        <w:t>Va fi necesară o politică publică pentru a sprijini ecosistemul SMR</w:t>
      </w:r>
    </w:p>
    <w:p w14:paraId="6561F48F" w14:textId="5903F81E" w:rsidR="00ED2FF7" w:rsidRPr="007F5289" w:rsidRDefault="008422B6" w:rsidP="00EE6543">
      <w:pPr>
        <w:pStyle w:val="Text1"/>
        <w:spacing w:after="120"/>
        <w:rPr>
          <w:noProof/>
          <w:color w:val="000000" w:themeColor="text1"/>
        </w:rPr>
      </w:pPr>
      <w:r w:rsidRPr="007F5289">
        <w:rPr>
          <w:noProof/>
          <w:color w:val="000000" w:themeColor="text1"/>
        </w:rPr>
        <w:t xml:space="preserve">Dezvoltarea </w:t>
      </w:r>
      <w:r w:rsidRPr="007F5289">
        <w:rPr>
          <w:noProof/>
        </w:rPr>
        <w:t>și implementarea</w:t>
      </w:r>
      <w:r w:rsidRPr="007F5289">
        <w:rPr>
          <w:noProof/>
          <w:color w:val="000000" w:themeColor="text1"/>
        </w:rPr>
        <w:t xml:space="preserve"> SMR-urilor trebuie să se realizeze sub coordonarea industriei. În același timp, este necesar un anumit sprijin public pentru a contribui la depășirea barierelor economice și de reglementare inițiale. Totodată, vor fi necesare inițiative de politică pentru a proteja proprietatea intelectuală și know-how-ul tehnologic în acest sector și pentru a revitaliza lanțul industrial de aprovizionare și capitalul uman.</w:t>
      </w:r>
    </w:p>
    <w:p w14:paraId="1D4EAAA7" w14:textId="50D70021" w:rsidR="00941948" w:rsidRPr="007F5289" w:rsidRDefault="002A47FB" w:rsidP="00D844D0">
      <w:pPr>
        <w:pStyle w:val="Text1"/>
        <w:keepNext/>
        <w:spacing w:after="120"/>
        <w:ind w:left="448"/>
        <w:rPr>
          <w:i/>
          <w:iCs/>
          <w:noProof/>
          <w:color w:val="000000" w:themeColor="text1"/>
          <w:szCs w:val="24"/>
          <w:u w:val="single"/>
        </w:rPr>
      </w:pPr>
      <w:r w:rsidRPr="007F5289">
        <w:rPr>
          <w:i/>
          <w:noProof/>
          <w:color w:val="000000" w:themeColor="text1"/>
          <w:u w:val="single"/>
        </w:rPr>
        <w:t>Sprijin pentru cercetare, dezvoltare și inovare (CDI) în domeniul SMR</w:t>
      </w:r>
    </w:p>
    <w:p w14:paraId="6DF5965E" w14:textId="5CDE7E4A" w:rsidR="00941948" w:rsidRPr="007F5289" w:rsidRDefault="00941948" w:rsidP="004742CE">
      <w:pPr>
        <w:pStyle w:val="Text1"/>
        <w:spacing w:after="120"/>
        <w:rPr>
          <w:noProof/>
          <w:color w:val="000000" w:themeColor="text1"/>
          <w:szCs w:val="24"/>
        </w:rPr>
      </w:pPr>
      <w:r w:rsidRPr="007F5289">
        <w:rPr>
          <w:noProof/>
          <w:color w:val="000000" w:themeColor="text1"/>
        </w:rPr>
        <w:t>În ultimele decenii, diverse programe naționale de sprijin și Programul pentru cercetare și formare al Euratom au contribuit la dezvoltarea activităților de CDI pentru tehnologii care aduc beneficii în domeniul SMR. Aceste inițiative au încurajat colaborarea dintre statele membre și au consolidat poziția de lider a UE în sectorul nuclear, prin sporirea expertizei și a know-how-ului.</w:t>
      </w:r>
    </w:p>
    <w:p w14:paraId="71494BC8" w14:textId="469FCB0F" w:rsidR="005E19EC" w:rsidRPr="007F5289" w:rsidRDefault="005E19EC" w:rsidP="00D844D0">
      <w:pPr>
        <w:pStyle w:val="Text1"/>
        <w:spacing w:after="120"/>
        <w:rPr>
          <w:noProof/>
          <w:szCs w:val="24"/>
        </w:rPr>
      </w:pPr>
      <w:r w:rsidRPr="007F5289">
        <w:rPr>
          <w:noProof/>
        </w:rPr>
        <w:t>În 2024, au fost lansate cinci proiecte de cercetare ale Euratom legate de LW</w:t>
      </w:r>
      <w:r w:rsidRPr="007F5289">
        <w:rPr>
          <w:noProof/>
        </w:rPr>
        <w:noBreakHyphen/>
        <w:t>SMR-uri și AMR-uri, cu o valoare totală de 30 de milioane EUR. Comisia preconizează că va continua să finanțeze cercetarea privind securitatea SMR-urilor cu 15 milioane EUR în cadrul Programului de cercetare și formare al Euratom în perioada 2026-2027. În ceea ce privește cadrul financiar multianual 2028-2034, Comisia a propus o creștere semnificativă a resurselor pentru a sprijini cercetarea, dezvoltarea și inovarea în domeniul energiei nucleare, ceea ce va aduce beneficii și în domeniul SMR.</w:t>
      </w:r>
    </w:p>
    <w:p w14:paraId="3D9979B6" w14:textId="4E10C9FD" w:rsidR="0006758B" w:rsidRPr="007F5289" w:rsidRDefault="00590286" w:rsidP="00D844D0">
      <w:pPr>
        <w:pStyle w:val="Text1"/>
        <w:spacing w:after="120"/>
        <w:rPr>
          <w:noProof/>
        </w:rPr>
      </w:pPr>
      <w:r w:rsidRPr="007F5289">
        <w:rPr>
          <w:noProof/>
        </w:rPr>
        <w:t>Statele membre și Comisia, prin intermediul Centrului Comun de Cercetare, exploatează infrastructuri de cercetare nucleară de ultimă generație.</w:t>
      </w:r>
      <w:r w:rsidRPr="007F5289">
        <w:rPr>
          <w:noProof/>
          <w:color w:val="000000" w:themeColor="text1"/>
        </w:rPr>
        <w:t xml:space="preserve"> Totuși, sunt necesare investiții suplimentare în instalații experimentale noi și complementare pentru testarea combustibilului, a materialelor și a echipamentelor specializate, precum și pentru optimizarea utilizării acestora de către diferiții actori din industria nucleară. Este important să se identifice și să se acorde prioritate dezvoltării acestor noi instalații experimentale și de testare, pentru a răspunde nevoilor esențiale în materie de CDI ale SMR-urilor din UE. </w:t>
      </w:r>
      <w:r w:rsidRPr="007F5289">
        <w:rPr>
          <w:noProof/>
        </w:rPr>
        <w:t>Proiectele SMR ar putea avea acces la infrastructura de cercetare nucleară a Comisiei și ar putea beneficia de expertiza JRC, inclusiv de centrul său de modelare.</w:t>
      </w:r>
    </w:p>
    <w:p w14:paraId="21E0A23A" w14:textId="78A02F4A" w:rsidR="00405639" w:rsidRPr="007F5289" w:rsidRDefault="7F171823" w:rsidP="00D844D0">
      <w:pPr>
        <w:pStyle w:val="Text1"/>
        <w:keepNext/>
        <w:spacing w:after="120"/>
        <w:ind w:left="448"/>
        <w:rPr>
          <w:i/>
          <w:iCs/>
          <w:noProof/>
          <w:color w:val="000000" w:themeColor="text1"/>
          <w:szCs w:val="24"/>
          <w:u w:val="single"/>
        </w:rPr>
      </w:pPr>
      <w:r w:rsidRPr="007F5289">
        <w:rPr>
          <w:i/>
          <w:noProof/>
          <w:color w:val="000000" w:themeColor="text1"/>
          <w:u w:val="single"/>
        </w:rPr>
        <w:t>Ce mai pot face statele membre pentru a sprijini implementarea SMR-urilor</w:t>
      </w:r>
    </w:p>
    <w:p w14:paraId="58D302B1" w14:textId="2739652F" w:rsidR="00875726" w:rsidRPr="007F5289" w:rsidDel="000F48EB" w:rsidRDefault="00875726" w:rsidP="000F48EB">
      <w:pPr>
        <w:pStyle w:val="Text1"/>
        <w:spacing w:after="120"/>
        <w:rPr>
          <w:noProof/>
          <w:color w:val="000000" w:themeColor="text1"/>
          <w:szCs w:val="24"/>
        </w:rPr>
      </w:pPr>
      <w:r w:rsidRPr="007F5289">
        <w:rPr>
          <w:noProof/>
          <w:color w:val="000000" w:themeColor="text1"/>
        </w:rPr>
        <w:t>În prezent, în mai multe state membre sunt în derulare diferite proiecte SMR bazate pe modele similare. Întrucât resursele sunt limitate, pentru a spori șansele de succes, statele membre ar trebui să își unească forțele și să își pună în comun resursele în cadrul unor proiecte comune, precum și să dezvolte un instrument comun de reducere a riscurilor pentru finanțarea SMR-urilor. Activitățile viitoare de cercetare și inovare ar putea aborda, de asemenea, aspectele legate de apă ale implementării SMR, inclusiv tehnologiile avansate de răcire, modelarea sistemelor integrate de energie și apă și infrastructurile hibride care sprijină atât serviciile energetice, cât și serviciile legate de apă, cum ar fi desalinizarea sau reutilizarea avansată a apei.</w:t>
      </w:r>
    </w:p>
    <w:p w14:paraId="4F23BA4E" w14:textId="2F27177C" w:rsidR="007F67AE" w:rsidRPr="007F5289" w:rsidRDefault="00420DB0" w:rsidP="0029285F">
      <w:pPr>
        <w:pStyle w:val="Text1"/>
        <w:spacing w:after="120"/>
        <w:rPr>
          <w:noProof/>
          <w:color w:val="000000" w:themeColor="text1"/>
          <w:szCs w:val="24"/>
        </w:rPr>
      </w:pPr>
      <w:r w:rsidRPr="007F5289">
        <w:rPr>
          <w:noProof/>
          <w:color w:val="000000" w:themeColor="text1"/>
        </w:rPr>
        <w:t>Multe proiecte SMR implică întreprinderi din mai multe state membre. Astfel de proiecte necesită transferuri frecvente de date, tehnologie și echipamente dincolo de frontierele naționale. Aceste schimburi pot fi întârziate în mod semnificativ de controalele la export, chiar și în interiorul UE, întrucât tehnologiile și componentele necesare pentru SMR-uri sunt adesea clasificate ca produse cu dublă utilizare. Fără a aduce atingere legislației UE privind controlul exporturilor de produse cu dublă utilizare, autoritățile competente ale statelor membre ar trebui să raționalizeze procedurile de control al exporturilor pentru transferurile între statele membre, pentru a evita sarcina administrativă nejustificată și întârzierile pentru aceste întreprinderi, adesea mici.</w:t>
      </w:r>
    </w:p>
    <w:p w14:paraId="425E1A10" w14:textId="3B80550A" w:rsidR="000C7F63" w:rsidRPr="007F5289" w:rsidRDefault="00016261" w:rsidP="00A558EA">
      <w:pPr>
        <w:pStyle w:val="Text1"/>
        <w:spacing w:after="120"/>
        <w:ind w:left="450"/>
        <w:rPr>
          <w:noProof/>
          <w:color w:val="000000" w:themeColor="text1"/>
          <w:szCs w:val="24"/>
        </w:rPr>
      </w:pPr>
      <w:r w:rsidRPr="007F5289">
        <w:rPr>
          <w:noProof/>
          <w:color w:val="000000" w:themeColor="text1"/>
        </w:rPr>
        <w:t xml:space="preserve">La fel ca multe alte sectoare de înaltă tehnologie, ecosistemul SMR are nevoie de o rezervă tot mai mare de </w:t>
      </w:r>
      <w:r w:rsidRPr="007F5289">
        <w:rPr>
          <w:b/>
          <w:noProof/>
          <w:color w:val="000000" w:themeColor="text1"/>
        </w:rPr>
        <w:t>lucrători calificați și competenți</w:t>
      </w:r>
      <w:r w:rsidRPr="007F5289">
        <w:rPr>
          <w:noProof/>
          <w:color w:val="000000" w:themeColor="text1"/>
        </w:rPr>
        <w:t>. Este esențial să se monitorizeze oferta și cererea pe baza evaluărilor naționale ale forței de muncă, cu sprijinul Observatorului european al resurselor umane pentru sectorul energiei nucleare, precum și să se dezvolte programe de formare și educație adaptate, atât la nivel național, cât și la nivelul UE. Observatorul ar trebui, de asemenea, să contribuie la viitorul Observator european al informațiilor privind competențele anunțat în cadrul uniunii competențelor</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24"/>
      </w:r>
      <w:r w:rsidRPr="007F5289">
        <w:rPr>
          <w:noProof/>
          <w:color w:val="000000" w:themeColor="text1"/>
        </w:rPr>
        <w:t>). Inițiativa europeană privind competențele nucleare</w:t>
      </w:r>
      <w:r w:rsidR="007F5289" w:rsidRPr="007F5289">
        <w:rPr>
          <w:noProof/>
          <w:color w:val="000000" w:themeColor="text1"/>
        </w:rPr>
        <w:t> </w:t>
      </w:r>
      <w:r w:rsidRPr="007F5289">
        <w:rPr>
          <w:noProof/>
          <w:color w:val="000000" w:themeColor="text1"/>
        </w:rPr>
        <w:t>(</w:t>
      </w:r>
      <w:r w:rsidRPr="007F5289">
        <w:rPr>
          <w:rStyle w:val="FootnoteReference"/>
          <w:noProof/>
          <w:color w:val="000000" w:themeColor="text1"/>
          <w:szCs w:val="24"/>
        </w:rPr>
        <w:footnoteReference w:id="25"/>
      </w:r>
      <w:r w:rsidRPr="007F5289">
        <w:rPr>
          <w:noProof/>
          <w:color w:val="000000" w:themeColor="text1"/>
        </w:rPr>
        <w:t xml:space="preserve">) sprijină acțiuni menite să mențină și să dezvolte în continuare competențele necesare pentru utilizarea în condiții de securitate a tehnologiilor nucleare în UE, inclusiv a SMR-urilor. Statele membre și Comisia ar trebui să depună eforturi pentru înființarea unei </w:t>
      </w:r>
      <w:r w:rsidRPr="007F5289">
        <w:rPr>
          <w:b/>
          <w:noProof/>
          <w:color w:val="000000" w:themeColor="text1"/>
        </w:rPr>
        <w:t>Academii a UE de competențe „zero net” pentru tehnologiile nucleare, inclusiv reactoarele modulare mici</w:t>
      </w:r>
      <w:r w:rsidRPr="007F5289">
        <w:rPr>
          <w:noProof/>
          <w:color w:val="000000" w:themeColor="text1"/>
        </w:rPr>
        <w:t>, în vederea sprijinirii păstrării lucrătorilor competenți și a formării unei forțe de muncă competente (</w:t>
      </w:r>
      <w:r w:rsidRPr="007F5289">
        <w:rPr>
          <w:rStyle w:val="FootnoteReference"/>
          <w:noProof/>
          <w:color w:val="000000" w:themeColor="text1"/>
          <w:szCs w:val="24"/>
        </w:rPr>
        <w:footnoteReference w:id="26"/>
      </w:r>
      <w:r w:rsidRPr="007F5289">
        <w:rPr>
          <w:noProof/>
          <w:color w:val="000000" w:themeColor="text1"/>
        </w:rPr>
        <w:t>).</w:t>
      </w:r>
    </w:p>
    <w:p w14:paraId="62F29389" w14:textId="48605C39" w:rsidR="00CF79A9" w:rsidRPr="007F5289" w:rsidRDefault="00CF79A9" w:rsidP="00D844D0">
      <w:pPr>
        <w:pStyle w:val="Text1"/>
        <w:keepNext/>
        <w:spacing w:after="120"/>
        <w:ind w:left="448"/>
        <w:rPr>
          <w:i/>
          <w:iCs/>
          <w:noProof/>
          <w:color w:val="000000" w:themeColor="text1"/>
          <w:szCs w:val="24"/>
          <w:u w:val="single"/>
        </w:rPr>
      </w:pPr>
      <w:r w:rsidRPr="007F5289">
        <w:rPr>
          <w:i/>
          <w:noProof/>
          <w:color w:val="000000" w:themeColor="text1"/>
          <w:u w:val="single"/>
        </w:rPr>
        <w:t>Sprijin pentru colaborarea europeană în materie de reglementare în ceea ce privește acordarea de licențe pentru reactoarele modulare mici și securitatea nucleară</w:t>
      </w:r>
    </w:p>
    <w:p w14:paraId="49532697" w14:textId="613C6DC4" w:rsidR="005D0F15" w:rsidRPr="007F5289" w:rsidRDefault="00750481" w:rsidP="00117006">
      <w:pPr>
        <w:pStyle w:val="Text1"/>
        <w:spacing w:after="120"/>
        <w:rPr>
          <w:noProof/>
          <w:color w:val="000000" w:themeColor="text1"/>
          <w:szCs w:val="24"/>
        </w:rPr>
      </w:pPr>
      <w:r w:rsidRPr="007F5289">
        <w:rPr>
          <w:noProof/>
        </w:rPr>
        <w:t xml:space="preserve">Procesele de acordare a licențelor sunt esențiale pentru realizarea la timp a proiectelor de reactoare modulare mici. Cooperarea între autoritățile naționale de securitate este esențială </w:t>
      </w:r>
      <w:r w:rsidRPr="007F5289">
        <w:rPr>
          <w:noProof/>
          <w:color w:val="000000" w:themeColor="text1"/>
        </w:rPr>
        <w:t>în etapa premergătoare acordării licențelor și în cea de acordare a licențelor, pentru a se asigura că noile modele de reactoare propuse pe piață respectă cele mai înalte standarde de securitate nucleară.</w:t>
      </w:r>
    </w:p>
    <w:p w14:paraId="0F12D3A0" w14:textId="229FF81B" w:rsidR="00CF79A9" w:rsidRPr="007F5289" w:rsidRDefault="005D0F15" w:rsidP="00EE6543">
      <w:pPr>
        <w:pStyle w:val="Text1"/>
        <w:spacing w:after="120"/>
        <w:rPr>
          <w:noProof/>
        </w:rPr>
      </w:pPr>
      <w:r w:rsidRPr="007F5289">
        <w:rPr>
          <w:noProof/>
        </w:rPr>
        <w:t>Grupul european de reglementare pentru siguranța nucleară (ENSREG) a instituit un grup operativ specific, în cadrul căruia autoritățile de reglementare din mai multe state membre fac schimb de informații privind modelele de SMR-uri în etapa premergătoare acordării licențelor. O astfel de colaborare poate să evite suprapunerile, să economisească resurse și să accelereze acordarea licențelor pentru modelele de reactoare, având totodată un efect pozitiv asupra securității nucleare. Grupul operativ ar putea fi transformat într-o „coaliție de voință în materie de reglementare”, în cadrul căreia țările implicate și-ar putea alinia procedurile de acordare a licențelor sau și-ar putea recunoaște reciproc deciziile de acordare a acestora.</w:t>
      </w:r>
    </w:p>
    <w:p w14:paraId="6E593CFA" w14:textId="5503B3CA" w:rsidR="000C10D3" w:rsidRPr="007F5289" w:rsidRDefault="000456A7" w:rsidP="000456A7">
      <w:pPr>
        <w:pStyle w:val="Text1"/>
        <w:spacing w:after="120"/>
        <w:rPr>
          <w:noProof/>
          <w:color w:val="000000" w:themeColor="text1"/>
          <w:szCs w:val="24"/>
        </w:rPr>
      </w:pPr>
      <w:r w:rsidRPr="007F5289">
        <w:rPr>
          <w:noProof/>
          <w:color w:val="000000" w:themeColor="text1"/>
        </w:rPr>
        <w:t xml:space="preserve">Pe lângă sistemul de granturi al Comisiei pentru sprijinirea autorităților de reglementare în domeniul securității nucleare din statele membre, mecanisme precum „spațiile de testare în materie de reglementare” prevăzute în NZIA sau „evaluările timpurii comune” între autoritățile naționale de reglementare în domeniul securității nucleare ar putea să faciliteze colaborarea și </w:t>
      </w:r>
      <w:r w:rsidRPr="007F5289">
        <w:rPr>
          <w:noProof/>
        </w:rPr>
        <w:t>să reducă</w:t>
      </w:r>
      <w:r w:rsidRPr="007F5289">
        <w:rPr>
          <w:noProof/>
          <w:color w:val="000000" w:themeColor="text1"/>
        </w:rPr>
        <w:t xml:space="preserve"> timpul necesar pentru acordarea licențelor, asigurând totodată menținerea unor standarde riguroase de securitate.</w:t>
      </w:r>
    </w:p>
    <w:p w14:paraId="58965DFE" w14:textId="2CC50BDE" w:rsidR="00B46705" w:rsidRPr="007F5289" w:rsidRDefault="000020EA" w:rsidP="000456A7">
      <w:pPr>
        <w:pStyle w:val="Text1"/>
        <w:spacing w:after="120"/>
        <w:rPr>
          <w:noProof/>
          <w:color w:val="000000" w:themeColor="text1"/>
          <w:szCs w:val="24"/>
        </w:rPr>
      </w:pPr>
      <w:r w:rsidRPr="007F5289">
        <w:rPr>
          <w:noProof/>
        </w:rPr>
        <w:t xml:space="preserve">Spațiile de testare în materie de reglementare pentru tehnologiile care contribuie la obiectivul zero emisii nete, inclusiv pentru SMR-uri, reprezintă cadre structurate care le permit întreprinderilor implicate să testeze, să califice și să valideze noi abordări și componente inovatoare, sub supravegherea unei autorități de reglementare competente sau a mai multor autorități de reglementare care convin să colaboreze. </w:t>
      </w:r>
      <w:r w:rsidRPr="007F5289">
        <w:rPr>
          <w:noProof/>
          <w:color w:val="000000" w:themeColor="text1"/>
        </w:rPr>
        <w:t>Pentru a facilita respectarea cerințelor în materie de garanții, operatorii instalațiilor trebuie să urmeze o abordare bazată pe garanții nucleare din faza de proiectare (</w:t>
      </w:r>
      <w:r w:rsidRPr="007F5289">
        <w:rPr>
          <w:rStyle w:val="FootnoteReference"/>
          <w:noProof/>
          <w:color w:val="000000" w:themeColor="text1"/>
          <w:szCs w:val="24"/>
        </w:rPr>
        <w:footnoteReference w:id="27"/>
      </w:r>
      <w:r w:rsidRPr="007F5289">
        <w:rPr>
          <w:noProof/>
          <w:color w:val="000000" w:themeColor="text1"/>
        </w:rPr>
        <w:t>).</w:t>
      </w:r>
    </w:p>
    <w:p w14:paraId="66B0587C" w14:textId="77777777" w:rsidR="00CC47D9" w:rsidRPr="007F5289" w:rsidRDefault="00CC47D9" w:rsidP="00D844D0">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r w:rsidRPr="007F5289">
        <w:rPr>
          <w:b/>
          <w:i/>
          <w:noProof/>
          <w:u w:val="single"/>
        </w:rPr>
        <w:t>Acțiunea 7:</w:t>
      </w:r>
      <w:r w:rsidRPr="007F5289">
        <w:rPr>
          <w:noProof/>
        </w:rPr>
        <w:tab/>
      </w:r>
      <w:bookmarkStart w:id="6" w:name="_Hlk219103778"/>
      <w:r w:rsidRPr="007F5289">
        <w:rPr>
          <w:b/>
          <w:i/>
          <w:noProof/>
          <w:u w:val="single"/>
        </w:rPr>
        <w:t>Eliminarea barierelor din calea fluxurilor intra-UE și protejarea proprietății intelectuale europene</w:t>
      </w:r>
      <w:bookmarkEnd w:id="6"/>
    </w:p>
    <w:p w14:paraId="163F7B92" w14:textId="77777777" w:rsidR="00CC47D9" w:rsidRPr="007F5289" w:rsidRDefault="00CC47D9" w:rsidP="006523FF">
      <w:pPr>
        <w:pStyle w:val="Text1"/>
        <w:keepNext/>
        <w:keepLines/>
        <w:pBdr>
          <w:top w:val="single" w:sz="4" w:space="1" w:color="auto"/>
          <w:left w:val="single" w:sz="4" w:space="4" w:color="auto"/>
          <w:bottom w:val="single" w:sz="4" w:space="1" w:color="auto"/>
          <w:right w:val="single" w:sz="4" w:space="4" w:color="auto"/>
        </w:pBdr>
        <w:spacing w:after="120"/>
        <w:rPr>
          <w:noProof/>
        </w:rPr>
      </w:pPr>
      <w:r w:rsidRPr="007F5289">
        <w:rPr>
          <w:noProof/>
          <w:color w:val="000000" w:themeColor="text1"/>
        </w:rPr>
        <w:t xml:space="preserve">Statele membre </w:t>
      </w:r>
      <w:r w:rsidRPr="007F5289">
        <w:rPr>
          <w:noProof/>
        </w:rPr>
        <w:t xml:space="preserve">trebuie să simplifice și să accelereze procedurile administrative legate de controlul exporturilor între statele membre pentru proiectele SMR. </w:t>
      </w:r>
      <w:r w:rsidRPr="007F5289">
        <w:rPr>
          <w:noProof/>
          <w:color w:val="000000" w:themeColor="text1"/>
        </w:rPr>
        <w:t>Statele membre și Comisia ar trebui să analizeze modalitățile de protejare a proprietății intelectuale europene dezvoltate în contextul SMR, în principal prin mecanismele de examinare a investițiilor străine directe și de control al concentrărilor economice</w:t>
      </w:r>
      <w:r w:rsidRPr="007F5289">
        <w:rPr>
          <w:noProof/>
        </w:rPr>
        <w:t>.</w:t>
      </w:r>
    </w:p>
    <w:p w14:paraId="1C744072" w14:textId="5DC66D77" w:rsidR="00CC47D9" w:rsidRPr="007F5289" w:rsidRDefault="00CC47D9"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sidRPr="007F5289">
        <w:rPr>
          <w:b/>
          <w:i/>
          <w:noProof/>
          <w:u w:val="single"/>
        </w:rPr>
        <w:t>Acțiunea 8:</w:t>
      </w:r>
      <w:r w:rsidRPr="007F5289">
        <w:rPr>
          <w:noProof/>
        </w:rPr>
        <w:tab/>
      </w:r>
      <w:bookmarkStart w:id="7" w:name="_Hlk219103797"/>
      <w:r w:rsidRPr="007F5289">
        <w:rPr>
          <w:b/>
          <w:i/>
          <w:noProof/>
          <w:u w:val="single"/>
        </w:rPr>
        <w:t>Instituirea unei „coaliții SMR” privind aspectele de politică, de reglementare, de acordare a licențelor și economice ale proiectelor SMR selectate</w:t>
      </w:r>
      <w:bookmarkEnd w:id="7"/>
      <w:r w:rsidRPr="007F5289">
        <w:rPr>
          <w:b/>
          <w:i/>
          <w:noProof/>
          <w:u w:val="single"/>
        </w:rPr>
        <w:t>, pentru a facilita implementarea SMR până la începutul anilor 2030</w:t>
      </w:r>
    </w:p>
    <w:p w14:paraId="32D915EE" w14:textId="10C9B22C" w:rsidR="00CC47D9" w:rsidRPr="007F5289" w:rsidRDefault="00CC47D9" w:rsidP="006523FF">
      <w:pPr>
        <w:pStyle w:val="Text1"/>
        <w:keepNext/>
        <w:keepLines/>
        <w:pBdr>
          <w:top w:val="single" w:sz="4" w:space="1" w:color="auto"/>
          <w:left w:val="single" w:sz="4" w:space="4" w:color="auto"/>
          <w:bottom w:val="single" w:sz="4" w:space="1" w:color="auto"/>
          <w:right w:val="single" w:sz="4" w:space="4" w:color="auto"/>
        </w:pBdr>
        <w:spacing w:after="120"/>
        <w:rPr>
          <w:noProof/>
          <w:color w:val="000000" w:themeColor="text1"/>
          <w:szCs w:val="24"/>
        </w:rPr>
      </w:pPr>
      <w:r w:rsidRPr="007F5289">
        <w:rPr>
          <w:noProof/>
        </w:rPr>
        <w:t>Statele membre interesate ar trebui să instituie o „coaliție SMR” pentru a facilita introducerea pe teritoriile lor a modelelor de SMR selectate de alianță, printr-o cooperare aprofundată în materie de politici și reglementare, precum și pentru a reduce la minimum – atunci când acest lucru nu poate fi evitat – soluțiile adaptate la nivel local.</w:t>
      </w:r>
      <w:r w:rsidRPr="007F5289">
        <w:rPr>
          <w:noProof/>
          <w:color w:val="000000" w:themeColor="text1"/>
        </w:rPr>
        <w:t xml:space="preserve"> Țările ar putea să își alinieze procedurile de acordare a licențelor sau să își recunoască reciproc deciziile de acordare a acestora. Comisia va menține un sistem de granturi pentru a sprijini autoritățile de reglementare din UE care desfășoară evaluări comune ale securității și evaluări timpurii comune ale proiectelor SMR. Comisia va sprijini statele membre în dezvoltarea de spații de testare în materie de reglementare pentru SMR-uri.</w:t>
      </w:r>
    </w:p>
    <w:p w14:paraId="4D2B0DFF" w14:textId="77777777" w:rsidR="00CC47D9" w:rsidRPr="007F5289" w:rsidRDefault="00CC47D9" w:rsidP="006523FF">
      <w:pPr>
        <w:pStyle w:val="Text1"/>
        <w:keepLines/>
        <w:pBdr>
          <w:top w:val="single" w:sz="4" w:space="1" w:color="auto"/>
          <w:left w:val="single" w:sz="4" w:space="4" w:color="auto"/>
          <w:bottom w:val="single" w:sz="4" w:space="1" w:color="auto"/>
          <w:right w:val="single" w:sz="4" w:space="4" w:color="auto"/>
        </w:pBdr>
        <w:spacing w:after="120"/>
        <w:rPr>
          <w:noProof/>
        </w:rPr>
      </w:pPr>
      <w:r w:rsidRPr="007F5289">
        <w:rPr>
          <w:noProof/>
        </w:rPr>
        <w:t>În ceea ce privește ambele acțiuni, statele membre interesate sunt încurajate să acționeze rapid pentru a facilita punerea în funcțiune a primelor SMR-uri la începutul anilor 2030 și pentru a crea condițiile necesare unei abordări de tip flotă în vederea adoptării lor pe scară mai largă.</w:t>
      </w:r>
    </w:p>
    <w:p w14:paraId="2C1F968F" w14:textId="246EC105" w:rsidR="008013C2" w:rsidRPr="007F5289" w:rsidRDefault="00CF79A9" w:rsidP="00D844D0">
      <w:pPr>
        <w:pStyle w:val="Text1"/>
        <w:keepNext/>
        <w:spacing w:after="120"/>
        <w:ind w:left="448"/>
        <w:rPr>
          <w:i/>
          <w:iCs/>
          <w:noProof/>
          <w:color w:val="000000" w:themeColor="text1"/>
          <w:szCs w:val="24"/>
          <w:u w:val="single"/>
        </w:rPr>
      </w:pPr>
      <w:r w:rsidRPr="007F5289">
        <w:rPr>
          <w:i/>
          <w:noProof/>
          <w:color w:val="000000" w:themeColor="text1"/>
          <w:u w:val="single"/>
        </w:rPr>
        <w:t>Sensibilizarea publicului și cooperarea internațională</w:t>
      </w:r>
    </w:p>
    <w:p w14:paraId="2AEFF0B7" w14:textId="454B2FFB" w:rsidR="007A2C8F" w:rsidRPr="007F5289" w:rsidRDefault="00CF79A9" w:rsidP="00D844D0">
      <w:pPr>
        <w:pStyle w:val="Text1"/>
        <w:keepLines/>
        <w:spacing w:after="120"/>
        <w:rPr>
          <w:noProof/>
          <w:szCs w:val="24"/>
        </w:rPr>
      </w:pPr>
      <w:r w:rsidRPr="007F5289">
        <w:rPr>
          <w:noProof/>
          <w:color w:val="000000" w:themeColor="text1"/>
        </w:rPr>
        <w:t xml:space="preserve">Asigurarea sensibilizării publicului cu privire la inițiativele de dezvoltare a SMR este </w:t>
      </w:r>
      <w:r w:rsidRPr="007F5289">
        <w:rPr>
          <w:noProof/>
        </w:rPr>
        <w:t>esențială</w:t>
      </w:r>
      <w:r w:rsidRPr="007F5289">
        <w:rPr>
          <w:noProof/>
          <w:color w:val="000000" w:themeColor="text1"/>
        </w:rPr>
        <w:t xml:space="preserve"> pentru consolidarea încrederii în aceste proiecte. Comisia va continua să promoveze o cultură a transparenței în domeniul energiei nucleare.</w:t>
      </w:r>
      <w:r w:rsidRPr="007F5289">
        <w:rPr>
          <w:noProof/>
        </w:rPr>
        <w:t xml:space="preserve"> În </w:t>
      </w:r>
      <w:r w:rsidRPr="007F5289">
        <w:rPr>
          <w:noProof/>
          <w:color w:val="000000" w:themeColor="text1"/>
        </w:rPr>
        <w:t>pregătirea</w:t>
      </w:r>
      <w:r w:rsidRPr="007F5289">
        <w:rPr>
          <w:noProof/>
        </w:rPr>
        <w:t xml:space="preserve"> prezentei comunicări, Comisia a implicat părțile interesate prin intermediul unei cereri de contribuții</w:t>
      </w:r>
      <w:r w:rsidR="007F5289" w:rsidRPr="007F5289">
        <w:rPr>
          <w:noProof/>
        </w:rPr>
        <w:t> </w:t>
      </w:r>
      <w:r w:rsidRPr="007F5289">
        <w:rPr>
          <w:noProof/>
        </w:rPr>
        <w:t>(</w:t>
      </w:r>
      <w:r w:rsidRPr="007F5289">
        <w:rPr>
          <w:rStyle w:val="FootnoteReference"/>
          <w:noProof/>
          <w:szCs w:val="24"/>
        </w:rPr>
        <w:footnoteReference w:id="28"/>
      </w:r>
      <w:r w:rsidRPr="007F5289">
        <w:rPr>
          <w:noProof/>
        </w:rPr>
        <w:t>) și al unui amplu forum al părților interesate, organizat în ianuarie 2026.</w:t>
      </w:r>
    </w:p>
    <w:p w14:paraId="5DF24736" w14:textId="7780E930" w:rsidR="000D1300" w:rsidRPr="007F5289" w:rsidRDefault="000D1300" w:rsidP="000D1300">
      <w:pPr>
        <w:pStyle w:val="Text1"/>
        <w:spacing w:after="120"/>
        <w:ind w:left="450"/>
        <w:rPr>
          <w:noProof/>
        </w:rPr>
      </w:pPr>
      <w:r w:rsidRPr="007F5289">
        <w:rPr>
          <w:noProof/>
          <w:color w:val="000000" w:themeColor="text1"/>
        </w:rPr>
        <w:t xml:space="preserve">Statele membre interesate sau vizate de SMR-uri ar putea să elaboreze și să pună în aplicare acțiuni de comunicare și de sensibilizare menite să îmbunătățească înțelegerea acestora. Aceste strategii ar trebui să prezinte publicului, inclusiv </w:t>
      </w:r>
      <w:r w:rsidRPr="007F5289">
        <w:rPr>
          <w:noProof/>
        </w:rPr>
        <w:t>la nivel local, în termeni transparenți, caracteristicile, măsurile de securitate și beneficiile potențiale ale SMR-urilor, pentru a răspunde preocupărilor și intereselor specifice ale comunităților.</w:t>
      </w:r>
    </w:p>
    <w:p w14:paraId="58FE1BCB" w14:textId="56C2C703" w:rsidR="00E95E99" w:rsidRPr="007F5289" w:rsidRDefault="00360951" w:rsidP="00EE6543">
      <w:pPr>
        <w:pStyle w:val="Text1"/>
        <w:spacing w:after="120"/>
        <w:rPr>
          <w:noProof/>
        </w:rPr>
      </w:pPr>
      <w:r w:rsidRPr="007F5289">
        <w:rPr>
          <w:noProof/>
        </w:rPr>
        <w:t>Cooperarea</w:t>
      </w:r>
      <w:r w:rsidRPr="007F5289">
        <w:rPr>
          <w:noProof/>
          <w:color w:val="000000" w:themeColor="text1"/>
        </w:rPr>
        <w:t xml:space="preserve"> internațională cu </w:t>
      </w:r>
      <w:r w:rsidRPr="007F5289">
        <w:rPr>
          <w:noProof/>
        </w:rPr>
        <w:t xml:space="preserve">organizații precum Agenția Internațională pentru Energie Atomică sau Agenția pentru Energie Nucleară a OCDE și cu </w:t>
      </w:r>
      <w:r w:rsidRPr="007F5289">
        <w:rPr>
          <w:noProof/>
          <w:color w:val="000000" w:themeColor="text1"/>
        </w:rPr>
        <w:t xml:space="preserve">țări partenere precum </w:t>
      </w:r>
      <w:r w:rsidRPr="007F5289">
        <w:rPr>
          <w:noProof/>
        </w:rPr>
        <w:t>Statele Unite, Canada, Regatul Unit, Japonia și Coreea de Sud</w:t>
      </w:r>
      <w:r w:rsidRPr="007F5289">
        <w:rPr>
          <w:noProof/>
          <w:color w:val="000000" w:themeColor="text1"/>
        </w:rPr>
        <w:t xml:space="preserve"> </w:t>
      </w:r>
      <w:r w:rsidRPr="007F5289">
        <w:rPr>
          <w:noProof/>
        </w:rPr>
        <w:t xml:space="preserve">va </w:t>
      </w:r>
      <w:r w:rsidRPr="007F5289">
        <w:rPr>
          <w:noProof/>
          <w:color w:val="000000" w:themeColor="text1"/>
        </w:rPr>
        <w:t>continua</w:t>
      </w:r>
      <w:r w:rsidRPr="007F5289">
        <w:rPr>
          <w:noProof/>
        </w:rPr>
        <w:t>.</w:t>
      </w:r>
      <w:r w:rsidRPr="007F5289">
        <w:rPr>
          <w:noProof/>
          <w:color w:val="000000" w:themeColor="text1"/>
        </w:rPr>
        <w:t xml:space="preserve"> UE rămâne deschisă actorilor din afara UE, cu prudența necesară pentru a preveni apariția unor noi dependențe de importuri. Colaborarea strânsă cu țările candidate și potențial candidate, în conformitate cu procesul de integrare treptată a acestora, va face parte integrantă din strategie.</w:t>
      </w:r>
    </w:p>
    <w:p w14:paraId="2057513D" w14:textId="77777777" w:rsidR="001F3093" w:rsidRPr="007F5289" w:rsidRDefault="007A2C8F" w:rsidP="001F3093">
      <w:pPr>
        <w:pStyle w:val="Text1"/>
        <w:spacing w:after="120"/>
        <w:rPr>
          <w:noProof/>
          <w:color w:val="000000" w:themeColor="text1"/>
        </w:rPr>
      </w:pPr>
      <w:r w:rsidRPr="007F5289">
        <w:rPr>
          <w:noProof/>
          <w:color w:val="000000" w:themeColor="text1"/>
        </w:rPr>
        <w:t>Pe lângă cooperarea industrială dintre Uniunea Europeană, statele membre și țările partenere, există, de asemenea, posibilități de intensificare a dialogului privind cadrele de reglementare.</w:t>
      </w:r>
    </w:p>
    <w:p w14:paraId="3A838839" w14:textId="1549DFE0" w:rsidR="004B7EEB" w:rsidRPr="007F5289" w:rsidRDefault="004B7EEB" w:rsidP="007F68C0">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bookmarkStart w:id="8" w:name="_Hlk220418266"/>
      <w:r w:rsidRPr="007F5289">
        <w:rPr>
          <w:b/>
          <w:i/>
          <w:noProof/>
          <w:u w:val="single"/>
        </w:rPr>
        <w:t>Acțiunea 9:</w:t>
      </w:r>
      <w:r w:rsidRPr="007F5289">
        <w:rPr>
          <w:noProof/>
        </w:rPr>
        <w:tab/>
      </w:r>
      <w:bookmarkStart w:id="9" w:name="_Hlk219103806"/>
      <w:r w:rsidRPr="007F5289">
        <w:rPr>
          <w:b/>
          <w:i/>
          <w:noProof/>
          <w:u w:val="single"/>
        </w:rPr>
        <w:t>Colaborarea cu parteneri internaționali care împărtășesc aceeași viziune, în beneficiul reciproc</w:t>
      </w:r>
      <w:bookmarkEnd w:id="9"/>
    </w:p>
    <w:p w14:paraId="630DC593" w14:textId="23296596" w:rsidR="004B7EEB" w:rsidRPr="007F5289" w:rsidRDefault="004B7EEB" w:rsidP="007F68C0">
      <w:pPr>
        <w:pStyle w:val="Text1"/>
        <w:keepLines/>
        <w:pBdr>
          <w:top w:val="single" w:sz="4" w:space="1" w:color="auto"/>
          <w:left w:val="single" w:sz="4" w:space="4" w:color="auto"/>
          <w:bottom w:val="single" w:sz="4" w:space="1" w:color="auto"/>
          <w:right w:val="single" w:sz="4" w:space="4" w:color="auto"/>
        </w:pBdr>
        <w:spacing w:after="120"/>
        <w:rPr>
          <w:noProof/>
        </w:rPr>
      </w:pPr>
      <w:r w:rsidRPr="007F5289">
        <w:rPr>
          <w:noProof/>
        </w:rPr>
        <w:t>Comisia va continua să coopereze cu țările partenere care intenționează să implementeze SMR-uri în viitorul apropiat, inclusiv cu țările candidate și potențial candidate și cu țările partenere din vecinătatea noastră sudică, precum și cu organizații internaționale, cum ar fi Agenția pentru Energie Nucleară a OCDE și Agenția Internațională pentru Energie Atomică, precum și cu inițiative internaționale, cum ar fi Forumul Internațional Generația IV.</w:t>
      </w:r>
      <w:r w:rsidRPr="007F5289">
        <w:rPr>
          <w:noProof/>
          <w:color w:val="000000" w:themeColor="text1"/>
        </w:rPr>
        <w:t xml:space="preserve"> În special, cooperarea cu Agenția Internațională pentru Energie Atomică este esențială pentru elaborarea unor abordări comune în materie de garanții pentru reactoare modulare mici</w:t>
      </w:r>
      <w:r w:rsidRPr="007F5289">
        <w:rPr>
          <w:noProof/>
        </w:rPr>
        <w:t>. Comisia va facilita, de asemenea, dialogurile între întreprinderi în beneficiul reciproc al industriei UE și al țărilor partenere relevante.</w:t>
      </w:r>
    </w:p>
    <w:bookmarkEnd w:id="8"/>
    <w:p w14:paraId="3DB64F32" w14:textId="7987655D" w:rsidR="00636F7E" w:rsidRPr="007F5289" w:rsidRDefault="00636F7E" w:rsidP="004C5A42">
      <w:pPr>
        <w:pStyle w:val="Heading1"/>
        <w:rPr>
          <w:noProof/>
        </w:rPr>
      </w:pPr>
      <w:r w:rsidRPr="007F5289">
        <w:rPr>
          <w:noProof/>
        </w:rPr>
        <w:t>Concluzii</w:t>
      </w:r>
    </w:p>
    <w:p w14:paraId="2BCBEB0D" w14:textId="304B1BDF" w:rsidR="00784968" w:rsidRPr="007F5289" w:rsidRDefault="00784968" w:rsidP="004E26BA">
      <w:pPr>
        <w:pStyle w:val="Text1"/>
        <w:spacing w:after="120"/>
        <w:rPr>
          <w:noProof/>
          <w:szCs w:val="24"/>
        </w:rPr>
      </w:pPr>
      <w:r w:rsidRPr="007F5289">
        <w:rPr>
          <w:noProof/>
        </w:rPr>
        <w:t>Reactoarele modulare mici au un potențial semnificativ de a contribui la eforturile menite să transforme UE în prima economie neutră din punct de vedere climatic, asigurând totodată securitatea energetică și accesibilitatea prețurilor, precum și consolidarea competitivității și a autonomiei strategice a UE.</w:t>
      </w:r>
    </w:p>
    <w:p w14:paraId="43858BCD" w14:textId="3D3B45FF" w:rsidR="00640BA6" w:rsidRPr="007F5289" w:rsidRDefault="005F0135" w:rsidP="00EE6543">
      <w:pPr>
        <w:pStyle w:val="Text1"/>
        <w:spacing w:after="120"/>
        <w:rPr>
          <w:noProof/>
        </w:rPr>
      </w:pPr>
      <w:r w:rsidRPr="007F5289">
        <w:rPr>
          <w:noProof/>
        </w:rPr>
        <w:t>În ultimele decenii, UE a dezvoltat expertiză și instalații tehnologice relevante și dispune de o bază industrială largă, toate acestea reprezentând atuuri esențiale pentru dezvoltarea și implementarea SMR-urilor în Europa. UE este, de asemenea, lider mondial în ceea ce privește întregul ciclu de viață al energiei nucleare, inclusiv închiderea ciclului combustibilului prin reprocesarea și reciclarea materialelor nucleare.</w:t>
      </w:r>
    </w:p>
    <w:p w14:paraId="09687D68" w14:textId="40E715BC" w:rsidR="004326B4" w:rsidRPr="007F5289" w:rsidRDefault="008422B6" w:rsidP="000456A7">
      <w:pPr>
        <w:pStyle w:val="Text1"/>
        <w:spacing w:after="120"/>
        <w:rPr>
          <w:noProof/>
          <w:color w:val="000000" w:themeColor="text1"/>
        </w:rPr>
      </w:pPr>
      <w:r w:rsidRPr="007F5289">
        <w:rPr>
          <w:noProof/>
        </w:rPr>
        <w:t>În cursa mondială de pe piața emergentă a reactoarelor modulare mici, UE trebuie să acționeze urgent pentru a rămâne în avangardă, a-și menține competitivitatea și a continua să dezvolte noi tehnologii. Comisia se angajează să creeze condițiile favorizante pentru dezvoltarea și implementarea de SMR-uri, asigurând totodată respectarea celor mai înalte standarde de securitate, siguranță, garanții, radioprotecție nucleare și de gestionare a deșeurilor radioactive, în vederea protejării cetățenilor și a mediului.</w:t>
      </w:r>
    </w:p>
    <w:p w14:paraId="2E02208F" w14:textId="04E07CB3" w:rsidR="004326B4" w:rsidRPr="007F5289" w:rsidRDefault="004E26BA" w:rsidP="00EE6543">
      <w:pPr>
        <w:pStyle w:val="Text1"/>
        <w:spacing w:after="120"/>
        <w:rPr>
          <w:noProof/>
        </w:rPr>
      </w:pPr>
      <w:r w:rsidRPr="007F5289">
        <w:rPr>
          <w:noProof/>
        </w:rPr>
        <w:t>Implementarea primelor SMR-uri în Europa este preconizată, în mod realist, pentru începutul anilor 2030. Succesul acestui demers depinde însă de accesul la capital, de punerea în comun a cunoștințelor, infrastructurii și resurselor de către diverși actori, de alinierea cadrelor de reglementare între statele membre, de reducerea termenelor de acordare a licențelor, de standardizarea modelelor, de adoptarea unei abordări de tip flotă și de dezvoltarea unor lanțuri de aprovizionare solide.</w:t>
      </w:r>
    </w:p>
    <w:p w14:paraId="759DEAFB" w14:textId="34B62D3C" w:rsidR="00D3725D" w:rsidRPr="007F5289" w:rsidRDefault="005F0135" w:rsidP="00F97469">
      <w:pPr>
        <w:pStyle w:val="Text1"/>
        <w:spacing w:after="120"/>
        <w:rPr>
          <w:noProof/>
          <w:szCs w:val="24"/>
        </w:rPr>
      </w:pPr>
      <w:r w:rsidRPr="007F5289">
        <w:rPr>
          <w:noProof/>
        </w:rPr>
        <w:t>Această strategie necesită un angajament colectiv și acțiuni coordonate din partea instituțiilor UE, a statelor membre, a industriei și a organizațiilor de cercetare. Împreună, aceste eforturi vor valorifica potențialul SMR-urilor de a contribui la un viitor sistem energetic european durabil, competitiv și rezilient.</w:t>
      </w:r>
    </w:p>
    <w:sectPr w:rsidR="00D3725D" w:rsidRPr="007F5289" w:rsidSect="00C86FA3">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40A40" w14:textId="77777777" w:rsidR="007850DA" w:rsidRPr="00422D7E" w:rsidRDefault="007850DA">
      <w:pPr>
        <w:spacing w:after="0"/>
      </w:pPr>
      <w:r>
        <w:separator/>
      </w:r>
    </w:p>
  </w:endnote>
  <w:endnote w:type="continuationSeparator" w:id="0">
    <w:p w14:paraId="596E154D" w14:textId="77777777" w:rsidR="007850DA" w:rsidRPr="00422D7E" w:rsidRDefault="007850DA">
      <w:pPr>
        <w:spacing w:after="0"/>
      </w:pPr>
      <w:r>
        <w:continuationSeparator/>
      </w:r>
    </w:p>
  </w:endnote>
  <w:endnote w:type="continuationNotice" w:id="1">
    <w:p w14:paraId="39534C1E" w14:textId="77777777" w:rsidR="007850DA" w:rsidRPr="00422D7E" w:rsidRDefault="007850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63F30" w14:textId="4C6B36CC" w:rsidR="008E0308" w:rsidRPr="008E0308" w:rsidRDefault="008E0308" w:rsidP="008E0308">
    <w:pPr>
      <w:pStyle w:val="FooterCoverPage"/>
      <w:rPr>
        <w:rFonts w:ascii="Arial" w:hAnsi="Arial" w:cs="Arial"/>
        <w:b/>
        <w:sz w:val="48"/>
      </w:rPr>
    </w:pPr>
    <w:r w:rsidRPr="008E0308">
      <w:rPr>
        <w:rFonts w:ascii="Arial" w:hAnsi="Arial" w:cs="Arial"/>
        <w:b/>
        <w:sz w:val="48"/>
      </w:rPr>
      <w:t>RO</w:t>
    </w:r>
    <w:r w:rsidRPr="008E0308">
      <w:rPr>
        <w:rFonts w:ascii="Arial" w:hAnsi="Arial" w:cs="Arial"/>
        <w:b/>
        <w:sz w:val="48"/>
      </w:rPr>
      <w:tab/>
    </w:r>
    <w:r w:rsidRPr="008E0308">
      <w:rPr>
        <w:rFonts w:ascii="Arial" w:hAnsi="Arial" w:cs="Arial"/>
        <w:b/>
        <w:sz w:val="48"/>
      </w:rPr>
      <w:tab/>
    </w:r>
    <w:r w:rsidRPr="008E0308">
      <w:tab/>
    </w:r>
    <w:r w:rsidRPr="008E030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A6BEC" w14:textId="07BFAF1A" w:rsidR="008E0308" w:rsidRPr="008E0308" w:rsidRDefault="008E0308" w:rsidP="008E0308">
    <w:pPr>
      <w:pStyle w:val="FooterCoverPage"/>
      <w:rPr>
        <w:rFonts w:ascii="Arial" w:hAnsi="Arial" w:cs="Arial"/>
        <w:b/>
        <w:sz w:val="48"/>
      </w:rPr>
    </w:pPr>
    <w:r w:rsidRPr="008E0308">
      <w:rPr>
        <w:rFonts w:ascii="Arial" w:hAnsi="Arial" w:cs="Arial"/>
        <w:b/>
        <w:sz w:val="48"/>
      </w:rPr>
      <w:t>RO</w:t>
    </w:r>
    <w:r w:rsidRPr="008E0308">
      <w:rPr>
        <w:rFonts w:ascii="Arial" w:hAnsi="Arial" w:cs="Arial"/>
        <w:b/>
        <w:sz w:val="48"/>
      </w:rPr>
      <w:tab/>
    </w:r>
    <w:r w:rsidRPr="008E0308">
      <w:rPr>
        <w:rFonts w:ascii="Arial" w:hAnsi="Arial" w:cs="Arial"/>
        <w:b/>
        <w:sz w:val="48"/>
      </w:rPr>
      <w:tab/>
    </w:r>
    <w:r w:rsidRPr="008E0308">
      <w:tab/>
    </w:r>
    <w:r w:rsidRPr="008E030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9EAFF" w14:textId="77777777" w:rsidR="008E0308" w:rsidRPr="008E0308" w:rsidRDefault="008E0308" w:rsidP="008E03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C0C89" w14:textId="77777777" w:rsidR="000234ED" w:rsidRPr="00422D7E" w:rsidRDefault="000234ED" w:rsidP="008013C2">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596458"/>
      <w:docPartObj>
        <w:docPartGallery w:val="Page Numbers (Bottom of Page)"/>
        <w:docPartUnique/>
      </w:docPartObj>
    </w:sdtPr>
    <w:sdtEndPr/>
    <w:sdtContent>
      <w:p w14:paraId="736E2EF8" w14:textId="38EBDA53" w:rsidR="000234ED" w:rsidRPr="00422D7E" w:rsidRDefault="000234ED">
        <w:pPr>
          <w:pStyle w:val="Footer"/>
          <w:jc w:val="center"/>
        </w:pPr>
        <w:r>
          <w:fldChar w:fldCharType="begin"/>
        </w:r>
        <w:r>
          <w:instrText xml:space="preserve"> PAGE   \* MERGEFORMAT </w:instrText>
        </w:r>
        <w:r>
          <w:fldChar w:fldCharType="separate"/>
        </w:r>
        <w:r w:rsidR="008E0308">
          <w:rPr>
            <w:noProof/>
          </w:rPr>
          <w:t>1</w:t>
        </w:r>
        <w:r>
          <w:fldChar w:fldCharType="end"/>
        </w:r>
      </w:p>
    </w:sdtContent>
  </w:sdt>
  <w:p w14:paraId="650CC2C6" w14:textId="77777777" w:rsidR="000234ED" w:rsidRPr="00422D7E" w:rsidRDefault="000234ED" w:rsidP="008013C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3D069" w14:textId="77777777" w:rsidR="000234ED" w:rsidRPr="00422D7E" w:rsidRDefault="000234ED" w:rsidP="008013C2">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9B971" w14:textId="77777777" w:rsidR="007850DA" w:rsidRPr="00422D7E" w:rsidRDefault="007850DA">
      <w:pPr>
        <w:spacing w:after="0"/>
      </w:pPr>
      <w:r>
        <w:separator/>
      </w:r>
    </w:p>
  </w:footnote>
  <w:footnote w:type="continuationSeparator" w:id="0">
    <w:p w14:paraId="5753CACE" w14:textId="77777777" w:rsidR="007850DA" w:rsidRPr="00422D7E" w:rsidRDefault="007850DA">
      <w:pPr>
        <w:spacing w:after="0"/>
      </w:pPr>
      <w:r>
        <w:continuationSeparator/>
      </w:r>
    </w:p>
  </w:footnote>
  <w:footnote w:type="continuationNotice" w:id="1">
    <w:p w14:paraId="1CFEB119" w14:textId="77777777" w:rsidR="007850DA" w:rsidRPr="00422D7E" w:rsidRDefault="007850DA">
      <w:pPr>
        <w:spacing w:after="0"/>
      </w:pPr>
    </w:p>
  </w:footnote>
  <w:footnote w:id="2">
    <w:p w14:paraId="605D53A2" w14:textId="76E77225" w:rsidR="008D4B39" w:rsidRPr="00422D7E" w:rsidRDefault="008D4B39" w:rsidP="00802A39">
      <w:pPr>
        <w:pStyle w:val="FootnoteText"/>
        <w:ind w:left="567" w:hanging="567"/>
      </w:pPr>
      <w:r>
        <w:t>(</w:t>
      </w:r>
      <w:r>
        <w:rPr>
          <w:rStyle w:val="FootnoteReference"/>
        </w:rPr>
        <w:footnoteRef/>
      </w:r>
      <w:r>
        <w:t>)</w:t>
      </w:r>
      <w:r>
        <w:tab/>
        <w:t>Estimările și proiecțiile industriei de profil din Programul nuclear cu caracter informativ (</w:t>
      </w:r>
      <w:r>
        <w:rPr>
          <w:i/>
        </w:rPr>
        <w:t>Nuclear Illustrative Programme</w:t>
      </w:r>
      <w:r>
        <w:t>, PINC), COM (</w:t>
      </w:r>
      <w:r w:rsidRPr="007F5289">
        <w:t>2026</w:t>
      </w:r>
      <w:r>
        <w:t xml:space="preserve">) </w:t>
      </w:r>
      <w:r w:rsidRPr="007F5289">
        <w:t>120</w:t>
      </w:r>
      <w:r>
        <w:t>.</w:t>
      </w:r>
    </w:p>
  </w:footnote>
  <w:footnote w:id="3">
    <w:p w14:paraId="64E4EA50" w14:textId="413535E5" w:rsidR="00074B4C" w:rsidRPr="00422D7E" w:rsidRDefault="00074B4C" w:rsidP="00802A39">
      <w:pPr>
        <w:pStyle w:val="FootnoteText"/>
        <w:ind w:left="567" w:hanging="567"/>
      </w:pPr>
      <w:r>
        <w:t>(</w:t>
      </w:r>
      <w:r>
        <w:rPr>
          <w:rStyle w:val="FootnoteReference"/>
        </w:rPr>
        <w:footnoteRef/>
      </w:r>
      <w:r>
        <w:t>)</w:t>
      </w:r>
      <w:r>
        <w:tab/>
        <w:t xml:space="preserve">Pentru o prezentare generală a situației actuale a reactoarelor modulare mici (SMR) dintr-o perspectivă tehnoeconomică, a se vedea: </w:t>
      </w:r>
      <w:r>
        <w:rPr>
          <w:i/>
        </w:rPr>
        <w:t>An exploratory analysis of the Small Modular Reactor ecosystem</w:t>
      </w:r>
      <w:r>
        <w:t xml:space="preserve"> (O analiză exploratorie a ecosistemului reactoarelor modulare mici), Oficiul pentru Publicații al Uniunii Europene, Luxemburg, </w:t>
      </w:r>
      <w:r w:rsidRPr="007F5289">
        <w:t>2025</w:t>
      </w:r>
      <w:r>
        <w:t xml:space="preserve">, </w:t>
      </w:r>
      <w:hyperlink r:id="rId1" w:history="1">
        <w:r>
          <w:rPr>
            <w:rStyle w:val="Hyperlink"/>
          </w:rPr>
          <w:t>https://data.europa.eu/doi/</w:t>
        </w:r>
        <w:r w:rsidRPr="007F5289">
          <w:rPr>
            <w:rStyle w:val="Hyperlink"/>
          </w:rPr>
          <w:t>10</w:t>
        </w:r>
        <w:r>
          <w:rPr>
            <w:rStyle w:val="Hyperlink"/>
          </w:rPr>
          <w:t>.</w:t>
        </w:r>
        <w:r w:rsidRPr="007F5289">
          <w:rPr>
            <w:rStyle w:val="Hyperlink"/>
          </w:rPr>
          <w:t>2760</w:t>
        </w:r>
        <w:r>
          <w:rPr>
            <w:rStyle w:val="Hyperlink"/>
          </w:rPr>
          <w:t>/</w:t>
        </w:r>
        <w:r w:rsidRPr="007F5289">
          <w:rPr>
            <w:rStyle w:val="Hyperlink"/>
          </w:rPr>
          <w:t>4478311</w:t>
        </w:r>
      </w:hyperlink>
      <w:r>
        <w:t>, JRC</w:t>
      </w:r>
      <w:r w:rsidRPr="007F5289">
        <w:t>142326</w:t>
      </w:r>
      <w:r>
        <w:t>.</w:t>
      </w:r>
    </w:p>
  </w:footnote>
  <w:footnote w:id="4">
    <w:p w14:paraId="336997D4" w14:textId="3F89614A" w:rsidR="00783BB6" w:rsidRPr="00802A39" w:rsidRDefault="00783BB6" w:rsidP="00802A39">
      <w:pPr>
        <w:pStyle w:val="FootnoteText"/>
        <w:ind w:left="567" w:hanging="567"/>
      </w:pPr>
      <w:r>
        <w:t>(</w:t>
      </w:r>
      <w:r>
        <w:rPr>
          <w:rStyle w:val="FootnoteReference"/>
        </w:rPr>
        <w:footnoteRef/>
      </w:r>
      <w:r>
        <w:t>)</w:t>
      </w:r>
      <w:r>
        <w:tab/>
        <w:t>COM(</w:t>
      </w:r>
      <w:r w:rsidRPr="007F5289">
        <w:t>2025</w:t>
      </w:r>
      <w:r>
        <w:t>) </w:t>
      </w:r>
      <w:r w:rsidRPr="007F5289">
        <w:t>530</w:t>
      </w:r>
      <w:r>
        <w:t xml:space="preserve"> final din </w:t>
      </w:r>
      <w:r w:rsidRPr="007F5289">
        <w:t>8</w:t>
      </w:r>
      <w:r>
        <w:t>.</w:t>
      </w:r>
      <w:r w:rsidRPr="007F5289">
        <w:t>7</w:t>
      </w:r>
      <w:r>
        <w:t>.</w:t>
      </w:r>
      <w:r w:rsidRPr="007F5289">
        <w:t>2025</w:t>
      </w:r>
      <w:r>
        <w:t>.</w:t>
      </w:r>
    </w:p>
  </w:footnote>
  <w:footnote w:id="5">
    <w:p w14:paraId="39B55408" w14:textId="7FA80723" w:rsidR="005D343D" w:rsidRPr="00802A39" w:rsidRDefault="005D343D" w:rsidP="00802A39">
      <w:pPr>
        <w:pStyle w:val="FootnoteText"/>
        <w:ind w:left="567" w:hanging="567"/>
        <w:jc w:val="left"/>
      </w:pPr>
      <w:r>
        <w:t>(</w:t>
      </w:r>
      <w:r>
        <w:rPr>
          <w:rStyle w:val="FootnoteReference"/>
        </w:rPr>
        <w:footnoteRef/>
      </w:r>
      <w:r>
        <w:t>)</w:t>
      </w:r>
      <w:r>
        <w:tab/>
      </w:r>
      <w:r>
        <w:rPr>
          <w:i/>
        </w:rPr>
        <w:t>Potentials and levels for the electrification of space heating in buildings</w:t>
      </w:r>
      <w:r>
        <w:t xml:space="preserve"> (Potențialele și nivelurile pentru electrificarea încălzirii spațiilor în clădiri), raport final, Oficiul pentru Publicații al Uniunii Europene, Luxemburg, </w:t>
      </w:r>
      <w:r w:rsidRPr="007F5289">
        <w:t>2023</w:t>
      </w:r>
      <w:r>
        <w:t xml:space="preserve">, </w:t>
      </w:r>
      <w:hyperlink r:id="rId2" w:history="1">
        <w:r>
          <w:rPr>
            <w:rStyle w:val="Hyperlink"/>
          </w:rPr>
          <w:t>https://op.europa.eu/ro/publication-detail/-/publication/</w:t>
        </w:r>
        <w:r w:rsidRPr="007F5289">
          <w:rPr>
            <w:rStyle w:val="Hyperlink"/>
          </w:rPr>
          <w:t>2</w:t>
        </w:r>
        <w:r>
          <w:rPr>
            <w:rStyle w:val="Hyperlink"/>
          </w:rPr>
          <w:t>ae</w:t>
        </w:r>
        <w:r w:rsidRPr="007F5289">
          <w:rPr>
            <w:rStyle w:val="Hyperlink"/>
          </w:rPr>
          <w:t>4481</w:t>
        </w:r>
        <w:r>
          <w:rPr>
            <w:rStyle w:val="Hyperlink"/>
          </w:rPr>
          <w:t>d-</w:t>
        </w:r>
        <w:r w:rsidRPr="007F5289">
          <w:rPr>
            <w:rStyle w:val="Hyperlink"/>
          </w:rPr>
          <w:t>8</w:t>
        </w:r>
        <w:r>
          <w:rPr>
            <w:rStyle w:val="Hyperlink"/>
          </w:rPr>
          <w:t>f</w:t>
        </w:r>
        <w:r w:rsidRPr="007F5289">
          <w:rPr>
            <w:rStyle w:val="Hyperlink"/>
          </w:rPr>
          <w:t>3</w:t>
        </w:r>
        <w:r>
          <w:rPr>
            <w:rStyle w:val="Hyperlink"/>
          </w:rPr>
          <w:t>b-</w:t>
        </w:r>
        <w:r w:rsidRPr="007F5289">
          <w:rPr>
            <w:rStyle w:val="Hyperlink"/>
          </w:rPr>
          <w:t>11</w:t>
        </w:r>
        <w:r>
          <w:rPr>
            <w:rStyle w:val="Hyperlink"/>
          </w:rPr>
          <w:t>ee-</w:t>
        </w:r>
        <w:r w:rsidRPr="007F5289">
          <w:rPr>
            <w:rStyle w:val="Hyperlink"/>
          </w:rPr>
          <w:t>8</w:t>
        </w:r>
        <w:r>
          <w:rPr>
            <w:rStyle w:val="Hyperlink"/>
          </w:rPr>
          <w:t>aa</w:t>
        </w:r>
        <w:r w:rsidRPr="007F5289">
          <w:rPr>
            <w:rStyle w:val="Hyperlink"/>
          </w:rPr>
          <w:t>6</w:t>
        </w:r>
        <w:r>
          <w:rPr>
            <w:rStyle w:val="Hyperlink"/>
          </w:rPr>
          <w:t>-</w:t>
        </w:r>
        <w:r w:rsidRPr="007F5289">
          <w:rPr>
            <w:rStyle w:val="Hyperlink"/>
          </w:rPr>
          <w:t>01</w:t>
        </w:r>
        <w:r>
          <w:rPr>
            <w:rStyle w:val="Hyperlink"/>
          </w:rPr>
          <w:t>aa</w:t>
        </w:r>
        <w:r w:rsidRPr="007F5289">
          <w:rPr>
            <w:rStyle w:val="Hyperlink"/>
          </w:rPr>
          <w:t>75</w:t>
        </w:r>
        <w:r>
          <w:rPr>
            <w:rStyle w:val="Hyperlink"/>
          </w:rPr>
          <w:t>ed</w:t>
        </w:r>
        <w:r w:rsidRPr="007F5289">
          <w:rPr>
            <w:rStyle w:val="Hyperlink"/>
          </w:rPr>
          <w:t>71</w:t>
        </w:r>
        <w:r>
          <w:rPr>
            <w:rStyle w:val="Hyperlink"/>
          </w:rPr>
          <w:t>a</w:t>
        </w:r>
        <w:r w:rsidRPr="007F5289">
          <w:rPr>
            <w:rStyle w:val="Hyperlink"/>
          </w:rPr>
          <w:t>1</w:t>
        </w:r>
      </w:hyperlink>
      <w:r>
        <w:t>.</w:t>
      </w:r>
    </w:p>
  </w:footnote>
  <w:footnote w:id="6">
    <w:p w14:paraId="58B68083" w14:textId="2E0AE2D9" w:rsidR="00E759FA" w:rsidRPr="002D1011" w:rsidRDefault="00E759FA" w:rsidP="002D1011">
      <w:pPr>
        <w:spacing w:after="120"/>
        <w:ind w:left="567" w:hanging="567"/>
        <w:rPr>
          <w:sz w:val="20"/>
        </w:rPr>
      </w:pPr>
      <w:r>
        <w:rPr>
          <w:sz w:val="20"/>
        </w:rPr>
        <w:t>(</w:t>
      </w:r>
      <w:r>
        <w:rPr>
          <w:rStyle w:val="FootnoteReference"/>
          <w:sz w:val="20"/>
        </w:rPr>
        <w:footnoteRef/>
      </w:r>
      <w:r>
        <w:rPr>
          <w:sz w:val="20"/>
        </w:rPr>
        <w:t>)</w:t>
      </w:r>
      <w:r>
        <w:tab/>
      </w:r>
      <w:r>
        <w:rPr>
          <w:i/>
          <w:sz w:val="20"/>
        </w:rPr>
        <w:t>Energy and AI</w:t>
      </w:r>
      <w:r>
        <w:rPr>
          <w:sz w:val="20"/>
        </w:rPr>
        <w:t xml:space="preserve"> (Energie și IA), IEA, Paris, </w:t>
      </w:r>
      <w:r w:rsidRPr="007F5289">
        <w:rPr>
          <w:sz w:val="20"/>
        </w:rPr>
        <w:t>2025</w:t>
      </w:r>
      <w:r>
        <w:rPr>
          <w:sz w:val="20"/>
        </w:rPr>
        <w:t xml:space="preserve">, </w:t>
      </w:r>
      <w:hyperlink r:id="rId3" w:history="1">
        <w:r>
          <w:rPr>
            <w:rStyle w:val="Hyperlink"/>
            <w:sz w:val="20"/>
          </w:rPr>
          <w:t>https://www.iea.org/reports/energy-and-ai</w:t>
        </w:r>
      </w:hyperlink>
      <w:r>
        <w:rPr>
          <w:sz w:val="20"/>
        </w:rPr>
        <w:t xml:space="preserve">, licență: CC BY </w:t>
      </w:r>
      <w:r w:rsidRPr="007F5289">
        <w:rPr>
          <w:sz w:val="20"/>
        </w:rPr>
        <w:t>4</w:t>
      </w:r>
      <w:r>
        <w:rPr>
          <w:sz w:val="20"/>
        </w:rPr>
        <w:t>.</w:t>
      </w:r>
      <w:r w:rsidRPr="007F5289">
        <w:rPr>
          <w:sz w:val="20"/>
        </w:rPr>
        <w:t>0</w:t>
      </w:r>
      <w:r>
        <w:rPr>
          <w:sz w:val="20"/>
        </w:rPr>
        <w:t>.</w:t>
      </w:r>
    </w:p>
  </w:footnote>
  <w:footnote w:id="7">
    <w:p w14:paraId="1766CC7A" w14:textId="64E79F73" w:rsidR="008E34C3" w:rsidRPr="0047742B" w:rsidRDefault="008E34C3" w:rsidP="00802A39">
      <w:pPr>
        <w:pStyle w:val="FootnoteText"/>
        <w:ind w:left="567" w:hanging="567"/>
      </w:pPr>
      <w:r>
        <w:t>(</w:t>
      </w:r>
      <w:r>
        <w:rPr>
          <w:rStyle w:val="FootnoteReference"/>
        </w:rPr>
        <w:footnoteRef/>
      </w:r>
      <w:r>
        <w:t>)</w:t>
      </w:r>
      <w:r>
        <w:tab/>
        <w:t>COM(</w:t>
      </w:r>
      <w:r w:rsidRPr="007F5289">
        <w:t>2025</w:t>
      </w:r>
      <w:r>
        <w:t>) </w:t>
      </w:r>
      <w:r w:rsidRPr="007F5289">
        <w:t>280</w:t>
      </w:r>
      <w:r>
        <w:t xml:space="preserve"> final, </w:t>
      </w:r>
      <w:r w:rsidRPr="007F5289">
        <w:t>4</w:t>
      </w:r>
      <w:r>
        <w:t>.</w:t>
      </w:r>
      <w:r w:rsidRPr="007F5289">
        <w:t>6</w:t>
      </w:r>
      <w:r>
        <w:t>.</w:t>
      </w:r>
      <w:r w:rsidRPr="007F5289">
        <w:t>2025</w:t>
      </w:r>
      <w:r>
        <w:t>.</w:t>
      </w:r>
    </w:p>
  </w:footnote>
  <w:footnote w:id="8">
    <w:p w14:paraId="24A15658" w14:textId="24C4F71C" w:rsidR="00705457" w:rsidRPr="00422D7E" w:rsidRDefault="00705457" w:rsidP="00B476A4">
      <w:pPr>
        <w:pStyle w:val="FootnoteText"/>
        <w:ind w:left="567" w:hanging="567"/>
      </w:pPr>
      <w:r>
        <w:t>(</w:t>
      </w:r>
      <w:r>
        <w:rPr>
          <w:rStyle w:val="FootnoteReference"/>
        </w:rPr>
        <w:footnoteRef/>
      </w:r>
      <w:r>
        <w:t>)</w:t>
      </w:r>
      <w:r>
        <w:tab/>
        <w:t xml:space="preserve">În decembrie </w:t>
      </w:r>
      <w:r w:rsidRPr="007F5289">
        <w:t>2025</w:t>
      </w:r>
      <w:r>
        <w:t xml:space="preserve">, Departamentul pentru Energie al Statelor Unite (DoE) a anunțat granturi în valoare totală de </w:t>
      </w:r>
      <w:r w:rsidRPr="007F5289">
        <w:t>900</w:t>
      </w:r>
      <w:r>
        <w:t xml:space="preserve"> de milioane USD pentru a sprijini implementarea inițială de către SUA a tehnologiilor SMR din generația III+. Departamentul pentru Energie al SUA a furnizat, de asemenea, aproximativ </w:t>
      </w:r>
      <w:r w:rsidRPr="007F5289">
        <w:t>450</w:t>
      </w:r>
      <w:r>
        <w:t xml:space="preserve"> de milioane USD în cadrul programului de sprijin tehnic pentru acordarea de licențe SMR. În Canada, provincia Ontario investește </w:t>
      </w:r>
      <w:r w:rsidRPr="007F5289">
        <w:t>1</w:t>
      </w:r>
      <w:r>
        <w:t xml:space="preserve"> miliard CAD prin intermediul Building Ontario Fund, iar guvernul federal pune la dispoziție </w:t>
      </w:r>
      <w:r w:rsidRPr="007F5289">
        <w:t>2</w:t>
      </w:r>
      <w:r>
        <w:t xml:space="preserve"> miliarde CAD prin Canada Growth Fund pentru a construi primul SMR din Canada. Guvernul Regatului Unit a instituit Advanced Nuclear Fund, cu o alocare totală de </w:t>
      </w:r>
      <w:r w:rsidRPr="007F5289">
        <w:t>385</w:t>
      </w:r>
      <w:r>
        <w:t xml:space="preserve"> de milioane GBP, pentru dezvoltarea unui model național de SMR, precum și unor AMR. Primele SMR-uri sunt deja în exploatare în China și Rusia.</w:t>
      </w:r>
    </w:p>
  </w:footnote>
  <w:footnote w:id="9">
    <w:p w14:paraId="0154CBD8" w14:textId="598D9963" w:rsidR="000456A7" w:rsidRPr="002211FD" w:rsidRDefault="000456A7" w:rsidP="00B476A4">
      <w:pPr>
        <w:pStyle w:val="FootnoteText"/>
        <w:ind w:left="567" w:hanging="567"/>
      </w:pPr>
      <w:r>
        <w:t>(</w:t>
      </w:r>
      <w:r>
        <w:rPr>
          <w:rStyle w:val="FootnoteReference"/>
        </w:rPr>
        <w:footnoteRef/>
      </w:r>
      <w:r>
        <w:t>)</w:t>
      </w:r>
      <w:r>
        <w:tab/>
        <w:t xml:space="preserve">Începând din februarie </w:t>
      </w:r>
      <w:r w:rsidRPr="007F5289">
        <w:t>2024</w:t>
      </w:r>
      <w:r>
        <w:t xml:space="preserve">, Alianța industrială europeană pentru reactoarele modulare mici a reunit aproape </w:t>
      </w:r>
      <w:r w:rsidRPr="007F5289">
        <w:t>400</w:t>
      </w:r>
      <w:r>
        <w:t xml:space="preserve"> de organizații, inclusiv întreprinderi, instituții de cercetare, organisme guvernamentale și organizații neguvernamentale. Ea a stabilit un obiectiv clar ca primele SMR-uri să fie operaționale în UE până la începutul anilor </w:t>
      </w:r>
      <w:r w:rsidRPr="007F5289">
        <w:t>2030</w:t>
      </w:r>
      <w:r>
        <w:t xml:space="preserve">. În </w:t>
      </w:r>
      <w:r w:rsidRPr="007F5289">
        <w:t>2024</w:t>
      </w:r>
      <w:r>
        <w:t>, alianța a lansat prima cerere de identificare a unor proiecte concrete care pot contribui la atingerea acestui obiectiv.</w:t>
      </w:r>
    </w:p>
  </w:footnote>
  <w:footnote w:id="10">
    <w:p w14:paraId="71F64D7E" w14:textId="19ABE871" w:rsidR="00F822D1" w:rsidRPr="00D00389" w:rsidRDefault="00F822D1" w:rsidP="00B476A4">
      <w:pPr>
        <w:pStyle w:val="FootnoteText"/>
        <w:ind w:left="567" w:hanging="567"/>
      </w:pPr>
      <w:r>
        <w:t>(</w:t>
      </w:r>
      <w:r>
        <w:rPr>
          <w:rStyle w:val="FootnoteReference"/>
        </w:rPr>
        <w:footnoteRef/>
      </w:r>
      <w:r>
        <w:t>)</w:t>
      </w:r>
      <w:r>
        <w:tab/>
      </w:r>
      <w:hyperlink r:id="rId4" w:history="1">
        <w:r>
          <w:rPr>
            <w:rStyle w:val="Hyperlink"/>
          </w:rPr>
          <w:t>COM(</w:t>
        </w:r>
        <w:r w:rsidRPr="007F5289">
          <w:rPr>
            <w:rStyle w:val="Hyperlink"/>
          </w:rPr>
          <w:t>2025</w:t>
        </w:r>
        <w:r>
          <w:rPr>
            <w:rStyle w:val="Hyperlink"/>
          </w:rPr>
          <w:t xml:space="preserve">) </w:t>
        </w:r>
        <w:r w:rsidRPr="007F5289">
          <w:rPr>
            <w:rStyle w:val="Hyperlink"/>
          </w:rPr>
          <w:t>440</w:t>
        </w:r>
        <w:r>
          <w:rPr>
            <w:rStyle w:val="Hyperlink"/>
          </w:rPr>
          <w:t xml:space="preserve"> final/</w:t>
        </w:r>
        <w:r w:rsidRPr="007F5289">
          <w:rPr>
            <w:rStyle w:val="Hyperlink"/>
          </w:rPr>
          <w:t>2</w:t>
        </w:r>
      </w:hyperlink>
      <w:r>
        <w:t xml:space="preserve">, </w:t>
      </w:r>
      <w:r w:rsidRPr="007F5289">
        <w:t>12</w:t>
      </w:r>
      <w:r>
        <w:t>.</w:t>
      </w:r>
      <w:r w:rsidRPr="007F5289">
        <w:t>5</w:t>
      </w:r>
      <w:r>
        <w:t>.</w:t>
      </w:r>
      <w:r w:rsidRPr="007F5289">
        <w:t>2025</w:t>
      </w:r>
      <w:r>
        <w:t xml:space="preserve">, </w:t>
      </w:r>
      <w:r>
        <w:rPr>
          <w:color w:val="000000" w:themeColor="text1"/>
        </w:rPr>
        <w:t>Foaia de parcurs REPowerEU.</w:t>
      </w:r>
    </w:p>
  </w:footnote>
  <w:footnote w:id="11">
    <w:p w14:paraId="5CE0534C" w14:textId="0B711B6E" w:rsidR="00D1445B" w:rsidRPr="0085674E" w:rsidRDefault="00D1445B" w:rsidP="005928B7">
      <w:pPr>
        <w:pStyle w:val="FootnoteText"/>
        <w:ind w:left="567" w:hanging="567"/>
        <w:jc w:val="left"/>
      </w:pPr>
      <w:r>
        <w:t>(</w:t>
      </w:r>
      <w:r>
        <w:rPr>
          <w:rStyle w:val="FootnoteReference"/>
        </w:rPr>
        <w:footnoteRef/>
      </w:r>
      <w:r>
        <w:t>)</w:t>
      </w:r>
      <w:r>
        <w:tab/>
        <w:t>COM(</w:t>
      </w:r>
      <w:r w:rsidRPr="007F5289">
        <w:t>2026</w:t>
      </w:r>
      <w:r>
        <w:t xml:space="preserve">) </w:t>
      </w:r>
      <w:r w:rsidRPr="007F5289">
        <w:t>100</w:t>
      </w:r>
      <w:r>
        <w:t xml:space="preserve">, </w:t>
      </w:r>
      <w:r w:rsidRPr="007F5289">
        <w:t>4</w:t>
      </w:r>
      <w:r>
        <w:t>.</w:t>
      </w:r>
      <w:r w:rsidRPr="007F5289">
        <w:t>3</w:t>
      </w:r>
      <w:r>
        <w:t>.</w:t>
      </w:r>
      <w:r w:rsidRPr="007F5289">
        <w:t>2026</w:t>
      </w:r>
      <w:r>
        <w:t>, propunere de regulament privind instituirea unui cadru de măsuri pentru accelerarea capacității și a decarbonizării industriale în sectoarele strategice (Actul legislativ privind accelerarea activității industriale).</w:t>
      </w:r>
    </w:p>
  </w:footnote>
  <w:footnote w:id="12">
    <w:p w14:paraId="19F548E7" w14:textId="2DA25475" w:rsidR="00DD72C0" w:rsidRPr="00422D7E" w:rsidRDefault="00DD72C0" w:rsidP="0078025F">
      <w:pPr>
        <w:pStyle w:val="FootnoteText"/>
        <w:ind w:left="567" w:hanging="567"/>
      </w:pPr>
      <w:r>
        <w:t>(</w:t>
      </w:r>
      <w:r>
        <w:rPr>
          <w:rStyle w:val="FootnoteReference"/>
        </w:rPr>
        <w:footnoteRef/>
      </w:r>
      <w:r>
        <w:t>)</w:t>
      </w:r>
      <w:r>
        <w:tab/>
        <w:t>Cum ar fi Comitetul European de Standardizare (CEN) și Organizația Internațională de Standardizare (ISO).</w:t>
      </w:r>
    </w:p>
  </w:footnote>
  <w:footnote w:id="13">
    <w:p w14:paraId="2CB92FE5" w14:textId="1049A5BF" w:rsidR="00601A38" w:rsidRPr="00CC369D" w:rsidRDefault="00601A38" w:rsidP="00802A39">
      <w:pPr>
        <w:pStyle w:val="FootnoteText"/>
        <w:ind w:left="567" w:hanging="567"/>
      </w:pPr>
      <w:r>
        <w:t>(</w:t>
      </w:r>
      <w:r>
        <w:rPr>
          <w:rStyle w:val="FootnoteReference"/>
        </w:rPr>
        <w:footnoteRef/>
      </w:r>
      <w:r>
        <w:t>)</w:t>
      </w:r>
      <w:r>
        <w:tab/>
        <w:t xml:space="preserve">Observatorul tehnologiilor energetice curate: </w:t>
      </w:r>
      <w:r>
        <w:rPr>
          <w:i/>
        </w:rPr>
        <w:t xml:space="preserve">Nuclear Power in the European Union - </w:t>
      </w:r>
      <w:r w:rsidRPr="007F5289">
        <w:rPr>
          <w:i/>
        </w:rPr>
        <w:t>2025</w:t>
      </w:r>
      <w:r>
        <w:rPr>
          <w:i/>
        </w:rPr>
        <w:t xml:space="preserve"> Status Report on Technology Development, Trends, Value Chains and Markets</w:t>
      </w:r>
      <w:r>
        <w:t xml:space="preserve"> (Energia nucleară în Uniunea Europeană – Raport de situație pentru </w:t>
      </w:r>
      <w:r w:rsidRPr="007F5289">
        <w:t>2025</w:t>
      </w:r>
      <w:r>
        <w:t xml:space="preserve"> privind dezvoltarea tehnologică, tendințele, lanțurile valorice și piețele), Oficiul pentru Publicații al Uniunii Europene, Luxemburg, </w:t>
      </w:r>
      <w:r w:rsidRPr="007F5289">
        <w:t>2026</w:t>
      </w:r>
      <w:r>
        <w:t xml:space="preserve">, </w:t>
      </w:r>
      <w:hyperlink r:id="rId5" w:history="1">
        <w:r>
          <w:rPr>
            <w:rStyle w:val="Hyperlink"/>
          </w:rPr>
          <w:t>https://publications.jrc.ec.europa.eu/repository/handle/JRC</w:t>
        </w:r>
        <w:r w:rsidRPr="007F5289">
          <w:rPr>
            <w:rStyle w:val="Hyperlink"/>
          </w:rPr>
          <w:t>144653</w:t>
        </w:r>
      </w:hyperlink>
      <w:r>
        <w:t>, JRC</w:t>
      </w:r>
      <w:r w:rsidRPr="007F5289">
        <w:t>144653</w:t>
      </w:r>
      <w:r>
        <w:t>.</w:t>
      </w:r>
    </w:p>
  </w:footnote>
  <w:footnote w:id="14">
    <w:p w14:paraId="2AD37C09" w14:textId="71FE7C3B" w:rsidR="00140468" w:rsidRPr="00E23DD1" w:rsidRDefault="00140468" w:rsidP="00C80E06">
      <w:pPr>
        <w:pStyle w:val="FootnoteText"/>
        <w:ind w:left="567" w:hanging="564"/>
      </w:pPr>
      <w:r>
        <w:t>(</w:t>
      </w:r>
      <w:r>
        <w:rPr>
          <w:rStyle w:val="FootnoteReference"/>
        </w:rPr>
        <w:footnoteRef/>
      </w:r>
      <w:r>
        <w:t>)</w:t>
      </w:r>
      <w:r>
        <w:tab/>
      </w:r>
      <w:hyperlink r:id="rId6" w:history="1">
        <w:r>
          <w:rPr>
            <w:rStyle w:val="Hyperlink"/>
          </w:rPr>
          <w:t>Raportarea de către întreprinderi de informații privind durabilitatea – Finanțe – Comisia Europeană</w:t>
        </w:r>
      </w:hyperlink>
      <w:r>
        <w:t>.</w:t>
      </w:r>
    </w:p>
  </w:footnote>
  <w:footnote w:id="15">
    <w:p w14:paraId="0A006CC4" w14:textId="726E190C" w:rsidR="002F040F" w:rsidRPr="00C80E06" w:rsidRDefault="002F040F" w:rsidP="00B476A4">
      <w:pPr>
        <w:pStyle w:val="FootnoteText"/>
        <w:ind w:left="567" w:hanging="567"/>
      </w:pPr>
      <w:r>
        <w:t>(</w:t>
      </w:r>
      <w:r>
        <w:rPr>
          <w:rStyle w:val="FootnoteReference"/>
        </w:rPr>
        <w:footnoteRef/>
      </w:r>
      <w:r>
        <w:t>)</w:t>
      </w:r>
      <w:r>
        <w:tab/>
        <w:t xml:space="preserve">Activități de cercetare, dezvoltare și inovare (CDI); în conformitate cu Regulamentul (UE) </w:t>
      </w:r>
      <w:r w:rsidRPr="007F5289">
        <w:t>2021</w:t>
      </w:r>
      <w:r>
        <w:t>/</w:t>
      </w:r>
      <w:r w:rsidRPr="007F5289">
        <w:t>523</w:t>
      </w:r>
      <w:r>
        <w:t>, aceasta exclude „dezafectarea, exploatarea, adaptarea sau construirea de centrale nucleare”, JO L </w:t>
      </w:r>
      <w:r w:rsidRPr="007F5289">
        <w:t>107</w:t>
      </w:r>
      <w:r>
        <w:t xml:space="preserve">, </w:t>
      </w:r>
      <w:r w:rsidRPr="007F5289">
        <w:t>26</w:t>
      </w:r>
      <w:r>
        <w:t>.</w:t>
      </w:r>
      <w:r w:rsidRPr="007F5289">
        <w:t>3</w:t>
      </w:r>
      <w:r>
        <w:t>.</w:t>
      </w:r>
      <w:r w:rsidRPr="007F5289">
        <w:t>2021</w:t>
      </w:r>
      <w:r>
        <w:t xml:space="preserve">, p. </w:t>
      </w:r>
      <w:r w:rsidRPr="007F5289">
        <w:t>30</w:t>
      </w:r>
      <w:r>
        <w:t>.</w:t>
      </w:r>
    </w:p>
  </w:footnote>
  <w:footnote w:id="16">
    <w:p w14:paraId="569C19B2" w14:textId="7F92C00E" w:rsidR="008C1F8A" w:rsidRPr="0085674E" w:rsidRDefault="008C1F8A" w:rsidP="00C80E06">
      <w:pPr>
        <w:pStyle w:val="FootnoteText"/>
        <w:ind w:left="567" w:hanging="567"/>
      </w:pPr>
      <w:r>
        <w:t>(</w:t>
      </w:r>
      <w:r>
        <w:rPr>
          <w:rStyle w:val="FootnoteReference"/>
        </w:rPr>
        <w:footnoteRef/>
      </w:r>
      <w:r>
        <w:t>)</w:t>
      </w:r>
      <w:r>
        <w:tab/>
        <w:t>Prima utilizare industrială se referă la extinderea la o scară mai largă a instalațiilor-pilot, a instalațiilor demonstrative sau a echipamentelor și instalațiilor de pionierat în domeniul respectiv care corespund etapelor ulterioare fazei-pilot, printre care faza de încercare și adaptarea la producția de serie, dar nu producția de masă sau activitățile comerciale.</w:t>
      </w:r>
    </w:p>
  </w:footnote>
  <w:footnote w:id="17">
    <w:p w14:paraId="7E668B14" w14:textId="7569AC28" w:rsidR="009D473D" w:rsidRPr="00CC4BC4" w:rsidRDefault="009D473D" w:rsidP="00B476A4">
      <w:pPr>
        <w:pStyle w:val="FootnoteText"/>
        <w:ind w:left="567" w:hanging="567"/>
      </w:pPr>
      <w:r>
        <w:t>(</w:t>
      </w:r>
      <w:r>
        <w:rPr>
          <w:rStyle w:val="FootnoteReference"/>
        </w:rPr>
        <w:footnoteRef/>
      </w:r>
      <w:r>
        <w:t>)</w:t>
      </w:r>
      <w:r>
        <w:tab/>
        <w:t xml:space="preserve">JO L, </w:t>
      </w:r>
      <w:r w:rsidRPr="007F5289">
        <w:t>2024</w:t>
      </w:r>
      <w:r>
        <w:t>/</w:t>
      </w:r>
      <w:r w:rsidRPr="007F5289">
        <w:t>1735</w:t>
      </w:r>
      <w:r>
        <w:t xml:space="preserve">, </w:t>
      </w:r>
      <w:r w:rsidRPr="007F5289">
        <w:t>28</w:t>
      </w:r>
      <w:r>
        <w:t>.</w:t>
      </w:r>
      <w:r w:rsidRPr="007F5289">
        <w:t>6</w:t>
      </w:r>
      <w:r>
        <w:t>.</w:t>
      </w:r>
      <w:r w:rsidRPr="007F5289">
        <w:t>2024</w:t>
      </w:r>
      <w:r>
        <w:t xml:space="preserve">. </w:t>
      </w:r>
    </w:p>
  </w:footnote>
  <w:footnote w:id="18">
    <w:p w14:paraId="094C9AB6" w14:textId="6BF9FEE4" w:rsidR="001A6E65" w:rsidRPr="00C80E06" w:rsidRDefault="001A6E65" w:rsidP="00C80E06">
      <w:pPr>
        <w:pStyle w:val="FootnoteText"/>
        <w:ind w:left="567" w:hanging="567"/>
      </w:pPr>
      <w:r>
        <w:t>(</w:t>
      </w:r>
      <w:r>
        <w:rPr>
          <w:rStyle w:val="FootnoteReference"/>
        </w:rPr>
        <w:footnoteRef/>
      </w:r>
      <w:r>
        <w:t>)</w:t>
      </w:r>
      <w:r>
        <w:tab/>
      </w:r>
      <w:hyperlink r:id="rId7" w:history="1">
        <w:r>
          <w:rPr>
            <w:rStyle w:val="Hyperlink"/>
          </w:rPr>
          <w:t>C(</w:t>
        </w:r>
        <w:r w:rsidRPr="007F5289">
          <w:rPr>
            <w:rStyle w:val="Hyperlink"/>
          </w:rPr>
          <w:t>2025</w:t>
        </w:r>
        <w:r>
          <w:rPr>
            <w:rStyle w:val="Hyperlink"/>
          </w:rPr>
          <w:t xml:space="preserve">) </w:t>
        </w:r>
        <w:r w:rsidRPr="007F5289">
          <w:rPr>
            <w:rStyle w:val="Hyperlink"/>
          </w:rPr>
          <w:t>4319</w:t>
        </w:r>
        <w:r>
          <w:rPr>
            <w:rStyle w:val="Hyperlink"/>
          </w:rPr>
          <w:t xml:space="preserve"> final, </w:t>
        </w:r>
        <w:r w:rsidRPr="007F5289">
          <w:rPr>
            <w:rStyle w:val="Hyperlink"/>
          </w:rPr>
          <w:t>2</w:t>
        </w:r>
        <w:r>
          <w:rPr>
            <w:rStyle w:val="Hyperlink"/>
          </w:rPr>
          <w:t>.</w:t>
        </w:r>
        <w:r w:rsidRPr="007F5289">
          <w:rPr>
            <w:rStyle w:val="Hyperlink"/>
          </w:rPr>
          <w:t>7</w:t>
        </w:r>
        <w:r>
          <w:rPr>
            <w:rStyle w:val="Hyperlink"/>
          </w:rPr>
          <w:t>.</w:t>
        </w:r>
        <w:r w:rsidRPr="007F5289">
          <w:rPr>
            <w:rStyle w:val="Hyperlink"/>
          </w:rPr>
          <w:t>2025</w:t>
        </w:r>
        <w:r>
          <w:rPr>
            <w:rStyle w:val="Hyperlink"/>
          </w:rPr>
          <w:t>.</w:t>
        </w:r>
      </w:hyperlink>
    </w:p>
  </w:footnote>
  <w:footnote w:id="19">
    <w:p w14:paraId="43FF7585" w14:textId="0ADEB2C4" w:rsidR="00E5382C" w:rsidRPr="00422D7E" w:rsidRDefault="00E5382C" w:rsidP="00B476A4">
      <w:pPr>
        <w:pStyle w:val="FootnoteText"/>
        <w:ind w:left="567" w:hanging="567"/>
      </w:pPr>
      <w:r>
        <w:t>(</w:t>
      </w:r>
      <w:r>
        <w:rPr>
          <w:rStyle w:val="FootnoteReference"/>
        </w:rPr>
        <w:footnoteRef/>
      </w:r>
      <w:r>
        <w:t>)</w:t>
      </w:r>
      <w:r>
        <w:tab/>
      </w:r>
      <w:hyperlink r:id="rId8" w:history="1">
        <w:r>
          <w:rPr>
            <w:rStyle w:val="Hyperlink"/>
          </w:rPr>
          <w:t>C(</w:t>
        </w:r>
        <w:r w:rsidRPr="007F5289">
          <w:rPr>
            <w:rStyle w:val="Hyperlink"/>
          </w:rPr>
          <w:t>2025</w:t>
        </w:r>
        <w:r>
          <w:rPr>
            <w:rStyle w:val="Hyperlink"/>
          </w:rPr>
          <w:t xml:space="preserve">) </w:t>
        </w:r>
        <w:r w:rsidRPr="007F5289">
          <w:rPr>
            <w:rStyle w:val="Hyperlink"/>
          </w:rPr>
          <w:t>7600</w:t>
        </w:r>
      </w:hyperlink>
      <w:r>
        <w:t>, Comunicarea Comisiei – Cadrul pentru măsuri de ajutor de stat de sprijinire a Pactului pentru o industrie curată (Cadrul privind ajutoarele de stat în contextul Pactului pentru o industrie curată).</w:t>
      </w:r>
    </w:p>
  </w:footnote>
  <w:footnote w:id="20">
    <w:p w14:paraId="08709DCC" w14:textId="211CF8E3" w:rsidR="00C3402E" w:rsidRPr="00CB73BA" w:rsidRDefault="00C3402E" w:rsidP="00CB73BA">
      <w:pPr>
        <w:pStyle w:val="FootnoteText"/>
        <w:ind w:left="567" w:hanging="567"/>
        <w:jc w:val="left"/>
      </w:pPr>
      <w:r>
        <w:t>(</w:t>
      </w:r>
      <w:r>
        <w:rPr>
          <w:rStyle w:val="FootnoteReference"/>
        </w:rPr>
        <w:footnoteRef/>
      </w:r>
      <w:r>
        <w:t>)</w:t>
      </w:r>
      <w:r>
        <w:tab/>
      </w:r>
      <w:r>
        <w:rPr>
          <w:i/>
        </w:rPr>
        <w:t>Nuclear Economics in Finland</w:t>
      </w:r>
      <w:r>
        <w:t xml:space="preserve"> (Economia nucleară în Finlanda), </w:t>
      </w:r>
      <w:hyperlink r:id="rId9" w:history="1">
        <w:r>
          <w:rPr>
            <w:rStyle w:val="Hyperlink"/>
          </w:rPr>
          <w:t>https://nucleus.iaea.org/sites/INPRO/df</w:t>
        </w:r>
        <w:r w:rsidRPr="007F5289">
          <w:rPr>
            <w:rStyle w:val="Hyperlink"/>
          </w:rPr>
          <w:t>8</w:t>
        </w:r>
        <w:r>
          <w:rPr>
            <w:rStyle w:val="Hyperlink"/>
          </w:rPr>
          <w:t>/Section%</w:t>
        </w:r>
        <w:r w:rsidRPr="007F5289">
          <w:rPr>
            <w:rStyle w:val="Hyperlink"/>
          </w:rPr>
          <w:t>202</w:t>
        </w:r>
        <w:r>
          <w:rPr>
            <w:rStyle w:val="Hyperlink"/>
          </w:rPr>
          <w:t>/Plenary_Economics_</w:t>
        </w:r>
        <w:r w:rsidRPr="007F5289">
          <w:rPr>
            <w:rStyle w:val="Hyperlink"/>
          </w:rPr>
          <w:t>07</w:t>
        </w:r>
        <w:r>
          <w:rPr>
            <w:rStyle w:val="Hyperlink"/>
          </w:rPr>
          <w:t>_Stahl.pdf</w:t>
        </w:r>
      </w:hyperlink>
      <w:r>
        <w:t>.</w:t>
      </w:r>
    </w:p>
  </w:footnote>
  <w:footnote w:id="21">
    <w:p w14:paraId="63626357" w14:textId="024CDD9F" w:rsidR="00C3402E" w:rsidRPr="00490F85" w:rsidRDefault="00C3402E" w:rsidP="00CB73BA">
      <w:pPr>
        <w:pStyle w:val="FootnoteText"/>
        <w:ind w:left="567" w:hanging="567"/>
      </w:pPr>
      <w:r>
        <w:t>(</w:t>
      </w:r>
      <w:r>
        <w:rPr>
          <w:rStyle w:val="FootnoteReference"/>
        </w:rPr>
        <w:footnoteRef/>
      </w:r>
      <w:r>
        <w:t>)</w:t>
      </w:r>
      <w:r>
        <w:tab/>
      </w:r>
      <w:hyperlink r:id="rId10" w:history="1">
        <w:r>
          <w:rPr>
            <w:rStyle w:val="Hyperlink"/>
          </w:rPr>
          <w:t>https://www.industrikraft.se/en</w:t>
        </w:r>
      </w:hyperlink>
      <w:r>
        <w:t xml:space="preserve">. </w:t>
      </w:r>
    </w:p>
  </w:footnote>
  <w:footnote w:id="22">
    <w:p w14:paraId="714490D5" w14:textId="52E7B158" w:rsidR="00A8132A" w:rsidRPr="00422D7E" w:rsidRDefault="00206A3A" w:rsidP="00CB73BA">
      <w:pPr>
        <w:pStyle w:val="FootnoteText"/>
        <w:ind w:left="567" w:hanging="567"/>
      </w:pPr>
      <w:r>
        <w:t>(</w:t>
      </w:r>
      <w:r>
        <w:rPr>
          <w:rStyle w:val="FootnoteReference"/>
        </w:rPr>
        <w:footnoteRef/>
      </w:r>
      <w:r>
        <w:t>)</w:t>
      </w:r>
      <w:r>
        <w:tab/>
      </w:r>
      <w:hyperlink r:id="rId11" w:history="1">
        <w:r>
          <w:rPr>
            <w:rStyle w:val="Hyperlink"/>
          </w:rPr>
          <w:t>Strategia UE privind start-upurile și întreprinderile în fază de extindere – Cercetare și inovare</w:t>
        </w:r>
      </w:hyperlink>
      <w:r>
        <w:t xml:space="preserve">, mai </w:t>
      </w:r>
      <w:r w:rsidRPr="007F5289">
        <w:t>2025</w:t>
      </w:r>
      <w:r>
        <w:t>.</w:t>
      </w:r>
    </w:p>
  </w:footnote>
  <w:footnote w:id="23">
    <w:p w14:paraId="19F211DC" w14:textId="6F84F27B" w:rsidR="008128DE" w:rsidRPr="00C80E06" w:rsidRDefault="008128DE" w:rsidP="00CB73BA">
      <w:pPr>
        <w:pStyle w:val="FootnoteText"/>
        <w:ind w:left="567" w:hanging="567"/>
      </w:pPr>
      <w:r>
        <w:t>(</w:t>
      </w:r>
      <w:r>
        <w:rPr>
          <w:rStyle w:val="FootnoteReference"/>
        </w:rPr>
        <w:footnoteRef/>
      </w:r>
      <w:r>
        <w:t>)</w:t>
      </w:r>
      <w:r>
        <w:tab/>
        <w:t>Cu respectarea normelor privind ajutoarele de stat.</w:t>
      </w:r>
    </w:p>
  </w:footnote>
  <w:footnote w:id="24">
    <w:p w14:paraId="5E0C2D82" w14:textId="4CBE1414" w:rsidR="00CC671C" w:rsidRPr="00FF51B8" w:rsidRDefault="00CC671C" w:rsidP="00CB73BA">
      <w:pPr>
        <w:pStyle w:val="FootnoteText"/>
        <w:ind w:left="567" w:hanging="567"/>
      </w:pPr>
      <w:r>
        <w:t>(</w:t>
      </w:r>
      <w:r>
        <w:rPr>
          <w:rStyle w:val="FootnoteReference"/>
        </w:rPr>
        <w:footnoteRef/>
      </w:r>
      <w:r>
        <w:t>)</w:t>
      </w:r>
      <w:r>
        <w:tab/>
        <w:t>COM(</w:t>
      </w:r>
      <w:r w:rsidRPr="007F5289">
        <w:t>2025</w:t>
      </w:r>
      <w:r>
        <w:t>) </w:t>
      </w:r>
      <w:r w:rsidRPr="007F5289">
        <w:t>90</w:t>
      </w:r>
      <w:r>
        <w:t xml:space="preserve"> final din </w:t>
      </w:r>
      <w:r w:rsidRPr="007F5289">
        <w:t>5</w:t>
      </w:r>
      <w:r>
        <w:t>.</w:t>
      </w:r>
      <w:r w:rsidRPr="007F5289">
        <w:t>3</w:t>
      </w:r>
      <w:r>
        <w:t>.</w:t>
      </w:r>
      <w:r w:rsidRPr="007F5289">
        <w:t>2025</w:t>
      </w:r>
      <w:r>
        <w:t>.</w:t>
      </w:r>
    </w:p>
  </w:footnote>
  <w:footnote w:id="25">
    <w:p w14:paraId="351F1810" w14:textId="70AE9002" w:rsidR="00C23A7C" w:rsidRPr="00C80E06" w:rsidRDefault="00C23A7C" w:rsidP="00271C66">
      <w:pPr>
        <w:pStyle w:val="FootnoteText"/>
        <w:ind w:left="567" w:hanging="567"/>
      </w:pPr>
      <w:r>
        <w:t>(</w:t>
      </w:r>
      <w:r>
        <w:rPr>
          <w:rStyle w:val="FootnoteReference"/>
        </w:rPr>
        <w:footnoteRef/>
      </w:r>
      <w:r>
        <w:t xml:space="preserve">) </w:t>
      </w:r>
      <w:r>
        <w:tab/>
        <w:t>Programul pentru cercetare și formare al Euratom (</w:t>
      </w:r>
      <w:r w:rsidRPr="007F5289">
        <w:t>2023</w:t>
      </w:r>
      <w:r>
        <w:t>-</w:t>
      </w:r>
      <w:r w:rsidRPr="007F5289">
        <w:t>2025</w:t>
      </w:r>
      <w:r>
        <w:t xml:space="preserve">); </w:t>
      </w:r>
      <w:hyperlink r:id="rId12" w:history="1">
        <w:r>
          <w:rPr>
            <w:rStyle w:val="Hyperlink"/>
          </w:rPr>
          <w:t>Inițiativa europeană privind competențele nucleare</w:t>
        </w:r>
      </w:hyperlink>
      <w:r>
        <w:t xml:space="preserve">; </w:t>
      </w:r>
      <w:hyperlink r:id="rId13" w:history="1">
        <w:r>
          <w:rPr>
            <w:rStyle w:val="Hyperlink"/>
          </w:rPr>
          <w:t>Competențe în domeniul nuclear</w:t>
        </w:r>
      </w:hyperlink>
      <w:r>
        <w:t>.</w:t>
      </w:r>
    </w:p>
  </w:footnote>
  <w:footnote w:id="26">
    <w:p w14:paraId="10198BAB" w14:textId="76733772" w:rsidR="009B794D" w:rsidRPr="00C80E06" w:rsidRDefault="009B794D" w:rsidP="00C80E06">
      <w:pPr>
        <w:pStyle w:val="FootnoteText"/>
        <w:ind w:left="567" w:hanging="567"/>
      </w:pPr>
      <w:r>
        <w:t>(</w:t>
      </w:r>
      <w:r>
        <w:rPr>
          <w:rStyle w:val="FootnoteReference"/>
        </w:rPr>
        <w:footnoteRef/>
      </w:r>
      <w:r>
        <w:t>)</w:t>
      </w:r>
      <w:r>
        <w:tab/>
        <w:t>Înființarea și implementarea acestei academii ar trebui să se bazeze, după caz, pe rezultatele revizuirii academiilor de competențe existente, anunțată în Comunicarea privind uniunea competențelor.</w:t>
      </w:r>
    </w:p>
  </w:footnote>
  <w:footnote w:id="27">
    <w:p w14:paraId="5C483821" w14:textId="32A4169C" w:rsidR="00B41AAE" w:rsidRPr="00422D7E" w:rsidRDefault="00B41AAE" w:rsidP="00CB73BA">
      <w:pPr>
        <w:pStyle w:val="FootnoteText"/>
        <w:ind w:left="567" w:hanging="567"/>
      </w:pPr>
      <w:r>
        <w:t>(</w:t>
      </w:r>
      <w:r>
        <w:rPr>
          <w:rStyle w:val="FootnoteReference"/>
        </w:rPr>
        <w:footnoteRef/>
      </w:r>
      <w:r>
        <w:t>)</w:t>
      </w:r>
      <w:r>
        <w:tab/>
      </w:r>
      <w:r>
        <w:rPr>
          <w:color w:val="000000" w:themeColor="text1"/>
        </w:rPr>
        <w:t xml:space="preserve">Comisia oferă un cadru clar pentru aplicarea garanțiilor nucleare ale Euratom în instalațiile nucleare actuale și viitoare, inclusiv în SMR-uri: </w:t>
      </w:r>
      <w:r>
        <w:t xml:space="preserve">Regulamentul (Euratom) </w:t>
      </w:r>
      <w:r w:rsidRPr="007F5289">
        <w:t>2025</w:t>
      </w:r>
      <w:r>
        <w:t>/</w:t>
      </w:r>
      <w:r w:rsidRPr="007F5289">
        <w:t>974</w:t>
      </w:r>
      <w:r>
        <w:t xml:space="preserve"> al Comisiei din </w:t>
      </w:r>
      <w:r w:rsidRPr="007F5289">
        <w:t>26</w:t>
      </w:r>
      <w:r>
        <w:t xml:space="preserve"> mai </w:t>
      </w:r>
      <w:r w:rsidRPr="007F5289">
        <w:t>2025</w:t>
      </w:r>
      <w:r>
        <w:t xml:space="preserve"> privind aplicarea garanțiilor nucleare Euratom, JO L, </w:t>
      </w:r>
      <w:r w:rsidRPr="007F5289">
        <w:t>2025</w:t>
      </w:r>
      <w:r>
        <w:t>/</w:t>
      </w:r>
      <w:r w:rsidRPr="007F5289">
        <w:t>974</w:t>
      </w:r>
      <w:r>
        <w:t xml:space="preserve">, </w:t>
      </w:r>
      <w:r w:rsidRPr="007F5289">
        <w:t>16</w:t>
      </w:r>
      <w:r>
        <w:t>.</w:t>
      </w:r>
      <w:r w:rsidRPr="007F5289">
        <w:t>6</w:t>
      </w:r>
      <w:r>
        <w:t>.</w:t>
      </w:r>
      <w:r w:rsidRPr="007F5289">
        <w:t>2025</w:t>
      </w:r>
      <w:r>
        <w:t>.</w:t>
      </w:r>
    </w:p>
  </w:footnote>
  <w:footnote w:id="28">
    <w:p w14:paraId="5B05D83D" w14:textId="411BF43B" w:rsidR="007A2C8F" w:rsidRPr="00584396" w:rsidRDefault="007A2C8F" w:rsidP="00CB73BA">
      <w:pPr>
        <w:pStyle w:val="FootnoteText"/>
        <w:ind w:left="567" w:hanging="567"/>
      </w:pPr>
      <w:r>
        <w:t>(</w:t>
      </w:r>
      <w:r>
        <w:rPr>
          <w:rStyle w:val="FootnoteReference"/>
        </w:rPr>
        <w:footnoteRef/>
      </w:r>
      <w:r>
        <w:t>)</w:t>
      </w:r>
      <w:r>
        <w:tab/>
        <w:t xml:space="preserve">Cerere de contribuții, </w:t>
      </w:r>
      <w:hyperlink r:id="rId14" w:history="1">
        <w:r>
          <w:rPr>
            <w:rStyle w:val="Hyperlink"/>
          </w:rPr>
          <w:t>Reactoarele modulare mici – dezvoltarea și implementarea lor viitoare în Europa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23686" w14:textId="77777777" w:rsidR="008E0308" w:rsidRPr="008E0308" w:rsidRDefault="008E0308" w:rsidP="008E030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9FB79" w14:textId="77777777" w:rsidR="008E0308" w:rsidRPr="008E0308" w:rsidRDefault="008E0308" w:rsidP="008E03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5B83F" w14:textId="77777777" w:rsidR="008E0308" w:rsidRPr="008E0308" w:rsidRDefault="008E0308" w:rsidP="008E03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736E2" w14:textId="77777777" w:rsidR="000234ED" w:rsidRPr="00422D7E" w:rsidRDefault="000234ED" w:rsidP="008013C2">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6FE8" w14:textId="77777777" w:rsidR="000234ED" w:rsidRPr="00422D7E" w:rsidRDefault="000234ED" w:rsidP="008013C2">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15A07" w14:textId="77777777" w:rsidR="000234ED" w:rsidRPr="00422D7E" w:rsidRDefault="000234ED" w:rsidP="008013C2">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256A"/>
    <w:multiLevelType w:val="hybridMultilevel"/>
    <w:tmpl w:val="F8F0D1B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2900F7"/>
    <w:multiLevelType w:val="multilevel"/>
    <w:tmpl w:val="C98C82E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A53EB85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BCC0B7B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F58A3A1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8390ACD2"/>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4246FFE8"/>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58A13E0"/>
    <w:multiLevelType w:val="hybridMultilevel"/>
    <w:tmpl w:val="9BEC16F2"/>
    <w:lvl w:ilvl="0" w:tplc="18090011">
      <w:start w:val="1"/>
      <w:numFmt w:val="decimal"/>
      <w:lvlText w:val="%1)"/>
      <w:lvlJc w:val="left"/>
      <w:pPr>
        <w:ind w:left="1202" w:hanging="360"/>
      </w:pPr>
    </w:lvl>
    <w:lvl w:ilvl="1" w:tplc="040C0019" w:tentative="1">
      <w:start w:val="1"/>
      <w:numFmt w:val="lowerLetter"/>
      <w:lvlText w:val="%2."/>
      <w:lvlJc w:val="left"/>
      <w:pPr>
        <w:ind w:left="1922" w:hanging="360"/>
      </w:pPr>
    </w:lvl>
    <w:lvl w:ilvl="2" w:tplc="040C001B" w:tentative="1">
      <w:start w:val="1"/>
      <w:numFmt w:val="lowerRoman"/>
      <w:lvlText w:val="%3."/>
      <w:lvlJc w:val="right"/>
      <w:pPr>
        <w:ind w:left="2642" w:hanging="180"/>
      </w:pPr>
    </w:lvl>
    <w:lvl w:ilvl="3" w:tplc="040C000F" w:tentative="1">
      <w:start w:val="1"/>
      <w:numFmt w:val="decimal"/>
      <w:lvlText w:val="%4."/>
      <w:lvlJc w:val="left"/>
      <w:pPr>
        <w:ind w:left="3362" w:hanging="360"/>
      </w:pPr>
    </w:lvl>
    <w:lvl w:ilvl="4" w:tplc="040C0019" w:tentative="1">
      <w:start w:val="1"/>
      <w:numFmt w:val="lowerLetter"/>
      <w:lvlText w:val="%5."/>
      <w:lvlJc w:val="left"/>
      <w:pPr>
        <w:ind w:left="4082" w:hanging="360"/>
      </w:pPr>
    </w:lvl>
    <w:lvl w:ilvl="5" w:tplc="040C001B" w:tentative="1">
      <w:start w:val="1"/>
      <w:numFmt w:val="lowerRoman"/>
      <w:lvlText w:val="%6."/>
      <w:lvlJc w:val="right"/>
      <w:pPr>
        <w:ind w:left="4802" w:hanging="180"/>
      </w:pPr>
    </w:lvl>
    <w:lvl w:ilvl="6" w:tplc="040C000F" w:tentative="1">
      <w:start w:val="1"/>
      <w:numFmt w:val="decimal"/>
      <w:lvlText w:val="%7."/>
      <w:lvlJc w:val="left"/>
      <w:pPr>
        <w:ind w:left="5522" w:hanging="360"/>
      </w:pPr>
    </w:lvl>
    <w:lvl w:ilvl="7" w:tplc="040C0019" w:tentative="1">
      <w:start w:val="1"/>
      <w:numFmt w:val="lowerLetter"/>
      <w:lvlText w:val="%8."/>
      <w:lvlJc w:val="left"/>
      <w:pPr>
        <w:ind w:left="6242" w:hanging="360"/>
      </w:pPr>
    </w:lvl>
    <w:lvl w:ilvl="8" w:tplc="040C001B" w:tentative="1">
      <w:start w:val="1"/>
      <w:numFmt w:val="lowerRoman"/>
      <w:lvlText w:val="%9."/>
      <w:lvlJc w:val="right"/>
      <w:pPr>
        <w:ind w:left="6962" w:hanging="180"/>
      </w:pPr>
    </w:lvl>
  </w:abstractNum>
  <w:abstractNum w:abstractNumId="8" w15:restartNumberingAfterBreak="0">
    <w:nsid w:val="172F0AC5"/>
    <w:multiLevelType w:val="multilevel"/>
    <w:tmpl w:val="1FDCA2E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521604"/>
    <w:multiLevelType w:val="hybridMultilevel"/>
    <w:tmpl w:val="A61C0FF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B635B5D"/>
    <w:multiLevelType w:val="hybridMultilevel"/>
    <w:tmpl w:val="803CFC9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C7B624F"/>
    <w:multiLevelType w:val="multilevel"/>
    <w:tmpl w:val="E99C8A8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7666A6"/>
    <w:multiLevelType w:val="hybridMultilevel"/>
    <w:tmpl w:val="78CA50C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A2A39FD"/>
    <w:multiLevelType w:val="hybridMultilevel"/>
    <w:tmpl w:val="45D68E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C8DFDF8"/>
    <w:multiLevelType w:val="multilevel"/>
    <w:tmpl w:val="8DAEE422"/>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C342700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8A2E864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324F1E"/>
    <w:multiLevelType w:val="multilevel"/>
    <w:tmpl w:val="86468B8C"/>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FFCCD36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1E365D5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09B298F"/>
    <w:multiLevelType w:val="hybridMultilevel"/>
    <w:tmpl w:val="2D2090FE"/>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9E662A"/>
    <w:multiLevelType w:val="multilevel"/>
    <w:tmpl w:val="8CE0DE5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5047303"/>
    <w:multiLevelType w:val="hybridMultilevel"/>
    <w:tmpl w:val="1324C1B8"/>
    <w:lvl w:ilvl="0" w:tplc="45CAADFE">
      <w:start w:val="1"/>
      <w:numFmt w:val="decimal"/>
      <w:lvlText w:val="%1."/>
      <w:lvlJc w:val="left"/>
      <w:pPr>
        <w:ind w:left="1320" w:hanging="360"/>
      </w:pPr>
    </w:lvl>
    <w:lvl w:ilvl="1" w:tplc="906890F6">
      <w:start w:val="1"/>
      <w:numFmt w:val="decimal"/>
      <w:lvlText w:val="%2."/>
      <w:lvlJc w:val="left"/>
      <w:pPr>
        <w:ind w:left="1320" w:hanging="360"/>
      </w:pPr>
    </w:lvl>
    <w:lvl w:ilvl="2" w:tplc="BBFC2A4E">
      <w:start w:val="1"/>
      <w:numFmt w:val="decimal"/>
      <w:lvlText w:val="%3."/>
      <w:lvlJc w:val="left"/>
      <w:pPr>
        <w:ind w:left="1320" w:hanging="360"/>
      </w:pPr>
    </w:lvl>
    <w:lvl w:ilvl="3" w:tplc="3A622CFC">
      <w:start w:val="1"/>
      <w:numFmt w:val="decimal"/>
      <w:lvlText w:val="%4."/>
      <w:lvlJc w:val="left"/>
      <w:pPr>
        <w:ind w:left="1320" w:hanging="360"/>
      </w:pPr>
    </w:lvl>
    <w:lvl w:ilvl="4" w:tplc="034E2524">
      <w:start w:val="1"/>
      <w:numFmt w:val="decimal"/>
      <w:lvlText w:val="%5."/>
      <w:lvlJc w:val="left"/>
      <w:pPr>
        <w:ind w:left="1320" w:hanging="360"/>
      </w:pPr>
    </w:lvl>
    <w:lvl w:ilvl="5" w:tplc="49EC62EA">
      <w:start w:val="1"/>
      <w:numFmt w:val="decimal"/>
      <w:lvlText w:val="%6."/>
      <w:lvlJc w:val="left"/>
      <w:pPr>
        <w:ind w:left="1320" w:hanging="360"/>
      </w:pPr>
    </w:lvl>
    <w:lvl w:ilvl="6" w:tplc="46C8D656">
      <w:start w:val="1"/>
      <w:numFmt w:val="decimal"/>
      <w:lvlText w:val="%7."/>
      <w:lvlJc w:val="left"/>
      <w:pPr>
        <w:ind w:left="1320" w:hanging="360"/>
      </w:pPr>
    </w:lvl>
    <w:lvl w:ilvl="7" w:tplc="1C8A5F80">
      <w:start w:val="1"/>
      <w:numFmt w:val="decimal"/>
      <w:lvlText w:val="%8."/>
      <w:lvlJc w:val="left"/>
      <w:pPr>
        <w:ind w:left="1320" w:hanging="360"/>
      </w:pPr>
    </w:lvl>
    <w:lvl w:ilvl="8" w:tplc="17B030EA">
      <w:start w:val="1"/>
      <w:numFmt w:val="decimal"/>
      <w:lvlText w:val="%9."/>
      <w:lvlJc w:val="left"/>
      <w:pPr>
        <w:ind w:left="1320" w:hanging="360"/>
      </w:pPr>
    </w:lvl>
  </w:abstractNum>
  <w:abstractNum w:abstractNumId="23" w15:restartNumberingAfterBreak="0">
    <w:nsid w:val="453373ED"/>
    <w:multiLevelType w:val="hybridMultilevel"/>
    <w:tmpl w:val="1708F5D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1A63DF"/>
    <w:multiLevelType w:val="multilevel"/>
    <w:tmpl w:val="3EA2249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E1A982C"/>
    <w:multiLevelType w:val="multilevel"/>
    <w:tmpl w:val="6E3C7F0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D0D822"/>
    <w:multiLevelType w:val="hybridMultilevel"/>
    <w:tmpl w:val="84DE9BCE"/>
    <w:lvl w:ilvl="0" w:tplc="B45C9C88">
      <w:start w:val="1"/>
      <w:numFmt w:val="decimal"/>
      <w:lvlText w:val="%1."/>
      <w:lvlJc w:val="left"/>
      <w:pPr>
        <w:ind w:left="360" w:hanging="360"/>
      </w:pPr>
      <w:rPr>
        <w:rFonts w:hint="default"/>
        <w:b/>
        <w:bCs/>
      </w:rPr>
    </w:lvl>
    <w:lvl w:ilvl="1" w:tplc="47E69DB4">
      <w:start w:val="1"/>
      <w:numFmt w:val="lowerLetter"/>
      <w:lvlText w:val="%2."/>
      <w:lvlJc w:val="left"/>
      <w:pPr>
        <w:ind w:left="1080" w:hanging="360"/>
      </w:pPr>
    </w:lvl>
    <w:lvl w:ilvl="2" w:tplc="7AA458A8">
      <w:start w:val="1"/>
      <w:numFmt w:val="lowerRoman"/>
      <w:lvlText w:val="%3."/>
      <w:lvlJc w:val="right"/>
      <w:pPr>
        <w:ind w:left="1800" w:hanging="180"/>
      </w:pPr>
    </w:lvl>
    <w:lvl w:ilvl="3" w:tplc="93CECDFA">
      <w:start w:val="1"/>
      <w:numFmt w:val="decimal"/>
      <w:lvlText w:val="%4."/>
      <w:lvlJc w:val="left"/>
      <w:pPr>
        <w:ind w:left="2520" w:hanging="360"/>
      </w:pPr>
    </w:lvl>
    <w:lvl w:ilvl="4" w:tplc="A44A2B44">
      <w:start w:val="1"/>
      <w:numFmt w:val="lowerLetter"/>
      <w:lvlText w:val="%5."/>
      <w:lvlJc w:val="left"/>
      <w:pPr>
        <w:ind w:left="3240" w:hanging="360"/>
      </w:pPr>
    </w:lvl>
    <w:lvl w:ilvl="5" w:tplc="5008B6BA">
      <w:start w:val="1"/>
      <w:numFmt w:val="lowerRoman"/>
      <w:lvlText w:val="%6."/>
      <w:lvlJc w:val="right"/>
      <w:pPr>
        <w:ind w:left="3960" w:hanging="180"/>
      </w:pPr>
    </w:lvl>
    <w:lvl w:ilvl="6" w:tplc="96DACA36">
      <w:start w:val="1"/>
      <w:numFmt w:val="decimal"/>
      <w:lvlText w:val="%7."/>
      <w:lvlJc w:val="left"/>
      <w:pPr>
        <w:ind w:left="4680" w:hanging="360"/>
      </w:pPr>
    </w:lvl>
    <w:lvl w:ilvl="7" w:tplc="0B90EA14">
      <w:start w:val="1"/>
      <w:numFmt w:val="lowerLetter"/>
      <w:lvlText w:val="%8."/>
      <w:lvlJc w:val="left"/>
      <w:pPr>
        <w:ind w:left="5400" w:hanging="360"/>
      </w:pPr>
    </w:lvl>
    <w:lvl w:ilvl="8" w:tplc="9D2C1552">
      <w:start w:val="1"/>
      <w:numFmt w:val="lowerRoman"/>
      <w:lvlText w:val="%9."/>
      <w:lvlJc w:val="right"/>
      <w:pPr>
        <w:ind w:left="6120" w:hanging="180"/>
      </w:pPr>
    </w:lvl>
  </w:abstractNum>
  <w:abstractNum w:abstractNumId="27" w15:restartNumberingAfterBreak="0">
    <w:nsid w:val="50330664"/>
    <w:multiLevelType w:val="hybridMultilevel"/>
    <w:tmpl w:val="7E4C8C18"/>
    <w:lvl w:ilvl="0" w:tplc="59B28346">
      <w:start w:val="1"/>
      <w:numFmt w:val="lowerRoman"/>
      <w:lvlText w:val="(%1)"/>
      <w:lvlJc w:val="left"/>
      <w:pPr>
        <w:ind w:left="1202" w:hanging="720"/>
      </w:pPr>
      <w:rPr>
        <w:rFonts w:hint="default"/>
      </w:rPr>
    </w:lvl>
    <w:lvl w:ilvl="1" w:tplc="18090019" w:tentative="1">
      <w:start w:val="1"/>
      <w:numFmt w:val="lowerLetter"/>
      <w:lvlText w:val="%2."/>
      <w:lvlJc w:val="left"/>
      <w:pPr>
        <w:ind w:left="1562" w:hanging="360"/>
      </w:pPr>
    </w:lvl>
    <w:lvl w:ilvl="2" w:tplc="1809001B" w:tentative="1">
      <w:start w:val="1"/>
      <w:numFmt w:val="lowerRoman"/>
      <w:lvlText w:val="%3."/>
      <w:lvlJc w:val="right"/>
      <w:pPr>
        <w:ind w:left="2282" w:hanging="180"/>
      </w:pPr>
    </w:lvl>
    <w:lvl w:ilvl="3" w:tplc="1809000F" w:tentative="1">
      <w:start w:val="1"/>
      <w:numFmt w:val="decimal"/>
      <w:lvlText w:val="%4."/>
      <w:lvlJc w:val="left"/>
      <w:pPr>
        <w:ind w:left="3002" w:hanging="360"/>
      </w:pPr>
    </w:lvl>
    <w:lvl w:ilvl="4" w:tplc="18090019" w:tentative="1">
      <w:start w:val="1"/>
      <w:numFmt w:val="lowerLetter"/>
      <w:lvlText w:val="%5."/>
      <w:lvlJc w:val="left"/>
      <w:pPr>
        <w:ind w:left="3722" w:hanging="360"/>
      </w:pPr>
    </w:lvl>
    <w:lvl w:ilvl="5" w:tplc="1809001B" w:tentative="1">
      <w:start w:val="1"/>
      <w:numFmt w:val="lowerRoman"/>
      <w:lvlText w:val="%6."/>
      <w:lvlJc w:val="right"/>
      <w:pPr>
        <w:ind w:left="4442" w:hanging="180"/>
      </w:pPr>
    </w:lvl>
    <w:lvl w:ilvl="6" w:tplc="1809000F" w:tentative="1">
      <w:start w:val="1"/>
      <w:numFmt w:val="decimal"/>
      <w:lvlText w:val="%7."/>
      <w:lvlJc w:val="left"/>
      <w:pPr>
        <w:ind w:left="5162" w:hanging="360"/>
      </w:pPr>
    </w:lvl>
    <w:lvl w:ilvl="7" w:tplc="18090019" w:tentative="1">
      <w:start w:val="1"/>
      <w:numFmt w:val="lowerLetter"/>
      <w:lvlText w:val="%8."/>
      <w:lvlJc w:val="left"/>
      <w:pPr>
        <w:ind w:left="5882" w:hanging="360"/>
      </w:pPr>
    </w:lvl>
    <w:lvl w:ilvl="8" w:tplc="1809001B" w:tentative="1">
      <w:start w:val="1"/>
      <w:numFmt w:val="lowerRoman"/>
      <w:lvlText w:val="%9."/>
      <w:lvlJc w:val="right"/>
      <w:pPr>
        <w:ind w:left="6602" w:hanging="180"/>
      </w:pPr>
    </w:lvl>
  </w:abstractNum>
  <w:abstractNum w:abstractNumId="28" w15:restartNumberingAfterBreak="0">
    <w:nsid w:val="5072619B"/>
    <w:multiLevelType w:val="multilevel"/>
    <w:tmpl w:val="F58244A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CE32E26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B73BD4"/>
    <w:multiLevelType w:val="hybridMultilevel"/>
    <w:tmpl w:val="1898FFF6"/>
    <w:lvl w:ilvl="0" w:tplc="40BE4052">
      <w:start w:val="1"/>
      <w:numFmt w:val="decimal"/>
      <w:lvlText w:val="%1)"/>
      <w:lvlJc w:val="left"/>
      <w:pPr>
        <w:ind w:left="842" w:hanging="360"/>
      </w:pPr>
      <w:rPr>
        <w:rFonts w:hint="default"/>
      </w:rPr>
    </w:lvl>
    <w:lvl w:ilvl="1" w:tplc="040C0019" w:tentative="1">
      <w:start w:val="1"/>
      <w:numFmt w:val="lowerLetter"/>
      <w:lvlText w:val="%2."/>
      <w:lvlJc w:val="left"/>
      <w:pPr>
        <w:ind w:left="1562" w:hanging="360"/>
      </w:pPr>
    </w:lvl>
    <w:lvl w:ilvl="2" w:tplc="040C001B" w:tentative="1">
      <w:start w:val="1"/>
      <w:numFmt w:val="lowerRoman"/>
      <w:lvlText w:val="%3."/>
      <w:lvlJc w:val="right"/>
      <w:pPr>
        <w:ind w:left="2282" w:hanging="180"/>
      </w:pPr>
    </w:lvl>
    <w:lvl w:ilvl="3" w:tplc="040C000F" w:tentative="1">
      <w:start w:val="1"/>
      <w:numFmt w:val="decimal"/>
      <w:lvlText w:val="%4."/>
      <w:lvlJc w:val="left"/>
      <w:pPr>
        <w:ind w:left="3002" w:hanging="360"/>
      </w:pPr>
    </w:lvl>
    <w:lvl w:ilvl="4" w:tplc="040C0019" w:tentative="1">
      <w:start w:val="1"/>
      <w:numFmt w:val="lowerLetter"/>
      <w:lvlText w:val="%5."/>
      <w:lvlJc w:val="left"/>
      <w:pPr>
        <w:ind w:left="3722" w:hanging="360"/>
      </w:pPr>
    </w:lvl>
    <w:lvl w:ilvl="5" w:tplc="040C001B" w:tentative="1">
      <w:start w:val="1"/>
      <w:numFmt w:val="lowerRoman"/>
      <w:lvlText w:val="%6."/>
      <w:lvlJc w:val="right"/>
      <w:pPr>
        <w:ind w:left="4442" w:hanging="180"/>
      </w:pPr>
    </w:lvl>
    <w:lvl w:ilvl="6" w:tplc="040C000F" w:tentative="1">
      <w:start w:val="1"/>
      <w:numFmt w:val="decimal"/>
      <w:lvlText w:val="%7."/>
      <w:lvlJc w:val="left"/>
      <w:pPr>
        <w:ind w:left="5162" w:hanging="360"/>
      </w:pPr>
    </w:lvl>
    <w:lvl w:ilvl="7" w:tplc="040C0019" w:tentative="1">
      <w:start w:val="1"/>
      <w:numFmt w:val="lowerLetter"/>
      <w:lvlText w:val="%8."/>
      <w:lvlJc w:val="left"/>
      <w:pPr>
        <w:ind w:left="5882" w:hanging="360"/>
      </w:pPr>
    </w:lvl>
    <w:lvl w:ilvl="8" w:tplc="040C001B" w:tentative="1">
      <w:start w:val="1"/>
      <w:numFmt w:val="lowerRoman"/>
      <w:lvlText w:val="%9."/>
      <w:lvlJc w:val="right"/>
      <w:pPr>
        <w:ind w:left="6602" w:hanging="180"/>
      </w:pPr>
    </w:lvl>
  </w:abstractNum>
  <w:abstractNum w:abstractNumId="31" w15:restartNumberingAfterBreak="0">
    <w:nsid w:val="547669CD"/>
    <w:multiLevelType w:val="hybridMultilevel"/>
    <w:tmpl w:val="347C0A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54D400A1"/>
    <w:multiLevelType w:val="hybridMultilevel"/>
    <w:tmpl w:val="49802D1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5F470134"/>
    <w:multiLevelType w:val="hybridMultilevel"/>
    <w:tmpl w:val="BD6ED5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51658FD"/>
    <w:multiLevelType w:val="hybridMultilevel"/>
    <w:tmpl w:val="6FB01E02"/>
    <w:lvl w:ilvl="0" w:tplc="B6E88A28">
      <w:start w:val="1"/>
      <w:numFmt w:val="bullet"/>
      <w:lvlText w:val=""/>
      <w:lvlJc w:val="left"/>
      <w:pPr>
        <w:ind w:left="1440" w:hanging="360"/>
      </w:pPr>
      <w:rPr>
        <w:rFonts w:ascii="Symbol" w:hAnsi="Symbol"/>
      </w:rPr>
    </w:lvl>
    <w:lvl w:ilvl="1" w:tplc="C658A500">
      <w:start w:val="1"/>
      <w:numFmt w:val="bullet"/>
      <w:lvlText w:val=""/>
      <w:lvlJc w:val="left"/>
      <w:pPr>
        <w:ind w:left="1440" w:hanging="360"/>
      </w:pPr>
      <w:rPr>
        <w:rFonts w:ascii="Symbol" w:hAnsi="Symbol"/>
      </w:rPr>
    </w:lvl>
    <w:lvl w:ilvl="2" w:tplc="9CE0AD3C">
      <w:start w:val="1"/>
      <w:numFmt w:val="bullet"/>
      <w:lvlText w:val=""/>
      <w:lvlJc w:val="left"/>
      <w:pPr>
        <w:ind w:left="1440" w:hanging="360"/>
      </w:pPr>
      <w:rPr>
        <w:rFonts w:ascii="Symbol" w:hAnsi="Symbol"/>
      </w:rPr>
    </w:lvl>
    <w:lvl w:ilvl="3" w:tplc="7AEAE440">
      <w:start w:val="1"/>
      <w:numFmt w:val="bullet"/>
      <w:lvlText w:val=""/>
      <w:lvlJc w:val="left"/>
      <w:pPr>
        <w:ind w:left="1440" w:hanging="360"/>
      </w:pPr>
      <w:rPr>
        <w:rFonts w:ascii="Symbol" w:hAnsi="Symbol"/>
      </w:rPr>
    </w:lvl>
    <w:lvl w:ilvl="4" w:tplc="244274A8">
      <w:start w:val="1"/>
      <w:numFmt w:val="bullet"/>
      <w:lvlText w:val=""/>
      <w:lvlJc w:val="left"/>
      <w:pPr>
        <w:ind w:left="1440" w:hanging="360"/>
      </w:pPr>
      <w:rPr>
        <w:rFonts w:ascii="Symbol" w:hAnsi="Symbol"/>
      </w:rPr>
    </w:lvl>
    <w:lvl w:ilvl="5" w:tplc="E6DC211C">
      <w:start w:val="1"/>
      <w:numFmt w:val="bullet"/>
      <w:lvlText w:val=""/>
      <w:lvlJc w:val="left"/>
      <w:pPr>
        <w:ind w:left="1440" w:hanging="360"/>
      </w:pPr>
      <w:rPr>
        <w:rFonts w:ascii="Symbol" w:hAnsi="Symbol"/>
      </w:rPr>
    </w:lvl>
    <w:lvl w:ilvl="6" w:tplc="A5F63E5A">
      <w:start w:val="1"/>
      <w:numFmt w:val="bullet"/>
      <w:lvlText w:val=""/>
      <w:lvlJc w:val="left"/>
      <w:pPr>
        <w:ind w:left="1440" w:hanging="360"/>
      </w:pPr>
      <w:rPr>
        <w:rFonts w:ascii="Symbol" w:hAnsi="Symbol"/>
      </w:rPr>
    </w:lvl>
    <w:lvl w:ilvl="7" w:tplc="77AA1E96">
      <w:start w:val="1"/>
      <w:numFmt w:val="bullet"/>
      <w:lvlText w:val=""/>
      <w:lvlJc w:val="left"/>
      <w:pPr>
        <w:ind w:left="1440" w:hanging="360"/>
      </w:pPr>
      <w:rPr>
        <w:rFonts w:ascii="Symbol" w:hAnsi="Symbol"/>
      </w:rPr>
    </w:lvl>
    <w:lvl w:ilvl="8" w:tplc="D8F01306">
      <w:start w:val="1"/>
      <w:numFmt w:val="bullet"/>
      <w:lvlText w:val=""/>
      <w:lvlJc w:val="left"/>
      <w:pPr>
        <w:ind w:left="1440" w:hanging="360"/>
      </w:pPr>
      <w:rPr>
        <w:rFonts w:ascii="Symbol" w:hAnsi="Symbol"/>
      </w:rPr>
    </w:lvl>
  </w:abstractNum>
  <w:abstractNum w:abstractNumId="35" w15:restartNumberingAfterBreak="0">
    <w:nsid w:val="6977472E"/>
    <w:multiLevelType w:val="multilevel"/>
    <w:tmpl w:val="590A6D0A"/>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6FAF6A43"/>
    <w:multiLevelType w:val="hybridMultilevel"/>
    <w:tmpl w:val="B854F9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09E2AE4"/>
    <w:multiLevelType w:val="hybridMultilevel"/>
    <w:tmpl w:val="4C326B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82026FD"/>
    <w:multiLevelType w:val="hybridMultilevel"/>
    <w:tmpl w:val="EF02D80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C65145E"/>
    <w:multiLevelType w:val="multilevel"/>
    <w:tmpl w:val="3C8AD8B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E960E6D"/>
    <w:multiLevelType w:val="hybridMultilevel"/>
    <w:tmpl w:val="2D2090F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F9E335A"/>
    <w:multiLevelType w:val="hybridMultilevel"/>
    <w:tmpl w:val="A73082E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7FD60B63"/>
    <w:multiLevelType w:val="hybridMultilevel"/>
    <w:tmpl w:val="D6F89E60"/>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1"/>
  </w:num>
  <w:num w:numId="4">
    <w:abstractNumId w:val="18"/>
  </w:num>
  <w:num w:numId="5">
    <w:abstractNumId w:val="28"/>
  </w:num>
  <w:num w:numId="6">
    <w:abstractNumId w:val="35"/>
  </w:num>
  <w:num w:numId="7">
    <w:abstractNumId w:val="2"/>
  </w:num>
  <w:num w:numId="8">
    <w:abstractNumId w:val="8"/>
  </w:num>
  <w:num w:numId="9">
    <w:abstractNumId w:val="21"/>
  </w:num>
  <w:num w:numId="10">
    <w:abstractNumId w:val="3"/>
  </w:num>
  <w:num w:numId="11">
    <w:abstractNumId w:val="5"/>
  </w:num>
  <w:num w:numId="12">
    <w:abstractNumId w:val="6"/>
  </w:num>
  <w:num w:numId="13">
    <w:abstractNumId w:val="14"/>
  </w:num>
  <w:num w:numId="14">
    <w:abstractNumId w:val="19"/>
  </w:num>
  <w:num w:numId="15">
    <w:abstractNumId w:val="25"/>
  </w:num>
  <w:num w:numId="16">
    <w:abstractNumId w:val="39"/>
  </w:num>
  <w:num w:numId="17">
    <w:abstractNumId w:val="15"/>
  </w:num>
  <w:num w:numId="18">
    <w:abstractNumId w:val="16"/>
  </w:num>
  <w:num w:numId="19">
    <w:abstractNumId w:val="40"/>
  </w:num>
  <w:num w:numId="20">
    <w:abstractNumId w:val="24"/>
  </w:num>
  <w:num w:numId="21">
    <w:abstractNumId w:val="29"/>
  </w:num>
  <w:num w:numId="22">
    <w:abstractNumId w:val="4"/>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num>
  <w:num w:numId="25">
    <w:abstractNumId w:val="43"/>
  </w:num>
  <w:num w:numId="26">
    <w:abstractNumId w:val="36"/>
  </w:num>
  <w:num w:numId="27">
    <w:abstractNumId w:val="34"/>
  </w:num>
  <w:num w:numId="28">
    <w:abstractNumId w:val="26"/>
  </w:num>
  <w:num w:numId="29">
    <w:abstractNumId w:val="23"/>
  </w:num>
  <w:num w:numId="30">
    <w:abstractNumId w:val="0"/>
  </w:num>
  <w:num w:numId="31">
    <w:abstractNumId w:val="41"/>
  </w:num>
  <w:num w:numId="32">
    <w:abstractNumId w:val="37"/>
  </w:num>
  <w:num w:numId="33">
    <w:abstractNumId w:val="38"/>
  </w:num>
  <w:num w:numId="34">
    <w:abstractNumId w:val="20"/>
  </w:num>
  <w:num w:numId="35">
    <w:abstractNumId w:val="13"/>
  </w:num>
  <w:num w:numId="36">
    <w:abstractNumId w:val="32"/>
  </w:num>
  <w:num w:numId="37">
    <w:abstractNumId w:val="10"/>
  </w:num>
  <w:num w:numId="38">
    <w:abstractNumId w:val="31"/>
  </w:num>
  <w:num w:numId="39">
    <w:abstractNumId w:val="12"/>
  </w:num>
  <w:num w:numId="40">
    <w:abstractNumId w:val="42"/>
  </w:num>
  <w:num w:numId="41">
    <w:abstractNumId w:val="9"/>
  </w:num>
  <w:num w:numId="42">
    <w:abstractNumId w:val="33"/>
  </w:num>
  <w:num w:numId="43">
    <w:abstractNumId w:val="39"/>
  </w:num>
  <w:num w:numId="44">
    <w:abstractNumId w:val="39"/>
  </w:num>
  <w:num w:numId="45">
    <w:abstractNumId w:val="22"/>
  </w:num>
  <w:num w:numId="46">
    <w:abstractNumId w:val="7"/>
  </w:num>
  <w:num w:numId="47">
    <w:abstractNumId w:val="30"/>
  </w:num>
  <w:num w:numId="48">
    <w:abstractNumId w:val="27"/>
  </w:num>
  <w:num w:numId="49">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5FB08EE-3B71-4D87-AF1C-9329EBA705C3"/>
    <w:docVar w:name="LW_COVERPAGE_TYPE" w:val="1"/>
    <w:docVar w:name="LW_CROSSREFERENCE" w:val="&lt;UNUSED&gt;"/>
    <w:docVar w:name="LW_DocType" w:val="EUROLOOK"/>
    <w:docVar w:name="LW_EMISSION" w:val="10.3.2026"/>
    <w:docVar w:name="LW_EMISSION_ISODATE" w:val="2026-03-10"/>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pentru dezvoltarea \u537?i implementarea reactoarelor modulare mici (SMR) în Europa&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0272C7"/>
    <w:rsid w:val="000002FC"/>
    <w:rsid w:val="000006A9"/>
    <w:rsid w:val="000006D4"/>
    <w:rsid w:val="00000EF1"/>
    <w:rsid w:val="000010BB"/>
    <w:rsid w:val="00001FE4"/>
    <w:rsid w:val="000020EA"/>
    <w:rsid w:val="00002303"/>
    <w:rsid w:val="000038E9"/>
    <w:rsid w:val="00003AA4"/>
    <w:rsid w:val="00003B4D"/>
    <w:rsid w:val="00003CDA"/>
    <w:rsid w:val="000043D5"/>
    <w:rsid w:val="00004851"/>
    <w:rsid w:val="000056DB"/>
    <w:rsid w:val="00005B6B"/>
    <w:rsid w:val="00006E8A"/>
    <w:rsid w:val="00007753"/>
    <w:rsid w:val="000077DF"/>
    <w:rsid w:val="00010C0D"/>
    <w:rsid w:val="00011884"/>
    <w:rsid w:val="00011AE3"/>
    <w:rsid w:val="000121E6"/>
    <w:rsid w:val="000122EF"/>
    <w:rsid w:val="0001277F"/>
    <w:rsid w:val="00012896"/>
    <w:rsid w:val="00012CA7"/>
    <w:rsid w:val="00012EB7"/>
    <w:rsid w:val="000137B6"/>
    <w:rsid w:val="00013C32"/>
    <w:rsid w:val="00014B49"/>
    <w:rsid w:val="00014ECF"/>
    <w:rsid w:val="00015137"/>
    <w:rsid w:val="000156D8"/>
    <w:rsid w:val="00015799"/>
    <w:rsid w:val="00015C93"/>
    <w:rsid w:val="000160BC"/>
    <w:rsid w:val="00016261"/>
    <w:rsid w:val="00017BA0"/>
    <w:rsid w:val="00017DF8"/>
    <w:rsid w:val="000200CE"/>
    <w:rsid w:val="00021571"/>
    <w:rsid w:val="000216CC"/>
    <w:rsid w:val="0002186C"/>
    <w:rsid w:val="00021C73"/>
    <w:rsid w:val="00023097"/>
    <w:rsid w:val="000234ED"/>
    <w:rsid w:val="00023596"/>
    <w:rsid w:val="000238B1"/>
    <w:rsid w:val="000239FF"/>
    <w:rsid w:val="00023FCB"/>
    <w:rsid w:val="0002456B"/>
    <w:rsid w:val="0002472C"/>
    <w:rsid w:val="000247B1"/>
    <w:rsid w:val="00025287"/>
    <w:rsid w:val="00025371"/>
    <w:rsid w:val="00025467"/>
    <w:rsid w:val="00025631"/>
    <w:rsid w:val="000256B0"/>
    <w:rsid w:val="00025C63"/>
    <w:rsid w:val="0002639B"/>
    <w:rsid w:val="000265CB"/>
    <w:rsid w:val="000268FE"/>
    <w:rsid w:val="0002702D"/>
    <w:rsid w:val="000272C7"/>
    <w:rsid w:val="00027852"/>
    <w:rsid w:val="00027B23"/>
    <w:rsid w:val="00030047"/>
    <w:rsid w:val="00030201"/>
    <w:rsid w:val="000303C1"/>
    <w:rsid w:val="000305CA"/>
    <w:rsid w:val="000313B5"/>
    <w:rsid w:val="00031DF9"/>
    <w:rsid w:val="00031FE2"/>
    <w:rsid w:val="00032059"/>
    <w:rsid w:val="00032307"/>
    <w:rsid w:val="000325F6"/>
    <w:rsid w:val="00032792"/>
    <w:rsid w:val="000328E4"/>
    <w:rsid w:val="00032ADD"/>
    <w:rsid w:val="00033593"/>
    <w:rsid w:val="00033776"/>
    <w:rsid w:val="00033DD8"/>
    <w:rsid w:val="000342FA"/>
    <w:rsid w:val="0003469C"/>
    <w:rsid w:val="0003500B"/>
    <w:rsid w:val="000356ED"/>
    <w:rsid w:val="00035B64"/>
    <w:rsid w:val="00035D30"/>
    <w:rsid w:val="00037E88"/>
    <w:rsid w:val="00040A99"/>
    <w:rsid w:val="00041582"/>
    <w:rsid w:val="000416BC"/>
    <w:rsid w:val="00041CB9"/>
    <w:rsid w:val="0004251F"/>
    <w:rsid w:val="0004313E"/>
    <w:rsid w:val="0004328B"/>
    <w:rsid w:val="00043385"/>
    <w:rsid w:val="000433F8"/>
    <w:rsid w:val="00043C39"/>
    <w:rsid w:val="00043E75"/>
    <w:rsid w:val="00043F96"/>
    <w:rsid w:val="00044CA5"/>
    <w:rsid w:val="0004520E"/>
    <w:rsid w:val="000452F9"/>
    <w:rsid w:val="000456A7"/>
    <w:rsid w:val="000456F3"/>
    <w:rsid w:val="00045E89"/>
    <w:rsid w:val="0004618C"/>
    <w:rsid w:val="000463B5"/>
    <w:rsid w:val="00046849"/>
    <w:rsid w:val="000475CC"/>
    <w:rsid w:val="0004796B"/>
    <w:rsid w:val="000508A5"/>
    <w:rsid w:val="00051A43"/>
    <w:rsid w:val="0005286D"/>
    <w:rsid w:val="00052933"/>
    <w:rsid w:val="00052C2C"/>
    <w:rsid w:val="0005392F"/>
    <w:rsid w:val="0005397A"/>
    <w:rsid w:val="00053B45"/>
    <w:rsid w:val="00053C08"/>
    <w:rsid w:val="00053F10"/>
    <w:rsid w:val="000544F2"/>
    <w:rsid w:val="00054785"/>
    <w:rsid w:val="0005505E"/>
    <w:rsid w:val="00056BCD"/>
    <w:rsid w:val="00056CCB"/>
    <w:rsid w:val="00056E4A"/>
    <w:rsid w:val="000577CA"/>
    <w:rsid w:val="0005797B"/>
    <w:rsid w:val="00057D5F"/>
    <w:rsid w:val="00057E34"/>
    <w:rsid w:val="000602E6"/>
    <w:rsid w:val="000608B2"/>
    <w:rsid w:val="000611C5"/>
    <w:rsid w:val="00061749"/>
    <w:rsid w:val="0006273C"/>
    <w:rsid w:val="00062C3F"/>
    <w:rsid w:val="00062D87"/>
    <w:rsid w:val="00063209"/>
    <w:rsid w:val="00063318"/>
    <w:rsid w:val="00063B1F"/>
    <w:rsid w:val="00063BAE"/>
    <w:rsid w:val="00063DF3"/>
    <w:rsid w:val="0006455B"/>
    <w:rsid w:val="00064677"/>
    <w:rsid w:val="00065685"/>
    <w:rsid w:val="000656F7"/>
    <w:rsid w:val="00065761"/>
    <w:rsid w:val="00065AF8"/>
    <w:rsid w:val="00065C6E"/>
    <w:rsid w:val="00065F9B"/>
    <w:rsid w:val="00066076"/>
    <w:rsid w:val="000665A2"/>
    <w:rsid w:val="00066BC7"/>
    <w:rsid w:val="00066DC3"/>
    <w:rsid w:val="00066FC3"/>
    <w:rsid w:val="00067058"/>
    <w:rsid w:val="000670C6"/>
    <w:rsid w:val="0006758B"/>
    <w:rsid w:val="0006795F"/>
    <w:rsid w:val="0007046D"/>
    <w:rsid w:val="000704D2"/>
    <w:rsid w:val="000707BC"/>
    <w:rsid w:val="00070C91"/>
    <w:rsid w:val="00070E2D"/>
    <w:rsid w:val="00070F80"/>
    <w:rsid w:val="00071124"/>
    <w:rsid w:val="0007126E"/>
    <w:rsid w:val="000712FD"/>
    <w:rsid w:val="00071387"/>
    <w:rsid w:val="000723F3"/>
    <w:rsid w:val="00072D36"/>
    <w:rsid w:val="00072FC9"/>
    <w:rsid w:val="00073079"/>
    <w:rsid w:val="0007313E"/>
    <w:rsid w:val="00073959"/>
    <w:rsid w:val="00073DF2"/>
    <w:rsid w:val="0007400E"/>
    <w:rsid w:val="00074B4C"/>
    <w:rsid w:val="00075373"/>
    <w:rsid w:val="000758A6"/>
    <w:rsid w:val="00075A8F"/>
    <w:rsid w:val="00075DFB"/>
    <w:rsid w:val="00075FF5"/>
    <w:rsid w:val="00076342"/>
    <w:rsid w:val="00076635"/>
    <w:rsid w:val="00076C77"/>
    <w:rsid w:val="00076D66"/>
    <w:rsid w:val="00077147"/>
    <w:rsid w:val="00077521"/>
    <w:rsid w:val="00080E8B"/>
    <w:rsid w:val="00080EFD"/>
    <w:rsid w:val="00081245"/>
    <w:rsid w:val="000819DB"/>
    <w:rsid w:val="00081E5A"/>
    <w:rsid w:val="000820DE"/>
    <w:rsid w:val="000824C8"/>
    <w:rsid w:val="000838D0"/>
    <w:rsid w:val="000838D1"/>
    <w:rsid w:val="00083A30"/>
    <w:rsid w:val="00083DD2"/>
    <w:rsid w:val="00085D16"/>
    <w:rsid w:val="00085DB0"/>
    <w:rsid w:val="00085E46"/>
    <w:rsid w:val="00085EE9"/>
    <w:rsid w:val="00086372"/>
    <w:rsid w:val="0008660C"/>
    <w:rsid w:val="0008675B"/>
    <w:rsid w:val="00086C4E"/>
    <w:rsid w:val="000872FD"/>
    <w:rsid w:val="000877F6"/>
    <w:rsid w:val="00090283"/>
    <w:rsid w:val="000908EB"/>
    <w:rsid w:val="000909E1"/>
    <w:rsid w:val="00091095"/>
    <w:rsid w:val="00091198"/>
    <w:rsid w:val="0009121B"/>
    <w:rsid w:val="00091495"/>
    <w:rsid w:val="00091638"/>
    <w:rsid w:val="00091A55"/>
    <w:rsid w:val="00091C42"/>
    <w:rsid w:val="00091DFA"/>
    <w:rsid w:val="0009256B"/>
    <w:rsid w:val="000929DD"/>
    <w:rsid w:val="000937E3"/>
    <w:rsid w:val="00093C13"/>
    <w:rsid w:val="00094C5F"/>
    <w:rsid w:val="00094FB7"/>
    <w:rsid w:val="000950F3"/>
    <w:rsid w:val="00095A0E"/>
    <w:rsid w:val="00096323"/>
    <w:rsid w:val="0009644F"/>
    <w:rsid w:val="00096C20"/>
    <w:rsid w:val="00096CCE"/>
    <w:rsid w:val="000973F5"/>
    <w:rsid w:val="000976E8"/>
    <w:rsid w:val="000977E4"/>
    <w:rsid w:val="00097986"/>
    <w:rsid w:val="000A0A46"/>
    <w:rsid w:val="000A244D"/>
    <w:rsid w:val="000A316B"/>
    <w:rsid w:val="000A3246"/>
    <w:rsid w:val="000A3633"/>
    <w:rsid w:val="000A3C9A"/>
    <w:rsid w:val="000A3E34"/>
    <w:rsid w:val="000A44B7"/>
    <w:rsid w:val="000A461A"/>
    <w:rsid w:val="000A4949"/>
    <w:rsid w:val="000A4AF3"/>
    <w:rsid w:val="000A4C62"/>
    <w:rsid w:val="000A5072"/>
    <w:rsid w:val="000A692C"/>
    <w:rsid w:val="000A7157"/>
    <w:rsid w:val="000A71A2"/>
    <w:rsid w:val="000B0B38"/>
    <w:rsid w:val="000B16ED"/>
    <w:rsid w:val="000B2F4E"/>
    <w:rsid w:val="000B3217"/>
    <w:rsid w:val="000B37E5"/>
    <w:rsid w:val="000B39A8"/>
    <w:rsid w:val="000B4B30"/>
    <w:rsid w:val="000B4D29"/>
    <w:rsid w:val="000B5919"/>
    <w:rsid w:val="000B5D53"/>
    <w:rsid w:val="000B6414"/>
    <w:rsid w:val="000B65B3"/>
    <w:rsid w:val="000B6711"/>
    <w:rsid w:val="000B69CB"/>
    <w:rsid w:val="000B7240"/>
    <w:rsid w:val="000B7716"/>
    <w:rsid w:val="000B7F55"/>
    <w:rsid w:val="000C00DE"/>
    <w:rsid w:val="000C02FE"/>
    <w:rsid w:val="000C07DF"/>
    <w:rsid w:val="000C0BB1"/>
    <w:rsid w:val="000C0E75"/>
    <w:rsid w:val="000C1047"/>
    <w:rsid w:val="000C10D3"/>
    <w:rsid w:val="000C1576"/>
    <w:rsid w:val="000C1918"/>
    <w:rsid w:val="000C1FBE"/>
    <w:rsid w:val="000C208E"/>
    <w:rsid w:val="000C24C9"/>
    <w:rsid w:val="000C2ABB"/>
    <w:rsid w:val="000C2AD7"/>
    <w:rsid w:val="000C31CB"/>
    <w:rsid w:val="000C379D"/>
    <w:rsid w:val="000C3A29"/>
    <w:rsid w:val="000C414B"/>
    <w:rsid w:val="000C45B7"/>
    <w:rsid w:val="000C4CE7"/>
    <w:rsid w:val="000C5375"/>
    <w:rsid w:val="000C5AE2"/>
    <w:rsid w:val="000C5BB8"/>
    <w:rsid w:val="000C6315"/>
    <w:rsid w:val="000C68F3"/>
    <w:rsid w:val="000C6CBA"/>
    <w:rsid w:val="000C700A"/>
    <w:rsid w:val="000C7639"/>
    <w:rsid w:val="000C765E"/>
    <w:rsid w:val="000C7F63"/>
    <w:rsid w:val="000D0786"/>
    <w:rsid w:val="000D128F"/>
    <w:rsid w:val="000D12DE"/>
    <w:rsid w:val="000D1300"/>
    <w:rsid w:val="000D24FF"/>
    <w:rsid w:val="000D25F8"/>
    <w:rsid w:val="000D26BA"/>
    <w:rsid w:val="000D2811"/>
    <w:rsid w:val="000D348C"/>
    <w:rsid w:val="000D40B6"/>
    <w:rsid w:val="000D4167"/>
    <w:rsid w:val="000D4867"/>
    <w:rsid w:val="000D4954"/>
    <w:rsid w:val="000D5955"/>
    <w:rsid w:val="000D61F1"/>
    <w:rsid w:val="000D6238"/>
    <w:rsid w:val="000D6653"/>
    <w:rsid w:val="000D67CE"/>
    <w:rsid w:val="000D6FBF"/>
    <w:rsid w:val="000D7299"/>
    <w:rsid w:val="000D7365"/>
    <w:rsid w:val="000D740E"/>
    <w:rsid w:val="000D7507"/>
    <w:rsid w:val="000D7668"/>
    <w:rsid w:val="000D7D92"/>
    <w:rsid w:val="000D7ECB"/>
    <w:rsid w:val="000E0BD4"/>
    <w:rsid w:val="000E0D7C"/>
    <w:rsid w:val="000E105B"/>
    <w:rsid w:val="000E1455"/>
    <w:rsid w:val="000E14CC"/>
    <w:rsid w:val="000E14F6"/>
    <w:rsid w:val="000E1C9F"/>
    <w:rsid w:val="000E1CCE"/>
    <w:rsid w:val="000E26E5"/>
    <w:rsid w:val="000E3436"/>
    <w:rsid w:val="000E3E25"/>
    <w:rsid w:val="000E439B"/>
    <w:rsid w:val="000E4683"/>
    <w:rsid w:val="000E55E0"/>
    <w:rsid w:val="000E618F"/>
    <w:rsid w:val="000E64C4"/>
    <w:rsid w:val="000E682C"/>
    <w:rsid w:val="000E736F"/>
    <w:rsid w:val="000E76B1"/>
    <w:rsid w:val="000E77D2"/>
    <w:rsid w:val="000E7968"/>
    <w:rsid w:val="000F030A"/>
    <w:rsid w:val="000F0789"/>
    <w:rsid w:val="000F0D37"/>
    <w:rsid w:val="000F28BD"/>
    <w:rsid w:val="000F2E74"/>
    <w:rsid w:val="000F334C"/>
    <w:rsid w:val="000F3532"/>
    <w:rsid w:val="000F35A3"/>
    <w:rsid w:val="000F3AA1"/>
    <w:rsid w:val="000F3D41"/>
    <w:rsid w:val="000F3EAF"/>
    <w:rsid w:val="000F3FBA"/>
    <w:rsid w:val="000F4288"/>
    <w:rsid w:val="000F48EB"/>
    <w:rsid w:val="000F4CAC"/>
    <w:rsid w:val="000F4E39"/>
    <w:rsid w:val="000F54C0"/>
    <w:rsid w:val="000F63B7"/>
    <w:rsid w:val="000F689A"/>
    <w:rsid w:val="000F6B98"/>
    <w:rsid w:val="000F6C17"/>
    <w:rsid w:val="000F6CE5"/>
    <w:rsid w:val="000F6ED3"/>
    <w:rsid w:val="000F6F35"/>
    <w:rsid w:val="000F7195"/>
    <w:rsid w:val="000F72D0"/>
    <w:rsid w:val="000F7731"/>
    <w:rsid w:val="000F787B"/>
    <w:rsid w:val="001002E6"/>
    <w:rsid w:val="0010039B"/>
    <w:rsid w:val="00100AE7"/>
    <w:rsid w:val="00100EC4"/>
    <w:rsid w:val="0010133B"/>
    <w:rsid w:val="001013C3"/>
    <w:rsid w:val="0010164E"/>
    <w:rsid w:val="00101760"/>
    <w:rsid w:val="00101A4D"/>
    <w:rsid w:val="00101C91"/>
    <w:rsid w:val="00101FDB"/>
    <w:rsid w:val="00102084"/>
    <w:rsid w:val="00102699"/>
    <w:rsid w:val="001026A1"/>
    <w:rsid w:val="00102D68"/>
    <w:rsid w:val="00103A3D"/>
    <w:rsid w:val="0010535D"/>
    <w:rsid w:val="001053F0"/>
    <w:rsid w:val="00105531"/>
    <w:rsid w:val="00105D6D"/>
    <w:rsid w:val="0010646D"/>
    <w:rsid w:val="00106901"/>
    <w:rsid w:val="0010725B"/>
    <w:rsid w:val="00107981"/>
    <w:rsid w:val="00107D54"/>
    <w:rsid w:val="001103B7"/>
    <w:rsid w:val="001108EC"/>
    <w:rsid w:val="00111CE4"/>
    <w:rsid w:val="0011226D"/>
    <w:rsid w:val="00113C64"/>
    <w:rsid w:val="00113E8E"/>
    <w:rsid w:val="00113EE0"/>
    <w:rsid w:val="001145DD"/>
    <w:rsid w:val="00114AC3"/>
    <w:rsid w:val="00116BD8"/>
    <w:rsid w:val="00117006"/>
    <w:rsid w:val="001174CD"/>
    <w:rsid w:val="00117904"/>
    <w:rsid w:val="00117FDA"/>
    <w:rsid w:val="0012083F"/>
    <w:rsid w:val="00120F5D"/>
    <w:rsid w:val="00121A9C"/>
    <w:rsid w:val="001225ED"/>
    <w:rsid w:val="00122628"/>
    <w:rsid w:val="0012285C"/>
    <w:rsid w:val="00122AA6"/>
    <w:rsid w:val="00122EBB"/>
    <w:rsid w:val="001230F6"/>
    <w:rsid w:val="001234CA"/>
    <w:rsid w:val="00123FD5"/>
    <w:rsid w:val="001240AB"/>
    <w:rsid w:val="001249F4"/>
    <w:rsid w:val="00124BCD"/>
    <w:rsid w:val="00126537"/>
    <w:rsid w:val="00126D18"/>
    <w:rsid w:val="0013041C"/>
    <w:rsid w:val="0013074C"/>
    <w:rsid w:val="001309B6"/>
    <w:rsid w:val="001311B0"/>
    <w:rsid w:val="001311CA"/>
    <w:rsid w:val="001315DA"/>
    <w:rsid w:val="00131F73"/>
    <w:rsid w:val="00133206"/>
    <w:rsid w:val="00133629"/>
    <w:rsid w:val="001341E9"/>
    <w:rsid w:val="00135096"/>
    <w:rsid w:val="001366EE"/>
    <w:rsid w:val="00137074"/>
    <w:rsid w:val="001371F0"/>
    <w:rsid w:val="00137764"/>
    <w:rsid w:val="00137BA9"/>
    <w:rsid w:val="00137CD6"/>
    <w:rsid w:val="00137FC9"/>
    <w:rsid w:val="00140205"/>
    <w:rsid w:val="00140468"/>
    <w:rsid w:val="00140ACA"/>
    <w:rsid w:val="00140CD2"/>
    <w:rsid w:val="0014164B"/>
    <w:rsid w:val="001418DC"/>
    <w:rsid w:val="00141BEE"/>
    <w:rsid w:val="00141DD8"/>
    <w:rsid w:val="00142188"/>
    <w:rsid w:val="00142478"/>
    <w:rsid w:val="0014275E"/>
    <w:rsid w:val="00142A71"/>
    <w:rsid w:val="00142E69"/>
    <w:rsid w:val="001442EC"/>
    <w:rsid w:val="00144414"/>
    <w:rsid w:val="0014465B"/>
    <w:rsid w:val="0014488C"/>
    <w:rsid w:val="001451F4"/>
    <w:rsid w:val="0014524F"/>
    <w:rsid w:val="0014578C"/>
    <w:rsid w:val="00145D46"/>
    <w:rsid w:val="001471B0"/>
    <w:rsid w:val="0015024C"/>
    <w:rsid w:val="00150529"/>
    <w:rsid w:val="001506F5"/>
    <w:rsid w:val="00150A36"/>
    <w:rsid w:val="00150DCA"/>
    <w:rsid w:val="00150F5D"/>
    <w:rsid w:val="001518C5"/>
    <w:rsid w:val="00151A69"/>
    <w:rsid w:val="0015253F"/>
    <w:rsid w:val="001525A8"/>
    <w:rsid w:val="001533B4"/>
    <w:rsid w:val="001533BB"/>
    <w:rsid w:val="00154233"/>
    <w:rsid w:val="0015423B"/>
    <w:rsid w:val="0015462A"/>
    <w:rsid w:val="001549E0"/>
    <w:rsid w:val="00154AAF"/>
    <w:rsid w:val="00154BA2"/>
    <w:rsid w:val="00154C05"/>
    <w:rsid w:val="00155150"/>
    <w:rsid w:val="00155885"/>
    <w:rsid w:val="00155980"/>
    <w:rsid w:val="00155B92"/>
    <w:rsid w:val="00156495"/>
    <w:rsid w:val="00156650"/>
    <w:rsid w:val="00156725"/>
    <w:rsid w:val="0015687D"/>
    <w:rsid w:val="00156C09"/>
    <w:rsid w:val="00157E6C"/>
    <w:rsid w:val="00160366"/>
    <w:rsid w:val="001608D9"/>
    <w:rsid w:val="001610D9"/>
    <w:rsid w:val="0016110F"/>
    <w:rsid w:val="001613B7"/>
    <w:rsid w:val="001619E7"/>
    <w:rsid w:val="00162A44"/>
    <w:rsid w:val="00162A5C"/>
    <w:rsid w:val="00162F5F"/>
    <w:rsid w:val="00163B32"/>
    <w:rsid w:val="00163F85"/>
    <w:rsid w:val="001641B1"/>
    <w:rsid w:val="001654F1"/>
    <w:rsid w:val="0016621D"/>
    <w:rsid w:val="00166A8F"/>
    <w:rsid w:val="00166D8A"/>
    <w:rsid w:val="0016722C"/>
    <w:rsid w:val="0016788B"/>
    <w:rsid w:val="001703D2"/>
    <w:rsid w:val="001705B1"/>
    <w:rsid w:val="00170BA6"/>
    <w:rsid w:val="00170FE8"/>
    <w:rsid w:val="00171187"/>
    <w:rsid w:val="0017122B"/>
    <w:rsid w:val="00171535"/>
    <w:rsid w:val="00171AAF"/>
    <w:rsid w:val="00171C0E"/>
    <w:rsid w:val="00171F2E"/>
    <w:rsid w:val="00171F36"/>
    <w:rsid w:val="00172496"/>
    <w:rsid w:val="001727B4"/>
    <w:rsid w:val="00172E1B"/>
    <w:rsid w:val="001745DE"/>
    <w:rsid w:val="001748A8"/>
    <w:rsid w:val="00174ACA"/>
    <w:rsid w:val="00174FDD"/>
    <w:rsid w:val="00175004"/>
    <w:rsid w:val="00177A5D"/>
    <w:rsid w:val="00177B37"/>
    <w:rsid w:val="00180101"/>
    <w:rsid w:val="001801C5"/>
    <w:rsid w:val="00180220"/>
    <w:rsid w:val="001803AD"/>
    <w:rsid w:val="0018088F"/>
    <w:rsid w:val="00181007"/>
    <w:rsid w:val="00181CDC"/>
    <w:rsid w:val="00181F46"/>
    <w:rsid w:val="001822FC"/>
    <w:rsid w:val="00182E43"/>
    <w:rsid w:val="00182EC0"/>
    <w:rsid w:val="00182FFB"/>
    <w:rsid w:val="0018383A"/>
    <w:rsid w:val="00183DE7"/>
    <w:rsid w:val="00183E58"/>
    <w:rsid w:val="00184077"/>
    <w:rsid w:val="00184D00"/>
    <w:rsid w:val="00185D44"/>
    <w:rsid w:val="00185D6E"/>
    <w:rsid w:val="00185F90"/>
    <w:rsid w:val="00186326"/>
    <w:rsid w:val="001865E3"/>
    <w:rsid w:val="00187037"/>
    <w:rsid w:val="001875FE"/>
    <w:rsid w:val="00187BA7"/>
    <w:rsid w:val="00187DD6"/>
    <w:rsid w:val="00190F96"/>
    <w:rsid w:val="0019109D"/>
    <w:rsid w:val="001918C9"/>
    <w:rsid w:val="00191A97"/>
    <w:rsid w:val="00191B7A"/>
    <w:rsid w:val="0019295D"/>
    <w:rsid w:val="00192BB1"/>
    <w:rsid w:val="00192EA9"/>
    <w:rsid w:val="00192F98"/>
    <w:rsid w:val="001934C0"/>
    <w:rsid w:val="00193709"/>
    <w:rsid w:val="00194825"/>
    <w:rsid w:val="00194C89"/>
    <w:rsid w:val="00195196"/>
    <w:rsid w:val="00195311"/>
    <w:rsid w:val="00195D83"/>
    <w:rsid w:val="001960D0"/>
    <w:rsid w:val="00196331"/>
    <w:rsid w:val="00196AA6"/>
    <w:rsid w:val="001974E8"/>
    <w:rsid w:val="001977F7"/>
    <w:rsid w:val="001A0103"/>
    <w:rsid w:val="001A0132"/>
    <w:rsid w:val="001A0B81"/>
    <w:rsid w:val="001A13F4"/>
    <w:rsid w:val="001A17FA"/>
    <w:rsid w:val="001A1B10"/>
    <w:rsid w:val="001A1BCA"/>
    <w:rsid w:val="001A1C76"/>
    <w:rsid w:val="001A23C7"/>
    <w:rsid w:val="001A24E6"/>
    <w:rsid w:val="001A2DCA"/>
    <w:rsid w:val="001A38DC"/>
    <w:rsid w:val="001A3A95"/>
    <w:rsid w:val="001A3F90"/>
    <w:rsid w:val="001A5F74"/>
    <w:rsid w:val="001A60AF"/>
    <w:rsid w:val="001A62BF"/>
    <w:rsid w:val="001A66CE"/>
    <w:rsid w:val="001A694E"/>
    <w:rsid w:val="001A6E65"/>
    <w:rsid w:val="001A7C49"/>
    <w:rsid w:val="001A7D71"/>
    <w:rsid w:val="001A7FA0"/>
    <w:rsid w:val="001B0247"/>
    <w:rsid w:val="001B0736"/>
    <w:rsid w:val="001B0EB4"/>
    <w:rsid w:val="001B1127"/>
    <w:rsid w:val="001B1E19"/>
    <w:rsid w:val="001B27EB"/>
    <w:rsid w:val="001B2EDB"/>
    <w:rsid w:val="001B36F9"/>
    <w:rsid w:val="001B3B2E"/>
    <w:rsid w:val="001B43D6"/>
    <w:rsid w:val="001B4ADF"/>
    <w:rsid w:val="001B4B0B"/>
    <w:rsid w:val="001B4F1C"/>
    <w:rsid w:val="001B5075"/>
    <w:rsid w:val="001B5ED3"/>
    <w:rsid w:val="001B5F21"/>
    <w:rsid w:val="001B608D"/>
    <w:rsid w:val="001B6B56"/>
    <w:rsid w:val="001B6EF9"/>
    <w:rsid w:val="001B710C"/>
    <w:rsid w:val="001B7C04"/>
    <w:rsid w:val="001B7E25"/>
    <w:rsid w:val="001C017A"/>
    <w:rsid w:val="001C02B5"/>
    <w:rsid w:val="001C0EBE"/>
    <w:rsid w:val="001C109C"/>
    <w:rsid w:val="001C1C5C"/>
    <w:rsid w:val="001C219F"/>
    <w:rsid w:val="001C2444"/>
    <w:rsid w:val="001C2696"/>
    <w:rsid w:val="001C2B8A"/>
    <w:rsid w:val="001C2C26"/>
    <w:rsid w:val="001C32B3"/>
    <w:rsid w:val="001C340F"/>
    <w:rsid w:val="001C38BD"/>
    <w:rsid w:val="001C3FEA"/>
    <w:rsid w:val="001C4522"/>
    <w:rsid w:val="001C47CE"/>
    <w:rsid w:val="001C4D63"/>
    <w:rsid w:val="001C57D9"/>
    <w:rsid w:val="001C5D71"/>
    <w:rsid w:val="001C5D95"/>
    <w:rsid w:val="001C67F0"/>
    <w:rsid w:val="001C7647"/>
    <w:rsid w:val="001C7853"/>
    <w:rsid w:val="001C7960"/>
    <w:rsid w:val="001D052A"/>
    <w:rsid w:val="001D0650"/>
    <w:rsid w:val="001D0B5B"/>
    <w:rsid w:val="001D1248"/>
    <w:rsid w:val="001D144B"/>
    <w:rsid w:val="001D205D"/>
    <w:rsid w:val="001D2741"/>
    <w:rsid w:val="001D278E"/>
    <w:rsid w:val="001D2ABA"/>
    <w:rsid w:val="001D2EAB"/>
    <w:rsid w:val="001D2FB6"/>
    <w:rsid w:val="001D36D4"/>
    <w:rsid w:val="001D409A"/>
    <w:rsid w:val="001D4963"/>
    <w:rsid w:val="001D4D30"/>
    <w:rsid w:val="001D4E0B"/>
    <w:rsid w:val="001D4ECF"/>
    <w:rsid w:val="001D541B"/>
    <w:rsid w:val="001D5931"/>
    <w:rsid w:val="001D61FE"/>
    <w:rsid w:val="001D655A"/>
    <w:rsid w:val="001D727C"/>
    <w:rsid w:val="001E0254"/>
    <w:rsid w:val="001E0559"/>
    <w:rsid w:val="001E08DC"/>
    <w:rsid w:val="001E0AFA"/>
    <w:rsid w:val="001E0CE6"/>
    <w:rsid w:val="001E172D"/>
    <w:rsid w:val="001E197D"/>
    <w:rsid w:val="001E1E6F"/>
    <w:rsid w:val="001E2481"/>
    <w:rsid w:val="001E26BA"/>
    <w:rsid w:val="001E272C"/>
    <w:rsid w:val="001E2861"/>
    <w:rsid w:val="001E2CF4"/>
    <w:rsid w:val="001E2DB4"/>
    <w:rsid w:val="001E3280"/>
    <w:rsid w:val="001E37A7"/>
    <w:rsid w:val="001E3A06"/>
    <w:rsid w:val="001E3CC7"/>
    <w:rsid w:val="001E3FA3"/>
    <w:rsid w:val="001E4338"/>
    <w:rsid w:val="001E43A6"/>
    <w:rsid w:val="001E6135"/>
    <w:rsid w:val="001E666B"/>
    <w:rsid w:val="001E6705"/>
    <w:rsid w:val="001E6DF7"/>
    <w:rsid w:val="001E7A14"/>
    <w:rsid w:val="001E7B40"/>
    <w:rsid w:val="001F0191"/>
    <w:rsid w:val="001F0BCB"/>
    <w:rsid w:val="001F0FD1"/>
    <w:rsid w:val="001F11AD"/>
    <w:rsid w:val="001F154E"/>
    <w:rsid w:val="001F1A81"/>
    <w:rsid w:val="001F207B"/>
    <w:rsid w:val="001F2174"/>
    <w:rsid w:val="001F2735"/>
    <w:rsid w:val="001F3093"/>
    <w:rsid w:val="001F312F"/>
    <w:rsid w:val="001F34EE"/>
    <w:rsid w:val="001F37EE"/>
    <w:rsid w:val="001F3BCD"/>
    <w:rsid w:val="001F3CBD"/>
    <w:rsid w:val="001F4303"/>
    <w:rsid w:val="001F4468"/>
    <w:rsid w:val="001F4B0B"/>
    <w:rsid w:val="001F5F8F"/>
    <w:rsid w:val="001F60C3"/>
    <w:rsid w:val="001F684D"/>
    <w:rsid w:val="001F68ED"/>
    <w:rsid w:val="001F6CB8"/>
    <w:rsid w:val="001F7274"/>
    <w:rsid w:val="001F7B06"/>
    <w:rsid w:val="001F7D6A"/>
    <w:rsid w:val="001F7EB0"/>
    <w:rsid w:val="0020016E"/>
    <w:rsid w:val="00200216"/>
    <w:rsid w:val="00200A75"/>
    <w:rsid w:val="00200E14"/>
    <w:rsid w:val="00201151"/>
    <w:rsid w:val="002020CE"/>
    <w:rsid w:val="00202419"/>
    <w:rsid w:val="00202607"/>
    <w:rsid w:val="002028E7"/>
    <w:rsid w:val="002028EA"/>
    <w:rsid w:val="00202E2B"/>
    <w:rsid w:val="00202FE8"/>
    <w:rsid w:val="002035A0"/>
    <w:rsid w:val="00204976"/>
    <w:rsid w:val="002051F3"/>
    <w:rsid w:val="00205E18"/>
    <w:rsid w:val="00205EB5"/>
    <w:rsid w:val="002068CF"/>
    <w:rsid w:val="0020691F"/>
    <w:rsid w:val="0020693D"/>
    <w:rsid w:val="00206A3A"/>
    <w:rsid w:val="00206D47"/>
    <w:rsid w:val="0020742C"/>
    <w:rsid w:val="002105F9"/>
    <w:rsid w:val="0021098D"/>
    <w:rsid w:val="00210F31"/>
    <w:rsid w:val="00210F35"/>
    <w:rsid w:val="00210FEB"/>
    <w:rsid w:val="00211077"/>
    <w:rsid w:val="00211619"/>
    <w:rsid w:val="00211645"/>
    <w:rsid w:val="002116C1"/>
    <w:rsid w:val="002127D4"/>
    <w:rsid w:val="00212BA8"/>
    <w:rsid w:val="00212CDE"/>
    <w:rsid w:val="00212D7F"/>
    <w:rsid w:val="00213082"/>
    <w:rsid w:val="00213470"/>
    <w:rsid w:val="00213BB3"/>
    <w:rsid w:val="00213DE6"/>
    <w:rsid w:val="00213E7A"/>
    <w:rsid w:val="00214331"/>
    <w:rsid w:val="00214FD1"/>
    <w:rsid w:val="00215336"/>
    <w:rsid w:val="002158A9"/>
    <w:rsid w:val="00215A4E"/>
    <w:rsid w:val="00215C44"/>
    <w:rsid w:val="00216045"/>
    <w:rsid w:val="002166C3"/>
    <w:rsid w:val="00217406"/>
    <w:rsid w:val="00217A27"/>
    <w:rsid w:val="00217ADF"/>
    <w:rsid w:val="00217DA8"/>
    <w:rsid w:val="002211FD"/>
    <w:rsid w:val="00221632"/>
    <w:rsid w:val="0022199D"/>
    <w:rsid w:val="00221AA5"/>
    <w:rsid w:val="00221C42"/>
    <w:rsid w:val="00221E15"/>
    <w:rsid w:val="0022216F"/>
    <w:rsid w:val="002221D7"/>
    <w:rsid w:val="002223CB"/>
    <w:rsid w:val="00222850"/>
    <w:rsid w:val="00222D20"/>
    <w:rsid w:val="00223421"/>
    <w:rsid w:val="00223592"/>
    <w:rsid w:val="00223E48"/>
    <w:rsid w:val="00224293"/>
    <w:rsid w:val="002246FC"/>
    <w:rsid w:val="00224C4F"/>
    <w:rsid w:val="00224E8D"/>
    <w:rsid w:val="00225832"/>
    <w:rsid w:val="002258B0"/>
    <w:rsid w:val="002258B4"/>
    <w:rsid w:val="00225F03"/>
    <w:rsid w:val="002261BC"/>
    <w:rsid w:val="00226569"/>
    <w:rsid w:val="00226BF4"/>
    <w:rsid w:val="00226D61"/>
    <w:rsid w:val="00227D29"/>
    <w:rsid w:val="00227FA8"/>
    <w:rsid w:val="002303E9"/>
    <w:rsid w:val="00230E48"/>
    <w:rsid w:val="00230E4E"/>
    <w:rsid w:val="00230EEC"/>
    <w:rsid w:val="002310BD"/>
    <w:rsid w:val="0023114B"/>
    <w:rsid w:val="0023139F"/>
    <w:rsid w:val="002315F6"/>
    <w:rsid w:val="0023233F"/>
    <w:rsid w:val="0023253A"/>
    <w:rsid w:val="002326B1"/>
    <w:rsid w:val="0023284E"/>
    <w:rsid w:val="00232DED"/>
    <w:rsid w:val="002336B0"/>
    <w:rsid w:val="00233A44"/>
    <w:rsid w:val="00233C6B"/>
    <w:rsid w:val="00233F22"/>
    <w:rsid w:val="002341B4"/>
    <w:rsid w:val="00234203"/>
    <w:rsid w:val="002343C3"/>
    <w:rsid w:val="002345B1"/>
    <w:rsid w:val="00234AFD"/>
    <w:rsid w:val="00235439"/>
    <w:rsid w:val="00235C29"/>
    <w:rsid w:val="00235E25"/>
    <w:rsid w:val="002363F0"/>
    <w:rsid w:val="00236B98"/>
    <w:rsid w:val="00237FB3"/>
    <w:rsid w:val="00237FBF"/>
    <w:rsid w:val="00237FD0"/>
    <w:rsid w:val="00240520"/>
    <w:rsid w:val="002410CE"/>
    <w:rsid w:val="002411B1"/>
    <w:rsid w:val="0024121F"/>
    <w:rsid w:val="0024161C"/>
    <w:rsid w:val="0024222B"/>
    <w:rsid w:val="00242356"/>
    <w:rsid w:val="00242530"/>
    <w:rsid w:val="0024272C"/>
    <w:rsid w:val="0024278F"/>
    <w:rsid w:val="00242829"/>
    <w:rsid w:val="00242994"/>
    <w:rsid w:val="00243A04"/>
    <w:rsid w:val="00243A27"/>
    <w:rsid w:val="00243AE3"/>
    <w:rsid w:val="00243E45"/>
    <w:rsid w:val="0024440C"/>
    <w:rsid w:val="00244B24"/>
    <w:rsid w:val="00244C1B"/>
    <w:rsid w:val="00245F6C"/>
    <w:rsid w:val="00246041"/>
    <w:rsid w:val="002462CC"/>
    <w:rsid w:val="002468CE"/>
    <w:rsid w:val="002469CC"/>
    <w:rsid w:val="00246FD1"/>
    <w:rsid w:val="002475B3"/>
    <w:rsid w:val="002477D3"/>
    <w:rsid w:val="002479C1"/>
    <w:rsid w:val="00247AFB"/>
    <w:rsid w:val="002500A0"/>
    <w:rsid w:val="00250660"/>
    <w:rsid w:val="00250687"/>
    <w:rsid w:val="00250691"/>
    <w:rsid w:val="00250AB5"/>
    <w:rsid w:val="002511C6"/>
    <w:rsid w:val="00251875"/>
    <w:rsid w:val="00251E5F"/>
    <w:rsid w:val="00252771"/>
    <w:rsid w:val="00252954"/>
    <w:rsid w:val="002529B5"/>
    <w:rsid w:val="00252B57"/>
    <w:rsid w:val="0025309B"/>
    <w:rsid w:val="002536A0"/>
    <w:rsid w:val="00253882"/>
    <w:rsid w:val="002541CF"/>
    <w:rsid w:val="002545B9"/>
    <w:rsid w:val="00254D68"/>
    <w:rsid w:val="00255F57"/>
    <w:rsid w:val="0025681B"/>
    <w:rsid w:val="0025699C"/>
    <w:rsid w:val="00256C47"/>
    <w:rsid w:val="00257C14"/>
    <w:rsid w:val="00260A07"/>
    <w:rsid w:val="00260E45"/>
    <w:rsid w:val="0026112D"/>
    <w:rsid w:val="0026144D"/>
    <w:rsid w:val="002615FA"/>
    <w:rsid w:val="00261612"/>
    <w:rsid w:val="002619F1"/>
    <w:rsid w:val="00261EC6"/>
    <w:rsid w:val="00262097"/>
    <w:rsid w:val="00264D19"/>
    <w:rsid w:val="00265D7E"/>
    <w:rsid w:val="00265E08"/>
    <w:rsid w:val="002665BB"/>
    <w:rsid w:val="00266C58"/>
    <w:rsid w:val="00267352"/>
    <w:rsid w:val="00267378"/>
    <w:rsid w:val="002677BB"/>
    <w:rsid w:val="0027163C"/>
    <w:rsid w:val="002717E9"/>
    <w:rsid w:val="00271B69"/>
    <w:rsid w:val="00271C66"/>
    <w:rsid w:val="00272225"/>
    <w:rsid w:val="00272839"/>
    <w:rsid w:val="00272F29"/>
    <w:rsid w:val="00273098"/>
    <w:rsid w:val="00273BCD"/>
    <w:rsid w:val="00273F68"/>
    <w:rsid w:val="0027459E"/>
    <w:rsid w:val="00274AA0"/>
    <w:rsid w:val="002753A0"/>
    <w:rsid w:val="002753FE"/>
    <w:rsid w:val="00275522"/>
    <w:rsid w:val="002756BB"/>
    <w:rsid w:val="00275CB1"/>
    <w:rsid w:val="00275DBA"/>
    <w:rsid w:val="00275EE1"/>
    <w:rsid w:val="002771FB"/>
    <w:rsid w:val="00277202"/>
    <w:rsid w:val="0027769D"/>
    <w:rsid w:val="002777E4"/>
    <w:rsid w:val="002779AB"/>
    <w:rsid w:val="00277AA8"/>
    <w:rsid w:val="002800F6"/>
    <w:rsid w:val="002801FD"/>
    <w:rsid w:val="00280273"/>
    <w:rsid w:val="002805D8"/>
    <w:rsid w:val="002809CA"/>
    <w:rsid w:val="00280B44"/>
    <w:rsid w:val="00281061"/>
    <w:rsid w:val="002812B1"/>
    <w:rsid w:val="00281486"/>
    <w:rsid w:val="002816EA"/>
    <w:rsid w:val="00281C5B"/>
    <w:rsid w:val="00281DE0"/>
    <w:rsid w:val="0028226E"/>
    <w:rsid w:val="00282591"/>
    <w:rsid w:val="002826EC"/>
    <w:rsid w:val="002827E0"/>
    <w:rsid w:val="0028298C"/>
    <w:rsid w:val="00282FFA"/>
    <w:rsid w:val="00283723"/>
    <w:rsid w:val="0028391B"/>
    <w:rsid w:val="00283B9E"/>
    <w:rsid w:val="00283E28"/>
    <w:rsid w:val="00284047"/>
    <w:rsid w:val="002849E9"/>
    <w:rsid w:val="002850F6"/>
    <w:rsid w:val="0028635A"/>
    <w:rsid w:val="002868F6"/>
    <w:rsid w:val="00286A7A"/>
    <w:rsid w:val="00286CC2"/>
    <w:rsid w:val="00286F73"/>
    <w:rsid w:val="00287024"/>
    <w:rsid w:val="0028710A"/>
    <w:rsid w:val="002878F3"/>
    <w:rsid w:val="00287C18"/>
    <w:rsid w:val="00287DAB"/>
    <w:rsid w:val="00290B5B"/>
    <w:rsid w:val="00290BC7"/>
    <w:rsid w:val="00290D4B"/>
    <w:rsid w:val="0029128B"/>
    <w:rsid w:val="002913CF"/>
    <w:rsid w:val="00291B78"/>
    <w:rsid w:val="0029257E"/>
    <w:rsid w:val="0029285F"/>
    <w:rsid w:val="00292BD9"/>
    <w:rsid w:val="0029312F"/>
    <w:rsid w:val="00293A72"/>
    <w:rsid w:val="00293B81"/>
    <w:rsid w:val="0029405F"/>
    <w:rsid w:val="00294DA9"/>
    <w:rsid w:val="00294DF4"/>
    <w:rsid w:val="00295AF9"/>
    <w:rsid w:val="00295FEB"/>
    <w:rsid w:val="0029615A"/>
    <w:rsid w:val="00296167"/>
    <w:rsid w:val="00296666"/>
    <w:rsid w:val="0029690D"/>
    <w:rsid w:val="00296EB6"/>
    <w:rsid w:val="00297285"/>
    <w:rsid w:val="00297AF7"/>
    <w:rsid w:val="002A031E"/>
    <w:rsid w:val="002A03C9"/>
    <w:rsid w:val="002A05C6"/>
    <w:rsid w:val="002A0E16"/>
    <w:rsid w:val="002A193E"/>
    <w:rsid w:val="002A1C68"/>
    <w:rsid w:val="002A1D3E"/>
    <w:rsid w:val="002A2060"/>
    <w:rsid w:val="002A2175"/>
    <w:rsid w:val="002A2200"/>
    <w:rsid w:val="002A29BB"/>
    <w:rsid w:val="002A29F6"/>
    <w:rsid w:val="002A2C83"/>
    <w:rsid w:val="002A35B7"/>
    <w:rsid w:val="002A36F5"/>
    <w:rsid w:val="002A3BF5"/>
    <w:rsid w:val="002A3C10"/>
    <w:rsid w:val="002A4025"/>
    <w:rsid w:val="002A43E5"/>
    <w:rsid w:val="002A47FB"/>
    <w:rsid w:val="002A49A7"/>
    <w:rsid w:val="002A4FEC"/>
    <w:rsid w:val="002A5001"/>
    <w:rsid w:val="002A50C1"/>
    <w:rsid w:val="002A606D"/>
    <w:rsid w:val="002A6A27"/>
    <w:rsid w:val="002A6A77"/>
    <w:rsid w:val="002A6ACC"/>
    <w:rsid w:val="002A75C0"/>
    <w:rsid w:val="002B027E"/>
    <w:rsid w:val="002B1BF7"/>
    <w:rsid w:val="002B24AF"/>
    <w:rsid w:val="002B24E9"/>
    <w:rsid w:val="002B25A6"/>
    <w:rsid w:val="002B26D7"/>
    <w:rsid w:val="002B292F"/>
    <w:rsid w:val="002B2CB7"/>
    <w:rsid w:val="002B2D58"/>
    <w:rsid w:val="002B311E"/>
    <w:rsid w:val="002B4014"/>
    <w:rsid w:val="002B4E45"/>
    <w:rsid w:val="002B5205"/>
    <w:rsid w:val="002B5FA1"/>
    <w:rsid w:val="002B6789"/>
    <w:rsid w:val="002B6B43"/>
    <w:rsid w:val="002B6F22"/>
    <w:rsid w:val="002B7231"/>
    <w:rsid w:val="002B7331"/>
    <w:rsid w:val="002B7599"/>
    <w:rsid w:val="002B771B"/>
    <w:rsid w:val="002B7744"/>
    <w:rsid w:val="002B7B16"/>
    <w:rsid w:val="002B7C1F"/>
    <w:rsid w:val="002B7DB7"/>
    <w:rsid w:val="002B7F52"/>
    <w:rsid w:val="002C00F0"/>
    <w:rsid w:val="002C012B"/>
    <w:rsid w:val="002C0CAB"/>
    <w:rsid w:val="002C19A0"/>
    <w:rsid w:val="002C1DED"/>
    <w:rsid w:val="002C2005"/>
    <w:rsid w:val="002C2127"/>
    <w:rsid w:val="002C22F8"/>
    <w:rsid w:val="002C2471"/>
    <w:rsid w:val="002C2492"/>
    <w:rsid w:val="002C2608"/>
    <w:rsid w:val="002C31E3"/>
    <w:rsid w:val="002C35B9"/>
    <w:rsid w:val="002C38C6"/>
    <w:rsid w:val="002C3F76"/>
    <w:rsid w:val="002C3FCD"/>
    <w:rsid w:val="002C4523"/>
    <w:rsid w:val="002C4635"/>
    <w:rsid w:val="002C48E3"/>
    <w:rsid w:val="002C4F65"/>
    <w:rsid w:val="002C5182"/>
    <w:rsid w:val="002C565B"/>
    <w:rsid w:val="002C57D7"/>
    <w:rsid w:val="002C5BC3"/>
    <w:rsid w:val="002C5C94"/>
    <w:rsid w:val="002C6609"/>
    <w:rsid w:val="002C67DA"/>
    <w:rsid w:val="002C6E23"/>
    <w:rsid w:val="002C6FE0"/>
    <w:rsid w:val="002C705A"/>
    <w:rsid w:val="002C74C7"/>
    <w:rsid w:val="002C78B5"/>
    <w:rsid w:val="002C7F56"/>
    <w:rsid w:val="002D032F"/>
    <w:rsid w:val="002D04C8"/>
    <w:rsid w:val="002D09FA"/>
    <w:rsid w:val="002D0C19"/>
    <w:rsid w:val="002D1011"/>
    <w:rsid w:val="002D155F"/>
    <w:rsid w:val="002D17B1"/>
    <w:rsid w:val="002D1A58"/>
    <w:rsid w:val="002D1C0A"/>
    <w:rsid w:val="002D25A6"/>
    <w:rsid w:val="002D299F"/>
    <w:rsid w:val="002D29F3"/>
    <w:rsid w:val="002D2C12"/>
    <w:rsid w:val="002D2DAB"/>
    <w:rsid w:val="002D2DCD"/>
    <w:rsid w:val="002D417C"/>
    <w:rsid w:val="002D4710"/>
    <w:rsid w:val="002D47A5"/>
    <w:rsid w:val="002D4ACB"/>
    <w:rsid w:val="002D4EEE"/>
    <w:rsid w:val="002D5785"/>
    <w:rsid w:val="002D6E4E"/>
    <w:rsid w:val="002D6ECB"/>
    <w:rsid w:val="002D722B"/>
    <w:rsid w:val="002D7C6A"/>
    <w:rsid w:val="002E00F6"/>
    <w:rsid w:val="002E07C1"/>
    <w:rsid w:val="002E09DA"/>
    <w:rsid w:val="002E10FE"/>
    <w:rsid w:val="002E1AA6"/>
    <w:rsid w:val="002E1BDD"/>
    <w:rsid w:val="002E1F33"/>
    <w:rsid w:val="002E2E10"/>
    <w:rsid w:val="002E32D7"/>
    <w:rsid w:val="002E3385"/>
    <w:rsid w:val="002E3FEC"/>
    <w:rsid w:val="002E5196"/>
    <w:rsid w:val="002E60F7"/>
    <w:rsid w:val="002E6BCD"/>
    <w:rsid w:val="002E6CB0"/>
    <w:rsid w:val="002E75EF"/>
    <w:rsid w:val="002F040F"/>
    <w:rsid w:val="002F04EA"/>
    <w:rsid w:val="002F094D"/>
    <w:rsid w:val="002F0C02"/>
    <w:rsid w:val="002F0EC4"/>
    <w:rsid w:val="002F1644"/>
    <w:rsid w:val="002F1884"/>
    <w:rsid w:val="002F196D"/>
    <w:rsid w:val="002F202D"/>
    <w:rsid w:val="002F2459"/>
    <w:rsid w:val="002F27C6"/>
    <w:rsid w:val="002F3A52"/>
    <w:rsid w:val="002F3B69"/>
    <w:rsid w:val="002F3DC7"/>
    <w:rsid w:val="002F3FFA"/>
    <w:rsid w:val="002F42B0"/>
    <w:rsid w:val="002F5236"/>
    <w:rsid w:val="002F5337"/>
    <w:rsid w:val="002F577B"/>
    <w:rsid w:val="002F594E"/>
    <w:rsid w:val="002F5D57"/>
    <w:rsid w:val="002F5E3B"/>
    <w:rsid w:val="002F5E4E"/>
    <w:rsid w:val="002F72A1"/>
    <w:rsid w:val="002F7B72"/>
    <w:rsid w:val="00300162"/>
    <w:rsid w:val="003017F2"/>
    <w:rsid w:val="00301A95"/>
    <w:rsid w:val="00301FB7"/>
    <w:rsid w:val="00302C04"/>
    <w:rsid w:val="0030307A"/>
    <w:rsid w:val="00303246"/>
    <w:rsid w:val="00303A36"/>
    <w:rsid w:val="00303B09"/>
    <w:rsid w:val="00303B0B"/>
    <w:rsid w:val="00303C5B"/>
    <w:rsid w:val="0030446E"/>
    <w:rsid w:val="003045EC"/>
    <w:rsid w:val="00304666"/>
    <w:rsid w:val="003047BF"/>
    <w:rsid w:val="00304D58"/>
    <w:rsid w:val="00304DF9"/>
    <w:rsid w:val="00305743"/>
    <w:rsid w:val="003061C2"/>
    <w:rsid w:val="00306318"/>
    <w:rsid w:val="00306567"/>
    <w:rsid w:val="00306EC0"/>
    <w:rsid w:val="003071F2"/>
    <w:rsid w:val="003076AB"/>
    <w:rsid w:val="003077CB"/>
    <w:rsid w:val="00307EFD"/>
    <w:rsid w:val="003103E0"/>
    <w:rsid w:val="0031071F"/>
    <w:rsid w:val="003113CB"/>
    <w:rsid w:val="0031169F"/>
    <w:rsid w:val="00311DAE"/>
    <w:rsid w:val="00311E29"/>
    <w:rsid w:val="00311ED4"/>
    <w:rsid w:val="00312016"/>
    <w:rsid w:val="00312A8B"/>
    <w:rsid w:val="00313287"/>
    <w:rsid w:val="0031346A"/>
    <w:rsid w:val="00313D55"/>
    <w:rsid w:val="0031427D"/>
    <w:rsid w:val="00314508"/>
    <w:rsid w:val="00314EF1"/>
    <w:rsid w:val="003152C1"/>
    <w:rsid w:val="0031549A"/>
    <w:rsid w:val="00315624"/>
    <w:rsid w:val="003158A1"/>
    <w:rsid w:val="00315F00"/>
    <w:rsid w:val="00315FC2"/>
    <w:rsid w:val="00315FC9"/>
    <w:rsid w:val="00316985"/>
    <w:rsid w:val="003200E0"/>
    <w:rsid w:val="00320A23"/>
    <w:rsid w:val="00320DF0"/>
    <w:rsid w:val="003212CA"/>
    <w:rsid w:val="0032139A"/>
    <w:rsid w:val="003213A4"/>
    <w:rsid w:val="00321497"/>
    <w:rsid w:val="00321B0D"/>
    <w:rsid w:val="00321D16"/>
    <w:rsid w:val="00321E59"/>
    <w:rsid w:val="003227A0"/>
    <w:rsid w:val="003227BB"/>
    <w:rsid w:val="00322CF7"/>
    <w:rsid w:val="00322D9B"/>
    <w:rsid w:val="00322E21"/>
    <w:rsid w:val="00323169"/>
    <w:rsid w:val="003231B4"/>
    <w:rsid w:val="0032438B"/>
    <w:rsid w:val="003244D9"/>
    <w:rsid w:val="00324F83"/>
    <w:rsid w:val="00324FFF"/>
    <w:rsid w:val="0032564B"/>
    <w:rsid w:val="00325B8C"/>
    <w:rsid w:val="00326E3A"/>
    <w:rsid w:val="003270CD"/>
    <w:rsid w:val="0032735E"/>
    <w:rsid w:val="003274A6"/>
    <w:rsid w:val="0032782C"/>
    <w:rsid w:val="00330011"/>
    <w:rsid w:val="00330117"/>
    <w:rsid w:val="00330568"/>
    <w:rsid w:val="00330DCE"/>
    <w:rsid w:val="003312CF"/>
    <w:rsid w:val="0033152F"/>
    <w:rsid w:val="00331DB3"/>
    <w:rsid w:val="003327D3"/>
    <w:rsid w:val="0033293D"/>
    <w:rsid w:val="00332BF6"/>
    <w:rsid w:val="003349EE"/>
    <w:rsid w:val="00334F58"/>
    <w:rsid w:val="00335BE9"/>
    <w:rsid w:val="00335D58"/>
    <w:rsid w:val="00336798"/>
    <w:rsid w:val="00337062"/>
    <w:rsid w:val="003372D9"/>
    <w:rsid w:val="003379AC"/>
    <w:rsid w:val="00340696"/>
    <w:rsid w:val="00341871"/>
    <w:rsid w:val="00341A49"/>
    <w:rsid w:val="00341E62"/>
    <w:rsid w:val="0034242A"/>
    <w:rsid w:val="0034262D"/>
    <w:rsid w:val="00342F0A"/>
    <w:rsid w:val="003434F3"/>
    <w:rsid w:val="003436AA"/>
    <w:rsid w:val="0034473E"/>
    <w:rsid w:val="003448F5"/>
    <w:rsid w:val="0034516C"/>
    <w:rsid w:val="003456A1"/>
    <w:rsid w:val="0034593C"/>
    <w:rsid w:val="00345B0D"/>
    <w:rsid w:val="00345B42"/>
    <w:rsid w:val="00346054"/>
    <w:rsid w:val="00346882"/>
    <w:rsid w:val="0034688A"/>
    <w:rsid w:val="00346AC6"/>
    <w:rsid w:val="003470EF"/>
    <w:rsid w:val="0034720B"/>
    <w:rsid w:val="003472C6"/>
    <w:rsid w:val="00347C7D"/>
    <w:rsid w:val="00350372"/>
    <w:rsid w:val="003508F2"/>
    <w:rsid w:val="00351696"/>
    <w:rsid w:val="0035186E"/>
    <w:rsid w:val="0035188C"/>
    <w:rsid w:val="00351E6A"/>
    <w:rsid w:val="0035228A"/>
    <w:rsid w:val="0035289C"/>
    <w:rsid w:val="0035364F"/>
    <w:rsid w:val="00353854"/>
    <w:rsid w:val="003539FA"/>
    <w:rsid w:val="00353FE4"/>
    <w:rsid w:val="003541BD"/>
    <w:rsid w:val="00354312"/>
    <w:rsid w:val="00354E3C"/>
    <w:rsid w:val="00355FB8"/>
    <w:rsid w:val="00356233"/>
    <w:rsid w:val="00356A10"/>
    <w:rsid w:val="00356DCB"/>
    <w:rsid w:val="00357441"/>
    <w:rsid w:val="003575FC"/>
    <w:rsid w:val="00357AEB"/>
    <w:rsid w:val="00357E03"/>
    <w:rsid w:val="0036004B"/>
    <w:rsid w:val="0036088F"/>
    <w:rsid w:val="00360900"/>
    <w:rsid w:val="00360951"/>
    <w:rsid w:val="00360BC2"/>
    <w:rsid w:val="00360D37"/>
    <w:rsid w:val="00361143"/>
    <w:rsid w:val="003612BD"/>
    <w:rsid w:val="00361648"/>
    <w:rsid w:val="0036186D"/>
    <w:rsid w:val="003619CC"/>
    <w:rsid w:val="003629DA"/>
    <w:rsid w:val="00363534"/>
    <w:rsid w:val="0036369D"/>
    <w:rsid w:val="0036389A"/>
    <w:rsid w:val="00363D06"/>
    <w:rsid w:val="00363EC3"/>
    <w:rsid w:val="00364086"/>
    <w:rsid w:val="003640F9"/>
    <w:rsid w:val="00365485"/>
    <w:rsid w:val="003655B2"/>
    <w:rsid w:val="00365E69"/>
    <w:rsid w:val="00365E9B"/>
    <w:rsid w:val="00366164"/>
    <w:rsid w:val="00366430"/>
    <w:rsid w:val="00366928"/>
    <w:rsid w:val="00366B98"/>
    <w:rsid w:val="00367D0E"/>
    <w:rsid w:val="00367F7D"/>
    <w:rsid w:val="0037024A"/>
    <w:rsid w:val="003707F1"/>
    <w:rsid w:val="00370860"/>
    <w:rsid w:val="00370DD5"/>
    <w:rsid w:val="00371181"/>
    <w:rsid w:val="00371495"/>
    <w:rsid w:val="00371623"/>
    <w:rsid w:val="003718DB"/>
    <w:rsid w:val="00371D74"/>
    <w:rsid w:val="0037265F"/>
    <w:rsid w:val="0037280E"/>
    <w:rsid w:val="00372913"/>
    <w:rsid w:val="00372A10"/>
    <w:rsid w:val="00372B14"/>
    <w:rsid w:val="00372C40"/>
    <w:rsid w:val="00372F5D"/>
    <w:rsid w:val="003731F5"/>
    <w:rsid w:val="0037320B"/>
    <w:rsid w:val="003736D7"/>
    <w:rsid w:val="00373901"/>
    <w:rsid w:val="00373B9F"/>
    <w:rsid w:val="00373F82"/>
    <w:rsid w:val="00373FA4"/>
    <w:rsid w:val="003741F5"/>
    <w:rsid w:val="0037425E"/>
    <w:rsid w:val="003742EE"/>
    <w:rsid w:val="003743FB"/>
    <w:rsid w:val="0037442D"/>
    <w:rsid w:val="00374542"/>
    <w:rsid w:val="0037466F"/>
    <w:rsid w:val="0037474C"/>
    <w:rsid w:val="00374EA4"/>
    <w:rsid w:val="00374F4A"/>
    <w:rsid w:val="003754B6"/>
    <w:rsid w:val="0037563E"/>
    <w:rsid w:val="003759DC"/>
    <w:rsid w:val="00375E82"/>
    <w:rsid w:val="003761FD"/>
    <w:rsid w:val="00376C10"/>
    <w:rsid w:val="00376E77"/>
    <w:rsid w:val="00377077"/>
    <w:rsid w:val="0037778D"/>
    <w:rsid w:val="0037790B"/>
    <w:rsid w:val="00380880"/>
    <w:rsid w:val="00380E05"/>
    <w:rsid w:val="00380F16"/>
    <w:rsid w:val="0038150E"/>
    <w:rsid w:val="00381CE2"/>
    <w:rsid w:val="0038215B"/>
    <w:rsid w:val="0038236B"/>
    <w:rsid w:val="0038273B"/>
    <w:rsid w:val="00382AC5"/>
    <w:rsid w:val="0038301B"/>
    <w:rsid w:val="00383037"/>
    <w:rsid w:val="00383260"/>
    <w:rsid w:val="00383485"/>
    <w:rsid w:val="00383BBE"/>
    <w:rsid w:val="00383C41"/>
    <w:rsid w:val="00383E26"/>
    <w:rsid w:val="00384E6B"/>
    <w:rsid w:val="00385393"/>
    <w:rsid w:val="003854CA"/>
    <w:rsid w:val="003856BC"/>
    <w:rsid w:val="00385942"/>
    <w:rsid w:val="0038597C"/>
    <w:rsid w:val="00385A11"/>
    <w:rsid w:val="00385D20"/>
    <w:rsid w:val="0038640F"/>
    <w:rsid w:val="0038652F"/>
    <w:rsid w:val="00386589"/>
    <w:rsid w:val="00386785"/>
    <w:rsid w:val="00386F98"/>
    <w:rsid w:val="00387FCC"/>
    <w:rsid w:val="003908D5"/>
    <w:rsid w:val="00390AEC"/>
    <w:rsid w:val="00390F12"/>
    <w:rsid w:val="0039182B"/>
    <w:rsid w:val="00391D93"/>
    <w:rsid w:val="0039210A"/>
    <w:rsid w:val="0039309B"/>
    <w:rsid w:val="00393177"/>
    <w:rsid w:val="003931FC"/>
    <w:rsid w:val="00393E5E"/>
    <w:rsid w:val="00393EC2"/>
    <w:rsid w:val="0039420E"/>
    <w:rsid w:val="003942F8"/>
    <w:rsid w:val="003945C6"/>
    <w:rsid w:val="00394C0F"/>
    <w:rsid w:val="00396435"/>
    <w:rsid w:val="00396C23"/>
    <w:rsid w:val="00397293"/>
    <w:rsid w:val="00397C4E"/>
    <w:rsid w:val="00397F43"/>
    <w:rsid w:val="003A050C"/>
    <w:rsid w:val="003A06F4"/>
    <w:rsid w:val="003A073B"/>
    <w:rsid w:val="003A1408"/>
    <w:rsid w:val="003A20C0"/>
    <w:rsid w:val="003A28AA"/>
    <w:rsid w:val="003A2A61"/>
    <w:rsid w:val="003A2F39"/>
    <w:rsid w:val="003A2FBD"/>
    <w:rsid w:val="003A3748"/>
    <w:rsid w:val="003A3CC1"/>
    <w:rsid w:val="003A447B"/>
    <w:rsid w:val="003A48EF"/>
    <w:rsid w:val="003A5536"/>
    <w:rsid w:val="003A5A3F"/>
    <w:rsid w:val="003A5F35"/>
    <w:rsid w:val="003A62A8"/>
    <w:rsid w:val="003A66BF"/>
    <w:rsid w:val="003A6B9B"/>
    <w:rsid w:val="003A6D13"/>
    <w:rsid w:val="003A6E25"/>
    <w:rsid w:val="003A7537"/>
    <w:rsid w:val="003A76A0"/>
    <w:rsid w:val="003A783B"/>
    <w:rsid w:val="003A7950"/>
    <w:rsid w:val="003B024C"/>
    <w:rsid w:val="003B0384"/>
    <w:rsid w:val="003B046A"/>
    <w:rsid w:val="003B04C7"/>
    <w:rsid w:val="003B075E"/>
    <w:rsid w:val="003B0A77"/>
    <w:rsid w:val="003B187E"/>
    <w:rsid w:val="003B2717"/>
    <w:rsid w:val="003B27E0"/>
    <w:rsid w:val="003B2960"/>
    <w:rsid w:val="003B2BB8"/>
    <w:rsid w:val="003B3951"/>
    <w:rsid w:val="003B39DF"/>
    <w:rsid w:val="003B3FA8"/>
    <w:rsid w:val="003B4101"/>
    <w:rsid w:val="003B4603"/>
    <w:rsid w:val="003B47AB"/>
    <w:rsid w:val="003B5CD8"/>
    <w:rsid w:val="003B6795"/>
    <w:rsid w:val="003B684D"/>
    <w:rsid w:val="003B6EC1"/>
    <w:rsid w:val="003B6F4E"/>
    <w:rsid w:val="003B6FDF"/>
    <w:rsid w:val="003B71E0"/>
    <w:rsid w:val="003B732C"/>
    <w:rsid w:val="003B735E"/>
    <w:rsid w:val="003B743A"/>
    <w:rsid w:val="003C0671"/>
    <w:rsid w:val="003C111F"/>
    <w:rsid w:val="003C1302"/>
    <w:rsid w:val="003C1724"/>
    <w:rsid w:val="003C1897"/>
    <w:rsid w:val="003C1BE5"/>
    <w:rsid w:val="003C251B"/>
    <w:rsid w:val="003C269A"/>
    <w:rsid w:val="003C284C"/>
    <w:rsid w:val="003C2E37"/>
    <w:rsid w:val="003C411E"/>
    <w:rsid w:val="003C4A77"/>
    <w:rsid w:val="003C52BD"/>
    <w:rsid w:val="003C5D2B"/>
    <w:rsid w:val="003C5EE3"/>
    <w:rsid w:val="003C6A9F"/>
    <w:rsid w:val="003C6B8A"/>
    <w:rsid w:val="003C71DD"/>
    <w:rsid w:val="003C774C"/>
    <w:rsid w:val="003C7B81"/>
    <w:rsid w:val="003C7E53"/>
    <w:rsid w:val="003D01C4"/>
    <w:rsid w:val="003D1134"/>
    <w:rsid w:val="003D1379"/>
    <w:rsid w:val="003D13BD"/>
    <w:rsid w:val="003D1806"/>
    <w:rsid w:val="003D1FDD"/>
    <w:rsid w:val="003D2CC2"/>
    <w:rsid w:val="003D2F2A"/>
    <w:rsid w:val="003D315A"/>
    <w:rsid w:val="003D4CDD"/>
    <w:rsid w:val="003D5016"/>
    <w:rsid w:val="003D5256"/>
    <w:rsid w:val="003D5957"/>
    <w:rsid w:val="003D5A7D"/>
    <w:rsid w:val="003D6340"/>
    <w:rsid w:val="003D6423"/>
    <w:rsid w:val="003D6706"/>
    <w:rsid w:val="003D7A62"/>
    <w:rsid w:val="003D7DDF"/>
    <w:rsid w:val="003E0068"/>
    <w:rsid w:val="003E0215"/>
    <w:rsid w:val="003E0453"/>
    <w:rsid w:val="003E25EE"/>
    <w:rsid w:val="003E2C3B"/>
    <w:rsid w:val="003E313F"/>
    <w:rsid w:val="003E3524"/>
    <w:rsid w:val="003E3B77"/>
    <w:rsid w:val="003E3B7A"/>
    <w:rsid w:val="003E3C08"/>
    <w:rsid w:val="003E5145"/>
    <w:rsid w:val="003E5918"/>
    <w:rsid w:val="003E5B0A"/>
    <w:rsid w:val="003E5BB6"/>
    <w:rsid w:val="003E5C44"/>
    <w:rsid w:val="003E64C3"/>
    <w:rsid w:val="003E6664"/>
    <w:rsid w:val="003E6E60"/>
    <w:rsid w:val="003E6F4E"/>
    <w:rsid w:val="003E7124"/>
    <w:rsid w:val="003E712C"/>
    <w:rsid w:val="003F00E9"/>
    <w:rsid w:val="003F0B19"/>
    <w:rsid w:val="003F12F9"/>
    <w:rsid w:val="003F1E77"/>
    <w:rsid w:val="003F23B1"/>
    <w:rsid w:val="003F2C3A"/>
    <w:rsid w:val="003F2D0B"/>
    <w:rsid w:val="003F34EA"/>
    <w:rsid w:val="003F3D0A"/>
    <w:rsid w:val="003F3DDE"/>
    <w:rsid w:val="003F49C4"/>
    <w:rsid w:val="003F4B25"/>
    <w:rsid w:val="003F53A8"/>
    <w:rsid w:val="003F650D"/>
    <w:rsid w:val="003F6559"/>
    <w:rsid w:val="003F6A90"/>
    <w:rsid w:val="003F6C59"/>
    <w:rsid w:val="003F722C"/>
    <w:rsid w:val="003F78A7"/>
    <w:rsid w:val="004004ED"/>
    <w:rsid w:val="00400589"/>
    <w:rsid w:val="0040125E"/>
    <w:rsid w:val="0040181A"/>
    <w:rsid w:val="00401F14"/>
    <w:rsid w:val="004026C8"/>
    <w:rsid w:val="00402815"/>
    <w:rsid w:val="00402C28"/>
    <w:rsid w:val="0040313E"/>
    <w:rsid w:val="00403634"/>
    <w:rsid w:val="00403A81"/>
    <w:rsid w:val="0040427D"/>
    <w:rsid w:val="004045AD"/>
    <w:rsid w:val="00405598"/>
    <w:rsid w:val="00405639"/>
    <w:rsid w:val="004056C3"/>
    <w:rsid w:val="00405809"/>
    <w:rsid w:val="00405A41"/>
    <w:rsid w:val="00405EE0"/>
    <w:rsid w:val="00406A9E"/>
    <w:rsid w:val="0040720C"/>
    <w:rsid w:val="004073DC"/>
    <w:rsid w:val="004075E2"/>
    <w:rsid w:val="0041072F"/>
    <w:rsid w:val="0041080F"/>
    <w:rsid w:val="00410C8A"/>
    <w:rsid w:val="00410FA1"/>
    <w:rsid w:val="00411E7C"/>
    <w:rsid w:val="004121AD"/>
    <w:rsid w:val="0041357B"/>
    <w:rsid w:val="00413795"/>
    <w:rsid w:val="00413D04"/>
    <w:rsid w:val="00413DD4"/>
    <w:rsid w:val="00414036"/>
    <w:rsid w:val="00414579"/>
    <w:rsid w:val="004149DE"/>
    <w:rsid w:val="00414A3A"/>
    <w:rsid w:val="00414A9C"/>
    <w:rsid w:val="00414C0B"/>
    <w:rsid w:val="00414C8F"/>
    <w:rsid w:val="00414DCB"/>
    <w:rsid w:val="00414E6E"/>
    <w:rsid w:val="004158E1"/>
    <w:rsid w:val="0041620B"/>
    <w:rsid w:val="00416765"/>
    <w:rsid w:val="00416CE0"/>
    <w:rsid w:val="00416D63"/>
    <w:rsid w:val="00416DA0"/>
    <w:rsid w:val="0041757F"/>
    <w:rsid w:val="00420423"/>
    <w:rsid w:val="00420DB0"/>
    <w:rsid w:val="00421719"/>
    <w:rsid w:val="00421C83"/>
    <w:rsid w:val="00422206"/>
    <w:rsid w:val="0042267E"/>
    <w:rsid w:val="00422C13"/>
    <w:rsid w:val="00422D7E"/>
    <w:rsid w:val="00422E53"/>
    <w:rsid w:val="00422EA1"/>
    <w:rsid w:val="00423A52"/>
    <w:rsid w:val="00423D4C"/>
    <w:rsid w:val="00423F27"/>
    <w:rsid w:val="00423F59"/>
    <w:rsid w:val="00424847"/>
    <w:rsid w:val="004250A5"/>
    <w:rsid w:val="004251DE"/>
    <w:rsid w:val="00425361"/>
    <w:rsid w:val="00425F7E"/>
    <w:rsid w:val="00426151"/>
    <w:rsid w:val="004267BD"/>
    <w:rsid w:val="00426C39"/>
    <w:rsid w:val="00426CE4"/>
    <w:rsid w:val="0042719C"/>
    <w:rsid w:val="00427267"/>
    <w:rsid w:val="004276A7"/>
    <w:rsid w:val="00427775"/>
    <w:rsid w:val="004302BD"/>
    <w:rsid w:val="00430781"/>
    <w:rsid w:val="00432120"/>
    <w:rsid w:val="004321FB"/>
    <w:rsid w:val="0043242F"/>
    <w:rsid w:val="004326B4"/>
    <w:rsid w:val="00432B1A"/>
    <w:rsid w:val="0043375C"/>
    <w:rsid w:val="00433883"/>
    <w:rsid w:val="00433C25"/>
    <w:rsid w:val="004350EE"/>
    <w:rsid w:val="004359AA"/>
    <w:rsid w:val="00435B30"/>
    <w:rsid w:val="00435EB5"/>
    <w:rsid w:val="004362BF"/>
    <w:rsid w:val="004363EA"/>
    <w:rsid w:val="004368A1"/>
    <w:rsid w:val="00436F01"/>
    <w:rsid w:val="004375D0"/>
    <w:rsid w:val="00437B1B"/>
    <w:rsid w:val="004405AC"/>
    <w:rsid w:val="004409F2"/>
    <w:rsid w:val="00440A35"/>
    <w:rsid w:val="00440BA8"/>
    <w:rsid w:val="00441439"/>
    <w:rsid w:val="0044238E"/>
    <w:rsid w:val="0044342D"/>
    <w:rsid w:val="00443472"/>
    <w:rsid w:val="00443CEB"/>
    <w:rsid w:val="00443D80"/>
    <w:rsid w:val="00444011"/>
    <w:rsid w:val="00444621"/>
    <w:rsid w:val="00444D62"/>
    <w:rsid w:val="00445137"/>
    <w:rsid w:val="00445307"/>
    <w:rsid w:val="00445685"/>
    <w:rsid w:val="00446A83"/>
    <w:rsid w:val="00446A8F"/>
    <w:rsid w:val="004472AA"/>
    <w:rsid w:val="00447390"/>
    <w:rsid w:val="00450362"/>
    <w:rsid w:val="004505B0"/>
    <w:rsid w:val="0045088C"/>
    <w:rsid w:val="00450C92"/>
    <w:rsid w:val="00450EF4"/>
    <w:rsid w:val="00450F57"/>
    <w:rsid w:val="00451067"/>
    <w:rsid w:val="004515AA"/>
    <w:rsid w:val="00451781"/>
    <w:rsid w:val="00451E5D"/>
    <w:rsid w:val="0045255A"/>
    <w:rsid w:val="00452972"/>
    <w:rsid w:val="00452EAB"/>
    <w:rsid w:val="004537CE"/>
    <w:rsid w:val="00454187"/>
    <w:rsid w:val="00454A90"/>
    <w:rsid w:val="00454B3C"/>
    <w:rsid w:val="00454FD9"/>
    <w:rsid w:val="00455CFE"/>
    <w:rsid w:val="0045630C"/>
    <w:rsid w:val="004566A3"/>
    <w:rsid w:val="00456F9A"/>
    <w:rsid w:val="00457088"/>
    <w:rsid w:val="0045716D"/>
    <w:rsid w:val="00457A40"/>
    <w:rsid w:val="00457D8B"/>
    <w:rsid w:val="0046038A"/>
    <w:rsid w:val="004604CE"/>
    <w:rsid w:val="00460CDD"/>
    <w:rsid w:val="00461153"/>
    <w:rsid w:val="00461367"/>
    <w:rsid w:val="00462067"/>
    <w:rsid w:val="00462120"/>
    <w:rsid w:val="004626C8"/>
    <w:rsid w:val="00462BB5"/>
    <w:rsid w:val="00462F4E"/>
    <w:rsid w:val="004634DA"/>
    <w:rsid w:val="00463943"/>
    <w:rsid w:val="00463C1D"/>
    <w:rsid w:val="004644FB"/>
    <w:rsid w:val="00464BA5"/>
    <w:rsid w:val="00464DF0"/>
    <w:rsid w:val="00465112"/>
    <w:rsid w:val="00465572"/>
    <w:rsid w:val="004662D0"/>
    <w:rsid w:val="00466A02"/>
    <w:rsid w:val="00467F03"/>
    <w:rsid w:val="00470676"/>
    <w:rsid w:val="004706F9"/>
    <w:rsid w:val="00470F30"/>
    <w:rsid w:val="004712C1"/>
    <w:rsid w:val="00471628"/>
    <w:rsid w:val="004722F1"/>
    <w:rsid w:val="0047283C"/>
    <w:rsid w:val="00473011"/>
    <w:rsid w:val="00473427"/>
    <w:rsid w:val="00473B8E"/>
    <w:rsid w:val="004742CE"/>
    <w:rsid w:val="00474FE7"/>
    <w:rsid w:val="0047521E"/>
    <w:rsid w:val="00475444"/>
    <w:rsid w:val="00475877"/>
    <w:rsid w:val="00475C38"/>
    <w:rsid w:val="00475C8E"/>
    <w:rsid w:val="00475CF9"/>
    <w:rsid w:val="00475EE9"/>
    <w:rsid w:val="004760C9"/>
    <w:rsid w:val="004764D2"/>
    <w:rsid w:val="00476813"/>
    <w:rsid w:val="00476A80"/>
    <w:rsid w:val="00476AF9"/>
    <w:rsid w:val="004773D7"/>
    <w:rsid w:val="0047742B"/>
    <w:rsid w:val="00480120"/>
    <w:rsid w:val="004805FC"/>
    <w:rsid w:val="004808C1"/>
    <w:rsid w:val="00480CA0"/>
    <w:rsid w:val="00480CA1"/>
    <w:rsid w:val="00480FBF"/>
    <w:rsid w:val="004817D8"/>
    <w:rsid w:val="00481C19"/>
    <w:rsid w:val="00481C28"/>
    <w:rsid w:val="00481C3C"/>
    <w:rsid w:val="0048213B"/>
    <w:rsid w:val="0048227E"/>
    <w:rsid w:val="00482592"/>
    <w:rsid w:val="00482622"/>
    <w:rsid w:val="0048264E"/>
    <w:rsid w:val="00483365"/>
    <w:rsid w:val="004836D5"/>
    <w:rsid w:val="0048406B"/>
    <w:rsid w:val="004842EF"/>
    <w:rsid w:val="00484825"/>
    <w:rsid w:val="0048489F"/>
    <w:rsid w:val="00485271"/>
    <w:rsid w:val="00486F6E"/>
    <w:rsid w:val="00486F8E"/>
    <w:rsid w:val="004873A1"/>
    <w:rsid w:val="004874BE"/>
    <w:rsid w:val="0048761A"/>
    <w:rsid w:val="004900AF"/>
    <w:rsid w:val="00490C50"/>
    <w:rsid w:val="00491066"/>
    <w:rsid w:val="0049214B"/>
    <w:rsid w:val="00492323"/>
    <w:rsid w:val="00492E2F"/>
    <w:rsid w:val="004936CC"/>
    <w:rsid w:val="00493AC2"/>
    <w:rsid w:val="00494689"/>
    <w:rsid w:val="004947BA"/>
    <w:rsid w:val="004953A7"/>
    <w:rsid w:val="0049667B"/>
    <w:rsid w:val="00496F7A"/>
    <w:rsid w:val="004A0365"/>
    <w:rsid w:val="004A0771"/>
    <w:rsid w:val="004A0AF3"/>
    <w:rsid w:val="004A0B7E"/>
    <w:rsid w:val="004A0B92"/>
    <w:rsid w:val="004A0E9E"/>
    <w:rsid w:val="004A1392"/>
    <w:rsid w:val="004A1D95"/>
    <w:rsid w:val="004A239A"/>
    <w:rsid w:val="004A23B5"/>
    <w:rsid w:val="004A24CE"/>
    <w:rsid w:val="004A2580"/>
    <w:rsid w:val="004A2737"/>
    <w:rsid w:val="004A2B38"/>
    <w:rsid w:val="004A2D0B"/>
    <w:rsid w:val="004A2D42"/>
    <w:rsid w:val="004A33E2"/>
    <w:rsid w:val="004A359A"/>
    <w:rsid w:val="004A3AF2"/>
    <w:rsid w:val="004A540F"/>
    <w:rsid w:val="004A5D44"/>
    <w:rsid w:val="004A5F61"/>
    <w:rsid w:val="004A683A"/>
    <w:rsid w:val="004A7147"/>
    <w:rsid w:val="004A714C"/>
    <w:rsid w:val="004A75BD"/>
    <w:rsid w:val="004A7CC5"/>
    <w:rsid w:val="004A7DD5"/>
    <w:rsid w:val="004A7E15"/>
    <w:rsid w:val="004B034C"/>
    <w:rsid w:val="004B1421"/>
    <w:rsid w:val="004B1621"/>
    <w:rsid w:val="004B2729"/>
    <w:rsid w:val="004B2B53"/>
    <w:rsid w:val="004B39EA"/>
    <w:rsid w:val="004B3C24"/>
    <w:rsid w:val="004B4706"/>
    <w:rsid w:val="004B5A5B"/>
    <w:rsid w:val="004B5FA2"/>
    <w:rsid w:val="004B5FB9"/>
    <w:rsid w:val="004B6029"/>
    <w:rsid w:val="004B6DA1"/>
    <w:rsid w:val="004B6EA2"/>
    <w:rsid w:val="004B7273"/>
    <w:rsid w:val="004B7DF2"/>
    <w:rsid w:val="004B7E1B"/>
    <w:rsid w:val="004B7EEB"/>
    <w:rsid w:val="004C046B"/>
    <w:rsid w:val="004C0552"/>
    <w:rsid w:val="004C0927"/>
    <w:rsid w:val="004C0C3C"/>
    <w:rsid w:val="004C128B"/>
    <w:rsid w:val="004C1393"/>
    <w:rsid w:val="004C1A11"/>
    <w:rsid w:val="004C1B80"/>
    <w:rsid w:val="004C1F46"/>
    <w:rsid w:val="004C201B"/>
    <w:rsid w:val="004C312F"/>
    <w:rsid w:val="004C5079"/>
    <w:rsid w:val="004C522E"/>
    <w:rsid w:val="004C5701"/>
    <w:rsid w:val="004C5A42"/>
    <w:rsid w:val="004C682A"/>
    <w:rsid w:val="004C69B5"/>
    <w:rsid w:val="004C741D"/>
    <w:rsid w:val="004C76B3"/>
    <w:rsid w:val="004D0504"/>
    <w:rsid w:val="004D0D12"/>
    <w:rsid w:val="004D1695"/>
    <w:rsid w:val="004D1B5B"/>
    <w:rsid w:val="004D1B9F"/>
    <w:rsid w:val="004D1DC5"/>
    <w:rsid w:val="004D2739"/>
    <w:rsid w:val="004D299B"/>
    <w:rsid w:val="004D2A70"/>
    <w:rsid w:val="004D2B2B"/>
    <w:rsid w:val="004D3206"/>
    <w:rsid w:val="004D3549"/>
    <w:rsid w:val="004D3994"/>
    <w:rsid w:val="004D45BD"/>
    <w:rsid w:val="004D5099"/>
    <w:rsid w:val="004D5593"/>
    <w:rsid w:val="004D614E"/>
    <w:rsid w:val="004D61AF"/>
    <w:rsid w:val="004D629F"/>
    <w:rsid w:val="004D6527"/>
    <w:rsid w:val="004D6CBB"/>
    <w:rsid w:val="004D6FB6"/>
    <w:rsid w:val="004D719D"/>
    <w:rsid w:val="004D77A8"/>
    <w:rsid w:val="004D7E7C"/>
    <w:rsid w:val="004E020F"/>
    <w:rsid w:val="004E0F55"/>
    <w:rsid w:val="004E1580"/>
    <w:rsid w:val="004E15BB"/>
    <w:rsid w:val="004E1857"/>
    <w:rsid w:val="004E2378"/>
    <w:rsid w:val="004E26BA"/>
    <w:rsid w:val="004E2B95"/>
    <w:rsid w:val="004E2DA1"/>
    <w:rsid w:val="004E2F95"/>
    <w:rsid w:val="004E34B0"/>
    <w:rsid w:val="004E3DCC"/>
    <w:rsid w:val="004E3F99"/>
    <w:rsid w:val="004E4B7E"/>
    <w:rsid w:val="004E5941"/>
    <w:rsid w:val="004E5E61"/>
    <w:rsid w:val="004E6211"/>
    <w:rsid w:val="004E6B5C"/>
    <w:rsid w:val="004E6CC5"/>
    <w:rsid w:val="004E71D0"/>
    <w:rsid w:val="004E72A9"/>
    <w:rsid w:val="004E73FD"/>
    <w:rsid w:val="004E746A"/>
    <w:rsid w:val="004E7E66"/>
    <w:rsid w:val="004E7FC8"/>
    <w:rsid w:val="004F022A"/>
    <w:rsid w:val="004F0DE3"/>
    <w:rsid w:val="004F1BA4"/>
    <w:rsid w:val="004F1C19"/>
    <w:rsid w:val="004F265B"/>
    <w:rsid w:val="004F2FE4"/>
    <w:rsid w:val="004F38B3"/>
    <w:rsid w:val="004F3AAA"/>
    <w:rsid w:val="004F3B44"/>
    <w:rsid w:val="004F46A0"/>
    <w:rsid w:val="004F5385"/>
    <w:rsid w:val="004F54B0"/>
    <w:rsid w:val="004F54D4"/>
    <w:rsid w:val="004F57B4"/>
    <w:rsid w:val="004F5AC0"/>
    <w:rsid w:val="004F5EB0"/>
    <w:rsid w:val="004F5EBC"/>
    <w:rsid w:val="004F67AD"/>
    <w:rsid w:val="004F6949"/>
    <w:rsid w:val="004F6A5A"/>
    <w:rsid w:val="004F76F5"/>
    <w:rsid w:val="004F7754"/>
    <w:rsid w:val="004F7FE1"/>
    <w:rsid w:val="00500003"/>
    <w:rsid w:val="00500CA1"/>
    <w:rsid w:val="00500E35"/>
    <w:rsid w:val="00501281"/>
    <w:rsid w:val="00501441"/>
    <w:rsid w:val="0050254F"/>
    <w:rsid w:val="00502ABD"/>
    <w:rsid w:val="00503A1E"/>
    <w:rsid w:val="005042B8"/>
    <w:rsid w:val="0050457A"/>
    <w:rsid w:val="00504801"/>
    <w:rsid w:val="00504A96"/>
    <w:rsid w:val="00504B46"/>
    <w:rsid w:val="00504F98"/>
    <w:rsid w:val="0050596D"/>
    <w:rsid w:val="00505D71"/>
    <w:rsid w:val="00506001"/>
    <w:rsid w:val="00506078"/>
    <w:rsid w:val="005065A1"/>
    <w:rsid w:val="005067A7"/>
    <w:rsid w:val="00507169"/>
    <w:rsid w:val="00507299"/>
    <w:rsid w:val="005074B1"/>
    <w:rsid w:val="0050765F"/>
    <w:rsid w:val="00507D8F"/>
    <w:rsid w:val="00510796"/>
    <w:rsid w:val="005107A1"/>
    <w:rsid w:val="0051098B"/>
    <w:rsid w:val="00510C77"/>
    <w:rsid w:val="00510C80"/>
    <w:rsid w:val="005116C1"/>
    <w:rsid w:val="00511B35"/>
    <w:rsid w:val="00512504"/>
    <w:rsid w:val="00512B94"/>
    <w:rsid w:val="00512C03"/>
    <w:rsid w:val="005131DC"/>
    <w:rsid w:val="00513354"/>
    <w:rsid w:val="0051336F"/>
    <w:rsid w:val="00513997"/>
    <w:rsid w:val="005139F9"/>
    <w:rsid w:val="00513AC5"/>
    <w:rsid w:val="0051429D"/>
    <w:rsid w:val="00514390"/>
    <w:rsid w:val="00514F28"/>
    <w:rsid w:val="005153CA"/>
    <w:rsid w:val="00515773"/>
    <w:rsid w:val="005159FE"/>
    <w:rsid w:val="00515CC7"/>
    <w:rsid w:val="00515D08"/>
    <w:rsid w:val="00516096"/>
    <w:rsid w:val="00516296"/>
    <w:rsid w:val="00516410"/>
    <w:rsid w:val="00516698"/>
    <w:rsid w:val="005171CD"/>
    <w:rsid w:val="0051769F"/>
    <w:rsid w:val="00517F4E"/>
    <w:rsid w:val="0052022C"/>
    <w:rsid w:val="00520B27"/>
    <w:rsid w:val="00520C4E"/>
    <w:rsid w:val="005210A3"/>
    <w:rsid w:val="00522F66"/>
    <w:rsid w:val="0052306E"/>
    <w:rsid w:val="00523772"/>
    <w:rsid w:val="00523A8A"/>
    <w:rsid w:val="005243C3"/>
    <w:rsid w:val="00524B2E"/>
    <w:rsid w:val="0052631A"/>
    <w:rsid w:val="00526E11"/>
    <w:rsid w:val="005271CC"/>
    <w:rsid w:val="00527BA7"/>
    <w:rsid w:val="005303D1"/>
    <w:rsid w:val="00530921"/>
    <w:rsid w:val="00531650"/>
    <w:rsid w:val="00531913"/>
    <w:rsid w:val="005320B0"/>
    <w:rsid w:val="00532D80"/>
    <w:rsid w:val="0053329B"/>
    <w:rsid w:val="005338C3"/>
    <w:rsid w:val="00533B20"/>
    <w:rsid w:val="00533DA0"/>
    <w:rsid w:val="00534015"/>
    <w:rsid w:val="005349E5"/>
    <w:rsid w:val="0053566A"/>
    <w:rsid w:val="0053566D"/>
    <w:rsid w:val="00535995"/>
    <w:rsid w:val="00535C80"/>
    <w:rsid w:val="0053607C"/>
    <w:rsid w:val="00536335"/>
    <w:rsid w:val="00536715"/>
    <w:rsid w:val="005371D9"/>
    <w:rsid w:val="00537C4C"/>
    <w:rsid w:val="00540463"/>
    <w:rsid w:val="00540673"/>
    <w:rsid w:val="00540A85"/>
    <w:rsid w:val="005411F7"/>
    <w:rsid w:val="005414AA"/>
    <w:rsid w:val="00541813"/>
    <w:rsid w:val="005418F2"/>
    <w:rsid w:val="00541E29"/>
    <w:rsid w:val="005425E4"/>
    <w:rsid w:val="00542698"/>
    <w:rsid w:val="0054285F"/>
    <w:rsid w:val="00544C0B"/>
    <w:rsid w:val="00544E12"/>
    <w:rsid w:val="00544EE4"/>
    <w:rsid w:val="005451E5"/>
    <w:rsid w:val="00545E1A"/>
    <w:rsid w:val="00545F5A"/>
    <w:rsid w:val="00545FDE"/>
    <w:rsid w:val="0054636C"/>
    <w:rsid w:val="005502CD"/>
    <w:rsid w:val="00550554"/>
    <w:rsid w:val="005513EE"/>
    <w:rsid w:val="00551F66"/>
    <w:rsid w:val="005521BB"/>
    <w:rsid w:val="005521F2"/>
    <w:rsid w:val="005530AB"/>
    <w:rsid w:val="005531F8"/>
    <w:rsid w:val="005533E0"/>
    <w:rsid w:val="00553591"/>
    <w:rsid w:val="005537EC"/>
    <w:rsid w:val="00553AEC"/>
    <w:rsid w:val="00553E73"/>
    <w:rsid w:val="00554772"/>
    <w:rsid w:val="005548C9"/>
    <w:rsid w:val="00554C56"/>
    <w:rsid w:val="005552B2"/>
    <w:rsid w:val="00555D78"/>
    <w:rsid w:val="005563D1"/>
    <w:rsid w:val="0055641D"/>
    <w:rsid w:val="00556F1E"/>
    <w:rsid w:val="005570A7"/>
    <w:rsid w:val="0056063E"/>
    <w:rsid w:val="00560C1F"/>
    <w:rsid w:val="00561082"/>
    <w:rsid w:val="00561AF1"/>
    <w:rsid w:val="00561FC8"/>
    <w:rsid w:val="00562135"/>
    <w:rsid w:val="0056237A"/>
    <w:rsid w:val="00562E45"/>
    <w:rsid w:val="00563086"/>
    <w:rsid w:val="005636C8"/>
    <w:rsid w:val="005637E8"/>
    <w:rsid w:val="00563ABB"/>
    <w:rsid w:val="00564187"/>
    <w:rsid w:val="005642B8"/>
    <w:rsid w:val="005643FA"/>
    <w:rsid w:val="0056449C"/>
    <w:rsid w:val="00564ADB"/>
    <w:rsid w:val="00564F74"/>
    <w:rsid w:val="005652D3"/>
    <w:rsid w:val="00566034"/>
    <w:rsid w:val="005661CF"/>
    <w:rsid w:val="00566AA0"/>
    <w:rsid w:val="00567852"/>
    <w:rsid w:val="00567BEF"/>
    <w:rsid w:val="00570037"/>
    <w:rsid w:val="00570331"/>
    <w:rsid w:val="00570823"/>
    <w:rsid w:val="00570B97"/>
    <w:rsid w:val="00571448"/>
    <w:rsid w:val="00571745"/>
    <w:rsid w:val="00571961"/>
    <w:rsid w:val="00571A99"/>
    <w:rsid w:val="00571F6C"/>
    <w:rsid w:val="00572A0C"/>
    <w:rsid w:val="00573CE7"/>
    <w:rsid w:val="00574101"/>
    <w:rsid w:val="00574B9A"/>
    <w:rsid w:val="005751F8"/>
    <w:rsid w:val="00575568"/>
    <w:rsid w:val="0057568A"/>
    <w:rsid w:val="00575D1D"/>
    <w:rsid w:val="00575DE0"/>
    <w:rsid w:val="00575E67"/>
    <w:rsid w:val="005766E0"/>
    <w:rsid w:val="005769F3"/>
    <w:rsid w:val="00576BAC"/>
    <w:rsid w:val="0057760C"/>
    <w:rsid w:val="005777E2"/>
    <w:rsid w:val="0058184E"/>
    <w:rsid w:val="00581FDB"/>
    <w:rsid w:val="00582248"/>
    <w:rsid w:val="0058231D"/>
    <w:rsid w:val="00582399"/>
    <w:rsid w:val="00582D36"/>
    <w:rsid w:val="00582F17"/>
    <w:rsid w:val="00582F2B"/>
    <w:rsid w:val="00583095"/>
    <w:rsid w:val="0058344A"/>
    <w:rsid w:val="00583DD6"/>
    <w:rsid w:val="00584414"/>
    <w:rsid w:val="005854FF"/>
    <w:rsid w:val="005855F7"/>
    <w:rsid w:val="0058572B"/>
    <w:rsid w:val="00585C13"/>
    <w:rsid w:val="00585E22"/>
    <w:rsid w:val="0058651B"/>
    <w:rsid w:val="00586780"/>
    <w:rsid w:val="005873E4"/>
    <w:rsid w:val="00587668"/>
    <w:rsid w:val="00590286"/>
    <w:rsid w:val="0059099D"/>
    <w:rsid w:val="005909CF"/>
    <w:rsid w:val="00590A8F"/>
    <w:rsid w:val="00590D71"/>
    <w:rsid w:val="00590E3F"/>
    <w:rsid w:val="00590ECD"/>
    <w:rsid w:val="0059109D"/>
    <w:rsid w:val="005913A5"/>
    <w:rsid w:val="005914CC"/>
    <w:rsid w:val="00591B0A"/>
    <w:rsid w:val="00591D20"/>
    <w:rsid w:val="00592220"/>
    <w:rsid w:val="005925C9"/>
    <w:rsid w:val="005928B7"/>
    <w:rsid w:val="00593777"/>
    <w:rsid w:val="00593959"/>
    <w:rsid w:val="00593E2A"/>
    <w:rsid w:val="005942D5"/>
    <w:rsid w:val="0059436B"/>
    <w:rsid w:val="00594C4C"/>
    <w:rsid w:val="00594F38"/>
    <w:rsid w:val="00595A8F"/>
    <w:rsid w:val="00596922"/>
    <w:rsid w:val="00596AFC"/>
    <w:rsid w:val="005977B4"/>
    <w:rsid w:val="005978BA"/>
    <w:rsid w:val="005A0385"/>
    <w:rsid w:val="005A0575"/>
    <w:rsid w:val="005A0988"/>
    <w:rsid w:val="005A2CA0"/>
    <w:rsid w:val="005A2FB9"/>
    <w:rsid w:val="005A2FFA"/>
    <w:rsid w:val="005A38CB"/>
    <w:rsid w:val="005A3F4C"/>
    <w:rsid w:val="005A4028"/>
    <w:rsid w:val="005A4665"/>
    <w:rsid w:val="005A48FA"/>
    <w:rsid w:val="005A4D6D"/>
    <w:rsid w:val="005A4EAB"/>
    <w:rsid w:val="005A51B6"/>
    <w:rsid w:val="005A5441"/>
    <w:rsid w:val="005A5CB2"/>
    <w:rsid w:val="005A63B6"/>
    <w:rsid w:val="005A6EEA"/>
    <w:rsid w:val="005A73BE"/>
    <w:rsid w:val="005A79F1"/>
    <w:rsid w:val="005B0911"/>
    <w:rsid w:val="005B153D"/>
    <w:rsid w:val="005B1946"/>
    <w:rsid w:val="005B20AC"/>
    <w:rsid w:val="005B266A"/>
    <w:rsid w:val="005B27EC"/>
    <w:rsid w:val="005B2F19"/>
    <w:rsid w:val="005B361B"/>
    <w:rsid w:val="005B3EC5"/>
    <w:rsid w:val="005B413E"/>
    <w:rsid w:val="005B41D9"/>
    <w:rsid w:val="005B41FA"/>
    <w:rsid w:val="005B4714"/>
    <w:rsid w:val="005B4974"/>
    <w:rsid w:val="005B533B"/>
    <w:rsid w:val="005B55B3"/>
    <w:rsid w:val="005B577A"/>
    <w:rsid w:val="005B5AA7"/>
    <w:rsid w:val="005B5F1A"/>
    <w:rsid w:val="005B5FAA"/>
    <w:rsid w:val="005B6336"/>
    <w:rsid w:val="005B646C"/>
    <w:rsid w:val="005B6ACD"/>
    <w:rsid w:val="005B6D88"/>
    <w:rsid w:val="005B7DF2"/>
    <w:rsid w:val="005C07AF"/>
    <w:rsid w:val="005C0DE6"/>
    <w:rsid w:val="005C169F"/>
    <w:rsid w:val="005C1BC7"/>
    <w:rsid w:val="005C1F3F"/>
    <w:rsid w:val="005C2751"/>
    <w:rsid w:val="005C2E27"/>
    <w:rsid w:val="005C3C8E"/>
    <w:rsid w:val="005C468F"/>
    <w:rsid w:val="005C4990"/>
    <w:rsid w:val="005C4A64"/>
    <w:rsid w:val="005C4BB4"/>
    <w:rsid w:val="005C50BC"/>
    <w:rsid w:val="005C5229"/>
    <w:rsid w:val="005C54C8"/>
    <w:rsid w:val="005C5BF1"/>
    <w:rsid w:val="005C73F9"/>
    <w:rsid w:val="005C77F1"/>
    <w:rsid w:val="005C78B2"/>
    <w:rsid w:val="005C7F77"/>
    <w:rsid w:val="005D0342"/>
    <w:rsid w:val="005D0696"/>
    <w:rsid w:val="005D0727"/>
    <w:rsid w:val="005D0F15"/>
    <w:rsid w:val="005D1181"/>
    <w:rsid w:val="005D12F0"/>
    <w:rsid w:val="005D1355"/>
    <w:rsid w:val="005D239B"/>
    <w:rsid w:val="005D2FFA"/>
    <w:rsid w:val="005D343D"/>
    <w:rsid w:val="005D355F"/>
    <w:rsid w:val="005D39FB"/>
    <w:rsid w:val="005D3B58"/>
    <w:rsid w:val="005D4202"/>
    <w:rsid w:val="005D4221"/>
    <w:rsid w:val="005D4354"/>
    <w:rsid w:val="005D537D"/>
    <w:rsid w:val="005D6490"/>
    <w:rsid w:val="005D6A21"/>
    <w:rsid w:val="005D6DA4"/>
    <w:rsid w:val="005D6DBA"/>
    <w:rsid w:val="005D7932"/>
    <w:rsid w:val="005D7A1E"/>
    <w:rsid w:val="005E0A2A"/>
    <w:rsid w:val="005E10ED"/>
    <w:rsid w:val="005E19EC"/>
    <w:rsid w:val="005E1E9A"/>
    <w:rsid w:val="005E21A7"/>
    <w:rsid w:val="005E2B18"/>
    <w:rsid w:val="005E3724"/>
    <w:rsid w:val="005E3A50"/>
    <w:rsid w:val="005E45FD"/>
    <w:rsid w:val="005E4912"/>
    <w:rsid w:val="005E4929"/>
    <w:rsid w:val="005E609A"/>
    <w:rsid w:val="005E6590"/>
    <w:rsid w:val="005E697E"/>
    <w:rsid w:val="005E69ED"/>
    <w:rsid w:val="005E6CC2"/>
    <w:rsid w:val="005E6ED9"/>
    <w:rsid w:val="005E7546"/>
    <w:rsid w:val="005E7ABB"/>
    <w:rsid w:val="005E7AC1"/>
    <w:rsid w:val="005F0135"/>
    <w:rsid w:val="005F01CE"/>
    <w:rsid w:val="005F022F"/>
    <w:rsid w:val="005F0AA7"/>
    <w:rsid w:val="005F158E"/>
    <w:rsid w:val="005F1C72"/>
    <w:rsid w:val="005F21EB"/>
    <w:rsid w:val="005F2294"/>
    <w:rsid w:val="005F238D"/>
    <w:rsid w:val="005F2530"/>
    <w:rsid w:val="005F2B01"/>
    <w:rsid w:val="005F3112"/>
    <w:rsid w:val="005F329F"/>
    <w:rsid w:val="005F398F"/>
    <w:rsid w:val="005F4011"/>
    <w:rsid w:val="005F45AB"/>
    <w:rsid w:val="005F45CE"/>
    <w:rsid w:val="005F473B"/>
    <w:rsid w:val="005F4883"/>
    <w:rsid w:val="005F4E5D"/>
    <w:rsid w:val="005F5722"/>
    <w:rsid w:val="005F5729"/>
    <w:rsid w:val="005F579A"/>
    <w:rsid w:val="005F5B2A"/>
    <w:rsid w:val="005F5D92"/>
    <w:rsid w:val="005F5DFE"/>
    <w:rsid w:val="005F5FCD"/>
    <w:rsid w:val="005F6016"/>
    <w:rsid w:val="005F62BE"/>
    <w:rsid w:val="005F704F"/>
    <w:rsid w:val="005F72B8"/>
    <w:rsid w:val="005F72E3"/>
    <w:rsid w:val="005F7705"/>
    <w:rsid w:val="005F7872"/>
    <w:rsid w:val="005F7A6B"/>
    <w:rsid w:val="005F7B07"/>
    <w:rsid w:val="005F7C39"/>
    <w:rsid w:val="00600710"/>
    <w:rsid w:val="00600800"/>
    <w:rsid w:val="0060149F"/>
    <w:rsid w:val="00601539"/>
    <w:rsid w:val="00601A38"/>
    <w:rsid w:val="00601AA8"/>
    <w:rsid w:val="00601B5D"/>
    <w:rsid w:val="00601C68"/>
    <w:rsid w:val="006020EF"/>
    <w:rsid w:val="006024E9"/>
    <w:rsid w:val="0060273C"/>
    <w:rsid w:val="00602761"/>
    <w:rsid w:val="0060351E"/>
    <w:rsid w:val="00603A94"/>
    <w:rsid w:val="00603AAF"/>
    <w:rsid w:val="0060439B"/>
    <w:rsid w:val="006046DD"/>
    <w:rsid w:val="006047F7"/>
    <w:rsid w:val="00604939"/>
    <w:rsid w:val="00604C47"/>
    <w:rsid w:val="00604CB4"/>
    <w:rsid w:val="00604D5C"/>
    <w:rsid w:val="00605FEB"/>
    <w:rsid w:val="006060F8"/>
    <w:rsid w:val="0060619D"/>
    <w:rsid w:val="00607802"/>
    <w:rsid w:val="00607CBF"/>
    <w:rsid w:val="00607DD5"/>
    <w:rsid w:val="00610503"/>
    <w:rsid w:val="00610631"/>
    <w:rsid w:val="0061097B"/>
    <w:rsid w:val="00611109"/>
    <w:rsid w:val="00612896"/>
    <w:rsid w:val="00613271"/>
    <w:rsid w:val="006133AA"/>
    <w:rsid w:val="00613604"/>
    <w:rsid w:val="0061381A"/>
    <w:rsid w:val="00613AA4"/>
    <w:rsid w:val="00613B60"/>
    <w:rsid w:val="00613E3E"/>
    <w:rsid w:val="00613F25"/>
    <w:rsid w:val="00614137"/>
    <w:rsid w:val="0061438D"/>
    <w:rsid w:val="00614B2C"/>
    <w:rsid w:val="00615253"/>
    <w:rsid w:val="0061615F"/>
    <w:rsid w:val="00620196"/>
    <w:rsid w:val="00620498"/>
    <w:rsid w:val="00620978"/>
    <w:rsid w:val="00620C38"/>
    <w:rsid w:val="00621294"/>
    <w:rsid w:val="00621581"/>
    <w:rsid w:val="00621807"/>
    <w:rsid w:val="00621855"/>
    <w:rsid w:val="00621886"/>
    <w:rsid w:val="00621B2B"/>
    <w:rsid w:val="00622523"/>
    <w:rsid w:val="00622699"/>
    <w:rsid w:val="00622E2C"/>
    <w:rsid w:val="00623004"/>
    <w:rsid w:val="006232E7"/>
    <w:rsid w:val="0062333A"/>
    <w:rsid w:val="006235DE"/>
    <w:rsid w:val="006242D4"/>
    <w:rsid w:val="00624513"/>
    <w:rsid w:val="006249C3"/>
    <w:rsid w:val="00624E1F"/>
    <w:rsid w:val="00625116"/>
    <w:rsid w:val="0062539A"/>
    <w:rsid w:val="0062583B"/>
    <w:rsid w:val="006262D8"/>
    <w:rsid w:val="00626C49"/>
    <w:rsid w:val="00627502"/>
    <w:rsid w:val="00627FF6"/>
    <w:rsid w:val="006300DC"/>
    <w:rsid w:val="0063031B"/>
    <w:rsid w:val="00630701"/>
    <w:rsid w:val="006307AE"/>
    <w:rsid w:val="00630EF5"/>
    <w:rsid w:val="00632026"/>
    <w:rsid w:val="00632055"/>
    <w:rsid w:val="0063227E"/>
    <w:rsid w:val="00632504"/>
    <w:rsid w:val="0063271B"/>
    <w:rsid w:val="00633433"/>
    <w:rsid w:val="006339AA"/>
    <w:rsid w:val="00633E97"/>
    <w:rsid w:val="006343D9"/>
    <w:rsid w:val="0063479C"/>
    <w:rsid w:val="00635167"/>
    <w:rsid w:val="006352DD"/>
    <w:rsid w:val="006352F1"/>
    <w:rsid w:val="0063542D"/>
    <w:rsid w:val="00635F46"/>
    <w:rsid w:val="00636224"/>
    <w:rsid w:val="006362B9"/>
    <w:rsid w:val="00636321"/>
    <w:rsid w:val="006366C8"/>
    <w:rsid w:val="00636F7E"/>
    <w:rsid w:val="0063784E"/>
    <w:rsid w:val="0063793E"/>
    <w:rsid w:val="00640407"/>
    <w:rsid w:val="00640BA6"/>
    <w:rsid w:val="00641561"/>
    <w:rsid w:val="00641986"/>
    <w:rsid w:val="00641C40"/>
    <w:rsid w:val="006420E5"/>
    <w:rsid w:val="006428CE"/>
    <w:rsid w:val="006431EB"/>
    <w:rsid w:val="0064322E"/>
    <w:rsid w:val="00643350"/>
    <w:rsid w:val="0064387D"/>
    <w:rsid w:val="00643A5A"/>
    <w:rsid w:val="00643AD0"/>
    <w:rsid w:val="00644002"/>
    <w:rsid w:val="00644266"/>
    <w:rsid w:val="006444E6"/>
    <w:rsid w:val="00644767"/>
    <w:rsid w:val="00644B40"/>
    <w:rsid w:val="00644CDF"/>
    <w:rsid w:val="00644F72"/>
    <w:rsid w:val="0064579C"/>
    <w:rsid w:val="00646002"/>
    <w:rsid w:val="00646090"/>
    <w:rsid w:val="0064636D"/>
    <w:rsid w:val="006466CB"/>
    <w:rsid w:val="00647139"/>
    <w:rsid w:val="00647EDF"/>
    <w:rsid w:val="00650DFB"/>
    <w:rsid w:val="00650E5C"/>
    <w:rsid w:val="00650FA1"/>
    <w:rsid w:val="006514AA"/>
    <w:rsid w:val="006517F4"/>
    <w:rsid w:val="00651848"/>
    <w:rsid w:val="006518A9"/>
    <w:rsid w:val="0065221A"/>
    <w:rsid w:val="00652359"/>
    <w:rsid w:val="006523FF"/>
    <w:rsid w:val="00652CE2"/>
    <w:rsid w:val="00653760"/>
    <w:rsid w:val="00653BD8"/>
    <w:rsid w:val="00653E9C"/>
    <w:rsid w:val="00653F47"/>
    <w:rsid w:val="006543BD"/>
    <w:rsid w:val="00654AFE"/>
    <w:rsid w:val="00654B69"/>
    <w:rsid w:val="00654F2B"/>
    <w:rsid w:val="00654FCC"/>
    <w:rsid w:val="006551AA"/>
    <w:rsid w:val="006557F5"/>
    <w:rsid w:val="00656351"/>
    <w:rsid w:val="00656810"/>
    <w:rsid w:val="0065697B"/>
    <w:rsid w:val="00656DF6"/>
    <w:rsid w:val="00657077"/>
    <w:rsid w:val="0065721B"/>
    <w:rsid w:val="006575DE"/>
    <w:rsid w:val="00657B3A"/>
    <w:rsid w:val="00657C01"/>
    <w:rsid w:val="006601D3"/>
    <w:rsid w:val="006607D1"/>
    <w:rsid w:val="0066096E"/>
    <w:rsid w:val="0066116D"/>
    <w:rsid w:val="00661BA7"/>
    <w:rsid w:val="00661E8B"/>
    <w:rsid w:val="00662C9E"/>
    <w:rsid w:val="00662DC8"/>
    <w:rsid w:val="00662E80"/>
    <w:rsid w:val="006639D4"/>
    <w:rsid w:val="00663CAE"/>
    <w:rsid w:val="00663DD8"/>
    <w:rsid w:val="00664733"/>
    <w:rsid w:val="006648B5"/>
    <w:rsid w:val="00664D47"/>
    <w:rsid w:val="00665626"/>
    <w:rsid w:val="006657FC"/>
    <w:rsid w:val="00666226"/>
    <w:rsid w:val="0066672B"/>
    <w:rsid w:val="00666871"/>
    <w:rsid w:val="00666924"/>
    <w:rsid w:val="006669E1"/>
    <w:rsid w:val="006704A1"/>
    <w:rsid w:val="006704CD"/>
    <w:rsid w:val="006705C3"/>
    <w:rsid w:val="00670D96"/>
    <w:rsid w:val="00671281"/>
    <w:rsid w:val="006713F7"/>
    <w:rsid w:val="00671576"/>
    <w:rsid w:val="006718C5"/>
    <w:rsid w:val="00671BCD"/>
    <w:rsid w:val="00671C41"/>
    <w:rsid w:val="00671CC6"/>
    <w:rsid w:val="006720B9"/>
    <w:rsid w:val="006728F6"/>
    <w:rsid w:val="0067347F"/>
    <w:rsid w:val="0067375A"/>
    <w:rsid w:val="00674EDE"/>
    <w:rsid w:val="006755DF"/>
    <w:rsid w:val="00675CD5"/>
    <w:rsid w:val="00675D37"/>
    <w:rsid w:val="00675F0F"/>
    <w:rsid w:val="00676AE0"/>
    <w:rsid w:val="00676D98"/>
    <w:rsid w:val="00677E4E"/>
    <w:rsid w:val="006806F3"/>
    <w:rsid w:val="00680C51"/>
    <w:rsid w:val="00681052"/>
    <w:rsid w:val="0068114B"/>
    <w:rsid w:val="00681F53"/>
    <w:rsid w:val="00682313"/>
    <w:rsid w:val="006823C0"/>
    <w:rsid w:val="006824BD"/>
    <w:rsid w:val="006826C6"/>
    <w:rsid w:val="0068393C"/>
    <w:rsid w:val="006842D5"/>
    <w:rsid w:val="0068439A"/>
    <w:rsid w:val="006846F6"/>
    <w:rsid w:val="00684E5E"/>
    <w:rsid w:val="0068571E"/>
    <w:rsid w:val="0068578F"/>
    <w:rsid w:val="00685EBD"/>
    <w:rsid w:val="0068682E"/>
    <w:rsid w:val="00686A00"/>
    <w:rsid w:val="00686BC2"/>
    <w:rsid w:val="00686C18"/>
    <w:rsid w:val="00686DE2"/>
    <w:rsid w:val="00687C1B"/>
    <w:rsid w:val="006900C4"/>
    <w:rsid w:val="00690A49"/>
    <w:rsid w:val="00690FD6"/>
    <w:rsid w:val="006913DB"/>
    <w:rsid w:val="0069146B"/>
    <w:rsid w:val="00691634"/>
    <w:rsid w:val="006916F5"/>
    <w:rsid w:val="00691763"/>
    <w:rsid w:val="00691800"/>
    <w:rsid w:val="00691943"/>
    <w:rsid w:val="00691D4D"/>
    <w:rsid w:val="00691E64"/>
    <w:rsid w:val="006924A5"/>
    <w:rsid w:val="00692BB7"/>
    <w:rsid w:val="0069314B"/>
    <w:rsid w:val="006938E1"/>
    <w:rsid w:val="00693DF5"/>
    <w:rsid w:val="0069441F"/>
    <w:rsid w:val="006946E1"/>
    <w:rsid w:val="00694CB9"/>
    <w:rsid w:val="00694FC9"/>
    <w:rsid w:val="0069527C"/>
    <w:rsid w:val="006953F7"/>
    <w:rsid w:val="00695A5F"/>
    <w:rsid w:val="00695ADC"/>
    <w:rsid w:val="00695D0A"/>
    <w:rsid w:val="00696020"/>
    <w:rsid w:val="00697E4F"/>
    <w:rsid w:val="006A0642"/>
    <w:rsid w:val="006A07B5"/>
    <w:rsid w:val="006A08AB"/>
    <w:rsid w:val="006A1551"/>
    <w:rsid w:val="006A1896"/>
    <w:rsid w:val="006A1D4C"/>
    <w:rsid w:val="006A22E3"/>
    <w:rsid w:val="006A2BD8"/>
    <w:rsid w:val="006A2CA0"/>
    <w:rsid w:val="006A313D"/>
    <w:rsid w:val="006A335C"/>
    <w:rsid w:val="006A3428"/>
    <w:rsid w:val="006A394D"/>
    <w:rsid w:val="006A3974"/>
    <w:rsid w:val="006A3A72"/>
    <w:rsid w:val="006A426E"/>
    <w:rsid w:val="006A42B6"/>
    <w:rsid w:val="006A4E4F"/>
    <w:rsid w:val="006A55D9"/>
    <w:rsid w:val="006A6488"/>
    <w:rsid w:val="006A6AE6"/>
    <w:rsid w:val="006A6BB1"/>
    <w:rsid w:val="006A6EE0"/>
    <w:rsid w:val="006A79E1"/>
    <w:rsid w:val="006A7FC5"/>
    <w:rsid w:val="006B020E"/>
    <w:rsid w:val="006B03AD"/>
    <w:rsid w:val="006B161B"/>
    <w:rsid w:val="006B2085"/>
    <w:rsid w:val="006B2477"/>
    <w:rsid w:val="006B2962"/>
    <w:rsid w:val="006B29CF"/>
    <w:rsid w:val="006B2AF0"/>
    <w:rsid w:val="006B375E"/>
    <w:rsid w:val="006B384A"/>
    <w:rsid w:val="006B3A9F"/>
    <w:rsid w:val="006B43B1"/>
    <w:rsid w:val="006B4788"/>
    <w:rsid w:val="006B491E"/>
    <w:rsid w:val="006B4D63"/>
    <w:rsid w:val="006B57D5"/>
    <w:rsid w:val="006B5AC0"/>
    <w:rsid w:val="006B6007"/>
    <w:rsid w:val="006B64F7"/>
    <w:rsid w:val="006B6E43"/>
    <w:rsid w:val="006B7237"/>
    <w:rsid w:val="006B75E5"/>
    <w:rsid w:val="006B761D"/>
    <w:rsid w:val="006B7ADC"/>
    <w:rsid w:val="006B7F12"/>
    <w:rsid w:val="006C01D1"/>
    <w:rsid w:val="006C0407"/>
    <w:rsid w:val="006C121F"/>
    <w:rsid w:val="006C1D42"/>
    <w:rsid w:val="006C1DD4"/>
    <w:rsid w:val="006C2916"/>
    <w:rsid w:val="006C2BD7"/>
    <w:rsid w:val="006C2CD4"/>
    <w:rsid w:val="006C3E51"/>
    <w:rsid w:val="006C418E"/>
    <w:rsid w:val="006C4292"/>
    <w:rsid w:val="006C46AB"/>
    <w:rsid w:val="006C4A32"/>
    <w:rsid w:val="006C4DBC"/>
    <w:rsid w:val="006C7378"/>
    <w:rsid w:val="006C7CCD"/>
    <w:rsid w:val="006D078A"/>
    <w:rsid w:val="006D10A1"/>
    <w:rsid w:val="006D1129"/>
    <w:rsid w:val="006D1151"/>
    <w:rsid w:val="006D14A0"/>
    <w:rsid w:val="006D19AE"/>
    <w:rsid w:val="006D2032"/>
    <w:rsid w:val="006D2405"/>
    <w:rsid w:val="006D24BB"/>
    <w:rsid w:val="006D2F90"/>
    <w:rsid w:val="006D3360"/>
    <w:rsid w:val="006D3613"/>
    <w:rsid w:val="006D3B51"/>
    <w:rsid w:val="006D3D4F"/>
    <w:rsid w:val="006D4799"/>
    <w:rsid w:val="006D4854"/>
    <w:rsid w:val="006D4AB8"/>
    <w:rsid w:val="006D4F73"/>
    <w:rsid w:val="006D55CD"/>
    <w:rsid w:val="006D57D4"/>
    <w:rsid w:val="006D5AC8"/>
    <w:rsid w:val="006D5E6B"/>
    <w:rsid w:val="006D6064"/>
    <w:rsid w:val="006D6648"/>
    <w:rsid w:val="006D6B1D"/>
    <w:rsid w:val="006D6DF5"/>
    <w:rsid w:val="006D7006"/>
    <w:rsid w:val="006D7E58"/>
    <w:rsid w:val="006E00BF"/>
    <w:rsid w:val="006E0DB3"/>
    <w:rsid w:val="006E2049"/>
    <w:rsid w:val="006E20E7"/>
    <w:rsid w:val="006E269C"/>
    <w:rsid w:val="006E26EF"/>
    <w:rsid w:val="006E2833"/>
    <w:rsid w:val="006E28FB"/>
    <w:rsid w:val="006E29C6"/>
    <w:rsid w:val="006E3A98"/>
    <w:rsid w:val="006E3CCA"/>
    <w:rsid w:val="006E3F18"/>
    <w:rsid w:val="006E437B"/>
    <w:rsid w:val="006E47A7"/>
    <w:rsid w:val="006E485A"/>
    <w:rsid w:val="006E48E1"/>
    <w:rsid w:val="006E4DFF"/>
    <w:rsid w:val="006E4F94"/>
    <w:rsid w:val="006E57E9"/>
    <w:rsid w:val="006E6178"/>
    <w:rsid w:val="006E62DA"/>
    <w:rsid w:val="006E6A05"/>
    <w:rsid w:val="006E6BAB"/>
    <w:rsid w:val="006E796A"/>
    <w:rsid w:val="006E7A07"/>
    <w:rsid w:val="006E7D05"/>
    <w:rsid w:val="006E7DB3"/>
    <w:rsid w:val="006E7F75"/>
    <w:rsid w:val="006F042E"/>
    <w:rsid w:val="006F0C00"/>
    <w:rsid w:val="006F11BC"/>
    <w:rsid w:val="006F165A"/>
    <w:rsid w:val="006F18AD"/>
    <w:rsid w:val="006F19D3"/>
    <w:rsid w:val="006F21D1"/>
    <w:rsid w:val="006F34E3"/>
    <w:rsid w:val="006F38F1"/>
    <w:rsid w:val="006F4297"/>
    <w:rsid w:val="006F442A"/>
    <w:rsid w:val="006F4D43"/>
    <w:rsid w:val="006F4D4B"/>
    <w:rsid w:val="006F5771"/>
    <w:rsid w:val="006F627D"/>
    <w:rsid w:val="006F684E"/>
    <w:rsid w:val="006F728A"/>
    <w:rsid w:val="007008D6"/>
    <w:rsid w:val="00700B2C"/>
    <w:rsid w:val="0070108A"/>
    <w:rsid w:val="0070144C"/>
    <w:rsid w:val="007015BC"/>
    <w:rsid w:val="00701769"/>
    <w:rsid w:val="00702783"/>
    <w:rsid w:val="00703029"/>
    <w:rsid w:val="0070345C"/>
    <w:rsid w:val="00703535"/>
    <w:rsid w:val="0070448A"/>
    <w:rsid w:val="007045F7"/>
    <w:rsid w:val="00704C1D"/>
    <w:rsid w:val="007050B8"/>
    <w:rsid w:val="0070523D"/>
    <w:rsid w:val="00705457"/>
    <w:rsid w:val="00705B7F"/>
    <w:rsid w:val="00705BD2"/>
    <w:rsid w:val="007063E3"/>
    <w:rsid w:val="00706B28"/>
    <w:rsid w:val="00706C17"/>
    <w:rsid w:val="007071AA"/>
    <w:rsid w:val="0070721B"/>
    <w:rsid w:val="00707A67"/>
    <w:rsid w:val="00707B19"/>
    <w:rsid w:val="007102BA"/>
    <w:rsid w:val="007109DB"/>
    <w:rsid w:val="00710E3C"/>
    <w:rsid w:val="00711087"/>
    <w:rsid w:val="00711DC8"/>
    <w:rsid w:val="007120CE"/>
    <w:rsid w:val="0071223C"/>
    <w:rsid w:val="00712833"/>
    <w:rsid w:val="0071378B"/>
    <w:rsid w:val="00713997"/>
    <w:rsid w:val="0071442D"/>
    <w:rsid w:val="0071481A"/>
    <w:rsid w:val="007149DB"/>
    <w:rsid w:val="00714F73"/>
    <w:rsid w:val="00715574"/>
    <w:rsid w:val="00715633"/>
    <w:rsid w:val="00715D9F"/>
    <w:rsid w:val="00716114"/>
    <w:rsid w:val="0071642D"/>
    <w:rsid w:val="007169FE"/>
    <w:rsid w:val="00717A17"/>
    <w:rsid w:val="00717FB0"/>
    <w:rsid w:val="00720302"/>
    <w:rsid w:val="0072053D"/>
    <w:rsid w:val="00720568"/>
    <w:rsid w:val="007206C5"/>
    <w:rsid w:val="00720AFD"/>
    <w:rsid w:val="00720D4F"/>
    <w:rsid w:val="00721283"/>
    <w:rsid w:val="00721E5F"/>
    <w:rsid w:val="00722A19"/>
    <w:rsid w:val="00723418"/>
    <w:rsid w:val="00723AAB"/>
    <w:rsid w:val="00723F83"/>
    <w:rsid w:val="007243E2"/>
    <w:rsid w:val="0072462C"/>
    <w:rsid w:val="007246B5"/>
    <w:rsid w:val="00724B66"/>
    <w:rsid w:val="00724CEF"/>
    <w:rsid w:val="0072512E"/>
    <w:rsid w:val="007252B7"/>
    <w:rsid w:val="00725430"/>
    <w:rsid w:val="00725D67"/>
    <w:rsid w:val="00726370"/>
    <w:rsid w:val="00726580"/>
    <w:rsid w:val="00726A2E"/>
    <w:rsid w:val="00726F54"/>
    <w:rsid w:val="007270B5"/>
    <w:rsid w:val="007273BA"/>
    <w:rsid w:val="0072754D"/>
    <w:rsid w:val="00730409"/>
    <w:rsid w:val="0073131A"/>
    <w:rsid w:val="00731DDE"/>
    <w:rsid w:val="0073291F"/>
    <w:rsid w:val="00732AF2"/>
    <w:rsid w:val="00732C30"/>
    <w:rsid w:val="00732EB9"/>
    <w:rsid w:val="007333FD"/>
    <w:rsid w:val="0073357A"/>
    <w:rsid w:val="00733C08"/>
    <w:rsid w:val="00733F8E"/>
    <w:rsid w:val="0073441E"/>
    <w:rsid w:val="00734C26"/>
    <w:rsid w:val="00734C6D"/>
    <w:rsid w:val="00734E32"/>
    <w:rsid w:val="00734E7C"/>
    <w:rsid w:val="00734FBB"/>
    <w:rsid w:val="007353CC"/>
    <w:rsid w:val="00735A81"/>
    <w:rsid w:val="00735C88"/>
    <w:rsid w:val="00735D5D"/>
    <w:rsid w:val="00735D72"/>
    <w:rsid w:val="00735E3F"/>
    <w:rsid w:val="0073603C"/>
    <w:rsid w:val="00736051"/>
    <w:rsid w:val="0073607D"/>
    <w:rsid w:val="00737F9A"/>
    <w:rsid w:val="00740153"/>
    <w:rsid w:val="00740A66"/>
    <w:rsid w:val="00740A9B"/>
    <w:rsid w:val="00740B41"/>
    <w:rsid w:val="00740E61"/>
    <w:rsid w:val="007418D7"/>
    <w:rsid w:val="0074272E"/>
    <w:rsid w:val="0074351B"/>
    <w:rsid w:val="007436FD"/>
    <w:rsid w:val="00743AFB"/>
    <w:rsid w:val="00743BE2"/>
    <w:rsid w:val="00744864"/>
    <w:rsid w:val="00744953"/>
    <w:rsid w:val="007450EF"/>
    <w:rsid w:val="007457A8"/>
    <w:rsid w:val="00745935"/>
    <w:rsid w:val="0074593D"/>
    <w:rsid w:val="00745D4B"/>
    <w:rsid w:val="0074610A"/>
    <w:rsid w:val="00746770"/>
    <w:rsid w:val="007467F7"/>
    <w:rsid w:val="00746B21"/>
    <w:rsid w:val="007476BC"/>
    <w:rsid w:val="007479A3"/>
    <w:rsid w:val="00750408"/>
    <w:rsid w:val="00750481"/>
    <w:rsid w:val="0075063B"/>
    <w:rsid w:val="00750A82"/>
    <w:rsid w:val="007514BF"/>
    <w:rsid w:val="007520B4"/>
    <w:rsid w:val="00752951"/>
    <w:rsid w:val="00752A13"/>
    <w:rsid w:val="00753CC2"/>
    <w:rsid w:val="00753F79"/>
    <w:rsid w:val="00754ABC"/>
    <w:rsid w:val="00754CB9"/>
    <w:rsid w:val="007555DE"/>
    <w:rsid w:val="00755F44"/>
    <w:rsid w:val="00757C93"/>
    <w:rsid w:val="0076015D"/>
    <w:rsid w:val="00760459"/>
    <w:rsid w:val="007610C1"/>
    <w:rsid w:val="00761831"/>
    <w:rsid w:val="00761A9E"/>
    <w:rsid w:val="00761BAF"/>
    <w:rsid w:val="00762472"/>
    <w:rsid w:val="007625E4"/>
    <w:rsid w:val="00762ADC"/>
    <w:rsid w:val="00762C1E"/>
    <w:rsid w:val="00762E6B"/>
    <w:rsid w:val="00763028"/>
    <w:rsid w:val="00763035"/>
    <w:rsid w:val="00763B38"/>
    <w:rsid w:val="00764045"/>
    <w:rsid w:val="00764200"/>
    <w:rsid w:val="00764741"/>
    <w:rsid w:val="00764776"/>
    <w:rsid w:val="007652CC"/>
    <w:rsid w:val="0076543D"/>
    <w:rsid w:val="007656B1"/>
    <w:rsid w:val="007657E5"/>
    <w:rsid w:val="00765B12"/>
    <w:rsid w:val="00765BFB"/>
    <w:rsid w:val="00765E0D"/>
    <w:rsid w:val="00765E33"/>
    <w:rsid w:val="0076632E"/>
    <w:rsid w:val="00766807"/>
    <w:rsid w:val="00766C72"/>
    <w:rsid w:val="00767522"/>
    <w:rsid w:val="007675F7"/>
    <w:rsid w:val="0076791A"/>
    <w:rsid w:val="00767B0B"/>
    <w:rsid w:val="0077038D"/>
    <w:rsid w:val="00770A70"/>
    <w:rsid w:val="0077120A"/>
    <w:rsid w:val="007714E1"/>
    <w:rsid w:val="00771517"/>
    <w:rsid w:val="00772275"/>
    <w:rsid w:val="00772915"/>
    <w:rsid w:val="00772C13"/>
    <w:rsid w:val="00772D77"/>
    <w:rsid w:val="00773E96"/>
    <w:rsid w:val="007740B3"/>
    <w:rsid w:val="00774A27"/>
    <w:rsid w:val="007752B2"/>
    <w:rsid w:val="0077533A"/>
    <w:rsid w:val="007753B7"/>
    <w:rsid w:val="007755CF"/>
    <w:rsid w:val="007767FB"/>
    <w:rsid w:val="007773D8"/>
    <w:rsid w:val="00777478"/>
    <w:rsid w:val="00777C85"/>
    <w:rsid w:val="00777DF0"/>
    <w:rsid w:val="00777DF9"/>
    <w:rsid w:val="00777E5C"/>
    <w:rsid w:val="00780039"/>
    <w:rsid w:val="00780246"/>
    <w:rsid w:val="0078025F"/>
    <w:rsid w:val="00780265"/>
    <w:rsid w:val="007802EB"/>
    <w:rsid w:val="007803BD"/>
    <w:rsid w:val="0078049A"/>
    <w:rsid w:val="00780824"/>
    <w:rsid w:val="00780FFC"/>
    <w:rsid w:val="0078147C"/>
    <w:rsid w:val="00781696"/>
    <w:rsid w:val="00781923"/>
    <w:rsid w:val="00781A60"/>
    <w:rsid w:val="007821DB"/>
    <w:rsid w:val="00783024"/>
    <w:rsid w:val="00783BB6"/>
    <w:rsid w:val="00783BDA"/>
    <w:rsid w:val="007847DF"/>
    <w:rsid w:val="00784968"/>
    <w:rsid w:val="007850DA"/>
    <w:rsid w:val="007852AB"/>
    <w:rsid w:val="00786924"/>
    <w:rsid w:val="00786D2C"/>
    <w:rsid w:val="00786D98"/>
    <w:rsid w:val="00786F42"/>
    <w:rsid w:val="00787164"/>
    <w:rsid w:val="00787190"/>
    <w:rsid w:val="007874F7"/>
    <w:rsid w:val="007876C5"/>
    <w:rsid w:val="007876EB"/>
    <w:rsid w:val="007900C8"/>
    <w:rsid w:val="007912A0"/>
    <w:rsid w:val="007912E2"/>
    <w:rsid w:val="007919A3"/>
    <w:rsid w:val="00792DCD"/>
    <w:rsid w:val="0079334B"/>
    <w:rsid w:val="00793A79"/>
    <w:rsid w:val="00793C2E"/>
    <w:rsid w:val="00794041"/>
    <w:rsid w:val="0079414A"/>
    <w:rsid w:val="007941DD"/>
    <w:rsid w:val="007947E0"/>
    <w:rsid w:val="00794F48"/>
    <w:rsid w:val="00795131"/>
    <w:rsid w:val="007951DB"/>
    <w:rsid w:val="00795AAF"/>
    <w:rsid w:val="00795BB1"/>
    <w:rsid w:val="00795FA9"/>
    <w:rsid w:val="007966BA"/>
    <w:rsid w:val="007969F3"/>
    <w:rsid w:val="00796A15"/>
    <w:rsid w:val="00796C53"/>
    <w:rsid w:val="00796E78"/>
    <w:rsid w:val="00797205"/>
    <w:rsid w:val="007A095F"/>
    <w:rsid w:val="007A0C84"/>
    <w:rsid w:val="007A19E3"/>
    <w:rsid w:val="007A26A9"/>
    <w:rsid w:val="007A2BBC"/>
    <w:rsid w:val="007A2C07"/>
    <w:rsid w:val="007A2C8F"/>
    <w:rsid w:val="007A2F3A"/>
    <w:rsid w:val="007A306F"/>
    <w:rsid w:val="007A371C"/>
    <w:rsid w:val="007A3ACC"/>
    <w:rsid w:val="007A474E"/>
    <w:rsid w:val="007A518C"/>
    <w:rsid w:val="007A52A9"/>
    <w:rsid w:val="007A5833"/>
    <w:rsid w:val="007A59B2"/>
    <w:rsid w:val="007A5E36"/>
    <w:rsid w:val="007A5E9D"/>
    <w:rsid w:val="007A61E6"/>
    <w:rsid w:val="007A6350"/>
    <w:rsid w:val="007A64F9"/>
    <w:rsid w:val="007A65D7"/>
    <w:rsid w:val="007A6CC7"/>
    <w:rsid w:val="007A6DC5"/>
    <w:rsid w:val="007A7234"/>
    <w:rsid w:val="007A7344"/>
    <w:rsid w:val="007A79BB"/>
    <w:rsid w:val="007A7D4F"/>
    <w:rsid w:val="007B01E0"/>
    <w:rsid w:val="007B04A7"/>
    <w:rsid w:val="007B0A52"/>
    <w:rsid w:val="007B10F0"/>
    <w:rsid w:val="007B1856"/>
    <w:rsid w:val="007B1B64"/>
    <w:rsid w:val="007B1C27"/>
    <w:rsid w:val="007B2812"/>
    <w:rsid w:val="007B282D"/>
    <w:rsid w:val="007B325A"/>
    <w:rsid w:val="007B35B3"/>
    <w:rsid w:val="007B3842"/>
    <w:rsid w:val="007B4C40"/>
    <w:rsid w:val="007B5141"/>
    <w:rsid w:val="007B59A5"/>
    <w:rsid w:val="007B5BC0"/>
    <w:rsid w:val="007B5D08"/>
    <w:rsid w:val="007B62A2"/>
    <w:rsid w:val="007B6B62"/>
    <w:rsid w:val="007B7327"/>
    <w:rsid w:val="007B742F"/>
    <w:rsid w:val="007B7772"/>
    <w:rsid w:val="007B78DA"/>
    <w:rsid w:val="007C0017"/>
    <w:rsid w:val="007C0026"/>
    <w:rsid w:val="007C02C5"/>
    <w:rsid w:val="007C066D"/>
    <w:rsid w:val="007C0C43"/>
    <w:rsid w:val="007C0CE8"/>
    <w:rsid w:val="007C0E10"/>
    <w:rsid w:val="007C0F6F"/>
    <w:rsid w:val="007C14D8"/>
    <w:rsid w:val="007C1843"/>
    <w:rsid w:val="007C1BE8"/>
    <w:rsid w:val="007C1DF7"/>
    <w:rsid w:val="007C1FBF"/>
    <w:rsid w:val="007C22A9"/>
    <w:rsid w:val="007C27A1"/>
    <w:rsid w:val="007C28AB"/>
    <w:rsid w:val="007C3A54"/>
    <w:rsid w:val="007C3B60"/>
    <w:rsid w:val="007C3EF1"/>
    <w:rsid w:val="007C4114"/>
    <w:rsid w:val="007C47B9"/>
    <w:rsid w:val="007C481E"/>
    <w:rsid w:val="007C53A2"/>
    <w:rsid w:val="007C58ED"/>
    <w:rsid w:val="007C609F"/>
    <w:rsid w:val="007C6156"/>
    <w:rsid w:val="007C6226"/>
    <w:rsid w:val="007C6927"/>
    <w:rsid w:val="007C6C43"/>
    <w:rsid w:val="007C78B1"/>
    <w:rsid w:val="007C79CA"/>
    <w:rsid w:val="007C7D0F"/>
    <w:rsid w:val="007D0889"/>
    <w:rsid w:val="007D1159"/>
    <w:rsid w:val="007D12AA"/>
    <w:rsid w:val="007D16AD"/>
    <w:rsid w:val="007D1AB5"/>
    <w:rsid w:val="007D2B10"/>
    <w:rsid w:val="007D2B18"/>
    <w:rsid w:val="007D3B7A"/>
    <w:rsid w:val="007D4232"/>
    <w:rsid w:val="007D5400"/>
    <w:rsid w:val="007D5834"/>
    <w:rsid w:val="007D6413"/>
    <w:rsid w:val="007D7223"/>
    <w:rsid w:val="007D77DB"/>
    <w:rsid w:val="007D7C72"/>
    <w:rsid w:val="007D7F6C"/>
    <w:rsid w:val="007E03B4"/>
    <w:rsid w:val="007E0E26"/>
    <w:rsid w:val="007E0FD3"/>
    <w:rsid w:val="007E12F7"/>
    <w:rsid w:val="007E15F8"/>
    <w:rsid w:val="007E172C"/>
    <w:rsid w:val="007E1A6A"/>
    <w:rsid w:val="007E1EE8"/>
    <w:rsid w:val="007E1FBE"/>
    <w:rsid w:val="007E2220"/>
    <w:rsid w:val="007E245C"/>
    <w:rsid w:val="007E2A1F"/>
    <w:rsid w:val="007E345E"/>
    <w:rsid w:val="007E365F"/>
    <w:rsid w:val="007E3693"/>
    <w:rsid w:val="007E3C78"/>
    <w:rsid w:val="007E3F47"/>
    <w:rsid w:val="007E4266"/>
    <w:rsid w:val="007E46F7"/>
    <w:rsid w:val="007E4A60"/>
    <w:rsid w:val="007E5ABC"/>
    <w:rsid w:val="007E62B1"/>
    <w:rsid w:val="007E6718"/>
    <w:rsid w:val="007E711C"/>
    <w:rsid w:val="007E73C7"/>
    <w:rsid w:val="007E7902"/>
    <w:rsid w:val="007E7932"/>
    <w:rsid w:val="007E7D7E"/>
    <w:rsid w:val="007F0D92"/>
    <w:rsid w:val="007F0F1D"/>
    <w:rsid w:val="007F14A2"/>
    <w:rsid w:val="007F23A2"/>
    <w:rsid w:val="007F26DD"/>
    <w:rsid w:val="007F343E"/>
    <w:rsid w:val="007F3C25"/>
    <w:rsid w:val="007F3D5F"/>
    <w:rsid w:val="007F3F22"/>
    <w:rsid w:val="007F4664"/>
    <w:rsid w:val="007F467E"/>
    <w:rsid w:val="007F474D"/>
    <w:rsid w:val="007F478D"/>
    <w:rsid w:val="007F4D77"/>
    <w:rsid w:val="007F4FB6"/>
    <w:rsid w:val="007F5289"/>
    <w:rsid w:val="007F55E8"/>
    <w:rsid w:val="007F5813"/>
    <w:rsid w:val="007F59D7"/>
    <w:rsid w:val="007F66FC"/>
    <w:rsid w:val="007F6708"/>
    <w:rsid w:val="007F67AE"/>
    <w:rsid w:val="007F68C0"/>
    <w:rsid w:val="007F7085"/>
    <w:rsid w:val="007F72B7"/>
    <w:rsid w:val="007F73E4"/>
    <w:rsid w:val="007F77D2"/>
    <w:rsid w:val="007F79C3"/>
    <w:rsid w:val="007F7F97"/>
    <w:rsid w:val="008002D7"/>
    <w:rsid w:val="008006F3"/>
    <w:rsid w:val="00800E4F"/>
    <w:rsid w:val="008013C2"/>
    <w:rsid w:val="00801983"/>
    <w:rsid w:val="00801A25"/>
    <w:rsid w:val="0080279C"/>
    <w:rsid w:val="0080299A"/>
    <w:rsid w:val="00802A39"/>
    <w:rsid w:val="00802AF1"/>
    <w:rsid w:val="0080385B"/>
    <w:rsid w:val="00803919"/>
    <w:rsid w:val="00803B88"/>
    <w:rsid w:val="008058E8"/>
    <w:rsid w:val="008070FC"/>
    <w:rsid w:val="00807506"/>
    <w:rsid w:val="008078DF"/>
    <w:rsid w:val="00807D09"/>
    <w:rsid w:val="00807ECC"/>
    <w:rsid w:val="00807ED1"/>
    <w:rsid w:val="0081005F"/>
    <w:rsid w:val="0081006B"/>
    <w:rsid w:val="008100F2"/>
    <w:rsid w:val="00810B40"/>
    <w:rsid w:val="00810E82"/>
    <w:rsid w:val="00811034"/>
    <w:rsid w:val="00811337"/>
    <w:rsid w:val="00811AAA"/>
    <w:rsid w:val="00811B8B"/>
    <w:rsid w:val="008121E5"/>
    <w:rsid w:val="0081227C"/>
    <w:rsid w:val="00812681"/>
    <w:rsid w:val="0081273C"/>
    <w:rsid w:val="008128DE"/>
    <w:rsid w:val="00812D27"/>
    <w:rsid w:val="008138D8"/>
    <w:rsid w:val="008139FC"/>
    <w:rsid w:val="00813BFD"/>
    <w:rsid w:val="00813C3E"/>
    <w:rsid w:val="00814339"/>
    <w:rsid w:val="0081461D"/>
    <w:rsid w:val="008146DA"/>
    <w:rsid w:val="00815068"/>
    <w:rsid w:val="00815233"/>
    <w:rsid w:val="00815332"/>
    <w:rsid w:val="008154E6"/>
    <w:rsid w:val="00815A50"/>
    <w:rsid w:val="00816A2D"/>
    <w:rsid w:val="00816D6B"/>
    <w:rsid w:val="008179B7"/>
    <w:rsid w:val="00817A38"/>
    <w:rsid w:val="00817D5D"/>
    <w:rsid w:val="0082093A"/>
    <w:rsid w:val="00821722"/>
    <w:rsid w:val="008220A9"/>
    <w:rsid w:val="00822349"/>
    <w:rsid w:val="0082271A"/>
    <w:rsid w:val="0082284E"/>
    <w:rsid w:val="008228F3"/>
    <w:rsid w:val="0082292B"/>
    <w:rsid w:val="00822C1A"/>
    <w:rsid w:val="008232C4"/>
    <w:rsid w:val="008234C7"/>
    <w:rsid w:val="00823EDB"/>
    <w:rsid w:val="00824398"/>
    <w:rsid w:val="00824A7C"/>
    <w:rsid w:val="00824C24"/>
    <w:rsid w:val="00824CCD"/>
    <w:rsid w:val="00824EF7"/>
    <w:rsid w:val="00825B46"/>
    <w:rsid w:val="00825BAC"/>
    <w:rsid w:val="008267B6"/>
    <w:rsid w:val="00826D7D"/>
    <w:rsid w:val="00826E5D"/>
    <w:rsid w:val="00826EC7"/>
    <w:rsid w:val="00826EE9"/>
    <w:rsid w:val="0082730B"/>
    <w:rsid w:val="00827568"/>
    <w:rsid w:val="0082791A"/>
    <w:rsid w:val="00827C92"/>
    <w:rsid w:val="00827E02"/>
    <w:rsid w:val="00830189"/>
    <w:rsid w:val="00830313"/>
    <w:rsid w:val="00830A1A"/>
    <w:rsid w:val="00830E1D"/>
    <w:rsid w:val="008327E8"/>
    <w:rsid w:val="00832E31"/>
    <w:rsid w:val="00833C6C"/>
    <w:rsid w:val="00834123"/>
    <w:rsid w:val="00834188"/>
    <w:rsid w:val="00834943"/>
    <w:rsid w:val="00834A70"/>
    <w:rsid w:val="008350FF"/>
    <w:rsid w:val="008351CC"/>
    <w:rsid w:val="00835784"/>
    <w:rsid w:val="00836572"/>
    <w:rsid w:val="00836726"/>
    <w:rsid w:val="00836DFB"/>
    <w:rsid w:val="00837121"/>
    <w:rsid w:val="00837189"/>
    <w:rsid w:val="0083729D"/>
    <w:rsid w:val="00837EF2"/>
    <w:rsid w:val="008400AA"/>
    <w:rsid w:val="008403BC"/>
    <w:rsid w:val="00840827"/>
    <w:rsid w:val="008422B6"/>
    <w:rsid w:val="00842611"/>
    <w:rsid w:val="00842EAC"/>
    <w:rsid w:val="00843D4C"/>
    <w:rsid w:val="00843D6C"/>
    <w:rsid w:val="00844323"/>
    <w:rsid w:val="0084447D"/>
    <w:rsid w:val="00844536"/>
    <w:rsid w:val="008446BE"/>
    <w:rsid w:val="00845399"/>
    <w:rsid w:val="0084551F"/>
    <w:rsid w:val="0084563B"/>
    <w:rsid w:val="00845799"/>
    <w:rsid w:val="008461CA"/>
    <w:rsid w:val="00847037"/>
    <w:rsid w:val="00847F7B"/>
    <w:rsid w:val="0085007C"/>
    <w:rsid w:val="00850269"/>
    <w:rsid w:val="008510AD"/>
    <w:rsid w:val="00851385"/>
    <w:rsid w:val="008514F5"/>
    <w:rsid w:val="00851A1D"/>
    <w:rsid w:val="008526E6"/>
    <w:rsid w:val="00852B31"/>
    <w:rsid w:val="00852BC2"/>
    <w:rsid w:val="008532DC"/>
    <w:rsid w:val="00853436"/>
    <w:rsid w:val="008534AC"/>
    <w:rsid w:val="008536B8"/>
    <w:rsid w:val="00853820"/>
    <w:rsid w:val="00853CD4"/>
    <w:rsid w:val="00853D0E"/>
    <w:rsid w:val="00854DBF"/>
    <w:rsid w:val="00854ED6"/>
    <w:rsid w:val="00855689"/>
    <w:rsid w:val="00855A2F"/>
    <w:rsid w:val="00855C51"/>
    <w:rsid w:val="0085674E"/>
    <w:rsid w:val="00856761"/>
    <w:rsid w:val="0085720F"/>
    <w:rsid w:val="008573CC"/>
    <w:rsid w:val="008579EA"/>
    <w:rsid w:val="00857C7D"/>
    <w:rsid w:val="00857F96"/>
    <w:rsid w:val="0086015F"/>
    <w:rsid w:val="00860254"/>
    <w:rsid w:val="00860C62"/>
    <w:rsid w:val="00860E96"/>
    <w:rsid w:val="00860F1F"/>
    <w:rsid w:val="008613D4"/>
    <w:rsid w:val="008615F1"/>
    <w:rsid w:val="0086178A"/>
    <w:rsid w:val="00861878"/>
    <w:rsid w:val="008620D7"/>
    <w:rsid w:val="0086224E"/>
    <w:rsid w:val="0086233D"/>
    <w:rsid w:val="008633D5"/>
    <w:rsid w:val="008635E3"/>
    <w:rsid w:val="00863751"/>
    <w:rsid w:val="00864165"/>
    <w:rsid w:val="0086447C"/>
    <w:rsid w:val="00864958"/>
    <w:rsid w:val="00864B8E"/>
    <w:rsid w:val="00864FC8"/>
    <w:rsid w:val="00865061"/>
    <w:rsid w:val="008653E5"/>
    <w:rsid w:val="00865654"/>
    <w:rsid w:val="008661B3"/>
    <w:rsid w:val="0086634D"/>
    <w:rsid w:val="008664A9"/>
    <w:rsid w:val="008667C3"/>
    <w:rsid w:val="00866C14"/>
    <w:rsid w:val="00866FC1"/>
    <w:rsid w:val="0086769F"/>
    <w:rsid w:val="00867843"/>
    <w:rsid w:val="00867BB6"/>
    <w:rsid w:val="00867F16"/>
    <w:rsid w:val="00870C18"/>
    <w:rsid w:val="00870F50"/>
    <w:rsid w:val="00871F03"/>
    <w:rsid w:val="00872443"/>
    <w:rsid w:val="008726D2"/>
    <w:rsid w:val="008726DF"/>
    <w:rsid w:val="008728CC"/>
    <w:rsid w:val="00872ED7"/>
    <w:rsid w:val="008733CF"/>
    <w:rsid w:val="008737CD"/>
    <w:rsid w:val="0087387D"/>
    <w:rsid w:val="0087528C"/>
    <w:rsid w:val="008753D1"/>
    <w:rsid w:val="00875726"/>
    <w:rsid w:val="008758EE"/>
    <w:rsid w:val="00875B21"/>
    <w:rsid w:val="008772F3"/>
    <w:rsid w:val="00877859"/>
    <w:rsid w:val="008802C5"/>
    <w:rsid w:val="00880668"/>
    <w:rsid w:val="008808B0"/>
    <w:rsid w:val="0088128A"/>
    <w:rsid w:val="00881587"/>
    <w:rsid w:val="00881872"/>
    <w:rsid w:val="0088195C"/>
    <w:rsid w:val="00881C2E"/>
    <w:rsid w:val="0088215B"/>
    <w:rsid w:val="00882198"/>
    <w:rsid w:val="008831B6"/>
    <w:rsid w:val="00883491"/>
    <w:rsid w:val="008846DF"/>
    <w:rsid w:val="008846F0"/>
    <w:rsid w:val="00884F21"/>
    <w:rsid w:val="00884FE6"/>
    <w:rsid w:val="008858D7"/>
    <w:rsid w:val="0088590D"/>
    <w:rsid w:val="00885B3B"/>
    <w:rsid w:val="00885D7E"/>
    <w:rsid w:val="008866E5"/>
    <w:rsid w:val="00886D24"/>
    <w:rsid w:val="00886F99"/>
    <w:rsid w:val="00886FF7"/>
    <w:rsid w:val="00887026"/>
    <w:rsid w:val="00887296"/>
    <w:rsid w:val="00887959"/>
    <w:rsid w:val="00887ADE"/>
    <w:rsid w:val="00887FCF"/>
    <w:rsid w:val="008908B0"/>
    <w:rsid w:val="00890926"/>
    <w:rsid w:val="00890B64"/>
    <w:rsid w:val="0089149F"/>
    <w:rsid w:val="008916A7"/>
    <w:rsid w:val="00891986"/>
    <w:rsid w:val="0089263F"/>
    <w:rsid w:val="0089266F"/>
    <w:rsid w:val="0089278F"/>
    <w:rsid w:val="00892C77"/>
    <w:rsid w:val="00892E21"/>
    <w:rsid w:val="008933C0"/>
    <w:rsid w:val="00893C47"/>
    <w:rsid w:val="00893ED9"/>
    <w:rsid w:val="00894CB4"/>
    <w:rsid w:val="00894DB0"/>
    <w:rsid w:val="00894FAE"/>
    <w:rsid w:val="00895165"/>
    <w:rsid w:val="0089702C"/>
    <w:rsid w:val="008972FC"/>
    <w:rsid w:val="008979CD"/>
    <w:rsid w:val="00897A49"/>
    <w:rsid w:val="00897C57"/>
    <w:rsid w:val="008A0AF2"/>
    <w:rsid w:val="008A18B7"/>
    <w:rsid w:val="008A1FEA"/>
    <w:rsid w:val="008A24B1"/>
    <w:rsid w:val="008A2810"/>
    <w:rsid w:val="008A2D35"/>
    <w:rsid w:val="008A3263"/>
    <w:rsid w:val="008A4599"/>
    <w:rsid w:val="008A4DC9"/>
    <w:rsid w:val="008A51EB"/>
    <w:rsid w:val="008A5C9A"/>
    <w:rsid w:val="008A5D92"/>
    <w:rsid w:val="008A5EBE"/>
    <w:rsid w:val="008A6354"/>
    <w:rsid w:val="008A6DFF"/>
    <w:rsid w:val="008A751C"/>
    <w:rsid w:val="008A75FE"/>
    <w:rsid w:val="008A77D7"/>
    <w:rsid w:val="008A7927"/>
    <w:rsid w:val="008B113C"/>
    <w:rsid w:val="008B1188"/>
    <w:rsid w:val="008B1D16"/>
    <w:rsid w:val="008B1E61"/>
    <w:rsid w:val="008B1EDD"/>
    <w:rsid w:val="008B1F13"/>
    <w:rsid w:val="008B25DC"/>
    <w:rsid w:val="008B3268"/>
    <w:rsid w:val="008B3553"/>
    <w:rsid w:val="008B3A33"/>
    <w:rsid w:val="008B3CE3"/>
    <w:rsid w:val="008B3E88"/>
    <w:rsid w:val="008B43A6"/>
    <w:rsid w:val="008B462D"/>
    <w:rsid w:val="008B4D90"/>
    <w:rsid w:val="008B5358"/>
    <w:rsid w:val="008B5C0B"/>
    <w:rsid w:val="008B6BB7"/>
    <w:rsid w:val="008B7391"/>
    <w:rsid w:val="008B77C4"/>
    <w:rsid w:val="008B7C5F"/>
    <w:rsid w:val="008B7DF7"/>
    <w:rsid w:val="008B7FFE"/>
    <w:rsid w:val="008C069C"/>
    <w:rsid w:val="008C0DC8"/>
    <w:rsid w:val="008C0F54"/>
    <w:rsid w:val="008C1F8A"/>
    <w:rsid w:val="008C2EA5"/>
    <w:rsid w:val="008C3526"/>
    <w:rsid w:val="008C3929"/>
    <w:rsid w:val="008C402F"/>
    <w:rsid w:val="008C41D8"/>
    <w:rsid w:val="008C4496"/>
    <w:rsid w:val="008C4562"/>
    <w:rsid w:val="008C45A1"/>
    <w:rsid w:val="008C477C"/>
    <w:rsid w:val="008C4B01"/>
    <w:rsid w:val="008C4C50"/>
    <w:rsid w:val="008C56FA"/>
    <w:rsid w:val="008C6033"/>
    <w:rsid w:val="008C6A19"/>
    <w:rsid w:val="008C6EF0"/>
    <w:rsid w:val="008C6F06"/>
    <w:rsid w:val="008C6FB6"/>
    <w:rsid w:val="008C7B83"/>
    <w:rsid w:val="008D01E3"/>
    <w:rsid w:val="008D056C"/>
    <w:rsid w:val="008D0629"/>
    <w:rsid w:val="008D0EF5"/>
    <w:rsid w:val="008D1129"/>
    <w:rsid w:val="008D138F"/>
    <w:rsid w:val="008D1D74"/>
    <w:rsid w:val="008D21BB"/>
    <w:rsid w:val="008D2463"/>
    <w:rsid w:val="008D26C2"/>
    <w:rsid w:val="008D29F1"/>
    <w:rsid w:val="008D335D"/>
    <w:rsid w:val="008D3480"/>
    <w:rsid w:val="008D4259"/>
    <w:rsid w:val="008D4482"/>
    <w:rsid w:val="008D477D"/>
    <w:rsid w:val="008D4B39"/>
    <w:rsid w:val="008D4F67"/>
    <w:rsid w:val="008D565F"/>
    <w:rsid w:val="008D5BB8"/>
    <w:rsid w:val="008D5C0B"/>
    <w:rsid w:val="008D5C70"/>
    <w:rsid w:val="008D6336"/>
    <w:rsid w:val="008D63E7"/>
    <w:rsid w:val="008D69D5"/>
    <w:rsid w:val="008E0308"/>
    <w:rsid w:val="008E047D"/>
    <w:rsid w:val="008E0B3F"/>
    <w:rsid w:val="008E0D8E"/>
    <w:rsid w:val="008E0EE5"/>
    <w:rsid w:val="008E12F9"/>
    <w:rsid w:val="008E17AD"/>
    <w:rsid w:val="008E17E7"/>
    <w:rsid w:val="008E26A6"/>
    <w:rsid w:val="008E2795"/>
    <w:rsid w:val="008E34C3"/>
    <w:rsid w:val="008E39B0"/>
    <w:rsid w:val="008E3FD7"/>
    <w:rsid w:val="008E4000"/>
    <w:rsid w:val="008E41C3"/>
    <w:rsid w:val="008E4B6F"/>
    <w:rsid w:val="008E4BD4"/>
    <w:rsid w:val="008E4CA7"/>
    <w:rsid w:val="008E4E6D"/>
    <w:rsid w:val="008E4FAF"/>
    <w:rsid w:val="008E50C8"/>
    <w:rsid w:val="008E63C1"/>
    <w:rsid w:val="008E6C50"/>
    <w:rsid w:val="008E7C09"/>
    <w:rsid w:val="008E7DC0"/>
    <w:rsid w:val="008E7EA7"/>
    <w:rsid w:val="008E7EFA"/>
    <w:rsid w:val="008F00E5"/>
    <w:rsid w:val="008F018C"/>
    <w:rsid w:val="008F052C"/>
    <w:rsid w:val="008F0761"/>
    <w:rsid w:val="008F07A5"/>
    <w:rsid w:val="008F0823"/>
    <w:rsid w:val="008F12A3"/>
    <w:rsid w:val="008F1B5C"/>
    <w:rsid w:val="008F1BC7"/>
    <w:rsid w:val="008F1CDC"/>
    <w:rsid w:val="008F23F8"/>
    <w:rsid w:val="008F3828"/>
    <w:rsid w:val="008F48E5"/>
    <w:rsid w:val="008F4D0B"/>
    <w:rsid w:val="008F5718"/>
    <w:rsid w:val="008F5AD2"/>
    <w:rsid w:val="008F5B17"/>
    <w:rsid w:val="008F5E6E"/>
    <w:rsid w:val="008F5F9B"/>
    <w:rsid w:val="008F626D"/>
    <w:rsid w:val="008F67FB"/>
    <w:rsid w:val="008F7DB9"/>
    <w:rsid w:val="008F7E82"/>
    <w:rsid w:val="00900318"/>
    <w:rsid w:val="0090074A"/>
    <w:rsid w:val="0090303B"/>
    <w:rsid w:val="009032D1"/>
    <w:rsid w:val="009032E1"/>
    <w:rsid w:val="009037D8"/>
    <w:rsid w:val="00903B2A"/>
    <w:rsid w:val="00903C84"/>
    <w:rsid w:val="0090422F"/>
    <w:rsid w:val="00904356"/>
    <w:rsid w:val="00904CC4"/>
    <w:rsid w:val="00905237"/>
    <w:rsid w:val="0090529F"/>
    <w:rsid w:val="00905776"/>
    <w:rsid w:val="00906144"/>
    <w:rsid w:val="00906597"/>
    <w:rsid w:val="00906655"/>
    <w:rsid w:val="009070D0"/>
    <w:rsid w:val="009071AB"/>
    <w:rsid w:val="0090779B"/>
    <w:rsid w:val="00907BDE"/>
    <w:rsid w:val="00907E48"/>
    <w:rsid w:val="00911113"/>
    <w:rsid w:val="00911B14"/>
    <w:rsid w:val="00911B97"/>
    <w:rsid w:val="00912279"/>
    <w:rsid w:val="00912776"/>
    <w:rsid w:val="00913714"/>
    <w:rsid w:val="009139AF"/>
    <w:rsid w:val="00913FCE"/>
    <w:rsid w:val="009145D6"/>
    <w:rsid w:val="009146F2"/>
    <w:rsid w:val="009149FF"/>
    <w:rsid w:val="00914BA1"/>
    <w:rsid w:val="00915703"/>
    <w:rsid w:val="009159A9"/>
    <w:rsid w:val="0091649B"/>
    <w:rsid w:val="00916749"/>
    <w:rsid w:val="00916789"/>
    <w:rsid w:val="00916A7C"/>
    <w:rsid w:val="00916CB0"/>
    <w:rsid w:val="00916D02"/>
    <w:rsid w:val="009171DE"/>
    <w:rsid w:val="009172CD"/>
    <w:rsid w:val="00917BF9"/>
    <w:rsid w:val="00917C14"/>
    <w:rsid w:val="00917F5B"/>
    <w:rsid w:val="00920245"/>
    <w:rsid w:val="00920460"/>
    <w:rsid w:val="00920739"/>
    <w:rsid w:val="00920900"/>
    <w:rsid w:val="00920D15"/>
    <w:rsid w:val="00920EA3"/>
    <w:rsid w:val="00921BD7"/>
    <w:rsid w:val="0092203D"/>
    <w:rsid w:val="009226EA"/>
    <w:rsid w:val="009227A2"/>
    <w:rsid w:val="009228C5"/>
    <w:rsid w:val="0092330F"/>
    <w:rsid w:val="00923967"/>
    <w:rsid w:val="0092403E"/>
    <w:rsid w:val="00924757"/>
    <w:rsid w:val="00924EA5"/>
    <w:rsid w:val="0092551C"/>
    <w:rsid w:val="009258A1"/>
    <w:rsid w:val="00925CC0"/>
    <w:rsid w:val="009263D6"/>
    <w:rsid w:val="0092640B"/>
    <w:rsid w:val="0092683A"/>
    <w:rsid w:val="009268D9"/>
    <w:rsid w:val="00926BBF"/>
    <w:rsid w:val="00927A07"/>
    <w:rsid w:val="00927CF8"/>
    <w:rsid w:val="009300B1"/>
    <w:rsid w:val="0093015E"/>
    <w:rsid w:val="00930164"/>
    <w:rsid w:val="00930716"/>
    <w:rsid w:val="00930AA2"/>
    <w:rsid w:val="00930C0D"/>
    <w:rsid w:val="00930FDA"/>
    <w:rsid w:val="00931570"/>
    <w:rsid w:val="009317C9"/>
    <w:rsid w:val="00931E23"/>
    <w:rsid w:val="00932333"/>
    <w:rsid w:val="009323F2"/>
    <w:rsid w:val="00932512"/>
    <w:rsid w:val="00932676"/>
    <w:rsid w:val="00932D85"/>
    <w:rsid w:val="009337D9"/>
    <w:rsid w:val="00933A88"/>
    <w:rsid w:val="00933C13"/>
    <w:rsid w:val="009341AB"/>
    <w:rsid w:val="0093421F"/>
    <w:rsid w:val="00934475"/>
    <w:rsid w:val="00935343"/>
    <w:rsid w:val="00935BB4"/>
    <w:rsid w:val="00935D55"/>
    <w:rsid w:val="00935E93"/>
    <w:rsid w:val="00936116"/>
    <w:rsid w:val="00936833"/>
    <w:rsid w:val="00936C70"/>
    <w:rsid w:val="0093786D"/>
    <w:rsid w:val="00937954"/>
    <w:rsid w:val="00937B86"/>
    <w:rsid w:val="00937C56"/>
    <w:rsid w:val="00937DCB"/>
    <w:rsid w:val="0094080D"/>
    <w:rsid w:val="00941948"/>
    <w:rsid w:val="00941D74"/>
    <w:rsid w:val="0094240D"/>
    <w:rsid w:val="0094243E"/>
    <w:rsid w:val="0094245C"/>
    <w:rsid w:val="00943101"/>
    <w:rsid w:val="0094315F"/>
    <w:rsid w:val="009431BC"/>
    <w:rsid w:val="009434F9"/>
    <w:rsid w:val="00943D5A"/>
    <w:rsid w:val="00943F6B"/>
    <w:rsid w:val="00943FBB"/>
    <w:rsid w:val="0094400D"/>
    <w:rsid w:val="00944449"/>
    <w:rsid w:val="00944A60"/>
    <w:rsid w:val="00944F0A"/>
    <w:rsid w:val="0094559C"/>
    <w:rsid w:val="009459BB"/>
    <w:rsid w:val="00946336"/>
    <w:rsid w:val="0094661D"/>
    <w:rsid w:val="00946990"/>
    <w:rsid w:val="00946C2B"/>
    <w:rsid w:val="00946FCC"/>
    <w:rsid w:val="00947990"/>
    <w:rsid w:val="00950492"/>
    <w:rsid w:val="00950C3F"/>
    <w:rsid w:val="00950DDA"/>
    <w:rsid w:val="00951ADC"/>
    <w:rsid w:val="00951D29"/>
    <w:rsid w:val="00952053"/>
    <w:rsid w:val="009523FD"/>
    <w:rsid w:val="00953351"/>
    <w:rsid w:val="00953D71"/>
    <w:rsid w:val="00953DB6"/>
    <w:rsid w:val="0095403E"/>
    <w:rsid w:val="009553C6"/>
    <w:rsid w:val="009554E6"/>
    <w:rsid w:val="009558BC"/>
    <w:rsid w:val="00955E2C"/>
    <w:rsid w:val="0095608F"/>
    <w:rsid w:val="00956339"/>
    <w:rsid w:val="009564E9"/>
    <w:rsid w:val="00956589"/>
    <w:rsid w:val="00957622"/>
    <w:rsid w:val="00957F89"/>
    <w:rsid w:val="00957FB3"/>
    <w:rsid w:val="00960576"/>
    <w:rsid w:val="009606CB"/>
    <w:rsid w:val="00960CF2"/>
    <w:rsid w:val="00961297"/>
    <w:rsid w:val="0096134D"/>
    <w:rsid w:val="00961AEC"/>
    <w:rsid w:val="00962201"/>
    <w:rsid w:val="00962261"/>
    <w:rsid w:val="00962D9B"/>
    <w:rsid w:val="00963398"/>
    <w:rsid w:val="00963F8A"/>
    <w:rsid w:val="009640C3"/>
    <w:rsid w:val="009655D1"/>
    <w:rsid w:val="00965747"/>
    <w:rsid w:val="00965A0A"/>
    <w:rsid w:val="00965B13"/>
    <w:rsid w:val="009661F5"/>
    <w:rsid w:val="00966995"/>
    <w:rsid w:val="0096741F"/>
    <w:rsid w:val="0096759E"/>
    <w:rsid w:val="00970176"/>
    <w:rsid w:val="00970B90"/>
    <w:rsid w:val="00970D2A"/>
    <w:rsid w:val="009723B7"/>
    <w:rsid w:val="009729BA"/>
    <w:rsid w:val="00972CA2"/>
    <w:rsid w:val="0097415E"/>
    <w:rsid w:val="009747E9"/>
    <w:rsid w:val="00974C34"/>
    <w:rsid w:val="00974D98"/>
    <w:rsid w:val="0097507C"/>
    <w:rsid w:val="009753B8"/>
    <w:rsid w:val="00975D8C"/>
    <w:rsid w:val="00976491"/>
    <w:rsid w:val="00976FAA"/>
    <w:rsid w:val="009801BF"/>
    <w:rsid w:val="00981008"/>
    <w:rsid w:val="009813F1"/>
    <w:rsid w:val="009813F6"/>
    <w:rsid w:val="0098188F"/>
    <w:rsid w:val="00981DF3"/>
    <w:rsid w:val="00982982"/>
    <w:rsid w:val="00982BCE"/>
    <w:rsid w:val="00983372"/>
    <w:rsid w:val="009838AD"/>
    <w:rsid w:val="009838CA"/>
    <w:rsid w:val="00983B7D"/>
    <w:rsid w:val="00983DFF"/>
    <w:rsid w:val="009842DF"/>
    <w:rsid w:val="009844AE"/>
    <w:rsid w:val="00984A6C"/>
    <w:rsid w:val="00984FBE"/>
    <w:rsid w:val="00985B5E"/>
    <w:rsid w:val="0098636F"/>
    <w:rsid w:val="009866C4"/>
    <w:rsid w:val="009867D8"/>
    <w:rsid w:val="00986C13"/>
    <w:rsid w:val="00987323"/>
    <w:rsid w:val="00987838"/>
    <w:rsid w:val="009900AF"/>
    <w:rsid w:val="0099020A"/>
    <w:rsid w:val="00990340"/>
    <w:rsid w:val="00990D2A"/>
    <w:rsid w:val="0099188F"/>
    <w:rsid w:val="00992DA5"/>
    <w:rsid w:val="00992F6F"/>
    <w:rsid w:val="009931E7"/>
    <w:rsid w:val="00993791"/>
    <w:rsid w:val="009944D6"/>
    <w:rsid w:val="00994765"/>
    <w:rsid w:val="009947DD"/>
    <w:rsid w:val="00994B7E"/>
    <w:rsid w:val="0099548E"/>
    <w:rsid w:val="00996155"/>
    <w:rsid w:val="009963C3"/>
    <w:rsid w:val="00996523"/>
    <w:rsid w:val="00996873"/>
    <w:rsid w:val="00997528"/>
    <w:rsid w:val="009978F8"/>
    <w:rsid w:val="00997A36"/>
    <w:rsid w:val="00997B51"/>
    <w:rsid w:val="00997D48"/>
    <w:rsid w:val="009A028F"/>
    <w:rsid w:val="009A0B1A"/>
    <w:rsid w:val="009A2286"/>
    <w:rsid w:val="009A32EE"/>
    <w:rsid w:val="009A341F"/>
    <w:rsid w:val="009A36B7"/>
    <w:rsid w:val="009A3B4D"/>
    <w:rsid w:val="009A3DB4"/>
    <w:rsid w:val="009A3DEF"/>
    <w:rsid w:val="009A413B"/>
    <w:rsid w:val="009A42E0"/>
    <w:rsid w:val="009A43AB"/>
    <w:rsid w:val="009A4D94"/>
    <w:rsid w:val="009A4E96"/>
    <w:rsid w:val="009A504A"/>
    <w:rsid w:val="009A5547"/>
    <w:rsid w:val="009A571A"/>
    <w:rsid w:val="009A7457"/>
    <w:rsid w:val="009A74B6"/>
    <w:rsid w:val="009A7655"/>
    <w:rsid w:val="009A78F5"/>
    <w:rsid w:val="009B0752"/>
    <w:rsid w:val="009B1E2F"/>
    <w:rsid w:val="009B2595"/>
    <w:rsid w:val="009B2D27"/>
    <w:rsid w:val="009B3126"/>
    <w:rsid w:val="009B313E"/>
    <w:rsid w:val="009B33B6"/>
    <w:rsid w:val="009B3627"/>
    <w:rsid w:val="009B3972"/>
    <w:rsid w:val="009B3B01"/>
    <w:rsid w:val="009B40A4"/>
    <w:rsid w:val="009B49AB"/>
    <w:rsid w:val="009B49EB"/>
    <w:rsid w:val="009B4A98"/>
    <w:rsid w:val="009B54DF"/>
    <w:rsid w:val="009B54E0"/>
    <w:rsid w:val="009B5B10"/>
    <w:rsid w:val="009B5E9A"/>
    <w:rsid w:val="009B6AF1"/>
    <w:rsid w:val="009B76E6"/>
    <w:rsid w:val="009B788D"/>
    <w:rsid w:val="009B794D"/>
    <w:rsid w:val="009B7998"/>
    <w:rsid w:val="009B7DD6"/>
    <w:rsid w:val="009B7E6E"/>
    <w:rsid w:val="009C0530"/>
    <w:rsid w:val="009C09F4"/>
    <w:rsid w:val="009C0DD3"/>
    <w:rsid w:val="009C0E15"/>
    <w:rsid w:val="009C25B3"/>
    <w:rsid w:val="009C27A5"/>
    <w:rsid w:val="009C3A66"/>
    <w:rsid w:val="009C3B8D"/>
    <w:rsid w:val="009C495D"/>
    <w:rsid w:val="009C59B5"/>
    <w:rsid w:val="009C5E50"/>
    <w:rsid w:val="009C625A"/>
    <w:rsid w:val="009C6378"/>
    <w:rsid w:val="009C6E2B"/>
    <w:rsid w:val="009C765B"/>
    <w:rsid w:val="009D0711"/>
    <w:rsid w:val="009D08E8"/>
    <w:rsid w:val="009D09DC"/>
    <w:rsid w:val="009D0FB3"/>
    <w:rsid w:val="009D104C"/>
    <w:rsid w:val="009D148B"/>
    <w:rsid w:val="009D1569"/>
    <w:rsid w:val="009D1CFA"/>
    <w:rsid w:val="009D23FC"/>
    <w:rsid w:val="009D2B95"/>
    <w:rsid w:val="009D2D09"/>
    <w:rsid w:val="009D2F9F"/>
    <w:rsid w:val="009D31A9"/>
    <w:rsid w:val="009D3DC4"/>
    <w:rsid w:val="009D467F"/>
    <w:rsid w:val="009D473D"/>
    <w:rsid w:val="009D5784"/>
    <w:rsid w:val="009D5AD3"/>
    <w:rsid w:val="009D5F11"/>
    <w:rsid w:val="009D5F87"/>
    <w:rsid w:val="009D6097"/>
    <w:rsid w:val="009D65FD"/>
    <w:rsid w:val="009E0512"/>
    <w:rsid w:val="009E06B0"/>
    <w:rsid w:val="009E0824"/>
    <w:rsid w:val="009E0C46"/>
    <w:rsid w:val="009E0F26"/>
    <w:rsid w:val="009E1390"/>
    <w:rsid w:val="009E1566"/>
    <w:rsid w:val="009E1BDB"/>
    <w:rsid w:val="009E26A3"/>
    <w:rsid w:val="009E2A7C"/>
    <w:rsid w:val="009E2FDD"/>
    <w:rsid w:val="009E3336"/>
    <w:rsid w:val="009E33F3"/>
    <w:rsid w:val="009E35A5"/>
    <w:rsid w:val="009E3B81"/>
    <w:rsid w:val="009E4745"/>
    <w:rsid w:val="009E4E23"/>
    <w:rsid w:val="009E5082"/>
    <w:rsid w:val="009E5718"/>
    <w:rsid w:val="009E5946"/>
    <w:rsid w:val="009E5D73"/>
    <w:rsid w:val="009E6025"/>
    <w:rsid w:val="009E6089"/>
    <w:rsid w:val="009E636D"/>
    <w:rsid w:val="009E6B90"/>
    <w:rsid w:val="009E7BC5"/>
    <w:rsid w:val="009F0319"/>
    <w:rsid w:val="009F07E0"/>
    <w:rsid w:val="009F0B22"/>
    <w:rsid w:val="009F0C9F"/>
    <w:rsid w:val="009F193F"/>
    <w:rsid w:val="009F2449"/>
    <w:rsid w:val="009F2871"/>
    <w:rsid w:val="009F4230"/>
    <w:rsid w:val="009F427D"/>
    <w:rsid w:val="009F4328"/>
    <w:rsid w:val="009F46B3"/>
    <w:rsid w:val="009F486D"/>
    <w:rsid w:val="009F4B5B"/>
    <w:rsid w:val="009F5232"/>
    <w:rsid w:val="009F563B"/>
    <w:rsid w:val="009F6863"/>
    <w:rsid w:val="009F6B70"/>
    <w:rsid w:val="009F6CD9"/>
    <w:rsid w:val="009F77D9"/>
    <w:rsid w:val="009F780D"/>
    <w:rsid w:val="009F7A9E"/>
    <w:rsid w:val="009F7BBC"/>
    <w:rsid w:val="00A0042C"/>
    <w:rsid w:val="00A00958"/>
    <w:rsid w:val="00A01A5E"/>
    <w:rsid w:val="00A027C4"/>
    <w:rsid w:val="00A0295A"/>
    <w:rsid w:val="00A03177"/>
    <w:rsid w:val="00A035C7"/>
    <w:rsid w:val="00A035D3"/>
    <w:rsid w:val="00A03609"/>
    <w:rsid w:val="00A03D99"/>
    <w:rsid w:val="00A041CA"/>
    <w:rsid w:val="00A048DE"/>
    <w:rsid w:val="00A050CA"/>
    <w:rsid w:val="00A0559B"/>
    <w:rsid w:val="00A05738"/>
    <w:rsid w:val="00A05A63"/>
    <w:rsid w:val="00A05C2A"/>
    <w:rsid w:val="00A05C6F"/>
    <w:rsid w:val="00A05D4C"/>
    <w:rsid w:val="00A06313"/>
    <w:rsid w:val="00A06DED"/>
    <w:rsid w:val="00A072EA"/>
    <w:rsid w:val="00A077D0"/>
    <w:rsid w:val="00A0783E"/>
    <w:rsid w:val="00A11B9A"/>
    <w:rsid w:val="00A11E88"/>
    <w:rsid w:val="00A1209A"/>
    <w:rsid w:val="00A12E2F"/>
    <w:rsid w:val="00A12F54"/>
    <w:rsid w:val="00A1301E"/>
    <w:rsid w:val="00A13167"/>
    <w:rsid w:val="00A13245"/>
    <w:rsid w:val="00A13570"/>
    <w:rsid w:val="00A13905"/>
    <w:rsid w:val="00A142A9"/>
    <w:rsid w:val="00A143D0"/>
    <w:rsid w:val="00A1608E"/>
    <w:rsid w:val="00A16202"/>
    <w:rsid w:val="00A1675E"/>
    <w:rsid w:val="00A175C7"/>
    <w:rsid w:val="00A17B87"/>
    <w:rsid w:val="00A20B7E"/>
    <w:rsid w:val="00A20D7B"/>
    <w:rsid w:val="00A20EB4"/>
    <w:rsid w:val="00A216D2"/>
    <w:rsid w:val="00A218C8"/>
    <w:rsid w:val="00A21BCB"/>
    <w:rsid w:val="00A22343"/>
    <w:rsid w:val="00A23196"/>
    <w:rsid w:val="00A236C4"/>
    <w:rsid w:val="00A2393C"/>
    <w:rsid w:val="00A23C1E"/>
    <w:rsid w:val="00A24530"/>
    <w:rsid w:val="00A24605"/>
    <w:rsid w:val="00A24DB3"/>
    <w:rsid w:val="00A258BD"/>
    <w:rsid w:val="00A25917"/>
    <w:rsid w:val="00A25C4F"/>
    <w:rsid w:val="00A25E84"/>
    <w:rsid w:val="00A2614D"/>
    <w:rsid w:val="00A261EA"/>
    <w:rsid w:val="00A2678F"/>
    <w:rsid w:val="00A27027"/>
    <w:rsid w:val="00A2790E"/>
    <w:rsid w:val="00A27C2A"/>
    <w:rsid w:val="00A3068F"/>
    <w:rsid w:val="00A30B26"/>
    <w:rsid w:val="00A31B27"/>
    <w:rsid w:val="00A31D96"/>
    <w:rsid w:val="00A322B2"/>
    <w:rsid w:val="00A330F8"/>
    <w:rsid w:val="00A3398F"/>
    <w:rsid w:val="00A3403E"/>
    <w:rsid w:val="00A34271"/>
    <w:rsid w:val="00A3475C"/>
    <w:rsid w:val="00A34F68"/>
    <w:rsid w:val="00A3547C"/>
    <w:rsid w:val="00A358A9"/>
    <w:rsid w:val="00A359DB"/>
    <w:rsid w:val="00A35D0F"/>
    <w:rsid w:val="00A36B43"/>
    <w:rsid w:val="00A37179"/>
    <w:rsid w:val="00A3726C"/>
    <w:rsid w:val="00A37AAA"/>
    <w:rsid w:val="00A4008F"/>
    <w:rsid w:val="00A409B2"/>
    <w:rsid w:val="00A409BC"/>
    <w:rsid w:val="00A40AD7"/>
    <w:rsid w:val="00A40B73"/>
    <w:rsid w:val="00A40F60"/>
    <w:rsid w:val="00A41128"/>
    <w:rsid w:val="00A418F6"/>
    <w:rsid w:val="00A41B31"/>
    <w:rsid w:val="00A42B72"/>
    <w:rsid w:val="00A42DB8"/>
    <w:rsid w:val="00A432E4"/>
    <w:rsid w:val="00A43EC3"/>
    <w:rsid w:val="00A4401F"/>
    <w:rsid w:val="00A44343"/>
    <w:rsid w:val="00A44826"/>
    <w:rsid w:val="00A44CA1"/>
    <w:rsid w:val="00A44D24"/>
    <w:rsid w:val="00A4583E"/>
    <w:rsid w:val="00A45DD4"/>
    <w:rsid w:val="00A462F3"/>
    <w:rsid w:val="00A46640"/>
    <w:rsid w:val="00A47552"/>
    <w:rsid w:val="00A4797F"/>
    <w:rsid w:val="00A47A3F"/>
    <w:rsid w:val="00A502DF"/>
    <w:rsid w:val="00A50398"/>
    <w:rsid w:val="00A508ED"/>
    <w:rsid w:val="00A51614"/>
    <w:rsid w:val="00A51782"/>
    <w:rsid w:val="00A517BE"/>
    <w:rsid w:val="00A51B42"/>
    <w:rsid w:val="00A5220B"/>
    <w:rsid w:val="00A52897"/>
    <w:rsid w:val="00A533F5"/>
    <w:rsid w:val="00A5382A"/>
    <w:rsid w:val="00A538E2"/>
    <w:rsid w:val="00A53F4C"/>
    <w:rsid w:val="00A540A8"/>
    <w:rsid w:val="00A54C15"/>
    <w:rsid w:val="00A54C97"/>
    <w:rsid w:val="00A55035"/>
    <w:rsid w:val="00A5520A"/>
    <w:rsid w:val="00A553A4"/>
    <w:rsid w:val="00A555C4"/>
    <w:rsid w:val="00A556D0"/>
    <w:rsid w:val="00A558EA"/>
    <w:rsid w:val="00A55C11"/>
    <w:rsid w:val="00A567CB"/>
    <w:rsid w:val="00A56BD6"/>
    <w:rsid w:val="00A56FC2"/>
    <w:rsid w:val="00A57668"/>
    <w:rsid w:val="00A60030"/>
    <w:rsid w:val="00A60375"/>
    <w:rsid w:val="00A6130F"/>
    <w:rsid w:val="00A614C4"/>
    <w:rsid w:val="00A61632"/>
    <w:rsid w:val="00A617BB"/>
    <w:rsid w:val="00A622DD"/>
    <w:rsid w:val="00A625F8"/>
    <w:rsid w:val="00A626CE"/>
    <w:rsid w:val="00A6276B"/>
    <w:rsid w:val="00A62F3C"/>
    <w:rsid w:val="00A63C54"/>
    <w:rsid w:val="00A63E6C"/>
    <w:rsid w:val="00A63F30"/>
    <w:rsid w:val="00A6412C"/>
    <w:rsid w:val="00A6696C"/>
    <w:rsid w:val="00A67433"/>
    <w:rsid w:val="00A67AF2"/>
    <w:rsid w:val="00A67BD2"/>
    <w:rsid w:val="00A711F7"/>
    <w:rsid w:val="00A72475"/>
    <w:rsid w:val="00A72527"/>
    <w:rsid w:val="00A727D4"/>
    <w:rsid w:val="00A72F75"/>
    <w:rsid w:val="00A7310C"/>
    <w:rsid w:val="00A73126"/>
    <w:rsid w:val="00A7339E"/>
    <w:rsid w:val="00A7419E"/>
    <w:rsid w:val="00A741E1"/>
    <w:rsid w:val="00A74584"/>
    <w:rsid w:val="00A748FE"/>
    <w:rsid w:val="00A7536D"/>
    <w:rsid w:val="00A756DF"/>
    <w:rsid w:val="00A75B17"/>
    <w:rsid w:val="00A75FC7"/>
    <w:rsid w:val="00A763A3"/>
    <w:rsid w:val="00A76631"/>
    <w:rsid w:val="00A77250"/>
    <w:rsid w:val="00A77E87"/>
    <w:rsid w:val="00A80CC3"/>
    <w:rsid w:val="00A8132A"/>
    <w:rsid w:val="00A81560"/>
    <w:rsid w:val="00A81739"/>
    <w:rsid w:val="00A82306"/>
    <w:rsid w:val="00A82450"/>
    <w:rsid w:val="00A82552"/>
    <w:rsid w:val="00A825F6"/>
    <w:rsid w:val="00A82F38"/>
    <w:rsid w:val="00A82F80"/>
    <w:rsid w:val="00A83467"/>
    <w:rsid w:val="00A836DD"/>
    <w:rsid w:val="00A83757"/>
    <w:rsid w:val="00A837A6"/>
    <w:rsid w:val="00A83ABF"/>
    <w:rsid w:val="00A84737"/>
    <w:rsid w:val="00A848C0"/>
    <w:rsid w:val="00A84B24"/>
    <w:rsid w:val="00A84CEE"/>
    <w:rsid w:val="00A84D24"/>
    <w:rsid w:val="00A855E4"/>
    <w:rsid w:val="00A858AA"/>
    <w:rsid w:val="00A85C12"/>
    <w:rsid w:val="00A867D2"/>
    <w:rsid w:val="00A876B3"/>
    <w:rsid w:val="00A879D0"/>
    <w:rsid w:val="00A91A65"/>
    <w:rsid w:val="00A91AFD"/>
    <w:rsid w:val="00A92522"/>
    <w:rsid w:val="00A928D7"/>
    <w:rsid w:val="00A929CE"/>
    <w:rsid w:val="00A9355A"/>
    <w:rsid w:val="00A94273"/>
    <w:rsid w:val="00A943E8"/>
    <w:rsid w:val="00A9549F"/>
    <w:rsid w:val="00A95523"/>
    <w:rsid w:val="00A95711"/>
    <w:rsid w:val="00A96017"/>
    <w:rsid w:val="00A9645E"/>
    <w:rsid w:val="00A96671"/>
    <w:rsid w:val="00A96C8A"/>
    <w:rsid w:val="00A96E15"/>
    <w:rsid w:val="00A9709A"/>
    <w:rsid w:val="00A970CE"/>
    <w:rsid w:val="00A972CD"/>
    <w:rsid w:val="00A97E86"/>
    <w:rsid w:val="00AA01E7"/>
    <w:rsid w:val="00AA0E67"/>
    <w:rsid w:val="00AA1729"/>
    <w:rsid w:val="00AA185C"/>
    <w:rsid w:val="00AA1D76"/>
    <w:rsid w:val="00AA204E"/>
    <w:rsid w:val="00AA27F5"/>
    <w:rsid w:val="00AA2A45"/>
    <w:rsid w:val="00AA2DB9"/>
    <w:rsid w:val="00AA2F0D"/>
    <w:rsid w:val="00AA306E"/>
    <w:rsid w:val="00AA308E"/>
    <w:rsid w:val="00AA349A"/>
    <w:rsid w:val="00AA3795"/>
    <w:rsid w:val="00AA3E72"/>
    <w:rsid w:val="00AA4018"/>
    <w:rsid w:val="00AA40EB"/>
    <w:rsid w:val="00AA412C"/>
    <w:rsid w:val="00AA4731"/>
    <w:rsid w:val="00AA4E96"/>
    <w:rsid w:val="00AA638E"/>
    <w:rsid w:val="00AA69E6"/>
    <w:rsid w:val="00AA6A28"/>
    <w:rsid w:val="00AA6D91"/>
    <w:rsid w:val="00AA7175"/>
    <w:rsid w:val="00AA76CF"/>
    <w:rsid w:val="00AA7BE7"/>
    <w:rsid w:val="00AA7CFF"/>
    <w:rsid w:val="00AA7D81"/>
    <w:rsid w:val="00AA7FF7"/>
    <w:rsid w:val="00AB0AA5"/>
    <w:rsid w:val="00AB0C64"/>
    <w:rsid w:val="00AB1145"/>
    <w:rsid w:val="00AB122F"/>
    <w:rsid w:val="00AB15FA"/>
    <w:rsid w:val="00AB179C"/>
    <w:rsid w:val="00AB1A54"/>
    <w:rsid w:val="00AB3178"/>
    <w:rsid w:val="00AB3266"/>
    <w:rsid w:val="00AB4391"/>
    <w:rsid w:val="00AB4715"/>
    <w:rsid w:val="00AB47F5"/>
    <w:rsid w:val="00AB4DEF"/>
    <w:rsid w:val="00AB51A8"/>
    <w:rsid w:val="00AB5F55"/>
    <w:rsid w:val="00AB683F"/>
    <w:rsid w:val="00AB6DBB"/>
    <w:rsid w:val="00AB6F8B"/>
    <w:rsid w:val="00AB72DB"/>
    <w:rsid w:val="00AB7634"/>
    <w:rsid w:val="00AC0A09"/>
    <w:rsid w:val="00AC0D45"/>
    <w:rsid w:val="00AC0DB0"/>
    <w:rsid w:val="00AC105A"/>
    <w:rsid w:val="00AC1A5F"/>
    <w:rsid w:val="00AC2153"/>
    <w:rsid w:val="00AC2198"/>
    <w:rsid w:val="00AC2BD6"/>
    <w:rsid w:val="00AC2C85"/>
    <w:rsid w:val="00AC2D6F"/>
    <w:rsid w:val="00AC310A"/>
    <w:rsid w:val="00AC316C"/>
    <w:rsid w:val="00AC3F98"/>
    <w:rsid w:val="00AC43A6"/>
    <w:rsid w:val="00AC4486"/>
    <w:rsid w:val="00AC4F49"/>
    <w:rsid w:val="00AC6397"/>
    <w:rsid w:val="00AC6BD5"/>
    <w:rsid w:val="00AC6E6A"/>
    <w:rsid w:val="00AC7298"/>
    <w:rsid w:val="00AC73D0"/>
    <w:rsid w:val="00AC7866"/>
    <w:rsid w:val="00AC7877"/>
    <w:rsid w:val="00AD043B"/>
    <w:rsid w:val="00AD04AF"/>
    <w:rsid w:val="00AD11CA"/>
    <w:rsid w:val="00AD1815"/>
    <w:rsid w:val="00AD1B71"/>
    <w:rsid w:val="00AD2128"/>
    <w:rsid w:val="00AD26AC"/>
    <w:rsid w:val="00AD2D3F"/>
    <w:rsid w:val="00AD350F"/>
    <w:rsid w:val="00AD3985"/>
    <w:rsid w:val="00AD3A51"/>
    <w:rsid w:val="00AD3BFD"/>
    <w:rsid w:val="00AD3C72"/>
    <w:rsid w:val="00AD59A3"/>
    <w:rsid w:val="00AD59FF"/>
    <w:rsid w:val="00AD5B11"/>
    <w:rsid w:val="00AD61EF"/>
    <w:rsid w:val="00AD64B7"/>
    <w:rsid w:val="00AD6B82"/>
    <w:rsid w:val="00AD6EEE"/>
    <w:rsid w:val="00AD70E4"/>
    <w:rsid w:val="00AD7D27"/>
    <w:rsid w:val="00AE10F7"/>
    <w:rsid w:val="00AE119D"/>
    <w:rsid w:val="00AE15A9"/>
    <w:rsid w:val="00AE1E0D"/>
    <w:rsid w:val="00AE2589"/>
    <w:rsid w:val="00AE270C"/>
    <w:rsid w:val="00AE2C0D"/>
    <w:rsid w:val="00AE2C27"/>
    <w:rsid w:val="00AE3167"/>
    <w:rsid w:val="00AE377A"/>
    <w:rsid w:val="00AE3BBB"/>
    <w:rsid w:val="00AE3C35"/>
    <w:rsid w:val="00AE4798"/>
    <w:rsid w:val="00AE5963"/>
    <w:rsid w:val="00AE61DF"/>
    <w:rsid w:val="00AE75A1"/>
    <w:rsid w:val="00AE7685"/>
    <w:rsid w:val="00AE7B3C"/>
    <w:rsid w:val="00AE7CC9"/>
    <w:rsid w:val="00AF035D"/>
    <w:rsid w:val="00AF049A"/>
    <w:rsid w:val="00AF0921"/>
    <w:rsid w:val="00AF0B74"/>
    <w:rsid w:val="00AF0BFC"/>
    <w:rsid w:val="00AF0C4B"/>
    <w:rsid w:val="00AF0DE2"/>
    <w:rsid w:val="00AF113F"/>
    <w:rsid w:val="00AF1641"/>
    <w:rsid w:val="00AF22B6"/>
    <w:rsid w:val="00AF283B"/>
    <w:rsid w:val="00AF2A29"/>
    <w:rsid w:val="00AF2AC6"/>
    <w:rsid w:val="00AF2DFA"/>
    <w:rsid w:val="00AF315B"/>
    <w:rsid w:val="00AF3343"/>
    <w:rsid w:val="00AF3621"/>
    <w:rsid w:val="00AF379A"/>
    <w:rsid w:val="00AF39E3"/>
    <w:rsid w:val="00AF54E7"/>
    <w:rsid w:val="00AF5939"/>
    <w:rsid w:val="00AF60AD"/>
    <w:rsid w:val="00AF6C2B"/>
    <w:rsid w:val="00AF7C65"/>
    <w:rsid w:val="00AF7D9A"/>
    <w:rsid w:val="00AF7F54"/>
    <w:rsid w:val="00B000CA"/>
    <w:rsid w:val="00B002D3"/>
    <w:rsid w:val="00B00661"/>
    <w:rsid w:val="00B015F8"/>
    <w:rsid w:val="00B016F0"/>
    <w:rsid w:val="00B01B0B"/>
    <w:rsid w:val="00B01BC1"/>
    <w:rsid w:val="00B01D99"/>
    <w:rsid w:val="00B01F7B"/>
    <w:rsid w:val="00B0225A"/>
    <w:rsid w:val="00B024A0"/>
    <w:rsid w:val="00B027F4"/>
    <w:rsid w:val="00B03548"/>
    <w:rsid w:val="00B035D4"/>
    <w:rsid w:val="00B03857"/>
    <w:rsid w:val="00B0388F"/>
    <w:rsid w:val="00B0413B"/>
    <w:rsid w:val="00B0483C"/>
    <w:rsid w:val="00B04D49"/>
    <w:rsid w:val="00B051A3"/>
    <w:rsid w:val="00B0536E"/>
    <w:rsid w:val="00B05615"/>
    <w:rsid w:val="00B05942"/>
    <w:rsid w:val="00B05A1F"/>
    <w:rsid w:val="00B06137"/>
    <w:rsid w:val="00B0642A"/>
    <w:rsid w:val="00B06484"/>
    <w:rsid w:val="00B06BE1"/>
    <w:rsid w:val="00B06FE5"/>
    <w:rsid w:val="00B07393"/>
    <w:rsid w:val="00B073B9"/>
    <w:rsid w:val="00B077E9"/>
    <w:rsid w:val="00B1045A"/>
    <w:rsid w:val="00B1066D"/>
    <w:rsid w:val="00B1200D"/>
    <w:rsid w:val="00B1265E"/>
    <w:rsid w:val="00B13A64"/>
    <w:rsid w:val="00B14DDA"/>
    <w:rsid w:val="00B15B1D"/>
    <w:rsid w:val="00B15FF5"/>
    <w:rsid w:val="00B162E7"/>
    <w:rsid w:val="00B16B77"/>
    <w:rsid w:val="00B1717F"/>
    <w:rsid w:val="00B17FD6"/>
    <w:rsid w:val="00B20115"/>
    <w:rsid w:val="00B2051C"/>
    <w:rsid w:val="00B207A2"/>
    <w:rsid w:val="00B20AB0"/>
    <w:rsid w:val="00B2112C"/>
    <w:rsid w:val="00B21F24"/>
    <w:rsid w:val="00B220AC"/>
    <w:rsid w:val="00B22E11"/>
    <w:rsid w:val="00B2324E"/>
    <w:rsid w:val="00B23992"/>
    <w:rsid w:val="00B23A3C"/>
    <w:rsid w:val="00B23F2D"/>
    <w:rsid w:val="00B24882"/>
    <w:rsid w:val="00B24CDB"/>
    <w:rsid w:val="00B24D98"/>
    <w:rsid w:val="00B2513B"/>
    <w:rsid w:val="00B25989"/>
    <w:rsid w:val="00B26CCD"/>
    <w:rsid w:val="00B275DA"/>
    <w:rsid w:val="00B30887"/>
    <w:rsid w:val="00B30DAC"/>
    <w:rsid w:val="00B31294"/>
    <w:rsid w:val="00B312D9"/>
    <w:rsid w:val="00B31ADA"/>
    <w:rsid w:val="00B31DB5"/>
    <w:rsid w:val="00B31F80"/>
    <w:rsid w:val="00B33648"/>
    <w:rsid w:val="00B33875"/>
    <w:rsid w:val="00B3425E"/>
    <w:rsid w:val="00B3431A"/>
    <w:rsid w:val="00B347C7"/>
    <w:rsid w:val="00B3545D"/>
    <w:rsid w:val="00B3580A"/>
    <w:rsid w:val="00B35F80"/>
    <w:rsid w:val="00B3697B"/>
    <w:rsid w:val="00B36A74"/>
    <w:rsid w:val="00B371AA"/>
    <w:rsid w:val="00B371CA"/>
    <w:rsid w:val="00B3724D"/>
    <w:rsid w:val="00B37291"/>
    <w:rsid w:val="00B3739A"/>
    <w:rsid w:val="00B3757D"/>
    <w:rsid w:val="00B40195"/>
    <w:rsid w:val="00B40958"/>
    <w:rsid w:val="00B410EA"/>
    <w:rsid w:val="00B4173C"/>
    <w:rsid w:val="00B417A5"/>
    <w:rsid w:val="00B41AAE"/>
    <w:rsid w:val="00B42134"/>
    <w:rsid w:val="00B424F5"/>
    <w:rsid w:val="00B426CD"/>
    <w:rsid w:val="00B42A8C"/>
    <w:rsid w:val="00B43794"/>
    <w:rsid w:val="00B446EC"/>
    <w:rsid w:val="00B44712"/>
    <w:rsid w:val="00B44DE4"/>
    <w:rsid w:val="00B44E4F"/>
    <w:rsid w:val="00B457CC"/>
    <w:rsid w:val="00B4587A"/>
    <w:rsid w:val="00B46335"/>
    <w:rsid w:val="00B46368"/>
    <w:rsid w:val="00B46400"/>
    <w:rsid w:val="00B464DC"/>
    <w:rsid w:val="00B4655C"/>
    <w:rsid w:val="00B46608"/>
    <w:rsid w:val="00B46705"/>
    <w:rsid w:val="00B4684F"/>
    <w:rsid w:val="00B4691A"/>
    <w:rsid w:val="00B4696C"/>
    <w:rsid w:val="00B469D5"/>
    <w:rsid w:val="00B46F5E"/>
    <w:rsid w:val="00B4747A"/>
    <w:rsid w:val="00B476A4"/>
    <w:rsid w:val="00B479A4"/>
    <w:rsid w:val="00B50555"/>
    <w:rsid w:val="00B5059D"/>
    <w:rsid w:val="00B5083C"/>
    <w:rsid w:val="00B50B16"/>
    <w:rsid w:val="00B50C6B"/>
    <w:rsid w:val="00B50D94"/>
    <w:rsid w:val="00B5132F"/>
    <w:rsid w:val="00B51816"/>
    <w:rsid w:val="00B51B69"/>
    <w:rsid w:val="00B520F7"/>
    <w:rsid w:val="00B526E3"/>
    <w:rsid w:val="00B527D1"/>
    <w:rsid w:val="00B52A1F"/>
    <w:rsid w:val="00B53D1A"/>
    <w:rsid w:val="00B54021"/>
    <w:rsid w:val="00B55364"/>
    <w:rsid w:val="00B5542F"/>
    <w:rsid w:val="00B5557F"/>
    <w:rsid w:val="00B56107"/>
    <w:rsid w:val="00B56727"/>
    <w:rsid w:val="00B572AD"/>
    <w:rsid w:val="00B60402"/>
    <w:rsid w:val="00B6166E"/>
    <w:rsid w:val="00B616F7"/>
    <w:rsid w:val="00B61B76"/>
    <w:rsid w:val="00B62A3C"/>
    <w:rsid w:val="00B62A9F"/>
    <w:rsid w:val="00B63788"/>
    <w:rsid w:val="00B64409"/>
    <w:rsid w:val="00B64665"/>
    <w:rsid w:val="00B64D04"/>
    <w:rsid w:val="00B65087"/>
    <w:rsid w:val="00B6591E"/>
    <w:rsid w:val="00B6594E"/>
    <w:rsid w:val="00B6641D"/>
    <w:rsid w:val="00B66BFD"/>
    <w:rsid w:val="00B6708F"/>
    <w:rsid w:val="00B67C10"/>
    <w:rsid w:val="00B701E7"/>
    <w:rsid w:val="00B709BA"/>
    <w:rsid w:val="00B70C9E"/>
    <w:rsid w:val="00B72114"/>
    <w:rsid w:val="00B721F6"/>
    <w:rsid w:val="00B723C7"/>
    <w:rsid w:val="00B728D7"/>
    <w:rsid w:val="00B72D5B"/>
    <w:rsid w:val="00B73029"/>
    <w:rsid w:val="00B73C34"/>
    <w:rsid w:val="00B73CC6"/>
    <w:rsid w:val="00B74773"/>
    <w:rsid w:val="00B75175"/>
    <w:rsid w:val="00B7517E"/>
    <w:rsid w:val="00B75B78"/>
    <w:rsid w:val="00B75C4E"/>
    <w:rsid w:val="00B75E42"/>
    <w:rsid w:val="00B764F2"/>
    <w:rsid w:val="00B768BA"/>
    <w:rsid w:val="00B768E6"/>
    <w:rsid w:val="00B80694"/>
    <w:rsid w:val="00B8092B"/>
    <w:rsid w:val="00B80B42"/>
    <w:rsid w:val="00B80DBD"/>
    <w:rsid w:val="00B81557"/>
    <w:rsid w:val="00B81BCF"/>
    <w:rsid w:val="00B8322F"/>
    <w:rsid w:val="00B83D43"/>
    <w:rsid w:val="00B83F6E"/>
    <w:rsid w:val="00B84099"/>
    <w:rsid w:val="00B840D0"/>
    <w:rsid w:val="00B840FC"/>
    <w:rsid w:val="00B8410E"/>
    <w:rsid w:val="00B84916"/>
    <w:rsid w:val="00B84953"/>
    <w:rsid w:val="00B8559E"/>
    <w:rsid w:val="00B85D5B"/>
    <w:rsid w:val="00B8686A"/>
    <w:rsid w:val="00B8739A"/>
    <w:rsid w:val="00B873B3"/>
    <w:rsid w:val="00B878B4"/>
    <w:rsid w:val="00B87C67"/>
    <w:rsid w:val="00B90474"/>
    <w:rsid w:val="00B90806"/>
    <w:rsid w:val="00B91126"/>
    <w:rsid w:val="00B91627"/>
    <w:rsid w:val="00B921ED"/>
    <w:rsid w:val="00B92A02"/>
    <w:rsid w:val="00B92A42"/>
    <w:rsid w:val="00B92B3B"/>
    <w:rsid w:val="00B92B6E"/>
    <w:rsid w:val="00B9315A"/>
    <w:rsid w:val="00B934AB"/>
    <w:rsid w:val="00B93734"/>
    <w:rsid w:val="00B93B29"/>
    <w:rsid w:val="00B93B2F"/>
    <w:rsid w:val="00B942C1"/>
    <w:rsid w:val="00B94447"/>
    <w:rsid w:val="00B955CA"/>
    <w:rsid w:val="00B95D86"/>
    <w:rsid w:val="00B95DF8"/>
    <w:rsid w:val="00B967B8"/>
    <w:rsid w:val="00B96F6E"/>
    <w:rsid w:val="00B976DD"/>
    <w:rsid w:val="00B97F14"/>
    <w:rsid w:val="00BA0473"/>
    <w:rsid w:val="00BA0B01"/>
    <w:rsid w:val="00BA1022"/>
    <w:rsid w:val="00BA1E69"/>
    <w:rsid w:val="00BA20FE"/>
    <w:rsid w:val="00BA243B"/>
    <w:rsid w:val="00BA2CA1"/>
    <w:rsid w:val="00BA35A1"/>
    <w:rsid w:val="00BA37A3"/>
    <w:rsid w:val="00BA3C84"/>
    <w:rsid w:val="00BA3C9F"/>
    <w:rsid w:val="00BA4595"/>
    <w:rsid w:val="00BA4EA0"/>
    <w:rsid w:val="00BA5C25"/>
    <w:rsid w:val="00BA5D79"/>
    <w:rsid w:val="00BA608A"/>
    <w:rsid w:val="00BA62E8"/>
    <w:rsid w:val="00BA6BC8"/>
    <w:rsid w:val="00BA6C4F"/>
    <w:rsid w:val="00BA6DCE"/>
    <w:rsid w:val="00BA7013"/>
    <w:rsid w:val="00BA7581"/>
    <w:rsid w:val="00BA7E8B"/>
    <w:rsid w:val="00BB00F8"/>
    <w:rsid w:val="00BB06D2"/>
    <w:rsid w:val="00BB0B8B"/>
    <w:rsid w:val="00BB0CB7"/>
    <w:rsid w:val="00BB1AA1"/>
    <w:rsid w:val="00BB1ABA"/>
    <w:rsid w:val="00BB266A"/>
    <w:rsid w:val="00BB27CE"/>
    <w:rsid w:val="00BB285F"/>
    <w:rsid w:val="00BB4100"/>
    <w:rsid w:val="00BB46AF"/>
    <w:rsid w:val="00BB4DB7"/>
    <w:rsid w:val="00BB567F"/>
    <w:rsid w:val="00BB5E35"/>
    <w:rsid w:val="00BB60EE"/>
    <w:rsid w:val="00BB61B7"/>
    <w:rsid w:val="00BB6749"/>
    <w:rsid w:val="00BB6C26"/>
    <w:rsid w:val="00BB6DEF"/>
    <w:rsid w:val="00BB6E74"/>
    <w:rsid w:val="00BB6EEF"/>
    <w:rsid w:val="00BB75CF"/>
    <w:rsid w:val="00BB7665"/>
    <w:rsid w:val="00BB772B"/>
    <w:rsid w:val="00BB779B"/>
    <w:rsid w:val="00BB7D75"/>
    <w:rsid w:val="00BB7E13"/>
    <w:rsid w:val="00BC0D38"/>
    <w:rsid w:val="00BC1D44"/>
    <w:rsid w:val="00BC338B"/>
    <w:rsid w:val="00BC35D3"/>
    <w:rsid w:val="00BC37B3"/>
    <w:rsid w:val="00BC3984"/>
    <w:rsid w:val="00BC3D34"/>
    <w:rsid w:val="00BC3DE8"/>
    <w:rsid w:val="00BC418B"/>
    <w:rsid w:val="00BC4711"/>
    <w:rsid w:val="00BC4B1B"/>
    <w:rsid w:val="00BC4CF7"/>
    <w:rsid w:val="00BC530F"/>
    <w:rsid w:val="00BC58A7"/>
    <w:rsid w:val="00BC59DF"/>
    <w:rsid w:val="00BC5AFE"/>
    <w:rsid w:val="00BC6368"/>
    <w:rsid w:val="00BC6969"/>
    <w:rsid w:val="00BC72C8"/>
    <w:rsid w:val="00BC7319"/>
    <w:rsid w:val="00BC767D"/>
    <w:rsid w:val="00BC7812"/>
    <w:rsid w:val="00BC7A05"/>
    <w:rsid w:val="00BC7BB5"/>
    <w:rsid w:val="00BC7C07"/>
    <w:rsid w:val="00BC7DF4"/>
    <w:rsid w:val="00BD01B6"/>
    <w:rsid w:val="00BD029A"/>
    <w:rsid w:val="00BD0885"/>
    <w:rsid w:val="00BD0C49"/>
    <w:rsid w:val="00BD13D5"/>
    <w:rsid w:val="00BD1739"/>
    <w:rsid w:val="00BD19C6"/>
    <w:rsid w:val="00BD1CB9"/>
    <w:rsid w:val="00BD1CD5"/>
    <w:rsid w:val="00BD1D5E"/>
    <w:rsid w:val="00BD216E"/>
    <w:rsid w:val="00BD274C"/>
    <w:rsid w:val="00BD3896"/>
    <w:rsid w:val="00BD3984"/>
    <w:rsid w:val="00BD3E75"/>
    <w:rsid w:val="00BD4088"/>
    <w:rsid w:val="00BD42A2"/>
    <w:rsid w:val="00BD4A50"/>
    <w:rsid w:val="00BD528B"/>
    <w:rsid w:val="00BD52D3"/>
    <w:rsid w:val="00BD5818"/>
    <w:rsid w:val="00BD5CBD"/>
    <w:rsid w:val="00BD6A49"/>
    <w:rsid w:val="00BD6C01"/>
    <w:rsid w:val="00BD6D69"/>
    <w:rsid w:val="00BD6E2A"/>
    <w:rsid w:val="00BD70DE"/>
    <w:rsid w:val="00BD7579"/>
    <w:rsid w:val="00BD7D65"/>
    <w:rsid w:val="00BE01AE"/>
    <w:rsid w:val="00BE04FA"/>
    <w:rsid w:val="00BE09E5"/>
    <w:rsid w:val="00BE1DB3"/>
    <w:rsid w:val="00BE275F"/>
    <w:rsid w:val="00BE2813"/>
    <w:rsid w:val="00BE2E32"/>
    <w:rsid w:val="00BE3F04"/>
    <w:rsid w:val="00BE4350"/>
    <w:rsid w:val="00BE49EA"/>
    <w:rsid w:val="00BE4E34"/>
    <w:rsid w:val="00BE5B07"/>
    <w:rsid w:val="00BE5B34"/>
    <w:rsid w:val="00BE5C5E"/>
    <w:rsid w:val="00BE5D21"/>
    <w:rsid w:val="00BE669C"/>
    <w:rsid w:val="00BE6A0B"/>
    <w:rsid w:val="00BE6CA0"/>
    <w:rsid w:val="00BE6CCD"/>
    <w:rsid w:val="00BE6CD3"/>
    <w:rsid w:val="00BE6EDF"/>
    <w:rsid w:val="00BE72BC"/>
    <w:rsid w:val="00BE7416"/>
    <w:rsid w:val="00BE7A46"/>
    <w:rsid w:val="00BE7AD7"/>
    <w:rsid w:val="00BE7C1D"/>
    <w:rsid w:val="00BF109D"/>
    <w:rsid w:val="00BF1CD3"/>
    <w:rsid w:val="00BF1DDB"/>
    <w:rsid w:val="00BF1E8D"/>
    <w:rsid w:val="00BF2038"/>
    <w:rsid w:val="00BF2177"/>
    <w:rsid w:val="00BF294A"/>
    <w:rsid w:val="00BF2E00"/>
    <w:rsid w:val="00BF2E0B"/>
    <w:rsid w:val="00BF44EE"/>
    <w:rsid w:val="00BF46CF"/>
    <w:rsid w:val="00BF487A"/>
    <w:rsid w:val="00BF508D"/>
    <w:rsid w:val="00BF540B"/>
    <w:rsid w:val="00BF55A2"/>
    <w:rsid w:val="00BF55F4"/>
    <w:rsid w:val="00BF5617"/>
    <w:rsid w:val="00BF56A8"/>
    <w:rsid w:val="00BF5B5E"/>
    <w:rsid w:val="00BF5F70"/>
    <w:rsid w:val="00BF6551"/>
    <w:rsid w:val="00BF7206"/>
    <w:rsid w:val="00BF7299"/>
    <w:rsid w:val="00BF7CBC"/>
    <w:rsid w:val="00C0015B"/>
    <w:rsid w:val="00C00260"/>
    <w:rsid w:val="00C00613"/>
    <w:rsid w:val="00C00800"/>
    <w:rsid w:val="00C00976"/>
    <w:rsid w:val="00C00AFE"/>
    <w:rsid w:val="00C00BF7"/>
    <w:rsid w:val="00C00F49"/>
    <w:rsid w:val="00C01646"/>
    <w:rsid w:val="00C02599"/>
    <w:rsid w:val="00C02BE4"/>
    <w:rsid w:val="00C02D8F"/>
    <w:rsid w:val="00C03373"/>
    <w:rsid w:val="00C03667"/>
    <w:rsid w:val="00C036C2"/>
    <w:rsid w:val="00C03B65"/>
    <w:rsid w:val="00C040C0"/>
    <w:rsid w:val="00C04622"/>
    <w:rsid w:val="00C050E5"/>
    <w:rsid w:val="00C059CE"/>
    <w:rsid w:val="00C05B45"/>
    <w:rsid w:val="00C05F75"/>
    <w:rsid w:val="00C063E4"/>
    <w:rsid w:val="00C06DFB"/>
    <w:rsid w:val="00C06E08"/>
    <w:rsid w:val="00C07AC1"/>
    <w:rsid w:val="00C07ECA"/>
    <w:rsid w:val="00C10145"/>
    <w:rsid w:val="00C104D3"/>
    <w:rsid w:val="00C107A3"/>
    <w:rsid w:val="00C1087E"/>
    <w:rsid w:val="00C108BD"/>
    <w:rsid w:val="00C115BE"/>
    <w:rsid w:val="00C11E1F"/>
    <w:rsid w:val="00C12787"/>
    <w:rsid w:val="00C12A27"/>
    <w:rsid w:val="00C12CA8"/>
    <w:rsid w:val="00C12CDE"/>
    <w:rsid w:val="00C12DE7"/>
    <w:rsid w:val="00C1303A"/>
    <w:rsid w:val="00C1434C"/>
    <w:rsid w:val="00C14608"/>
    <w:rsid w:val="00C14FE1"/>
    <w:rsid w:val="00C1527B"/>
    <w:rsid w:val="00C15896"/>
    <w:rsid w:val="00C15AFA"/>
    <w:rsid w:val="00C15BAF"/>
    <w:rsid w:val="00C15C34"/>
    <w:rsid w:val="00C15C8F"/>
    <w:rsid w:val="00C162D7"/>
    <w:rsid w:val="00C16695"/>
    <w:rsid w:val="00C17202"/>
    <w:rsid w:val="00C2010E"/>
    <w:rsid w:val="00C2132C"/>
    <w:rsid w:val="00C21651"/>
    <w:rsid w:val="00C217C8"/>
    <w:rsid w:val="00C21B8F"/>
    <w:rsid w:val="00C21C34"/>
    <w:rsid w:val="00C21D35"/>
    <w:rsid w:val="00C2245E"/>
    <w:rsid w:val="00C224F9"/>
    <w:rsid w:val="00C225C7"/>
    <w:rsid w:val="00C2282C"/>
    <w:rsid w:val="00C22E86"/>
    <w:rsid w:val="00C22F79"/>
    <w:rsid w:val="00C23632"/>
    <w:rsid w:val="00C23A7C"/>
    <w:rsid w:val="00C23ED1"/>
    <w:rsid w:val="00C2490A"/>
    <w:rsid w:val="00C25131"/>
    <w:rsid w:val="00C251F2"/>
    <w:rsid w:val="00C258EB"/>
    <w:rsid w:val="00C2639A"/>
    <w:rsid w:val="00C276EB"/>
    <w:rsid w:val="00C302BE"/>
    <w:rsid w:val="00C305BD"/>
    <w:rsid w:val="00C314B3"/>
    <w:rsid w:val="00C32068"/>
    <w:rsid w:val="00C320DC"/>
    <w:rsid w:val="00C32281"/>
    <w:rsid w:val="00C328F4"/>
    <w:rsid w:val="00C337F1"/>
    <w:rsid w:val="00C33E82"/>
    <w:rsid w:val="00C3402E"/>
    <w:rsid w:val="00C3473E"/>
    <w:rsid w:val="00C34A47"/>
    <w:rsid w:val="00C34D01"/>
    <w:rsid w:val="00C35498"/>
    <w:rsid w:val="00C35971"/>
    <w:rsid w:val="00C35B0E"/>
    <w:rsid w:val="00C36CAA"/>
    <w:rsid w:val="00C37326"/>
    <w:rsid w:val="00C3762C"/>
    <w:rsid w:val="00C37831"/>
    <w:rsid w:val="00C37CA7"/>
    <w:rsid w:val="00C40176"/>
    <w:rsid w:val="00C404F2"/>
    <w:rsid w:val="00C40907"/>
    <w:rsid w:val="00C40B82"/>
    <w:rsid w:val="00C40CDD"/>
    <w:rsid w:val="00C415D1"/>
    <w:rsid w:val="00C419F2"/>
    <w:rsid w:val="00C424B3"/>
    <w:rsid w:val="00C42734"/>
    <w:rsid w:val="00C4366F"/>
    <w:rsid w:val="00C43EA5"/>
    <w:rsid w:val="00C440EF"/>
    <w:rsid w:val="00C44B07"/>
    <w:rsid w:val="00C456BE"/>
    <w:rsid w:val="00C46388"/>
    <w:rsid w:val="00C46564"/>
    <w:rsid w:val="00C4673F"/>
    <w:rsid w:val="00C468D6"/>
    <w:rsid w:val="00C47CE7"/>
    <w:rsid w:val="00C50054"/>
    <w:rsid w:val="00C5007A"/>
    <w:rsid w:val="00C504B8"/>
    <w:rsid w:val="00C50596"/>
    <w:rsid w:val="00C505A4"/>
    <w:rsid w:val="00C50790"/>
    <w:rsid w:val="00C50E0B"/>
    <w:rsid w:val="00C50F78"/>
    <w:rsid w:val="00C50FC4"/>
    <w:rsid w:val="00C51207"/>
    <w:rsid w:val="00C51E26"/>
    <w:rsid w:val="00C51F04"/>
    <w:rsid w:val="00C524B3"/>
    <w:rsid w:val="00C52A63"/>
    <w:rsid w:val="00C53795"/>
    <w:rsid w:val="00C53811"/>
    <w:rsid w:val="00C538BE"/>
    <w:rsid w:val="00C53BE7"/>
    <w:rsid w:val="00C53C4F"/>
    <w:rsid w:val="00C53DC2"/>
    <w:rsid w:val="00C541CE"/>
    <w:rsid w:val="00C548D0"/>
    <w:rsid w:val="00C54B26"/>
    <w:rsid w:val="00C54F95"/>
    <w:rsid w:val="00C55654"/>
    <w:rsid w:val="00C55CD9"/>
    <w:rsid w:val="00C56212"/>
    <w:rsid w:val="00C5749D"/>
    <w:rsid w:val="00C57908"/>
    <w:rsid w:val="00C57B75"/>
    <w:rsid w:val="00C601B4"/>
    <w:rsid w:val="00C6033C"/>
    <w:rsid w:val="00C60A72"/>
    <w:rsid w:val="00C60E7D"/>
    <w:rsid w:val="00C60F17"/>
    <w:rsid w:val="00C6286E"/>
    <w:rsid w:val="00C62943"/>
    <w:rsid w:val="00C62AA1"/>
    <w:rsid w:val="00C63133"/>
    <w:rsid w:val="00C63456"/>
    <w:rsid w:val="00C637A5"/>
    <w:rsid w:val="00C63850"/>
    <w:rsid w:val="00C63C06"/>
    <w:rsid w:val="00C642B7"/>
    <w:rsid w:val="00C64E99"/>
    <w:rsid w:val="00C64F50"/>
    <w:rsid w:val="00C650B5"/>
    <w:rsid w:val="00C6575A"/>
    <w:rsid w:val="00C65848"/>
    <w:rsid w:val="00C65C75"/>
    <w:rsid w:val="00C65D65"/>
    <w:rsid w:val="00C66534"/>
    <w:rsid w:val="00C667AD"/>
    <w:rsid w:val="00C66AEC"/>
    <w:rsid w:val="00C66F3C"/>
    <w:rsid w:val="00C6795E"/>
    <w:rsid w:val="00C67C50"/>
    <w:rsid w:val="00C7025F"/>
    <w:rsid w:val="00C702BA"/>
    <w:rsid w:val="00C70690"/>
    <w:rsid w:val="00C70726"/>
    <w:rsid w:val="00C70D82"/>
    <w:rsid w:val="00C71379"/>
    <w:rsid w:val="00C714E6"/>
    <w:rsid w:val="00C718B0"/>
    <w:rsid w:val="00C72B9B"/>
    <w:rsid w:val="00C72DA5"/>
    <w:rsid w:val="00C739B0"/>
    <w:rsid w:val="00C73AF3"/>
    <w:rsid w:val="00C73AFB"/>
    <w:rsid w:val="00C7445D"/>
    <w:rsid w:val="00C74C3C"/>
    <w:rsid w:val="00C74DEB"/>
    <w:rsid w:val="00C74E14"/>
    <w:rsid w:val="00C75ED1"/>
    <w:rsid w:val="00C7663B"/>
    <w:rsid w:val="00C76C84"/>
    <w:rsid w:val="00C770F4"/>
    <w:rsid w:val="00C77EEA"/>
    <w:rsid w:val="00C806C4"/>
    <w:rsid w:val="00C80E06"/>
    <w:rsid w:val="00C8176C"/>
    <w:rsid w:val="00C81A69"/>
    <w:rsid w:val="00C81C4C"/>
    <w:rsid w:val="00C825D8"/>
    <w:rsid w:val="00C82608"/>
    <w:rsid w:val="00C82976"/>
    <w:rsid w:val="00C838EB"/>
    <w:rsid w:val="00C83BB7"/>
    <w:rsid w:val="00C83C50"/>
    <w:rsid w:val="00C83D7D"/>
    <w:rsid w:val="00C8439C"/>
    <w:rsid w:val="00C84CEC"/>
    <w:rsid w:val="00C854D8"/>
    <w:rsid w:val="00C8550F"/>
    <w:rsid w:val="00C858CE"/>
    <w:rsid w:val="00C85BEE"/>
    <w:rsid w:val="00C85D30"/>
    <w:rsid w:val="00C862A9"/>
    <w:rsid w:val="00C8639F"/>
    <w:rsid w:val="00C86FA3"/>
    <w:rsid w:val="00C905C9"/>
    <w:rsid w:val="00C90CFC"/>
    <w:rsid w:val="00C91048"/>
    <w:rsid w:val="00C91461"/>
    <w:rsid w:val="00C93057"/>
    <w:rsid w:val="00C9397F"/>
    <w:rsid w:val="00C93D3B"/>
    <w:rsid w:val="00C94786"/>
    <w:rsid w:val="00C94A25"/>
    <w:rsid w:val="00C95260"/>
    <w:rsid w:val="00C963D8"/>
    <w:rsid w:val="00C9640D"/>
    <w:rsid w:val="00C9643B"/>
    <w:rsid w:val="00C964DE"/>
    <w:rsid w:val="00C96FE9"/>
    <w:rsid w:val="00C97023"/>
    <w:rsid w:val="00C975B9"/>
    <w:rsid w:val="00C9778F"/>
    <w:rsid w:val="00C97DAB"/>
    <w:rsid w:val="00C97F7E"/>
    <w:rsid w:val="00CA004D"/>
    <w:rsid w:val="00CA00AA"/>
    <w:rsid w:val="00CA00E6"/>
    <w:rsid w:val="00CA0968"/>
    <w:rsid w:val="00CA0AF0"/>
    <w:rsid w:val="00CA139E"/>
    <w:rsid w:val="00CA14CC"/>
    <w:rsid w:val="00CA19BF"/>
    <w:rsid w:val="00CA256B"/>
    <w:rsid w:val="00CA266B"/>
    <w:rsid w:val="00CA294A"/>
    <w:rsid w:val="00CA2E19"/>
    <w:rsid w:val="00CA2E83"/>
    <w:rsid w:val="00CA367A"/>
    <w:rsid w:val="00CA406E"/>
    <w:rsid w:val="00CA49C9"/>
    <w:rsid w:val="00CA5669"/>
    <w:rsid w:val="00CA5797"/>
    <w:rsid w:val="00CA5A77"/>
    <w:rsid w:val="00CA60B5"/>
    <w:rsid w:val="00CA6294"/>
    <w:rsid w:val="00CA6709"/>
    <w:rsid w:val="00CA7054"/>
    <w:rsid w:val="00CA7EC4"/>
    <w:rsid w:val="00CB027A"/>
    <w:rsid w:val="00CB0420"/>
    <w:rsid w:val="00CB1E8A"/>
    <w:rsid w:val="00CB2377"/>
    <w:rsid w:val="00CB2728"/>
    <w:rsid w:val="00CB2839"/>
    <w:rsid w:val="00CB33AF"/>
    <w:rsid w:val="00CB47AA"/>
    <w:rsid w:val="00CB4D9B"/>
    <w:rsid w:val="00CB6258"/>
    <w:rsid w:val="00CB6A27"/>
    <w:rsid w:val="00CB6A2C"/>
    <w:rsid w:val="00CB73BA"/>
    <w:rsid w:val="00CB7558"/>
    <w:rsid w:val="00CB7A4D"/>
    <w:rsid w:val="00CB7E4D"/>
    <w:rsid w:val="00CC01E5"/>
    <w:rsid w:val="00CC02E1"/>
    <w:rsid w:val="00CC087E"/>
    <w:rsid w:val="00CC0B2C"/>
    <w:rsid w:val="00CC152C"/>
    <w:rsid w:val="00CC17B2"/>
    <w:rsid w:val="00CC1CD3"/>
    <w:rsid w:val="00CC1CE1"/>
    <w:rsid w:val="00CC1D55"/>
    <w:rsid w:val="00CC1E41"/>
    <w:rsid w:val="00CC2361"/>
    <w:rsid w:val="00CC237A"/>
    <w:rsid w:val="00CC2C3D"/>
    <w:rsid w:val="00CC35C5"/>
    <w:rsid w:val="00CC369D"/>
    <w:rsid w:val="00CC3960"/>
    <w:rsid w:val="00CC3B0A"/>
    <w:rsid w:val="00CC47D9"/>
    <w:rsid w:val="00CC4BC4"/>
    <w:rsid w:val="00CC4DEE"/>
    <w:rsid w:val="00CC5413"/>
    <w:rsid w:val="00CC58B0"/>
    <w:rsid w:val="00CC65F8"/>
    <w:rsid w:val="00CC660F"/>
    <w:rsid w:val="00CC671C"/>
    <w:rsid w:val="00CC694D"/>
    <w:rsid w:val="00CC7B47"/>
    <w:rsid w:val="00CC7D8F"/>
    <w:rsid w:val="00CC7D91"/>
    <w:rsid w:val="00CD056A"/>
    <w:rsid w:val="00CD094A"/>
    <w:rsid w:val="00CD0A69"/>
    <w:rsid w:val="00CD0DA0"/>
    <w:rsid w:val="00CD14A1"/>
    <w:rsid w:val="00CD20C9"/>
    <w:rsid w:val="00CD21B2"/>
    <w:rsid w:val="00CD23C3"/>
    <w:rsid w:val="00CD2548"/>
    <w:rsid w:val="00CD2BA8"/>
    <w:rsid w:val="00CD2F8E"/>
    <w:rsid w:val="00CD378F"/>
    <w:rsid w:val="00CD5686"/>
    <w:rsid w:val="00CD5DC6"/>
    <w:rsid w:val="00CD5DD2"/>
    <w:rsid w:val="00CD6CAF"/>
    <w:rsid w:val="00CD7173"/>
    <w:rsid w:val="00CD71A0"/>
    <w:rsid w:val="00CD764F"/>
    <w:rsid w:val="00CD7F63"/>
    <w:rsid w:val="00CE02C5"/>
    <w:rsid w:val="00CE1377"/>
    <w:rsid w:val="00CE18AC"/>
    <w:rsid w:val="00CE23D3"/>
    <w:rsid w:val="00CE2B95"/>
    <w:rsid w:val="00CE2BA6"/>
    <w:rsid w:val="00CE304B"/>
    <w:rsid w:val="00CE3804"/>
    <w:rsid w:val="00CE3E65"/>
    <w:rsid w:val="00CE3FD2"/>
    <w:rsid w:val="00CE43DF"/>
    <w:rsid w:val="00CE449A"/>
    <w:rsid w:val="00CE4504"/>
    <w:rsid w:val="00CE48A8"/>
    <w:rsid w:val="00CE4EA2"/>
    <w:rsid w:val="00CE4F1E"/>
    <w:rsid w:val="00CE4F8B"/>
    <w:rsid w:val="00CE556D"/>
    <w:rsid w:val="00CE56AA"/>
    <w:rsid w:val="00CE59D0"/>
    <w:rsid w:val="00CE5BB9"/>
    <w:rsid w:val="00CE6125"/>
    <w:rsid w:val="00CE61FA"/>
    <w:rsid w:val="00CE6738"/>
    <w:rsid w:val="00CE6BF0"/>
    <w:rsid w:val="00CE6DE0"/>
    <w:rsid w:val="00CE7FA0"/>
    <w:rsid w:val="00CF0EDF"/>
    <w:rsid w:val="00CF0F16"/>
    <w:rsid w:val="00CF1F8B"/>
    <w:rsid w:val="00CF26C3"/>
    <w:rsid w:val="00CF28A7"/>
    <w:rsid w:val="00CF388B"/>
    <w:rsid w:val="00CF3984"/>
    <w:rsid w:val="00CF3BB8"/>
    <w:rsid w:val="00CF3DE0"/>
    <w:rsid w:val="00CF41ED"/>
    <w:rsid w:val="00CF4DEB"/>
    <w:rsid w:val="00CF4E21"/>
    <w:rsid w:val="00CF5046"/>
    <w:rsid w:val="00CF51DD"/>
    <w:rsid w:val="00CF532F"/>
    <w:rsid w:val="00CF5BAB"/>
    <w:rsid w:val="00CF5EE9"/>
    <w:rsid w:val="00CF71A9"/>
    <w:rsid w:val="00CF78D7"/>
    <w:rsid w:val="00CF79A9"/>
    <w:rsid w:val="00CF7CD3"/>
    <w:rsid w:val="00D00241"/>
    <w:rsid w:val="00D00389"/>
    <w:rsid w:val="00D00B16"/>
    <w:rsid w:val="00D01333"/>
    <w:rsid w:val="00D0153C"/>
    <w:rsid w:val="00D01547"/>
    <w:rsid w:val="00D01592"/>
    <w:rsid w:val="00D017BD"/>
    <w:rsid w:val="00D01AB5"/>
    <w:rsid w:val="00D01BDB"/>
    <w:rsid w:val="00D029DA"/>
    <w:rsid w:val="00D0314D"/>
    <w:rsid w:val="00D0365C"/>
    <w:rsid w:val="00D03C85"/>
    <w:rsid w:val="00D04036"/>
    <w:rsid w:val="00D05BCC"/>
    <w:rsid w:val="00D0645F"/>
    <w:rsid w:val="00D06506"/>
    <w:rsid w:val="00D065AB"/>
    <w:rsid w:val="00D06C62"/>
    <w:rsid w:val="00D07509"/>
    <w:rsid w:val="00D076F8"/>
    <w:rsid w:val="00D07A3A"/>
    <w:rsid w:val="00D07AC4"/>
    <w:rsid w:val="00D07E67"/>
    <w:rsid w:val="00D1071D"/>
    <w:rsid w:val="00D10F6D"/>
    <w:rsid w:val="00D1161B"/>
    <w:rsid w:val="00D11658"/>
    <w:rsid w:val="00D118AD"/>
    <w:rsid w:val="00D12829"/>
    <w:rsid w:val="00D128EE"/>
    <w:rsid w:val="00D1445B"/>
    <w:rsid w:val="00D1450D"/>
    <w:rsid w:val="00D14C6F"/>
    <w:rsid w:val="00D14D17"/>
    <w:rsid w:val="00D15F5C"/>
    <w:rsid w:val="00D16026"/>
    <w:rsid w:val="00D1616D"/>
    <w:rsid w:val="00D1648E"/>
    <w:rsid w:val="00D165D3"/>
    <w:rsid w:val="00D166C0"/>
    <w:rsid w:val="00D17009"/>
    <w:rsid w:val="00D1702C"/>
    <w:rsid w:val="00D1730D"/>
    <w:rsid w:val="00D17410"/>
    <w:rsid w:val="00D17AA3"/>
    <w:rsid w:val="00D204E6"/>
    <w:rsid w:val="00D2094A"/>
    <w:rsid w:val="00D20C01"/>
    <w:rsid w:val="00D2128B"/>
    <w:rsid w:val="00D21315"/>
    <w:rsid w:val="00D215DA"/>
    <w:rsid w:val="00D21A2C"/>
    <w:rsid w:val="00D21A4B"/>
    <w:rsid w:val="00D221AD"/>
    <w:rsid w:val="00D2292E"/>
    <w:rsid w:val="00D22DDC"/>
    <w:rsid w:val="00D232EA"/>
    <w:rsid w:val="00D234F7"/>
    <w:rsid w:val="00D239A2"/>
    <w:rsid w:val="00D23D3C"/>
    <w:rsid w:val="00D23EC5"/>
    <w:rsid w:val="00D24318"/>
    <w:rsid w:val="00D24538"/>
    <w:rsid w:val="00D246D2"/>
    <w:rsid w:val="00D24C46"/>
    <w:rsid w:val="00D252A7"/>
    <w:rsid w:val="00D254C3"/>
    <w:rsid w:val="00D25B2F"/>
    <w:rsid w:val="00D25DB6"/>
    <w:rsid w:val="00D25DE6"/>
    <w:rsid w:val="00D2677D"/>
    <w:rsid w:val="00D271A0"/>
    <w:rsid w:val="00D278EE"/>
    <w:rsid w:val="00D27EAF"/>
    <w:rsid w:val="00D30D90"/>
    <w:rsid w:val="00D31698"/>
    <w:rsid w:val="00D318F4"/>
    <w:rsid w:val="00D31ED4"/>
    <w:rsid w:val="00D324EB"/>
    <w:rsid w:val="00D325A1"/>
    <w:rsid w:val="00D32840"/>
    <w:rsid w:val="00D329C7"/>
    <w:rsid w:val="00D33F77"/>
    <w:rsid w:val="00D340FB"/>
    <w:rsid w:val="00D343F6"/>
    <w:rsid w:val="00D346F6"/>
    <w:rsid w:val="00D35356"/>
    <w:rsid w:val="00D35844"/>
    <w:rsid w:val="00D35B31"/>
    <w:rsid w:val="00D360DA"/>
    <w:rsid w:val="00D360E8"/>
    <w:rsid w:val="00D361F0"/>
    <w:rsid w:val="00D36B1D"/>
    <w:rsid w:val="00D36B2F"/>
    <w:rsid w:val="00D3725D"/>
    <w:rsid w:val="00D3770B"/>
    <w:rsid w:val="00D37B29"/>
    <w:rsid w:val="00D402F4"/>
    <w:rsid w:val="00D40318"/>
    <w:rsid w:val="00D40EC3"/>
    <w:rsid w:val="00D414B6"/>
    <w:rsid w:val="00D416F7"/>
    <w:rsid w:val="00D41EBF"/>
    <w:rsid w:val="00D42EF9"/>
    <w:rsid w:val="00D43BFD"/>
    <w:rsid w:val="00D43C1A"/>
    <w:rsid w:val="00D43EE8"/>
    <w:rsid w:val="00D44568"/>
    <w:rsid w:val="00D4478D"/>
    <w:rsid w:val="00D45760"/>
    <w:rsid w:val="00D4578C"/>
    <w:rsid w:val="00D45D72"/>
    <w:rsid w:val="00D46318"/>
    <w:rsid w:val="00D46628"/>
    <w:rsid w:val="00D46DF7"/>
    <w:rsid w:val="00D4745F"/>
    <w:rsid w:val="00D47593"/>
    <w:rsid w:val="00D477D3"/>
    <w:rsid w:val="00D47CD1"/>
    <w:rsid w:val="00D502E9"/>
    <w:rsid w:val="00D5033A"/>
    <w:rsid w:val="00D50C16"/>
    <w:rsid w:val="00D50CAA"/>
    <w:rsid w:val="00D50D0F"/>
    <w:rsid w:val="00D50F7E"/>
    <w:rsid w:val="00D5117E"/>
    <w:rsid w:val="00D5150D"/>
    <w:rsid w:val="00D51A26"/>
    <w:rsid w:val="00D51B56"/>
    <w:rsid w:val="00D51F22"/>
    <w:rsid w:val="00D5256C"/>
    <w:rsid w:val="00D5278B"/>
    <w:rsid w:val="00D52CA7"/>
    <w:rsid w:val="00D52FFE"/>
    <w:rsid w:val="00D53444"/>
    <w:rsid w:val="00D5394C"/>
    <w:rsid w:val="00D53FD5"/>
    <w:rsid w:val="00D54434"/>
    <w:rsid w:val="00D54BB5"/>
    <w:rsid w:val="00D54BB7"/>
    <w:rsid w:val="00D55730"/>
    <w:rsid w:val="00D55AD4"/>
    <w:rsid w:val="00D55B3F"/>
    <w:rsid w:val="00D55B8D"/>
    <w:rsid w:val="00D55D50"/>
    <w:rsid w:val="00D55E91"/>
    <w:rsid w:val="00D5610F"/>
    <w:rsid w:val="00D56194"/>
    <w:rsid w:val="00D56865"/>
    <w:rsid w:val="00D56AA2"/>
    <w:rsid w:val="00D574E5"/>
    <w:rsid w:val="00D57598"/>
    <w:rsid w:val="00D57890"/>
    <w:rsid w:val="00D605D3"/>
    <w:rsid w:val="00D60CC8"/>
    <w:rsid w:val="00D61068"/>
    <w:rsid w:val="00D614DE"/>
    <w:rsid w:val="00D61910"/>
    <w:rsid w:val="00D61DA1"/>
    <w:rsid w:val="00D6280D"/>
    <w:rsid w:val="00D62A05"/>
    <w:rsid w:val="00D632E0"/>
    <w:rsid w:val="00D63641"/>
    <w:rsid w:val="00D63B4E"/>
    <w:rsid w:val="00D63DDA"/>
    <w:rsid w:val="00D63EAA"/>
    <w:rsid w:val="00D63FC7"/>
    <w:rsid w:val="00D6419E"/>
    <w:rsid w:val="00D642BD"/>
    <w:rsid w:val="00D65795"/>
    <w:rsid w:val="00D657C3"/>
    <w:rsid w:val="00D65DB5"/>
    <w:rsid w:val="00D66E8D"/>
    <w:rsid w:val="00D67389"/>
    <w:rsid w:val="00D67B42"/>
    <w:rsid w:val="00D67BD2"/>
    <w:rsid w:val="00D70606"/>
    <w:rsid w:val="00D7092A"/>
    <w:rsid w:val="00D71952"/>
    <w:rsid w:val="00D722A8"/>
    <w:rsid w:val="00D73388"/>
    <w:rsid w:val="00D73A67"/>
    <w:rsid w:val="00D73D9B"/>
    <w:rsid w:val="00D73F43"/>
    <w:rsid w:val="00D7408C"/>
    <w:rsid w:val="00D74E5C"/>
    <w:rsid w:val="00D74F02"/>
    <w:rsid w:val="00D753EF"/>
    <w:rsid w:val="00D75B30"/>
    <w:rsid w:val="00D75EEF"/>
    <w:rsid w:val="00D75FE0"/>
    <w:rsid w:val="00D75FEF"/>
    <w:rsid w:val="00D769F9"/>
    <w:rsid w:val="00D76AAA"/>
    <w:rsid w:val="00D77A59"/>
    <w:rsid w:val="00D80315"/>
    <w:rsid w:val="00D80C1A"/>
    <w:rsid w:val="00D8115D"/>
    <w:rsid w:val="00D81533"/>
    <w:rsid w:val="00D819D4"/>
    <w:rsid w:val="00D81D18"/>
    <w:rsid w:val="00D826DE"/>
    <w:rsid w:val="00D82D14"/>
    <w:rsid w:val="00D8391F"/>
    <w:rsid w:val="00D83AB4"/>
    <w:rsid w:val="00D83C9A"/>
    <w:rsid w:val="00D83D7D"/>
    <w:rsid w:val="00D83FFD"/>
    <w:rsid w:val="00D84454"/>
    <w:rsid w:val="00D844D0"/>
    <w:rsid w:val="00D84503"/>
    <w:rsid w:val="00D84787"/>
    <w:rsid w:val="00D8500B"/>
    <w:rsid w:val="00D85150"/>
    <w:rsid w:val="00D8580F"/>
    <w:rsid w:val="00D85C1A"/>
    <w:rsid w:val="00D86759"/>
    <w:rsid w:val="00D867BA"/>
    <w:rsid w:val="00D873CE"/>
    <w:rsid w:val="00D87F25"/>
    <w:rsid w:val="00D87FAF"/>
    <w:rsid w:val="00D900EE"/>
    <w:rsid w:val="00D90583"/>
    <w:rsid w:val="00D909C8"/>
    <w:rsid w:val="00D90FC5"/>
    <w:rsid w:val="00D91425"/>
    <w:rsid w:val="00D91723"/>
    <w:rsid w:val="00D91D30"/>
    <w:rsid w:val="00D92415"/>
    <w:rsid w:val="00D92A00"/>
    <w:rsid w:val="00D9355C"/>
    <w:rsid w:val="00D938DC"/>
    <w:rsid w:val="00D93D01"/>
    <w:rsid w:val="00D94318"/>
    <w:rsid w:val="00D944A3"/>
    <w:rsid w:val="00D94A9C"/>
    <w:rsid w:val="00D94C85"/>
    <w:rsid w:val="00D9509E"/>
    <w:rsid w:val="00D9519E"/>
    <w:rsid w:val="00D9617C"/>
    <w:rsid w:val="00D96948"/>
    <w:rsid w:val="00D96C83"/>
    <w:rsid w:val="00D97892"/>
    <w:rsid w:val="00D97C29"/>
    <w:rsid w:val="00DA013A"/>
    <w:rsid w:val="00DA067C"/>
    <w:rsid w:val="00DA0A70"/>
    <w:rsid w:val="00DA12C8"/>
    <w:rsid w:val="00DA14FB"/>
    <w:rsid w:val="00DA1A04"/>
    <w:rsid w:val="00DA1A20"/>
    <w:rsid w:val="00DA1EA8"/>
    <w:rsid w:val="00DA2D28"/>
    <w:rsid w:val="00DA3023"/>
    <w:rsid w:val="00DA3248"/>
    <w:rsid w:val="00DA3412"/>
    <w:rsid w:val="00DA3459"/>
    <w:rsid w:val="00DA34B7"/>
    <w:rsid w:val="00DA3A9F"/>
    <w:rsid w:val="00DA41DC"/>
    <w:rsid w:val="00DA4318"/>
    <w:rsid w:val="00DA4574"/>
    <w:rsid w:val="00DA4F67"/>
    <w:rsid w:val="00DA54C4"/>
    <w:rsid w:val="00DA5C76"/>
    <w:rsid w:val="00DA5CB9"/>
    <w:rsid w:val="00DA67F9"/>
    <w:rsid w:val="00DA6C9B"/>
    <w:rsid w:val="00DA6CE5"/>
    <w:rsid w:val="00DA6DAE"/>
    <w:rsid w:val="00DA6ECA"/>
    <w:rsid w:val="00DA79BF"/>
    <w:rsid w:val="00DA7B15"/>
    <w:rsid w:val="00DB01DC"/>
    <w:rsid w:val="00DB03E6"/>
    <w:rsid w:val="00DB0504"/>
    <w:rsid w:val="00DB0A22"/>
    <w:rsid w:val="00DB14C3"/>
    <w:rsid w:val="00DB1B1F"/>
    <w:rsid w:val="00DB1DA3"/>
    <w:rsid w:val="00DB2563"/>
    <w:rsid w:val="00DB2810"/>
    <w:rsid w:val="00DB34E7"/>
    <w:rsid w:val="00DB364F"/>
    <w:rsid w:val="00DB4382"/>
    <w:rsid w:val="00DB45F6"/>
    <w:rsid w:val="00DB490E"/>
    <w:rsid w:val="00DB4C51"/>
    <w:rsid w:val="00DB5075"/>
    <w:rsid w:val="00DB5F8C"/>
    <w:rsid w:val="00DB65A5"/>
    <w:rsid w:val="00DB6A7F"/>
    <w:rsid w:val="00DB7528"/>
    <w:rsid w:val="00DB755A"/>
    <w:rsid w:val="00DB77B6"/>
    <w:rsid w:val="00DB7B01"/>
    <w:rsid w:val="00DB7CEA"/>
    <w:rsid w:val="00DC0475"/>
    <w:rsid w:val="00DC0EF9"/>
    <w:rsid w:val="00DC128A"/>
    <w:rsid w:val="00DC1E04"/>
    <w:rsid w:val="00DC20A5"/>
    <w:rsid w:val="00DC20AE"/>
    <w:rsid w:val="00DC24FB"/>
    <w:rsid w:val="00DC263A"/>
    <w:rsid w:val="00DC2D0C"/>
    <w:rsid w:val="00DC2D63"/>
    <w:rsid w:val="00DC2DCE"/>
    <w:rsid w:val="00DC3675"/>
    <w:rsid w:val="00DC3A1B"/>
    <w:rsid w:val="00DC3DF3"/>
    <w:rsid w:val="00DC419D"/>
    <w:rsid w:val="00DC4271"/>
    <w:rsid w:val="00DC43EF"/>
    <w:rsid w:val="00DC4BED"/>
    <w:rsid w:val="00DC53E1"/>
    <w:rsid w:val="00DC69F2"/>
    <w:rsid w:val="00DC6AFD"/>
    <w:rsid w:val="00DC6B7F"/>
    <w:rsid w:val="00DC6E75"/>
    <w:rsid w:val="00DC702C"/>
    <w:rsid w:val="00DC759D"/>
    <w:rsid w:val="00DC77A8"/>
    <w:rsid w:val="00DC7A6C"/>
    <w:rsid w:val="00DC7F65"/>
    <w:rsid w:val="00DD0EB6"/>
    <w:rsid w:val="00DD16DD"/>
    <w:rsid w:val="00DD1B7E"/>
    <w:rsid w:val="00DD27FC"/>
    <w:rsid w:val="00DD2928"/>
    <w:rsid w:val="00DD2D75"/>
    <w:rsid w:val="00DD3233"/>
    <w:rsid w:val="00DD32F9"/>
    <w:rsid w:val="00DD417E"/>
    <w:rsid w:val="00DD4ADE"/>
    <w:rsid w:val="00DD4CC8"/>
    <w:rsid w:val="00DD4D36"/>
    <w:rsid w:val="00DD4F52"/>
    <w:rsid w:val="00DD57A1"/>
    <w:rsid w:val="00DD6511"/>
    <w:rsid w:val="00DD6AEC"/>
    <w:rsid w:val="00DD70C4"/>
    <w:rsid w:val="00DD7267"/>
    <w:rsid w:val="00DD72C0"/>
    <w:rsid w:val="00DD7432"/>
    <w:rsid w:val="00DD78C4"/>
    <w:rsid w:val="00DD7C18"/>
    <w:rsid w:val="00DD7EC7"/>
    <w:rsid w:val="00DE02EA"/>
    <w:rsid w:val="00DE04FB"/>
    <w:rsid w:val="00DE070B"/>
    <w:rsid w:val="00DE0874"/>
    <w:rsid w:val="00DE0D52"/>
    <w:rsid w:val="00DE15B7"/>
    <w:rsid w:val="00DE1B19"/>
    <w:rsid w:val="00DE1F59"/>
    <w:rsid w:val="00DE311C"/>
    <w:rsid w:val="00DE313C"/>
    <w:rsid w:val="00DE3EB4"/>
    <w:rsid w:val="00DE4604"/>
    <w:rsid w:val="00DE4613"/>
    <w:rsid w:val="00DE4DF8"/>
    <w:rsid w:val="00DE53A3"/>
    <w:rsid w:val="00DE5696"/>
    <w:rsid w:val="00DE5D83"/>
    <w:rsid w:val="00DE60CA"/>
    <w:rsid w:val="00DE6590"/>
    <w:rsid w:val="00DE69FA"/>
    <w:rsid w:val="00DE7C8A"/>
    <w:rsid w:val="00DF0098"/>
    <w:rsid w:val="00DF00C5"/>
    <w:rsid w:val="00DF016C"/>
    <w:rsid w:val="00DF0743"/>
    <w:rsid w:val="00DF078C"/>
    <w:rsid w:val="00DF0C8F"/>
    <w:rsid w:val="00DF0F00"/>
    <w:rsid w:val="00DF1172"/>
    <w:rsid w:val="00DF14D4"/>
    <w:rsid w:val="00DF184F"/>
    <w:rsid w:val="00DF1C24"/>
    <w:rsid w:val="00DF28C0"/>
    <w:rsid w:val="00DF2B7B"/>
    <w:rsid w:val="00DF2DCF"/>
    <w:rsid w:val="00DF361A"/>
    <w:rsid w:val="00DF37B2"/>
    <w:rsid w:val="00DF37E2"/>
    <w:rsid w:val="00DF39F5"/>
    <w:rsid w:val="00DF4233"/>
    <w:rsid w:val="00DF4C69"/>
    <w:rsid w:val="00DF4E5E"/>
    <w:rsid w:val="00DF4FAC"/>
    <w:rsid w:val="00DF5084"/>
    <w:rsid w:val="00DF5430"/>
    <w:rsid w:val="00DF6108"/>
    <w:rsid w:val="00DF6814"/>
    <w:rsid w:val="00DF6BC3"/>
    <w:rsid w:val="00DF6C21"/>
    <w:rsid w:val="00DF710D"/>
    <w:rsid w:val="00DF7449"/>
    <w:rsid w:val="00DF7799"/>
    <w:rsid w:val="00DF79AA"/>
    <w:rsid w:val="00DF7C3A"/>
    <w:rsid w:val="00E0040F"/>
    <w:rsid w:val="00E008E8"/>
    <w:rsid w:val="00E00EF6"/>
    <w:rsid w:val="00E00F73"/>
    <w:rsid w:val="00E0124A"/>
    <w:rsid w:val="00E015D7"/>
    <w:rsid w:val="00E01DEA"/>
    <w:rsid w:val="00E02022"/>
    <w:rsid w:val="00E02344"/>
    <w:rsid w:val="00E02899"/>
    <w:rsid w:val="00E02DC7"/>
    <w:rsid w:val="00E03402"/>
    <w:rsid w:val="00E03A3B"/>
    <w:rsid w:val="00E03B9B"/>
    <w:rsid w:val="00E048EF"/>
    <w:rsid w:val="00E0530E"/>
    <w:rsid w:val="00E05A92"/>
    <w:rsid w:val="00E06055"/>
    <w:rsid w:val="00E0615B"/>
    <w:rsid w:val="00E06545"/>
    <w:rsid w:val="00E073A3"/>
    <w:rsid w:val="00E07953"/>
    <w:rsid w:val="00E07B1A"/>
    <w:rsid w:val="00E1040C"/>
    <w:rsid w:val="00E10751"/>
    <w:rsid w:val="00E12249"/>
    <w:rsid w:val="00E123EE"/>
    <w:rsid w:val="00E126BF"/>
    <w:rsid w:val="00E12999"/>
    <w:rsid w:val="00E12E73"/>
    <w:rsid w:val="00E130AE"/>
    <w:rsid w:val="00E13A26"/>
    <w:rsid w:val="00E13EBA"/>
    <w:rsid w:val="00E1427C"/>
    <w:rsid w:val="00E1429D"/>
    <w:rsid w:val="00E15155"/>
    <w:rsid w:val="00E15168"/>
    <w:rsid w:val="00E16763"/>
    <w:rsid w:val="00E16BE9"/>
    <w:rsid w:val="00E172D9"/>
    <w:rsid w:val="00E17719"/>
    <w:rsid w:val="00E17B0F"/>
    <w:rsid w:val="00E17C9A"/>
    <w:rsid w:val="00E17DC6"/>
    <w:rsid w:val="00E20A92"/>
    <w:rsid w:val="00E20BD2"/>
    <w:rsid w:val="00E21002"/>
    <w:rsid w:val="00E21073"/>
    <w:rsid w:val="00E211D1"/>
    <w:rsid w:val="00E2205E"/>
    <w:rsid w:val="00E220FB"/>
    <w:rsid w:val="00E228B7"/>
    <w:rsid w:val="00E228FC"/>
    <w:rsid w:val="00E23632"/>
    <w:rsid w:val="00E23D45"/>
    <w:rsid w:val="00E23FD8"/>
    <w:rsid w:val="00E24035"/>
    <w:rsid w:val="00E241A0"/>
    <w:rsid w:val="00E24277"/>
    <w:rsid w:val="00E248D2"/>
    <w:rsid w:val="00E249A5"/>
    <w:rsid w:val="00E249DE"/>
    <w:rsid w:val="00E24AB7"/>
    <w:rsid w:val="00E24AFA"/>
    <w:rsid w:val="00E24BF2"/>
    <w:rsid w:val="00E24D9A"/>
    <w:rsid w:val="00E2523D"/>
    <w:rsid w:val="00E252DA"/>
    <w:rsid w:val="00E25656"/>
    <w:rsid w:val="00E2587C"/>
    <w:rsid w:val="00E25D80"/>
    <w:rsid w:val="00E2639D"/>
    <w:rsid w:val="00E26410"/>
    <w:rsid w:val="00E267DF"/>
    <w:rsid w:val="00E269C2"/>
    <w:rsid w:val="00E26C6C"/>
    <w:rsid w:val="00E26E06"/>
    <w:rsid w:val="00E26F54"/>
    <w:rsid w:val="00E271DF"/>
    <w:rsid w:val="00E30957"/>
    <w:rsid w:val="00E30AC1"/>
    <w:rsid w:val="00E30CB6"/>
    <w:rsid w:val="00E3125B"/>
    <w:rsid w:val="00E31371"/>
    <w:rsid w:val="00E31AF8"/>
    <w:rsid w:val="00E3205E"/>
    <w:rsid w:val="00E32787"/>
    <w:rsid w:val="00E3314B"/>
    <w:rsid w:val="00E33482"/>
    <w:rsid w:val="00E337C1"/>
    <w:rsid w:val="00E3410A"/>
    <w:rsid w:val="00E354C4"/>
    <w:rsid w:val="00E3569D"/>
    <w:rsid w:val="00E35702"/>
    <w:rsid w:val="00E36041"/>
    <w:rsid w:val="00E3630E"/>
    <w:rsid w:val="00E36631"/>
    <w:rsid w:val="00E36A44"/>
    <w:rsid w:val="00E36DE6"/>
    <w:rsid w:val="00E37061"/>
    <w:rsid w:val="00E37707"/>
    <w:rsid w:val="00E37C03"/>
    <w:rsid w:val="00E37D2E"/>
    <w:rsid w:val="00E40334"/>
    <w:rsid w:val="00E40B7E"/>
    <w:rsid w:val="00E40CDD"/>
    <w:rsid w:val="00E41950"/>
    <w:rsid w:val="00E41B1C"/>
    <w:rsid w:val="00E41B74"/>
    <w:rsid w:val="00E41BDD"/>
    <w:rsid w:val="00E4212C"/>
    <w:rsid w:val="00E42311"/>
    <w:rsid w:val="00E42DDA"/>
    <w:rsid w:val="00E43403"/>
    <w:rsid w:val="00E43817"/>
    <w:rsid w:val="00E449DA"/>
    <w:rsid w:val="00E44D86"/>
    <w:rsid w:val="00E457F7"/>
    <w:rsid w:val="00E459F4"/>
    <w:rsid w:val="00E45A56"/>
    <w:rsid w:val="00E45DB1"/>
    <w:rsid w:val="00E47280"/>
    <w:rsid w:val="00E47B48"/>
    <w:rsid w:val="00E47B93"/>
    <w:rsid w:val="00E502A0"/>
    <w:rsid w:val="00E5058F"/>
    <w:rsid w:val="00E505F7"/>
    <w:rsid w:val="00E506DB"/>
    <w:rsid w:val="00E5091C"/>
    <w:rsid w:val="00E5095E"/>
    <w:rsid w:val="00E50B78"/>
    <w:rsid w:val="00E50F9D"/>
    <w:rsid w:val="00E513A8"/>
    <w:rsid w:val="00E516A2"/>
    <w:rsid w:val="00E51DEE"/>
    <w:rsid w:val="00E5225B"/>
    <w:rsid w:val="00E5260A"/>
    <w:rsid w:val="00E52A2F"/>
    <w:rsid w:val="00E52A3D"/>
    <w:rsid w:val="00E52F18"/>
    <w:rsid w:val="00E53104"/>
    <w:rsid w:val="00E5317D"/>
    <w:rsid w:val="00E5382C"/>
    <w:rsid w:val="00E53B72"/>
    <w:rsid w:val="00E54294"/>
    <w:rsid w:val="00E5436F"/>
    <w:rsid w:val="00E5471F"/>
    <w:rsid w:val="00E548D9"/>
    <w:rsid w:val="00E549FD"/>
    <w:rsid w:val="00E55FEC"/>
    <w:rsid w:val="00E567D2"/>
    <w:rsid w:val="00E56A71"/>
    <w:rsid w:val="00E56DAB"/>
    <w:rsid w:val="00E573D9"/>
    <w:rsid w:val="00E57A89"/>
    <w:rsid w:val="00E57C85"/>
    <w:rsid w:val="00E57DBE"/>
    <w:rsid w:val="00E57F4C"/>
    <w:rsid w:val="00E57F62"/>
    <w:rsid w:val="00E60539"/>
    <w:rsid w:val="00E60728"/>
    <w:rsid w:val="00E60B10"/>
    <w:rsid w:val="00E60F19"/>
    <w:rsid w:val="00E61074"/>
    <w:rsid w:val="00E61081"/>
    <w:rsid w:val="00E618E2"/>
    <w:rsid w:val="00E61A99"/>
    <w:rsid w:val="00E61BFD"/>
    <w:rsid w:val="00E62569"/>
    <w:rsid w:val="00E627BC"/>
    <w:rsid w:val="00E6299B"/>
    <w:rsid w:val="00E6364C"/>
    <w:rsid w:val="00E6465C"/>
    <w:rsid w:val="00E64B9A"/>
    <w:rsid w:val="00E64DA2"/>
    <w:rsid w:val="00E655C9"/>
    <w:rsid w:val="00E6604E"/>
    <w:rsid w:val="00E667E1"/>
    <w:rsid w:val="00E66E97"/>
    <w:rsid w:val="00E678FD"/>
    <w:rsid w:val="00E67DE5"/>
    <w:rsid w:val="00E7134A"/>
    <w:rsid w:val="00E7219E"/>
    <w:rsid w:val="00E721F8"/>
    <w:rsid w:val="00E722D4"/>
    <w:rsid w:val="00E7260F"/>
    <w:rsid w:val="00E73057"/>
    <w:rsid w:val="00E73755"/>
    <w:rsid w:val="00E73A72"/>
    <w:rsid w:val="00E74A4C"/>
    <w:rsid w:val="00E75716"/>
    <w:rsid w:val="00E759FA"/>
    <w:rsid w:val="00E75B41"/>
    <w:rsid w:val="00E75C9A"/>
    <w:rsid w:val="00E770D1"/>
    <w:rsid w:val="00E7744C"/>
    <w:rsid w:val="00E774B0"/>
    <w:rsid w:val="00E7766E"/>
    <w:rsid w:val="00E77A87"/>
    <w:rsid w:val="00E77C78"/>
    <w:rsid w:val="00E77D5B"/>
    <w:rsid w:val="00E804B9"/>
    <w:rsid w:val="00E80816"/>
    <w:rsid w:val="00E80CC0"/>
    <w:rsid w:val="00E811B7"/>
    <w:rsid w:val="00E81245"/>
    <w:rsid w:val="00E81BF7"/>
    <w:rsid w:val="00E81C0B"/>
    <w:rsid w:val="00E82006"/>
    <w:rsid w:val="00E838D2"/>
    <w:rsid w:val="00E83BB8"/>
    <w:rsid w:val="00E84183"/>
    <w:rsid w:val="00E84B61"/>
    <w:rsid w:val="00E85177"/>
    <w:rsid w:val="00E855A3"/>
    <w:rsid w:val="00E858AF"/>
    <w:rsid w:val="00E868CE"/>
    <w:rsid w:val="00E876BE"/>
    <w:rsid w:val="00E8779E"/>
    <w:rsid w:val="00E87E49"/>
    <w:rsid w:val="00E90BA4"/>
    <w:rsid w:val="00E90F70"/>
    <w:rsid w:val="00E910C0"/>
    <w:rsid w:val="00E91B89"/>
    <w:rsid w:val="00E91E44"/>
    <w:rsid w:val="00E91E57"/>
    <w:rsid w:val="00E92250"/>
    <w:rsid w:val="00E923A8"/>
    <w:rsid w:val="00E927C5"/>
    <w:rsid w:val="00E92A2C"/>
    <w:rsid w:val="00E93705"/>
    <w:rsid w:val="00E93C47"/>
    <w:rsid w:val="00E94004"/>
    <w:rsid w:val="00E941D5"/>
    <w:rsid w:val="00E9472E"/>
    <w:rsid w:val="00E94BB0"/>
    <w:rsid w:val="00E94D9F"/>
    <w:rsid w:val="00E94DDA"/>
    <w:rsid w:val="00E95205"/>
    <w:rsid w:val="00E95772"/>
    <w:rsid w:val="00E9592B"/>
    <w:rsid w:val="00E95CD7"/>
    <w:rsid w:val="00E95E99"/>
    <w:rsid w:val="00E96225"/>
    <w:rsid w:val="00E97196"/>
    <w:rsid w:val="00E975DB"/>
    <w:rsid w:val="00E97D16"/>
    <w:rsid w:val="00EA05D9"/>
    <w:rsid w:val="00EA06C5"/>
    <w:rsid w:val="00EA06F8"/>
    <w:rsid w:val="00EA0B67"/>
    <w:rsid w:val="00EA1353"/>
    <w:rsid w:val="00EA2679"/>
    <w:rsid w:val="00EA2C0E"/>
    <w:rsid w:val="00EA3223"/>
    <w:rsid w:val="00EA3513"/>
    <w:rsid w:val="00EA3845"/>
    <w:rsid w:val="00EA44C3"/>
    <w:rsid w:val="00EA4538"/>
    <w:rsid w:val="00EA4E75"/>
    <w:rsid w:val="00EA55B7"/>
    <w:rsid w:val="00EA6410"/>
    <w:rsid w:val="00EA65CC"/>
    <w:rsid w:val="00EA67BA"/>
    <w:rsid w:val="00EA6D30"/>
    <w:rsid w:val="00EA7765"/>
    <w:rsid w:val="00EB04D1"/>
    <w:rsid w:val="00EB1077"/>
    <w:rsid w:val="00EB139C"/>
    <w:rsid w:val="00EB1D36"/>
    <w:rsid w:val="00EB2025"/>
    <w:rsid w:val="00EB263A"/>
    <w:rsid w:val="00EB31F9"/>
    <w:rsid w:val="00EB3358"/>
    <w:rsid w:val="00EB35E8"/>
    <w:rsid w:val="00EB36E5"/>
    <w:rsid w:val="00EB38A4"/>
    <w:rsid w:val="00EB3B7A"/>
    <w:rsid w:val="00EB3D5B"/>
    <w:rsid w:val="00EB49E7"/>
    <w:rsid w:val="00EB4A8B"/>
    <w:rsid w:val="00EB4DFF"/>
    <w:rsid w:val="00EB54AA"/>
    <w:rsid w:val="00EB56A4"/>
    <w:rsid w:val="00EB58CD"/>
    <w:rsid w:val="00EB5B5D"/>
    <w:rsid w:val="00EB636C"/>
    <w:rsid w:val="00EB685B"/>
    <w:rsid w:val="00EB6F1D"/>
    <w:rsid w:val="00EB79E6"/>
    <w:rsid w:val="00EB7D7A"/>
    <w:rsid w:val="00EB7FA1"/>
    <w:rsid w:val="00EC05E6"/>
    <w:rsid w:val="00EC05FB"/>
    <w:rsid w:val="00EC0765"/>
    <w:rsid w:val="00EC0DD8"/>
    <w:rsid w:val="00EC1701"/>
    <w:rsid w:val="00EC1789"/>
    <w:rsid w:val="00EC1C1D"/>
    <w:rsid w:val="00EC1FA0"/>
    <w:rsid w:val="00EC1FA8"/>
    <w:rsid w:val="00EC2381"/>
    <w:rsid w:val="00EC3B06"/>
    <w:rsid w:val="00EC452B"/>
    <w:rsid w:val="00EC4A32"/>
    <w:rsid w:val="00EC4AB4"/>
    <w:rsid w:val="00EC4E91"/>
    <w:rsid w:val="00EC5574"/>
    <w:rsid w:val="00EC6599"/>
    <w:rsid w:val="00EC679B"/>
    <w:rsid w:val="00EC6EC4"/>
    <w:rsid w:val="00EC78DD"/>
    <w:rsid w:val="00EC7F0D"/>
    <w:rsid w:val="00ED05A8"/>
    <w:rsid w:val="00ED0D2F"/>
    <w:rsid w:val="00ED0ECA"/>
    <w:rsid w:val="00ED18FA"/>
    <w:rsid w:val="00ED1955"/>
    <w:rsid w:val="00ED1FB5"/>
    <w:rsid w:val="00ED236F"/>
    <w:rsid w:val="00ED2FF7"/>
    <w:rsid w:val="00ED3D9A"/>
    <w:rsid w:val="00ED409D"/>
    <w:rsid w:val="00ED4149"/>
    <w:rsid w:val="00ED44DF"/>
    <w:rsid w:val="00ED52B8"/>
    <w:rsid w:val="00ED53AF"/>
    <w:rsid w:val="00ED544C"/>
    <w:rsid w:val="00ED5580"/>
    <w:rsid w:val="00ED5602"/>
    <w:rsid w:val="00ED5A53"/>
    <w:rsid w:val="00ED5A96"/>
    <w:rsid w:val="00ED5DA1"/>
    <w:rsid w:val="00ED5E00"/>
    <w:rsid w:val="00ED6520"/>
    <w:rsid w:val="00ED68C9"/>
    <w:rsid w:val="00ED6E15"/>
    <w:rsid w:val="00EE03D3"/>
    <w:rsid w:val="00EE05AB"/>
    <w:rsid w:val="00EE0705"/>
    <w:rsid w:val="00EE082C"/>
    <w:rsid w:val="00EE08D7"/>
    <w:rsid w:val="00EE1026"/>
    <w:rsid w:val="00EE1365"/>
    <w:rsid w:val="00EE15F4"/>
    <w:rsid w:val="00EE17F5"/>
    <w:rsid w:val="00EE1B9E"/>
    <w:rsid w:val="00EE1CF2"/>
    <w:rsid w:val="00EE2D62"/>
    <w:rsid w:val="00EE2E5A"/>
    <w:rsid w:val="00EE2EEA"/>
    <w:rsid w:val="00EE3245"/>
    <w:rsid w:val="00EE3980"/>
    <w:rsid w:val="00EE3CF0"/>
    <w:rsid w:val="00EE4689"/>
    <w:rsid w:val="00EE4B57"/>
    <w:rsid w:val="00EE4D70"/>
    <w:rsid w:val="00EE4FA6"/>
    <w:rsid w:val="00EE5467"/>
    <w:rsid w:val="00EE55AB"/>
    <w:rsid w:val="00EE6232"/>
    <w:rsid w:val="00EE6543"/>
    <w:rsid w:val="00EE674F"/>
    <w:rsid w:val="00EE6CA3"/>
    <w:rsid w:val="00EE7343"/>
    <w:rsid w:val="00EE75D0"/>
    <w:rsid w:val="00EE7AA8"/>
    <w:rsid w:val="00EF05FD"/>
    <w:rsid w:val="00EF0DF0"/>
    <w:rsid w:val="00EF1096"/>
    <w:rsid w:val="00EF203F"/>
    <w:rsid w:val="00EF26E6"/>
    <w:rsid w:val="00EF29C7"/>
    <w:rsid w:val="00EF3C68"/>
    <w:rsid w:val="00EF3DEF"/>
    <w:rsid w:val="00EF403B"/>
    <w:rsid w:val="00EF450B"/>
    <w:rsid w:val="00EF48E6"/>
    <w:rsid w:val="00EF4A9B"/>
    <w:rsid w:val="00EF53D6"/>
    <w:rsid w:val="00EF57F8"/>
    <w:rsid w:val="00EF5A18"/>
    <w:rsid w:val="00EF5D24"/>
    <w:rsid w:val="00EF6EE5"/>
    <w:rsid w:val="00EF6F21"/>
    <w:rsid w:val="00EF72AF"/>
    <w:rsid w:val="00F0012B"/>
    <w:rsid w:val="00F0069A"/>
    <w:rsid w:val="00F007DA"/>
    <w:rsid w:val="00F00DB3"/>
    <w:rsid w:val="00F00F3D"/>
    <w:rsid w:val="00F014BA"/>
    <w:rsid w:val="00F016C4"/>
    <w:rsid w:val="00F018FB"/>
    <w:rsid w:val="00F02B03"/>
    <w:rsid w:val="00F02BBE"/>
    <w:rsid w:val="00F02F97"/>
    <w:rsid w:val="00F030AA"/>
    <w:rsid w:val="00F03785"/>
    <w:rsid w:val="00F038DB"/>
    <w:rsid w:val="00F0397D"/>
    <w:rsid w:val="00F03AA5"/>
    <w:rsid w:val="00F03B48"/>
    <w:rsid w:val="00F04AAE"/>
    <w:rsid w:val="00F04F9D"/>
    <w:rsid w:val="00F054AD"/>
    <w:rsid w:val="00F05708"/>
    <w:rsid w:val="00F058C3"/>
    <w:rsid w:val="00F05972"/>
    <w:rsid w:val="00F05FDA"/>
    <w:rsid w:val="00F060FA"/>
    <w:rsid w:val="00F061DF"/>
    <w:rsid w:val="00F0744D"/>
    <w:rsid w:val="00F07552"/>
    <w:rsid w:val="00F07FA5"/>
    <w:rsid w:val="00F10618"/>
    <w:rsid w:val="00F10A77"/>
    <w:rsid w:val="00F11250"/>
    <w:rsid w:val="00F115F6"/>
    <w:rsid w:val="00F12229"/>
    <w:rsid w:val="00F1283C"/>
    <w:rsid w:val="00F12C43"/>
    <w:rsid w:val="00F12DF3"/>
    <w:rsid w:val="00F13065"/>
    <w:rsid w:val="00F1328A"/>
    <w:rsid w:val="00F135F8"/>
    <w:rsid w:val="00F135FF"/>
    <w:rsid w:val="00F137DC"/>
    <w:rsid w:val="00F13C40"/>
    <w:rsid w:val="00F13FF4"/>
    <w:rsid w:val="00F143D7"/>
    <w:rsid w:val="00F14622"/>
    <w:rsid w:val="00F14A5B"/>
    <w:rsid w:val="00F14B49"/>
    <w:rsid w:val="00F14DEA"/>
    <w:rsid w:val="00F150BA"/>
    <w:rsid w:val="00F1561A"/>
    <w:rsid w:val="00F15E35"/>
    <w:rsid w:val="00F164C6"/>
    <w:rsid w:val="00F164D0"/>
    <w:rsid w:val="00F167DF"/>
    <w:rsid w:val="00F170FD"/>
    <w:rsid w:val="00F17F03"/>
    <w:rsid w:val="00F20CAF"/>
    <w:rsid w:val="00F210D6"/>
    <w:rsid w:val="00F212ED"/>
    <w:rsid w:val="00F21734"/>
    <w:rsid w:val="00F21B0D"/>
    <w:rsid w:val="00F2240F"/>
    <w:rsid w:val="00F225DF"/>
    <w:rsid w:val="00F228A8"/>
    <w:rsid w:val="00F22A9F"/>
    <w:rsid w:val="00F2339D"/>
    <w:rsid w:val="00F235A7"/>
    <w:rsid w:val="00F235FC"/>
    <w:rsid w:val="00F235FD"/>
    <w:rsid w:val="00F23BE3"/>
    <w:rsid w:val="00F23C57"/>
    <w:rsid w:val="00F244B2"/>
    <w:rsid w:val="00F2460C"/>
    <w:rsid w:val="00F24913"/>
    <w:rsid w:val="00F24974"/>
    <w:rsid w:val="00F257FD"/>
    <w:rsid w:val="00F25B8D"/>
    <w:rsid w:val="00F25B90"/>
    <w:rsid w:val="00F260E2"/>
    <w:rsid w:val="00F26343"/>
    <w:rsid w:val="00F26FD7"/>
    <w:rsid w:val="00F27261"/>
    <w:rsid w:val="00F277F2"/>
    <w:rsid w:val="00F27D6B"/>
    <w:rsid w:val="00F27F53"/>
    <w:rsid w:val="00F306E8"/>
    <w:rsid w:val="00F30832"/>
    <w:rsid w:val="00F30F90"/>
    <w:rsid w:val="00F31196"/>
    <w:rsid w:val="00F312D3"/>
    <w:rsid w:val="00F32132"/>
    <w:rsid w:val="00F32548"/>
    <w:rsid w:val="00F32C3C"/>
    <w:rsid w:val="00F32E9A"/>
    <w:rsid w:val="00F332EA"/>
    <w:rsid w:val="00F3448D"/>
    <w:rsid w:val="00F3493C"/>
    <w:rsid w:val="00F34F52"/>
    <w:rsid w:val="00F35773"/>
    <w:rsid w:val="00F35A73"/>
    <w:rsid w:val="00F35A7B"/>
    <w:rsid w:val="00F35F26"/>
    <w:rsid w:val="00F36F50"/>
    <w:rsid w:val="00F3765F"/>
    <w:rsid w:val="00F378EA"/>
    <w:rsid w:val="00F40917"/>
    <w:rsid w:val="00F41176"/>
    <w:rsid w:val="00F41547"/>
    <w:rsid w:val="00F41794"/>
    <w:rsid w:val="00F41988"/>
    <w:rsid w:val="00F42041"/>
    <w:rsid w:val="00F420E4"/>
    <w:rsid w:val="00F42108"/>
    <w:rsid w:val="00F4252E"/>
    <w:rsid w:val="00F42850"/>
    <w:rsid w:val="00F42CCF"/>
    <w:rsid w:val="00F44492"/>
    <w:rsid w:val="00F44683"/>
    <w:rsid w:val="00F450C3"/>
    <w:rsid w:val="00F4558F"/>
    <w:rsid w:val="00F455C0"/>
    <w:rsid w:val="00F45A23"/>
    <w:rsid w:val="00F462A7"/>
    <w:rsid w:val="00F46827"/>
    <w:rsid w:val="00F468C4"/>
    <w:rsid w:val="00F46EC2"/>
    <w:rsid w:val="00F47A79"/>
    <w:rsid w:val="00F5041E"/>
    <w:rsid w:val="00F51116"/>
    <w:rsid w:val="00F51124"/>
    <w:rsid w:val="00F511B2"/>
    <w:rsid w:val="00F5132D"/>
    <w:rsid w:val="00F5162F"/>
    <w:rsid w:val="00F51663"/>
    <w:rsid w:val="00F51CCE"/>
    <w:rsid w:val="00F51DEC"/>
    <w:rsid w:val="00F525BA"/>
    <w:rsid w:val="00F52667"/>
    <w:rsid w:val="00F526D3"/>
    <w:rsid w:val="00F5397B"/>
    <w:rsid w:val="00F53A82"/>
    <w:rsid w:val="00F5406A"/>
    <w:rsid w:val="00F54240"/>
    <w:rsid w:val="00F54307"/>
    <w:rsid w:val="00F54C83"/>
    <w:rsid w:val="00F55091"/>
    <w:rsid w:val="00F5545F"/>
    <w:rsid w:val="00F55B42"/>
    <w:rsid w:val="00F55F7B"/>
    <w:rsid w:val="00F56A18"/>
    <w:rsid w:val="00F576A4"/>
    <w:rsid w:val="00F57BE7"/>
    <w:rsid w:val="00F57FC6"/>
    <w:rsid w:val="00F607F6"/>
    <w:rsid w:val="00F608E2"/>
    <w:rsid w:val="00F610A3"/>
    <w:rsid w:val="00F61FE4"/>
    <w:rsid w:val="00F62723"/>
    <w:rsid w:val="00F6349D"/>
    <w:rsid w:val="00F635A6"/>
    <w:rsid w:val="00F63E14"/>
    <w:rsid w:val="00F63F8C"/>
    <w:rsid w:val="00F63F99"/>
    <w:rsid w:val="00F641AA"/>
    <w:rsid w:val="00F64324"/>
    <w:rsid w:val="00F64DBA"/>
    <w:rsid w:val="00F65264"/>
    <w:rsid w:val="00F65917"/>
    <w:rsid w:val="00F65A15"/>
    <w:rsid w:val="00F65AA5"/>
    <w:rsid w:val="00F65B07"/>
    <w:rsid w:val="00F65B26"/>
    <w:rsid w:val="00F66BEC"/>
    <w:rsid w:val="00F67759"/>
    <w:rsid w:val="00F67EBC"/>
    <w:rsid w:val="00F7072C"/>
    <w:rsid w:val="00F70E03"/>
    <w:rsid w:val="00F7143C"/>
    <w:rsid w:val="00F71706"/>
    <w:rsid w:val="00F71AD6"/>
    <w:rsid w:val="00F72469"/>
    <w:rsid w:val="00F72493"/>
    <w:rsid w:val="00F726F4"/>
    <w:rsid w:val="00F72E43"/>
    <w:rsid w:val="00F732E6"/>
    <w:rsid w:val="00F749E0"/>
    <w:rsid w:val="00F74F87"/>
    <w:rsid w:val="00F7604A"/>
    <w:rsid w:val="00F7669E"/>
    <w:rsid w:val="00F76938"/>
    <w:rsid w:val="00F76A0E"/>
    <w:rsid w:val="00F76A4B"/>
    <w:rsid w:val="00F7701C"/>
    <w:rsid w:val="00F775ED"/>
    <w:rsid w:val="00F77749"/>
    <w:rsid w:val="00F777AA"/>
    <w:rsid w:val="00F77F17"/>
    <w:rsid w:val="00F80474"/>
    <w:rsid w:val="00F80549"/>
    <w:rsid w:val="00F80DD9"/>
    <w:rsid w:val="00F80E08"/>
    <w:rsid w:val="00F810E9"/>
    <w:rsid w:val="00F81B0D"/>
    <w:rsid w:val="00F81BD5"/>
    <w:rsid w:val="00F822D1"/>
    <w:rsid w:val="00F823FD"/>
    <w:rsid w:val="00F82856"/>
    <w:rsid w:val="00F8291D"/>
    <w:rsid w:val="00F82C6D"/>
    <w:rsid w:val="00F82CE0"/>
    <w:rsid w:val="00F82D8C"/>
    <w:rsid w:val="00F82DB8"/>
    <w:rsid w:val="00F83722"/>
    <w:rsid w:val="00F83DF6"/>
    <w:rsid w:val="00F84500"/>
    <w:rsid w:val="00F860E5"/>
    <w:rsid w:val="00F86F8F"/>
    <w:rsid w:val="00F876B4"/>
    <w:rsid w:val="00F8798A"/>
    <w:rsid w:val="00F87A1E"/>
    <w:rsid w:val="00F87BE3"/>
    <w:rsid w:val="00F90533"/>
    <w:rsid w:val="00F90796"/>
    <w:rsid w:val="00F90C2C"/>
    <w:rsid w:val="00F90C92"/>
    <w:rsid w:val="00F90D13"/>
    <w:rsid w:val="00F91043"/>
    <w:rsid w:val="00F912AF"/>
    <w:rsid w:val="00F91528"/>
    <w:rsid w:val="00F925FB"/>
    <w:rsid w:val="00F92C1E"/>
    <w:rsid w:val="00F92C9C"/>
    <w:rsid w:val="00F92D55"/>
    <w:rsid w:val="00F93097"/>
    <w:rsid w:val="00F9319C"/>
    <w:rsid w:val="00F936C4"/>
    <w:rsid w:val="00F93772"/>
    <w:rsid w:val="00F94312"/>
    <w:rsid w:val="00F94638"/>
    <w:rsid w:val="00F94796"/>
    <w:rsid w:val="00F949FE"/>
    <w:rsid w:val="00F950B1"/>
    <w:rsid w:val="00F95179"/>
    <w:rsid w:val="00F95655"/>
    <w:rsid w:val="00F95951"/>
    <w:rsid w:val="00F9598C"/>
    <w:rsid w:val="00F95B28"/>
    <w:rsid w:val="00F95BBB"/>
    <w:rsid w:val="00F95D7B"/>
    <w:rsid w:val="00F962A7"/>
    <w:rsid w:val="00F964D8"/>
    <w:rsid w:val="00F96501"/>
    <w:rsid w:val="00F9686A"/>
    <w:rsid w:val="00F97292"/>
    <w:rsid w:val="00F97469"/>
    <w:rsid w:val="00FA05C0"/>
    <w:rsid w:val="00FA0664"/>
    <w:rsid w:val="00FA1632"/>
    <w:rsid w:val="00FA1897"/>
    <w:rsid w:val="00FA1B6C"/>
    <w:rsid w:val="00FA1E4D"/>
    <w:rsid w:val="00FA1FE3"/>
    <w:rsid w:val="00FA241B"/>
    <w:rsid w:val="00FA2636"/>
    <w:rsid w:val="00FA26E0"/>
    <w:rsid w:val="00FA2B91"/>
    <w:rsid w:val="00FA2FA7"/>
    <w:rsid w:val="00FA3C2C"/>
    <w:rsid w:val="00FA43CA"/>
    <w:rsid w:val="00FA4538"/>
    <w:rsid w:val="00FA46C4"/>
    <w:rsid w:val="00FA4D85"/>
    <w:rsid w:val="00FA4F80"/>
    <w:rsid w:val="00FA5047"/>
    <w:rsid w:val="00FA5EA2"/>
    <w:rsid w:val="00FB00A9"/>
    <w:rsid w:val="00FB016F"/>
    <w:rsid w:val="00FB08B3"/>
    <w:rsid w:val="00FB09D9"/>
    <w:rsid w:val="00FB13BE"/>
    <w:rsid w:val="00FB13F3"/>
    <w:rsid w:val="00FB1C04"/>
    <w:rsid w:val="00FB1D24"/>
    <w:rsid w:val="00FB1EEC"/>
    <w:rsid w:val="00FB4C72"/>
    <w:rsid w:val="00FB5181"/>
    <w:rsid w:val="00FB58F4"/>
    <w:rsid w:val="00FB5A57"/>
    <w:rsid w:val="00FB5AFA"/>
    <w:rsid w:val="00FB5C23"/>
    <w:rsid w:val="00FB6122"/>
    <w:rsid w:val="00FB62FF"/>
    <w:rsid w:val="00FB6E10"/>
    <w:rsid w:val="00FB7163"/>
    <w:rsid w:val="00FB7224"/>
    <w:rsid w:val="00FB76BE"/>
    <w:rsid w:val="00FB7732"/>
    <w:rsid w:val="00FB79B6"/>
    <w:rsid w:val="00FB7C67"/>
    <w:rsid w:val="00FC0693"/>
    <w:rsid w:val="00FC06E1"/>
    <w:rsid w:val="00FC0866"/>
    <w:rsid w:val="00FC095B"/>
    <w:rsid w:val="00FC1171"/>
    <w:rsid w:val="00FC1A51"/>
    <w:rsid w:val="00FC261A"/>
    <w:rsid w:val="00FC2BF8"/>
    <w:rsid w:val="00FC2F74"/>
    <w:rsid w:val="00FC3BA9"/>
    <w:rsid w:val="00FC3DDC"/>
    <w:rsid w:val="00FC3EC1"/>
    <w:rsid w:val="00FC4161"/>
    <w:rsid w:val="00FC42C1"/>
    <w:rsid w:val="00FC4BA5"/>
    <w:rsid w:val="00FC4F4A"/>
    <w:rsid w:val="00FC549B"/>
    <w:rsid w:val="00FC5716"/>
    <w:rsid w:val="00FC5A1A"/>
    <w:rsid w:val="00FC5D58"/>
    <w:rsid w:val="00FC5DBF"/>
    <w:rsid w:val="00FC603C"/>
    <w:rsid w:val="00FC68DE"/>
    <w:rsid w:val="00FC6C9F"/>
    <w:rsid w:val="00FC6D3C"/>
    <w:rsid w:val="00FC6EF7"/>
    <w:rsid w:val="00FC7CF1"/>
    <w:rsid w:val="00FC7D78"/>
    <w:rsid w:val="00FD09BA"/>
    <w:rsid w:val="00FD1E80"/>
    <w:rsid w:val="00FD2171"/>
    <w:rsid w:val="00FD22D7"/>
    <w:rsid w:val="00FD2D1E"/>
    <w:rsid w:val="00FD2FB3"/>
    <w:rsid w:val="00FD32E2"/>
    <w:rsid w:val="00FD3432"/>
    <w:rsid w:val="00FD3B24"/>
    <w:rsid w:val="00FD3E79"/>
    <w:rsid w:val="00FD4D94"/>
    <w:rsid w:val="00FD5882"/>
    <w:rsid w:val="00FD5C1F"/>
    <w:rsid w:val="00FD6124"/>
    <w:rsid w:val="00FD6667"/>
    <w:rsid w:val="00FD6BC1"/>
    <w:rsid w:val="00FD6BD5"/>
    <w:rsid w:val="00FD6CBE"/>
    <w:rsid w:val="00FD6CF5"/>
    <w:rsid w:val="00FD7060"/>
    <w:rsid w:val="00FD7CB8"/>
    <w:rsid w:val="00FD7D39"/>
    <w:rsid w:val="00FE0027"/>
    <w:rsid w:val="00FE014F"/>
    <w:rsid w:val="00FE0998"/>
    <w:rsid w:val="00FE0AAC"/>
    <w:rsid w:val="00FE0AF5"/>
    <w:rsid w:val="00FE10C1"/>
    <w:rsid w:val="00FE1501"/>
    <w:rsid w:val="00FE1DEB"/>
    <w:rsid w:val="00FE1F9F"/>
    <w:rsid w:val="00FE2261"/>
    <w:rsid w:val="00FE243D"/>
    <w:rsid w:val="00FE2744"/>
    <w:rsid w:val="00FE2AA4"/>
    <w:rsid w:val="00FE3B6B"/>
    <w:rsid w:val="00FE427A"/>
    <w:rsid w:val="00FE4AF4"/>
    <w:rsid w:val="00FE518D"/>
    <w:rsid w:val="00FE5225"/>
    <w:rsid w:val="00FE5430"/>
    <w:rsid w:val="00FE57AD"/>
    <w:rsid w:val="00FE59BE"/>
    <w:rsid w:val="00FE6422"/>
    <w:rsid w:val="00FE66E4"/>
    <w:rsid w:val="00FE7413"/>
    <w:rsid w:val="00FE7D19"/>
    <w:rsid w:val="00FF0453"/>
    <w:rsid w:val="00FF19CD"/>
    <w:rsid w:val="00FF2060"/>
    <w:rsid w:val="00FF2469"/>
    <w:rsid w:val="00FF2748"/>
    <w:rsid w:val="00FF31D1"/>
    <w:rsid w:val="00FF3BEE"/>
    <w:rsid w:val="00FF419F"/>
    <w:rsid w:val="00FF4BBD"/>
    <w:rsid w:val="00FF4C18"/>
    <w:rsid w:val="00FF5180"/>
    <w:rsid w:val="00FF51B8"/>
    <w:rsid w:val="00FF5322"/>
    <w:rsid w:val="00FF56A5"/>
    <w:rsid w:val="00FF5C23"/>
    <w:rsid w:val="00FF6542"/>
    <w:rsid w:val="00FF67BA"/>
    <w:rsid w:val="00FF6869"/>
    <w:rsid w:val="00FF6C98"/>
    <w:rsid w:val="00FF6F17"/>
    <w:rsid w:val="00FF7258"/>
    <w:rsid w:val="00FF7433"/>
    <w:rsid w:val="00FF79C5"/>
    <w:rsid w:val="00FF7CEB"/>
    <w:rsid w:val="00FF7F74"/>
    <w:rsid w:val="011ACF7D"/>
    <w:rsid w:val="016B4D00"/>
    <w:rsid w:val="019FD867"/>
    <w:rsid w:val="0208255B"/>
    <w:rsid w:val="029A0EC3"/>
    <w:rsid w:val="030A077C"/>
    <w:rsid w:val="03A488AD"/>
    <w:rsid w:val="03E0D265"/>
    <w:rsid w:val="040F53F9"/>
    <w:rsid w:val="0491FFCC"/>
    <w:rsid w:val="0616D417"/>
    <w:rsid w:val="06F21081"/>
    <w:rsid w:val="075CEAF2"/>
    <w:rsid w:val="07831921"/>
    <w:rsid w:val="07CC3DA8"/>
    <w:rsid w:val="080526D7"/>
    <w:rsid w:val="08276475"/>
    <w:rsid w:val="083154AF"/>
    <w:rsid w:val="087128D0"/>
    <w:rsid w:val="08D10DC5"/>
    <w:rsid w:val="0BBB3555"/>
    <w:rsid w:val="0D0D011D"/>
    <w:rsid w:val="0DC1AC20"/>
    <w:rsid w:val="0E302738"/>
    <w:rsid w:val="0E411809"/>
    <w:rsid w:val="0F22D087"/>
    <w:rsid w:val="0F5D3312"/>
    <w:rsid w:val="0FB53077"/>
    <w:rsid w:val="0FC2A43F"/>
    <w:rsid w:val="1019D1C5"/>
    <w:rsid w:val="10C084DD"/>
    <w:rsid w:val="11CDE1A7"/>
    <w:rsid w:val="1226BC10"/>
    <w:rsid w:val="125E6E87"/>
    <w:rsid w:val="12A51E5F"/>
    <w:rsid w:val="13C6008F"/>
    <w:rsid w:val="15C3D730"/>
    <w:rsid w:val="1815C423"/>
    <w:rsid w:val="1A2BF130"/>
    <w:rsid w:val="1B492114"/>
    <w:rsid w:val="1B7324AA"/>
    <w:rsid w:val="1D0ADC0B"/>
    <w:rsid w:val="1DD7F4EE"/>
    <w:rsid w:val="1E3B1911"/>
    <w:rsid w:val="1F809EAD"/>
    <w:rsid w:val="1F8F1E72"/>
    <w:rsid w:val="202DBD2F"/>
    <w:rsid w:val="20B8D09E"/>
    <w:rsid w:val="2116E768"/>
    <w:rsid w:val="21F04409"/>
    <w:rsid w:val="221183DD"/>
    <w:rsid w:val="2427CF1A"/>
    <w:rsid w:val="244A3D4F"/>
    <w:rsid w:val="2561671C"/>
    <w:rsid w:val="270710E7"/>
    <w:rsid w:val="273F395C"/>
    <w:rsid w:val="2821AD17"/>
    <w:rsid w:val="287FC475"/>
    <w:rsid w:val="28DCC50F"/>
    <w:rsid w:val="290BDE19"/>
    <w:rsid w:val="29D35852"/>
    <w:rsid w:val="29E679FA"/>
    <w:rsid w:val="2A2F1BAB"/>
    <w:rsid w:val="2A45B426"/>
    <w:rsid w:val="2B5743F3"/>
    <w:rsid w:val="2BC0CEA5"/>
    <w:rsid w:val="2C546042"/>
    <w:rsid w:val="2C9DAC0D"/>
    <w:rsid w:val="2CAD3346"/>
    <w:rsid w:val="2CEC62D2"/>
    <w:rsid w:val="2D62264D"/>
    <w:rsid w:val="2DA95217"/>
    <w:rsid w:val="2DCDBA9D"/>
    <w:rsid w:val="2DFF7EF8"/>
    <w:rsid w:val="2EFAA3E5"/>
    <w:rsid w:val="2F3EFADB"/>
    <w:rsid w:val="3094530C"/>
    <w:rsid w:val="31AAEEAD"/>
    <w:rsid w:val="31EE2DA7"/>
    <w:rsid w:val="322D86C1"/>
    <w:rsid w:val="346B10FB"/>
    <w:rsid w:val="357EDA22"/>
    <w:rsid w:val="36193EC8"/>
    <w:rsid w:val="36492356"/>
    <w:rsid w:val="36D92158"/>
    <w:rsid w:val="36E29A0C"/>
    <w:rsid w:val="36F82822"/>
    <w:rsid w:val="37AE004F"/>
    <w:rsid w:val="37BE8059"/>
    <w:rsid w:val="38214F8F"/>
    <w:rsid w:val="38502E4F"/>
    <w:rsid w:val="38D8DC9D"/>
    <w:rsid w:val="38D99D59"/>
    <w:rsid w:val="39283E50"/>
    <w:rsid w:val="3AA57CF0"/>
    <w:rsid w:val="3C1FCDD0"/>
    <w:rsid w:val="3C2F98E8"/>
    <w:rsid w:val="3C361923"/>
    <w:rsid w:val="3C76030F"/>
    <w:rsid w:val="3CF69137"/>
    <w:rsid w:val="3D217E2F"/>
    <w:rsid w:val="3E15DC38"/>
    <w:rsid w:val="3E97565B"/>
    <w:rsid w:val="3ED6A7D3"/>
    <w:rsid w:val="3EDF0688"/>
    <w:rsid w:val="3EE8231D"/>
    <w:rsid w:val="3EF1CC32"/>
    <w:rsid w:val="41BB1F2E"/>
    <w:rsid w:val="41C851AA"/>
    <w:rsid w:val="41CFDAEB"/>
    <w:rsid w:val="41DAEA47"/>
    <w:rsid w:val="42BF2F1A"/>
    <w:rsid w:val="4335A033"/>
    <w:rsid w:val="4349941D"/>
    <w:rsid w:val="43C960B9"/>
    <w:rsid w:val="43DD01A4"/>
    <w:rsid w:val="45492397"/>
    <w:rsid w:val="455B9645"/>
    <w:rsid w:val="4588DC31"/>
    <w:rsid w:val="45A8431C"/>
    <w:rsid w:val="4646C454"/>
    <w:rsid w:val="47D0405F"/>
    <w:rsid w:val="47D93B32"/>
    <w:rsid w:val="4853ACE0"/>
    <w:rsid w:val="49210B0D"/>
    <w:rsid w:val="49481B1B"/>
    <w:rsid w:val="49495A3E"/>
    <w:rsid w:val="495DE5F8"/>
    <w:rsid w:val="4ADFD3D1"/>
    <w:rsid w:val="4B86FBAB"/>
    <w:rsid w:val="4C758902"/>
    <w:rsid w:val="4C7EE7F6"/>
    <w:rsid w:val="4D1D10A9"/>
    <w:rsid w:val="4DB16336"/>
    <w:rsid w:val="4DE32C28"/>
    <w:rsid w:val="4E622283"/>
    <w:rsid w:val="4E988A91"/>
    <w:rsid w:val="4E9BEC40"/>
    <w:rsid w:val="4F6625D2"/>
    <w:rsid w:val="4F8D4C24"/>
    <w:rsid w:val="5146CDFC"/>
    <w:rsid w:val="51886B78"/>
    <w:rsid w:val="5292C46D"/>
    <w:rsid w:val="535DC3C0"/>
    <w:rsid w:val="547FAFBE"/>
    <w:rsid w:val="56B4C3DB"/>
    <w:rsid w:val="57E11C59"/>
    <w:rsid w:val="5856EEB3"/>
    <w:rsid w:val="591F0E8F"/>
    <w:rsid w:val="594780FD"/>
    <w:rsid w:val="595FEB0D"/>
    <w:rsid w:val="595FF9EB"/>
    <w:rsid w:val="5B173538"/>
    <w:rsid w:val="5D216E2E"/>
    <w:rsid w:val="5E0B26C9"/>
    <w:rsid w:val="5E512D5C"/>
    <w:rsid w:val="5E74848C"/>
    <w:rsid w:val="5E8A923C"/>
    <w:rsid w:val="5F3F7427"/>
    <w:rsid w:val="5F8AB331"/>
    <w:rsid w:val="5FBF7561"/>
    <w:rsid w:val="604C9128"/>
    <w:rsid w:val="6144CE0A"/>
    <w:rsid w:val="63A1FC6F"/>
    <w:rsid w:val="65DF5DB9"/>
    <w:rsid w:val="67B45D1D"/>
    <w:rsid w:val="682CBAF0"/>
    <w:rsid w:val="68BA1361"/>
    <w:rsid w:val="68F7090E"/>
    <w:rsid w:val="690EF8C3"/>
    <w:rsid w:val="6953C5B3"/>
    <w:rsid w:val="6A50FC00"/>
    <w:rsid w:val="6AA492C8"/>
    <w:rsid w:val="6AD1B361"/>
    <w:rsid w:val="6B231201"/>
    <w:rsid w:val="6C3A3255"/>
    <w:rsid w:val="6CF232CF"/>
    <w:rsid w:val="6D11D439"/>
    <w:rsid w:val="6DB20EB8"/>
    <w:rsid w:val="6DC1786E"/>
    <w:rsid w:val="6E4BB49E"/>
    <w:rsid w:val="6E568919"/>
    <w:rsid w:val="6E68FB6A"/>
    <w:rsid w:val="6F925D08"/>
    <w:rsid w:val="6FCD74D0"/>
    <w:rsid w:val="70014972"/>
    <w:rsid w:val="702CF2F4"/>
    <w:rsid w:val="70AA54E4"/>
    <w:rsid w:val="70E972E3"/>
    <w:rsid w:val="711D0422"/>
    <w:rsid w:val="71B2F9F2"/>
    <w:rsid w:val="71EEF9A3"/>
    <w:rsid w:val="72DCBA56"/>
    <w:rsid w:val="734DC39C"/>
    <w:rsid w:val="739C1DEC"/>
    <w:rsid w:val="7457BF76"/>
    <w:rsid w:val="748542FF"/>
    <w:rsid w:val="76E54905"/>
    <w:rsid w:val="7732D547"/>
    <w:rsid w:val="77359203"/>
    <w:rsid w:val="78923A1A"/>
    <w:rsid w:val="79725CE3"/>
    <w:rsid w:val="79B69238"/>
    <w:rsid w:val="7B0FD05E"/>
    <w:rsid w:val="7BBE8DC1"/>
    <w:rsid w:val="7BDE373E"/>
    <w:rsid w:val="7BE3AC59"/>
    <w:rsid w:val="7C5FAA07"/>
    <w:rsid w:val="7D501CA9"/>
    <w:rsid w:val="7D6A065D"/>
    <w:rsid w:val="7D86B080"/>
    <w:rsid w:val="7E1CDC1D"/>
    <w:rsid w:val="7E4B4CD6"/>
    <w:rsid w:val="7EAA2579"/>
    <w:rsid w:val="7EACAF8A"/>
    <w:rsid w:val="7EE222D8"/>
    <w:rsid w:val="7F171823"/>
    <w:rsid w:val="7F33B305"/>
    <w:rsid w:val="7F479158"/>
    <w:rsid w:val="7F863A52"/>
  </w:rsids>
  <m:mathPr>
    <m:mathFont m:val="Cambria Math"/>
    <m:brkBin m:val="before"/>
    <m:brkBinSub m:val="--"/>
    <m:smallFrac m:val="0"/>
    <m:dispDef/>
    <m:lMargin m:val="0"/>
    <m:rMargin m:val="0"/>
    <m:defJc m:val="centerGroup"/>
    <m:wrapIndent m:val="1440"/>
    <m:intLim m:val="subSup"/>
    <m:naryLim m:val="undOvr"/>
  </m:mathPr>
  <w:themeFontLang w:val="en-GB"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36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link w:val="Heading1Char"/>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SUPERS,Footnote number,Ref"/>
    <w:link w:val="SUPERSChar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Schriftart: 9 pt,Schriftart: 10 pt,Schriftart: 8 pt,Fußnotentextf,fn,Style 7,Fußnotentext Char,Fußnotentext Char1 Char1,Fußnotentext Char Char Char Char,Fußnotentext Char1 Char Char Char,Fußnotentext Char Char,Fußnote,Fuﬂnotentextf,f,ft"/>
    <w:basedOn w:val="Normal"/>
    <w:link w:val="FootnoteTextChar"/>
    <w:uiPriority w:val="99"/>
    <w:qFormat/>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unhideWhenUsed/>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0272C7"/>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Schriftart: 9 pt Char,Schriftart: 10 pt Char,Schriftart: 8 pt Char,Fußnotentextf Char,fn Char,Style 7 Char,Fußnotentext Char Char1,Fußnotentext Char1 Char1 Char,Fußnotentext Char Char Char Char Char,Fußnotentext Char Char Char,f Char"/>
    <w:basedOn w:val="DefaultParagraphFont"/>
    <w:link w:val="FootnoteText"/>
    <w:uiPriority w:val="99"/>
    <w:qFormat/>
    <w:rsid w:val="00DD6511"/>
    <w:rPr>
      <w:sz w:val="20"/>
    </w:rPr>
  </w:style>
  <w:style w:type="character" w:styleId="Hyperlink">
    <w:name w:val="Hyperlink"/>
    <w:basedOn w:val="DefaultParagraphFont"/>
    <w:uiPriority w:val="99"/>
    <w:unhideWhenUsed/>
    <w:rsid w:val="00DD6511"/>
    <w:rPr>
      <w:color w:val="467886" w:themeColor="hyperlink"/>
      <w:u w:val="singl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DD6511"/>
    <w:pPr>
      <w:spacing w:after="160" w:line="240" w:lineRule="exact"/>
      <w:jc w:val="left"/>
    </w:pPr>
    <w:rPr>
      <w:vertAlign w:val="superscript"/>
    </w:rPr>
  </w:style>
  <w:style w:type="character" w:customStyle="1" w:styleId="Heading1Char">
    <w:name w:val="Heading 1 Char"/>
    <w:basedOn w:val="DefaultParagraphFont"/>
    <w:link w:val="Heading1"/>
    <w:uiPriority w:val="10"/>
    <w:rsid w:val="00271B69"/>
    <w:rPr>
      <w:b/>
      <w:smallCaps/>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5548C9"/>
    <w:pPr>
      <w:spacing w:after="200" w:line="276" w:lineRule="auto"/>
      <w:ind w:left="720"/>
      <w:contextualSpacing/>
      <w:jc w:val="left"/>
    </w:pPr>
    <w:rPr>
      <w:rFonts w:eastAsiaTheme="minorHAnsi" w:cstheme="minorBidi"/>
      <w:sz w:val="22"/>
      <w:szCs w:val="22"/>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rsid w:val="005548C9"/>
    <w:rPr>
      <w:rFonts w:eastAsiaTheme="minorHAnsi" w:cstheme="minorBidi"/>
      <w:sz w:val="22"/>
      <w:szCs w:val="22"/>
      <w:lang w:eastAsia="en-US"/>
    </w:rPr>
  </w:style>
  <w:style w:type="paragraph" w:styleId="Revision">
    <w:name w:val="Revision"/>
    <w:hidden/>
    <w:uiPriority w:val="99"/>
    <w:semiHidden/>
    <w:rsid w:val="00F860E5"/>
  </w:style>
  <w:style w:type="character" w:styleId="FollowedHyperlink">
    <w:name w:val="FollowedHyperlink"/>
    <w:basedOn w:val="DefaultParagraphFont"/>
    <w:uiPriority w:val="99"/>
    <w:semiHidden/>
    <w:rsid w:val="001F0FD1"/>
    <w:rPr>
      <w:color w:val="96607D" w:themeColor="followedHyperlink"/>
      <w:u w:val="single"/>
    </w:rPr>
  </w:style>
  <w:style w:type="character" w:styleId="CommentReference">
    <w:name w:val="annotation reference"/>
    <w:basedOn w:val="DefaultParagraphFont"/>
    <w:uiPriority w:val="99"/>
    <w:semiHidden/>
    <w:rsid w:val="00EC1FA8"/>
    <w:rPr>
      <w:sz w:val="16"/>
      <w:szCs w:val="16"/>
    </w:rPr>
  </w:style>
  <w:style w:type="paragraph" w:styleId="CommentText">
    <w:name w:val="annotation text"/>
    <w:basedOn w:val="Normal"/>
    <w:link w:val="CommentTextChar"/>
    <w:uiPriority w:val="99"/>
    <w:semiHidden/>
    <w:rsid w:val="00EC1FA8"/>
    <w:rPr>
      <w:sz w:val="20"/>
    </w:rPr>
  </w:style>
  <w:style w:type="character" w:customStyle="1" w:styleId="CommentTextChar">
    <w:name w:val="Comment Text Char"/>
    <w:basedOn w:val="DefaultParagraphFont"/>
    <w:link w:val="CommentText"/>
    <w:uiPriority w:val="99"/>
    <w:semiHidden/>
    <w:rsid w:val="00EC1FA8"/>
    <w:rPr>
      <w:sz w:val="20"/>
    </w:rPr>
  </w:style>
  <w:style w:type="paragraph" w:styleId="CommentSubject">
    <w:name w:val="annotation subject"/>
    <w:basedOn w:val="CommentText"/>
    <w:next w:val="CommentText"/>
    <w:link w:val="CommentSubjectChar"/>
    <w:uiPriority w:val="99"/>
    <w:semiHidden/>
    <w:rsid w:val="00EC1FA8"/>
    <w:rPr>
      <w:b/>
      <w:bCs/>
    </w:rPr>
  </w:style>
  <w:style w:type="character" w:customStyle="1" w:styleId="CommentSubjectChar">
    <w:name w:val="Comment Subject Char"/>
    <w:basedOn w:val="CommentTextChar"/>
    <w:link w:val="CommentSubject"/>
    <w:uiPriority w:val="99"/>
    <w:semiHidden/>
    <w:rsid w:val="00EC1FA8"/>
    <w:rPr>
      <w:b/>
      <w:bCs/>
      <w:sz w:val="20"/>
    </w:rPr>
  </w:style>
  <w:style w:type="character" w:customStyle="1" w:styleId="UnresolvedMention1">
    <w:name w:val="Unresolved Mention1"/>
    <w:basedOn w:val="DefaultParagraphFont"/>
    <w:uiPriority w:val="99"/>
    <w:semiHidden/>
    <w:unhideWhenUsed/>
    <w:rsid w:val="00FE0998"/>
    <w:rPr>
      <w:color w:val="605E5C"/>
      <w:shd w:val="clear" w:color="auto" w:fill="E1DFDD"/>
    </w:rPr>
  </w:style>
  <w:style w:type="character" w:customStyle="1" w:styleId="Marker">
    <w:name w:val="Marker"/>
    <w:basedOn w:val="DefaultParagraphFont"/>
    <w:rsid w:val="007821DB"/>
    <w:rPr>
      <w:color w:val="0000FF"/>
      <w:shd w:val="clear" w:color="auto" w:fill="auto"/>
    </w:rPr>
  </w:style>
  <w:style w:type="paragraph" w:customStyle="1" w:styleId="Pagedecouverture">
    <w:name w:val="Page de couverture"/>
    <w:basedOn w:val="Normal"/>
    <w:next w:val="Normal"/>
    <w:rsid w:val="00C03B65"/>
    <w:pPr>
      <w:spacing w:after="0"/>
    </w:pPr>
    <w:rPr>
      <w:rFonts w:eastAsiaTheme="minorHAnsi"/>
      <w:szCs w:val="22"/>
      <w:lang w:eastAsia="en-US"/>
    </w:rPr>
  </w:style>
  <w:style w:type="paragraph" w:customStyle="1" w:styleId="FooterCoverPage">
    <w:name w:val="Footer Cover Page"/>
    <w:basedOn w:val="Normal"/>
    <w:link w:val="FooterCoverPageChar"/>
    <w:rsid w:val="00C03B65"/>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03B65"/>
  </w:style>
  <w:style w:type="paragraph" w:customStyle="1" w:styleId="FooterSensitivity">
    <w:name w:val="Footer Sensitivity"/>
    <w:basedOn w:val="Normal"/>
    <w:link w:val="FooterSensitivityChar"/>
    <w:rsid w:val="00C03B6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03B65"/>
    <w:rPr>
      <w:b/>
      <w:sz w:val="32"/>
    </w:rPr>
  </w:style>
  <w:style w:type="paragraph" w:customStyle="1" w:styleId="HeaderCoverPage">
    <w:name w:val="Header Cover Page"/>
    <w:basedOn w:val="Normal"/>
    <w:link w:val="HeaderCoverPageChar"/>
    <w:rsid w:val="00C03B65"/>
    <w:pPr>
      <w:tabs>
        <w:tab w:val="center" w:pos="4535"/>
        <w:tab w:val="right" w:pos="9071"/>
      </w:tabs>
      <w:spacing w:after="120"/>
    </w:pPr>
  </w:style>
  <w:style w:type="character" w:customStyle="1" w:styleId="HeaderCoverPageChar">
    <w:name w:val="Header Cover Page Char"/>
    <w:basedOn w:val="DefaultParagraphFont"/>
    <w:link w:val="HeaderCoverPage"/>
    <w:rsid w:val="00C03B65"/>
  </w:style>
  <w:style w:type="paragraph" w:customStyle="1" w:styleId="HeaderSensitivity">
    <w:name w:val="Header Sensitivity"/>
    <w:basedOn w:val="Normal"/>
    <w:link w:val="HeaderSensitivityChar"/>
    <w:rsid w:val="00C03B6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03B65"/>
    <w:rPr>
      <w:b/>
      <w:sz w:val="32"/>
    </w:rPr>
  </w:style>
  <w:style w:type="paragraph" w:customStyle="1" w:styleId="HeaderSensitivityRight">
    <w:name w:val="Header Sensitivity Right"/>
    <w:basedOn w:val="Normal"/>
    <w:link w:val="HeaderSensitivityRightChar"/>
    <w:rsid w:val="00E3314B"/>
    <w:pPr>
      <w:spacing w:after="120"/>
      <w:jc w:val="right"/>
    </w:pPr>
    <w:rPr>
      <w:sz w:val="28"/>
    </w:rPr>
  </w:style>
  <w:style w:type="character" w:customStyle="1" w:styleId="HeaderSensitivityRightChar">
    <w:name w:val="Header Sensitivity Right Char"/>
    <w:basedOn w:val="DefaultParagraphFont"/>
    <w:link w:val="HeaderSensitivityRight"/>
    <w:rsid w:val="00C03B65"/>
    <w:rPr>
      <w:sz w:val="28"/>
    </w:rPr>
  </w:style>
  <w:style w:type="character" w:customStyle="1" w:styleId="FooterChar">
    <w:name w:val="Footer Char"/>
    <w:basedOn w:val="DefaultParagraphFont"/>
    <w:link w:val="Footer"/>
    <w:uiPriority w:val="99"/>
    <w:rsid w:val="00396435"/>
    <w:rPr>
      <w:sz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AC7877"/>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Languesfaisantfoi">
    <w:name w:val="Langues faisant foi"/>
    <w:basedOn w:val="Normal"/>
    <w:next w:val="Normal"/>
    <w:rsid w:val="00F9319C"/>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9319C"/>
    <w:pPr>
      <w:spacing w:before="360"/>
      <w:jc w:val="center"/>
    </w:pPr>
    <w:rPr>
      <w:rFonts w:eastAsiaTheme="minorHAnsi"/>
      <w:szCs w:val="22"/>
      <w:lang w:eastAsia="en-US"/>
    </w:rPr>
  </w:style>
  <w:style w:type="paragraph" w:customStyle="1" w:styleId="IntrtEEE">
    <w:name w:val="Intérêt EEE"/>
    <w:basedOn w:val="Languesfaisantfoi"/>
    <w:next w:val="Normal"/>
    <w:rsid w:val="00F9319C"/>
    <w:pPr>
      <w:spacing w:after="0"/>
    </w:pPr>
  </w:style>
  <w:style w:type="paragraph" w:customStyle="1" w:styleId="IntrtEEEPagedecouverture">
    <w:name w:val="Intérêt EEE (Page de couverture)"/>
    <w:basedOn w:val="IntrtEEE"/>
    <w:next w:val="Normal"/>
    <w:rsid w:val="00F9319C"/>
  </w:style>
  <w:style w:type="paragraph" w:customStyle="1" w:styleId="Disclaimer">
    <w:name w:val="Disclaimer"/>
    <w:basedOn w:val="Normal"/>
    <w:rsid w:val="00E3314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E3314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E3314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E3314B"/>
    <w:pPr>
      <w:spacing w:after="0" w:line="276" w:lineRule="auto"/>
      <w:ind w:left="5103"/>
      <w:jc w:val="left"/>
    </w:pPr>
    <w:rPr>
      <w:rFonts w:eastAsiaTheme="minorHAnsi"/>
      <w:i/>
      <w:sz w:val="28"/>
      <w:szCs w:val="22"/>
      <w:lang w:eastAsia="en-US"/>
    </w:rPr>
  </w:style>
  <w:style w:type="character" w:customStyle="1" w:styleId="Mention1">
    <w:name w:val="Mention1"/>
    <w:basedOn w:val="DefaultParagraphFont"/>
    <w:uiPriority w:val="99"/>
    <w:unhideWhenUsed/>
    <w:rsid w:val="007819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1659">
      <w:bodyDiv w:val="1"/>
      <w:marLeft w:val="0"/>
      <w:marRight w:val="0"/>
      <w:marTop w:val="0"/>
      <w:marBottom w:val="0"/>
      <w:divBdr>
        <w:top w:val="none" w:sz="0" w:space="0" w:color="auto"/>
        <w:left w:val="none" w:sz="0" w:space="0" w:color="auto"/>
        <w:bottom w:val="none" w:sz="0" w:space="0" w:color="auto"/>
        <w:right w:val="none" w:sz="0" w:space="0" w:color="auto"/>
      </w:divBdr>
    </w:div>
    <w:div w:id="17395584">
      <w:bodyDiv w:val="1"/>
      <w:marLeft w:val="0"/>
      <w:marRight w:val="0"/>
      <w:marTop w:val="0"/>
      <w:marBottom w:val="0"/>
      <w:divBdr>
        <w:top w:val="none" w:sz="0" w:space="0" w:color="auto"/>
        <w:left w:val="none" w:sz="0" w:space="0" w:color="auto"/>
        <w:bottom w:val="none" w:sz="0" w:space="0" w:color="auto"/>
        <w:right w:val="none" w:sz="0" w:space="0" w:color="auto"/>
      </w:divBdr>
    </w:div>
    <w:div w:id="20324431">
      <w:bodyDiv w:val="1"/>
      <w:marLeft w:val="0"/>
      <w:marRight w:val="0"/>
      <w:marTop w:val="0"/>
      <w:marBottom w:val="0"/>
      <w:divBdr>
        <w:top w:val="none" w:sz="0" w:space="0" w:color="auto"/>
        <w:left w:val="none" w:sz="0" w:space="0" w:color="auto"/>
        <w:bottom w:val="none" w:sz="0" w:space="0" w:color="auto"/>
        <w:right w:val="none" w:sz="0" w:space="0" w:color="auto"/>
      </w:divBdr>
    </w:div>
    <w:div w:id="44986429">
      <w:bodyDiv w:val="1"/>
      <w:marLeft w:val="0"/>
      <w:marRight w:val="0"/>
      <w:marTop w:val="0"/>
      <w:marBottom w:val="0"/>
      <w:divBdr>
        <w:top w:val="none" w:sz="0" w:space="0" w:color="auto"/>
        <w:left w:val="none" w:sz="0" w:space="0" w:color="auto"/>
        <w:bottom w:val="none" w:sz="0" w:space="0" w:color="auto"/>
        <w:right w:val="none" w:sz="0" w:space="0" w:color="auto"/>
      </w:divBdr>
    </w:div>
    <w:div w:id="78446868">
      <w:bodyDiv w:val="1"/>
      <w:marLeft w:val="0"/>
      <w:marRight w:val="0"/>
      <w:marTop w:val="0"/>
      <w:marBottom w:val="0"/>
      <w:divBdr>
        <w:top w:val="none" w:sz="0" w:space="0" w:color="auto"/>
        <w:left w:val="none" w:sz="0" w:space="0" w:color="auto"/>
        <w:bottom w:val="none" w:sz="0" w:space="0" w:color="auto"/>
        <w:right w:val="none" w:sz="0" w:space="0" w:color="auto"/>
      </w:divBdr>
    </w:div>
    <w:div w:id="168184202">
      <w:bodyDiv w:val="1"/>
      <w:marLeft w:val="0"/>
      <w:marRight w:val="0"/>
      <w:marTop w:val="0"/>
      <w:marBottom w:val="0"/>
      <w:divBdr>
        <w:top w:val="none" w:sz="0" w:space="0" w:color="auto"/>
        <w:left w:val="none" w:sz="0" w:space="0" w:color="auto"/>
        <w:bottom w:val="none" w:sz="0" w:space="0" w:color="auto"/>
        <w:right w:val="none" w:sz="0" w:space="0" w:color="auto"/>
      </w:divBdr>
    </w:div>
    <w:div w:id="194469181">
      <w:bodyDiv w:val="1"/>
      <w:marLeft w:val="0"/>
      <w:marRight w:val="0"/>
      <w:marTop w:val="0"/>
      <w:marBottom w:val="0"/>
      <w:divBdr>
        <w:top w:val="none" w:sz="0" w:space="0" w:color="auto"/>
        <w:left w:val="none" w:sz="0" w:space="0" w:color="auto"/>
        <w:bottom w:val="none" w:sz="0" w:space="0" w:color="auto"/>
        <w:right w:val="none" w:sz="0" w:space="0" w:color="auto"/>
      </w:divBdr>
    </w:div>
    <w:div w:id="196621107">
      <w:bodyDiv w:val="1"/>
      <w:marLeft w:val="0"/>
      <w:marRight w:val="0"/>
      <w:marTop w:val="0"/>
      <w:marBottom w:val="0"/>
      <w:divBdr>
        <w:top w:val="none" w:sz="0" w:space="0" w:color="auto"/>
        <w:left w:val="none" w:sz="0" w:space="0" w:color="auto"/>
        <w:bottom w:val="none" w:sz="0" w:space="0" w:color="auto"/>
        <w:right w:val="none" w:sz="0" w:space="0" w:color="auto"/>
      </w:divBdr>
    </w:div>
    <w:div w:id="279263051">
      <w:bodyDiv w:val="1"/>
      <w:marLeft w:val="0"/>
      <w:marRight w:val="0"/>
      <w:marTop w:val="0"/>
      <w:marBottom w:val="0"/>
      <w:divBdr>
        <w:top w:val="none" w:sz="0" w:space="0" w:color="auto"/>
        <w:left w:val="none" w:sz="0" w:space="0" w:color="auto"/>
        <w:bottom w:val="none" w:sz="0" w:space="0" w:color="auto"/>
        <w:right w:val="none" w:sz="0" w:space="0" w:color="auto"/>
      </w:divBdr>
    </w:div>
    <w:div w:id="307591200">
      <w:bodyDiv w:val="1"/>
      <w:marLeft w:val="0"/>
      <w:marRight w:val="0"/>
      <w:marTop w:val="0"/>
      <w:marBottom w:val="0"/>
      <w:divBdr>
        <w:top w:val="none" w:sz="0" w:space="0" w:color="auto"/>
        <w:left w:val="none" w:sz="0" w:space="0" w:color="auto"/>
        <w:bottom w:val="none" w:sz="0" w:space="0" w:color="auto"/>
        <w:right w:val="none" w:sz="0" w:space="0" w:color="auto"/>
      </w:divBdr>
    </w:div>
    <w:div w:id="332227002">
      <w:bodyDiv w:val="1"/>
      <w:marLeft w:val="0"/>
      <w:marRight w:val="0"/>
      <w:marTop w:val="0"/>
      <w:marBottom w:val="0"/>
      <w:divBdr>
        <w:top w:val="none" w:sz="0" w:space="0" w:color="auto"/>
        <w:left w:val="none" w:sz="0" w:space="0" w:color="auto"/>
        <w:bottom w:val="none" w:sz="0" w:space="0" w:color="auto"/>
        <w:right w:val="none" w:sz="0" w:space="0" w:color="auto"/>
      </w:divBdr>
    </w:div>
    <w:div w:id="368646749">
      <w:bodyDiv w:val="1"/>
      <w:marLeft w:val="0"/>
      <w:marRight w:val="0"/>
      <w:marTop w:val="0"/>
      <w:marBottom w:val="0"/>
      <w:divBdr>
        <w:top w:val="none" w:sz="0" w:space="0" w:color="auto"/>
        <w:left w:val="none" w:sz="0" w:space="0" w:color="auto"/>
        <w:bottom w:val="none" w:sz="0" w:space="0" w:color="auto"/>
        <w:right w:val="none" w:sz="0" w:space="0" w:color="auto"/>
      </w:divBdr>
    </w:div>
    <w:div w:id="369914286">
      <w:bodyDiv w:val="1"/>
      <w:marLeft w:val="0"/>
      <w:marRight w:val="0"/>
      <w:marTop w:val="0"/>
      <w:marBottom w:val="0"/>
      <w:divBdr>
        <w:top w:val="none" w:sz="0" w:space="0" w:color="auto"/>
        <w:left w:val="none" w:sz="0" w:space="0" w:color="auto"/>
        <w:bottom w:val="none" w:sz="0" w:space="0" w:color="auto"/>
        <w:right w:val="none" w:sz="0" w:space="0" w:color="auto"/>
      </w:divBdr>
    </w:div>
    <w:div w:id="383335588">
      <w:bodyDiv w:val="1"/>
      <w:marLeft w:val="0"/>
      <w:marRight w:val="0"/>
      <w:marTop w:val="0"/>
      <w:marBottom w:val="0"/>
      <w:divBdr>
        <w:top w:val="none" w:sz="0" w:space="0" w:color="auto"/>
        <w:left w:val="none" w:sz="0" w:space="0" w:color="auto"/>
        <w:bottom w:val="none" w:sz="0" w:space="0" w:color="auto"/>
        <w:right w:val="none" w:sz="0" w:space="0" w:color="auto"/>
      </w:divBdr>
    </w:div>
    <w:div w:id="406072062">
      <w:bodyDiv w:val="1"/>
      <w:marLeft w:val="0"/>
      <w:marRight w:val="0"/>
      <w:marTop w:val="0"/>
      <w:marBottom w:val="0"/>
      <w:divBdr>
        <w:top w:val="none" w:sz="0" w:space="0" w:color="auto"/>
        <w:left w:val="none" w:sz="0" w:space="0" w:color="auto"/>
        <w:bottom w:val="none" w:sz="0" w:space="0" w:color="auto"/>
        <w:right w:val="none" w:sz="0" w:space="0" w:color="auto"/>
      </w:divBdr>
    </w:div>
    <w:div w:id="448159172">
      <w:bodyDiv w:val="1"/>
      <w:marLeft w:val="0"/>
      <w:marRight w:val="0"/>
      <w:marTop w:val="0"/>
      <w:marBottom w:val="0"/>
      <w:divBdr>
        <w:top w:val="none" w:sz="0" w:space="0" w:color="auto"/>
        <w:left w:val="none" w:sz="0" w:space="0" w:color="auto"/>
        <w:bottom w:val="none" w:sz="0" w:space="0" w:color="auto"/>
        <w:right w:val="none" w:sz="0" w:space="0" w:color="auto"/>
      </w:divBdr>
    </w:div>
    <w:div w:id="539054198">
      <w:bodyDiv w:val="1"/>
      <w:marLeft w:val="0"/>
      <w:marRight w:val="0"/>
      <w:marTop w:val="0"/>
      <w:marBottom w:val="0"/>
      <w:divBdr>
        <w:top w:val="none" w:sz="0" w:space="0" w:color="auto"/>
        <w:left w:val="none" w:sz="0" w:space="0" w:color="auto"/>
        <w:bottom w:val="none" w:sz="0" w:space="0" w:color="auto"/>
        <w:right w:val="none" w:sz="0" w:space="0" w:color="auto"/>
      </w:divBdr>
    </w:div>
    <w:div w:id="544103391">
      <w:bodyDiv w:val="1"/>
      <w:marLeft w:val="0"/>
      <w:marRight w:val="0"/>
      <w:marTop w:val="0"/>
      <w:marBottom w:val="0"/>
      <w:divBdr>
        <w:top w:val="none" w:sz="0" w:space="0" w:color="auto"/>
        <w:left w:val="none" w:sz="0" w:space="0" w:color="auto"/>
        <w:bottom w:val="none" w:sz="0" w:space="0" w:color="auto"/>
        <w:right w:val="none" w:sz="0" w:space="0" w:color="auto"/>
      </w:divBdr>
    </w:div>
    <w:div w:id="546844490">
      <w:bodyDiv w:val="1"/>
      <w:marLeft w:val="0"/>
      <w:marRight w:val="0"/>
      <w:marTop w:val="0"/>
      <w:marBottom w:val="0"/>
      <w:divBdr>
        <w:top w:val="none" w:sz="0" w:space="0" w:color="auto"/>
        <w:left w:val="none" w:sz="0" w:space="0" w:color="auto"/>
        <w:bottom w:val="none" w:sz="0" w:space="0" w:color="auto"/>
        <w:right w:val="none" w:sz="0" w:space="0" w:color="auto"/>
      </w:divBdr>
    </w:div>
    <w:div w:id="549266637">
      <w:bodyDiv w:val="1"/>
      <w:marLeft w:val="0"/>
      <w:marRight w:val="0"/>
      <w:marTop w:val="0"/>
      <w:marBottom w:val="0"/>
      <w:divBdr>
        <w:top w:val="none" w:sz="0" w:space="0" w:color="auto"/>
        <w:left w:val="none" w:sz="0" w:space="0" w:color="auto"/>
        <w:bottom w:val="none" w:sz="0" w:space="0" w:color="auto"/>
        <w:right w:val="none" w:sz="0" w:space="0" w:color="auto"/>
      </w:divBdr>
    </w:div>
    <w:div w:id="552426071">
      <w:bodyDiv w:val="1"/>
      <w:marLeft w:val="0"/>
      <w:marRight w:val="0"/>
      <w:marTop w:val="0"/>
      <w:marBottom w:val="0"/>
      <w:divBdr>
        <w:top w:val="none" w:sz="0" w:space="0" w:color="auto"/>
        <w:left w:val="none" w:sz="0" w:space="0" w:color="auto"/>
        <w:bottom w:val="none" w:sz="0" w:space="0" w:color="auto"/>
        <w:right w:val="none" w:sz="0" w:space="0" w:color="auto"/>
      </w:divBdr>
    </w:div>
    <w:div w:id="558129273">
      <w:bodyDiv w:val="1"/>
      <w:marLeft w:val="0"/>
      <w:marRight w:val="0"/>
      <w:marTop w:val="0"/>
      <w:marBottom w:val="0"/>
      <w:divBdr>
        <w:top w:val="none" w:sz="0" w:space="0" w:color="auto"/>
        <w:left w:val="none" w:sz="0" w:space="0" w:color="auto"/>
        <w:bottom w:val="none" w:sz="0" w:space="0" w:color="auto"/>
        <w:right w:val="none" w:sz="0" w:space="0" w:color="auto"/>
      </w:divBdr>
    </w:div>
    <w:div w:id="637616262">
      <w:bodyDiv w:val="1"/>
      <w:marLeft w:val="0"/>
      <w:marRight w:val="0"/>
      <w:marTop w:val="0"/>
      <w:marBottom w:val="0"/>
      <w:divBdr>
        <w:top w:val="none" w:sz="0" w:space="0" w:color="auto"/>
        <w:left w:val="none" w:sz="0" w:space="0" w:color="auto"/>
        <w:bottom w:val="none" w:sz="0" w:space="0" w:color="auto"/>
        <w:right w:val="none" w:sz="0" w:space="0" w:color="auto"/>
      </w:divBdr>
    </w:div>
    <w:div w:id="649945937">
      <w:bodyDiv w:val="1"/>
      <w:marLeft w:val="0"/>
      <w:marRight w:val="0"/>
      <w:marTop w:val="0"/>
      <w:marBottom w:val="0"/>
      <w:divBdr>
        <w:top w:val="none" w:sz="0" w:space="0" w:color="auto"/>
        <w:left w:val="none" w:sz="0" w:space="0" w:color="auto"/>
        <w:bottom w:val="none" w:sz="0" w:space="0" w:color="auto"/>
        <w:right w:val="none" w:sz="0" w:space="0" w:color="auto"/>
      </w:divBdr>
    </w:div>
    <w:div w:id="686903014">
      <w:bodyDiv w:val="1"/>
      <w:marLeft w:val="0"/>
      <w:marRight w:val="0"/>
      <w:marTop w:val="0"/>
      <w:marBottom w:val="0"/>
      <w:divBdr>
        <w:top w:val="none" w:sz="0" w:space="0" w:color="auto"/>
        <w:left w:val="none" w:sz="0" w:space="0" w:color="auto"/>
        <w:bottom w:val="none" w:sz="0" w:space="0" w:color="auto"/>
        <w:right w:val="none" w:sz="0" w:space="0" w:color="auto"/>
      </w:divBdr>
    </w:div>
    <w:div w:id="713582784">
      <w:bodyDiv w:val="1"/>
      <w:marLeft w:val="0"/>
      <w:marRight w:val="0"/>
      <w:marTop w:val="0"/>
      <w:marBottom w:val="0"/>
      <w:divBdr>
        <w:top w:val="none" w:sz="0" w:space="0" w:color="auto"/>
        <w:left w:val="none" w:sz="0" w:space="0" w:color="auto"/>
        <w:bottom w:val="none" w:sz="0" w:space="0" w:color="auto"/>
        <w:right w:val="none" w:sz="0" w:space="0" w:color="auto"/>
      </w:divBdr>
    </w:div>
    <w:div w:id="714045430">
      <w:bodyDiv w:val="1"/>
      <w:marLeft w:val="0"/>
      <w:marRight w:val="0"/>
      <w:marTop w:val="0"/>
      <w:marBottom w:val="0"/>
      <w:divBdr>
        <w:top w:val="none" w:sz="0" w:space="0" w:color="auto"/>
        <w:left w:val="none" w:sz="0" w:space="0" w:color="auto"/>
        <w:bottom w:val="none" w:sz="0" w:space="0" w:color="auto"/>
        <w:right w:val="none" w:sz="0" w:space="0" w:color="auto"/>
      </w:divBdr>
    </w:div>
    <w:div w:id="719208297">
      <w:bodyDiv w:val="1"/>
      <w:marLeft w:val="0"/>
      <w:marRight w:val="0"/>
      <w:marTop w:val="0"/>
      <w:marBottom w:val="0"/>
      <w:divBdr>
        <w:top w:val="none" w:sz="0" w:space="0" w:color="auto"/>
        <w:left w:val="none" w:sz="0" w:space="0" w:color="auto"/>
        <w:bottom w:val="none" w:sz="0" w:space="0" w:color="auto"/>
        <w:right w:val="none" w:sz="0" w:space="0" w:color="auto"/>
      </w:divBdr>
    </w:div>
    <w:div w:id="785273422">
      <w:bodyDiv w:val="1"/>
      <w:marLeft w:val="0"/>
      <w:marRight w:val="0"/>
      <w:marTop w:val="0"/>
      <w:marBottom w:val="0"/>
      <w:divBdr>
        <w:top w:val="none" w:sz="0" w:space="0" w:color="auto"/>
        <w:left w:val="none" w:sz="0" w:space="0" w:color="auto"/>
        <w:bottom w:val="none" w:sz="0" w:space="0" w:color="auto"/>
        <w:right w:val="none" w:sz="0" w:space="0" w:color="auto"/>
      </w:divBdr>
    </w:div>
    <w:div w:id="824396718">
      <w:bodyDiv w:val="1"/>
      <w:marLeft w:val="0"/>
      <w:marRight w:val="0"/>
      <w:marTop w:val="0"/>
      <w:marBottom w:val="0"/>
      <w:divBdr>
        <w:top w:val="none" w:sz="0" w:space="0" w:color="auto"/>
        <w:left w:val="none" w:sz="0" w:space="0" w:color="auto"/>
        <w:bottom w:val="none" w:sz="0" w:space="0" w:color="auto"/>
        <w:right w:val="none" w:sz="0" w:space="0" w:color="auto"/>
      </w:divBdr>
    </w:div>
    <w:div w:id="848450302">
      <w:bodyDiv w:val="1"/>
      <w:marLeft w:val="0"/>
      <w:marRight w:val="0"/>
      <w:marTop w:val="0"/>
      <w:marBottom w:val="0"/>
      <w:divBdr>
        <w:top w:val="none" w:sz="0" w:space="0" w:color="auto"/>
        <w:left w:val="none" w:sz="0" w:space="0" w:color="auto"/>
        <w:bottom w:val="none" w:sz="0" w:space="0" w:color="auto"/>
        <w:right w:val="none" w:sz="0" w:space="0" w:color="auto"/>
      </w:divBdr>
    </w:div>
    <w:div w:id="862592954">
      <w:bodyDiv w:val="1"/>
      <w:marLeft w:val="0"/>
      <w:marRight w:val="0"/>
      <w:marTop w:val="0"/>
      <w:marBottom w:val="0"/>
      <w:divBdr>
        <w:top w:val="none" w:sz="0" w:space="0" w:color="auto"/>
        <w:left w:val="none" w:sz="0" w:space="0" w:color="auto"/>
        <w:bottom w:val="none" w:sz="0" w:space="0" w:color="auto"/>
        <w:right w:val="none" w:sz="0" w:space="0" w:color="auto"/>
      </w:divBdr>
    </w:div>
    <w:div w:id="873925251">
      <w:bodyDiv w:val="1"/>
      <w:marLeft w:val="0"/>
      <w:marRight w:val="0"/>
      <w:marTop w:val="0"/>
      <w:marBottom w:val="0"/>
      <w:divBdr>
        <w:top w:val="none" w:sz="0" w:space="0" w:color="auto"/>
        <w:left w:val="none" w:sz="0" w:space="0" w:color="auto"/>
        <w:bottom w:val="none" w:sz="0" w:space="0" w:color="auto"/>
        <w:right w:val="none" w:sz="0" w:space="0" w:color="auto"/>
      </w:divBdr>
    </w:div>
    <w:div w:id="888493880">
      <w:bodyDiv w:val="1"/>
      <w:marLeft w:val="0"/>
      <w:marRight w:val="0"/>
      <w:marTop w:val="0"/>
      <w:marBottom w:val="0"/>
      <w:divBdr>
        <w:top w:val="none" w:sz="0" w:space="0" w:color="auto"/>
        <w:left w:val="none" w:sz="0" w:space="0" w:color="auto"/>
        <w:bottom w:val="none" w:sz="0" w:space="0" w:color="auto"/>
        <w:right w:val="none" w:sz="0" w:space="0" w:color="auto"/>
      </w:divBdr>
    </w:div>
    <w:div w:id="979961519">
      <w:bodyDiv w:val="1"/>
      <w:marLeft w:val="0"/>
      <w:marRight w:val="0"/>
      <w:marTop w:val="0"/>
      <w:marBottom w:val="0"/>
      <w:divBdr>
        <w:top w:val="none" w:sz="0" w:space="0" w:color="auto"/>
        <w:left w:val="none" w:sz="0" w:space="0" w:color="auto"/>
        <w:bottom w:val="none" w:sz="0" w:space="0" w:color="auto"/>
        <w:right w:val="none" w:sz="0" w:space="0" w:color="auto"/>
      </w:divBdr>
    </w:div>
    <w:div w:id="987898440">
      <w:bodyDiv w:val="1"/>
      <w:marLeft w:val="0"/>
      <w:marRight w:val="0"/>
      <w:marTop w:val="0"/>
      <w:marBottom w:val="0"/>
      <w:divBdr>
        <w:top w:val="none" w:sz="0" w:space="0" w:color="auto"/>
        <w:left w:val="none" w:sz="0" w:space="0" w:color="auto"/>
        <w:bottom w:val="none" w:sz="0" w:space="0" w:color="auto"/>
        <w:right w:val="none" w:sz="0" w:space="0" w:color="auto"/>
      </w:divBdr>
    </w:div>
    <w:div w:id="1079407660">
      <w:bodyDiv w:val="1"/>
      <w:marLeft w:val="0"/>
      <w:marRight w:val="0"/>
      <w:marTop w:val="0"/>
      <w:marBottom w:val="0"/>
      <w:divBdr>
        <w:top w:val="none" w:sz="0" w:space="0" w:color="auto"/>
        <w:left w:val="none" w:sz="0" w:space="0" w:color="auto"/>
        <w:bottom w:val="none" w:sz="0" w:space="0" w:color="auto"/>
        <w:right w:val="none" w:sz="0" w:space="0" w:color="auto"/>
      </w:divBdr>
    </w:div>
    <w:div w:id="1095517395">
      <w:bodyDiv w:val="1"/>
      <w:marLeft w:val="0"/>
      <w:marRight w:val="0"/>
      <w:marTop w:val="0"/>
      <w:marBottom w:val="0"/>
      <w:divBdr>
        <w:top w:val="none" w:sz="0" w:space="0" w:color="auto"/>
        <w:left w:val="none" w:sz="0" w:space="0" w:color="auto"/>
        <w:bottom w:val="none" w:sz="0" w:space="0" w:color="auto"/>
        <w:right w:val="none" w:sz="0" w:space="0" w:color="auto"/>
      </w:divBdr>
    </w:div>
    <w:div w:id="1097021343">
      <w:bodyDiv w:val="1"/>
      <w:marLeft w:val="0"/>
      <w:marRight w:val="0"/>
      <w:marTop w:val="0"/>
      <w:marBottom w:val="0"/>
      <w:divBdr>
        <w:top w:val="none" w:sz="0" w:space="0" w:color="auto"/>
        <w:left w:val="none" w:sz="0" w:space="0" w:color="auto"/>
        <w:bottom w:val="none" w:sz="0" w:space="0" w:color="auto"/>
        <w:right w:val="none" w:sz="0" w:space="0" w:color="auto"/>
      </w:divBdr>
    </w:div>
    <w:div w:id="1160538918">
      <w:bodyDiv w:val="1"/>
      <w:marLeft w:val="0"/>
      <w:marRight w:val="0"/>
      <w:marTop w:val="0"/>
      <w:marBottom w:val="0"/>
      <w:divBdr>
        <w:top w:val="none" w:sz="0" w:space="0" w:color="auto"/>
        <w:left w:val="none" w:sz="0" w:space="0" w:color="auto"/>
        <w:bottom w:val="none" w:sz="0" w:space="0" w:color="auto"/>
        <w:right w:val="none" w:sz="0" w:space="0" w:color="auto"/>
      </w:divBdr>
    </w:div>
    <w:div w:id="1168639129">
      <w:bodyDiv w:val="1"/>
      <w:marLeft w:val="0"/>
      <w:marRight w:val="0"/>
      <w:marTop w:val="0"/>
      <w:marBottom w:val="0"/>
      <w:divBdr>
        <w:top w:val="none" w:sz="0" w:space="0" w:color="auto"/>
        <w:left w:val="none" w:sz="0" w:space="0" w:color="auto"/>
        <w:bottom w:val="none" w:sz="0" w:space="0" w:color="auto"/>
        <w:right w:val="none" w:sz="0" w:space="0" w:color="auto"/>
      </w:divBdr>
    </w:div>
    <w:div w:id="1170868586">
      <w:bodyDiv w:val="1"/>
      <w:marLeft w:val="0"/>
      <w:marRight w:val="0"/>
      <w:marTop w:val="0"/>
      <w:marBottom w:val="0"/>
      <w:divBdr>
        <w:top w:val="none" w:sz="0" w:space="0" w:color="auto"/>
        <w:left w:val="none" w:sz="0" w:space="0" w:color="auto"/>
        <w:bottom w:val="none" w:sz="0" w:space="0" w:color="auto"/>
        <w:right w:val="none" w:sz="0" w:space="0" w:color="auto"/>
      </w:divBdr>
      <w:divsChild>
        <w:div w:id="415369058">
          <w:marLeft w:val="0"/>
          <w:marRight w:val="0"/>
          <w:marTop w:val="0"/>
          <w:marBottom w:val="0"/>
          <w:divBdr>
            <w:top w:val="none" w:sz="0" w:space="0" w:color="auto"/>
            <w:left w:val="none" w:sz="0" w:space="0" w:color="auto"/>
            <w:bottom w:val="none" w:sz="0" w:space="0" w:color="auto"/>
            <w:right w:val="none" w:sz="0" w:space="0" w:color="auto"/>
          </w:divBdr>
          <w:divsChild>
            <w:div w:id="1506246078">
              <w:marLeft w:val="0"/>
              <w:marRight w:val="0"/>
              <w:marTop w:val="0"/>
              <w:marBottom w:val="0"/>
              <w:divBdr>
                <w:top w:val="none" w:sz="0" w:space="0" w:color="auto"/>
                <w:left w:val="none" w:sz="0" w:space="0" w:color="auto"/>
                <w:bottom w:val="none" w:sz="0" w:space="0" w:color="auto"/>
                <w:right w:val="none" w:sz="0" w:space="0" w:color="auto"/>
              </w:divBdr>
              <w:divsChild>
                <w:div w:id="63457017">
                  <w:marLeft w:val="0"/>
                  <w:marRight w:val="0"/>
                  <w:marTop w:val="0"/>
                  <w:marBottom w:val="0"/>
                  <w:divBdr>
                    <w:top w:val="none" w:sz="0" w:space="0" w:color="auto"/>
                    <w:left w:val="none" w:sz="0" w:space="0" w:color="auto"/>
                    <w:bottom w:val="none" w:sz="0" w:space="0" w:color="auto"/>
                    <w:right w:val="none" w:sz="0" w:space="0" w:color="auto"/>
                  </w:divBdr>
                  <w:divsChild>
                    <w:div w:id="1709256000">
                      <w:marLeft w:val="0"/>
                      <w:marRight w:val="0"/>
                      <w:marTop w:val="0"/>
                      <w:marBottom w:val="0"/>
                      <w:divBdr>
                        <w:top w:val="none" w:sz="0" w:space="0" w:color="auto"/>
                        <w:left w:val="none" w:sz="0" w:space="0" w:color="auto"/>
                        <w:bottom w:val="none" w:sz="0" w:space="0" w:color="auto"/>
                        <w:right w:val="none" w:sz="0" w:space="0" w:color="auto"/>
                      </w:divBdr>
                      <w:divsChild>
                        <w:div w:id="501823941">
                          <w:marLeft w:val="0"/>
                          <w:marRight w:val="0"/>
                          <w:marTop w:val="0"/>
                          <w:marBottom w:val="0"/>
                          <w:divBdr>
                            <w:top w:val="none" w:sz="0" w:space="0" w:color="auto"/>
                            <w:left w:val="none" w:sz="0" w:space="0" w:color="auto"/>
                            <w:bottom w:val="none" w:sz="0" w:space="0" w:color="auto"/>
                            <w:right w:val="none" w:sz="0" w:space="0" w:color="auto"/>
                          </w:divBdr>
                          <w:divsChild>
                            <w:div w:id="9556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505327">
      <w:bodyDiv w:val="1"/>
      <w:marLeft w:val="0"/>
      <w:marRight w:val="0"/>
      <w:marTop w:val="0"/>
      <w:marBottom w:val="0"/>
      <w:divBdr>
        <w:top w:val="none" w:sz="0" w:space="0" w:color="auto"/>
        <w:left w:val="none" w:sz="0" w:space="0" w:color="auto"/>
        <w:bottom w:val="none" w:sz="0" w:space="0" w:color="auto"/>
        <w:right w:val="none" w:sz="0" w:space="0" w:color="auto"/>
      </w:divBdr>
    </w:div>
    <w:div w:id="1327632646">
      <w:bodyDiv w:val="1"/>
      <w:marLeft w:val="0"/>
      <w:marRight w:val="0"/>
      <w:marTop w:val="0"/>
      <w:marBottom w:val="0"/>
      <w:divBdr>
        <w:top w:val="none" w:sz="0" w:space="0" w:color="auto"/>
        <w:left w:val="none" w:sz="0" w:space="0" w:color="auto"/>
        <w:bottom w:val="none" w:sz="0" w:space="0" w:color="auto"/>
        <w:right w:val="none" w:sz="0" w:space="0" w:color="auto"/>
      </w:divBdr>
    </w:div>
    <w:div w:id="1386677479">
      <w:bodyDiv w:val="1"/>
      <w:marLeft w:val="0"/>
      <w:marRight w:val="0"/>
      <w:marTop w:val="0"/>
      <w:marBottom w:val="0"/>
      <w:divBdr>
        <w:top w:val="none" w:sz="0" w:space="0" w:color="auto"/>
        <w:left w:val="none" w:sz="0" w:space="0" w:color="auto"/>
        <w:bottom w:val="none" w:sz="0" w:space="0" w:color="auto"/>
        <w:right w:val="none" w:sz="0" w:space="0" w:color="auto"/>
      </w:divBdr>
    </w:div>
    <w:div w:id="1394310900">
      <w:bodyDiv w:val="1"/>
      <w:marLeft w:val="0"/>
      <w:marRight w:val="0"/>
      <w:marTop w:val="0"/>
      <w:marBottom w:val="0"/>
      <w:divBdr>
        <w:top w:val="none" w:sz="0" w:space="0" w:color="auto"/>
        <w:left w:val="none" w:sz="0" w:space="0" w:color="auto"/>
        <w:bottom w:val="none" w:sz="0" w:space="0" w:color="auto"/>
        <w:right w:val="none" w:sz="0" w:space="0" w:color="auto"/>
      </w:divBdr>
    </w:div>
    <w:div w:id="1444183294">
      <w:bodyDiv w:val="1"/>
      <w:marLeft w:val="0"/>
      <w:marRight w:val="0"/>
      <w:marTop w:val="0"/>
      <w:marBottom w:val="0"/>
      <w:divBdr>
        <w:top w:val="none" w:sz="0" w:space="0" w:color="auto"/>
        <w:left w:val="none" w:sz="0" w:space="0" w:color="auto"/>
        <w:bottom w:val="none" w:sz="0" w:space="0" w:color="auto"/>
        <w:right w:val="none" w:sz="0" w:space="0" w:color="auto"/>
      </w:divBdr>
    </w:div>
    <w:div w:id="1459838478">
      <w:bodyDiv w:val="1"/>
      <w:marLeft w:val="0"/>
      <w:marRight w:val="0"/>
      <w:marTop w:val="0"/>
      <w:marBottom w:val="0"/>
      <w:divBdr>
        <w:top w:val="none" w:sz="0" w:space="0" w:color="auto"/>
        <w:left w:val="none" w:sz="0" w:space="0" w:color="auto"/>
        <w:bottom w:val="none" w:sz="0" w:space="0" w:color="auto"/>
        <w:right w:val="none" w:sz="0" w:space="0" w:color="auto"/>
      </w:divBdr>
    </w:div>
    <w:div w:id="1479762963">
      <w:bodyDiv w:val="1"/>
      <w:marLeft w:val="0"/>
      <w:marRight w:val="0"/>
      <w:marTop w:val="0"/>
      <w:marBottom w:val="0"/>
      <w:divBdr>
        <w:top w:val="none" w:sz="0" w:space="0" w:color="auto"/>
        <w:left w:val="none" w:sz="0" w:space="0" w:color="auto"/>
        <w:bottom w:val="none" w:sz="0" w:space="0" w:color="auto"/>
        <w:right w:val="none" w:sz="0" w:space="0" w:color="auto"/>
      </w:divBdr>
    </w:div>
    <w:div w:id="1511601366">
      <w:bodyDiv w:val="1"/>
      <w:marLeft w:val="0"/>
      <w:marRight w:val="0"/>
      <w:marTop w:val="0"/>
      <w:marBottom w:val="0"/>
      <w:divBdr>
        <w:top w:val="none" w:sz="0" w:space="0" w:color="auto"/>
        <w:left w:val="none" w:sz="0" w:space="0" w:color="auto"/>
        <w:bottom w:val="none" w:sz="0" w:space="0" w:color="auto"/>
        <w:right w:val="none" w:sz="0" w:space="0" w:color="auto"/>
      </w:divBdr>
    </w:div>
    <w:div w:id="1536625257">
      <w:bodyDiv w:val="1"/>
      <w:marLeft w:val="0"/>
      <w:marRight w:val="0"/>
      <w:marTop w:val="0"/>
      <w:marBottom w:val="0"/>
      <w:divBdr>
        <w:top w:val="none" w:sz="0" w:space="0" w:color="auto"/>
        <w:left w:val="none" w:sz="0" w:space="0" w:color="auto"/>
        <w:bottom w:val="none" w:sz="0" w:space="0" w:color="auto"/>
        <w:right w:val="none" w:sz="0" w:space="0" w:color="auto"/>
      </w:divBdr>
    </w:div>
    <w:div w:id="1540439295">
      <w:bodyDiv w:val="1"/>
      <w:marLeft w:val="0"/>
      <w:marRight w:val="0"/>
      <w:marTop w:val="0"/>
      <w:marBottom w:val="0"/>
      <w:divBdr>
        <w:top w:val="none" w:sz="0" w:space="0" w:color="auto"/>
        <w:left w:val="none" w:sz="0" w:space="0" w:color="auto"/>
        <w:bottom w:val="none" w:sz="0" w:space="0" w:color="auto"/>
        <w:right w:val="none" w:sz="0" w:space="0" w:color="auto"/>
      </w:divBdr>
    </w:div>
    <w:div w:id="1544488008">
      <w:bodyDiv w:val="1"/>
      <w:marLeft w:val="0"/>
      <w:marRight w:val="0"/>
      <w:marTop w:val="0"/>
      <w:marBottom w:val="0"/>
      <w:divBdr>
        <w:top w:val="none" w:sz="0" w:space="0" w:color="auto"/>
        <w:left w:val="none" w:sz="0" w:space="0" w:color="auto"/>
        <w:bottom w:val="none" w:sz="0" w:space="0" w:color="auto"/>
        <w:right w:val="none" w:sz="0" w:space="0" w:color="auto"/>
      </w:divBdr>
    </w:div>
    <w:div w:id="1584149150">
      <w:bodyDiv w:val="1"/>
      <w:marLeft w:val="0"/>
      <w:marRight w:val="0"/>
      <w:marTop w:val="0"/>
      <w:marBottom w:val="0"/>
      <w:divBdr>
        <w:top w:val="none" w:sz="0" w:space="0" w:color="auto"/>
        <w:left w:val="none" w:sz="0" w:space="0" w:color="auto"/>
        <w:bottom w:val="none" w:sz="0" w:space="0" w:color="auto"/>
        <w:right w:val="none" w:sz="0" w:space="0" w:color="auto"/>
      </w:divBdr>
    </w:div>
    <w:div w:id="1656491930">
      <w:bodyDiv w:val="1"/>
      <w:marLeft w:val="0"/>
      <w:marRight w:val="0"/>
      <w:marTop w:val="0"/>
      <w:marBottom w:val="0"/>
      <w:divBdr>
        <w:top w:val="none" w:sz="0" w:space="0" w:color="auto"/>
        <w:left w:val="none" w:sz="0" w:space="0" w:color="auto"/>
        <w:bottom w:val="none" w:sz="0" w:space="0" w:color="auto"/>
        <w:right w:val="none" w:sz="0" w:space="0" w:color="auto"/>
      </w:divBdr>
    </w:div>
    <w:div w:id="1662156538">
      <w:bodyDiv w:val="1"/>
      <w:marLeft w:val="0"/>
      <w:marRight w:val="0"/>
      <w:marTop w:val="0"/>
      <w:marBottom w:val="0"/>
      <w:divBdr>
        <w:top w:val="none" w:sz="0" w:space="0" w:color="auto"/>
        <w:left w:val="none" w:sz="0" w:space="0" w:color="auto"/>
        <w:bottom w:val="none" w:sz="0" w:space="0" w:color="auto"/>
        <w:right w:val="none" w:sz="0" w:space="0" w:color="auto"/>
      </w:divBdr>
    </w:div>
    <w:div w:id="1666863718">
      <w:bodyDiv w:val="1"/>
      <w:marLeft w:val="0"/>
      <w:marRight w:val="0"/>
      <w:marTop w:val="0"/>
      <w:marBottom w:val="0"/>
      <w:divBdr>
        <w:top w:val="none" w:sz="0" w:space="0" w:color="auto"/>
        <w:left w:val="none" w:sz="0" w:space="0" w:color="auto"/>
        <w:bottom w:val="none" w:sz="0" w:space="0" w:color="auto"/>
        <w:right w:val="none" w:sz="0" w:space="0" w:color="auto"/>
      </w:divBdr>
    </w:div>
    <w:div w:id="1706521353">
      <w:bodyDiv w:val="1"/>
      <w:marLeft w:val="0"/>
      <w:marRight w:val="0"/>
      <w:marTop w:val="0"/>
      <w:marBottom w:val="0"/>
      <w:divBdr>
        <w:top w:val="none" w:sz="0" w:space="0" w:color="auto"/>
        <w:left w:val="none" w:sz="0" w:space="0" w:color="auto"/>
        <w:bottom w:val="none" w:sz="0" w:space="0" w:color="auto"/>
        <w:right w:val="none" w:sz="0" w:space="0" w:color="auto"/>
      </w:divBdr>
    </w:div>
    <w:div w:id="1716612070">
      <w:bodyDiv w:val="1"/>
      <w:marLeft w:val="0"/>
      <w:marRight w:val="0"/>
      <w:marTop w:val="0"/>
      <w:marBottom w:val="0"/>
      <w:divBdr>
        <w:top w:val="none" w:sz="0" w:space="0" w:color="auto"/>
        <w:left w:val="none" w:sz="0" w:space="0" w:color="auto"/>
        <w:bottom w:val="none" w:sz="0" w:space="0" w:color="auto"/>
        <w:right w:val="none" w:sz="0" w:space="0" w:color="auto"/>
      </w:divBdr>
    </w:div>
    <w:div w:id="1737118543">
      <w:bodyDiv w:val="1"/>
      <w:marLeft w:val="0"/>
      <w:marRight w:val="0"/>
      <w:marTop w:val="0"/>
      <w:marBottom w:val="0"/>
      <w:divBdr>
        <w:top w:val="none" w:sz="0" w:space="0" w:color="auto"/>
        <w:left w:val="none" w:sz="0" w:space="0" w:color="auto"/>
        <w:bottom w:val="none" w:sz="0" w:space="0" w:color="auto"/>
        <w:right w:val="none" w:sz="0" w:space="0" w:color="auto"/>
      </w:divBdr>
    </w:div>
    <w:div w:id="1742099845">
      <w:bodyDiv w:val="1"/>
      <w:marLeft w:val="0"/>
      <w:marRight w:val="0"/>
      <w:marTop w:val="0"/>
      <w:marBottom w:val="0"/>
      <w:divBdr>
        <w:top w:val="none" w:sz="0" w:space="0" w:color="auto"/>
        <w:left w:val="none" w:sz="0" w:space="0" w:color="auto"/>
        <w:bottom w:val="none" w:sz="0" w:space="0" w:color="auto"/>
        <w:right w:val="none" w:sz="0" w:space="0" w:color="auto"/>
      </w:divBdr>
    </w:div>
    <w:div w:id="1760101287">
      <w:bodyDiv w:val="1"/>
      <w:marLeft w:val="0"/>
      <w:marRight w:val="0"/>
      <w:marTop w:val="0"/>
      <w:marBottom w:val="0"/>
      <w:divBdr>
        <w:top w:val="none" w:sz="0" w:space="0" w:color="auto"/>
        <w:left w:val="none" w:sz="0" w:space="0" w:color="auto"/>
        <w:bottom w:val="none" w:sz="0" w:space="0" w:color="auto"/>
        <w:right w:val="none" w:sz="0" w:space="0" w:color="auto"/>
      </w:divBdr>
    </w:div>
    <w:div w:id="1801148593">
      <w:bodyDiv w:val="1"/>
      <w:marLeft w:val="0"/>
      <w:marRight w:val="0"/>
      <w:marTop w:val="0"/>
      <w:marBottom w:val="0"/>
      <w:divBdr>
        <w:top w:val="none" w:sz="0" w:space="0" w:color="auto"/>
        <w:left w:val="none" w:sz="0" w:space="0" w:color="auto"/>
        <w:bottom w:val="none" w:sz="0" w:space="0" w:color="auto"/>
        <w:right w:val="none" w:sz="0" w:space="0" w:color="auto"/>
      </w:divBdr>
    </w:div>
    <w:div w:id="1816604265">
      <w:bodyDiv w:val="1"/>
      <w:marLeft w:val="0"/>
      <w:marRight w:val="0"/>
      <w:marTop w:val="0"/>
      <w:marBottom w:val="0"/>
      <w:divBdr>
        <w:top w:val="none" w:sz="0" w:space="0" w:color="auto"/>
        <w:left w:val="none" w:sz="0" w:space="0" w:color="auto"/>
        <w:bottom w:val="none" w:sz="0" w:space="0" w:color="auto"/>
        <w:right w:val="none" w:sz="0" w:space="0" w:color="auto"/>
      </w:divBdr>
    </w:div>
    <w:div w:id="1817448875">
      <w:bodyDiv w:val="1"/>
      <w:marLeft w:val="0"/>
      <w:marRight w:val="0"/>
      <w:marTop w:val="0"/>
      <w:marBottom w:val="0"/>
      <w:divBdr>
        <w:top w:val="none" w:sz="0" w:space="0" w:color="auto"/>
        <w:left w:val="none" w:sz="0" w:space="0" w:color="auto"/>
        <w:bottom w:val="none" w:sz="0" w:space="0" w:color="auto"/>
        <w:right w:val="none" w:sz="0" w:space="0" w:color="auto"/>
      </w:divBdr>
    </w:div>
    <w:div w:id="1821116352">
      <w:bodyDiv w:val="1"/>
      <w:marLeft w:val="0"/>
      <w:marRight w:val="0"/>
      <w:marTop w:val="0"/>
      <w:marBottom w:val="0"/>
      <w:divBdr>
        <w:top w:val="none" w:sz="0" w:space="0" w:color="auto"/>
        <w:left w:val="none" w:sz="0" w:space="0" w:color="auto"/>
        <w:bottom w:val="none" w:sz="0" w:space="0" w:color="auto"/>
        <w:right w:val="none" w:sz="0" w:space="0" w:color="auto"/>
      </w:divBdr>
    </w:div>
    <w:div w:id="1895847331">
      <w:bodyDiv w:val="1"/>
      <w:marLeft w:val="0"/>
      <w:marRight w:val="0"/>
      <w:marTop w:val="0"/>
      <w:marBottom w:val="0"/>
      <w:divBdr>
        <w:top w:val="none" w:sz="0" w:space="0" w:color="auto"/>
        <w:left w:val="none" w:sz="0" w:space="0" w:color="auto"/>
        <w:bottom w:val="none" w:sz="0" w:space="0" w:color="auto"/>
        <w:right w:val="none" w:sz="0" w:space="0" w:color="auto"/>
      </w:divBdr>
    </w:div>
    <w:div w:id="1908373993">
      <w:bodyDiv w:val="1"/>
      <w:marLeft w:val="0"/>
      <w:marRight w:val="0"/>
      <w:marTop w:val="0"/>
      <w:marBottom w:val="0"/>
      <w:divBdr>
        <w:top w:val="none" w:sz="0" w:space="0" w:color="auto"/>
        <w:left w:val="none" w:sz="0" w:space="0" w:color="auto"/>
        <w:bottom w:val="none" w:sz="0" w:space="0" w:color="auto"/>
        <w:right w:val="none" w:sz="0" w:space="0" w:color="auto"/>
      </w:divBdr>
    </w:div>
    <w:div w:id="1921867679">
      <w:bodyDiv w:val="1"/>
      <w:marLeft w:val="0"/>
      <w:marRight w:val="0"/>
      <w:marTop w:val="0"/>
      <w:marBottom w:val="0"/>
      <w:divBdr>
        <w:top w:val="none" w:sz="0" w:space="0" w:color="auto"/>
        <w:left w:val="none" w:sz="0" w:space="0" w:color="auto"/>
        <w:bottom w:val="none" w:sz="0" w:space="0" w:color="auto"/>
        <w:right w:val="none" w:sz="0" w:space="0" w:color="auto"/>
      </w:divBdr>
    </w:div>
    <w:div w:id="1937595978">
      <w:bodyDiv w:val="1"/>
      <w:marLeft w:val="0"/>
      <w:marRight w:val="0"/>
      <w:marTop w:val="0"/>
      <w:marBottom w:val="0"/>
      <w:divBdr>
        <w:top w:val="none" w:sz="0" w:space="0" w:color="auto"/>
        <w:left w:val="none" w:sz="0" w:space="0" w:color="auto"/>
        <w:bottom w:val="none" w:sz="0" w:space="0" w:color="auto"/>
        <w:right w:val="none" w:sz="0" w:space="0" w:color="auto"/>
      </w:divBdr>
    </w:div>
    <w:div w:id="1938757167">
      <w:bodyDiv w:val="1"/>
      <w:marLeft w:val="0"/>
      <w:marRight w:val="0"/>
      <w:marTop w:val="0"/>
      <w:marBottom w:val="0"/>
      <w:divBdr>
        <w:top w:val="none" w:sz="0" w:space="0" w:color="auto"/>
        <w:left w:val="none" w:sz="0" w:space="0" w:color="auto"/>
        <w:bottom w:val="none" w:sz="0" w:space="0" w:color="auto"/>
        <w:right w:val="none" w:sz="0" w:space="0" w:color="auto"/>
      </w:divBdr>
    </w:div>
    <w:div w:id="1953510788">
      <w:bodyDiv w:val="1"/>
      <w:marLeft w:val="0"/>
      <w:marRight w:val="0"/>
      <w:marTop w:val="0"/>
      <w:marBottom w:val="0"/>
      <w:divBdr>
        <w:top w:val="none" w:sz="0" w:space="0" w:color="auto"/>
        <w:left w:val="none" w:sz="0" w:space="0" w:color="auto"/>
        <w:bottom w:val="none" w:sz="0" w:space="0" w:color="auto"/>
        <w:right w:val="none" w:sz="0" w:space="0" w:color="auto"/>
      </w:divBdr>
    </w:div>
    <w:div w:id="1963151116">
      <w:bodyDiv w:val="1"/>
      <w:marLeft w:val="0"/>
      <w:marRight w:val="0"/>
      <w:marTop w:val="0"/>
      <w:marBottom w:val="0"/>
      <w:divBdr>
        <w:top w:val="none" w:sz="0" w:space="0" w:color="auto"/>
        <w:left w:val="none" w:sz="0" w:space="0" w:color="auto"/>
        <w:bottom w:val="none" w:sz="0" w:space="0" w:color="auto"/>
        <w:right w:val="none" w:sz="0" w:space="0" w:color="auto"/>
      </w:divBdr>
    </w:div>
    <w:div w:id="2016640427">
      <w:bodyDiv w:val="1"/>
      <w:marLeft w:val="0"/>
      <w:marRight w:val="0"/>
      <w:marTop w:val="0"/>
      <w:marBottom w:val="0"/>
      <w:divBdr>
        <w:top w:val="none" w:sz="0" w:space="0" w:color="auto"/>
        <w:left w:val="none" w:sz="0" w:space="0" w:color="auto"/>
        <w:bottom w:val="none" w:sz="0" w:space="0" w:color="auto"/>
        <w:right w:val="none" w:sz="0" w:space="0" w:color="auto"/>
      </w:divBdr>
    </w:div>
    <w:div w:id="2104380154">
      <w:bodyDiv w:val="1"/>
      <w:marLeft w:val="0"/>
      <w:marRight w:val="0"/>
      <w:marTop w:val="0"/>
      <w:marBottom w:val="0"/>
      <w:divBdr>
        <w:top w:val="none" w:sz="0" w:space="0" w:color="auto"/>
        <w:left w:val="none" w:sz="0" w:space="0" w:color="auto"/>
        <w:bottom w:val="none" w:sz="0" w:space="0" w:color="auto"/>
        <w:right w:val="none" w:sz="0" w:space="0" w:color="auto"/>
      </w:divBdr>
    </w:div>
    <w:div w:id="2115635270">
      <w:bodyDiv w:val="1"/>
      <w:marLeft w:val="0"/>
      <w:marRight w:val="0"/>
      <w:marTop w:val="0"/>
      <w:marBottom w:val="0"/>
      <w:divBdr>
        <w:top w:val="none" w:sz="0" w:space="0" w:color="auto"/>
        <w:left w:val="none" w:sz="0" w:space="0" w:color="auto"/>
        <w:bottom w:val="none" w:sz="0" w:space="0" w:color="auto"/>
        <w:right w:val="none" w:sz="0" w:space="0" w:color="auto"/>
      </w:divBdr>
    </w:div>
    <w:div w:id="2124574768">
      <w:bodyDiv w:val="1"/>
      <w:marLeft w:val="0"/>
      <w:marRight w:val="0"/>
      <w:marTop w:val="0"/>
      <w:marBottom w:val="0"/>
      <w:divBdr>
        <w:top w:val="none" w:sz="0" w:space="0" w:color="auto"/>
        <w:left w:val="none" w:sz="0" w:space="0" w:color="auto"/>
        <w:bottom w:val="none" w:sz="0" w:space="0" w:color="auto"/>
        <w:right w:val="none" w:sz="0" w:space="0" w:color="auto"/>
      </w:divBdr>
      <w:divsChild>
        <w:div w:id="1426799817">
          <w:marLeft w:val="0"/>
          <w:marRight w:val="0"/>
          <w:marTop w:val="0"/>
          <w:marBottom w:val="0"/>
          <w:divBdr>
            <w:top w:val="none" w:sz="0" w:space="0" w:color="auto"/>
            <w:left w:val="none" w:sz="0" w:space="0" w:color="auto"/>
            <w:bottom w:val="none" w:sz="0" w:space="0" w:color="auto"/>
            <w:right w:val="none" w:sz="0" w:space="0" w:color="auto"/>
          </w:divBdr>
          <w:divsChild>
            <w:div w:id="639387515">
              <w:marLeft w:val="0"/>
              <w:marRight w:val="0"/>
              <w:marTop w:val="0"/>
              <w:marBottom w:val="0"/>
              <w:divBdr>
                <w:top w:val="none" w:sz="0" w:space="0" w:color="auto"/>
                <w:left w:val="none" w:sz="0" w:space="0" w:color="auto"/>
                <w:bottom w:val="none" w:sz="0" w:space="0" w:color="auto"/>
                <w:right w:val="none" w:sz="0" w:space="0" w:color="auto"/>
              </w:divBdr>
              <w:divsChild>
                <w:div w:id="2059277781">
                  <w:marLeft w:val="0"/>
                  <w:marRight w:val="0"/>
                  <w:marTop w:val="0"/>
                  <w:marBottom w:val="0"/>
                  <w:divBdr>
                    <w:top w:val="none" w:sz="0" w:space="0" w:color="auto"/>
                    <w:left w:val="none" w:sz="0" w:space="0" w:color="auto"/>
                    <w:bottom w:val="none" w:sz="0" w:space="0" w:color="auto"/>
                    <w:right w:val="none" w:sz="0" w:space="0" w:color="auto"/>
                  </w:divBdr>
                  <w:divsChild>
                    <w:div w:id="557673543">
                      <w:marLeft w:val="0"/>
                      <w:marRight w:val="0"/>
                      <w:marTop w:val="0"/>
                      <w:marBottom w:val="0"/>
                      <w:divBdr>
                        <w:top w:val="none" w:sz="0" w:space="0" w:color="auto"/>
                        <w:left w:val="none" w:sz="0" w:space="0" w:color="auto"/>
                        <w:bottom w:val="none" w:sz="0" w:space="0" w:color="auto"/>
                        <w:right w:val="none" w:sz="0" w:space="0" w:color="auto"/>
                      </w:divBdr>
                      <w:divsChild>
                        <w:div w:id="615597882">
                          <w:marLeft w:val="0"/>
                          <w:marRight w:val="0"/>
                          <w:marTop w:val="0"/>
                          <w:marBottom w:val="0"/>
                          <w:divBdr>
                            <w:top w:val="none" w:sz="0" w:space="0" w:color="auto"/>
                            <w:left w:val="none" w:sz="0" w:space="0" w:color="auto"/>
                            <w:bottom w:val="none" w:sz="0" w:space="0" w:color="auto"/>
                            <w:right w:val="none" w:sz="0" w:space="0" w:color="auto"/>
                          </w:divBdr>
                          <w:divsChild>
                            <w:div w:id="8593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922476">
      <w:bodyDiv w:val="1"/>
      <w:marLeft w:val="0"/>
      <w:marRight w:val="0"/>
      <w:marTop w:val="0"/>
      <w:marBottom w:val="0"/>
      <w:divBdr>
        <w:top w:val="none" w:sz="0" w:space="0" w:color="auto"/>
        <w:left w:val="none" w:sz="0" w:space="0" w:color="auto"/>
        <w:bottom w:val="none" w:sz="0" w:space="0" w:color="auto"/>
        <w:right w:val="none" w:sz="0" w:space="0" w:color="auto"/>
      </w:divBdr>
    </w:div>
    <w:div w:id="2147162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5/3602/oj" TargetMode="External"/><Relationship Id="rId13" Type="http://schemas.openxmlformats.org/officeDocument/2006/relationships/hyperlink" Target="https://cordis.europa.eu/project/id/101213280" TargetMode="External"/><Relationship Id="rId3" Type="http://schemas.openxmlformats.org/officeDocument/2006/relationships/hyperlink" Target="https://www.iea.org/reports/energy-and-ai" TargetMode="External"/><Relationship Id="rId7" Type="http://schemas.openxmlformats.org/officeDocument/2006/relationships/hyperlink" Target="file:///C:/Users/cocisan/Downloads/C_2025_4319_F1_COMMISSION_RECOMMENDATION_RO_V3_P1_4181188.PDF" TargetMode="External"/><Relationship Id="rId12" Type="http://schemas.openxmlformats.org/officeDocument/2006/relationships/hyperlink" Target="https://pact-for-skills.ec.europa.eu/stakeholders-and-business/funding-opportunities/european-nuclear-skills-initiative_en" TargetMode="External"/><Relationship Id="rId2" Type="http://schemas.openxmlformats.org/officeDocument/2006/relationships/hyperlink" Target="https://op.europa.eu/ro/publication-detail/-/publication/2ae4481d-8f3b-11ee-8aa6-01aa75ed71a1" TargetMode="External"/><Relationship Id="rId1" Type="http://schemas.openxmlformats.org/officeDocument/2006/relationships/hyperlink" Target="https://data.europa.eu/doi/10.2760/4478311" TargetMode="External"/><Relationship Id="rId6" Type="http://schemas.openxmlformats.org/officeDocument/2006/relationships/hyperlink" Target="https://finance.ec.europa.eu/capital-markets-union-and-financial-markets/company-reporting-and-auditing/company-reporting/corporate-sustainability-reporting_en" TargetMode="External"/><Relationship Id="rId11" Type="http://schemas.openxmlformats.org/officeDocument/2006/relationships/hyperlink" Target="https://research-and-innovation.ec.europa.eu/strategy/strategy-research-and-innovation/jobs-and-economy/eu-startup-and-scaleup-strategy_en" TargetMode="External"/><Relationship Id="rId5" Type="http://schemas.openxmlformats.org/officeDocument/2006/relationships/hyperlink" Target="https://publications.jrc.ec.europa.eu/repository/handle/JRC144653" TargetMode="External"/><Relationship Id="rId10" Type="http://schemas.openxmlformats.org/officeDocument/2006/relationships/hyperlink" Target="https://www.industrikraft.se/en" TargetMode="External"/><Relationship Id="rId4" Type="http://schemas.openxmlformats.org/officeDocument/2006/relationships/hyperlink" Target="https://eur-lex.europa.eu/legal-content/RO/TXT/PDF/?uri=CELEX:52025DC0440" TargetMode="External"/><Relationship Id="rId9" Type="http://schemas.openxmlformats.org/officeDocument/2006/relationships/hyperlink" Target="https://nucleus.iaea.org/sites/INPRO/df8/Section%202/Plenary_Economics_07_Stahl.pdf" TargetMode="External"/><Relationship Id="rId14" Type="http://schemas.openxmlformats.org/officeDocument/2006/relationships/hyperlink" Target="https://ec.europa.eu/info/law/better-regulation/have-your-say/initiatives/14618-Reactoarele-modulare-mici-dezvoltarea-si-implementarea-lor-viitoare-in-Europa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Author AuthorRoleName="Writer" AuthorRoleId="a4fbaff4-b07c-48b4-a21e-e7b9eedf3796">
  <Id>49569acf-5557-484b-91cd-d9bc9f9ba2dd</Id>
  <Names>
    <Latin>
      <FirstName>Ditte</FirstName>
      <LastName>Juul Jørgensen </LastName>
    </Latin>
    <Greek>
      <FirstName/>
      <LastName/>
    </Greek>
    <Cyrillic>
      <FirstName/>
      <LastName/>
    </Cyrillic>
    <DocumentScript>
      <FirstName>Ditte</FirstName>
      <LastName>Juul Jørgensen </LastName>
      <FullName>Ditte Juul Jørgensen</FullName>
    </DocumentScript>
  </Names>
  <Initials>GP/</Initials>
  <Gender>f</Gender>
  <Email>Ditte.JUUL-JOERGENSEN@ec.europa.eu</Email>
  <Service>ENER</Service>
  <Function ADCode="25" ShowInSignature="false" ShowInHeader="true" HeaderText="The Director-General">Director-General</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+32 229-62496</Phone>
    <Office>DM24 8/84</Office>
  </MainWorkplace>
  <Workplaces>
    <Workplace IsMain="true">
      <AddressId>f03b5801-04c9-4931-aa17-c6d6c70bc579</AddressId>
      <Fax/>
      <Phone>+32 229-62496</Phone>
      <Office>DM24 8/84</Office>
    </Workplace>
  </Workplaces>
</Author>
</file>

<file path=customXml/item5.xml><?xml version="1.0" encoding="utf-8"?>
<EurolookProperties>
  <ProductCustomizationId>EC</ProductCustomizationId>
  <Created>
    <Version>10.0.47478.0</Version>
    <Date>2025-02-25T11:18:31</Date>
    <Language>EN</Language>
    <Note/>
  </Created>
  <Edited>
    <Version/>
    <Date/>
  </Edited>
  <DocumentModel>
    <Id>0b054141-88b1-4efb-8c91-2905cb0bed6c</Id>
    <Name>Note</Name>
  </DocumentModel>
  <CustomTemplate>
    <Id/>
    <Name/>
  </CustomTemplate>
  <DocumentDate>2025-02-25T11:18:31</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Author Role="Creator" AuthorRoleName="Signatory" AuthorRoleId="dd422d74-d41f-4095-8cb8-8304a90a6b0c">
  <Id>49569acf-5557-484b-91cd-d9bc9f9ba2dd</Id>
  <Names>
    <Latin>
      <FirstName>Ditte</FirstName>
      <LastName>Juul Jørgensen </LastName>
    </Latin>
    <Greek>
      <FirstName/>
      <LastName/>
    </Greek>
    <Cyrillic>
      <FirstName/>
      <LastName/>
    </Cyrillic>
    <DocumentScript>
      <FirstName>Ditte</FirstName>
      <LastName>Juul Jørgensen </LastName>
      <FullName>Ditte Juul Jørgensen</FullName>
    </DocumentScript>
  </Names>
  <Initials>DJJ</Initials>
  <Gender>f</Gender>
  <Email>Ditte.JUUL-JOERGENSEN@ec.europa.eu</Email>
  <Service>ENER</Service>
  <Function ADCode="25" ShowInSignature="false" ShowInHeader="true" HeaderText="The Director-General">Director-General</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+32 229-62496</Phone>
    <Office>DM24 8/84</Office>
  </MainWorkplace>
  <Workplaces>
    <Workplace IsMain="true">
      <AddressId>f03b5801-04c9-4931-aa17-c6d6c70bc579</AddressId>
      <Fax/>
      <Phone>+32 229-62496</Phone>
      <Office>DM24 8/84</Office>
    </Workplace>
  </Workplaces>
</Author>
</file>

<file path=customXml/item7.xml><?xml version="1.0" encoding="utf-8"?>
<ct:contentTypeSchema xmlns:ct="http://schemas.microsoft.com/office/2006/metadata/contentType" xmlns:ma="http://schemas.microsoft.com/office/2006/metadata/properties/metaAttributes" ct:_="" ma:_="" ma:contentTypeName="Document" ma:contentTypeID="0x01010009B20119E9423040B0497306367507CF" ma:contentTypeVersion="3" ma:contentTypeDescription="Create a new document." ma:contentTypeScope="" ma:versionID="b14f182c26ee0aee410b40520daf0258">
  <xsd:schema xmlns:xsd="http://www.w3.org/2001/XMLSchema" xmlns:xs="http://www.w3.org/2001/XMLSchema" xmlns:p="http://schemas.microsoft.com/office/2006/metadata/properties" xmlns:ns2="0247a05a-5997-459e-bac8-13efbe090356" targetNamespace="http://schemas.microsoft.com/office/2006/metadata/properties" ma:root="true" ma:fieldsID="78de31faaf83aaa2ce35852d20fa6d8f" ns2:_="">
    <xsd:import namespace="0247a05a-5997-459e-bac8-13efbe09035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7a05a-5997-459e-bac8-13efbe090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478FC7CD-4564-4757-BD2B-3F57E4C8CC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DF552B-2D28-4D8F-BBB6-84202C62460A}">
  <ds:schemaRefs>
    <ds:schemaRef ds:uri="http://schemas.microsoft.com/sharepoint/v3/contenttype/forms"/>
  </ds:schemaRefs>
</ds:datastoreItem>
</file>

<file path=customXml/itemProps4.xml><?xml version="1.0" encoding="utf-8"?>
<ds:datastoreItem xmlns:ds="http://schemas.openxmlformats.org/officeDocument/2006/customXml" ds:itemID="{0331BC55-8641-4017-A778-1DA3BE49803A}">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9E9003F-9BA0-4A8A-8D4D-C92578253D5C}">
  <ds:schemaRefs/>
</ds:datastoreItem>
</file>

<file path=customXml/itemProps7.xml><?xml version="1.0" encoding="utf-8"?>
<ds:datastoreItem xmlns:ds="http://schemas.openxmlformats.org/officeDocument/2006/customXml" ds:itemID="{8E409CF2-E670-4EF9-B853-EAD07F75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7a05a-5997-459e-bac8-13efbe090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D405F4A6-C693-4C7A-B964-B4655D603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6629</Words>
  <Characters>37789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2026-03-10T07:50:00Z</dcterms:created>
  <dcterms:modified xsi:type="dcterms:W3CDTF">2026-03-13T10:03:00Z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2026-03-05T18:26:07Z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402f0db6-8bf3-4b0c-8447-2c4d5263ab91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0x01010009B20119E9423040B0497306367507CF</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