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3093C" w14:textId="0FA69603" w:rsidR="0001121F" w:rsidRPr="00535DEB" w:rsidRDefault="005C4C50" w:rsidP="005C4C50">
      <w:pPr>
        <w:pStyle w:val="Pagedecouverture"/>
        <w:rPr>
          <w:noProof/>
        </w:rPr>
      </w:pPr>
      <w:bookmarkStart w:id="0" w:name="_Hlk210747244"/>
      <w:bookmarkStart w:id="1" w:name="LW_BM_COVERPAGE"/>
      <w:r>
        <w:rPr>
          <w:noProof/>
        </w:rPr>
        <w:pict w14:anchorId="1CA479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E481A6-D37E-4D82-817B-DEF46BEB4549" style="width:455.25pt;height:300pt">
            <v:imagedata r:id="rId11" o:title=""/>
          </v:shape>
        </w:pict>
      </w:r>
    </w:p>
    <w:bookmarkEnd w:id="1"/>
    <w:p w14:paraId="57DF5F84" w14:textId="6E526F5A" w:rsidR="007570A0" w:rsidRPr="00535DEB" w:rsidRDefault="007570A0" w:rsidP="007570A0">
      <w:pPr>
        <w:pStyle w:val="Pagedecouverture"/>
        <w:rPr>
          <w:noProof/>
        </w:rPr>
        <w:sectPr w:rsidR="007570A0" w:rsidRPr="00535DEB" w:rsidSect="005C4C50">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48AF160C" w14:textId="5F93FBC0" w:rsidR="0072228B" w:rsidRPr="00535DEB" w:rsidRDefault="001B23E7" w:rsidP="0072228B">
      <w:pPr>
        <w:spacing w:line="276" w:lineRule="auto"/>
        <w:jc w:val="center"/>
        <w:rPr>
          <w:b/>
          <w:noProof/>
        </w:rPr>
      </w:pPr>
      <w:bookmarkStart w:id="2" w:name="_GoBack"/>
      <w:bookmarkEnd w:id="2"/>
      <w:r w:rsidRPr="00535DEB">
        <w:rPr>
          <w:b/>
          <w:noProof/>
        </w:rPr>
        <w:lastRenderedPageBreak/>
        <w:t xml:space="preserve"> Rapport sur le financement de l’efficacité énergétique en Europe</w:t>
      </w:r>
      <w:r w:rsidRPr="00535DEB">
        <w:rPr>
          <w:b/>
          <w:noProof/>
        </w:rPr>
        <w:cr/>
      </w:r>
      <w:r w:rsidRPr="00535DEB">
        <w:rPr>
          <w:b/>
          <w:noProof/>
        </w:rPr>
        <w:br/>
        <w:t>Une évaluation des dépenses publiques consacrées à l’efficacité énergétique</w:t>
      </w:r>
      <w:r w:rsidRPr="00535DEB">
        <w:rPr>
          <w:b/>
          <w:noProof/>
        </w:rPr>
        <w:cr/>
      </w:r>
      <w:r w:rsidRPr="00535DEB">
        <w:rPr>
          <w:b/>
          <w:noProof/>
        </w:rPr>
        <w:br/>
        <w:t>et à la performance énergétique des bâtiments</w:t>
      </w:r>
    </w:p>
    <w:p w14:paraId="04FCE360" w14:textId="1DA04B47" w:rsidR="00CE013C" w:rsidRPr="00535DEB" w:rsidRDefault="00364933" w:rsidP="007D751C">
      <w:pPr>
        <w:pStyle w:val="Heading1"/>
        <w:spacing w:line="276" w:lineRule="auto"/>
        <w:rPr>
          <w:noProof/>
        </w:rPr>
      </w:pPr>
      <w:r w:rsidRPr="00535DEB">
        <w:rPr>
          <w:noProof/>
        </w:rPr>
        <w:t>Introduction</w:t>
      </w:r>
    </w:p>
    <w:p w14:paraId="00E85647" w14:textId="78466AB7" w:rsidR="00364933" w:rsidRPr="00535DEB" w:rsidRDefault="00364933" w:rsidP="00D32737">
      <w:pPr>
        <w:spacing w:line="276" w:lineRule="auto"/>
        <w:rPr>
          <w:noProof/>
        </w:rPr>
      </w:pPr>
      <w:r w:rsidRPr="00535DEB">
        <w:rPr>
          <w:b/>
          <w:noProof/>
        </w:rPr>
        <w:t>L’efficacité énergétique joue un rôle important pour parvenir à une décarbonation complète à coûts maîtrisés dans toute l’UE d’ici à 2050, pour renforcer la compétitivité de l’économie européenne et pour assurer la sécurité énergétique et le caractère abordable de l’énergie aujourd’hui et dans le futur.</w:t>
      </w:r>
      <w:r w:rsidRPr="00535DEB">
        <w:rPr>
          <w:noProof/>
        </w:rPr>
        <w:t xml:space="preserve"> Dans ce contexte, la réduction des gaspillages d’énergie sur l’ensemble du système énergétique, dans tous les secteurs économiques, est l’un des objectifs stratégiques de l’UE. Les mesures d’efficacité énergétique contribuent non seulement à stimuler la compétitivité des entreprises de l’UE, mais aussi à réduire la précarité énergétique et la dépendance de l’UE à l’égard des sources d’énergie importées.</w:t>
      </w:r>
    </w:p>
    <w:p w14:paraId="1D20455C" w14:textId="59602FF9" w:rsidR="00455265" w:rsidRPr="00535DEB" w:rsidRDefault="00455265" w:rsidP="007D751C">
      <w:pPr>
        <w:spacing w:line="276" w:lineRule="auto"/>
        <w:rPr>
          <w:noProof/>
        </w:rPr>
      </w:pPr>
      <w:r w:rsidRPr="00535DEB">
        <w:rPr>
          <w:b/>
          <w:noProof/>
        </w:rPr>
        <w:t>Afin de contribuer à la réalisation de l’objectif fixé pour 2030</w:t>
      </w:r>
      <w:r w:rsidRPr="00535DEB">
        <w:rPr>
          <w:noProof/>
        </w:rPr>
        <w:t xml:space="preserve"> de réduire les émissions de gaz à effet de serre de 55 %, la refonte de la directive relative à l’efficacité énergétique</w:t>
      </w:r>
      <w:r w:rsidRPr="00535DEB">
        <w:rPr>
          <w:rStyle w:val="FootnoteReference"/>
          <w:noProof/>
        </w:rPr>
        <w:footnoteReference w:id="2"/>
      </w:r>
      <w:r w:rsidRPr="00535DEB">
        <w:rPr>
          <w:noProof/>
        </w:rPr>
        <w:t xml:space="preserve"> fixe un objectif de consommation d’énergie primaire (PEC) de l’UE ne dépassant pas 992,5 Mtep et un objectif de consommation d’énergie finale (FEC) ne dépassant pas 763 Mtep d’ici à 2030. Cela correspond à une réduction d’au moins 11,7 % d’ici à 2030 par rapport aux projections du scénario de référence de l’Union de 2020.</w:t>
      </w:r>
    </w:p>
    <w:p w14:paraId="47EE99A3" w14:textId="39D80370" w:rsidR="00F73C4B" w:rsidRPr="00535DEB" w:rsidRDefault="000575CF" w:rsidP="007D751C">
      <w:pPr>
        <w:spacing w:line="276" w:lineRule="auto"/>
        <w:rPr>
          <w:noProof/>
        </w:rPr>
      </w:pPr>
      <w:r w:rsidRPr="00535DEB">
        <w:rPr>
          <w:noProof/>
        </w:rPr>
        <w:t>Le</w:t>
      </w:r>
      <w:r w:rsidRPr="00535DEB">
        <w:rPr>
          <w:b/>
          <w:noProof/>
        </w:rPr>
        <w:t xml:space="preserve"> secteur du bâtiment</w:t>
      </w:r>
      <w:r w:rsidRPr="00535DEB">
        <w:rPr>
          <w:noProof/>
        </w:rPr>
        <w:t xml:space="preserve"> a un rôle important à jouer à cet égard, étant donné qu’il représente 36 % de la consommation globale d’énergie de l’UE et 40 % des émissions totales de gaz à effet de serre liées à l’énergie. Au total, 52 % du gaz naturel consommé dans l’UE en 2023 était directement ou indirectement utilisé pour les bâtiments. Les économies réalisées dans ce secteur contribueront ainsi également à réduire la dépendance actuelle à l’égard des combustibles fossiles importés. En outre, des logements économes en énergie se traduisent par des logements plus abordables, plus décents et plus durables. Près de 75 % du parc immobilier est inefficace au regard des normes de construction actuelles, et 85 à 95 % des bâtiments existant aujourd’hui seront encore là en 2050. Pourtant, le taux annuel de rénovation énergétique atteint à peine quelque 1 %.</w:t>
      </w:r>
    </w:p>
    <w:p w14:paraId="54054F64" w14:textId="609FC12C" w:rsidR="000575CF" w:rsidRPr="00535DEB" w:rsidRDefault="000257DB" w:rsidP="007D751C">
      <w:pPr>
        <w:spacing w:line="276" w:lineRule="auto"/>
        <w:rPr>
          <w:noProof/>
        </w:rPr>
      </w:pPr>
      <w:r w:rsidRPr="00535DEB">
        <w:rPr>
          <w:noProof/>
        </w:rPr>
        <w:t xml:space="preserve">Par conséquent, </w:t>
      </w:r>
      <w:r w:rsidRPr="00535DEB">
        <w:rPr>
          <w:b/>
          <w:noProof/>
        </w:rPr>
        <w:t>il faudrait au moins doubler le taux de rénovation et augmenter la profondeur de rénovation</w:t>
      </w:r>
      <w:r w:rsidRPr="00535DEB">
        <w:rPr>
          <w:noProof/>
        </w:rPr>
        <w:t xml:space="preserve"> afin de garantir que le secteur contribue à la réalisation des objectifs pour 2030. Tous les bâtiments neufs devraient être à émissions nulles d’ici à 2030, alors que les bâtiments existants devraient être transformés en bâtiments à émissions nulles d’ici à 2050. La refonte de la directive sur la performance énergétique des bâtiments</w:t>
      </w:r>
      <w:r w:rsidRPr="00535DEB">
        <w:rPr>
          <w:rStyle w:val="FootnoteReference"/>
          <w:noProof/>
        </w:rPr>
        <w:footnoteReference w:id="3"/>
      </w:r>
      <w:r w:rsidRPr="00535DEB">
        <w:rPr>
          <w:noProof/>
        </w:rPr>
        <w:t xml:space="preserve"> est le mécanisme de mise en œuvre de la stratégie pour une vague de rénovations</w:t>
      </w:r>
      <w:r w:rsidRPr="00535DEB">
        <w:rPr>
          <w:rStyle w:val="FootnoteReference"/>
          <w:noProof/>
        </w:rPr>
        <w:footnoteReference w:id="4"/>
      </w:r>
      <w:r w:rsidRPr="00535DEB">
        <w:rPr>
          <w:noProof/>
        </w:rPr>
        <w:t>. Son principal objectif est d’accroître le taux et la profondeur de rénovation dans l’UE, en particulier pour les bâtiments les moins performants.</w:t>
      </w:r>
    </w:p>
    <w:p w14:paraId="0D6C66F1" w14:textId="3CAA2A18" w:rsidR="004C3118" w:rsidRPr="00535DEB" w:rsidRDefault="009B2E8B" w:rsidP="007D751C">
      <w:pPr>
        <w:spacing w:line="276" w:lineRule="auto"/>
        <w:rPr>
          <w:noProof/>
        </w:rPr>
      </w:pPr>
      <w:r w:rsidRPr="00535DEB">
        <w:rPr>
          <w:noProof/>
        </w:rPr>
        <w:t xml:space="preserve">Dans l’analyse d’impact à l’appui de la </w:t>
      </w:r>
      <w:r w:rsidRPr="00535DEB">
        <w:rPr>
          <w:b/>
          <w:noProof/>
        </w:rPr>
        <w:t>communication de la Commission sur l’objectif climatique de l’Europe pour 2040</w:t>
      </w:r>
      <w:r w:rsidRPr="00535DEB">
        <w:rPr>
          <w:rStyle w:val="FootnoteReference"/>
          <w:noProof/>
        </w:rPr>
        <w:footnoteReference w:id="5"/>
      </w:r>
      <w:r w:rsidRPr="00535DEB">
        <w:rPr>
          <w:noProof/>
        </w:rPr>
        <w:t xml:space="preserve">, il est estimé que, en fonction du scénario, la consommation d’énergie finale de l’UE passera de 763 Mtep en 2030 à 594-624 Mtep d’ici à 2040. D’ici à 2050, ce chiffre aura chuté à environ 560 Mtep. Au niveau sectoriel, l’analyse indique que les économies d’énergie dans les </w:t>
      </w:r>
      <w:r w:rsidRPr="00535DEB">
        <w:rPr>
          <w:b/>
          <w:noProof/>
        </w:rPr>
        <w:t>bâtiments</w:t>
      </w:r>
      <w:r w:rsidRPr="00535DEB">
        <w:rPr>
          <w:noProof/>
        </w:rPr>
        <w:t xml:space="preserve"> atteindront 35 % à 38 % selon les différents scénarios d’ici à 2040 et 40 % d’ici à 2050, tandis que la consommation d’énergie dans l’</w:t>
      </w:r>
      <w:r w:rsidRPr="00535DEB">
        <w:rPr>
          <w:b/>
          <w:noProof/>
        </w:rPr>
        <w:t>industrie</w:t>
      </w:r>
      <w:r w:rsidRPr="00535DEB">
        <w:rPr>
          <w:noProof/>
        </w:rPr>
        <w:t xml:space="preserve"> diminuera d’environ 20 % au cours de la décennie allant de 2031 à 2040 et de 7 points de pourcentage supplémentaires au cours de la décennie allant de 2041 à 2050 (par rapport aux chiffres de 2030).</w:t>
      </w:r>
    </w:p>
    <w:p w14:paraId="5623F2DE" w14:textId="3C533934" w:rsidR="00BC3054" w:rsidRPr="00535DEB" w:rsidRDefault="00BC3054" w:rsidP="00BC3054">
      <w:pPr>
        <w:spacing w:line="276" w:lineRule="auto"/>
        <w:rPr>
          <w:noProof/>
        </w:rPr>
      </w:pPr>
      <w:r w:rsidRPr="00535DEB">
        <w:rPr>
          <w:b/>
          <w:noProof/>
        </w:rPr>
        <w:t>L’efficacité énergétique est bénéfique à trois égards (pour notre compétitivité, le climat et la sécurité</w:t>
      </w:r>
      <w:r w:rsidRPr="00535DEB">
        <w:rPr>
          <w:noProof/>
        </w:rPr>
        <w:t xml:space="preserve">) et offre une multitude d’avantages. En réduisant la consommation d’énergie, nous diminuons non seulement notre dépendance vis-à-vis des combustibles importés, mais aussi nos émissions, et nous renforçons notre indépendance énergétique, chaque kilowattheure économisé équivalant à un kilowattheure en moins à importer, à subventionner et/ou à produire. </w:t>
      </w:r>
      <w:r w:rsidRPr="00535DEB">
        <w:rPr>
          <w:b/>
          <w:noProof/>
        </w:rPr>
        <w:t>Les investissements dans l’efficacité énergétique ont une incidence profonde, puisque chaque euro investi dans l’efficacité énergétique se traduit par des économies sur les coûts de l’énergie tout au long de la durée de vie de l’investissement, à hauteur de 12 EUR dans le logement et de 4 EUR dans l’industrie.</w:t>
      </w:r>
      <w:r w:rsidRPr="00535DEB">
        <w:rPr>
          <w:noProof/>
        </w:rPr>
        <w:t xml:space="preserve"> Par ailleurs, les avantages de l’efficacité énergétique sont considérables, puisque celle-ci pourrait permettre de réaliser jusqu’à 40 % des réductions de CO</w:t>
      </w:r>
      <w:r w:rsidRPr="00535DEB">
        <w:rPr>
          <w:noProof/>
          <w:vertAlign w:val="subscript"/>
        </w:rPr>
        <w:t>2</w:t>
      </w:r>
      <w:r w:rsidRPr="00535DEB">
        <w:rPr>
          <w:noProof/>
        </w:rPr>
        <w:t xml:space="preserve"> requises dans l’UE d’ici à 2030 et de créer 1,6 million d’emplois, ou encore d’éviter un volume élevé de coûts liés à l’expansion du réseau, ce qui en fait une stratégie essentielle pour une économie plus compétitive et plus durable. Dans ce contexte, des efforts d’investissement importants sont nécessaires pour libérer le plein potentiel de l’efficacité énergétique en Europe.</w:t>
      </w:r>
    </w:p>
    <w:p w14:paraId="475917B6" w14:textId="23F8F44B" w:rsidR="00BC3054" w:rsidRPr="00535DEB" w:rsidRDefault="00BC3054" w:rsidP="00BC3054">
      <w:pPr>
        <w:spacing w:line="276" w:lineRule="auto"/>
        <w:rPr>
          <w:noProof/>
        </w:rPr>
      </w:pPr>
      <w:r w:rsidRPr="00535DEB">
        <w:rPr>
          <w:noProof/>
        </w:rPr>
        <w:t>L’efficacité énergétique est le premier carburant de l’Europe: propre, bon marché et produit à domicile. Conformément au principe de primauté de l’efficacité énergétique, les solutions en matière d’efficacité énergétique devraient être considérées comme la première option dans les décisions politiques, de planification et d’investissement.</w:t>
      </w:r>
    </w:p>
    <w:p w14:paraId="671BE18F" w14:textId="718B8FC3" w:rsidR="004C3118" w:rsidRPr="00535DEB" w:rsidRDefault="00BC3054" w:rsidP="007D751C">
      <w:pPr>
        <w:spacing w:line="276" w:lineRule="auto"/>
        <w:rPr>
          <w:noProof/>
        </w:rPr>
      </w:pPr>
      <w:r w:rsidRPr="00535DEB">
        <w:rPr>
          <w:b/>
          <w:noProof/>
        </w:rPr>
        <w:t>Comme le souligne le rapport Draghi, la réalisation du potentiel de l’efficacité énergétique en Europe nécessite un effort d’investissement important, qui a augmenté parallèlement aux objectifs en matière d’énergie et de climat.</w:t>
      </w:r>
      <w:r w:rsidRPr="00535DEB">
        <w:rPr>
          <w:noProof/>
        </w:rPr>
        <w:t xml:space="preserve"> D’après le scénario du modèle PRIMES du plan cible en matière de climat à l’horizon 2040, pour atteindre les objectifs d’efficacité énergétique, les investissements totaux dans l’efficacité énergétique doivent s’élever à quelque 370 milliards d’EUR par an</w:t>
      </w:r>
      <w:r w:rsidRPr="00535DEB">
        <w:rPr>
          <w:rStyle w:val="FootnoteReference"/>
          <w:noProof/>
        </w:rPr>
        <w:footnoteReference w:id="6"/>
      </w:r>
      <w:r w:rsidRPr="00535DEB">
        <w:rPr>
          <w:noProof/>
        </w:rPr>
        <w:t xml:space="preserve"> au cours de la décennie allant de 2021 à 2030, contre 120 milliards d’EUR par an pour la décennie précédente. Cela représente plus du triple. À titre de comparaison, les investissements nécessaires à la réalisation de l’objectif visant à réduire les gaz à effet de serre (GES) de 55 % à l’horizon 2030 sont actuellement estimés à environ 1 241 milliards d’EUR par an</w:t>
      </w:r>
      <w:r w:rsidRPr="00535DEB">
        <w:rPr>
          <w:rStyle w:val="FootnoteReference"/>
          <w:noProof/>
        </w:rPr>
        <w:footnoteReference w:id="7"/>
      </w:r>
      <w:r w:rsidRPr="00535DEB">
        <w:rPr>
          <w:noProof/>
        </w:rPr>
        <w:t>. Du côté de l’approvisionnement en énergie et des infrastructures, les besoins d’investissement sont estimés à 208 milliards d’EUR par an</w:t>
      </w:r>
      <w:r w:rsidRPr="00535DEB">
        <w:rPr>
          <w:rStyle w:val="FootnoteReference"/>
          <w:noProof/>
        </w:rPr>
        <w:footnoteReference w:id="8"/>
      </w:r>
      <w:r w:rsidRPr="00535DEB">
        <w:rPr>
          <w:noProof/>
        </w:rPr>
        <w:t xml:space="preserve"> pour la même période de référence. Après 2030, les besoins d’investissement dans l’efficacité énergétique devraient diminuer légèrement, mais rester très élevés durant les périodes 2031-2040 (303 milliards d’EUR) et 2041-2050 (288 milliards d’EUR). Les mesures en faveur de l’efficacité énergétique dans les bâtiments, y compris la modernisation des systèmes de chauffage et de refroidissement, représenteront le plus gros poste des investissements nécessaires pour atteindre les objectifs de 2030, soit environ 242 milliards d’EUR par an pour la période 2021-2030.</w:t>
      </w:r>
    </w:p>
    <w:p w14:paraId="51B5C61E" w14:textId="103DE18D" w:rsidR="00364933" w:rsidRPr="00535DEB" w:rsidRDefault="007B52FE" w:rsidP="007D751C">
      <w:pPr>
        <w:spacing w:line="276" w:lineRule="auto"/>
        <w:rPr>
          <w:noProof/>
        </w:rPr>
      </w:pPr>
      <w:r w:rsidRPr="00535DEB">
        <w:rPr>
          <w:noProof/>
        </w:rPr>
        <w:t xml:space="preserve">Ces objectifs ne peuvent pas être atteints par la réglementation à elle seule et nécessiteront la mobilisation de fonds tant publics que privés. </w:t>
      </w:r>
      <w:r w:rsidRPr="00535DEB">
        <w:rPr>
          <w:b/>
          <w:noProof/>
        </w:rPr>
        <w:t>Les ressources publiques, limitées, ne pouvant couvrir tous les besoins d’investissement</w:t>
      </w:r>
      <w:r w:rsidRPr="00535DEB">
        <w:rPr>
          <w:noProof/>
        </w:rPr>
        <w:t xml:space="preserve">, il convient de </w:t>
      </w:r>
      <w:r w:rsidRPr="00535DEB">
        <w:rPr>
          <w:noProof/>
          <w:color w:val="333333"/>
        </w:rPr>
        <w:t>trouver un moyen plus efficace et mieux adapté de les utiliser</w:t>
      </w:r>
      <w:r w:rsidRPr="00535DEB">
        <w:rPr>
          <w:noProof/>
        </w:rPr>
        <w:t>.</w:t>
      </w:r>
      <w:r w:rsidRPr="00535DEB">
        <w:rPr>
          <w:noProof/>
          <w:color w:val="333333"/>
        </w:rPr>
        <w:t xml:space="preserve"> En outre, pour catalyser les investissements privés et réduire les risques associés, il convient d’utiliser des produits financiers et des financements mixtes.</w:t>
      </w:r>
    </w:p>
    <w:p w14:paraId="1FB1775A" w14:textId="1B97723A" w:rsidR="00695201" w:rsidRPr="00535DEB" w:rsidRDefault="00364933" w:rsidP="007D751C">
      <w:pPr>
        <w:spacing w:line="276" w:lineRule="auto"/>
        <w:rPr>
          <w:noProof/>
        </w:rPr>
      </w:pPr>
      <w:r w:rsidRPr="00535DEB">
        <w:rPr>
          <w:noProof/>
        </w:rPr>
        <w:t>Afin d’assurer les financements nécessaires, l’article 30 de la refonte de la directive relative à l’efficacité énergétique impose à la Commission d’évaluer:</w:t>
      </w:r>
    </w:p>
    <w:p w14:paraId="51260C63" w14:textId="5AC09567" w:rsidR="00695201" w:rsidRPr="00535DEB" w:rsidRDefault="003C44EC" w:rsidP="00695201">
      <w:pPr>
        <w:pStyle w:val="ListParagraph"/>
        <w:numPr>
          <w:ilvl w:val="0"/>
          <w:numId w:val="39"/>
        </w:numPr>
        <w:spacing w:line="276" w:lineRule="auto"/>
        <w:rPr>
          <w:noProof/>
        </w:rPr>
      </w:pPr>
      <w:r w:rsidRPr="00535DEB">
        <w:rPr>
          <w:noProof/>
        </w:rPr>
        <w:t>l’</w:t>
      </w:r>
      <w:r w:rsidRPr="00535DEB">
        <w:rPr>
          <w:b/>
          <w:noProof/>
        </w:rPr>
        <w:t>état actuel du soutien apporté au financement public et la capacité des États membres à stimuler les investissements privés</w:t>
      </w:r>
      <w:r w:rsidRPr="00535DEB">
        <w:rPr>
          <w:noProof/>
        </w:rPr>
        <w:t xml:space="preserve"> dans l’efficacité énergétique,</w:t>
      </w:r>
    </w:p>
    <w:p w14:paraId="3A31E081" w14:textId="14BC0ECA" w:rsidR="00364933" w:rsidRPr="00535DEB" w:rsidRDefault="003C44EC" w:rsidP="00EB3267">
      <w:pPr>
        <w:pStyle w:val="ListParagraph"/>
        <w:numPr>
          <w:ilvl w:val="0"/>
          <w:numId w:val="39"/>
        </w:numPr>
        <w:spacing w:line="276" w:lineRule="auto"/>
        <w:rPr>
          <w:noProof/>
        </w:rPr>
      </w:pPr>
      <w:r w:rsidRPr="00535DEB">
        <w:rPr>
          <w:b/>
          <w:noProof/>
        </w:rPr>
        <w:t>la nécessité ou non d’un mécanisme en faveur de l’efficacité énergétique, ou d’une combinaison de subventions, d’une assistance technique et de garanties, tous au niveau de l’UE,</w:t>
      </w:r>
      <w:r w:rsidRPr="00535DEB">
        <w:rPr>
          <w:noProof/>
        </w:rPr>
        <w:t xml:space="preserve"> pour contribuer à la réalisation des objectifs de l’UE en matière d’efficacité énergétique et de climat de façon rentable. La Commission est tenue de présenter son rapport à ce sujet au Parlement européen et au Conseil.</w:t>
      </w:r>
    </w:p>
    <w:p w14:paraId="64BB4131" w14:textId="1EAA19FB" w:rsidR="00BA6C1B" w:rsidRPr="00535DEB" w:rsidRDefault="00947C8A" w:rsidP="007D751C">
      <w:pPr>
        <w:spacing w:line="276" w:lineRule="auto"/>
        <w:rPr>
          <w:noProof/>
        </w:rPr>
      </w:pPr>
      <w:r w:rsidRPr="00535DEB">
        <w:rPr>
          <w:noProof/>
        </w:rPr>
        <w:t>Par ailleurs, l’article 9, paragraphe 8, de la refonte de la directive sur la performance énergétique des bâtiments impose à la Commission de présenter une analyse portant sur:</w:t>
      </w:r>
    </w:p>
    <w:p w14:paraId="43B2779F" w14:textId="223D752B" w:rsidR="00E50B83" w:rsidRPr="00535DEB" w:rsidRDefault="0001325F" w:rsidP="007D751C">
      <w:pPr>
        <w:pStyle w:val="ListParagraph"/>
        <w:numPr>
          <w:ilvl w:val="0"/>
          <w:numId w:val="29"/>
        </w:numPr>
        <w:spacing w:line="276" w:lineRule="auto"/>
        <w:rPr>
          <w:noProof/>
          <w:szCs w:val="24"/>
        </w:rPr>
      </w:pPr>
      <w:r w:rsidRPr="00535DEB">
        <w:rPr>
          <w:noProof/>
        </w:rPr>
        <w:t>l’efficacité des Fonds structurels et les programmes-cadres de l’UE, y compris le financement de la Banque européenne d’investissement, actuellement en place pour accroître la performance énergétique des bâtiments, en particulier dans les logements, ainsi que les types d’instruments utilisés, les montants effectifs et l’adéquation du niveau de financement;</w:t>
      </w:r>
    </w:p>
    <w:p w14:paraId="77DD541E" w14:textId="21BFA757" w:rsidR="00E50B83" w:rsidRPr="00535DEB" w:rsidRDefault="00221754" w:rsidP="007D751C">
      <w:pPr>
        <w:pStyle w:val="ListParagraph"/>
        <w:numPr>
          <w:ilvl w:val="0"/>
          <w:numId w:val="29"/>
        </w:numPr>
        <w:spacing w:line="276" w:lineRule="auto"/>
        <w:rPr>
          <w:noProof/>
          <w:szCs w:val="24"/>
        </w:rPr>
      </w:pPr>
      <w:r w:rsidRPr="00535DEB">
        <w:rPr>
          <w:noProof/>
        </w:rPr>
        <w:t>l’efficacité des fonds mis à disposition par les institutions financières publiques, ainsi que les types d’instruments et de mesures utilisés et l’adéquation du niveau de financement;</w:t>
      </w:r>
    </w:p>
    <w:p w14:paraId="57341FE4" w14:textId="75640B3D" w:rsidR="008F33F3" w:rsidRPr="00535DEB" w:rsidRDefault="00221754" w:rsidP="007D751C">
      <w:pPr>
        <w:pStyle w:val="ListParagraph"/>
        <w:numPr>
          <w:ilvl w:val="0"/>
          <w:numId w:val="29"/>
        </w:numPr>
        <w:spacing w:line="276" w:lineRule="auto"/>
        <w:rPr>
          <w:noProof/>
          <w:szCs w:val="24"/>
        </w:rPr>
      </w:pPr>
      <w:r w:rsidRPr="00535DEB">
        <w:rPr>
          <w:noProof/>
        </w:rPr>
        <w:t>la coordination des plans de financement de l’UE et nationaux et d’autres types de mesures visant à stimuler les investissements dans la performance énergétique des bâtiments, et l’adéquation de ces financements au regard de la réalisation des objectifs de l’UE.</w:t>
      </w:r>
    </w:p>
    <w:p w14:paraId="617192D6" w14:textId="681A14C6" w:rsidR="00364933" w:rsidRPr="00535DEB" w:rsidRDefault="00D73D9C" w:rsidP="007D751C">
      <w:pPr>
        <w:spacing w:line="276" w:lineRule="auto"/>
        <w:rPr>
          <w:noProof/>
        </w:rPr>
      </w:pPr>
      <w:r w:rsidRPr="00535DEB">
        <w:rPr>
          <w:noProof/>
        </w:rPr>
        <w:t>Le présent rapport vise à traiter tous les points susmentionnés, dans l’ordre suivant:</w:t>
      </w:r>
    </w:p>
    <w:p w14:paraId="6F491B6B" w14:textId="296DA72B" w:rsidR="00364933" w:rsidRPr="00535DEB" w:rsidRDefault="0001325F" w:rsidP="007D751C">
      <w:pPr>
        <w:pStyle w:val="ListParagraph"/>
        <w:numPr>
          <w:ilvl w:val="0"/>
          <w:numId w:val="26"/>
        </w:numPr>
        <w:spacing w:after="160" w:line="276" w:lineRule="auto"/>
        <w:rPr>
          <w:noProof/>
        </w:rPr>
      </w:pPr>
      <w:r w:rsidRPr="00535DEB">
        <w:rPr>
          <w:noProof/>
        </w:rPr>
        <w:t>vue d’ensemble du financement public en faveur de l’efficacité énergétique et des rénovations énergétiques dans l’UE: chapitre 2,</w:t>
      </w:r>
    </w:p>
    <w:p w14:paraId="62ADC63D" w14:textId="61EDE6D0" w:rsidR="00364933" w:rsidRPr="00535DEB" w:rsidRDefault="001E40F1" w:rsidP="007D751C">
      <w:pPr>
        <w:pStyle w:val="ListParagraph"/>
        <w:numPr>
          <w:ilvl w:val="0"/>
          <w:numId w:val="26"/>
        </w:numPr>
        <w:spacing w:after="160" w:line="276" w:lineRule="auto"/>
        <w:rPr>
          <w:noProof/>
        </w:rPr>
      </w:pPr>
      <w:r w:rsidRPr="00535DEB">
        <w:rPr>
          <w:noProof/>
        </w:rPr>
        <w:t>évaluation du financement public dans l’UE: chapitre 3,</w:t>
      </w:r>
    </w:p>
    <w:p w14:paraId="32B1BC95" w14:textId="286BEEAC" w:rsidR="644C08F2" w:rsidRPr="00535DEB" w:rsidRDefault="00364933" w:rsidP="007D751C">
      <w:pPr>
        <w:pStyle w:val="ListParagraph"/>
        <w:numPr>
          <w:ilvl w:val="0"/>
          <w:numId w:val="26"/>
        </w:numPr>
        <w:spacing w:after="160" w:line="276" w:lineRule="auto"/>
        <w:rPr>
          <w:noProof/>
        </w:rPr>
      </w:pPr>
      <w:r w:rsidRPr="00535DEB">
        <w:rPr>
          <w:noProof/>
        </w:rPr>
        <w:t>principales constatations et conclusions: chapitre 4.</w:t>
      </w:r>
    </w:p>
    <w:p w14:paraId="7C6D1BEE" w14:textId="31B5A9FE" w:rsidR="00364933" w:rsidRPr="00535DEB" w:rsidRDefault="0001325F" w:rsidP="007D751C">
      <w:pPr>
        <w:pStyle w:val="Heading1"/>
        <w:spacing w:line="276" w:lineRule="auto"/>
        <w:rPr>
          <w:noProof/>
        </w:rPr>
      </w:pPr>
      <w:r w:rsidRPr="00535DEB">
        <w:rPr>
          <w:noProof/>
        </w:rPr>
        <w:t>Vue d’ensemble du financement public en faveur de l’efficacité énergétique et des rénovations énergétiques dans l’UE</w:t>
      </w:r>
    </w:p>
    <w:p w14:paraId="53EBBC02" w14:textId="254E21FE" w:rsidR="00173B66" w:rsidRPr="00535DEB" w:rsidRDefault="00173B66" w:rsidP="007D751C">
      <w:pPr>
        <w:pStyle w:val="Heading2"/>
        <w:spacing w:line="276" w:lineRule="auto"/>
        <w:rPr>
          <w:noProof/>
        </w:rPr>
      </w:pPr>
      <w:r w:rsidRPr="00535DEB">
        <w:rPr>
          <w:noProof/>
        </w:rPr>
        <w:t>Soutien apporté au financement public au niveau de l’UE</w:t>
      </w:r>
    </w:p>
    <w:p w14:paraId="73CAFD30" w14:textId="0868398E" w:rsidR="002B1A59" w:rsidRPr="00535DEB" w:rsidRDefault="0002146F" w:rsidP="007D751C">
      <w:pPr>
        <w:pStyle w:val="Heading3"/>
        <w:spacing w:line="276" w:lineRule="auto"/>
        <w:rPr>
          <w:noProof/>
        </w:rPr>
      </w:pPr>
      <w:r w:rsidRPr="00535DEB">
        <w:rPr>
          <w:noProof/>
        </w:rPr>
        <w:t>Appui budgétaire de l’Union</w:t>
      </w:r>
    </w:p>
    <w:p w14:paraId="4E79A03B" w14:textId="519F7081" w:rsidR="00173B66" w:rsidRPr="00535DEB" w:rsidRDefault="0002146F" w:rsidP="007D751C">
      <w:pPr>
        <w:pStyle w:val="Text2"/>
        <w:spacing w:line="276" w:lineRule="auto"/>
        <w:ind w:left="0"/>
        <w:rPr>
          <w:noProof/>
        </w:rPr>
      </w:pPr>
      <w:r w:rsidRPr="00535DEB">
        <w:rPr>
          <w:noProof/>
        </w:rPr>
        <w:t>L’appui budgétaire de l’Union est généralement fourni au titre du plan budgétaire septennal établi dans le cadre financier pluriannuel (CFP). Le budget total de l’Union au titre du CFP 2014-2020 s’élevait à 1 083 milliards d’EUR. Le CFP pour la période 2021-2027 se chiffre à 1 211 milliards d’EUR. En outre, afin de soutenir la reprise économique de l’UE après la pandémie de COVID-19, un instrument temporaire de relance – NextGenerationEU, y compris sa pièce maîtresse, la facilité pour la reprise et la résilience (FRR) – d’un montant total de 807 milliards d’EUR a été mis en place en 2021. Compte tenu de l’inflation, les ressources budgétaires de l’UE ont ainsi augmenté de 86 % par rapport au CFP précédent.</w:t>
      </w:r>
    </w:p>
    <w:p w14:paraId="520D46F6" w14:textId="28FB0F33" w:rsidR="2E37242B" w:rsidRPr="00535DEB" w:rsidRDefault="2E37242B" w:rsidP="00FE0847">
      <w:pPr>
        <w:pStyle w:val="Text2"/>
        <w:spacing w:after="0" w:line="276" w:lineRule="auto"/>
        <w:ind w:left="0"/>
        <w:rPr>
          <w:i/>
          <w:iCs/>
          <w:noProof/>
        </w:rPr>
      </w:pPr>
      <w:r w:rsidRPr="00535DEB">
        <w:rPr>
          <w:i/>
          <w:noProof/>
        </w:rPr>
        <w:t>Tableau 1: le budget de l’UE</w:t>
      </w:r>
    </w:p>
    <w:tbl>
      <w:tblPr>
        <w:tblStyle w:val="TableGrid"/>
        <w:tblW w:w="0" w:type="auto"/>
        <w:jc w:val="center"/>
        <w:tblLook w:val="04A0" w:firstRow="1" w:lastRow="0" w:firstColumn="1" w:lastColumn="0" w:noHBand="0" w:noVBand="1"/>
      </w:tblPr>
      <w:tblGrid>
        <w:gridCol w:w="2631"/>
        <w:gridCol w:w="4642"/>
      </w:tblGrid>
      <w:tr w:rsidR="001A3426" w:rsidRPr="00535DEB" w14:paraId="16D7BB7C" w14:textId="77777777" w:rsidTr="004854A6">
        <w:trPr>
          <w:trHeight w:val="68"/>
          <w:jc w:val="center"/>
        </w:trPr>
        <w:tc>
          <w:tcPr>
            <w:tcW w:w="2631" w:type="dxa"/>
            <w:vAlign w:val="center"/>
          </w:tcPr>
          <w:p w14:paraId="1943FD15" w14:textId="77777777" w:rsidR="001A3426" w:rsidRPr="00535DEB" w:rsidRDefault="001A3426" w:rsidP="007D751C">
            <w:pPr>
              <w:pStyle w:val="Text2"/>
              <w:spacing w:after="0" w:line="276" w:lineRule="auto"/>
              <w:ind w:left="0"/>
              <w:jc w:val="left"/>
              <w:rPr>
                <w:noProof/>
                <w:szCs w:val="24"/>
              </w:rPr>
            </w:pPr>
          </w:p>
        </w:tc>
        <w:tc>
          <w:tcPr>
            <w:tcW w:w="4642" w:type="dxa"/>
            <w:vAlign w:val="center"/>
          </w:tcPr>
          <w:p w14:paraId="6050CA0C" w14:textId="712274A9" w:rsidR="001A3426" w:rsidRPr="00535DEB" w:rsidRDefault="0002146F" w:rsidP="007D751C">
            <w:pPr>
              <w:pStyle w:val="Text2"/>
              <w:spacing w:after="0" w:line="276" w:lineRule="auto"/>
              <w:ind w:left="0"/>
              <w:jc w:val="center"/>
              <w:rPr>
                <w:b/>
                <w:bCs/>
                <w:noProof/>
                <w:szCs w:val="24"/>
              </w:rPr>
            </w:pPr>
            <w:r w:rsidRPr="00535DEB">
              <w:rPr>
                <w:b/>
                <w:noProof/>
              </w:rPr>
              <w:t>Montants adoptés (aux prix courants)</w:t>
            </w:r>
          </w:p>
        </w:tc>
      </w:tr>
      <w:tr w:rsidR="001A3426" w:rsidRPr="00535DEB" w14:paraId="040D5D21" w14:textId="77777777" w:rsidTr="004854A6">
        <w:trPr>
          <w:trHeight w:val="55"/>
          <w:jc w:val="center"/>
        </w:trPr>
        <w:tc>
          <w:tcPr>
            <w:tcW w:w="2631" w:type="dxa"/>
            <w:vAlign w:val="center"/>
          </w:tcPr>
          <w:p w14:paraId="6D40539E" w14:textId="0543A241" w:rsidR="001A3426" w:rsidRPr="00535DEB" w:rsidRDefault="00100CB5" w:rsidP="007D751C">
            <w:pPr>
              <w:pStyle w:val="Text2"/>
              <w:spacing w:after="0" w:line="276" w:lineRule="auto"/>
              <w:ind w:left="0"/>
              <w:rPr>
                <w:b/>
                <w:bCs/>
                <w:noProof/>
                <w:szCs w:val="24"/>
              </w:rPr>
            </w:pPr>
            <w:r w:rsidRPr="00535DEB">
              <w:rPr>
                <w:b/>
                <w:noProof/>
              </w:rPr>
              <w:t>CFP 2014-2020</w:t>
            </w:r>
          </w:p>
        </w:tc>
        <w:tc>
          <w:tcPr>
            <w:tcW w:w="4642" w:type="dxa"/>
            <w:vAlign w:val="center"/>
          </w:tcPr>
          <w:p w14:paraId="57D4D0DA" w14:textId="69B0E549" w:rsidR="001A3426" w:rsidRPr="00535DEB" w:rsidRDefault="00834071" w:rsidP="007D751C">
            <w:pPr>
              <w:pStyle w:val="Text2"/>
              <w:spacing w:after="0" w:line="276" w:lineRule="auto"/>
              <w:ind w:left="0"/>
              <w:rPr>
                <w:noProof/>
                <w:szCs w:val="24"/>
              </w:rPr>
            </w:pPr>
            <w:r w:rsidRPr="00535DEB">
              <w:rPr>
                <w:noProof/>
              </w:rPr>
              <w:t xml:space="preserve">1 083 milliards d’EUR </w:t>
            </w:r>
          </w:p>
        </w:tc>
      </w:tr>
      <w:tr w:rsidR="001A3426" w:rsidRPr="00535DEB" w14:paraId="16B3A68C" w14:textId="77777777" w:rsidTr="004854A6">
        <w:trPr>
          <w:trHeight w:val="55"/>
          <w:jc w:val="center"/>
        </w:trPr>
        <w:tc>
          <w:tcPr>
            <w:tcW w:w="2631" w:type="dxa"/>
            <w:vAlign w:val="center"/>
          </w:tcPr>
          <w:p w14:paraId="0FBA725D" w14:textId="6F74D3A8" w:rsidR="001A3426" w:rsidRPr="00535DEB" w:rsidRDefault="6D29EDFE" w:rsidP="007D751C">
            <w:pPr>
              <w:pStyle w:val="Text2"/>
              <w:spacing w:after="0" w:line="276" w:lineRule="auto"/>
              <w:ind w:left="0"/>
              <w:rPr>
                <w:b/>
                <w:bCs/>
                <w:noProof/>
                <w:szCs w:val="24"/>
              </w:rPr>
            </w:pPr>
            <w:r w:rsidRPr="00535DEB">
              <w:rPr>
                <w:b/>
                <w:noProof/>
              </w:rPr>
              <w:t>CFP 2021-2027</w:t>
            </w:r>
          </w:p>
        </w:tc>
        <w:tc>
          <w:tcPr>
            <w:tcW w:w="4642" w:type="dxa"/>
            <w:vAlign w:val="center"/>
          </w:tcPr>
          <w:p w14:paraId="7EC2162D" w14:textId="795AE017" w:rsidR="001A3426" w:rsidRPr="00535DEB" w:rsidRDefault="00834071" w:rsidP="007D751C">
            <w:pPr>
              <w:pStyle w:val="Text2"/>
              <w:spacing w:after="0" w:line="276" w:lineRule="auto"/>
              <w:ind w:left="0"/>
              <w:rPr>
                <w:noProof/>
                <w:szCs w:val="24"/>
              </w:rPr>
            </w:pPr>
            <w:r w:rsidRPr="00535DEB">
              <w:rPr>
                <w:noProof/>
              </w:rPr>
              <w:t xml:space="preserve">1 211 milliards d’EUR </w:t>
            </w:r>
          </w:p>
        </w:tc>
      </w:tr>
      <w:tr w:rsidR="006D1473" w:rsidRPr="00535DEB" w14:paraId="29A272B1" w14:textId="77777777" w:rsidTr="004854A6">
        <w:trPr>
          <w:trHeight w:val="55"/>
          <w:jc w:val="center"/>
        </w:trPr>
        <w:tc>
          <w:tcPr>
            <w:tcW w:w="2631" w:type="dxa"/>
            <w:vAlign w:val="center"/>
          </w:tcPr>
          <w:p w14:paraId="510E1FDC" w14:textId="4CB226FA" w:rsidR="006D1473" w:rsidRPr="00535DEB" w:rsidRDefault="006B11DE" w:rsidP="007D751C">
            <w:pPr>
              <w:pStyle w:val="Text2"/>
              <w:spacing w:after="0" w:line="276" w:lineRule="auto"/>
              <w:ind w:left="0"/>
              <w:rPr>
                <w:b/>
                <w:bCs/>
                <w:noProof/>
                <w:szCs w:val="24"/>
              </w:rPr>
            </w:pPr>
            <w:r w:rsidRPr="00535DEB">
              <w:rPr>
                <w:b/>
                <w:noProof/>
              </w:rPr>
              <w:t>NextGenerationEU</w:t>
            </w:r>
          </w:p>
        </w:tc>
        <w:tc>
          <w:tcPr>
            <w:tcW w:w="4642" w:type="dxa"/>
            <w:vAlign w:val="center"/>
          </w:tcPr>
          <w:p w14:paraId="14D03028" w14:textId="4F22D631" w:rsidR="006D1473" w:rsidRPr="00535DEB" w:rsidRDefault="00834071" w:rsidP="007D751C">
            <w:pPr>
              <w:pStyle w:val="Text2"/>
              <w:spacing w:after="0" w:line="276" w:lineRule="auto"/>
              <w:ind w:left="0"/>
              <w:rPr>
                <w:noProof/>
                <w:szCs w:val="24"/>
              </w:rPr>
            </w:pPr>
            <w:r w:rsidRPr="00535DEB">
              <w:rPr>
                <w:noProof/>
              </w:rPr>
              <w:t xml:space="preserve">807 milliards d’EUR </w:t>
            </w:r>
          </w:p>
        </w:tc>
      </w:tr>
      <w:tr w:rsidR="007929CD" w:rsidRPr="00535DEB" w14:paraId="241C2104" w14:textId="77777777" w:rsidTr="004854A6">
        <w:trPr>
          <w:trHeight w:val="55"/>
          <w:jc w:val="center"/>
        </w:trPr>
        <w:tc>
          <w:tcPr>
            <w:tcW w:w="2631" w:type="dxa"/>
            <w:vAlign w:val="center"/>
          </w:tcPr>
          <w:p w14:paraId="44D62AEC" w14:textId="74AF68AA" w:rsidR="007929CD" w:rsidRPr="00535DEB" w:rsidRDefault="007929CD" w:rsidP="007D751C">
            <w:pPr>
              <w:pStyle w:val="Text2"/>
              <w:spacing w:after="0" w:line="276" w:lineRule="auto"/>
              <w:ind w:left="0"/>
              <w:rPr>
                <w:b/>
                <w:bCs/>
                <w:noProof/>
                <w:szCs w:val="24"/>
              </w:rPr>
            </w:pPr>
            <w:r w:rsidRPr="00535DEB">
              <w:rPr>
                <w:b/>
                <w:noProof/>
              </w:rPr>
              <w:t>FRR et CFP 21-27</w:t>
            </w:r>
          </w:p>
        </w:tc>
        <w:tc>
          <w:tcPr>
            <w:tcW w:w="4642" w:type="dxa"/>
            <w:vAlign w:val="center"/>
          </w:tcPr>
          <w:p w14:paraId="49B8C645" w14:textId="68E7CD9E" w:rsidR="007929CD" w:rsidRPr="00535DEB" w:rsidRDefault="00834071" w:rsidP="007D751C">
            <w:pPr>
              <w:pStyle w:val="Text2"/>
              <w:spacing w:after="0" w:line="276" w:lineRule="auto"/>
              <w:ind w:left="0"/>
              <w:rPr>
                <w:noProof/>
                <w:szCs w:val="24"/>
              </w:rPr>
            </w:pPr>
            <w:r w:rsidRPr="00535DEB">
              <w:rPr>
                <w:noProof/>
              </w:rPr>
              <w:t xml:space="preserve">2 018 milliards d’EUR </w:t>
            </w:r>
          </w:p>
        </w:tc>
      </w:tr>
    </w:tbl>
    <w:p w14:paraId="26BDD8AA" w14:textId="70B83188" w:rsidR="001A3426" w:rsidRPr="00535DEB" w:rsidRDefault="005E554B" w:rsidP="007D751C">
      <w:pPr>
        <w:pStyle w:val="Text2"/>
        <w:spacing w:line="276" w:lineRule="auto"/>
        <w:ind w:left="0" w:firstLine="720"/>
        <w:rPr>
          <w:noProof/>
          <w:sz w:val="20"/>
        </w:rPr>
      </w:pPr>
      <w:r w:rsidRPr="00535DEB">
        <w:rPr>
          <w:noProof/>
          <w:sz w:val="20"/>
        </w:rPr>
        <w:t>Source: Commission européenne, 2024.</w:t>
      </w:r>
    </w:p>
    <w:p w14:paraId="667A4161" w14:textId="44D30BFC" w:rsidR="003E48BB" w:rsidRPr="00535DEB" w:rsidRDefault="00FE4938" w:rsidP="007D751C">
      <w:pPr>
        <w:pStyle w:val="Text2"/>
        <w:spacing w:line="276" w:lineRule="auto"/>
        <w:ind w:left="0"/>
        <w:rPr>
          <w:noProof/>
        </w:rPr>
      </w:pPr>
      <w:r w:rsidRPr="00535DEB">
        <w:rPr>
          <w:noProof/>
        </w:rPr>
        <w:t xml:space="preserve">En ce qui concerne plus particulièrement l’efficacité énergétique, </w:t>
      </w:r>
      <w:r w:rsidRPr="00535DEB">
        <w:rPr>
          <w:b/>
          <w:noProof/>
        </w:rPr>
        <w:t>le financement total disponible de l’UE a été multiplié par 6,8</w:t>
      </w:r>
      <w:r w:rsidRPr="00535DEB">
        <w:rPr>
          <w:noProof/>
        </w:rPr>
        <w:t xml:space="preserve"> entre la période 2014-2020 (21 milliards d’EUR) et la période 2021-2027 (144,7 milliards d’EUR), ce qui représente </w:t>
      </w:r>
      <w:r w:rsidRPr="00535DEB">
        <w:rPr>
          <w:b/>
          <w:noProof/>
        </w:rPr>
        <w:t>une augmentation sans précédent</w:t>
      </w:r>
      <w:r w:rsidRPr="00535DEB">
        <w:rPr>
          <w:noProof/>
        </w:rPr>
        <w:t>.</w:t>
      </w:r>
      <w:r w:rsidRPr="00535DEB">
        <w:rPr>
          <w:b/>
          <w:noProof/>
        </w:rPr>
        <w:t xml:space="preserve"> </w:t>
      </w:r>
      <w:r w:rsidRPr="00535DEB">
        <w:rPr>
          <w:noProof/>
        </w:rPr>
        <w:t xml:space="preserve">Comme le montre le tableau 2 ci-dessous, </w:t>
      </w:r>
      <w:r w:rsidRPr="00535DEB">
        <w:rPr>
          <w:b/>
          <w:noProof/>
        </w:rPr>
        <w:t>les fonds supplémentaires ont été apportés principalement par la FRR, avec 73,8 % du total</w:t>
      </w:r>
      <w:r w:rsidRPr="00535DEB">
        <w:rPr>
          <w:noProof/>
        </w:rPr>
        <w:t>, et, dans une bien moindre mesure, par la politique de cohésion.</w:t>
      </w:r>
    </w:p>
    <w:p w14:paraId="1A7BF771" w14:textId="346D6DAC" w:rsidR="388DE38C" w:rsidRPr="00535DEB" w:rsidRDefault="388DE38C" w:rsidP="00FE0847">
      <w:pPr>
        <w:pStyle w:val="Text2"/>
        <w:spacing w:after="0" w:line="276" w:lineRule="auto"/>
        <w:ind w:left="0"/>
        <w:rPr>
          <w:i/>
          <w:iCs/>
          <w:noProof/>
        </w:rPr>
      </w:pPr>
      <w:r w:rsidRPr="00535DEB">
        <w:rPr>
          <w:i/>
          <w:noProof/>
        </w:rPr>
        <w:t>Tableau 2: financement de l’efficacité énergétique par programme de l’UE (en milliards d’EUR)</w:t>
      </w:r>
    </w:p>
    <w:tbl>
      <w:tblPr>
        <w:tblW w:w="8520" w:type="dxa"/>
        <w:jc w:val="center"/>
        <w:tblLayout w:type="fixed"/>
        <w:tblCellMar>
          <w:left w:w="57" w:type="dxa"/>
          <w:right w:w="57" w:type="dxa"/>
        </w:tblCellMar>
        <w:tblLook w:val="04A0" w:firstRow="1" w:lastRow="0" w:firstColumn="1" w:lastColumn="0" w:noHBand="0" w:noVBand="1"/>
      </w:tblPr>
      <w:tblGrid>
        <w:gridCol w:w="2987"/>
        <w:gridCol w:w="1276"/>
        <w:gridCol w:w="1276"/>
        <w:gridCol w:w="1128"/>
        <w:gridCol w:w="1853"/>
      </w:tblGrid>
      <w:tr w:rsidR="009A067E" w:rsidRPr="00535DEB" w14:paraId="4FDAA411" w14:textId="47607619" w:rsidTr="009A067E">
        <w:trPr>
          <w:trHeight w:val="453"/>
          <w:jc w:val="center"/>
        </w:trPr>
        <w:tc>
          <w:tcPr>
            <w:tcW w:w="2987" w:type="dxa"/>
            <w:tcBorders>
              <w:top w:val="single" w:sz="4" w:space="0" w:color="auto"/>
              <w:left w:val="single" w:sz="4" w:space="0" w:color="auto"/>
              <w:bottom w:val="single" w:sz="4" w:space="0" w:color="auto"/>
              <w:right w:val="single" w:sz="4" w:space="0" w:color="auto"/>
            </w:tcBorders>
            <w:noWrap/>
            <w:vAlign w:val="center"/>
            <w:hideMark/>
          </w:tcPr>
          <w:p w14:paraId="4BCCA426" w14:textId="7AEE0C45" w:rsidR="009674B9" w:rsidRPr="00535DEB" w:rsidRDefault="009674B9" w:rsidP="007D751C">
            <w:pPr>
              <w:spacing w:after="0" w:line="276" w:lineRule="auto"/>
              <w:jc w:val="left"/>
              <w:rPr>
                <w:noProof/>
                <w:szCs w:val="24"/>
                <w:lang w:eastAsia="en-IE"/>
              </w:rPr>
            </w:pPr>
          </w:p>
        </w:tc>
        <w:tc>
          <w:tcPr>
            <w:tcW w:w="1276" w:type="dxa"/>
            <w:tcBorders>
              <w:top w:val="single" w:sz="4" w:space="0" w:color="auto"/>
              <w:left w:val="nil"/>
              <w:bottom w:val="single" w:sz="4" w:space="0" w:color="auto"/>
              <w:right w:val="single" w:sz="4" w:space="0" w:color="auto"/>
            </w:tcBorders>
            <w:noWrap/>
            <w:vAlign w:val="center"/>
            <w:hideMark/>
          </w:tcPr>
          <w:p w14:paraId="04C223D8" w14:textId="662FB501" w:rsidR="009674B9" w:rsidRPr="00535DEB" w:rsidRDefault="009674B9" w:rsidP="007D751C">
            <w:pPr>
              <w:spacing w:after="0" w:line="276" w:lineRule="auto"/>
              <w:jc w:val="center"/>
              <w:rPr>
                <w:b/>
                <w:bCs/>
                <w:noProof/>
                <w:szCs w:val="24"/>
              </w:rPr>
            </w:pPr>
            <w:r w:rsidRPr="00535DEB">
              <w:rPr>
                <w:b/>
                <w:noProof/>
              </w:rPr>
              <w:t>2014-2020</w:t>
            </w:r>
          </w:p>
        </w:tc>
        <w:tc>
          <w:tcPr>
            <w:tcW w:w="1276" w:type="dxa"/>
            <w:tcBorders>
              <w:top w:val="single" w:sz="4" w:space="0" w:color="auto"/>
              <w:left w:val="nil"/>
              <w:bottom w:val="single" w:sz="4" w:space="0" w:color="auto"/>
              <w:right w:val="single" w:sz="4" w:space="0" w:color="auto"/>
            </w:tcBorders>
            <w:noWrap/>
            <w:vAlign w:val="center"/>
            <w:hideMark/>
          </w:tcPr>
          <w:p w14:paraId="26E5C75F" w14:textId="79BBECF8" w:rsidR="009674B9" w:rsidRPr="00535DEB" w:rsidRDefault="009674B9" w:rsidP="007D751C">
            <w:pPr>
              <w:spacing w:after="0" w:line="276" w:lineRule="auto"/>
              <w:jc w:val="center"/>
              <w:rPr>
                <w:b/>
                <w:bCs/>
                <w:noProof/>
                <w:szCs w:val="24"/>
              </w:rPr>
            </w:pPr>
            <w:r w:rsidRPr="00535DEB">
              <w:rPr>
                <w:b/>
                <w:noProof/>
              </w:rPr>
              <w:t>2021-2027</w:t>
            </w:r>
          </w:p>
        </w:tc>
        <w:tc>
          <w:tcPr>
            <w:tcW w:w="1128" w:type="dxa"/>
            <w:tcBorders>
              <w:top w:val="single" w:sz="4" w:space="0" w:color="auto"/>
              <w:left w:val="nil"/>
              <w:bottom w:val="single" w:sz="4" w:space="0" w:color="auto"/>
              <w:right w:val="single" w:sz="4" w:space="0" w:color="auto"/>
            </w:tcBorders>
            <w:noWrap/>
            <w:vAlign w:val="center"/>
            <w:hideMark/>
          </w:tcPr>
          <w:p w14:paraId="581E604D" w14:textId="3024EF47" w:rsidR="009674B9" w:rsidRPr="00535DEB" w:rsidRDefault="004F571F" w:rsidP="007D751C">
            <w:pPr>
              <w:spacing w:after="0" w:line="276" w:lineRule="auto"/>
              <w:jc w:val="center"/>
              <w:rPr>
                <w:b/>
                <w:bCs/>
                <w:noProof/>
                <w:szCs w:val="24"/>
              </w:rPr>
            </w:pPr>
            <w:r w:rsidRPr="00535DEB">
              <w:rPr>
                <w:b/>
                <w:noProof/>
              </w:rPr>
              <w:t>Augmentation (%)</w:t>
            </w:r>
          </w:p>
        </w:tc>
        <w:tc>
          <w:tcPr>
            <w:tcW w:w="1853" w:type="dxa"/>
            <w:tcBorders>
              <w:top w:val="single" w:sz="4" w:space="0" w:color="auto"/>
              <w:left w:val="single" w:sz="4" w:space="0" w:color="auto"/>
              <w:bottom w:val="single" w:sz="4" w:space="0" w:color="auto"/>
              <w:right w:val="single" w:sz="4" w:space="0" w:color="auto"/>
            </w:tcBorders>
            <w:vAlign w:val="center"/>
          </w:tcPr>
          <w:p w14:paraId="018F8740" w14:textId="66058B1E" w:rsidR="009674B9" w:rsidRPr="00535DEB" w:rsidRDefault="0047401C" w:rsidP="007D751C">
            <w:pPr>
              <w:spacing w:after="0" w:line="276" w:lineRule="auto"/>
              <w:jc w:val="center"/>
              <w:rPr>
                <w:b/>
                <w:bCs/>
                <w:noProof/>
                <w:szCs w:val="24"/>
              </w:rPr>
            </w:pPr>
            <w:r w:rsidRPr="00535DEB">
              <w:rPr>
                <w:b/>
                <w:noProof/>
              </w:rPr>
              <w:t>Pourcentage du CFP actuel (%)</w:t>
            </w:r>
          </w:p>
        </w:tc>
      </w:tr>
      <w:tr w:rsidR="009A067E" w:rsidRPr="00535DEB" w14:paraId="647F5CDB" w14:textId="3FFEF587"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11D50F86" w14:textId="6186DBFA" w:rsidR="009674B9" w:rsidRPr="00535DEB" w:rsidRDefault="009674B9" w:rsidP="007D751C">
            <w:pPr>
              <w:spacing w:after="0" w:line="276" w:lineRule="auto"/>
              <w:jc w:val="left"/>
              <w:rPr>
                <w:b/>
                <w:noProof/>
                <w:szCs w:val="24"/>
              </w:rPr>
            </w:pPr>
            <w:r w:rsidRPr="00535DEB">
              <w:rPr>
                <w:b/>
                <w:noProof/>
              </w:rPr>
              <w:t>Total de l’UE</w:t>
            </w:r>
          </w:p>
        </w:tc>
        <w:tc>
          <w:tcPr>
            <w:tcW w:w="1276" w:type="dxa"/>
            <w:tcBorders>
              <w:top w:val="nil"/>
              <w:left w:val="nil"/>
              <w:bottom w:val="single" w:sz="4" w:space="0" w:color="auto"/>
              <w:right w:val="single" w:sz="4" w:space="0" w:color="auto"/>
            </w:tcBorders>
            <w:noWrap/>
            <w:vAlign w:val="center"/>
            <w:hideMark/>
          </w:tcPr>
          <w:p w14:paraId="35C13802" w14:textId="47CFE933" w:rsidR="009674B9" w:rsidRPr="00535DEB" w:rsidRDefault="002D43C9" w:rsidP="007D751C">
            <w:pPr>
              <w:spacing w:after="0" w:line="276" w:lineRule="auto"/>
              <w:jc w:val="center"/>
              <w:rPr>
                <w:b/>
                <w:noProof/>
                <w:color w:val="000000"/>
                <w:szCs w:val="24"/>
              </w:rPr>
            </w:pPr>
            <w:r w:rsidRPr="00535DEB">
              <w:rPr>
                <w:b/>
                <w:noProof/>
                <w:color w:val="000000"/>
              </w:rPr>
              <w:t>21,0</w:t>
            </w:r>
          </w:p>
        </w:tc>
        <w:tc>
          <w:tcPr>
            <w:tcW w:w="1276" w:type="dxa"/>
            <w:tcBorders>
              <w:top w:val="nil"/>
              <w:left w:val="nil"/>
              <w:bottom w:val="single" w:sz="4" w:space="0" w:color="auto"/>
              <w:right w:val="single" w:sz="4" w:space="0" w:color="auto"/>
            </w:tcBorders>
            <w:noWrap/>
            <w:vAlign w:val="center"/>
            <w:hideMark/>
          </w:tcPr>
          <w:p w14:paraId="508E84A2" w14:textId="321C7A7F" w:rsidR="009674B9" w:rsidRPr="00535DEB" w:rsidRDefault="009674B9" w:rsidP="007D751C">
            <w:pPr>
              <w:spacing w:after="0" w:line="276" w:lineRule="auto"/>
              <w:jc w:val="center"/>
              <w:rPr>
                <w:b/>
                <w:noProof/>
                <w:color w:val="000000"/>
                <w:szCs w:val="24"/>
              </w:rPr>
            </w:pPr>
            <w:r w:rsidRPr="00535DEB">
              <w:rPr>
                <w:b/>
                <w:noProof/>
                <w:color w:val="000000"/>
              </w:rPr>
              <w:t>144,7</w:t>
            </w:r>
          </w:p>
        </w:tc>
        <w:tc>
          <w:tcPr>
            <w:tcW w:w="1128" w:type="dxa"/>
            <w:tcBorders>
              <w:top w:val="nil"/>
              <w:left w:val="nil"/>
              <w:bottom w:val="single" w:sz="4" w:space="0" w:color="auto"/>
              <w:right w:val="single" w:sz="4" w:space="0" w:color="auto"/>
            </w:tcBorders>
            <w:noWrap/>
            <w:vAlign w:val="center"/>
            <w:hideMark/>
          </w:tcPr>
          <w:p w14:paraId="068327E0" w14:textId="57048CBE" w:rsidR="009674B9" w:rsidRPr="00535DEB" w:rsidRDefault="004C109E" w:rsidP="007D751C">
            <w:pPr>
              <w:spacing w:after="0" w:line="276" w:lineRule="auto"/>
              <w:jc w:val="center"/>
              <w:rPr>
                <w:b/>
                <w:noProof/>
                <w:szCs w:val="24"/>
              </w:rPr>
            </w:pPr>
            <w:r w:rsidRPr="00535DEB">
              <w:rPr>
                <w:b/>
                <w:noProof/>
              </w:rPr>
              <w:t>822</w:t>
            </w:r>
          </w:p>
        </w:tc>
        <w:tc>
          <w:tcPr>
            <w:tcW w:w="1853" w:type="dxa"/>
            <w:tcBorders>
              <w:top w:val="single" w:sz="4" w:space="0" w:color="auto"/>
              <w:left w:val="single" w:sz="4" w:space="0" w:color="auto"/>
              <w:bottom w:val="single" w:sz="4" w:space="0" w:color="auto"/>
              <w:right w:val="single" w:sz="4" w:space="0" w:color="auto"/>
            </w:tcBorders>
            <w:vAlign w:val="center"/>
          </w:tcPr>
          <w:p w14:paraId="287DF79B" w14:textId="06C72729" w:rsidR="009674B9" w:rsidRPr="00535DEB" w:rsidRDefault="009674B9" w:rsidP="007D751C">
            <w:pPr>
              <w:spacing w:after="0" w:line="276" w:lineRule="auto"/>
              <w:jc w:val="center"/>
              <w:rPr>
                <w:rFonts w:eastAsia="Calibri"/>
                <w:b/>
                <w:iCs/>
                <w:noProof/>
                <w:szCs w:val="24"/>
              </w:rPr>
            </w:pPr>
            <w:r w:rsidRPr="00535DEB">
              <w:rPr>
                <w:b/>
                <w:noProof/>
              </w:rPr>
              <w:t>100,0</w:t>
            </w:r>
          </w:p>
        </w:tc>
      </w:tr>
      <w:tr w:rsidR="009A067E" w:rsidRPr="00535DEB" w14:paraId="65CAEEA1" w14:textId="78C270EB"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051A1F0B" w14:textId="26EE0153" w:rsidR="009674B9" w:rsidRPr="00535DEB" w:rsidRDefault="009674B9" w:rsidP="007D751C">
            <w:pPr>
              <w:spacing w:after="0" w:line="276" w:lineRule="auto"/>
              <w:jc w:val="left"/>
              <w:rPr>
                <w:noProof/>
                <w:szCs w:val="24"/>
              </w:rPr>
            </w:pPr>
            <w:r w:rsidRPr="00535DEB">
              <w:rPr>
                <w:noProof/>
              </w:rPr>
              <w:t xml:space="preserve">Fonds de la politique de cohésion </w:t>
            </w:r>
          </w:p>
        </w:tc>
        <w:tc>
          <w:tcPr>
            <w:tcW w:w="1276" w:type="dxa"/>
            <w:tcBorders>
              <w:top w:val="nil"/>
              <w:left w:val="nil"/>
              <w:bottom w:val="single" w:sz="4" w:space="0" w:color="auto"/>
              <w:right w:val="single" w:sz="4" w:space="0" w:color="auto"/>
            </w:tcBorders>
            <w:noWrap/>
            <w:vAlign w:val="center"/>
            <w:hideMark/>
          </w:tcPr>
          <w:p w14:paraId="5625A889" w14:textId="3DF16B48" w:rsidR="009674B9" w:rsidRPr="00535DEB" w:rsidRDefault="009674B9" w:rsidP="007D751C">
            <w:pPr>
              <w:spacing w:after="0" w:line="276" w:lineRule="auto"/>
              <w:jc w:val="center"/>
              <w:rPr>
                <w:noProof/>
                <w:color w:val="000000"/>
                <w:szCs w:val="24"/>
              </w:rPr>
            </w:pPr>
            <w:r w:rsidRPr="00535DEB">
              <w:rPr>
                <w:noProof/>
                <w:color w:val="000000"/>
              </w:rPr>
              <w:t>17,8</w:t>
            </w:r>
          </w:p>
        </w:tc>
        <w:tc>
          <w:tcPr>
            <w:tcW w:w="1276" w:type="dxa"/>
            <w:tcBorders>
              <w:top w:val="nil"/>
              <w:left w:val="nil"/>
              <w:bottom w:val="single" w:sz="4" w:space="0" w:color="auto"/>
              <w:right w:val="single" w:sz="4" w:space="0" w:color="auto"/>
            </w:tcBorders>
            <w:noWrap/>
            <w:vAlign w:val="center"/>
            <w:hideMark/>
          </w:tcPr>
          <w:p w14:paraId="7DBF6ACE" w14:textId="7B23E652" w:rsidR="009674B9" w:rsidRPr="00535DEB" w:rsidRDefault="009674B9" w:rsidP="007D751C">
            <w:pPr>
              <w:spacing w:after="0" w:line="276" w:lineRule="auto"/>
              <w:jc w:val="center"/>
              <w:rPr>
                <w:noProof/>
                <w:color w:val="000000"/>
                <w:szCs w:val="24"/>
              </w:rPr>
            </w:pPr>
            <w:r w:rsidRPr="00535DEB">
              <w:rPr>
                <w:noProof/>
                <w:color w:val="000000" w:themeColor="text1"/>
              </w:rPr>
              <w:t>29,0</w:t>
            </w:r>
          </w:p>
        </w:tc>
        <w:tc>
          <w:tcPr>
            <w:tcW w:w="1128" w:type="dxa"/>
            <w:tcBorders>
              <w:top w:val="nil"/>
              <w:left w:val="nil"/>
              <w:bottom w:val="single" w:sz="4" w:space="0" w:color="auto"/>
              <w:right w:val="single" w:sz="4" w:space="0" w:color="auto"/>
            </w:tcBorders>
            <w:noWrap/>
            <w:vAlign w:val="center"/>
            <w:hideMark/>
          </w:tcPr>
          <w:p w14:paraId="33715547" w14:textId="02052A8F" w:rsidR="009674B9" w:rsidRPr="00535DEB" w:rsidRDefault="009674B9" w:rsidP="007D751C">
            <w:pPr>
              <w:spacing w:after="0" w:line="276" w:lineRule="auto"/>
              <w:jc w:val="center"/>
              <w:rPr>
                <w:noProof/>
                <w:szCs w:val="24"/>
              </w:rPr>
            </w:pPr>
            <w:r w:rsidRPr="00535DEB">
              <w:rPr>
                <w:noProof/>
              </w:rPr>
              <w:t>132</w:t>
            </w:r>
          </w:p>
        </w:tc>
        <w:tc>
          <w:tcPr>
            <w:tcW w:w="1853" w:type="dxa"/>
            <w:tcBorders>
              <w:top w:val="single" w:sz="4" w:space="0" w:color="auto"/>
              <w:left w:val="single" w:sz="4" w:space="0" w:color="auto"/>
              <w:bottom w:val="single" w:sz="4" w:space="0" w:color="auto"/>
              <w:right w:val="single" w:sz="4" w:space="0" w:color="auto"/>
            </w:tcBorders>
            <w:vAlign w:val="center"/>
          </w:tcPr>
          <w:p w14:paraId="21372C17" w14:textId="79FEA7C2" w:rsidR="009674B9" w:rsidRPr="00535DEB" w:rsidRDefault="002D43C9" w:rsidP="007D751C">
            <w:pPr>
              <w:spacing w:after="0" w:line="276" w:lineRule="auto"/>
              <w:jc w:val="center"/>
              <w:rPr>
                <w:rFonts w:eastAsia="Calibri"/>
                <w:iCs/>
                <w:noProof/>
                <w:szCs w:val="24"/>
              </w:rPr>
            </w:pPr>
            <w:r w:rsidRPr="00535DEB">
              <w:rPr>
                <w:noProof/>
              </w:rPr>
              <w:t>20,6</w:t>
            </w:r>
          </w:p>
        </w:tc>
      </w:tr>
      <w:tr w:rsidR="009A067E" w:rsidRPr="00535DEB" w14:paraId="09D9A74E" w14:textId="4318E2BA"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353194BE" w14:textId="2877A043" w:rsidR="009674B9" w:rsidRPr="00535DEB" w:rsidRDefault="009674B9" w:rsidP="007D751C">
            <w:pPr>
              <w:spacing w:after="0" w:line="276" w:lineRule="auto"/>
              <w:jc w:val="left"/>
              <w:rPr>
                <w:noProof/>
                <w:szCs w:val="24"/>
              </w:rPr>
            </w:pPr>
            <w:r w:rsidRPr="00535DEB">
              <w:rPr>
                <w:noProof/>
              </w:rPr>
              <w:t>Fonds agricoles</w:t>
            </w:r>
          </w:p>
        </w:tc>
        <w:tc>
          <w:tcPr>
            <w:tcW w:w="1276" w:type="dxa"/>
            <w:tcBorders>
              <w:top w:val="nil"/>
              <w:left w:val="nil"/>
              <w:bottom w:val="single" w:sz="4" w:space="0" w:color="auto"/>
              <w:right w:val="single" w:sz="4" w:space="0" w:color="auto"/>
            </w:tcBorders>
            <w:noWrap/>
            <w:vAlign w:val="center"/>
            <w:hideMark/>
          </w:tcPr>
          <w:p w14:paraId="4A241956" w14:textId="5001C8EE" w:rsidR="009674B9" w:rsidRPr="00535DEB" w:rsidRDefault="009674B9" w:rsidP="007D751C">
            <w:pPr>
              <w:spacing w:after="0" w:line="276" w:lineRule="auto"/>
              <w:jc w:val="center"/>
              <w:rPr>
                <w:noProof/>
                <w:color w:val="000000"/>
                <w:szCs w:val="24"/>
              </w:rPr>
            </w:pPr>
            <w:r w:rsidRPr="00535DEB">
              <w:rPr>
                <w:noProof/>
                <w:color w:val="000000"/>
              </w:rPr>
              <w:t>0,7</w:t>
            </w:r>
          </w:p>
        </w:tc>
        <w:tc>
          <w:tcPr>
            <w:tcW w:w="1276" w:type="dxa"/>
            <w:tcBorders>
              <w:top w:val="nil"/>
              <w:left w:val="nil"/>
              <w:bottom w:val="single" w:sz="4" w:space="0" w:color="auto"/>
              <w:right w:val="single" w:sz="4" w:space="0" w:color="auto"/>
            </w:tcBorders>
            <w:noWrap/>
            <w:vAlign w:val="center"/>
            <w:hideMark/>
          </w:tcPr>
          <w:p w14:paraId="65ECC9B0" w14:textId="74B42A6A" w:rsidR="009674B9" w:rsidRPr="00535DEB" w:rsidRDefault="009674B9" w:rsidP="007D751C">
            <w:pPr>
              <w:spacing w:after="0" w:line="276" w:lineRule="auto"/>
              <w:jc w:val="center"/>
              <w:rPr>
                <w:noProof/>
                <w:color w:val="000000"/>
                <w:szCs w:val="24"/>
              </w:rPr>
            </w:pPr>
            <w:r w:rsidRPr="00535DEB">
              <w:rPr>
                <w:noProof/>
                <w:color w:val="000000"/>
              </w:rPr>
              <w:t>1,4</w:t>
            </w:r>
          </w:p>
        </w:tc>
        <w:tc>
          <w:tcPr>
            <w:tcW w:w="1128" w:type="dxa"/>
            <w:tcBorders>
              <w:top w:val="nil"/>
              <w:left w:val="nil"/>
              <w:bottom w:val="single" w:sz="4" w:space="0" w:color="auto"/>
              <w:right w:val="single" w:sz="4" w:space="0" w:color="auto"/>
            </w:tcBorders>
            <w:noWrap/>
            <w:vAlign w:val="center"/>
            <w:hideMark/>
          </w:tcPr>
          <w:p w14:paraId="48024FC9" w14:textId="0BFF573F" w:rsidR="009674B9" w:rsidRPr="00535DEB" w:rsidRDefault="009674B9" w:rsidP="007D751C">
            <w:pPr>
              <w:spacing w:after="0" w:line="276" w:lineRule="auto"/>
              <w:jc w:val="center"/>
              <w:rPr>
                <w:noProof/>
                <w:szCs w:val="24"/>
              </w:rPr>
            </w:pPr>
            <w:r w:rsidRPr="00535DEB">
              <w:rPr>
                <w:noProof/>
              </w:rPr>
              <w:t>100</w:t>
            </w:r>
          </w:p>
        </w:tc>
        <w:tc>
          <w:tcPr>
            <w:tcW w:w="1853" w:type="dxa"/>
            <w:tcBorders>
              <w:top w:val="single" w:sz="4" w:space="0" w:color="auto"/>
              <w:left w:val="single" w:sz="4" w:space="0" w:color="auto"/>
              <w:bottom w:val="single" w:sz="4" w:space="0" w:color="auto"/>
              <w:right w:val="single" w:sz="4" w:space="0" w:color="auto"/>
            </w:tcBorders>
            <w:vAlign w:val="center"/>
          </w:tcPr>
          <w:p w14:paraId="779BB402" w14:textId="198FD26F" w:rsidR="009674B9" w:rsidRPr="00535DEB" w:rsidRDefault="009674B9" w:rsidP="007D751C">
            <w:pPr>
              <w:spacing w:after="0" w:line="276" w:lineRule="auto"/>
              <w:jc w:val="center"/>
              <w:rPr>
                <w:rFonts w:eastAsia="Calibri"/>
                <w:iCs/>
                <w:noProof/>
                <w:szCs w:val="24"/>
              </w:rPr>
            </w:pPr>
            <w:r w:rsidRPr="00535DEB">
              <w:rPr>
                <w:noProof/>
              </w:rPr>
              <w:t>1,0</w:t>
            </w:r>
          </w:p>
        </w:tc>
      </w:tr>
      <w:tr w:rsidR="009A067E" w:rsidRPr="00535DEB" w14:paraId="29938C17" w14:textId="1C2446B3"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7DF40B83" w14:textId="21633761" w:rsidR="009674B9" w:rsidRPr="00535DEB" w:rsidRDefault="009674B9" w:rsidP="007D751C">
            <w:pPr>
              <w:spacing w:after="0" w:line="276" w:lineRule="auto"/>
              <w:jc w:val="left"/>
              <w:rPr>
                <w:noProof/>
                <w:szCs w:val="24"/>
              </w:rPr>
            </w:pPr>
            <w:r w:rsidRPr="00535DEB">
              <w:rPr>
                <w:noProof/>
              </w:rPr>
              <w:t xml:space="preserve">EFSI/InvestEU </w:t>
            </w:r>
          </w:p>
        </w:tc>
        <w:tc>
          <w:tcPr>
            <w:tcW w:w="1276" w:type="dxa"/>
            <w:tcBorders>
              <w:top w:val="nil"/>
              <w:left w:val="nil"/>
              <w:bottom w:val="single" w:sz="4" w:space="0" w:color="auto"/>
              <w:right w:val="single" w:sz="4" w:space="0" w:color="auto"/>
            </w:tcBorders>
            <w:noWrap/>
            <w:vAlign w:val="center"/>
            <w:hideMark/>
          </w:tcPr>
          <w:p w14:paraId="166A98ED" w14:textId="31589B09" w:rsidR="009674B9" w:rsidRPr="00535DEB" w:rsidRDefault="009674B9" w:rsidP="007D751C">
            <w:pPr>
              <w:spacing w:after="0" w:line="276" w:lineRule="auto"/>
              <w:jc w:val="center"/>
              <w:rPr>
                <w:noProof/>
                <w:color w:val="000000"/>
                <w:szCs w:val="24"/>
              </w:rPr>
            </w:pPr>
            <w:r w:rsidRPr="00535DEB">
              <w:rPr>
                <w:noProof/>
                <w:color w:val="000000"/>
              </w:rPr>
              <w:t>1,6</w:t>
            </w:r>
          </w:p>
        </w:tc>
        <w:tc>
          <w:tcPr>
            <w:tcW w:w="1276" w:type="dxa"/>
            <w:tcBorders>
              <w:top w:val="nil"/>
              <w:left w:val="nil"/>
              <w:bottom w:val="single" w:sz="4" w:space="0" w:color="auto"/>
              <w:right w:val="single" w:sz="4" w:space="0" w:color="auto"/>
            </w:tcBorders>
            <w:noWrap/>
            <w:vAlign w:val="center"/>
            <w:hideMark/>
          </w:tcPr>
          <w:p w14:paraId="12798B26" w14:textId="1DBC095D" w:rsidR="009674B9" w:rsidRPr="00535DEB" w:rsidRDefault="009674B9" w:rsidP="007D751C">
            <w:pPr>
              <w:spacing w:after="0" w:line="276" w:lineRule="auto"/>
              <w:jc w:val="center"/>
              <w:rPr>
                <w:noProof/>
                <w:color w:val="000000"/>
                <w:szCs w:val="24"/>
              </w:rPr>
            </w:pPr>
            <w:r w:rsidRPr="00535DEB">
              <w:rPr>
                <w:noProof/>
                <w:color w:val="000000"/>
              </w:rPr>
              <w:t>1,6</w:t>
            </w:r>
          </w:p>
        </w:tc>
        <w:tc>
          <w:tcPr>
            <w:tcW w:w="1128" w:type="dxa"/>
            <w:tcBorders>
              <w:top w:val="nil"/>
              <w:left w:val="nil"/>
              <w:bottom w:val="single" w:sz="4" w:space="0" w:color="auto"/>
              <w:right w:val="single" w:sz="4" w:space="0" w:color="auto"/>
            </w:tcBorders>
            <w:noWrap/>
            <w:vAlign w:val="center"/>
            <w:hideMark/>
          </w:tcPr>
          <w:p w14:paraId="5BDBFC7B" w14:textId="3AFDFC64" w:rsidR="009674B9" w:rsidRPr="00535DEB" w:rsidRDefault="009674B9" w:rsidP="007D751C">
            <w:pPr>
              <w:spacing w:after="0" w:line="276" w:lineRule="auto"/>
              <w:jc w:val="center"/>
              <w:rPr>
                <w:noProof/>
                <w:szCs w:val="24"/>
              </w:rPr>
            </w:pPr>
            <w:r w:rsidRPr="00535DEB">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260EC87C" w14:textId="3C6688BC" w:rsidR="009674B9" w:rsidRPr="00535DEB" w:rsidRDefault="009674B9" w:rsidP="007D751C">
            <w:pPr>
              <w:spacing w:after="0" w:line="276" w:lineRule="auto"/>
              <w:jc w:val="center"/>
              <w:rPr>
                <w:rFonts w:eastAsia="Calibri"/>
                <w:iCs/>
                <w:noProof/>
                <w:szCs w:val="24"/>
              </w:rPr>
            </w:pPr>
            <w:r w:rsidRPr="00535DEB">
              <w:rPr>
                <w:noProof/>
              </w:rPr>
              <w:t>1,1</w:t>
            </w:r>
          </w:p>
        </w:tc>
      </w:tr>
      <w:tr w:rsidR="009A067E" w:rsidRPr="00535DEB" w14:paraId="0E300668" w14:textId="0A145A75"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1C722281" w14:textId="10A4A275" w:rsidR="009674B9" w:rsidRPr="00535DEB" w:rsidRDefault="009674B9" w:rsidP="007D751C">
            <w:pPr>
              <w:spacing w:after="0" w:line="276" w:lineRule="auto"/>
              <w:jc w:val="left"/>
              <w:rPr>
                <w:noProof/>
                <w:szCs w:val="24"/>
              </w:rPr>
            </w:pPr>
            <w:r w:rsidRPr="00535DEB">
              <w:rPr>
                <w:noProof/>
              </w:rPr>
              <w:t xml:space="preserve">Programmes spécifiques en matière d’efficacité énergétique (LIFE TEP, ELENA, Horizon Europe) </w:t>
            </w:r>
          </w:p>
        </w:tc>
        <w:tc>
          <w:tcPr>
            <w:tcW w:w="1276" w:type="dxa"/>
            <w:tcBorders>
              <w:top w:val="nil"/>
              <w:left w:val="nil"/>
              <w:bottom w:val="single" w:sz="4" w:space="0" w:color="auto"/>
              <w:right w:val="single" w:sz="4" w:space="0" w:color="auto"/>
            </w:tcBorders>
            <w:noWrap/>
            <w:vAlign w:val="center"/>
            <w:hideMark/>
          </w:tcPr>
          <w:p w14:paraId="61A261AA" w14:textId="611489FE" w:rsidR="009674B9" w:rsidRPr="00535DEB" w:rsidRDefault="009674B9" w:rsidP="007D751C">
            <w:pPr>
              <w:spacing w:after="0" w:line="276" w:lineRule="auto"/>
              <w:jc w:val="center"/>
              <w:rPr>
                <w:noProof/>
                <w:color w:val="000000"/>
                <w:szCs w:val="24"/>
              </w:rPr>
            </w:pPr>
            <w:r w:rsidRPr="00535DEB">
              <w:rPr>
                <w:noProof/>
                <w:color w:val="000000" w:themeColor="text1"/>
              </w:rPr>
              <w:t>0,9</w:t>
            </w:r>
          </w:p>
        </w:tc>
        <w:tc>
          <w:tcPr>
            <w:tcW w:w="1276" w:type="dxa"/>
            <w:tcBorders>
              <w:top w:val="nil"/>
              <w:left w:val="nil"/>
              <w:bottom w:val="single" w:sz="4" w:space="0" w:color="auto"/>
              <w:right w:val="single" w:sz="4" w:space="0" w:color="auto"/>
            </w:tcBorders>
            <w:noWrap/>
            <w:vAlign w:val="center"/>
            <w:hideMark/>
          </w:tcPr>
          <w:p w14:paraId="2D899671" w14:textId="49709134" w:rsidR="009674B9" w:rsidRPr="00535DEB" w:rsidRDefault="004553A8" w:rsidP="007D751C">
            <w:pPr>
              <w:spacing w:after="0" w:line="276" w:lineRule="auto"/>
              <w:jc w:val="center"/>
              <w:rPr>
                <w:noProof/>
                <w:color w:val="000000"/>
                <w:szCs w:val="24"/>
              </w:rPr>
            </w:pPr>
            <w:r w:rsidRPr="00535DEB">
              <w:rPr>
                <w:noProof/>
                <w:color w:val="000000"/>
              </w:rPr>
              <w:t>2,0</w:t>
            </w:r>
          </w:p>
        </w:tc>
        <w:tc>
          <w:tcPr>
            <w:tcW w:w="1128" w:type="dxa"/>
            <w:tcBorders>
              <w:top w:val="nil"/>
              <w:left w:val="nil"/>
              <w:bottom w:val="single" w:sz="4" w:space="0" w:color="auto"/>
              <w:right w:val="single" w:sz="4" w:space="0" w:color="auto"/>
            </w:tcBorders>
            <w:noWrap/>
            <w:vAlign w:val="center"/>
            <w:hideMark/>
          </w:tcPr>
          <w:p w14:paraId="125D452B" w14:textId="460534A8" w:rsidR="009674B9" w:rsidRPr="00535DEB" w:rsidRDefault="004553A8" w:rsidP="007D751C">
            <w:pPr>
              <w:spacing w:after="0" w:line="276" w:lineRule="auto"/>
              <w:jc w:val="center"/>
              <w:rPr>
                <w:noProof/>
                <w:szCs w:val="24"/>
              </w:rPr>
            </w:pPr>
            <w:r w:rsidRPr="00535DEB">
              <w:rPr>
                <w:noProof/>
              </w:rPr>
              <w:t>122</w:t>
            </w:r>
          </w:p>
        </w:tc>
        <w:tc>
          <w:tcPr>
            <w:tcW w:w="1853" w:type="dxa"/>
            <w:tcBorders>
              <w:top w:val="single" w:sz="4" w:space="0" w:color="auto"/>
              <w:left w:val="single" w:sz="4" w:space="0" w:color="auto"/>
              <w:bottom w:val="single" w:sz="4" w:space="0" w:color="auto"/>
              <w:right w:val="single" w:sz="4" w:space="0" w:color="auto"/>
            </w:tcBorders>
            <w:vAlign w:val="center"/>
          </w:tcPr>
          <w:p w14:paraId="787305B1" w14:textId="10D28923" w:rsidR="009674B9" w:rsidRPr="00535DEB" w:rsidRDefault="009674B9" w:rsidP="007D751C">
            <w:pPr>
              <w:spacing w:after="0" w:line="276" w:lineRule="auto"/>
              <w:jc w:val="center"/>
              <w:rPr>
                <w:rFonts w:eastAsia="Calibri"/>
                <w:iCs/>
                <w:noProof/>
                <w:szCs w:val="24"/>
              </w:rPr>
            </w:pPr>
            <w:r w:rsidRPr="00535DEB">
              <w:rPr>
                <w:noProof/>
              </w:rPr>
              <w:t>1,4</w:t>
            </w:r>
          </w:p>
        </w:tc>
      </w:tr>
      <w:tr w:rsidR="009A067E" w:rsidRPr="00535DEB" w14:paraId="41727B2B" w14:textId="77777777"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tcPr>
          <w:p w14:paraId="4E69DFF8" w14:textId="3783EC93" w:rsidR="009674B9" w:rsidRPr="00535DEB" w:rsidRDefault="009674B9" w:rsidP="007D751C">
            <w:pPr>
              <w:spacing w:after="0" w:line="276" w:lineRule="auto"/>
              <w:jc w:val="left"/>
              <w:rPr>
                <w:noProof/>
                <w:szCs w:val="24"/>
              </w:rPr>
            </w:pPr>
            <w:r w:rsidRPr="00535DEB">
              <w:rPr>
                <w:noProof/>
              </w:rPr>
              <w:t>Fonds pour la modernisation</w:t>
            </w:r>
          </w:p>
        </w:tc>
        <w:tc>
          <w:tcPr>
            <w:tcW w:w="1276" w:type="dxa"/>
            <w:tcBorders>
              <w:top w:val="nil"/>
              <w:left w:val="nil"/>
              <w:bottom w:val="single" w:sz="4" w:space="0" w:color="auto"/>
              <w:right w:val="single" w:sz="4" w:space="0" w:color="auto"/>
            </w:tcBorders>
            <w:noWrap/>
            <w:vAlign w:val="center"/>
          </w:tcPr>
          <w:p w14:paraId="4EC2116C" w14:textId="6148E57C" w:rsidR="009674B9" w:rsidRPr="00535DEB" w:rsidRDefault="009674B9" w:rsidP="007D751C">
            <w:pPr>
              <w:spacing w:after="0" w:line="276" w:lineRule="auto"/>
              <w:jc w:val="center"/>
              <w:rPr>
                <w:noProof/>
                <w:color w:val="000000" w:themeColor="text1"/>
                <w:szCs w:val="24"/>
              </w:rPr>
            </w:pPr>
            <w:r w:rsidRPr="00535DEB">
              <w:rPr>
                <w:noProof/>
                <w:color w:val="000000" w:themeColor="text1"/>
              </w:rPr>
              <w:t>-</w:t>
            </w:r>
          </w:p>
        </w:tc>
        <w:tc>
          <w:tcPr>
            <w:tcW w:w="1276" w:type="dxa"/>
            <w:tcBorders>
              <w:top w:val="nil"/>
              <w:left w:val="nil"/>
              <w:bottom w:val="single" w:sz="4" w:space="0" w:color="auto"/>
              <w:right w:val="single" w:sz="4" w:space="0" w:color="auto"/>
            </w:tcBorders>
            <w:noWrap/>
            <w:vAlign w:val="center"/>
          </w:tcPr>
          <w:p w14:paraId="06233E65" w14:textId="4770529B" w:rsidR="009674B9" w:rsidRPr="00535DEB" w:rsidRDefault="009674B9" w:rsidP="007D751C">
            <w:pPr>
              <w:spacing w:after="0" w:line="276" w:lineRule="auto"/>
              <w:jc w:val="center"/>
              <w:rPr>
                <w:noProof/>
                <w:color w:val="000000"/>
                <w:szCs w:val="24"/>
              </w:rPr>
            </w:pPr>
            <w:r w:rsidRPr="00535DEB">
              <w:rPr>
                <w:noProof/>
                <w:color w:val="000000" w:themeColor="text1"/>
              </w:rPr>
              <w:t>6,8</w:t>
            </w:r>
          </w:p>
        </w:tc>
        <w:tc>
          <w:tcPr>
            <w:tcW w:w="1128" w:type="dxa"/>
            <w:tcBorders>
              <w:top w:val="nil"/>
              <w:left w:val="nil"/>
              <w:bottom w:val="single" w:sz="4" w:space="0" w:color="auto"/>
              <w:right w:val="single" w:sz="4" w:space="0" w:color="auto"/>
            </w:tcBorders>
            <w:noWrap/>
            <w:vAlign w:val="center"/>
          </w:tcPr>
          <w:p w14:paraId="111D5A39" w14:textId="23B6B128" w:rsidR="009674B9" w:rsidRPr="00535DEB" w:rsidRDefault="009674B9" w:rsidP="007D751C">
            <w:pPr>
              <w:spacing w:after="0" w:line="276" w:lineRule="auto"/>
              <w:jc w:val="center"/>
              <w:rPr>
                <w:noProof/>
                <w:szCs w:val="24"/>
              </w:rPr>
            </w:pPr>
            <w:r w:rsidRPr="00535DEB">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5ADBE87A" w14:textId="4F201652" w:rsidR="009674B9" w:rsidRPr="00535DEB" w:rsidRDefault="009674B9" w:rsidP="007D751C">
            <w:pPr>
              <w:spacing w:after="0" w:line="276" w:lineRule="auto"/>
              <w:jc w:val="center"/>
              <w:rPr>
                <w:rFonts w:eastAsia="Calibri"/>
                <w:iCs/>
                <w:noProof/>
                <w:szCs w:val="24"/>
              </w:rPr>
            </w:pPr>
            <w:r w:rsidRPr="00535DEB">
              <w:rPr>
                <w:noProof/>
              </w:rPr>
              <w:t>4,8</w:t>
            </w:r>
          </w:p>
        </w:tc>
      </w:tr>
      <w:tr w:rsidR="009A067E" w:rsidRPr="00535DEB" w14:paraId="3F75D435" w14:textId="2343A60F"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63728963" w14:textId="489DD4DF" w:rsidR="009674B9" w:rsidRPr="00535DEB" w:rsidRDefault="009674B9" w:rsidP="007D751C">
            <w:pPr>
              <w:spacing w:after="0" w:line="276" w:lineRule="auto"/>
              <w:jc w:val="left"/>
              <w:rPr>
                <w:bCs/>
                <w:noProof/>
                <w:szCs w:val="24"/>
              </w:rPr>
            </w:pPr>
            <w:r w:rsidRPr="00535DEB">
              <w:rPr>
                <w:noProof/>
              </w:rPr>
              <w:t>FRR</w:t>
            </w:r>
          </w:p>
        </w:tc>
        <w:tc>
          <w:tcPr>
            <w:tcW w:w="1276" w:type="dxa"/>
            <w:tcBorders>
              <w:top w:val="nil"/>
              <w:left w:val="nil"/>
              <w:bottom w:val="single" w:sz="4" w:space="0" w:color="auto"/>
              <w:right w:val="single" w:sz="4" w:space="0" w:color="auto"/>
            </w:tcBorders>
            <w:noWrap/>
            <w:vAlign w:val="center"/>
            <w:hideMark/>
          </w:tcPr>
          <w:p w14:paraId="3C0D915A" w14:textId="4C487A74" w:rsidR="009674B9" w:rsidRPr="00535DEB" w:rsidRDefault="009674B9" w:rsidP="007D751C">
            <w:pPr>
              <w:spacing w:after="0" w:line="276" w:lineRule="auto"/>
              <w:jc w:val="center"/>
              <w:rPr>
                <w:bCs/>
                <w:noProof/>
                <w:color w:val="000000"/>
                <w:szCs w:val="24"/>
              </w:rPr>
            </w:pPr>
            <w:r w:rsidRPr="00535DEB">
              <w:rPr>
                <w:noProof/>
                <w:color w:val="000000"/>
              </w:rPr>
              <w:t>-</w:t>
            </w:r>
          </w:p>
        </w:tc>
        <w:tc>
          <w:tcPr>
            <w:tcW w:w="1276" w:type="dxa"/>
            <w:tcBorders>
              <w:top w:val="nil"/>
              <w:left w:val="nil"/>
              <w:bottom w:val="single" w:sz="4" w:space="0" w:color="auto"/>
              <w:right w:val="single" w:sz="4" w:space="0" w:color="auto"/>
            </w:tcBorders>
            <w:noWrap/>
            <w:vAlign w:val="center"/>
            <w:hideMark/>
          </w:tcPr>
          <w:p w14:paraId="6F8E033B" w14:textId="1352B09B" w:rsidR="009674B9" w:rsidRPr="00535DEB" w:rsidRDefault="009674B9" w:rsidP="007D751C">
            <w:pPr>
              <w:spacing w:after="0" w:line="276" w:lineRule="auto"/>
              <w:jc w:val="center"/>
              <w:rPr>
                <w:bCs/>
                <w:noProof/>
                <w:color w:val="000000"/>
                <w:szCs w:val="24"/>
              </w:rPr>
            </w:pPr>
            <w:r w:rsidRPr="00535DEB">
              <w:rPr>
                <w:noProof/>
                <w:color w:val="000000" w:themeColor="text1"/>
              </w:rPr>
              <w:t>103,9</w:t>
            </w:r>
            <w:r w:rsidRPr="00535DEB">
              <w:rPr>
                <w:rStyle w:val="FootnoteReference"/>
                <w:noProof/>
                <w:color w:val="000000" w:themeColor="text1"/>
                <w:szCs w:val="24"/>
                <w:lang w:eastAsia="en-IE"/>
              </w:rPr>
              <w:footnoteReference w:id="9"/>
            </w:r>
            <w:r w:rsidRPr="00535DEB">
              <w:rPr>
                <w:noProof/>
                <w:color w:val="000000" w:themeColor="text1"/>
              </w:rPr>
              <w:t> </w:t>
            </w:r>
          </w:p>
        </w:tc>
        <w:tc>
          <w:tcPr>
            <w:tcW w:w="1128" w:type="dxa"/>
            <w:tcBorders>
              <w:top w:val="nil"/>
              <w:left w:val="nil"/>
              <w:bottom w:val="single" w:sz="4" w:space="0" w:color="auto"/>
              <w:right w:val="single" w:sz="4" w:space="0" w:color="auto"/>
            </w:tcBorders>
            <w:noWrap/>
            <w:vAlign w:val="center"/>
            <w:hideMark/>
          </w:tcPr>
          <w:p w14:paraId="361EF0F6" w14:textId="5B46B496" w:rsidR="009674B9" w:rsidRPr="00535DEB" w:rsidRDefault="009674B9" w:rsidP="007D751C">
            <w:pPr>
              <w:spacing w:after="0" w:line="276" w:lineRule="auto"/>
              <w:jc w:val="center"/>
              <w:rPr>
                <w:bCs/>
                <w:noProof/>
                <w:szCs w:val="24"/>
              </w:rPr>
            </w:pPr>
            <w:r w:rsidRPr="00535DEB">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6D7112DE" w14:textId="41357805" w:rsidR="009674B9" w:rsidRPr="00535DEB" w:rsidRDefault="009674B9" w:rsidP="007D751C">
            <w:pPr>
              <w:spacing w:after="0" w:line="276" w:lineRule="auto"/>
              <w:jc w:val="center"/>
              <w:rPr>
                <w:rFonts w:eastAsia="Calibri"/>
                <w:bCs/>
                <w:iCs/>
                <w:noProof/>
                <w:szCs w:val="24"/>
              </w:rPr>
            </w:pPr>
            <w:r w:rsidRPr="00535DEB">
              <w:rPr>
                <w:noProof/>
              </w:rPr>
              <w:t>73,8</w:t>
            </w:r>
          </w:p>
        </w:tc>
      </w:tr>
      <w:tr w:rsidR="009A067E" w:rsidRPr="00535DEB" w14:paraId="34C15321" w14:textId="77777777"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tcPr>
          <w:p w14:paraId="21F1684B" w14:textId="4D6D95CB" w:rsidR="009674B9" w:rsidRPr="00535DEB" w:rsidRDefault="009674B9" w:rsidP="007D751C">
            <w:pPr>
              <w:spacing w:after="0" w:line="276" w:lineRule="auto"/>
              <w:jc w:val="right"/>
              <w:rPr>
                <w:i/>
                <w:iCs/>
                <w:noProof/>
                <w:szCs w:val="24"/>
              </w:rPr>
            </w:pPr>
            <w:r w:rsidRPr="00535DEB">
              <w:rPr>
                <w:i/>
                <w:noProof/>
              </w:rPr>
              <w:t>FRR pour les bâtiments</w:t>
            </w:r>
          </w:p>
        </w:tc>
        <w:tc>
          <w:tcPr>
            <w:tcW w:w="1276" w:type="dxa"/>
            <w:tcBorders>
              <w:top w:val="nil"/>
              <w:left w:val="nil"/>
              <w:bottom w:val="single" w:sz="4" w:space="0" w:color="auto"/>
              <w:right w:val="single" w:sz="4" w:space="0" w:color="auto"/>
            </w:tcBorders>
            <w:noWrap/>
            <w:vAlign w:val="center"/>
          </w:tcPr>
          <w:p w14:paraId="453AC8AE" w14:textId="70A1E371" w:rsidR="009674B9" w:rsidRPr="00535DEB" w:rsidRDefault="009674B9" w:rsidP="007D751C">
            <w:pPr>
              <w:spacing w:after="0" w:line="276" w:lineRule="auto"/>
              <w:jc w:val="center"/>
              <w:rPr>
                <w:noProof/>
                <w:color w:val="000000"/>
                <w:szCs w:val="24"/>
              </w:rPr>
            </w:pPr>
            <w:r w:rsidRPr="00535DEB">
              <w:rPr>
                <w:noProof/>
                <w:color w:val="000000"/>
              </w:rPr>
              <w:t>-</w:t>
            </w:r>
          </w:p>
        </w:tc>
        <w:tc>
          <w:tcPr>
            <w:tcW w:w="1276" w:type="dxa"/>
            <w:tcBorders>
              <w:top w:val="nil"/>
              <w:left w:val="nil"/>
              <w:bottom w:val="single" w:sz="4" w:space="0" w:color="auto"/>
              <w:right w:val="single" w:sz="4" w:space="0" w:color="auto"/>
            </w:tcBorders>
            <w:noWrap/>
            <w:vAlign w:val="center"/>
          </w:tcPr>
          <w:p w14:paraId="7B31A754" w14:textId="54BBA0E9" w:rsidR="009674B9" w:rsidRPr="00535DEB" w:rsidRDefault="006B11DE" w:rsidP="007D751C">
            <w:pPr>
              <w:spacing w:after="0" w:line="276" w:lineRule="auto"/>
              <w:jc w:val="center"/>
              <w:rPr>
                <w:noProof/>
                <w:color w:val="000000" w:themeColor="text1"/>
                <w:szCs w:val="24"/>
              </w:rPr>
            </w:pPr>
            <w:r w:rsidRPr="00535DEB">
              <w:rPr>
                <w:noProof/>
                <w:color w:val="000000" w:themeColor="text1"/>
              </w:rPr>
              <w:t>79,4</w:t>
            </w:r>
            <w:r w:rsidRPr="00535DEB">
              <w:rPr>
                <w:rStyle w:val="FootnoteReference"/>
                <w:noProof/>
                <w:color w:val="000000" w:themeColor="text1"/>
                <w:szCs w:val="24"/>
                <w:lang w:eastAsia="en-IE"/>
              </w:rPr>
              <w:footnoteReference w:id="10"/>
            </w:r>
            <w:r w:rsidRPr="00535DEB">
              <w:rPr>
                <w:noProof/>
                <w:color w:val="000000" w:themeColor="text1"/>
              </w:rPr>
              <w:t> </w:t>
            </w:r>
          </w:p>
        </w:tc>
        <w:tc>
          <w:tcPr>
            <w:tcW w:w="1128" w:type="dxa"/>
            <w:tcBorders>
              <w:top w:val="nil"/>
              <w:left w:val="nil"/>
              <w:bottom w:val="single" w:sz="4" w:space="0" w:color="auto"/>
              <w:right w:val="single" w:sz="4" w:space="0" w:color="auto"/>
            </w:tcBorders>
            <w:noWrap/>
            <w:vAlign w:val="center"/>
          </w:tcPr>
          <w:p w14:paraId="3AED45D7" w14:textId="16D077F0" w:rsidR="009674B9" w:rsidRPr="00535DEB" w:rsidRDefault="009674B9" w:rsidP="007D751C">
            <w:pPr>
              <w:spacing w:after="0" w:line="276" w:lineRule="auto"/>
              <w:jc w:val="center"/>
              <w:rPr>
                <w:noProof/>
                <w:szCs w:val="24"/>
              </w:rPr>
            </w:pPr>
            <w:r w:rsidRPr="00535DEB">
              <w:rPr>
                <w:noProof/>
              </w:rPr>
              <w:t>-</w:t>
            </w:r>
          </w:p>
        </w:tc>
        <w:tc>
          <w:tcPr>
            <w:tcW w:w="1853" w:type="dxa"/>
            <w:tcBorders>
              <w:top w:val="single" w:sz="4" w:space="0" w:color="auto"/>
              <w:left w:val="single" w:sz="4" w:space="0" w:color="auto"/>
              <w:bottom w:val="single" w:sz="4" w:space="0" w:color="auto"/>
              <w:right w:val="single" w:sz="4" w:space="0" w:color="auto"/>
            </w:tcBorders>
            <w:vAlign w:val="center"/>
          </w:tcPr>
          <w:p w14:paraId="15107E13" w14:textId="69D0CC69" w:rsidR="009674B9" w:rsidRPr="00535DEB" w:rsidRDefault="009674B9" w:rsidP="007D751C">
            <w:pPr>
              <w:spacing w:after="0" w:line="276" w:lineRule="auto"/>
              <w:jc w:val="center"/>
              <w:rPr>
                <w:rFonts w:eastAsia="Calibri"/>
                <w:i/>
                <w:iCs/>
                <w:noProof/>
                <w:szCs w:val="24"/>
              </w:rPr>
            </w:pPr>
          </w:p>
        </w:tc>
      </w:tr>
      <w:tr w:rsidR="009A067E" w:rsidRPr="00535DEB" w14:paraId="4DE28E97" w14:textId="69228C2C"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265AC6DA" w14:textId="0E87B1FB" w:rsidR="009674B9" w:rsidRPr="00535DEB" w:rsidRDefault="009674B9" w:rsidP="007D751C">
            <w:pPr>
              <w:spacing w:after="0" w:line="276" w:lineRule="auto"/>
              <w:jc w:val="left"/>
              <w:rPr>
                <w:b/>
                <w:noProof/>
                <w:szCs w:val="24"/>
              </w:rPr>
            </w:pPr>
            <w:r w:rsidRPr="00535DEB">
              <w:rPr>
                <w:b/>
                <w:noProof/>
              </w:rPr>
              <w:t>Cofinancement total (fonds de cohésion + AGRI)</w:t>
            </w:r>
          </w:p>
        </w:tc>
        <w:tc>
          <w:tcPr>
            <w:tcW w:w="1276" w:type="dxa"/>
            <w:tcBorders>
              <w:top w:val="nil"/>
              <w:left w:val="nil"/>
              <w:bottom w:val="single" w:sz="4" w:space="0" w:color="auto"/>
              <w:right w:val="single" w:sz="4" w:space="0" w:color="auto"/>
            </w:tcBorders>
            <w:noWrap/>
            <w:vAlign w:val="center"/>
            <w:hideMark/>
          </w:tcPr>
          <w:p w14:paraId="038B6B9F" w14:textId="269AD10C" w:rsidR="009674B9" w:rsidRPr="00535DEB" w:rsidRDefault="009674B9" w:rsidP="007D751C">
            <w:pPr>
              <w:spacing w:after="0" w:line="276" w:lineRule="auto"/>
              <w:jc w:val="center"/>
              <w:rPr>
                <w:b/>
                <w:noProof/>
                <w:color w:val="000000"/>
                <w:szCs w:val="24"/>
              </w:rPr>
            </w:pPr>
            <w:r w:rsidRPr="00535DEB">
              <w:rPr>
                <w:b/>
                <w:noProof/>
                <w:color w:val="000000"/>
              </w:rPr>
              <w:t>5,5</w:t>
            </w:r>
          </w:p>
        </w:tc>
        <w:tc>
          <w:tcPr>
            <w:tcW w:w="1276" w:type="dxa"/>
            <w:tcBorders>
              <w:top w:val="nil"/>
              <w:left w:val="nil"/>
              <w:bottom w:val="single" w:sz="4" w:space="0" w:color="auto"/>
              <w:right w:val="single" w:sz="4" w:space="0" w:color="auto"/>
            </w:tcBorders>
            <w:noWrap/>
            <w:vAlign w:val="center"/>
            <w:hideMark/>
          </w:tcPr>
          <w:p w14:paraId="16AC5EBF" w14:textId="61232731" w:rsidR="009674B9" w:rsidRPr="00535DEB" w:rsidRDefault="009674B9" w:rsidP="007D751C">
            <w:pPr>
              <w:spacing w:after="0" w:line="276" w:lineRule="auto"/>
              <w:jc w:val="center"/>
              <w:rPr>
                <w:b/>
                <w:noProof/>
                <w:color w:val="000000"/>
                <w:szCs w:val="24"/>
              </w:rPr>
            </w:pPr>
            <w:r w:rsidRPr="00535DEB">
              <w:rPr>
                <w:b/>
                <w:noProof/>
                <w:color w:val="000000"/>
              </w:rPr>
              <w:t>11,9</w:t>
            </w:r>
          </w:p>
        </w:tc>
        <w:tc>
          <w:tcPr>
            <w:tcW w:w="1128" w:type="dxa"/>
            <w:tcBorders>
              <w:top w:val="nil"/>
              <w:left w:val="nil"/>
              <w:bottom w:val="single" w:sz="4" w:space="0" w:color="auto"/>
              <w:right w:val="single" w:sz="4" w:space="0" w:color="auto"/>
            </w:tcBorders>
            <w:noWrap/>
            <w:vAlign w:val="center"/>
            <w:hideMark/>
          </w:tcPr>
          <w:p w14:paraId="6DBB90C3" w14:textId="072CC939" w:rsidR="009674B9" w:rsidRPr="00535DEB" w:rsidRDefault="009674B9" w:rsidP="007D751C">
            <w:pPr>
              <w:spacing w:after="0" w:line="276" w:lineRule="auto"/>
              <w:jc w:val="center"/>
              <w:rPr>
                <w:b/>
                <w:noProof/>
                <w:szCs w:val="24"/>
              </w:rPr>
            </w:pPr>
            <w:r w:rsidRPr="00535DEB">
              <w:rPr>
                <w:b/>
                <w:noProof/>
              </w:rPr>
              <w:t>116</w:t>
            </w:r>
          </w:p>
        </w:tc>
        <w:tc>
          <w:tcPr>
            <w:tcW w:w="1853" w:type="dxa"/>
            <w:tcBorders>
              <w:top w:val="single" w:sz="4" w:space="0" w:color="auto"/>
              <w:left w:val="single" w:sz="4" w:space="0" w:color="auto"/>
              <w:bottom w:val="single" w:sz="4" w:space="0" w:color="auto"/>
              <w:right w:val="single" w:sz="4" w:space="0" w:color="auto"/>
            </w:tcBorders>
            <w:vAlign w:val="center"/>
          </w:tcPr>
          <w:p w14:paraId="335891D7" w14:textId="45D0E907" w:rsidR="009674B9" w:rsidRPr="00535DEB" w:rsidRDefault="009674B9" w:rsidP="007D751C">
            <w:pPr>
              <w:spacing w:after="0" w:line="276" w:lineRule="auto"/>
              <w:jc w:val="center"/>
              <w:rPr>
                <w:b/>
                <w:noProof/>
                <w:szCs w:val="24"/>
                <w:lang w:eastAsia="en-IE"/>
              </w:rPr>
            </w:pPr>
          </w:p>
        </w:tc>
      </w:tr>
      <w:tr w:rsidR="009A067E" w:rsidRPr="00535DEB" w14:paraId="3D985913" w14:textId="61B885E1"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07851079" w14:textId="313CD71C" w:rsidR="009674B9" w:rsidRPr="00535DEB" w:rsidRDefault="009674B9" w:rsidP="007D751C">
            <w:pPr>
              <w:spacing w:after="0" w:line="276" w:lineRule="auto"/>
              <w:jc w:val="left"/>
              <w:rPr>
                <w:b/>
                <w:noProof/>
                <w:szCs w:val="24"/>
              </w:rPr>
            </w:pPr>
            <w:r w:rsidRPr="00535DEB">
              <w:rPr>
                <w:b/>
                <w:noProof/>
              </w:rPr>
              <w:t>Total de l’UE + cofinancement</w:t>
            </w:r>
          </w:p>
        </w:tc>
        <w:tc>
          <w:tcPr>
            <w:tcW w:w="1276" w:type="dxa"/>
            <w:tcBorders>
              <w:top w:val="nil"/>
              <w:left w:val="nil"/>
              <w:bottom w:val="single" w:sz="4" w:space="0" w:color="auto"/>
              <w:right w:val="single" w:sz="4" w:space="0" w:color="auto"/>
            </w:tcBorders>
            <w:noWrap/>
            <w:vAlign w:val="center"/>
            <w:hideMark/>
          </w:tcPr>
          <w:p w14:paraId="16D5AEBA" w14:textId="6478BF6A" w:rsidR="009674B9" w:rsidRPr="00535DEB" w:rsidRDefault="009674B9" w:rsidP="007D751C">
            <w:pPr>
              <w:spacing w:after="0" w:line="276" w:lineRule="auto"/>
              <w:jc w:val="center"/>
              <w:rPr>
                <w:b/>
                <w:noProof/>
                <w:color w:val="000000"/>
                <w:szCs w:val="24"/>
              </w:rPr>
            </w:pPr>
            <w:r w:rsidRPr="00535DEB">
              <w:rPr>
                <w:b/>
                <w:noProof/>
                <w:color w:val="000000"/>
              </w:rPr>
              <w:t>26,5</w:t>
            </w:r>
          </w:p>
        </w:tc>
        <w:tc>
          <w:tcPr>
            <w:tcW w:w="1276" w:type="dxa"/>
            <w:tcBorders>
              <w:top w:val="nil"/>
              <w:left w:val="nil"/>
              <w:bottom w:val="single" w:sz="4" w:space="0" w:color="auto"/>
              <w:right w:val="single" w:sz="4" w:space="0" w:color="auto"/>
            </w:tcBorders>
            <w:noWrap/>
            <w:vAlign w:val="center"/>
            <w:hideMark/>
          </w:tcPr>
          <w:p w14:paraId="1E9CD4F6" w14:textId="72D2070C" w:rsidR="009674B9" w:rsidRPr="00535DEB" w:rsidRDefault="009674B9" w:rsidP="007D751C">
            <w:pPr>
              <w:spacing w:after="0" w:line="276" w:lineRule="auto"/>
              <w:jc w:val="center"/>
              <w:rPr>
                <w:b/>
                <w:noProof/>
                <w:color w:val="000000"/>
                <w:szCs w:val="24"/>
              </w:rPr>
            </w:pPr>
            <w:r w:rsidRPr="00535DEB">
              <w:rPr>
                <w:b/>
                <w:noProof/>
                <w:color w:val="000000"/>
              </w:rPr>
              <w:t>156,6</w:t>
            </w:r>
          </w:p>
        </w:tc>
        <w:tc>
          <w:tcPr>
            <w:tcW w:w="1128" w:type="dxa"/>
            <w:tcBorders>
              <w:top w:val="nil"/>
              <w:left w:val="nil"/>
              <w:bottom w:val="single" w:sz="4" w:space="0" w:color="auto"/>
              <w:right w:val="single" w:sz="4" w:space="0" w:color="auto"/>
            </w:tcBorders>
            <w:noWrap/>
            <w:vAlign w:val="center"/>
            <w:hideMark/>
          </w:tcPr>
          <w:p w14:paraId="01A2AE79" w14:textId="7E65498C" w:rsidR="009674B9" w:rsidRPr="00535DEB" w:rsidRDefault="002D43C9" w:rsidP="007D751C">
            <w:pPr>
              <w:spacing w:after="0" w:line="276" w:lineRule="auto"/>
              <w:jc w:val="center"/>
              <w:rPr>
                <w:b/>
                <w:noProof/>
                <w:szCs w:val="24"/>
              </w:rPr>
            </w:pPr>
            <w:r w:rsidRPr="00535DEB">
              <w:rPr>
                <w:b/>
                <w:noProof/>
              </w:rPr>
              <w:t>491</w:t>
            </w:r>
          </w:p>
        </w:tc>
        <w:tc>
          <w:tcPr>
            <w:tcW w:w="1853" w:type="dxa"/>
            <w:tcBorders>
              <w:top w:val="single" w:sz="4" w:space="0" w:color="auto"/>
              <w:left w:val="single" w:sz="4" w:space="0" w:color="auto"/>
              <w:bottom w:val="single" w:sz="4" w:space="0" w:color="auto"/>
              <w:right w:val="single" w:sz="4" w:space="0" w:color="auto"/>
            </w:tcBorders>
            <w:vAlign w:val="center"/>
          </w:tcPr>
          <w:p w14:paraId="168B0288" w14:textId="61AE36C5" w:rsidR="009674B9" w:rsidRPr="00535DEB" w:rsidRDefault="009674B9" w:rsidP="007D751C">
            <w:pPr>
              <w:spacing w:after="0" w:line="276" w:lineRule="auto"/>
              <w:jc w:val="center"/>
              <w:rPr>
                <w:b/>
                <w:noProof/>
                <w:szCs w:val="24"/>
                <w:lang w:eastAsia="en-IE"/>
              </w:rPr>
            </w:pPr>
          </w:p>
        </w:tc>
      </w:tr>
    </w:tbl>
    <w:p w14:paraId="38BD986D" w14:textId="097E58EF" w:rsidR="0BC60D64" w:rsidRPr="00535DEB" w:rsidRDefault="005E554B" w:rsidP="007D751C">
      <w:pPr>
        <w:pStyle w:val="Text2"/>
        <w:spacing w:line="276" w:lineRule="auto"/>
        <w:ind w:left="0"/>
        <w:rPr>
          <w:noProof/>
          <w:sz w:val="20"/>
        </w:rPr>
      </w:pPr>
      <w:r w:rsidRPr="00535DEB">
        <w:rPr>
          <w:noProof/>
          <w:sz w:val="20"/>
        </w:rPr>
        <w:t>Source: Commission européenne, 2024.</w:t>
      </w:r>
    </w:p>
    <w:p w14:paraId="673EDF25" w14:textId="42EE82FB" w:rsidR="001917AF" w:rsidRPr="00535DEB" w:rsidRDefault="00134B25" w:rsidP="001917AF">
      <w:pPr>
        <w:pStyle w:val="Text2"/>
        <w:spacing w:line="276" w:lineRule="auto"/>
        <w:ind w:left="0"/>
        <w:rPr>
          <w:noProof/>
        </w:rPr>
      </w:pPr>
      <w:r w:rsidRPr="00535DEB">
        <w:rPr>
          <w:b/>
          <w:noProof/>
        </w:rPr>
        <w:t>Une part importante de la FRR a été consacrée à l’efficacité énergétique, en particulier dans les bâtiments.</w:t>
      </w:r>
      <w:r w:rsidRPr="00535DEB">
        <w:rPr>
          <w:noProof/>
        </w:rPr>
        <w:t xml:space="preserve"> Sur les 650 milliards d’EUR</w:t>
      </w:r>
      <w:r w:rsidRPr="00535DEB">
        <w:rPr>
          <w:rStyle w:val="FootnoteReference"/>
          <w:noProof/>
        </w:rPr>
        <w:footnoteReference w:id="11"/>
      </w:r>
      <w:r w:rsidRPr="00535DEB">
        <w:rPr>
          <w:noProof/>
        </w:rPr>
        <w:t xml:space="preserve"> disponibles, 103,9 milliards d’EUR, soit 16 %, ont été utilisés pour financer des investissements dans l’efficacité énergétique, faisant de ce domaine d’action l’un des principaux bénéficiaires de la FRR. Il convient de noter que les 27 États membres ont alloué des fonds à des mesures d’efficacité énergétique dans leur plan pour la reprise et la résilience, les allocations allant de 31 % des fonds disponibles au Portugal à 2 % en Finlande. </w:t>
      </w:r>
      <w:r w:rsidRPr="00535DEB">
        <w:rPr>
          <w:b/>
          <w:noProof/>
        </w:rPr>
        <w:t>L’efficacité énergétique dans les bâtiments</w:t>
      </w:r>
      <w:r w:rsidRPr="00535DEB">
        <w:rPr>
          <w:noProof/>
        </w:rPr>
        <w:t xml:space="preserve"> a bénéficié de la plus grande part des financements, pour un montant total de </w:t>
      </w:r>
      <w:r w:rsidRPr="00535DEB">
        <w:rPr>
          <w:b/>
          <w:noProof/>
        </w:rPr>
        <w:t>79,4 milliards d’EUR (pour l’ensemble des États membres)</w:t>
      </w:r>
      <w:r w:rsidRPr="00535DEB">
        <w:rPr>
          <w:noProof/>
        </w:rPr>
        <w:t>. En plus des investissements, la FRR stimule également les efforts de réforme dans le domaine de l’efficacité énergétique, notamment l’amélioration des cadres réglementaires et administratifs, l’établissement de stratégies à long terme et la fourniture d’informations et de formations.</w:t>
      </w:r>
    </w:p>
    <w:p w14:paraId="760250B6" w14:textId="47314EFA" w:rsidR="00BB2E9D" w:rsidRPr="00535DEB" w:rsidRDefault="00EF506C" w:rsidP="007D751C">
      <w:pPr>
        <w:pStyle w:val="Text2"/>
        <w:spacing w:line="276" w:lineRule="auto"/>
        <w:ind w:left="0"/>
        <w:rPr>
          <w:noProof/>
        </w:rPr>
      </w:pPr>
      <w:r w:rsidRPr="00535DEB">
        <w:rPr>
          <w:b/>
          <w:noProof/>
        </w:rPr>
        <w:t>De nouvelles ressources provenant du système d’échange de quotas d’émission de l’UE (SEQE-UE)</w:t>
      </w:r>
      <w:r w:rsidRPr="00535DEB">
        <w:rPr>
          <w:noProof/>
        </w:rPr>
        <w:t xml:space="preserve"> ont également contribué à combler le déficit d’investissement. Le </w:t>
      </w:r>
      <w:r w:rsidRPr="00535DEB">
        <w:rPr>
          <w:b/>
          <w:noProof/>
        </w:rPr>
        <w:t>Fonds pour la modernisation</w:t>
      </w:r>
      <w:r w:rsidRPr="00535DEB">
        <w:rPr>
          <w:rStyle w:val="FootnoteReference"/>
          <w:noProof/>
        </w:rPr>
        <w:footnoteReference w:id="12"/>
      </w:r>
      <w:r w:rsidRPr="00535DEB">
        <w:rPr>
          <w:noProof/>
        </w:rPr>
        <w:t>, conçu pour aider les États membres à faibles revenus à moderniser leurs systèmes énergétiques et à améliorer l’efficacité énergétique, est financé au moyen de la vente de 2 % des quotas d’émission de carbone du SEQE pour la période 2021-2030. À la fin de 2023, le fonds avait déjà décaissé 3 milliards d’EUR pour des investissements dans l’efficacité énergétique dans les États membres bénéficiaires, soit un quart du total des décaissements. Compte tenu de la tendance actuelle, il est estimé que les décaissements en faveur de l’efficacité énergétique auront atteint 6,8 milliards d’EUR à la fin de 2027.</w:t>
      </w:r>
    </w:p>
    <w:p w14:paraId="54467F12" w14:textId="27B7468B" w:rsidR="00F85A34" w:rsidRPr="00535DEB" w:rsidRDefault="6F6EAF95" w:rsidP="007D751C">
      <w:pPr>
        <w:pStyle w:val="Text2"/>
        <w:spacing w:line="276" w:lineRule="auto"/>
        <w:ind w:left="0"/>
        <w:rPr>
          <w:noProof/>
        </w:rPr>
      </w:pPr>
      <w:r w:rsidRPr="00535DEB">
        <w:rPr>
          <w:b/>
          <w:noProof/>
        </w:rPr>
        <w:t>Les nouvelles ressources provenant de la FRR et du SEQE représentent 89 % de cette augmentation.</w:t>
      </w:r>
      <w:r w:rsidRPr="00535DEB">
        <w:rPr>
          <w:noProof/>
        </w:rPr>
        <w:t xml:space="preserve"> Ces deux instruments sont exclusivement gérés par les États membres.</w:t>
      </w:r>
    </w:p>
    <w:p w14:paraId="51C138F1" w14:textId="38469F6D" w:rsidR="00134B25" w:rsidRPr="00535DEB" w:rsidRDefault="002B1A59" w:rsidP="007D751C">
      <w:pPr>
        <w:pStyle w:val="Text2"/>
        <w:spacing w:line="276" w:lineRule="auto"/>
        <w:ind w:left="0"/>
        <w:rPr>
          <w:noProof/>
        </w:rPr>
      </w:pPr>
      <w:r w:rsidRPr="00535DEB">
        <w:rPr>
          <w:noProof/>
        </w:rPr>
        <w:t>Toutes choses égales par ailleurs, les fonds de l’UE disponibles ont donc augmenté de 62 %, passant de 21 milliards d’EUR à 34 milliards d’EUR (à l’exclusion des ressources de la FRR de 103,9 milliards d’EUR et des fonds du SEQE de 6,8 milliards d’EUR). Cela correspond à une contribution annuelle du budget de l’Union de 4,8 milliards d’EUR entre 2021 et 2027, un chiffre qui atteint 20,7 milliards d’EUR si l’on inclut la FRR et le Fonds pour la modernisation.</w:t>
      </w:r>
    </w:p>
    <w:p w14:paraId="48B4B866" w14:textId="6568E3EB" w:rsidR="002B1A59" w:rsidRPr="00535DEB" w:rsidRDefault="002D42D0" w:rsidP="007D751C">
      <w:pPr>
        <w:pStyle w:val="Text2"/>
        <w:spacing w:line="276" w:lineRule="auto"/>
        <w:ind w:left="0"/>
        <w:rPr>
          <w:noProof/>
        </w:rPr>
      </w:pPr>
      <w:r w:rsidRPr="00535DEB">
        <w:rPr>
          <w:noProof/>
        </w:rPr>
        <w:t xml:space="preserve">Les </w:t>
      </w:r>
      <w:r w:rsidRPr="00535DEB">
        <w:rPr>
          <w:b/>
          <w:noProof/>
        </w:rPr>
        <w:t>fonds de la politique de cohésion</w:t>
      </w:r>
      <w:r w:rsidRPr="00535DEB">
        <w:rPr>
          <w:noProof/>
        </w:rPr>
        <w:t xml:space="preserve"> mis à disposition ont eux aussi nettement augmenté, puisqu’ils ont doublé (passant de 17,8 milliards d’EUR à 29 milliards d’euros) au cours de la période 2021-2027. De plus, l’examen à mi-parcours vise à doubler les financements au titre de la cohésion en faveur de logements abordables et durables. Les fonds de la politique de cohésion se sont révélés être un outil efficace pour renforcer la coopération entre les institutions financières publiques et privées dans différents États membres et ont contribué à mobiliser des investissements privés en faveur des rénovations visant à améliorer l’efficacité énergétique sur le terrain, secteur dans lequel il importe de faire remarquer l’ utilisation accrue des instruments financiers renouvelables pour l’efficacité énergétique (prêts et garanties combinés à des subventions).</w:t>
      </w:r>
    </w:p>
    <w:p w14:paraId="44994453" w14:textId="5287C45B" w:rsidR="004D1D19" w:rsidRPr="00535DEB" w:rsidRDefault="003D7B4D" w:rsidP="007D751C">
      <w:pPr>
        <w:pStyle w:val="Text2"/>
        <w:spacing w:line="276" w:lineRule="auto"/>
        <w:ind w:left="0"/>
        <w:rPr>
          <w:noProof/>
        </w:rPr>
      </w:pPr>
      <w:r w:rsidRPr="00535DEB">
        <w:rPr>
          <w:noProof/>
          <w:lang w:val="en-GB" w:eastAsia="en-GB"/>
        </w:rPr>
        <mc:AlternateContent>
          <mc:Choice Requires="wps">
            <w:drawing>
              <wp:anchor distT="45720" distB="45720" distL="114300" distR="114300" simplePos="0" relativeHeight="251659264" behindDoc="0" locked="0" layoutInCell="1" allowOverlap="1" wp14:anchorId="01ED850F" wp14:editId="68E0808B">
                <wp:simplePos x="0" y="0"/>
                <wp:positionH relativeFrom="page">
                  <wp:posOffset>1047750</wp:posOffset>
                </wp:positionH>
                <wp:positionV relativeFrom="paragraph">
                  <wp:posOffset>1571625</wp:posOffset>
                </wp:positionV>
                <wp:extent cx="5610225" cy="5886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5886450"/>
                        </a:xfrm>
                        <a:prstGeom prst="rect">
                          <a:avLst/>
                        </a:prstGeom>
                        <a:solidFill>
                          <a:schemeClr val="bg1">
                            <a:lumMod val="85000"/>
                          </a:schemeClr>
                        </a:solidFill>
                        <a:ln w="9525">
                          <a:solidFill>
                            <a:srgbClr val="000000"/>
                          </a:solidFill>
                          <a:miter lim="800000"/>
                          <a:headEnd/>
                          <a:tailEnd/>
                        </a:ln>
                      </wps:spPr>
                      <wps:txbx>
                        <w:txbxContent>
                          <w:p w14:paraId="427ADCFB" w14:textId="514BDED9" w:rsidR="0049602F" w:rsidRPr="00535DEB" w:rsidRDefault="0049602F">
                            <w:pPr>
                              <w:rPr>
                                <w:b/>
                                <w:bCs/>
                              </w:rPr>
                            </w:pPr>
                            <w:r w:rsidRPr="00535DEB">
                              <w:rPr>
                                <w:b/>
                              </w:rPr>
                              <w:t>Fonds européen pour l’efficacité énergétique(FEEE): un partenariat public-privé en matière d’efficacité énergétique</w:t>
                            </w:r>
                          </w:p>
                          <w:p w14:paraId="776B90AE" w14:textId="71876AE7" w:rsidR="00FA3B2F" w:rsidRPr="00535DEB" w:rsidRDefault="007053B6" w:rsidP="0049602F">
                            <w:r w:rsidRPr="00535DEB">
                              <w:t xml:space="preserve">Mis en place en 2011, le FEEE est un instrument d’investissement public-privé à long terme conçu pour soutenir les objectifs énergétiques et climatiques de l’UE. Il fournit un financement spécifique aux autorités locales, régionales ou nationales, ou à des entités publiques ou privées agissant en leur nom, dans le but de stimuler les économies d’énergie et l’efficacité énergétique et de promouvoir les sources d’énergie renouvelables dans l’UE. </w:t>
                            </w:r>
                          </w:p>
                          <w:p w14:paraId="351668FF" w14:textId="2EC0D5DC" w:rsidR="003D7B4D" w:rsidRPr="00535DEB" w:rsidRDefault="003D7B4D" w:rsidP="003D7B4D">
                            <w:r w:rsidRPr="00535DEB">
                              <w:t>Le fonds, qui verse des dividendes chaque année depuis 2013, dispose d’une base d’actionnaires diversifiée, se composant d’institutions du secteur public et du secteur privé, y compris la Commission européenne, qui a apporté du capital-risque, Generali, Stichting Achmea Algemeen Pensioenfonds, DBU et DWS/Wepla.</w:t>
                            </w:r>
                          </w:p>
                          <w:p w14:paraId="5C5278B9" w14:textId="518CE345" w:rsidR="0049602F" w:rsidRPr="00535DEB" w:rsidRDefault="0049602F" w:rsidP="0049602F">
                            <w:r w:rsidRPr="00535DEB">
                              <w:t>Avec des investissements totaux d’environ 180 millions d’EUR, le FEEE a soutenu 18 projets dans 10 pays européens avec l’intervention de 56 autorités publiques, pour le bénéfice de plus de 2 millions de personnes. Le fonds a obtenu des résultats significatifs depuis son lancement, générant plus de 380 millions d’EUR d’investissements au total. Il a soutenu toute une série de projets, concernant notamment la rénovation de bâtiments publics, la modernisation de l’éclairage public, la production d’énergie renouvelable et les infrastructures de transport propres. Le mécanisme d’assistance technique du fonds a également joué un rôle essentiel dans la préparation de projets ayant permis de réaliser d’importantes économies d’énergie et réductions des émissions de GES. À la fin de 2021, le fonds avait permis de réaliser des économies cumulées d’émissions de CO</w:t>
                            </w:r>
                            <w:r w:rsidRPr="00535DEB">
                              <w:rPr>
                                <w:vertAlign w:val="subscript"/>
                              </w:rPr>
                              <w:t>2</w:t>
                            </w:r>
                            <w:r w:rsidRPr="00535DEB">
                              <w:t xml:space="preserve"> de 740 460 tonnes et des économies d’énergie primaire de 1 318 549 MWh.</w:t>
                            </w:r>
                          </w:p>
                          <w:p w14:paraId="6F255794" w14:textId="2B3D4BAC" w:rsidR="0049602F" w:rsidRPr="00535DEB" w:rsidRDefault="0049602F" w:rsidP="0049602F">
                            <w:r w:rsidRPr="00535DEB">
                              <w:t>Le FEEE est un bon exemple de partenariat public-privé spécifique dans le domaine de l’efficacité énergétique, qui démontre le potentiel du financement mixte pour mobiliser des capitaux publics de l’UE et attirer des investissements privés. La manière dont le fonds est conçu, combinant un financement concessionnel, une assistance technique et une expertise sectorielle, a permis l’exécution de projets à forte incidence avec des intrants en capital de l’UE relativement modestes.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D850F" id="_x0000_t202" coordsize="21600,21600" o:spt="202" path="m,l,21600r21600,l21600,xe">
                <v:stroke joinstyle="miter"/>
                <v:path gradientshapeok="t" o:connecttype="rect"/>
              </v:shapetype>
              <v:shape id="Text Box 2" o:spid="_x0000_s1026" type="#_x0000_t202" style="position:absolute;left:0;text-align:left;margin-left:82.5pt;margin-top:123.75pt;width:441.75pt;height:463.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" fillcolor="#d8d8d8 [2732]">
                <v:textbox>
                  <w:txbxContent>
                    <w:p w14:paraId="427ADCFB" w14:textId="514BDED9" w:rsidR="0049602F" w:rsidRPr="00535DEB" w:rsidRDefault="0049602F">
                      <w:pPr>
                        <w:rPr>
                          <w:b/>
                          <w:bCs/>
                        </w:rPr>
                      </w:pPr>
                      <w:r w:rsidRPr="00535DEB">
                        <w:rPr>
                          <w:b/>
                        </w:rPr>
                        <w:t>Fonds européen pour l’efficacité énergétique(FEEE): un partenariat public-privé en matière d’efficacité énergétique</w:t>
                      </w:r>
                    </w:p>
                    <w:p w14:paraId="776B90AE" w14:textId="71876AE7" w:rsidR="00FA3B2F" w:rsidRPr="00535DEB" w:rsidRDefault="007053B6" w:rsidP="0049602F">
                      <w:r w:rsidRPr="00535DEB">
                        <w:t xml:space="preserve">Mis en place en 2011, le FEEE est un instrument d’investissement public-privé à long terme conçu pour soutenir les objectifs énergétiques et climatiques de l’UE. Il fournit un financement spécifique aux autorités locales, régionales ou nationales, ou à des entités publiques ou privées agissant en leur nom, dans le but de stimuler les économies d’énergie et l’efficacité énergétique et de promouvoir les sources d’énergie renouvelables dans l’UE. </w:t>
                      </w:r>
                    </w:p>
                    <w:p w14:paraId="351668FF" w14:textId="2EC0D5DC" w:rsidR="003D7B4D" w:rsidRPr="00535DEB" w:rsidRDefault="003D7B4D" w:rsidP="003D7B4D">
                      <w:r w:rsidRPr="00535DEB">
                        <w:t>Le fonds, qui verse des dividendes chaque année depuis 2013, dispose d’une base d’actionnaires diversifiée, se composant d’institutions du secteur public et du secteur privé, y compris la Commission européenne, qui a apporté du capital-risque, Generali, Stichting Achmea Algemeen Pensioenfonds, DBU et DWS/Wepla.</w:t>
                      </w:r>
                    </w:p>
                    <w:p w14:paraId="5C5278B9" w14:textId="518CE345" w:rsidR="0049602F" w:rsidRPr="00535DEB" w:rsidRDefault="0049602F" w:rsidP="0049602F">
                      <w:r w:rsidRPr="00535DEB">
                        <w:t>Avec des investissements totaux d’environ 180 millions d’EUR, le FEEE a soutenu 18 projets dans 10 pays européens avec l’intervention de 56 autorités publiques, pour le bénéfice de plus de 2 millions de personnes. Le fonds a obtenu des résultats significatifs depuis son lancement, générant plus de 380 millions d’EUR d’investissements au total. Il a soutenu toute une série de projets, concernant notamment la rénovation de bâtiments publics, la modernisation de l’éclairage public, la production d’énergie renouvelable et les infrastructures de transport propres. Le mécanisme d’assistance technique du fonds a également joué un rôle essentiel dans la préparation de projets ayant permis de réaliser d’importantes économies d’énergie et réductions des émissions de GES. À la fin de 2021, le fonds avait permis de réaliser des économies cumulées d’émissions de CO</w:t>
                      </w:r>
                      <w:r w:rsidRPr="00535DEB">
                        <w:rPr>
                          <w:vertAlign w:val="subscript"/>
                        </w:rPr>
                        <w:t>2</w:t>
                      </w:r>
                      <w:r w:rsidRPr="00535DEB">
                        <w:t xml:space="preserve"> de 740 460 tonnes et des économies d’énergie primaire de 1 318 549 MWh.</w:t>
                      </w:r>
                    </w:p>
                    <w:p w14:paraId="6F255794" w14:textId="2B3D4BAC" w:rsidR="0049602F" w:rsidRPr="00535DEB" w:rsidRDefault="0049602F" w:rsidP="0049602F">
                      <w:r w:rsidRPr="00535DEB">
                        <w:t>Le FEEE est un bon exemple de partenariat public-privé spécifique dans le domaine de l’efficacité énergétique, qui démontre le potentiel du financement mixte pour mobiliser des capitaux publics de l’UE et attirer des investissements privés. La manière dont le fonds est conçu, combinant un financement concessionnel, une assistance technique et une expertise sectorielle, a permis l’exécution de projets à forte incidence avec des intrants en capital de l’UE relativement modestes.</w:t>
                      </w:r>
                    </w:p>
                  </w:txbxContent>
                </v:textbox>
                <w10:wrap type="square" anchorx="page"/>
              </v:shape>
            </w:pict>
          </mc:Fallback>
        </mc:AlternateContent>
      </w:r>
      <w:r w:rsidRPr="00535DEB">
        <w:rPr>
          <w:noProof/>
        </w:rPr>
        <w:t xml:space="preserve">Le </w:t>
      </w:r>
      <w:r w:rsidRPr="00535DEB">
        <w:rPr>
          <w:b/>
          <w:noProof/>
        </w:rPr>
        <w:t>Fonds social pour le climat</w:t>
      </w:r>
      <w:r w:rsidRPr="00535DEB">
        <w:rPr>
          <w:noProof/>
        </w:rPr>
        <w:t xml:space="preserve"> entrera en application en 2026, parallèlement à la suppression progressive de la FRR. Ce fonds a été créé en même temps qu’a été étendu le SEQE pour couvrir les émissions résultant de la combustion de combustibles dans les bâtiments, les transports routiers et d’autres secteurs. Il fournira un financement total de 86,7 milliards d’EUR, à répartir entre les États membres, pour soutenir les mesures structurelles, les investissements dans l’efficacité énergétique et la rénovation des bâtiments, le chauffage et le refroidissement propres, l’intégration des énergies renouvelables et dans des solutions de mobilité à émissions nulles ou faibles.</w:t>
      </w:r>
    </w:p>
    <w:p w14:paraId="022EE17F" w14:textId="07D17D29" w:rsidR="002B1A59" w:rsidRPr="00535DEB" w:rsidRDefault="00B1250A" w:rsidP="007D751C">
      <w:pPr>
        <w:pStyle w:val="Heading3"/>
        <w:spacing w:line="276" w:lineRule="auto"/>
        <w:rPr>
          <w:noProof/>
        </w:rPr>
      </w:pPr>
      <w:r w:rsidRPr="00535DEB">
        <w:rPr>
          <w:noProof/>
        </w:rPr>
        <w:t>Le soutien du Groupe Banque européenne d’investissement, y compris lorsqu’il est soutenu par le budget de l’Union</w:t>
      </w:r>
    </w:p>
    <w:p w14:paraId="6ADE077B" w14:textId="27E47CBA" w:rsidR="00BA2D62" w:rsidRPr="00535DEB" w:rsidRDefault="7941C083" w:rsidP="007D751C">
      <w:pPr>
        <w:pStyle w:val="Text3"/>
        <w:spacing w:line="276" w:lineRule="auto"/>
        <w:ind w:left="0"/>
        <w:rPr>
          <w:noProof/>
        </w:rPr>
      </w:pPr>
      <w:r w:rsidRPr="00535DEB">
        <w:rPr>
          <w:noProof/>
        </w:rPr>
        <w:t>En tant que banque du climat de l’UE et partenaire principal chargé de la mise en œuvre des fonds de l’UE, le Groupe Banque européenne d’investissement (ci après le «Groupe BEI»)</w:t>
      </w:r>
      <w:r w:rsidRPr="00535DEB">
        <w:rPr>
          <w:rStyle w:val="FootnoteReference"/>
          <w:noProof/>
        </w:rPr>
        <w:footnoteReference w:id="13"/>
      </w:r>
      <w:r w:rsidRPr="00535DEB">
        <w:rPr>
          <w:noProof/>
        </w:rPr>
        <w:t xml:space="preserve"> joue un rôle essentiel dans le financement de la transition énergétique.</w:t>
      </w:r>
    </w:p>
    <w:p w14:paraId="17F122E3" w14:textId="7D207EEE" w:rsidR="002B1A59" w:rsidRPr="00535DEB" w:rsidRDefault="7941C083" w:rsidP="007D751C">
      <w:pPr>
        <w:pStyle w:val="Text3"/>
        <w:spacing w:line="276" w:lineRule="auto"/>
        <w:ind w:left="0"/>
        <w:rPr>
          <w:noProof/>
        </w:rPr>
      </w:pPr>
      <w:r w:rsidRPr="00535DEB">
        <w:rPr>
          <w:noProof/>
        </w:rPr>
        <w:t>Comme indiqué dans sa feuille de route dans son rôle de banque du climat</w:t>
      </w:r>
      <w:r w:rsidRPr="00535DEB">
        <w:rPr>
          <w:rStyle w:val="FootnoteReference"/>
          <w:noProof/>
        </w:rPr>
        <w:footnoteReference w:id="14"/>
      </w:r>
      <w:r w:rsidRPr="00535DEB">
        <w:rPr>
          <w:noProof/>
        </w:rPr>
        <w:t xml:space="preserve"> et dans le prolongement de la stratégie pour une vague de rénovations dans le secteur du bâtiment, la stratégie du Groupe BEI en matière d’efficacité énergétique comprend des prêts intermédiés et des garanties ainsi que des services de conseil (plateforme de conseil InvestEU</w:t>
      </w:r>
      <w:r w:rsidRPr="00535DEB">
        <w:rPr>
          <w:rStyle w:val="FootnoteReference"/>
          <w:noProof/>
        </w:rPr>
        <w:footnoteReference w:id="15"/>
      </w:r>
      <w:r w:rsidRPr="00535DEB">
        <w:rPr>
          <w:noProof/>
        </w:rPr>
        <w:t>, notamment le mécanisme ELENA</w:t>
      </w:r>
      <w:r w:rsidRPr="00535DEB">
        <w:rPr>
          <w:rStyle w:val="FootnoteReference"/>
          <w:noProof/>
        </w:rPr>
        <w:footnoteReference w:id="16"/>
      </w:r>
      <w:r w:rsidRPr="00535DEB">
        <w:rPr>
          <w:noProof/>
        </w:rPr>
        <w:t>).</w:t>
      </w:r>
    </w:p>
    <w:p w14:paraId="14D18084" w14:textId="2757DEE0" w:rsidR="00887418" w:rsidRPr="00535DEB" w:rsidRDefault="002E4642" w:rsidP="007D751C">
      <w:pPr>
        <w:pStyle w:val="Text3"/>
        <w:spacing w:line="276" w:lineRule="auto"/>
        <w:ind w:left="0"/>
        <w:rPr>
          <w:noProof/>
        </w:rPr>
      </w:pPr>
      <w:r w:rsidRPr="00535DEB">
        <w:rPr>
          <w:noProof/>
        </w:rPr>
        <w:t xml:space="preserve">En conséquence, </w:t>
      </w:r>
      <w:r w:rsidRPr="00535DEB">
        <w:rPr>
          <w:b/>
          <w:noProof/>
        </w:rPr>
        <w:t>les ressources consacrées à l’efficacité énergétique ont été multipliées par 12,2 entre 2012 et 2023</w:t>
      </w:r>
      <w:r w:rsidRPr="00535DEB">
        <w:rPr>
          <w:noProof/>
        </w:rPr>
        <w:t>. Le financement du groupe BEI a principalement été alloué au secteur du bâtiment, ainsi qu’aux solutions et appareils intelligents, conformément à la stratégie présentée dans la feuille de route.</w:t>
      </w:r>
    </w:p>
    <w:p w14:paraId="5571CACB" w14:textId="2EA456D2" w:rsidR="00116EE3" w:rsidRPr="00535DEB" w:rsidRDefault="00D248D0" w:rsidP="007D751C">
      <w:pPr>
        <w:pStyle w:val="Text3"/>
        <w:spacing w:line="276" w:lineRule="auto"/>
        <w:ind w:left="0"/>
        <w:rPr>
          <w:noProof/>
        </w:rPr>
      </w:pPr>
      <w:r w:rsidRPr="00535DEB">
        <w:rPr>
          <w:noProof/>
        </w:rPr>
        <w:t xml:space="preserve">D’un autre côté, le financement est resté faible pour les petites et moyennes entreprises (ci-après les «PME»), l’industrie, la production combinée de chaleur et d’électricité (ci-après la «cogénération») et le chauffage urbain. En septembre 2025, </w:t>
      </w:r>
      <w:r w:rsidRPr="00535DEB">
        <w:rPr>
          <w:b/>
          <w:noProof/>
        </w:rPr>
        <w:t>le Groupe BEI et la Commission ont lancé l’initiative en faveur de l’efficacité énergétique des PME</w:t>
      </w:r>
      <w:r w:rsidRPr="00535DEB">
        <w:rPr>
          <w:noProof/>
        </w:rPr>
        <w:t>, qui fait partie de la feuille de route stratégique du Groupe BEI</w:t>
      </w:r>
      <w:r w:rsidRPr="00535DEB">
        <w:rPr>
          <w:rStyle w:val="FootnoteReference"/>
          <w:noProof/>
        </w:rPr>
        <w:footnoteReference w:id="17"/>
      </w:r>
      <w:r w:rsidRPr="00535DEB">
        <w:rPr>
          <w:noProof/>
        </w:rPr>
        <w:t xml:space="preserve"> pour la période 2024-2027. Cette initiative apportera un financement de 17,5 milliards d’EUR entre 2025 et 2027, dans le but de quasiment doubler le niveau de soutien actuel en faveur de solutions économes en énergie pour les PME</w:t>
      </w:r>
      <w:r w:rsidRPr="00535DEB">
        <w:rPr>
          <w:rStyle w:val="FootnoteReference"/>
          <w:noProof/>
        </w:rPr>
        <w:footnoteReference w:id="18"/>
      </w:r>
      <w:r w:rsidRPr="00535DEB">
        <w:rPr>
          <w:noProof/>
        </w:rPr>
        <w:t>.</w:t>
      </w:r>
    </w:p>
    <w:p w14:paraId="2E010924" w14:textId="4F38A790" w:rsidR="007C540D" w:rsidRPr="00535DEB" w:rsidRDefault="007C540D" w:rsidP="004854A6">
      <w:pPr>
        <w:pStyle w:val="Text3"/>
        <w:spacing w:line="276" w:lineRule="auto"/>
        <w:ind w:left="0"/>
        <w:rPr>
          <w:noProof/>
        </w:rPr>
      </w:pPr>
      <w:r w:rsidRPr="00535DEB">
        <w:rPr>
          <w:noProof/>
        </w:rPr>
        <w:t>Le Fonds européen d’investissement (FEI) soutient depuis longtemps les technologies propres, en fournissant des investissements en capital-risque et en mettant en œuvre des initiatives telles qu’une garantie partielle des risques pour promouvoir les prêts verts en faveur de projets dans le domaine de l’efficacité énergétique et des énergies renouvelables. Par l’intermédiaire du programme InvestEU, le FEI a été davantage axé sur le financement de projets soutenant la décarbonation, l’efficacité énergétique, les énergies renouvelables, la mobilité durable et l’économie circulaire, avec un investissement total d’environ 4,1 milliards d’EUR jusqu’en 2025.</w:t>
      </w:r>
    </w:p>
    <w:p w14:paraId="3A317D73" w14:textId="04802772" w:rsidR="002E4642" w:rsidRPr="00535DEB" w:rsidRDefault="74AE3BBD" w:rsidP="00FE0847">
      <w:pPr>
        <w:pStyle w:val="Text3"/>
        <w:spacing w:after="0" w:line="276" w:lineRule="auto"/>
        <w:ind w:left="0"/>
        <w:rPr>
          <w:i/>
          <w:iCs/>
          <w:noProof/>
        </w:rPr>
      </w:pPr>
      <w:r w:rsidRPr="00535DEB">
        <w:rPr>
          <w:i/>
          <w:noProof/>
        </w:rPr>
        <w:t>Tableau 3: financement de l’efficacité énergétique au sein de l’UE par le Groupe BEI (en millions d’EUR)</w:t>
      </w:r>
    </w:p>
    <w:tbl>
      <w:tblPr>
        <w:tblStyle w:val="TableGrid"/>
        <w:tblW w:w="0" w:type="auto"/>
        <w:jc w:val="center"/>
        <w:tblLook w:val="04A0" w:firstRow="1" w:lastRow="0" w:firstColumn="1" w:lastColumn="0" w:noHBand="0" w:noVBand="1"/>
      </w:tblPr>
      <w:tblGrid>
        <w:gridCol w:w="2686"/>
        <w:gridCol w:w="986"/>
        <w:gridCol w:w="986"/>
        <w:gridCol w:w="986"/>
        <w:gridCol w:w="986"/>
        <w:gridCol w:w="986"/>
        <w:gridCol w:w="986"/>
      </w:tblGrid>
      <w:tr w:rsidR="008765E4" w:rsidRPr="00535DEB" w14:paraId="476A0355" w14:textId="77777777" w:rsidTr="004E34F6">
        <w:trPr>
          <w:trHeight w:val="227"/>
          <w:jc w:val="center"/>
        </w:trPr>
        <w:tc>
          <w:tcPr>
            <w:tcW w:w="2686" w:type="dxa"/>
            <w:vAlign w:val="center"/>
          </w:tcPr>
          <w:p w14:paraId="60E09837" w14:textId="371B8A7A" w:rsidR="00F46029" w:rsidRPr="00535DEB" w:rsidRDefault="00F46029" w:rsidP="007D751C">
            <w:pPr>
              <w:pStyle w:val="Text3"/>
              <w:spacing w:after="0" w:line="276" w:lineRule="auto"/>
              <w:ind w:left="0"/>
              <w:jc w:val="left"/>
              <w:rPr>
                <w:noProof/>
                <w:szCs w:val="24"/>
              </w:rPr>
            </w:pPr>
          </w:p>
        </w:tc>
        <w:tc>
          <w:tcPr>
            <w:tcW w:w="986" w:type="dxa"/>
            <w:vAlign w:val="center"/>
          </w:tcPr>
          <w:p w14:paraId="233C5B23" w14:textId="5F0B71EF" w:rsidR="00F46029" w:rsidRPr="00535DEB" w:rsidRDefault="00F46029" w:rsidP="007D751C">
            <w:pPr>
              <w:pStyle w:val="Text3"/>
              <w:spacing w:after="0" w:line="276" w:lineRule="auto"/>
              <w:ind w:left="0"/>
              <w:jc w:val="center"/>
              <w:rPr>
                <w:b/>
                <w:bCs/>
                <w:noProof/>
                <w:szCs w:val="24"/>
              </w:rPr>
            </w:pPr>
            <w:r w:rsidRPr="00535DEB">
              <w:rPr>
                <w:b/>
                <w:noProof/>
              </w:rPr>
              <w:t>2012</w:t>
            </w:r>
          </w:p>
        </w:tc>
        <w:tc>
          <w:tcPr>
            <w:tcW w:w="986" w:type="dxa"/>
            <w:vAlign w:val="center"/>
          </w:tcPr>
          <w:p w14:paraId="5D81096E" w14:textId="551ED76F" w:rsidR="00F46029" w:rsidRPr="00535DEB" w:rsidRDefault="00F46029" w:rsidP="007D751C">
            <w:pPr>
              <w:pStyle w:val="Text3"/>
              <w:spacing w:after="0" w:line="276" w:lineRule="auto"/>
              <w:ind w:left="0"/>
              <w:jc w:val="center"/>
              <w:rPr>
                <w:b/>
                <w:bCs/>
                <w:noProof/>
                <w:szCs w:val="24"/>
              </w:rPr>
            </w:pPr>
            <w:r w:rsidRPr="00535DEB">
              <w:rPr>
                <w:b/>
                <w:noProof/>
              </w:rPr>
              <w:t>2013</w:t>
            </w:r>
          </w:p>
        </w:tc>
        <w:tc>
          <w:tcPr>
            <w:tcW w:w="986" w:type="dxa"/>
            <w:vAlign w:val="center"/>
          </w:tcPr>
          <w:p w14:paraId="3A53B83F" w14:textId="1B3B8F99" w:rsidR="00F46029" w:rsidRPr="00535DEB" w:rsidRDefault="00F46029" w:rsidP="007D751C">
            <w:pPr>
              <w:pStyle w:val="Text3"/>
              <w:spacing w:after="0" w:line="276" w:lineRule="auto"/>
              <w:ind w:left="0"/>
              <w:jc w:val="center"/>
              <w:rPr>
                <w:b/>
                <w:bCs/>
                <w:noProof/>
                <w:szCs w:val="24"/>
              </w:rPr>
            </w:pPr>
            <w:r w:rsidRPr="00535DEB">
              <w:rPr>
                <w:b/>
                <w:noProof/>
              </w:rPr>
              <w:t>2014</w:t>
            </w:r>
          </w:p>
        </w:tc>
        <w:tc>
          <w:tcPr>
            <w:tcW w:w="986" w:type="dxa"/>
            <w:vAlign w:val="center"/>
          </w:tcPr>
          <w:p w14:paraId="38D02952" w14:textId="5700A4FE" w:rsidR="00F46029" w:rsidRPr="00535DEB" w:rsidRDefault="00F46029" w:rsidP="007D751C">
            <w:pPr>
              <w:pStyle w:val="Text3"/>
              <w:spacing w:after="0" w:line="276" w:lineRule="auto"/>
              <w:ind w:left="0"/>
              <w:jc w:val="center"/>
              <w:rPr>
                <w:b/>
                <w:bCs/>
                <w:noProof/>
                <w:szCs w:val="24"/>
              </w:rPr>
            </w:pPr>
            <w:r w:rsidRPr="00535DEB">
              <w:rPr>
                <w:b/>
                <w:noProof/>
              </w:rPr>
              <w:t>2015</w:t>
            </w:r>
          </w:p>
        </w:tc>
        <w:tc>
          <w:tcPr>
            <w:tcW w:w="986" w:type="dxa"/>
            <w:vAlign w:val="center"/>
          </w:tcPr>
          <w:p w14:paraId="24CDFFDD" w14:textId="4EC677E5" w:rsidR="00F46029" w:rsidRPr="00535DEB" w:rsidRDefault="00F46029" w:rsidP="007D751C">
            <w:pPr>
              <w:pStyle w:val="Text3"/>
              <w:spacing w:after="0" w:line="276" w:lineRule="auto"/>
              <w:ind w:left="0"/>
              <w:jc w:val="center"/>
              <w:rPr>
                <w:b/>
                <w:bCs/>
                <w:noProof/>
                <w:szCs w:val="24"/>
              </w:rPr>
            </w:pPr>
            <w:r w:rsidRPr="00535DEB">
              <w:rPr>
                <w:b/>
                <w:noProof/>
              </w:rPr>
              <w:t>2016</w:t>
            </w:r>
          </w:p>
        </w:tc>
        <w:tc>
          <w:tcPr>
            <w:tcW w:w="986" w:type="dxa"/>
            <w:vAlign w:val="center"/>
          </w:tcPr>
          <w:p w14:paraId="0DDD894B" w14:textId="2EF25AF1" w:rsidR="00F46029" w:rsidRPr="00535DEB" w:rsidRDefault="00F46029" w:rsidP="007D751C">
            <w:pPr>
              <w:pStyle w:val="Text3"/>
              <w:spacing w:after="0" w:line="276" w:lineRule="auto"/>
              <w:ind w:left="0"/>
              <w:jc w:val="center"/>
              <w:rPr>
                <w:b/>
                <w:bCs/>
                <w:noProof/>
                <w:szCs w:val="24"/>
              </w:rPr>
            </w:pPr>
            <w:r w:rsidRPr="00535DEB">
              <w:rPr>
                <w:b/>
                <w:noProof/>
              </w:rPr>
              <w:t>2017</w:t>
            </w:r>
          </w:p>
        </w:tc>
      </w:tr>
      <w:tr w:rsidR="008765E4" w:rsidRPr="00535DEB" w14:paraId="25F5B745" w14:textId="77777777" w:rsidTr="004E34F6">
        <w:trPr>
          <w:trHeight w:val="227"/>
          <w:jc w:val="center"/>
        </w:trPr>
        <w:tc>
          <w:tcPr>
            <w:tcW w:w="2686" w:type="dxa"/>
            <w:vAlign w:val="center"/>
          </w:tcPr>
          <w:p w14:paraId="490EAFAA" w14:textId="559BF477" w:rsidR="00F46029" w:rsidRPr="00535DEB" w:rsidRDefault="00F46029" w:rsidP="007D751C">
            <w:pPr>
              <w:pStyle w:val="Text3"/>
              <w:spacing w:after="0" w:line="276" w:lineRule="auto"/>
              <w:ind w:left="0"/>
              <w:jc w:val="left"/>
              <w:rPr>
                <w:noProof/>
                <w:szCs w:val="24"/>
              </w:rPr>
            </w:pPr>
            <w:r w:rsidRPr="00535DEB">
              <w:rPr>
                <w:noProof/>
              </w:rPr>
              <w:t>Efficacité énergétique (EE)</w:t>
            </w:r>
          </w:p>
        </w:tc>
        <w:tc>
          <w:tcPr>
            <w:tcW w:w="986" w:type="dxa"/>
            <w:vAlign w:val="center"/>
          </w:tcPr>
          <w:p w14:paraId="5375FA27" w14:textId="15548A7A" w:rsidR="00F46029" w:rsidRPr="00535DEB" w:rsidRDefault="007C540D" w:rsidP="007D751C">
            <w:pPr>
              <w:pStyle w:val="Text3"/>
              <w:spacing w:after="0" w:line="276" w:lineRule="auto"/>
              <w:ind w:left="0"/>
              <w:jc w:val="center"/>
              <w:rPr>
                <w:noProof/>
                <w:szCs w:val="24"/>
              </w:rPr>
            </w:pPr>
            <w:r w:rsidRPr="00535DEB">
              <w:rPr>
                <w:noProof/>
              </w:rPr>
              <w:t>763</w:t>
            </w:r>
          </w:p>
        </w:tc>
        <w:tc>
          <w:tcPr>
            <w:tcW w:w="986" w:type="dxa"/>
            <w:vAlign w:val="center"/>
          </w:tcPr>
          <w:p w14:paraId="700A8B7F" w14:textId="2BA90DCB" w:rsidR="00F46029" w:rsidRPr="00535DEB" w:rsidRDefault="007C540D" w:rsidP="007D751C">
            <w:pPr>
              <w:pStyle w:val="Text3"/>
              <w:spacing w:after="0" w:line="276" w:lineRule="auto"/>
              <w:ind w:left="0"/>
              <w:jc w:val="center"/>
              <w:rPr>
                <w:noProof/>
                <w:szCs w:val="24"/>
              </w:rPr>
            </w:pPr>
            <w:r w:rsidRPr="00535DEB">
              <w:rPr>
                <w:noProof/>
              </w:rPr>
              <w:t>1 354</w:t>
            </w:r>
          </w:p>
        </w:tc>
        <w:tc>
          <w:tcPr>
            <w:tcW w:w="986" w:type="dxa"/>
            <w:vAlign w:val="center"/>
          </w:tcPr>
          <w:p w14:paraId="5F968577" w14:textId="5AEC8312" w:rsidR="00F46029" w:rsidRPr="00535DEB" w:rsidRDefault="007C540D" w:rsidP="007D751C">
            <w:pPr>
              <w:pStyle w:val="Text3"/>
              <w:spacing w:after="0" w:line="276" w:lineRule="auto"/>
              <w:ind w:left="0"/>
              <w:jc w:val="center"/>
              <w:rPr>
                <w:noProof/>
                <w:szCs w:val="24"/>
              </w:rPr>
            </w:pPr>
            <w:r w:rsidRPr="00535DEB">
              <w:rPr>
                <w:noProof/>
              </w:rPr>
              <w:t>1 557</w:t>
            </w:r>
          </w:p>
        </w:tc>
        <w:tc>
          <w:tcPr>
            <w:tcW w:w="986" w:type="dxa"/>
            <w:vAlign w:val="center"/>
          </w:tcPr>
          <w:p w14:paraId="2C8B09A9" w14:textId="596DEB40" w:rsidR="00F46029" w:rsidRPr="00535DEB" w:rsidRDefault="007C540D" w:rsidP="007D751C">
            <w:pPr>
              <w:pStyle w:val="Text3"/>
              <w:spacing w:after="0" w:line="276" w:lineRule="auto"/>
              <w:ind w:left="0"/>
              <w:jc w:val="center"/>
              <w:rPr>
                <w:noProof/>
                <w:szCs w:val="24"/>
              </w:rPr>
            </w:pPr>
            <w:r w:rsidRPr="00535DEB">
              <w:rPr>
                <w:noProof/>
              </w:rPr>
              <w:t>2 876</w:t>
            </w:r>
          </w:p>
        </w:tc>
        <w:tc>
          <w:tcPr>
            <w:tcW w:w="986" w:type="dxa"/>
            <w:vAlign w:val="center"/>
          </w:tcPr>
          <w:p w14:paraId="6CFE73A8" w14:textId="37B5F9E8" w:rsidR="00F46029" w:rsidRPr="00535DEB" w:rsidRDefault="007C540D" w:rsidP="007D751C">
            <w:pPr>
              <w:pStyle w:val="Text3"/>
              <w:spacing w:after="0" w:line="276" w:lineRule="auto"/>
              <w:ind w:left="0"/>
              <w:jc w:val="center"/>
              <w:rPr>
                <w:noProof/>
                <w:szCs w:val="24"/>
              </w:rPr>
            </w:pPr>
            <w:r w:rsidRPr="00535DEB">
              <w:rPr>
                <w:noProof/>
              </w:rPr>
              <w:t>3 349</w:t>
            </w:r>
          </w:p>
        </w:tc>
        <w:tc>
          <w:tcPr>
            <w:tcW w:w="986" w:type="dxa"/>
            <w:vAlign w:val="center"/>
          </w:tcPr>
          <w:p w14:paraId="78A7D702" w14:textId="57220633" w:rsidR="00F46029" w:rsidRPr="00535DEB" w:rsidRDefault="00F46029" w:rsidP="007D751C">
            <w:pPr>
              <w:pStyle w:val="Text3"/>
              <w:spacing w:after="0" w:line="276" w:lineRule="auto"/>
              <w:ind w:left="0"/>
              <w:jc w:val="center"/>
              <w:rPr>
                <w:noProof/>
                <w:szCs w:val="24"/>
              </w:rPr>
            </w:pPr>
            <w:r w:rsidRPr="00535DEB">
              <w:rPr>
                <w:noProof/>
              </w:rPr>
              <w:t>4 613</w:t>
            </w:r>
          </w:p>
        </w:tc>
      </w:tr>
      <w:tr w:rsidR="00FE0847" w:rsidRPr="00535DEB" w14:paraId="358616B1" w14:textId="77777777" w:rsidTr="004A3878">
        <w:trPr>
          <w:trHeight w:val="227"/>
          <w:jc w:val="center"/>
        </w:trPr>
        <w:tc>
          <w:tcPr>
            <w:tcW w:w="2686" w:type="dxa"/>
            <w:vAlign w:val="center"/>
          </w:tcPr>
          <w:p w14:paraId="5D9E52AD" w14:textId="77777777" w:rsidR="00FE0847" w:rsidRPr="00535DEB" w:rsidRDefault="00FE0847" w:rsidP="004A3878">
            <w:pPr>
              <w:pStyle w:val="Text3"/>
              <w:spacing w:after="0" w:line="276" w:lineRule="auto"/>
              <w:ind w:left="0"/>
              <w:jc w:val="left"/>
              <w:rPr>
                <w:noProof/>
                <w:szCs w:val="24"/>
              </w:rPr>
            </w:pPr>
          </w:p>
        </w:tc>
        <w:tc>
          <w:tcPr>
            <w:tcW w:w="986" w:type="dxa"/>
            <w:vAlign w:val="center"/>
          </w:tcPr>
          <w:p w14:paraId="1DD6A6A5" w14:textId="77777777" w:rsidR="00FE0847" w:rsidRPr="00535DEB" w:rsidRDefault="00FE0847" w:rsidP="004A3878">
            <w:pPr>
              <w:pStyle w:val="Text3"/>
              <w:spacing w:after="0" w:line="276" w:lineRule="auto"/>
              <w:ind w:left="0"/>
              <w:jc w:val="center"/>
              <w:rPr>
                <w:b/>
                <w:bCs/>
                <w:noProof/>
                <w:szCs w:val="24"/>
              </w:rPr>
            </w:pPr>
            <w:r w:rsidRPr="00535DEB">
              <w:rPr>
                <w:b/>
                <w:noProof/>
              </w:rPr>
              <w:t>2018</w:t>
            </w:r>
          </w:p>
        </w:tc>
        <w:tc>
          <w:tcPr>
            <w:tcW w:w="986" w:type="dxa"/>
            <w:vAlign w:val="center"/>
          </w:tcPr>
          <w:p w14:paraId="4EC3BBB7" w14:textId="77777777" w:rsidR="00FE0847" w:rsidRPr="00535DEB" w:rsidRDefault="00FE0847" w:rsidP="004A3878">
            <w:pPr>
              <w:pStyle w:val="Text3"/>
              <w:spacing w:after="0" w:line="276" w:lineRule="auto"/>
              <w:ind w:left="0"/>
              <w:jc w:val="center"/>
              <w:rPr>
                <w:b/>
                <w:bCs/>
                <w:noProof/>
                <w:szCs w:val="24"/>
              </w:rPr>
            </w:pPr>
            <w:r w:rsidRPr="00535DEB">
              <w:rPr>
                <w:b/>
                <w:noProof/>
              </w:rPr>
              <w:t>2019</w:t>
            </w:r>
          </w:p>
        </w:tc>
        <w:tc>
          <w:tcPr>
            <w:tcW w:w="986" w:type="dxa"/>
            <w:vAlign w:val="center"/>
          </w:tcPr>
          <w:p w14:paraId="46054907" w14:textId="77777777" w:rsidR="00FE0847" w:rsidRPr="00535DEB" w:rsidRDefault="00FE0847" w:rsidP="004A3878">
            <w:pPr>
              <w:pStyle w:val="Text3"/>
              <w:spacing w:after="0" w:line="276" w:lineRule="auto"/>
              <w:ind w:left="0"/>
              <w:jc w:val="center"/>
              <w:rPr>
                <w:b/>
                <w:bCs/>
                <w:noProof/>
                <w:szCs w:val="24"/>
              </w:rPr>
            </w:pPr>
            <w:r w:rsidRPr="00535DEB">
              <w:rPr>
                <w:b/>
                <w:noProof/>
              </w:rPr>
              <w:t>2020</w:t>
            </w:r>
          </w:p>
        </w:tc>
        <w:tc>
          <w:tcPr>
            <w:tcW w:w="986" w:type="dxa"/>
            <w:vAlign w:val="center"/>
          </w:tcPr>
          <w:p w14:paraId="53CF5A73" w14:textId="77777777" w:rsidR="00FE0847" w:rsidRPr="00535DEB" w:rsidRDefault="00FE0847" w:rsidP="004A3878">
            <w:pPr>
              <w:pStyle w:val="Text3"/>
              <w:spacing w:after="0" w:line="276" w:lineRule="auto"/>
              <w:ind w:left="0"/>
              <w:jc w:val="center"/>
              <w:rPr>
                <w:b/>
                <w:bCs/>
                <w:noProof/>
                <w:szCs w:val="24"/>
              </w:rPr>
            </w:pPr>
            <w:r w:rsidRPr="00535DEB">
              <w:rPr>
                <w:b/>
                <w:noProof/>
              </w:rPr>
              <w:t>2021</w:t>
            </w:r>
          </w:p>
        </w:tc>
        <w:tc>
          <w:tcPr>
            <w:tcW w:w="986" w:type="dxa"/>
            <w:vAlign w:val="center"/>
          </w:tcPr>
          <w:p w14:paraId="54CDBD80" w14:textId="77777777" w:rsidR="00FE0847" w:rsidRPr="00535DEB" w:rsidRDefault="00FE0847" w:rsidP="004A3878">
            <w:pPr>
              <w:pStyle w:val="Text3"/>
              <w:spacing w:after="0" w:line="276" w:lineRule="auto"/>
              <w:ind w:left="0"/>
              <w:jc w:val="center"/>
              <w:rPr>
                <w:b/>
                <w:bCs/>
                <w:noProof/>
                <w:szCs w:val="24"/>
              </w:rPr>
            </w:pPr>
            <w:r w:rsidRPr="00535DEB">
              <w:rPr>
                <w:b/>
                <w:noProof/>
              </w:rPr>
              <w:t>2022</w:t>
            </w:r>
          </w:p>
        </w:tc>
        <w:tc>
          <w:tcPr>
            <w:tcW w:w="986" w:type="dxa"/>
            <w:vAlign w:val="center"/>
          </w:tcPr>
          <w:p w14:paraId="73EBBB87" w14:textId="77777777" w:rsidR="00FE0847" w:rsidRPr="00535DEB" w:rsidRDefault="00FE0847" w:rsidP="004A3878">
            <w:pPr>
              <w:pStyle w:val="Text3"/>
              <w:spacing w:after="0" w:line="276" w:lineRule="auto"/>
              <w:ind w:left="0"/>
              <w:jc w:val="center"/>
              <w:rPr>
                <w:b/>
                <w:bCs/>
                <w:noProof/>
                <w:szCs w:val="24"/>
              </w:rPr>
            </w:pPr>
            <w:r w:rsidRPr="00535DEB">
              <w:rPr>
                <w:b/>
                <w:noProof/>
              </w:rPr>
              <w:t>2023</w:t>
            </w:r>
          </w:p>
        </w:tc>
      </w:tr>
      <w:tr w:rsidR="00FE0847" w:rsidRPr="00535DEB" w14:paraId="72C5B4E0" w14:textId="77777777" w:rsidTr="004A3878">
        <w:trPr>
          <w:trHeight w:val="227"/>
          <w:jc w:val="center"/>
        </w:trPr>
        <w:tc>
          <w:tcPr>
            <w:tcW w:w="2686" w:type="dxa"/>
            <w:vAlign w:val="center"/>
          </w:tcPr>
          <w:p w14:paraId="74214676" w14:textId="77777777" w:rsidR="00FE0847" w:rsidRPr="00535DEB" w:rsidRDefault="00FE0847" w:rsidP="004A3878">
            <w:pPr>
              <w:pStyle w:val="Text3"/>
              <w:spacing w:after="0" w:line="276" w:lineRule="auto"/>
              <w:ind w:left="0"/>
              <w:jc w:val="left"/>
              <w:rPr>
                <w:noProof/>
                <w:szCs w:val="24"/>
              </w:rPr>
            </w:pPr>
            <w:r w:rsidRPr="00535DEB">
              <w:rPr>
                <w:noProof/>
              </w:rPr>
              <w:t>Efficacité énergétique (EE)</w:t>
            </w:r>
          </w:p>
        </w:tc>
        <w:tc>
          <w:tcPr>
            <w:tcW w:w="986" w:type="dxa"/>
            <w:vAlign w:val="center"/>
          </w:tcPr>
          <w:p w14:paraId="3B99059E" w14:textId="77777777" w:rsidR="00FE0847" w:rsidRPr="00535DEB" w:rsidRDefault="00FE0847" w:rsidP="004A3878">
            <w:pPr>
              <w:pStyle w:val="Text3"/>
              <w:spacing w:after="0" w:line="276" w:lineRule="auto"/>
              <w:ind w:left="0"/>
              <w:jc w:val="center"/>
              <w:rPr>
                <w:noProof/>
                <w:szCs w:val="24"/>
              </w:rPr>
            </w:pPr>
            <w:r w:rsidRPr="00535DEB">
              <w:rPr>
                <w:noProof/>
              </w:rPr>
              <w:t>2 421</w:t>
            </w:r>
          </w:p>
        </w:tc>
        <w:tc>
          <w:tcPr>
            <w:tcW w:w="986" w:type="dxa"/>
            <w:vAlign w:val="center"/>
          </w:tcPr>
          <w:p w14:paraId="787955D6" w14:textId="77777777" w:rsidR="00FE0847" w:rsidRPr="00535DEB" w:rsidRDefault="00FE0847" w:rsidP="004A3878">
            <w:pPr>
              <w:pStyle w:val="Text3"/>
              <w:spacing w:after="0" w:line="276" w:lineRule="auto"/>
              <w:ind w:left="0"/>
              <w:jc w:val="center"/>
              <w:rPr>
                <w:noProof/>
                <w:szCs w:val="24"/>
              </w:rPr>
            </w:pPr>
            <w:r w:rsidRPr="00535DEB">
              <w:rPr>
                <w:noProof/>
              </w:rPr>
              <w:t>4 289</w:t>
            </w:r>
          </w:p>
        </w:tc>
        <w:tc>
          <w:tcPr>
            <w:tcW w:w="986" w:type="dxa"/>
            <w:vAlign w:val="center"/>
          </w:tcPr>
          <w:p w14:paraId="61DEF1F8" w14:textId="77777777" w:rsidR="00FE0847" w:rsidRPr="00535DEB" w:rsidRDefault="00FE0847" w:rsidP="004A3878">
            <w:pPr>
              <w:pStyle w:val="Text3"/>
              <w:spacing w:after="0" w:line="276" w:lineRule="auto"/>
              <w:ind w:left="0"/>
              <w:jc w:val="center"/>
              <w:rPr>
                <w:noProof/>
                <w:szCs w:val="24"/>
              </w:rPr>
            </w:pPr>
            <w:r w:rsidRPr="00535DEB">
              <w:rPr>
                <w:noProof/>
              </w:rPr>
              <w:t>5 273</w:t>
            </w:r>
          </w:p>
        </w:tc>
        <w:tc>
          <w:tcPr>
            <w:tcW w:w="986" w:type="dxa"/>
            <w:vAlign w:val="center"/>
          </w:tcPr>
          <w:p w14:paraId="40F5A16B" w14:textId="77777777" w:rsidR="00FE0847" w:rsidRPr="00535DEB" w:rsidRDefault="00FE0847" w:rsidP="004A3878">
            <w:pPr>
              <w:pStyle w:val="Text3"/>
              <w:spacing w:after="0" w:line="276" w:lineRule="auto"/>
              <w:ind w:left="0"/>
              <w:jc w:val="center"/>
              <w:rPr>
                <w:noProof/>
                <w:szCs w:val="24"/>
              </w:rPr>
            </w:pPr>
            <w:r w:rsidRPr="00535DEB">
              <w:rPr>
                <w:noProof/>
              </w:rPr>
              <w:t>4 539</w:t>
            </w:r>
          </w:p>
        </w:tc>
        <w:tc>
          <w:tcPr>
            <w:tcW w:w="986" w:type="dxa"/>
            <w:vAlign w:val="center"/>
          </w:tcPr>
          <w:p w14:paraId="2A3E560C" w14:textId="77777777" w:rsidR="00FE0847" w:rsidRPr="00535DEB" w:rsidRDefault="00FE0847" w:rsidP="004A3878">
            <w:pPr>
              <w:pStyle w:val="Text3"/>
              <w:spacing w:after="0" w:line="276" w:lineRule="auto"/>
              <w:ind w:left="0"/>
              <w:jc w:val="center"/>
              <w:rPr>
                <w:noProof/>
                <w:szCs w:val="24"/>
              </w:rPr>
            </w:pPr>
            <w:r w:rsidRPr="00535DEB">
              <w:rPr>
                <w:noProof/>
              </w:rPr>
              <w:t>7 624</w:t>
            </w:r>
          </w:p>
        </w:tc>
        <w:tc>
          <w:tcPr>
            <w:tcW w:w="986" w:type="dxa"/>
            <w:vAlign w:val="center"/>
          </w:tcPr>
          <w:p w14:paraId="3477CB79" w14:textId="77777777" w:rsidR="00FE0847" w:rsidRPr="00535DEB" w:rsidRDefault="00FE0847" w:rsidP="004A3878">
            <w:pPr>
              <w:pStyle w:val="Text3"/>
              <w:spacing w:after="0" w:line="276" w:lineRule="auto"/>
              <w:ind w:left="0"/>
              <w:jc w:val="center"/>
              <w:rPr>
                <w:noProof/>
                <w:szCs w:val="24"/>
              </w:rPr>
            </w:pPr>
            <w:r w:rsidRPr="00535DEB">
              <w:rPr>
                <w:noProof/>
              </w:rPr>
              <w:t>9 326</w:t>
            </w:r>
          </w:p>
        </w:tc>
      </w:tr>
      <w:tr w:rsidR="003100D4" w:rsidRPr="00535DEB" w14:paraId="3883BF6F" w14:textId="77777777" w:rsidTr="004E34F6">
        <w:trPr>
          <w:trHeight w:val="227"/>
          <w:jc w:val="center"/>
        </w:trPr>
        <w:tc>
          <w:tcPr>
            <w:tcW w:w="2686" w:type="dxa"/>
            <w:tcBorders>
              <w:left w:val="nil"/>
              <w:right w:val="nil"/>
            </w:tcBorders>
            <w:vAlign w:val="center"/>
          </w:tcPr>
          <w:p w14:paraId="165CFA3D" w14:textId="77777777" w:rsidR="003100D4" w:rsidRPr="00535DEB" w:rsidRDefault="003100D4" w:rsidP="007D751C">
            <w:pPr>
              <w:pStyle w:val="Text3"/>
              <w:spacing w:after="0" w:line="276" w:lineRule="auto"/>
              <w:ind w:left="0"/>
              <w:jc w:val="left"/>
              <w:rPr>
                <w:noProof/>
                <w:szCs w:val="24"/>
              </w:rPr>
            </w:pPr>
          </w:p>
        </w:tc>
        <w:tc>
          <w:tcPr>
            <w:tcW w:w="986" w:type="dxa"/>
            <w:tcBorders>
              <w:left w:val="nil"/>
              <w:right w:val="nil"/>
            </w:tcBorders>
            <w:vAlign w:val="center"/>
          </w:tcPr>
          <w:p w14:paraId="07F8A4EB" w14:textId="77777777" w:rsidR="003100D4" w:rsidRPr="00535DEB"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68DB8C08" w14:textId="77777777" w:rsidR="003100D4" w:rsidRPr="00535DEB"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499805BE" w14:textId="77777777" w:rsidR="003100D4" w:rsidRPr="00535DEB"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68212702" w14:textId="77777777" w:rsidR="003100D4" w:rsidRPr="00535DEB"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5AE26186" w14:textId="77777777" w:rsidR="003100D4" w:rsidRPr="00535DEB"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39C43DCD" w14:textId="77777777" w:rsidR="003100D4" w:rsidRPr="00535DEB" w:rsidRDefault="003100D4" w:rsidP="007D751C">
            <w:pPr>
              <w:pStyle w:val="Text3"/>
              <w:spacing w:after="0" w:line="276" w:lineRule="auto"/>
              <w:ind w:left="0"/>
              <w:jc w:val="center"/>
              <w:rPr>
                <w:noProof/>
                <w:szCs w:val="24"/>
              </w:rPr>
            </w:pPr>
          </w:p>
        </w:tc>
      </w:tr>
    </w:tbl>
    <w:p w14:paraId="4C9BA495" w14:textId="292C96D3" w:rsidR="00F46029" w:rsidRPr="00535DEB" w:rsidRDefault="00F46029" w:rsidP="00446D0B">
      <w:pPr>
        <w:pStyle w:val="Text3"/>
        <w:spacing w:line="276" w:lineRule="auto"/>
        <w:ind w:left="0"/>
        <w:rPr>
          <w:noProof/>
          <w:sz w:val="20"/>
        </w:rPr>
      </w:pPr>
      <w:r w:rsidRPr="00535DEB">
        <w:rPr>
          <w:noProof/>
          <w:sz w:val="20"/>
        </w:rPr>
        <w:t>Source: Groupe Banque européenne d’investissement, 2024.</w:t>
      </w:r>
    </w:p>
    <w:p w14:paraId="604EB915" w14:textId="666EE69B" w:rsidR="002E4642" w:rsidRPr="00535DEB" w:rsidRDefault="00612DA3" w:rsidP="007D751C">
      <w:pPr>
        <w:pStyle w:val="Text3"/>
        <w:spacing w:line="276" w:lineRule="auto"/>
        <w:ind w:left="0"/>
        <w:rPr>
          <w:noProof/>
        </w:rPr>
      </w:pPr>
      <w:r w:rsidRPr="00535DEB">
        <w:rPr>
          <w:noProof/>
        </w:rPr>
        <w:t>Il convient de noter que ces chiffres incluent les ressources provenant du budget de l’Union mises en œuvre par la Banque européenne d’investissement (BEI) – l’un des principaux partenaires chargés de la mise en œuvre des fonds de l’UE – et par les banques de développement nationales (BDN). Il convient donc de ne pas les ajouter aux chiffres présentés dans la section précédente. C’est le cas, par exemple, des ressources provenant du programme de garantie InvestEU et d’ELENA. Ces chiffres mettent néanmoins en évidence la multiplication par plus de 12 des investissements du Groupe BEI en faveur de l’efficacité énergétique depuis 2012.</w:t>
      </w:r>
    </w:p>
    <w:p w14:paraId="2F7882DE" w14:textId="0075439D" w:rsidR="00612DA3" w:rsidRPr="00535DEB" w:rsidRDefault="00C54A53" w:rsidP="007D751C">
      <w:pPr>
        <w:pStyle w:val="Heading2"/>
        <w:spacing w:line="276" w:lineRule="auto"/>
        <w:rPr>
          <w:noProof/>
        </w:rPr>
      </w:pPr>
      <w:r w:rsidRPr="00535DEB">
        <w:rPr>
          <w:noProof/>
        </w:rPr>
        <w:t>Soutien financier public au niveau des États membres</w:t>
      </w:r>
    </w:p>
    <w:p w14:paraId="4C1E7F40" w14:textId="42FA3315" w:rsidR="006305EF" w:rsidRPr="00535DEB" w:rsidRDefault="003D0646" w:rsidP="007D751C">
      <w:pPr>
        <w:spacing w:line="276" w:lineRule="auto"/>
        <w:rPr>
          <w:noProof/>
        </w:rPr>
      </w:pPr>
      <w:r w:rsidRPr="00535DEB">
        <w:rPr>
          <w:noProof/>
        </w:rPr>
        <w:t>La Commission a procédé à une analyse ascendante des régimes de financement public. Les États membres ont ensuite été consultés i) au moyen d’un appel à contributions</w:t>
      </w:r>
      <w:r w:rsidRPr="00535DEB">
        <w:rPr>
          <w:rStyle w:val="FootnoteReference"/>
          <w:noProof/>
        </w:rPr>
        <w:footnoteReference w:id="19"/>
      </w:r>
      <w:r w:rsidRPr="00535DEB">
        <w:rPr>
          <w:noProof/>
        </w:rPr>
        <w:t xml:space="preserve"> et ii) par l’intermédiaire du groupe d’experts sur la directive relative à l’efficacité énergétique. Le présent rapport se fonde principalement sur les données collectées directement auprès des États membres, tandis que les autres données issues de l’analyse, lorsqu’elles étaient disponibles, ont été utilisées pour combler d’éventuelles lacunes.</w:t>
      </w:r>
    </w:p>
    <w:p w14:paraId="0685DA60" w14:textId="303F24B2" w:rsidR="00F46029" w:rsidRPr="00535DEB" w:rsidRDefault="006305EF" w:rsidP="007D751C">
      <w:pPr>
        <w:spacing w:line="276" w:lineRule="auto"/>
        <w:rPr>
          <w:noProof/>
        </w:rPr>
      </w:pPr>
      <w:r w:rsidRPr="00535DEB">
        <w:rPr>
          <w:noProof/>
        </w:rPr>
        <w:t>Au total, 426 régimes de financement public ont été recensés dans les 27 États membres.</w:t>
      </w:r>
    </w:p>
    <w:p w14:paraId="49049A3C" w14:textId="0E0CDAD8" w:rsidR="006305EF" w:rsidRPr="00535DEB" w:rsidRDefault="00F46029" w:rsidP="007D751C">
      <w:pPr>
        <w:spacing w:line="276" w:lineRule="auto"/>
        <w:rPr>
          <w:noProof/>
        </w:rPr>
      </w:pPr>
      <w:r w:rsidRPr="00535DEB">
        <w:rPr>
          <w:noProof/>
        </w:rPr>
        <w:t>Il convient de souligner que les données relatives à l’efficacité énergétique ne sont que des estimations indicatives étant donné qu’elles ne sont pas systématiquement collectées dans le cadre des régimes de financement public.</w:t>
      </w:r>
    </w:p>
    <w:p w14:paraId="56DA351B" w14:textId="5F71618E" w:rsidR="00FE4683" w:rsidRPr="00535DEB" w:rsidRDefault="4FB36564" w:rsidP="007D751C">
      <w:pPr>
        <w:spacing w:line="276" w:lineRule="auto"/>
        <w:rPr>
          <w:noProof/>
        </w:rPr>
      </w:pPr>
      <w:r w:rsidRPr="00535DEB">
        <w:rPr>
          <w:b/>
          <w:noProof/>
        </w:rPr>
        <w:t>De nombreux régimes nationaux sont cofinancés par des programmes de l’UE.</w:t>
      </w:r>
      <w:r w:rsidRPr="00535DEB">
        <w:rPr>
          <w:noProof/>
        </w:rPr>
        <w:t xml:space="preserve"> Un total de 103 régimes ont bénéficié d’un cofinancement, partiel ou total au titre des programmes de l’UE. La FFR a été le principal contributeur tant par le nombre que par le volume des régimes concernés. Les contributions de l’UE déclarées, d’un montant de 28,8 milliards d’EUR, n’ont pas été prises en compte dans le total afin d’éviter un double comptage entre les régimes de financement de l’UE et les régimes de financement nationaux</w:t>
      </w:r>
      <w:r w:rsidRPr="00535DEB">
        <w:rPr>
          <w:rStyle w:val="FootnoteReference"/>
          <w:noProof/>
        </w:rPr>
        <w:footnoteReference w:id="20"/>
      </w:r>
      <w:r w:rsidRPr="00535DEB">
        <w:rPr>
          <w:noProof/>
        </w:rPr>
        <w:t xml:space="preserve">. </w:t>
      </w:r>
    </w:p>
    <w:p w14:paraId="03C766F6" w14:textId="77777777" w:rsidR="0031363B" w:rsidRPr="00535DEB" w:rsidRDefault="00E01D23" w:rsidP="0031363B">
      <w:pPr>
        <w:spacing w:line="276" w:lineRule="auto"/>
        <w:rPr>
          <w:noProof/>
        </w:rPr>
      </w:pPr>
      <w:r w:rsidRPr="00535DEB">
        <w:rPr>
          <w:noProof/>
        </w:rPr>
        <w:t xml:space="preserve">Les données budgétaires relatives à 80 régimes n'ont pas été reçues. Par conséquent, l’évaluation se fonde sur les données relatives à 346 régimes dans toute l’Europe. </w:t>
      </w:r>
      <w:r w:rsidRPr="00535DEB">
        <w:rPr>
          <w:b/>
          <w:noProof/>
        </w:rPr>
        <w:t>L’aide financière apportée aux projets d’efficacité énergétique par les budgets nationaux pour la période 2014-2024 est estimée à 360 milliards d’EUR</w:t>
      </w:r>
      <w:r w:rsidRPr="00535DEB">
        <w:rPr>
          <w:rStyle w:val="FootnoteReference"/>
          <w:noProof/>
        </w:rPr>
        <w:footnoteReference w:id="21"/>
      </w:r>
      <w:r w:rsidRPr="00535DEB">
        <w:rPr>
          <w:b/>
          <w:noProof/>
        </w:rPr>
        <w:t xml:space="preserve">, c’est-à-dire environ 32,7 milliards d’EUR par an. </w:t>
      </w:r>
      <w:r w:rsidRPr="00535DEB">
        <w:rPr>
          <w:noProof/>
        </w:rPr>
        <w:t>La répartition du budget par État membre est présentée ci-dessous.</w:t>
      </w:r>
    </w:p>
    <w:p w14:paraId="35325DA1" w14:textId="0914F353" w:rsidR="00470D3D" w:rsidRPr="00535DEB" w:rsidRDefault="73364A06" w:rsidP="0031363B">
      <w:pPr>
        <w:spacing w:after="0" w:line="276" w:lineRule="auto"/>
        <w:rPr>
          <w:i/>
          <w:iCs/>
          <w:noProof/>
        </w:rPr>
      </w:pPr>
      <w:r w:rsidRPr="00535DEB">
        <w:rPr>
          <w:i/>
          <w:noProof/>
        </w:rPr>
        <w:t>Graphique 1/tableau 4: régimes nationaux de financement en faveur de l’efficacité énergétique, 2014-2024</w:t>
      </w:r>
    </w:p>
    <w:p w14:paraId="7B0AD9F5" w14:textId="6A6D24BD" w:rsidR="00470D3D" w:rsidRPr="00535DEB" w:rsidRDefault="00111AF6" w:rsidP="007D751C">
      <w:pPr>
        <w:pStyle w:val="Text2"/>
        <w:spacing w:line="276" w:lineRule="auto"/>
        <w:ind w:left="0"/>
        <w:rPr>
          <w:noProof/>
        </w:rPr>
      </w:pPr>
      <w:r w:rsidRPr="00111AF6">
        <w:rPr>
          <w:noProof/>
          <w:lang w:val="en-GB" w:eastAsia="en-GB"/>
        </w:rPr>
        <w:drawing>
          <wp:inline distT="0" distB="0" distL="0" distR="0" wp14:anchorId="782746A4" wp14:editId="74D219D4">
            <wp:extent cx="5472430" cy="2588895"/>
            <wp:effectExtent l="0" t="0" r="0" b="1905"/>
            <wp:docPr id="1409675534" name="Picture 1" descr="A graph with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75534" name="Picture 1" descr="A graph with blue and orange bars&#10;&#10;AI-generated content may be incorrect."/>
                    <pic:cNvPicPr/>
                  </pic:nvPicPr>
                  <pic:blipFill>
                    <a:blip r:embed="rId18"/>
                    <a:stretch>
                      <a:fillRect/>
                    </a:stretch>
                  </pic:blipFill>
                  <pic:spPr>
                    <a:xfrm>
                      <a:off x="0" y="0"/>
                      <a:ext cx="5472430" cy="2588895"/>
                    </a:xfrm>
                    <a:prstGeom prst="rect">
                      <a:avLst/>
                    </a:prstGeom>
                  </pic:spPr>
                </pic:pic>
              </a:graphicData>
            </a:graphic>
          </wp:inline>
        </w:drawing>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18"/>
        <w:gridCol w:w="2556"/>
        <w:gridCol w:w="1843"/>
      </w:tblGrid>
      <w:tr w:rsidR="00B72A2B" w:rsidRPr="00535DEB" w14:paraId="171CFE59" w14:textId="77777777" w:rsidTr="00DB3CF9">
        <w:trPr>
          <w:trHeight w:val="590"/>
          <w:jc w:val="center"/>
        </w:trPr>
        <w:tc>
          <w:tcPr>
            <w:tcW w:w="1838" w:type="dxa"/>
            <w:vAlign w:val="center"/>
            <w:hideMark/>
          </w:tcPr>
          <w:p w14:paraId="70472C82" w14:textId="54273914" w:rsidR="00F744A1" w:rsidRPr="00535DEB" w:rsidRDefault="00F00EB0" w:rsidP="007D751C">
            <w:pPr>
              <w:spacing w:after="0" w:line="276" w:lineRule="auto"/>
              <w:jc w:val="left"/>
              <w:rPr>
                <w:b/>
                <w:bCs/>
                <w:noProof/>
                <w:color w:val="000000"/>
                <w:szCs w:val="24"/>
              </w:rPr>
            </w:pPr>
            <w:r w:rsidRPr="00535DEB">
              <w:rPr>
                <w:b/>
                <w:noProof/>
                <w:color w:val="000000"/>
              </w:rPr>
              <w:t>États membres</w:t>
            </w:r>
          </w:p>
        </w:tc>
        <w:tc>
          <w:tcPr>
            <w:tcW w:w="1418" w:type="dxa"/>
            <w:vAlign w:val="center"/>
            <w:hideMark/>
          </w:tcPr>
          <w:p w14:paraId="758372EE" w14:textId="5CE17622" w:rsidR="00F744A1" w:rsidRPr="00535DEB" w:rsidRDefault="00C44233" w:rsidP="007D751C">
            <w:pPr>
              <w:spacing w:after="0" w:line="276" w:lineRule="auto"/>
              <w:jc w:val="center"/>
              <w:rPr>
                <w:b/>
                <w:bCs/>
                <w:noProof/>
                <w:color w:val="000000"/>
                <w:szCs w:val="24"/>
              </w:rPr>
            </w:pPr>
            <w:r w:rsidRPr="00535DEB">
              <w:rPr>
                <w:b/>
                <w:noProof/>
                <w:color w:val="000000"/>
              </w:rPr>
              <w:t>Nombre de régimes</w:t>
            </w:r>
          </w:p>
        </w:tc>
        <w:tc>
          <w:tcPr>
            <w:tcW w:w="2556" w:type="dxa"/>
            <w:vAlign w:val="center"/>
            <w:hideMark/>
          </w:tcPr>
          <w:p w14:paraId="4EDD1077" w14:textId="10740E9A" w:rsidR="00F744A1" w:rsidRPr="00535DEB" w:rsidRDefault="00F744A1" w:rsidP="007D751C">
            <w:pPr>
              <w:spacing w:after="0" w:line="276" w:lineRule="auto"/>
              <w:jc w:val="center"/>
              <w:rPr>
                <w:b/>
                <w:bCs/>
                <w:noProof/>
                <w:color w:val="000000"/>
                <w:szCs w:val="24"/>
              </w:rPr>
            </w:pPr>
            <w:r w:rsidRPr="00535DEB">
              <w:rPr>
                <w:b/>
                <w:noProof/>
                <w:color w:val="000000"/>
              </w:rPr>
              <w:t>Budget total prévu (en millions d’EUR)</w:t>
            </w:r>
          </w:p>
        </w:tc>
        <w:tc>
          <w:tcPr>
            <w:tcW w:w="1843" w:type="dxa"/>
            <w:vAlign w:val="center"/>
            <w:hideMark/>
          </w:tcPr>
          <w:p w14:paraId="11CD96C0" w14:textId="0775AF9F" w:rsidR="00F744A1" w:rsidRPr="00535DEB" w:rsidRDefault="003C7063" w:rsidP="007D751C">
            <w:pPr>
              <w:spacing w:after="0" w:line="276" w:lineRule="auto"/>
              <w:jc w:val="center"/>
              <w:rPr>
                <w:b/>
                <w:bCs/>
                <w:noProof/>
                <w:color w:val="000000"/>
                <w:szCs w:val="24"/>
              </w:rPr>
            </w:pPr>
            <w:r w:rsidRPr="00535DEB">
              <w:rPr>
                <w:b/>
                <w:noProof/>
                <w:color w:val="000000"/>
              </w:rPr>
              <w:t>EUR par habitant</w:t>
            </w:r>
          </w:p>
        </w:tc>
      </w:tr>
      <w:tr w:rsidR="00B72A2B" w:rsidRPr="00535DEB" w14:paraId="2A1A41D0" w14:textId="77777777" w:rsidTr="00DB3CF9">
        <w:trPr>
          <w:trHeight w:val="300"/>
          <w:jc w:val="center"/>
        </w:trPr>
        <w:tc>
          <w:tcPr>
            <w:tcW w:w="1838" w:type="dxa"/>
            <w:vAlign w:val="center"/>
            <w:hideMark/>
          </w:tcPr>
          <w:p w14:paraId="4E565175" w14:textId="77777777" w:rsidR="00F744A1" w:rsidRPr="00535DEB" w:rsidRDefault="00F744A1" w:rsidP="007D751C">
            <w:pPr>
              <w:spacing w:after="0" w:line="276" w:lineRule="auto"/>
              <w:rPr>
                <w:noProof/>
                <w:color w:val="000000"/>
                <w:szCs w:val="24"/>
              </w:rPr>
            </w:pPr>
            <w:r w:rsidRPr="00535DEB">
              <w:rPr>
                <w:noProof/>
                <w:color w:val="000000"/>
              </w:rPr>
              <w:t>Italie</w:t>
            </w:r>
          </w:p>
        </w:tc>
        <w:tc>
          <w:tcPr>
            <w:tcW w:w="1418" w:type="dxa"/>
            <w:vAlign w:val="center"/>
            <w:hideMark/>
          </w:tcPr>
          <w:p w14:paraId="607FC706" w14:textId="77777777" w:rsidR="00F744A1" w:rsidRPr="00535DEB" w:rsidRDefault="00F744A1" w:rsidP="007D751C">
            <w:pPr>
              <w:spacing w:after="0" w:line="276" w:lineRule="auto"/>
              <w:jc w:val="center"/>
              <w:rPr>
                <w:noProof/>
                <w:color w:val="000000"/>
                <w:szCs w:val="24"/>
              </w:rPr>
            </w:pPr>
            <w:r w:rsidRPr="00535DEB">
              <w:rPr>
                <w:noProof/>
                <w:color w:val="000000"/>
              </w:rPr>
              <w:t>8</w:t>
            </w:r>
          </w:p>
        </w:tc>
        <w:tc>
          <w:tcPr>
            <w:tcW w:w="2556" w:type="dxa"/>
            <w:vAlign w:val="center"/>
            <w:hideMark/>
          </w:tcPr>
          <w:p w14:paraId="210322FF" w14:textId="0492302C" w:rsidR="00F744A1" w:rsidRPr="00535DEB" w:rsidRDefault="00F744A1" w:rsidP="007D751C">
            <w:pPr>
              <w:spacing w:after="0" w:line="276" w:lineRule="auto"/>
              <w:jc w:val="center"/>
              <w:rPr>
                <w:noProof/>
                <w:color w:val="000000"/>
                <w:szCs w:val="24"/>
              </w:rPr>
            </w:pPr>
            <w:r w:rsidRPr="00535DEB">
              <w:rPr>
                <w:noProof/>
                <w:color w:val="000000"/>
              </w:rPr>
              <w:t>134 465</w:t>
            </w:r>
          </w:p>
        </w:tc>
        <w:tc>
          <w:tcPr>
            <w:tcW w:w="1843" w:type="dxa"/>
            <w:vAlign w:val="center"/>
            <w:hideMark/>
          </w:tcPr>
          <w:p w14:paraId="1062671B" w14:textId="17B8A942" w:rsidR="00F744A1" w:rsidRPr="00535DEB" w:rsidRDefault="00F744A1" w:rsidP="007D751C">
            <w:pPr>
              <w:spacing w:after="0" w:line="276" w:lineRule="auto"/>
              <w:jc w:val="center"/>
              <w:rPr>
                <w:noProof/>
                <w:color w:val="000000"/>
                <w:szCs w:val="24"/>
              </w:rPr>
            </w:pPr>
            <w:r w:rsidRPr="00535DEB">
              <w:rPr>
                <w:noProof/>
                <w:color w:val="000000"/>
              </w:rPr>
              <w:t>2 284</w:t>
            </w:r>
          </w:p>
        </w:tc>
      </w:tr>
      <w:tr w:rsidR="00B72A2B" w:rsidRPr="00535DEB" w14:paraId="22B48707" w14:textId="77777777" w:rsidTr="00DB3CF9">
        <w:trPr>
          <w:trHeight w:val="300"/>
          <w:jc w:val="center"/>
        </w:trPr>
        <w:tc>
          <w:tcPr>
            <w:tcW w:w="1838" w:type="dxa"/>
            <w:vAlign w:val="center"/>
            <w:hideMark/>
          </w:tcPr>
          <w:p w14:paraId="4C5B9B95" w14:textId="77777777" w:rsidR="00F744A1" w:rsidRPr="00535DEB" w:rsidRDefault="00F744A1" w:rsidP="007D751C">
            <w:pPr>
              <w:spacing w:after="0" w:line="276" w:lineRule="auto"/>
              <w:rPr>
                <w:noProof/>
                <w:color w:val="000000"/>
                <w:szCs w:val="24"/>
              </w:rPr>
            </w:pPr>
            <w:r w:rsidRPr="00535DEB">
              <w:rPr>
                <w:noProof/>
                <w:color w:val="000000"/>
              </w:rPr>
              <w:t>Suède</w:t>
            </w:r>
          </w:p>
        </w:tc>
        <w:tc>
          <w:tcPr>
            <w:tcW w:w="1418" w:type="dxa"/>
            <w:vAlign w:val="center"/>
            <w:hideMark/>
          </w:tcPr>
          <w:p w14:paraId="716C86DB" w14:textId="77777777" w:rsidR="00F744A1" w:rsidRPr="00535DEB" w:rsidRDefault="00F744A1" w:rsidP="007D751C">
            <w:pPr>
              <w:spacing w:after="0" w:line="276" w:lineRule="auto"/>
              <w:jc w:val="center"/>
              <w:rPr>
                <w:noProof/>
                <w:color w:val="000000"/>
                <w:szCs w:val="24"/>
              </w:rPr>
            </w:pPr>
            <w:r w:rsidRPr="00535DEB">
              <w:rPr>
                <w:noProof/>
                <w:color w:val="000000"/>
              </w:rPr>
              <w:t>7</w:t>
            </w:r>
          </w:p>
        </w:tc>
        <w:tc>
          <w:tcPr>
            <w:tcW w:w="2556" w:type="dxa"/>
            <w:vAlign w:val="center"/>
            <w:hideMark/>
          </w:tcPr>
          <w:p w14:paraId="6B7E76B1" w14:textId="01784C7C" w:rsidR="00F744A1" w:rsidRPr="00535DEB" w:rsidRDefault="00F744A1" w:rsidP="007D751C">
            <w:pPr>
              <w:spacing w:after="0" w:line="276" w:lineRule="auto"/>
              <w:jc w:val="center"/>
              <w:rPr>
                <w:noProof/>
                <w:color w:val="000000"/>
                <w:szCs w:val="24"/>
              </w:rPr>
            </w:pPr>
            <w:r w:rsidRPr="00535DEB">
              <w:rPr>
                <w:noProof/>
                <w:color w:val="000000"/>
              </w:rPr>
              <w:t>22 067</w:t>
            </w:r>
          </w:p>
        </w:tc>
        <w:tc>
          <w:tcPr>
            <w:tcW w:w="1843" w:type="dxa"/>
            <w:vAlign w:val="center"/>
            <w:hideMark/>
          </w:tcPr>
          <w:p w14:paraId="6D9C5D4F" w14:textId="5D728E40" w:rsidR="00F744A1" w:rsidRPr="00535DEB" w:rsidRDefault="00F744A1" w:rsidP="007D751C">
            <w:pPr>
              <w:spacing w:after="0" w:line="276" w:lineRule="auto"/>
              <w:jc w:val="center"/>
              <w:rPr>
                <w:noProof/>
                <w:color w:val="000000"/>
                <w:szCs w:val="24"/>
              </w:rPr>
            </w:pPr>
            <w:r w:rsidRPr="00535DEB">
              <w:rPr>
                <w:noProof/>
                <w:color w:val="000000"/>
              </w:rPr>
              <w:t>2 104</w:t>
            </w:r>
          </w:p>
        </w:tc>
      </w:tr>
      <w:tr w:rsidR="00B72A2B" w:rsidRPr="00535DEB" w14:paraId="1F782C97" w14:textId="77777777" w:rsidTr="00DB3CF9">
        <w:trPr>
          <w:trHeight w:val="300"/>
          <w:jc w:val="center"/>
        </w:trPr>
        <w:tc>
          <w:tcPr>
            <w:tcW w:w="1838" w:type="dxa"/>
            <w:vAlign w:val="center"/>
            <w:hideMark/>
          </w:tcPr>
          <w:p w14:paraId="02ACDD9B" w14:textId="77777777" w:rsidR="00F744A1" w:rsidRPr="00535DEB" w:rsidRDefault="00F744A1" w:rsidP="007D751C">
            <w:pPr>
              <w:spacing w:after="0" w:line="276" w:lineRule="auto"/>
              <w:rPr>
                <w:noProof/>
                <w:color w:val="000000"/>
                <w:szCs w:val="24"/>
              </w:rPr>
            </w:pPr>
            <w:r w:rsidRPr="00535DEB">
              <w:rPr>
                <w:noProof/>
                <w:color w:val="000000"/>
              </w:rPr>
              <w:t>France</w:t>
            </w:r>
          </w:p>
        </w:tc>
        <w:tc>
          <w:tcPr>
            <w:tcW w:w="1418" w:type="dxa"/>
            <w:vAlign w:val="center"/>
            <w:hideMark/>
          </w:tcPr>
          <w:p w14:paraId="3CBE306A" w14:textId="77777777" w:rsidR="00F744A1" w:rsidRPr="00535DEB" w:rsidRDefault="00F744A1" w:rsidP="007D751C">
            <w:pPr>
              <w:spacing w:after="0" w:line="276" w:lineRule="auto"/>
              <w:jc w:val="center"/>
              <w:rPr>
                <w:noProof/>
                <w:color w:val="000000"/>
                <w:szCs w:val="24"/>
              </w:rPr>
            </w:pPr>
            <w:r w:rsidRPr="00535DEB">
              <w:rPr>
                <w:noProof/>
                <w:color w:val="000000"/>
              </w:rPr>
              <w:t>14</w:t>
            </w:r>
          </w:p>
        </w:tc>
        <w:tc>
          <w:tcPr>
            <w:tcW w:w="2556" w:type="dxa"/>
            <w:vAlign w:val="center"/>
            <w:hideMark/>
          </w:tcPr>
          <w:p w14:paraId="675439AF" w14:textId="0B787307" w:rsidR="00F744A1" w:rsidRPr="00535DEB" w:rsidRDefault="00F744A1" w:rsidP="007D751C">
            <w:pPr>
              <w:spacing w:after="0" w:line="276" w:lineRule="auto"/>
              <w:jc w:val="center"/>
              <w:rPr>
                <w:noProof/>
                <w:color w:val="000000"/>
                <w:szCs w:val="24"/>
              </w:rPr>
            </w:pPr>
            <w:r w:rsidRPr="00535DEB">
              <w:rPr>
                <w:noProof/>
                <w:color w:val="000000"/>
              </w:rPr>
              <w:t>125 711</w:t>
            </w:r>
          </w:p>
        </w:tc>
        <w:tc>
          <w:tcPr>
            <w:tcW w:w="1843" w:type="dxa"/>
            <w:vAlign w:val="center"/>
            <w:hideMark/>
          </w:tcPr>
          <w:p w14:paraId="2535E3FD" w14:textId="0F631609" w:rsidR="00F744A1" w:rsidRPr="00535DEB" w:rsidRDefault="00F744A1" w:rsidP="007D751C">
            <w:pPr>
              <w:spacing w:after="0" w:line="276" w:lineRule="auto"/>
              <w:jc w:val="center"/>
              <w:rPr>
                <w:noProof/>
                <w:color w:val="000000"/>
                <w:szCs w:val="24"/>
              </w:rPr>
            </w:pPr>
            <w:r w:rsidRPr="00535DEB">
              <w:rPr>
                <w:noProof/>
                <w:color w:val="000000"/>
              </w:rPr>
              <w:t>1 850</w:t>
            </w:r>
          </w:p>
        </w:tc>
      </w:tr>
      <w:tr w:rsidR="00B72A2B" w:rsidRPr="00535DEB" w14:paraId="05D2D350" w14:textId="77777777" w:rsidTr="00DB3CF9">
        <w:trPr>
          <w:trHeight w:val="300"/>
          <w:jc w:val="center"/>
        </w:trPr>
        <w:tc>
          <w:tcPr>
            <w:tcW w:w="1838" w:type="dxa"/>
            <w:vAlign w:val="center"/>
            <w:hideMark/>
          </w:tcPr>
          <w:p w14:paraId="605361DD" w14:textId="77777777" w:rsidR="00F744A1" w:rsidRPr="00535DEB" w:rsidRDefault="00F744A1" w:rsidP="007D751C">
            <w:pPr>
              <w:spacing w:after="0" w:line="276" w:lineRule="auto"/>
              <w:rPr>
                <w:noProof/>
                <w:color w:val="000000"/>
                <w:szCs w:val="24"/>
              </w:rPr>
            </w:pPr>
            <w:r w:rsidRPr="00535DEB">
              <w:rPr>
                <w:noProof/>
                <w:color w:val="000000"/>
              </w:rPr>
              <w:t>Autriche</w:t>
            </w:r>
          </w:p>
        </w:tc>
        <w:tc>
          <w:tcPr>
            <w:tcW w:w="1418" w:type="dxa"/>
            <w:vAlign w:val="center"/>
            <w:hideMark/>
          </w:tcPr>
          <w:p w14:paraId="79DE4049" w14:textId="77777777" w:rsidR="00F744A1" w:rsidRPr="00535DEB" w:rsidRDefault="00F744A1" w:rsidP="007D751C">
            <w:pPr>
              <w:spacing w:after="0" w:line="276" w:lineRule="auto"/>
              <w:jc w:val="center"/>
              <w:rPr>
                <w:noProof/>
                <w:color w:val="000000"/>
                <w:szCs w:val="24"/>
              </w:rPr>
            </w:pPr>
            <w:r w:rsidRPr="00535DEB">
              <w:rPr>
                <w:noProof/>
                <w:color w:val="000000"/>
              </w:rPr>
              <w:t>16</w:t>
            </w:r>
          </w:p>
        </w:tc>
        <w:tc>
          <w:tcPr>
            <w:tcW w:w="2556" w:type="dxa"/>
            <w:vAlign w:val="center"/>
            <w:hideMark/>
          </w:tcPr>
          <w:p w14:paraId="5E552B07" w14:textId="7E1DD746" w:rsidR="00F744A1" w:rsidRPr="00535DEB" w:rsidRDefault="00F744A1" w:rsidP="007D751C">
            <w:pPr>
              <w:spacing w:after="0" w:line="276" w:lineRule="auto"/>
              <w:jc w:val="center"/>
              <w:rPr>
                <w:noProof/>
                <w:color w:val="000000"/>
                <w:szCs w:val="24"/>
              </w:rPr>
            </w:pPr>
            <w:r w:rsidRPr="00535DEB">
              <w:rPr>
                <w:noProof/>
                <w:color w:val="000000"/>
              </w:rPr>
              <w:t>14 537</w:t>
            </w:r>
          </w:p>
        </w:tc>
        <w:tc>
          <w:tcPr>
            <w:tcW w:w="1843" w:type="dxa"/>
            <w:vAlign w:val="center"/>
            <w:hideMark/>
          </w:tcPr>
          <w:p w14:paraId="046084C9" w14:textId="4228A882" w:rsidR="00F744A1" w:rsidRPr="00535DEB" w:rsidRDefault="00F744A1" w:rsidP="007D751C">
            <w:pPr>
              <w:spacing w:after="0" w:line="276" w:lineRule="auto"/>
              <w:jc w:val="center"/>
              <w:rPr>
                <w:noProof/>
                <w:color w:val="000000"/>
                <w:szCs w:val="24"/>
              </w:rPr>
            </w:pPr>
            <w:r w:rsidRPr="00535DEB">
              <w:rPr>
                <w:noProof/>
                <w:color w:val="000000"/>
              </w:rPr>
              <w:t>1 608</w:t>
            </w:r>
          </w:p>
        </w:tc>
      </w:tr>
      <w:tr w:rsidR="00B72A2B" w:rsidRPr="00535DEB" w14:paraId="10E3AD95" w14:textId="77777777" w:rsidTr="00DB3CF9">
        <w:trPr>
          <w:trHeight w:val="300"/>
          <w:jc w:val="center"/>
        </w:trPr>
        <w:tc>
          <w:tcPr>
            <w:tcW w:w="1838" w:type="dxa"/>
            <w:vAlign w:val="center"/>
            <w:hideMark/>
          </w:tcPr>
          <w:p w14:paraId="040151B3" w14:textId="77777777" w:rsidR="00F744A1" w:rsidRPr="00535DEB" w:rsidRDefault="00F744A1" w:rsidP="007D751C">
            <w:pPr>
              <w:spacing w:after="0" w:line="276" w:lineRule="auto"/>
              <w:rPr>
                <w:noProof/>
                <w:color w:val="000000"/>
                <w:szCs w:val="24"/>
              </w:rPr>
            </w:pPr>
            <w:r w:rsidRPr="00535DEB">
              <w:rPr>
                <w:noProof/>
                <w:color w:val="000000"/>
              </w:rPr>
              <w:t>Tchéquie</w:t>
            </w:r>
          </w:p>
        </w:tc>
        <w:tc>
          <w:tcPr>
            <w:tcW w:w="1418" w:type="dxa"/>
            <w:vAlign w:val="center"/>
            <w:hideMark/>
          </w:tcPr>
          <w:p w14:paraId="41A7E4E4" w14:textId="77777777" w:rsidR="00F744A1" w:rsidRPr="00535DEB" w:rsidRDefault="00F744A1" w:rsidP="007D751C">
            <w:pPr>
              <w:spacing w:after="0" w:line="276" w:lineRule="auto"/>
              <w:jc w:val="center"/>
              <w:rPr>
                <w:noProof/>
                <w:color w:val="000000"/>
                <w:szCs w:val="24"/>
              </w:rPr>
            </w:pPr>
            <w:r w:rsidRPr="00535DEB">
              <w:rPr>
                <w:noProof/>
                <w:color w:val="000000"/>
              </w:rPr>
              <w:t>24</w:t>
            </w:r>
          </w:p>
        </w:tc>
        <w:tc>
          <w:tcPr>
            <w:tcW w:w="2556" w:type="dxa"/>
            <w:vAlign w:val="center"/>
            <w:hideMark/>
          </w:tcPr>
          <w:p w14:paraId="6104E6C1" w14:textId="29A0A497" w:rsidR="00F744A1" w:rsidRPr="00535DEB" w:rsidRDefault="00F744A1" w:rsidP="007D751C">
            <w:pPr>
              <w:spacing w:after="0" w:line="276" w:lineRule="auto"/>
              <w:jc w:val="center"/>
              <w:rPr>
                <w:noProof/>
                <w:color w:val="000000"/>
                <w:szCs w:val="24"/>
              </w:rPr>
            </w:pPr>
            <w:r w:rsidRPr="00535DEB">
              <w:rPr>
                <w:noProof/>
                <w:color w:val="000000"/>
              </w:rPr>
              <w:t>15 697</w:t>
            </w:r>
          </w:p>
        </w:tc>
        <w:tc>
          <w:tcPr>
            <w:tcW w:w="1843" w:type="dxa"/>
            <w:vAlign w:val="center"/>
            <w:hideMark/>
          </w:tcPr>
          <w:p w14:paraId="1415517C" w14:textId="659483B6" w:rsidR="00F744A1" w:rsidRPr="00535DEB" w:rsidRDefault="00F744A1" w:rsidP="007D751C">
            <w:pPr>
              <w:spacing w:after="0" w:line="276" w:lineRule="auto"/>
              <w:jc w:val="center"/>
              <w:rPr>
                <w:noProof/>
                <w:color w:val="000000"/>
                <w:szCs w:val="24"/>
              </w:rPr>
            </w:pPr>
            <w:r w:rsidRPr="00535DEB">
              <w:rPr>
                <w:noProof/>
                <w:color w:val="000000"/>
              </w:rPr>
              <w:t>1 491</w:t>
            </w:r>
          </w:p>
        </w:tc>
      </w:tr>
      <w:tr w:rsidR="00B72A2B" w:rsidRPr="00535DEB" w14:paraId="2635B5FA" w14:textId="77777777" w:rsidTr="00DB3CF9">
        <w:trPr>
          <w:trHeight w:val="300"/>
          <w:jc w:val="center"/>
        </w:trPr>
        <w:tc>
          <w:tcPr>
            <w:tcW w:w="1838" w:type="dxa"/>
            <w:vAlign w:val="center"/>
            <w:hideMark/>
          </w:tcPr>
          <w:p w14:paraId="0986F510" w14:textId="77777777" w:rsidR="00F744A1" w:rsidRPr="00535DEB" w:rsidRDefault="00F744A1" w:rsidP="007D751C">
            <w:pPr>
              <w:spacing w:after="0" w:line="276" w:lineRule="auto"/>
              <w:rPr>
                <w:noProof/>
                <w:color w:val="000000"/>
                <w:szCs w:val="24"/>
              </w:rPr>
            </w:pPr>
            <w:r w:rsidRPr="00535DEB">
              <w:rPr>
                <w:noProof/>
                <w:color w:val="000000"/>
              </w:rPr>
              <w:t>Danemark</w:t>
            </w:r>
          </w:p>
        </w:tc>
        <w:tc>
          <w:tcPr>
            <w:tcW w:w="1418" w:type="dxa"/>
            <w:vAlign w:val="center"/>
            <w:hideMark/>
          </w:tcPr>
          <w:p w14:paraId="197428AD" w14:textId="77777777" w:rsidR="00F744A1" w:rsidRPr="00535DEB" w:rsidRDefault="00F744A1" w:rsidP="007D751C">
            <w:pPr>
              <w:spacing w:after="0" w:line="276" w:lineRule="auto"/>
              <w:jc w:val="center"/>
              <w:rPr>
                <w:noProof/>
                <w:color w:val="000000"/>
                <w:szCs w:val="24"/>
              </w:rPr>
            </w:pPr>
            <w:r w:rsidRPr="00535DEB">
              <w:rPr>
                <w:noProof/>
                <w:color w:val="000000"/>
              </w:rPr>
              <w:t>9</w:t>
            </w:r>
          </w:p>
        </w:tc>
        <w:tc>
          <w:tcPr>
            <w:tcW w:w="2556" w:type="dxa"/>
            <w:vAlign w:val="center"/>
            <w:hideMark/>
          </w:tcPr>
          <w:p w14:paraId="184941BA" w14:textId="75E44317" w:rsidR="00F744A1" w:rsidRPr="00535DEB" w:rsidRDefault="00F744A1" w:rsidP="007D751C">
            <w:pPr>
              <w:spacing w:after="0" w:line="276" w:lineRule="auto"/>
              <w:jc w:val="center"/>
              <w:rPr>
                <w:noProof/>
                <w:color w:val="000000"/>
                <w:szCs w:val="24"/>
              </w:rPr>
            </w:pPr>
            <w:r w:rsidRPr="00535DEB">
              <w:rPr>
                <w:noProof/>
                <w:color w:val="000000"/>
              </w:rPr>
              <w:t>5 720</w:t>
            </w:r>
          </w:p>
        </w:tc>
        <w:tc>
          <w:tcPr>
            <w:tcW w:w="1843" w:type="dxa"/>
            <w:vAlign w:val="center"/>
            <w:hideMark/>
          </w:tcPr>
          <w:p w14:paraId="4D6B3DFB" w14:textId="553430EB" w:rsidR="00F744A1" w:rsidRPr="00535DEB" w:rsidRDefault="00F744A1" w:rsidP="007D751C">
            <w:pPr>
              <w:spacing w:after="0" w:line="276" w:lineRule="auto"/>
              <w:jc w:val="center"/>
              <w:rPr>
                <w:noProof/>
                <w:color w:val="000000"/>
                <w:szCs w:val="24"/>
              </w:rPr>
            </w:pPr>
            <w:r w:rsidRPr="00535DEB">
              <w:rPr>
                <w:noProof/>
                <w:color w:val="000000"/>
              </w:rPr>
              <w:t>969</w:t>
            </w:r>
          </w:p>
        </w:tc>
      </w:tr>
      <w:tr w:rsidR="00B72A2B" w:rsidRPr="00535DEB" w14:paraId="2230EA14" w14:textId="77777777" w:rsidTr="00DB3CF9">
        <w:trPr>
          <w:trHeight w:val="300"/>
          <w:jc w:val="center"/>
        </w:trPr>
        <w:tc>
          <w:tcPr>
            <w:tcW w:w="1838" w:type="dxa"/>
            <w:vAlign w:val="center"/>
            <w:hideMark/>
          </w:tcPr>
          <w:p w14:paraId="759311F5" w14:textId="77777777" w:rsidR="00F744A1" w:rsidRPr="00535DEB" w:rsidRDefault="00F744A1" w:rsidP="007D751C">
            <w:pPr>
              <w:spacing w:after="0" w:line="276" w:lineRule="auto"/>
              <w:rPr>
                <w:noProof/>
                <w:color w:val="000000"/>
                <w:szCs w:val="24"/>
              </w:rPr>
            </w:pPr>
            <w:r w:rsidRPr="00535DEB">
              <w:rPr>
                <w:noProof/>
                <w:color w:val="000000"/>
              </w:rPr>
              <w:t>Allemagne</w:t>
            </w:r>
          </w:p>
        </w:tc>
        <w:tc>
          <w:tcPr>
            <w:tcW w:w="1418" w:type="dxa"/>
            <w:vAlign w:val="center"/>
            <w:hideMark/>
          </w:tcPr>
          <w:p w14:paraId="2624D18D" w14:textId="77777777" w:rsidR="00F744A1" w:rsidRPr="00535DEB" w:rsidRDefault="00F744A1" w:rsidP="007D751C">
            <w:pPr>
              <w:spacing w:after="0" w:line="276" w:lineRule="auto"/>
              <w:jc w:val="center"/>
              <w:rPr>
                <w:noProof/>
                <w:color w:val="000000"/>
                <w:szCs w:val="24"/>
              </w:rPr>
            </w:pPr>
            <w:r w:rsidRPr="00535DEB">
              <w:rPr>
                <w:noProof/>
                <w:color w:val="000000"/>
              </w:rPr>
              <w:t>15</w:t>
            </w:r>
          </w:p>
        </w:tc>
        <w:tc>
          <w:tcPr>
            <w:tcW w:w="2556" w:type="dxa"/>
            <w:vAlign w:val="center"/>
            <w:hideMark/>
          </w:tcPr>
          <w:p w14:paraId="6D87D746" w14:textId="2FC1A12B" w:rsidR="00F744A1" w:rsidRPr="00535DEB" w:rsidRDefault="00F744A1" w:rsidP="007D751C">
            <w:pPr>
              <w:spacing w:after="0" w:line="276" w:lineRule="auto"/>
              <w:jc w:val="center"/>
              <w:rPr>
                <w:noProof/>
                <w:color w:val="000000"/>
                <w:szCs w:val="24"/>
              </w:rPr>
            </w:pPr>
            <w:r w:rsidRPr="00535DEB">
              <w:rPr>
                <w:noProof/>
                <w:color w:val="000000"/>
              </w:rPr>
              <w:t>80 563</w:t>
            </w:r>
          </w:p>
        </w:tc>
        <w:tc>
          <w:tcPr>
            <w:tcW w:w="1843" w:type="dxa"/>
            <w:vAlign w:val="center"/>
            <w:hideMark/>
          </w:tcPr>
          <w:p w14:paraId="0F5A9C75" w14:textId="5B3B8922" w:rsidR="00F744A1" w:rsidRPr="00535DEB" w:rsidRDefault="00F744A1" w:rsidP="007D751C">
            <w:pPr>
              <w:spacing w:after="0" w:line="276" w:lineRule="auto"/>
              <w:jc w:val="center"/>
              <w:rPr>
                <w:noProof/>
                <w:color w:val="000000"/>
                <w:szCs w:val="24"/>
              </w:rPr>
            </w:pPr>
            <w:r w:rsidRPr="00535DEB">
              <w:rPr>
                <w:noProof/>
                <w:color w:val="000000"/>
              </w:rPr>
              <w:t>958</w:t>
            </w:r>
          </w:p>
        </w:tc>
      </w:tr>
      <w:tr w:rsidR="00B72A2B" w:rsidRPr="00535DEB" w14:paraId="41C85DC2" w14:textId="77777777" w:rsidTr="00DB3CF9">
        <w:trPr>
          <w:trHeight w:val="300"/>
          <w:jc w:val="center"/>
        </w:trPr>
        <w:tc>
          <w:tcPr>
            <w:tcW w:w="1838" w:type="dxa"/>
            <w:vAlign w:val="center"/>
            <w:hideMark/>
          </w:tcPr>
          <w:p w14:paraId="4990D63C" w14:textId="77777777" w:rsidR="00F744A1" w:rsidRPr="00535DEB" w:rsidRDefault="00F744A1" w:rsidP="007D751C">
            <w:pPr>
              <w:spacing w:after="0" w:line="276" w:lineRule="auto"/>
              <w:rPr>
                <w:noProof/>
                <w:color w:val="000000"/>
                <w:szCs w:val="24"/>
              </w:rPr>
            </w:pPr>
            <w:r w:rsidRPr="00535DEB">
              <w:rPr>
                <w:noProof/>
                <w:color w:val="000000"/>
              </w:rPr>
              <w:t>Finlande</w:t>
            </w:r>
          </w:p>
        </w:tc>
        <w:tc>
          <w:tcPr>
            <w:tcW w:w="1418" w:type="dxa"/>
            <w:vAlign w:val="center"/>
            <w:hideMark/>
          </w:tcPr>
          <w:p w14:paraId="547794E3" w14:textId="77777777" w:rsidR="00F744A1" w:rsidRPr="00535DEB" w:rsidRDefault="00F744A1" w:rsidP="007D751C">
            <w:pPr>
              <w:spacing w:after="0" w:line="276" w:lineRule="auto"/>
              <w:jc w:val="center"/>
              <w:rPr>
                <w:noProof/>
                <w:color w:val="000000"/>
                <w:szCs w:val="24"/>
              </w:rPr>
            </w:pPr>
            <w:r w:rsidRPr="00535DEB">
              <w:rPr>
                <w:noProof/>
                <w:color w:val="000000"/>
              </w:rPr>
              <w:t>10</w:t>
            </w:r>
          </w:p>
        </w:tc>
        <w:tc>
          <w:tcPr>
            <w:tcW w:w="2556" w:type="dxa"/>
            <w:vAlign w:val="center"/>
            <w:hideMark/>
          </w:tcPr>
          <w:p w14:paraId="0A97A12F" w14:textId="67FAF0B8" w:rsidR="00F744A1" w:rsidRPr="00535DEB" w:rsidRDefault="00F744A1" w:rsidP="007D751C">
            <w:pPr>
              <w:spacing w:after="0" w:line="276" w:lineRule="auto"/>
              <w:jc w:val="center"/>
              <w:rPr>
                <w:noProof/>
                <w:color w:val="000000"/>
                <w:szCs w:val="24"/>
              </w:rPr>
            </w:pPr>
            <w:r w:rsidRPr="00535DEB">
              <w:rPr>
                <w:noProof/>
                <w:color w:val="000000"/>
              </w:rPr>
              <w:t>5 186</w:t>
            </w:r>
          </w:p>
        </w:tc>
        <w:tc>
          <w:tcPr>
            <w:tcW w:w="1843" w:type="dxa"/>
            <w:vAlign w:val="center"/>
            <w:hideMark/>
          </w:tcPr>
          <w:p w14:paraId="760F3DF2" w14:textId="3DFD03AB" w:rsidR="00F744A1" w:rsidRPr="00535DEB" w:rsidRDefault="00F744A1" w:rsidP="007D751C">
            <w:pPr>
              <w:spacing w:after="0" w:line="276" w:lineRule="auto"/>
              <w:jc w:val="center"/>
              <w:rPr>
                <w:noProof/>
                <w:color w:val="000000"/>
                <w:szCs w:val="24"/>
              </w:rPr>
            </w:pPr>
            <w:r w:rsidRPr="00535DEB">
              <w:rPr>
                <w:noProof/>
                <w:color w:val="000000"/>
              </w:rPr>
              <w:t>933</w:t>
            </w:r>
          </w:p>
        </w:tc>
      </w:tr>
      <w:tr w:rsidR="00B72A2B" w:rsidRPr="00535DEB" w14:paraId="4FCD1CB2" w14:textId="77777777" w:rsidTr="00DB3CF9">
        <w:trPr>
          <w:trHeight w:val="300"/>
          <w:jc w:val="center"/>
        </w:trPr>
        <w:tc>
          <w:tcPr>
            <w:tcW w:w="1838" w:type="dxa"/>
            <w:vAlign w:val="center"/>
            <w:hideMark/>
          </w:tcPr>
          <w:p w14:paraId="3EC1A43B" w14:textId="69DB122B" w:rsidR="00F744A1" w:rsidRPr="00535DEB" w:rsidRDefault="00F744A1" w:rsidP="007D751C">
            <w:pPr>
              <w:spacing w:after="0" w:line="276" w:lineRule="auto"/>
              <w:rPr>
                <w:b/>
                <w:bCs/>
                <w:i/>
                <w:iCs/>
                <w:noProof/>
                <w:color w:val="000000"/>
                <w:szCs w:val="24"/>
              </w:rPr>
            </w:pPr>
            <w:r w:rsidRPr="00535DEB">
              <w:rPr>
                <w:b/>
                <w:i/>
                <w:noProof/>
                <w:color w:val="000000"/>
              </w:rPr>
              <w:t>EU-27</w:t>
            </w:r>
          </w:p>
        </w:tc>
        <w:tc>
          <w:tcPr>
            <w:tcW w:w="1418" w:type="dxa"/>
            <w:vAlign w:val="center"/>
            <w:hideMark/>
          </w:tcPr>
          <w:p w14:paraId="25C65396" w14:textId="77777777" w:rsidR="00F744A1" w:rsidRPr="00535DEB" w:rsidRDefault="00F744A1" w:rsidP="007D751C">
            <w:pPr>
              <w:spacing w:after="0" w:line="276" w:lineRule="auto"/>
              <w:jc w:val="center"/>
              <w:rPr>
                <w:b/>
                <w:bCs/>
                <w:i/>
                <w:iCs/>
                <w:noProof/>
                <w:color w:val="000000"/>
                <w:szCs w:val="24"/>
              </w:rPr>
            </w:pPr>
            <w:r w:rsidRPr="00535DEB">
              <w:rPr>
                <w:b/>
                <w:i/>
                <w:noProof/>
                <w:color w:val="000000"/>
              </w:rPr>
              <w:t>426</w:t>
            </w:r>
          </w:p>
        </w:tc>
        <w:tc>
          <w:tcPr>
            <w:tcW w:w="2556" w:type="dxa"/>
            <w:vAlign w:val="center"/>
            <w:hideMark/>
          </w:tcPr>
          <w:p w14:paraId="44816766" w14:textId="1454FB4D" w:rsidR="00F744A1" w:rsidRPr="00535DEB" w:rsidRDefault="00F744A1" w:rsidP="007D751C">
            <w:pPr>
              <w:spacing w:after="0" w:line="276" w:lineRule="auto"/>
              <w:jc w:val="center"/>
              <w:rPr>
                <w:b/>
                <w:bCs/>
                <w:i/>
                <w:iCs/>
                <w:noProof/>
                <w:color w:val="000000"/>
                <w:szCs w:val="24"/>
              </w:rPr>
            </w:pPr>
            <w:r w:rsidRPr="00535DEB">
              <w:rPr>
                <w:b/>
                <w:i/>
                <w:noProof/>
                <w:color w:val="000000"/>
              </w:rPr>
              <w:t>388 654</w:t>
            </w:r>
          </w:p>
        </w:tc>
        <w:tc>
          <w:tcPr>
            <w:tcW w:w="1843" w:type="dxa"/>
            <w:vAlign w:val="center"/>
            <w:hideMark/>
          </w:tcPr>
          <w:p w14:paraId="33689FF4" w14:textId="5EDE031F" w:rsidR="00F744A1" w:rsidRPr="00535DEB" w:rsidRDefault="00F744A1" w:rsidP="007D751C">
            <w:pPr>
              <w:spacing w:after="0" w:line="276" w:lineRule="auto"/>
              <w:jc w:val="center"/>
              <w:rPr>
                <w:b/>
                <w:bCs/>
                <w:i/>
                <w:iCs/>
                <w:noProof/>
                <w:color w:val="000000"/>
                <w:szCs w:val="24"/>
              </w:rPr>
            </w:pPr>
            <w:r w:rsidRPr="00535DEB">
              <w:rPr>
                <w:b/>
                <w:i/>
                <w:noProof/>
                <w:color w:val="000000"/>
              </w:rPr>
              <w:t>864</w:t>
            </w:r>
          </w:p>
        </w:tc>
      </w:tr>
      <w:tr w:rsidR="00B72A2B" w:rsidRPr="00535DEB" w14:paraId="36D4D8D5" w14:textId="77777777" w:rsidTr="00DB3CF9">
        <w:trPr>
          <w:trHeight w:val="300"/>
          <w:jc w:val="center"/>
        </w:trPr>
        <w:tc>
          <w:tcPr>
            <w:tcW w:w="1838" w:type="dxa"/>
            <w:vAlign w:val="center"/>
            <w:hideMark/>
          </w:tcPr>
          <w:p w14:paraId="0AD2B654" w14:textId="77777777" w:rsidR="00F744A1" w:rsidRPr="00535DEB" w:rsidRDefault="00F744A1" w:rsidP="007D751C">
            <w:pPr>
              <w:spacing w:after="0" w:line="276" w:lineRule="auto"/>
              <w:rPr>
                <w:noProof/>
                <w:color w:val="000000"/>
                <w:szCs w:val="24"/>
              </w:rPr>
            </w:pPr>
            <w:r w:rsidRPr="00535DEB">
              <w:rPr>
                <w:noProof/>
                <w:color w:val="000000"/>
              </w:rPr>
              <w:t>Estonie</w:t>
            </w:r>
          </w:p>
        </w:tc>
        <w:tc>
          <w:tcPr>
            <w:tcW w:w="1418" w:type="dxa"/>
            <w:vAlign w:val="center"/>
            <w:hideMark/>
          </w:tcPr>
          <w:p w14:paraId="50A969F0" w14:textId="77777777" w:rsidR="00F744A1" w:rsidRPr="00535DEB" w:rsidRDefault="00F744A1" w:rsidP="007D751C">
            <w:pPr>
              <w:spacing w:after="0" w:line="276" w:lineRule="auto"/>
              <w:jc w:val="center"/>
              <w:rPr>
                <w:noProof/>
                <w:color w:val="000000"/>
                <w:szCs w:val="24"/>
              </w:rPr>
            </w:pPr>
            <w:r w:rsidRPr="00535DEB">
              <w:rPr>
                <w:noProof/>
                <w:color w:val="000000"/>
              </w:rPr>
              <w:t>13</w:t>
            </w:r>
          </w:p>
        </w:tc>
        <w:tc>
          <w:tcPr>
            <w:tcW w:w="2556" w:type="dxa"/>
            <w:vAlign w:val="center"/>
            <w:hideMark/>
          </w:tcPr>
          <w:p w14:paraId="0E520996" w14:textId="1B39803B" w:rsidR="00F744A1" w:rsidRPr="00535DEB" w:rsidRDefault="00F744A1" w:rsidP="007D751C">
            <w:pPr>
              <w:spacing w:after="0" w:line="276" w:lineRule="auto"/>
              <w:jc w:val="center"/>
              <w:rPr>
                <w:noProof/>
                <w:color w:val="000000"/>
                <w:szCs w:val="24"/>
              </w:rPr>
            </w:pPr>
            <w:r w:rsidRPr="00535DEB">
              <w:rPr>
                <w:noProof/>
                <w:color w:val="000000"/>
              </w:rPr>
              <w:t>1 137</w:t>
            </w:r>
          </w:p>
        </w:tc>
        <w:tc>
          <w:tcPr>
            <w:tcW w:w="1843" w:type="dxa"/>
            <w:vAlign w:val="center"/>
            <w:hideMark/>
          </w:tcPr>
          <w:p w14:paraId="7C467A75" w14:textId="11B4E996" w:rsidR="00F744A1" w:rsidRPr="00535DEB" w:rsidRDefault="00F744A1" w:rsidP="007D751C">
            <w:pPr>
              <w:spacing w:after="0" w:line="276" w:lineRule="auto"/>
              <w:jc w:val="center"/>
              <w:rPr>
                <w:noProof/>
                <w:color w:val="000000"/>
                <w:szCs w:val="24"/>
              </w:rPr>
            </w:pPr>
            <w:r w:rsidRPr="00535DEB">
              <w:rPr>
                <w:noProof/>
                <w:color w:val="000000"/>
              </w:rPr>
              <w:t>849</w:t>
            </w:r>
          </w:p>
        </w:tc>
      </w:tr>
      <w:tr w:rsidR="00B72A2B" w:rsidRPr="00535DEB" w14:paraId="08556099" w14:textId="77777777" w:rsidTr="00DB3CF9">
        <w:trPr>
          <w:trHeight w:val="300"/>
          <w:jc w:val="center"/>
        </w:trPr>
        <w:tc>
          <w:tcPr>
            <w:tcW w:w="1838" w:type="dxa"/>
            <w:vAlign w:val="center"/>
            <w:hideMark/>
          </w:tcPr>
          <w:p w14:paraId="1E8F46D0" w14:textId="77777777" w:rsidR="00F744A1" w:rsidRPr="00535DEB" w:rsidRDefault="00F744A1" w:rsidP="007D751C">
            <w:pPr>
              <w:spacing w:after="0" w:line="276" w:lineRule="auto"/>
              <w:rPr>
                <w:noProof/>
                <w:color w:val="000000"/>
                <w:szCs w:val="24"/>
              </w:rPr>
            </w:pPr>
            <w:r w:rsidRPr="00535DEB">
              <w:rPr>
                <w:noProof/>
                <w:color w:val="000000"/>
              </w:rPr>
              <w:t>Pologne</w:t>
            </w:r>
          </w:p>
        </w:tc>
        <w:tc>
          <w:tcPr>
            <w:tcW w:w="1418" w:type="dxa"/>
            <w:vAlign w:val="center"/>
            <w:hideMark/>
          </w:tcPr>
          <w:p w14:paraId="799C4E75" w14:textId="77777777" w:rsidR="00F744A1" w:rsidRPr="00535DEB" w:rsidRDefault="00F744A1" w:rsidP="007D751C">
            <w:pPr>
              <w:spacing w:after="0" w:line="276" w:lineRule="auto"/>
              <w:jc w:val="center"/>
              <w:rPr>
                <w:noProof/>
                <w:color w:val="000000"/>
                <w:szCs w:val="24"/>
              </w:rPr>
            </w:pPr>
            <w:r w:rsidRPr="00535DEB">
              <w:rPr>
                <w:noProof/>
                <w:color w:val="000000"/>
              </w:rPr>
              <w:t>34</w:t>
            </w:r>
          </w:p>
        </w:tc>
        <w:tc>
          <w:tcPr>
            <w:tcW w:w="2556" w:type="dxa"/>
            <w:vAlign w:val="center"/>
            <w:hideMark/>
          </w:tcPr>
          <w:p w14:paraId="7C7AE7D8" w14:textId="61794243" w:rsidR="00F744A1" w:rsidRPr="00535DEB" w:rsidRDefault="00F744A1" w:rsidP="007D751C">
            <w:pPr>
              <w:spacing w:after="0" w:line="276" w:lineRule="auto"/>
              <w:jc w:val="center"/>
              <w:rPr>
                <w:noProof/>
                <w:color w:val="000000"/>
                <w:szCs w:val="24"/>
              </w:rPr>
            </w:pPr>
            <w:r w:rsidRPr="00535DEB">
              <w:rPr>
                <w:noProof/>
                <w:color w:val="000000"/>
              </w:rPr>
              <w:t>26 655</w:t>
            </w:r>
          </w:p>
        </w:tc>
        <w:tc>
          <w:tcPr>
            <w:tcW w:w="1843" w:type="dxa"/>
            <w:vAlign w:val="center"/>
            <w:hideMark/>
          </w:tcPr>
          <w:p w14:paraId="121D47BA" w14:textId="084C860B" w:rsidR="00F744A1" w:rsidRPr="00535DEB" w:rsidRDefault="00F744A1" w:rsidP="007D751C">
            <w:pPr>
              <w:spacing w:after="0" w:line="276" w:lineRule="auto"/>
              <w:jc w:val="center"/>
              <w:rPr>
                <w:noProof/>
                <w:color w:val="000000"/>
                <w:szCs w:val="24"/>
              </w:rPr>
            </w:pPr>
            <w:r w:rsidRPr="00535DEB">
              <w:rPr>
                <w:noProof/>
                <w:color w:val="000000"/>
              </w:rPr>
              <w:t>710</w:t>
            </w:r>
          </w:p>
        </w:tc>
      </w:tr>
      <w:tr w:rsidR="00B72A2B" w:rsidRPr="00535DEB" w14:paraId="5B3778AC" w14:textId="77777777" w:rsidTr="00DB3CF9">
        <w:trPr>
          <w:trHeight w:val="300"/>
          <w:jc w:val="center"/>
        </w:trPr>
        <w:tc>
          <w:tcPr>
            <w:tcW w:w="1838" w:type="dxa"/>
            <w:vAlign w:val="center"/>
            <w:hideMark/>
          </w:tcPr>
          <w:p w14:paraId="4E677FA2" w14:textId="77777777" w:rsidR="00F744A1" w:rsidRPr="00535DEB" w:rsidRDefault="00F744A1" w:rsidP="007D751C">
            <w:pPr>
              <w:spacing w:after="0" w:line="276" w:lineRule="auto"/>
              <w:rPr>
                <w:noProof/>
                <w:color w:val="000000"/>
                <w:szCs w:val="24"/>
              </w:rPr>
            </w:pPr>
            <w:r w:rsidRPr="00535DEB">
              <w:rPr>
                <w:noProof/>
                <w:color w:val="000000"/>
              </w:rPr>
              <w:t>Lettonie</w:t>
            </w:r>
          </w:p>
        </w:tc>
        <w:tc>
          <w:tcPr>
            <w:tcW w:w="1418" w:type="dxa"/>
            <w:vAlign w:val="center"/>
            <w:hideMark/>
          </w:tcPr>
          <w:p w14:paraId="73985093" w14:textId="77777777" w:rsidR="00F744A1" w:rsidRPr="00535DEB" w:rsidRDefault="00F744A1" w:rsidP="007D751C">
            <w:pPr>
              <w:spacing w:after="0" w:line="276" w:lineRule="auto"/>
              <w:jc w:val="center"/>
              <w:rPr>
                <w:noProof/>
                <w:color w:val="000000"/>
                <w:szCs w:val="24"/>
              </w:rPr>
            </w:pPr>
            <w:r w:rsidRPr="00535DEB">
              <w:rPr>
                <w:noProof/>
                <w:color w:val="000000"/>
              </w:rPr>
              <w:t>21</w:t>
            </w:r>
          </w:p>
        </w:tc>
        <w:tc>
          <w:tcPr>
            <w:tcW w:w="2556" w:type="dxa"/>
            <w:vAlign w:val="center"/>
            <w:hideMark/>
          </w:tcPr>
          <w:p w14:paraId="355818BB" w14:textId="03EFF483" w:rsidR="00F744A1" w:rsidRPr="00535DEB" w:rsidRDefault="00F744A1" w:rsidP="007D751C">
            <w:pPr>
              <w:spacing w:after="0" w:line="276" w:lineRule="auto"/>
              <w:jc w:val="center"/>
              <w:rPr>
                <w:noProof/>
                <w:color w:val="000000"/>
                <w:szCs w:val="24"/>
              </w:rPr>
            </w:pPr>
            <w:r w:rsidRPr="00535DEB">
              <w:rPr>
                <w:noProof/>
                <w:color w:val="000000"/>
              </w:rPr>
              <w:t>1 171</w:t>
            </w:r>
          </w:p>
        </w:tc>
        <w:tc>
          <w:tcPr>
            <w:tcW w:w="1843" w:type="dxa"/>
            <w:vAlign w:val="center"/>
            <w:hideMark/>
          </w:tcPr>
          <w:p w14:paraId="0FB98532" w14:textId="149D7D49" w:rsidR="00F744A1" w:rsidRPr="00535DEB" w:rsidRDefault="00F744A1" w:rsidP="007D751C">
            <w:pPr>
              <w:spacing w:after="0" w:line="276" w:lineRule="auto"/>
              <w:jc w:val="center"/>
              <w:rPr>
                <w:noProof/>
                <w:color w:val="000000"/>
                <w:szCs w:val="24"/>
              </w:rPr>
            </w:pPr>
            <w:r w:rsidRPr="00535DEB">
              <w:rPr>
                <w:noProof/>
                <w:color w:val="000000"/>
              </w:rPr>
              <w:t>623</w:t>
            </w:r>
          </w:p>
        </w:tc>
      </w:tr>
      <w:tr w:rsidR="00B72A2B" w:rsidRPr="00535DEB" w14:paraId="66079446" w14:textId="77777777" w:rsidTr="00DB3CF9">
        <w:trPr>
          <w:trHeight w:val="300"/>
          <w:jc w:val="center"/>
        </w:trPr>
        <w:tc>
          <w:tcPr>
            <w:tcW w:w="1838" w:type="dxa"/>
            <w:vAlign w:val="center"/>
            <w:hideMark/>
          </w:tcPr>
          <w:p w14:paraId="7A1D5072" w14:textId="77777777" w:rsidR="00F744A1" w:rsidRPr="00535DEB" w:rsidRDefault="00F744A1" w:rsidP="007D751C">
            <w:pPr>
              <w:spacing w:after="0" w:line="276" w:lineRule="auto"/>
              <w:rPr>
                <w:noProof/>
                <w:color w:val="000000"/>
                <w:szCs w:val="24"/>
              </w:rPr>
            </w:pPr>
            <w:r w:rsidRPr="00535DEB">
              <w:rPr>
                <w:noProof/>
                <w:color w:val="000000"/>
              </w:rPr>
              <w:t>Pays-Bas</w:t>
            </w:r>
          </w:p>
        </w:tc>
        <w:tc>
          <w:tcPr>
            <w:tcW w:w="1418" w:type="dxa"/>
            <w:vAlign w:val="center"/>
            <w:hideMark/>
          </w:tcPr>
          <w:p w14:paraId="51A4302E" w14:textId="77777777" w:rsidR="00F744A1" w:rsidRPr="00535DEB" w:rsidRDefault="00F744A1" w:rsidP="007D751C">
            <w:pPr>
              <w:spacing w:after="0" w:line="276" w:lineRule="auto"/>
              <w:jc w:val="center"/>
              <w:rPr>
                <w:noProof/>
                <w:color w:val="000000"/>
                <w:szCs w:val="24"/>
              </w:rPr>
            </w:pPr>
            <w:r w:rsidRPr="00535DEB">
              <w:rPr>
                <w:noProof/>
                <w:color w:val="000000"/>
              </w:rPr>
              <w:t>10</w:t>
            </w:r>
          </w:p>
        </w:tc>
        <w:tc>
          <w:tcPr>
            <w:tcW w:w="2556" w:type="dxa"/>
            <w:vAlign w:val="center"/>
            <w:hideMark/>
          </w:tcPr>
          <w:p w14:paraId="22D93DD6" w14:textId="21E44FC9" w:rsidR="00F744A1" w:rsidRPr="00535DEB" w:rsidRDefault="00F744A1" w:rsidP="007D751C">
            <w:pPr>
              <w:spacing w:after="0" w:line="276" w:lineRule="auto"/>
              <w:jc w:val="center"/>
              <w:rPr>
                <w:noProof/>
                <w:color w:val="000000"/>
                <w:szCs w:val="24"/>
              </w:rPr>
            </w:pPr>
            <w:r w:rsidRPr="00535DEB">
              <w:rPr>
                <w:noProof/>
                <w:color w:val="000000"/>
              </w:rPr>
              <w:t>9 467</w:t>
            </w:r>
          </w:p>
        </w:tc>
        <w:tc>
          <w:tcPr>
            <w:tcW w:w="1843" w:type="dxa"/>
            <w:vAlign w:val="center"/>
            <w:hideMark/>
          </w:tcPr>
          <w:p w14:paraId="03260E84" w14:textId="3DAF82F7" w:rsidR="00F744A1" w:rsidRPr="00535DEB" w:rsidRDefault="00F744A1" w:rsidP="007D751C">
            <w:pPr>
              <w:spacing w:after="0" w:line="276" w:lineRule="auto"/>
              <w:jc w:val="center"/>
              <w:rPr>
                <w:noProof/>
                <w:color w:val="000000"/>
                <w:szCs w:val="24"/>
              </w:rPr>
            </w:pPr>
            <w:r w:rsidRPr="00535DEB">
              <w:rPr>
                <w:noProof/>
                <w:color w:val="000000"/>
              </w:rPr>
              <w:t>528</w:t>
            </w:r>
          </w:p>
        </w:tc>
      </w:tr>
      <w:tr w:rsidR="00B72A2B" w:rsidRPr="00535DEB" w14:paraId="5BA07C89" w14:textId="77777777" w:rsidTr="00DB3CF9">
        <w:trPr>
          <w:trHeight w:val="300"/>
          <w:jc w:val="center"/>
        </w:trPr>
        <w:tc>
          <w:tcPr>
            <w:tcW w:w="1838" w:type="dxa"/>
            <w:vAlign w:val="center"/>
            <w:hideMark/>
          </w:tcPr>
          <w:p w14:paraId="4BD035B8" w14:textId="77777777" w:rsidR="00F744A1" w:rsidRPr="00535DEB" w:rsidRDefault="00F744A1" w:rsidP="007D751C">
            <w:pPr>
              <w:spacing w:after="0" w:line="276" w:lineRule="auto"/>
              <w:rPr>
                <w:noProof/>
                <w:color w:val="000000"/>
                <w:szCs w:val="24"/>
              </w:rPr>
            </w:pPr>
            <w:r w:rsidRPr="00535DEB">
              <w:rPr>
                <w:noProof/>
                <w:color w:val="000000"/>
              </w:rPr>
              <w:t>Croatie</w:t>
            </w:r>
          </w:p>
        </w:tc>
        <w:tc>
          <w:tcPr>
            <w:tcW w:w="1418" w:type="dxa"/>
            <w:vAlign w:val="center"/>
            <w:hideMark/>
          </w:tcPr>
          <w:p w14:paraId="0DA9C118" w14:textId="77777777" w:rsidR="00F744A1" w:rsidRPr="00535DEB" w:rsidRDefault="00F744A1" w:rsidP="007D751C">
            <w:pPr>
              <w:spacing w:after="0" w:line="276" w:lineRule="auto"/>
              <w:jc w:val="center"/>
              <w:rPr>
                <w:noProof/>
                <w:color w:val="000000"/>
                <w:szCs w:val="24"/>
              </w:rPr>
            </w:pPr>
            <w:r w:rsidRPr="00535DEB">
              <w:rPr>
                <w:noProof/>
                <w:color w:val="000000"/>
              </w:rPr>
              <w:t>11</w:t>
            </w:r>
          </w:p>
        </w:tc>
        <w:tc>
          <w:tcPr>
            <w:tcW w:w="2556" w:type="dxa"/>
            <w:vAlign w:val="center"/>
            <w:hideMark/>
          </w:tcPr>
          <w:p w14:paraId="446162C0" w14:textId="2513A038" w:rsidR="00F744A1" w:rsidRPr="00535DEB" w:rsidRDefault="00F744A1" w:rsidP="007D751C">
            <w:pPr>
              <w:spacing w:after="0" w:line="276" w:lineRule="auto"/>
              <w:jc w:val="center"/>
              <w:rPr>
                <w:noProof/>
                <w:color w:val="000000"/>
                <w:szCs w:val="24"/>
              </w:rPr>
            </w:pPr>
            <w:r w:rsidRPr="00535DEB">
              <w:rPr>
                <w:noProof/>
                <w:color w:val="000000"/>
              </w:rPr>
              <w:t>1 877</w:t>
            </w:r>
          </w:p>
        </w:tc>
        <w:tc>
          <w:tcPr>
            <w:tcW w:w="1843" w:type="dxa"/>
            <w:vAlign w:val="center"/>
            <w:hideMark/>
          </w:tcPr>
          <w:p w14:paraId="67163FF5" w14:textId="41C3E547" w:rsidR="00F744A1" w:rsidRPr="00535DEB" w:rsidRDefault="00F744A1" w:rsidP="007D751C">
            <w:pPr>
              <w:spacing w:after="0" w:line="276" w:lineRule="auto"/>
              <w:jc w:val="center"/>
              <w:rPr>
                <w:noProof/>
                <w:color w:val="000000"/>
                <w:szCs w:val="24"/>
              </w:rPr>
            </w:pPr>
            <w:r w:rsidRPr="00535DEB">
              <w:rPr>
                <w:noProof/>
                <w:color w:val="000000"/>
              </w:rPr>
              <w:t>488</w:t>
            </w:r>
          </w:p>
        </w:tc>
      </w:tr>
      <w:tr w:rsidR="00B72A2B" w:rsidRPr="00535DEB" w14:paraId="6920251E" w14:textId="77777777" w:rsidTr="00DB3CF9">
        <w:trPr>
          <w:trHeight w:val="300"/>
          <w:jc w:val="center"/>
        </w:trPr>
        <w:tc>
          <w:tcPr>
            <w:tcW w:w="1838" w:type="dxa"/>
            <w:vAlign w:val="center"/>
            <w:hideMark/>
          </w:tcPr>
          <w:p w14:paraId="36D66824" w14:textId="77777777" w:rsidR="00F744A1" w:rsidRPr="00535DEB" w:rsidRDefault="00F744A1" w:rsidP="007D751C">
            <w:pPr>
              <w:spacing w:after="0" w:line="276" w:lineRule="auto"/>
              <w:rPr>
                <w:noProof/>
                <w:color w:val="000000"/>
                <w:szCs w:val="24"/>
              </w:rPr>
            </w:pPr>
            <w:r w:rsidRPr="00535DEB">
              <w:rPr>
                <w:noProof/>
                <w:color w:val="000000"/>
              </w:rPr>
              <w:t>Belgique</w:t>
            </w:r>
          </w:p>
        </w:tc>
        <w:tc>
          <w:tcPr>
            <w:tcW w:w="1418" w:type="dxa"/>
            <w:vAlign w:val="center"/>
            <w:hideMark/>
          </w:tcPr>
          <w:p w14:paraId="5A65F4C9" w14:textId="77777777" w:rsidR="00F744A1" w:rsidRPr="00535DEB" w:rsidRDefault="00F744A1" w:rsidP="007D751C">
            <w:pPr>
              <w:spacing w:after="0" w:line="276" w:lineRule="auto"/>
              <w:jc w:val="center"/>
              <w:rPr>
                <w:noProof/>
                <w:color w:val="000000"/>
                <w:szCs w:val="24"/>
              </w:rPr>
            </w:pPr>
            <w:r w:rsidRPr="00535DEB">
              <w:rPr>
                <w:noProof/>
                <w:color w:val="000000"/>
              </w:rPr>
              <w:t>25</w:t>
            </w:r>
          </w:p>
        </w:tc>
        <w:tc>
          <w:tcPr>
            <w:tcW w:w="2556" w:type="dxa"/>
            <w:vAlign w:val="center"/>
            <w:hideMark/>
          </w:tcPr>
          <w:p w14:paraId="146C9658" w14:textId="2CC7AD4C" w:rsidR="00F744A1" w:rsidRPr="00535DEB" w:rsidRDefault="00F744A1" w:rsidP="007D751C">
            <w:pPr>
              <w:spacing w:after="0" w:line="276" w:lineRule="auto"/>
              <w:jc w:val="center"/>
              <w:rPr>
                <w:noProof/>
                <w:color w:val="000000"/>
                <w:szCs w:val="24"/>
              </w:rPr>
            </w:pPr>
            <w:r w:rsidRPr="00535DEB">
              <w:rPr>
                <w:noProof/>
                <w:color w:val="000000"/>
              </w:rPr>
              <w:t>5 684</w:t>
            </w:r>
          </w:p>
        </w:tc>
        <w:tc>
          <w:tcPr>
            <w:tcW w:w="1843" w:type="dxa"/>
            <w:vAlign w:val="center"/>
            <w:hideMark/>
          </w:tcPr>
          <w:p w14:paraId="24D060D9" w14:textId="0C69168C" w:rsidR="00F744A1" w:rsidRPr="00535DEB" w:rsidRDefault="00F744A1" w:rsidP="007D751C">
            <w:pPr>
              <w:spacing w:after="0" w:line="276" w:lineRule="auto"/>
              <w:jc w:val="center"/>
              <w:rPr>
                <w:noProof/>
                <w:color w:val="000000"/>
                <w:szCs w:val="24"/>
              </w:rPr>
            </w:pPr>
            <w:r w:rsidRPr="00535DEB">
              <w:rPr>
                <w:noProof/>
                <w:color w:val="000000"/>
              </w:rPr>
              <w:t>487</w:t>
            </w:r>
          </w:p>
        </w:tc>
      </w:tr>
      <w:tr w:rsidR="00B72A2B" w:rsidRPr="00535DEB" w14:paraId="32ED2B25" w14:textId="77777777" w:rsidTr="00DB3CF9">
        <w:trPr>
          <w:trHeight w:val="300"/>
          <w:jc w:val="center"/>
        </w:trPr>
        <w:tc>
          <w:tcPr>
            <w:tcW w:w="1838" w:type="dxa"/>
            <w:vAlign w:val="center"/>
            <w:hideMark/>
          </w:tcPr>
          <w:p w14:paraId="113CEA42" w14:textId="77777777" w:rsidR="00F744A1" w:rsidRPr="00535DEB" w:rsidRDefault="00F744A1" w:rsidP="007D751C">
            <w:pPr>
              <w:spacing w:after="0" w:line="276" w:lineRule="auto"/>
              <w:rPr>
                <w:noProof/>
                <w:color w:val="000000"/>
                <w:szCs w:val="24"/>
              </w:rPr>
            </w:pPr>
            <w:r w:rsidRPr="00535DEB">
              <w:rPr>
                <w:noProof/>
                <w:color w:val="000000"/>
              </w:rPr>
              <w:t>Portugal</w:t>
            </w:r>
          </w:p>
        </w:tc>
        <w:tc>
          <w:tcPr>
            <w:tcW w:w="1418" w:type="dxa"/>
            <w:vAlign w:val="center"/>
            <w:hideMark/>
          </w:tcPr>
          <w:p w14:paraId="68F3B134" w14:textId="77777777" w:rsidR="00F744A1" w:rsidRPr="00535DEB" w:rsidRDefault="00F744A1" w:rsidP="007D751C">
            <w:pPr>
              <w:spacing w:after="0" w:line="276" w:lineRule="auto"/>
              <w:jc w:val="center"/>
              <w:rPr>
                <w:noProof/>
                <w:color w:val="000000"/>
                <w:szCs w:val="24"/>
              </w:rPr>
            </w:pPr>
            <w:r w:rsidRPr="00535DEB">
              <w:rPr>
                <w:noProof/>
                <w:color w:val="000000"/>
              </w:rPr>
              <w:t>12</w:t>
            </w:r>
          </w:p>
        </w:tc>
        <w:tc>
          <w:tcPr>
            <w:tcW w:w="2556" w:type="dxa"/>
            <w:vAlign w:val="center"/>
            <w:hideMark/>
          </w:tcPr>
          <w:p w14:paraId="67E1FFD0" w14:textId="41E23428" w:rsidR="00F744A1" w:rsidRPr="00535DEB" w:rsidRDefault="00F744A1" w:rsidP="007D751C">
            <w:pPr>
              <w:spacing w:after="0" w:line="276" w:lineRule="auto"/>
              <w:jc w:val="center"/>
              <w:rPr>
                <w:noProof/>
                <w:color w:val="000000"/>
                <w:szCs w:val="24"/>
              </w:rPr>
            </w:pPr>
            <w:r w:rsidRPr="00535DEB">
              <w:rPr>
                <w:noProof/>
                <w:color w:val="000000"/>
              </w:rPr>
              <w:t>4 967</w:t>
            </w:r>
          </w:p>
        </w:tc>
        <w:tc>
          <w:tcPr>
            <w:tcW w:w="1843" w:type="dxa"/>
            <w:vAlign w:val="center"/>
            <w:hideMark/>
          </w:tcPr>
          <w:p w14:paraId="641FCC4A" w14:textId="30E0E614" w:rsidR="00F744A1" w:rsidRPr="00535DEB" w:rsidRDefault="00F744A1" w:rsidP="007D751C">
            <w:pPr>
              <w:spacing w:after="0" w:line="276" w:lineRule="auto"/>
              <w:jc w:val="center"/>
              <w:rPr>
                <w:noProof/>
                <w:color w:val="000000"/>
                <w:szCs w:val="24"/>
              </w:rPr>
            </w:pPr>
            <w:r w:rsidRPr="00535DEB">
              <w:rPr>
                <w:noProof/>
                <w:color w:val="000000"/>
              </w:rPr>
              <w:t>479</w:t>
            </w:r>
          </w:p>
        </w:tc>
      </w:tr>
      <w:tr w:rsidR="00B72A2B" w:rsidRPr="00535DEB" w14:paraId="0914B44B" w14:textId="77777777" w:rsidTr="00DB3CF9">
        <w:trPr>
          <w:trHeight w:val="300"/>
          <w:jc w:val="center"/>
        </w:trPr>
        <w:tc>
          <w:tcPr>
            <w:tcW w:w="1838" w:type="dxa"/>
            <w:vAlign w:val="center"/>
            <w:hideMark/>
          </w:tcPr>
          <w:p w14:paraId="4F9CF25F" w14:textId="77777777" w:rsidR="00F744A1" w:rsidRPr="00535DEB" w:rsidRDefault="00F744A1" w:rsidP="007D751C">
            <w:pPr>
              <w:spacing w:after="0" w:line="276" w:lineRule="auto"/>
              <w:rPr>
                <w:noProof/>
                <w:color w:val="000000"/>
                <w:szCs w:val="24"/>
              </w:rPr>
            </w:pPr>
            <w:r w:rsidRPr="00535DEB">
              <w:rPr>
                <w:noProof/>
                <w:color w:val="000000"/>
              </w:rPr>
              <w:t>Slovaquie</w:t>
            </w:r>
          </w:p>
        </w:tc>
        <w:tc>
          <w:tcPr>
            <w:tcW w:w="1418" w:type="dxa"/>
            <w:vAlign w:val="center"/>
            <w:hideMark/>
          </w:tcPr>
          <w:p w14:paraId="530B0EBC" w14:textId="77777777" w:rsidR="00F744A1" w:rsidRPr="00535DEB" w:rsidRDefault="00F744A1" w:rsidP="007D751C">
            <w:pPr>
              <w:spacing w:after="0" w:line="276" w:lineRule="auto"/>
              <w:jc w:val="center"/>
              <w:rPr>
                <w:noProof/>
                <w:color w:val="000000"/>
                <w:szCs w:val="24"/>
              </w:rPr>
            </w:pPr>
            <w:r w:rsidRPr="00535DEB">
              <w:rPr>
                <w:noProof/>
                <w:color w:val="000000"/>
              </w:rPr>
              <w:t>14</w:t>
            </w:r>
          </w:p>
        </w:tc>
        <w:tc>
          <w:tcPr>
            <w:tcW w:w="2556" w:type="dxa"/>
            <w:vAlign w:val="center"/>
            <w:hideMark/>
          </w:tcPr>
          <w:p w14:paraId="6A413589" w14:textId="0CAB4366" w:rsidR="00F744A1" w:rsidRPr="00535DEB" w:rsidRDefault="00F744A1" w:rsidP="007D751C">
            <w:pPr>
              <w:spacing w:after="0" w:line="276" w:lineRule="auto"/>
              <w:jc w:val="center"/>
              <w:rPr>
                <w:noProof/>
                <w:color w:val="000000"/>
                <w:szCs w:val="24"/>
              </w:rPr>
            </w:pPr>
            <w:r w:rsidRPr="00535DEB">
              <w:rPr>
                <w:noProof/>
                <w:color w:val="000000"/>
              </w:rPr>
              <w:t>2 365</w:t>
            </w:r>
          </w:p>
        </w:tc>
        <w:tc>
          <w:tcPr>
            <w:tcW w:w="1843" w:type="dxa"/>
            <w:vAlign w:val="center"/>
            <w:hideMark/>
          </w:tcPr>
          <w:p w14:paraId="62AFB08B" w14:textId="2A419D77" w:rsidR="00F744A1" w:rsidRPr="00535DEB" w:rsidRDefault="00F744A1" w:rsidP="007D751C">
            <w:pPr>
              <w:spacing w:after="0" w:line="276" w:lineRule="auto"/>
              <w:jc w:val="center"/>
              <w:rPr>
                <w:noProof/>
                <w:color w:val="000000"/>
                <w:szCs w:val="24"/>
              </w:rPr>
            </w:pPr>
            <w:r w:rsidRPr="00535DEB">
              <w:rPr>
                <w:noProof/>
                <w:color w:val="000000"/>
              </w:rPr>
              <w:t>436</w:t>
            </w:r>
          </w:p>
        </w:tc>
      </w:tr>
      <w:tr w:rsidR="00B72A2B" w:rsidRPr="00535DEB" w14:paraId="17C51A25" w14:textId="77777777" w:rsidTr="00DB3CF9">
        <w:trPr>
          <w:trHeight w:val="300"/>
          <w:jc w:val="center"/>
        </w:trPr>
        <w:tc>
          <w:tcPr>
            <w:tcW w:w="1838" w:type="dxa"/>
            <w:vAlign w:val="center"/>
            <w:hideMark/>
          </w:tcPr>
          <w:p w14:paraId="7A555505" w14:textId="77777777" w:rsidR="00F744A1" w:rsidRPr="00535DEB" w:rsidRDefault="00F744A1" w:rsidP="007D751C">
            <w:pPr>
              <w:spacing w:after="0" w:line="276" w:lineRule="auto"/>
              <w:rPr>
                <w:noProof/>
                <w:color w:val="000000"/>
                <w:szCs w:val="24"/>
              </w:rPr>
            </w:pPr>
            <w:r w:rsidRPr="00535DEB">
              <w:rPr>
                <w:noProof/>
                <w:color w:val="000000"/>
              </w:rPr>
              <w:t>Lituanie</w:t>
            </w:r>
          </w:p>
        </w:tc>
        <w:tc>
          <w:tcPr>
            <w:tcW w:w="1418" w:type="dxa"/>
            <w:vAlign w:val="center"/>
            <w:hideMark/>
          </w:tcPr>
          <w:p w14:paraId="36AB8E5D" w14:textId="77777777" w:rsidR="00F744A1" w:rsidRPr="00535DEB" w:rsidRDefault="00F744A1" w:rsidP="007D751C">
            <w:pPr>
              <w:spacing w:after="0" w:line="276" w:lineRule="auto"/>
              <w:jc w:val="center"/>
              <w:rPr>
                <w:noProof/>
                <w:color w:val="000000"/>
                <w:szCs w:val="24"/>
              </w:rPr>
            </w:pPr>
            <w:r w:rsidRPr="00535DEB">
              <w:rPr>
                <w:noProof/>
                <w:color w:val="000000"/>
              </w:rPr>
              <w:t>9</w:t>
            </w:r>
          </w:p>
        </w:tc>
        <w:tc>
          <w:tcPr>
            <w:tcW w:w="2556" w:type="dxa"/>
            <w:vAlign w:val="center"/>
            <w:hideMark/>
          </w:tcPr>
          <w:p w14:paraId="6E814ED6" w14:textId="75C5982B" w:rsidR="00F744A1" w:rsidRPr="00535DEB" w:rsidRDefault="00F744A1" w:rsidP="007D751C">
            <w:pPr>
              <w:spacing w:after="0" w:line="276" w:lineRule="auto"/>
              <w:jc w:val="center"/>
              <w:rPr>
                <w:noProof/>
                <w:color w:val="000000"/>
                <w:szCs w:val="24"/>
              </w:rPr>
            </w:pPr>
            <w:r w:rsidRPr="00535DEB">
              <w:rPr>
                <w:noProof/>
                <w:color w:val="000000"/>
              </w:rPr>
              <w:t>1 084</w:t>
            </w:r>
          </w:p>
        </w:tc>
        <w:tc>
          <w:tcPr>
            <w:tcW w:w="1843" w:type="dxa"/>
            <w:vAlign w:val="center"/>
            <w:hideMark/>
          </w:tcPr>
          <w:p w14:paraId="71BA6BC3" w14:textId="4121444D" w:rsidR="00F744A1" w:rsidRPr="00535DEB" w:rsidRDefault="00F744A1" w:rsidP="007D751C">
            <w:pPr>
              <w:spacing w:after="0" w:line="276" w:lineRule="auto"/>
              <w:jc w:val="center"/>
              <w:rPr>
                <w:noProof/>
                <w:color w:val="000000"/>
                <w:szCs w:val="24"/>
              </w:rPr>
            </w:pPr>
            <w:r w:rsidRPr="00535DEB">
              <w:rPr>
                <w:noProof/>
                <w:color w:val="000000"/>
              </w:rPr>
              <w:t>383</w:t>
            </w:r>
          </w:p>
        </w:tc>
      </w:tr>
      <w:tr w:rsidR="00B72A2B" w:rsidRPr="00535DEB" w14:paraId="0D5247B9" w14:textId="77777777" w:rsidTr="00DB3CF9">
        <w:trPr>
          <w:trHeight w:val="300"/>
          <w:jc w:val="center"/>
        </w:trPr>
        <w:tc>
          <w:tcPr>
            <w:tcW w:w="1838" w:type="dxa"/>
            <w:vAlign w:val="center"/>
            <w:hideMark/>
          </w:tcPr>
          <w:p w14:paraId="7F88AC1E" w14:textId="77777777" w:rsidR="00F744A1" w:rsidRPr="00535DEB" w:rsidRDefault="00F744A1" w:rsidP="007D751C">
            <w:pPr>
              <w:spacing w:after="0" w:line="276" w:lineRule="auto"/>
              <w:rPr>
                <w:noProof/>
                <w:color w:val="000000"/>
                <w:szCs w:val="24"/>
              </w:rPr>
            </w:pPr>
            <w:r w:rsidRPr="00535DEB">
              <w:rPr>
                <w:noProof/>
                <w:color w:val="000000"/>
              </w:rPr>
              <w:t>Grèce</w:t>
            </w:r>
          </w:p>
        </w:tc>
        <w:tc>
          <w:tcPr>
            <w:tcW w:w="1418" w:type="dxa"/>
            <w:vAlign w:val="center"/>
            <w:hideMark/>
          </w:tcPr>
          <w:p w14:paraId="39400152" w14:textId="77777777" w:rsidR="00F744A1" w:rsidRPr="00535DEB" w:rsidRDefault="00F744A1" w:rsidP="007D751C">
            <w:pPr>
              <w:spacing w:after="0" w:line="276" w:lineRule="auto"/>
              <w:jc w:val="center"/>
              <w:rPr>
                <w:noProof/>
                <w:color w:val="000000"/>
                <w:szCs w:val="24"/>
              </w:rPr>
            </w:pPr>
            <w:r w:rsidRPr="00535DEB">
              <w:rPr>
                <w:noProof/>
                <w:color w:val="000000"/>
              </w:rPr>
              <w:t>7</w:t>
            </w:r>
          </w:p>
        </w:tc>
        <w:tc>
          <w:tcPr>
            <w:tcW w:w="2556" w:type="dxa"/>
            <w:vAlign w:val="center"/>
            <w:hideMark/>
          </w:tcPr>
          <w:p w14:paraId="677F7B88" w14:textId="505B73E6" w:rsidR="00F744A1" w:rsidRPr="00535DEB" w:rsidRDefault="00F744A1" w:rsidP="007D751C">
            <w:pPr>
              <w:spacing w:after="0" w:line="276" w:lineRule="auto"/>
              <w:jc w:val="center"/>
              <w:rPr>
                <w:noProof/>
                <w:color w:val="000000"/>
                <w:szCs w:val="24"/>
              </w:rPr>
            </w:pPr>
            <w:r w:rsidRPr="00535DEB">
              <w:rPr>
                <w:noProof/>
                <w:color w:val="000000"/>
              </w:rPr>
              <w:t>4 032</w:t>
            </w:r>
          </w:p>
        </w:tc>
        <w:tc>
          <w:tcPr>
            <w:tcW w:w="1843" w:type="dxa"/>
            <w:vAlign w:val="center"/>
            <w:hideMark/>
          </w:tcPr>
          <w:p w14:paraId="20B2FAF5" w14:textId="01B5C519" w:rsidR="00F744A1" w:rsidRPr="00535DEB" w:rsidRDefault="00F744A1" w:rsidP="007D751C">
            <w:pPr>
              <w:spacing w:after="0" w:line="276" w:lineRule="auto"/>
              <w:jc w:val="center"/>
              <w:rPr>
                <w:noProof/>
                <w:color w:val="000000"/>
                <w:szCs w:val="24"/>
              </w:rPr>
            </w:pPr>
            <w:r w:rsidRPr="00535DEB">
              <w:rPr>
                <w:noProof/>
                <w:color w:val="000000"/>
              </w:rPr>
              <w:t>381</w:t>
            </w:r>
          </w:p>
        </w:tc>
      </w:tr>
      <w:tr w:rsidR="00B72A2B" w:rsidRPr="00535DEB" w14:paraId="596D7AD7" w14:textId="77777777" w:rsidTr="00DB3CF9">
        <w:trPr>
          <w:trHeight w:val="300"/>
          <w:jc w:val="center"/>
        </w:trPr>
        <w:tc>
          <w:tcPr>
            <w:tcW w:w="1838" w:type="dxa"/>
            <w:vAlign w:val="center"/>
            <w:hideMark/>
          </w:tcPr>
          <w:p w14:paraId="289638F5" w14:textId="77777777" w:rsidR="00F744A1" w:rsidRPr="00535DEB" w:rsidRDefault="00F744A1" w:rsidP="007D751C">
            <w:pPr>
              <w:spacing w:after="0" w:line="276" w:lineRule="auto"/>
              <w:rPr>
                <w:noProof/>
                <w:color w:val="000000"/>
                <w:szCs w:val="24"/>
              </w:rPr>
            </w:pPr>
            <w:r w:rsidRPr="00535DEB">
              <w:rPr>
                <w:noProof/>
                <w:color w:val="000000"/>
              </w:rPr>
              <w:t>Luxembourg</w:t>
            </w:r>
          </w:p>
        </w:tc>
        <w:tc>
          <w:tcPr>
            <w:tcW w:w="1418" w:type="dxa"/>
            <w:vAlign w:val="center"/>
            <w:hideMark/>
          </w:tcPr>
          <w:p w14:paraId="2613E40D" w14:textId="77777777" w:rsidR="00F744A1" w:rsidRPr="00535DEB" w:rsidRDefault="00F744A1" w:rsidP="007D751C">
            <w:pPr>
              <w:spacing w:after="0" w:line="276" w:lineRule="auto"/>
              <w:jc w:val="center"/>
              <w:rPr>
                <w:noProof/>
                <w:color w:val="000000"/>
                <w:szCs w:val="24"/>
              </w:rPr>
            </w:pPr>
            <w:r w:rsidRPr="00535DEB">
              <w:rPr>
                <w:noProof/>
                <w:color w:val="000000"/>
              </w:rPr>
              <w:t>10</w:t>
            </w:r>
          </w:p>
        </w:tc>
        <w:tc>
          <w:tcPr>
            <w:tcW w:w="2556" w:type="dxa"/>
            <w:vAlign w:val="center"/>
            <w:hideMark/>
          </w:tcPr>
          <w:p w14:paraId="6420806A" w14:textId="77777777" w:rsidR="00F744A1" w:rsidRPr="00535DEB" w:rsidRDefault="00F744A1" w:rsidP="007D751C">
            <w:pPr>
              <w:spacing w:after="0" w:line="276" w:lineRule="auto"/>
              <w:jc w:val="center"/>
              <w:rPr>
                <w:noProof/>
                <w:color w:val="000000"/>
                <w:szCs w:val="24"/>
              </w:rPr>
            </w:pPr>
            <w:r w:rsidRPr="00535DEB">
              <w:rPr>
                <w:noProof/>
                <w:color w:val="000000"/>
              </w:rPr>
              <w:t>236</w:t>
            </w:r>
          </w:p>
        </w:tc>
        <w:tc>
          <w:tcPr>
            <w:tcW w:w="1843" w:type="dxa"/>
            <w:vAlign w:val="center"/>
            <w:hideMark/>
          </w:tcPr>
          <w:p w14:paraId="4DEB5D77" w14:textId="381F0920" w:rsidR="00F744A1" w:rsidRPr="00535DEB" w:rsidRDefault="00F744A1" w:rsidP="007D751C">
            <w:pPr>
              <w:spacing w:after="0" w:line="276" w:lineRule="auto"/>
              <w:jc w:val="center"/>
              <w:rPr>
                <w:noProof/>
                <w:color w:val="000000"/>
                <w:szCs w:val="24"/>
              </w:rPr>
            </w:pPr>
            <w:r w:rsidRPr="00535DEB">
              <w:rPr>
                <w:noProof/>
                <w:color w:val="000000"/>
              </w:rPr>
              <w:t>363</w:t>
            </w:r>
          </w:p>
        </w:tc>
      </w:tr>
      <w:tr w:rsidR="00B72A2B" w:rsidRPr="00535DEB" w14:paraId="30E50135" w14:textId="77777777" w:rsidTr="00DB3CF9">
        <w:trPr>
          <w:trHeight w:val="300"/>
          <w:jc w:val="center"/>
        </w:trPr>
        <w:tc>
          <w:tcPr>
            <w:tcW w:w="1838" w:type="dxa"/>
            <w:vAlign w:val="center"/>
            <w:hideMark/>
          </w:tcPr>
          <w:p w14:paraId="580E776D" w14:textId="77777777" w:rsidR="00F744A1" w:rsidRPr="00535DEB" w:rsidRDefault="00F744A1" w:rsidP="007D751C">
            <w:pPr>
              <w:spacing w:after="0" w:line="276" w:lineRule="auto"/>
              <w:rPr>
                <w:noProof/>
                <w:color w:val="000000"/>
                <w:szCs w:val="24"/>
              </w:rPr>
            </w:pPr>
            <w:r w:rsidRPr="00535DEB">
              <w:rPr>
                <w:noProof/>
                <w:color w:val="000000"/>
              </w:rPr>
              <w:t>Bulgarie</w:t>
            </w:r>
          </w:p>
        </w:tc>
        <w:tc>
          <w:tcPr>
            <w:tcW w:w="1418" w:type="dxa"/>
            <w:vAlign w:val="center"/>
            <w:hideMark/>
          </w:tcPr>
          <w:p w14:paraId="3E086AF6" w14:textId="77777777" w:rsidR="00F744A1" w:rsidRPr="00535DEB" w:rsidRDefault="00F744A1" w:rsidP="007D751C">
            <w:pPr>
              <w:spacing w:after="0" w:line="276" w:lineRule="auto"/>
              <w:jc w:val="center"/>
              <w:rPr>
                <w:noProof/>
                <w:color w:val="000000"/>
                <w:szCs w:val="24"/>
              </w:rPr>
            </w:pPr>
            <w:r w:rsidRPr="00535DEB">
              <w:rPr>
                <w:noProof/>
                <w:color w:val="000000"/>
              </w:rPr>
              <w:t>15</w:t>
            </w:r>
          </w:p>
        </w:tc>
        <w:tc>
          <w:tcPr>
            <w:tcW w:w="2556" w:type="dxa"/>
            <w:vAlign w:val="center"/>
            <w:hideMark/>
          </w:tcPr>
          <w:p w14:paraId="63FC3B74" w14:textId="603B593B" w:rsidR="00F744A1" w:rsidRPr="00535DEB" w:rsidRDefault="00F744A1" w:rsidP="007D751C">
            <w:pPr>
              <w:spacing w:after="0" w:line="276" w:lineRule="auto"/>
              <w:jc w:val="center"/>
              <w:rPr>
                <w:noProof/>
                <w:color w:val="000000"/>
                <w:szCs w:val="24"/>
              </w:rPr>
            </w:pPr>
            <w:r w:rsidRPr="00535DEB">
              <w:rPr>
                <w:noProof/>
                <w:color w:val="000000"/>
              </w:rPr>
              <w:t>2 332</w:t>
            </w:r>
          </w:p>
        </w:tc>
        <w:tc>
          <w:tcPr>
            <w:tcW w:w="1843" w:type="dxa"/>
            <w:vAlign w:val="center"/>
            <w:hideMark/>
          </w:tcPr>
          <w:p w14:paraId="5E81B40B" w14:textId="3F846EDA" w:rsidR="00F744A1" w:rsidRPr="00535DEB" w:rsidRDefault="00F744A1" w:rsidP="007D751C">
            <w:pPr>
              <w:spacing w:after="0" w:line="276" w:lineRule="auto"/>
              <w:jc w:val="center"/>
              <w:rPr>
                <w:noProof/>
                <w:color w:val="000000"/>
                <w:szCs w:val="24"/>
              </w:rPr>
            </w:pPr>
            <w:r w:rsidRPr="00535DEB">
              <w:rPr>
                <w:noProof/>
                <w:color w:val="000000"/>
              </w:rPr>
              <w:t>360</w:t>
            </w:r>
          </w:p>
        </w:tc>
      </w:tr>
      <w:tr w:rsidR="00B72A2B" w:rsidRPr="00535DEB" w14:paraId="469E7D85" w14:textId="77777777" w:rsidTr="00DB3CF9">
        <w:trPr>
          <w:trHeight w:val="300"/>
          <w:jc w:val="center"/>
        </w:trPr>
        <w:tc>
          <w:tcPr>
            <w:tcW w:w="1838" w:type="dxa"/>
            <w:vAlign w:val="center"/>
            <w:hideMark/>
          </w:tcPr>
          <w:p w14:paraId="5C6C27B8" w14:textId="77777777" w:rsidR="00F744A1" w:rsidRPr="00535DEB" w:rsidRDefault="00F744A1" w:rsidP="007D751C">
            <w:pPr>
              <w:spacing w:after="0" w:line="276" w:lineRule="auto"/>
              <w:rPr>
                <w:noProof/>
                <w:color w:val="000000"/>
                <w:szCs w:val="24"/>
              </w:rPr>
            </w:pPr>
            <w:r w:rsidRPr="00535DEB">
              <w:rPr>
                <w:noProof/>
                <w:color w:val="000000"/>
              </w:rPr>
              <w:t>Chypre</w:t>
            </w:r>
          </w:p>
        </w:tc>
        <w:tc>
          <w:tcPr>
            <w:tcW w:w="1418" w:type="dxa"/>
            <w:vAlign w:val="center"/>
            <w:hideMark/>
          </w:tcPr>
          <w:p w14:paraId="3C3C930A" w14:textId="77777777" w:rsidR="00F744A1" w:rsidRPr="00535DEB" w:rsidRDefault="00F744A1" w:rsidP="007D751C">
            <w:pPr>
              <w:spacing w:after="0" w:line="276" w:lineRule="auto"/>
              <w:jc w:val="center"/>
              <w:rPr>
                <w:noProof/>
                <w:color w:val="000000"/>
                <w:szCs w:val="24"/>
              </w:rPr>
            </w:pPr>
            <w:r w:rsidRPr="00535DEB">
              <w:rPr>
                <w:noProof/>
                <w:color w:val="000000"/>
              </w:rPr>
              <w:t>9</w:t>
            </w:r>
          </w:p>
        </w:tc>
        <w:tc>
          <w:tcPr>
            <w:tcW w:w="2556" w:type="dxa"/>
            <w:vAlign w:val="center"/>
            <w:hideMark/>
          </w:tcPr>
          <w:p w14:paraId="7AE1AE43" w14:textId="77777777" w:rsidR="00F744A1" w:rsidRPr="00535DEB" w:rsidRDefault="00F744A1" w:rsidP="007D751C">
            <w:pPr>
              <w:spacing w:after="0" w:line="276" w:lineRule="auto"/>
              <w:jc w:val="center"/>
              <w:rPr>
                <w:noProof/>
                <w:color w:val="000000"/>
                <w:szCs w:val="24"/>
              </w:rPr>
            </w:pPr>
            <w:r w:rsidRPr="00535DEB">
              <w:rPr>
                <w:noProof/>
                <w:color w:val="000000"/>
              </w:rPr>
              <w:t>361</w:t>
            </w:r>
          </w:p>
        </w:tc>
        <w:tc>
          <w:tcPr>
            <w:tcW w:w="1843" w:type="dxa"/>
            <w:vAlign w:val="center"/>
            <w:hideMark/>
          </w:tcPr>
          <w:p w14:paraId="3EE7330E" w14:textId="121FE7E1" w:rsidR="00F744A1" w:rsidRPr="00535DEB" w:rsidRDefault="00F744A1" w:rsidP="007D751C">
            <w:pPr>
              <w:spacing w:after="0" w:line="276" w:lineRule="auto"/>
              <w:jc w:val="center"/>
              <w:rPr>
                <w:noProof/>
                <w:color w:val="000000"/>
                <w:szCs w:val="24"/>
              </w:rPr>
            </w:pPr>
            <w:r w:rsidRPr="00535DEB">
              <w:rPr>
                <w:noProof/>
                <w:color w:val="000000"/>
              </w:rPr>
              <w:t>289</w:t>
            </w:r>
          </w:p>
        </w:tc>
      </w:tr>
      <w:tr w:rsidR="00B72A2B" w:rsidRPr="00535DEB" w14:paraId="3EDF6CED" w14:textId="77777777" w:rsidTr="00DB3CF9">
        <w:trPr>
          <w:trHeight w:val="300"/>
          <w:jc w:val="center"/>
        </w:trPr>
        <w:tc>
          <w:tcPr>
            <w:tcW w:w="1838" w:type="dxa"/>
            <w:vAlign w:val="center"/>
            <w:hideMark/>
          </w:tcPr>
          <w:p w14:paraId="49424490" w14:textId="77777777" w:rsidR="00F744A1" w:rsidRPr="00535DEB" w:rsidRDefault="00F744A1" w:rsidP="007D751C">
            <w:pPr>
              <w:spacing w:after="0" w:line="276" w:lineRule="auto"/>
              <w:rPr>
                <w:noProof/>
                <w:color w:val="000000"/>
                <w:szCs w:val="24"/>
              </w:rPr>
            </w:pPr>
            <w:r w:rsidRPr="00535DEB">
              <w:rPr>
                <w:noProof/>
                <w:color w:val="000000"/>
              </w:rPr>
              <w:t>Malte</w:t>
            </w:r>
          </w:p>
        </w:tc>
        <w:tc>
          <w:tcPr>
            <w:tcW w:w="1418" w:type="dxa"/>
            <w:vAlign w:val="center"/>
            <w:hideMark/>
          </w:tcPr>
          <w:p w14:paraId="0E4D1BB6" w14:textId="77777777" w:rsidR="00F744A1" w:rsidRPr="00535DEB" w:rsidRDefault="00F744A1" w:rsidP="007D751C">
            <w:pPr>
              <w:spacing w:after="0" w:line="276" w:lineRule="auto"/>
              <w:jc w:val="center"/>
              <w:rPr>
                <w:noProof/>
                <w:color w:val="000000"/>
                <w:szCs w:val="24"/>
              </w:rPr>
            </w:pPr>
            <w:r w:rsidRPr="00535DEB">
              <w:rPr>
                <w:noProof/>
                <w:color w:val="000000"/>
              </w:rPr>
              <w:t>16</w:t>
            </w:r>
          </w:p>
        </w:tc>
        <w:tc>
          <w:tcPr>
            <w:tcW w:w="2556" w:type="dxa"/>
            <w:vAlign w:val="center"/>
            <w:hideMark/>
          </w:tcPr>
          <w:p w14:paraId="3F2CCEF6" w14:textId="77777777" w:rsidR="00F744A1" w:rsidRPr="00535DEB" w:rsidRDefault="00F744A1" w:rsidP="007D751C">
            <w:pPr>
              <w:spacing w:after="0" w:line="276" w:lineRule="auto"/>
              <w:jc w:val="center"/>
              <w:rPr>
                <w:noProof/>
                <w:color w:val="000000"/>
                <w:szCs w:val="24"/>
              </w:rPr>
            </w:pPr>
            <w:r w:rsidRPr="00535DEB">
              <w:rPr>
                <w:noProof/>
                <w:color w:val="000000"/>
              </w:rPr>
              <w:t>146</w:t>
            </w:r>
          </w:p>
        </w:tc>
        <w:tc>
          <w:tcPr>
            <w:tcW w:w="1843" w:type="dxa"/>
            <w:vAlign w:val="center"/>
            <w:hideMark/>
          </w:tcPr>
          <w:p w14:paraId="350C95E6" w14:textId="5C847998" w:rsidR="00F744A1" w:rsidRPr="00535DEB" w:rsidRDefault="00F744A1" w:rsidP="007D751C">
            <w:pPr>
              <w:spacing w:after="0" w:line="276" w:lineRule="auto"/>
              <w:jc w:val="center"/>
              <w:rPr>
                <w:noProof/>
                <w:color w:val="000000"/>
                <w:szCs w:val="24"/>
              </w:rPr>
            </w:pPr>
            <w:r w:rsidRPr="00535DEB">
              <w:rPr>
                <w:noProof/>
                <w:color w:val="000000"/>
              </w:rPr>
              <w:t>279</w:t>
            </w:r>
          </w:p>
        </w:tc>
      </w:tr>
      <w:tr w:rsidR="00B72A2B" w:rsidRPr="00535DEB" w14:paraId="6AB7F456" w14:textId="77777777" w:rsidTr="00DB3CF9">
        <w:trPr>
          <w:trHeight w:val="300"/>
          <w:jc w:val="center"/>
        </w:trPr>
        <w:tc>
          <w:tcPr>
            <w:tcW w:w="1838" w:type="dxa"/>
            <w:vAlign w:val="center"/>
            <w:hideMark/>
          </w:tcPr>
          <w:p w14:paraId="1C6287CE" w14:textId="77777777" w:rsidR="00F744A1" w:rsidRPr="00535DEB" w:rsidRDefault="00F744A1" w:rsidP="007D751C">
            <w:pPr>
              <w:spacing w:after="0" w:line="276" w:lineRule="auto"/>
              <w:rPr>
                <w:noProof/>
                <w:color w:val="000000"/>
                <w:szCs w:val="24"/>
              </w:rPr>
            </w:pPr>
            <w:r w:rsidRPr="00535DEB">
              <w:rPr>
                <w:noProof/>
                <w:color w:val="000000"/>
              </w:rPr>
              <w:t>Espagne</w:t>
            </w:r>
          </w:p>
        </w:tc>
        <w:tc>
          <w:tcPr>
            <w:tcW w:w="1418" w:type="dxa"/>
            <w:vAlign w:val="center"/>
            <w:hideMark/>
          </w:tcPr>
          <w:p w14:paraId="0B00BD29" w14:textId="77777777" w:rsidR="00F744A1" w:rsidRPr="00535DEB" w:rsidRDefault="00F744A1" w:rsidP="007D751C">
            <w:pPr>
              <w:spacing w:after="0" w:line="276" w:lineRule="auto"/>
              <w:jc w:val="center"/>
              <w:rPr>
                <w:noProof/>
                <w:color w:val="000000"/>
                <w:szCs w:val="24"/>
              </w:rPr>
            </w:pPr>
            <w:r w:rsidRPr="00535DEB">
              <w:rPr>
                <w:noProof/>
                <w:color w:val="000000"/>
              </w:rPr>
              <w:t>62</w:t>
            </w:r>
          </w:p>
        </w:tc>
        <w:tc>
          <w:tcPr>
            <w:tcW w:w="2556" w:type="dxa"/>
            <w:vAlign w:val="center"/>
            <w:hideMark/>
          </w:tcPr>
          <w:p w14:paraId="366580C6" w14:textId="1AA1E60F" w:rsidR="00F744A1" w:rsidRPr="00535DEB" w:rsidRDefault="00F744A1" w:rsidP="007D751C">
            <w:pPr>
              <w:spacing w:after="0" w:line="276" w:lineRule="auto"/>
              <w:jc w:val="center"/>
              <w:rPr>
                <w:noProof/>
                <w:color w:val="000000"/>
                <w:szCs w:val="24"/>
              </w:rPr>
            </w:pPr>
            <w:r w:rsidRPr="00535DEB">
              <w:rPr>
                <w:noProof/>
                <w:color w:val="000000"/>
              </w:rPr>
              <w:t>10 663</w:t>
            </w:r>
          </w:p>
        </w:tc>
        <w:tc>
          <w:tcPr>
            <w:tcW w:w="1843" w:type="dxa"/>
            <w:vAlign w:val="center"/>
            <w:hideMark/>
          </w:tcPr>
          <w:p w14:paraId="6F09EC37" w14:textId="02CE2792" w:rsidR="00F744A1" w:rsidRPr="00535DEB" w:rsidRDefault="00F744A1" w:rsidP="007D751C">
            <w:pPr>
              <w:spacing w:after="0" w:line="276" w:lineRule="auto"/>
              <w:jc w:val="center"/>
              <w:rPr>
                <w:noProof/>
                <w:color w:val="000000"/>
                <w:szCs w:val="24"/>
              </w:rPr>
            </w:pPr>
            <w:r w:rsidRPr="00535DEB">
              <w:rPr>
                <w:noProof/>
                <w:color w:val="000000"/>
              </w:rPr>
              <w:t>224</w:t>
            </w:r>
          </w:p>
        </w:tc>
      </w:tr>
      <w:tr w:rsidR="00B72A2B" w:rsidRPr="00535DEB" w14:paraId="37D66B21" w14:textId="77777777" w:rsidTr="00DB3CF9">
        <w:trPr>
          <w:trHeight w:val="300"/>
          <w:jc w:val="center"/>
        </w:trPr>
        <w:tc>
          <w:tcPr>
            <w:tcW w:w="1838" w:type="dxa"/>
            <w:vAlign w:val="center"/>
            <w:hideMark/>
          </w:tcPr>
          <w:p w14:paraId="2E2578E9" w14:textId="77777777" w:rsidR="00F744A1" w:rsidRPr="00535DEB" w:rsidRDefault="00F744A1" w:rsidP="007D751C">
            <w:pPr>
              <w:spacing w:after="0" w:line="276" w:lineRule="auto"/>
              <w:rPr>
                <w:noProof/>
                <w:color w:val="000000"/>
                <w:szCs w:val="24"/>
              </w:rPr>
            </w:pPr>
            <w:r w:rsidRPr="00535DEB">
              <w:rPr>
                <w:noProof/>
                <w:color w:val="000000"/>
              </w:rPr>
              <w:t>Hongrie</w:t>
            </w:r>
          </w:p>
        </w:tc>
        <w:tc>
          <w:tcPr>
            <w:tcW w:w="1418" w:type="dxa"/>
            <w:vAlign w:val="center"/>
            <w:hideMark/>
          </w:tcPr>
          <w:p w14:paraId="6E9C4B2C" w14:textId="77777777" w:rsidR="00F744A1" w:rsidRPr="00535DEB" w:rsidRDefault="00F744A1" w:rsidP="007D751C">
            <w:pPr>
              <w:spacing w:after="0" w:line="276" w:lineRule="auto"/>
              <w:jc w:val="center"/>
              <w:rPr>
                <w:noProof/>
                <w:color w:val="000000"/>
                <w:szCs w:val="24"/>
              </w:rPr>
            </w:pPr>
            <w:r w:rsidRPr="00535DEB">
              <w:rPr>
                <w:noProof/>
                <w:color w:val="000000"/>
              </w:rPr>
              <w:t>35</w:t>
            </w:r>
          </w:p>
        </w:tc>
        <w:tc>
          <w:tcPr>
            <w:tcW w:w="2556" w:type="dxa"/>
            <w:vAlign w:val="center"/>
            <w:hideMark/>
          </w:tcPr>
          <w:p w14:paraId="7CFCD097" w14:textId="10E689DA" w:rsidR="00F744A1" w:rsidRPr="00535DEB" w:rsidRDefault="00F744A1" w:rsidP="007D751C">
            <w:pPr>
              <w:spacing w:after="0" w:line="276" w:lineRule="auto"/>
              <w:jc w:val="center"/>
              <w:rPr>
                <w:noProof/>
                <w:color w:val="000000"/>
                <w:szCs w:val="24"/>
              </w:rPr>
            </w:pPr>
            <w:r w:rsidRPr="00535DEB">
              <w:rPr>
                <w:noProof/>
                <w:color w:val="000000"/>
              </w:rPr>
              <w:t>1 931</w:t>
            </w:r>
          </w:p>
        </w:tc>
        <w:tc>
          <w:tcPr>
            <w:tcW w:w="1843" w:type="dxa"/>
            <w:vAlign w:val="center"/>
            <w:hideMark/>
          </w:tcPr>
          <w:p w14:paraId="09DB2992" w14:textId="17BA835B" w:rsidR="00F744A1" w:rsidRPr="00535DEB" w:rsidRDefault="00F744A1" w:rsidP="007D751C">
            <w:pPr>
              <w:spacing w:after="0" w:line="276" w:lineRule="auto"/>
              <w:jc w:val="center"/>
              <w:rPr>
                <w:noProof/>
                <w:color w:val="000000"/>
                <w:szCs w:val="24"/>
              </w:rPr>
            </w:pPr>
            <w:r w:rsidRPr="00535DEB">
              <w:rPr>
                <w:noProof/>
                <w:color w:val="000000"/>
              </w:rPr>
              <w:t>199</w:t>
            </w:r>
          </w:p>
        </w:tc>
      </w:tr>
      <w:tr w:rsidR="00B72A2B" w:rsidRPr="00535DEB" w14:paraId="5F2D362B" w14:textId="77777777" w:rsidTr="00DB3CF9">
        <w:trPr>
          <w:trHeight w:val="300"/>
          <w:jc w:val="center"/>
        </w:trPr>
        <w:tc>
          <w:tcPr>
            <w:tcW w:w="1838" w:type="dxa"/>
            <w:vAlign w:val="center"/>
            <w:hideMark/>
          </w:tcPr>
          <w:p w14:paraId="37D8A775" w14:textId="77777777" w:rsidR="00F744A1" w:rsidRPr="00535DEB" w:rsidRDefault="00F744A1" w:rsidP="007D751C">
            <w:pPr>
              <w:spacing w:after="0" w:line="276" w:lineRule="auto"/>
              <w:rPr>
                <w:noProof/>
                <w:color w:val="000000"/>
                <w:szCs w:val="24"/>
              </w:rPr>
            </w:pPr>
            <w:r w:rsidRPr="00535DEB">
              <w:rPr>
                <w:noProof/>
                <w:color w:val="000000"/>
              </w:rPr>
              <w:t>Slovénie</w:t>
            </w:r>
          </w:p>
        </w:tc>
        <w:tc>
          <w:tcPr>
            <w:tcW w:w="1418" w:type="dxa"/>
            <w:vAlign w:val="center"/>
            <w:hideMark/>
          </w:tcPr>
          <w:p w14:paraId="0D9CFE83" w14:textId="77777777" w:rsidR="00F744A1" w:rsidRPr="00535DEB" w:rsidRDefault="00F744A1" w:rsidP="007D751C">
            <w:pPr>
              <w:spacing w:after="0" w:line="276" w:lineRule="auto"/>
              <w:jc w:val="center"/>
              <w:rPr>
                <w:noProof/>
                <w:color w:val="000000"/>
                <w:szCs w:val="24"/>
              </w:rPr>
            </w:pPr>
            <w:r w:rsidRPr="00535DEB">
              <w:rPr>
                <w:noProof/>
                <w:color w:val="000000"/>
              </w:rPr>
              <w:t>7</w:t>
            </w:r>
          </w:p>
        </w:tc>
        <w:tc>
          <w:tcPr>
            <w:tcW w:w="2556" w:type="dxa"/>
            <w:vAlign w:val="center"/>
            <w:hideMark/>
          </w:tcPr>
          <w:p w14:paraId="5ADC943F" w14:textId="77777777" w:rsidR="00F744A1" w:rsidRPr="00535DEB" w:rsidRDefault="00F744A1" w:rsidP="007D751C">
            <w:pPr>
              <w:spacing w:after="0" w:line="276" w:lineRule="auto"/>
              <w:jc w:val="center"/>
              <w:rPr>
                <w:noProof/>
                <w:color w:val="000000"/>
                <w:szCs w:val="24"/>
              </w:rPr>
            </w:pPr>
            <w:r w:rsidRPr="00535DEB">
              <w:rPr>
                <w:noProof/>
                <w:color w:val="000000"/>
              </w:rPr>
              <w:t>331</w:t>
            </w:r>
          </w:p>
        </w:tc>
        <w:tc>
          <w:tcPr>
            <w:tcW w:w="1843" w:type="dxa"/>
            <w:vAlign w:val="center"/>
            <w:hideMark/>
          </w:tcPr>
          <w:p w14:paraId="5B30189D" w14:textId="491402B6" w:rsidR="00F744A1" w:rsidRPr="00535DEB" w:rsidRDefault="00F744A1" w:rsidP="007D751C">
            <w:pPr>
              <w:spacing w:after="0" w:line="276" w:lineRule="auto"/>
              <w:jc w:val="center"/>
              <w:rPr>
                <w:noProof/>
                <w:color w:val="000000"/>
                <w:szCs w:val="24"/>
              </w:rPr>
            </w:pPr>
            <w:r w:rsidRPr="00535DEB">
              <w:rPr>
                <w:noProof/>
                <w:color w:val="000000"/>
              </w:rPr>
              <w:t>157</w:t>
            </w:r>
          </w:p>
        </w:tc>
      </w:tr>
      <w:tr w:rsidR="00B72A2B" w:rsidRPr="00535DEB" w14:paraId="74D0ACF2" w14:textId="77777777" w:rsidTr="00DB3CF9">
        <w:trPr>
          <w:trHeight w:val="300"/>
          <w:jc w:val="center"/>
        </w:trPr>
        <w:tc>
          <w:tcPr>
            <w:tcW w:w="1838" w:type="dxa"/>
            <w:vAlign w:val="center"/>
            <w:hideMark/>
          </w:tcPr>
          <w:p w14:paraId="6484087B" w14:textId="77777777" w:rsidR="00F744A1" w:rsidRPr="00535DEB" w:rsidRDefault="00F744A1" w:rsidP="007D751C">
            <w:pPr>
              <w:spacing w:after="0" w:line="276" w:lineRule="auto"/>
              <w:rPr>
                <w:noProof/>
                <w:color w:val="000000"/>
                <w:szCs w:val="24"/>
              </w:rPr>
            </w:pPr>
            <w:r w:rsidRPr="00535DEB">
              <w:rPr>
                <w:noProof/>
                <w:color w:val="000000"/>
              </w:rPr>
              <w:t>Irlande</w:t>
            </w:r>
          </w:p>
        </w:tc>
        <w:tc>
          <w:tcPr>
            <w:tcW w:w="1418" w:type="dxa"/>
            <w:vAlign w:val="center"/>
            <w:hideMark/>
          </w:tcPr>
          <w:p w14:paraId="38463000" w14:textId="77777777" w:rsidR="00F744A1" w:rsidRPr="00535DEB" w:rsidRDefault="00F744A1" w:rsidP="007D751C">
            <w:pPr>
              <w:spacing w:after="0" w:line="276" w:lineRule="auto"/>
              <w:jc w:val="center"/>
              <w:rPr>
                <w:noProof/>
                <w:color w:val="000000"/>
                <w:szCs w:val="24"/>
              </w:rPr>
            </w:pPr>
            <w:r w:rsidRPr="00535DEB">
              <w:rPr>
                <w:noProof/>
                <w:color w:val="000000"/>
              </w:rPr>
              <w:t>6</w:t>
            </w:r>
          </w:p>
        </w:tc>
        <w:tc>
          <w:tcPr>
            <w:tcW w:w="2556" w:type="dxa"/>
            <w:vAlign w:val="center"/>
            <w:hideMark/>
          </w:tcPr>
          <w:p w14:paraId="77AC3741" w14:textId="77777777" w:rsidR="00F744A1" w:rsidRPr="00535DEB" w:rsidRDefault="00F744A1" w:rsidP="007D751C">
            <w:pPr>
              <w:spacing w:after="0" w:line="276" w:lineRule="auto"/>
              <w:jc w:val="center"/>
              <w:rPr>
                <w:noProof/>
                <w:color w:val="000000"/>
                <w:szCs w:val="24"/>
              </w:rPr>
            </w:pPr>
            <w:r w:rsidRPr="00535DEB">
              <w:rPr>
                <w:noProof/>
                <w:color w:val="000000"/>
              </w:rPr>
              <w:t>172</w:t>
            </w:r>
          </w:p>
        </w:tc>
        <w:tc>
          <w:tcPr>
            <w:tcW w:w="1843" w:type="dxa"/>
            <w:vAlign w:val="center"/>
            <w:hideMark/>
          </w:tcPr>
          <w:p w14:paraId="24D0AEDA" w14:textId="0F15FA21" w:rsidR="00F744A1" w:rsidRPr="00535DEB" w:rsidRDefault="00F744A1" w:rsidP="007D751C">
            <w:pPr>
              <w:spacing w:after="0" w:line="276" w:lineRule="auto"/>
              <w:jc w:val="center"/>
              <w:rPr>
                <w:noProof/>
                <w:color w:val="000000"/>
                <w:szCs w:val="24"/>
              </w:rPr>
            </w:pPr>
            <w:r w:rsidRPr="00535DEB">
              <w:rPr>
                <w:noProof/>
                <w:color w:val="000000"/>
              </w:rPr>
              <w:t>26</w:t>
            </w:r>
          </w:p>
        </w:tc>
      </w:tr>
      <w:tr w:rsidR="00B72A2B" w:rsidRPr="00535DEB" w14:paraId="10913656" w14:textId="77777777" w:rsidTr="00DB3CF9">
        <w:trPr>
          <w:trHeight w:val="300"/>
          <w:jc w:val="center"/>
        </w:trPr>
        <w:tc>
          <w:tcPr>
            <w:tcW w:w="1838" w:type="dxa"/>
            <w:vAlign w:val="center"/>
            <w:hideMark/>
          </w:tcPr>
          <w:p w14:paraId="0487B242" w14:textId="77777777" w:rsidR="00F744A1" w:rsidRPr="00535DEB" w:rsidRDefault="00F744A1" w:rsidP="007D751C">
            <w:pPr>
              <w:spacing w:after="0" w:line="276" w:lineRule="auto"/>
              <w:rPr>
                <w:noProof/>
                <w:color w:val="000000"/>
                <w:szCs w:val="24"/>
              </w:rPr>
            </w:pPr>
            <w:r w:rsidRPr="00535DEB">
              <w:rPr>
                <w:noProof/>
                <w:color w:val="000000"/>
              </w:rPr>
              <w:t>Roumanie</w:t>
            </w:r>
          </w:p>
        </w:tc>
        <w:tc>
          <w:tcPr>
            <w:tcW w:w="1418" w:type="dxa"/>
            <w:vAlign w:val="center"/>
            <w:hideMark/>
          </w:tcPr>
          <w:p w14:paraId="64CE48A5" w14:textId="77777777" w:rsidR="00F744A1" w:rsidRPr="00535DEB" w:rsidRDefault="00F744A1" w:rsidP="007D751C">
            <w:pPr>
              <w:spacing w:after="0" w:line="276" w:lineRule="auto"/>
              <w:jc w:val="center"/>
              <w:rPr>
                <w:noProof/>
                <w:color w:val="000000"/>
                <w:szCs w:val="24"/>
              </w:rPr>
            </w:pPr>
            <w:r w:rsidRPr="00535DEB">
              <w:rPr>
                <w:noProof/>
                <w:color w:val="000000"/>
              </w:rPr>
              <w:t>7</w:t>
            </w:r>
          </w:p>
        </w:tc>
        <w:tc>
          <w:tcPr>
            <w:tcW w:w="2556" w:type="dxa"/>
            <w:vAlign w:val="center"/>
            <w:hideMark/>
          </w:tcPr>
          <w:p w14:paraId="58C5C465" w14:textId="77777777" w:rsidR="00F744A1" w:rsidRPr="00535DEB" w:rsidRDefault="00F744A1" w:rsidP="007D751C">
            <w:pPr>
              <w:spacing w:after="0" w:line="276" w:lineRule="auto"/>
              <w:jc w:val="center"/>
              <w:rPr>
                <w:noProof/>
                <w:color w:val="000000"/>
                <w:szCs w:val="24"/>
              </w:rPr>
            </w:pPr>
            <w:r w:rsidRPr="00535DEB">
              <w:rPr>
                <w:noProof/>
                <w:color w:val="000000"/>
              </w:rPr>
              <w:t>263</w:t>
            </w:r>
          </w:p>
        </w:tc>
        <w:tc>
          <w:tcPr>
            <w:tcW w:w="1843" w:type="dxa"/>
            <w:vAlign w:val="center"/>
            <w:hideMark/>
          </w:tcPr>
          <w:p w14:paraId="360C4A75" w14:textId="64D6BD89" w:rsidR="00F744A1" w:rsidRPr="00535DEB" w:rsidRDefault="00F744A1" w:rsidP="007D751C">
            <w:pPr>
              <w:spacing w:after="0" w:line="276" w:lineRule="auto"/>
              <w:jc w:val="center"/>
              <w:rPr>
                <w:noProof/>
                <w:color w:val="000000"/>
                <w:szCs w:val="24"/>
              </w:rPr>
            </w:pPr>
            <w:r w:rsidRPr="00535DEB">
              <w:rPr>
                <w:noProof/>
                <w:color w:val="000000"/>
              </w:rPr>
              <w:t>14</w:t>
            </w:r>
          </w:p>
        </w:tc>
      </w:tr>
    </w:tbl>
    <w:p w14:paraId="09728D9F" w14:textId="0CF09081" w:rsidR="003B0930" w:rsidRPr="00535DEB" w:rsidRDefault="00430D34" w:rsidP="007D751C">
      <w:pPr>
        <w:spacing w:line="276" w:lineRule="auto"/>
        <w:rPr>
          <w:noProof/>
          <w:sz w:val="20"/>
        </w:rPr>
      </w:pPr>
      <w:r w:rsidRPr="00535DEB">
        <w:rPr>
          <w:noProof/>
          <w:sz w:val="20"/>
        </w:rPr>
        <w:t>Source: Commission européenne, 2024. Classement sur la base du montant en EUR par habitant.</w:t>
      </w:r>
    </w:p>
    <w:p w14:paraId="1F93376E" w14:textId="3056A704" w:rsidR="00415590" w:rsidRPr="00535DEB" w:rsidRDefault="00A80CA9" w:rsidP="007D751C">
      <w:pPr>
        <w:spacing w:line="276" w:lineRule="auto"/>
        <w:rPr>
          <w:noProof/>
          <w:color w:val="BFBFBF" w:themeColor="background1" w:themeShade="BF"/>
          <w:highlight w:val="yellow"/>
        </w:rPr>
      </w:pPr>
      <w:r w:rsidRPr="00535DEB">
        <w:rPr>
          <w:noProof/>
        </w:rPr>
        <w:t xml:space="preserve">Parmi les plus grands États membres, l’Italie et la France se distinguent par des niveaux de soutien élevés. Dans le cadre du </w:t>
      </w:r>
      <w:r w:rsidRPr="00535DEB">
        <w:rPr>
          <w:i/>
          <w:noProof/>
        </w:rPr>
        <w:t>Superbonus</w:t>
      </w:r>
      <w:r w:rsidRPr="00535DEB">
        <w:rPr>
          <w:noProof/>
        </w:rPr>
        <w:t xml:space="preserve"> italien, les bénéficiaires ont reçu une subvention de 110 % sous la forme de crédits d’impôt. En France, le coût du taux réduit de TVA pour les travaux de rénovation (5,5 %), en place depuis 2014, a été estimé à 90 milliards d’EUR depuis son lancement, ce qui représente les trois quarts des dépenses françaises.</w:t>
      </w:r>
    </w:p>
    <w:p w14:paraId="254EC218" w14:textId="71160EF1" w:rsidR="00415590" w:rsidRPr="00535DEB" w:rsidRDefault="00C85294" w:rsidP="007D751C">
      <w:pPr>
        <w:spacing w:line="276" w:lineRule="auto"/>
        <w:rPr>
          <w:noProof/>
        </w:rPr>
      </w:pPr>
      <w:r w:rsidRPr="00535DEB">
        <w:rPr>
          <w:noProof/>
        </w:rPr>
        <w:t xml:space="preserve">Les subventions, l’assistance technique et les réductions d’impôt sont des formes d’aide </w:t>
      </w:r>
      <w:r w:rsidRPr="00535DEB">
        <w:rPr>
          <w:b/>
          <w:noProof/>
        </w:rPr>
        <w:t>non remboursables</w:t>
      </w:r>
      <w:r w:rsidRPr="00535DEB">
        <w:rPr>
          <w:noProof/>
        </w:rPr>
        <w:t>, ce qui signifie que ces ressources ne peuvent être octroyées aux bénéficiaires qu’une seule fois et ne sont pas reversées au budget national. L’aide non remboursable devrait principalement cibler les bénéficiaires vulnérables qui éprouveraient des difficultés à la rembourser, en raison soit d’un manque de ressources, soit d’une situation de concurrence rude avec d’autres dépenses. En revanche, les fonds perçus dans le cadre de régimes remboursables, qui comprennent des instruments financiers tels que des prêts, des garanties et des participations en fonds propres, doivent être remboursés aux organes d’exécution nationaux ou régionaux et, dans le cas de fonds renouvelables, peuvent être utilisés pour des opérations successives. L’aide remboursable a tendance à avoir un effet de levier potentiel plus élevé. Il existe également des régimes mixtes proposant un mélange d’aide remboursable et non remboursable. Ces régimes sont particulièrement susceptibles de déclencher des décisions d’investissement chez les bénéficiaires en raison de leur élément de subvention (par exemple, audits énergétiques ou soutien technique gratuits, conditions de prêt préférentielles, réductions sur capital, bonifications d’intérêt ou contributions aux primes de garanties).</w:t>
      </w:r>
    </w:p>
    <w:p w14:paraId="6406DA99" w14:textId="1E6428D4" w:rsidR="0D49B18B" w:rsidRPr="00535DEB" w:rsidRDefault="118D3716" w:rsidP="0031363B">
      <w:pPr>
        <w:spacing w:after="0" w:line="276" w:lineRule="auto"/>
        <w:rPr>
          <w:i/>
          <w:iCs/>
          <w:noProof/>
        </w:rPr>
      </w:pPr>
      <w:r w:rsidRPr="00535DEB">
        <w:rPr>
          <w:i/>
          <w:noProof/>
        </w:rPr>
        <w:t>Tableau 5: ventilation des régimes nationaux par forme d’aide</w:t>
      </w:r>
    </w:p>
    <w:tbl>
      <w:tblPr>
        <w:tblW w:w="0" w:type="auto"/>
        <w:jc w:val="center"/>
        <w:tblLayout w:type="fixed"/>
        <w:tblLook w:val="06A0" w:firstRow="1" w:lastRow="0" w:firstColumn="1" w:lastColumn="0" w:noHBand="1" w:noVBand="1"/>
      </w:tblPr>
      <w:tblGrid>
        <w:gridCol w:w="1984"/>
        <w:gridCol w:w="1701"/>
        <w:gridCol w:w="1849"/>
        <w:gridCol w:w="1843"/>
      </w:tblGrid>
      <w:tr w:rsidR="001B1A11" w:rsidRPr="00535DEB" w14:paraId="56E9A161" w14:textId="79D3D455" w:rsidTr="00CF73CC">
        <w:trPr>
          <w:trHeight w:val="344"/>
          <w:jc w:val="center"/>
        </w:trPr>
        <w:tc>
          <w:tcPr>
            <w:tcW w:w="1984" w:type="dxa"/>
            <w:tcBorders>
              <w:top w:val="single" w:sz="4" w:space="0" w:color="auto"/>
              <w:left w:val="single" w:sz="4" w:space="0" w:color="auto"/>
              <w:bottom w:val="single" w:sz="4" w:space="0" w:color="auto"/>
              <w:right w:val="single" w:sz="4" w:space="0" w:color="auto"/>
            </w:tcBorders>
            <w:vAlign w:val="center"/>
          </w:tcPr>
          <w:p w14:paraId="32D04FF4" w14:textId="160AA88C" w:rsidR="001B1A11" w:rsidRPr="00535DEB" w:rsidRDefault="001B1A11" w:rsidP="007D751C">
            <w:pPr>
              <w:spacing w:after="0" w:line="276" w:lineRule="auto"/>
              <w:jc w:val="left"/>
              <w:rPr>
                <w:rFonts w:eastAsia="Calibri"/>
                <w:b/>
                <w:bCs/>
                <w:noProof/>
                <w:color w:val="000000" w:themeColor="text1"/>
                <w:szCs w:val="24"/>
              </w:rPr>
            </w:pPr>
            <w:r w:rsidRPr="00535DEB">
              <w:rPr>
                <w:b/>
                <w:noProof/>
                <w:color w:val="000000" w:themeColor="text1"/>
              </w:rPr>
              <w:t>Type de régime</w:t>
            </w:r>
          </w:p>
        </w:tc>
        <w:tc>
          <w:tcPr>
            <w:tcW w:w="1701" w:type="dxa"/>
            <w:tcBorders>
              <w:top w:val="single" w:sz="4" w:space="0" w:color="auto"/>
              <w:left w:val="single" w:sz="4" w:space="0" w:color="auto"/>
              <w:bottom w:val="single" w:sz="4" w:space="0" w:color="auto"/>
              <w:right w:val="single" w:sz="4" w:space="0" w:color="auto"/>
            </w:tcBorders>
            <w:vAlign w:val="center"/>
          </w:tcPr>
          <w:p w14:paraId="642D1027" w14:textId="35E98BF1" w:rsidR="001B1A11" w:rsidRPr="00535DEB" w:rsidRDefault="001B1A11" w:rsidP="007D751C">
            <w:pPr>
              <w:spacing w:after="0" w:line="276" w:lineRule="auto"/>
              <w:jc w:val="center"/>
              <w:rPr>
                <w:rFonts w:eastAsia="Calibri"/>
                <w:b/>
                <w:bCs/>
                <w:noProof/>
                <w:color w:val="000000" w:themeColor="text1"/>
                <w:szCs w:val="24"/>
              </w:rPr>
            </w:pPr>
            <w:r w:rsidRPr="00535DEB">
              <w:rPr>
                <w:b/>
                <w:noProof/>
                <w:color w:val="000000" w:themeColor="text1"/>
              </w:rPr>
              <w:t>Nombre de régimes</w:t>
            </w:r>
          </w:p>
        </w:tc>
        <w:tc>
          <w:tcPr>
            <w:tcW w:w="1849" w:type="dxa"/>
            <w:tcBorders>
              <w:top w:val="single" w:sz="4" w:space="0" w:color="auto"/>
              <w:left w:val="single" w:sz="4" w:space="0" w:color="auto"/>
              <w:bottom w:val="single" w:sz="4" w:space="0" w:color="auto"/>
              <w:right w:val="single" w:sz="4" w:space="0" w:color="auto"/>
            </w:tcBorders>
            <w:vAlign w:val="center"/>
          </w:tcPr>
          <w:p w14:paraId="4DC6AB31" w14:textId="2EC2E33B" w:rsidR="001B1A11" w:rsidRPr="00535DEB" w:rsidRDefault="001B1A11" w:rsidP="007D751C">
            <w:pPr>
              <w:spacing w:after="0" w:line="276" w:lineRule="auto"/>
              <w:jc w:val="center"/>
              <w:rPr>
                <w:rFonts w:eastAsia="Calibri"/>
                <w:b/>
                <w:bCs/>
                <w:noProof/>
                <w:color w:val="000000" w:themeColor="text1"/>
                <w:szCs w:val="24"/>
              </w:rPr>
            </w:pPr>
            <w:r w:rsidRPr="00535DEB">
              <w:rPr>
                <w:b/>
                <w:noProof/>
                <w:color w:val="000000" w:themeColor="text1"/>
              </w:rPr>
              <w:t>Volume (en million d’EUR)</w:t>
            </w:r>
          </w:p>
        </w:tc>
        <w:tc>
          <w:tcPr>
            <w:tcW w:w="1843" w:type="dxa"/>
            <w:tcBorders>
              <w:top w:val="single" w:sz="4" w:space="0" w:color="auto"/>
              <w:left w:val="single" w:sz="4" w:space="0" w:color="auto"/>
              <w:bottom w:val="single" w:sz="4" w:space="0" w:color="auto"/>
              <w:right w:val="single" w:sz="4" w:space="0" w:color="auto"/>
            </w:tcBorders>
          </w:tcPr>
          <w:p w14:paraId="4E85C3DA" w14:textId="5B6FB1F7" w:rsidR="001B1A11" w:rsidRPr="00535DEB" w:rsidRDefault="0014797B" w:rsidP="007D751C">
            <w:pPr>
              <w:spacing w:after="0" w:line="276" w:lineRule="auto"/>
              <w:jc w:val="center"/>
              <w:rPr>
                <w:rFonts w:eastAsia="Calibri"/>
                <w:b/>
                <w:bCs/>
                <w:noProof/>
                <w:color w:val="000000" w:themeColor="text1"/>
                <w:szCs w:val="24"/>
              </w:rPr>
            </w:pPr>
            <w:r w:rsidRPr="00535DEB">
              <w:rPr>
                <w:b/>
                <w:noProof/>
                <w:color w:val="000000" w:themeColor="text1"/>
              </w:rPr>
              <w:t>Part en volume (%)</w:t>
            </w:r>
          </w:p>
        </w:tc>
      </w:tr>
      <w:tr w:rsidR="001B1A11" w:rsidRPr="00535DEB" w14:paraId="4CA55F0F" w14:textId="77F900A9"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7BC86AE0" w14:textId="677BD960" w:rsidR="001B1A11" w:rsidRPr="00535DEB" w:rsidRDefault="001B1A11" w:rsidP="007D751C">
            <w:pPr>
              <w:spacing w:after="0" w:line="276" w:lineRule="auto"/>
              <w:rPr>
                <w:rFonts w:eastAsia="Calibri"/>
                <w:noProof/>
                <w:color w:val="000000" w:themeColor="text1"/>
                <w:szCs w:val="24"/>
              </w:rPr>
            </w:pPr>
            <w:r w:rsidRPr="00535DEB">
              <w:rPr>
                <w:noProof/>
                <w:color w:val="000000" w:themeColor="text1"/>
              </w:rPr>
              <w:t>Non remboursable</w:t>
            </w:r>
          </w:p>
        </w:tc>
        <w:tc>
          <w:tcPr>
            <w:tcW w:w="1701" w:type="dxa"/>
            <w:tcBorders>
              <w:top w:val="single" w:sz="4" w:space="0" w:color="auto"/>
              <w:left w:val="single" w:sz="4" w:space="0" w:color="auto"/>
              <w:bottom w:val="single" w:sz="4" w:space="0" w:color="auto"/>
              <w:right w:val="single" w:sz="4" w:space="0" w:color="auto"/>
            </w:tcBorders>
            <w:vAlign w:val="center"/>
          </w:tcPr>
          <w:p w14:paraId="5D1DA739" w14:textId="7FCA8883"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285</w:t>
            </w:r>
          </w:p>
        </w:tc>
        <w:tc>
          <w:tcPr>
            <w:tcW w:w="1849" w:type="dxa"/>
            <w:tcBorders>
              <w:top w:val="single" w:sz="4" w:space="0" w:color="auto"/>
              <w:left w:val="single" w:sz="4" w:space="0" w:color="auto"/>
              <w:bottom w:val="single" w:sz="4" w:space="0" w:color="auto"/>
              <w:right w:val="single" w:sz="4" w:space="0" w:color="auto"/>
            </w:tcBorders>
            <w:vAlign w:val="center"/>
          </w:tcPr>
          <w:p w14:paraId="492BDE60" w14:textId="5E698F05"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248 046</w:t>
            </w:r>
          </w:p>
        </w:tc>
        <w:tc>
          <w:tcPr>
            <w:tcW w:w="1843" w:type="dxa"/>
            <w:tcBorders>
              <w:top w:val="single" w:sz="4" w:space="0" w:color="auto"/>
              <w:left w:val="single" w:sz="4" w:space="0" w:color="auto"/>
              <w:bottom w:val="single" w:sz="4" w:space="0" w:color="auto"/>
              <w:right w:val="single" w:sz="4" w:space="0" w:color="auto"/>
            </w:tcBorders>
          </w:tcPr>
          <w:p w14:paraId="269B443D" w14:textId="1E16DC86" w:rsidR="001B1A11" w:rsidRPr="00535DEB" w:rsidRDefault="00D47445" w:rsidP="007D751C">
            <w:pPr>
              <w:spacing w:after="0" w:line="276" w:lineRule="auto"/>
              <w:jc w:val="center"/>
              <w:rPr>
                <w:rFonts w:eastAsia="Calibri"/>
                <w:noProof/>
                <w:color w:val="000000" w:themeColor="text1"/>
                <w:szCs w:val="24"/>
              </w:rPr>
            </w:pPr>
            <w:r w:rsidRPr="00535DEB">
              <w:rPr>
                <w:noProof/>
                <w:color w:val="000000" w:themeColor="text1"/>
              </w:rPr>
              <w:t>63,8 %</w:t>
            </w:r>
          </w:p>
        </w:tc>
      </w:tr>
      <w:tr w:rsidR="001B1A11" w:rsidRPr="00535DEB" w14:paraId="4A7499A0" w14:textId="3C10FFCE"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4D0658E3" w14:textId="1F7A645D" w:rsidR="001B1A11" w:rsidRPr="00535DEB" w:rsidRDefault="001B1A11" w:rsidP="007D751C">
            <w:pPr>
              <w:spacing w:after="0" w:line="276" w:lineRule="auto"/>
              <w:rPr>
                <w:rFonts w:eastAsia="Calibri"/>
                <w:noProof/>
                <w:color w:val="000000" w:themeColor="text1"/>
                <w:szCs w:val="24"/>
              </w:rPr>
            </w:pPr>
            <w:r w:rsidRPr="00535DEB">
              <w:rPr>
                <w:noProof/>
                <w:color w:val="000000" w:themeColor="text1"/>
              </w:rPr>
              <w:t>Mixte</w:t>
            </w:r>
          </w:p>
        </w:tc>
        <w:tc>
          <w:tcPr>
            <w:tcW w:w="1701" w:type="dxa"/>
            <w:tcBorders>
              <w:top w:val="single" w:sz="4" w:space="0" w:color="auto"/>
              <w:left w:val="single" w:sz="4" w:space="0" w:color="auto"/>
              <w:bottom w:val="single" w:sz="4" w:space="0" w:color="auto"/>
              <w:right w:val="single" w:sz="4" w:space="0" w:color="auto"/>
            </w:tcBorders>
            <w:vAlign w:val="center"/>
          </w:tcPr>
          <w:p w14:paraId="178374EC" w14:textId="00B481BE"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36</w:t>
            </w:r>
          </w:p>
        </w:tc>
        <w:tc>
          <w:tcPr>
            <w:tcW w:w="1849" w:type="dxa"/>
            <w:tcBorders>
              <w:top w:val="single" w:sz="4" w:space="0" w:color="auto"/>
              <w:left w:val="single" w:sz="4" w:space="0" w:color="auto"/>
              <w:bottom w:val="single" w:sz="4" w:space="0" w:color="auto"/>
              <w:right w:val="single" w:sz="4" w:space="0" w:color="auto"/>
            </w:tcBorders>
            <w:vAlign w:val="center"/>
          </w:tcPr>
          <w:p w14:paraId="331D7048" w14:textId="07BCCBD5"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 xml:space="preserve">91 815 </w:t>
            </w:r>
          </w:p>
        </w:tc>
        <w:tc>
          <w:tcPr>
            <w:tcW w:w="1843" w:type="dxa"/>
            <w:tcBorders>
              <w:top w:val="single" w:sz="4" w:space="0" w:color="auto"/>
              <w:left w:val="single" w:sz="4" w:space="0" w:color="auto"/>
              <w:bottom w:val="single" w:sz="4" w:space="0" w:color="auto"/>
              <w:right w:val="single" w:sz="4" w:space="0" w:color="auto"/>
            </w:tcBorders>
          </w:tcPr>
          <w:p w14:paraId="7332475E" w14:textId="576B96E7" w:rsidR="001B1A11" w:rsidRPr="00535DEB" w:rsidRDefault="00B37908" w:rsidP="007D751C">
            <w:pPr>
              <w:spacing w:after="0" w:line="276" w:lineRule="auto"/>
              <w:jc w:val="center"/>
              <w:rPr>
                <w:rFonts w:eastAsia="Calibri"/>
                <w:noProof/>
                <w:color w:val="000000" w:themeColor="text1"/>
                <w:szCs w:val="24"/>
              </w:rPr>
            </w:pPr>
            <w:r w:rsidRPr="00535DEB">
              <w:rPr>
                <w:noProof/>
                <w:color w:val="000000" w:themeColor="text1"/>
              </w:rPr>
              <w:t>23,6 %</w:t>
            </w:r>
          </w:p>
        </w:tc>
      </w:tr>
      <w:tr w:rsidR="001B1A11" w:rsidRPr="00535DEB" w14:paraId="4A5CEC99" w14:textId="1B9926FA"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6D2425D6" w14:textId="4B35F184" w:rsidR="001B1A11" w:rsidRPr="00535DEB" w:rsidRDefault="001B1A11" w:rsidP="007D751C">
            <w:pPr>
              <w:spacing w:after="0" w:line="276" w:lineRule="auto"/>
              <w:rPr>
                <w:rFonts w:eastAsia="Calibri"/>
                <w:noProof/>
                <w:color w:val="000000" w:themeColor="text1"/>
                <w:szCs w:val="24"/>
              </w:rPr>
            </w:pPr>
            <w:r w:rsidRPr="00535DEB">
              <w:rPr>
                <w:noProof/>
                <w:color w:val="000000" w:themeColor="text1"/>
              </w:rPr>
              <w:t>Remboursable</w:t>
            </w:r>
          </w:p>
        </w:tc>
        <w:tc>
          <w:tcPr>
            <w:tcW w:w="1701" w:type="dxa"/>
            <w:tcBorders>
              <w:top w:val="single" w:sz="4" w:space="0" w:color="auto"/>
              <w:left w:val="single" w:sz="4" w:space="0" w:color="auto"/>
              <w:bottom w:val="single" w:sz="4" w:space="0" w:color="auto"/>
              <w:right w:val="single" w:sz="4" w:space="0" w:color="auto"/>
            </w:tcBorders>
            <w:vAlign w:val="center"/>
          </w:tcPr>
          <w:p w14:paraId="596DFCAB" w14:textId="22AE0FCC"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69</w:t>
            </w:r>
          </w:p>
        </w:tc>
        <w:tc>
          <w:tcPr>
            <w:tcW w:w="1849" w:type="dxa"/>
            <w:tcBorders>
              <w:top w:val="single" w:sz="4" w:space="0" w:color="auto"/>
              <w:left w:val="single" w:sz="4" w:space="0" w:color="auto"/>
              <w:bottom w:val="single" w:sz="4" w:space="0" w:color="auto"/>
              <w:right w:val="single" w:sz="4" w:space="0" w:color="auto"/>
            </w:tcBorders>
            <w:vAlign w:val="center"/>
          </w:tcPr>
          <w:p w14:paraId="5852B46D" w14:textId="62CE76C7"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 xml:space="preserve">41 621 </w:t>
            </w:r>
          </w:p>
        </w:tc>
        <w:tc>
          <w:tcPr>
            <w:tcW w:w="1843" w:type="dxa"/>
            <w:tcBorders>
              <w:top w:val="single" w:sz="4" w:space="0" w:color="auto"/>
              <w:left w:val="single" w:sz="4" w:space="0" w:color="auto"/>
              <w:bottom w:val="single" w:sz="4" w:space="0" w:color="auto"/>
              <w:right w:val="single" w:sz="4" w:space="0" w:color="auto"/>
            </w:tcBorders>
          </w:tcPr>
          <w:p w14:paraId="5D790EB3" w14:textId="23D2DA6C" w:rsidR="001B1A11" w:rsidRPr="00535DEB" w:rsidRDefault="00B727FB" w:rsidP="007D751C">
            <w:pPr>
              <w:spacing w:after="0" w:line="276" w:lineRule="auto"/>
              <w:jc w:val="center"/>
              <w:rPr>
                <w:rFonts w:eastAsia="Calibri"/>
                <w:noProof/>
                <w:color w:val="000000" w:themeColor="text1"/>
                <w:szCs w:val="24"/>
              </w:rPr>
            </w:pPr>
            <w:r w:rsidRPr="00535DEB">
              <w:rPr>
                <w:noProof/>
                <w:color w:val="000000" w:themeColor="text1"/>
              </w:rPr>
              <w:t>10,7 %</w:t>
            </w:r>
          </w:p>
        </w:tc>
      </w:tr>
      <w:tr w:rsidR="001B1A11" w:rsidRPr="00535DEB" w14:paraId="753944EA" w14:textId="687897AE"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1EBB1B2F" w14:textId="413D879B" w:rsidR="001B1A11" w:rsidRPr="00535DEB" w:rsidRDefault="001B1A11" w:rsidP="007D751C">
            <w:pPr>
              <w:spacing w:after="0" w:line="276" w:lineRule="auto"/>
              <w:rPr>
                <w:rFonts w:eastAsia="Calibri"/>
                <w:noProof/>
                <w:color w:val="000000" w:themeColor="text1"/>
                <w:szCs w:val="24"/>
              </w:rPr>
            </w:pPr>
            <w:r w:rsidRPr="00535DEB">
              <w:rPr>
                <w:noProof/>
                <w:color w:val="000000" w:themeColor="text1"/>
              </w:rPr>
              <w:t>Autres</w:t>
            </w:r>
          </w:p>
        </w:tc>
        <w:tc>
          <w:tcPr>
            <w:tcW w:w="1701" w:type="dxa"/>
            <w:tcBorders>
              <w:top w:val="single" w:sz="4" w:space="0" w:color="auto"/>
              <w:left w:val="single" w:sz="4" w:space="0" w:color="auto"/>
              <w:bottom w:val="single" w:sz="4" w:space="0" w:color="auto"/>
              <w:right w:val="single" w:sz="4" w:space="0" w:color="auto"/>
            </w:tcBorders>
            <w:vAlign w:val="center"/>
          </w:tcPr>
          <w:p w14:paraId="7D355711" w14:textId="5C6BDD47"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36</w:t>
            </w:r>
          </w:p>
        </w:tc>
        <w:tc>
          <w:tcPr>
            <w:tcW w:w="1849" w:type="dxa"/>
            <w:tcBorders>
              <w:top w:val="single" w:sz="4" w:space="0" w:color="auto"/>
              <w:left w:val="single" w:sz="4" w:space="0" w:color="auto"/>
              <w:bottom w:val="single" w:sz="4" w:space="0" w:color="auto"/>
              <w:right w:val="single" w:sz="4" w:space="0" w:color="auto"/>
            </w:tcBorders>
            <w:vAlign w:val="center"/>
          </w:tcPr>
          <w:p w14:paraId="6701EBEC" w14:textId="32AAED4B" w:rsidR="001B1A11" w:rsidRPr="00535DEB" w:rsidRDefault="001B1A11" w:rsidP="007D751C">
            <w:pPr>
              <w:spacing w:after="0" w:line="276" w:lineRule="auto"/>
              <w:jc w:val="center"/>
              <w:rPr>
                <w:rFonts w:eastAsia="Calibri"/>
                <w:noProof/>
                <w:color w:val="000000" w:themeColor="text1"/>
                <w:szCs w:val="24"/>
              </w:rPr>
            </w:pPr>
            <w:r w:rsidRPr="00535DEB">
              <w:rPr>
                <w:noProof/>
                <w:color w:val="000000" w:themeColor="text1"/>
              </w:rPr>
              <w:t xml:space="preserve">7 172 </w:t>
            </w:r>
          </w:p>
        </w:tc>
        <w:tc>
          <w:tcPr>
            <w:tcW w:w="1843" w:type="dxa"/>
            <w:tcBorders>
              <w:top w:val="single" w:sz="4" w:space="0" w:color="auto"/>
              <w:left w:val="single" w:sz="4" w:space="0" w:color="auto"/>
              <w:bottom w:val="single" w:sz="4" w:space="0" w:color="auto"/>
              <w:right w:val="single" w:sz="4" w:space="0" w:color="auto"/>
            </w:tcBorders>
          </w:tcPr>
          <w:p w14:paraId="755FD263" w14:textId="621809DD" w:rsidR="001B1A11" w:rsidRPr="00535DEB" w:rsidRDefault="002D4D9E" w:rsidP="007D751C">
            <w:pPr>
              <w:spacing w:after="0" w:line="276" w:lineRule="auto"/>
              <w:jc w:val="center"/>
              <w:rPr>
                <w:rFonts w:eastAsia="Calibri"/>
                <w:noProof/>
                <w:color w:val="000000" w:themeColor="text1"/>
                <w:szCs w:val="24"/>
              </w:rPr>
            </w:pPr>
            <w:r w:rsidRPr="00535DEB">
              <w:rPr>
                <w:noProof/>
                <w:color w:val="000000" w:themeColor="text1"/>
              </w:rPr>
              <w:t>1,8 %</w:t>
            </w:r>
          </w:p>
        </w:tc>
      </w:tr>
      <w:tr w:rsidR="001B1A11" w:rsidRPr="00535DEB" w14:paraId="46C8F0F3" w14:textId="3B3087E9"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4045BF4E" w14:textId="0D6283BE" w:rsidR="001B1A11" w:rsidRPr="00535DEB" w:rsidRDefault="001B1A11" w:rsidP="007D751C">
            <w:pPr>
              <w:spacing w:after="0" w:line="276" w:lineRule="auto"/>
              <w:rPr>
                <w:rFonts w:eastAsia="Calibri"/>
                <w:b/>
                <w:bCs/>
                <w:noProof/>
                <w:color w:val="000000" w:themeColor="text1"/>
                <w:szCs w:val="24"/>
              </w:rPr>
            </w:pPr>
            <w:r w:rsidRPr="00535DEB">
              <w:rPr>
                <w:b/>
                <w:noProof/>
                <w:color w:val="000000" w:themeColor="text1"/>
              </w:rPr>
              <w:t>TOTAL</w:t>
            </w:r>
          </w:p>
        </w:tc>
        <w:tc>
          <w:tcPr>
            <w:tcW w:w="1701" w:type="dxa"/>
            <w:tcBorders>
              <w:top w:val="single" w:sz="4" w:space="0" w:color="auto"/>
              <w:left w:val="single" w:sz="4" w:space="0" w:color="auto"/>
              <w:bottom w:val="single" w:sz="4" w:space="0" w:color="auto"/>
              <w:right w:val="single" w:sz="4" w:space="0" w:color="auto"/>
            </w:tcBorders>
            <w:vAlign w:val="center"/>
          </w:tcPr>
          <w:p w14:paraId="2DC0A80F" w14:textId="0B33C86B" w:rsidR="001B1A11" w:rsidRPr="00535DEB" w:rsidRDefault="001B1A11" w:rsidP="007D751C">
            <w:pPr>
              <w:spacing w:after="0" w:line="276" w:lineRule="auto"/>
              <w:jc w:val="center"/>
              <w:rPr>
                <w:rFonts w:eastAsia="Calibri"/>
                <w:b/>
                <w:bCs/>
                <w:noProof/>
                <w:color w:val="000000" w:themeColor="text1"/>
                <w:szCs w:val="24"/>
              </w:rPr>
            </w:pPr>
            <w:r w:rsidRPr="00535DEB">
              <w:rPr>
                <w:b/>
                <w:noProof/>
                <w:color w:val="000000" w:themeColor="text1"/>
              </w:rPr>
              <w:t>426</w:t>
            </w:r>
          </w:p>
        </w:tc>
        <w:tc>
          <w:tcPr>
            <w:tcW w:w="1849" w:type="dxa"/>
            <w:tcBorders>
              <w:top w:val="single" w:sz="4" w:space="0" w:color="auto"/>
              <w:left w:val="single" w:sz="4" w:space="0" w:color="auto"/>
              <w:bottom w:val="single" w:sz="4" w:space="0" w:color="auto"/>
              <w:right w:val="single" w:sz="4" w:space="0" w:color="auto"/>
            </w:tcBorders>
            <w:vAlign w:val="center"/>
          </w:tcPr>
          <w:p w14:paraId="118BC960" w14:textId="0833E847" w:rsidR="001B1A11" w:rsidRPr="00535DEB" w:rsidRDefault="001B1A11" w:rsidP="007D751C">
            <w:pPr>
              <w:spacing w:after="0" w:line="276" w:lineRule="auto"/>
              <w:jc w:val="center"/>
              <w:rPr>
                <w:rFonts w:eastAsia="Calibri"/>
                <w:b/>
                <w:bCs/>
                <w:noProof/>
                <w:color w:val="000000" w:themeColor="text1"/>
                <w:szCs w:val="24"/>
              </w:rPr>
            </w:pPr>
            <w:r w:rsidRPr="00535DEB">
              <w:rPr>
                <w:b/>
                <w:noProof/>
                <w:color w:val="000000" w:themeColor="text1"/>
              </w:rPr>
              <w:t>388 654</w:t>
            </w:r>
          </w:p>
        </w:tc>
        <w:tc>
          <w:tcPr>
            <w:tcW w:w="1843" w:type="dxa"/>
            <w:tcBorders>
              <w:top w:val="single" w:sz="4" w:space="0" w:color="auto"/>
              <w:left w:val="single" w:sz="4" w:space="0" w:color="auto"/>
              <w:bottom w:val="single" w:sz="4" w:space="0" w:color="auto"/>
              <w:right w:val="single" w:sz="4" w:space="0" w:color="auto"/>
            </w:tcBorders>
          </w:tcPr>
          <w:p w14:paraId="4FDAD51A" w14:textId="77777777" w:rsidR="001B1A11" w:rsidRPr="00535DEB" w:rsidRDefault="001B1A11" w:rsidP="007D751C">
            <w:pPr>
              <w:spacing w:after="0" w:line="276" w:lineRule="auto"/>
              <w:jc w:val="center"/>
              <w:rPr>
                <w:rFonts w:eastAsia="Calibri"/>
                <w:b/>
                <w:bCs/>
                <w:noProof/>
                <w:color w:val="000000" w:themeColor="text1"/>
                <w:szCs w:val="24"/>
              </w:rPr>
            </w:pPr>
          </w:p>
        </w:tc>
      </w:tr>
    </w:tbl>
    <w:p w14:paraId="61910457" w14:textId="719C58B0" w:rsidR="00F00EB0" w:rsidRPr="00535DEB" w:rsidRDefault="003C1AAB" w:rsidP="007D751C">
      <w:pPr>
        <w:spacing w:line="276" w:lineRule="auto"/>
        <w:rPr>
          <w:noProof/>
          <w:sz w:val="20"/>
        </w:rPr>
      </w:pPr>
      <w:r w:rsidRPr="00535DEB">
        <w:rPr>
          <w:noProof/>
          <w:sz w:val="20"/>
        </w:rPr>
        <w:t>Source: Commission européenne, 2024.</w:t>
      </w:r>
    </w:p>
    <w:p w14:paraId="2474A230" w14:textId="31C7A63A" w:rsidR="00AC0F0D" w:rsidRPr="00535DEB" w:rsidRDefault="004D7B2B" w:rsidP="007D751C">
      <w:pPr>
        <w:spacing w:line="276" w:lineRule="auto"/>
        <w:rPr>
          <w:noProof/>
        </w:rPr>
      </w:pPr>
      <w:r w:rsidRPr="00535DEB">
        <w:rPr>
          <w:b/>
          <w:noProof/>
        </w:rPr>
        <w:t>Les États membres ont été invités à fournir des données uniquement pour les régimes les plus pertinents.</w:t>
      </w:r>
      <w:r w:rsidRPr="00535DEB">
        <w:rPr>
          <w:noProof/>
        </w:rPr>
        <w:t xml:space="preserve"> La plupart en ont déclaré moins de 20, mais six États membres en ont indiqué un nombre plus élevé, soit parce qu’il existe des sous-programmes distincts de programmes à grande échelle (c’est le cas pour la Tchéquie, la Hongrie, la Lettonie et la Pologne), soit parce que les programmes d’efficacité énergétique sont gérés au niveau régional (c’est le cas en Belgique et en Espagne).</w:t>
      </w:r>
    </w:p>
    <w:p w14:paraId="5E68849B" w14:textId="40A3FBBE" w:rsidR="10C285B4" w:rsidRPr="00535DEB" w:rsidRDefault="51CEB11C" w:rsidP="007D751C">
      <w:pPr>
        <w:pStyle w:val="Text2"/>
        <w:spacing w:line="276" w:lineRule="auto"/>
        <w:ind w:left="0"/>
        <w:rPr>
          <w:noProof/>
        </w:rPr>
      </w:pPr>
      <w:r w:rsidRPr="00535DEB">
        <w:rPr>
          <w:b/>
          <w:noProof/>
        </w:rPr>
        <w:t>Les États membres optent principalement pour des régimes non remboursables.</w:t>
      </w:r>
      <w:r w:rsidRPr="00535DEB">
        <w:rPr>
          <w:noProof/>
        </w:rPr>
        <w:t xml:space="preserve"> Alors que l’aide non remboursable se présente souvent sous forme de subventions, plusieurs grands États membres (la France, l’Allemagne, l’Italie) ont principalement recours à des réductions d’impôt. Les instruments financiers (régimes remboursables) représentent plus de 30 % du financement dans seulement cinq États membres (la Belgique, la Bulgarie, la Hongrie, la Finlande et le Portugal), tandis que les régimes mixtes ne sont largement utilisés que dans trois États membres (l’Autriche, le Danemark et l’Allemagne).</w:t>
      </w:r>
    </w:p>
    <w:p w14:paraId="40650B70" w14:textId="7D29C9D3" w:rsidR="15269056" w:rsidRPr="00535DEB" w:rsidRDefault="15269056" w:rsidP="0031363B">
      <w:pPr>
        <w:pStyle w:val="Text2"/>
        <w:spacing w:after="0" w:line="276" w:lineRule="auto"/>
        <w:ind w:left="0"/>
        <w:rPr>
          <w:i/>
          <w:iCs/>
          <w:noProof/>
        </w:rPr>
      </w:pPr>
      <w:r w:rsidRPr="00535DEB">
        <w:rPr>
          <w:i/>
          <w:noProof/>
        </w:rPr>
        <w:t>Graphique 2: répartition du budget des régimes nationaux par forme d’aide – répartition nationale</w:t>
      </w:r>
    </w:p>
    <w:p w14:paraId="25049153" w14:textId="48EB64D9" w:rsidR="201ABEE1" w:rsidRPr="00535DEB" w:rsidRDefault="00111AF6" w:rsidP="007D751C">
      <w:pPr>
        <w:pStyle w:val="Text2"/>
        <w:spacing w:line="276" w:lineRule="auto"/>
        <w:ind w:left="0"/>
        <w:jc w:val="center"/>
        <w:rPr>
          <w:noProof/>
        </w:rPr>
      </w:pPr>
      <w:r w:rsidRPr="00111AF6">
        <w:rPr>
          <w:noProof/>
          <w:lang w:val="en-GB" w:eastAsia="en-GB"/>
        </w:rPr>
        <w:drawing>
          <wp:inline distT="0" distB="0" distL="0" distR="0" wp14:anchorId="0988B526" wp14:editId="06364E28">
            <wp:extent cx="5472430" cy="5086985"/>
            <wp:effectExtent l="0" t="0" r="0" b="0"/>
            <wp:docPr id="1867325255"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25255" name="Picture 1" descr="A graph with different colored lines&#10;&#10;AI-generated content may be incorrect."/>
                    <pic:cNvPicPr/>
                  </pic:nvPicPr>
                  <pic:blipFill>
                    <a:blip r:embed="rId19"/>
                    <a:stretch>
                      <a:fillRect/>
                    </a:stretch>
                  </pic:blipFill>
                  <pic:spPr>
                    <a:xfrm>
                      <a:off x="0" y="0"/>
                      <a:ext cx="5472430" cy="5086985"/>
                    </a:xfrm>
                    <a:prstGeom prst="rect">
                      <a:avLst/>
                    </a:prstGeom>
                  </pic:spPr>
                </pic:pic>
              </a:graphicData>
            </a:graphic>
          </wp:inline>
        </w:drawing>
      </w:r>
    </w:p>
    <w:p w14:paraId="412B5EA3" w14:textId="2CF1686A" w:rsidR="00933377" w:rsidRPr="00535DEB" w:rsidRDefault="00C85294" w:rsidP="007D751C">
      <w:pPr>
        <w:spacing w:line="276" w:lineRule="auto"/>
        <w:rPr>
          <w:noProof/>
        </w:rPr>
      </w:pPr>
      <w:r w:rsidRPr="00535DEB">
        <w:rPr>
          <w:b/>
          <w:noProof/>
        </w:rPr>
        <w:t>Afin de stimuler la relance économique après la pandémie de COVID-19, les États membres ont principalement utilisé leurs ressources pour financer des programmes de subvention.</w:t>
      </w:r>
      <w:r w:rsidRPr="00535DEB">
        <w:rPr>
          <w:noProof/>
        </w:rPr>
        <w:t xml:space="preserve"> Jusqu’en 2019, le nombre de nouveaux régimes en faveur de l’efficacité énergétique mis en place chaque année variait entre 10 et 25, mais entre 2020 et 2023, les États membres ont créé pas moins de 205 nouveaux régimes (entre 34 et 67 par an), en grande partie grâce à la mise en œuvre de la FRR. Bon nombre de ces régimes ont pris la forme de subventions (116), la deuxième forme d’aide la plus utilisée étant celle des instruments financiers (25). En termes de volume, les subventions ont représenté 56,4 milliards d’EUR et les instruments financiers 16,5 milliards d’EUR. Parmi les nouveaux régimes, 48 étaient destinés à des bâtiments résidentiels pour un montant total de 95,4 milliards d’EUR, soit 55,6 % du volume total alloué aux nouveaux régimes au cours de cette période (171,5 milliards d’EUR).</w:t>
      </w:r>
    </w:p>
    <w:p w14:paraId="6040E030" w14:textId="77777777" w:rsidR="00DC3E71" w:rsidRPr="00535DEB" w:rsidRDefault="00DC3E71">
      <w:pPr>
        <w:spacing w:after="0"/>
        <w:jc w:val="left"/>
        <w:rPr>
          <w:i/>
          <w:iCs/>
          <w:noProof/>
        </w:rPr>
      </w:pPr>
      <w:r w:rsidRPr="00535DEB">
        <w:rPr>
          <w:noProof/>
        </w:rPr>
        <w:br w:type="page"/>
      </w:r>
    </w:p>
    <w:p w14:paraId="159DFFF5" w14:textId="2BEC1344" w:rsidR="00933377" w:rsidRPr="00535DEB" w:rsidRDefault="00933377" w:rsidP="0031363B">
      <w:pPr>
        <w:spacing w:after="0" w:line="276" w:lineRule="auto"/>
        <w:rPr>
          <w:i/>
          <w:iCs/>
          <w:noProof/>
        </w:rPr>
      </w:pPr>
      <w:r w:rsidRPr="00535DEB">
        <w:rPr>
          <w:i/>
          <w:noProof/>
        </w:rPr>
        <w:t>Graphiques 3 et 4/tableau 6: régime national et répartition du budget en fonction de la date de lancement (en millions d’EUR)</w:t>
      </w:r>
    </w:p>
    <w:p w14:paraId="60674734" w14:textId="17BF3CA9" w:rsidR="0037229C" w:rsidRPr="00535DEB" w:rsidRDefault="00111AF6" w:rsidP="007D751C">
      <w:pPr>
        <w:spacing w:line="276" w:lineRule="auto"/>
        <w:jc w:val="center"/>
        <w:rPr>
          <w:noProof/>
        </w:rPr>
      </w:pPr>
      <w:r w:rsidRPr="00111AF6">
        <w:rPr>
          <w:noProof/>
          <w:lang w:val="en-GB" w:eastAsia="en-GB"/>
        </w:rPr>
        <w:drawing>
          <wp:inline distT="0" distB="0" distL="0" distR="0" wp14:anchorId="1E86E95A" wp14:editId="6D715962">
            <wp:extent cx="5472430" cy="2645410"/>
            <wp:effectExtent l="0" t="0" r="0" b="2540"/>
            <wp:docPr id="655273668"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73668" name="Picture 1" descr="A graph with different colored bars&#10;&#10;AI-generated content may be incorrect."/>
                    <pic:cNvPicPr/>
                  </pic:nvPicPr>
                  <pic:blipFill>
                    <a:blip r:embed="rId20"/>
                    <a:stretch>
                      <a:fillRect/>
                    </a:stretch>
                  </pic:blipFill>
                  <pic:spPr>
                    <a:xfrm>
                      <a:off x="0" y="0"/>
                      <a:ext cx="5472430" cy="2645410"/>
                    </a:xfrm>
                    <a:prstGeom prst="rect">
                      <a:avLst/>
                    </a:prstGeom>
                  </pic:spPr>
                </pic:pic>
              </a:graphicData>
            </a:graphic>
          </wp:inline>
        </w:drawing>
      </w:r>
    </w:p>
    <w:p w14:paraId="1777BF8D" w14:textId="708367C5" w:rsidR="004D0F82" w:rsidRPr="00535DEB" w:rsidRDefault="00111AF6" w:rsidP="007D751C">
      <w:pPr>
        <w:pStyle w:val="Text2"/>
        <w:spacing w:line="276" w:lineRule="auto"/>
        <w:ind w:left="0"/>
        <w:jc w:val="center"/>
        <w:rPr>
          <w:noProof/>
        </w:rPr>
      </w:pPr>
      <w:r w:rsidRPr="005818FD">
        <w:rPr>
          <w:noProof/>
          <w:lang w:val="en-GB" w:eastAsia="en-GB"/>
        </w:rPr>
        <w:drawing>
          <wp:inline distT="0" distB="0" distL="0" distR="0" wp14:anchorId="7C30EA9F" wp14:editId="36BE696E">
            <wp:extent cx="5472430" cy="3159125"/>
            <wp:effectExtent l="0" t="0" r="0" b="3175"/>
            <wp:docPr id="1813712361" name="Picture 1" descr="A graph of different colored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12361" name="Picture 1" descr="A graph of different colored bars"/>
                    <pic:cNvPicPr/>
                  </pic:nvPicPr>
                  <pic:blipFill>
                    <a:blip r:embed="rId21"/>
                    <a:stretch>
                      <a:fillRect/>
                    </a:stretch>
                  </pic:blipFill>
                  <pic:spPr>
                    <a:xfrm>
                      <a:off x="0" y="0"/>
                      <a:ext cx="5472430" cy="3159125"/>
                    </a:xfrm>
                    <a:prstGeom prst="rect">
                      <a:avLst/>
                    </a:prstGeom>
                  </pic:spPr>
                </pic:pic>
              </a:graphicData>
            </a:graphic>
          </wp:inline>
        </w:drawing>
      </w:r>
    </w:p>
    <w:tbl>
      <w:tblPr>
        <w:tblW w:w="0" w:type="auto"/>
        <w:jc w:val="center"/>
        <w:tblLayout w:type="fixed"/>
        <w:tblLook w:val="06A0" w:firstRow="1" w:lastRow="0" w:firstColumn="1" w:lastColumn="0" w:noHBand="1" w:noVBand="1"/>
      </w:tblPr>
      <w:tblGrid>
        <w:gridCol w:w="1696"/>
        <w:gridCol w:w="2000"/>
        <w:gridCol w:w="1921"/>
        <w:gridCol w:w="1345"/>
        <w:gridCol w:w="1025"/>
      </w:tblGrid>
      <w:tr w:rsidR="607F5F8B" w:rsidRPr="00535DEB" w14:paraId="1B5F7926"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0D49F287" w14:textId="5603EE1D" w:rsidR="607F5F8B" w:rsidRPr="00535DEB" w:rsidRDefault="00DC3E71" w:rsidP="007D751C">
            <w:pPr>
              <w:spacing w:after="0" w:line="276" w:lineRule="auto"/>
              <w:jc w:val="left"/>
              <w:rPr>
                <w:noProof/>
                <w:szCs w:val="24"/>
              </w:rPr>
            </w:pPr>
            <w:r w:rsidRPr="00535DEB">
              <w:rPr>
                <w:b/>
                <w:noProof/>
                <w:color w:val="000000" w:themeColor="text1"/>
              </w:rPr>
              <w:t>Date de lancement</w:t>
            </w:r>
          </w:p>
        </w:tc>
        <w:tc>
          <w:tcPr>
            <w:tcW w:w="2000" w:type="dxa"/>
            <w:tcBorders>
              <w:top w:val="single" w:sz="4" w:space="0" w:color="auto"/>
              <w:left w:val="single" w:sz="4" w:space="0" w:color="auto"/>
              <w:bottom w:val="single" w:sz="4" w:space="0" w:color="auto"/>
              <w:right w:val="single" w:sz="4" w:space="0" w:color="auto"/>
            </w:tcBorders>
            <w:vAlign w:val="center"/>
          </w:tcPr>
          <w:p w14:paraId="3208F478" w14:textId="3A1A493B" w:rsidR="607F5F8B" w:rsidRPr="00535DEB" w:rsidRDefault="607F5F8B" w:rsidP="007D751C">
            <w:pPr>
              <w:spacing w:after="0" w:line="276" w:lineRule="auto"/>
              <w:jc w:val="center"/>
              <w:rPr>
                <w:noProof/>
                <w:szCs w:val="24"/>
              </w:rPr>
            </w:pPr>
            <w:r w:rsidRPr="00535DEB">
              <w:rPr>
                <w:b/>
                <w:noProof/>
                <w:color w:val="000000" w:themeColor="text1"/>
              </w:rPr>
              <w:t>Non remboursable</w:t>
            </w:r>
          </w:p>
        </w:tc>
        <w:tc>
          <w:tcPr>
            <w:tcW w:w="1921" w:type="dxa"/>
            <w:tcBorders>
              <w:top w:val="single" w:sz="4" w:space="0" w:color="auto"/>
              <w:left w:val="single" w:sz="4" w:space="0" w:color="auto"/>
              <w:bottom w:val="single" w:sz="4" w:space="0" w:color="auto"/>
              <w:right w:val="single" w:sz="4" w:space="0" w:color="auto"/>
            </w:tcBorders>
            <w:vAlign w:val="center"/>
          </w:tcPr>
          <w:p w14:paraId="22DFE07F" w14:textId="24AAB0ED" w:rsidR="607F5F8B" w:rsidRPr="00535DEB" w:rsidRDefault="607F5F8B" w:rsidP="007D751C">
            <w:pPr>
              <w:spacing w:after="0" w:line="276" w:lineRule="auto"/>
              <w:jc w:val="center"/>
              <w:rPr>
                <w:noProof/>
                <w:szCs w:val="24"/>
              </w:rPr>
            </w:pPr>
            <w:r w:rsidRPr="00535DEB">
              <w:rPr>
                <w:b/>
                <w:noProof/>
                <w:color w:val="000000" w:themeColor="text1"/>
              </w:rPr>
              <w:t>Régime mixte</w:t>
            </w:r>
          </w:p>
        </w:tc>
        <w:tc>
          <w:tcPr>
            <w:tcW w:w="1345" w:type="dxa"/>
            <w:tcBorders>
              <w:top w:val="single" w:sz="4" w:space="0" w:color="auto"/>
              <w:left w:val="single" w:sz="4" w:space="0" w:color="auto"/>
              <w:bottom w:val="single" w:sz="4" w:space="0" w:color="auto"/>
              <w:right w:val="single" w:sz="4" w:space="0" w:color="auto"/>
            </w:tcBorders>
            <w:vAlign w:val="center"/>
          </w:tcPr>
          <w:p w14:paraId="3B4499BE" w14:textId="5D05BEA2" w:rsidR="607F5F8B" w:rsidRPr="00535DEB" w:rsidRDefault="607F5F8B" w:rsidP="007D751C">
            <w:pPr>
              <w:spacing w:after="0" w:line="276" w:lineRule="auto"/>
              <w:jc w:val="center"/>
              <w:rPr>
                <w:noProof/>
                <w:szCs w:val="24"/>
              </w:rPr>
            </w:pPr>
            <w:r w:rsidRPr="00535DEB">
              <w:rPr>
                <w:b/>
                <w:noProof/>
                <w:color w:val="000000" w:themeColor="text1"/>
              </w:rPr>
              <w:t>Remboursable</w:t>
            </w:r>
          </w:p>
        </w:tc>
        <w:tc>
          <w:tcPr>
            <w:tcW w:w="1025" w:type="dxa"/>
            <w:tcBorders>
              <w:top w:val="single" w:sz="4" w:space="0" w:color="auto"/>
              <w:left w:val="single" w:sz="4" w:space="0" w:color="auto"/>
              <w:bottom w:val="single" w:sz="4" w:space="0" w:color="auto"/>
              <w:right w:val="single" w:sz="4" w:space="0" w:color="auto"/>
            </w:tcBorders>
            <w:vAlign w:val="center"/>
          </w:tcPr>
          <w:p w14:paraId="6F6A34A3" w14:textId="6FD2B483" w:rsidR="607F5F8B" w:rsidRPr="00535DEB" w:rsidRDefault="00BF6EF3" w:rsidP="007D751C">
            <w:pPr>
              <w:spacing w:after="0" w:line="276" w:lineRule="auto"/>
              <w:jc w:val="center"/>
              <w:rPr>
                <w:noProof/>
                <w:szCs w:val="24"/>
              </w:rPr>
            </w:pPr>
            <w:r w:rsidRPr="00535DEB">
              <w:rPr>
                <w:b/>
                <w:noProof/>
                <w:color w:val="000000" w:themeColor="text1"/>
              </w:rPr>
              <w:t>Autres</w:t>
            </w:r>
          </w:p>
        </w:tc>
      </w:tr>
      <w:tr w:rsidR="607F5F8B" w:rsidRPr="00535DEB" w14:paraId="2C4EF32A"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70F149D0" w14:textId="0A33D281" w:rsidR="607F5F8B" w:rsidRPr="00535DEB" w:rsidRDefault="607F5F8B" w:rsidP="007D751C">
            <w:pPr>
              <w:spacing w:after="0" w:line="276" w:lineRule="auto"/>
              <w:jc w:val="left"/>
              <w:rPr>
                <w:noProof/>
                <w:szCs w:val="24"/>
              </w:rPr>
            </w:pPr>
            <w:r w:rsidRPr="00535DEB">
              <w:rPr>
                <w:noProof/>
                <w:color w:val="000000" w:themeColor="text1"/>
              </w:rPr>
              <w:t>2015</w:t>
            </w:r>
          </w:p>
        </w:tc>
        <w:tc>
          <w:tcPr>
            <w:tcW w:w="2000" w:type="dxa"/>
            <w:tcBorders>
              <w:top w:val="single" w:sz="4" w:space="0" w:color="auto"/>
              <w:left w:val="single" w:sz="4" w:space="0" w:color="auto"/>
              <w:bottom w:val="single" w:sz="4" w:space="0" w:color="auto"/>
              <w:right w:val="single" w:sz="4" w:space="0" w:color="auto"/>
            </w:tcBorders>
            <w:vAlign w:val="center"/>
          </w:tcPr>
          <w:p w14:paraId="34E0694B" w14:textId="0163E79A" w:rsidR="607F5F8B" w:rsidRPr="00535DEB" w:rsidRDefault="607F5F8B" w:rsidP="007D751C">
            <w:pPr>
              <w:spacing w:after="0" w:line="276" w:lineRule="auto"/>
              <w:jc w:val="center"/>
              <w:rPr>
                <w:noProof/>
                <w:szCs w:val="24"/>
              </w:rPr>
            </w:pPr>
            <w:r w:rsidRPr="00535DEB">
              <w:rPr>
                <w:noProof/>
                <w:color w:val="000000" w:themeColor="text1"/>
              </w:rPr>
              <w:t>2 774</w:t>
            </w:r>
          </w:p>
        </w:tc>
        <w:tc>
          <w:tcPr>
            <w:tcW w:w="1921" w:type="dxa"/>
            <w:tcBorders>
              <w:top w:val="single" w:sz="4" w:space="0" w:color="auto"/>
              <w:left w:val="single" w:sz="4" w:space="0" w:color="auto"/>
              <w:bottom w:val="single" w:sz="4" w:space="0" w:color="auto"/>
              <w:right w:val="single" w:sz="4" w:space="0" w:color="auto"/>
            </w:tcBorders>
            <w:vAlign w:val="center"/>
          </w:tcPr>
          <w:p w14:paraId="2996AA29" w14:textId="05492259" w:rsidR="7FCF8F86" w:rsidRPr="00535DEB" w:rsidRDefault="7FCF8F86" w:rsidP="007D751C">
            <w:pPr>
              <w:spacing w:after="0" w:line="276" w:lineRule="auto"/>
              <w:jc w:val="center"/>
              <w:rPr>
                <w:noProof/>
                <w:szCs w:val="24"/>
              </w:rPr>
            </w:pPr>
            <w:r w:rsidRPr="00535DEB">
              <w:rPr>
                <w:noProof/>
                <w:color w:val="000000" w:themeColor="text1"/>
              </w:rPr>
              <w:t>13</w:t>
            </w:r>
          </w:p>
        </w:tc>
        <w:tc>
          <w:tcPr>
            <w:tcW w:w="1345" w:type="dxa"/>
            <w:tcBorders>
              <w:top w:val="single" w:sz="4" w:space="0" w:color="auto"/>
              <w:left w:val="single" w:sz="4" w:space="0" w:color="auto"/>
              <w:bottom w:val="single" w:sz="4" w:space="0" w:color="auto"/>
              <w:right w:val="single" w:sz="4" w:space="0" w:color="auto"/>
            </w:tcBorders>
            <w:vAlign w:val="center"/>
          </w:tcPr>
          <w:p w14:paraId="3509C217" w14:textId="70B8A289" w:rsidR="607F5F8B" w:rsidRPr="00535DEB" w:rsidRDefault="607F5F8B" w:rsidP="007D751C">
            <w:pPr>
              <w:spacing w:after="0" w:line="276" w:lineRule="auto"/>
              <w:jc w:val="center"/>
              <w:rPr>
                <w:noProof/>
                <w:szCs w:val="24"/>
              </w:rPr>
            </w:pPr>
            <w:r w:rsidRPr="00535DEB">
              <w:rPr>
                <w:noProof/>
                <w:color w:val="000000" w:themeColor="text1"/>
              </w:rPr>
              <w:t>4 878</w:t>
            </w:r>
          </w:p>
        </w:tc>
        <w:tc>
          <w:tcPr>
            <w:tcW w:w="1025" w:type="dxa"/>
            <w:tcBorders>
              <w:top w:val="single" w:sz="4" w:space="0" w:color="auto"/>
              <w:left w:val="single" w:sz="4" w:space="0" w:color="auto"/>
              <w:bottom w:val="single" w:sz="4" w:space="0" w:color="auto"/>
              <w:right w:val="single" w:sz="4" w:space="0" w:color="auto"/>
            </w:tcBorders>
            <w:vAlign w:val="center"/>
          </w:tcPr>
          <w:p w14:paraId="7F6BB839" w14:textId="549F20CF" w:rsidR="607F5F8B" w:rsidRPr="00535DEB" w:rsidRDefault="607F5F8B" w:rsidP="007D751C">
            <w:pPr>
              <w:spacing w:after="0" w:line="276" w:lineRule="auto"/>
              <w:jc w:val="center"/>
              <w:rPr>
                <w:noProof/>
                <w:szCs w:val="24"/>
              </w:rPr>
            </w:pPr>
            <w:r w:rsidRPr="00535DEB">
              <w:rPr>
                <w:noProof/>
                <w:color w:val="000000" w:themeColor="text1"/>
              </w:rPr>
              <w:t>27</w:t>
            </w:r>
          </w:p>
        </w:tc>
      </w:tr>
      <w:tr w:rsidR="607F5F8B" w:rsidRPr="00535DEB" w14:paraId="1F6B3C51"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4F6A8AF3" w14:textId="3934CC69" w:rsidR="607F5F8B" w:rsidRPr="00535DEB" w:rsidRDefault="607F5F8B" w:rsidP="007D751C">
            <w:pPr>
              <w:spacing w:after="0" w:line="276" w:lineRule="auto"/>
              <w:jc w:val="left"/>
              <w:rPr>
                <w:noProof/>
                <w:szCs w:val="24"/>
              </w:rPr>
            </w:pPr>
            <w:r w:rsidRPr="00535DEB">
              <w:rPr>
                <w:noProof/>
                <w:color w:val="000000" w:themeColor="text1"/>
              </w:rPr>
              <w:t>2016</w:t>
            </w:r>
          </w:p>
        </w:tc>
        <w:tc>
          <w:tcPr>
            <w:tcW w:w="2000" w:type="dxa"/>
            <w:tcBorders>
              <w:top w:val="single" w:sz="4" w:space="0" w:color="auto"/>
              <w:left w:val="single" w:sz="4" w:space="0" w:color="auto"/>
              <w:bottom w:val="single" w:sz="4" w:space="0" w:color="auto"/>
              <w:right w:val="single" w:sz="4" w:space="0" w:color="auto"/>
            </w:tcBorders>
            <w:vAlign w:val="center"/>
          </w:tcPr>
          <w:p w14:paraId="54D52CF6" w14:textId="76404652" w:rsidR="607F5F8B" w:rsidRPr="00535DEB" w:rsidRDefault="607F5F8B" w:rsidP="007D751C">
            <w:pPr>
              <w:spacing w:after="0" w:line="276" w:lineRule="auto"/>
              <w:jc w:val="center"/>
              <w:rPr>
                <w:noProof/>
                <w:szCs w:val="24"/>
              </w:rPr>
            </w:pPr>
            <w:r w:rsidRPr="00535DEB">
              <w:rPr>
                <w:noProof/>
                <w:color w:val="000000" w:themeColor="text1"/>
              </w:rPr>
              <w:t>4 421</w:t>
            </w:r>
          </w:p>
        </w:tc>
        <w:tc>
          <w:tcPr>
            <w:tcW w:w="1921" w:type="dxa"/>
            <w:tcBorders>
              <w:top w:val="single" w:sz="4" w:space="0" w:color="auto"/>
              <w:left w:val="single" w:sz="4" w:space="0" w:color="auto"/>
              <w:bottom w:val="single" w:sz="4" w:space="0" w:color="auto"/>
              <w:right w:val="single" w:sz="4" w:space="0" w:color="auto"/>
            </w:tcBorders>
            <w:vAlign w:val="center"/>
          </w:tcPr>
          <w:p w14:paraId="26F73025" w14:textId="49748B1F" w:rsidR="607F5F8B" w:rsidRPr="00535DEB" w:rsidRDefault="607F5F8B" w:rsidP="007D751C">
            <w:pPr>
              <w:spacing w:after="0" w:line="276" w:lineRule="auto"/>
              <w:jc w:val="center"/>
              <w:rPr>
                <w:noProof/>
                <w:szCs w:val="24"/>
              </w:rPr>
            </w:pPr>
            <w:r w:rsidRPr="00535DEB">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3D57E087" w14:textId="1AD6BA64" w:rsidR="59D31D68" w:rsidRPr="00535DEB" w:rsidRDefault="59D31D68" w:rsidP="007D751C">
            <w:pPr>
              <w:spacing w:after="0" w:line="276" w:lineRule="auto"/>
              <w:jc w:val="center"/>
              <w:rPr>
                <w:noProof/>
                <w:szCs w:val="24"/>
              </w:rPr>
            </w:pPr>
            <w:r w:rsidRPr="00535DEB">
              <w:rPr>
                <w:noProof/>
                <w:color w:val="000000" w:themeColor="text1"/>
              </w:rPr>
              <w:t>8 050</w:t>
            </w:r>
          </w:p>
        </w:tc>
        <w:tc>
          <w:tcPr>
            <w:tcW w:w="1025" w:type="dxa"/>
            <w:tcBorders>
              <w:top w:val="single" w:sz="4" w:space="0" w:color="auto"/>
              <w:left w:val="single" w:sz="4" w:space="0" w:color="auto"/>
              <w:bottom w:val="single" w:sz="4" w:space="0" w:color="auto"/>
              <w:right w:val="single" w:sz="4" w:space="0" w:color="auto"/>
            </w:tcBorders>
            <w:vAlign w:val="center"/>
          </w:tcPr>
          <w:p w14:paraId="72C3E8BE" w14:textId="777CA50F" w:rsidR="607F5F8B" w:rsidRPr="00535DEB" w:rsidRDefault="607F5F8B" w:rsidP="007D751C">
            <w:pPr>
              <w:spacing w:after="0" w:line="276" w:lineRule="auto"/>
              <w:jc w:val="center"/>
              <w:rPr>
                <w:noProof/>
                <w:szCs w:val="24"/>
              </w:rPr>
            </w:pPr>
            <w:r w:rsidRPr="00535DEB">
              <w:rPr>
                <w:noProof/>
                <w:color w:val="000000" w:themeColor="text1"/>
              </w:rPr>
              <w:t>-</w:t>
            </w:r>
          </w:p>
        </w:tc>
      </w:tr>
      <w:tr w:rsidR="607F5F8B" w:rsidRPr="00535DEB" w14:paraId="124AE443"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11960450" w14:textId="5DBF3C0D" w:rsidR="607F5F8B" w:rsidRPr="00535DEB" w:rsidRDefault="607F5F8B" w:rsidP="007D751C">
            <w:pPr>
              <w:spacing w:after="0" w:line="276" w:lineRule="auto"/>
              <w:jc w:val="left"/>
              <w:rPr>
                <w:noProof/>
                <w:szCs w:val="24"/>
              </w:rPr>
            </w:pPr>
            <w:r w:rsidRPr="00535DEB">
              <w:rPr>
                <w:noProof/>
                <w:color w:val="000000" w:themeColor="text1"/>
              </w:rPr>
              <w:t>2017</w:t>
            </w:r>
          </w:p>
        </w:tc>
        <w:tc>
          <w:tcPr>
            <w:tcW w:w="2000" w:type="dxa"/>
            <w:tcBorders>
              <w:top w:val="single" w:sz="4" w:space="0" w:color="auto"/>
              <w:left w:val="single" w:sz="4" w:space="0" w:color="auto"/>
              <w:bottom w:val="single" w:sz="4" w:space="0" w:color="auto"/>
              <w:right w:val="single" w:sz="4" w:space="0" w:color="auto"/>
            </w:tcBorders>
            <w:vAlign w:val="center"/>
          </w:tcPr>
          <w:p w14:paraId="3C45E803" w14:textId="3AB958E2" w:rsidR="607F5F8B" w:rsidRPr="00535DEB" w:rsidRDefault="607F5F8B" w:rsidP="007D751C">
            <w:pPr>
              <w:spacing w:after="0" w:line="276" w:lineRule="auto"/>
              <w:jc w:val="center"/>
              <w:rPr>
                <w:noProof/>
                <w:szCs w:val="24"/>
              </w:rPr>
            </w:pPr>
            <w:r w:rsidRPr="00535DEB">
              <w:rPr>
                <w:noProof/>
                <w:color w:val="000000" w:themeColor="text1"/>
              </w:rPr>
              <w:t>1 865</w:t>
            </w:r>
          </w:p>
        </w:tc>
        <w:tc>
          <w:tcPr>
            <w:tcW w:w="1921" w:type="dxa"/>
            <w:tcBorders>
              <w:top w:val="single" w:sz="4" w:space="0" w:color="auto"/>
              <w:left w:val="single" w:sz="4" w:space="0" w:color="auto"/>
              <w:bottom w:val="single" w:sz="4" w:space="0" w:color="auto"/>
              <w:right w:val="single" w:sz="4" w:space="0" w:color="auto"/>
            </w:tcBorders>
            <w:vAlign w:val="center"/>
          </w:tcPr>
          <w:p w14:paraId="37E8CF8C" w14:textId="24C3C7E6" w:rsidR="607F5F8B" w:rsidRPr="00535DEB" w:rsidRDefault="607F5F8B" w:rsidP="007D751C">
            <w:pPr>
              <w:spacing w:after="0" w:line="276" w:lineRule="auto"/>
              <w:jc w:val="center"/>
              <w:rPr>
                <w:noProof/>
                <w:szCs w:val="24"/>
              </w:rPr>
            </w:pPr>
            <w:r w:rsidRPr="00535DEB">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310E0911" w14:textId="05D8926F" w:rsidR="607F5F8B" w:rsidRPr="00535DEB" w:rsidRDefault="607F5F8B" w:rsidP="007D751C">
            <w:pPr>
              <w:spacing w:after="0" w:line="276" w:lineRule="auto"/>
              <w:jc w:val="center"/>
              <w:rPr>
                <w:noProof/>
                <w:szCs w:val="24"/>
              </w:rPr>
            </w:pPr>
            <w:r w:rsidRPr="00535DEB">
              <w:rPr>
                <w:noProof/>
                <w:color w:val="000000" w:themeColor="text1"/>
              </w:rPr>
              <w:t>963</w:t>
            </w:r>
          </w:p>
        </w:tc>
        <w:tc>
          <w:tcPr>
            <w:tcW w:w="1025" w:type="dxa"/>
            <w:tcBorders>
              <w:top w:val="single" w:sz="4" w:space="0" w:color="auto"/>
              <w:left w:val="single" w:sz="4" w:space="0" w:color="auto"/>
              <w:bottom w:val="single" w:sz="4" w:space="0" w:color="auto"/>
              <w:right w:val="single" w:sz="4" w:space="0" w:color="auto"/>
            </w:tcBorders>
            <w:vAlign w:val="center"/>
          </w:tcPr>
          <w:p w14:paraId="22C55416" w14:textId="60765190" w:rsidR="607F5F8B" w:rsidRPr="00535DEB" w:rsidRDefault="607F5F8B" w:rsidP="007D751C">
            <w:pPr>
              <w:spacing w:after="0" w:line="276" w:lineRule="auto"/>
              <w:jc w:val="center"/>
              <w:rPr>
                <w:noProof/>
                <w:szCs w:val="24"/>
              </w:rPr>
            </w:pPr>
            <w:r w:rsidRPr="00535DEB">
              <w:rPr>
                <w:noProof/>
                <w:color w:val="000000" w:themeColor="text1"/>
              </w:rPr>
              <w:t>-</w:t>
            </w:r>
          </w:p>
        </w:tc>
      </w:tr>
      <w:tr w:rsidR="607F5F8B" w:rsidRPr="00535DEB" w14:paraId="781F7CEA"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5A4F653B" w14:textId="4B87520E" w:rsidR="607F5F8B" w:rsidRPr="00535DEB" w:rsidRDefault="607F5F8B" w:rsidP="007D751C">
            <w:pPr>
              <w:spacing w:after="0" w:line="276" w:lineRule="auto"/>
              <w:jc w:val="left"/>
              <w:rPr>
                <w:noProof/>
                <w:szCs w:val="24"/>
              </w:rPr>
            </w:pPr>
            <w:r w:rsidRPr="00535DEB">
              <w:rPr>
                <w:noProof/>
                <w:color w:val="000000" w:themeColor="text1"/>
              </w:rPr>
              <w:t>2018</w:t>
            </w:r>
          </w:p>
        </w:tc>
        <w:tc>
          <w:tcPr>
            <w:tcW w:w="2000" w:type="dxa"/>
            <w:tcBorders>
              <w:top w:val="single" w:sz="4" w:space="0" w:color="auto"/>
              <w:left w:val="single" w:sz="4" w:space="0" w:color="auto"/>
              <w:bottom w:val="single" w:sz="4" w:space="0" w:color="auto"/>
              <w:right w:val="single" w:sz="4" w:space="0" w:color="auto"/>
            </w:tcBorders>
            <w:vAlign w:val="center"/>
          </w:tcPr>
          <w:p w14:paraId="08F1B8EC" w14:textId="7393A5AC" w:rsidR="607F5F8B" w:rsidRPr="00535DEB" w:rsidRDefault="607F5F8B" w:rsidP="007D751C">
            <w:pPr>
              <w:spacing w:after="0" w:line="276" w:lineRule="auto"/>
              <w:jc w:val="center"/>
              <w:rPr>
                <w:noProof/>
                <w:szCs w:val="24"/>
              </w:rPr>
            </w:pPr>
            <w:r w:rsidRPr="00535DEB">
              <w:rPr>
                <w:noProof/>
                <w:color w:val="000000" w:themeColor="text1"/>
              </w:rPr>
              <w:t>20 645</w:t>
            </w:r>
          </w:p>
        </w:tc>
        <w:tc>
          <w:tcPr>
            <w:tcW w:w="1921" w:type="dxa"/>
            <w:tcBorders>
              <w:top w:val="single" w:sz="4" w:space="0" w:color="auto"/>
              <w:left w:val="single" w:sz="4" w:space="0" w:color="auto"/>
              <w:bottom w:val="single" w:sz="4" w:space="0" w:color="auto"/>
              <w:right w:val="single" w:sz="4" w:space="0" w:color="auto"/>
            </w:tcBorders>
            <w:vAlign w:val="center"/>
          </w:tcPr>
          <w:p w14:paraId="7710EAB2" w14:textId="1A30869C" w:rsidR="607F5F8B" w:rsidRPr="00535DEB" w:rsidRDefault="607F5F8B" w:rsidP="007D751C">
            <w:pPr>
              <w:spacing w:after="0" w:line="276" w:lineRule="auto"/>
              <w:jc w:val="center"/>
              <w:rPr>
                <w:noProof/>
                <w:szCs w:val="24"/>
              </w:rPr>
            </w:pPr>
            <w:r w:rsidRPr="00535DEB">
              <w:rPr>
                <w:noProof/>
                <w:color w:val="000000" w:themeColor="text1"/>
              </w:rPr>
              <w:t>252</w:t>
            </w:r>
          </w:p>
        </w:tc>
        <w:tc>
          <w:tcPr>
            <w:tcW w:w="1345" w:type="dxa"/>
            <w:tcBorders>
              <w:top w:val="single" w:sz="4" w:space="0" w:color="auto"/>
              <w:left w:val="single" w:sz="4" w:space="0" w:color="auto"/>
              <w:bottom w:val="single" w:sz="4" w:space="0" w:color="auto"/>
              <w:right w:val="single" w:sz="4" w:space="0" w:color="auto"/>
            </w:tcBorders>
            <w:vAlign w:val="center"/>
          </w:tcPr>
          <w:p w14:paraId="73807A34" w14:textId="52A8BC14" w:rsidR="607F5F8B" w:rsidRPr="00535DEB" w:rsidRDefault="607F5F8B" w:rsidP="007D751C">
            <w:pPr>
              <w:spacing w:after="0" w:line="276" w:lineRule="auto"/>
              <w:jc w:val="center"/>
              <w:rPr>
                <w:noProof/>
                <w:szCs w:val="24"/>
              </w:rPr>
            </w:pPr>
            <w:r w:rsidRPr="00535DEB">
              <w:rPr>
                <w:noProof/>
                <w:color w:val="000000" w:themeColor="text1"/>
              </w:rPr>
              <w:t>566</w:t>
            </w:r>
          </w:p>
        </w:tc>
        <w:tc>
          <w:tcPr>
            <w:tcW w:w="1025" w:type="dxa"/>
            <w:tcBorders>
              <w:top w:val="single" w:sz="4" w:space="0" w:color="auto"/>
              <w:left w:val="single" w:sz="4" w:space="0" w:color="auto"/>
              <w:bottom w:val="single" w:sz="4" w:space="0" w:color="auto"/>
              <w:right w:val="single" w:sz="4" w:space="0" w:color="auto"/>
            </w:tcBorders>
            <w:vAlign w:val="center"/>
          </w:tcPr>
          <w:p w14:paraId="122F88D9" w14:textId="2E4427F4" w:rsidR="607F5F8B" w:rsidRPr="00535DEB" w:rsidRDefault="607F5F8B" w:rsidP="007D751C">
            <w:pPr>
              <w:spacing w:after="0" w:line="276" w:lineRule="auto"/>
              <w:jc w:val="center"/>
              <w:rPr>
                <w:noProof/>
                <w:szCs w:val="24"/>
              </w:rPr>
            </w:pPr>
            <w:r w:rsidRPr="00535DEB">
              <w:rPr>
                <w:noProof/>
                <w:color w:val="000000" w:themeColor="text1"/>
              </w:rPr>
              <w:t>-</w:t>
            </w:r>
          </w:p>
        </w:tc>
      </w:tr>
      <w:tr w:rsidR="607F5F8B" w:rsidRPr="00535DEB" w14:paraId="05FC55E0"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1B52D158" w14:textId="4CF5659F" w:rsidR="607F5F8B" w:rsidRPr="00535DEB" w:rsidRDefault="607F5F8B" w:rsidP="007D751C">
            <w:pPr>
              <w:spacing w:after="0" w:line="276" w:lineRule="auto"/>
              <w:jc w:val="left"/>
              <w:rPr>
                <w:noProof/>
                <w:szCs w:val="24"/>
              </w:rPr>
            </w:pPr>
            <w:r w:rsidRPr="00535DEB">
              <w:rPr>
                <w:noProof/>
                <w:color w:val="000000" w:themeColor="text1"/>
              </w:rPr>
              <w:t>2019</w:t>
            </w:r>
          </w:p>
        </w:tc>
        <w:tc>
          <w:tcPr>
            <w:tcW w:w="2000" w:type="dxa"/>
            <w:tcBorders>
              <w:top w:val="single" w:sz="4" w:space="0" w:color="auto"/>
              <w:left w:val="single" w:sz="4" w:space="0" w:color="auto"/>
              <w:bottom w:val="single" w:sz="4" w:space="0" w:color="auto"/>
              <w:right w:val="single" w:sz="4" w:space="0" w:color="auto"/>
            </w:tcBorders>
            <w:vAlign w:val="center"/>
          </w:tcPr>
          <w:p w14:paraId="48BE539D" w14:textId="0247B3F2" w:rsidR="607F5F8B" w:rsidRPr="00535DEB" w:rsidRDefault="607F5F8B" w:rsidP="007D751C">
            <w:pPr>
              <w:spacing w:after="0" w:line="276" w:lineRule="auto"/>
              <w:jc w:val="center"/>
              <w:rPr>
                <w:noProof/>
                <w:szCs w:val="24"/>
              </w:rPr>
            </w:pPr>
            <w:r w:rsidRPr="00535DEB">
              <w:rPr>
                <w:noProof/>
                <w:color w:val="000000" w:themeColor="text1"/>
              </w:rPr>
              <w:t>3 998</w:t>
            </w:r>
          </w:p>
        </w:tc>
        <w:tc>
          <w:tcPr>
            <w:tcW w:w="1921" w:type="dxa"/>
            <w:tcBorders>
              <w:top w:val="single" w:sz="4" w:space="0" w:color="auto"/>
              <w:left w:val="single" w:sz="4" w:space="0" w:color="auto"/>
              <w:bottom w:val="single" w:sz="4" w:space="0" w:color="auto"/>
              <w:right w:val="single" w:sz="4" w:space="0" w:color="auto"/>
            </w:tcBorders>
            <w:vAlign w:val="center"/>
          </w:tcPr>
          <w:p w14:paraId="255DB9A6" w14:textId="0D5355EC" w:rsidR="607F5F8B" w:rsidRPr="00535DEB" w:rsidRDefault="607F5F8B" w:rsidP="007D751C">
            <w:pPr>
              <w:spacing w:after="0" w:line="276" w:lineRule="auto"/>
              <w:jc w:val="center"/>
              <w:rPr>
                <w:noProof/>
                <w:szCs w:val="24"/>
              </w:rPr>
            </w:pPr>
            <w:r w:rsidRPr="00535DEB">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666835E9" w14:textId="13CEF327" w:rsidR="607F5F8B" w:rsidRPr="00535DEB" w:rsidRDefault="607F5F8B" w:rsidP="007D751C">
            <w:pPr>
              <w:spacing w:after="0" w:line="276" w:lineRule="auto"/>
              <w:jc w:val="center"/>
              <w:rPr>
                <w:noProof/>
                <w:szCs w:val="24"/>
              </w:rPr>
            </w:pPr>
            <w:r w:rsidRPr="00535DEB">
              <w:rPr>
                <w:noProof/>
                <w:color w:val="000000" w:themeColor="text1"/>
              </w:rPr>
              <w:t>1 100</w:t>
            </w:r>
          </w:p>
        </w:tc>
        <w:tc>
          <w:tcPr>
            <w:tcW w:w="1025" w:type="dxa"/>
            <w:tcBorders>
              <w:top w:val="single" w:sz="4" w:space="0" w:color="auto"/>
              <w:left w:val="single" w:sz="4" w:space="0" w:color="auto"/>
              <w:bottom w:val="single" w:sz="4" w:space="0" w:color="auto"/>
              <w:right w:val="single" w:sz="4" w:space="0" w:color="auto"/>
            </w:tcBorders>
            <w:vAlign w:val="center"/>
          </w:tcPr>
          <w:p w14:paraId="4C5E667D" w14:textId="05A46EC4" w:rsidR="607F5F8B" w:rsidRPr="00535DEB" w:rsidRDefault="607F5F8B" w:rsidP="007D751C">
            <w:pPr>
              <w:spacing w:after="0" w:line="276" w:lineRule="auto"/>
              <w:jc w:val="center"/>
              <w:rPr>
                <w:noProof/>
                <w:szCs w:val="24"/>
              </w:rPr>
            </w:pPr>
            <w:r w:rsidRPr="00535DEB">
              <w:rPr>
                <w:noProof/>
                <w:color w:val="000000" w:themeColor="text1"/>
              </w:rPr>
              <w:t>227</w:t>
            </w:r>
          </w:p>
        </w:tc>
      </w:tr>
      <w:tr w:rsidR="607F5F8B" w:rsidRPr="00535DEB" w14:paraId="6E365627"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4EBCCB36" w14:textId="722BC74C" w:rsidR="607F5F8B" w:rsidRPr="00535DEB" w:rsidRDefault="607F5F8B" w:rsidP="007D751C">
            <w:pPr>
              <w:spacing w:after="0" w:line="276" w:lineRule="auto"/>
              <w:jc w:val="left"/>
              <w:rPr>
                <w:noProof/>
                <w:szCs w:val="24"/>
              </w:rPr>
            </w:pPr>
            <w:r w:rsidRPr="00535DEB">
              <w:rPr>
                <w:noProof/>
                <w:color w:val="000000" w:themeColor="text1"/>
              </w:rPr>
              <w:t>2020</w:t>
            </w:r>
          </w:p>
        </w:tc>
        <w:tc>
          <w:tcPr>
            <w:tcW w:w="2000" w:type="dxa"/>
            <w:tcBorders>
              <w:top w:val="single" w:sz="4" w:space="0" w:color="auto"/>
              <w:left w:val="single" w:sz="4" w:space="0" w:color="auto"/>
              <w:bottom w:val="single" w:sz="4" w:space="0" w:color="auto"/>
              <w:right w:val="single" w:sz="4" w:space="0" w:color="auto"/>
            </w:tcBorders>
            <w:vAlign w:val="center"/>
          </w:tcPr>
          <w:p w14:paraId="00D32922" w14:textId="611DCD6F" w:rsidR="607F5F8B" w:rsidRPr="00535DEB" w:rsidRDefault="607F5F8B" w:rsidP="007D751C">
            <w:pPr>
              <w:spacing w:after="0" w:line="276" w:lineRule="auto"/>
              <w:jc w:val="center"/>
              <w:rPr>
                <w:noProof/>
                <w:szCs w:val="24"/>
              </w:rPr>
            </w:pPr>
            <w:r w:rsidRPr="00535DEB">
              <w:rPr>
                <w:noProof/>
                <w:color w:val="000000" w:themeColor="text1"/>
              </w:rPr>
              <w:t>51 887</w:t>
            </w:r>
          </w:p>
        </w:tc>
        <w:tc>
          <w:tcPr>
            <w:tcW w:w="1921" w:type="dxa"/>
            <w:tcBorders>
              <w:top w:val="single" w:sz="4" w:space="0" w:color="auto"/>
              <w:left w:val="single" w:sz="4" w:space="0" w:color="auto"/>
              <w:bottom w:val="single" w:sz="4" w:space="0" w:color="auto"/>
              <w:right w:val="single" w:sz="4" w:space="0" w:color="auto"/>
            </w:tcBorders>
            <w:vAlign w:val="center"/>
          </w:tcPr>
          <w:p w14:paraId="7392227E" w14:textId="1EBC1DC1" w:rsidR="607F5F8B" w:rsidRPr="00535DEB" w:rsidRDefault="607F5F8B" w:rsidP="007D751C">
            <w:pPr>
              <w:spacing w:after="0" w:line="276" w:lineRule="auto"/>
              <w:jc w:val="center"/>
              <w:rPr>
                <w:noProof/>
                <w:szCs w:val="24"/>
              </w:rPr>
            </w:pPr>
            <w:r w:rsidRPr="00535DEB">
              <w:rPr>
                <w:noProof/>
                <w:color w:val="000000" w:themeColor="text1"/>
              </w:rPr>
              <w:t>-</w:t>
            </w:r>
          </w:p>
        </w:tc>
        <w:tc>
          <w:tcPr>
            <w:tcW w:w="1345" w:type="dxa"/>
            <w:tcBorders>
              <w:top w:val="single" w:sz="4" w:space="0" w:color="auto"/>
              <w:left w:val="single" w:sz="4" w:space="0" w:color="auto"/>
              <w:bottom w:val="single" w:sz="4" w:space="0" w:color="auto"/>
              <w:right w:val="single" w:sz="4" w:space="0" w:color="auto"/>
            </w:tcBorders>
            <w:vAlign w:val="center"/>
          </w:tcPr>
          <w:p w14:paraId="5A5CD9B7" w14:textId="31CE38B3" w:rsidR="607F5F8B" w:rsidRPr="00535DEB" w:rsidRDefault="607F5F8B" w:rsidP="007D751C">
            <w:pPr>
              <w:spacing w:after="0" w:line="276" w:lineRule="auto"/>
              <w:jc w:val="center"/>
              <w:rPr>
                <w:noProof/>
                <w:szCs w:val="24"/>
              </w:rPr>
            </w:pPr>
            <w:r w:rsidRPr="00535DEB">
              <w:rPr>
                <w:noProof/>
                <w:color w:val="000000" w:themeColor="text1"/>
              </w:rPr>
              <w:t>381</w:t>
            </w:r>
          </w:p>
        </w:tc>
        <w:tc>
          <w:tcPr>
            <w:tcW w:w="1025" w:type="dxa"/>
            <w:tcBorders>
              <w:top w:val="single" w:sz="4" w:space="0" w:color="auto"/>
              <w:left w:val="single" w:sz="4" w:space="0" w:color="auto"/>
              <w:bottom w:val="single" w:sz="4" w:space="0" w:color="auto"/>
              <w:right w:val="single" w:sz="4" w:space="0" w:color="auto"/>
            </w:tcBorders>
            <w:vAlign w:val="center"/>
          </w:tcPr>
          <w:p w14:paraId="4E4AE2A1" w14:textId="4F61FEB9" w:rsidR="607F5F8B" w:rsidRPr="00535DEB" w:rsidRDefault="607F5F8B" w:rsidP="007D751C">
            <w:pPr>
              <w:spacing w:after="0" w:line="276" w:lineRule="auto"/>
              <w:jc w:val="center"/>
              <w:rPr>
                <w:noProof/>
                <w:szCs w:val="24"/>
              </w:rPr>
            </w:pPr>
            <w:r w:rsidRPr="00535DEB">
              <w:rPr>
                <w:noProof/>
                <w:color w:val="000000" w:themeColor="text1"/>
              </w:rPr>
              <w:t>213</w:t>
            </w:r>
          </w:p>
        </w:tc>
      </w:tr>
      <w:tr w:rsidR="607F5F8B" w:rsidRPr="00535DEB" w14:paraId="17D344F9"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792CDD3A" w14:textId="69CC9BF0" w:rsidR="607F5F8B" w:rsidRPr="00535DEB" w:rsidRDefault="607F5F8B" w:rsidP="007D751C">
            <w:pPr>
              <w:spacing w:after="0" w:line="276" w:lineRule="auto"/>
              <w:jc w:val="left"/>
              <w:rPr>
                <w:noProof/>
                <w:szCs w:val="24"/>
              </w:rPr>
            </w:pPr>
            <w:r w:rsidRPr="00535DEB">
              <w:rPr>
                <w:noProof/>
                <w:color w:val="000000" w:themeColor="text1"/>
              </w:rPr>
              <w:t>2021</w:t>
            </w:r>
          </w:p>
        </w:tc>
        <w:tc>
          <w:tcPr>
            <w:tcW w:w="2000" w:type="dxa"/>
            <w:tcBorders>
              <w:top w:val="single" w:sz="4" w:space="0" w:color="auto"/>
              <w:left w:val="single" w:sz="4" w:space="0" w:color="auto"/>
              <w:bottom w:val="single" w:sz="4" w:space="0" w:color="auto"/>
              <w:right w:val="single" w:sz="4" w:space="0" w:color="auto"/>
            </w:tcBorders>
            <w:vAlign w:val="center"/>
          </w:tcPr>
          <w:p w14:paraId="44F79D4D" w14:textId="4F5F056C" w:rsidR="607F5F8B" w:rsidRPr="00535DEB" w:rsidRDefault="607F5F8B" w:rsidP="007D751C">
            <w:pPr>
              <w:spacing w:after="0" w:line="276" w:lineRule="auto"/>
              <w:jc w:val="center"/>
              <w:rPr>
                <w:noProof/>
                <w:szCs w:val="24"/>
              </w:rPr>
            </w:pPr>
            <w:r w:rsidRPr="00535DEB">
              <w:rPr>
                <w:noProof/>
                <w:color w:val="000000" w:themeColor="text1"/>
              </w:rPr>
              <w:t>22 380</w:t>
            </w:r>
          </w:p>
        </w:tc>
        <w:tc>
          <w:tcPr>
            <w:tcW w:w="1921" w:type="dxa"/>
            <w:tcBorders>
              <w:top w:val="single" w:sz="4" w:space="0" w:color="auto"/>
              <w:left w:val="single" w:sz="4" w:space="0" w:color="auto"/>
              <w:bottom w:val="single" w:sz="4" w:space="0" w:color="auto"/>
              <w:right w:val="single" w:sz="4" w:space="0" w:color="auto"/>
            </w:tcBorders>
            <w:vAlign w:val="center"/>
          </w:tcPr>
          <w:p w14:paraId="28146F42" w14:textId="0B5FE1DF" w:rsidR="607F5F8B" w:rsidRPr="00535DEB" w:rsidRDefault="607F5F8B" w:rsidP="007D751C">
            <w:pPr>
              <w:spacing w:after="0" w:line="276" w:lineRule="auto"/>
              <w:jc w:val="center"/>
              <w:rPr>
                <w:noProof/>
                <w:szCs w:val="24"/>
              </w:rPr>
            </w:pPr>
            <w:r w:rsidRPr="00535DEB">
              <w:rPr>
                <w:noProof/>
                <w:color w:val="000000" w:themeColor="text1"/>
              </w:rPr>
              <w:t>55 382</w:t>
            </w:r>
          </w:p>
        </w:tc>
        <w:tc>
          <w:tcPr>
            <w:tcW w:w="1345" w:type="dxa"/>
            <w:tcBorders>
              <w:top w:val="single" w:sz="4" w:space="0" w:color="auto"/>
              <w:left w:val="single" w:sz="4" w:space="0" w:color="auto"/>
              <w:bottom w:val="single" w:sz="4" w:space="0" w:color="auto"/>
              <w:right w:val="single" w:sz="4" w:space="0" w:color="auto"/>
            </w:tcBorders>
            <w:vAlign w:val="center"/>
          </w:tcPr>
          <w:p w14:paraId="27982A22" w14:textId="536D1362" w:rsidR="607F5F8B" w:rsidRPr="00535DEB" w:rsidRDefault="607F5F8B" w:rsidP="007D751C">
            <w:pPr>
              <w:spacing w:after="0" w:line="276" w:lineRule="auto"/>
              <w:jc w:val="center"/>
              <w:rPr>
                <w:noProof/>
                <w:szCs w:val="24"/>
              </w:rPr>
            </w:pPr>
            <w:r w:rsidRPr="00535DEB">
              <w:rPr>
                <w:noProof/>
                <w:color w:val="000000" w:themeColor="text1"/>
              </w:rPr>
              <w:t>333</w:t>
            </w:r>
          </w:p>
        </w:tc>
        <w:tc>
          <w:tcPr>
            <w:tcW w:w="1025" w:type="dxa"/>
            <w:tcBorders>
              <w:top w:val="single" w:sz="4" w:space="0" w:color="auto"/>
              <w:left w:val="single" w:sz="4" w:space="0" w:color="auto"/>
              <w:bottom w:val="single" w:sz="4" w:space="0" w:color="auto"/>
              <w:right w:val="single" w:sz="4" w:space="0" w:color="auto"/>
            </w:tcBorders>
            <w:vAlign w:val="center"/>
          </w:tcPr>
          <w:p w14:paraId="757409A1" w14:textId="7868CF1F" w:rsidR="607F5F8B" w:rsidRPr="00535DEB" w:rsidRDefault="607F5F8B" w:rsidP="007D751C">
            <w:pPr>
              <w:spacing w:after="0" w:line="276" w:lineRule="auto"/>
              <w:jc w:val="center"/>
              <w:rPr>
                <w:noProof/>
                <w:szCs w:val="24"/>
              </w:rPr>
            </w:pPr>
            <w:r w:rsidRPr="00535DEB">
              <w:rPr>
                <w:noProof/>
                <w:color w:val="000000" w:themeColor="text1"/>
              </w:rPr>
              <w:t>1 024</w:t>
            </w:r>
          </w:p>
        </w:tc>
      </w:tr>
      <w:tr w:rsidR="607F5F8B" w:rsidRPr="00535DEB" w14:paraId="33795F95"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608D706E" w14:textId="7BA353D7" w:rsidR="607F5F8B" w:rsidRPr="00535DEB" w:rsidRDefault="607F5F8B" w:rsidP="007D751C">
            <w:pPr>
              <w:spacing w:after="0" w:line="276" w:lineRule="auto"/>
              <w:jc w:val="left"/>
              <w:rPr>
                <w:noProof/>
                <w:szCs w:val="24"/>
              </w:rPr>
            </w:pPr>
            <w:r w:rsidRPr="00535DEB">
              <w:rPr>
                <w:noProof/>
                <w:color w:val="000000" w:themeColor="text1"/>
              </w:rPr>
              <w:t>2022</w:t>
            </w:r>
          </w:p>
        </w:tc>
        <w:tc>
          <w:tcPr>
            <w:tcW w:w="2000" w:type="dxa"/>
            <w:tcBorders>
              <w:top w:val="single" w:sz="4" w:space="0" w:color="auto"/>
              <w:left w:val="single" w:sz="4" w:space="0" w:color="auto"/>
              <w:bottom w:val="single" w:sz="4" w:space="0" w:color="auto"/>
              <w:right w:val="single" w:sz="4" w:space="0" w:color="auto"/>
            </w:tcBorders>
            <w:vAlign w:val="center"/>
          </w:tcPr>
          <w:p w14:paraId="3A6F79EB" w14:textId="67DED16B" w:rsidR="607F5F8B" w:rsidRPr="00535DEB" w:rsidRDefault="607F5F8B" w:rsidP="007D751C">
            <w:pPr>
              <w:spacing w:after="0" w:line="276" w:lineRule="auto"/>
              <w:jc w:val="center"/>
              <w:rPr>
                <w:noProof/>
                <w:szCs w:val="24"/>
              </w:rPr>
            </w:pPr>
            <w:r w:rsidRPr="00535DEB">
              <w:rPr>
                <w:noProof/>
                <w:color w:val="000000" w:themeColor="text1"/>
              </w:rPr>
              <w:t>13 576</w:t>
            </w:r>
          </w:p>
        </w:tc>
        <w:tc>
          <w:tcPr>
            <w:tcW w:w="1921" w:type="dxa"/>
            <w:tcBorders>
              <w:top w:val="single" w:sz="4" w:space="0" w:color="auto"/>
              <w:left w:val="single" w:sz="4" w:space="0" w:color="auto"/>
              <w:bottom w:val="single" w:sz="4" w:space="0" w:color="auto"/>
              <w:right w:val="single" w:sz="4" w:space="0" w:color="auto"/>
            </w:tcBorders>
            <w:vAlign w:val="center"/>
          </w:tcPr>
          <w:p w14:paraId="66AF992E" w14:textId="6A14EB22" w:rsidR="607F5F8B" w:rsidRPr="00535DEB" w:rsidRDefault="607F5F8B" w:rsidP="007D751C">
            <w:pPr>
              <w:spacing w:after="0" w:line="276" w:lineRule="auto"/>
              <w:jc w:val="center"/>
              <w:rPr>
                <w:noProof/>
                <w:szCs w:val="24"/>
              </w:rPr>
            </w:pPr>
            <w:r w:rsidRPr="00535DEB">
              <w:rPr>
                <w:noProof/>
                <w:color w:val="000000" w:themeColor="text1"/>
              </w:rPr>
              <w:t>2 476</w:t>
            </w:r>
          </w:p>
        </w:tc>
        <w:tc>
          <w:tcPr>
            <w:tcW w:w="1345" w:type="dxa"/>
            <w:tcBorders>
              <w:top w:val="single" w:sz="4" w:space="0" w:color="auto"/>
              <w:left w:val="single" w:sz="4" w:space="0" w:color="auto"/>
              <w:bottom w:val="single" w:sz="4" w:space="0" w:color="auto"/>
              <w:right w:val="single" w:sz="4" w:space="0" w:color="auto"/>
            </w:tcBorders>
            <w:vAlign w:val="center"/>
          </w:tcPr>
          <w:p w14:paraId="7B3D4A8C" w14:textId="3F8D5B75" w:rsidR="607F5F8B" w:rsidRPr="00535DEB" w:rsidRDefault="607F5F8B" w:rsidP="007D751C">
            <w:pPr>
              <w:spacing w:after="0" w:line="276" w:lineRule="auto"/>
              <w:jc w:val="center"/>
              <w:rPr>
                <w:noProof/>
                <w:szCs w:val="24"/>
              </w:rPr>
            </w:pPr>
            <w:r w:rsidRPr="00535DEB">
              <w:rPr>
                <w:noProof/>
                <w:color w:val="000000" w:themeColor="text1"/>
              </w:rPr>
              <w:t>2 696</w:t>
            </w:r>
          </w:p>
        </w:tc>
        <w:tc>
          <w:tcPr>
            <w:tcW w:w="1025" w:type="dxa"/>
            <w:tcBorders>
              <w:top w:val="single" w:sz="4" w:space="0" w:color="auto"/>
              <w:left w:val="single" w:sz="4" w:space="0" w:color="auto"/>
              <w:bottom w:val="single" w:sz="4" w:space="0" w:color="auto"/>
              <w:right w:val="single" w:sz="4" w:space="0" w:color="auto"/>
            </w:tcBorders>
            <w:vAlign w:val="center"/>
          </w:tcPr>
          <w:p w14:paraId="5DDE480B" w14:textId="6C95C63E" w:rsidR="607F5F8B" w:rsidRPr="00535DEB" w:rsidRDefault="607F5F8B" w:rsidP="007D751C">
            <w:pPr>
              <w:spacing w:after="0" w:line="276" w:lineRule="auto"/>
              <w:jc w:val="center"/>
              <w:rPr>
                <w:noProof/>
                <w:szCs w:val="24"/>
              </w:rPr>
            </w:pPr>
            <w:r w:rsidRPr="00535DEB">
              <w:rPr>
                <w:noProof/>
                <w:color w:val="000000" w:themeColor="text1"/>
              </w:rPr>
              <w:t>164</w:t>
            </w:r>
          </w:p>
        </w:tc>
      </w:tr>
      <w:tr w:rsidR="607F5F8B" w:rsidRPr="00535DEB" w14:paraId="7C47ACB1"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233BE857" w14:textId="3152A878" w:rsidR="607F5F8B" w:rsidRPr="00535DEB" w:rsidRDefault="607F5F8B" w:rsidP="007D751C">
            <w:pPr>
              <w:spacing w:after="0" w:line="276" w:lineRule="auto"/>
              <w:jc w:val="left"/>
              <w:rPr>
                <w:noProof/>
                <w:szCs w:val="24"/>
              </w:rPr>
            </w:pPr>
            <w:r w:rsidRPr="00535DEB">
              <w:rPr>
                <w:noProof/>
                <w:color w:val="000000" w:themeColor="text1"/>
              </w:rPr>
              <w:t>2023</w:t>
            </w:r>
          </w:p>
        </w:tc>
        <w:tc>
          <w:tcPr>
            <w:tcW w:w="2000" w:type="dxa"/>
            <w:tcBorders>
              <w:top w:val="single" w:sz="4" w:space="0" w:color="auto"/>
              <w:left w:val="single" w:sz="4" w:space="0" w:color="auto"/>
              <w:bottom w:val="single" w:sz="4" w:space="0" w:color="auto"/>
              <w:right w:val="single" w:sz="4" w:space="0" w:color="auto"/>
            </w:tcBorders>
            <w:vAlign w:val="center"/>
          </w:tcPr>
          <w:p w14:paraId="7FA111F8" w14:textId="2CFA64C2" w:rsidR="607F5F8B" w:rsidRPr="00535DEB" w:rsidRDefault="607F5F8B" w:rsidP="007D751C">
            <w:pPr>
              <w:spacing w:after="0" w:line="276" w:lineRule="auto"/>
              <w:jc w:val="center"/>
              <w:rPr>
                <w:noProof/>
                <w:szCs w:val="24"/>
              </w:rPr>
            </w:pPr>
            <w:r w:rsidRPr="00535DEB">
              <w:rPr>
                <w:noProof/>
                <w:color w:val="000000" w:themeColor="text1"/>
              </w:rPr>
              <w:t>5 303</w:t>
            </w:r>
          </w:p>
        </w:tc>
        <w:tc>
          <w:tcPr>
            <w:tcW w:w="1921" w:type="dxa"/>
            <w:tcBorders>
              <w:top w:val="single" w:sz="4" w:space="0" w:color="auto"/>
              <w:left w:val="single" w:sz="4" w:space="0" w:color="auto"/>
              <w:bottom w:val="single" w:sz="4" w:space="0" w:color="auto"/>
              <w:right w:val="single" w:sz="4" w:space="0" w:color="auto"/>
            </w:tcBorders>
            <w:vAlign w:val="center"/>
          </w:tcPr>
          <w:p w14:paraId="4168BB15" w14:textId="1CF8245F" w:rsidR="607F5F8B" w:rsidRPr="00535DEB" w:rsidRDefault="607F5F8B" w:rsidP="007D751C">
            <w:pPr>
              <w:spacing w:after="0" w:line="276" w:lineRule="auto"/>
              <w:jc w:val="center"/>
              <w:rPr>
                <w:noProof/>
                <w:szCs w:val="24"/>
              </w:rPr>
            </w:pPr>
            <w:r w:rsidRPr="00535DEB">
              <w:rPr>
                <w:noProof/>
                <w:color w:val="000000" w:themeColor="text1"/>
              </w:rPr>
              <w:t>2 362</w:t>
            </w:r>
          </w:p>
        </w:tc>
        <w:tc>
          <w:tcPr>
            <w:tcW w:w="1345" w:type="dxa"/>
            <w:tcBorders>
              <w:top w:val="single" w:sz="4" w:space="0" w:color="auto"/>
              <w:left w:val="single" w:sz="4" w:space="0" w:color="auto"/>
              <w:bottom w:val="single" w:sz="4" w:space="0" w:color="auto"/>
              <w:right w:val="single" w:sz="4" w:space="0" w:color="auto"/>
            </w:tcBorders>
            <w:vAlign w:val="center"/>
          </w:tcPr>
          <w:p w14:paraId="4CEC90E6" w14:textId="76980555" w:rsidR="607F5F8B" w:rsidRPr="00535DEB" w:rsidRDefault="607F5F8B" w:rsidP="007D751C">
            <w:pPr>
              <w:spacing w:after="0" w:line="276" w:lineRule="auto"/>
              <w:jc w:val="center"/>
              <w:rPr>
                <w:noProof/>
                <w:szCs w:val="24"/>
              </w:rPr>
            </w:pPr>
            <w:r w:rsidRPr="00535DEB">
              <w:rPr>
                <w:noProof/>
                <w:color w:val="000000" w:themeColor="text1"/>
              </w:rPr>
              <w:t>13 083</w:t>
            </w:r>
          </w:p>
        </w:tc>
        <w:tc>
          <w:tcPr>
            <w:tcW w:w="1025" w:type="dxa"/>
            <w:tcBorders>
              <w:top w:val="single" w:sz="4" w:space="0" w:color="auto"/>
              <w:left w:val="single" w:sz="4" w:space="0" w:color="auto"/>
              <w:bottom w:val="single" w:sz="4" w:space="0" w:color="auto"/>
              <w:right w:val="single" w:sz="4" w:space="0" w:color="auto"/>
            </w:tcBorders>
            <w:vAlign w:val="center"/>
          </w:tcPr>
          <w:p w14:paraId="615CCF5C" w14:textId="75CD1B0C" w:rsidR="607F5F8B" w:rsidRPr="00535DEB" w:rsidRDefault="607F5F8B" w:rsidP="007D751C">
            <w:pPr>
              <w:spacing w:after="0" w:line="276" w:lineRule="auto"/>
              <w:jc w:val="center"/>
              <w:rPr>
                <w:noProof/>
                <w:szCs w:val="24"/>
              </w:rPr>
            </w:pPr>
            <w:r w:rsidRPr="00535DEB">
              <w:rPr>
                <w:noProof/>
                <w:color w:val="000000" w:themeColor="text1"/>
              </w:rPr>
              <w:t>239</w:t>
            </w:r>
          </w:p>
        </w:tc>
      </w:tr>
      <w:tr w:rsidR="607F5F8B" w:rsidRPr="00535DEB" w14:paraId="59093C2C"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39168F04" w14:textId="733D3CF8" w:rsidR="607F5F8B" w:rsidRPr="00535DEB" w:rsidRDefault="607F5F8B" w:rsidP="007D751C">
            <w:pPr>
              <w:spacing w:after="0" w:line="276" w:lineRule="auto"/>
              <w:jc w:val="left"/>
              <w:rPr>
                <w:noProof/>
                <w:szCs w:val="24"/>
              </w:rPr>
            </w:pPr>
            <w:r w:rsidRPr="00535DEB">
              <w:rPr>
                <w:noProof/>
                <w:color w:val="000000" w:themeColor="text1"/>
              </w:rPr>
              <w:t>2024</w:t>
            </w:r>
          </w:p>
        </w:tc>
        <w:tc>
          <w:tcPr>
            <w:tcW w:w="2000" w:type="dxa"/>
            <w:tcBorders>
              <w:top w:val="single" w:sz="4" w:space="0" w:color="auto"/>
              <w:left w:val="single" w:sz="4" w:space="0" w:color="auto"/>
              <w:bottom w:val="single" w:sz="4" w:space="0" w:color="auto"/>
              <w:right w:val="single" w:sz="4" w:space="0" w:color="auto"/>
            </w:tcBorders>
            <w:vAlign w:val="center"/>
          </w:tcPr>
          <w:p w14:paraId="7E689609" w14:textId="41119041" w:rsidR="607F5F8B" w:rsidRPr="00535DEB" w:rsidRDefault="607F5F8B" w:rsidP="007D751C">
            <w:pPr>
              <w:spacing w:after="0" w:line="276" w:lineRule="auto"/>
              <w:jc w:val="center"/>
              <w:rPr>
                <w:noProof/>
                <w:szCs w:val="24"/>
              </w:rPr>
            </w:pPr>
            <w:r w:rsidRPr="00535DEB">
              <w:rPr>
                <w:noProof/>
                <w:color w:val="000000" w:themeColor="text1"/>
              </w:rPr>
              <w:t>1 481</w:t>
            </w:r>
          </w:p>
        </w:tc>
        <w:tc>
          <w:tcPr>
            <w:tcW w:w="1921" w:type="dxa"/>
            <w:tcBorders>
              <w:top w:val="single" w:sz="4" w:space="0" w:color="auto"/>
              <w:left w:val="single" w:sz="4" w:space="0" w:color="auto"/>
              <w:bottom w:val="single" w:sz="4" w:space="0" w:color="auto"/>
              <w:right w:val="single" w:sz="4" w:space="0" w:color="auto"/>
            </w:tcBorders>
            <w:vAlign w:val="center"/>
          </w:tcPr>
          <w:p w14:paraId="2153B64A" w14:textId="2E45BD35" w:rsidR="607F5F8B" w:rsidRPr="00535DEB" w:rsidRDefault="607F5F8B" w:rsidP="007D751C">
            <w:pPr>
              <w:spacing w:after="0" w:line="276" w:lineRule="auto"/>
              <w:jc w:val="center"/>
              <w:rPr>
                <w:noProof/>
                <w:szCs w:val="24"/>
              </w:rPr>
            </w:pPr>
            <w:r w:rsidRPr="00535DEB">
              <w:rPr>
                <w:noProof/>
                <w:color w:val="000000" w:themeColor="text1"/>
              </w:rPr>
              <w:t>334</w:t>
            </w:r>
          </w:p>
        </w:tc>
        <w:tc>
          <w:tcPr>
            <w:tcW w:w="1345" w:type="dxa"/>
            <w:tcBorders>
              <w:top w:val="single" w:sz="4" w:space="0" w:color="auto"/>
              <w:left w:val="single" w:sz="4" w:space="0" w:color="auto"/>
              <w:bottom w:val="single" w:sz="4" w:space="0" w:color="auto"/>
              <w:right w:val="single" w:sz="4" w:space="0" w:color="auto"/>
            </w:tcBorders>
            <w:vAlign w:val="center"/>
          </w:tcPr>
          <w:p w14:paraId="747DBED4" w14:textId="0C297AD9" w:rsidR="607F5F8B" w:rsidRPr="00535DEB" w:rsidRDefault="607F5F8B" w:rsidP="007D751C">
            <w:pPr>
              <w:spacing w:after="0" w:line="276" w:lineRule="auto"/>
              <w:jc w:val="center"/>
              <w:rPr>
                <w:noProof/>
                <w:szCs w:val="24"/>
              </w:rPr>
            </w:pPr>
            <w:r w:rsidRPr="00535DEB">
              <w:rPr>
                <w:noProof/>
                <w:color w:val="000000" w:themeColor="text1"/>
              </w:rPr>
              <w:t>280</w:t>
            </w:r>
          </w:p>
        </w:tc>
        <w:tc>
          <w:tcPr>
            <w:tcW w:w="1025" w:type="dxa"/>
            <w:tcBorders>
              <w:top w:val="single" w:sz="4" w:space="0" w:color="auto"/>
              <w:left w:val="single" w:sz="4" w:space="0" w:color="auto"/>
              <w:bottom w:val="single" w:sz="4" w:space="0" w:color="auto"/>
              <w:right w:val="single" w:sz="4" w:space="0" w:color="auto"/>
            </w:tcBorders>
            <w:vAlign w:val="center"/>
          </w:tcPr>
          <w:p w14:paraId="0D26ADEC" w14:textId="44785CF1" w:rsidR="607F5F8B" w:rsidRPr="00535DEB" w:rsidRDefault="607F5F8B" w:rsidP="007D751C">
            <w:pPr>
              <w:spacing w:after="0" w:line="276" w:lineRule="auto"/>
              <w:jc w:val="center"/>
              <w:rPr>
                <w:noProof/>
                <w:szCs w:val="24"/>
              </w:rPr>
            </w:pPr>
            <w:r w:rsidRPr="00535DEB">
              <w:rPr>
                <w:noProof/>
                <w:color w:val="000000" w:themeColor="text1"/>
              </w:rPr>
              <w:t>-</w:t>
            </w:r>
          </w:p>
        </w:tc>
      </w:tr>
    </w:tbl>
    <w:p w14:paraId="6902EAD8" w14:textId="59D7E98D" w:rsidR="607F5F8B" w:rsidRPr="00535DEB" w:rsidRDefault="00102DE7" w:rsidP="007D751C">
      <w:pPr>
        <w:pStyle w:val="Text2"/>
        <w:spacing w:line="276" w:lineRule="auto"/>
        <w:ind w:left="0" w:firstLine="482"/>
        <w:rPr>
          <w:noProof/>
          <w:sz w:val="20"/>
        </w:rPr>
      </w:pPr>
      <w:r w:rsidRPr="00535DEB">
        <w:rPr>
          <w:noProof/>
          <w:sz w:val="20"/>
        </w:rPr>
        <w:t>Source: Commission européenne, 2024.</w:t>
      </w:r>
    </w:p>
    <w:p w14:paraId="53EB88F0" w14:textId="552C268B" w:rsidR="004D0F82" w:rsidRPr="00535DEB" w:rsidRDefault="00DA7940" w:rsidP="007D751C">
      <w:pPr>
        <w:pStyle w:val="Heading1"/>
        <w:spacing w:line="276" w:lineRule="auto"/>
        <w:rPr>
          <w:noProof/>
        </w:rPr>
      </w:pPr>
      <w:r w:rsidRPr="00535DEB">
        <w:rPr>
          <w:noProof/>
        </w:rPr>
        <w:t>Évaluation du financement public provenant de sources nationales et de l’UE</w:t>
      </w:r>
    </w:p>
    <w:p w14:paraId="7B1C7DB7" w14:textId="19CF7EBC" w:rsidR="000D4ABD" w:rsidRPr="00535DEB" w:rsidRDefault="000D4ABD" w:rsidP="007D751C">
      <w:pPr>
        <w:pStyle w:val="Heading2"/>
        <w:spacing w:line="276" w:lineRule="auto"/>
        <w:rPr>
          <w:noProof/>
        </w:rPr>
      </w:pPr>
      <w:r w:rsidRPr="00535DEB">
        <w:rPr>
          <w:noProof/>
        </w:rPr>
        <w:t>Évaluation de l’effet de levier</w:t>
      </w:r>
    </w:p>
    <w:p w14:paraId="4AFEE0D5" w14:textId="483DBCC7" w:rsidR="606F0325" w:rsidRPr="00535DEB" w:rsidRDefault="005F4417" w:rsidP="007D751C">
      <w:pPr>
        <w:pStyle w:val="Heading3"/>
        <w:spacing w:line="276" w:lineRule="auto"/>
        <w:rPr>
          <w:noProof/>
        </w:rPr>
      </w:pPr>
      <w:r w:rsidRPr="00535DEB">
        <w:rPr>
          <w:noProof/>
        </w:rPr>
        <w:t>Effet multiplicateur et effet de levier des programmes de l’UE</w:t>
      </w:r>
    </w:p>
    <w:p w14:paraId="393F5FB8" w14:textId="3663C53E" w:rsidR="00933377" w:rsidRPr="00535DEB" w:rsidRDefault="00933377" w:rsidP="0031363B">
      <w:pPr>
        <w:pStyle w:val="Text3"/>
        <w:spacing w:after="0" w:line="276" w:lineRule="auto"/>
        <w:ind w:left="0"/>
        <w:rPr>
          <w:i/>
          <w:iCs/>
          <w:noProof/>
        </w:rPr>
      </w:pPr>
      <w:r w:rsidRPr="00535DEB">
        <w:rPr>
          <w:i/>
          <w:noProof/>
        </w:rPr>
        <w:t>Tableau 7: budget de l’UE et effet de levier (en millions d’EUR)</w:t>
      </w:r>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78"/>
        <w:gridCol w:w="929"/>
        <w:gridCol w:w="1674"/>
        <w:gridCol w:w="1714"/>
        <w:gridCol w:w="1034"/>
        <w:gridCol w:w="1608"/>
      </w:tblGrid>
      <w:tr w:rsidR="0024404F" w:rsidRPr="00535DEB" w14:paraId="49CC0369" w14:textId="77777777" w:rsidTr="004E34F6">
        <w:trPr>
          <w:trHeight w:val="790"/>
        </w:trPr>
        <w:tc>
          <w:tcPr>
            <w:tcW w:w="2263" w:type="dxa"/>
            <w:vAlign w:val="center"/>
            <w:hideMark/>
          </w:tcPr>
          <w:p w14:paraId="1D390E05" w14:textId="77777777" w:rsidR="008C6B12" w:rsidRPr="00535DEB" w:rsidRDefault="008C6B12" w:rsidP="007D751C">
            <w:pPr>
              <w:spacing w:after="0" w:line="276" w:lineRule="auto"/>
              <w:jc w:val="left"/>
              <w:rPr>
                <w:noProof/>
                <w:color w:val="000000"/>
                <w:szCs w:val="24"/>
              </w:rPr>
            </w:pPr>
            <w:r w:rsidRPr="00535DEB">
              <w:rPr>
                <w:noProof/>
                <w:color w:val="000000"/>
              </w:rPr>
              <w:t xml:space="preserve"> </w:t>
            </w:r>
          </w:p>
        </w:tc>
        <w:tc>
          <w:tcPr>
            <w:tcW w:w="1087" w:type="dxa"/>
            <w:vAlign w:val="center"/>
            <w:hideMark/>
          </w:tcPr>
          <w:p w14:paraId="30DB8A1E" w14:textId="7DD1D3CB" w:rsidR="008C6B12" w:rsidRPr="00535DEB" w:rsidRDefault="008C6B12" w:rsidP="007D751C">
            <w:pPr>
              <w:spacing w:after="0" w:line="276" w:lineRule="auto"/>
              <w:jc w:val="center"/>
              <w:rPr>
                <w:b/>
                <w:bCs/>
                <w:noProof/>
                <w:color w:val="000000"/>
                <w:szCs w:val="24"/>
              </w:rPr>
            </w:pPr>
            <w:r w:rsidRPr="00535DEB">
              <w:rPr>
                <w:b/>
                <w:noProof/>
                <w:color w:val="000000"/>
              </w:rPr>
              <w:t>Budget de l’UE</w:t>
            </w:r>
            <w:r w:rsidRPr="00535DEB">
              <w:rPr>
                <w:noProof/>
              </w:rPr>
              <w:t xml:space="preserve"> </w:t>
            </w:r>
            <w:r w:rsidRPr="00535DEB">
              <w:rPr>
                <w:noProof/>
              </w:rPr>
              <w:br/>
            </w:r>
            <w:r w:rsidRPr="00535DEB">
              <w:rPr>
                <w:noProof/>
                <w:color w:val="000000"/>
              </w:rPr>
              <w:t>A</w:t>
            </w:r>
          </w:p>
        </w:tc>
        <w:tc>
          <w:tcPr>
            <w:tcW w:w="1465" w:type="dxa"/>
            <w:vAlign w:val="center"/>
            <w:hideMark/>
          </w:tcPr>
          <w:p w14:paraId="714E727E" w14:textId="2B9FDF41" w:rsidR="008C6B12" w:rsidRPr="00535DEB" w:rsidRDefault="008C6B12" w:rsidP="007D751C">
            <w:pPr>
              <w:spacing w:after="0" w:line="276" w:lineRule="auto"/>
              <w:jc w:val="center"/>
              <w:rPr>
                <w:b/>
                <w:bCs/>
                <w:noProof/>
                <w:color w:val="000000"/>
                <w:szCs w:val="24"/>
              </w:rPr>
            </w:pPr>
            <w:r w:rsidRPr="00535DEB">
              <w:rPr>
                <w:b/>
                <w:noProof/>
                <w:color w:val="000000"/>
              </w:rPr>
              <w:t>Cofinancement national</w:t>
            </w:r>
            <w:r w:rsidRPr="00535DEB">
              <w:rPr>
                <w:noProof/>
              </w:rPr>
              <w:t xml:space="preserve"> </w:t>
            </w:r>
            <w:r w:rsidRPr="00535DEB">
              <w:rPr>
                <w:noProof/>
              </w:rPr>
              <w:br/>
            </w:r>
            <w:r w:rsidRPr="00535DEB">
              <w:rPr>
                <w:noProof/>
                <w:color w:val="000000"/>
              </w:rPr>
              <w:t>B</w:t>
            </w:r>
          </w:p>
        </w:tc>
        <w:tc>
          <w:tcPr>
            <w:tcW w:w="1417" w:type="dxa"/>
            <w:vAlign w:val="center"/>
            <w:hideMark/>
          </w:tcPr>
          <w:p w14:paraId="698B448E" w14:textId="6EF85F0B" w:rsidR="008C6B12" w:rsidRPr="00535DEB" w:rsidRDefault="008C6B12" w:rsidP="007D751C">
            <w:pPr>
              <w:spacing w:after="0" w:line="276" w:lineRule="auto"/>
              <w:jc w:val="center"/>
              <w:rPr>
                <w:b/>
                <w:bCs/>
                <w:noProof/>
                <w:color w:val="000000"/>
                <w:szCs w:val="24"/>
              </w:rPr>
            </w:pPr>
            <w:r w:rsidRPr="00535DEB">
              <w:rPr>
                <w:b/>
                <w:noProof/>
                <w:color w:val="000000"/>
              </w:rPr>
              <w:t>Investissements totaux</w:t>
            </w:r>
            <w:r w:rsidRPr="00535DEB">
              <w:rPr>
                <w:noProof/>
              </w:rPr>
              <w:t xml:space="preserve"> </w:t>
            </w:r>
            <w:r w:rsidRPr="00535DEB">
              <w:rPr>
                <w:noProof/>
              </w:rPr>
              <w:br/>
            </w:r>
            <w:r w:rsidRPr="00535DEB">
              <w:rPr>
                <w:noProof/>
                <w:color w:val="000000"/>
              </w:rPr>
              <w:t>C</w:t>
            </w:r>
          </w:p>
        </w:tc>
        <w:tc>
          <w:tcPr>
            <w:tcW w:w="1266" w:type="dxa"/>
            <w:vAlign w:val="center"/>
            <w:hideMark/>
          </w:tcPr>
          <w:p w14:paraId="1ED1F44C" w14:textId="737938CE" w:rsidR="008C6B12" w:rsidRPr="00535DEB" w:rsidRDefault="003F7AB7" w:rsidP="007D751C">
            <w:pPr>
              <w:spacing w:after="0" w:line="276" w:lineRule="auto"/>
              <w:jc w:val="center"/>
              <w:rPr>
                <w:b/>
                <w:bCs/>
                <w:noProof/>
                <w:color w:val="000000"/>
                <w:szCs w:val="24"/>
              </w:rPr>
            </w:pPr>
            <w:r w:rsidRPr="00535DEB">
              <w:rPr>
                <w:b/>
                <w:noProof/>
                <w:color w:val="000000"/>
              </w:rPr>
              <w:t>Effet de levier</w:t>
            </w:r>
            <w:r w:rsidRPr="00535DEB">
              <w:rPr>
                <w:noProof/>
              </w:rPr>
              <w:br/>
            </w:r>
            <w:r w:rsidRPr="00535DEB">
              <w:rPr>
                <w:noProof/>
                <w:color w:val="000000"/>
              </w:rPr>
              <w:t>(A+B)/A</w:t>
            </w:r>
          </w:p>
        </w:tc>
        <w:tc>
          <w:tcPr>
            <w:tcW w:w="1139" w:type="dxa"/>
            <w:vAlign w:val="center"/>
            <w:hideMark/>
          </w:tcPr>
          <w:p w14:paraId="7795D2FC" w14:textId="4325E104" w:rsidR="008C6B12" w:rsidRPr="00535DEB" w:rsidRDefault="008C6B12" w:rsidP="007D751C">
            <w:pPr>
              <w:spacing w:after="0" w:line="276" w:lineRule="auto"/>
              <w:jc w:val="center"/>
              <w:rPr>
                <w:b/>
                <w:bCs/>
                <w:noProof/>
                <w:color w:val="000000"/>
                <w:szCs w:val="24"/>
              </w:rPr>
            </w:pPr>
            <w:r w:rsidRPr="00535DEB">
              <w:rPr>
                <w:b/>
                <w:noProof/>
                <w:color w:val="000000"/>
              </w:rPr>
              <w:t>Multiplicateur total</w:t>
            </w:r>
            <w:r w:rsidRPr="00535DEB">
              <w:rPr>
                <w:noProof/>
              </w:rPr>
              <w:br/>
            </w:r>
            <w:r w:rsidRPr="00535DEB">
              <w:rPr>
                <w:noProof/>
                <w:color w:val="000000"/>
              </w:rPr>
              <w:t>C/A</w:t>
            </w:r>
          </w:p>
        </w:tc>
      </w:tr>
      <w:tr w:rsidR="0024404F" w:rsidRPr="00535DEB" w14:paraId="07D97E22" w14:textId="77777777" w:rsidTr="004E34F6">
        <w:trPr>
          <w:trHeight w:val="530"/>
        </w:trPr>
        <w:tc>
          <w:tcPr>
            <w:tcW w:w="2263" w:type="dxa"/>
            <w:vAlign w:val="center"/>
            <w:hideMark/>
          </w:tcPr>
          <w:p w14:paraId="32ABA258" w14:textId="77777777" w:rsidR="008C6B12" w:rsidRPr="00535DEB" w:rsidRDefault="008C6B12" w:rsidP="007D751C">
            <w:pPr>
              <w:spacing w:after="0" w:line="276" w:lineRule="auto"/>
              <w:jc w:val="left"/>
              <w:rPr>
                <w:noProof/>
                <w:color w:val="000000"/>
                <w:szCs w:val="24"/>
              </w:rPr>
            </w:pPr>
            <w:r w:rsidRPr="00535DEB">
              <w:rPr>
                <w:noProof/>
                <w:color w:val="000000"/>
              </w:rPr>
              <w:t>Fonds de la politique de cohésion 2014-2020 </w:t>
            </w:r>
          </w:p>
        </w:tc>
        <w:tc>
          <w:tcPr>
            <w:tcW w:w="1087" w:type="dxa"/>
            <w:vAlign w:val="center"/>
            <w:hideMark/>
          </w:tcPr>
          <w:p w14:paraId="7D7FE394" w14:textId="64F8D843" w:rsidR="008C6B12" w:rsidRPr="00535DEB" w:rsidRDefault="008C6B12" w:rsidP="007D751C">
            <w:pPr>
              <w:spacing w:after="0" w:line="276" w:lineRule="auto"/>
              <w:jc w:val="center"/>
              <w:rPr>
                <w:noProof/>
                <w:color w:val="000000"/>
                <w:szCs w:val="24"/>
              </w:rPr>
            </w:pPr>
            <w:r w:rsidRPr="00535DEB">
              <w:rPr>
                <w:noProof/>
                <w:color w:val="000000"/>
              </w:rPr>
              <w:t>12 540</w:t>
            </w:r>
          </w:p>
        </w:tc>
        <w:tc>
          <w:tcPr>
            <w:tcW w:w="1465" w:type="dxa"/>
            <w:vAlign w:val="center"/>
            <w:hideMark/>
          </w:tcPr>
          <w:p w14:paraId="2E4AAE43" w14:textId="0A5853E8" w:rsidR="008C6B12" w:rsidRPr="00535DEB" w:rsidRDefault="008C6B12" w:rsidP="007D751C">
            <w:pPr>
              <w:spacing w:after="0" w:line="276" w:lineRule="auto"/>
              <w:jc w:val="center"/>
              <w:rPr>
                <w:noProof/>
                <w:color w:val="000000"/>
                <w:szCs w:val="24"/>
              </w:rPr>
            </w:pPr>
            <w:r w:rsidRPr="00535DEB">
              <w:rPr>
                <w:noProof/>
                <w:color w:val="000000"/>
              </w:rPr>
              <w:t>5 244</w:t>
            </w:r>
          </w:p>
        </w:tc>
        <w:tc>
          <w:tcPr>
            <w:tcW w:w="1417" w:type="dxa"/>
            <w:vAlign w:val="center"/>
            <w:hideMark/>
          </w:tcPr>
          <w:p w14:paraId="020BFFCF" w14:textId="1C230822" w:rsidR="008C6B12" w:rsidRPr="00535DEB" w:rsidRDefault="008C6B12" w:rsidP="007D751C">
            <w:pPr>
              <w:spacing w:after="0" w:line="276" w:lineRule="auto"/>
              <w:jc w:val="center"/>
              <w:rPr>
                <w:noProof/>
                <w:color w:val="000000"/>
                <w:szCs w:val="24"/>
                <w:lang w:eastAsia="en-IE"/>
              </w:rPr>
            </w:pPr>
          </w:p>
        </w:tc>
        <w:tc>
          <w:tcPr>
            <w:tcW w:w="1266" w:type="dxa"/>
            <w:vAlign w:val="center"/>
            <w:hideMark/>
          </w:tcPr>
          <w:p w14:paraId="216155E8" w14:textId="7997A486" w:rsidR="008C6B12" w:rsidRPr="00535DEB" w:rsidRDefault="008C6B12" w:rsidP="007D751C">
            <w:pPr>
              <w:spacing w:after="0" w:line="276" w:lineRule="auto"/>
              <w:jc w:val="center"/>
              <w:rPr>
                <w:noProof/>
                <w:color w:val="000000"/>
                <w:szCs w:val="24"/>
              </w:rPr>
            </w:pPr>
            <w:r w:rsidRPr="00535DEB">
              <w:rPr>
                <w:noProof/>
                <w:color w:val="000000"/>
              </w:rPr>
              <w:t>1,4</w:t>
            </w:r>
          </w:p>
        </w:tc>
        <w:tc>
          <w:tcPr>
            <w:tcW w:w="1139" w:type="dxa"/>
            <w:noWrap/>
            <w:vAlign w:val="center"/>
            <w:hideMark/>
          </w:tcPr>
          <w:p w14:paraId="2E29777B" w14:textId="2A304E4A" w:rsidR="008C6B12" w:rsidRPr="00535DEB" w:rsidRDefault="007F50DA" w:rsidP="007D751C">
            <w:pPr>
              <w:spacing w:after="0" w:line="276" w:lineRule="auto"/>
              <w:jc w:val="center"/>
              <w:rPr>
                <w:noProof/>
                <w:color w:val="000000"/>
                <w:szCs w:val="24"/>
              </w:rPr>
            </w:pPr>
            <w:r w:rsidRPr="00535DEB">
              <w:rPr>
                <w:noProof/>
                <w:color w:val="000000"/>
              </w:rPr>
              <w:t>s.o.</w:t>
            </w:r>
          </w:p>
        </w:tc>
      </w:tr>
      <w:tr w:rsidR="0024404F" w:rsidRPr="00535DEB" w14:paraId="3AFB6EC0" w14:textId="77777777" w:rsidTr="004E34F6">
        <w:trPr>
          <w:trHeight w:val="530"/>
        </w:trPr>
        <w:tc>
          <w:tcPr>
            <w:tcW w:w="2263" w:type="dxa"/>
            <w:vAlign w:val="center"/>
            <w:hideMark/>
          </w:tcPr>
          <w:p w14:paraId="3DC886AA" w14:textId="77777777" w:rsidR="008C6B12" w:rsidRPr="00535DEB" w:rsidRDefault="008C6B12" w:rsidP="007D751C">
            <w:pPr>
              <w:spacing w:after="0" w:line="276" w:lineRule="auto"/>
              <w:jc w:val="left"/>
              <w:rPr>
                <w:noProof/>
                <w:color w:val="000000"/>
                <w:szCs w:val="24"/>
              </w:rPr>
            </w:pPr>
            <w:r w:rsidRPr="00535DEB">
              <w:rPr>
                <w:noProof/>
                <w:color w:val="000000"/>
              </w:rPr>
              <w:t>Fonds de la politique de cohésion 2021-2027 </w:t>
            </w:r>
          </w:p>
        </w:tc>
        <w:tc>
          <w:tcPr>
            <w:tcW w:w="1087" w:type="dxa"/>
            <w:vAlign w:val="center"/>
            <w:hideMark/>
          </w:tcPr>
          <w:p w14:paraId="50E2F6F5" w14:textId="3B3AD69B" w:rsidR="008C6B12" w:rsidRPr="00535DEB" w:rsidRDefault="008C6B12" w:rsidP="007D751C">
            <w:pPr>
              <w:spacing w:after="0" w:line="276" w:lineRule="auto"/>
              <w:jc w:val="center"/>
              <w:rPr>
                <w:noProof/>
                <w:color w:val="000000"/>
                <w:szCs w:val="24"/>
              </w:rPr>
            </w:pPr>
            <w:r w:rsidRPr="00535DEB">
              <w:rPr>
                <w:noProof/>
                <w:color w:val="000000"/>
              </w:rPr>
              <w:t>24 986</w:t>
            </w:r>
          </w:p>
        </w:tc>
        <w:tc>
          <w:tcPr>
            <w:tcW w:w="1465" w:type="dxa"/>
            <w:vAlign w:val="center"/>
            <w:hideMark/>
          </w:tcPr>
          <w:p w14:paraId="2E28EE9F" w14:textId="5B47CC74" w:rsidR="008C6B12" w:rsidRPr="00535DEB" w:rsidRDefault="008C6B12" w:rsidP="007D751C">
            <w:pPr>
              <w:spacing w:after="0" w:line="276" w:lineRule="auto"/>
              <w:jc w:val="center"/>
              <w:rPr>
                <w:noProof/>
                <w:color w:val="000000"/>
                <w:szCs w:val="24"/>
              </w:rPr>
            </w:pPr>
            <w:r w:rsidRPr="00535DEB">
              <w:rPr>
                <w:noProof/>
                <w:color w:val="000000"/>
              </w:rPr>
              <w:t>11 275</w:t>
            </w:r>
          </w:p>
        </w:tc>
        <w:tc>
          <w:tcPr>
            <w:tcW w:w="1417" w:type="dxa"/>
            <w:vAlign w:val="center"/>
            <w:hideMark/>
          </w:tcPr>
          <w:p w14:paraId="73570687" w14:textId="06FBD0E7" w:rsidR="008C6B12" w:rsidRPr="00535DEB" w:rsidRDefault="008C6B12" w:rsidP="007D751C">
            <w:pPr>
              <w:spacing w:after="0" w:line="276" w:lineRule="auto"/>
              <w:jc w:val="center"/>
              <w:rPr>
                <w:noProof/>
                <w:color w:val="000000"/>
                <w:szCs w:val="24"/>
                <w:lang w:eastAsia="en-IE"/>
              </w:rPr>
            </w:pPr>
          </w:p>
        </w:tc>
        <w:tc>
          <w:tcPr>
            <w:tcW w:w="1266" w:type="dxa"/>
            <w:vAlign w:val="center"/>
            <w:hideMark/>
          </w:tcPr>
          <w:p w14:paraId="6CA24ECB" w14:textId="6C7B574E" w:rsidR="008C6B12" w:rsidRPr="00535DEB" w:rsidRDefault="008C6B12" w:rsidP="007D751C">
            <w:pPr>
              <w:spacing w:after="0" w:line="276" w:lineRule="auto"/>
              <w:jc w:val="center"/>
              <w:rPr>
                <w:noProof/>
                <w:color w:val="000000"/>
                <w:szCs w:val="24"/>
              </w:rPr>
            </w:pPr>
            <w:r w:rsidRPr="00535DEB">
              <w:rPr>
                <w:noProof/>
                <w:color w:val="000000"/>
              </w:rPr>
              <w:t>1,5</w:t>
            </w:r>
          </w:p>
        </w:tc>
        <w:tc>
          <w:tcPr>
            <w:tcW w:w="1139" w:type="dxa"/>
            <w:noWrap/>
            <w:vAlign w:val="center"/>
            <w:hideMark/>
          </w:tcPr>
          <w:p w14:paraId="29B5B55D" w14:textId="1392855B" w:rsidR="008C6B12" w:rsidRPr="00535DEB" w:rsidRDefault="007F50DA" w:rsidP="007D751C">
            <w:pPr>
              <w:spacing w:after="0" w:line="276" w:lineRule="auto"/>
              <w:jc w:val="center"/>
              <w:rPr>
                <w:noProof/>
                <w:color w:val="000000"/>
                <w:szCs w:val="24"/>
              </w:rPr>
            </w:pPr>
            <w:r w:rsidRPr="00535DEB">
              <w:rPr>
                <w:noProof/>
                <w:color w:val="000000"/>
              </w:rPr>
              <w:t>s.o.</w:t>
            </w:r>
          </w:p>
        </w:tc>
      </w:tr>
      <w:tr w:rsidR="0024404F" w:rsidRPr="00535DEB" w14:paraId="1BDBEEE6" w14:textId="77777777" w:rsidTr="004E34F6">
        <w:trPr>
          <w:trHeight w:val="563"/>
        </w:trPr>
        <w:tc>
          <w:tcPr>
            <w:tcW w:w="2263" w:type="dxa"/>
            <w:vAlign w:val="center"/>
            <w:hideMark/>
          </w:tcPr>
          <w:p w14:paraId="5AD49DE8" w14:textId="0192B317" w:rsidR="008C6B12" w:rsidRPr="00535DEB" w:rsidRDefault="008C6B12" w:rsidP="007D751C">
            <w:pPr>
              <w:spacing w:after="0" w:line="276" w:lineRule="auto"/>
              <w:jc w:val="left"/>
              <w:rPr>
                <w:noProof/>
                <w:color w:val="000000"/>
                <w:szCs w:val="24"/>
              </w:rPr>
            </w:pPr>
            <w:r w:rsidRPr="00535DEB">
              <w:rPr>
                <w:noProof/>
                <w:color w:val="000000"/>
              </w:rPr>
              <w:t>Fonds de la politique agricole 2014-2022</w:t>
            </w:r>
          </w:p>
        </w:tc>
        <w:tc>
          <w:tcPr>
            <w:tcW w:w="1087" w:type="dxa"/>
            <w:vAlign w:val="center"/>
            <w:hideMark/>
          </w:tcPr>
          <w:p w14:paraId="29BAA52C" w14:textId="3CD06376" w:rsidR="008C6B12" w:rsidRPr="00535DEB" w:rsidRDefault="008C6B12" w:rsidP="007D751C">
            <w:pPr>
              <w:spacing w:after="0" w:line="276" w:lineRule="auto"/>
              <w:jc w:val="center"/>
              <w:rPr>
                <w:noProof/>
                <w:color w:val="000000"/>
                <w:szCs w:val="24"/>
              </w:rPr>
            </w:pPr>
            <w:r w:rsidRPr="00535DEB">
              <w:rPr>
                <w:noProof/>
                <w:color w:val="000000"/>
              </w:rPr>
              <w:t>710</w:t>
            </w:r>
          </w:p>
        </w:tc>
        <w:tc>
          <w:tcPr>
            <w:tcW w:w="1465" w:type="dxa"/>
            <w:vAlign w:val="center"/>
            <w:hideMark/>
          </w:tcPr>
          <w:p w14:paraId="785F654B" w14:textId="0ACC078D" w:rsidR="008C6B12" w:rsidRPr="00535DEB" w:rsidRDefault="008C6B12" w:rsidP="007D751C">
            <w:pPr>
              <w:spacing w:after="0" w:line="276" w:lineRule="auto"/>
              <w:jc w:val="center"/>
              <w:rPr>
                <w:noProof/>
                <w:color w:val="000000"/>
                <w:szCs w:val="24"/>
                <w:lang w:eastAsia="en-IE"/>
              </w:rPr>
            </w:pPr>
          </w:p>
        </w:tc>
        <w:tc>
          <w:tcPr>
            <w:tcW w:w="1417" w:type="dxa"/>
            <w:vAlign w:val="center"/>
            <w:hideMark/>
          </w:tcPr>
          <w:p w14:paraId="7EBDE60E" w14:textId="2D3A23C4" w:rsidR="008C6B12" w:rsidRPr="00535DEB" w:rsidRDefault="008C6B12" w:rsidP="007D751C">
            <w:pPr>
              <w:spacing w:after="0" w:line="276" w:lineRule="auto"/>
              <w:jc w:val="center"/>
              <w:rPr>
                <w:noProof/>
                <w:color w:val="000000"/>
                <w:szCs w:val="24"/>
              </w:rPr>
            </w:pPr>
            <w:r w:rsidRPr="00535DEB">
              <w:rPr>
                <w:noProof/>
                <w:color w:val="000000"/>
              </w:rPr>
              <w:t>1 695</w:t>
            </w:r>
          </w:p>
        </w:tc>
        <w:tc>
          <w:tcPr>
            <w:tcW w:w="1266" w:type="dxa"/>
            <w:vAlign w:val="center"/>
            <w:hideMark/>
          </w:tcPr>
          <w:p w14:paraId="562F9202" w14:textId="23DA7669" w:rsidR="008C6B12" w:rsidRPr="00535DEB" w:rsidRDefault="008C6B12" w:rsidP="007D751C">
            <w:pPr>
              <w:spacing w:after="0" w:line="276" w:lineRule="auto"/>
              <w:jc w:val="center"/>
              <w:rPr>
                <w:noProof/>
                <w:color w:val="000000"/>
                <w:szCs w:val="24"/>
                <w:lang w:eastAsia="en-IE"/>
              </w:rPr>
            </w:pPr>
          </w:p>
        </w:tc>
        <w:tc>
          <w:tcPr>
            <w:tcW w:w="1139" w:type="dxa"/>
            <w:noWrap/>
            <w:vAlign w:val="center"/>
            <w:hideMark/>
          </w:tcPr>
          <w:p w14:paraId="7A01385B" w14:textId="478C4621" w:rsidR="008C6B12" w:rsidRPr="00535DEB" w:rsidRDefault="008C6B12" w:rsidP="007D751C">
            <w:pPr>
              <w:spacing w:after="0" w:line="276" w:lineRule="auto"/>
              <w:jc w:val="center"/>
              <w:rPr>
                <w:noProof/>
                <w:color w:val="000000"/>
                <w:szCs w:val="24"/>
              </w:rPr>
            </w:pPr>
            <w:r w:rsidRPr="00535DEB">
              <w:rPr>
                <w:noProof/>
                <w:color w:val="000000"/>
              </w:rPr>
              <w:t>2,4</w:t>
            </w:r>
          </w:p>
        </w:tc>
      </w:tr>
      <w:tr w:rsidR="0024404F" w:rsidRPr="00535DEB" w14:paraId="771762C4" w14:textId="77777777" w:rsidTr="004E34F6">
        <w:trPr>
          <w:trHeight w:val="530"/>
        </w:trPr>
        <w:tc>
          <w:tcPr>
            <w:tcW w:w="2263" w:type="dxa"/>
            <w:vAlign w:val="center"/>
            <w:hideMark/>
          </w:tcPr>
          <w:p w14:paraId="5F68C080" w14:textId="77777777" w:rsidR="008C6B12" w:rsidRPr="00535DEB" w:rsidRDefault="008C6B12" w:rsidP="007D751C">
            <w:pPr>
              <w:spacing w:after="0" w:line="276" w:lineRule="auto"/>
              <w:jc w:val="left"/>
              <w:rPr>
                <w:noProof/>
                <w:color w:val="000000"/>
                <w:szCs w:val="24"/>
              </w:rPr>
            </w:pPr>
            <w:r w:rsidRPr="00535DEB">
              <w:rPr>
                <w:noProof/>
                <w:color w:val="000000"/>
              </w:rPr>
              <w:t>Facilité pour la reprise et la résilience </w:t>
            </w:r>
          </w:p>
        </w:tc>
        <w:tc>
          <w:tcPr>
            <w:tcW w:w="1087" w:type="dxa"/>
            <w:vAlign w:val="center"/>
            <w:hideMark/>
          </w:tcPr>
          <w:p w14:paraId="50ADCB43" w14:textId="167DCE31" w:rsidR="008C6B12" w:rsidRPr="00535DEB" w:rsidRDefault="008C6B12" w:rsidP="007D751C">
            <w:pPr>
              <w:spacing w:after="0" w:line="276" w:lineRule="auto"/>
              <w:jc w:val="center"/>
              <w:rPr>
                <w:noProof/>
                <w:color w:val="000000"/>
                <w:szCs w:val="24"/>
              </w:rPr>
            </w:pPr>
            <w:r w:rsidRPr="00535DEB">
              <w:rPr>
                <w:noProof/>
                <w:color w:val="000000"/>
              </w:rPr>
              <w:t>103 921</w:t>
            </w:r>
          </w:p>
        </w:tc>
        <w:tc>
          <w:tcPr>
            <w:tcW w:w="1465" w:type="dxa"/>
            <w:vAlign w:val="center"/>
            <w:hideMark/>
          </w:tcPr>
          <w:p w14:paraId="365B9E3C" w14:textId="2947F926" w:rsidR="008C6B12" w:rsidRPr="00535DEB" w:rsidRDefault="008C6B12" w:rsidP="007D751C">
            <w:pPr>
              <w:spacing w:after="0" w:line="276" w:lineRule="auto"/>
              <w:jc w:val="center"/>
              <w:rPr>
                <w:noProof/>
                <w:color w:val="000000"/>
                <w:szCs w:val="24"/>
                <w:lang w:eastAsia="en-IE"/>
              </w:rPr>
            </w:pPr>
          </w:p>
        </w:tc>
        <w:tc>
          <w:tcPr>
            <w:tcW w:w="1417" w:type="dxa"/>
            <w:vAlign w:val="center"/>
            <w:hideMark/>
          </w:tcPr>
          <w:p w14:paraId="73D235EA" w14:textId="171CBFE8" w:rsidR="008C6B12" w:rsidRPr="00535DEB" w:rsidRDefault="008C6B12" w:rsidP="007D751C">
            <w:pPr>
              <w:spacing w:after="0" w:line="276" w:lineRule="auto"/>
              <w:jc w:val="center"/>
              <w:rPr>
                <w:noProof/>
                <w:color w:val="000000"/>
                <w:szCs w:val="24"/>
                <w:lang w:eastAsia="en-IE"/>
              </w:rPr>
            </w:pPr>
          </w:p>
        </w:tc>
        <w:tc>
          <w:tcPr>
            <w:tcW w:w="1266" w:type="dxa"/>
            <w:vAlign w:val="center"/>
            <w:hideMark/>
          </w:tcPr>
          <w:p w14:paraId="626B5535" w14:textId="0AA9C3EA" w:rsidR="008C6B12" w:rsidRPr="00535DEB" w:rsidRDefault="008C6B12" w:rsidP="007D751C">
            <w:pPr>
              <w:spacing w:after="0" w:line="276" w:lineRule="auto"/>
              <w:jc w:val="center"/>
              <w:rPr>
                <w:noProof/>
                <w:color w:val="000000"/>
                <w:szCs w:val="24"/>
                <w:lang w:eastAsia="en-IE"/>
              </w:rPr>
            </w:pPr>
          </w:p>
        </w:tc>
        <w:tc>
          <w:tcPr>
            <w:tcW w:w="1139" w:type="dxa"/>
            <w:noWrap/>
            <w:vAlign w:val="center"/>
            <w:hideMark/>
          </w:tcPr>
          <w:p w14:paraId="4AB0AE31" w14:textId="69C4014C" w:rsidR="008C6B12" w:rsidRPr="00535DEB" w:rsidRDefault="007A2C3E" w:rsidP="007D751C">
            <w:pPr>
              <w:spacing w:after="0" w:line="276" w:lineRule="auto"/>
              <w:jc w:val="center"/>
              <w:rPr>
                <w:noProof/>
                <w:color w:val="000000"/>
                <w:szCs w:val="24"/>
              </w:rPr>
            </w:pPr>
            <w:r w:rsidRPr="00535DEB">
              <w:rPr>
                <w:noProof/>
                <w:color w:val="000000"/>
              </w:rPr>
              <w:t>s.o.</w:t>
            </w:r>
          </w:p>
        </w:tc>
      </w:tr>
      <w:tr w:rsidR="0024404F" w:rsidRPr="00535DEB" w14:paraId="2742A4C4" w14:textId="77777777" w:rsidTr="004E34F6">
        <w:trPr>
          <w:trHeight w:val="300"/>
        </w:trPr>
        <w:tc>
          <w:tcPr>
            <w:tcW w:w="2263" w:type="dxa"/>
            <w:vAlign w:val="center"/>
            <w:hideMark/>
          </w:tcPr>
          <w:p w14:paraId="5734F8A8" w14:textId="77777777" w:rsidR="008C6B12" w:rsidRPr="00535DEB" w:rsidRDefault="008C6B12" w:rsidP="007D751C">
            <w:pPr>
              <w:spacing w:after="0" w:line="276" w:lineRule="auto"/>
              <w:jc w:val="left"/>
              <w:rPr>
                <w:noProof/>
                <w:color w:val="000000"/>
                <w:szCs w:val="24"/>
              </w:rPr>
            </w:pPr>
            <w:r w:rsidRPr="00535DEB">
              <w:rPr>
                <w:noProof/>
                <w:color w:val="000000"/>
              </w:rPr>
              <w:t>Fonds pour la modernisation </w:t>
            </w:r>
          </w:p>
        </w:tc>
        <w:tc>
          <w:tcPr>
            <w:tcW w:w="1087" w:type="dxa"/>
            <w:vAlign w:val="center"/>
            <w:hideMark/>
          </w:tcPr>
          <w:p w14:paraId="26341DD3" w14:textId="06FCC65A" w:rsidR="008C6B12" w:rsidRPr="00535DEB" w:rsidRDefault="008C6B12" w:rsidP="007D751C">
            <w:pPr>
              <w:spacing w:after="0" w:line="276" w:lineRule="auto"/>
              <w:jc w:val="center"/>
              <w:rPr>
                <w:noProof/>
                <w:color w:val="000000"/>
                <w:szCs w:val="24"/>
              </w:rPr>
            </w:pPr>
            <w:r w:rsidRPr="00535DEB">
              <w:rPr>
                <w:noProof/>
                <w:color w:val="000000"/>
              </w:rPr>
              <w:t>3 085</w:t>
            </w:r>
          </w:p>
        </w:tc>
        <w:tc>
          <w:tcPr>
            <w:tcW w:w="1465" w:type="dxa"/>
            <w:vAlign w:val="center"/>
            <w:hideMark/>
          </w:tcPr>
          <w:p w14:paraId="3868E47F" w14:textId="492DEFC9" w:rsidR="008C6B12" w:rsidRPr="00535DEB" w:rsidRDefault="008C6B12" w:rsidP="007D751C">
            <w:pPr>
              <w:spacing w:after="0" w:line="276" w:lineRule="auto"/>
              <w:jc w:val="center"/>
              <w:rPr>
                <w:noProof/>
                <w:color w:val="000000"/>
                <w:szCs w:val="24"/>
                <w:lang w:eastAsia="en-IE"/>
              </w:rPr>
            </w:pPr>
          </w:p>
        </w:tc>
        <w:tc>
          <w:tcPr>
            <w:tcW w:w="1417" w:type="dxa"/>
            <w:vAlign w:val="center"/>
            <w:hideMark/>
          </w:tcPr>
          <w:p w14:paraId="2B12A27F" w14:textId="44FAED6A" w:rsidR="008C6B12" w:rsidRPr="00535DEB" w:rsidRDefault="008C6B12" w:rsidP="007D751C">
            <w:pPr>
              <w:spacing w:after="0" w:line="276" w:lineRule="auto"/>
              <w:jc w:val="center"/>
              <w:rPr>
                <w:noProof/>
                <w:color w:val="000000"/>
                <w:szCs w:val="24"/>
                <w:lang w:eastAsia="en-IE"/>
              </w:rPr>
            </w:pPr>
          </w:p>
        </w:tc>
        <w:tc>
          <w:tcPr>
            <w:tcW w:w="1266" w:type="dxa"/>
            <w:vAlign w:val="center"/>
            <w:hideMark/>
          </w:tcPr>
          <w:p w14:paraId="04F0AB1F" w14:textId="2DCD9D49" w:rsidR="008C6B12" w:rsidRPr="00535DEB" w:rsidRDefault="008C6B12" w:rsidP="007D751C">
            <w:pPr>
              <w:spacing w:after="0" w:line="276" w:lineRule="auto"/>
              <w:jc w:val="center"/>
              <w:rPr>
                <w:noProof/>
                <w:color w:val="000000"/>
                <w:szCs w:val="24"/>
                <w:lang w:eastAsia="en-IE"/>
              </w:rPr>
            </w:pPr>
          </w:p>
        </w:tc>
        <w:tc>
          <w:tcPr>
            <w:tcW w:w="1139" w:type="dxa"/>
            <w:noWrap/>
            <w:vAlign w:val="center"/>
            <w:hideMark/>
          </w:tcPr>
          <w:p w14:paraId="1FE17498" w14:textId="70975C3F" w:rsidR="008C6B12" w:rsidRPr="00535DEB" w:rsidRDefault="007A2C3E" w:rsidP="007D751C">
            <w:pPr>
              <w:spacing w:after="0" w:line="276" w:lineRule="auto"/>
              <w:jc w:val="center"/>
              <w:rPr>
                <w:noProof/>
                <w:color w:val="000000"/>
                <w:szCs w:val="24"/>
              </w:rPr>
            </w:pPr>
            <w:r w:rsidRPr="00535DEB">
              <w:rPr>
                <w:noProof/>
                <w:color w:val="000000"/>
              </w:rPr>
              <w:t>s.o.</w:t>
            </w:r>
          </w:p>
        </w:tc>
      </w:tr>
      <w:tr w:rsidR="0024404F" w:rsidRPr="00535DEB" w14:paraId="3C58B6A6" w14:textId="77777777" w:rsidTr="004E34F6">
        <w:trPr>
          <w:trHeight w:val="530"/>
        </w:trPr>
        <w:tc>
          <w:tcPr>
            <w:tcW w:w="2263" w:type="dxa"/>
            <w:vAlign w:val="center"/>
            <w:hideMark/>
          </w:tcPr>
          <w:p w14:paraId="42B7B9DC" w14:textId="77777777" w:rsidR="008C6B12" w:rsidRPr="00535DEB" w:rsidRDefault="008C6B12" w:rsidP="007D751C">
            <w:pPr>
              <w:spacing w:after="0" w:line="276" w:lineRule="auto"/>
              <w:jc w:val="left"/>
              <w:rPr>
                <w:noProof/>
                <w:color w:val="000000"/>
                <w:szCs w:val="24"/>
              </w:rPr>
            </w:pPr>
            <w:r w:rsidRPr="00535DEB">
              <w:rPr>
                <w:noProof/>
                <w:color w:val="000000"/>
              </w:rPr>
              <w:t>LIFE TEP (appels 2021 et 2022)</w:t>
            </w:r>
          </w:p>
        </w:tc>
        <w:tc>
          <w:tcPr>
            <w:tcW w:w="1087" w:type="dxa"/>
            <w:vAlign w:val="center"/>
            <w:hideMark/>
          </w:tcPr>
          <w:p w14:paraId="1D6211C7" w14:textId="6DC2BC4F" w:rsidR="008C6B12" w:rsidRPr="00535DEB" w:rsidRDefault="008C6B12" w:rsidP="007D751C">
            <w:pPr>
              <w:spacing w:after="0" w:line="276" w:lineRule="auto"/>
              <w:jc w:val="center"/>
              <w:rPr>
                <w:noProof/>
                <w:color w:val="000000"/>
                <w:szCs w:val="24"/>
              </w:rPr>
            </w:pPr>
            <w:r w:rsidRPr="00535DEB">
              <w:rPr>
                <w:noProof/>
                <w:color w:val="000000"/>
              </w:rPr>
              <w:t>216</w:t>
            </w:r>
          </w:p>
        </w:tc>
        <w:tc>
          <w:tcPr>
            <w:tcW w:w="1465" w:type="dxa"/>
            <w:vAlign w:val="center"/>
            <w:hideMark/>
          </w:tcPr>
          <w:p w14:paraId="5650C580" w14:textId="0254C8B7" w:rsidR="008C6B12" w:rsidRPr="00535DEB" w:rsidRDefault="008C6B12" w:rsidP="007D751C">
            <w:pPr>
              <w:spacing w:after="0" w:line="276" w:lineRule="auto"/>
              <w:jc w:val="center"/>
              <w:rPr>
                <w:noProof/>
                <w:color w:val="000000"/>
                <w:szCs w:val="24"/>
                <w:lang w:eastAsia="en-IE"/>
              </w:rPr>
            </w:pPr>
          </w:p>
        </w:tc>
        <w:tc>
          <w:tcPr>
            <w:tcW w:w="1417" w:type="dxa"/>
            <w:vAlign w:val="center"/>
            <w:hideMark/>
          </w:tcPr>
          <w:p w14:paraId="73B5A0E7" w14:textId="76ABEC49" w:rsidR="008C6B12" w:rsidRPr="00535DEB" w:rsidRDefault="008C6B12" w:rsidP="007D751C">
            <w:pPr>
              <w:spacing w:after="0" w:line="276" w:lineRule="auto"/>
              <w:jc w:val="center"/>
              <w:rPr>
                <w:noProof/>
                <w:color w:val="000000"/>
                <w:szCs w:val="24"/>
              </w:rPr>
            </w:pPr>
            <w:r w:rsidRPr="00535DEB">
              <w:rPr>
                <w:noProof/>
                <w:color w:val="000000"/>
              </w:rPr>
              <w:t>8 640</w:t>
            </w:r>
          </w:p>
        </w:tc>
        <w:tc>
          <w:tcPr>
            <w:tcW w:w="1266" w:type="dxa"/>
            <w:vAlign w:val="center"/>
            <w:hideMark/>
          </w:tcPr>
          <w:p w14:paraId="19EAC338" w14:textId="4417B29D" w:rsidR="008C6B12" w:rsidRPr="00535DEB" w:rsidRDefault="008C6B12" w:rsidP="007D751C">
            <w:pPr>
              <w:spacing w:after="0" w:line="276" w:lineRule="auto"/>
              <w:jc w:val="center"/>
              <w:rPr>
                <w:noProof/>
                <w:color w:val="000000"/>
                <w:szCs w:val="24"/>
                <w:lang w:eastAsia="en-IE"/>
              </w:rPr>
            </w:pPr>
          </w:p>
        </w:tc>
        <w:tc>
          <w:tcPr>
            <w:tcW w:w="1139" w:type="dxa"/>
            <w:noWrap/>
            <w:vAlign w:val="center"/>
            <w:hideMark/>
          </w:tcPr>
          <w:p w14:paraId="5E4FF436" w14:textId="6A76F28A" w:rsidR="008C6B12" w:rsidRPr="00535DEB" w:rsidRDefault="008C6B12" w:rsidP="007D751C">
            <w:pPr>
              <w:spacing w:after="0" w:line="276" w:lineRule="auto"/>
              <w:jc w:val="center"/>
              <w:rPr>
                <w:noProof/>
                <w:color w:val="000000"/>
                <w:szCs w:val="24"/>
              </w:rPr>
            </w:pPr>
            <w:r w:rsidRPr="00535DEB">
              <w:rPr>
                <w:noProof/>
                <w:color w:val="000000"/>
              </w:rPr>
              <w:t>40,0</w:t>
            </w:r>
          </w:p>
        </w:tc>
      </w:tr>
      <w:tr w:rsidR="0024404F" w:rsidRPr="00535DEB" w14:paraId="7EF3C7EF" w14:textId="77777777" w:rsidTr="004E34F6">
        <w:trPr>
          <w:trHeight w:val="300"/>
        </w:trPr>
        <w:tc>
          <w:tcPr>
            <w:tcW w:w="2263" w:type="dxa"/>
            <w:vAlign w:val="center"/>
            <w:hideMark/>
          </w:tcPr>
          <w:p w14:paraId="3263E1E3" w14:textId="77777777" w:rsidR="008C6B12" w:rsidRPr="00535DEB" w:rsidRDefault="008C6B12" w:rsidP="007D751C">
            <w:pPr>
              <w:spacing w:after="0" w:line="276" w:lineRule="auto"/>
              <w:jc w:val="left"/>
              <w:rPr>
                <w:noProof/>
                <w:color w:val="000000"/>
                <w:szCs w:val="24"/>
              </w:rPr>
            </w:pPr>
            <w:r w:rsidRPr="00535DEB">
              <w:rPr>
                <w:noProof/>
                <w:color w:val="000000"/>
              </w:rPr>
              <w:t>ELENA </w:t>
            </w:r>
          </w:p>
        </w:tc>
        <w:tc>
          <w:tcPr>
            <w:tcW w:w="1087" w:type="dxa"/>
            <w:vAlign w:val="center"/>
            <w:hideMark/>
          </w:tcPr>
          <w:p w14:paraId="3CDD844D" w14:textId="62BF24B3" w:rsidR="008C6B12" w:rsidRPr="00535DEB" w:rsidRDefault="008C6B12" w:rsidP="007D751C">
            <w:pPr>
              <w:spacing w:after="0" w:line="276" w:lineRule="auto"/>
              <w:jc w:val="center"/>
              <w:rPr>
                <w:noProof/>
                <w:color w:val="000000"/>
                <w:szCs w:val="24"/>
              </w:rPr>
            </w:pPr>
            <w:r w:rsidRPr="00535DEB">
              <w:rPr>
                <w:noProof/>
                <w:color w:val="000000"/>
              </w:rPr>
              <w:t>295</w:t>
            </w:r>
          </w:p>
        </w:tc>
        <w:tc>
          <w:tcPr>
            <w:tcW w:w="1465" w:type="dxa"/>
            <w:vAlign w:val="center"/>
            <w:hideMark/>
          </w:tcPr>
          <w:p w14:paraId="192958B7" w14:textId="09A4CE07" w:rsidR="008C6B12" w:rsidRPr="00535DEB" w:rsidRDefault="008C6B12" w:rsidP="007D751C">
            <w:pPr>
              <w:spacing w:after="0" w:line="276" w:lineRule="auto"/>
              <w:jc w:val="center"/>
              <w:rPr>
                <w:noProof/>
                <w:color w:val="000000"/>
                <w:szCs w:val="24"/>
                <w:lang w:eastAsia="en-IE"/>
              </w:rPr>
            </w:pPr>
          </w:p>
        </w:tc>
        <w:tc>
          <w:tcPr>
            <w:tcW w:w="1417" w:type="dxa"/>
            <w:vAlign w:val="center"/>
            <w:hideMark/>
          </w:tcPr>
          <w:p w14:paraId="623D16AE" w14:textId="6C9B9B34" w:rsidR="008C6B12" w:rsidRPr="00535DEB" w:rsidRDefault="008C6B12" w:rsidP="007D751C">
            <w:pPr>
              <w:spacing w:after="0" w:line="276" w:lineRule="auto"/>
              <w:jc w:val="center"/>
              <w:rPr>
                <w:noProof/>
                <w:color w:val="000000"/>
                <w:szCs w:val="24"/>
              </w:rPr>
            </w:pPr>
            <w:r w:rsidRPr="00535DEB">
              <w:rPr>
                <w:noProof/>
                <w:color w:val="000000"/>
              </w:rPr>
              <w:t>9 662</w:t>
            </w:r>
          </w:p>
        </w:tc>
        <w:tc>
          <w:tcPr>
            <w:tcW w:w="1266" w:type="dxa"/>
            <w:vAlign w:val="center"/>
            <w:hideMark/>
          </w:tcPr>
          <w:p w14:paraId="5C9C05DF" w14:textId="5C2C1A9C" w:rsidR="008C6B12" w:rsidRPr="00535DEB" w:rsidRDefault="008C6B12" w:rsidP="007D751C">
            <w:pPr>
              <w:spacing w:after="0" w:line="276" w:lineRule="auto"/>
              <w:jc w:val="center"/>
              <w:rPr>
                <w:noProof/>
                <w:color w:val="000000"/>
                <w:szCs w:val="24"/>
                <w:lang w:eastAsia="en-IE"/>
              </w:rPr>
            </w:pPr>
          </w:p>
        </w:tc>
        <w:tc>
          <w:tcPr>
            <w:tcW w:w="1139" w:type="dxa"/>
            <w:noWrap/>
            <w:vAlign w:val="center"/>
            <w:hideMark/>
          </w:tcPr>
          <w:p w14:paraId="689A3518" w14:textId="41D155E2" w:rsidR="008C6B12" w:rsidRPr="00535DEB" w:rsidRDefault="008C6B12" w:rsidP="007D751C">
            <w:pPr>
              <w:spacing w:after="0" w:line="276" w:lineRule="auto"/>
              <w:jc w:val="center"/>
              <w:rPr>
                <w:noProof/>
                <w:color w:val="000000"/>
                <w:szCs w:val="24"/>
              </w:rPr>
            </w:pPr>
            <w:r w:rsidRPr="00535DEB">
              <w:rPr>
                <w:noProof/>
                <w:color w:val="000000"/>
              </w:rPr>
              <w:t>32,8</w:t>
            </w:r>
          </w:p>
        </w:tc>
      </w:tr>
      <w:tr w:rsidR="0024404F" w:rsidRPr="00535DEB" w14:paraId="784B4A08" w14:textId="77777777" w:rsidTr="004E34F6">
        <w:trPr>
          <w:trHeight w:val="300"/>
        </w:trPr>
        <w:tc>
          <w:tcPr>
            <w:tcW w:w="2263" w:type="dxa"/>
            <w:vAlign w:val="center"/>
            <w:hideMark/>
          </w:tcPr>
          <w:p w14:paraId="694A2371" w14:textId="77777777" w:rsidR="008C6B12" w:rsidRPr="00535DEB" w:rsidRDefault="008C6B12" w:rsidP="007D751C">
            <w:pPr>
              <w:spacing w:after="0" w:line="276" w:lineRule="auto"/>
              <w:jc w:val="left"/>
              <w:rPr>
                <w:noProof/>
                <w:color w:val="000000"/>
                <w:szCs w:val="24"/>
              </w:rPr>
            </w:pPr>
            <w:r w:rsidRPr="00535DEB">
              <w:rPr>
                <w:noProof/>
                <w:color w:val="000000"/>
              </w:rPr>
              <w:t>EFSI </w:t>
            </w:r>
          </w:p>
        </w:tc>
        <w:tc>
          <w:tcPr>
            <w:tcW w:w="1087" w:type="dxa"/>
            <w:vAlign w:val="center"/>
            <w:hideMark/>
          </w:tcPr>
          <w:p w14:paraId="5C3E9D8F" w14:textId="06EDC525" w:rsidR="008C6B12" w:rsidRPr="00535DEB" w:rsidRDefault="008C6B12" w:rsidP="007D751C">
            <w:pPr>
              <w:spacing w:after="0" w:line="276" w:lineRule="auto"/>
              <w:jc w:val="center"/>
              <w:rPr>
                <w:noProof/>
                <w:color w:val="000000"/>
                <w:szCs w:val="24"/>
              </w:rPr>
            </w:pPr>
            <w:r w:rsidRPr="00535DEB">
              <w:rPr>
                <w:noProof/>
                <w:color w:val="000000"/>
              </w:rPr>
              <w:t>1 624</w:t>
            </w:r>
          </w:p>
        </w:tc>
        <w:tc>
          <w:tcPr>
            <w:tcW w:w="1465" w:type="dxa"/>
            <w:vAlign w:val="center"/>
            <w:hideMark/>
          </w:tcPr>
          <w:p w14:paraId="692F6C49" w14:textId="1280A935" w:rsidR="008C6B12" w:rsidRPr="00535DEB" w:rsidRDefault="008C6B12" w:rsidP="007D751C">
            <w:pPr>
              <w:spacing w:after="0" w:line="276" w:lineRule="auto"/>
              <w:jc w:val="center"/>
              <w:rPr>
                <w:noProof/>
                <w:color w:val="000000"/>
                <w:szCs w:val="24"/>
                <w:lang w:eastAsia="en-IE"/>
              </w:rPr>
            </w:pPr>
          </w:p>
        </w:tc>
        <w:tc>
          <w:tcPr>
            <w:tcW w:w="1417" w:type="dxa"/>
            <w:vAlign w:val="center"/>
            <w:hideMark/>
          </w:tcPr>
          <w:p w14:paraId="5B5A1797" w14:textId="24277C9A" w:rsidR="008C6B12" w:rsidRPr="00535DEB" w:rsidRDefault="008C6B12" w:rsidP="007D751C">
            <w:pPr>
              <w:spacing w:after="0" w:line="276" w:lineRule="auto"/>
              <w:jc w:val="center"/>
              <w:rPr>
                <w:noProof/>
                <w:color w:val="000000"/>
                <w:szCs w:val="24"/>
              </w:rPr>
            </w:pPr>
            <w:r w:rsidRPr="00535DEB">
              <w:rPr>
                <w:noProof/>
                <w:color w:val="000000"/>
              </w:rPr>
              <w:t>25 400</w:t>
            </w:r>
          </w:p>
        </w:tc>
        <w:tc>
          <w:tcPr>
            <w:tcW w:w="1266" w:type="dxa"/>
            <w:vAlign w:val="center"/>
            <w:hideMark/>
          </w:tcPr>
          <w:p w14:paraId="2A47EB5A" w14:textId="2305A9E4" w:rsidR="008C6B12" w:rsidRPr="00535DEB" w:rsidRDefault="008C6B12" w:rsidP="007D751C">
            <w:pPr>
              <w:spacing w:after="0" w:line="276" w:lineRule="auto"/>
              <w:jc w:val="center"/>
              <w:rPr>
                <w:noProof/>
                <w:color w:val="000000"/>
                <w:szCs w:val="24"/>
                <w:lang w:eastAsia="en-IE"/>
              </w:rPr>
            </w:pPr>
          </w:p>
        </w:tc>
        <w:tc>
          <w:tcPr>
            <w:tcW w:w="1139" w:type="dxa"/>
            <w:noWrap/>
            <w:vAlign w:val="center"/>
            <w:hideMark/>
          </w:tcPr>
          <w:p w14:paraId="241C99F6" w14:textId="71F4A2B2" w:rsidR="008C6B12" w:rsidRPr="00535DEB" w:rsidRDefault="008C6B12" w:rsidP="007D751C">
            <w:pPr>
              <w:spacing w:after="0" w:line="276" w:lineRule="auto"/>
              <w:jc w:val="center"/>
              <w:rPr>
                <w:noProof/>
                <w:color w:val="000000"/>
                <w:szCs w:val="24"/>
              </w:rPr>
            </w:pPr>
            <w:r w:rsidRPr="00535DEB">
              <w:rPr>
                <w:noProof/>
                <w:color w:val="000000"/>
              </w:rPr>
              <w:t>15,6</w:t>
            </w:r>
          </w:p>
        </w:tc>
      </w:tr>
      <w:tr w:rsidR="0024404F" w:rsidRPr="00535DEB" w14:paraId="5A624C42" w14:textId="77777777" w:rsidTr="004E34F6">
        <w:trPr>
          <w:trHeight w:val="300"/>
        </w:trPr>
        <w:tc>
          <w:tcPr>
            <w:tcW w:w="2263" w:type="dxa"/>
            <w:vAlign w:val="center"/>
            <w:hideMark/>
          </w:tcPr>
          <w:p w14:paraId="7B6402AC" w14:textId="77777777" w:rsidR="008C6B12" w:rsidRPr="00535DEB" w:rsidRDefault="008C6B12" w:rsidP="007D751C">
            <w:pPr>
              <w:spacing w:after="0" w:line="276" w:lineRule="auto"/>
              <w:jc w:val="left"/>
              <w:rPr>
                <w:noProof/>
                <w:color w:val="000000"/>
                <w:szCs w:val="24"/>
              </w:rPr>
            </w:pPr>
            <w:r w:rsidRPr="00535DEB">
              <w:rPr>
                <w:noProof/>
                <w:color w:val="000000"/>
              </w:rPr>
              <w:t>InvestEU </w:t>
            </w:r>
          </w:p>
        </w:tc>
        <w:tc>
          <w:tcPr>
            <w:tcW w:w="1087" w:type="dxa"/>
            <w:vAlign w:val="center"/>
            <w:hideMark/>
          </w:tcPr>
          <w:p w14:paraId="46C784BC" w14:textId="5EA14C7D" w:rsidR="008C6B12" w:rsidRPr="00535DEB" w:rsidRDefault="008C6B12" w:rsidP="007D751C">
            <w:pPr>
              <w:spacing w:after="0" w:line="276" w:lineRule="auto"/>
              <w:jc w:val="center"/>
              <w:rPr>
                <w:noProof/>
                <w:color w:val="000000"/>
                <w:szCs w:val="24"/>
              </w:rPr>
            </w:pPr>
            <w:r w:rsidRPr="00535DEB">
              <w:rPr>
                <w:noProof/>
                <w:color w:val="000000"/>
              </w:rPr>
              <w:t>624</w:t>
            </w:r>
          </w:p>
        </w:tc>
        <w:tc>
          <w:tcPr>
            <w:tcW w:w="1465" w:type="dxa"/>
            <w:vAlign w:val="center"/>
            <w:hideMark/>
          </w:tcPr>
          <w:p w14:paraId="6F3BEAB3" w14:textId="6CE8055F" w:rsidR="008C6B12" w:rsidRPr="00535DEB" w:rsidRDefault="008C6B12" w:rsidP="007D751C">
            <w:pPr>
              <w:spacing w:after="0" w:line="276" w:lineRule="auto"/>
              <w:jc w:val="center"/>
              <w:rPr>
                <w:noProof/>
                <w:color w:val="000000"/>
                <w:szCs w:val="24"/>
                <w:lang w:eastAsia="en-IE"/>
              </w:rPr>
            </w:pPr>
          </w:p>
        </w:tc>
        <w:tc>
          <w:tcPr>
            <w:tcW w:w="1417" w:type="dxa"/>
            <w:vAlign w:val="center"/>
            <w:hideMark/>
          </w:tcPr>
          <w:p w14:paraId="68A7BD07" w14:textId="1B5F7367" w:rsidR="008C6B12" w:rsidRPr="00535DEB" w:rsidRDefault="008C6B12" w:rsidP="007D751C">
            <w:pPr>
              <w:spacing w:after="0" w:line="276" w:lineRule="auto"/>
              <w:jc w:val="center"/>
              <w:rPr>
                <w:noProof/>
                <w:color w:val="000000"/>
                <w:szCs w:val="24"/>
              </w:rPr>
            </w:pPr>
            <w:r w:rsidRPr="00535DEB">
              <w:rPr>
                <w:noProof/>
                <w:color w:val="000000"/>
              </w:rPr>
              <w:t>9 915</w:t>
            </w:r>
          </w:p>
        </w:tc>
        <w:tc>
          <w:tcPr>
            <w:tcW w:w="1266" w:type="dxa"/>
            <w:vAlign w:val="center"/>
            <w:hideMark/>
          </w:tcPr>
          <w:p w14:paraId="060B93E2" w14:textId="2B5353CA" w:rsidR="008C6B12" w:rsidRPr="00535DEB" w:rsidRDefault="008C6B12" w:rsidP="007D751C">
            <w:pPr>
              <w:spacing w:after="0" w:line="276" w:lineRule="auto"/>
              <w:jc w:val="center"/>
              <w:rPr>
                <w:noProof/>
                <w:color w:val="000000"/>
                <w:szCs w:val="24"/>
                <w:lang w:eastAsia="en-IE"/>
              </w:rPr>
            </w:pPr>
          </w:p>
        </w:tc>
        <w:tc>
          <w:tcPr>
            <w:tcW w:w="1139" w:type="dxa"/>
            <w:noWrap/>
            <w:vAlign w:val="center"/>
            <w:hideMark/>
          </w:tcPr>
          <w:p w14:paraId="0534EC85" w14:textId="3C7E132D" w:rsidR="008C6B12" w:rsidRPr="00535DEB" w:rsidRDefault="008C6B12" w:rsidP="007D751C">
            <w:pPr>
              <w:spacing w:after="0" w:line="276" w:lineRule="auto"/>
              <w:jc w:val="center"/>
              <w:rPr>
                <w:noProof/>
                <w:color w:val="000000"/>
                <w:szCs w:val="24"/>
              </w:rPr>
            </w:pPr>
            <w:r w:rsidRPr="00535DEB">
              <w:rPr>
                <w:noProof/>
                <w:color w:val="000000"/>
              </w:rPr>
              <w:t>15,9</w:t>
            </w:r>
          </w:p>
        </w:tc>
      </w:tr>
    </w:tbl>
    <w:p w14:paraId="2A742FE3" w14:textId="128B47F2" w:rsidR="00EC50D2" w:rsidRPr="00535DEB" w:rsidRDefault="003E00DB" w:rsidP="007D751C">
      <w:pPr>
        <w:pStyle w:val="Text2"/>
        <w:spacing w:line="276" w:lineRule="auto"/>
        <w:ind w:left="0"/>
        <w:rPr>
          <w:noProof/>
          <w:sz w:val="20"/>
        </w:rPr>
      </w:pPr>
      <w:r w:rsidRPr="00535DEB">
        <w:rPr>
          <w:noProof/>
          <w:sz w:val="20"/>
        </w:rPr>
        <w:t>Source: Commission européenne, 2024 et 2025.</w:t>
      </w:r>
    </w:p>
    <w:p w14:paraId="318E00C6" w14:textId="66CDE444" w:rsidR="005C7B3A" w:rsidRPr="00535DEB" w:rsidRDefault="30FCA95D" w:rsidP="007D751C">
      <w:pPr>
        <w:pStyle w:val="Text2"/>
        <w:spacing w:line="276" w:lineRule="auto"/>
        <w:ind w:left="0"/>
        <w:rPr>
          <w:noProof/>
        </w:rPr>
      </w:pPr>
      <w:r w:rsidRPr="00535DEB">
        <w:rPr>
          <w:b/>
          <w:noProof/>
        </w:rPr>
        <w:t>Les programmes de l’UE qui bénéficient d’une part importante de subventions ont un effet de levier limité sur l’efficacité énergétique.</w:t>
      </w:r>
      <w:r w:rsidRPr="00535DEB">
        <w:rPr>
          <w:noProof/>
        </w:rPr>
        <w:t xml:space="preserve"> L’effet de levier des fonds de la politique de cohésion est inférieur à 1,5, ce qui signifie que chaque euro du budget de l’Union donne lieu à 50 centimes supplémentaires de cofinancement national. Le multiplicateur total ne peut pas être calculé, car il n’est pas possible de donner une valeur agrégée pour les investissements totaux qui englobe le financement privé.</w:t>
      </w:r>
    </w:p>
    <w:p w14:paraId="423A0ACC" w14:textId="5120C9EE" w:rsidR="30FCA95D" w:rsidRPr="00535DEB" w:rsidRDefault="005D19A0" w:rsidP="007D751C">
      <w:pPr>
        <w:pStyle w:val="Text2"/>
        <w:spacing w:line="276" w:lineRule="auto"/>
        <w:ind w:left="0"/>
        <w:rPr>
          <w:noProof/>
        </w:rPr>
      </w:pPr>
      <w:r w:rsidRPr="00535DEB">
        <w:rPr>
          <w:noProof/>
        </w:rPr>
        <w:t>En ce qui concerne les fonds agricoles, le multiplicateur total est estimé à 2,4 pour la période 2014-2022. Le multiplicateur de la FRR et du Fonds pour la modernisation est difficile à estimer en raison du manque de données, mais comme la plupart des fonds nationaux ne couvrent qu’une partie de l’investissement total (de 20 % à 100 %), le multiplicateur public total peut donc être estimé entre 2 et 3.</w:t>
      </w:r>
    </w:p>
    <w:p w14:paraId="5609FDB1" w14:textId="7DBE7FB4" w:rsidR="005C7B3A" w:rsidRPr="00535DEB" w:rsidRDefault="64590605" w:rsidP="008C0B65">
      <w:pPr>
        <w:spacing w:after="120"/>
        <w:textAlignment w:val="baseline"/>
        <w:rPr>
          <w:noProof/>
        </w:rPr>
      </w:pPr>
      <w:r w:rsidRPr="00535DEB">
        <w:rPr>
          <w:b/>
          <w:noProof/>
        </w:rPr>
        <w:t>Les fonds de la politique de cohésion encouragent l’utilisation d’instruments financiers, avec des résultats avérés.</w:t>
      </w:r>
      <w:r w:rsidRPr="00535DEB">
        <w:rPr>
          <w:noProof/>
        </w:rPr>
        <w:t xml:space="preserve"> Dans le cadre du CFP actuel, 18,5 milliards d’EUR ont été affectés aux instruments financiers, dont 24 % pour des investissements dans l’efficacité énergétique (4,3 milliards d’EUR). Bien que la catégorisation des postes de dépenses diffère entre les deux périodes du CFP, ces chiffres signifient que les dotations du fonds de cohésion pour les instruments financiers ont presque triplé par rapport à la période 2014-2020 (1,6 milliard d’EUR)</w:t>
      </w:r>
      <w:r w:rsidRPr="00535DEB">
        <w:rPr>
          <w:rStyle w:val="FootnoteReference"/>
          <w:noProof/>
        </w:rPr>
        <w:footnoteReference w:id="22"/>
      </w:r>
      <w:r w:rsidRPr="00535DEB">
        <w:rPr>
          <w:noProof/>
        </w:rPr>
        <w:t xml:space="preserve">. Au titre des fonds de la politique de cohésion, la majorité des États membres sont encouragés à utiliser des </w:t>
      </w:r>
      <w:r w:rsidRPr="00535DEB">
        <w:rPr>
          <w:b/>
          <w:noProof/>
        </w:rPr>
        <w:t>combinaisons de subventions et d’instruments financiers dans le cadre d’une seule opération</w:t>
      </w:r>
      <w:r w:rsidRPr="00535DEB">
        <w:rPr>
          <w:noProof/>
        </w:rPr>
        <w:t>. Toutefois, le recours à ces combinaisons n’a pas systématiquement lieu dans tous les États membres et leur utilisation à grande échelle est souvent loin d’être une réalité.</w:t>
      </w:r>
    </w:p>
    <w:p w14:paraId="2117E665" w14:textId="1C9491CD" w:rsidR="00FC33CA" w:rsidRPr="00535DEB" w:rsidRDefault="002A42FC" w:rsidP="0042049C">
      <w:pPr>
        <w:pStyle w:val="Text2"/>
        <w:spacing w:line="276" w:lineRule="auto"/>
        <w:ind w:left="0"/>
        <w:rPr>
          <w:noProof/>
        </w:rPr>
      </w:pPr>
      <w:r w:rsidRPr="00535DEB">
        <w:rPr>
          <w:noProof/>
        </w:rPr>
        <w:t xml:space="preserve">Il n’existe pas de données précises pour chaque objectif thématique par domaine (à savoir l’efficacité énergétique), mais, au cours de la période 2014-2020, les instruments financiers relevant des fonds de la politique de cohésion ont généré un effet de levier de 3,8 dans tous les secteurs, ce qui est nettement supérieur à la valeur moyenne pour la politique de cohésion (1,4). Les instruments financiers ont permis de mobiliser des capitaux privés supplémentaires équivalant à 15 % du budget de la politique de cohésion entre 2014 et 2020. </w:t>
      </w:r>
      <w:r w:rsidRPr="00535DEB">
        <w:rPr>
          <w:b/>
          <w:noProof/>
        </w:rPr>
        <w:t>La Commission, en coopération avec la BEI, propose également diverses formes de soutien technique visant à encourager le recours aux instruments financiers pour l’efficacité énergétique</w:t>
      </w:r>
      <w:r w:rsidRPr="00535DEB">
        <w:rPr>
          <w:noProof/>
        </w:rPr>
        <w:t>, tels que le modèle d’instrument financier en faveur de l’efficacité énergétique (IFEE)</w:t>
      </w:r>
      <w:r w:rsidRPr="00535DEB">
        <w:rPr>
          <w:rStyle w:val="FootnoteReference"/>
          <w:noProof/>
        </w:rPr>
        <w:footnoteReference w:id="23"/>
      </w:r>
      <w:r w:rsidRPr="00535DEB">
        <w:rPr>
          <w:noProof/>
        </w:rPr>
        <w:t>, la plateforme Fi-compass et l’initiative Scale-up en matière</w:t>
      </w:r>
      <w:r w:rsidRPr="00535DEB">
        <w:rPr>
          <w:b/>
          <w:noProof/>
        </w:rPr>
        <w:t xml:space="preserve"> </w:t>
      </w:r>
      <w:r w:rsidRPr="00535DEB">
        <w:rPr>
          <w:noProof/>
        </w:rPr>
        <w:t>d’efficacité énergétique</w:t>
      </w:r>
      <w:r w:rsidRPr="00535DEB">
        <w:rPr>
          <w:rStyle w:val="FootnoteReference"/>
          <w:noProof/>
        </w:rPr>
        <w:footnoteReference w:id="24"/>
      </w:r>
      <w:r w:rsidRPr="00535DEB">
        <w:rPr>
          <w:noProof/>
        </w:rPr>
        <w:t>, la cohésion pour les transitions (C4T)</w:t>
      </w:r>
      <w:r w:rsidRPr="00535DEB">
        <w:rPr>
          <w:rStyle w:val="FootnoteReference"/>
          <w:noProof/>
        </w:rPr>
        <w:footnoteReference w:id="25"/>
      </w:r>
      <w:r w:rsidRPr="00535DEB">
        <w:rPr>
          <w:noProof/>
        </w:rPr>
        <w:t xml:space="preserve">. </w:t>
      </w:r>
    </w:p>
    <w:p w14:paraId="5E6BABD6" w14:textId="395EC20F" w:rsidR="005C7B3A" w:rsidRPr="00535DEB" w:rsidRDefault="2B74E15A" w:rsidP="007D751C">
      <w:pPr>
        <w:pStyle w:val="Text2"/>
        <w:spacing w:line="276" w:lineRule="auto"/>
        <w:ind w:left="0"/>
        <w:rPr>
          <w:noProof/>
        </w:rPr>
      </w:pPr>
      <w:r w:rsidRPr="00535DEB">
        <w:rPr>
          <w:b/>
          <w:noProof/>
        </w:rPr>
        <w:t xml:space="preserve">Les programmes de l’UE qui offrent une assistance technique, des garanties et des mesures en faveur de la pénétration sur le marché ont un effet de levier très élevé. </w:t>
      </w:r>
      <w:r w:rsidRPr="00535DEB">
        <w:rPr>
          <w:noProof/>
        </w:rPr>
        <w:t>Le mécanisme ELENA en particulier, qui fournit des services de conseil pour des projets locaux dans le domaine de l’énergie et de la mobilité nécessitant un effet de levier minimal de 10 à 20 de la part des bénéficiaires des projets (en fonction du secteur), a dépassé de loin son objectif avec une moyenne de 32.</w:t>
      </w:r>
    </w:p>
    <w:p w14:paraId="3CE3976F" w14:textId="61C824B5" w:rsidR="006B5C72" w:rsidRPr="00535DEB" w:rsidRDefault="16A806DA" w:rsidP="007D751C">
      <w:pPr>
        <w:pStyle w:val="Text2"/>
        <w:spacing w:line="276" w:lineRule="auto"/>
        <w:ind w:left="0"/>
        <w:rPr>
          <w:noProof/>
        </w:rPr>
      </w:pPr>
      <w:r w:rsidRPr="00535DEB">
        <w:rPr>
          <w:noProof/>
        </w:rPr>
        <w:t>Désormais géré dans le cadre du programme InvestEU, ELENA a utilisé avec succès les ressources de l’UE comme capital d’amorçage pour des portefeuilles d’investissement locaux dans 25 des 27 États membres. Le sous-programme LIFE «Transition énergétique propre» (LIFE TEP), qui comprend des obligations de cofinancement et soutient la pénétration sur le marché, le développement de projets et des approches innovantes telles que la mise en place d’instruments financiers pilotes, a réussi à générer un effet de levier de 40.</w:t>
      </w:r>
    </w:p>
    <w:p w14:paraId="6C6C26BC" w14:textId="66DF5CB4" w:rsidR="0B7AFC37" w:rsidRPr="00535DEB" w:rsidRDefault="7F91451A" w:rsidP="007D751C">
      <w:pPr>
        <w:pStyle w:val="Text2"/>
        <w:spacing w:line="276" w:lineRule="auto"/>
        <w:ind w:left="0"/>
        <w:rPr>
          <w:noProof/>
        </w:rPr>
      </w:pPr>
      <w:r w:rsidRPr="00535DEB">
        <w:rPr>
          <w:noProof/>
        </w:rPr>
        <w:t xml:space="preserve">Le </w:t>
      </w:r>
      <w:r w:rsidRPr="00535DEB">
        <w:rPr>
          <w:b/>
          <w:noProof/>
        </w:rPr>
        <w:t>Fonds européen pour les investissements stratégiques (EFSI)</w:t>
      </w:r>
      <w:r w:rsidRPr="00535DEB">
        <w:rPr>
          <w:noProof/>
        </w:rPr>
        <w:t xml:space="preserve">, auquel a succédé InvestEU à partir de 2021, est un </w:t>
      </w:r>
      <w:r w:rsidRPr="00535DEB">
        <w:rPr>
          <w:b/>
          <w:noProof/>
        </w:rPr>
        <w:t>instrument de garantie intermédiaire</w:t>
      </w:r>
      <w:r w:rsidRPr="00535DEB">
        <w:rPr>
          <w:noProof/>
        </w:rPr>
        <w:t xml:space="preserve"> visant à combler le déficit d’investissement en Europe en attirant des financements privés pour des projets dans des domaines tels que l’innovation, les infrastructures, le développement social et des compétences et le soutien aux PME. Il est devenu le principal véhicule d’investissement dans le cadre du budget de l’Union, son objectif étant de mobiliser près de 900 milliards d’EUR entre 2014 et 2027. L’EFSI a généré un effet de levier de 15,6, un niveau que devrait atteindre également InvestEU.</w:t>
      </w:r>
    </w:p>
    <w:p w14:paraId="394A66EF" w14:textId="4949A077" w:rsidR="606F0325" w:rsidRPr="00535DEB" w:rsidRDefault="005F4417" w:rsidP="007D751C">
      <w:pPr>
        <w:pStyle w:val="Heading3"/>
        <w:spacing w:line="276" w:lineRule="auto"/>
        <w:rPr>
          <w:noProof/>
        </w:rPr>
      </w:pPr>
      <w:r w:rsidRPr="00535DEB">
        <w:rPr>
          <w:noProof/>
        </w:rPr>
        <w:t>Effet multiplicateur des programmes de financement nationaux</w:t>
      </w:r>
    </w:p>
    <w:p w14:paraId="3B1C96D6" w14:textId="34607BE8" w:rsidR="000D4ABD" w:rsidRPr="00535DEB" w:rsidRDefault="005F4417" w:rsidP="007D751C">
      <w:pPr>
        <w:pStyle w:val="Text2"/>
        <w:spacing w:line="276" w:lineRule="auto"/>
        <w:ind w:left="0"/>
        <w:rPr>
          <w:noProof/>
        </w:rPr>
      </w:pPr>
      <w:r w:rsidRPr="00535DEB">
        <w:rPr>
          <w:b/>
          <w:noProof/>
        </w:rPr>
        <w:t>Les données relatives au multiplicateur font défaut pour la plupart des régimes d’aide nationaux.</w:t>
      </w:r>
      <w:r w:rsidRPr="00535DEB">
        <w:rPr>
          <w:noProof/>
        </w:rPr>
        <w:t xml:space="preserve"> Toutefois, il existe des données sur les investissements privés mobilisés par des ressources nationales pour 71 régimes de ce type.</w:t>
      </w:r>
    </w:p>
    <w:p w14:paraId="41A64101" w14:textId="3E10361E" w:rsidR="0069FD33" w:rsidRPr="00535DEB" w:rsidRDefault="0069FD33" w:rsidP="0031363B">
      <w:pPr>
        <w:pStyle w:val="Text2"/>
        <w:spacing w:after="0" w:line="276" w:lineRule="auto"/>
        <w:ind w:left="0"/>
        <w:rPr>
          <w:i/>
          <w:iCs/>
          <w:noProof/>
        </w:rPr>
      </w:pPr>
      <w:r w:rsidRPr="00535DEB">
        <w:rPr>
          <w:i/>
          <w:noProof/>
        </w:rPr>
        <w:t>Tableau 8: effet de levier des régimes nationaux en faveur de l’efficacité énergétique</w:t>
      </w:r>
    </w:p>
    <w:tbl>
      <w:tblPr>
        <w:tblW w:w="8642" w:type="dxa"/>
        <w:tblLayout w:type="fixed"/>
        <w:tblCellMar>
          <w:left w:w="57" w:type="dxa"/>
          <w:right w:w="57" w:type="dxa"/>
        </w:tblCellMar>
        <w:tblLook w:val="04A0" w:firstRow="1" w:lastRow="0" w:firstColumn="1" w:lastColumn="0" w:noHBand="0" w:noVBand="1"/>
      </w:tblPr>
      <w:tblGrid>
        <w:gridCol w:w="1980"/>
        <w:gridCol w:w="1276"/>
        <w:gridCol w:w="1559"/>
        <w:gridCol w:w="1072"/>
        <w:gridCol w:w="1377"/>
        <w:gridCol w:w="1378"/>
      </w:tblGrid>
      <w:tr w:rsidR="00E74680" w:rsidRPr="00535DEB" w14:paraId="57F8EB16" w14:textId="77777777" w:rsidTr="004854A6">
        <w:trPr>
          <w:trHeight w:val="432"/>
        </w:trPr>
        <w:tc>
          <w:tcPr>
            <w:tcW w:w="1980" w:type="dxa"/>
            <w:tcBorders>
              <w:top w:val="single" w:sz="4" w:space="0" w:color="auto"/>
              <w:left w:val="single" w:sz="4" w:space="0" w:color="auto"/>
              <w:bottom w:val="single" w:sz="4" w:space="0" w:color="auto"/>
              <w:right w:val="single" w:sz="4" w:space="0" w:color="auto"/>
            </w:tcBorders>
            <w:vAlign w:val="center"/>
            <w:hideMark/>
          </w:tcPr>
          <w:p w14:paraId="78137FAE" w14:textId="1B12755B" w:rsidR="00E74680" w:rsidRPr="00535DEB" w:rsidRDefault="00E74680" w:rsidP="007D751C">
            <w:pPr>
              <w:spacing w:after="0" w:line="276" w:lineRule="auto"/>
              <w:jc w:val="center"/>
              <w:rPr>
                <w:noProof/>
                <w:color w:val="000000"/>
                <w:szCs w:val="24"/>
                <w:lang w:eastAsia="en-IE"/>
              </w:rPr>
            </w:pPr>
          </w:p>
        </w:tc>
        <w:tc>
          <w:tcPr>
            <w:tcW w:w="1276" w:type="dxa"/>
            <w:tcBorders>
              <w:top w:val="single" w:sz="4" w:space="0" w:color="auto"/>
              <w:left w:val="nil"/>
              <w:bottom w:val="single" w:sz="4" w:space="0" w:color="auto"/>
              <w:right w:val="single" w:sz="4" w:space="0" w:color="auto"/>
            </w:tcBorders>
            <w:noWrap/>
            <w:vAlign w:val="center"/>
            <w:hideMark/>
          </w:tcPr>
          <w:p w14:paraId="1F16307F" w14:textId="09585451" w:rsidR="00E74680" w:rsidRPr="00535DEB" w:rsidRDefault="008F40C9" w:rsidP="007D751C">
            <w:pPr>
              <w:spacing w:after="0" w:line="276" w:lineRule="auto"/>
              <w:jc w:val="center"/>
              <w:rPr>
                <w:b/>
                <w:bCs/>
                <w:noProof/>
                <w:color w:val="000000"/>
                <w:szCs w:val="24"/>
              </w:rPr>
            </w:pPr>
            <w:r w:rsidRPr="00535DEB">
              <w:rPr>
                <w:b/>
                <w:noProof/>
                <w:color w:val="000000"/>
              </w:rPr>
              <w:t>Nombre de régimes</w:t>
            </w:r>
          </w:p>
        </w:tc>
        <w:tc>
          <w:tcPr>
            <w:tcW w:w="1559" w:type="dxa"/>
            <w:tcBorders>
              <w:top w:val="single" w:sz="4" w:space="0" w:color="auto"/>
              <w:left w:val="nil"/>
              <w:bottom w:val="single" w:sz="4" w:space="0" w:color="auto"/>
              <w:right w:val="single" w:sz="4" w:space="0" w:color="auto"/>
            </w:tcBorders>
            <w:noWrap/>
            <w:vAlign w:val="center"/>
            <w:hideMark/>
          </w:tcPr>
          <w:p w14:paraId="314F3C66" w14:textId="1CA75655" w:rsidR="00E74680" w:rsidRPr="00535DEB" w:rsidRDefault="008F40C9" w:rsidP="007D751C">
            <w:pPr>
              <w:spacing w:after="0" w:line="276" w:lineRule="auto"/>
              <w:jc w:val="center"/>
              <w:rPr>
                <w:b/>
                <w:bCs/>
                <w:noProof/>
                <w:color w:val="000000"/>
                <w:szCs w:val="24"/>
              </w:rPr>
            </w:pPr>
            <w:r w:rsidRPr="00535DEB">
              <w:rPr>
                <w:b/>
                <w:noProof/>
                <w:color w:val="000000" w:themeColor="text1"/>
              </w:rPr>
              <w:t>Mis en œuvre</w:t>
            </w:r>
          </w:p>
        </w:tc>
        <w:tc>
          <w:tcPr>
            <w:tcW w:w="1072" w:type="dxa"/>
            <w:tcBorders>
              <w:top w:val="single" w:sz="4" w:space="0" w:color="auto"/>
              <w:left w:val="nil"/>
              <w:bottom w:val="single" w:sz="4" w:space="0" w:color="auto"/>
              <w:right w:val="single" w:sz="4" w:space="0" w:color="auto"/>
            </w:tcBorders>
            <w:noWrap/>
            <w:vAlign w:val="center"/>
            <w:hideMark/>
          </w:tcPr>
          <w:p w14:paraId="47CCDABD" w14:textId="77777777" w:rsidR="00E74680" w:rsidRPr="00535DEB" w:rsidRDefault="00E74680" w:rsidP="007D751C">
            <w:pPr>
              <w:spacing w:after="0" w:line="276" w:lineRule="auto"/>
              <w:jc w:val="center"/>
              <w:rPr>
                <w:b/>
                <w:bCs/>
                <w:noProof/>
                <w:color w:val="000000"/>
                <w:szCs w:val="24"/>
              </w:rPr>
            </w:pPr>
            <w:r w:rsidRPr="00535DEB">
              <w:rPr>
                <w:b/>
                <w:noProof/>
                <w:color w:val="000000"/>
              </w:rPr>
              <w:t>Privés</w:t>
            </w:r>
          </w:p>
        </w:tc>
        <w:tc>
          <w:tcPr>
            <w:tcW w:w="1377" w:type="dxa"/>
            <w:tcBorders>
              <w:top w:val="single" w:sz="4" w:space="0" w:color="auto"/>
              <w:left w:val="nil"/>
              <w:bottom w:val="single" w:sz="4" w:space="0" w:color="auto"/>
              <w:right w:val="single" w:sz="4" w:space="0" w:color="auto"/>
            </w:tcBorders>
            <w:vAlign w:val="center"/>
          </w:tcPr>
          <w:p w14:paraId="10D5625C" w14:textId="5C938F1E" w:rsidR="40F08657" w:rsidRPr="00535DEB" w:rsidRDefault="5A46C11E" w:rsidP="007D751C">
            <w:pPr>
              <w:spacing w:after="0" w:line="276" w:lineRule="auto"/>
              <w:jc w:val="center"/>
              <w:rPr>
                <w:b/>
                <w:bCs/>
                <w:noProof/>
                <w:color w:val="000000" w:themeColor="text1"/>
                <w:szCs w:val="24"/>
              </w:rPr>
            </w:pPr>
            <w:r w:rsidRPr="00535DEB">
              <w:rPr>
                <w:b/>
                <w:noProof/>
                <w:color w:val="000000" w:themeColor="text1"/>
              </w:rPr>
              <w:t>Total</w:t>
            </w:r>
          </w:p>
        </w:tc>
        <w:tc>
          <w:tcPr>
            <w:tcW w:w="1378" w:type="dxa"/>
            <w:tcBorders>
              <w:top w:val="single" w:sz="4" w:space="0" w:color="auto"/>
              <w:left w:val="nil"/>
              <w:bottom w:val="single" w:sz="4" w:space="0" w:color="auto"/>
              <w:right w:val="single" w:sz="4" w:space="0" w:color="auto"/>
            </w:tcBorders>
            <w:noWrap/>
            <w:vAlign w:val="center"/>
            <w:hideMark/>
          </w:tcPr>
          <w:p w14:paraId="18F05BA8" w14:textId="5AA7C97A" w:rsidR="00E74680" w:rsidRPr="00535DEB" w:rsidRDefault="00781731" w:rsidP="007D751C">
            <w:pPr>
              <w:spacing w:after="0" w:line="276" w:lineRule="auto"/>
              <w:jc w:val="center"/>
              <w:rPr>
                <w:b/>
                <w:bCs/>
                <w:noProof/>
                <w:color w:val="000000"/>
                <w:szCs w:val="24"/>
              </w:rPr>
            </w:pPr>
            <w:r w:rsidRPr="00535DEB">
              <w:rPr>
                <w:b/>
                <w:noProof/>
                <w:color w:val="000000"/>
              </w:rPr>
              <w:t>Multiplicateur</w:t>
            </w:r>
          </w:p>
        </w:tc>
      </w:tr>
      <w:tr w:rsidR="00E74680" w:rsidRPr="00535DEB" w14:paraId="31F03B47"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035F8788" w14:textId="259EBEFB" w:rsidR="00E74680" w:rsidRPr="00535DEB" w:rsidRDefault="59A7CF69" w:rsidP="007D751C">
            <w:pPr>
              <w:spacing w:after="0" w:line="276" w:lineRule="auto"/>
              <w:jc w:val="left"/>
              <w:rPr>
                <w:b/>
                <w:bCs/>
                <w:noProof/>
                <w:color w:val="000000"/>
                <w:szCs w:val="24"/>
              </w:rPr>
            </w:pPr>
            <w:r w:rsidRPr="00535DEB">
              <w:rPr>
                <w:b/>
                <w:noProof/>
                <w:color w:val="000000" w:themeColor="text1"/>
              </w:rPr>
              <w:t>Au total, dont:</w:t>
            </w:r>
          </w:p>
        </w:tc>
        <w:tc>
          <w:tcPr>
            <w:tcW w:w="1276" w:type="dxa"/>
            <w:tcBorders>
              <w:top w:val="nil"/>
              <w:left w:val="nil"/>
              <w:bottom w:val="single" w:sz="4" w:space="0" w:color="auto"/>
              <w:right w:val="single" w:sz="4" w:space="0" w:color="auto"/>
            </w:tcBorders>
            <w:noWrap/>
            <w:vAlign w:val="center"/>
            <w:hideMark/>
          </w:tcPr>
          <w:p w14:paraId="02DF2C66" w14:textId="031A2ED7" w:rsidR="00E74680" w:rsidRPr="00535DEB" w:rsidRDefault="00E74680" w:rsidP="007D751C">
            <w:pPr>
              <w:spacing w:after="0" w:line="276" w:lineRule="auto"/>
              <w:jc w:val="center"/>
              <w:rPr>
                <w:noProof/>
                <w:color w:val="000000"/>
                <w:szCs w:val="24"/>
              </w:rPr>
            </w:pPr>
            <w:r w:rsidRPr="00535DEB">
              <w:rPr>
                <w:noProof/>
                <w:color w:val="000000"/>
              </w:rPr>
              <w:t>71</w:t>
            </w:r>
          </w:p>
        </w:tc>
        <w:tc>
          <w:tcPr>
            <w:tcW w:w="1559" w:type="dxa"/>
            <w:tcBorders>
              <w:top w:val="nil"/>
              <w:left w:val="nil"/>
              <w:bottom w:val="single" w:sz="4" w:space="0" w:color="auto"/>
              <w:right w:val="single" w:sz="4" w:space="0" w:color="auto"/>
            </w:tcBorders>
            <w:noWrap/>
            <w:vAlign w:val="center"/>
            <w:hideMark/>
          </w:tcPr>
          <w:p w14:paraId="46B6FD2D" w14:textId="71E93BE9" w:rsidR="00E74680" w:rsidRPr="00535DEB" w:rsidRDefault="00BC2714" w:rsidP="007D751C">
            <w:pPr>
              <w:spacing w:after="0" w:line="276" w:lineRule="auto"/>
              <w:jc w:val="center"/>
              <w:rPr>
                <w:noProof/>
                <w:color w:val="000000"/>
                <w:szCs w:val="24"/>
              </w:rPr>
            </w:pPr>
            <w:r w:rsidRPr="00535DEB">
              <w:rPr>
                <w:noProof/>
                <w:color w:val="000000"/>
              </w:rPr>
              <w:t>36 394</w:t>
            </w:r>
          </w:p>
        </w:tc>
        <w:tc>
          <w:tcPr>
            <w:tcW w:w="1072" w:type="dxa"/>
            <w:tcBorders>
              <w:top w:val="nil"/>
              <w:left w:val="nil"/>
              <w:bottom w:val="single" w:sz="4" w:space="0" w:color="auto"/>
              <w:right w:val="single" w:sz="4" w:space="0" w:color="auto"/>
            </w:tcBorders>
            <w:noWrap/>
            <w:vAlign w:val="center"/>
            <w:hideMark/>
          </w:tcPr>
          <w:p w14:paraId="751B830F" w14:textId="1BAC5DBF" w:rsidR="00E74680" w:rsidRPr="00535DEB" w:rsidRDefault="00E74680" w:rsidP="007D751C">
            <w:pPr>
              <w:spacing w:after="0" w:line="276" w:lineRule="auto"/>
              <w:jc w:val="center"/>
              <w:rPr>
                <w:noProof/>
                <w:color w:val="000000"/>
                <w:szCs w:val="24"/>
              </w:rPr>
            </w:pPr>
            <w:r w:rsidRPr="00535DEB">
              <w:rPr>
                <w:noProof/>
                <w:color w:val="000000"/>
              </w:rPr>
              <w:t>56 045</w:t>
            </w:r>
          </w:p>
        </w:tc>
        <w:tc>
          <w:tcPr>
            <w:tcW w:w="1377" w:type="dxa"/>
            <w:tcBorders>
              <w:top w:val="nil"/>
              <w:left w:val="nil"/>
              <w:bottom w:val="single" w:sz="4" w:space="0" w:color="auto"/>
              <w:right w:val="single" w:sz="4" w:space="0" w:color="auto"/>
            </w:tcBorders>
            <w:vAlign w:val="center"/>
          </w:tcPr>
          <w:p w14:paraId="2645ACB1" w14:textId="3E9524DB" w:rsidR="40F08657" w:rsidRPr="00535DEB" w:rsidRDefault="2CE74395" w:rsidP="007D751C">
            <w:pPr>
              <w:spacing w:after="0" w:line="276" w:lineRule="auto"/>
              <w:jc w:val="center"/>
              <w:rPr>
                <w:noProof/>
                <w:color w:val="000000" w:themeColor="text1"/>
                <w:szCs w:val="24"/>
              </w:rPr>
            </w:pPr>
            <w:r w:rsidRPr="00535DEB">
              <w:rPr>
                <w:noProof/>
                <w:color w:val="000000" w:themeColor="text1"/>
              </w:rPr>
              <w:t>92 019</w:t>
            </w:r>
          </w:p>
        </w:tc>
        <w:tc>
          <w:tcPr>
            <w:tcW w:w="1378" w:type="dxa"/>
            <w:tcBorders>
              <w:top w:val="nil"/>
              <w:left w:val="nil"/>
              <w:bottom w:val="single" w:sz="4" w:space="0" w:color="auto"/>
              <w:right w:val="single" w:sz="4" w:space="0" w:color="auto"/>
            </w:tcBorders>
            <w:noWrap/>
            <w:vAlign w:val="center"/>
            <w:hideMark/>
          </w:tcPr>
          <w:p w14:paraId="3B7FD3E1" w14:textId="29C8F149" w:rsidR="00E74680" w:rsidRPr="00535DEB" w:rsidRDefault="355B290F" w:rsidP="007D751C">
            <w:pPr>
              <w:spacing w:after="0" w:line="276" w:lineRule="auto"/>
              <w:jc w:val="center"/>
              <w:rPr>
                <w:noProof/>
                <w:color w:val="000000"/>
                <w:szCs w:val="24"/>
              </w:rPr>
            </w:pPr>
            <w:r w:rsidRPr="00535DEB">
              <w:rPr>
                <w:noProof/>
                <w:color w:val="000000" w:themeColor="text1"/>
              </w:rPr>
              <w:t>2,5</w:t>
            </w:r>
          </w:p>
        </w:tc>
      </w:tr>
      <w:tr w:rsidR="00E74680" w:rsidRPr="00535DEB" w14:paraId="5FC8E270"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681ED2C8" w14:textId="2B90907D" w:rsidR="00E74680" w:rsidRPr="00535DEB" w:rsidRDefault="34A1C514" w:rsidP="007D751C">
            <w:pPr>
              <w:spacing w:after="0" w:line="276" w:lineRule="auto"/>
              <w:jc w:val="left"/>
              <w:rPr>
                <w:noProof/>
                <w:color w:val="000000"/>
                <w:szCs w:val="24"/>
              </w:rPr>
            </w:pPr>
            <w:r w:rsidRPr="00535DEB">
              <w:rPr>
                <w:noProof/>
                <w:color w:val="000000" w:themeColor="text1"/>
              </w:rPr>
              <w:t>Régimes non remboursables</w:t>
            </w:r>
          </w:p>
        </w:tc>
        <w:tc>
          <w:tcPr>
            <w:tcW w:w="1276" w:type="dxa"/>
            <w:tcBorders>
              <w:top w:val="nil"/>
              <w:left w:val="nil"/>
              <w:bottom w:val="single" w:sz="4" w:space="0" w:color="auto"/>
              <w:right w:val="single" w:sz="4" w:space="0" w:color="auto"/>
            </w:tcBorders>
            <w:noWrap/>
            <w:vAlign w:val="center"/>
            <w:hideMark/>
          </w:tcPr>
          <w:p w14:paraId="01892125" w14:textId="6DFE55EA" w:rsidR="00E74680" w:rsidRPr="00535DEB" w:rsidRDefault="59A7CF69" w:rsidP="007D751C">
            <w:pPr>
              <w:spacing w:after="0" w:line="276" w:lineRule="auto"/>
              <w:jc w:val="center"/>
              <w:rPr>
                <w:noProof/>
                <w:color w:val="000000"/>
                <w:szCs w:val="24"/>
              </w:rPr>
            </w:pPr>
            <w:r w:rsidRPr="00535DEB">
              <w:rPr>
                <w:noProof/>
                <w:color w:val="000000" w:themeColor="text1"/>
              </w:rPr>
              <w:t>58</w:t>
            </w:r>
          </w:p>
        </w:tc>
        <w:tc>
          <w:tcPr>
            <w:tcW w:w="1559" w:type="dxa"/>
            <w:tcBorders>
              <w:top w:val="nil"/>
              <w:left w:val="nil"/>
              <w:bottom w:val="single" w:sz="4" w:space="0" w:color="auto"/>
              <w:right w:val="single" w:sz="4" w:space="0" w:color="auto"/>
            </w:tcBorders>
            <w:noWrap/>
            <w:vAlign w:val="center"/>
            <w:hideMark/>
          </w:tcPr>
          <w:p w14:paraId="04C93DCB" w14:textId="5BA55714" w:rsidR="00E74680" w:rsidRPr="00535DEB" w:rsidRDefault="1B042F30" w:rsidP="007D751C">
            <w:pPr>
              <w:spacing w:after="0" w:line="276" w:lineRule="auto"/>
              <w:jc w:val="center"/>
              <w:rPr>
                <w:noProof/>
                <w:color w:val="000000"/>
                <w:szCs w:val="24"/>
              </w:rPr>
            </w:pPr>
            <w:r w:rsidRPr="00535DEB">
              <w:rPr>
                <w:noProof/>
                <w:color w:val="000000" w:themeColor="text1"/>
              </w:rPr>
              <w:t>30 651</w:t>
            </w:r>
          </w:p>
        </w:tc>
        <w:tc>
          <w:tcPr>
            <w:tcW w:w="1072" w:type="dxa"/>
            <w:tcBorders>
              <w:top w:val="nil"/>
              <w:left w:val="nil"/>
              <w:bottom w:val="single" w:sz="4" w:space="0" w:color="auto"/>
              <w:right w:val="single" w:sz="4" w:space="0" w:color="auto"/>
            </w:tcBorders>
            <w:noWrap/>
            <w:vAlign w:val="center"/>
            <w:hideMark/>
          </w:tcPr>
          <w:p w14:paraId="375454D0" w14:textId="57DF061D" w:rsidR="00E74680" w:rsidRPr="00535DEB" w:rsidRDefault="1B042F30" w:rsidP="007D751C">
            <w:pPr>
              <w:spacing w:after="0" w:line="276" w:lineRule="auto"/>
              <w:jc w:val="center"/>
              <w:rPr>
                <w:noProof/>
                <w:color w:val="000000"/>
                <w:szCs w:val="24"/>
              </w:rPr>
            </w:pPr>
            <w:r w:rsidRPr="00535DEB">
              <w:rPr>
                <w:noProof/>
                <w:color w:val="000000" w:themeColor="text1"/>
              </w:rPr>
              <w:t>40 037</w:t>
            </w:r>
          </w:p>
        </w:tc>
        <w:tc>
          <w:tcPr>
            <w:tcW w:w="1377" w:type="dxa"/>
            <w:tcBorders>
              <w:top w:val="nil"/>
              <w:left w:val="nil"/>
              <w:bottom w:val="single" w:sz="4" w:space="0" w:color="auto"/>
              <w:right w:val="single" w:sz="4" w:space="0" w:color="auto"/>
            </w:tcBorders>
            <w:vAlign w:val="center"/>
          </w:tcPr>
          <w:p w14:paraId="2E47A864" w14:textId="21FA671F" w:rsidR="40F08657" w:rsidRPr="00535DEB" w:rsidRDefault="6A837BF1" w:rsidP="007D751C">
            <w:pPr>
              <w:spacing w:after="0" w:line="276" w:lineRule="auto"/>
              <w:jc w:val="center"/>
              <w:rPr>
                <w:noProof/>
                <w:color w:val="000000" w:themeColor="text1"/>
                <w:szCs w:val="24"/>
              </w:rPr>
            </w:pPr>
            <w:r w:rsidRPr="00535DEB">
              <w:rPr>
                <w:noProof/>
                <w:color w:val="000000" w:themeColor="text1"/>
              </w:rPr>
              <w:t>70 268</w:t>
            </w:r>
          </w:p>
        </w:tc>
        <w:tc>
          <w:tcPr>
            <w:tcW w:w="1378" w:type="dxa"/>
            <w:tcBorders>
              <w:top w:val="nil"/>
              <w:left w:val="nil"/>
              <w:bottom w:val="single" w:sz="4" w:space="0" w:color="auto"/>
              <w:right w:val="single" w:sz="4" w:space="0" w:color="auto"/>
            </w:tcBorders>
            <w:noWrap/>
            <w:vAlign w:val="center"/>
            <w:hideMark/>
          </w:tcPr>
          <w:p w14:paraId="39467A26" w14:textId="1E52C8E9" w:rsidR="00E74680" w:rsidRPr="00535DEB" w:rsidRDefault="7BE72174" w:rsidP="007D751C">
            <w:pPr>
              <w:spacing w:after="0" w:line="276" w:lineRule="auto"/>
              <w:jc w:val="center"/>
              <w:rPr>
                <w:noProof/>
                <w:color w:val="000000"/>
                <w:szCs w:val="24"/>
              </w:rPr>
            </w:pPr>
            <w:r w:rsidRPr="00535DEB">
              <w:rPr>
                <w:noProof/>
                <w:color w:val="000000" w:themeColor="text1"/>
              </w:rPr>
              <w:t>2,3</w:t>
            </w:r>
          </w:p>
        </w:tc>
      </w:tr>
      <w:tr w:rsidR="54EFD67F" w:rsidRPr="00535DEB" w14:paraId="4CA97962"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1B927D41" w14:textId="42BFFF86" w:rsidR="582854C0" w:rsidRPr="00535DEB" w:rsidRDefault="456C377B" w:rsidP="007D751C">
            <w:pPr>
              <w:spacing w:after="0" w:line="276" w:lineRule="auto"/>
              <w:jc w:val="left"/>
              <w:rPr>
                <w:noProof/>
                <w:color w:val="000000" w:themeColor="text1"/>
                <w:szCs w:val="24"/>
              </w:rPr>
            </w:pPr>
            <w:r w:rsidRPr="00535DEB">
              <w:rPr>
                <w:noProof/>
                <w:color w:val="000000" w:themeColor="text1"/>
              </w:rPr>
              <w:t>Régimes mixtes + remboursables</w:t>
            </w:r>
          </w:p>
        </w:tc>
        <w:tc>
          <w:tcPr>
            <w:tcW w:w="1276" w:type="dxa"/>
            <w:tcBorders>
              <w:top w:val="nil"/>
              <w:left w:val="nil"/>
              <w:bottom w:val="single" w:sz="4" w:space="0" w:color="auto"/>
              <w:right w:val="single" w:sz="4" w:space="0" w:color="auto"/>
            </w:tcBorders>
            <w:noWrap/>
            <w:vAlign w:val="center"/>
            <w:hideMark/>
          </w:tcPr>
          <w:p w14:paraId="2C2B7928" w14:textId="7190C898" w:rsidR="312E9A69" w:rsidRPr="00535DEB" w:rsidRDefault="312E9A69" w:rsidP="007D751C">
            <w:pPr>
              <w:spacing w:after="0" w:line="276" w:lineRule="auto"/>
              <w:jc w:val="center"/>
              <w:rPr>
                <w:noProof/>
                <w:color w:val="000000" w:themeColor="text1"/>
                <w:szCs w:val="24"/>
              </w:rPr>
            </w:pPr>
            <w:r w:rsidRPr="00535DEB">
              <w:rPr>
                <w:noProof/>
                <w:color w:val="000000" w:themeColor="text1"/>
              </w:rPr>
              <w:t>13</w:t>
            </w:r>
          </w:p>
        </w:tc>
        <w:tc>
          <w:tcPr>
            <w:tcW w:w="1559" w:type="dxa"/>
            <w:tcBorders>
              <w:top w:val="nil"/>
              <w:left w:val="nil"/>
              <w:bottom w:val="single" w:sz="4" w:space="0" w:color="auto"/>
              <w:right w:val="single" w:sz="4" w:space="0" w:color="auto"/>
            </w:tcBorders>
            <w:noWrap/>
            <w:vAlign w:val="center"/>
            <w:hideMark/>
          </w:tcPr>
          <w:p w14:paraId="05537A94" w14:textId="53CF4343" w:rsidR="312E9A69" w:rsidRPr="00535DEB" w:rsidRDefault="312E9A69" w:rsidP="007D751C">
            <w:pPr>
              <w:spacing w:after="0" w:line="276" w:lineRule="auto"/>
              <w:jc w:val="center"/>
              <w:rPr>
                <w:noProof/>
                <w:color w:val="000000" w:themeColor="text1"/>
                <w:szCs w:val="24"/>
              </w:rPr>
            </w:pPr>
            <w:r w:rsidRPr="00535DEB">
              <w:rPr>
                <w:noProof/>
                <w:color w:val="000000" w:themeColor="text1"/>
              </w:rPr>
              <w:t>5 743</w:t>
            </w:r>
          </w:p>
        </w:tc>
        <w:tc>
          <w:tcPr>
            <w:tcW w:w="1072" w:type="dxa"/>
            <w:tcBorders>
              <w:top w:val="nil"/>
              <w:left w:val="nil"/>
              <w:bottom w:val="single" w:sz="4" w:space="0" w:color="auto"/>
              <w:right w:val="single" w:sz="4" w:space="0" w:color="auto"/>
            </w:tcBorders>
            <w:noWrap/>
            <w:vAlign w:val="center"/>
            <w:hideMark/>
          </w:tcPr>
          <w:p w14:paraId="444831CD" w14:textId="515435C9" w:rsidR="312E9A69" w:rsidRPr="00535DEB" w:rsidRDefault="312E9A69" w:rsidP="007D751C">
            <w:pPr>
              <w:spacing w:after="0" w:line="276" w:lineRule="auto"/>
              <w:jc w:val="center"/>
              <w:rPr>
                <w:noProof/>
                <w:color w:val="000000" w:themeColor="text1"/>
                <w:szCs w:val="24"/>
              </w:rPr>
            </w:pPr>
            <w:r w:rsidRPr="00535DEB">
              <w:rPr>
                <w:noProof/>
                <w:color w:val="000000" w:themeColor="text1"/>
              </w:rPr>
              <w:t>16 008</w:t>
            </w:r>
          </w:p>
        </w:tc>
        <w:tc>
          <w:tcPr>
            <w:tcW w:w="1377" w:type="dxa"/>
            <w:tcBorders>
              <w:top w:val="nil"/>
              <w:left w:val="nil"/>
              <w:bottom w:val="single" w:sz="4" w:space="0" w:color="auto"/>
              <w:right w:val="single" w:sz="4" w:space="0" w:color="auto"/>
            </w:tcBorders>
            <w:vAlign w:val="center"/>
          </w:tcPr>
          <w:p w14:paraId="4D81A41B" w14:textId="26A02EB2" w:rsidR="312E9A69" w:rsidRPr="00535DEB" w:rsidRDefault="312E9A69" w:rsidP="007D751C">
            <w:pPr>
              <w:spacing w:after="0" w:line="276" w:lineRule="auto"/>
              <w:jc w:val="center"/>
              <w:rPr>
                <w:noProof/>
                <w:color w:val="000000" w:themeColor="text1"/>
                <w:szCs w:val="24"/>
              </w:rPr>
            </w:pPr>
            <w:r w:rsidRPr="00535DEB">
              <w:rPr>
                <w:noProof/>
                <w:color w:val="000000" w:themeColor="text1"/>
              </w:rPr>
              <w:t>21 751</w:t>
            </w:r>
          </w:p>
        </w:tc>
        <w:tc>
          <w:tcPr>
            <w:tcW w:w="1378" w:type="dxa"/>
            <w:tcBorders>
              <w:top w:val="nil"/>
              <w:left w:val="nil"/>
              <w:bottom w:val="single" w:sz="4" w:space="0" w:color="auto"/>
              <w:right w:val="single" w:sz="4" w:space="0" w:color="auto"/>
            </w:tcBorders>
            <w:noWrap/>
            <w:vAlign w:val="center"/>
            <w:hideMark/>
          </w:tcPr>
          <w:p w14:paraId="2A5BACC2" w14:textId="6A2C31DC" w:rsidR="312E9A69" w:rsidRPr="00535DEB" w:rsidRDefault="47D5A4CF" w:rsidP="007D751C">
            <w:pPr>
              <w:spacing w:after="0" w:line="276" w:lineRule="auto"/>
              <w:jc w:val="center"/>
              <w:rPr>
                <w:noProof/>
                <w:color w:val="000000" w:themeColor="text1"/>
                <w:szCs w:val="24"/>
              </w:rPr>
            </w:pPr>
            <w:r w:rsidRPr="00535DEB">
              <w:rPr>
                <w:noProof/>
                <w:color w:val="000000" w:themeColor="text1"/>
              </w:rPr>
              <w:t>3,8</w:t>
            </w:r>
          </w:p>
        </w:tc>
      </w:tr>
      <w:tr w:rsidR="004B5268" w:rsidRPr="00535DEB" w14:paraId="2FB56E7D" w14:textId="77777777" w:rsidTr="004854A6">
        <w:trPr>
          <w:trHeight w:val="300"/>
        </w:trPr>
        <w:tc>
          <w:tcPr>
            <w:tcW w:w="1980" w:type="dxa"/>
            <w:tcBorders>
              <w:top w:val="nil"/>
              <w:left w:val="single" w:sz="4" w:space="0" w:color="auto"/>
              <w:bottom w:val="single" w:sz="4" w:space="0" w:color="auto"/>
              <w:right w:val="single" w:sz="4" w:space="0" w:color="auto"/>
            </w:tcBorders>
            <w:vAlign w:val="center"/>
          </w:tcPr>
          <w:p w14:paraId="1BF49A43" w14:textId="55266581" w:rsidR="004B5268" w:rsidRPr="00535DEB" w:rsidRDefault="004B5268" w:rsidP="007D751C">
            <w:pPr>
              <w:spacing w:after="0" w:line="276" w:lineRule="auto"/>
              <w:jc w:val="right"/>
              <w:rPr>
                <w:i/>
                <w:iCs/>
                <w:noProof/>
                <w:color w:val="000000" w:themeColor="text1"/>
                <w:szCs w:val="24"/>
              </w:rPr>
            </w:pPr>
            <w:r w:rsidRPr="00535DEB">
              <w:rPr>
                <w:i/>
                <w:noProof/>
                <w:color w:val="000000" w:themeColor="text1"/>
              </w:rPr>
              <w:t>Régimes remboursables</w:t>
            </w:r>
          </w:p>
        </w:tc>
        <w:tc>
          <w:tcPr>
            <w:tcW w:w="1276" w:type="dxa"/>
            <w:tcBorders>
              <w:top w:val="nil"/>
              <w:left w:val="nil"/>
              <w:bottom w:val="single" w:sz="4" w:space="0" w:color="auto"/>
              <w:right w:val="single" w:sz="4" w:space="0" w:color="auto"/>
            </w:tcBorders>
            <w:noWrap/>
            <w:vAlign w:val="center"/>
          </w:tcPr>
          <w:p w14:paraId="11CECA0B" w14:textId="3D10E34D" w:rsidR="004B5268" w:rsidRPr="00535DEB" w:rsidRDefault="004B5268" w:rsidP="007D751C">
            <w:pPr>
              <w:spacing w:after="0" w:line="276" w:lineRule="auto"/>
              <w:jc w:val="center"/>
              <w:rPr>
                <w:i/>
                <w:iCs/>
                <w:noProof/>
                <w:color w:val="000000" w:themeColor="text1"/>
                <w:szCs w:val="24"/>
              </w:rPr>
            </w:pPr>
            <w:r w:rsidRPr="00535DEB">
              <w:rPr>
                <w:i/>
                <w:noProof/>
                <w:color w:val="000000" w:themeColor="text1"/>
              </w:rPr>
              <w:t>8</w:t>
            </w:r>
          </w:p>
        </w:tc>
        <w:tc>
          <w:tcPr>
            <w:tcW w:w="1559" w:type="dxa"/>
            <w:tcBorders>
              <w:top w:val="nil"/>
              <w:left w:val="nil"/>
              <w:bottom w:val="single" w:sz="4" w:space="0" w:color="auto"/>
              <w:right w:val="single" w:sz="4" w:space="0" w:color="auto"/>
            </w:tcBorders>
            <w:noWrap/>
            <w:vAlign w:val="center"/>
          </w:tcPr>
          <w:p w14:paraId="4529C955" w14:textId="4BECC7DB" w:rsidR="004B5268" w:rsidRPr="00535DEB" w:rsidRDefault="004B5268" w:rsidP="007D751C">
            <w:pPr>
              <w:spacing w:after="0" w:line="276" w:lineRule="auto"/>
              <w:jc w:val="center"/>
              <w:rPr>
                <w:i/>
                <w:iCs/>
                <w:noProof/>
                <w:color w:val="000000" w:themeColor="text1"/>
                <w:szCs w:val="24"/>
              </w:rPr>
            </w:pPr>
            <w:r w:rsidRPr="00535DEB">
              <w:rPr>
                <w:i/>
                <w:noProof/>
                <w:color w:val="000000" w:themeColor="text1"/>
              </w:rPr>
              <w:t>902</w:t>
            </w:r>
          </w:p>
        </w:tc>
        <w:tc>
          <w:tcPr>
            <w:tcW w:w="1072" w:type="dxa"/>
            <w:tcBorders>
              <w:top w:val="nil"/>
              <w:left w:val="nil"/>
              <w:bottom w:val="single" w:sz="4" w:space="0" w:color="auto"/>
              <w:right w:val="single" w:sz="4" w:space="0" w:color="auto"/>
            </w:tcBorders>
            <w:noWrap/>
            <w:vAlign w:val="center"/>
          </w:tcPr>
          <w:p w14:paraId="6F1DAAB3" w14:textId="29E5CDCF" w:rsidR="004B5268" w:rsidRPr="00535DEB" w:rsidRDefault="004B5268" w:rsidP="007D751C">
            <w:pPr>
              <w:spacing w:after="0" w:line="276" w:lineRule="auto"/>
              <w:jc w:val="center"/>
              <w:rPr>
                <w:i/>
                <w:iCs/>
                <w:noProof/>
                <w:color w:val="000000" w:themeColor="text1"/>
                <w:szCs w:val="24"/>
              </w:rPr>
            </w:pPr>
            <w:r w:rsidRPr="00535DEB">
              <w:rPr>
                <w:i/>
                <w:noProof/>
                <w:color w:val="000000" w:themeColor="text1"/>
              </w:rPr>
              <w:t>11 478</w:t>
            </w:r>
          </w:p>
        </w:tc>
        <w:tc>
          <w:tcPr>
            <w:tcW w:w="1377" w:type="dxa"/>
            <w:tcBorders>
              <w:top w:val="nil"/>
              <w:left w:val="nil"/>
              <w:bottom w:val="single" w:sz="4" w:space="0" w:color="auto"/>
              <w:right w:val="single" w:sz="4" w:space="0" w:color="auto"/>
            </w:tcBorders>
            <w:vAlign w:val="center"/>
          </w:tcPr>
          <w:p w14:paraId="602A99A6" w14:textId="70155590" w:rsidR="004B5268" w:rsidRPr="00535DEB" w:rsidRDefault="004B5268" w:rsidP="007D751C">
            <w:pPr>
              <w:spacing w:after="0" w:line="276" w:lineRule="auto"/>
              <w:jc w:val="center"/>
              <w:rPr>
                <w:i/>
                <w:iCs/>
                <w:noProof/>
                <w:color w:val="000000" w:themeColor="text1"/>
                <w:szCs w:val="24"/>
              </w:rPr>
            </w:pPr>
            <w:r w:rsidRPr="00535DEB">
              <w:rPr>
                <w:i/>
                <w:noProof/>
                <w:color w:val="000000" w:themeColor="text1"/>
              </w:rPr>
              <w:t>12 381</w:t>
            </w:r>
          </w:p>
        </w:tc>
        <w:tc>
          <w:tcPr>
            <w:tcW w:w="1378" w:type="dxa"/>
            <w:tcBorders>
              <w:top w:val="nil"/>
              <w:left w:val="nil"/>
              <w:bottom w:val="single" w:sz="4" w:space="0" w:color="auto"/>
              <w:right w:val="single" w:sz="4" w:space="0" w:color="auto"/>
            </w:tcBorders>
            <w:noWrap/>
            <w:vAlign w:val="center"/>
          </w:tcPr>
          <w:p w14:paraId="5D5562A0" w14:textId="7D806D92" w:rsidR="004B5268" w:rsidRPr="00535DEB" w:rsidRDefault="004B5268" w:rsidP="007D751C">
            <w:pPr>
              <w:spacing w:after="0" w:line="276" w:lineRule="auto"/>
              <w:jc w:val="center"/>
              <w:rPr>
                <w:i/>
                <w:iCs/>
                <w:noProof/>
                <w:color w:val="000000" w:themeColor="text1"/>
                <w:szCs w:val="24"/>
              </w:rPr>
            </w:pPr>
            <w:r w:rsidRPr="00535DEB">
              <w:rPr>
                <w:i/>
                <w:noProof/>
                <w:color w:val="000000" w:themeColor="text1"/>
              </w:rPr>
              <w:t>13,7</w:t>
            </w:r>
          </w:p>
        </w:tc>
      </w:tr>
    </w:tbl>
    <w:p w14:paraId="3A0BC1C3" w14:textId="369D1FCD" w:rsidR="00664EF8" w:rsidRPr="00535DEB" w:rsidRDefault="004E3B26" w:rsidP="007D751C">
      <w:pPr>
        <w:pStyle w:val="Text2"/>
        <w:spacing w:line="276" w:lineRule="auto"/>
        <w:ind w:left="0"/>
        <w:rPr>
          <w:noProof/>
          <w:sz w:val="20"/>
        </w:rPr>
      </w:pPr>
      <w:r w:rsidRPr="00535DEB">
        <w:rPr>
          <w:noProof/>
          <w:sz w:val="20"/>
        </w:rPr>
        <w:t>Source: Commission européenne, 2024.</w:t>
      </w:r>
    </w:p>
    <w:p w14:paraId="2DA835F6" w14:textId="1EB180D1" w:rsidR="005C7B3A" w:rsidRPr="00535DEB" w:rsidRDefault="00867795" w:rsidP="007D751C">
      <w:pPr>
        <w:pStyle w:val="Text2"/>
        <w:spacing w:line="276" w:lineRule="auto"/>
        <w:ind w:left="0"/>
        <w:rPr>
          <w:noProof/>
        </w:rPr>
      </w:pPr>
      <w:r w:rsidRPr="00535DEB">
        <w:rPr>
          <w:noProof/>
        </w:rPr>
        <w:t xml:space="preserve">Le multiplicateur global indiqué dans le tableau ci-dessus masque de nettes différences selon l’instrument utilisé. </w:t>
      </w:r>
      <w:r w:rsidRPr="00535DEB">
        <w:rPr>
          <w:b/>
          <w:noProof/>
        </w:rPr>
        <w:t>Les régimes non remboursables ont un multiplicateur moyen de 2,3</w:t>
      </w:r>
      <w:r w:rsidRPr="00535DEB">
        <w:rPr>
          <w:noProof/>
        </w:rPr>
        <w:t>, qui peut également être compris comme une intensité moyenne des subventions d’environ 30 %. Toutefois, l’effet de levier des investissements privés augmente à 2,4 lorsqu’il existe un cofinancement de l’UE, ce qui donne à penser que les contributions financières de l’UE ont pour effet d’attirer davantage d’investissements privés.</w:t>
      </w:r>
    </w:p>
    <w:p w14:paraId="1951208A" w14:textId="3F24D754" w:rsidR="0087594E" w:rsidRPr="00535DEB" w:rsidRDefault="00613A0B" w:rsidP="007D751C">
      <w:pPr>
        <w:pStyle w:val="Text2"/>
        <w:spacing w:line="276" w:lineRule="auto"/>
        <w:ind w:left="0"/>
        <w:rPr>
          <w:noProof/>
        </w:rPr>
      </w:pPr>
      <w:r w:rsidRPr="00535DEB">
        <w:rPr>
          <w:noProof/>
        </w:rPr>
        <w:t>Selon les données disponibles, le financement de l’UE tend non seulement à remplacer le financement national, mais aussi à rendre moins strictes les exigences en matière de cofinancement. Cela pourrait s’expliquer par le fait qu’en augmentant l’intensité des subventions d’un programme donné, le cofinancement de l’UE réduit la nécessité pour les bénéficiaires finaux de co-investir. Par ailleurs, les subventions octroyées au secteur du bâtiment, qu’elles aient la forme d'un financement national ou de l’UE, sont efficaces lorsqu’elles ciblent des propriétaires spécifiques (ménages à faible revenu/PME), certains segments de bâtiment (bâtiments les moins performants) ou des rénovations plus lourdes nécessitant des investissements élevés.</w:t>
      </w:r>
    </w:p>
    <w:p w14:paraId="5A7E8F7A" w14:textId="0C972FB2" w:rsidR="00867795" w:rsidRPr="00535DEB" w:rsidRDefault="008153A1" w:rsidP="007D751C">
      <w:pPr>
        <w:pStyle w:val="Text2"/>
        <w:spacing w:line="276" w:lineRule="auto"/>
        <w:ind w:left="0"/>
        <w:rPr>
          <w:noProof/>
        </w:rPr>
      </w:pPr>
      <w:r w:rsidRPr="00535DEB">
        <w:rPr>
          <w:noProof/>
        </w:rPr>
        <w:t xml:space="preserve">Pour les instruments financiers, le multiplicateur est plus difficile à évaluer car il ne peut être calculé que sur le budget exécuté, c’est-à-dire une fois que les investissements ont eu lieu. </w:t>
      </w:r>
      <w:r w:rsidRPr="00535DEB">
        <w:rPr>
          <w:b/>
          <w:noProof/>
        </w:rPr>
        <w:t>Le multiplicateur des régimes remboursables est estimé à près de 14</w:t>
      </w:r>
      <w:r w:rsidRPr="00535DEB">
        <w:rPr>
          <w:noProof/>
        </w:rPr>
        <w:t>, ce qui correspond à l’effet multiplicateur observé pour InvestEU. Toutefois, le volume des instruments financiers pour lesquels il existe des données fiables est extrêmement limité (900 millions d’EUR de fonds versés sur 10 ans).</w:t>
      </w:r>
    </w:p>
    <w:p w14:paraId="194D5A80" w14:textId="4E02DCCE" w:rsidR="00867795" w:rsidRPr="00535DEB" w:rsidRDefault="00867795" w:rsidP="007D751C">
      <w:pPr>
        <w:pStyle w:val="Text2"/>
        <w:spacing w:line="276" w:lineRule="auto"/>
        <w:ind w:left="0"/>
        <w:rPr>
          <w:noProof/>
        </w:rPr>
      </w:pPr>
      <w:r w:rsidRPr="00535DEB">
        <w:rPr>
          <w:noProof/>
        </w:rPr>
        <w:t xml:space="preserve">En conclusion, et en raison de l’hétérogénéité des données disponibles, il est </w:t>
      </w:r>
      <w:r w:rsidRPr="00535DEB">
        <w:rPr>
          <w:b/>
          <w:noProof/>
        </w:rPr>
        <w:t>difficile de quantifier avec précision l’effet multiplicateur global du financement public dans les États membres</w:t>
      </w:r>
      <w:r w:rsidRPr="00535DEB">
        <w:rPr>
          <w:noProof/>
        </w:rPr>
        <w:t>. Toutefois, on peut supposer que les subventions génèrent habituellement un effet multiplicateur d’environ 3.</w:t>
      </w:r>
    </w:p>
    <w:p w14:paraId="4E5E5572" w14:textId="3F5EA657" w:rsidR="00DA7940" w:rsidRPr="00535DEB" w:rsidRDefault="00776BB9" w:rsidP="007D751C">
      <w:pPr>
        <w:pStyle w:val="Heading2"/>
        <w:spacing w:line="276" w:lineRule="auto"/>
        <w:rPr>
          <w:noProof/>
        </w:rPr>
      </w:pPr>
      <w:r w:rsidRPr="00535DEB">
        <w:rPr>
          <w:noProof/>
        </w:rPr>
        <w:t>Adéquation entre le financement public et les besoins d’investissement</w:t>
      </w:r>
    </w:p>
    <w:p w14:paraId="3E25322D" w14:textId="56B7886A" w:rsidR="00776BB9" w:rsidRPr="00535DEB" w:rsidRDefault="00C47D73" w:rsidP="007D751C">
      <w:pPr>
        <w:spacing w:line="276" w:lineRule="auto"/>
        <w:rPr>
          <w:noProof/>
        </w:rPr>
      </w:pPr>
      <w:r w:rsidRPr="00535DEB">
        <w:rPr>
          <w:noProof/>
        </w:rPr>
        <w:t xml:space="preserve">Selon le modèle PRIMES utilisé par la Commission pour réaliser des analyses d’impact et analyser les moyens d’action pour le secteur de l’énergie, il est estimé que quelque 370 milliards d’EUR devront être investis </w:t>
      </w:r>
      <w:bookmarkStart w:id="3" w:name="_Hlk210830780"/>
      <w:r w:rsidRPr="00535DEB">
        <w:rPr>
          <w:noProof/>
        </w:rPr>
        <w:t>chaque année entre 2021 et 2030 pour atteindre les objectifs d’efficacité énergétique à l’horizon 2030</w:t>
      </w:r>
      <w:bookmarkEnd w:id="3"/>
      <w:r w:rsidRPr="00535DEB">
        <w:rPr>
          <w:rStyle w:val="FootnoteReference"/>
          <w:noProof/>
        </w:rPr>
        <w:footnoteReference w:id="26"/>
      </w:r>
      <w:r w:rsidRPr="00535DEB">
        <w:rPr>
          <w:noProof/>
        </w:rPr>
        <w:t>. Pour le seul secteur du bâtiment, les besoins d’investissement sont estimés à 242 milliards d’EUR par an au cours de la décennie actuelle, dont 180 milliards d’EUR pour la rénovation énergétique des bâtiments résidentiels et 62 milliards d’EUR pour la rénovation énergétique des bâtiments de service (non résidentiels).</w:t>
      </w:r>
    </w:p>
    <w:p w14:paraId="5C8AAFAE" w14:textId="7880C9FD" w:rsidR="003104D8" w:rsidRPr="00535DEB" w:rsidRDefault="00F74736" w:rsidP="007D751C">
      <w:pPr>
        <w:spacing w:line="276" w:lineRule="auto"/>
        <w:rPr>
          <w:noProof/>
        </w:rPr>
      </w:pPr>
      <w:r w:rsidRPr="00535DEB">
        <w:rPr>
          <w:noProof/>
        </w:rPr>
        <w:t>Dans son rapport sur l’efficacité énergétique de 2024</w:t>
      </w:r>
      <w:r w:rsidRPr="00535DEB">
        <w:rPr>
          <w:rStyle w:val="FootnoteReference"/>
          <w:noProof/>
        </w:rPr>
        <w:footnoteReference w:id="27"/>
      </w:r>
      <w:r w:rsidRPr="00535DEB">
        <w:rPr>
          <w:noProof/>
        </w:rPr>
        <w:t xml:space="preserve">, l’Agence internationale de l’énergie (AIE) estime que quelque 200 milliards d’EUR en moyenne ont été investis annuellement dans l’efficacité énergétique en Europe entre 2021 et 2023. Par conséquent, si l’on compare les besoins d’investissement avec les investissements réalisés dans l’UE au cours de cette période, </w:t>
      </w:r>
      <w:r w:rsidRPr="00535DEB">
        <w:rPr>
          <w:b/>
          <w:noProof/>
        </w:rPr>
        <w:t>le déficit d’investissement à combler pour atteindre les objectifs d’efficacité énergétique à l’horizon 2030 s’élève à 170 milliards d’EUR par an</w:t>
      </w:r>
      <w:r w:rsidRPr="00535DEB">
        <w:rPr>
          <w:noProof/>
        </w:rPr>
        <w:t>, selon les estimations de l’IAE.</w:t>
      </w:r>
    </w:p>
    <w:p w14:paraId="333E5377" w14:textId="0AEDE9B6" w:rsidR="003A0422" w:rsidRPr="00535DEB" w:rsidRDefault="003104D8" w:rsidP="007D751C">
      <w:pPr>
        <w:spacing w:line="276" w:lineRule="auto"/>
        <w:rPr>
          <w:noProof/>
        </w:rPr>
      </w:pPr>
      <w:r w:rsidRPr="00535DEB">
        <w:rPr>
          <w:noProof/>
        </w:rPr>
        <w:t>L’ampleur du déficit d’investissement prévu correspond à d’autres estimations provenant de l’Institut de l’économie pour le climat (I4CE)</w:t>
      </w:r>
      <w:r w:rsidRPr="00535DEB">
        <w:rPr>
          <w:rStyle w:val="FootnoteReference"/>
          <w:noProof/>
        </w:rPr>
        <w:footnoteReference w:id="28"/>
      </w:r>
      <w:r w:rsidRPr="00535DEB">
        <w:rPr>
          <w:noProof/>
        </w:rPr>
        <w:t xml:space="preserve"> et de Bruegel</w:t>
      </w:r>
      <w:r w:rsidRPr="00535DEB">
        <w:rPr>
          <w:rStyle w:val="FootnoteReference"/>
          <w:noProof/>
        </w:rPr>
        <w:footnoteReference w:id="29"/>
      </w:r>
      <w:r w:rsidRPr="00535DEB">
        <w:rPr>
          <w:noProof/>
        </w:rPr>
        <w:t>. L’I4CE a estimé un déficit d’investissement de 137 milliards d’EUR par an en prenant l'année 2022 comme référence, et Bruegel estime un déficit d’investissement de 149 milliards d’EUR par an spécifiquement pour le secteur du bâtiment.</w:t>
      </w:r>
    </w:p>
    <w:p w14:paraId="178E2B16" w14:textId="642BACD4" w:rsidR="7C9478CC" w:rsidRPr="00535DEB" w:rsidRDefault="000E70C8" w:rsidP="0031363B">
      <w:pPr>
        <w:spacing w:after="0" w:line="276" w:lineRule="auto"/>
        <w:rPr>
          <w:i/>
          <w:iCs/>
          <w:noProof/>
        </w:rPr>
      </w:pPr>
      <w:r w:rsidRPr="00535DEB">
        <w:rPr>
          <w:i/>
          <w:noProof/>
        </w:rPr>
        <w:t>Tableau 9: besoins d’investissement annuels dans l’efficacité énergétique et déficit d’investissement, 2021-2030 (en milliards d’EUR)</w:t>
      </w:r>
    </w:p>
    <w:tbl>
      <w:tblPr>
        <w:tblStyle w:val="TableGrid"/>
        <w:tblW w:w="6467" w:type="dxa"/>
        <w:jc w:val="center"/>
        <w:tblLayout w:type="fixed"/>
        <w:tblLook w:val="06A0" w:firstRow="1" w:lastRow="0" w:firstColumn="1" w:lastColumn="0" w:noHBand="1" w:noVBand="1"/>
      </w:tblPr>
      <w:tblGrid>
        <w:gridCol w:w="2151"/>
        <w:gridCol w:w="2031"/>
        <w:gridCol w:w="2285"/>
      </w:tblGrid>
      <w:tr w:rsidR="00F73161" w:rsidRPr="00535DEB" w14:paraId="705EC4E8" w14:textId="77777777" w:rsidTr="00397A0C">
        <w:trPr>
          <w:trHeight w:val="240"/>
          <w:jc w:val="center"/>
        </w:trPr>
        <w:tc>
          <w:tcPr>
            <w:tcW w:w="2151" w:type="dxa"/>
          </w:tcPr>
          <w:p w14:paraId="6C56C38D" w14:textId="6D7C4356" w:rsidR="00F73161" w:rsidRPr="00535DEB" w:rsidRDefault="00F73161" w:rsidP="007D751C">
            <w:pPr>
              <w:spacing w:after="0" w:line="276" w:lineRule="auto"/>
              <w:rPr>
                <w:i/>
                <w:iCs/>
                <w:noProof/>
                <w:sz w:val="22"/>
                <w:szCs w:val="22"/>
              </w:rPr>
            </w:pPr>
          </w:p>
        </w:tc>
        <w:tc>
          <w:tcPr>
            <w:tcW w:w="2031" w:type="dxa"/>
          </w:tcPr>
          <w:p w14:paraId="23CD8D5B" w14:textId="1C1FBCF6" w:rsidR="00F73161" w:rsidRPr="00535DEB" w:rsidRDefault="00F73161" w:rsidP="007D751C">
            <w:pPr>
              <w:spacing w:after="0" w:line="276" w:lineRule="auto"/>
              <w:jc w:val="center"/>
              <w:rPr>
                <w:b/>
                <w:bCs/>
                <w:noProof/>
                <w:sz w:val="22"/>
                <w:szCs w:val="22"/>
              </w:rPr>
            </w:pPr>
            <w:r w:rsidRPr="00535DEB">
              <w:rPr>
                <w:b/>
                <w:noProof/>
                <w:sz w:val="22"/>
              </w:rPr>
              <w:t xml:space="preserve">Besoins d’investissement </w:t>
            </w:r>
          </w:p>
        </w:tc>
        <w:tc>
          <w:tcPr>
            <w:tcW w:w="2285" w:type="dxa"/>
          </w:tcPr>
          <w:p w14:paraId="23CA99A5" w14:textId="48C7E1AC" w:rsidR="00F73161" w:rsidRPr="00535DEB" w:rsidRDefault="00020A9A" w:rsidP="007D751C">
            <w:pPr>
              <w:spacing w:after="0" w:line="276" w:lineRule="auto"/>
              <w:jc w:val="center"/>
              <w:rPr>
                <w:b/>
                <w:bCs/>
                <w:noProof/>
                <w:sz w:val="22"/>
                <w:szCs w:val="22"/>
              </w:rPr>
            </w:pPr>
            <w:r w:rsidRPr="00535DEB">
              <w:rPr>
                <w:b/>
                <w:noProof/>
                <w:sz w:val="22"/>
              </w:rPr>
              <w:t xml:space="preserve">Déficit d’investissement </w:t>
            </w:r>
          </w:p>
        </w:tc>
      </w:tr>
      <w:tr w:rsidR="00F73161" w:rsidRPr="00535DEB" w14:paraId="2749A79F" w14:textId="77777777" w:rsidTr="00397A0C">
        <w:trPr>
          <w:trHeight w:val="240"/>
          <w:jc w:val="center"/>
        </w:trPr>
        <w:tc>
          <w:tcPr>
            <w:tcW w:w="2151" w:type="dxa"/>
          </w:tcPr>
          <w:p w14:paraId="2AF47CB1" w14:textId="4E4284D0" w:rsidR="00F73161" w:rsidRPr="00535DEB" w:rsidRDefault="00F73161" w:rsidP="007D751C">
            <w:pPr>
              <w:spacing w:after="0" w:line="276" w:lineRule="auto"/>
              <w:rPr>
                <w:noProof/>
                <w:sz w:val="22"/>
                <w:szCs w:val="22"/>
              </w:rPr>
            </w:pPr>
            <w:r w:rsidRPr="00535DEB">
              <w:rPr>
                <w:noProof/>
                <w:sz w:val="22"/>
              </w:rPr>
              <w:t>Efficacité énergétique</w:t>
            </w:r>
          </w:p>
        </w:tc>
        <w:tc>
          <w:tcPr>
            <w:tcW w:w="2031" w:type="dxa"/>
          </w:tcPr>
          <w:p w14:paraId="0F31AFD6" w14:textId="59AFEEE7" w:rsidR="00F73161" w:rsidRPr="00535DEB" w:rsidRDefault="00F73161" w:rsidP="007D751C">
            <w:pPr>
              <w:spacing w:after="0" w:line="276" w:lineRule="auto"/>
              <w:jc w:val="left"/>
              <w:rPr>
                <w:noProof/>
                <w:sz w:val="22"/>
                <w:szCs w:val="22"/>
              </w:rPr>
            </w:pPr>
            <w:r w:rsidRPr="00535DEB">
              <w:rPr>
                <w:noProof/>
                <w:sz w:val="22"/>
              </w:rPr>
              <w:t>370</w:t>
            </w:r>
          </w:p>
        </w:tc>
        <w:tc>
          <w:tcPr>
            <w:tcW w:w="2285" w:type="dxa"/>
          </w:tcPr>
          <w:p w14:paraId="252C4F02" w14:textId="4D6CFC38" w:rsidR="00F73161" w:rsidRPr="00535DEB" w:rsidRDefault="00F73161" w:rsidP="007D751C">
            <w:pPr>
              <w:spacing w:after="0" w:line="276" w:lineRule="auto"/>
              <w:jc w:val="left"/>
              <w:rPr>
                <w:noProof/>
                <w:sz w:val="22"/>
                <w:szCs w:val="22"/>
              </w:rPr>
            </w:pPr>
            <w:r w:rsidRPr="00535DEB">
              <w:rPr>
                <w:noProof/>
                <w:sz w:val="22"/>
              </w:rPr>
              <w:t>170</w:t>
            </w:r>
          </w:p>
        </w:tc>
      </w:tr>
      <w:tr w:rsidR="00F73161" w:rsidRPr="00535DEB" w14:paraId="008C1CB0" w14:textId="77777777" w:rsidTr="00397A0C">
        <w:trPr>
          <w:trHeight w:val="240"/>
          <w:jc w:val="center"/>
        </w:trPr>
        <w:tc>
          <w:tcPr>
            <w:tcW w:w="2151" w:type="dxa"/>
          </w:tcPr>
          <w:p w14:paraId="5C9F42CD" w14:textId="7627D699" w:rsidR="00F73161" w:rsidRPr="00535DEB" w:rsidRDefault="00F73161" w:rsidP="007D751C">
            <w:pPr>
              <w:spacing w:after="0" w:line="276" w:lineRule="auto"/>
              <w:rPr>
                <w:noProof/>
                <w:sz w:val="22"/>
                <w:szCs w:val="22"/>
              </w:rPr>
            </w:pPr>
            <w:r w:rsidRPr="00535DEB">
              <w:rPr>
                <w:noProof/>
                <w:sz w:val="22"/>
              </w:rPr>
              <w:t>Bâtiments</w:t>
            </w:r>
          </w:p>
        </w:tc>
        <w:tc>
          <w:tcPr>
            <w:tcW w:w="2031" w:type="dxa"/>
          </w:tcPr>
          <w:p w14:paraId="794A7F12" w14:textId="5308CBE8" w:rsidR="00F73161" w:rsidRPr="00535DEB" w:rsidRDefault="00F73161" w:rsidP="007D751C">
            <w:pPr>
              <w:spacing w:after="0" w:line="276" w:lineRule="auto"/>
              <w:jc w:val="left"/>
              <w:rPr>
                <w:noProof/>
                <w:sz w:val="22"/>
                <w:szCs w:val="22"/>
              </w:rPr>
            </w:pPr>
            <w:r w:rsidRPr="00535DEB">
              <w:rPr>
                <w:noProof/>
                <w:sz w:val="22"/>
              </w:rPr>
              <w:t>242</w:t>
            </w:r>
          </w:p>
        </w:tc>
        <w:tc>
          <w:tcPr>
            <w:tcW w:w="2285" w:type="dxa"/>
          </w:tcPr>
          <w:p w14:paraId="17382B66" w14:textId="6914C430" w:rsidR="00F73161" w:rsidRPr="00535DEB" w:rsidRDefault="00F73161" w:rsidP="007D751C">
            <w:pPr>
              <w:spacing w:after="0" w:line="276" w:lineRule="auto"/>
              <w:jc w:val="left"/>
              <w:rPr>
                <w:noProof/>
                <w:sz w:val="22"/>
                <w:szCs w:val="22"/>
              </w:rPr>
            </w:pPr>
            <w:r w:rsidRPr="00535DEB">
              <w:rPr>
                <w:noProof/>
                <w:sz w:val="22"/>
              </w:rPr>
              <w:t>149</w:t>
            </w:r>
          </w:p>
        </w:tc>
      </w:tr>
    </w:tbl>
    <w:p w14:paraId="2F250A38" w14:textId="6296AD99" w:rsidR="6167D808" w:rsidRPr="00535DEB" w:rsidRDefault="004E3B26" w:rsidP="007D751C">
      <w:pPr>
        <w:pStyle w:val="Text2"/>
        <w:spacing w:line="276" w:lineRule="auto"/>
        <w:ind w:left="720"/>
        <w:rPr>
          <w:noProof/>
          <w:sz w:val="20"/>
        </w:rPr>
      </w:pPr>
      <w:r w:rsidRPr="00535DEB">
        <w:rPr>
          <w:noProof/>
          <w:sz w:val="20"/>
        </w:rPr>
        <w:t>Source: Commission européenne, 2024, Bruegel.</w:t>
      </w:r>
    </w:p>
    <w:p w14:paraId="3C0F16C2" w14:textId="5668A1E9" w:rsidR="00776BB9" w:rsidRPr="00535DEB" w:rsidRDefault="00EE6971" w:rsidP="007D751C">
      <w:pPr>
        <w:spacing w:line="276" w:lineRule="auto"/>
        <w:rPr>
          <w:b/>
          <w:noProof/>
        </w:rPr>
      </w:pPr>
      <w:bookmarkStart w:id="4" w:name="_Hlk212709237"/>
      <w:r w:rsidRPr="00535DEB">
        <w:rPr>
          <w:noProof/>
        </w:rPr>
        <w:t xml:space="preserve">Dans le chapitre 2 du présent document, le financement apporté par l’UE a été estimé à 20,6 milliards d’EUR par an, et celui apporté par les États membres, à 32,7 milliards d’EUR par an. Il est donc possible de considérer que 53,3 milliards d’EUR de fonds publics sont alloués à l’efficacité énergétique, soit environ un sixième (14,4 %) du total des besoins d’investissement. </w:t>
      </w:r>
    </w:p>
    <w:bookmarkEnd w:id="4"/>
    <w:p w14:paraId="4B6E7A45" w14:textId="53A56A78" w:rsidR="0FF9D307" w:rsidRPr="00535DEB" w:rsidRDefault="21C0396A" w:rsidP="007D751C">
      <w:pPr>
        <w:pStyle w:val="Heading2"/>
        <w:spacing w:line="276" w:lineRule="auto"/>
        <w:rPr>
          <w:i/>
          <w:iCs/>
          <w:noProof/>
        </w:rPr>
      </w:pPr>
      <w:r w:rsidRPr="00535DEB">
        <w:rPr>
          <w:noProof/>
        </w:rPr>
        <w:t>Économies d’énergie réalisées</w:t>
      </w:r>
    </w:p>
    <w:p w14:paraId="652574B1" w14:textId="0F45721F" w:rsidR="0FF9D307" w:rsidRPr="00535DEB" w:rsidRDefault="4CCB4B1B" w:rsidP="007D751C">
      <w:pPr>
        <w:pStyle w:val="Heading3"/>
        <w:spacing w:line="276" w:lineRule="auto"/>
        <w:rPr>
          <w:iCs/>
          <w:noProof/>
        </w:rPr>
      </w:pPr>
      <w:r w:rsidRPr="00535DEB">
        <w:rPr>
          <w:noProof/>
        </w:rPr>
        <w:t>Programmes de l’UE</w:t>
      </w:r>
      <w:r w:rsidRPr="00535DEB">
        <w:rPr>
          <w:rStyle w:val="FootnoteReference"/>
          <w:i w:val="0"/>
          <w:noProof/>
        </w:rPr>
        <w:footnoteReference w:id="30"/>
      </w:r>
    </w:p>
    <w:p w14:paraId="08D95BBA" w14:textId="6592FB7D" w:rsidR="00AA7D0D" w:rsidRPr="00535DEB" w:rsidRDefault="00C422A5" w:rsidP="007D751C">
      <w:pPr>
        <w:pStyle w:val="Text2"/>
        <w:spacing w:line="276" w:lineRule="auto"/>
        <w:ind w:left="0"/>
        <w:rPr>
          <w:noProof/>
        </w:rPr>
      </w:pPr>
      <w:r w:rsidRPr="00535DEB">
        <w:rPr>
          <w:b/>
          <w:noProof/>
        </w:rPr>
        <w:t>La déclaration des économies d’énergie au titre du cadre financier de l’UE varie considérablement en fonction des exigences de chaque programme.</w:t>
      </w:r>
      <w:r w:rsidRPr="00535DEB">
        <w:rPr>
          <w:noProof/>
        </w:rPr>
        <w:t xml:space="preserve"> Il n’existe pas de méthode standard de suivi ou de déclaration des économies d’énergie résultant d'un financement de l’UE. En outre, les déclarations sont lacunaires pour un certain nombre de raisons, notamment l’établissement tardif et le caractère incomplet des rapports et le fait que certaines économies d’énergie ne sont pas déclarées du tout, par exemple lorsque les projets ont une incidence sur la réduction de la consommation d’énergie, mais que leurs domaines d’intervention budgétaire ne sont pas catégorisés comme «efficacité énergétique».</w:t>
      </w:r>
    </w:p>
    <w:p w14:paraId="000ACEC8" w14:textId="7C147B4B" w:rsidR="008129C2" w:rsidRPr="00535DEB" w:rsidRDefault="00BF3760" w:rsidP="1F9E8EC7">
      <w:pPr>
        <w:pStyle w:val="Text2"/>
        <w:spacing w:line="276" w:lineRule="auto"/>
        <w:ind w:left="0"/>
        <w:rPr>
          <w:noProof/>
        </w:rPr>
      </w:pPr>
      <w:r w:rsidRPr="00535DEB">
        <w:rPr>
          <w:b/>
          <w:noProof/>
        </w:rPr>
        <w:t>Il n’est donc pas possible de suivre les progrès accomplis et de mesurer l’incidence et l’efficacité globales en termes d’économies d’énergie pour chaque euro du budget de l’Union consacré à l’efficacité énergétique.</w:t>
      </w:r>
    </w:p>
    <w:p w14:paraId="4DABADBC" w14:textId="5EFFE36B" w:rsidR="008129C2" w:rsidRPr="00535DEB" w:rsidRDefault="008129C2" w:rsidP="007D751C">
      <w:pPr>
        <w:pStyle w:val="Text2"/>
        <w:spacing w:line="276" w:lineRule="auto"/>
        <w:ind w:left="0"/>
        <w:rPr>
          <w:noProof/>
        </w:rPr>
      </w:pPr>
      <w:r w:rsidRPr="00535DEB">
        <w:rPr>
          <w:b/>
          <w:noProof/>
        </w:rPr>
        <w:t>À titre d’exemple de bonne pratique</w:t>
      </w:r>
      <w:r w:rsidRPr="00535DEB">
        <w:rPr>
          <w:noProof/>
        </w:rPr>
        <w:t xml:space="preserve">, pour le mécanisme </w:t>
      </w:r>
      <w:r w:rsidRPr="00535DEB">
        <w:rPr>
          <w:b/>
          <w:noProof/>
        </w:rPr>
        <w:t>ELENA</w:t>
      </w:r>
      <w:r w:rsidRPr="00535DEB">
        <w:rPr>
          <w:noProof/>
        </w:rPr>
        <w:t>, les bénéficiaires sont tenus d’estimer et de déclarer les économies d’énergie que leurs projets ont permis de réaliser. C’est le cas depuis le lancement du programme en 2009.</w:t>
      </w:r>
    </w:p>
    <w:p w14:paraId="114BA8DC" w14:textId="7640E39B" w:rsidR="000E70C8" w:rsidRPr="00535DEB" w:rsidRDefault="000E70C8" w:rsidP="0031363B">
      <w:pPr>
        <w:pStyle w:val="Text2"/>
        <w:spacing w:after="0" w:line="276" w:lineRule="auto"/>
        <w:ind w:left="0"/>
        <w:rPr>
          <w:i/>
          <w:iCs/>
          <w:noProof/>
        </w:rPr>
      </w:pPr>
      <w:r w:rsidRPr="00535DEB">
        <w:rPr>
          <w:i/>
          <w:noProof/>
        </w:rPr>
        <w:t>Tableau 10: économies d’énergie estimées pour chaque fonds</w:t>
      </w:r>
    </w:p>
    <w:tbl>
      <w:tblPr>
        <w:tblW w:w="0" w:type="auto"/>
        <w:jc w:val="center"/>
        <w:tblLayout w:type="fixed"/>
        <w:tblLook w:val="06A0" w:firstRow="1" w:lastRow="0" w:firstColumn="1" w:lastColumn="0" w:noHBand="1" w:noVBand="1"/>
      </w:tblPr>
      <w:tblGrid>
        <w:gridCol w:w="3545"/>
        <w:gridCol w:w="2905"/>
      </w:tblGrid>
      <w:tr w:rsidR="234CDD88" w:rsidRPr="00535DEB" w14:paraId="175B61FD" w14:textId="77777777" w:rsidTr="00397A0C">
        <w:trPr>
          <w:trHeight w:val="495"/>
          <w:jc w:val="center"/>
        </w:trPr>
        <w:tc>
          <w:tcPr>
            <w:tcW w:w="3545" w:type="dxa"/>
            <w:tcBorders>
              <w:top w:val="single" w:sz="4" w:space="0" w:color="auto"/>
              <w:left w:val="single" w:sz="4" w:space="0" w:color="auto"/>
              <w:bottom w:val="single" w:sz="4" w:space="0" w:color="auto"/>
              <w:right w:val="single" w:sz="4" w:space="0" w:color="auto"/>
            </w:tcBorders>
            <w:vAlign w:val="center"/>
          </w:tcPr>
          <w:p w14:paraId="0134E87C" w14:textId="7ED59D8B" w:rsidR="234CDD88" w:rsidRPr="00535DEB" w:rsidRDefault="234CDD88" w:rsidP="007D751C">
            <w:pPr>
              <w:spacing w:after="0" w:line="276" w:lineRule="auto"/>
              <w:jc w:val="left"/>
              <w:rPr>
                <w:rFonts w:eastAsia="Calibri"/>
                <w:b/>
                <w:bCs/>
                <w:noProof/>
                <w:color w:val="000000" w:themeColor="text1"/>
                <w:sz w:val="22"/>
                <w:szCs w:val="22"/>
              </w:rPr>
            </w:pPr>
            <w:r w:rsidRPr="00535DEB">
              <w:rPr>
                <w:b/>
                <w:noProof/>
                <w:color w:val="000000" w:themeColor="text1"/>
                <w:sz w:val="22"/>
              </w:rPr>
              <w:t>Programme</w:t>
            </w:r>
          </w:p>
        </w:tc>
        <w:tc>
          <w:tcPr>
            <w:tcW w:w="2905" w:type="dxa"/>
            <w:tcBorders>
              <w:top w:val="single" w:sz="4" w:space="0" w:color="auto"/>
              <w:left w:val="single" w:sz="4" w:space="0" w:color="auto"/>
              <w:bottom w:val="single" w:sz="4" w:space="0" w:color="auto"/>
              <w:right w:val="single" w:sz="4" w:space="0" w:color="auto"/>
            </w:tcBorders>
            <w:vAlign w:val="center"/>
          </w:tcPr>
          <w:p w14:paraId="256517AA" w14:textId="2F9FEF42" w:rsidR="234CDD88" w:rsidRPr="00535DEB" w:rsidRDefault="234CDD88" w:rsidP="007D751C">
            <w:pPr>
              <w:spacing w:after="0" w:line="276" w:lineRule="auto"/>
              <w:jc w:val="center"/>
              <w:rPr>
                <w:rFonts w:eastAsia="Calibri"/>
                <w:b/>
                <w:bCs/>
                <w:noProof/>
                <w:color w:val="000000" w:themeColor="text1"/>
                <w:sz w:val="22"/>
                <w:szCs w:val="22"/>
              </w:rPr>
            </w:pPr>
            <w:r w:rsidRPr="00535DEB">
              <w:rPr>
                <w:b/>
                <w:noProof/>
                <w:color w:val="000000" w:themeColor="text1"/>
                <w:sz w:val="22"/>
              </w:rPr>
              <w:t>Économies d’énergie annuelles estimées (en MWh*)</w:t>
            </w:r>
          </w:p>
        </w:tc>
      </w:tr>
      <w:tr w:rsidR="234CDD88" w:rsidRPr="00535DEB" w14:paraId="10A4C018"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3901B22D" w14:textId="7430DCDB" w:rsidR="234CDD88" w:rsidRPr="00535DEB" w:rsidRDefault="234CDD88" w:rsidP="007D751C">
            <w:pPr>
              <w:spacing w:after="0" w:line="276" w:lineRule="auto"/>
              <w:jc w:val="left"/>
              <w:rPr>
                <w:noProof/>
                <w:sz w:val="22"/>
                <w:szCs w:val="22"/>
              </w:rPr>
            </w:pPr>
            <w:r w:rsidRPr="00535DEB">
              <w:rPr>
                <w:noProof/>
                <w:color w:val="000000" w:themeColor="text1"/>
                <w:sz w:val="22"/>
              </w:rPr>
              <w:t>Fonds de la politique de cohésion 2014-2020</w:t>
            </w:r>
          </w:p>
        </w:tc>
        <w:tc>
          <w:tcPr>
            <w:tcW w:w="2905" w:type="dxa"/>
            <w:tcBorders>
              <w:top w:val="single" w:sz="4" w:space="0" w:color="auto"/>
              <w:left w:val="single" w:sz="4" w:space="0" w:color="auto"/>
              <w:bottom w:val="single" w:sz="4" w:space="0" w:color="auto"/>
              <w:right w:val="single" w:sz="4" w:space="0" w:color="auto"/>
            </w:tcBorders>
            <w:vAlign w:val="center"/>
          </w:tcPr>
          <w:p w14:paraId="1723A420" w14:textId="3C345599" w:rsidR="234CDD88" w:rsidRPr="00535DEB" w:rsidRDefault="234CDD88" w:rsidP="007D751C">
            <w:pPr>
              <w:spacing w:after="0" w:line="276" w:lineRule="auto"/>
              <w:jc w:val="center"/>
              <w:rPr>
                <w:noProof/>
                <w:sz w:val="22"/>
                <w:szCs w:val="22"/>
              </w:rPr>
            </w:pPr>
            <w:r w:rsidRPr="00535DEB">
              <w:rPr>
                <w:noProof/>
                <w:color w:val="000000" w:themeColor="text1"/>
                <w:sz w:val="22"/>
              </w:rPr>
              <w:t>7 926 050</w:t>
            </w:r>
          </w:p>
        </w:tc>
      </w:tr>
      <w:tr w:rsidR="234CDD88" w:rsidRPr="00535DEB" w14:paraId="3D447975"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7A435D98" w14:textId="49CD2391" w:rsidR="234CDD88" w:rsidRPr="00535DEB" w:rsidRDefault="234CDD88" w:rsidP="007D751C">
            <w:pPr>
              <w:spacing w:after="0" w:line="276" w:lineRule="auto"/>
              <w:jc w:val="left"/>
              <w:rPr>
                <w:noProof/>
                <w:sz w:val="22"/>
                <w:szCs w:val="22"/>
              </w:rPr>
            </w:pPr>
            <w:r w:rsidRPr="00535DEB">
              <w:rPr>
                <w:noProof/>
                <w:color w:val="000000" w:themeColor="text1"/>
                <w:sz w:val="22"/>
              </w:rPr>
              <w:t>Fonds de la politique de cohésion 2021-2027</w:t>
            </w:r>
          </w:p>
        </w:tc>
        <w:tc>
          <w:tcPr>
            <w:tcW w:w="2905" w:type="dxa"/>
            <w:tcBorders>
              <w:top w:val="single" w:sz="4" w:space="0" w:color="auto"/>
              <w:left w:val="single" w:sz="4" w:space="0" w:color="auto"/>
              <w:bottom w:val="single" w:sz="4" w:space="0" w:color="auto"/>
              <w:right w:val="single" w:sz="4" w:space="0" w:color="auto"/>
            </w:tcBorders>
            <w:vAlign w:val="center"/>
          </w:tcPr>
          <w:p w14:paraId="40927599" w14:textId="26AA9D70" w:rsidR="234CDD88" w:rsidRPr="00535DEB" w:rsidRDefault="234CDD88" w:rsidP="007D751C">
            <w:pPr>
              <w:spacing w:after="0" w:line="276" w:lineRule="auto"/>
              <w:jc w:val="center"/>
              <w:rPr>
                <w:noProof/>
                <w:sz w:val="22"/>
                <w:szCs w:val="22"/>
              </w:rPr>
            </w:pPr>
            <w:r w:rsidRPr="00535DEB">
              <w:rPr>
                <w:noProof/>
                <w:color w:val="000000" w:themeColor="text1"/>
                <w:sz w:val="22"/>
              </w:rPr>
              <w:t>s.o.</w:t>
            </w:r>
          </w:p>
        </w:tc>
      </w:tr>
      <w:tr w:rsidR="234CDD88" w:rsidRPr="00535DEB" w14:paraId="2FE99704"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D99A994" w14:textId="6D30EFC1" w:rsidR="234CDD88" w:rsidRPr="00535DEB" w:rsidRDefault="234CDD88" w:rsidP="007D751C">
            <w:pPr>
              <w:spacing w:after="0" w:line="276" w:lineRule="auto"/>
              <w:jc w:val="left"/>
              <w:rPr>
                <w:noProof/>
                <w:sz w:val="22"/>
                <w:szCs w:val="22"/>
              </w:rPr>
            </w:pPr>
            <w:r w:rsidRPr="00535DEB">
              <w:rPr>
                <w:noProof/>
                <w:color w:val="000000" w:themeColor="text1"/>
                <w:sz w:val="22"/>
              </w:rPr>
              <w:t>Fonds de la politique agricole 2014-2022</w:t>
            </w:r>
          </w:p>
        </w:tc>
        <w:tc>
          <w:tcPr>
            <w:tcW w:w="2905" w:type="dxa"/>
            <w:tcBorders>
              <w:top w:val="single" w:sz="4" w:space="0" w:color="auto"/>
              <w:left w:val="single" w:sz="4" w:space="0" w:color="auto"/>
              <w:bottom w:val="single" w:sz="4" w:space="0" w:color="auto"/>
              <w:right w:val="single" w:sz="4" w:space="0" w:color="auto"/>
            </w:tcBorders>
            <w:vAlign w:val="center"/>
          </w:tcPr>
          <w:p w14:paraId="260CEF1C" w14:textId="7A668BE7" w:rsidR="234CDD88" w:rsidRPr="00535DEB" w:rsidRDefault="234CDD88" w:rsidP="007D751C">
            <w:pPr>
              <w:spacing w:after="0" w:line="276" w:lineRule="auto"/>
              <w:jc w:val="center"/>
              <w:rPr>
                <w:noProof/>
                <w:sz w:val="22"/>
                <w:szCs w:val="22"/>
              </w:rPr>
            </w:pPr>
            <w:r w:rsidRPr="00535DEB">
              <w:rPr>
                <w:noProof/>
                <w:color w:val="000000" w:themeColor="text1"/>
                <w:sz w:val="22"/>
              </w:rPr>
              <w:t>s.o.</w:t>
            </w:r>
          </w:p>
        </w:tc>
      </w:tr>
      <w:tr w:rsidR="234CDD88" w:rsidRPr="00535DEB" w14:paraId="1F6BFF70"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663FD1AB" w14:textId="59F718F5" w:rsidR="234CDD88" w:rsidRPr="00535DEB" w:rsidRDefault="234CDD88" w:rsidP="007D751C">
            <w:pPr>
              <w:spacing w:after="0" w:line="276" w:lineRule="auto"/>
              <w:jc w:val="left"/>
              <w:rPr>
                <w:noProof/>
                <w:sz w:val="22"/>
                <w:szCs w:val="22"/>
              </w:rPr>
            </w:pPr>
            <w:r w:rsidRPr="00535DEB">
              <w:rPr>
                <w:noProof/>
                <w:color w:val="000000" w:themeColor="text1"/>
                <w:sz w:val="22"/>
              </w:rPr>
              <w:t>LIFE TEP 2021-2027</w:t>
            </w:r>
            <w:r w:rsidRPr="00535DEB">
              <w:rPr>
                <w:rStyle w:val="FootnoteReference"/>
                <w:rFonts w:eastAsia="Calibri"/>
                <w:noProof/>
                <w:color w:val="000000" w:themeColor="text1"/>
                <w:sz w:val="22"/>
                <w:szCs w:val="22"/>
              </w:rPr>
              <w:footnoteReference w:id="31"/>
            </w:r>
            <w:r w:rsidRPr="00535DEB">
              <w:rPr>
                <w:noProof/>
                <w:color w:val="000000" w:themeColor="text1"/>
                <w:sz w:val="22"/>
              </w:rPr>
              <w:t> </w:t>
            </w:r>
          </w:p>
        </w:tc>
        <w:tc>
          <w:tcPr>
            <w:tcW w:w="2905" w:type="dxa"/>
            <w:tcBorders>
              <w:top w:val="single" w:sz="4" w:space="0" w:color="auto"/>
              <w:left w:val="single" w:sz="4" w:space="0" w:color="auto"/>
              <w:bottom w:val="single" w:sz="4" w:space="0" w:color="auto"/>
              <w:right w:val="single" w:sz="4" w:space="0" w:color="auto"/>
            </w:tcBorders>
            <w:vAlign w:val="center"/>
          </w:tcPr>
          <w:p w14:paraId="46F31BBA" w14:textId="28C7BE6B" w:rsidR="234CDD88" w:rsidRPr="00535DEB" w:rsidRDefault="234CDD88" w:rsidP="007D751C">
            <w:pPr>
              <w:spacing w:after="0" w:line="276" w:lineRule="auto"/>
              <w:jc w:val="center"/>
              <w:rPr>
                <w:noProof/>
                <w:sz w:val="22"/>
                <w:szCs w:val="22"/>
              </w:rPr>
            </w:pPr>
            <w:r w:rsidRPr="00535DEB">
              <w:rPr>
                <w:noProof/>
                <w:color w:val="000000" w:themeColor="text1"/>
                <w:sz w:val="22"/>
              </w:rPr>
              <w:t>8 344 000</w:t>
            </w:r>
          </w:p>
        </w:tc>
      </w:tr>
      <w:tr w:rsidR="234CDD88" w:rsidRPr="00535DEB" w14:paraId="4EC5F9AE"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162150BD" w14:textId="0DF6763F" w:rsidR="234CDD88" w:rsidRPr="00535DEB" w:rsidRDefault="234CDD88" w:rsidP="007D751C">
            <w:pPr>
              <w:spacing w:after="0" w:line="276" w:lineRule="auto"/>
              <w:jc w:val="left"/>
              <w:rPr>
                <w:noProof/>
                <w:sz w:val="22"/>
                <w:szCs w:val="22"/>
              </w:rPr>
            </w:pPr>
            <w:r w:rsidRPr="00535DEB">
              <w:rPr>
                <w:noProof/>
                <w:color w:val="000000" w:themeColor="text1"/>
                <w:sz w:val="22"/>
              </w:rPr>
              <w:t>ELENA</w:t>
            </w:r>
          </w:p>
        </w:tc>
        <w:tc>
          <w:tcPr>
            <w:tcW w:w="2905" w:type="dxa"/>
            <w:tcBorders>
              <w:top w:val="single" w:sz="4" w:space="0" w:color="auto"/>
              <w:left w:val="single" w:sz="4" w:space="0" w:color="auto"/>
              <w:bottom w:val="single" w:sz="4" w:space="0" w:color="auto"/>
              <w:right w:val="single" w:sz="4" w:space="0" w:color="auto"/>
            </w:tcBorders>
            <w:vAlign w:val="center"/>
          </w:tcPr>
          <w:p w14:paraId="733C43F9" w14:textId="3A56946A" w:rsidR="234CDD88" w:rsidRPr="00535DEB" w:rsidRDefault="234CDD88" w:rsidP="007D751C">
            <w:pPr>
              <w:spacing w:after="0" w:line="276" w:lineRule="auto"/>
              <w:jc w:val="center"/>
              <w:rPr>
                <w:noProof/>
                <w:sz w:val="22"/>
                <w:szCs w:val="22"/>
              </w:rPr>
            </w:pPr>
            <w:r w:rsidRPr="00535DEB">
              <w:rPr>
                <w:noProof/>
                <w:color w:val="000000" w:themeColor="text1"/>
                <w:sz w:val="22"/>
              </w:rPr>
              <w:t>4 936 030</w:t>
            </w:r>
          </w:p>
        </w:tc>
      </w:tr>
      <w:tr w:rsidR="234CDD88" w:rsidRPr="00535DEB" w14:paraId="15792C77"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0C5EE540" w14:textId="05FE6C96" w:rsidR="234CDD88" w:rsidRPr="00535DEB" w:rsidRDefault="234CDD88" w:rsidP="007D751C">
            <w:pPr>
              <w:spacing w:after="0" w:line="276" w:lineRule="auto"/>
              <w:jc w:val="left"/>
              <w:rPr>
                <w:rFonts w:eastAsia="Calibri"/>
                <w:noProof/>
                <w:color w:val="000000" w:themeColor="text1"/>
                <w:sz w:val="22"/>
                <w:szCs w:val="22"/>
              </w:rPr>
            </w:pPr>
            <w:r w:rsidRPr="00535DEB">
              <w:rPr>
                <w:noProof/>
                <w:color w:val="000000" w:themeColor="text1"/>
                <w:sz w:val="22"/>
              </w:rPr>
              <w:t>InvestEU</w:t>
            </w:r>
            <w:r w:rsidRPr="00535DEB">
              <w:rPr>
                <w:rStyle w:val="FootnoteReference"/>
                <w:rFonts w:eastAsia="Calibri"/>
                <w:noProof/>
                <w:color w:val="000000" w:themeColor="text1"/>
                <w:sz w:val="22"/>
                <w:szCs w:val="22"/>
              </w:rPr>
              <w:footnoteReference w:id="32"/>
            </w:r>
            <w:r w:rsidRPr="00535DEB">
              <w:rPr>
                <w:noProof/>
                <w:color w:val="000000" w:themeColor="text1"/>
                <w:sz w:val="22"/>
              </w:rPr>
              <w:t> </w:t>
            </w:r>
          </w:p>
        </w:tc>
        <w:tc>
          <w:tcPr>
            <w:tcW w:w="2905" w:type="dxa"/>
            <w:tcBorders>
              <w:top w:val="single" w:sz="4" w:space="0" w:color="auto"/>
              <w:left w:val="single" w:sz="4" w:space="0" w:color="auto"/>
              <w:bottom w:val="single" w:sz="4" w:space="0" w:color="auto"/>
              <w:right w:val="single" w:sz="4" w:space="0" w:color="auto"/>
            </w:tcBorders>
            <w:vAlign w:val="center"/>
          </w:tcPr>
          <w:p w14:paraId="057D7C36" w14:textId="404741EC" w:rsidR="234CDD88" w:rsidRPr="00535DEB" w:rsidRDefault="234CDD88" w:rsidP="007D751C">
            <w:pPr>
              <w:spacing w:after="0" w:line="276" w:lineRule="auto"/>
              <w:jc w:val="center"/>
              <w:rPr>
                <w:noProof/>
                <w:sz w:val="22"/>
                <w:szCs w:val="22"/>
              </w:rPr>
            </w:pPr>
            <w:r w:rsidRPr="00535DEB">
              <w:rPr>
                <w:noProof/>
                <w:color w:val="000000" w:themeColor="text1"/>
                <w:sz w:val="22"/>
              </w:rPr>
              <w:t>230 736</w:t>
            </w:r>
          </w:p>
        </w:tc>
      </w:tr>
      <w:tr w:rsidR="234CDD88" w:rsidRPr="00535DEB" w14:paraId="4BE8207C"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5E1A082" w14:textId="3FF155B6" w:rsidR="234CDD88" w:rsidRPr="00535DEB" w:rsidRDefault="234CDD88" w:rsidP="007D751C">
            <w:pPr>
              <w:spacing w:after="0" w:line="276" w:lineRule="auto"/>
              <w:jc w:val="left"/>
              <w:rPr>
                <w:noProof/>
                <w:sz w:val="22"/>
                <w:szCs w:val="22"/>
              </w:rPr>
            </w:pPr>
            <w:r w:rsidRPr="00535DEB">
              <w:rPr>
                <w:noProof/>
                <w:color w:val="000000" w:themeColor="text1"/>
                <w:sz w:val="22"/>
              </w:rPr>
              <w:t>Facilité pour la reprise et la résilience</w:t>
            </w:r>
            <w:r w:rsidRPr="00535DEB">
              <w:rPr>
                <w:rStyle w:val="FootnoteReference"/>
                <w:rFonts w:eastAsia="Calibri"/>
                <w:noProof/>
                <w:color w:val="000000" w:themeColor="text1"/>
                <w:sz w:val="22"/>
                <w:szCs w:val="22"/>
              </w:rPr>
              <w:footnoteReference w:id="33"/>
            </w:r>
          </w:p>
        </w:tc>
        <w:tc>
          <w:tcPr>
            <w:tcW w:w="2905" w:type="dxa"/>
            <w:tcBorders>
              <w:top w:val="single" w:sz="4" w:space="0" w:color="auto"/>
              <w:left w:val="single" w:sz="4" w:space="0" w:color="auto"/>
              <w:bottom w:val="single" w:sz="4" w:space="0" w:color="auto"/>
              <w:right w:val="single" w:sz="4" w:space="0" w:color="auto"/>
            </w:tcBorders>
            <w:vAlign w:val="center"/>
          </w:tcPr>
          <w:p w14:paraId="59D675D4" w14:textId="37391DA6" w:rsidR="234CDD88" w:rsidRPr="00535DEB" w:rsidRDefault="234CDD88" w:rsidP="007D751C">
            <w:pPr>
              <w:spacing w:after="0" w:line="276" w:lineRule="auto"/>
              <w:jc w:val="center"/>
              <w:rPr>
                <w:noProof/>
                <w:sz w:val="22"/>
                <w:szCs w:val="22"/>
              </w:rPr>
            </w:pPr>
            <w:r w:rsidRPr="00535DEB">
              <w:rPr>
                <w:noProof/>
                <w:color w:val="000000" w:themeColor="text1"/>
                <w:sz w:val="22"/>
              </w:rPr>
              <w:t>33 388 511</w:t>
            </w:r>
          </w:p>
        </w:tc>
      </w:tr>
      <w:tr w:rsidR="234CDD88" w:rsidRPr="00535DEB" w14:paraId="7E1CC741"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27BE1D6" w14:textId="2BE8A743" w:rsidR="234CDD88" w:rsidRPr="00535DEB" w:rsidRDefault="234CDD88" w:rsidP="007D751C">
            <w:pPr>
              <w:spacing w:after="0" w:line="276" w:lineRule="auto"/>
              <w:jc w:val="left"/>
              <w:rPr>
                <w:noProof/>
                <w:sz w:val="22"/>
                <w:szCs w:val="22"/>
              </w:rPr>
            </w:pPr>
            <w:r w:rsidRPr="00535DEB">
              <w:rPr>
                <w:noProof/>
                <w:color w:val="000000" w:themeColor="text1"/>
                <w:sz w:val="22"/>
              </w:rPr>
              <w:t>Fonds pour la modernisation</w:t>
            </w:r>
          </w:p>
        </w:tc>
        <w:tc>
          <w:tcPr>
            <w:tcW w:w="2905" w:type="dxa"/>
            <w:tcBorders>
              <w:top w:val="single" w:sz="4" w:space="0" w:color="auto"/>
              <w:left w:val="single" w:sz="4" w:space="0" w:color="auto"/>
              <w:bottom w:val="single" w:sz="4" w:space="0" w:color="auto"/>
              <w:right w:val="single" w:sz="4" w:space="0" w:color="auto"/>
            </w:tcBorders>
            <w:vAlign w:val="center"/>
          </w:tcPr>
          <w:p w14:paraId="7CE994B6" w14:textId="6EFC9DE0" w:rsidR="234CDD88" w:rsidRPr="00535DEB" w:rsidRDefault="234CDD88" w:rsidP="007D751C">
            <w:pPr>
              <w:spacing w:after="0" w:line="276" w:lineRule="auto"/>
              <w:jc w:val="center"/>
              <w:rPr>
                <w:noProof/>
                <w:sz w:val="22"/>
                <w:szCs w:val="22"/>
              </w:rPr>
            </w:pPr>
            <w:r w:rsidRPr="00535DEB">
              <w:rPr>
                <w:noProof/>
                <w:color w:val="000000" w:themeColor="text1"/>
                <w:sz w:val="22"/>
              </w:rPr>
              <w:t>26 886 804</w:t>
            </w:r>
          </w:p>
        </w:tc>
      </w:tr>
    </w:tbl>
    <w:p w14:paraId="2D21328F" w14:textId="4D5D58C6" w:rsidR="00343889" w:rsidRPr="00535DEB" w:rsidRDefault="00343889" w:rsidP="004854A6">
      <w:pPr>
        <w:pStyle w:val="Text2"/>
        <w:spacing w:after="0" w:line="276" w:lineRule="auto"/>
        <w:ind w:left="720"/>
        <w:rPr>
          <w:noProof/>
          <w:sz w:val="20"/>
        </w:rPr>
      </w:pPr>
      <w:r w:rsidRPr="00535DEB">
        <w:rPr>
          <w:noProof/>
          <w:sz w:val="20"/>
        </w:rPr>
        <w:t>* Mégawattheure</w:t>
      </w:r>
    </w:p>
    <w:p w14:paraId="4750FA22" w14:textId="405DBF39" w:rsidR="234CDD88" w:rsidRPr="00535DEB" w:rsidRDefault="00F83249" w:rsidP="007D751C">
      <w:pPr>
        <w:pStyle w:val="Text2"/>
        <w:spacing w:line="276" w:lineRule="auto"/>
        <w:ind w:left="720"/>
        <w:rPr>
          <w:noProof/>
          <w:sz w:val="20"/>
        </w:rPr>
      </w:pPr>
      <w:r w:rsidRPr="00535DEB">
        <w:rPr>
          <w:noProof/>
          <w:sz w:val="20"/>
        </w:rPr>
        <w:t>Source: Commission européenne, 2024.</w:t>
      </w:r>
    </w:p>
    <w:p w14:paraId="239B5BE4" w14:textId="677DB21D" w:rsidR="1B80C3B4" w:rsidRPr="00535DEB" w:rsidRDefault="00343889" w:rsidP="007D751C">
      <w:pPr>
        <w:pStyle w:val="Text2"/>
        <w:spacing w:line="276" w:lineRule="auto"/>
        <w:ind w:left="0"/>
        <w:rPr>
          <w:noProof/>
        </w:rPr>
      </w:pPr>
      <w:r w:rsidRPr="00535DEB">
        <w:rPr>
          <w:noProof/>
        </w:rPr>
        <w:t>Sur la base des données disponibles, à la fin de 2023, les économies d’énergie annuelles réalisées grâce aux fonds de l’UE s’élevaient à 81,9 Twh, ce qui équivaut à environ 6 % des efforts supplémentaires nécessaires pour atteindre l’objectif de l’Union en matière d’efficacité énergétique à l’horizon 2030. Toutefois, pour les raisons exposées ci-dessus, ce chiffre repose sur des données incomplètes et ne représente pas l’incidence réelle du financement de l’UE.</w:t>
      </w:r>
    </w:p>
    <w:p w14:paraId="5874BE2D" w14:textId="767F8205" w:rsidR="0FF9D307" w:rsidRPr="00535DEB" w:rsidRDefault="00153F01" w:rsidP="007D751C">
      <w:pPr>
        <w:pStyle w:val="Heading3"/>
        <w:spacing w:line="276" w:lineRule="auto"/>
        <w:rPr>
          <w:i w:val="0"/>
          <w:noProof/>
        </w:rPr>
      </w:pPr>
      <w:r w:rsidRPr="00535DEB">
        <w:rPr>
          <w:noProof/>
        </w:rPr>
        <w:t>Programmes nationaux</w:t>
      </w:r>
    </w:p>
    <w:p w14:paraId="554B8C8F" w14:textId="43F62204" w:rsidR="00AB1139" w:rsidRPr="00535DEB" w:rsidRDefault="006B0FF9" w:rsidP="007D751C">
      <w:pPr>
        <w:pStyle w:val="Text2"/>
        <w:spacing w:line="276" w:lineRule="auto"/>
        <w:ind w:left="0"/>
        <w:rPr>
          <w:noProof/>
        </w:rPr>
      </w:pPr>
      <w:r w:rsidRPr="00535DEB">
        <w:rPr>
          <w:b/>
          <w:noProof/>
        </w:rPr>
        <w:t>Les données relatives aux économies d’énergie sont communiquées de manière inégale.</w:t>
      </w:r>
      <w:r w:rsidRPr="00535DEB">
        <w:rPr>
          <w:noProof/>
        </w:rPr>
        <w:t xml:space="preserve"> Dans trois États membres (le Danemark, l’Irlande et l’Espagne), des économies d’énergie ont été déclarées pour plus de 80 % des programmes, tandis que 8 États membres n’ont établi aucun rapport. Au total, des économies d’énergie sont déclarées pour 135 programmes seulement dans toute l’Europe.</w:t>
      </w:r>
    </w:p>
    <w:p w14:paraId="0C02E733" w14:textId="2E6FA498" w:rsidR="006B0FF9" w:rsidRPr="00535DEB" w:rsidRDefault="006B0FF9" w:rsidP="007D751C">
      <w:pPr>
        <w:pStyle w:val="Text2"/>
        <w:spacing w:line="276" w:lineRule="auto"/>
        <w:ind w:left="0"/>
        <w:rPr>
          <w:noProof/>
        </w:rPr>
      </w:pPr>
      <w:bookmarkStart w:id="5" w:name="_Hlk202279253"/>
      <w:r w:rsidRPr="00535DEB">
        <w:rPr>
          <w:b/>
          <w:noProof/>
        </w:rPr>
        <w:t>Il n’existe pas de méthode standard pour rendre compte des gains d’efficacité énergétique.</w:t>
      </w:r>
      <w:r w:rsidRPr="00535DEB">
        <w:rPr>
          <w:noProof/>
        </w:rPr>
        <w:t xml:space="preserve"> Les économies d’énergie peuvent être soit estimées ex ante, soit déclarées ex post. La plupart des programmes (95 sur 137) communiquent des données relatives à la consommation d'énergie finale, mais cinq États membres utilisent des données relatives à la consommation d'énergie primaire et certains (par exemple l’Espagne, la Pologne et Malte) communiquent des données se rapportant soit à la consommation d'énergie primaire soit à la consommation d'énergie finale en fonction du programme.</w:t>
      </w:r>
      <w:bookmarkEnd w:id="5"/>
    </w:p>
    <w:p w14:paraId="59EFCA3D" w14:textId="73FDE53E" w:rsidR="00835F55" w:rsidRPr="00535DEB" w:rsidRDefault="03747A30" w:rsidP="005D3B37">
      <w:pPr>
        <w:pStyle w:val="Text2"/>
        <w:spacing w:line="276" w:lineRule="auto"/>
        <w:ind w:left="0"/>
        <w:rPr>
          <w:noProof/>
          <w:color w:val="FF0000"/>
        </w:rPr>
      </w:pPr>
      <w:r w:rsidRPr="00535DEB">
        <w:rPr>
          <w:noProof/>
        </w:rPr>
        <w:t>Pour la période 2014-2024 étudiée dans le présent rapport, des données sur les économies d’énergie ont été communiquées pour 135 programmes nationaux (moins de 30 %). Les économies d’énergie totales déclarées s’élevaient à 135 611 696,46 MWh = 135,6 TWh</w:t>
      </w:r>
      <w:r w:rsidRPr="00535DEB">
        <w:rPr>
          <w:rStyle w:val="FootnoteReference"/>
          <w:noProof/>
        </w:rPr>
        <w:footnoteReference w:id="34"/>
      </w:r>
      <w:r w:rsidRPr="00535DEB">
        <w:rPr>
          <w:noProof/>
        </w:rPr>
        <w:t>, soit environ 10 % des efforts supplémentaires nécessaires pour atteindre l’objectif de l’Union en matière d’efficacité énergétique à l’horizon 2030.</w:t>
      </w:r>
    </w:p>
    <w:p w14:paraId="124D0401" w14:textId="1945A191" w:rsidR="234CDD88" w:rsidRPr="00535DEB" w:rsidRDefault="00A45571" w:rsidP="0031363B">
      <w:pPr>
        <w:spacing w:after="0" w:line="276" w:lineRule="auto"/>
        <w:rPr>
          <w:i/>
          <w:iCs/>
          <w:noProof/>
        </w:rPr>
      </w:pPr>
      <w:r w:rsidRPr="00535DEB">
        <w:rPr>
          <w:i/>
          <w:noProof/>
        </w:rPr>
        <w:t>Graphique 5/tableau 11: économies d’énergie estimées dans certains pays</w:t>
      </w:r>
    </w:p>
    <w:p w14:paraId="4D49DFD2" w14:textId="00D946D8" w:rsidR="193AAECC" w:rsidRPr="00535DEB" w:rsidRDefault="00111AF6" w:rsidP="007D751C">
      <w:pPr>
        <w:pStyle w:val="Text2"/>
        <w:spacing w:line="276" w:lineRule="auto"/>
        <w:ind w:left="0"/>
        <w:rPr>
          <w:noProof/>
        </w:rPr>
      </w:pPr>
      <w:r w:rsidRPr="00C51565">
        <w:rPr>
          <w:noProof/>
          <w:lang w:val="en-GB" w:eastAsia="en-GB"/>
        </w:rPr>
        <w:drawing>
          <wp:inline distT="0" distB="0" distL="0" distR="0" wp14:anchorId="2A7F808C" wp14:editId="490BA691">
            <wp:extent cx="5472430" cy="3472815"/>
            <wp:effectExtent l="0" t="0" r="0" b="0"/>
            <wp:docPr id="433254148" name="Picture 1" descr="A graph with orange and blu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54148" name="Picture 1" descr="A graph with orange and blue lines"/>
                    <pic:cNvPicPr/>
                  </pic:nvPicPr>
                  <pic:blipFill>
                    <a:blip r:embed="rId22"/>
                    <a:stretch>
                      <a:fillRect/>
                    </a:stretch>
                  </pic:blipFill>
                  <pic:spPr>
                    <a:xfrm>
                      <a:off x="0" y="0"/>
                      <a:ext cx="5472430" cy="3472815"/>
                    </a:xfrm>
                    <a:prstGeom prst="rect">
                      <a:avLst/>
                    </a:prstGeom>
                  </pic:spPr>
                </pic:pic>
              </a:graphicData>
            </a:graphic>
          </wp:inline>
        </w:drawing>
      </w:r>
    </w:p>
    <w:p w14:paraId="602B5544" w14:textId="088F911D" w:rsidR="006E09AE" w:rsidRPr="00535DEB" w:rsidRDefault="006E09AE" w:rsidP="007D751C">
      <w:pPr>
        <w:pStyle w:val="Heading1"/>
        <w:spacing w:line="276" w:lineRule="auto"/>
        <w:rPr>
          <w:noProof/>
        </w:rPr>
      </w:pPr>
      <w:r w:rsidRPr="00535DEB">
        <w:rPr>
          <w:noProof/>
        </w:rPr>
        <w:t>Principales constatations et conclusions</w:t>
      </w:r>
    </w:p>
    <w:p w14:paraId="2DCA6C6A" w14:textId="7FCB5728" w:rsidR="006E09AE" w:rsidRPr="00535DEB" w:rsidRDefault="607AD409" w:rsidP="007D751C">
      <w:pPr>
        <w:pStyle w:val="Heading2"/>
        <w:spacing w:line="276" w:lineRule="auto"/>
        <w:rPr>
          <w:noProof/>
        </w:rPr>
      </w:pPr>
      <w:r w:rsidRPr="00535DEB">
        <w:rPr>
          <w:noProof/>
        </w:rPr>
        <w:t>Principales constatations</w:t>
      </w:r>
    </w:p>
    <w:p w14:paraId="13373811" w14:textId="1D544C44" w:rsidR="00AA337C" w:rsidRPr="00535DEB" w:rsidRDefault="00FB395A" w:rsidP="007D751C">
      <w:pPr>
        <w:spacing w:line="276" w:lineRule="auto"/>
        <w:rPr>
          <w:noProof/>
        </w:rPr>
      </w:pPr>
      <w:r w:rsidRPr="00535DEB">
        <w:rPr>
          <w:noProof/>
        </w:rPr>
        <w:t xml:space="preserve">Le présent rapport montre que </w:t>
      </w:r>
      <w:r w:rsidRPr="00535DEB">
        <w:rPr>
          <w:b/>
          <w:noProof/>
        </w:rPr>
        <w:t>des progrès considérables ont été accomplis ces dernières années dans le domaine du financement de l’efficacité énergétique</w:t>
      </w:r>
      <w:r w:rsidRPr="00535DEB">
        <w:rPr>
          <w:noProof/>
        </w:rPr>
        <w:t>, ce qui témoigne d’une augmentation significative du budget de l’Union. Cette augmentation du financement est une étape cruciale vers la réalisation des objectifs de durabilité à long terme et la satisfaction de la demande de rénovations visant à accroître la performance énergétique.</w:t>
      </w:r>
    </w:p>
    <w:p w14:paraId="6E9AB235" w14:textId="00D47F87" w:rsidR="006111CA" w:rsidRPr="00535DEB" w:rsidRDefault="00C3144A" w:rsidP="007D751C">
      <w:pPr>
        <w:spacing w:line="276" w:lineRule="auto"/>
        <w:rPr>
          <w:noProof/>
        </w:rPr>
      </w:pPr>
      <w:r w:rsidRPr="00535DEB">
        <w:rPr>
          <w:noProof/>
        </w:rPr>
        <w:t xml:space="preserve">Toutefois, une évaluation de 486 régimes nationaux a révélé le </w:t>
      </w:r>
      <w:r w:rsidRPr="00535DEB">
        <w:rPr>
          <w:b/>
          <w:noProof/>
        </w:rPr>
        <w:t>recours limité aux régimes de financement mixtes et remboursables</w:t>
      </w:r>
      <w:r w:rsidRPr="00535DEB">
        <w:rPr>
          <w:noProof/>
        </w:rPr>
        <w:t>, qui représentent actuellement moins de 25 % du total. Cette sous-utilisation est due non seulement à la complexité de ces régimes par rapport à ceux fondés sur des subventions, mais aussi aux capacités inexistantes ou limitées?? des entités de financement nationales spécialisées dans la mobilisation d’investissements en faveur de l’efficacité énergétique.</w:t>
      </w:r>
    </w:p>
    <w:p w14:paraId="52132EF3" w14:textId="3D57B159" w:rsidR="00F96170" w:rsidRPr="00535DEB" w:rsidRDefault="00534888" w:rsidP="007D751C">
      <w:pPr>
        <w:spacing w:line="276" w:lineRule="auto"/>
        <w:rPr>
          <w:noProof/>
        </w:rPr>
      </w:pPr>
      <w:r w:rsidRPr="00535DEB">
        <w:rPr>
          <w:noProof/>
        </w:rPr>
        <w:t xml:space="preserve">Bien que les instruments financiers puissent mobiliser des niveaux plus élevés d’investissements privés, ils sont moins fréquemment utilisés que les subventions. Cela montre la nécessité d’une interaction plus efficace entre les subventions et les instruments financiers. </w:t>
      </w:r>
      <w:r w:rsidRPr="00535DEB">
        <w:rPr>
          <w:b/>
          <w:noProof/>
        </w:rPr>
        <w:t>Les subventions devraient contribuer à répondre à des besoins sociaux ou sectoriels spécifiques</w:t>
      </w:r>
      <w:r w:rsidRPr="00535DEB">
        <w:rPr>
          <w:noProof/>
        </w:rPr>
        <w:t xml:space="preserve">, tels que les ménages vulnérables, les microentreprises ou les bâtiments les moins performants, </w:t>
      </w:r>
      <w:r w:rsidRPr="00535DEB">
        <w:rPr>
          <w:b/>
          <w:noProof/>
        </w:rPr>
        <w:t>tandis que les instruments financiers devraient être intégrés</w:t>
      </w:r>
      <w:r w:rsidRPr="00535DEB">
        <w:rPr>
          <w:noProof/>
        </w:rPr>
        <w:t>, de manière à s’étendre à d’autres domaines, pour augmenter autant que possible les retombées des fonds publics.</w:t>
      </w:r>
    </w:p>
    <w:p w14:paraId="380638A2" w14:textId="30BE444C" w:rsidR="0024404F" w:rsidRPr="00535DEB" w:rsidRDefault="00A4545A" w:rsidP="005D3B37">
      <w:pPr>
        <w:spacing w:line="276" w:lineRule="auto"/>
        <w:rPr>
          <w:noProof/>
        </w:rPr>
      </w:pPr>
      <w:r w:rsidRPr="00535DEB">
        <w:rPr>
          <w:noProof/>
        </w:rPr>
        <w:t xml:space="preserve">En outre, des données probantes afférentes aux instruments financiers relevant de la politique de cohésion indiquent que </w:t>
      </w:r>
      <w:r w:rsidRPr="00535DEB">
        <w:rPr>
          <w:b/>
          <w:noProof/>
        </w:rPr>
        <w:t>les subventions peuvent être efficacement combinées à des instruments financiers</w:t>
      </w:r>
      <w:r w:rsidRPr="00535DEB">
        <w:rPr>
          <w:noProof/>
        </w:rPr>
        <w:t xml:space="preserve"> pour améliorer la préparation des projets, favoriser des rénovations énergétiques plus lourdes et améliorer l’accessibilité économique pour les ménages à faible revenu en situation de précarité énergétique. Diverses formes de subventions – telles que les bonifications d’intérêts ou les contributions aux primes de garantie, l’assistance technique, les aides à l’investissement et les remboursements de capital – peuvent être combinées avec des prêts, des garanties ou des participations en une seule opération, ce qui rend les régimes plus attrayants tant pour le marché que pour les intermédiaires financiers. L’expérience tirée de la facilité pour la reprise et la résilience fait ressortir l’importance de combiner l’aide à l’investissement avec des réformes, ainsi qu’avec la mise en place des réseaux de soutien nécessaires (par exemple, des guichets uniques).</w:t>
      </w:r>
    </w:p>
    <w:p w14:paraId="59300BC5" w14:textId="07ECC535" w:rsidR="00FB4195" w:rsidRPr="00535DEB" w:rsidRDefault="00E5560A" w:rsidP="007D751C">
      <w:pPr>
        <w:spacing w:line="276" w:lineRule="auto"/>
        <w:rPr>
          <w:noProof/>
        </w:rPr>
      </w:pPr>
      <w:r w:rsidRPr="00535DEB">
        <w:rPr>
          <w:b/>
          <w:noProof/>
        </w:rPr>
        <w:t>Les fonds de l’UE en faveur de l’efficacité énergétique sont répartis entre divers programmes nationaux et régionaux</w:t>
      </w:r>
      <w:r w:rsidRPr="00535DEB">
        <w:rPr>
          <w:noProof/>
        </w:rPr>
        <w:t>,</w:t>
      </w:r>
      <w:r w:rsidRPr="00535DEB">
        <w:rPr>
          <w:b/>
          <w:noProof/>
        </w:rPr>
        <w:t xml:space="preserve"> </w:t>
      </w:r>
      <w:r w:rsidRPr="00535DEB">
        <w:rPr>
          <w:noProof/>
        </w:rPr>
        <w:t xml:space="preserve">chacun étant géré par différentes organisations. Cette fragmentation et le </w:t>
      </w:r>
      <w:r w:rsidRPr="00535DEB">
        <w:rPr>
          <w:b/>
          <w:noProof/>
        </w:rPr>
        <w:t>manque de coordination</w:t>
      </w:r>
      <w:r w:rsidRPr="00535DEB">
        <w:rPr>
          <w:noProof/>
        </w:rPr>
        <w:t xml:space="preserve"> entre les institutions publiques et financières limitent le recours au financement mixte et restreignent la mobilisation des investissements privés.</w:t>
      </w:r>
    </w:p>
    <w:p w14:paraId="3A633840" w14:textId="76DDED39" w:rsidR="00356E2A" w:rsidRPr="00535DEB" w:rsidRDefault="009D4EB8" w:rsidP="007D751C">
      <w:pPr>
        <w:spacing w:line="276" w:lineRule="auto"/>
        <w:rPr>
          <w:noProof/>
        </w:rPr>
      </w:pPr>
      <w:r w:rsidRPr="00535DEB">
        <w:rPr>
          <w:noProof/>
        </w:rPr>
        <w:t xml:space="preserve">De plus, </w:t>
      </w:r>
      <w:r w:rsidRPr="00535DEB">
        <w:rPr>
          <w:b/>
          <w:noProof/>
        </w:rPr>
        <w:t>il serait possible de rendre le financement public plus efficace en privilégiant les projets agrégés par rapport aux projets individuels</w:t>
      </w:r>
      <w:r w:rsidRPr="00535DEB">
        <w:rPr>
          <w:noProof/>
        </w:rPr>
        <w:t>. Il s’agit notamment de soutenir la normalisation, de créer des économies d’échelle et d’atteindre une taille critique pour accéder au financement. Toutefois, l’aide aux agrégateurs de projets est souvent limitée par les règles et les réglementations, y compris les pratiques bancaires en matière de financement à long terme, de garanties et de sûretés. Parallèlement, les programmes pertinents financés par l’UE, tels qu’ELENA et LIFE TEP, qui utilisent efficacement les ressources du budget de l’Union et se sont révélés avoir un effet de levier et un effet multiplicateur importants, disposent d’un budget relativement modeste.</w:t>
      </w:r>
    </w:p>
    <w:p w14:paraId="7DB38F53" w14:textId="78F60777" w:rsidR="00AC78FB" w:rsidRPr="00535DEB" w:rsidRDefault="0038592B" w:rsidP="007D751C">
      <w:pPr>
        <w:spacing w:line="276" w:lineRule="auto"/>
        <w:rPr>
          <w:noProof/>
        </w:rPr>
      </w:pPr>
      <w:r w:rsidRPr="00535DEB">
        <w:rPr>
          <w:b/>
          <w:noProof/>
        </w:rPr>
        <w:t>L’absence de données et de rapports normalisés sur les économies d’énergie, les investissements et les projets liés à l’efficacité énergétique</w:t>
      </w:r>
      <w:r w:rsidRPr="00535DEB">
        <w:rPr>
          <w:noProof/>
        </w:rPr>
        <w:t xml:space="preserve"> continue de constituer un problème en ce qui concerne l’évaluation des progrès accomplis et la mesure des retombées. Cela vaut en particulier pour les programmes de plus grande ampleur ou les populations cibles spécifiques (par exemple, les ménages vulnérables) et pour les bâtiments les moins performants, qui ont le plus à gagner des rénovations énergétiques.</w:t>
      </w:r>
    </w:p>
    <w:p w14:paraId="0FB38BE5" w14:textId="22ECABF9" w:rsidR="006E09AE" w:rsidRPr="00535DEB" w:rsidRDefault="00001143" w:rsidP="007D751C">
      <w:pPr>
        <w:pStyle w:val="Heading2"/>
        <w:spacing w:line="276" w:lineRule="auto"/>
        <w:rPr>
          <w:noProof/>
        </w:rPr>
      </w:pPr>
      <w:r w:rsidRPr="00535DEB">
        <w:rPr>
          <w:noProof/>
        </w:rPr>
        <w:t>Conclusions</w:t>
      </w:r>
    </w:p>
    <w:p w14:paraId="1BB4767A" w14:textId="1BE85828" w:rsidR="009D3CA6" w:rsidRPr="00535DEB" w:rsidRDefault="00BC3054" w:rsidP="00C3144A">
      <w:pPr>
        <w:spacing w:line="276" w:lineRule="auto"/>
        <w:rPr>
          <w:noProof/>
        </w:rPr>
      </w:pPr>
      <w:r w:rsidRPr="00535DEB">
        <w:rPr>
          <w:noProof/>
        </w:rPr>
        <w:t xml:space="preserve">Malgré des progrès notables dans le renforcement du soutien public aux projets d’efficacité énergétique, </w:t>
      </w:r>
      <w:r w:rsidRPr="00535DEB">
        <w:rPr>
          <w:b/>
          <w:noProof/>
        </w:rPr>
        <w:t>le financement public ne couvre actuellement qu’une proportion limitée (15 %) du total estimé des besoins d’investissements nécessaires</w:t>
      </w:r>
      <w:r w:rsidRPr="00535DEB">
        <w:rPr>
          <w:noProof/>
        </w:rPr>
        <w:t xml:space="preserve"> pour atteindre les objectifs de l’Union en matière d’efficacité énergétique à l’horizon</w:t>
      </w:r>
      <w:r w:rsidRPr="00535DEB">
        <w:rPr>
          <w:b/>
          <w:noProof/>
        </w:rPr>
        <w:t xml:space="preserve"> </w:t>
      </w:r>
      <w:r w:rsidRPr="00535DEB">
        <w:rPr>
          <w:noProof/>
        </w:rPr>
        <w:t>2030.</w:t>
      </w:r>
      <w:r w:rsidRPr="00535DEB">
        <w:rPr>
          <w:b/>
          <w:noProof/>
        </w:rPr>
        <w:t xml:space="preserve"> La fin de la FRR en 2026 risque d’aggraver davantage ce déficit d’investissement</w:t>
      </w:r>
      <w:r w:rsidRPr="00535DEB">
        <w:rPr>
          <w:noProof/>
        </w:rPr>
        <w:t xml:space="preserve">, compliquant la réalisation du plein potentiel de l’efficacité énergétique. </w:t>
      </w:r>
    </w:p>
    <w:p w14:paraId="20F6A271" w14:textId="60780421" w:rsidR="00C3144A" w:rsidRPr="00535DEB" w:rsidRDefault="000378A8" w:rsidP="00C3144A">
      <w:pPr>
        <w:spacing w:line="276" w:lineRule="auto"/>
        <w:rPr>
          <w:noProof/>
        </w:rPr>
      </w:pPr>
      <w:r w:rsidRPr="00535DEB">
        <w:rPr>
          <w:noProof/>
        </w:rPr>
        <w:t>Les rénovations de bâtiments et les améliorations de l’efficacité énergétique dans les PME et les microentreprises permettent de réaliser d’importantes économies à long terme, mais les ménages vulnérables et les PME en particulier ont besoin d’une aide financière pour couvrir les coûts initiaux des investissements de départ.</w:t>
      </w:r>
    </w:p>
    <w:p w14:paraId="4C882261" w14:textId="45D58CF0" w:rsidR="00114478" w:rsidRPr="00535DEB" w:rsidRDefault="00894C62" w:rsidP="004854A6">
      <w:pPr>
        <w:pStyle w:val="Text2"/>
        <w:spacing w:line="276" w:lineRule="auto"/>
        <w:ind w:left="0"/>
        <w:rPr>
          <w:noProof/>
          <w:szCs w:val="24"/>
        </w:rPr>
      </w:pPr>
      <w:r w:rsidRPr="00535DEB">
        <w:rPr>
          <w:noProof/>
        </w:rPr>
        <w:t>Des régimes de financement plus efficaces, mieux ciblés et fondés sur la performance aux niveaux régional, national et de l’Union peuvent permettre de débloquer des solutions énergétiques simples, adaptées et attrayantes pour les citoyens et les entreprises.</w:t>
      </w:r>
    </w:p>
    <w:p w14:paraId="4207DF97" w14:textId="60ABC0F4" w:rsidR="00CA4089" w:rsidRPr="00535DEB" w:rsidRDefault="00CA4089" w:rsidP="00CA4089">
      <w:pPr>
        <w:spacing w:line="276" w:lineRule="auto"/>
        <w:rPr>
          <w:noProof/>
        </w:rPr>
      </w:pPr>
      <w:r w:rsidRPr="00535DEB">
        <w:rPr>
          <w:noProof/>
        </w:rPr>
        <w:t xml:space="preserve">Par conséquent, il est urgent de </w:t>
      </w:r>
      <w:r w:rsidRPr="00535DEB">
        <w:rPr>
          <w:b/>
          <w:noProof/>
        </w:rPr>
        <w:t>maximiser l’effet catalyseur et de transformation du marché du financement public afin de débloquer d’importants investissements privés et d’exploiter le potentiel de l’efficacité énergétique en termes de compétitivité, d’accessibilité économique de l’énergie, de sécurité, de santé et de qualité de vie</w:t>
      </w:r>
      <w:r w:rsidRPr="00535DEB">
        <w:rPr>
          <w:noProof/>
        </w:rPr>
        <w:t xml:space="preserve">, faisant en sorte que l’Union atteigne ses objectifs d’efficacité énergétique, en particulier en ce qui concerne la rénovation des bâtiments, à l’horizon 2030 et au-delà. En outre, des instruments et mesures stratégiques spécifiques devraient continuer d’aider à stimuler la demande d’investissements dans l’efficacité énergétique, y compris, par exemple, des services de guichets uniques, ainsi qu'à stimuler l’offre de solutions de financement innovantes et privées en faveur de l’efficacité énergétique, notamment en simplifiant et développant le marché des services d’efficacité énergétique. </w:t>
      </w:r>
    </w:p>
    <w:p w14:paraId="079E6026" w14:textId="216A1498" w:rsidR="00FC0143" w:rsidRPr="00535DEB" w:rsidRDefault="009155F9" w:rsidP="007D751C">
      <w:pPr>
        <w:pStyle w:val="Text2"/>
        <w:spacing w:line="276" w:lineRule="auto"/>
        <w:ind w:left="0"/>
        <w:rPr>
          <w:noProof/>
        </w:rPr>
      </w:pPr>
      <w:r w:rsidRPr="00535DEB">
        <w:rPr>
          <w:noProof/>
        </w:rPr>
        <w:t>La modernisation du champ d’application du budget proposé pour la période 2028-2034 permet de mettre en œuvre cette optimisation.  En particulier, les plans de partenariat nationaux et régionaux établiront un lien entre les réformes et les investissements, notamment pour améliorer l’efficacité énergétique, parallèlement au nouveau Fonds européen pour la compétitivité, qui renforcera l’économie de l’Union au moyen d’investissements visant à décarboner l’économie européenne et à promouvoir l’efficacité énergétique.</w:t>
      </w:r>
    </w:p>
    <w:p w14:paraId="5B910C69" w14:textId="3F3CF589" w:rsidR="00114478" w:rsidRPr="00535DEB" w:rsidRDefault="009155F9" w:rsidP="00893876">
      <w:pPr>
        <w:pStyle w:val="Text2"/>
        <w:spacing w:line="276" w:lineRule="auto"/>
        <w:ind w:left="0"/>
        <w:rPr>
          <w:noProof/>
        </w:rPr>
      </w:pPr>
      <w:r w:rsidRPr="00535DEB">
        <w:rPr>
          <w:noProof/>
        </w:rPr>
        <w:t xml:space="preserve">Le budget de l’Union soutiendra également </w:t>
      </w:r>
      <w:r w:rsidRPr="00535DEB">
        <w:rPr>
          <w:b/>
          <w:noProof/>
        </w:rPr>
        <w:t>l’élaboration d’instruments financiers et de régimes de financement mixtes et leur expansion</w:t>
      </w:r>
      <w:r w:rsidRPr="00535DEB">
        <w:rPr>
          <w:noProof/>
        </w:rPr>
        <w:t>, en combinant des subventions, des services de conseil et des garanties pour répondre aux besoins sectoriels. La</w:t>
      </w:r>
      <w:r w:rsidRPr="00535DEB">
        <w:rPr>
          <w:b/>
          <w:noProof/>
        </w:rPr>
        <w:t xml:space="preserve"> recommandation de la Commission sur la libération des investissements privés dans l’efficacité énergétique </w:t>
      </w:r>
      <w:r w:rsidRPr="00535DEB">
        <w:rPr>
          <w:noProof/>
        </w:rPr>
        <w:t>fournit des orientations précieuses et des exemples concrets aux États membres et aux acteurs du marché pour mobiliser les ressources du secteur privé.</w:t>
      </w:r>
    </w:p>
    <w:p w14:paraId="43EB1CBC" w14:textId="6909AA20" w:rsidR="00114478" w:rsidRPr="00535DEB" w:rsidRDefault="00114478" w:rsidP="00893876">
      <w:pPr>
        <w:spacing w:after="0" w:line="276" w:lineRule="auto"/>
        <w:rPr>
          <w:noProof/>
          <w:szCs w:val="24"/>
        </w:rPr>
      </w:pPr>
      <w:r w:rsidRPr="00535DEB">
        <w:rPr>
          <w:b/>
          <w:noProof/>
        </w:rPr>
        <w:t>Une aide dynamique au développement de projets, des initiatives fortes en faveur de la pénétration sur le marché et des mesures solides de renforcement des capacités</w:t>
      </w:r>
      <w:r w:rsidRPr="00535DEB">
        <w:rPr>
          <w:noProof/>
        </w:rPr>
        <w:t xml:space="preserve"> sont nécessaires pour améliorer l’efficacité et le recours aux fonds publics et privés. Dans le cadre du prochain CFP, afin de préparer le terrain pour des programmes d’investissement direct de plus grande envergure, la Commission s’appuiera sur des programmes existants de l’UE, tels que LIFE TEP et ELENA, qui ont démontré un fort effet de levier en termes d’investissements et d’économies d’énergie.</w:t>
      </w:r>
    </w:p>
    <w:p w14:paraId="713DDA53" w14:textId="77777777" w:rsidR="00114478" w:rsidRPr="00535DEB" w:rsidRDefault="00114478" w:rsidP="004854A6">
      <w:pPr>
        <w:spacing w:after="0" w:line="276" w:lineRule="auto"/>
        <w:rPr>
          <w:noProof/>
          <w:szCs w:val="24"/>
        </w:rPr>
      </w:pPr>
    </w:p>
    <w:p w14:paraId="10B1183B" w14:textId="4E3AE189" w:rsidR="00FC0143" w:rsidRPr="00535DEB" w:rsidRDefault="00FC0143" w:rsidP="00FC0143">
      <w:pPr>
        <w:spacing w:line="276" w:lineRule="auto"/>
        <w:rPr>
          <w:noProof/>
          <w:szCs w:val="24"/>
        </w:rPr>
      </w:pPr>
      <w:r w:rsidRPr="00535DEB">
        <w:rPr>
          <w:noProof/>
        </w:rPr>
        <w:t xml:space="preserve">Afin de maximiser les retombées du financement public en faveur des investissements dans l’efficacité énergétique, </w:t>
      </w:r>
      <w:r w:rsidRPr="00535DEB">
        <w:rPr>
          <w:b/>
          <w:noProof/>
        </w:rPr>
        <w:t>les États membres devraient accroître l’utilisation d'instruments financiers</w:t>
      </w:r>
      <w:r w:rsidRPr="00535DEB">
        <w:rPr>
          <w:noProof/>
        </w:rPr>
        <w:t xml:space="preserve"> et réduire le recours aux subventions. Toutefois, les subventions devraient toujours être utilisées pour remédier aux défaillances du marché et garantir l’inclusion sociale et une aide ciblée répondant à des besoins sectoriels spécifiques.</w:t>
      </w:r>
    </w:p>
    <w:p w14:paraId="515B90C0" w14:textId="09FF7B01" w:rsidR="00893876" w:rsidRPr="00535DEB" w:rsidRDefault="00893876" w:rsidP="00893876">
      <w:pPr>
        <w:spacing w:line="276" w:lineRule="auto"/>
        <w:rPr>
          <w:noProof/>
          <w:szCs w:val="24"/>
        </w:rPr>
      </w:pPr>
      <w:r w:rsidRPr="00535DEB">
        <w:rPr>
          <w:noProof/>
        </w:rPr>
        <w:t>Parallèlement, le cadre favorable devrait promouvoir le déploiement effectif et l’utilisation d’outils de base, tels que des prêts et hypothèques écoénergétiques et les garanties de portefeuille combinées pour la rénovation de bâtiments, des contrats de performance énergétique, les systèmes financiers de rémunération en fonction des performances, des incitations fiscales et des normes de performance énergétique.</w:t>
      </w:r>
    </w:p>
    <w:p w14:paraId="087FDEDA" w14:textId="77777777" w:rsidR="009155F9" w:rsidRPr="00535DEB" w:rsidRDefault="009155F9" w:rsidP="004854A6">
      <w:pPr>
        <w:pStyle w:val="Text2"/>
        <w:spacing w:line="276" w:lineRule="auto"/>
        <w:ind w:left="0"/>
        <w:rPr>
          <w:noProof/>
        </w:rPr>
      </w:pPr>
      <w:r w:rsidRPr="00535DEB">
        <w:rPr>
          <w:noProof/>
        </w:rPr>
        <w:t xml:space="preserve">Compte tenu de la complexité et des enjeux liés au financement des projets d’efficacité énergétique, la Commission reconnaît qu’il existe un besoin croissant de trouver des solutions de financement efficaces, de disposer de </w:t>
      </w:r>
      <w:r w:rsidRPr="00535DEB">
        <w:rPr>
          <w:b/>
          <w:noProof/>
        </w:rPr>
        <w:t>larges réserves d’investissement dans l’efficacité énergétique et de réduire les risques liés aux investissements</w:t>
      </w:r>
      <w:r w:rsidRPr="00535DEB">
        <w:rPr>
          <w:noProof/>
        </w:rPr>
        <w:t>.</w:t>
      </w:r>
    </w:p>
    <w:p w14:paraId="6B1DE176" w14:textId="286965BE" w:rsidR="005256F5" w:rsidRPr="00535DEB" w:rsidRDefault="009155F9" w:rsidP="004854A6">
      <w:pPr>
        <w:pStyle w:val="Text2"/>
        <w:spacing w:line="276" w:lineRule="auto"/>
        <w:ind w:left="0"/>
        <w:rPr>
          <w:noProof/>
        </w:rPr>
      </w:pPr>
      <w:r w:rsidRPr="00535DEB">
        <w:rPr>
          <w:b/>
          <w:noProof/>
        </w:rPr>
        <w:t>Les instruments d’accélération de l’efficacité énergétique</w:t>
      </w:r>
      <w:r w:rsidRPr="00535DEB">
        <w:rPr>
          <w:noProof/>
        </w:rPr>
        <w:t xml:space="preserve"> pourraient inclure des composantes sectorielles afin d’accroître rapidement les investissements dans la rénovation de bâtiments, les PME et les microentreprises, ainsi que dans les systèmes de chauffage et de refroidissement. Les États membres pourraient faire intervenir les pôles nationaux de la coalition européenne pour le financement de l’efficacité énergétique dans la mise au point de ces instruments. </w:t>
      </w:r>
    </w:p>
    <w:p w14:paraId="0D4EC125" w14:textId="00C53C2D" w:rsidR="005256F5" w:rsidRPr="00535DEB" w:rsidRDefault="005256F5" w:rsidP="007D751C">
      <w:pPr>
        <w:pStyle w:val="Text2"/>
        <w:spacing w:line="276" w:lineRule="auto"/>
        <w:ind w:left="0"/>
        <w:rPr>
          <w:noProof/>
        </w:rPr>
      </w:pPr>
      <w:r w:rsidRPr="00535DEB">
        <w:rPr>
          <w:b/>
          <w:noProof/>
          <w:color w:val="000000" w:themeColor="text1"/>
        </w:rPr>
        <w:t>Les partenariats public-privé</w:t>
      </w:r>
      <w:r w:rsidRPr="00535DEB">
        <w:rPr>
          <w:noProof/>
          <w:color w:val="000000" w:themeColor="text1"/>
        </w:rPr>
        <w:t xml:space="preserve"> tels que le FEEE ont fait leurs preuves en ce qui concerne l’expansion des projets d’investissement et la mobilisation de financements du secteur privé. Cela démontre les avantages potentiels de la reproduction et du développement de ce modèle dans un cadre plus large de financement de l’efficacité énergétique de l’UE.</w:t>
      </w:r>
      <w:r w:rsidRPr="00535DEB">
        <w:rPr>
          <w:noProof/>
        </w:rPr>
        <w:t xml:space="preserve"> Ces partenariats peuvent servir de modèle pour les instruments d’accélération de nouvelle génération. Ce faisant, l’Union peut apporter des avantages considérables aux projets d’efficacité énergétique, notamment en réduisant les risques, en augmentant le financement et en améliorant le développement des projets.</w:t>
      </w:r>
    </w:p>
    <w:p w14:paraId="3750E4CC" w14:textId="37011BA8" w:rsidR="00CA4089" w:rsidRPr="00535DEB" w:rsidRDefault="00CA4089" w:rsidP="00CA4089">
      <w:pPr>
        <w:pStyle w:val="Text2"/>
        <w:spacing w:line="276" w:lineRule="auto"/>
        <w:ind w:left="0"/>
        <w:rPr>
          <w:noProof/>
        </w:rPr>
      </w:pPr>
      <w:r w:rsidRPr="00535DEB">
        <w:rPr>
          <w:noProof/>
        </w:rPr>
        <w:t xml:space="preserve">Enfin, pour stimuler sensiblement les investissements privés dans l’efficacité énergétique, tout en garantissant l’utilisation efficace des fonds publics, la Commission a lancé, en 2024, </w:t>
      </w:r>
      <w:r w:rsidRPr="00535DEB">
        <w:rPr>
          <w:b/>
          <w:noProof/>
        </w:rPr>
        <w:t>la coalition européenne pour le financement de l’efficacité énergétique</w:t>
      </w:r>
      <w:r w:rsidRPr="00535DEB">
        <w:rPr>
          <w:noProof/>
        </w:rPr>
        <w:t>. La poursuite et le renforcement de ce partenariat structuré entre la Commission, les États membres, les institutions financières et l’industrie sont essentiels à la réalisation des objectifs de l’Union en matière d’efficacité énergétique.</w:t>
      </w:r>
    </w:p>
    <w:p w14:paraId="4B7E5E1A" w14:textId="5582FE53" w:rsidR="009155F9" w:rsidRPr="00535DEB" w:rsidRDefault="009155F9" w:rsidP="009155F9">
      <w:pPr>
        <w:pStyle w:val="Text2"/>
        <w:spacing w:line="276" w:lineRule="auto"/>
        <w:ind w:left="0"/>
        <w:rPr>
          <w:noProof/>
        </w:rPr>
      </w:pPr>
      <w:r w:rsidRPr="00535DEB">
        <w:rPr>
          <w:noProof/>
        </w:rPr>
        <w:t>La Commission invite tant le Parlement européen que le Conseil à prendre acte du présent rapport.</w:t>
      </w:r>
    </w:p>
    <w:p w14:paraId="20E29326" w14:textId="77777777" w:rsidR="009155F9" w:rsidRPr="00535DEB" w:rsidRDefault="009155F9" w:rsidP="007D751C">
      <w:pPr>
        <w:pStyle w:val="Text2"/>
        <w:spacing w:line="276" w:lineRule="auto"/>
        <w:ind w:left="0"/>
        <w:rPr>
          <w:noProof/>
        </w:rPr>
      </w:pPr>
    </w:p>
    <w:p w14:paraId="4C61DA10" w14:textId="77777777" w:rsidR="00FC0143" w:rsidRPr="00535DEB" w:rsidRDefault="00FC0143" w:rsidP="007D751C">
      <w:pPr>
        <w:pStyle w:val="Text2"/>
        <w:spacing w:line="276" w:lineRule="auto"/>
        <w:ind w:left="0"/>
        <w:rPr>
          <w:noProof/>
        </w:rPr>
      </w:pPr>
    </w:p>
    <w:bookmarkEnd w:id="0"/>
    <w:p w14:paraId="326ED15D" w14:textId="134077B6" w:rsidR="20033A7D" w:rsidRPr="00232F3F" w:rsidRDefault="20033A7D" w:rsidP="007D751C">
      <w:pPr>
        <w:pStyle w:val="Text2"/>
        <w:spacing w:line="276" w:lineRule="auto"/>
        <w:ind w:left="0"/>
        <w:rPr>
          <w:noProof/>
        </w:rPr>
      </w:pPr>
    </w:p>
    <w:sectPr w:rsidR="20033A7D" w:rsidRPr="00232F3F" w:rsidSect="0001121F">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9E0B8" w14:textId="77777777" w:rsidR="009D277A" w:rsidRPr="00535DEB" w:rsidRDefault="009D277A">
      <w:pPr>
        <w:spacing w:after="0"/>
      </w:pPr>
      <w:r w:rsidRPr="00535DEB">
        <w:separator/>
      </w:r>
    </w:p>
  </w:endnote>
  <w:endnote w:type="continuationSeparator" w:id="0">
    <w:p w14:paraId="66E43AD8" w14:textId="77777777" w:rsidR="009D277A" w:rsidRPr="00535DEB" w:rsidRDefault="009D277A">
      <w:pPr>
        <w:spacing w:after="0"/>
      </w:pPr>
      <w:r w:rsidRPr="00535DEB">
        <w:continuationSeparator/>
      </w:r>
    </w:p>
  </w:endnote>
  <w:endnote w:type="continuationNotice" w:id="1">
    <w:p w14:paraId="43BBF21D" w14:textId="77777777" w:rsidR="009D277A" w:rsidRPr="00535DEB" w:rsidRDefault="009D27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37C03" w14:textId="70D8B69E" w:rsidR="005C4C50" w:rsidRPr="005C4C50" w:rsidRDefault="005C4C50" w:rsidP="005C4C50">
    <w:pPr>
      <w:pStyle w:val="FooterCoverPage"/>
      <w:rPr>
        <w:rFonts w:ascii="Arial" w:hAnsi="Arial" w:cs="Arial"/>
        <w:b/>
        <w:sz w:val="48"/>
      </w:rPr>
    </w:pPr>
    <w:r w:rsidRPr="005C4C50">
      <w:rPr>
        <w:rFonts w:ascii="Arial" w:hAnsi="Arial" w:cs="Arial"/>
        <w:b/>
        <w:sz w:val="48"/>
      </w:rPr>
      <w:t>FR</w:t>
    </w:r>
    <w:r w:rsidRPr="005C4C50">
      <w:rPr>
        <w:rFonts w:ascii="Arial" w:hAnsi="Arial" w:cs="Arial"/>
        <w:b/>
        <w:sz w:val="48"/>
      </w:rPr>
      <w:tab/>
    </w:r>
    <w:r w:rsidRPr="005C4C50">
      <w:rPr>
        <w:rFonts w:ascii="Arial" w:hAnsi="Arial" w:cs="Arial"/>
        <w:b/>
        <w:sz w:val="48"/>
      </w:rPr>
      <w:tab/>
    </w:r>
    <w:r w:rsidRPr="005C4C50">
      <w:tab/>
    </w:r>
    <w:r w:rsidRPr="005C4C5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5F63" w14:textId="77EF6EEB" w:rsidR="005C4C50" w:rsidRPr="005C4C50" w:rsidRDefault="005C4C50" w:rsidP="005C4C50">
    <w:pPr>
      <w:pStyle w:val="FooterCoverPage"/>
      <w:rPr>
        <w:rFonts w:ascii="Arial" w:hAnsi="Arial" w:cs="Arial"/>
        <w:b/>
        <w:sz w:val="48"/>
      </w:rPr>
    </w:pPr>
    <w:r w:rsidRPr="005C4C50">
      <w:rPr>
        <w:rFonts w:ascii="Arial" w:hAnsi="Arial" w:cs="Arial"/>
        <w:b/>
        <w:sz w:val="48"/>
      </w:rPr>
      <w:t>FR</w:t>
    </w:r>
    <w:r w:rsidRPr="005C4C50">
      <w:rPr>
        <w:rFonts w:ascii="Arial" w:hAnsi="Arial" w:cs="Arial"/>
        <w:b/>
        <w:sz w:val="48"/>
      </w:rPr>
      <w:tab/>
    </w:r>
    <w:r w:rsidRPr="005C4C50">
      <w:rPr>
        <w:rFonts w:ascii="Arial" w:hAnsi="Arial" w:cs="Arial"/>
        <w:b/>
        <w:sz w:val="48"/>
      </w:rPr>
      <w:tab/>
    </w:r>
    <w:r w:rsidRPr="005C4C50">
      <w:tab/>
    </w:r>
    <w:r w:rsidRPr="005C4C5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5547B" w14:textId="77777777" w:rsidR="005C4C50" w:rsidRPr="005C4C50" w:rsidRDefault="005C4C50" w:rsidP="005C4C5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4106A" w14:textId="77777777" w:rsidR="0001121F" w:rsidRPr="00535DEB" w:rsidRDefault="0001121F">
    <w:pPr>
      <w:pStyle w:val="FooterLine"/>
      <w:jc w:val="center"/>
    </w:pPr>
    <w:r w:rsidRPr="00535DEB">
      <w:fldChar w:fldCharType="begin"/>
    </w:r>
    <w:r w:rsidRPr="00535DEB">
      <w:instrText>PAGE   \* MERGEFORMAT</w:instrText>
    </w:r>
    <w:r w:rsidRPr="00535DEB">
      <w:fldChar w:fldCharType="separate"/>
    </w:r>
    <w:r w:rsidRPr="00535DEB">
      <w:t>1</w:t>
    </w:r>
    <w:r w:rsidRPr="00535DE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9E5A3" w14:textId="68418CC4" w:rsidR="0001121F" w:rsidRPr="00535DEB" w:rsidRDefault="0001121F">
    <w:pPr>
      <w:pStyle w:val="FooterLine"/>
      <w:jc w:val="center"/>
    </w:pPr>
    <w:r w:rsidRPr="00535DEB">
      <w:fldChar w:fldCharType="begin"/>
    </w:r>
    <w:r w:rsidRPr="00535DEB">
      <w:instrText>PAGE   \* MERGEFORMAT</w:instrText>
    </w:r>
    <w:r w:rsidRPr="00535DEB">
      <w:fldChar w:fldCharType="separate"/>
    </w:r>
    <w:r w:rsidR="005C4C50">
      <w:rPr>
        <w:noProof/>
      </w:rPr>
      <w:t>9</w:t>
    </w:r>
    <w:r w:rsidRPr="00535DEB">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7BA1" w14:textId="181CA768" w:rsidR="0001121F" w:rsidRPr="00535DEB" w:rsidRDefault="0001121F" w:rsidP="00011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26D97" w14:textId="77777777" w:rsidR="009D277A" w:rsidRPr="00535DEB" w:rsidRDefault="009D277A">
      <w:pPr>
        <w:spacing w:after="0"/>
      </w:pPr>
      <w:r w:rsidRPr="00535DEB">
        <w:separator/>
      </w:r>
    </w:p>
  </w:footnote>
  <w:footnote w:type="continuationSeparator" w:id="0">
    <w:p w14:paraId="5BF72505" w14:textId="77777777" w:rsidR="009D277A" w:rsidRPr="00535DEB" w:rsidRDefault="009D277A">
      <w:pPr>
        <w:spacing w:after="0"/>
      </w:pPr>
      <w:r w:rsidRPr="00535DEB">
        <w:continuationSeparator/>
      </w:r>
    </w:p>
  </w:footnote>
  <w:footnote w:type="continuationNotice" w:id="1">
    <w:p w14:paraId="3BECEC66" w14:textId="77777777" w:rsidR="009D277A" w:rsidRPr="00535DEB" w:rsidRDefault="009D277A">
      <w:pPr>
        <w:spacing w:after="0"/>
      </w:pPr>
    </w:p>
  </w:footnote>
  <w:footnote w:id="2">
    <w:p w14:paraId="4F02D8BA" w14:textId="33E720C8" w:rsidR="00DF59D0" w:rsidRPr="00535DEB" w:rsidRDefault="009323A6" w:rsidP="00116EE3">
      <w:pPr>
        <w:pStyle w:val="FootnoteText"/>
        <w:spacing w:after="0"/>
      </w:pPr>
      <w:r w:rsidRPr="00535DEB">
        <w:rPr>
          <w:rStyle w:val="FootnoteReference"/>
        </w:rPr>
        <w:footnoteRef/>
      </w:r>
      <w:r w:rsidRPr="00535DEB">
        <w:tab/>
      </w:r>
      <w:hyperlink r:id="rId1" w:history="1">
        <w:r w:rsidRPr="00535DEB">
          <w:rPr>
            <w:rStyle w:val="Hyperlink"/>
          </w:rPr>
          <w:t>(EU) 2023/1791</w:t>
        </w:r>
      </w:hyperlink>
      <w:r w:rsidRPr="00535DEB">
        <w:t>.</w:t>
      </w:r>
    </w:p>
  </w:footnote>
  <w:footnote w:id="3">
    <w:p w14:paraId="55A97A5C" w14:textId="4BD394CA" w:rsidR="00A10B8E" w:rsidRPr="00535DEB" w:rsidRDefault="009323A6" w:rsidP="00116EE3">
      <w:pPr>
        <w:pStyle w:val="FootnoteText"/>
        <w:spacing w:after="0"/>
      </w:pPr>
      <w:r w:rsidRPr="00535DEB">
        <w:rPr>
          <w:rStyle w:val="FootnoteReference"/>
        </w:rPr>
        <w:footnoteRef/>
      </w:r>
      <w:r w:rsidRPr="00535DEB">
        <w:tab/>
      </w:r>
      <w:hyperlink r:id="rId2" w:history="1">
        <w:r w:rsidRPr="00535DEB">
          <w:rPr>
            <w:rStyle w:val="Hyperlink"/>
          </w:rPr>
          <w:t>(EU) 2024/1275</w:t>
        </w:r>
      </w:hyperlink>
      <w:r w:rsidRPr="00535DEB">
        <w:t>.</w:t>
      </w:r>
    </w:p>
  </w:footnote>
  <w:footnote w:id="4">
    <w:p w14:paraId="44FB7CE7" w14:textId="77CCAC9A" w:rsidR="00F46029" w:rsidRPr="00535DEB" w:rsidRDefault="00F46029" w:rsidP="00116EE3">
      <w:pPr>
        <w:pStyle w:val="FootnoteText"/>
        <w:spacing w:after="0"/>
      </w:pPr>
      <w:r w:rsidRPr="00535DEB">
        <w:rPr>
          <w:rStyle w:val="FootnoteReference"/>
        </w:rPr>
        <w:footnoteRef/>
      </w:r>
      <w:r w:rsidRPr="00535DEB">
        <w:tab/>
        <w:t>Une vague de rénovations pour l’Europe: verdir nos bâtiments, créer des emplois, améliorer la qualité de vie, COM(2020) 662 final.</w:t>
      </w:r>
    </w:p>
  </w:footnote>
  <w:footnote w:id="5">
    <w:p w14:paraId="142D7595" w14:textId="3927AEC5" w:rsidR="006D1006" w:rsidRPr="00535DEB" w:rsidRDefault="009323A6" w:rsidP="00116EE3">
      <w:pPr>
        <w:pStyle w:val="FootnoteText"/>
        <w:spacing w:after="0"/>
      </w:pPr>
      <w:r w:rsidRPr="00535DEB">
        <w:rPr>
          <w:rStyle w:val="FootnoteReference"/>
        </w:rPr>
        <w:footnoteRef/>
      </w:r>
      <w:r w:rsidRPr="00535DEB">
        <w:tab/>
      </w:r>
      <w:hyperlink r:id="rId3" w:history="1">
        <w:r w:rsidRPr="00535DEB">
          <w:rPr>
            <w:rStyle w:val="Hyperlink"/>
          </w:rPr>
          <w:t>COM(2024) 63 final</w:t>
        </w:r>
      </w:hyperlink>
      <w:r w:rsidRPr="00535DEB">
        <w:t>.</w:t>
      </w:r>
    </w:p>
  </w:footnote>
  <w:footnote w:id="6">
    <w:p w14:paraId="3301832D" w14:textId="2F90841C" w:rsidR="00A406B5" w:rsidRPr="00535DEB" w:rsidRDefault="00A406B5" w:rsidP="00116EE3">
      <w:pPr>
        <w:pStyle w:val="FootnoteText"/>
        <w:spacing w:after="0"/>
      </w:pPr>
      <w:r w:rsidRPr="00535DEB">
        <w:rPr>
          <w:rStyle w:val="FootnoteReference"/>
        </w:rPr>
        <w:footnoteRef/>
      </w:r>
      <w:r w:rsidRPr="00535DEB">
        <w:tab/>
        <w:t>Cette estimation est fondée sur les investissements du côté de la demande nécessaires pour atteindre les objectifs en matière de climat et d’énergie à l’horizon 2030, y compris les objectifs d’efficacité énergétique, mais en excluant les besoins d’investissement dans les transports et les nouvelles constructions.</w:t>
      </w:r>
    </w:p>
  </w:footnote>
  <w:footnote w:id="7">
    <w:p w14:paraId="07EEC4BB" w14:textId="3AEFDEDE" w:rsidR="25239E4E" w:rsidRPr="00535DEB" w:rsidRDefault="00ED2D49" w:rsidP="00116EE3">
      <w:pPr>
        <w:pStyle w:val="FootnoteText"/>
        <w:spacing w:after="0"/>
      </w:pPr>
      <w:r w:rsidRPr="00535DEB">
        <w:rPr>
          <w:rStyle w:val="FootnoteReference"/>
        </w:rPr>
        <w:footnoteRef/>
      </w:r>
      <w:r w:rsidRPr="00535DEB">
        <w:tab/>
      </w:r>
      <w:hyperlink r:id="rId4" w:history="1">
        <w:r w:rsidRPr="00535DEB">
          <w:rPr>
            <w:rStyle w:val="Hyperlink"/>
          </w:rPr>
          <w:t>SWD(2023) 68 final</w:t>
        </w:r>
      </w:hyperlink>
      <w:r w:rsidRPr="00535DEB">
        <w:t>.</w:t>
      </w:r>
    </w:p>
  </w:footnote>
  <w:footnote w:id="8">
    <w:p w14:paraId="15DEA26F" w14:textId="044F1CC9" w:rsidR="004B2475" w:rsidRPr="00535DEB" w:rsidRDefault="004B2475" w:rsidP="00116EE3">
      <w:pPr>
        <w:pStyle w:val="FootnoteText"/>
        <w:spacing w:after="0"/>
      </w:pPr>
      <w:r w:rsidRPr="00535DEB">
        <w:rPr>
          <w:rStyle w:val="FootnoteReference"/>
        </w:rPr>
        <w:footnoteRef/>
      </w:r>
      <w:r w:rsidRPr="00535DEB">
        <w:tab/>
      </w:r>
      <w:hyperlink r:id="rId5" w:history="1">
        <w:r w:rsidRPr="00535DEB">
          <w:rPr>
            <w:rStyle w:val="Hyperlink"/>
          </w:rPr>
          <w:t>SWD(2024) 63 final</w:t>
        </w:r>
      </w:hyperlink>
      <w:r w:rsidRPr="00535DEB">
        <w:t>.</w:t>
      </w:r>
    </w:p>
  </w:footnote>
  <w:footnote w:id="9">
    <w:p w14:paraId="38D51AFC" w14:textId="0F7BADAA" w:rsidR="009674B9" w:rsidRPr="00535DEB" w:rsidRDefault="009674B9" w:rsidP="00116EE3">
      <w:pPr>
        <w:pStyle w:val="FootnoteText"/>
        <w:spacing w:after="0"/>
        <w:jc w:val="left"/>
      </w:pPr>
      <w:r w:rsidRPr="00535DEB">
        <w:rPr>
          <w:rStyle w:val="FootnoteReference"/>
        </w:rPr>
        <w:footnoteRef/>
      </w:r>
      <w:r w:rsidRPr="00535DEB">
        <w:tab/>
        <w:t>Ce chiffre indique le coût estimé des mesures d’efficacité énergétique au titre de la FRR ciblant la rénovation et la construction de bâtiments ainsi que les projets d’efficacité énergétique dans les PME ou les grandes entreprises, sur la base des données de septembre 2025. Il a été obtenu en additionnant les dépenses estimées associées aux mesures faisant l’objet d’un suivi rattachées aux domaines d’intervention 024/024 </w:t>
      </w:r>
      <w:r w:rsidRPr="00535DEB">
        <w:rPr>
          <w:i/>
        </w:rPr>
        <w:t>bis</w:t>
      </w:r>
      <w:r w:rsidRPr="00535DEB">
        <w:t>/024 </w:t>
      </w:r>
      <w:r w:rsidRPr="00535DEB">
        <w:rPr>
          <w:i/>
        </w:rPr>
        <w:t>ter</w:t>
      </w:r>
      <w:r w:rsidRPr="00535DEB">
        <w:t>/025/025 </w:t>
      </w:r>
      <w:r w:rsidRPr="00535DEB">
        <w:rPr>
          <w:i/>
        </w:rPr>
        <w:t>bis</w:t>
      </w:r>
      <w:r w:rsidRPr="00535DEB">
        <w:t>/025 </w:t>
      </w:r>
      <w:r w:rsidRPr="00535DEB">
        <w:rPr>
          <w:i/>
        </w:rPr>
        <w:t>ter</w:t>
      </w:r>
      <w:r w:rsidRPr="00535DEB">
        <w:t>/026/026 </w:t>
      </w:r>
      <w:r w:rsidRPr="00535DEB">
        <w:rPr>
          <w:i/>
        </w:rPr>
        <w:t>bis</w:t>
      </w:r>
      <w:r w:rsidRPr="00535DEB">
        <w:t xml:space="preserve"> tels que définis à </w:t>
      </w:r>
      <w:hyperlink r:id="rId6" w:history="1">
        <w:r w:rsidRPr="00535DEB">
          <w:rPr>
            <w:rStyle w:val="Hyperlink"/>
          </w:rPr>
          <w:t>l’annexe VI du règlement établissant la FRR</w:t>
        </w:r>
      </w:hyperlink>
      <w:r w:rsidRPr="00535DEB">
        <w:t>, qui décrit une méthode de suivi de l’action pour le climat pour les mesures soutenues par la FRR.</w:t>
      </w:r>
    </w:p>
  </w:footnote>
  <w:footnote w:id="10">
    <w:p w14:paraId="33CFE1BC" w14:textId="0A4F8AEC" w:rsidR="006B11DE" w:rsidRPr="00535DEB" w:rsidRDefault="006B11DE" w:rsidP="0045629C">
      <w:pPr>
        <w:pStyle w:val="FootnoteText"/>
        <w:spacing w:after="0"/>
      </w:pPr>
      <w:r w:rsidRPr="00535DEB">
        <w:rPr>
          <w:rStyle w:val="FootnoteReference"/>
        </w:rPr>
        <w:footnoteRef/>
      </w:r>
      <w:r w:rsidRPr="00535DEB">
        <w:tab/>
        <w:t>Ce chiffre indique le coût estimé des mesures liées à l’efficacité énergétique ainsi qu’à la rénovation et à la construction des bâtiments couverts par la FRR, sur la base de données de septembre 2025. Il a été obtenu en additionnant les dépenses estimées associées aux mesures faisant l’objet d’un suivi rattachées aux domaines d’intervention 025/025 </w:t>
      </w:r>
      <w:r w:rsidRPr="00535DEB">
        <w:rPr>
          <w:i/>
        </w:rPr>
        <w:t>bis</w:t>
      </w:r>
      <w:r w:rsidRPr="00535DEB">
        <w:t>/025 </w:t>
      </w:r>
      <w:r w:rsidRPr="00535DEB">
        <w:rPr>
          <w:i/>
        </w:rPr>
        <w:t>ter</w:t>
      </w:r>
      <w:r w:rsidRPr="00535DEB">
        <w:t>/026/026 </w:t>
      </w:r>
      <w:r w:rsidRPr="00535DEB">
        <w:rPr>
          <w:i/>
        </w:rPr>
        <w:t>bis</w:t>
      </w:r>
      <w:r w:rsidRPr="00535DEB">
        <w:t xml:space="preserve"> tels que définis à l’annexe VI du règlement établissant la FRR, qui décrit une méthode de suivi de l’action pour le climat pour les mesures soutenues par la FRR.</w:t>
      </w:r>
    </w:p>
  </w:footnote>
  <w:footnote w:id="11">
    <w:p w14:paraId="7AF1EC99" w14:textId="5F8F7932" w:rsidR="006B11DE" w:rsidRPr="00535DEB" w:rsidRDefault="006B11DE" w:rsidP="00D32737">
      <w:pPr>
        <w:pStyle w:val="FootnoteText"/>
        <w:spacing w:after="0"/>
      </w:pPr>
      <w:r w:rsidRPr="00535DEB">
        <w:rPr>
          <w:rStyle w:val="FootnoteReference"/>
        </w:rPr>
        <w:footnoteRef/>
      </w:r>
      <w:r w:rsidRPr="00535DEB">
        <w:tab/>
        <w:t>L’enveloppe financière totale de la FRR a été fixée à 650 milliards d’EUR à la fin du mois d’août 2024. Le montant précédemment déclaré de 723 milliards d’EUR représentait le montant maximal du soutien non remboursable au titre de la FRR (338 milliards d’EUR) et des prêts au titre de la FRR (385 milliards d’EUR) mis à disposition par le règlement FRR, mais il n’a pas été pleinement exploité par les États membres.</w:t>
      </w:r>
    </w:p>
  </w:footnote>
  <w:footnote w:id="12">
    <w:p w14:paraId="6505D1EC" w14:textId="31A23A5C" w:rsidR="002C36B4" w:rsidRPr="00535DEB" w:rsidRDefault="002C36B4" w:rsidP="00116EE3">
      <w:pPr>
        <w:pStyle w:val="FootnoteText"/>
        <w:spacing w:after="0"/>
        <w:rPr>
          <w:rStyle w:val="Hyperlink"/>
        </w:rPr>
      </w:pPr>
      <w:r w:rsidRPr="00535DEB">
        <w:rPr>
          <w:rStyle w:val="FootnoteReference"/>
        </w:rPr>
        <w:footnoteRef/>
      </w:r>
      <w:r w:rsidRPr="00535DEB">
        <w:tab/>
      </w:r>
      <w:hyperlink r:id="rId7" w:history="1">
        <w:r w:rsidRPr="00535DEB">
          <w:rPr>
            <w:rStyle w:val="Hyperlink"/>
          </w:rPr>
          <w:t>Fonds pour la modernisation</w:t>
        </w:r>
      </w:hyperlink>
    </w:p>
  </w:footnote>
  <w:footnote w:id="13">
    <w:p w14:paraId="48225987" w14:textId="483E74F8" w:rsidR="002970CD" w:rsidRPr="00535DEB" w:rsidRDefault="002970CD" w:rsidP="002970CD">
      <w:pPr>
        <w:pStyle w:val="FootnoteText"/>
        <w:spacing w:after="0"/>
      </w:pPr>
      <w:r w:rsidRPr="00535DEB">
        <w:rPr>
          <w:rStyle w:val="FootnoteReference"/>
        </w:rPr>
        <w:footnoteRef/>
      </w:r>
      <w:r w:rsidRPr="00535DEB">
        <w:tab/>
        <w:t>Le Groupe BEI est constitué de la Banque européenne d’investissement (BEI) et du Fonds européen d’investissement (FEI).</w:t>
      </w:r>
    </w:p>
  </w:footnote>
  <w:footnote w:id="14">
    <w:p w14:paraId="6B165105" w14:textId="0D39DA8B" w:rsidR="002E4642" w:rsidRPr="00535DEB" w:rsidRDefault="002E4642" w:rsidP="00116EE3">
      <w:pPr>
        <w:pStyle w:val="FootnoteText"/>
        <w:spacing w:after="0"/>
      </w:pPr>
      <w:r w:rsidRPr="00535DEB">
        <w:rPr>
          <w:rStyle w:val="FootnoteReference"/>
        </w:rPr>
        <w:footnoteRef/>
      </w:r>
      <w:r w:rsidRPr="00535DEB">
        <w:tab/>
      </w:r>
      <w:hyperlink r:id="rId8" w:history="1">
        <w:r w:rsidRPr="00535DEB">
          <w:rPr>
            <w:rStyle w:val="Hyperlink"/>
          </w:rPr>
          <w:t>Feuille de route du Groupe BEI dans son rôle de banque du climat 2021-2025</w:t>
        </w:r>
      </w:hyperlink>
      <w:r w:rsidRPr="00535DEB">
        <w:t xml:space="preserve"> et </w:t>
      </w:r>
      <w:hyperlink r:id="rId9" w:history="1">
        <w:r w:rsidRPr="00535DEB">
          <w:rPr>
            <w:rStyle w:val="Hyperlink"/>
          </w:rPr>
          <w:t>feuille de route de la banque du climat – phase 2 (2026-2030) du Groupe BEI</w:t>
        </w:r>
      </w:hyperlink>
      <w:r w:rsidRPr="00535DEB">
        <w:t>.</w:t>
      </w:r>
    </w:p>
  </w:footnote>
  <w:footnote w:id="15">
    <w:p w14:paraId="01D9F2E5" w14:textId="72357E6C" w:rsidR="007D751C" w:rsidRPr="00535DEB" w:rsidRDefault="00F46029" w:rsidP="007D751C">
      <w:pPr>
        <w:pStyle w:val="FootnoteText"/>
        <w:spacing w:after="0"/>
      </w:pPr>
      <w:r w:rsidRPr="00535DEB">
        <w:rPr>
          <w:rStyle w:val="FootnoteReference"/>
        </w:rPr>
        <w:footnoteRef/>
      </w:r>
      <w:r w:rsidRPr="00535DEB">
        <w:tab/>
      </w:r>
      <w:hyperlink r:id="rId10" w:history="1">
        <w:r w:rsidRPr="00535DEB">
          <w:rPr>
            <w:rStyle w:val="Hyperlink"/>
          </w:rPr>
          <w:t>https://investeu.europa.eu/investeu-programme/investeu-advisory-hub_fr</w:t>
        </w:r>
      </w:hyperlink>
      <w:r w:rsidRPr="00535DEB">
        <w:t>.</w:t>
      </w:r>
    </w:p>
  </w:footnote>
  <w:footnote w:id="16">
    <w:p w14:paraId="423C0D1E" w14:textId="28C00B60" w:rsidR="007D751C" w:rsidRPr="00535DEB" w:rsidRDefault="00F46029" w:rsidP="007D751C">
      <w:pPr>
        <w:pStyle w:val="FootnoteText"/>
        <w:spacing w:after="0"/>
      </w:pPr>
      <w:r w:rsidRPr="00535DEB">
        <w:rPr>
          <w:rStyle w:val="FootnoteReference"/>
        </w:rPr>
        <w:footnoteRef/>
      </w:r>
      <w:r w:rsidRPr="00535DEB">
        <w:tab/>
      </w:r>
      <w:hyperlink r:id="rId11" w:history="1">
        <w:r w:rsidRPr="00535DEB">
          <w:rPr>
            <w:rStyle w:val="Hyperlink"/>
          </w:rPr>
          <w:t>https://www.eib.org/fr/products/advisory-services/elena/index</w:t>
        </w:r>
      </w:hyperlink>
      <w:r w:rsidRPr="00535DEB">
        <w:t>.</w:t>
      </w:r>
    </w:p>
  </w:footnote>
  <w:footnote w:id="17">
    <w:p w14:paraId="7B78B959" w14:textId="77777777" w:rsidR="00BC3054" w:rsidRPr="00535DEB" w:rsidRDefault="00BC3054" w:rsidP="00BC3054">
      <w:pPr>
        <w:pStyle w:val="FootnoteText"/>
        <w:spacing w:after="0"/>
      </w:pPr>
      <w:r w:rsidRPr="00535DEB">
        <w:rPr>
          <w:rStyle w:val="FootnoteReference"/>
        </w:rPr>
        <w:footnoteRef/>
      </w:r>
      <w:r w:rsidRPr="00535DEB">
        <w:tab/>
      </w:r>
      <w:hyperlink r:id="rId12" w:history="1">
        <w:r w:rsidRPr="00535DEB">
          <w:rPr>
            <w:rStyle w:val="Hyperlink"/>
          </w:rPr>
          <w:t>Feuille de route stratégique du Groupe BEI pour la période 2024-2027</w:t>
        </w:r>
      </w:hyperlink>
      <w:r w:rsidRPr="00535DEB">
        <w:t>.</w:t>
      </w:r>
    </w:p>
  </w:footnote>
  <w:footnote w:id="18">
    <w:p w14:paraId="6DB3D72A" w14:textId="509203A4" w:rsidR="00D248D0" w:rsidRPr="00535DEB" w:rsidRDefault="00D248D0">
      <w:pPr>
        <w:pStyle w:val="FootnoteText"/>
      </w:pPr>
      <w:r w:rsidRPr="00535DEB">
        <w:rPr>
          <w:rStyle w:val="FootnoteReference"/>
        </w:rPr>
        <w:footnoteRef/>
      </w:r>
      <w:r w:rsidRPr="00535DEB">
        <w:tab/>
      </w:r>
      <w:hyperlink r:id="rId13" w:history="1">
        <w:r w:rsidRPr="00535DEB">
          <w:rPr>
            <w:rStyle w:val="Hyperlink"/>
          </w:rPr>
          <w:t>Initiative du groupe BEI en faveur de l’efficacité énergétique des PME</w:t>
        </w:r>
      </w:hyperlink>
      <w:r w:rsidRPr="00535DEB">
        <w:t>.</w:t>
      </w:r>
    </w:p>
  </w:footnote>
  <w:footnote w:id="19">
    <w:p w14:paraId="58D4F7EF" w14:textId="21E5ABCB" w:rsidR="32CD3661" w:rsidRPr="00535DEB" w:rsidRDefault="0009412C" w:rsidP="32CD3661">
      <w:pPr>
        <w:pStyle w:val="FootnoteText"/>
      </w:pPr>
      <w:r w:rsidRPr="00535DEB">
        <w:rPr>
          <w:rStyle w:val="FootnoteReference"/>
        </w:rPr>
        <w:footnoteRef/>
      </w:r>
      <w:r w:rsidRPr="00535DEB">
        <w:tab/>
      </w:r>
      <w:hyperlink r:id="rId14">
        <w:r w:rsidRPr="00535DEB">
          <w:rPr>
            <w:rStyle w:val="Hyperlink"/>
          </w:rPr>
          <w:t>Efficacité énergétique – évaluation du niveau de financement européen et national</w:t>
        </w:r>
      </w:hyperlink>
      <w:r w:rsidRPr="00535DEB">
        <w:t>.</w:t>
      </w:r>
    </w:p>
  </w:footnote>
  <w:footnote w:id="20">
    <w:p w14:paraId="13CB8FE3" w14:textId="06A4EF26" w:rsidR="00CD06FF" w:rsidRPr="00535DEB" w:rsidRDefault="00CD06FF">
      <w:pPr>
        <w:pStyle w:val="FootnoteText"/>
      </w:pPr>
      <w:r w:rsidRPr="00535DEB">
        <w:rPr>
          <w:rStyle w:val="FootnoteReference"/>
        </w:rPr>
        <w:footnoteRef/>
      </w:r>
      <w:r w:rsidRPr="00535DEB">
        <w:tab/>
        <w:t xml:space="preserve">Dans leur contribution, les États membres ont déclaré 28,8 milliards d’EUR au total en tant que contribution de l’UE en faveur des régimes de financement nationaux mis en place. </w:t>
      </w:r>
    </w:p>
  </w:footnote>
  <w:footnote w:id="21">
    <w:p w14:paraId="55E00F6E" w14:textId="4E432CD4" w:rsidR="48C03CAF" w:rsidRPr="00535DEB" w:rsidRDefault="0009412C" w:rsidP="48C03CAF">
      <w:pPr>
        <w:pStyle w:val="FootnoteText"/>
      </w:pPr>
      <w:r w:rsidRPr="00535DEB">
        <w:rPr>
          <w:rStyle w:val="FootnoteReference"/>
        </w:rPr>
        <w:footnoteRef/>
      </w:r>
      <w:r w:rsidRPr="00535DEB">
        <w:tab/>
        <w:t>388,7 milliards d’EUR moins 28,8 milliards d’EUR provenant des contributions de l’UE déclarées.</w:t>
      </w:r>
    </w:p>
  </w:footnote>
  <w:footnote w:id="22">
    <w:p w14:paraId="01882669" w14:textId="2A9E9F54" w:rsidR="44ABDD83" w:rsidRPr="00535DEB" w:rsidRDefault="0009412C" w:rsidP="44ABDD83">
      <w:pPr>
        <w:pStyle w:val="FootnoteText"/>
      </w:pPr>
      <w:r w:rsidRPr="00535DEB">
        <w:rPr>
          <w:rStyle w:val="FootnoteReference"/>
        </w:rPr>
        <w:footnoteRef/>
      </w:r>
      <w:r w:rsidRPr="00535DEB">
        <w:tab/>
      </w:r>
      <w:hyperlink r:id="rId15">
        <w:r w:rsidRPr="00535DEB">
          <w:rPr>
            <w:rStyle w:val="Hyperlink"/>
          </w:rPr>
          <w:t>Instruments financiers au titre de la politique de cohésion 2021-2027 |</w:t>
        </w:r>
      </w:hyperlink>
      <w:hyperlink r:id="rId16">
        <w:r w:rsidRPr="00535DEB">
          <w:rPr>
            <w:rStyle w:val="Hyperlink"/>
          </w:rPr>
          <w:t>données ouvertes sur la cohésion</w:t>
        </w:r>
      </w:hyperlink>
      <w:r w:rsidRPr="00535DEB">
        <w:t>.</w:t>
      </w:r>
    </w:p>
  </w:footnote>
  <w:footnote w:id="23">
    <w:p w14:paraId="47F92ED0" w14:textId="2EFD0411" w:rsidR="00FC33CA" w:rsidRPr="00535DEB" w:rsidRDefault="00FC33CA" w:rsidP="00D32737">
      <w:pPr>
        <w:pStyle w:val="FootnoteText"/>
        <w:spacing w:after="0"/>
      </w:pPr>
      <w:r w:rsidRPr="00535DEB">
        <w:rPr>
          <w:rStyle w:val="FootnoteReference"/>
        </w:rPr>
        <w:footnoteRef/>
      </w:r>
      <w:r w:rsidRPr="00535DEB">
        <w:tab/>
        <w:t xml:space="preserve">L’IFEE est un modèle flexible qui offre aux États membres de l’UE un guide pratique sur la manière de mettre facilement en place un instrument financier (IF) axé sur le marché, combiné à une subvention pour fournir un financement et des services de conseil pour les investissements dans l’efficacité énergétique (EE) (logement, PME). Fondamentalement, ce modèle offre un moyen de démultiplier les fonds disponibles par l’intermédiaire du budget de l’UE afin de mobiliser des ressources supplémentaires auprès de banques commerciales et d’investisseurs privés pour ces régimes, voir </w:t>
      </w:r>
      <w:hyperlink r:id="rId17" w:tgtFrame="_blank" w:history="1">
        <w:r w:rsidRPr="00535DEB">
          <w:rPr>
            <w:rStyle w:val="Hyperlink"/>
            <w:color w:val="2F80ED"/>
            <w:shd w:val="clear" w:color="auto" w:fill="FFFFFF"/>
          </w:rPr>
          <w:t>Investissements dans l’efficacité énergétique au titre de REPowerEU</w:t>
        </w:r>
      </w:hyperlink>
      <w:r w:rsidRPr="00535DEB">
        <w:t xml:space="preserve">. </w:t>
      </w:r>
    </w:p>
  </w:footnote>
  <w:footnote w:id="24">
    <w:p w14:paraId="5844BD04" w14:textId="749CDD55" w:rsidR="0042049C" w:rsidRPr="00535DEB" w:rsidRDefault="0042049C" w:rsidP="00D32737">
      <w:pPr>
        <w:pStyle w:val="FootnoteText"/>
        <w:spacing w:after="0"/>
      </w:pPr>
      <w:r w:rsidRPr="00535DEB">
        <w:rPr>
          <w:rStyle w:val="FootnoteReference"/>
        </w:rPr>
        <w:footnoteRef/>
      </w:r>
      <w:r w:rsidRPr="00535DEB">
        <w:tab/>
      </w:r>
      <w:hyperlink r:id="rId18" w:history="1">
        <w:r w:rsidRPr="00535DEB">
          <w:rPr>
            <w:rStyle w:val="Hyperlink"/>
          </w:rPr>
          <w:t>fi-compass |</w:t>
        </w:r>
      </w:hyperlink>
      <w:hyperlink r:id="rId19" w:history="1">
        <w:r w:rsidRPr="00535DEB">
          <w:rPr>
            <w:rStyle w:val="Hyperlink"/>
          </w:rPr>
          <w:t>La plateforme Instruments financiers relevant de la gestion partagée de l’UE</w:t>
        </w:r>
      </w:hyperlink>
      <w:r w:rsidRPr="00535DEB">
        <w:t xml:space="preserve"> offre une assistance technique aux autorités de gestion et les aide à réaliser des études de faisabilité, des évaluations ex ante, des études de cas et d’autres travaux préparatoires nécessaires à la mise en place d’instruments financiers. Dans le cadre de la plateforme Fi-compass, </w:t>
      </w:r>
      <w:hyperlink r:id="rId20" w:history="1">
        <w:r w:rsidRPr="00535DEB">
          <w:rPr>
            <w:rStyle w:val="Hyperlink"/>
          </w:rPr>
          <w:t>l’initiative «Scale-Up:</w:t>
        </w:r>
      </w:hyperlink>
      <w:hyperlink r:id="rId21" w:history="1">
        <w:r w:rsidRPr="00535DEB">
          <w:rPr>
            <w:rStyle w:val="Hyperlink"/>
          </w:rPr>
          <w:t>energy efficiency financial instruments</w:t>
        </w:r>
      </w:hyperlink>
      <w:r w:rsidRPr="00535DEB">
        <w:t xml:space="preserve">» rassemble des experts issus de diverses institutions afin de lever les obstacles à la mise en œuvre des instruments financiers en faveur de l’efficacité énergétique et de proposer des solutions. Des groupes de travail chargés de tâches spécifiques élaboreront des stratégies visant à améliorer et à développer les instruments financiers en faveur de l’efficacité énergétique en s’appuyant sur les bonnes pratiques et sur l’expertise de tous les pays de l’UE. </w:t>
      </w:r>
    </w:p>
  </w:footnote>
  <w:footnote w:id="25">
    <w:p w14:paraId="50C2679D" w14:textId="020CFB38" w:rsidR="00745138" w:rsidRPr="00535DEB" w:rsidRDefault="00745138" w:rsidP="00D32737">
      <w:pPr>
        <w:pStyle w:val="FootnoteText"/>
        <w:spacing w:after="0"/>
      </w:pPr>
      <w:r w:rsidRPr="00535DEB">
        <w:rPr>
          <w:rStyle w:val="FootnoteReference"/>
        </w:rPr>
        <w:footnoteRef/>
      </w:r>
      <w:r w:rsidRPr="0078317D">
        <w:rPr>
          <w:lang w:val="en-IE"/>
        </w:rPr>
        <w:tab/>
        <w:t xml:space="preserve">Voir </w:t>
      </w:r>
      <w:hyperlink r:id="rId22" w:history="1">
        <w:r w:rsidRPr="0078317D">
          <w:rPr>
            <w:rStyle w:val="Hyperlink"/>
            <w:lang w:val="en-IE"/>
          </w:rPr>
          <w:t>Inforegio – Apply for C4T GROUNDWORK – technical assistance for Cohesion Policy investments</w:t>
        </w:r>
      </w:hyperlink>
      <w:r w:rsidRPr="0078317D">
        <w:rPr>
          <w:lang w:val="en-IE"/>
        </w:rPr>
        <w:t xml:space="preserve">. </w:t>
      </w:r>
      <w:r w:rsidRPr="00535DEB">
        <w:t xml:space="preserve">L’appel en vue d'une assistance technique vise à apporter l’aide d’experts aux États membres, aux régions et aux autorités locales de l’UE, en les aidant à mettre en œuvre les investissements relevant de la politique de cohésion au titre de l’objectif stratégique nº 2 (OS2), y compris ceux axés sur l’efficacité énergétique. Les services d’aide comprennent l’élaboration de stratégies, l’amélioration du suivi, la participation des parties prenantes, le repérage de possibilités de financement, l’aide à la préparation des appels et le renforcement des capacités. </w:t>
      </w:r>
    </w:p>
  </w:footnote>
  <w:footnote w:id="26">
    <w:p w14:paraId="55CF48D8" w14:textId="1E504DA2" w:rsidR="00505B86" w:rsidRPr="00535DEB" w:rsidRDefault="403A9269" w:rsidP="0054235F">
      <w:pPr>
        <w:pStyle w:val="FootnoteText"/>
        <w:spacing w:after="0"/>
      </w:pPr>
      <w:r w:rsidRPr="00535DEB">
        <w:rPr>
          <w:rStyle w:val="FootnoteReference"/>
        </w:rPr>
        <w:footnoteRef/>
      </w:r>
      <w:r w:rsidRPr="00535DEB">
        <w:tab/>
        <w:t>Cette estimation est fondée sur les investissements nécessaires du côté de la demande pour atteindre les objectifs en matière de climat et d’énergie à l’horizon 2030 selon le scénario de modélisation PRIMES pour le plan cible en matière de climat à l’horizon 2040, y compris les objectifs d’efficacité énergétique, mais en excluant les besoins d’investissement dans les transports et les nouvelles constructions.</w:t>
      </w:r>
    </w:p>
  </w:footnote>
  <w:footnote w:id="27">
    <w:p w14:paraId="6B86D78E" w14:textId="7E423A8B" w:rsidR="00F74736" w:rsidRPr="00535DEB" w:rsidRDefault="00F74736" w:rsidP="00F74736">
      <w:pPr>
        <w:pStyle w:val="FootnoteText"/>
        <w:spacing w:after="0"/>
      </w:pPr>
      <w:r w:rsidRPr="00535DEB">
        <w:rPr>
          <w:rStyle w:val="FootnoteReference"/>
        </w:rPr>
        <w:footnoteRef/>
      </w:r>
      <w:r w:rsidRPr="00535DEB">
        <w:tab/>
        <w:t xml:space="preserve">Rapport 2024 de l’AIE sur l’efficacité énergétique, </w:t>
      </w:r>
      <w:hyperlink r:id="rId23" w:history="1">
        <w:r w:rsidRPr="00535DEB">
          <w:rPr>
            <w:rStyle w:val="Hyperlink"/>
          </w:rPr>
          <w:t>https://iea.blob.core.windows.net/assets/f304f2ba-e9a2-4e6d-b529-fb67cd13f646/EnergyEfficiency2024.pdf</w:t>
        </w:r>
      </w:hyperlink>
      <w:r w:rsidRPr="00535DEB">
        <w:t>.</w:t>
      </w:r>
    </w:p>
  </w:footnote>
  <w:footnote w:id="28">
    <w:p w14:paraId="745E7209" w14:textId="4DCCF383" w:rsidR="003104D8" w:rsidRPr="00535DEB" w:rsidRDefault="003104D8" w:rsidP="0054235F">
      <w:pPr>
        <w:pStyle w:val="FootnoteText"/>
        <w:spacing w:after="0"/>
      </w:pPr>
      <w:r w:rsidRPr="00535DEB">
        <w:rPr>
          <w:rStyle w:val="FootnoteReference"/>
        </w:rPr>
        <w:footnoteRef/>
      </w:r>
      <w:r w:rsidRPr="00535DEB">
        <w:tab/>
        <w:t xml:space="preserve">Institut de l’économie pour le climat (I4CE), </w:t>
      </w:r>
      <w:r w:rsidRPr="00535DEB">
        <w:rPr>
          <w:i/>
        </w:rPr>
        <w:t>European Climate Investment Deficit Report</w:t>
      </w:r>
      <w:r w:rsidRPr="00535DEB">
        <w:t xml:space="preserve"> (rapport intitulé «Déficit d’investissement en faveur du climat en Europe»), source: </w:t>
      </w:r>
      <w:hyperlink r:id="rId24" w:history="1">
        <w:r w:rsidRPr="00535DEB">
          <w:rPr>
            <w:rStyle w:val="Hyperlink"/>
          </w:rPr>
          <w:t>20240222-i4ce3859-Panorama-EU_VA-40p.pdf</w:t>
        </w:r>
      </w:hyperlink>
      <w:r w:rsidRPr="00535DEB">
        <w:t>.</w:t>
      </w:r>
    </w:p>
  </w:footnote>
  <w:footnote w:id="29">
    <w:p w14:paraId="6649C112" w14:textId="17045DD6" w:rsidR="003104D8" w:rsidRPr="0078317D" w:rsidRDefault="003104D8" w:rsidP="0054235F">
      <w:pPr>
        <w:pStyle w:val="FootnoteText"/>
        <w:spacing w:after="0"/>
        <w:rPr>
          <w:lang w:val="en-IE"/>
        </w:rPr>
      </w:pPr>
      <w:r w:rsidRPr="00535DEB">
        <w:rPr>
          <w:rStyle w:val="FootnoteReference"/>
        </w:rPr>
        <w:footnoteRef/>
      </w:r>
      <w:r w:rsidRPr="0078317D">
        <w:rPr>
          <w:lang w:val="en-IE"/>
        </w:rPr>
        <w:tab/>
        <w:t xml:space="preserve">Bruegel, </w:t>
      </w:r>
      <w:r w:rsidRPr="0078317D">
        <w:rPr>
          <w:i/>
          <w:lang w:val="en-IE"/>
        </w:rPr>
        <w:t>How to finance the European Union’s building decarbonisation plan</w:t>
      </w:r>
      <w:r w:rsidRPr="0078317D">
        <w:rPr>
          <w:lang w:val="en-IE"/>
        </w:rPr>
        <w:t xml:space="preserve">, source: </w:t>
      </w:r>
      <w:hyperlink r:id="rId25" w:history="1">
        <w:r w:rsidRPr="0078317D">
          <w:rPr>
            <w:rStyle w:val="Hyperlink"/>
            <w:lang w:val="en-IE"/>
          </w:rPr>
          <w:t>PB 12 2024.pdf</w:t>
        </w:r>
      </w:hyperlink>
      <w:r w:rsidRPr="0078317D">
        <w:rPr>
          <w:lang w:val="en-IE"/>
        </w:rPr>
        <w:t>.</w:t>
      </w:r>
    </w:p>
  </w:footnote>
  <w:footnote w:id="30">
    <w:p w14:paraId="429E4B90" w14:textId="43947CA4" w:rsidR="00BE4C4E" w:rsidRPr="00535DEB" w:rsidRDefault="00BE4C4E" w:rsidP="0054235F">
      <w:pPr>
        <w:pStyle w:val="FootnoteText"/>
        <w:spacing w:after="0"/>
      </w:pPr>
      <w:r w:rsidRPr="00535DEB">
        <w:rPr>
          <w:rStyle w:val="FootnoteReference"/>
        </w:rPr>
        <w:footnoteRef/>
      </w:r>
      <w:r w:rsidRPr="00535DEB">
        <w:tab/>
      </w:r>
      <w:hyperlink r:id="rId26" w:history="1">
        <w:r w:rsidRPr="00535DEB">
          <w:rPr>
            <w:rStyle w:val="Hyperlink"/>
          </w:rPr>
          <w:t>Indicateurs de performance de base de l’UE_15_07_0.pdf</w:t>
        </w:r>
      </w:hyperlink>
      <w:r w:rsidRPr="00535DEB">
        <w:t>.</w:t>
      </w:r>
    </w:p>
  </w:footnote>
  <w:footnote w:id="31">
    <w:p w14:paraId="22E2FAA8" w14:textId="79A35175" w:rsidR="00D95389" w:rsidRPr="00535DEB" w:rsidRDefault="00D95389" w:rsidP="0054235F">
      <w:pPr>
        <w:pStyle w:val="FootnoteText"/>
        <w:spacing w:after="0"/>
      </w:pPr>
      <w:r w:rsidRPr="00535DEB">
        <w:rPr>
          <w:rStyle w:val="FootnoteReference"/>
        </w:rPr>
        <w:footnoteRef/>
      </w:r>
      <w:r w:rsidRPr="00535DEB">
        <w:tab/>
        <w:t>Objectif estimé d’ici à 2030.</w:t>
      </w:r>
    </w:p>
  </w:footnote>
  <w:footnote w:id="32">
    <w:p w14:paraId="55FC31AD" w14:textId="0978FB8E" w:rsidR="00E943DA" w:rsidRPr="00535DEB" w:rsidRDefault="00E943DA" w:rsidP="0054235F">
      <w:pPr>
        <w:pStyle w:val="FootnoteText"/>
        <w:spacing w:after="0"/>
      </w:pPr>
      <w:r w:rsidRPr="00535DEB">
        <w:rPr>
          <w:rStyle w:val="FootnoteReference"/>
        </w:rPr>
        <w:footnoteRef/>
      </w:r>
      <w:r w:rsidRPr="00535DEB">
        <w:tab/>
        <w:t>Données communiquées pour 2023.</w:t>
      </w:r>
    </w:p>
  </w:footnote>
  <w:footnote w:id="33">
    <w:p w14:paraId="70A1634C" w14:textId="4DF7EB86" w:rsidR="00075BFB" w:rsidRPr="00535DEB" w:rsidRDefault="00075BFB">
      <w:pPr>
        <w:pStyle w:val="FootnoteText"/>
      </w:pPr>
      <w:r w:rsidRPr="00535DEB">
        <w:rPr>
          <w:rStyle w:val="FootnoteReference"/>
        </w:rPr>
        <w:footnoteRef/>
      </w:r>
      <w:r w:rsidRPr="00535DEB">
        <w:tab/>
        <w:t xml:space="preserve">Indicateur commun concernant les économies en matière de consommation annuelle d’énergie primaire, telles que déclarées par les États membres en 2024, </w:t>
      </w:r>
      <w:hyperlink r:id="rId27" w:history="1">
        <w:r w:rsidRPr="00535DEB">
          <w:rPr>
            <w:rStyle w:val="Hyperlink"/>
          </w:rPr>
          <w:t>tableau de bord de la reprise et de la résilience</w:t>
        </w:r>
      </w:hyperlink>
      <w:r w:rsidRPr="00535DEB">
        <w:t xml:space="preserve">. </w:t>
      </w:r>
    </w:p>
  </w:footnote>
  <w:footnote w:id="34">
    <w:p w14:paraId="7868CF63" w14:textId="558490D4" w:rsidR="59D0105E" w:rsidRPr="00535DEB" w:rsidRDefault="004B2475" w:rsidP="0054235F">
      <w:pPr>
        <w:pStyle w:val="Text2"/>
        <w:spacing w:after="0"/>
        <w:ind w:left="0"/>
        <w:rPr>
          <w:color w:val="FF0000"/>
          <w:sz w:val="20"/>
        </w:rPr>
      </w:pPr>
      <w:r w:rsidRPr="00535DEB">
        <w:rPr>
          <w:rStyle w:val="FootnoteReference"/>
          <w:sz w:val="20"/>
        </w:rPr>
        <w:footnoteRef/>
      </w:r>
      <w:r w:rsidRPr="00535DEB">
        <w:rPr>
          <w:sz w:val="20"/>
        </w:rPr>
        <w:t xml:space="preserve"> Économies annuelles réalisées en 2023, l’année de déclaration la plus récente.</w:t>
      </w:r>
    </w:p>
    <w:p w14:paraId="6FB36810" w14:textId="07B63C55" w:rsidR="14E43FBD" w:rsidRPr="00232F3F" w:rsidRDefault="00232F3F" w:rsidP="59D0105E">
      <w:pPr>
        <w:pStyle w:val="FootnoteText"/>
      </w:pPr>
      <w:r w:rsidRPr="00535DE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9EDB" w14:textId="77777777" w:rsidR="005C4C50" w:rsidRPr="005C4C50" w:rsidRDefault="005C4C50" w:rsidP="005C4C5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2DEF3" w14:textId="77777777" w:rsidR="005C4C50" w:rsidRPr="005C4C50" w:rsidRDefault="005C4C50" w:rsidP="005C4C5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A69B" w14:textId="77777777" w:rsidR="005C4C50" w:rsidRPr="005C4C50" w:rsidRDefault="005C4C50" w:rsidP="005C4C5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95543" w14:textId="77777777" w:rsidR="0001121F" w:rsidRPr="00535DEB" w:rsidRDefault="000112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145EA" w14:textId="77777777" w:rsidR="0001121F" w:rsidRPr="00535DEB" w:rsidRDefault="000112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0E1D4" w14:textId="77777777" w:rsidR="0001121F" w:rsidRPr="00535DEB" w:rsidRDefault="00011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D962CE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3E50C6"/>
    <w:multiLevelType w:val="hybridMultilevel"/>
    <w:tmpl w:val="04E8A026"/>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 w15:restartNumberingAfterBreak="0">
    <w:nsid w:val="0A2900F7"/>
    <w:multiLevelType w:val="multilevel"/>
    <w:tmpl w:val="0B200A1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AE23101"/>
    <w:multiLevelType w:val="hybridMultilevel"/>
    <w:tmpl w:val="5AC240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7A28A8"/>
    <w:multiLevelType w:val="hybridMultilevel"/>
    <w:tmpl w:val="FFFFFFFF"/>
    <w:lvl w:ilvl="0" w:tplc="ED7EBE76">
      <w:start w:val="1"/>
      <w:numFmt w:val="bullet"/>
      <w:lvlText w:val="·"/>
      <w:lvlJc w:val="left"/>
      <w:pPr>
        <w:ind w:left="360" w:hanging="360"/>
      </w:pPr>
      <w:rPr>
        <w:rFonts w:ascii="Symbol" w:hAnsi="Symbol" w:hint="default"/>
      </w:rPr>
    </w:lvl>
    <w:lvl w:ilvl="1" w:tplc="50CC06F4">
      <w:start w:val="1"/>
      <w:numFmt w:val="bullet"/>
      <w:lvlText w:val="o"/>
      <w:lvlJc w:val="left"/>
      <w:pPr>
        <w:ind w:left="1080" w:hanging="360"/>
      </w:pPr>
      <w:rPr>
        <w:rFonts w:ascii="Courier New" w:hAnsi="Courier New" w:hint="default"/>
      </w:rPr>
    </w:lvl>
    <w:lvl w:ilvl="2" w:tplc="3CBA2D82">
      <w:start w:val="1"/>
      <w:numFmt w:val="bullet"/>
      <w:lvlText w:val=""/>
      <w:lvlJc w:val="left"/>
      <w:pPr>
        <w:ind w:left="1800" w:hanging="360"/>
      </w:pPr>
      <w:rPr>
        <w:rFonts w:ascii="Wingdings" w:hAnsi="Wingdings" w:hint="default"/>
      </w:rPr>
    </w:lvl>
    <w:lvl w:ilvl="3" w:tplc="241C896A">
      <w:start w:val="1"/>
      <w:numFmt w:val="bullet"/>
      <w:lvlText w:val=""/>
      <w:lvlJc w:val="left"/>
      <w:pPr>
        <w:ind w:left="2520" w:hanging="360"/>
      </w:pPr>
      <w:rPr>
        <w:rFonts w:ascii="Symbol" w:hAnsi="Symbol" w:hint="default"/>
      </w:rPr>
    </w:lvl>
    <w:lvl w:ilvl="4" w:tplc="2CD436EA">
      <w:start w:val="1"/>
      <w:numFmt w:val="bullet"/>
      <w:lvlText w:val="o"/>
      <w:lvlJc w:val="left"/>
      <w:pPr>
        <w:ind w:left="3240" w:hanging="360"/>
      </w:pPr>
      <w:rPr>
        <w:rFonts w:ascii="Courier New" w:hAnsi="Courier New" w:hint="default"/>
      </w:rPr>
    </w:lvl>
    <w:lvl w:ilvl="5" w:tplc="252EB772">
      <w:start w:val="1"/>
      <w:numFmt w:val="bullet"/>
      <w:lvlText w:val=""/>
      <w:lvlJc w:val="left"/>
      <w:pPr>
        <w:ind w:left="3960" w:hanging="360"/>
      </w:pPr>
      <w:rPr>
        <w:rFonts w:ascii="Wingdings" w:hAnsi="Wingdings" w:hint="default"/>
      </w:rPr>
    </w:lvl>
    <w:lvl w:ilvl="6" w:tplc="FF90CEE4">
      <w:start w:val="1"/>
      <w:numFmt w:val="bullet"/>
      <w:lvlText w:val=""/>
      <w:lvlJc w:val="left"/>
      <w:pPr>
        <w:ind w:left="4680" w:hanging="360"/>
      </w:pPr>
      <w:rPr>
        <w:rFonts w:ascii="Symbol" w:hAnsi="Symbol" w:hint="default"/>
      </w:rPr>
    </w:lvl>
    <w:lvl w:ilvl="7" w:tplc="7FFA2464">
      <w:start w:val="1"/>
      <w:numFmt w:val="bullet"/>
      <w:lvlText w:val="o"/>
      <w:lvlJc w:val="left"/>
      <w:pPr>
        <w:ind w:left="5400" w:hanging="360"/>
      </w:pPr>
      <w:rPr>
        <w:rFonts w:ascii="Courier New" w:hAnsi="Courier New" w:hint="default"/>
      </w:rPr>
    </w:lvl>
    <w:lvl w:ilvl="8" w:tplc="526EC946">
      <w:start w:val="1"/>
      <w:numFmt w:val="bullet"/>
      <w:lvlText w:val=""/>
      <w:lvlJc w:val="left"/>
      <w:pPr>
        <w:ind w:left="6120" w:hanging="360"/>
      </w:pPr>
      <w:rPr>
        <w:rFonts w:ascii="Wingdings" w:hAnsi="Wingdings" w:hint="default"/>
      </w:rPr>
    </w:lvl>
  </w:abstractNum>
  <w:abstractNum w:abstractNumId="5" w15:restartNumberingAfterBreak="0">
    <w:nsid w:val="0E935874"/>
    <w:multiLevelType w:val="hybridMultilevel"/>
    <w:tmpl w:val="36002EDE"/>
    <w:lvl w:ilvl="0" w:tplc="5062288A">
      <w:start w:val="1"/>
      <w:numFmt w:val="bullet"/>
      <w:lvlText w:val=""/>
      <w:lvlJc w:val="left"/>
      <w:pPr>
        <w:ind w:left="720" w:hanging="360"/>
      </w:pPr>
      <w:rPr>
        <w:rFonts w:ascii="Symbol" w:hAnsi="Symbol"/>
      </w:rPr>
    </w:lvl>
    <w:lvl w:ilvl="1" w:tplc="8C02A95A">
      <w:start w:val="1"/>
      <w:numFmt w:val="bullet"/>
      <w:lvlText w:val=""/>
      <w:lvlJc w:val="left"/>
      <w:pPr>
        <w:ind w:left="720" w:hanging="360"/>
      </w:pPr>
      <w:rPr>
        <w:rFonts w:ascii="Symbol" w:hAnsi="Symbol"/>
      </w:rPr>
    </w:lvl>
    <w:lvl w:ilvl="2" w:tplc="8FBA7D52">
      <w:start w:val="1"/>
      <w:numFmt w:val="bullet"/>
      <w:lvlText w:val=""/>
      <w:lvlJc w:val="left"/>
      <w:pPr>
        <w:ind w:left="720" w:hanging="360"/>
      </w:pPr>
      <w:rPr>
        <w:rFonts w:ascii="Symbol" w:hAnsi="Symbol"/>
      </w:rPr>
    </w:lvl>
    <w:lvl w:ilvl="3" w:tplc="479A7690">
      <w:start w:val="1"/>
      <w:numFmt w:val="bullet"/>
      <w:lvlText w:val=""/>
      <w:lvlJc w:val="left"/>
      <w:pPr>
        <w:ind w:left="720" w:hanging="360"/>
      </w:pPr>
      <w:rPr>
        <w:rFonts w:ascii="Symbol" w:hAnsi="Symbol"/>
      </w:rPr>
    </w:lvl>
    <w:lvl w:ilvl="4" w:tplc="EF984464">
      <w:start w:val="1"/>
      <w:numFmt w:val="bullet"/>
      <w:lvlText w:val=""/>
      <w:lvlJc w:val="left"/>
      <w:pPr>
        <w:ind w:left="720" w:hanging="360"/>
      </w:pPr>
      <w:rPr>
        <w:rFonts w:ascii="Symbol" w:hAnsi="Symbol"/>
      </w:rPr>
    </w:lvl>
    <w:lvl w:ilvl="5" w:tplc="2FF42450">
      <w:start w:val="1"/>
      <w:numFmt w:val="bullet"/>
      <w:lvlText w:val=""/>
      <w:lvlJc w:val="left"/>
      <w:pPr>
        <w:ind w:left="720" w:hanging="360"/>
      </w:pPr>
      <w:rPr>
        <w:rFonts w:ascii="Symbol" w:hAnsi="Symbol"/>
      </w:rPr>
    </w:lvl>
    <w:lvl w:ilvl="6" w:tplc="74B0E72E">
      <w:start w:val="1"/>
      <w:numFmt w:val="bullet"/>
      <w:lvlText w:val=""/>
      <w:lvlJc w:val="left"/>
      <w:pPr>
        <w:ind w:left="720" w:hanging="360"/>
      </w:pPr>
      <w:rPr>
        <w:rFonts w:ascii="Symbol" w:hAnsi="Symbol"/>
      </w:rPr>
    </w:lvl>
    <w:lvl w:ilvl="7" w:tplc="506EE90E">
      <w:start w:val="1"/>
      <w:numFmt w:val="bullet"/>
      <w:lvlText w:val=""/>
      <w:lvlJc w:val="left"/>
      <w:pPr>
        <w:ind w:left="720" w:hanging="360"/>
      </w:pPr>
      <w:rPr>
        <w:rFonts w:ascii="Symbol" w:hAnsi="Symbol"/>
      </w:rPr>
    </w:lvl>
    <w:lvl w:ilvl="8" w:tplc="5470CFE2">
      <w:start w:val="1"/>
      <w:numFmt w:val="bullet"/>
      <w:lvlText w:val=""/>
      <w:lvlJc w:val="left"/>
      <w:pPr>
        <w:ind w:left="720" w:hanging="360"/>
      </w:pPr>
      <w:rPr>
        <w:rFonts w:ascii="Symbol" w:hAnsi="Symbol"/>
      </w:rPr>
    </w:lvl>
  </w:abstractNum>
  <w:abstractNum w:abstractNumId="6" w15:restartNumberingAfterBreak="0">
    <w:nsid w:val="0EFB7115"/>
    <w:multiLevelType w:val="multilevel"/>
    <w:tmpl w:val="48125AC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0F14330A"/>
    <w:multiLevelType w:val="hybridMultilevel"/>
    <w:tmpl w:val="A65A53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462D1F"/>
    <w:multiLevelType w:val="hybridMultilevel"/>
    <w:tmpl w:val="02FE3B64"/>
    <w:lvl w:ilvl="0" w:tplc="4D28752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20B7201"/>
    <w:multiLevelType w:val="multilevel"/>
    <w:tmpl w:val="090A35B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0B8345"/>
    <w:multiLevelType w:val="multilevel"/>
    <w:tmpl w:val="52E0C38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262685D"/>
    <w:multiLevelType w:val="multilevel"/>
    <w:tmpl w:val="3556796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43D0A16"/>
    <w:multiLevelType w:val="multilevel"/>
    <w:tmpl w:val="1EB0BB8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72F0AC5"/>
    <w:multiLevelType w:val="multilevel"/>
    <w:tmpl w:val="89203A3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C7B624F"/>
    <w:multiLevelType w:val="multilevel"/>
    <w:tmpl w:val="354E543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30F2031"/>
    <w:multiLevelType w:val="multilevel"/>
    <w:tmpl w:val="C3368D60"/>
    <w:lvl w:ilvl="0">
      <w:numFmt w:val="bullet"/>
      <w:lvlText w:val="-"/>
      <w:lvlJc w:val="left"/>
      <w:pPr>
        <w:ind w:left="72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F71472B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9182C26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CF9057D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20B0DD3"/>
    <w:multiLevelType w:val="hybridMultilevel"/>
    <w:tmpl w:val="F3BC3BD6"/>
    <w:lvl w:ilvl="0" w:tplc="1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324F1E"/>
    <w:multiLevelType w:val="multilevel"/>
    <w:tmpl w:val="95A41AF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0D68C04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4795A0"/>
    <w:multiLevelType w:val="hybridMultilevel"/>
    <w:tmpl w:val="FFFFFFFF"/>
    <w:lvl w:ilvl="0" w:tplc="C518C762">
      <w:start w:val="1"/>
      <w:numFmt w:val="lowerLetter"/>
      <w:lvlText w:val="%1."/>
      <w:lvlJc w:val="left"/>
      <w:pPr>
        <w:ind w:left="720" w:hanging="360"/>
      </w:pPr>
    </w:lvl>
    <w:lvl w:ilvl="1" w:tplc="943091A4">
      <w:start w:val="1"/>
      <w:numFmt w:val="lowerLetter"/>
      <w:lvlText w:val="%2."/>
      <w:lvlJc w:val="left"/>
      <w:pPr>
        <w:ind w:left="1440" w:hanging="360"/>
      </w:pPr>
    </w:lvl>
    <w:lvl w:ilvl="2" w:tplc="B928E330">
      <w:start w:val="1"/>
      <w:numFmt w:val="lowerRoman"/>
      <w:lvlText w:val="%3."/>
      <w:lvlJc w:val="right"/>
      <w:pPr>
        <w:ind w:left="2160" w:hanging="180"/>
      </w:pPr>
    </w:lvl>
    <w:lvl w:ilvl="3" w:tplc="52527006">
      <w:start w:val="1"/>
      <w:numFmt w:val="decimal"/>
      <w:lvlText w:val="%4."/>
      <w:lvlJc w:val="left"/>
      <w:pPr>
        <w:ind w:left="2880" w:hanging="360"/>
      </w:pPr>
    </w:lvl>
    <w:lvl w:ilvl="4" w:tplc="361AEB58">
      <w:start w:val="1"/>
      <w:numFmt w:val="lowerLetter"/>
      <w:lvlText w:val="%5."/>
      <w:lvlJc w:val="left"/>
      <w:pPr>
        <w:ind w:left="3600" w:hanging="360"/>
      </w:pPr>
    </w:lvl>
    <w:lvl w:ilvl="5" w:tplc="38FEB264">
      <w:start w:val="1"/>
      <w:numFmt w:val="lowerRoman"/>
      <w:lvlText w:val="%6."/>
      <w:lvlJc w:val="right"/>
      <w:pPr>
        <w:ind w:left="4320" w:hanging="180"/>
      </w:pPr>
    </w:lvl>
    <w:lvl w:ilvl="6" w:tplc="39F27C6E">
      <w:start w:val="1"/>
      <w:numFmt w:val="decimal"/>
      <w:lvlText w:val="%7."/>
      <w:lvlJc w:val="left"/>
      <w:pPr>
        <w:ind w:left="5040" w:hanging="360"/>
      </w:pPr>
    </w:lvl>
    <w:lvl w:ilvl="7" w:tplc="FDEAA628">
      <w:start w:val="1"/>
      <w:numFmt w:val="lowerLetter"/>
      <w:lvlText w:val="%8."/>
      <w:lvlJc w:val="left"/>
      <w:pPr>
        <w:ind w:left="5760" w:hanging="360"/>
      </w:pPr>
    </w:lvl>
    <w:lvl w:ilvl="8" w:tplc="E4401E3C">
      <w:start w:val="1"/>
      <w:numFmt w:val="lowerRoman"/>
      <w:lvlText w:val="%9."/>
      <w:lvlJc w:val="right"/>
      <w:pPr>
        <w:ind w:left="6480" w:hanging="180"/>
      </w:pPr>
    </w:lvl>
  </w:abstractNum>
  <w:abstractNum w:abstractNumId="23" w15:restartNumberingAfterBreak="0">
    <w:nsid w:val="3A7730C4"/>
    <w:multiLevelType w:val="multilevel"/>
    <w:tmpl w:val="7F2EA70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9E662A"/>
    <w:multiLevelType w:val="multilevel"/>
    <w:tmpl w:val="CB0E820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8157E6C"/>
    <w:multiLevelType w:val="hybridMultilevel"/>
    <w:tmpl w:val="A10A98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1A63DF"/>
    <w:multiLevelType w:val="multilevel"/>
    <w:tmpl w:val="03366B0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F2265CC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1A882B1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C9E29AE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3DC6E55"/>
    <w:multiLevelType w:val="hybridMultilevel"/>
    <w:tmpl w:val="EBF811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134FD3"/>
    <w:multiLevelType w:val="multilevel"/>
    <w:tmpl w:val="271477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0EFBF6"/>
    <w:multiLevelType w:val="multilevel"/>
    <w:tmpl w:val="AFE802D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814FBE"/>
    <w:multiLevelType w:val="hybridMultilevel"/>
    <w:tmpl w:val="C4D23F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977472E"/>
    <w:multiLevelType w:val="multilevel"/>
    <w:tmpl w:val="6A5A7F1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79050BF1"/>
    <w:multiLevelType w:val="hybridMultilevel"/>
    <w:tmpl w:val="C3368D60"/>
    <w:lvl w:ilvl="0" w:tplc="771E3B6A">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9FF1716"/>
    <w:multiLevelType w:val="hybridMultilevel"/>
    <w:tmpl w:val="525623DA"/>
    <w:lvl w:ilvl="0" w:tplc="D088952A">
      <w:start w:val="1"/>
      <w:numFmt w:val="bullet"/>
      <w:lvlText w:val="-"/>
      <w:lvlJc w:val="left"/>
      <w:pPr>
        <w:ind w:left="360" w:hanging="360"/>
      </w:pPr>
      <w:rPr>
        <w:rFonts w:ascii="Aptos" w:hAnsi="Aptos" w:hint="default"/>
      </w:rPr>
    </w:lvl>
    <w:lvl w:ilvl="1" w:tplc="FD02FBEC">
      <w:start w:val="1"/>
      <w:numFmt w:val="bullet"/>
      <w:lvlText w:val="o"/>
      <w:lvlJc w:val="left"/>
      <w:pPr>
        <w:ind w:left="1080" w:hanging="360"/>
      </w:pPr>
      <w:rPr>
        <w:rFonts w:ascii="Courier New" w:hAnsi="Courier New" w:hint="default"/>
      </w:rPr>
    </w:lvl>
    <w:lvl w:ilvl="2" w:tplc="1AE2AC92">
      <w:start w:val="1"/>
      <w:numFmt w:val="bullet"/>
      <w:lvlText w:val=""/>
      <w:lvlJc w:val="left"/>
      <w:pPr>
        <w:ind w:left="1800" w:hanging="360"/>
      </w:pPr>
      <w:rPr>
        <w:rFonts w:ascii="Wingdings" w:hAnsi="Wingdings" w:hint="default"/>
      </w:rPr>
    </w:lvl>
    <w:lvl w:ilvl="3" w:tplc="CF3005DE">
      <w:start w:val="1"/>
      <w:numFmt w:val="bullet"/>
      <w:lvlText w:val=""/>
      <w:lvlJc w:val="left"/>
      <w:pPr>
        <w:ind w:left="2520" w:hanging="360"/>
      </w:pPr>
      <w:rPr>
        <w:rFonts w:ascii="Symbol" w:hAnsi="Symbol" w:hint="default"/>
      </w:rPr>
    </w:lvl>
    <w:lvl w:ilvl="4" w:tplc="64904AFC">
      <w:start w:val="1"/>
      <w:numFmt w:val="bullet"/>
      <w:lvlText w:val="o"/>
      <w:lvlJc w:val="left"/>
      <w:pPr>
        <w:ind w:left="3240" w:hanging="360"/>
      </w:pPr>
      <w:rPr>
        <w:rFonts w:ascii="Courier New" w:hAnsi="Courier New" w:hint="default"/>
      </w:rPr>
    </w:lvl>
    <w:lvl w:ilvl="5" w:tplc="1332CD1E">
      <w:start w:val="1"/>
      <w:numFmt w:val="bullet"/>
      <w:lvlText w:val=""/>
      <w:lvlJc w:val="left"/>
      <w:pPr>
        <w:ind w:left="3960" w:hanging="360"/>
      </w:pPr>
      <w:rPr>
        <w:rFonts w:ascii="Wingdings" w:hAnsi="Wingdings" w:hint="default"/>
      </w:rPr>
    </w:lvl>
    <w:lvl w:ilvl="6" w:tplc="742A0BA6">
      <w:start w:val="1"/>
      <w:numFmt w:val="bullet"/>
      <w:lvlText w:val=""/>
      <w:lvlJc w:val="left"/>
      <w:pPr>
        <w:ind w:left="4680" w:hanging="360"/>
      </w:pPr>
      <w:rPr>
        <w:rFonts w:ascii="Symbol" w:hAnsi="Symbol" w:hint="default"/>
      </w:rPr>
    </w:lvl>
    <w:lvl w:ilvl="7" w:tplc="20C0C432">
      <w:start w:val="1"/>
      <w:numFmt w:val="bullet"/>
      <w:lvlText w:val="o"/>
      <w:lvlJc w:val="left"/>
      <w:pPr>
        <w:ind w:left="5400" w:hanging="360"/>
      </w:pPr>
      <w:rPr>
        <w:rFonts w:ascii="Courier New" w:hAnsi="Courier New" w:hint="default"/>
      </w:rPr>
    </w:lvl>
    <w:lvl w:ilvl="8" w:tplc="4CC46606">
      <w:start w:val="1"/>
      <w:numFmt w:val="bullet"/>
      <w:lvlText w:val=""/>
      <w:lvlJc w:val="left"/>
      <w:pPr>
        <w:ind w:left="6120" w:hanging="360"/>
      </w:pPr>
      <w:rPr>
        <w:rFonts w:ascii="Wingdings" w:hAnsi="Wingdings" w:hint="default"/>
      </w:rPr>
    </w:lvl>
  </w:abstractNum>
  <w:abstractNum w:abstractNumId="37" w15:restartNumberingAfterBreak="0">
    <w:nsid w:val="7C65145E"/>
    <w:multiLevelType w:val="multilevel"/>
    <w:tmpl w:val="B0DC912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9" w15:restartNumberingAfterBreak="0">
    <w:nsid w:val="7D544F20"/>
    <w:multiLevelType w:val="hybridMultilevel"/>
    <w:tmpl w:val="A3B6FA6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2"/>
  </w:num>
  <w:num w:numId="2">
    <w:abstractNumId w:val="36"/>
  </w:num>
  <w:num w:numId="3">
    <w:abstractNumId w:val="2"/>
  </w:num>
  <w:num w:numId="4">
    <w:abstractNumId w:val="20"/>
  </w:num>
  <w:num w:numId="5">
    <w:abstractNumId w:val="14"/>
  </w:num>
  <w:num w:numId="6">
    <w:abstractNumId w:val="21"/>
  </w:num>
  <w:num w:numId="7">
    <w:abstractNumId w:val="28"/>
  </w:num>
  <w:num w:numId="8">
    <w:abstractNumId w:val="34"/>
  </w:num>
  <w:num w:numId="9">
    <w:abstractNumId w:val="6"/>
  </w:num>
  <w:num w:numId="10">
    <w:abstractNumId w:val="13"/>
  </w:num>
  <w:num w:numId="11">
    <w:abstractNumId w:val="24"/>
  </w:num>
  <w:num w:numId="12">
    <w:abstractNumId w:val="9"/>
  </w:num>
  <w:num w:numId="13">
    <w:abstractNumId w:val="11"/>
  </w:num>
  <w:num w:numId="14">
    <w:abstractNumId w:val="12"/>
  </w:num>
  <w:num w:numId="15">
    <w:abstractNumId w:val="16"/>
  </w:num>
  <w:num w:numId="16">
    <w:abstractNumId w:val="23"/>
  </w:num>
  <w:num w:numId="17">
    <w:abstractNumId w:val="27"/>
  </w:num>
  <w:num w:numId="18">
    <w:abstractNumId w:val="37"/>
  </w:num>
  <w:num w:numId="19">
    <w:abstractNumId w:val="17"/>
  </w:num>
  <w:num w:numId="20">
    <w:abstractNumId w:val="18"/>
  </w:num>
  <w:num w:numId="21">
    <w:abstractNumId w:val="38"/>
  </w:num>
  <w:num w:numId="22">
    <w:abstractNumId w:val="26"/>
  </w:num>
  <w:num w:numId="23">
    <w:abstractNumId w:val="29"/>
  </w:num>
  <w:num w:numId="24">
    <w:abstractNumId w:val="10"/>
  </w:num>
  <w:num w:numId="25">
    <w:abstractNumId w:val="39"/>
  </w:num>
  <w:num w:numId="26">
    <w:abstractNumId w:val="33"/>
  </w:num>
  <w:num w:numId="27">
    <w:abstractNumId w:val="35"/>
  </w:num>
  <w:num w:numId="28">
    <w:abstractNumId w:val="22"/>
  </w:num>
  <w:num w:numId="29">
    <w:abstractNumId w:val="1"/>
  </w:num>
  <w:num w:numId="30">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15"/>
  </w:num>
  <w:num w:numId="33">
    <w:abstractNumId w:val="4"/>
  </w:num>
  <w:num w:numId="34">
    <w:abstractNumId w:val="30"/>
  </w:num>
  <w:num w:numId="35">
    <w:abstractNumId w:val="19"/>
  </w:num>
  <w:num w:numId="36">
    <w:abstractNumId w:val="8"/>
  </w:num>
  <w:num w:numId="37">
    <w:abstractNumId w:val="3"/>
  </w:num>
  <w:num w:numId="38">
    <w:abstractNumId w:val="0"/>
  </w:num>
  <w:num w:numId="39">
    <w:abstractNumId w:val="25"/>
  </w:num>
  <w:num w:numId="40">
    <w:abstractNumId w:val="5"/>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LW_CORRIGENDUM" w:val="&lt;UNUSED&gt;"/>
    <w:docVar w:name="LW_COVERPAGE_EXISTS" w:val="True"/>
    <w:docVar w:name="LW_COVERPAGE_GUID" w:val="7DE481A6-D37E-4D82-817B-DEF46BEB4549"/>
    <w:docVar w:name="LW_COVERPAGE_TYPE" w:val="1"/>
    <w:docVar w:name="LW_CROSSREFERENCE" w:val="&lt;UNUSED&gt;"/>
    <w:docVar w:name="LW_DocType" w:val="2CFEB4215E224EB3A3CCC8FA86889EAB"/>
    <w:docVar w:name="LW_EMISSION" w:val="10.3.2026"/>
    <w:docVar w:name="LW_EMISSION_ISODATE" w:val="2026-03-1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financement de l'efficacité énergétique en Europe_x000d__x000d__x000d__x000d__x000d__x000d__x000d__x000b_Évaluation des dépenses publiques consacrées à l'efficacité et à la performance énergétique des bâtiments"/>
    <w:docVar w:name="LW_TYPE.DOC.CP" w:val="RAPPORT DE LA COMMISSION AU PARLEMENT EUROPÉEN ET AU CONSEIL"/>
    <w:docVar w:name="LwApiVersions" w:val="LW4CoDe 1.24.5.0; LW 9.2, Build 20251112"/>
  </w:docVars>
  <w:rsids>
    <w:rsidRoot w:val="00364933"/>
    <w:rsid w:val="000000F4"/>
    <w:rsid w:val="0000048B"/>
    <w:rsid w:val="000007A4"/>
    <w:rsid w:val="00000944"/>
    <w:rsid w:val="00000DAC"/>
    <w:rsid w:val="00001143"/>
    <w:rsid w:val="00001351"/>
    <w:rsid w:val="00001356"/>
    <w:rsid w:val="000014BB"/>
    <w:rsid w:val="00001698"/>
    <w:rsid w:val="00001736"/>
    <w:rsid w:val="00001809"/>
    <w:rsid w:val="000019FC"/>
    <w:rsid w:val="00001C28"/>
    <w:rsid w:val="0000252B"/>
    <w:rsid w:val="00002717"/>
    <w:rsid w:val="00002778"/>
    <w:rsid w:val="000027A2"/>
    <w:rsid w:val="000027C9"/>
    <w:rsid w:val="00002ABD"/>
    <w:rsid w:val="00002E62"/>
    <w:rsid w:val="0000336B"/>
    <w:rsid w:val="000034D6"/>
    <w:rsid w:val="000035FB"/>
    <w:rsid w:val="00003914"/>
    <w:rsid w:val="0000418C"/>
    <w:rsid w:val="00004404"/>
    <w:rsid w:val="00004A69"/>
    <w:rsid w:val="00004ACA"/>
    <w:rsid w:val="00004B7B"/>
    <w:rsid w:val="00005153"/>
    <w:rsid w:val="00005C49"/>
    <w:rsid w:val="00005E54"/>
    <w:rsid w:val="00005ED7"/>
    <w:rsid w:val="0000607A"/>
    <w:rsid w:val="0000623D"/>
    <w:rsid w:val="0000644E"/>
    <w:rsid w:val="000064E4"/>
    <w:rsid w:val="00006780"/>
    <w:rsid w:val="00006EA5"/>
    <w:rsid w:val="00006F3B"/>
    <w:rsid w:val="00006FA1"/>
    <w:rsid w:val="0000704F"/>
    <w:rsid w:val="0000744B"/>
    <w:rsid w:val="0000761A"/>
    <w:rsid w:val="00007B3D"/>
    <w:rsid w:val="00010986"/>
    <w:rsid w:val="00010EA4"/>
    <w:rsid w:val="0001121F"/>
    <w:rsid w:val="000113CB"/>
    <w:rsid w:val="00011442"/>
    <w:rsid w:val="00011AF3"/>
    <w:rsid w:val="00011B8C"/>
    <w:rsid w:val="00011E19"/>
    <w:rsid w:val="000120EE"/>
    <w:rsid w:val="00012697"/>
    <w:rsid w:val="00012A95"/>
    <w:rsid w:val="0001301E"/>
    <w:rsid w:val="0001325F"/>
    <w:rsid w:val="00013622"/>
    <w:rsid w:val="00013BCA"/>
    <w:rsid w:val="00013D32"/>
    <w:rsid w:val="00013EE8"/>
    <w:rsid w:val="00013F5A"/>
    <w:rsid w:val="00014080"/>
    <w:rsid w:val="000140AD"/>
    <w:rsid w:val="000141CD"/>
    <w:rsid w:val="000148FF"/>
    <w:rsid w:val="00014DC9"/>
    <w:rsid w:val="00015A02"/>
    <w:rsid w:val="00015C51"/>
    <w:rsid w:val="00015F26"/>
    <w:rsid w:val="000161B5"/>
    <w:rsid w:val="00016378"/>
    <w:rsid w:val="0001643E"/>
    <w:rsid w:val="00016A70"/>
    <w:rsid w:val="00016F34"/>
    <w:rsid w:val="0001727F"/>
    <w:rsid w:val="00017927"/>
    <w:rsid w:val="000200E5"/>
    <w:rsid w:val="000203B7"/>
    <w:rsid w:val="0002047D"/>
    <w:rsid w:val="000209FD"/>
    <w:rsid w:val="00020A9A"/>
    <w:rsid w:val="00020D06"/>
    <w:rsid w:val="000210B5"/>
    <w:rsid w:val="0002146F"/>
    <w:rsid w:val="00021525"/>
    <w:rsid w:val="00021A9C"/>
    <w:rsid w:val="00021D18"/>
    <w:rsid w:val="00021E38"/>
    <w:rsid w:val="00021F32"/>
    <w:rsid w:val="00022646"/>
    <w:rsid w:val="000226EB"/>
    <w:rsid w:val="000228F3"/>
    <w:rsid w:val="00022947"/>
    <w:rsid w:val="00022CDD"/>
    <w:rsid w:val="00022F5E"/>
    <w:rsid w:val="00023827"/>
    <w:rsid w:val="00023930"/>
    <w:rsid w:val="000243C2"/>
    <w:rsid w:val="000246BC"/>
    <w:rsid w:val="0002498E"/>
    <w:rsid w:val="000254EA"/>
    <w:rsid w:val="000257DB"/>
    <w:rsid w:val="00025C22"/>
    <w:rsid w:val="0002601A"/>
    <w:rsid w:val="000262A0"/>
    <w:rsid w:val="000262A6"/>
    <w:rsid w:val="00026E2F"/>
    <w:rsid w:val="00027766"/>
    <w:rsid w:val="00027ACE"/>
    <w:rsid w:val="00027C1A"/>
    <w:rsid w:val="00027C21"/>
    <w:rsid w:val="00027CD2"/>
    <w:rsid w:val="000300B0"/>
    <w:rsid w:val="000304D3"/>
    <w:rsid w:val="00030675"/>
    <w:rsid w:val="000308E0"/>
    <w:rsid w:val="000309A3"/>
    <w:rsid w:val="00030CB9"/>
    <w:rsid w:val="00030FCA"/>
    <w:rsid w:val="0003149A"/>
    <w:rsid w:val="00031A70"/>
    <w:rsid w:val="00031AFB"/>
    <w:rsid w:val="000320C2"/>
    <w:rsid w:val="000323F4"/>
    <w:rsid w:val="0003272D"/>
    <w:rsid w:val="00032939"/>
    <w:rsid w:val="00032A69"/>
    <w:rsid w:val="00032A89"/>
    <w:rsid w:val="00032CF1"/>
    <w:rsid w:val="00033562"/>
    <w:rsid w:val="00033646"/>
    <w:rsid w:val="000336FA"/>
    <w:rsid w:val="000337D5"/>
    <w:rsid w:val="00033CE5"/>
    <w:rsid w:val="00033E48"/>
    <w:rsid w:val="00034106"/>
    <w:rsid w:val="0003417B"/>
    <w:rsid w:val="000341B3"/>
    <w:rsid w:val="000341DE"/>
    <w:rsid w:val="000341F7"/>
    <w:rsid w:val="00034273"/>
    <w:rsid w:val="000344C2"/>
    <w:rsid w:val="00034812"/>
    <w:rsid w:val="0003483D"/>
    <w:rsid w:val="00034860"/>
    <w:rsid w:val="0003487F"/>
    <w:rsid w:val="00034AA8"/>
    <w:rsid w:val="0003516C"/>
    <w:rsid w:val="000355EB"/>
    <w:rsid w:val="00035699"/>
    <w:rsid w:val="000356F4"/>
    <w:rsid w:val="000359E4"/>
    <w:rsid w:val="000360B1"/>
    <w:rsid w:val="00036349"/>
    <w:rsid w:val="000363DB"/>
    <w:rsid w:val="00036666"/>
    <w:rsid w:val="0003667F"/>
    <w:rsid w:val="0003668C"/>
    <w:rsid w:val="00036962"/>
    <w:rsid w:val="00036F06"/>
    <w:rsid w:val="000374A5"/>
    <w:rsid w:val="000374AD"/>
    <w:rsid w:val="000378A8"/>
    <w:rsid w:val="00037F19"/>
    <w:rsid w:val="000401C9"/>
    <w:rsid w:val="000403F8"/>
    <w:rsid w:val="00040545"/>
    <w:rsid w:val="0004089C"/>
    <w:rsid w:val="00040EA3"/>
    <w:rsid w:val="00040F80"/>
    <w:rsid w:val="0004114D"/>
    <w:rsid w:val="00041971"/>
    <w:rsid w:val="00041CAF"/>
    <w:rsid w:val="00041CC5"/>
    <w:rsid w:val="00041F7A"/>
    <w:rsid w:val="0004227C"/>
    <w:rsid w:val="00042616"/>
    <w:rsid w:val="00042AB5"/>
    <w:rsid w:val="00042C5E"/>
    <w:rsid w:val="00043733"/>
    <w:rsid w:val="00043E4D"/>
    <w:rsid w:val="00044531"/>
    <w:rsid w:val="000446C7"/>
    <w:rsid w:val="000447EA"/>
    <w:rsid w:val="00044874"/>
    <w:rsid w:val="0004490F"/>
    <w:rsid w:val="000449A5"/>
    <w:rsid w:val="000450FE"/>
    <w:rsid w:val="00045147"/>
    <w:rsid w:val="000456EB"/>
    <w:rsid w:val="0004600D"/>
    <w:rsid w:val="0004623F"/>
    <w:rsid w:val="00046712"/>
    <w:rsid w:val="00046A23"/>
    <w:rsid w:val="00046B4F"/>
    <w:rsid w:val="00047087"/>
    <w:rsid w:val="000470A2"/>
    <w:rsid w:val="00047263"/>
    <w:rsid w:val="000472A0"/>
    <w:rsid w:val="0004731A"/>
    <w:rsid w:val="0005006B"/>
    <w:rsid w:val="00050306"/>
    <w:rsid w:val="000503B7"/>
    <w:rsid w:val="00050476"/>
    <w:rsid w:val="0005066B"/>
    <w:rsid w:val="00050865"/>
    <w:rsid w:val="00050E7E"/>
    <w:rsid w:val="0005114F"/>
    <w:rsid w:val="00051263"/>
    <w:rsid w:val="000514D8"/>
    <w:rsid w:val="000515F2"/>
    <w:rsid w:val="00051765"/>
    <w:rsid w:val="00051A89"/>
    <w:rsid w:val="00051AA2"/>
    <w:rsid w:val="00051BCA"/>
    <w:rsid w:val="00051CEA"/>
    <w:rsid w:val="00051ECF"/>
    <w:rsid w:val="00052382"/>
    <w:rsid w:val="00052697"/>
    <w:rsid w:val="00052AFB"/>
    <w:rsid w:val="00052DDD"/>
    <w:rsid w:val="000530FF"/>
    <w:rsid w:val="000532A2"/>
    <w:rsid w:val="0005339D"/>
    <w:rsid w:val="000534F1"/>
    <w:rsid w:val="00053B38"/>
    <w:rsid w:val="00053C75"/>
    <w:rsid w:val="00053ED0"/>
    <w:rsid w:val="00053FDC"/>
    <w:rsid w:val="0005481F"/>
    <w:rsid w:val="00054A6B"/>
    <w:rsid w:val="00054E74"/>
    <w:rsid w:val="00054FD9"/>
    <w:rsid w:val="0005501E"/>
    <w:rsid w:val="00055353"/>
    <w:rsid w:val="000557FC"/>
    <w:rsid w:val="00055AAD"/>
    <w:rsid w:val="00055AF0"/>
    <w:rsid w:val="00055B0F"/>
    <w:rsid w:val="00056064"/>
    <w:rsid w:val="000564CD"/>
    <w:rsid w:val="00056AF2"/>
    <w:rsid w:val="00056BAD"/>
    <w:rsid w:val="00056E3A"/>
    <w:rsid w:val="00057110"/>
    <w:rsid w:val="00057173"/>
    <w:rsid w:val="0005723B"/>
    <w:rsid w:val="000572FB"/>
    <w:rsid w:val="00057329"/>
    <w:rsid w:val="000575CF"/>
    <w:rsid w:val="0005781F"/>
    <w:rsid w:val="00057988"/>
    <w:rsid w:val="00057CC2"/>
    <w:rsid w:val="000601E6"/>
    <w:rsid w:val="000602CA"/>
    <w:rsid w:val="00060C86"/>
    <w:rsid w:val="000610FD"/>
    <w:rsid w:val="00061601"/>
    <w:rsid w:val="000619F3"/>
    <w:rsid w:val="00061B3A"/>
    <w:rsid w:val="00061BB8"/>
    <w:rsid w:val="00061D65"/>
    <w:rsid w:val="000620CD"/>
    <w:rsid w:val="000620E1"/>
    <w:rsid w:val="00062122"/>
    <w:rsid w:val="000625B2"/>
    <w:rsid w:val="00062B09"/>
    <w:rsid w:val="00062C4C"/>
    <w:rsid w:val="0006304C"/>
    <w:rsid w:val="0006325E"/>
    <w:rsid w:val="000632B4"/>
    <w:rsid w:val="0006380E"/>
    <w:rsid w:val="00063970"/>
    <w:rsid w:val="00063B7F"/>
    <w:rsid w:val="00063D19"/>
    <w:rsid w:val="00063E13"/>
    <w:rsid w:val="00064321"/>
    <w:rsid w:val="000644D7"/>
    <w:rsid w:val="000648F8"/>
    <w:rsid w:val="00064AC2"/>
    <w:rsid w:val="00064B26"/>
    <w:rsid w:val="00064B9C"/>
    <w:rsid w:val="00064CF3"/>
    <w:rsid w:val="000653C2"/>
    <w:rsid w:val="000655F5"/>
    <w:rsid w:val="000657A3"/>
    <w:rsid w:val="00065851"/>
    <w:rsid w:val="00065A70"/>
    <w:rsid w:val="00065AF5"/>
    <w:rsid w:val="00065D72"/>
    <w:rsid w:val="00065DF5"/>
    <w:rsid w:val="00065FB2"/>
    <w:rsid w:val="00066029"/>
    <w:rsid w:val="0006615E"/>
    <w:rsid w:val="00066680"/>
    <w:rsid w:val="0006687C"/>
    <w:rsid w:val="000668E2"/>
    <w:rsid w:val="00066986"/>
    <w:rsid w:val="00066E8D"/>
    <w:rsid w:val="00066EC1"/>
    <w:rsid w:val="0006761A"/>
    <w:rsid w:val="00067801"/>
    <w:rsid w:val="00067804"/>
    <w:rsid w:val="00067B74"/>
    <w:rsid w:val="00067C3D"/>
    <w:rsid w:val="00067C8A"/>
    <w:rsid w:val="00067D22"/>
    <w:rsid w:val="00067FD2"/>
    <w:rsid w:val="000704B1"/>
    <w:rsid w:val="000709D5"/>
    <w:rsid w:val="00070E75"/>
    <w:rsid w:val="00071084"/>
    <w:rsid w:val="00071243"/>
    <w:rsid w:val="00071478"/>
    <w:rsid w:val="00071740"/>
    <w:rsid w:val="00071B1B"/>
    <w:rsid w:val="00071B63"/>
    <w:rsid w:val="00071BC4"/>
    <w:rsid w:val="00071F1A"/>
    <w:rsid w:val="00071FFE"/>
    <w:rsid w:val="0007241B"/>
    <w:rsid w:val="00072791"/>
    <w:rsid w:val="000727C8"/>
    <w:rsid w:val="0007293D"/>
    <w:rsid w:val="00072B40"/>
    <w:rsid w:val="00073413"/>
    <w:rsid w:val="00073440"/>
    <w:rsid w:val="00073531"/>
    <w:rsid w:val="00073882"/>
    <w:rsid w:val="00073B00"/>
    <w:rsid w:val="00074021"/>
    <w:rsid w:val="000740BF"/>
    <w:rsid w:val="0007443C"/>
    <w:rsid w:val="00074A57"/>
    <w:rsid w:val="00074C37"/>
    <w:rsid w:val="0007514C"/>
    <w:rsid w:val="0007525A"/>
    <w:rsid w:val="000755BF"/>
    <w:rsid w:val="0007580B"/>
    <w:rsid w:val="00075BFB"/>
    <w:rsid w:val="00075DA7"/>
    <w:rsid w:val="00075F55"/>
    <w:rsid w:val="000760B4"/>
    <w:rsid w:val="0007661A"/>
    <w:rsid w:val="00076A5A"/>
    <w:rsid w:val="00076CD3"/>
    <w:rsid w:val="00076ED2"/>
    <w:rsid w:val="0007728E"/>
    <w:rsid w:val="0007756A"/>
    <w:rsid w:val="0007792B"/>
    <w:rsid w:val="00077BE0"/>
    <w:rsid w:val="00077D08"/>
    <w:rsid w:val="00077D19"/>
    <w:rsid w:val="00080013"/>
    <w:rsid w:val="0008015D"/>
    <w:rsid w:val="00080296"/>
    <w:rsid w:val="0008030A"/>
    <w:rsid w:val="00080362"/>
    <w:rsid w:val="00080622"/>
    <w:rsid w:val="00080991"/>
    <w:rsid w:val="00080B90"/>
    <w:rsid w:val="00080C35"/>
    <w:rsid w:val="00080D68"/>
    <w:rsid w:val="00081209"/>
    <w:rsid w:val="00081247"/>
    <w:rsid w:val="000812AD"/>
    <w:rsid w:val="00081559"/>
    <w:rsid w:val="000815D8"/>
    <w:rsid w:val="000817EA"/>
    <w:rsid w:val="00081AEF"/>
    <w:rsid w:val="00081AF0"/>
    <w:rsid w:val="00081BCA"/>
    <w:rsid w:val="000820B1"/>
    <w:rsid w:val="0008226D"/>
    <w:rsid w:val="000822E0"/>
    <w:rsid w:val="00082385"/>
    <w:rsid w:val="00082467"/>
    <w:rsid w:val="0008265B"/>
    <w:rsid w:val="00082AE9"/>
    <w:rsid w:val="00082C47"/>
    <w:rsid w:val="00082F73"/>
    <w:rsid w:val="00082F77"/>
    <w:rsid w:val="00083104"/>
    <w:rsid w:val="00083530"/>
    <w:rsid w:val="000836DD"/>
    <w:rsid w:val="000837A5"/>
    <w:rsid w:val="0008394D"/>
    <w:rsid w:val="00083AB3"/>
    <w:rsid w:val="00083B85"/>
    <w:rsid w:val="00083D01"/>
    <w:rsid w:val="00084226"/>
    <w:rsid w:val="0008443A"/>
    <w:rsid w:val="000847E3"/>
    <w:rsid w:val="00084C27"/>
    <w:rsid w:val="00084FBF"/>
    <w:rsid w:val="00084FD3"/>
    <w:rsid w:val="000851F0"/>
    <w:rsid w:val="000854AA"/>
    <w:rsid w:val="00085711"/>
    <w:rsid w:val="00085A02"/>
    <w:rsid w:val="00085A99"/>
    <w:rsid w:val="00085AA8"/>
    <w:rsid w:val="00085DC1"/>
    <w:rsid w:val="00085E03"/>
    <w:rsid w:val="00085ED9"/>
    <w:rsid w:val="0008615C"/>
    <w:rsid w:val="000861DC"/>
    <w:rsid w:val="0008626B"/>
    <w:rsid w:val="00086368"/>
    <w:rsid w:val="00086E04"/>
    <w:rsid w:val="00086E3D"/>
    <w:rsid w:val="00086EA9"/>
    <w:rsid w:val="00087393"/>
    <w:rsid w:val="00087850"/>
    <w:rsid w:val="00087DC4"/>
    <w:rsid w:val="00087EFA"/>
    <w:rsid w:val="00087F6F"/>
    <w:rsid w:val="0009062B"/>
    <w:rsid w:val="0009080E"/>
    <w:rsid w:val="00090C9E"/>
    <w:rsid w:val="00091116"/>
    <w:rsid w:val="00091126"/>
    <w:rsid w:val="00091257"/>
    <w:rsid w:val="000913FD"/>
    <w:rsid w:val="0009142C"/>
    <w:rsid w:val="0009156E"/>
    <w:rsid w:val="00091618"/>
    <w:rsid w:val="00091DEC"/>
    <w:rsid w:val="00091E88"/>
    <w:rsid w:val="00092124"/>
    <w:rsid w:val="0009225C"/>
    <w:rsid w:val="0009268F"/>
    <w:rsid w:val="000929FE"/>
    <w:rsid w:val="00092A23"/>
    <w:rsid w:val="00092EB8"/>
    <w:rsid w:val="00092EFC"/>
    <w:rsid w:val="00093008"/>
    <w:rsid w:val="00093039"/>
    <w:rsid w:val="00093091"/>
    <w:rsid w:val="00093360"/>
    <w:rsid w:val="000934BB"/>
    <w:rsid w:val="00093564"/>
    <w:rsid w:val="00093831"/>
    <w:rsid w:val="00093ADF"/>
    <w:rsid w:val="00093D76"/>
    <w:rsid w:val="0009412C"/>
    <w:rsid w:val="00094978"/>
    <w:rsid w:val="00094A6F"/>
    <w:rsid w:val="00094B36"/>
    <w:rsid w:val="00094F42"/>
    <w:rsid w:val="00095086"/>
    <w:rsid w:val="000955BF"/>
    <w:rsid w:val="00095726"/>
    <w:rsid w:val="000958DB"/>
    <w:rsid w:val="00095C3C"/>
    <w:rsid w:val="00095CD4"/>
    <w:rsid w:val="00095DE9"/>
    <w:rsid w:val="00096063"/>
    <w:rsid w:val="000962BA"/>
    <w:rsid w:val="00096628"/>
    <w:rsid w:val="00096DA2"/>
    <w:rsid w:val="00096FC3"/>
    <w:rsid w:val="000970DD"/>
    <w:rsid w:val="0009710A"/>
    <w:rsid w:val="00097D41"/>
    <w:rsid w:val="00097F62"/>
    <w:rsid w:val="0009A27B"/>
    <w:rsid w:val="000A010A"/>
    <w:rsid w:val="000A0529"/>
    <w:rsid w:val="000A083E"/>
    <w:rsid w:val="000A09C5"/>
    <w:rsid w:val="000A1031"/>
    <w:rsid w:val="000A14DA"/>
    <w:rsid w:val="000A1629"/>
    <w:rsid w:val="000A1B89"/>
    <w:rsid w:val="000A1D1B"/>
    <w:rsid w:val="000A1F5E"/>
    <w:rsid w:val="000A26DD"/>
    <w:rsid w:val="000A271E"/>
    <w:rsid w:val="000A2B7C"/>
    <w:rsid w:val="000A2F1B"/>
    <w:rsid w:val="000A3196"/>
    <w:rsid w:val="000A34DB"/>
    <w:rsid w:val="000A34DD"/>
    <w:rsid w:val="000A351B"/>
    <w:rsid w:val="000A359A"/>
    <w:rsid w:val="000A3BAD"/>
    <w:rsid w:val="000A3CDB"/>
    <w:rsid w:val="000A42C0"/>
    <w:rsid w:val="000A45B7"/>
    <w:rsid w:val="000A4675"/>
    <w:rsid w:val="000A4B2C"/>
    <w:rsid w:val="000A4D04"/>
    <w:rsid w:val="000A4D72"/>
    <w:rsid w:val="000A5057"/>
    <w:rsid w:val="000A5610"/>
    <w:rsid w:val="000A5829"/>
    <w:rsid w:val="000A582C"/>
    <w:rsid w:val="000A5A19"/>
    <w:rsid w:val="000A5A4F"/>
    <w:rsid w:val="000A5C06"/>
    <w:rsid w:val="000A5F04"/>
    <w:rsid w:val="000A6D5E"/>
    <w:rsid w:val="000A6ECB"/>
    <w:rsid w:val="000A6F70"/>
    <w:rsid w:val="000A6FA6"/>
    <w:rsid w:val="000A7017"/>
    <w:rsid w:val="000A78A3"/>
    <w:rsid w:val="000A7996"/>
    <w:rsid w:val="000A7AF9"/>
    <w:rsid w:val="000A7BE6"/>
    <w:rsid w:val="000A7C28"/>
    <w:rsid w:val="000A7C60"/>
    <w:rsid w:val="000A7E2D"/>
    <w:rsid w:val="000B0222"/>
    <w:rsid w:val="000B09C5"/>
    <w:rsid w:val="000B0CD6"/>
    <w:rsid w:val="000B1195"/>
    <w:rsid w:val="000B1612"/>
    <w:rsid w:val="000B16E6"/>
    <w:rsid w:val="000B199C"/>
    <w:rsid w:val="000B1B38"/>
    <w:rsid w:val="000B1F71"/>
    <w:rsid w:val="000B2DF7"/>
    <w:rsid w:val="000B2E18"/>
    <w:rsid w:val="000B313C"/>
    <w:rsid w:val="000B3761"/>
    <w:rsid w:val="000B3AD0"/>
    <w:rsid w:val="000B3C68"/>
    <w:rsid w:val="000B3F81"/>
    <w:rsid w:val="000B3FE0"/>
    <w:rsid w:val="000B40D5"/>
    <w:rsid w:val="000B42C6"/>
    <w:rsid w:val="000B477A"/>
    <w:rsid w:val="000B4DC8"/>
    <w:rsid w:val="000B51D8"/>
    <w:rsid w:val="000B5552"/>
    <w:rsid w:val="000B574D"/>
    <w:rsid w:val="000B5AB5"/>
    <w:rsid w:val="000B5BBF"/>
    <w:rsid w:val="000B5C4C"/>
    <w:rsid w:val="000B5E98"/>
    <w:rsid w:val="000B6017"/>
    <w:rsid w:val="000B6665"/>
    <w:rsid w:val="000B6ABC"/>
    <w:rsid w:val="000B6CEA"/>
    <w:rsid w:val="000B6D8C"/>
    <w:rsid w:val="000B7137"/>
    <w:rsid w:val="000B73BA"/>
    <w:rsid w:val="000B78A9"/>
    <w:rsid w:val="000B7B48"/>
    <w:rsid w:val="000B7B4F"/>
    <w:rsid w:val="000B7EAA"/>
    <w:rsid w:val="000B7FA3"/>
    <w:rsid w:val="000C001B"/>
    <w:rsid w:val="000C01DE"/>
    <w:rsid w:val="000C035C"/>
    <w:rsid w:val="000C0398"/>
    <w:rsid w:val="000C0433"/>
    <w:rsid w:val="000C076E"/>
    <w:rsid w:val="000C0A5F"/>
    <w:rsid w:val="000C13AF"/>
    <w:rsid w:val="000C157B"/>
    <w:rsid w:val="000C1682"/>
    <w:rsid w:val="000C19E8"/>
    <w:rsid w:val="000C1A93"/>
    <w:rsid w:val="000C1C01"/>
    <w:rsid w:val="000C1F28"/>
    <w:rsid w:val="000C207B"/>
    <w:rsid w:val="000C2824"/>
    <w:rsid w:val="000C2A2D"/>
    <w:rsid w:val="000C2BDC"/>
    <w:rsid w:val="000C2CB1"/>
    <w:rsid w:val="000C2E3A"/>
    <w:rsid w:val="000C3135"/>
    <w:rsid w:val="000C3394"/>
    <w:rsid w:val="000C34CB"/>
    <w:rsid w:val="000C3516"/>
    <w:rsid w:val="000C356C"/>
    <w:rsid w:val="000C3A37"/>
    <w:rsid w:val="000C3C23"/>
    <w:rsid w:val="000C3DE4"/>
    <w:rsid w:val="000C4009"/>
    <w:rsid w:val="000C483C"/>
    <w:rsid w:val="000C4A9B"/>
    <w:rsid w:val="000C4D55"/>
    <w:rsid w:val="000C51D7"/>
    <w:rsid w:val="000C5285"/>
    <w:rsid w:val="000C5437"/>
    <w:rsid w:val="000C5906"/>
    <w:rsid w:val="000C5CB9"/>
    <w:rsid w:val="000C5F0F"/>
    <w:rsid w:val="000C67E6"/>
    <w:rsid w:val="000C681A"/>
    <w:rsid w:val="000C686A"/>
    <w:rsid w:val="000C6A7A"/>
    <w:rsid w:val="000C6B31"/>
    <w:rsid w:val="000C6BA9"/>
    <w:rsid w:val="000C6F67"/>
    <w:rsid w:val="000C71AB"/>
    <w:rsid w:val="000C74A6"/>
    <w:rsid w:val="000C769C"/>
    <w:rsid w:val="000C7798"/>
    <w:rsid w:val="000C7834"/>
    <w:rsid w:val="000C7874"/>
    <w:rsid w:val="000C79F5"/>
    <w:rsid w:val="000C7C9E"/>
    <w:rsid w:val="000C7E97"/>
    <w:rsid w:val="000D002C"/>
    <w:rsid w:val="000D015C"/>
    <w:rsid w:val="000D01C8"/>
    <w:rsid w:val="000D04E6"/>
    <w:rsid w:val="000D064B"/>
    <w:rsid w:val="000D070D"/>
    <w:rsid w:val="000D0ED8"/>
    <w:rsid w:val="000D0F1F"/>
    <w:rsid w:val="000D109B"/>
    <w:rsid w:val="000D16E7"/>
    <w:rsid w:val="000D1B58"/>
    <w:rsid w:val="000D1E25"/>
    <w:rsid w:val="000D1F79"/>
    <w:rsid w:val="000D20E0"/>
    <w:rsid w:val="000D21C7"/>
    <w:rsid w:val="000D23EC"/>
    <w:rsid w:val="000D2717"/>
    <w:rsid w:val="000D27F8"/>
    <w:rsid w:val="000D29D6"/>
    <w:rsid w:val="000D2BED"/>
    <w:rsid w:val="000D2C11"/>
    <w:rsid w:val="000D2CE8"/>
    <w:rsid w:val="000D2D11"/>
    <w:rsid w:val="000D2E0B"/>
    <w:rsid w:val="000D2F46"/>
    <w:rsid w:val="000D2F6A"/>
    <w:rsid w:val="000D322C"/>
    <w:rsid w:val="000D356E"/>
    <w:rsid w:val="000D3A0C"/>
    <w:rsid w:val="000D3A9A"/>
    <w:rsid w:val="000D3C32"/>
    <w:rsid w:val="000D40FD"/>
    <w:rsid w:val="000D4196"/>
    <w:rsid w:val="000D4ABD"/>
    <w:rsid w:val="000D4BDF"/>
    <w:rsid w:val="000D537C"/>
    <w:rsid w:val="000D57A1"/>
    <w:rsid w:val="000D5921"/>
    <w:rsid w:val="000D5A14"/>
    <w:rsid w:val="000D5BDB"/>
    <w:rsid w:val="000D5FE7"/>
    <w:rsid w:val="000D60FD"/>
    <w:rsid w:val="000D654A"/>
    <w:rsid w:val="000D660E"/>
    <w:rsid w:val="000D6889"/>
    <w:rsid w:val="000D6B30"/>
    <w:rsid w:val="000D6EF4"/>
    <w:rsid w:val="000D7259"/>
    <w:rsid w:val="000D72D8"/>
    <w:rsid w:val="000D7742"/>
    <w:rsid w:val="000D79DD"/>
    <w:rsid w:val="000E0132"/>
    <w:rsid w:val="000E0236"/>
    <w:rsid w:val="000E0395"/>
    <w:rsid w:val="000E04A7"/>
    <w:rsid w:val="000E04ED"/>
    <w:rsid w:val="000E0809"/>
    <w:rsid w:val="000E091C"/>
    <w:rsid w:val="000E09E2"/>
    <w:rsid w:val="000E0B1A"/>
    <w:rsid w:val="000E0F39"/>
    <w:rsid w:val="000E0F9D"/>
    <w:rsid w:val="000E12EA"/>
    <w:rsid w:val="000E181A"/>
    <w:rsid w:val="000E190B"/>
    <w:rsid w:val="000E1997"/>
    <w:rsid w:val="000E1B9F"/>
    <w:rsid w:val="000E1DFA"/>
    <w:rsid w:val="000E27C7"/>
    <w:rsid w:val="000E2A0F"/>
    <w:rsid w:val="000E3DB4"/>
    <w:rsid w:val="000E3EAD"/>
    <w:rsid w:val="000E42A2"/>
    <w:rsid w:val="000E463E"/>
    <w:rsid w:val="000E47E4"/>
    <w:rsid w:val="000E4ED2"/>
    <w:rsid w:val="000E5282"/>
    <w:rsid w:val="000E5407"/>
    <w:rsid w:val="000E5547"/>
    <w:rsid w:val="000E5818"/>
    <w:rsid w:val="000E5C35"/>
    <w:rsid w:val="000E60A9"/>
    <w:rsid w:val="000E633B"/>
    <w:rsid w:val="000E6469"/>
    <w:rsid w:val="000E6A60"/>
    <w:rsid w:val="000E6D4C"/>
    <w:rsid w:val="000E70C8"/>
    <w:rsid w:val="000E7558"/>
    <w:rsid w:val="000E789A"/>
    <w:rsid w:val="000E7C73"/>
    <w:rsid w:val="000E7C77"/>
    <w:rsid w:val="000E7C7A"/>
    <w:rsid w:val="000E7D79"/>
    <w:rsid w:val="000E7DAC"/>
    <w:rsid w:val="000F0096"/>
    <w:rsid w:val="000F0179"/>
    <w:rsid w:val="000F0309"/>
    <w:rsid w:val="000F03FA"/>
    <w:rsid w:val="000F0AF9"/>
    <w:rsid w:val="000F0C8C"/>
    <w:rsid w:val="000F0E8A"/>
    <w:rsid w:val="000F0EAD"/>
    <w:rsid w:val="000F1170"/>
    <w:rsid w:val="000F129A"/>
    <w:rsid w:val="000F1A94"/>
    <w:rsid w:val="000F1F1B"/>
    <w:rsid w:val="000F203F"/>
    <w:rsid w:val="000F231D"/>
    <w:rsid w:val="000F2514"/>
    <w:rsid w:val="000F286B"/>
    <w:rsid w:val="000F2BF6"/>
    <w:rsid w:val="000F2D8D"/>
    <w:rsid w:val="000F2FC4"/>
    <w:rsid w:val="000F3463"/>
    <w:rsid w:val="000F38DE"/>
    <w:rsid w:val="000F3B65"/>
    <w:rsid w:val="000F3BC9"/>
    <w:rsid w:val="000F3E96"/>
    <w:rsid w:val="000F3F90"/>
    <w:rsid w:val="000F407B"/>
    <w:rsid w:val="000F450A"/>
    <w:rsid w:val="000F45A9"/>
    <w:rsid w:val="000F4A54"/>
    <w:rsid w:val="000F4CCC"/>
    <w:rsid w:val="000F4ECD"/>
    <w:rsid w:val="000F50EF"/>
    <w:rsid w:val="000F51AE"/>
    <w:rsid w:val="000F5644"/>
    <w:rsid w:val="000F597D"/>
    <w:rsid w:val="000F5D54"/>
    <w:rsid w:val="000F5DC7"/>
    <w:rsid w:val="000F5ED4"/>
    <w:rsid w:val="000F67DC"/>
    <w:rsid w:val="000F69E9"/>
    <w:rsid w:val="000F6A7E"/>
    <w:rsid w:val="000F6A85"/>
    <w:rsid w:val="000F6C3B"/>
    <w:rsid w:val="000F6CE8"/>
    <w:rsid w:val="000F6DE2"/>
    <w:rsid w:val="000F72AB"/>
    <w:rsid w:val="000F76F8"/>
    <w:rsid w:val="000F7A2A"/>
    <w:rsid w:val="000F7C74"/>
    <w:rsid w:val="000F7EB3"/>
    <w:rsid w:val="000F7F94"/>
    <w:rsid w:val="001001E3"/>
    <w:rsid w:val="001004C0"/>
    <w:rsid w:val="001005CF"/>
    <w:rsid w:val="00100A23"/>
    <w:rsid w:val="00100CB5"/>
    <w:rsid w:val="00100CF7"/>
    <w:rsid w:val="00100DF0"/>
    <w:rsid w:val="00100F2A"/>
    <w:rsid w:val="00101556"/>
    <w:rsid w:val="00101796"/>
    <w:rsid w:val="00101A98"/>
    <w:rsid w:val="00101AD5"/>
    <w:rsid w:val="00102266"/>
    <w:rsid w:val="001023D3"/>
    <w:rsid w:val="00102576"/>
    <w:rsid w:val="001026D2"/>
    <w:rsid w:val="001028DF"/>
    <w:rsid w:val="00102C30"/>
    <w:rsid w:val="00102DE7"/>
    <w:rsid w:val="001031B2"/>
    <w:rsid w:val="00103445"/>
    <w:rsid w:val="001034B9"/>
    <w:rsid w:val="00103685"/>
    <w:rsid w:val="0010381B"/>
    <w:rsid w:val="00103973"/>
    <w:rsid w:val="00103B8C"/>
    <w:rsid w:val="00103DE7"/>
    <w:rsid w:val="00103F9D"/>
    <w:rsid w:val="00104091"/>
    <w:rsid w:val="00104193"/>
    <w:rsid w:val="001045F1"/>
    <w:rsid w:val="001051C7"/>
    <w:rsid w:val="00105436"/>
    <w:rsid w:val="001054EA"/>
    <w:rsid w:val="00105BC1"/>
    <w:rsid w:val="00105C89"/>
    <w:rsid w:val="00105F7F"/>
    <w:rsid w:val="00106086"/>
    <w:rsid w:val="00106880"/>
    <w:rsid w:val="00107263"/>
    <w:rsid w:val="00107340"/>
    <w:rsid w:val="00107560"/>
    <w:rsid w:val="00110BA2"/>
    <w:rsid w:val="0011160B"/>
    <w:rsid w:val="00111AF6"/>
    <w:rsid w:val="00111C6E"/>
    <w:rsid w:val="00111DBA"/>
    <w:rsid w:val="00112046"/>
    <w:rsid w:val="0011216D"/>
    <w:rsid w:val="001121B7"/>
    <w:rsid w:val="00112621"/>
    <w:rsid w:val="00112CA7"/>
    <w:rsid w:val="00112D49"/>
    <w:rsid w:val="001135A8"/>
    <w:rsid w:val="001137EE"/>
    <w:rsid w:val="00113CBA"/>
    <w:rsid w:val="00113E30"/>
    <w:rsid w:val="00113FED"/>
    <w:rsid w:val="00114194"/>
    <w:rsid w:val="001142EE"/>
    <w:rsid w:val="00114478"/>
    <w:rsid w:val="001145AA"/>
    <w:rsid w:val="001145ED"/>
    <w:rsid w:val="0011488A"/>
    <w:rsid w:val="00114BB4"/>
    <w:rsid w:val="00115201"/>
    <w:rsid w:val="0011546D"/>
    <w:rsid w:val="001157FA"/>
    <w:rsid w:val="00115950"/>
    <w:rsid w:val="00115D1E"/>
    <w:rsid w:val="00115E5E"/>
    <w:rsid w:val="00116348"/>
    <w:rsid w:val="0011646D"/>
    <w:rsid w:val="001164B6"/>
    <w:rsid w:val="0011674E"/>
    <w:rsid w:val="00116B1D"/>
    <w:rsid w:val="00116BEA"/>
    <w:rsid w:val="00116D29"/>
    <w:rsid w:val="00116EE3"/>
    <w:rsid w:val="00116FD7"/>
    <w:rsid w:val="0011707F"/>
    <w:rsid w:val="0011720F"/>
    <w:rsid w:val="0011738D"/>
    <w:rsid w:val="00117519"/>
    <w:rsid w:val="00117766"/>
    <w:rsid w:val="0011796B"/>
    <w:rsid w:val="00117A1E"/>
    <w:rsid w:val="00117C7E"/>
    <w:rsid w:val="001203C1"/>
    <w:rsid w:val="0012072A"/>
    <w:rsid w:val="001208F9"/>
    <w:rsid w:val="00121D72"/>
    <w:rsid w:val="00121FC5"/>
    <w:rsid w:val="00122037"/>
    <w:rsid w:val="00122047"/>
    <w:rsid w:val="0012251B"/>
    <w:rsid w:val="0012260F"/>
    <w:rsid w:val="00122803"/>
    <w:rsid w:val="00122A14"/>
    <w:rsid w:val="00122CDC"/>
    <w:rsid w:val="00122D61"/>
    <w:rsid w:val="00122FC6"/>
    <w:rsid w:val="00123382"/>
    <w:rsid w:val="00123767"/>
    <w:rsid w:val="00123998"/>
    <w:rsid w:val="00123AD1"/>
    <w:rsid w:val="0012418C"/>
    <w:rsid w:val="00124249"/>
    <w:rsid w:val="00124684"/>
    <w:rsid w:val="00124716"/>
    <w:rsid w:val="00124762"/>
    <w:rsid w:val="001249BC"/>
    <w:rsid w:val="00124B3D"/>
    <w:rsid w:val="00124B70"/>
    <w:rsid w:val="0012507D"/>
    <w:rsid w:val="00125301"/>
    <w:rsid w:val="00125312"/>
    <w:rsid w:val="0012541C"/>
    <w:rsid w:val="001255B7"/>
    <w:rsid w:val="001258EA"/>
    <w:rsid w:val="001259CB"/>
    <w:rsid w:val="00125D36"/>
    <w:rsid w:val="001262B0"/>
    <w:rsid w:val="0012646C"/>
    <w:rsid w:val="0012661D"/>
    <w:rsid w:val="00126FE1"/>
    <w:rsid w:val="001271D4"/>
    <w:rsid w:val="0012723C"/>
    <w:rsid w:val="0012733D"/>
    <w:rsid w:val="001273F1"/>
    <w:rsid w:val="0012761C"/>
    <w:rsid w:val="00127695"/>
    <w:rsid w:val="0012785E"/>
    <w:rsid w:val="0012786F"/>
    <w:rsid w:val="0012794B"/>
    <w:rsid w:val="00127AC8"/>
    <w:rsid w:val="00127B0A"/>
    <w:rsid w:val="00127E24"/>
    <w:rsid w:val="0013036F"/>
    <w:rsid w:val="00130406"/>
    <w:rsid w:val="00130BD6"/>
    <w:rsid w:val="00130F0C"/>
    <w:rsid w:val="0013117C"/>
    <w:rsid w:val="001312E2"/>
    <w:rsid w:val="00131419"/>
    <w:rsid w:val="0013161D"/>
    <w:rsid w:val="00131716"/>
    <w:rsid w:val="00131913"/>
    <w:rsid w:val="00131B1C"/>
    <w:rsid w:val="00131D0F"/>
    <w:rsid w:val="00131F30"/>
    <w:rsid w:val="00131F9A"/>
    <w:rsid w:val="001323EF"/>
    <w:rsid w:val="00132885"/>
    <w:rsid w:val="00132FDD"/>
    <w:rsid w:val="00133166"/>
    <w:rsid w:val="0013334D"/>
    <w:rsid w:val="001333C2"/>
    <w:rsid w:val="001335E2"/>
    <w:rsid w:val="00133C04"/>
    <w:rsid w:val="00133CE7"/>
    <w:rsid w:val="00134420"/>
    <w:rsid w:val="00134425"/>
    <w:rsid w:val="0013482A"/>
    <w:rsid w:val="00134A9D"/>
    <w:rsid w:val="00134B25"/>
    <w:rsid w:val="00135314"/>
    <w:rsid w:val="001360EB"/>
    <w:rsid w:val="001361EF"/>
    <w:rsid w:val="00136F3F"/>
    <w:rsid w:val="00136FEF"/>
    <w:rsid w:val="001375C3"/>
    <w:rsid w:val="0013766C"/>
    <w:rsid w:val="00140655"/>
    <w:rsid w:val="00140B67"/>
    <w:rsid w:val="00140C21"/>
    <w:rsid w:val="00140CC5"/>
    <w:rsid w:val="00140D65"/>
    <w:rsid w:val="00140D90"/>
    <w:rsid w:val="001419E8"/>
    <w:rsid w:val="00141B0F"/>
    <w:rsid w:val="00141B13"/>
    <w:rsid w:val="00141DD5"/>
    <w:rsid w:val="00142209"/>
    <w:rsid w:val="00142453"/>
    <w:rsid w:val="00142D30"/>
    <w:rsid w:val="00143141"/>
    <w:rsid w:val="00143217"/>
    <w:rsid w:val="001432A2"/>
    <w:rsid w:val="00143312"/>
    <w:rsid w:val="001436E6"/>
    <w:rsid w:val="00143A35"/>
    <w:rsid w:val="00143AD8"/>
    <w:rsid w:val="00143AF6"/>
    <w:rsid w:val="00143B43"/>
    <w:rsid w:val="00143BE7"/>
    <w:rsid w:val="001440D7"/>
    <w:rsid w:val="00144449"/>
    <w:rsid w:val="001447AC"/>
    <w:rsid w:val="00144858"/>
    <w:rsid w:val="001449C7"/>
    <w:rsid w:val="00144E49"/>
    <w:rsid w:val="001450B1"/>
    <w:rsid w:val="00145366"/>
    <w:rsid w:val="00145848"/>
    <w:rsid w:val="0014589A"/>
    <w:rsid w:val="00145B57"/>
    <w:rsid w:val="00145D98"/>
    <w:rsid w:val="00145DF0"/>
    <w:rsid w:val="00145E39"/>
    <w:rsid w:val="001462D0"/>
    <w:rsid w:val="001467DD"/>
    <w:rsid w:val="00146A67"/>
    <w:rsid w:val="00146B2D"/>
    <w:rsid w:val="00146BD7"/>
    <w:rsid w:val="001470D7"/>
    <w:rsid w:val="0014763C"/>
    <w:rsid w:val="0014797B"/>
    <w:rsid w:val="001479B1"/>
    <w:rsid w:val="00147B5A"/>
    <w:rsid w:val="00147BB2"/>
    <w:rsid w:val="00147F8B"/>
    <w:rsid w:val="0015002D"/>
    <w:rsid w:val="001500BF"/>
    <w:rsid w:val="00150333"/>
    <w:rsid w:val="00150755"/>
    <w:rsid w:val="00150B3B"/>
    <w:rsid w:val="00151513"/>
    <w:rsid w:val="00151548"/>
    <w:rsid w:val="001516B8"/>
    <w:rsid w:val="00151708"/>
    <w:rsid w:val="00151AF7"/>
    <w:rsid w:val="00151CEF"/>
    <w:rsid w:val="00151CFE"/>
    <w:rsid w:val="00151D5A"/>
    <w:rsid w:val="00151ED4"/>
    <w:rsid w:val="00152181"/>
    <w:rsid w:val="0015223D"/>
    <w:rsid w:val="00152628"/>
    <w:rsid w:val="00152B14"/>
    <w:rsid w:val="00152B2A"/>
    <w:rsid w:val="001530D0"/>
    <w:rsid w:val="001530F6"/>
    <w:rsid w:val="0015320A"/>
    <w:rsid w:val="0015335A"/>
    <w:rsid w:val="00153754"/>
    <w:rsid w:val="001538A8"/>
    <w:rsid w:val="00153F01"/>
    <w:rsid w:val="0015430B"/>
    <w:rsid w:val="001545B5"/>
    <w:rsid w:val="001545C1"/>
    <w:rsid w:val="001549C1"/>
    <w:rsid w:val="00154DA1"/>
    <w:rsid w:val="00154DD1"/>
    <w:rsid w:val="00154EAA"/>
    <w:rsid w:val="00154F3B"/>
    <w:rsid w:val="001554DF"/>
    <w:rsid w:val="0015566D"/>
    <w:rsid w:val="00155795"/>
    <w:rsid w:val="00155D90"/>
    <w:rsid w:val="00156515"/>
    <w:rsid w:val="00156538"/>
    <w:rsid w:val="00156745"/>
    <w:rsid w:val="001569B3"/>
    <w:rsid w:val="00156CDE"/>
    <w:rsid w:val="00156F72"/>
    <w:rsid w:val="0015702C"/>
    <w:rsid w:val="00157082"/>
    <w:rsid w:val="001571C9"/>
    <w:rsid w:val="0015785B"/>
    <w:rsid w:val="0015790F"/>
    <w:rsid w:val="00157967"/>
    <w:rsid w:val="00157A66"/>
    <w:rsid w:val="00157BF6"/>
    <w:rsid w:val="00157E50"/>
    <w:rsid w:val="00157E67"/>
    <w:rsid w:val="00157FB1"/>
    <w:rsid w:val="001603DA"/>
    <w:rsid w:val="0016075A"/>
    <w:rsid w:val="00160763"/>
    <w:rsid w:val="001607EF"/>
    <w:rsid w:val="00160B10"/>
    <w:rsid w:val="00160B6B"/>
    <w:rsid w:val="00160DA0"/>
    <w:rsid w:val="00160ED1"/>
    <w:rsid w:val="0016131D"/>
    <w:rsid w:val="00161631"/>
    <w:rsid w:val="00161798"/>
    <w:rsid w:val="00161899"/>
    <w:rsid w:val="00161A1B"/>
    <w:rsid w:val="00161CBB"/>
    <w:rsid w:val="0016213C"/>
    <w:rsid w:val="0016257B"/>
    <w:rsid w:val="0016260D"/>
    <w:rsid w:val="001626B9"/>
    <w:rsid w:val="00162727"/>
    <w:rsid w:val="0016277B"/>
    <w:rsid w:val="00162EF1"/>
    <w:rsid w:val="00163036"/>
    <w:rsid w:val="0016355E"/>
    <w:rsid w:val="0016358A"/>
    <w:rsid w:val="00163BB7"/>
    <w:rsid w:val="00163DF2"/>
    <w:rsid w:val="00163EA8"/>
    <w:rsid w:val="00164231"/>
    <w:rsid w:val="00164291"/>
    <w:rsid w:val="001649C1"/>
    <w:rsid w:val="00164A79"/>
    <w:rsid w:val="00164AD3"/>
    <w:rsid w:val="00164B47"/>
    <w:rsid w:val="00164C3A"/>
    <w:rsid w:val="00164DDE"/>
    <w:rsid w:val="00164F66"/>
    <w:rsid w:val="00164FDE"/>
    <w:rsid w:val="00165109"/>
    <w:rsid w:val="00165236"/>
    <w:rsid w:val="0016554C"/>
    <w:rsid w:val="00165743"/>
    <w:rsid w:val="00165C84"/>
    <w:rsid w:val="00165F0F"/>
    <w:rsid w:val="00166021"/>
    <w:rsid w:val="00166118"/>
    <w:rsid w:val="00166478"/>
    <w:rsid w:val="0016680E"/>
    <w:rsid w:val="00166A28"/>
    <w:rsid w:val="00166C0D"/>
    <w:rsid w:val="00166D16"/>
    <w:rsid w:val="00166E1F"/>
    <w:rsid w:val="00167164"/>
    <w:rsid w:val="001672EC"/>
    <w:rsid w:val="00167542"/>
    <w:rsid w:val="001678E1"/>
    <w:rsid w:val="001678FF"/>
    <w:rsid w:val="00167B7A"/>
    <w:rsid w:val="00170544"/>
    <w:rsid w:val="001706B5"/>
    <w:rsid w:val="00170837"/>
    <w:rsid w:val="00170D1E"/>
    <w:rsid w:val="00170D5A"/>
    <w:rsid w:val="00170E74"/>
    <w:rsid w:val="0017110E"/>
    <w:rsid w:val="00171226"/>
    <w:rsid w:val="00171615"/>
    <w:rsid w:val="00171D34"/>
    <w:rsid w:val="00171E9F"/>
    <w:rsid w:val="00171EF1"/>
    <w:rsid w:val="0017248D"/>
    <w:rsid w:val="001728BA"/>
    <w:rsid w:val="00172C9F"/>
    <w:rsid w:val="00172CFA"/>
    <w:rsid w:val="00172E69"/>
    <w:rsid w:val="00172FFE"/>
    <w:rsid w:val="00173240"/>
    <w:rsid w:val="00173267"/>
    <w:rsid w:val="0017378D"/>
    <w:rsid w:val="0017385C"/>
    <w:rsid w:val="00173A00"/>
    <w:rsid w:val="00173B2D"/>
    <w:rsid w:val="00173B66"/>
    <w:rsid w:val="00173CEC"/>
    <w:rsid w:val="00173DFF"/>
    <w:rsid w:val="00173F77"/>
    <w:rsid w:val="001741BF"/>
    <w:rsid w:val="0017440D"/>
    <w:rsid w:val="001746EB"/>
    <w:rsid w:val="00174BA5"/>
    <w:rsid w:val="00175043"/>
    <w:rsid w:val="00175AA8"/>
    <w:rsid w:val="00175BF9"/>
    <w:rsid w:val="00175F8E"/>
    <w:rsid w:val="00176088"/>
    <w:rsid w:val="0017612F"/>
    <w:rsid w:val="001761F4"/>
    <w:rsid w:val="00176249"/>
    <w:rsid w:val="00176A22"/>
    <w:rsid w:val="00176BDA"/>
    <w:rsid w:val="00176ED6"/>
    <w:rsid w:val="00176F7C"/>
    <w:rsid w:val="001772A5"/>
    <w:rsid w:val="001774D9"/>
    <w:rsid w:val="00177788"/>
    <w:rsid w:val="00177AB0"/>
    <w:rsid w:val="00177BDB"/>
    <w:rsid w:val="0018003E"/>
    <w:rsid w:val="00180211"/>
    <w:rsid w:val="00180722"/>
    <w:rsid w:val="001807A1"/>
    <w:rsid w:val="001808BC"/>
    <w:rsid w:val="00180DB0"/>
    <w:rsid w:val="00180DDA"/>
    <w:rsid w:val="00180E15"/>
    <w:rsid w:val="00180F3F"/>
    <w:rsid w:val="0018112B"/>
    <w:rsid w:val="001813AD"/>
    <w:rsid w:val="0018165C"/>
    <w:rsid w:val="00182BF4"/>
    <w:rsid w:val="00182FD8"/>
    <w:rsid w:val="00183017"/>
    <w:rsid w:val="00183BCC"/>
    <w:rsid w:val="00183F71"/>
    <w:rsid w:val="001845C7"/>
    <w:rsid w:val="001845D1"/>
    <w:rsid w:val="00184B4C"/>
    <w:rsid w:val="00184C1E"/>
    <w:rsid w:val="00184C51"/>
    <w:rsid w:val="0018541B"/>
    <w:rsid w:val="001855E0"/>
    <w:rsid w:val="00185ACB"/>
    <w:rsid w:val="0018612D"/>
    <w:rsid w:val="00186176"/>
    <w:rsid w:val="001868A5"/>
    <w:rsid w:val="0018692C"/>
    <w:rsid w:val="001869F5"/>
    <w:rsid w:val="00186A99"/>
    <w:rsid w:val="00187725"/>
    <w:rsid w:val="00187B63"/>
    <w:rsid w:val="00187CDF"/>
    <w:rsid w:val="00187D63"/>
    <w:rsid w:val="00190502"/>
    <w:rsid w:val="001907DD"/>
    <w:rsid w:val="00191503"/>
    <w:rsid w:val="001917AF"/>
    <w:rsid w:val="0019195A"/>
    <w:rsid w:val="00191BEF"/>
    <w:rsid w:val="00191C1A"/>
    <w:rsid w:val="0019202B"/>
    <w:rsid w:val="001920BF"/>
    <w:rsid w:val="001921E2"/>
    <w:rsid w:val="00192B66"/>
    <w:rsid w:val="00192E56"/>
    <w:rsid w:val="00192F13"/>
    <w:rsid w:val="001931A0"/>
    <w:rsid w:val="001931D1"/>
    <w:rsid w:val="00193281"/>
    <w:rsid w:val="00193941"/>
    <w:rsid w:val="0019405A"/>
    <w:rsid w:val="001942D5"/>
    <w:rsid w:val="00194340"/>
    <w:rsid w:val="001945CA"/>
    <w:rsid w:val="0019522C"/>
    <w:rsid w:val="001952F2"/>
    <w:rsid w:val="001954FD"/>
    <w:rsid w:val="00195596"/>
    <w:rsid w:val="00195679"/>
    <w:rsid w:val="00195765"/>
    <w:rsid w:val="001957DC"/>
    <w:rsid w:val="00195D6D"/>
    <w:rsid w:val="00195EEE"/>
    <w:rsid w:val="0019610D"/>
    <w:rsid w:val="0019614D"/>
    <w:rsid w:val="00196DEA"/>
    <w:rsid w:val="00196E52"/>
    <w:rsid w:val="0019710F"/>
    <w:rsid w:val="00197979"/>
    <w:rsid w:val="0019797D"/>
    <w:rsid w:val="001979F1"/>
    <w:rsid w:val="00197A67"/>
    <w:rsid w:val="00197BD3"/>
    <w:rsid w:val="001A052C"/>
    <w:rsid w:val="001A0634"/>
    <w:rsid w:val="001A068C"/>
    <w:rsid w:val="001A06B5"/>
    <w:rsid w:val="001A06DE"/>
    <w:rsid w:val="001A08A5"/>
    <w:rsid w:val="001A08E0"/>
    <w:rsid w:val="001A09D6"/>
    <w:rsid w:val="001A0D72"/>
    <w:rsid w:val="001A0DD8"/>
    <w:rsid w:val="001A1277"/>
    <w:rsid w:val="001A1288"/>
    <w:rsid w:val="001A143E"/>
    <w:rsid w:val="001A14AD"/>
    <w:rsid w:val="001A1612"/>
    <w:rsid w:val="001A17CC"/>
    <w:rsid w:val="001A1A67"/>
    <w:rsid w:val="001A1BF9"/>
    <w:rsid w:val="001A1C8C"/>
    <w:rsid w:val="001A1D11"/>
    <w:rsid w:val="001A1F68"/>
    <w:rsid w:val="001A2EE5"/>
    <w:rsid w:val="001A3019"/>
    <w:rsid w:val="001A31AF"/>
    <w:rsid w:val="001A3339"/>
    <w:rsid w:val="001A3426"/>
    <w:rsid w:val="001A3497"/>
    <w:rsid w:val="001A34E1"/>
    <w:rsid w:val="001A35E2"/>
    <w:rsid w:val="001A3AC2"/>
    <w:rsid w:val="001A3B45"/>
    <w:rsid w:val="001A3EFE"/>
    <w:rsid w:val="001A426F"/>
    <w:rsid w:val="001A4985"/>
    <w:rsid w:val="001A4AA4"/>
    <w:rsid w:val="001A4EB4"/>
    <w:rsid w:val="001A4F7E"/>
    <w:rsid w:val="001A51EB"/>
    <w:rsid w:val="001A52DE"/>
    <w:rsid w:val="001A55A2"/>
    <w:rsid w:val="001A55EA"/>
    <w:rsid w:val="001A56D3"/>
    <w:rsid w:val="001A58F4"/>
    <w:rsid w:val="001A5931"/>
    <w:rsid w:val="001A5A17"/>
    <w:rsid w:val="001A5D6B"/>
    <w:rsid w:val="001A61ED"/>
    <w:rsid w:val="001A62C4"/>
    <w:rsid w:val="001A64CF"/>
    <w:rsid w:val="001A6537"/>
    <w:rsid w:val="001A6B79"/>
    <w:rsid w:val="001A6E43"/>
    <w:rsid w:val="001A6E4F"/>
    <w:rsid w:val="001A746A"/>
    <w:rsid w:val="001A74EA"/>
    <w:rsid w:val="001A7582"/>
    <w:rsid w:val="001A7747"/>
    <w:rsid w:val="001A796C"/>
    <w:rsid w:val="001A7A3D"/>
    <w:rsid w:val="001A7AF5"/>
    <w:rsid w:val="001B03D0"/>
    <w:rsid w:val="001B08E4"/>
    <w:rsid w:val="001B0EF5"/>
    <w:rsid w:val="001B10A6"/>
    <w:rsid w:val="001B118F"/>
    <w:rsid w:val="001B18AC"/>
    <w:rsid w:val="001B1968"/>
    <w:rsid w:val="001B1A11"/>
    <w:rsid w:val="001B203B"/>
    <w:rsid w:val="001B20EB"/>
    <w:rsid w:val="001B23E7"/>
    <w:rsid w:val="001B24D8"/>
    <w:rsid w:val="001B2783"/>
    <w:rsid w:val="001B27F5"/>
    <w:rsid w:val="001B28F1"/>
    <w:rsid w:val="001B2A01"/>
    <w:rsid w:val="001B2AEA"/>
    <w:rsid w:val="001B30E9"/>
    <w:rsid w:val="001B312D"/>
    <w:rsid w:val="001B3131"/>
    <w:rsid w:val="001B3134"/>
    <w:rsid w:val="001B35C9"/>
    <w:rsid w:val="001B3668"/>
    <w:rsid w:val="001B3A63"/>
    <w:rsid w:val="001B3DF0"/>
    <w:rsid w:val="001B4019"/>
    <w:rsid w:val="001B4057"/>
    <w:rsid w:val="001B4307"/>
    <w:rsid w:val="001B48D7"/>
    <w:rsid w:val="001B4DD4"/>
    <w:rsid w:val="001B4F7D"/>
    <w:rsid w:val="001B5099"/>
    <w:rsid w:val="001B522C"/>
    <w:rsid w:val="001B568F"/>
    <w:rsid w:val="001B57DE"/>
    <w:rsid w:val="001B5C97"/>
    <w:rsid w:val="001B643D"/>
    <w:rsid w:val="001B6450"/>
    <w:rsid w:val="001B6476"/>
    <w:rsid w:val="001B681D"/>
    <w:rsid w:val="001B6A51"/>
    <w:rsid w:val="001B6BCE"/>
    <w:rsid w:val="001B6D62"/>
    <w:rsid w:val="001B6DAD"/>
    <w:rsid w:val="001B6DDC"/>
    <w:rsid w:val="001B7140"/>
    <w:rsid w:val="001B7205"/>
    <w:rsid w:val="001B72BB"/>
    <w:rsid w:val="001B738D"/>
    <w:rsid w:val="001B74C5"/>
    <w:rsid w:val="001B7583"/>
    <w:rsid w:val="001B7629"/>
    <w:rsid w:val="001B790D"/>
    <w:rsid w:val="001B7DC7"/>
    <w:rsid w:val="001B7DDC"/>
    <w:rsid w:val="001B7F7D"/>
    <w:rsid w:val="001C0296"/>
    <w:rsid w:val="001C0449"/>
    <w:rsid w:val="001C0A30"/>
    <w:rsid w:val="001C0B9B"/>
    <w:rsid w:val="001C17C2"/>
    <w:rsid w:val="001C20C1"/>
    <w:rsid w:val="001C2572"/>
    <w:rsid w:val="001C28E5"/>
    <w:rsid w:val="001C2BB3"/>
    <w:rsid w:val="001C2FF8"/>
    <w:rsid w:val="001C30F8"/>
    <w:rsid w:val="001C35B3"/>
    <w:rsid w:val="001C37F0"/>
    <w:rsid w:val="001C38D4"/>
    <w:rsid w:val="001C3A6E"/>
    <w:rsid w:val="001C3B67"/>
    <w:rsid w:val="001C4042"/>
    <w:rsid w:val="001C4221"/>
    <w:rsid w:val="001C4514"/>
    <w:rsid w:val="001C4807"/>
    <w:rsid w:val="001C4A76"/>
    <w:rsid w:val="001C4D6A"/>
    <w:rsid w:val="001C54E5"/>
    <w:rsid w:val="001C5D86"/>
    <w:rsid w:val="001C5F2B"/>
    <w:rsid w:val="001C6141"/>
    <w:rsid w:val="001C6285"/>
    <w:rsid w:val="001C656A"/>
    <w:rsid w:val="001C6A67"/>
    <w:rsid w:val="001C6ECC"/>
    <w:rsid w:val="001C6FB0"/>
    <w:rsid w:val="001C70E9"/>
    <w:rsid w:val="001C71E6"/>
    <w:rsid w:val="001C733F"/>
    <w:rsid w:val="001C7827"/>
    <w:rsid w:val="001C78C8"/>
    <w:rsid w:val="001C7FF4"/>
    <w:rsid w:val="001D0441"/>
    <w:rsid w:val="001D06EC"/>
    <w:rsid w:val="001D09FF"/>
    <w:rsid w:val="001D0B25"/>
    <w:rsid w:val="001D0EE0"/>
    <w:rsid w:val="001D1150"/>
    <w:rsid w:val="001D12D6"/>
    <w:rsid w:val="001D18F2"/>
    <w:rsid w:val="001D19D4"/>
    <w:rsid w:val="001D1D87"/>
    <w:rsid w:val="001D1E51"/>
    <w:rsid w:val="001D2121"/>
    <w:rsid w:val="001D25E0"/>
    <w:rsid w:val="001D2922"/>
    <w:rsid w:val="001D29FE"/>
    <w:rsid w:val="001D30A8"/>
    <w:rsid w:val="001D3195"/>
    <w:rsid w:val="001D37F0"/>
    <w:rsid w:val="001D39E4"/>
    <w:rsid w:val="001D4506"/>
    <w:rsid w:val="001D505C"/>
    <w:rsid w:val="001D52A7"/>
    <w:rsid w:val="001D52CB"/>
    <w:rsid w:val="001D558C"/>
    <w:rsid w:val="001D5D27"/>
    <w:rsid w:val="001D5E2C"/>
    <w:rsid w:val="001D60A7"/>
    <w:rsid w:val="001D61DE"/>
    <w:rsid w:val="001D651F"/>
    <w:rsid w:val="001D65E8"/>
    <w:rsid w:val="001D686D"/>
    <w:rsid w:val="001D6BD3"/>
    <w:rsid w:val="001D7109"/>
    <w:rsid w:val="001D727F"/>
    <w:rsid w:val="001D7770"/>
    <w:rsid w:val="001D7D29"/>
    <w:rsid w:val="001E0413"/>
    <w:rsid w:val="001E0D5F"/>
    <w:rsid w:val="001E0FB2"/>
    <w:rsid w:val="001E0FD9"/>
    <w:rsid w:val="001E1068"/>
    <w:rsid w:val="001E10E2"/>
    <w:rsid w:val="001E147C"/>
    <w:rsid w:val="001E15E7"/>
    <w:rsid w:val="001E18A3"/>
    <w:rsid w:val="001E18B2"/>
    <w:rsid w:val="001E1E95"/>
    <w:rsid w:val="001E271E"/>
    <w:rsid w:val="001E2E8F"/>
    <w:rsid w:val="001E326C"/>
    <w:rsid w:val="001E3501"/>
    <w:rsid w:val="001E35F3"/>
    <w:rsid w:val="001E37BA"/>
    <w:rsid w:val="001E3876"/>
    <w:rsid w:val="001E3E2B"/>
    <w:rsid w:val="001E3E46"/>
    <w:rsid w:val="001E40F1"/>
    <w:rsid w:val="001E47FD"/>
    <w:rsid w:val="001E48CC"/>
    <w:rsid w:val="001E48F5"/>
    <w:rsid w:val="001E499F"/>
    <w:rsid w:val="001E4A7B"/>
    <w:rsid w:val="001E517A"/>
    <w:rsid w:val="001E548D"/>
    <w:rsid w:val="001E56B4"/>
    <w:rsid w:val="001E57AD"/>
    <w:rsid w:val="001E5FC4"/>
    <w:rsid w:val="001E64FA"/>
    <w:rsid w:val="001E6600"/>
    <w:rsid w:val="001E6C4B"/>
    <w:rsid w:val="001E7445"/>
    <w:rsid w:val="001E7493"/>
    <w:rsid w:val="001E7664"/>
    <w:rsid w:val="001E7730"/>
    <w:rsid w:val="001E7989"/>
    <w:rsid w:val="001E7BD2"/>
    <w:rsid w:val="001E7D57"/>
    <w:rsid w:val="001E7DA0"/>
    <w:rsid w:val="001E7DC5"/>
    <w:rsid w:val="001E7F4E"/>
    <w:rsid w:val="001F036D"/>
    <w:rsid w:val="001F0451"/>
    <w:rsid w:val="001F07D8"/>
    <w:rsid w:val="001F0C0C"/>
    <w:rsid w:val="001F12EB"/>
    <w:rsid w:val="001F1D1E"/>
    <w:rsid w:val="001F1D25"/>
    <w:rsid w:val="001F1F05"/>
    <w:rsid w:val="001F20B3"/>
    <w:rsid w:val="001F263B"/>
    <w:rsid w:val="001F263C"/>
    <w:rsid w:val="001F2983"/>
    <w:rsid w:val="001F3280"/>
    <w:rsid w:val="001F343A"/>
    <w:rsid w:val="001F35D4"/>
    <w:rsid w:val="001F36A1"/>
    <w:rsid w:val="001F37A5"/>
    <w:rsid w:val="001F396E"/>
    <w:rsid w:val="001F4364"/>
    <w:rsid w:val="001F4549"/>
    <w:rsid w:val="001F473E"/>
    <w:rsid w:val="001F489D"/>
    <w:rsid w:val="001F4A45"/>
    <w:rsid w:val="001F4A73"/>
    <w:rsid w:val="001F4B74"/>
    <w:rsid w:val="001F4CB5"/>
    <w:rsid w:val="001F4F9D"/>
    <w:rsid w:val="001F50F5"/>
    <w:rsid w:val="001F517B"/>
    <w:rsid w:val="001F5464"/>
    <w:rsid w:val="001F55C9"/>
    <w:rsid w:val="001F59C9"/>
    <w:rsid w:val="001F5A21"/>
    <w:rsid w:val="001F5EEA"/>
    <w:rsid w:val="001F6C6C"/>
    <w:rsid w:val="001F728E"/>
    <w:rsid w:val="001F72FA"/>
    <w:rsid w:val="001F746E"/>
    <w:rsid w:val="001F7628"/>
    <w:rsid w:val="001F7DFC"/>
    <w:rsid w:val="001F7F45"/>
    <w:rsid w:val="00200131"/>
    <w:rsid w:val="00200795"/>
    <w:rsid w:val="00200EB7"/>
    <w:rsid w:val="00201258"/>
    <w:rsid w:val="00201620"/>
    <w:rsid w:val="0020168E"/>
    <w:rsid w:val="00201719"/>
    <w:rsid w:val="0020173C"/>
    <w:rsid w:val="00201B35"/>
    <w:rsid w:val="00201C75"/>
    <w:rsid w:val="002020E7"/>
    <w:rsid w:val="0020224D"/>
    <w:rsid w:val="002024CC"/>
    <w:rsid w:val="00202535"/>
    <w:rsid w:val="00202C0B"/>
    <w:rsid w:val="00203185"/>
    <w:rsid w:val="002032A3"/>
    <w:rsid w:val="002037AE"/>
    <w:rsid w:val="002037B6"/>
    <w:rsid w:val="002037D4"/>
    <w:rsid w:val="00203C45"/>
    <w:rsid w:val="00203E4D"/>
    <w:rsid w:val="00203F68"/>
    <w:rsid w:val="00204042"/>
    <w:rsid w:val="002040BE"/>
    <w:rsid w:val="002044AE"/>
    <w:rsid w:val="002044B6"/>
    <w:rsid w:val="00204631"/>
    <w:rsid w:val="002048E6"/>
    <w:rsid w:val="0020490E"/>
    <w:rsid w:val="00204B39"/>
    <w:rsid w:val="00205301"/>
    <w:rsid w:val="00205465"/>
    <w:rsid w:val="002058FE"/>
    <w:rsid w:val="002059BD"/>
    <w:rsid w:val="002059D6"/>
    <w:rsid w:val="00205AB7"/>
    <w:rsid w:val="00205FF8"/>
    <w:rsid w:val="0020622E"/>
    <w:rsid w:val="00206DF1"/>
    <w:rsid w:val="00206FFD"/>
    <w:rsid w:val="0020745D"/>
    <w:rsid w:val="00207DE3"/>
    <w:rsid w:val="00207E70"/>
    <w:rsid w:val="00210071"/>
    <w:rsid w:val="00210640"/>
    <w:rsid w:val="00210B69"/>
    <w:rsid w:val="002111A4"/>
    <w:rsid w:val="0021163D"/>
    <w:rsid w:val="00211676"/>
    <w:rsid w:val="00211718"/>
    <w:rsid w:val="00212197"/>
    <w:rsid w:val="00212364"/>
    <w:rsid w:val="00212846"/>
    <w:rsid w:val="00212B84"/>
    <w:rsid w:val="00212CF2"/>
    <w:rsid w:val="00213490"/>
    <w:rsid w:val="0021362B"/>
    <w:rsid w:val="002139DC"/>
    <w:rsid w:val="00213B33"/>
    <w:rsid w:val="002145E7"/>
    <w:rsid w:val="00214C3F"/>
    <w:rsid w:val="00214DA1"/>
    <w:rsid w:val="0021517D"/>
    <w:rsid w:val="00215241"/>
    <w:rsid w:val="002152CA"/>
    <w:rsid w:val="0021531B"/>
    <w:rsid w:val="00215323"/>
    <w:rsid w:val="00215554"/>
    <w:rsid w:val="0021569D"/>
    <w:rsid w:val="0021577E"/>
    <w:rsid w:val="00215AB4"/>
    <w:rsid w:val="00215C02"/>
    <w:rsid w:val="00215CE8"/>
    <w:rsid w:val="00216065"/>
    <w:rsid w:val="0021633F"/>
    <w:rsid w:val="00216542"/>
    <w:rsid w:val="0021689A"/>
    <w:rsid w:val="00216D6F"/>
    <w:rsid w:val="00216F25"/>
    <w:rsid w:val="00217016"/>
    <w:rsid w:val="00217042"/>
    <w:rsid w:val="0021734B"/>
    <w:rsid w:val="002175A8"/>
    <w:rsid w:val="002176CA"/>
    <w:rsid w:val="002177BB"/>
    <w:rsid w:val="00217B95"/>
    <w:rsid w:val="00217DD9"/>
    <w:rsid w:val="00220051"/>
    <w:rsid w:val="00220076"/>
    <w:rsid w:val="002202BB"/>
    <w:rsid w:val="00220371"/>
    <w:rsid w:val="002205F4"/>
    <w:rsid w:val="0022084C"/>
    <w:rsid w:val="00220974"/>
    <w:rsid w:val="00220A8A"/>
    <w:rsid w:val="00220E69"/>
    <w:rsid w:val="00221754"/>
    <w:rsid w:val="002219A2"/>
    <w:rsid w:val="00221B8E"/>
    <w:rsid w:val="00221CDE"/>
    <w:rsid w:val="00221DCF"/>
    <w:rsid w:val="00221E07"/>
    <w:rsid w:val="00222193"/>
    <w:rsid w:val="0022224A"/>
    <w:rsid w:val="00222A62"/>
    <w:rsid w:val="00222D12"/>
    <w:rsid w:val="00222E8B"/>
    <w:rsid w:val="00222FA8"/>
    <w:rsid w:val="00223005"/>
    <w:rsid w:val="00223166"/>
    <w:rsid w:val="00223354"/>
    <w:rsid w:val="00223369"/>
    <w:rsid w:val="00223F44"/>
    <w:rsid w:val="00224465"/>
    <w:rsid w:val="00224615"/>
    <w:rsid w:val="00224974"/>
    <w:rsid w:val="002249F3"/>
    <w:rsid w:val="00224DF8"/>
    <w:rsid w:val="00224F02"/>
    <w:rsid w:val="00224F16"/>
    <w:rsid w:val="002252AA"/>
    <w:rsid w:val="002260F4"/>
    <w:rsid w:val="00226519"/>
    <w:rsid w:val="002269C0"/>
    <w:rsid w:val="00226A3F"/>
    <w:rsid w:val="00226E73"/>
    <w:rsid w:val="00226E84"/>
    <w:rsid w:val="002272B2"/>
    <w:rsid w:val="00227978"/>
    <w:rsid w:val="00227B6D"/>
    <w:rsid w:val="002304D3"/>
    <w:rsid w:val="002307F4"/>
    <w:rsid w:val="00230B4E"/>
    <w:rsid w:val="00231356"/>
    <w:rsid w:val="002314C4"/>
    <w:rsid w:val="0023156D"/>
    <w:rsid w:val="0023195A"/>
    <w:rsid w:val="0023195B"/>
    <w:rsid w:val="00232155"/>
    <w:rsid w:val="002324D0"/>
    <w:rsid w:val="00232618"/>
    <w:rsid w:val="00232EB1"/>
    <w:rsid w:val="00232ED6"/>
    <w:rsid w:val="00232F06"/>
    <w:rsid w:val="00232F3F"/>
    <w:rsid w:val="00232FE4"/>
    <w:rsid w:val="00233527"/>
    <w:rsid w:val="00233885"/>
    <w:rsid w:val="00233973"/>
    <w:rsid w:val="00233B6B"/>
    <w:rsid w:val="00233BE8"/>
    <w:rsid w:val="00233C8D"/>
    <w:rsid w:val="0023410F"/>
    <w:rsid w:val="0023428A"/>
    <w:rsid w:val="00234422"/>
    <w:rsid w:val="0023473E"/>
    <w:rsid w:val="002349B0"/>
    <w:rsid w:val="00234C80"/>
    <w:rsid w:val="00234F25"/>
    <w:rsid w:val="002353C7"/>
    <w:rsid w:val="00235EB4"/>
    <w:rsid w:val="002360C2"/>
    <w:rsid w:val="0023620C"/>
    <w:rsid w:val="002362AC"/>
    <w:rsid w:val="00236308"/>
    <w:rsid w:val="00236563"/>
    <w:rsid w:val="0023676C"/>
    <w:rsid w:val="002368C4"/>
    <w:rsid w:val="002369D3"/>
    <w:rsid w:val="00236A51"/>
    <w:rsid w:val="00237266"/>
    <w:rsid w:val="002374D7"/>
    <w:rsid w:val="002375CC"/>
    <w:rsid w:val="0023781D"/>
    <w:rsid w:val="00237909"/>
    <w:rsid w:val="00237D25"/>
    <w:rsid w:val="00237EB4"/>
    <w:rsid w:val="0024023F"/>
    <w:rsid w:val="0024043E"/>
    <w:rsid w:val="00240658"/>
    <w:rsid w:val="00240EF3"/>
    <w:rsid w:val="00241442"/>
    <w:rsid w:val="0024151F"/>
    <w:rsid w:val="0024175A"/>
    <w:rsid w:val="00241769"/>
    <w:rsid w:val="00241B68"/>
    <w:rsid w:val="002421E2"/>
    <w:rsid w:val="0024248A"/>
    <w:rsid w:val="00242650"/>
    <w:rsid w:val="0024269D"/>
    <w:rsid w:val="00242B38"/>
    <w:rsid w:val="00242DD4"/>
    <w:rsid w:val="00242F6B"/>
    <w:rsid w:val="00243021"/>
    <w:rsid w:val="00243390"/>
    <w:rsid w:val="002433AC"/>
    <w:rsid w:val="00243429"/>
    <w:rsid w:val="00243ABD"/>
    <w:rsid w:val="00243EA5"/>
    <w:rsid w:val="0024404F"/>
    <w:rsid w:val="002446C8"/>
    <w:rsid w:val="00244C05"/>
    <w:rsid w:val="00244CAB"/>
    <w:rsid w:val="00244DC0"/>
    <w:rsid w:val="00244FFF"/>
    <w:rsid w:val="00245009"/>
    <w:rsid w:val="002451EE"/>
    <w:rsid w:val="002456E0"/>
    <w:rsid w:val="00246A54"/>
    <w:rsid w:val="00246E7B"/>
    <w:rsid w:val="00246F65"/>
    <w:rsid w:val="00247210"/>
    <w:rsid w:val="00247281"/>
    <w:rsid w:val="002476A5"/>
    <w:rsid w:val="0024799E"/>
    <w:rsid w:val="00247CF6"/>
    <w:rsid w:val="00247E48"/>
    <w:rsid w:val="00250180"/>
    <w:rsid w:val="00250463"/>
    <w:rsid w:val="002509A9"/>
    <w:rsid w:val="00250A3D"/>
    <w:rsid w:val="00250AF5"/>
    <w:rsid w:val="00251221"/>
    <w:rsid w:val="002513D5"/>
    <w:rsid w:val="0025148D"/>
    <w:rsid w:val="00251507"/>
    <w:rsid w:val="00251910"/>
    <w:rsid w:val="00251943"/>
    <w:rsid w:val="00251A31"/>
    <w:rsid w:val="00251B3F"/>
    <w:rsid w:val="00251B41"/>
    <w:rsid w:val="0025211C"/>
    <w:rsid w:val="00252420"/>
    <w:rsid w:val="00252646"/>
    <w:rsid w:val="002526CD"/>
    <w:rsid w:val="0025278B"/>
    <w:rsid w:val="0025299F"/>
    <w:rsid w:val="00252C88"/>
    <w:rsid w:val="00253057"/>
    <w:rsid w:val="0025305B"/>
    <w:rsid w:val="002533FF"/>
    <w:rsid w:val="00253608"/>
    <w:rsid w:val="002537E8"/>
    <w:rsid w:val="00253990"/>
    <w:rsid w:val="00253A9E"/>
    <w:rsid w:val="00253E8B"/>
    <w:rsid w:val="00253EC7"/>
    <w:rsid w:val="00254147"/>
    <w:rsid w:val="00254163"/>
    <w:rsid w:val="0025418B"/>
    <w:rsid w:val="002544DB"/>
    <w:rsid w:val="0025455A"/>
    <w:rsid w:val="0025476D"/>
    <w:rsid w:val="00254986"/>
    <w:rsid w:val="00254B5A"/>
    <w:rsid w:val="00254B63"/>
    <w:rsid w:val="00255076"/>
    <w:rsid w:val="00255217"/>
    <w:rsid w:val="00255281"/>
    <w:rsid w:val="00255583"/>
    <w:rsid w:val="00255748"/>
    <w:rsid w:val="002557E2"/>
    <w:rsid w:val="0025599A"/>
    <w:rsid w:val="00255AD6"/>
    <w:rsid w:val="00255F63"/>
    <w:rsid w:val="0025640F"/>
    <w:rsid w:val="002566DE"/>
    <w:rsid w:val="00256844"/>
    <w:rsid w:val="00256D0A"/>
    <w:rsid w:val="00256DC2"/>
    <w:rsid w:val="00257392"/>
    <w:rsid w:val="0025773A"/>
    <w:rsid w:val="002579A5"/>
    <w:rsid w:val="00257B0D"/>
    <w:rsid w:val="00257CDD"/>
    <w:rsid w:val="00257E0C"/>
    <w:rsid w:val="0025C3BC"/>
    <w:rsid w:val="002600ED"/>
    <w:rsid w:val="00260372"/>
    <w:rsid w:val="00260D9F"/>
    <w:rsid w:val="00260EA6"/>
    <w:rsid w:val="00260F7C"/>
    <w:rsid w:val="002610ED"/>
    <w:rsid w:val="00261179"/>
    <w:rsid w:val="00261221"/>
    <w:rsid w:val="0026147A"/>
    <w:rsid w:val="00261517"/>
    <w:rsid w:val="0026157C"/>
    <w:rsid w:val="00261872"/>
    <w:rsid w:val="002618BD"/>
    <w:rsid w:val="00261F39"/>
    <w:rsid w:val="00261F70"/>
    <w:rsid w:val="00262124"/>
    <w:rsid w:val="00262457"/>
    <w:rsid w:val="00262605"/>
    <w:rsid w:val="002629EC"/>
    <w:rsid w:val="00262C5E"/>
    <w:rsid w:val="00263694"/>
    <w:rsid w:val="00263716"/>
    <w:rsid w:val="00263744"/>
    <w:rsid w:val="002639BB"/>
    <w:rsid w:val="00263E8F"/>
    <w:rsid w:val="00263EC1"/>
    <w:rsid w:val="00263FA3"/>
    <w:rsid w:val="00264499"/>
    <w:rsid w:val="00264531"/>
    <w:rsid w:val="0026463F"/>
    <w:rsid w:val="002646A8"/>
    <w:rsid w:val="00264AE1"/>
    <w:rsid w:val="00264B00"/>
    <w:rsid w:val="00264C6A"/>
    <w:rsid w:val="0026527F"/>
    <w:rsid w:val="00265A39"/>
    <w:rsid w:val="00265A66"/>
    <w:rsid w:val="00265FE6"/>
    <w:rsid w:val="00266019"/>
    <w:rsid w:val="0026662A"/>
    <w:rsid w:val="002668C3"/>
    <w:rsid w:val="00266DAC"/>
    <w:rsid w:val="00266ECC"/>
    <w:rsid w:val="00266F39"/>
    <w:rsid w:val="002672EB"/>
    <w:rsid w:val="002674DA"/>
    <w:rsid w:val="002675E2"/>
    <w:rsid w:val="002701DD"/>
    <w:rsid w:val="00270A4D"/>
    <w:rsid w:val="00270D23"/>
    <w:rsid w:val="00271CCB"/>
    <w:rsid w:val="002721C1"/>
    <w:rsid w:val="002721DC"/>
    <w:rsid w:val="002724F7"/>
    <w:rsid w:val="0027288D"/>
    <w:rsid w:val="002729A8"/>
    <w:rsid w:val="002729B6"/>
    <w:rsid w:val="00272D74"/>
    <w:rsid w:val="00272EFC"/>
    <w:rsid w:val="00272F5D"/>
    <w:rsid w:val="00272FDB"/>
    <w:rsid w:val="00273783"/>
    <w:rsid w:val="002740C9"/>
    <w:rsid w:val="0027441D"/>
    <w:rsid w:val="00274524"/>
    <w:rsid w:val="00274776"/>
    <w:rsid w:val="002747C7"/>
    <w:rsid w:val="00274979"/>
    <w:rsid w:val="00274A32"/>
    <w:rsid w:val="00275528"/>
    <w:rsid w:val="002757C9"/>
    <w:rsid w:val="0027588B"/>
    <w:rsid w:val="00275B07"/>
    <w:rsid w:val="00276251"/>
    <w:rsid w:val="00276391"/>
    <w:rsid w:val="0027659B"/>
    <w:rsid w:val="002766B0"/>
    <w:rsid w:val="0027673E"/>
    <w:rsid w:val="00276920"/>
    <w:rsid w:val="00276AD6"/>
    <w:rsid w:val="00277912"/>
    <w:rsid w:val="00277AF8"/>
    <w:rsid w:val="00277DF7"/>
    <w:rsid w:val="002801FD"/>
    <w:rsid w:val="002805EA"/>
    <w:rsid w:val="002806CC"/>
    <w:rsid w:val="00280801"/>
    <w:rsid w:val="0028090B"/>
    <w:rsid w:val="00280C42"/>
    <w:rsid w:val="00280CBB"/>
    <w:rsid w:val="00281096"/>
    <w:rsid w:val="002818DD"/>
    <w:rsid w:val="00281966"/>
    <w:rsid w:val="00281D48"/>
    <w:rsid w:val="00281D88"/>
    <w:rsid w:val="00281FE9"/>
    <w:rsid w:val="002820D2"/>
    <w:rsid w:val="002823F9"/>
    <w:rsid w:val="00282582"/>
    <w:rsid w:val="0028287A"/>
    <w:rsid w:val="00282D90"/>
    <w:rsid w:val="00282DA0"/>
    <w:rsid w:val="00282DD4"/>
    <w:rsid w:val="00282E4C"/>
    <w:rsid w:val="00283A4B"/>
    <w:rsid w:val="00283C22"/>
    <w:rsid w:val="00284074"/>
    <w:rsid w:val="0028412B"/>
    <w:rsid w:val="00284348"/>
    <w:rsid w:val="00284D63"/>
    <w:rsid w:val="00284D91"/>
    <w:rsid w:val="0028512A"/>
    <w:rsid w:val="00285307"/>
    <w:rsid w:val="00285436"/>
    <w:rsid w:val="00285587"/>
    <w:rsid w:val="00285855"/>
    <w:rsid w:val="00285972"/>
    <w:rsid w:val="00285A34"/>
    <w:rsid w:val="00285DFD"/>
    <w:rsid w:val="00285E32"/>
    <w:rsid w:val="002862CA"/>
    <w:rsid w:val="00286521"/>
    <w:rsid w:val="00286BBD"/>
    <w:rsid w:val="00286D78"/>
    <w:rsid w:val="00286D96"/>
    <w:rsid w:val="00286D99"/>
    <w:rsid w:val="00286DBE"/>
    <w:rsid w:val="00286F37"/>
    <w:rsid w:val="002874A5"/>
    <w:rsid w:val="00287A65"/>
    <w:rsid w:val="00287ACA"/>
    <w:rsid w:val="00287BFE"/>
    <w:rsid w:val="00287D59"/>
    <w:rsid w:val="00287FA6"/>
    <w:rsid w:val="0029006B"/>
    <w:rsid w:val="00290477"/>
    <w:rsid w:val="002904D9"/>
    <w:rsid w:val="00290D1F"/>
    <w:rsid w:val="0029123F"/>
    <w:rsid w:val="00291C71"/>
    <w:rsid w:val="00292C59"/>
    <w:rsid w:val="002935EB"/>
    <w:rsid w:val="0029362E"/>
    <w:rsid w:val="002938A7"/>
    <w:rsid w:val="002938CA"/>
    <w:rsid w:val="00293940"/>
    <w:rsid w:val="00293A55"/>
    <w:rsid w:val="00293B04"/>
    <w:rsid w:val="00293C4D"/>
    <w:rsid w:val="00293DFD"/>
    <w:rsid w:val="002940F0"/>
    <w:rsid w:val="002941E3"/>
    <w:rsid w:val="00294261"/>
    <w:rsid w:val="00294758"/>
    <w:rsid w:val="00294940"/>
    <w:rsid w:val="00294EC0"/>
    <w:rsid w:val="00294F7C"/>
    <w:rsid w:val="00295068"/>
    <w:rsid w:val="00295349"/>
    <w:rsid w:val="002954B9"/>
    <w:rsid w:val="002957E6"/>
    <w:rsid w:val="002959EC"/>
    <w:rsid w:val="00295CDF"/>
    <w:rsid w:val="00295F02"/>
    <w:rsid w:val="0029601D"/>
    <w:rsid w:val="002968E7"/>
    <w:rsid w:val="0029691D"/>
    <w:rsid w:val="00296CAB"/>
    <w:rsid w:val="0029705F"/>
    <w:rsid w:val="002970CD"/>
    <w:rsid w:val="002971AA"/>
    <w:rsid w:val="0029732B"/>
    <w:rsid w:val="00297549"/>
    <w:rsid w:val="00297C8A"/>
    <w:rsid w:val="00297CD0"/>
    <w:rsid w:val="00297E00"/>
    <w:rsid w:val="002A015F"/>
    <w:rsid w:val="002A02EE"/>
    <w:rsid w:val="002A0536"/>
    <w:rsid w:val="002A090D"/>
    <w:rsid w:val="002A0972"/>
    <w:rsid w:val="002A0A6A"/>
    <w:rsid w:val="002A0B4E"/>
    <w:rsid w:val="002A0C4F"/>
    <w:rsid w:val="002A125F"/>
    <w:rsid w:val="002A12D1"/>
    <w:rsid w:val="002A1462"/>
    <w:rsid w:val="002A1708"/>
    <w:rsid w:val="002A193D"/>
    <w:rsid w:val="002A1D89"/>
    <w:rsid w:val="002A1DEC"/>
    <w:rsid w:val="002A2136"/>
    <w:rsid w:val="002A2166"/>
    <w:rsid w:val="002A2799"/>
    <w:rsid w:val="002A2FDC"/>
    <w:rsid w:val="002A3135"/>
    <w:rsid w:val="002A3151"/>
    <w:rsid w:val="002A34CE"/>
    <w:rsid w:val="002A3627"/>
    <w:rsid w:val="002A394B"/>
    <w:rsid w:val="002A3EF7"/>
    <w:rsid w:val="002A42FC"/>
    <w:rsid w:val="002A4556"/>
    <w:rsid w:val="002A494F"/>
    <w:rsid w:val="002A4B6E"/>
    <w:rsid w:val="002A512B"/>
    <w:rsid w:val="002A52D7"/>
    <w:rsid w:val="002A5705"/>
    <w:rsid w:val="002A59EC"/>
    <w:rsid w:val="002A5B7C"/>
    <w:rsid w:val="002A5BBD"/>
    <w:rsid w:val="002A6BC9"/>
    <w:rsid w:val="002A6BDC"/>
    <w:rsid w:val="002A6E6C"/>
    <w:rsid w:val="002A6FA1"/>
    <w:rsid w:val="002A7736"/>
    <w:rsid w:val="002A7750"/>
    <w:rsid w:val="002A781E"/>
    <w:rsid w:val="002B075D"/>
    <w:rsid w:val="002B0833"/>
    <w:rsid w:val="002B09A8"/>
    <w:rsid w:val="002B0A4E"/>
    <w:rsid w:val="002B0A97"/>
    <w:rsid w:val="002B0ACA"/>
    <w:rsid w:val="002B0F9B"/>
    <w:rsid w:val="002B102E"/>
    <w:rsid w:val="002B1494"/>
    <w:rsid w:val="002B16A3"/>
    <w:rsid w:val="002B195A"/>
    <w:rsid w:val="002B1A59"/>
    <w:rsid w:val="002B1D16"/>
    <w:rsid w:val="002B1D27"/>
    <w:rsid w:val="002B1E1B"/>
    <w:rsid w:val="002B2956"/>
    <w:rsid w:val="002B2F1E"/>
    <w:rsid w:val="002B31BE"/>
    <w:rsid w:val="002B323B"/>
    <w:rsid w:val="002B3384"/>
    <w:rsid w:val="002B33D5"/>
    <w:rsid w:val="002B37E3"/>
    <w:rsid w:val="002B3CC0"/>
    <w:rsid w:val="002B44F9"/>
    <w:rsid w:val="002B4911"/>
    <w:rsid w:val="002B49A7"/>
    <w:rsid w:val="002B4BA1"/>
    <w:rsid w:val="002B4DA1"/>
    <w:rsid w:val="002B4F78"/>
    <w:rsid w:val="002B5432"/>
    <w:rsid w:val="002B56E9"/>
    <w:rsid w:val="002B5AB3"/>
    <w:rsid w:val="002B6276"/>
    <w:rsid w:val="002B6542"/>
    <w:rsid w:val="002B72C9"/>
    <w:rsid w:val="002B757A"/>
    <w:rsid w:val="002B7C69"/>
    <w:rsid w:val="002B7E47"/>
    <w:rsid w:val="002B7F3B"/>
    <w:rsid w:val="002C01CD"/>
    <w:rsid w:val="002C05AA"/>
    <w:rsid w:val="002C087D"/>
    <w:rsid w:val="002C0F67"/>
    <w:rsid w:val="002C1131"/>
    <w:rsid w:val="002C1469"/>
    <w:rsid w:val="002C15D4"/>
    <w:rsid w:val="002C172B"/>
    <w:rsid w:val="002C19E8"/>
    <w:rsid w:val="002C1CFA"/>
    <w:rsid w:val="002C1DAB"/>
    <w:rsid w:val="002C25D5"/>
    <w:rsid w:val="002C2687"/>
    <w:rsid w:val="002C26F9"/>
    <w:rsid w:val="002C2B1A"/>
    <w:rsid w:val="002C2DB9"/>
    <w:rsid w:val="002C3107"/>
    <w:rsid w:val="002C31B0"/>
    <w:rsid w:val="002C336F"/>
    <w:rsid w:val="002C34C2"/>
    <w:rsid w:val="002C36B2"/>
    <w:rsid w:val="002C36B4"/>
    <w:rsid w:val="002C3910"/>
    <w:rsid w:val="002C3949"/>
    <w:rsid w:val="002C39CD"/>
    <w:rsid w:val="002C3A8F"/>
    <w:rsid w:val="002C3AED"/>
    <w:rsid w:val="002C42CC"/>
    <w:rsid w:val="002C43B0"/>
    <w:rsid w:val="002C459E"/>
    <w:rsid w:val="002C45AE"/>
    <w:rsid w:val="002C5296"/>
    <w:rsid w:val="002C55B1"/>
    <w:rsid w:val="002C5892"/>
    <w:rsid w:val="002C58E2"/>
    <w:rsid w:val="002C5950"/>
    <w:rsid w:val="002C5D01"/>
    <w:rsid w:val="002C5FC8"/>
    <w:rsid w:val="002C6362"/>
    <w:rsid w:val="002C675F"/>
    <w:rsid w:val="002C68E0"/>
    <w:rsid w:val="002C6CE2"/>
    <w:rsid w:val="002C705F"/>
    <w:rsid w:val="002C70A0"/>
    <w:rsid w:val="002C73A2"/>
    <w:rsid w:val="002C7446"/>
    <w:rsid w:val="002C74BF"/>
    <w:rsid w:val="002C76A6"/>
    <w:rsid w:val="002C7CC5"/>
    <w:rsid w:val="002D0225"/>
    <w:rsid w:val="002D0D81"/>
    <w:rsid w:val="002D0F69"/>
    <w:rsid w:val="002D11AC"/>
    <w:rsid w:val="002D15E8"/>
    <w:rsid w:val="002D1782"/>
    <w:rsid w:val="002D1C23"/>
    <w:rsid w:val="002D2160"/>
    <w:rsid w:val="002D2441"/>
    <w:rsid w:val="002D2AD1"/>
    <w:rsid w:val="002D2AF6"/>
    <w:rsid w:val="002D2B3C"/>
    <w:rsid w:val="002D2CA2"/>
    <w:rsid w:val="002D2D20"/>
    <w:rsid w:val="002D2ECD"/>
    <w:rsid w:val="002D3042"/>
    <w:rsid w:val="002D304D"/>
    <w:rsid w:val="002D3121"/>
    <w:rsid w:val="002D3144"/>
    <w:rsid w:val="002D370D"/>
    <w:rsid w:val="002D3AD4"/>
    <w:rsid w:val="002D42C4"/>
    <w:rsid w:val="002D42D0"/>
    <w:rsid w:val="002D43C9"/>
    <w:rsid w:val="002D4AA6"/>
    <w:rsid w:val="002D4D9E"/>
    <w:rsid w:val="002D4DF1"/>
    <w:rsid w:val="002D4F74"/>
    <w:rsid w:val="002D57A4"/>
    <w:rsid w:val="002D5896"/>
    <w:rsid w:val="002D5A86"/>
    <w:rsid w:val="002D5F1B"/>
    <w:rsid w:val="002D5F64"/>
    <w:rsid w:val="002D65AE"/>
    <w:rsid w:val="002D66BC"/>
    <w:rsid w:val="002D6703"/>
    <w:rsid w:val="002D68C8"/>
    <w:rsid w:val="002D6A94"/>
    <w:rsid w:val="002D6B1B"/>
    <w:rsid w:val="002D76B9"/>
    <w:rsid w:val="002D7929"/>
    <w:rsid w:val="002D7ABC"/>
    <w:rsid w:val="002D7AFD"/>
    <w:rsid w:val="002D7CFB"/>
    <w:rsid w:val="002D7D7C"/>
    <w:rsid w:val="002E058D"/>
    <w:rsid w:val="002E1031"/>
    <w:rsid w:val="002E1054"/>
    <w:rsid w:val="002E10F8"/>
    <w:rsid w:val="002E12F9"/>
    <w:rsid w:val="002E1424"/>
    <w:rsid w:val="002E18E1"/>
    <w:rsid w:val="002E1FFB"/>
    <w:rsid w:val="002E2458"/>
    <w:rsid w:val="002E24BB"/>
    <w:rsid w:val="002E2980"/>
    <w:rsid w:val="002E2C1E"/>
    <w:rsid w:val="002E2D21"/>
    <w:rsid w:val="002E2E9D"/>
    <w:rsid w:val="002E2F4E"/>
    <w:rsid w:val="002E30A3"/>
    <w:rsid w:val="002E3190"/>
    <w:rsid w:val="002E3470"/>
    <w:rsid w:val="002E39CB"/>
    <w:rsid w:val="002E3FBC"/>
    <w:rsid w:val="002E4513"/>
    <w:rsid w:val="002E4642"/>
    <w:rsid w:val="002E4828"/>
    <w:rsid w:val="002E4B90"/>
    <w:rsid w:val="002E4E49"/>
    <w:rsid w:val="002E51E6"/>
    <w:rsid w:val="002E54D1"/>
    <w:rsid w:val="002E55B1"/>
    <w:rsid w:val="002E5902"/>
    <w:rsid w:val="002E6043"/>
    <w:rsid w:val="002E614F"/>
    <w:rsid w:val="002E6388"/>
    <w:rsid w:val="002E67DD"/>
    <w:rsid w:val="002E6A21"/>
    <w:rsid w:val="002E6A52"/>
    <w:rsid w:val="002E6C0D"/>
    <w:rsid w:val="002E6C51"/>
    <w:rsid w:val="002E6E5C"/>
    <w:rsid w:val="002E6EE9"/>
    <w:rsid w:val="002E7086"/>
    <w:rsid w:val="002E71E9"/>
    <w:rsid w:val="002E7629"/>
    <w:rsid w:val="002E7DCB"/>
    <w:rsid w:val="002F0483"/>
    <w:rsid w:val="002F0B40"/>
    <w:rsid w:val="002F0CFB"/>
    <w:rsid w:val="002F1740"/>
    <w:rsid w:val="002F1942"/>
    <w:rsid w:val="002F1AE9"/>
    <w:rsid w:val="002F1DEA"/>
    <w:rsid w:val="002F20AA"/>
    <w:rsid w:val="002F2170"/>
    <w:rsid w:val="002F25A1"/>
    <w:rsid w:val="002F270F"/>
    <w:rsid w:val="002F2809"/>
    <w:rsid w:val="002F2FE2"/>
    <w:rsid w:val="002F3435"/>
    <w:rsid w:val="002F347E"/>
    <w:rsid w:val="002F40C1"/>
    <w:rsid w:val="002F4446"/>
    <w:rsid w:val="002F444F"/>
    <w:rsid w:val="002F4451"/>
    <w:rsid w:val="002F49E9"/>
    <w:rsid w:val="002F4DDB"/>
    <w:rsid w:val="002F50D3"/>
    <w:rsid w:val="002F69EB"/>
    <w:rsid w:val="002F6A19"/>
    <w:rsid w:val="002F6A98"/>
    <w:rsid w:val="002F6E1F"/>
    <w:rsid w:val="002F747A"/>
    <w:rsid w:val="002F75B8"/>
    <w:rsid w:val="002F7D84"/>
    <w:rsid w:val="002F7DD5"/>
    <w:rsid w:val="002F7F4A"/>
    <w:rsid w:val="003000A1"/>
    <w:rsid w:val="00300108"/>
    <w:rsid w:val="0030026C"/>
    <w:rsid w:val="00300818"/>
    <w:rsid w:val="00300DD3"/>
    <w:rsid w:val="00300EF0"/>
    <w:rsid w:val="003012E9"/>
    <w:rsid w:val="00301461"/>
    <w:rsid w:val="0030154C"/>
    <w:rsid w:val="00301558"/>
    <w:rsid w:val="0030162A"/>
    <w:rsid w:val="00301708"/>
    <w:rsid w:val="0030194C"/>
    <w:rsid w:val="00301B87"/>
    <w:rsid w:val="00302181"/>
    <w:rsid w:val="00302464"/>
    <w:rsid w:val="0030255A"/>
    <w:rsid w:val="0030256E"/>
    <w:rsid w:val="00302B1F"/>
    <w:rsid w:val="00302CE4"/>
    <w:rsid w:val="00302DC9"/>
    <w:rsid w:val="003035B7"/>
    <w:rsid w:val="00304433"/>
    <w:rsid w:val="00304459"/>
    <w:rsid w:val="003047AF"/>
    <w:rsid w:val="00304ADD"/>
    <w:rsid w:val="00304F1E"/>
    <w:rsid w:val="0030503C"/>
    <w:rsid w:val="00305165"/>
    <w:rsid w:val="00305191"/>
    <w:rsid w:val="0030546D"/>
    <w:rsid w:val="00306216"/>
    <w:rsid w:val="00306245"/>
    <w:rsid w:val="0030649A"/>
    <w:rsid w:val="00306790"/>
    <w:rsid w:val="00306ABD"/>
    <w:rsid w:val="00306B18"/>
    <w:rsid w:val="00306BFA"/>
    <w:rsid w:val="00306CD5"/>
    <w:rsid w:val="003072B1"/>
    <w:rsid w:val="0030746D"/>
    <w:rsid w:val="0030764B"/>
    <w:rsid w:val="003076DD"/>
    <w:rsid w:val="00307AC4"/>
    <w:rsid w:val="00310065"/>
    <w:rsid w:val="003100D4"/>
    <w:rsid w:val="0031016B"/>
    <w:rsid w:val="003104D8"/>
    <w:rsid w:val="00310707"/>
    <w:rsid w:val="00310793"/>
    <w:rsid w:val="00310B42"/>
    <w:rsid w:val="00310BA7"/>
    <w:rsid w:val="00311029"/>
    <w:rsid w:val="0031117C"/>
    <w:rsid w:val="003111F0"/>
    <w:rsid w:val="003111FE"/>
    <w:rsid w:val="003113BD"/>
    <w:rsid w:val="003114EF"/>
    <w:rsid w:val="0031174D"/>
    <w:rsid w:val="00311835"/>
    <w:rsid w:val="003118B4"/>
    <w:rsid w:val="00312077"/>
    <w:rsid w:val="00312231"/>
    <w:rsid w:val="00312820"/>
    <w:rsid w:val="00312A4A"/>
    <w:rsid w:val="00312C9B"/>
    <w:rsid w:val="00312F9D"/>
    <w:rsid w:val="003132C9"/>
    <w:rsid w:val="0031350E"/>
    <w:rsid w:val="0031363B"/>
    <w:rsid w:val="00313773"/>
    <w:rsid w:val="00313B6D"/>
    <w:rsid w:val="00313F95"/>
    <w:rsid w:val="0031437D"/>
    <w:rsid w:val="003147E4"/>
    <w:rsid w:val="00314858"/>
    <w:rsid w:val="003148E5"/>
    <w:rsid w:val="00314FCB"/>
    <w:rsid w:val="003151D8"/>
    <w:rsid w:val="003156B5"/>
    <w:rsid w:val="003159C6"/>
    <w:rsid w:val="00315E5B"/>
    <w:rsid w:val="00316059"/>
    <w:rsid w:val="003162AC"/>
    <w:rsid w:val="00316317"/>
    <w:rsid w:val="003167B7"/>
    <w:rsid w:val="0031695B"/>
    <w:rsid w:val="00316D1D"/>
    <w:rsid w:val="00316DBF"/>
    <w:rsid w:val="0031732B"/>
    <w:rsid w:val="00317BCB"/>
    <w:rsid w:val="00317C16"/>
    <w:rsid w:val="00317CBA"/>
    <w:rsid w:val="00317D28"/>
    <w:rsid w:val="00317DD8"/>
    <w:rsid w:val="0032028F"/>
    <w:rsid w:val="003205BB"/>
    <w:rsid w:val="003205D1"/>
    <w:rsid w:val="003208E3"/>
    <w:rsid w:val="003212EF"/>
    <w:rsid w:val="00321651"/>
    <w:rsid w:val="003216EA"/>
    <w:rsid w:val="00321FB5"/>
    <w:rsid w:val="00321FED"/>
    <w:rsid w:val="00322433"/>
    <w:rsid w:val="00322526"/>
    <w:rsid w:val="00322884"/>
    <w:rsid w:val="00322CEF"/>
    <w:rsid w:val="003231D9"/>
    <w:rsid w:val="00323B3F"/>
    <w:rsid w:val="00323D8E"/>
    <w:rsid w:val="00324097"/>
    <w:rsid w:val="00324696"/>
    <w:rsid w:val="003249AD"/>
    <w:rsid w:val="00324A73"/>
    <w:rsid w:val="00324D60"/>
    <w:rsid w:val="00324E48"/>
    <w:rsid w:val="00324EE8"/>
    <w:rsid w:val="00324FE3"/>
    <w:rsid w:val="00325572"/>
    <w:rsid w:val="00325672"/>
    <w:rsid w:val="00325721"/>
    <w:rsid w:val="00325825"/>
    <w:rsid w:val="00325911"/>
    <w:rsid w:val="00325AB1"/>
    <w:rsid w:val="00325BD8"/>
    <w:rsid w:val="00325C23"/>
    <w:rsid w:val="00325EE2"/>
    <w:rsid w:val="00325FE3"/>
    <w:rsid w:val="003264B3"/>
    <w:rsid w:val="0032650C"/>
    <w:rsid w:val="003268FF"/>
    <w:rsid w:val="003269AA"/>
    <w:rsid w:val="00326BFD"/>
    <w:rsid w:val="00326C08"/>
    <w:rsid w:val="00326F73"/>
    <w:rsid w:val="0032702E"/>
    <w:rsid w:val="00327201"/>
    <w:rsid w:val="0032724F"/>
    <w:rsid w:val="00327AB2"/>
    <w:rsid w:val="0033038F"/>
    <w:rsid w:val="003304CF"/>
    <w:rsid w:val="00330B45"/>
    <w:rsid w:val="00330D8E"/>
    <w:rsid w:val="00330EF2"/>
    <w:rsid w:val="0033146F"/>
    <w:rsid w:val="003316B1"/>
    <w:rsid w:val="003316E0"/>
    <w:rsid w:val="00331F19"/>
    <w:rsid w:val="0033219C"/>
    <w:rsid w:val="00332418"/>
    <w:rsid w:val="003324B2"/>
    <w:rsid w:val="00332CCF"/>
    <w:rsid w:val="00332DF8"/>
    <w:rsid w:val="003331AD"/>
    <w:rsid w:val="00333412"/>
    <w:rsid w:val="00333754"/>
    <w:rsid w:val="00333B2F"/>
    <w:rsid w:val="00333B32"/>
    <w:rsid w:val="00333EC4"/>
    <w:rsid w:val="00333F7D"/>
    <w:rsid w:val="0033404A"/>
    <w:rsid w:val="00334276"/>
    <w:rsid w:val="00334C7F"/>
    <w:rsid w:val="00334CC4"/>
    <w:rsid w:val="003353A2"/>
    <w:rsid w:val="003358C9"/>
    <w:rsid w:val="003358CF"/>
    <w:rsid w:val="00335916"/>
    <w:rsid w:val="003359FA"/>
    <w:rsid w:val="00335B05"/>
    <w:rsid w:val="00335C59"/>
    <w:rsid w:val="00335CC7"/>
    <w:rsid w:val="00335E6E"/>
    <w:rsid w:val="00335EB2"/>
    <w:rsid w:val="00335EB4"/>
    <w:rsid w:val="00335EE7"/>
    <w:rsid w:val="00336316"/>
    <w:rsid w:val="0033640A"/>
    <w:rsid w:val="0033654A"/>
    <w:rsid w:val="00336C53"/>
    <w:rsid w:val="0033704E"/>
    <w:rsid w:val="003371AC"/>
    <w:rsid w:val="003373EE"/>
    <w:rsid w:val="00337723"/>
    <w:rsid w:val="0033793B"/>
    <w:rsid w:val="0034014B"/>
    <w:rsid w:val="0034036E"/>
    <w:rsid w:val="00340383"/>
    <w:rsid w:val="0034044B"/>
    <w:rsid w:val="003404DC"/>
    <w:rsid w:val="00340A1B"/>
    <w:rsid w:val="00340B86"/>
    <w:rsid w:val="00340BC5"/>
    <w:rsid w:val="00341057"/>
    <w:rsid w:val="00341090"/>
    <w:rsid w:val="00341115"/>
    <w:rsid w:val="003411C4"/>
    <w:rsid w:val="0034132B"/>
    <w:rsid w:val="003413C6"/>
    <w:rsid w:val="00341AE7"/>
    <w:rsid w:val="00341EFA"/>
    <w:rsid w:val="0034202E"/>
    <w:rsid w:val="0034213D"/>
    <w:rsid w:val="003421F5"/>
    <w:rsid w:val="0034224C"/>
    <w:rsid w:val="00342BA9"/>
    <w:rsid w:val="00342F43"/>
    <w:rsid w:val="00343508"/>
    <w:rsid w:val="00343889"/>
    <w:rsid w:val="003439C1"/>
    <w:rsid w:val="00343C5F"/>
    <w:rsid w:val="00343D32"/>
    <w:rsid w:val="003440D9"/>
    <w:rsid w:val="0034426C"/>
    <w:rsid w:val="00344274"/>
    <w:rsid w:val="0034436E"/>
    <w:rsid w:val="003444FC"/>
    <w:rsid w:val="00344589"/>
    <w:rsid w:val="0034476B"/>
    <w:rsid w:val="003447BE"/>
    <w:rsid w:val="003447F9"/>
    <w:rsid w:val="0034556C"/>
    <w:rsid w:val="00345AEE"/>
    <w:rsid w:val="00345D4D"/>
    <w:rsid w:val="00346124"/>
    <w:rsid w:val="0034645A"/>
    <w:rsid w:val="00346782"/>
    <w:rsid w:val="00346A1C"/>
    <w:rsid w:val="00346B50"/>
    <w:rsid w:val="00346BD8"/>
    <w:rsid w:val="00346C3A"/>
    <w:rsid w:val="00346FF2"/>
    <w:rsid w:val="00347137"/>
    <w:rsid w:val="0034736D"/>
    <w:rsid w:val="0034744A"/>
    <w:rsid w:val="0034763F"/>
    <w:rsid w:val="003478E0"/>
    <w:rsid w:val="00347D72"/>
    <w:rsid w:val="00347E18"/>
    <w:rsid w:val="00347E28"/>
    <w:rsid w:val="0035012F"/>
    <w:rsid w:val="00350159"/>
    <w:rsid w:val="003501FA"/>
    <w:rsid w:val="0035029A"/>
    <w:rsid w:val="0035048C"/>
    <w:rsid w:val="0035069A"/>
    <w:rsid w:val="00350A12"/>
    <w:rsid w:val="00350DEC"/>
    <w:rsid w:val="00351258"/>
    <w:rsid w:val="00351314"/>
    <w:rsid w:val="003514F4"/>
    <w:rsid w:val="003515CD"/>
    <w:rsid w:val="003518D3"/>
    <w:rsid w:val="0035191D"/>
    <w:rsid w:val="00351EC3"/>
    <w:rsid w:val="00351ECF"/>
    <w:rsid w:val="003520DA"/>
    <w:rsid w:val="00352221"/>
    <w:rsid w:val="003522AD"/>
    <w:rsid w:val="0035248C"/>
    <w:rsid w:val="00352670"/>
    <w:rsid w:val="003526C6"/>
    <w:rsid w:val="00352976"/>
    <w:rsid w:val="00352993"/>
    <w:rsid w:val="00352B0A"/>
    <w:rsid w:val="00352E6C"/>
    <w:rsid w:val="00352F1B"/>
    <w:rsid w:val="003534E9"/>
    <w:rsid w:val="00353715"/>
    <w:rsid w:val="0035376C"/>
    <w:rsid w:val="00353D9F"/>
    <w:rsid w:val="003543FC"/>
    <w:rsid w:val="0035451B"/>
    <w:rsid w:val="0035486D"/>
    <w:rsid w:val="00354C86"/>
    <w:rsid w:val="00354DAB"/>
    <w:rsid w:val="00354EE0"/>
    <w:rsid w:val="0035502B"/>
    <w:rsid w:val="003550F4"/>
    <w:rsid w:val="003551E0"/>
    <w:rsid w:val="003557B2"/>
    <w:rsid w:val="00355833"/>
    <w:rsid w:val="00355C75"/>
    <w:rsid w:val="00355D4F"/>
    <w:rsid w:val="00355ECF"/>
    <w:rsid w:val="00356029"/>
    <w:rsid w:val="00356394"/>
    <w:rsid w:val="00356442"/>
    <w:rsid w:val="003566AB"/>
    <w:rsid w:val="0035678E"/>
    <w:rsid w:val="003569CB"/>
    <w:rsid w:val="00356E2A"/>
    <w:rsid w:val="00356F32"/>
    <w:rsid w:val="003571B0"/>
    <w:rsid w:val="003573FC"/>
    <w:rsid w:val="00357914"/>
    <w:rsid w:val="00357CFF"/>
    <w:rsid w:val="00357E64"/>
    <w:rsid w:val="00357EAD"/>
    <w:rsid w:val="00357F79"/>
    <w:rsid w:val="00360041"/>
    <w:rsid w:val="0036028C"/>
    <w:rsid w:val="0036053F"/>
    <w:rsid w:val="00360A8F"/>
    <w:rsid w:val="0036117F"/>
    <w:rsid w:val="003621D7"/>
    <w:rsid w:val="00362642"/>
    <w:rsid w:val="0036281A"/>
    <w:rsid w:val="00363003"/>
    <w:rsid w:val="00363039"/>
    <w:rsid w:val="003630E1"/>
    <w:rsid w:val="00363243"/>
    <w:rsid w:val="00363C4F"/>
    <w:rsid w:val="00363D03"/>
    <w:rsid w:val="00363F15"/>
    <w:rsid w:val="003641AC"/>
    <w:rsid w:val="00364632"/>
    <w:rsid w:val="0036478A"/>
    <w:rsid w:val="00364933"/>
    <w:rsid w:val="00364957"/>
    <w:rsid w:val="00364CDE"/>
    <w:rsid w:val="0036510D"/>
    <w:rsid w:val="0036526D"/>
    <w:rsid w:val="003652E0"/>
    <w:rsid w:val="003654E5"/>
    <w:rsid w:val="003655AB"/>
    <w:rsid w:val="003658D3"/>
    <w:rsid w:val="00365B5D"/>
    <w:rsid w:val="003661D0"/>
    <w:rsid w:val="00366372"/>
    <w:rsid w:val="003668AD"/>
    <w:rsid w:val="003672F5"/>
    <w:rsid w:val="00367542"/>
    <w:rsid w:val="00367710"/>
    <w:rsid w:val="00367A24"/>
    <w:rsid w:val="00367B1A"/>
    <w:rsid w:val="0037061D"/>
    <w:rsid w:val="0037080C"/>
    <w:rsid w:val="00370A39"/>
    <w:rsid w:val="00370A4D"/>
    <w:rsid w:val="00370D5E"/>
    <w:rsid w:val="00370E4C"/>
    <w:rsid w:val="00370FF4"/>
    <w:rsid w:val="003711DB"/>
    <w:rsid w:val="00371296"/>
    <w:rsid w:val="003712EB"/>
    <w:rsid w:val="003717C3"/>
    <w:rsid w:val="003717D4"/>
    <w:rsid w:val="00371824"/>
    <w:rsid w:val="00371999"/>
    <w:rsid w:val="00371A2A"/>
    <w:rsid w:val="00371B11"/>
    <w:rsid w:val="00371BC0"/>
    <w:rsid w:val="00371C0F"/>
    <w:rsid w:val="00371C80"/>
    <w:rsid w:val="00371E67"/>
    <w:rsid w:val="0037207B"/>
    <w:rsid w:val="0037229C"/>
    <w:rsid w:val="003722F1"/>
    <w:rsid w:val="003723E3"/>
    <w:rsid w:val="00372457"/>
    <w:rsid w:val="003727B6"/>
    <w:rsid w:val="00372C74"/>
    <w:rsid w:val="00372C90"/>
    <w:rsid w:val="00372EC6"/>
    <w:rsid w:val="00373091"/>
    <w:rsid w:val="00373134"/>
    <w:rsid w:val="00373966"/>
    <w:rsid w:val="00373D5C"/>
    <w:rsid w:val="00374140"/>
    <w:rsid w:val="00374604"/>
    <w:rsid w:val="0037475B"/>
    <w:rsid w:val="00374B69"/>
    <w:rsid w:val="00374D2F"/>
    <w:rsid w:val="003753D2"/>
    <w:rsid w:val="00375580"/>
    <w:rsid w:val="003757A0"/>
    <w:rsid w:val="0037595F"/>
    <w:rsid w:val="003759B6"/>
    <w:rsid w:val="00375ADA"/>
    <w:rsid w:val="00375E00"/>
    <w:rsid w:val="0037655B"/>
    <w:rsid w:val="003766A7"/>
    <w:rsid w:val="00376798"/>
    <w:rsid w:val="00376839"/>
    <w:rsid w:val="00376937"/>
    <w:rsid w:val="00376E85"/>
    <w:rsid w:val="00377749"/>
    <w:rsid w:val="00377965"/>
    <w:rsid w:val="00377966"/>
    <w:rsid w:val="00377CFF"/>
    <w:rsid w:val="00377FD6"/>
    <w:rsid w:val="003802E9"/>
    <w:rsid w:val="003805B4"/>
    <w:rsid w:val="0038073F"/>
    <w:rsid w:val="00380C4F"/>
    <w:rsid w:val="00380CE2"/>
    <w:rsid w:val="00380E86"/>
    <w:rsid w:val="003810D7"/>
    <w:rsid w:val="0038139D"/>
    <w:rsid w:val="003818F1"/>
    <w:rsid w:val="00381B1C"/>
    <w:rsid w:val="003822BA"/>
    <w:rsid w:val="0038248F"/>
    <w:rsid w:val="003824BC"/>
    <w:rsid w:val="00382597"/>
    <w:rsid w:val="00382931"/>
    <w:rsid w:val="00382C93"/>
    <w:rsid w:val="0038301C"/>
    <w:rsid w:val="00383FF5"/>
    <w:rsid w:val="003840E7"/>
    <w:rsid w:val="0038411C"/>
    <w:rsid w:val="003851D2"/>
    <w:rsid w:val="00385296"/>
    <w:rsid w:val="00385591"/>
    <w:rsid w:val="0038591F"/>
    <w:rsid w:val="0038592B"/>
    <w:rsid w:val="00385DB6"/>
    <w:rsid w:val="00385DBA"/>
    <w:rsid w:val="00386033"/>
    <w:rsid w:val="0038637D"/>
    <w:rsid w:val="0038638E"/>
    <w:rsid w:val="00386421"/>
    <w:rsid w:val="003865F2"/>
    <w:rsid w:val="003866C7"/>
    <w:rsid w:val="0038685B"/>
    <w:rsid w:val="00386E62"/>
    <w:rsid w:val="003873E2"/>
    <w:rsid w:val="003873EF"/>
    <w:rsid w:val="0038768F"/>
    <w:rsid w:val="00387695"/>
    <w:rsid w:val="00387715"/>
    <w:rsid w:val="00387847"/>
    <w:rsid w:val="0038794D"/>
    <w:rsid w:val="00387A7E"/>
    <w:rsid w:val="003900A9"/>
    <w:rsid w:val="003900FD"/>
    <w:rsid w:val="00390C22"/>
    <w:rsid w:val="00390C52"/>
    <w:rsid w:val="00390DCE"/>
    <w:rsid w:val="00390E34"/>
    <w:rsid w:val="00391034"/>
    <w:rsid w:val="003913E0"/>
    <w:rsid w:val="0039147A"/>
    <w:rsid w:val="00391487"/>
    <w:rsid w:val="00391593"/>
    <w:rsid w:val="0039168F"/>
    <w:rsid w:val="00392186"/>
    <w:rsid w:val="003921A5"/>
    <w:rsid w:val="0039245C"/>
    <w:rsid w:val="00392950"/>
    <w:rsid w:val="00392974"/>
    <w:rsid w:val="00392A7C"/>
    <w:rsid w:val="00392DF3"/>
    <w:rsid w:val="003931DE"/>
    <w:rsid w:val="0039330D"/>
    <w:rsid w:val="003935A6"/>
    <w:rsid w:val="00393649"/>
    <w:rsid w:val="00393D08"/>
    <w:rsid w:val="003948FC"/>
    <w:rsid w:val="00394A0A"/>
    <w:rsid w:val="00394AC2"/>
    <w:rsid w:val="00394ACE"/>
    <w:rsid w:val="00394C59"/>
    <w:rsid w:val="00394C99"/>
    <w:rsid w:val="00394D74"/>
    <w:rsid w:val="003950BE"/>
    <w:rsid w:val="00395267"/>
    <w:rsid w:val="00395300"/>
    <w:rsid w:val="003954CF"/>
    <w:rsid w:val="0039553C"/>
    <w:rsid w:val="00395AA9"/>
    <w:rsid w:val="00395B99"/>
    <w:rsid w:val="00395C56"/>
    <w:rsid w:val="00395CAB"/>
    <w:rsid w:val="00395E1B"/>
    <w:rsid w:val="00396079"/>
    <w:rsid w:val="003960CE"/>
    <w:rsid w:val="00396501"/>
    <w:rsid w:val="0039660B"/>
    <w:rsid w:val="003966B8"/>
    <w:rsid w:val="00396B34"/>
    <w:rsid w:val="003970FF"/>
    <w:rsid w:val="003973F4"/>
    <w:rsid w:val="0039743B"/>
    <w:rsid w:val="003974AD"/>
    <w:rsid w:val="00397553"/>
    <w:rsid w:val="00397A0C"/>
    <w:rsid w:val="00397AFA"/>
    <w:rsid w:val="00397B72"/>
    <w:rsid w:val="00397D2D"/>
    <w:rsid w:val="003A010E"/>
    <w:rsid w:val="003A0422"/>
    <w:rsid w:val="003A0719"/>
    <w:rsid w:val="003A094D"/>
    <w:rsid w:val="003A152C"/>
    <w:rsid w:val="003A1E85"/>
    <w:rsid w:val="003A1F80"/>
    <w:rsid w:val="003A2CB7"/>
    <w:rsid w:val="003A2F62"/>
    <w:rsid w:val="003A3062"/>
    <w:rsid w:val="003A30B6"/>
    <w:rsid w:val="003A33F2"/>
    <w:rsid w:val="003A34E7"/>
    <w:rsid w:val="003A3A3F"/>
    <w:rsid w:val="003A3C49"/>
    <w:rsid w:val="003A3D8A"/>
    <w:rsid w:val="003A3E49"/>
    <w:rsid w:val="003A3EAB"/>
    <w:rsid w:val="003A3EFC"/>
    <w:rsid w:val="003A420E"/>
    <w:rsid w:val="003A45C4"/>
    <w:rsid w:val="003A4703"/>
    <w:rsid w:val="003A4C88"/>
    <w:rsid w:val="003A4E23"/>
    <w:rsid w:val="003A4F5B"/>
    <w:rsid w:val="003A5113"/>
    <w:rsid w:val="003A53DA"/>
    <w:rsid w:val="003A58DD"/>
    <w:rsid w:val="003A59D6"/>
    <w:rsid w:val="003A603E"/>
    <w:rsid w:val="003A654A"/>
    <w:rsid w:val="003A658E"/>
    <w:rsid w:val="003A65CB"/>
    <w:rsid w:val="003A6792"/>
    <w:rsid w:val="003A6A10"/>
    <w:rsid w:val="003A6F53"/>
    <w:rsid w:val="003A6FA6"/>
    <w:rsid w:val="003A7054"/>
    <w:rsid w:val="003A70AB"/>
    <w:rsid w:val="003A72AF"/>
    <w:rsid w:val="003A74E9"/>
    <w:rsid w:val="003A769C"/>
    <w:rsid w:val="003A7902"/>
    <w:rsid w:val="003A791E"/>
    <w:rsid w:val="003A7929"/>
    <w:rsid w:val="003B023F"/>
    <w:rsid w:val="003B0930"/>
    <w:rsid w:val="003B0A43"/>
    <w:rsid w:val="003B0C41"/>
    <w:rsid w:val="003B0CE1"/>
    <w:rsid w:val="003B106D"/>
    <w:rsid w:val="003B13BD"/>
    <w:rsid w:val="003B13D0"/>
    <w:rsid w:val="003B1478"/>
    <w:rsid w:val="003B14DB"/>
    <w:rsid w:val="003B1CAD"/>
    <w:rsid w:val="003B1D38"/>
    <w:rsid w:val="003B1E1D"/>
    <w:rsid w:val="003B2586"/>
    <w:rsid w:val="003B28CC"/>
    <w:rsid w:val="003B296A"/>
    <w:rsid w:val="003B2B5E"/>
    <w:rsid w:val="003B301B"/>
    <w:rsid w:val="003B3052"/>
    <w:rsid w:val="003B310C"/>
    <w:rsid w:val="003B3306"/>
    <w:rsid w:val="003B3B3C"/>
    <w:rsid w:val="003B3CC9"/>
    <w:rsid w:val="003B3DB7"/>
    <w:rsid w:val="003B40C6"/>
    <w:rsid w:val="003B40F6"/>
    <w:rsid w:val="003B4983"/>
    <w:rsid w:val="003B4A28"/>
    <w:rsid w:val="003B4AEF"/>
    <w:rsid w:val="003B4D15"/>
    <w:rsid w:val="003B51D9"/>
    <w:rsid w:val="003B5549"/>
    <w:rsid w:val="003B57C7"/>
    <w:rsid w:val="003B5BDF"/>
    <w:rsid w:val="003B5C6B"/>
    <w:rsid w:val="003B5CA5"/>
    <w:rsid w:val="003B6049"/>
    <w:rsid w:val="003B623F"/>
    <w:rsid w:val="003B6418"/>
    <w:rsid w:val="003B662C"/>
    <w:rsid w:val="003B677C"/>
    <w:rsid w:val="003B6892"/>
    <w:rsid w:val="003B751D"/>
    <w:rsid w:val="003B7584"/>
    <w:rsid w:val="003B7590"/>
    <w:rsid w:val="003B7BF7"/>
    <w:rsid w:val="003B7CC5"/>
    <w:rsid w:val="003B7CDE"/>
    <w:rsid w:val="003B7D3C"/>
    <w:rsid w:val="003B7ECB"/>
    <w:rsid w:val="003B7F81"/>
    <w:rsid w:val="003C0129"/>
    <w:rsid w:val="003C06D3"/>
    <w:rsid w:val="003C0943"/>
    <w:rsid w:val="003C0976"/>
    <w:rsid w:val="003C1309"/>
    <w:rsid w:val="003C1364"/>
    <w:rsid w:val="003C13A2"/>
    <w:rsid w:val="003C14EA"/>
    <w:rsid w:val="003C15B4"/>
    <w:rsid w:val="003C1729"/>
    <w:rsid w:val="003C1AAB"/>
    <w:rsid w:val="003C1BD3"/>
    <w:rsid w:val="003C207E"/>
    <w:rsid w:val="003C24AD"/>
    <w:rsid w:val="003C25C5"/>
    <w:rsid w:val="003C282B"/>
    <w:rsid w:val="003C2AEE"/>
    <w:rsid w:val="003C2C36"/>
    <w:rsid w:val="003C31AC"/>
    <w:rsid w:val="003C34C6"/>
    <w:rsid w:val="003C35A6"/>
    <w:rsid w:val="003C3A37"/>
    <w:rsid w:val="003C3D7E"/>
    <w:rsid w:val="003C3E6A"/>
    <w:rsid w:val="003C3F88"/>
    <w:rsid w:val="003C42B7"/>
    <w:rsid w:val="003C4493"/>
    <w:rsid w:val="003C44D6"/>
    <w:rsid w:val="003C44EC"/>
    <w:rsid w:val="003C4A89"/>
    <w:rsid w:val="003C4D80"/>
    <w:rsid w:val="003C5402"/>
    <w:rsid w:val="003C54B2"/>
    <w:rsid w:val="003C54CA"/>
    <w:rsid w:val="003C58F7"/>
    <w:rsid w:val="003C5D14"/>
    <w:rsid w:val="003C5E26"/>
    <w:rsid w:val="003C600B"/>
    <w:rsid w:val="003C6D83"/>
    <w:rsid w:val="003C6F78"/>
    <w:rsid w:val="003C7063"/>
    <w:rsid w:val="003C7446"/>
    <w:rsid w:val="003C74C6"/>
    <w:rsid w:val="003C7B17"/>
    <w:rsid w:val="003C7B38"/>
    <w:rsid w:val="003D0115"/>
    <w:rsid w:val="003D0646"/>
    <w:rsid w:val="003D0A04"/>
    <w:rsid w:val="003D0D8C"/>
    <w:rsid w:val="003D150D"/>
    <w:rsid w:val="003D15F0"/>
    <w:rsid w:val="003D1725"/>
    <w:rsid w:val="003D1DFB"/>
    <w:rsid w:val="003D1E72"/>
    <w:rsid w:val="003D1F5D"/>
    <w:rsid w:val="003D25D0"/>
    <w:rsid w:val="003D2C46"/>
    <w:rsid w:val="003D3237"/>
    <w:rsid w:val="003D360C"/>
    <w:rsid w:val="003D3D05"/>
    <w:rsid w:val="003D439B"/>
    <w:rsid w:val="003D45D5"/>
    <w:rsid w:val="003D4D55"/>
    <w:rsid w:val="003D4EE4"/>
    <w:rsid w:val="003D53AA"/>
    <w:rsid w:val="003D5536"/>
    <w:rsid w:val="003D5B2C"/>
    <w:rsid w:val="003D5F39"/>
    <w:rsid w:val="003D600A"/>
    <w:rsid w:val="003D6200"/>
    <w:rsid w:val="003D63C1"/>
    <w:rsid w:val="003D63E3"/>
    <w:rsid w:val="003D63FC"/>
    <w:rsid w:val="003D64AD"/>
    <w:rsid w:val="003D64D9"/>
    <w:rsid w:val="003D66EC"/>
    <w:rsid w:val="003D67A7"/>
    <w:rsid w:val="003D6E87"/>
    <w:rsid w:val="003D72E4"/>
    <w:rsid w:val="003D7364"/>
    <w:rsid w:val="003D7441"/>
    <w:rsid w:val="003D76C8"/>
    <w:rsid w:val="003D77F2"/>
    <w:rsid w:val="003D784F"/>
    <w:rsid w:val="003D7B4D"/>
    <w:rsid w:val="003D7E86"/>
    <w:rsid w:val="003D7FC0"/>
    <w:rsid w:val="003E00DB"/>
    <w:rsid w:val="003E01C8"/>
    <w:rsid w:val="003E061F"/>
    <w:rsid w:val="003E0707"/>
    <w:rsid w:val="003E0720"/>
    <w:rsid w:val="003E0920"/>
    <w:rsid w:val="003E0A3A"/>
    <w:rsid w:val="003E0D2D"/>
    <w:rsid w:val="003E0E09"/>
    <w:rsid w:val="003E0EF2"/>
    <w:rsid w:val="003E1311"/>
    <w:rsid w:val="003E15DA"/>
    <w:rsid w:val="003E15F9"/>
    <w:rsid w:val="003E1BC2"/>
    <w:rsid w:val="003E1E17"/>
    <w:rsid w:val="003E1F6D"/>
    <w:rsid w:val="003E1FEC"/>
    <w:rsid w:val="003E228E"/>
    <w:rsid w:val="003E2319"/>
    <w:rsid w:val="003E2431"/>
    <w:rsid w:val="003E245D"/>
    <w:rsid w:val="003E2755"/>
    <w:rsid w:val="003E28EE"/>
    <w:rsid w:val="003E2A1E"/>
    <w:rsid w:val="003E2A99"/>
    <w:rsid w:val="003E2E69"/>
    <w:rsid w:val="003E34C2"/>
    <w:rsid w:val="003E365C"/>
    <w:rsid w:val="003E3D04"/>
    <w:rsid w:val="003E4062"/>
    <w:rsid w:val="003E44C5"/>
    <w:rsid w:val="003E46B6"/>
    <w:rsid w:val="003E48BB"/>
    <w:rsid w:val="003E4A1F"/>
    <w:rsid w:val="003E4AE0"/>
    <w:rsid w:val="003E4E77"/>
    <w:rsid w:val="003E5121"/>
    <w:rsid w:val="003E51D0"/>
    <w:rsid w:val="003E5241"/>
    <w:rsid w:val="003E53F4"/>
    <w:rsid w:val="003E5860"/>
    <w:rsid w:val="003E58E8"/>
    <w:rsid w:val="003E5B4F"/>
    <w:rsid w:val="003E5CAD"/>
    <w:rsid w:val="003E641C"/>
    <w:rsid w:val="003E6495"/>
    <w:rsid w:val="003E66A0"/>
    <w:rsid w:val="003E675F"/>
    <w:rsid w:val="003E6AD2"/>
    <w:rsid w:val="003E7029"/>
    <w:rsid w:val="003E7208"/>
    <w:rsid w:val="003E7211"/>
    <w:rsid w:val="003E750D"/>
    <w:rsid w:val="003E75F7"/>
    <w:rsid w:val="003E76EF"/>
    <w:rsid w:val="003E7822"/>
    <w:rsid w:val="003E79F2"/>
    <w:rsid w:val="003E7CAE"/>
    <w:rsid w:val="003F00CF"/>
    <w:rsid w:val="003F0109"/>
    <w:rsid w:val="003F01C2"/>
    <w:rsid w:val="003F0622"/>
    <w:rsid w:val="003F07DE"/>
    <w:rsid w:val="003F0E39"/>
    <w:rsid w:val="003F1463"/>
    <w:rsid w:val="003F1603"/>
    <w:rsid w:val="003F1B1B"/>
    <w:rsid w:val="003F1CB5"/>
    <w:rsid w:val="003F1F78"/>
    <w:rsid w:val="003F2095"/>
    <w:rsid w:val="003F2184"/>
    <w:rsid w:val="003F2280"/>
    <w:rsid w:val="003F23D0"/>
    <w:rsid w:val="003F24F1"/>
    <w:rsid w:val="003F2600"/>
    <w:rsid w:val="003F32DD"/>
    <w:rsid w:val="003F33D1"/>
    <w:rsid w:val="003F3617"/>
    <w:rsid w:val="003F399B"/>
    <w:rsid w:val="003F3ADB"/>
    <w:rsid w:val="003F3D7F"/>
    <w:rsid w:val="003F3EA1"/>
    <w:rsid w:val="003F4626"/>
    <w:rsid w:val="003F4775"/>
    <w:rsid w:val="003F4825"/>
    <w:rsid w:val="003F49AF"/>
    <w:rsid w:val="003F49EE"/>
    <w:rsid w:val="003F49F7"/>
    <w:rsid w:val="003F4C66"/>
    <w:rsid w:val="003F4C87"/>
    <w:rsid w:val="003F4E38"/>
    <w:rsid w:val="003F52BD"/>
    <w:rsid w:val="003F56FB"/>
    <w:rsid w:val="003F5709"/>
    <w:rsid w:val="003F59EE"/>
    <w:rsid w:val="003F5A46"/>
    <w:rsid w:val="003F5FF3"/>
    <w:rsid w:val="003F60BE"/>
    <w:rsid w:val="003F61BD"/>
    <w:rsid w:val="003F6282"/>
    <w:rsid w:val="003F63F2"/>
    <w:rsid w:val="003F6466"/>
    <w:rsid w:val="003F6483"/>
    <w:rsid w:val="003F6646"/>
    <w:rsid w:val="003F67D5"/>
    <w:rsid w:val="003F6E72"/>
    <w:rsid w:val="003F6FFC"/>
    <w:rsid w:val="003F71C2"/>
    <w:rsid w:val="003F766A"/>
    <w:rsid w:val="003F7AB7"/>
    <w:rsid w:val="003F7AE4"/>
    <w:rsid w:val="003F7BE5"/>
    <w:rsid w:val="003F7D9D"/>
    <w:rsid w:val="0040026D"/>
    <w:rsid w:val="00400403"/>
    <w:rsid w:val="00400553"/>
    <w:rsid w:val="0040095B"/>
    <w:rsid w:val="004009E6"/>
    <w:rsid w:val="00400AF7"/>
    <w:rsid w:val="004016A5"/>
    <w:rsid w:val="00402170"/>
    <w:rsid w:val="0040220E"/>
    <w:rsid w:val="00402771"/>
    <w:rsid w:val="00402B97"/>
    <w:rsid w:val="00402CB7"/>
    <w:rsid w:val="00402D90"/>
    <w:rsid w:val="00402DEC"/>
    <w:rsid w:val="004031CC"/>
    <w:rsid w:val="00403342"/>
    <w:rsid w:val="00403505"/>
    <w:rsid w:val="00403548"/>
    <w:rsid w:val="004039C1"/>
    <w:rsid w:val="00404010"/>
    <w:rsid w:val="00404328"/>
    <w:rsid w:val="00404356"/>
    <w:rsid w:val="004043CF"/>
    <w:rsid w:val="004044CE"/>
    <w:rsid w:val="00404657"/>
    <w:rsid w:val="00404773"/>
    <w:rsid w:val="00404852"/>
    <w:rsid w:val="00404F08"/>
    <w:rsid w:val="004051EA"/>
    <w:rsid w:val="0040543D"/>
    <w:rsid w:val="004054AC"/>
    <w:rsid w:val="00405BAB"/>
    <w:rsid w:val="0040636E"/>
    <w:rsid w:val="00406D52"/>
    <w:rsid w:val="00406FBD"/>
    <w:rsid w:val="00407267"/>
    <w:rsid w:val="00407742"/>
    <w:rsid w:val="004078B7"/>
    <w:rsid w:val="004079F6"/>
    <w:rsid w:val="00407AB2"/>
    <w:rsid w:val="00407B85"/>
    <w:rsid w:val="004101BB"/>
    <w:rsid w:val="004103FD"/>
    <w:rsid w:val="004104F2"/>
    <w:rsid w:val="004107CB"/>
    <w:rsid w:val="00410C7C"/>
    <w:rsid w:val="004111FE"/>
    <w:rsid w:val="004113F8"/>
    <w:rsid w:val="00411585"/>
    <w:rsid w:val="00411765"/>
    <w:rsid w:val="00411CE2"/>
    <w:rsid w:val="00411D86"/>
    <w:rsid w:val="00412128"/>
    <w:rsid w:val="004121E6"/>
    <w:rsid w:val="00412831"/>
    <w:rsid w:val="00412B3C"/>
    <w:rsid w:val="00412E5C"/>
    <w:rsid w:val="00412E8B"/>
    <w:rsid w:val="00412F9C"/>
    <w:rsid w:val="0041304B"/>
    <w:rsid w:val="004133A1"/>
    <w:rsid w:val="004139BD"/>
    <w:rsid w:val="00414378"/>
    <w:rsid w:val="00414875"/>
    <w:rsid w:val="00414881"/>
    <w:rsid w:val="00414D0C"/>
    <w:rsid w:val="00415350"/>
    <w:rsid w:val="004154E0"/>
    <w:rsid w:val="0041558D"/>
    <w:rsid w:val="00415590"/>
    <w:rsid w:val="00415AF4"/>
    <w:rsid w:val="00415C2F"/>
    <w:rsid w:val="00415D98"/>
    <w:rsid w:val="004162C4"/>
    <w:rsid w:val="00416553"/>
    <w:rsid w:val="004165B6"/>
    <w:rsid w:val="00416741"/>
    <w:rsid w:val="00416866"/>
    <w:rsid w:val="00416917"/>
    <w:rsid w:val="00416A8A"/>
    <w:rsid w:val="00416B51"/>
    <w:rsid w:val="00416B70"/>
    <w:rsid w:val="00416DB2"/>
    <w:rsid w:val="0041737D"/>
    <w:rsid w:val="00417FCC"/>
    <w:rsid w:val="0042024F"/>
    <w:rsid w:val="00420435"/>
    <w:rsid w:val="0042049C"/>
    <w:rsid w:val="004206C4"/>
    <w:rsid w:val="0042072A"/>
    <w:rsid w:val="004207AD"/>
    <w:rsid w:val="00420812"/>
    <w:rsid w:val="00420E3F"/>
    <w:rsid w:val="0042116D"/>
    <w:rsid w:val="004211DF"/>
    <w:rsid w:val="00421256"/>
    <w:rsid w:val="00421585"/>
    <w:rsid w:val="00421835"/>
    <w:rsid w:val="00421853"/>
    <w:rsid w:val="00421E13"/>
    <w:rsid w:val="00422053"/>
    <w:rsid w:val="004224D8"/>
    <w:rsid w:val="00422555"/>
    <w:rsid w:val="0042273B"/>
    <w:rsid w:val="004227CE"/>
    <w:rsid w:val="00422E38"/>
    <w:rsid w:val="004232E4"/>
    <w:rsid w:val="004234C7"/>
    <w:rsid w:val="00423883"/>
    <w:rsid w:val="0042390B"/>
    <w:rsid w:val="00423A4C"/>
    <w:rsid w:val="00423EF9"/>
    <w:rsid w:val="0042411A"/>
    <w:rsid w:val="00424930"/>
    <w:rsid w:val="00424C0F"/>
    <w:rsid w:val="00424D40"/>
    <w:rsid w:val="00425903"/>
    <w:rsid w:val="00425FEE"/>
    <w:rsid w:val="004269EF"/>
    <w:rsid w:val="00426B6B"/>
    <w:rsid w:val="00426F39"/>
    <w:rsid w:val="00426F7D"/>
    <w:rsid w:val="00427208"/>
    <w:rsid w:val="004272B9"/>
    <w:rsid w:val="0042738D"/>
    <w:rsid w:val="00427627"/>
    <w:rsid w:val="00427B08"/>
    <w:rsid w:val="00427C29"/>
    <w:rsid w:val="00427D96"/>
    <w:rsid w:val="00427F7F"/>
    <w:rsid w:val="004300C0"/>
    <w:rsid w:val="0043032D"/>
    <w:rsid w:val="0043056E"/>
    <w:rsid w:val="0043087A"/>
    <w:rsid w:val="004308F4"/>
    <w:rsid w:val="00430BDE"/>
    <w:rsid w:val="00430D34"/>
    <w:rsid w:val="00430FA3"/>
    <w:rsid w:val="00431036"/>
    <w:rsid w:val="00431415"/>
    <w:rsid w:val="00431453"/>
    <w:rsid w:val="00431729"/>
    <w:rsid w:val="004322D5"/>
    <w:rsid w:val="004324B7"/>
    <w:rsid w:val="004324CE"/>
    <w:rsid w:val="00432599"/>
    <w:rsid w:val="004327BF"/>
    <w:rsid w:val="00432B2B"/>
    <w:rsid w:val="00433124"/>
    <w:rsid w:val="00433292"/>
    <w:rsid w:val="00433353"/>
    <w:rsid w:val="004333DC"/>
    <w:rsid w:val="00433407"/>
    <w:rsid w:val="00433664"/>
    <w:rsid w:val="0043398E"/>
    <w:rsid w:val="00433A28"/>
    <w:rsid w:val="00433D71"/>
    <w:rsid w:val="00433F1E"/>
    <w:rsid w:val="00434037"/>
    <w:rsid w:val="004340DE"/>
    <w:rsid w:val="00434BE9"/>
    <w:rsid w:val="00434DEA"/>
    <w:rsid w:val="00434F6D"/>
    <w:rsid w:val="00434FCE"/>
    <w:rsid w:val="0043515F"/>
    <w:rsid w:val="00435262"/>
    <w:rsid w:val="00435868"/>
    <w:rsid w:val="00435897"/>
    <w:rsid w:val="0043596B"/>
    <w:rsid w:val="00435EB9"/>
    <w:rsid w:val="00436283"/>
    <w:rsid w:val="0043668B"/>
    <w:rsid w:val="00436C60"/>
    <w:rsid w:val="00436E8F"/>
    <w:rsid w:val="004374C1"/>
    <w:rsid w:val="0043788A"/>
    <w:rsid w:val="00437E01"/>
    <w:rsid w:val="00437E2C"/>
    <w:rsid w:val="00437F2C"/>
    <w:rsid w:val="00437F66"/>
    <w:rsid w:val="00440E9B"/>
    <w:rsid w:val="004410FB"/>
    <w:rsid w:val="004412E3"/>
    <w:rsid w:val="004414BE"/>
    <w:rsid w:val="00441B3D"/>
    <w:rsid w:val="00441FEC"/>
    <w:rsid w:val="004429FA"/>
    <w:rsid w:val="00443021"/>
    <w:rsid w:val="004430BA"/>
    <w:rsid w:val="0044394C"/>
    <w:rsid w:val="00443A20"/>
    <w:rsid w:val="00443B36"/>
    <w:rsid w:val="00444279"/>
    <w:rsid w:val="004444E2"/>
    <w:rsid w:val="004445F3"/>
    <w:rsid w:val="0044469D"/>
    <w:rsid w:val="004446DD"/>
    <w:rsid w:val="00444827"/>
    <w:rsid w:val="00444A37"/>
    <w:rsid w:val="00444A66"/>
    <w:rsid w:val="00445367"/>
    <w:rsid w:val="00445A43"/>
    <w:rsid w:val="0044613E"/>
    <w:rsid w:val="004462C2"/>
    <w:rsid w:val="00446377"/>
    <w:rsid w:val="004467A3"/>
    <w:rsid w:val="00446828"/>
    <w:rsid w:val="00446D0B"/>
    <w:rsid w:val="0044749C"/>
    <w:rsid w:val="0044772D"/>
    <w:rsid w:val="0044798C"/>
    <w:rsid w:val="004479C9"/>
    <w:rsid w:val="004479EF"/>
    <w:rsid w:val="004502C5"/>
    <w:rsid w:val="00450613"/>
    <w:rsid w:val="00450723"/>
    <w:rsid w:val="00450792"/>
    <w:rsid w:val="00450DE9"/>
    <w:rsid w:val="00450F1C"/>
    <w:rsid w:val="00450F8C"/>
    <w:rsid w:val="004512F8"/>
    <w:rsid w:val="004519DE"/>
    <w:rsid w:val="00451AC6"/>
    <w:rsid w:val="00451EC6"/>
    <w:rsid w:val="00451FC4"/>
    <w:rsid w:val="00452121"/>
    <w:rsid w:val="0045225F"/>
    <w:rsid w:val="00452645"/>
    <w:rsid w:val="00452660"/>
    <w:rsid w:val="004527EE"/>
    <w:rsid w:val="004528ED"/>
    <w:rsid w:val="00452D33"/>
    <w:rsid w:val="00453166"/>
    <w:rsid w:val="00453368"/>
    <w:rsid w:val="00453B9C"/>
    <w:rsid w:val="00453F41"/>
    <w:rsid w:val="00453FE4"/>
    <w:rsid w:val="0045431A"/>
    <w:rsid w:val="00454446"/>
    <w:rsid w:val="004544B8"/>
    <w:rsid w:val="0045458E"/>
    <w:rsid w:val="00454810"/>
    <w:rsid w:val="00454A48"/>
    <w:rsid w:val="004550E5"/>
    <w:rsid w:val="00455265"/>
    <w:rsid w:val="004553A8"/>
    <w:rsid w:val="00455522"/>
    <w:rsid w:val="004555D8"/>
    <w:rsid w:val="00455741"/>
    <w:rsid w:val="004559E8"/>
    <w:rsid w:val="00455A43"/>
    <w:rsid w:val="00455CB5"/>
    <w:rsid w:val="00455D06"/>
    <w:rsid w:val="00455E00"/>
    <w:rsid w:val="00455F57"/>
    <w:rsid w:val="0045611E"/>
    <w:rsid w:val="004561AE"/>
    <w:rsid w:val="0045629C"/>
    <w:rsid w:val="00456744"/>
    <w:rsid w:val="00456844"/>
    <w:rsid w:val="00456A21"/>
    <w:rsid w:val="00456BD6"/>
    <w:rsid w:val="00456C0A"/>
    <w:rsid w:val="00456E7B"/>
    <w:rsid w:val="00457AA0"/>
    <w:rsid w:val="00457EE2"/>
    <w:rsid w:val="00457F08"/>
    <w:rsid w:val="004600BA"/>
    <w:rsid w:val="00460161"/>
    <w:rsid w:val="00460502"/>
    <w:rsid w:val="004606CD"/>
    <w:rsid w:val="004608F7"/>
    <w:rsid w:val="004609EB"/>
    <w:rsid w:val="00460F48"/>
    <w:rsid w:val="00460FA1"/>
    <w:rsid w:val="0046199D"/>
    <w:rsid w:val="00461A77"/>
    <w:rsid w:val="00461ACB"/>
    <w:rsid w:val="00461F07"/>
    <w:rsid w:val="00462035"/>
    <w:rsid w:val="004620A5"/>
    <w:rsid w:val="00462251"/>
    <w:rsid w:val="00462280"/>
    <w:rsid w:val="0046230D"/>
    <w:rsid w:val="00462886"/>
    <w:rsid w:val="004628C6"/>
    <w:rsid w:val="00462A50"/>
    <w:rsid w:val="00462D39"/>
    <w:rsid w:val="0046326A"/>
    <w:rsid w:val="0046342B"/>
    <w:rsid w:val="0046373A"/>
    <w:rsid w:val="00463844"/>
    <w:rsid w:val="004638E3"/>
    <w:rsid w:val="00463A48"/>
    <w:rsid w:val="00463E0D"/>
    <w:rsid w:val="00463F4B"/>
    <w:rsid w:val="004640DB"/>
    <w:rsid w:val="004647AF"/>
    <w:rsid w:val="00464A1C"/>
    <w:rsid w:val="00464BEF"/>
    <w:rsid w:val="00464DAD"/>
    <w:rsid w:val="00464F29"/>
    <w:rsid w:val="00464F69"/>
    <w:rsid w:val="00465189"/>
    <w:rsid w:val="004651E5"/>
    <w:rsid w:val="004651F3"/>
    <w:rsid w:val="00465280"/>
    <w:rsid w:val="00465589"/>
    <w:rsid w:val="004658B6"/>
    <w:rsid w:val="00465949"/>
    <w:rsid w:val="00466005"/>
    <w:rsid w:val="0046614C"/>
    <w:rsid w:val="004661F1"/>
    <w:rsid w:val="00466517"/>
    <w:rsid w:val="004666AD"/>
    <w:rsid w:val="00466904"/>
    <w:rsid w:val="0046698D"/>
    <w:rsid w:val="00466A95"/>
    <w:rsid w:val="00466C74"/>
    <w:rsid w:val="00466CAF"/>
    <w:rsid w:val="00466FB3"/>
    <w:rsid w:val="00467508"/>
    <w:rsid w:val="004678A8"/>
    <w:rsid w:val="00467A1D"/>
    <w:rsid w:val="00467AD6"/>
    <w:rsid w:val="00470562"/>
    <w:rsid w:val="00470582"/>
    <w:rsid w:val="004708C0"/>
    <w:rsid w:val="00470A69"/>
    <w:rsid w:val="00470CEB"/>
    <w:rsid w:val="00470D3D"/>
    <w:rsid w:val="00470DE3"/>
    <w:rsid w:val="00470F7C"/>
    <w:rsid w:val="004710E9"/>
    <w:rsid w:val="004711D5"/>
    <w:rsid w:val="00471298"/>
    <w:rsid w:val="0047166D"/>
    <w:rsid w:val="004717BF"/>
    <w:rsid w:val="00471BAA"/>
    <w:rsid w:val="00471D9D"/>
    <w:rsid w:val="004720FD"/>
    <w:rsid w:val="004722D2"/>
    <w:rsid w:val="00472350"/>
    <w:rsid w:val="004724EE"/>
    <w:rsid w:val="004725CE"/>
    <w:rsid w:val="00472675"/>
    <w:rsid w:val="004727A4"/>
    <w:rsid w:val="00472AD1"/>
    <w:rsid w:val="00472AEC"/>
    <w:rsid w:val="00472CB8"/>
    <w:rsid w:val="00472E52"/>
    <w:rsid w:val="00472EE2"/>
    <w:rsid w:val="00472FAF"/>
    <w:rsid w:val="004732D8"/>
    <w:rsid w:val="00473522"/>
    <w:rsid w:val="0047381C"/>
    <w:rsid w:val="0047384D"/>
    <w:rsid w:val="0047401C"/>
    <w:rsid w:val="00474112"/>
    <w:rsid w:val="00474234"/>
    <w:rsid w:val="0047431B"/>
    <w:rsid w:val="004743C7"/>
    <w:rsid w:val="0047459A"/>
    <w:rsid w:val="00474C4F"/>
    <w:rsid w:val="00474F14"/>
    <w:rsid w:val="0047558C"/>
    <w:rsid w:val="0047567D"/>
    <w:rsid w:val="00475706"/>
    <w:rsid w:val="004758F6"/>
    <w:rsid w:val="00475F68"/>
    <w:rsid w:val="00475F98"/>
    <w:rsid w:val="00476276"/>
    <w:rsid w:val="004763CD"/>
    <w:rsid w:val="004765EB"/>
    <w:rsid w:val="00476650"/>
    <w:rsid w:val="00476949"/>
    <w:rsid w:val="004769ED"/>
    <w:rsid w:val="00476EDD"/>
    <w:rsid w:val="00477181"/>
    <w:rsid w:val="00477437"/>
    <w:rsid w:val="0047754D"/>
    <w:rsid w:val="00477E5D"/>
    <w:rsid w:val="00477EA6"/>
    <w:rsid w:val="0048007B"/>
    <w:rsid w:val="004800BE"/>
    <w:rsid w:val="00480172"/>
    <w:rsid w:val="00480282"/>
    <w:rsid w:val="004803DC"/>
    <w:rsid w:val="00480519"/>
    <w:rsid w:val="00480738"/>
    <w:rsid w:val="00480E91"/>
    <w:rsid w:val="004810E5"/>
    <w:rsid w:val="00481789"/>
    <w:rsid w:val="00481938"/>
    <w:rsid w:val="00481AB5"/>
    <w:rsid w:val="00481BC9"/>
    <w:rsid w:val="00481CA0"/>
    <w:rsid w:val="00482601"/>
    <w:rsid w:val="0048280E"/>
    <w:rsid w:val="004828A8"/>
    <w:rsid w:val="0048294B"/>
    <w:rsid w:val="004829CA"/>
    <w:rsid w:val="00482B92"/>
    <w:rsid w:val="00482BEF"/>
    <w:rsid w:val="00482D08"/>
    <w:rsid w:val="00483136"/>
    <w:rsid w:val="00483198"/>
    <w:rsid w:val="004831EE"/>
    <w:rsid w:val="004833E5"/>
    <w:rsid w:val="00483403"/>
    <w:rsid w:val="004835CC"/>
    <w:rsid w:val="00483674"/>
    <w:rsid w:val="00483ADC"/>
    <w:rsid w:val="00483EB7"/>
    <w:rsid w:val="00484598"/>
    <w:rsid w:val="00484B6C"/>
    <w:rsid w:val="00484B91"/>
    <w:rsid w:val="004854A6"/>
    <w:rsid w:val="0048557B"/>
    <w:rsid w:val="004856EA"/>
    <w:rsid w:val="0048596A"/>
    <w:rsid w:val="00485BC3"/>
    <w:rsid w:val="004860D2"/>
    <w:rsid w:val="00486437"/>
    <w:rsid w:val="004864CF"/>
    <w:rsid w:val="004867FE"/>
    <w:rsid w:val="00486AC7"/>
    <w:rsid w:val="00486EA3"/>
    <w:rsid w:val="00486ED2"/>
    <w:rsid w:val="0048719C"/>
    <w:rsid w:val="00487480"/>
    <w:rsid w:val="00487E74"/>
    <w:rsid w:val="00487FD9"/>
    <w:rsid w:val="00490479"/>
    <w:rsid w:val="004908BA"/>
    <w:rsid w:val="004908CB"/>
    <w:rsid w:val="0049097A"/>
    <w:rsid w:val="00490AC5"/>
    <w:rsid w:val="0049140E"/>
    <w:rsid w:val="004917E7"/>
    <w:rsid w:val="0049195B"/>
    <w:rsid w:val="0049195E"/>
    <w:rsid w:val="00491CD0"/>
    <w:rsid w:val="00491E8A"/>
    <w:rsid w:val="00491EDC"/>
    <w:rsid w:val="00492B03"/>
    <w:rsid w:val="004930CA"/>
    <w:rsid w:val="00493326"/>
    <w:rsid w:val="00493649"/>
    <w:rsid w:val="00493CEE"/>
    <w:rsid w:val="00493E20"/>
    <w:rsid w:val="004940EF"/>
    <w:rsid w:val="0049427E"/>
    <w:rsid w:val="004943C2"/>
    <w:rsid w:val="0049475D"/>
    <w:rsid w:val="0049480B"/>
    <w:rsid w:val="00494C38"/>
    <w:rsid w:val="00495100"/>
    <w:rsid w:val="004955BF"/>
    <w:rsid w:val="004955C6"/>
    <w:rsid w:val="004955E4"/>
    <w:rsid w:val="004958F0"/>
    <w:rsid w:val="004959A5"/>
    <w:rsid w:val="0049602F"/>
    <w:rsid w:val="00496070"/>
    <w:rsid w:val="0049624D"/>
    <w:rsid w:val="004962E4"/>
    <w:rsid w:val="0049677D"/>
    <w:rsid w:val="004967D1"/>
    <w:rsid w:val="00496CE6"/>
    <w:rsid w:val="00496FB0"/>
    <w:rsid w:val="004971D4"/>
    <w:rsid w:val="00497237"/>
    <w:rsid w:val="0049774E"/>
    <w:rsid w:val="00497E88"/>
    <w:rsid w:val="00497EC0"/>
    <w:rsid w:val="004A0295"/>
    <w:rsid w:val="004A0435"/>
    <w:rsid w:val="004A050F"/>
    <w:rsid w:val="004A071D"/>
    <w:rsid w:val="004A0B6D"/>
    <w:rsid w:val="004A0BBB"/>
    <w:rsid w:val="004A0DB9"/>
    <w:rsid w:val="004A0DC5"/>
    <w:rsid w:val="004A1328"/>
    <w:rsid w:val="004A13FC"/>
    <w:rsid w:val="004A171A"/>
    <w:rsid w:val="004A1B33"/>
    <w:rsid w:val="004A1EF2"/>
    <w:rsid w:val="004A259F"/>
    <w:rsid w:val="004A27A3"/>
    <w:rsid w:val="004A3115"/>
    <w:rsid w:val="004A333E"/>
    <w:rsid w:val="004A3674"/>
    <w:rsid w:val="004A3877"/>
    <w:rsid w:val="004A3D66"/>
    <w:rsid w:val="004A406F"/>
    <w:rsid w:val="004A428D"/>
    <w:rsid w:val="004A42A3"/>
    <w:rsid w:val="004A45BF"/>
    <w:rsid w:val="004A478F"/>
    <w:rsid w:val="004A484E"/>
    <w:rsid w:val="004A4DE0"/>
    <w:rsid w:val="004A5062"/>
    <w:rsid w:val="004A599A"/>
    <w:rsid w:val="004A5AFF"/>
    <w:rsid w:val="004A5BA3"/>
    <w:rsid w:val="004A6071"/>
    <w:rsid w:val="004A609D"/>
    <w:rsid w:val="004A625B"/>
    <w:rsid w:val="004A6288"/>
    <w:rsid w:val="004A6432"/>
    <w:rsid w:val="004A64C6"/>
    <w:rsid w:val="004A67C7"/>
    <w:rsid w:val="004A6A67"/>
    <w:rsid w:val="004A6ADF"/>
    <w:rsid w:val="004A6BAB"/>
    <w:rsid w:val="004A6F1E"/>
    <w:rsid w:val="004A6FA4"/>
    <w:rsid w:val="004A709E"/>
    <w:rsid w:val="004A710E"/>
    <w:rsid w:val="004A76D7"/>
    <w:rsid w:val="004A7717"/>
    <w:rsid w:val="004A774E"/>
    <w:rsid w:val="004A7AC4"/>
    <w:rsid w:val="004A7C33"/>
    <w:rsid w:val="004B00E3"/>
    <w:rsid w:val="004B042E"/>
    <w:rsid w:val="004B0806"/>
    <w:rsid w:val="004B0CCA"/>
    <w:rsid w:val="004B152D"/>
    <w:rsid w:val="004B154E"/>
    <w:rsid w:val="004B1796"/>
    <w:rsid w:val="004B1896"/>
    <w:rsid w:val="004B193A"/>
    <w:rsid w:val="004B1B3D"/>
    <w:rsid w:val="004B1D11"/>
    <w:rsid w:val="004B1D53"/>
    <w:rsid w:val="004B1F17"/>
    <w:rsid w:val="004B208D"/>
    <w:rsid w:val="004B241D"/>
    <w:rsid w:val="004B2475"/>
    <w:rsid w:val="004B2A20"/>
    <w:rsid w:val="004B2AAA"/>
    <w:rsid w:val="004B3A0C"/>
    <w:rsid w:val="004B3C9D"/>
    <w:rsid w:val="004B3F2B"/>
    <w:rsid w:val="004B44D0"/>
    <w:rsid w:val="004B4829"/>
    <w:rsid w:val="004B4B49"/>
    <w:rsid w:val="004B4CB4"/>
    <w:rsid w:val="004B5268"/>
    <w:rsid w:val="004B5471"/>
    <w:rsid w:val="004B55C0"/>
    <w:rsid w:val="004B573B"/>
    <w:rsid w:val="004B5B97"/>
    <w:rsid w:val="004B5B9D"/>
    <w:rsid w:val="004B5F6F"/>
    <w:rsid w:val="004B5FB8"/>
    <w:rsid w:val="004B692F"/>
    <w:rsid w:val="004B6A39"/>
    <w:rsid w:val="004B6CD9"/>
    <w:rsid w:val="004B6DEA"/>
    <w:rsid w:val="004B726F"/>
    <w:rsid w:val="004B74AC"/>
    <w:rsid w:val="004B7889"/>
    <w:rsid w:val="004B7BEC"/>
    <w:rsid w:val="004C018B"/>
    <w:rsid w:val="004C029D"/>
    <w:rsid w:val="004C0355"/>
    <w:rsid w:val="004C0412"/>
    <w:rsid w:val="004C0634"/>
    <w:rsid w:val="004C06C9"/>
    <w:rsid w:val="004C09B9"/>
    <w:rsid w:val="004C0B70"/>
    <w:rsid w:val="004C0F88"/>
    <w:rsid w:val="004C0FE7"/>
    <w:rsid w:val="004C109E"/>
    <w:rsid w:val="004C1346"/>
    <w:rsid w:val="004C18AF"/>
    <w:rsid w:val="004C1936"/>
    <w:rsid w:val="004C1B91"/>
    <w:rsid w:val="004C1E60"/>
    <w:rsid w:val="004C22CC"/>
    <w:rsid w:val="004C22E2"/>
    <w:rsid w:val="004C247E"/>
    <w:rsid w:val="004C256F"/>
    <w:rsid w:val="004C2C79"/>
    <w:rsid w:val="004C3118"/>
    <w:rsid w:val="004C3132"/>
    <w:rsid w:val="004C3319"/>
    <w:rsid w:val="004C3677"/>
    <w:rsid w:val="004C394A"/>
    <w:rsid w:val="004C3B98"/>
    <w:rsid w:val="004C3F9E"/>
    <w:rsid w:val="004C401D"/>
    <w:rsid w:val="004C4237"/>
    <w:rsid w:val="004C4A20"/>
    <w:rsid w:val="004C4B35"/>
    <w:rsid w:val="004C5117"/>
    <w:rsid w:val="004C562F"/>
    <w:rsid w:val="004C57D3"/>
    <w:rsid w:val="004C5AC1"/>
    <w:rsid w:val="004C5E41"/>
    <w:rsid w:val="004C5F0D"/>
    <w:rsid w:val="004C6141"/>
    <w:rsid w:val="004C6394"/>
    <w:rsid w:val="004C6837"/>
    <w:rsid w:val="004C686D"/>
    <w:rsid w:val="004C6E1A"/>
    <w:rsid w:val="004C7089"/>
    <w:rsid w:val="004C7277"/>
    <w:rsid w:val="004C749A"/>
    <w:rsid w:val="004C7656"/>
    <w:rsid w:val="004C79EE"/>
    <w:rsid w:val="004C7F80"/>
    <w:rsid w:val="004D0392"/>
    <w:rsid w:val="004D039D"/>
    <w:rsid w:val="004D0539"/>
    <w:rsid w:val="004D06ED"/>
    <w:rsid w:val="004D0B1B"/>
    <w:rsid w:val="004D0D58"/>
    <w:rsid w:val="004D0F82"/>
    <w:rsid w:val="004D11A7"/>
    <w:rsid w:val="004D12CA"/>
    <w:rsid w:val="004D13C5"/>
    <w:rsid w:val="004D1536"/>
    <w:rsid w:val="004D15BF"/>
    <w:rsid w:val="004D1D19"/>
    <w:rsid w:val="004D213D"/>
    <w:rsid w:val="004D21D1"/>
    <w:rsid w:val="004D2385"/>
    <w:rsid w:val="004D25FC"/>
    <w:rsid w:val="004D29AE"/>
    <w:rsid w:val="004D2AE4"/>
    <w:rsid w:val="004D2AE6"/>
    <w:rsid w:val="004D2D73"/>
    <w:rsid w:val="004D3114"/>
    <w:rsid w:val="004D34DE"/>
    <w:rsid w:val="004D38FF"/>
    <w:rsid w:val="004D3B37"/>
    <w:rsid w:val="004D4DAA"/>
    <w:rsid w:val="004D4E9F"/>
    <w:rsid w:val="004D5188"/>
    <w:rsid w:val="004D5CA8"/>
    <w:rsid w:val="004D5CDD"/>
    <w:rsid w:val="004D6016"/>
    <w:rsid w:val="004D6236"/>
    <w:rsid w:val="004D62A6"/>
    <w:rsid w:val="004D6381"/>
    <w:rsid w:val="004D6394"/>
    <w:rsid w:val="004D67FD"/>
    <w:rsid w:val="004D6B22"/>
    <w:rsid w:val="004D6F61"/>
    <w:rsid w:val="004D7169"/>
    <w:rsid w:val="004D74AE"/>
    <w:rsid w:val="004D7B2B"/>
    <w:rsid w:val="004D7C42"/>
    <w:rsid w:val="004D7C6A"/>
    <w:rsid w:val="004D7FED"/>
    <w:rsid w:val="004E0036"/>
    <w:rsid w:val="004E00BC"/>
    <w:rsid w:val="004E0636"/>
    <w:rsid w:val="004E067F"/>
    <w:rsid w:val="004E08D4"/>
    <w:rsid w:val="004E143C"/>
    <w:rsid w:val="004E14EB"/>
    <w:rsid w:val="004E1988"/>
    <w:rsid w:val="004E1DCC"/>
    <w:rsid w:val="004E25C3"/>
    <w:rsid w:val="004E2B51"/>
    <w:rsid w:val="004E30FD"/>
    <w:rsid w:val="004E34F6"/>
    <w:rsid w:val="004E3672"/>
    <w:rsid w:val="004E3AE0"/>
    <w:rsid w:val="004E3B26"/>
    <w:rsid w:val="004E4183"/>
    <w:rsid w:val="004E43DE"/>
    <w:rsid w:val="004E46C9"/>
    <w:rsid w:val="004E4719"/>
    <w:rsid w:val="004E4D07"/>
    <w:rsid w:val="004E4DE4"/>
    <w:rsid w:val="004E517C"/>
    <w:rsid w:val="004E51A7"/>
    <w:rsid w:val="004E54EB"/>
    <w:rsid w:val="004E561C"/>
    <w:rsid w:val="004E5671"/>
    <w:rsid w:val="004E5AC7"/>
    <w:rsid w:val="004E5D97"/>
    <w:rsid w:val="004E5ECB"/>
    <w:rsid w:val="004E62B6"/>
    <w:rsid w:val="004E6377"/>
    <w:rsid w:val="004E68F7"/>
    <w:rsid w:val="004E69C5"/>
    <w:rsid w:val="004E6C18"/>
    <w:rsid w:val="004E6E5C"/>
    <w:rsid w:val="004E713B"/>
    <w:rsid w:val="004E7493"/>
    <w:rsid w:val="004E74B7"/>
    <w:rsid w:val="004E7924"/>
    <w:rsid w:val="004E7D98"/>
    <w:rsid w:val="004E7FAF"/>
    <w:rsid w:val="004F0048"/>
    <w:rsid w:val="004F0161"/>
    <w:rsid w:val="004F0978"/>
    <w:rsid w:val="004F0B75"/>
    <w:rsid w:val="004F133E"/>
    <w:rsid w:val="004F2B69"/>
    <w:rsid w:val="004F2BB8"/>
    <w:rsid w:val="004F2D24"/>
    <w:rsid w:val="004F2D55"/>
    <w:rsid w:val="004F2EB4"/>
    <w:rsid w:val="004F37B8"/>
    <w:rsid w:val="004F382F"/>
    <w:rsid w:val="004F3C7F"/>
    <w:rsid w:val="004F40FE"/>
    <w:rsid w:val="004F4169"/>
    <w:rsid w:val="004F42F6"/>
    <w:rsid w:val="004F4843"/>
    <w:rsid w:val="004F4B7A"/>
    <w:rsid w:val="004F4CD7"/>
    <w:rsid w:val="004F50CE"/>
    <w:rsid w:val="004F5518"/>
    <w:rsid w:val="004F5627"/>
    <w:rsid w:val="004F571F"/>
    <w:rsid w:val="004F5748"/>
    <w:rsid w:val="004F5D9E"/>
    <w:rsid w:val="004F5EF9"/>
    <w:rsid w:val="004F5FA5"/>
    <w:rsid w:val="004F6052"/>
    <w:rsid w:val="004F681D"/>
    <w:rsid w:val="004F68DC"/>
    <w:rsid w:val="004F75D4"/>
    <w:rsid w:val="004F760B"/>
    <w:rsid w:val="004F7893"/>
    <w:rsid w:val="004F7AF5"/>
    <w:rsid w:val="004F7CA2"/>
    <w:rsid w:val="004F7D18"/>
    <w:rsid w:val="00500298"/>
    <w:rsid w:val="00500822"/>
    <w:rsid w:val="00500D45"/>
    <w:rsid w:val="0050115E"/>
    <w:rsid w:val="00501994"/>
    <w:rsid w:val="00501A37"/>
    <w:rsid w:val="00501D52"/>
    <w:rsid w:val="00501D96"/>
    <w:rsid w:val="00501F5C"/>
    <w:rsid w:val="00502054"/>
    <w:rsid w:val="00502060"/>
    <w:rsid w:val="005020D2"/>
    <w:rsid w:val="005020D3"/>
    <w:rsid w:val="00502251"/>
    <w:rsid w:val="00502628"/>
    <w:rsid w:val="005028D5"/>
    <w:rsid w:val="00502D2B"/>
    <w:rsid w:val="00502E0C"/>
    <w:rsid w:val="00502FAD"/>
    <w:rsid w:val="00503696"/>
    <w:rsid w:val="00503BFE"/>
    <w:rsid w:val="00503C7D"/>
    <w:rsid w:val="00503D3F"/>
    <w:rsid w:val="00503DAA"/>
    <w:rsid w:val="005040BA"/>
    <w:rsid w:val="005043A0"/>
    <w:rsid w:val="00504423"/>
    <w:rsid w:val="005045E2"/>
    <w:rsid w:val="005047D1"/>
    <w:rsid w:val="00504C11"/>
    <w:rsid w:val="00504E19"/>
    <w:rsid w:val="00504E28"/>
    <w:rsid w:val="005053A9"/>
    <w:rsid w:val="005056E2"/>
    <w:rsid w:val="0050582C"/>
    <w:rsid w:val="005059A5"/>
    <w:rsid w:val="00505B86"/>
    <w:rsid w:val="00505C27"/>
    <w:rsid w:val="00505EB2"/>
    <w:rsid w:val="0050609E"/>
    <w:rsid w:val="0050619E"/>
    <w:rsid w:val="00506888"/>
    <w:rsid w:val="005069AE"/>
    <w:rsid w:val="005069B2"/>
    <w:rsid w:val="00506B84"/>
    <w:rsid w:val="00506C26"/>
    <w:rsid w:val="00506C5E"/>
    <w:rsid w:val="00506F19"/>
    <w:rsid w:val="0050708B"/>
    <w:rsid w:val="005072A9"/>
    <w:rsid w:val="00507640"/>
    <w:rsid w:val="00507ADC"/>
    <w:rsid w:val="00507C96"/>
    <w:rsid w:val="00507E55"/>
    <w:rsid w:val="0051042D"/>
    <w:rsid w:val="00510528"/>
    <w:rsid w:val="00510701"/>
    <w:rsid w:val="00510756"/>
    <w:rsid w:val="00511188"/>
    <w:rsid w:val="00511583"/>
    <w:rsid w:val="0051158C"/>
    <w:rsid w:val="00511C10"/>
    <w:rsid w:val="00511CF1"/>
    <w:rsid w:val="0051202B"/>
    <w:rsid w:val="00512085"/>
    <w:rsid w:val="0051218D"/>
    <w:rsid w:val="005121C2"/>
    <w:rsid w:val="005121EC"/>
    <w:rsid w:val="00512332"/>
    <w:rsid w:val="0051258C"/>
    <w:rsid w:val="00512BB7"/>
    <w:rsid w:val="00512F43"/>
    <w:rsid w:val="00513069"/>
    <w:rsid w:val="00513397"/>
    <w:rsid w:val="005138AE"/>
    <w:rsid w:val="00513A79"/>
    <w:rsid w:val="00513B1F"/>
    <w:rsid w:val="00513E35"/>
    <w:rsid w:val="00514217"/>
    <w:rsid w:val="0051436D"/>
    <w:rsid w:val="005147C8"/>
    <w:rsid w:val="00514C64"/>
    <w:rsid w:val="00514C80"/>
    <w:rsid w:val="0051507D"/>
    <w:rsid w:val="00515B9E"/>
    <w:rsid w:val="00515CB5"/>
    <w:rsid w:val="005169E5"/>
    <w:rsid w:val="00516B27"/>
    <w:rsid w:val="00516BDF"/>
    <w:rsid w:val="00516CA0"/>
    <w:rsid w:val="005170AE"/>
    <w:rsid w:val="0051725C"/>
    <w:rsid w:val="00517293"/>
    <w:rsid w:val="0051750B"/>
    <w:rsid w:val="005176B0"/>
    <w:rsid w:val="0051781D"/>
    <w:rsid w:val="00517EE1"/>
    <w:rsid w:val="00520424"/>
    <w:rsid w:val="00520639"/>
    <w:rsid w:val="0052079F"/>
    <w:rsid w:val="005209A0"/>
    <w:rsid w:val="00520B31"/>
    <w:rsid w:val="00520B49"/>
    <w:rsid w:val="00520CD4"/>
    <w:rsid w:val="00520E58"/>
    <w:rsid w:val="00520EDC"/>
    <w:rsid w:val="005210B9"/>
    <w:rsid w:val="0052158F"/>
    <w:rsid w:val="00521647"/>
    <w:rsid w:val="00521A1E"/>
    <w:rsid w:val="005221AC"/>
    <w:rsid w:val="00522376"/>
    <w:rsid w:val="00522458"/>
    <w:rsid w:val="00522739"/>
    <w:rsid w:val="005227C4"/>
    <w:rsid w:val="00522926"/>
    <w:rsid w:val="00522989"/>
    <w:rsid w:val="00522A81"/>
    <w:rsid w:val="00522B82"/>
    <w:rsid w:val="00522F96"/>
    <w:rsid w:val="00523061"/>
    <w:rsid w:val="00523325"/>
    <w:rsid w:val="005234F8"/>
    <w:rsid w:val="00523EFD"/>
    <w:rsid w:val="00524076"/>
    <w:rsid w:val="0052436E"/>
    <w:rsid w:val="00524394"/>
    <w:rsid w:val="005243F9"/>
    <w:rsid w:val="005248EB"/>
    <w:rsid w:val="00524F55"/>
    <w:rsid w:val="00524F88"/>
    <w:rsid w:val="005251D9"/>
    <w:rsid w:val="00525674"/>
    <w:rsid w:val="005256F5"/>
    <w:rsid w:val="00525894"/>
    <w:rsid w:val="005259E8"/>
    <w:rsid w:val="00525BE0"/>
    <w:rsid w:val="00525CF9"/>
    <w:rsid w:val="00526027"/>
    <w:rsid w:val="0052604D"/>
    <w:rsid w:val="00526065"/>
    <w:rsid w:val="0052657F"/>
    <w:rsid w:val="005267BF"/>
    <w:rsid w:val="00526946"/>
    <w:rsid w:val="005269F3"/>
    <w:rsid w:val="00527509"/>
    <w:rsid w:val="005279B1"/>
    <w:rsid w:val="00527A8E"/>
    <w:rsid w:val="00527DA8"/>
    <w:rsid w:val="00530201"/>
    <w:rsid w:val="005302DA"/>
    <w:rsid w:val="005304C9"/>
    <w:rsid w:val="005304DE"/>
    <w:rsid w:val="005305F5"/>
    <w:rsid w:val="0053078C"/>
    <w:rsid w:val="00530A69"/>
    <w:rsid w:val="00530B47"/>
    <w:rsid w:val="00530C48"/>
    <w:rsid w:val="00530FF0"/>
    <w:rsid w:val="0053107F"/>
    <w:rsid w:val="005317E9"/>
    <w:rsid w:val="00531B9A"/>
    <w:rsid w:val="00531C09"/>
    <w:rsid w:val="0053227A"/>
    <w:rsid w:val="005324D3"/>
    <w:rsid w:val="00532820"/>
    <w:rsid w:val="005329F1"/>
    <w:rsid w:val="00532F84"/>
    <w:rsid w:val="0053304C"/>
    <w:rsid w:val="005332F2"/>
    <w:rsid w:val="00533672"/>
    <w:rsid w:val="005339B5"/>
    <w:rsid w:val="00533A31"/>
    <w:rsid w:val="00533D7B"/>
    <w:rsid w:val="00533D96"/>
    <w:rsid w:val="0053442A"/>
    <w:rsid w:val="0053443D"/>
    <w:rsid w:val="0053455E"/>
    <w:rsid w:val="00534646"/>
    <w:rsid w:val="00534775"/>
    <w:rsid w:val="005347CE"/>
    <w:rsid w:val="00534888"/>
    <w:rsid w:val="005348D6"/>
    <w:rsid w:val="005349DA"/>
    <w:rsid w:val="00534A02"/>
    <w:rsid w:val="00534BF8"/>
    <w:rsid w:val="00534F97"/>
    <w:rsid w:val="00535265"/>
    <w:rsid w:val="005353DB"/>
    <w:rsid w:val="00535533"/>
    <w:rsid w:val="005355E7"/>
    <w:rsid w:val="0053560C"/>
    <w:rsid w:val="005358A1"/>
    <w:rsid w:val="00535C16"/>
    <w:rsid w:val="00535DEB"/>
    <w:rsid w:val="00536165"/>
    <w:rsid w:val="00536288"/>
    <w:rsid w:val="005362CC"/>
    <w:rsid w:val="005367D5"/>
    <w:rsid w:val="00536836"/>
    <w:rsid w:val="00536B2A"/>
    <w:rsid w:val="00536B87"/>
    <w:rsid w:val="00536C4D"/>
    <w:rsid w:val="00536C72"/>
    <w:rsid w:val="00536E40"/>
    <w:rsid w:val="00536E7C"/>
    <w:rsid w:val="00536F6F"/>
    <w:rsid w:val="00537011"/>
    <w:rsid w:val="005370E3"/>
    <w:rsid w:val="005372BF"/>
    <w:rsid w:val="0053739D"/>
    <w:rsid w:val="005376BE"/>
    <w:rsid w:val="0053796E"/>
    <w:rsid w:val="00537A19"/>
    <w:rsid w:val="00537CFB"/>
    <w:rsid w:val="005400FD"/>
    <w:rsid w:val="005401A0"/>
    <w:rsid w:val="00540864"/>
    <w:rsid w:val="00540902"/>
    <w:rsid w:val="00540D34"/>
    <w:rsid w:val="00540D61"/>
    <w:rsid w:val="00540D89"/>
    <w:rsid w:val="00541177"/>
    <w:rsid w:val="005411E7"/>
    <w:rsid w:val="00541B1C"/>
    <w:rsid w:val="00541BE2"/>
    <w:rsid w:val="00541DC6"/>
    <w:rsid w:val="00541EDE"/>
    <w:rsid w:val="00542121"/>
    <w:rsid w:val="005421BE"/>
    <w:rsid w:val="00542240"/>
    <w:rsid w:val="00542354"/>
    <w:rsid w:val="0054235F"/>
    <w:rsid w:val="005423EF"/>
    <w:rsid w:val="00542950"/>
    <w:rsid w:val="00542973"/>
    <w:rsid w:val="005429AF"/>
    <w:rsid w:val="00543160"/>
    <w:rsid w:val="005431B1"/>
    <w:rsid w:val="0054324A"/>
    <w:rsid w:val="00543C03"/>
    <w:rsid w:val="00543C57"/>
    <w:rsid w:val="00544240"/>
    <w:rsid w:val="0054455F"/>
    <w:rsid w:val="00544815"/>
    <w:rsid w:val="00544A4E"/>
    <w:rsid w:val="00544E61"/>
    <w:rsid w:val="0054508B"/>
    <w:rsid w:val="005450AA"/>
    <w:rsid w:val="0054567D"/>
    <w:rsid w:val="005457CE"/>
    <w:rsid w:val="00545B16"/>
    <w:rsid w:val="00545B62"/>
    <w:rsid w:val="00545B89"/>
    <w:rsid w:val="00545DD3"/>
    <w:rsid w:val="0054621E"/>
    <w:rsid w:val="0054638C"/>
    <w:rsid w:val="00546857"/>
    <w:rsid w:val="005469FF"/>
    <w:rsid w:val="00546C2D"/>
    <w:rsid w:val="00546CDA"/>
    <w:rsid w:val="00546EF9"/>
    <w:rsid w:val="00546F3A"/>
    <w:rsid w:val="00547037"/>
    <w:rsid w:val="00547124"/>
    <w:rsid w:val="005471E7"/>
    <w:rsid w:val="0054720D"/>
    <w:rsid w:val="00547346"/>
    <w:rsid w:val="00547390"/>
    <w:rsid w:val="005477C9"/>
    <w:rsid w:val="00547CD4"/>
    <w:rsid w:val="00547D48"/>
    <w:rsid w:val="00547ED3"/>
    <w:rsid w:val="0055006D"/>
    <w:rsid w:val="005501DB"/>
    <w:rsid w:val="00550262"/>
    <w:rsid w:val="005503E5"/>
    <w:rsid w:val="00550813"/>
    <w:rsid w:val="00550B7F"/>
    <w:rsid w:val="00550D2F"/>
    <w:rsid w:val="00551059"/>
    <w:rsid w:val="00551681"/>
    <w:rsid w:val="005518B0"/>
    <w:rsid w:val="00551DFA"/>
    <w:rsid w:val="00552148"/>
    <w:rsid w:val="0055237B"/>
    <w:rsid w:val="005523BA"/>
    <w:rsid w:val="0055262B"/>
    <w:rsid w:val="00552AAE"/>
    <w:rsid w:val="00552F68"/>
    <w:rsid w:val="00553639"/>
    <w:rsid w:val="00553726"/>
    <w:rsid w:val="00553AF5"/>
    <w:rsid w:val="00553B4E"/>
    <w:rsid w:val="00553EF6"/>
    <w:rsid w:val="00554435"/>
    <w:rsid w:val="0055448C"/>
    <w:rsid w:val="0055451C"/>
    <w:rsid w:val="0055453C"/>
    <w:rsid w:val="005549E8"/>
    <w:rsid w:val="00554A8F"/>
    <w:rsid w:val="00554C95"/>
    <w:rsid w:val="00554CF4"/>
    <w:rsid w:val="0055507C"/>
    <w:rsid w:val="005557EE"/>
    <w:rsid w:val="00555868"/>
    <w:rsid w:val="00555967"/>
    <w:rsid w:val="00555CF4"/>
    <w:rsid w:val="00556010"/>
    <w:rsid w:val="00556329"/>
    <w:rsid w:val="0055662B"/>
    <w:rsid w:val="0055673D"/>
    <w:rsid w:val="0055693E"/>
    <w:rsid w:val="00556AFD"/>
    <w:rsid w:val="0055710C"/>
    <w:rsid w:val="0055724D"/>
    <w:rsid w:val="00557D13"/>
    <w:rsid w:val="00557FC2"/>
    <w:rsid w:val="00560142"/>
    <w:rsid w:val="00560667"/>
    <w:rsid w:val="005607D8"/>
    <w:rsid w:val="00560849"/>
    <w:rsid w:val="00560E7F"/>
    <w:rsid w:val="00561605"/>
    <w:rsid w:val="00561807"/>
    <w:rsid w:val="0056193E"/>
    <w:rsid w:val="00561B12"/>
    <w:rsid w:val="00561C12"/>
    <w:rsid w:val="00561DF8"/>
    <w:rsid w:val="005621A0"/>
    <w:rsid w:val="005622D0"/>
    <w:rsid w:val="0056241C"/>
    <w:rsid w:val="005627CD"/>
    <w:rsid w:val="00562910"/>
    <w:rsid w:val="005629B9"/>
    <w:rsid w:val="00562DEF"/>
    <w:rsid w:val="00562E6A"/>
    <w:rsid w:val="005637FA"/>
    <w:rsid w:val="005638CF"/>
    <w:rsid w:val="00563A22"/>
    <w:rsid w:val="00563A4E"/>
    <w:rsid w:val="00563AC4"/>
    <w:rsid w:val="00563D51"/>
    <w:rsid w:val="0056444A"/>
    <w:rsid w:val="005644CA"/>
    <w:rsid w:val="00564799"/>
    <w:rsid w:val="005648BF"/>
    <w:rsid w:val="00564B61"/>
    <w:rsid w:val="00565647"/>
    <w:rsid w:val="005658BC"/>
    <w:rsid w:val="005658D6"/>
    <w:rsid w:val="00565B13"/>
    <w:rsid w:val="00565DD4"/>
    <w:rsid w:val="00565F75"/>
    <w:rsid w:val="005660D0"/>
    <w:rsid w:val="00566174"/>
    <w:rsid w:val="00566319"/>
    <w:rsid w:val="005664B5"/>
    <w:rsid w:val="00566534"/>
    <w:rsid w:val="005666E5"/>
    <w:rsid w:val="0056694C"/>
    <w:rsid w:val="00566BD7"/>
    <w:rsid w:val="005676A5"/>
    <w:rsid w:val="00567AE1"/>
    <w:rsid w:val="00567C69"/>
    <w:rsid w:val="00567EF4"/>
    <w:rsid w:val="005702D1"/>
    <w:rsid w:val="0057033F"/>
    <w:rsid w:val="00570620"/>
    <w:rsid w:val="00570691"/>
    <w:rsid w:val="00570AE4"/>
    <w:rsid w:val="00570DA1"/>
    <w:rsid w:val="00570DE2"/>
    <w:rsid w:val="00571270"/>
    <w:rsid w:val="005713A0"/>
    <w:rsid w:val="005713F7"/>
    <w:rsid w:val="0057143B"/>
    <w:rsid w:val="00571443"/>
    <w:rsid w:val="00571A2C"/>
    <w:rsid w:val="00571A3F"/>
    <w:rsid w:val="00571C02"/>
    <w:rsid w:val="00571D7C"/>
    <w:rsid w:val="005722B3"/>
    <w:rsid w:val="005724BF"/>
    <w:rsid w:val="00572740"/>
    <w:rsid w:val="00572788"/>
    <w:rsid w:val="0057296E"/>
    <w:rsid w:val="00572DCF"/>
    <w:rsid w:val="00573175"/>
    <w:rsid w:val="00573716"/>
    <w:rsid w:val="00573917"/>
    <w:rsid w:val="005739EB"/>
    <w:rsid w:val="00573BD4"/>
    <w:rsid w:val="00573C5D"/>
    <w:rsid w:val="005744D7"/>
    <w:rsid w:val="00574A83"/>
    <w:rsid w:val="005750D1"/>
    <w:rsid w:val="005755B1"/>
    <w:rsid w:val="00575975"/>
    <w:rsid w:val="00575CBE"/>
    <w:rsid w:val="00575D3A"/>
    <w:rsid w:val="00575FF8"/>
    <w:rsid w:val="005761A6"/>
    <w:rsid w:val="0057655F"/>
    <w:rsid w:val="0057678D"/>
    <w:rsid w:val="005773D3"/>
    <w:rsid w:val="00577531"/>
    <w:rsid w:val="005778B9"/>
    <w:rsid w:val="00577ADC"/>
    <w:rsid w:val="00580042"/>
    <w:rsid w:val="005801F6"/>
    <w:rsid w:val="00580E9A"/>
    <w:rsid w:val="00581031"/>
    <w:rsid w:val="00581156"/>
    <w:rsid w:val="005811A3"/>
    <w:rsid w:val="0058124B"/>
    <w:rsid w:val="0058153A"/>
    <w:rsid w:val="005815CE"/>
    <w:rsid w:val="00581637"/>
    <w:rsid w:val="0058167C"/>
    <w:rsid w:val="00582087"/>
    <w:rsid w:val="00582ACA"/>
    <w:rsid w:val="00582BD0"/>
    <w:rsid w:val="00582D09"/>
    <w:rsid w:val="00583083"/>
    <w:rsid w:val="0058316C"/>
    <w:rsid w:val="0058336A"/>
    <w:rsid w:val="005834FE"/>
    <w:rsid w:val="00583504"/>
    <w:rsid w:val="0058367E"/>
    <w:rsid w:val="00583B82"/>
    <w:rsid w:val="00583E7B"/>
    <w:rsid w:val="00583E95"/>
    <w:rsid w:val="00583FA9"/>
    <w:rsid w:val="00583FF4"/>
    <w:rsid w:val="0058403D"/>
    <w:rsid w:val="00584086"/>
    <w:rsid w:val="00584260"/>
    <w:rsid w:val="00584712"/>
    <w:rsid w:val="0058520D"/>
    <w:rsid w:val="0058576F"/>
    <w:rsid w:val="005858CF"/>
    <w:rsid w:val="00585A52"/>
    <w:rsid w:val="00585B05"/>
    <w:rsid w:val="00586586"/>
    <w:rsid w:val="00586C3F"/>
    <w:rsid w:val="00586CFA"/>
    <w:rsid w:val="00586E1C"/>
    <w:rsid w:val="005871C8"/>
    <w:rsid w:val="005871DD"/>
    <w:rsid w:val="0058723F"/>
    <w:rsid w:val="005872A4"/>
    <w:rsid w:val="005872AB"/>
    <w:rsid w:val="00587376"/>
    <w:rsid w:val="005873EE"/>
    <w:rsid w:val="0058748F"/>
    <w:rsid w:val="00587797"/>
    <w:rsid w:val="00587BC1"/>
    <w:rsid w:val="005900F2"/>
    <w:rsid w:val="005902FC"/>
    <w:rsid w:val="0059078C"/>
    <w:rsid w:val="00590849"/>
    <w:rsid w:val="005908DF"/>
    <w:rsid w:val="00590A4A"/>
    <w:rsid w:val="00591271"/>
    <w:rsid w:val="00591515"/>
    <w:rsid w:val="005916FD"/>
    <w:rsid w:val="00591982"/>
    <w:rsid w:val="00591ED4"/>
    <w:rsid w:val="00592517"/>
    <w:rsid w:val="00592621"/>
    <w:rsid w:val="00592632"/>
    <w:rsid w:val="0059282F"/>
    <w:rsid w:val="005935C8"/>
    <w:rsid w:val="00593720"/>
    <w:rsid w:val="0059445F"/>
    <w:rsid w:val="0059485B"/>
    <w:rsid w:val="00594BE3"/>
    <w:rsid w:val="005951B7"/>
    <w:rsid w:val="00595360"/>
    <w:rsid w:val="005955E8"/>
    <w:rsid w:val="005955FD"/>
    <w:rsid w:val="00595A04"/>
    <w:rsid w:val="00595E26"/>
    <w:rsid w:val="00596386"/>
    <w:rsid w:val="005968A6"/>
    <w:rsid w:val="00596921"/>
    <w:rsid w:val="00596C3C"/>
    <w:rsid w:val="0059730E"/>
    <w:rsid w:val="00597608"/>
    <w:rsid w:val="00597BA0"/>
    <w:rsid w:val="00597BDB"/>
    <w:rsid w:val="00597E56"/>
    <w:rsid w:val="005A077D"/>
    <w:rsid w:val="005A08D7"/>
    <w:rsid w:val="005A0AE1"/>
    <w:rsid w:val="005A0E40"/>
    <w:rsid w:val="005A19F8"/>
    <w:rsid w:val="005A1A4A"/>
    <w:rsid w:val="005A1CF0"/>
    <w:rsid w:val="005A227E"/>
    <w:rsid w:val="005A2892"/>
    <w:rsid w:val="005A29C9"/>
    <w:rsid w:val="005A2B39"/>
    <w:rsid w:val="005A2B9B"/>
    <w:rsid w:val="005A3559"/>
    <w:rsid w:val="005A35A1"/>
    <w:rsid w:val="005A3A96"/>
    <w:rsid w:val="005A3B24"/>
    <w:rsid w:val="005A486B"/>
    <w:rsid w:val="005A4AEF"/>
    <w:rsid w:val="005A4BF4"/>
    <w:rsid w:val="005A4D1F"/>
    <w:rsid w:val="005A556D"/>
    <w:rsid w:val="005A5618"/>
    <w:rsid w:val="005A57A1"/>
    <w:rsid w:val="005A5805"/>
    <w:rsid w:val="005A5A1C"/>
    <w:rsid w:val="005A5E3E"/>
    <w:rsid w:val="005A5F6C"/>
    <w:rsid w:val="005A5FFE"/>
    <w:rsid w:val="005A6620"/>
    <w:rsid w:val="005A68A3"/>
    <w:rsid w:val="005A6D40"/>
    <w:rsid w:val="005A6D81"/>
    <w:rsid w:val="005A724F"/>
    <w:rsid w:val="005A7368"/>
    <w:rsid w:val="005A7925"/>
    <w:rsid w:val="005A79F1"/>
    <w:rsid w:val="005A7AEE"/>
    <w:rsid w:val="005B0432"/>
    <w:rsid w:val="005B05AD"/>
    <w:rsid w:val="005B07A3"/>
    <w:rsid w:val="005B0930"/>
    <w:rsid w:val="005B0E39"/>
    <w:rsid w:val="005B10A8"/>
    <w:rsid w:val="005B110B"/>
    <w:rsid w:val="005B145B"/>
    <w:rsid w:val="005B14DC"/>
    <w:rsid w:val="005B1604"/>
    <w:rsid w:val="005B165D"/>
    <w:rsid w:val="005B18DB"/>
    <w:rsid w:val="005B23D4"/>
    <w:rsid w:val="005B24FB"/>
    <w:rsid w:val="005B28EB"/>
    <w:rsid w:val="005B2B7C"/>
    <w:rsid w:val="005B2CD0"/>
    <w:rsid w:val="005B3226"/>
    <w:rsid w:val="005B36EA"/>
    <w:rsid w:val="005B3748"/>
    <w:rsid w:val="005B3799"/>
    <w:rsid w:val="005B39C8"/>
    <w:rsid w:val="005B3A55"/>
    <w:rsid w:val="005B444F"/>
    <w:rsid w:val="005B4675"/>
    <w:rsid w:val="005B4774"/>
    <w:rsid w:val="005B488F"/>
    <w:rsid w:val="005B4A12"/>
    <w:rsid w:val="005B4C57"/>
    <w:rsid w:val="005B4C8D"/>
    <w:rsid w:val="005B4E85"/>
    <w:rsid w:val="005B5066"/>
    <w:rsid w:val="005B532E"/>
    <w:rsid w:val="005B5C5A"/>
    <w:rsid w:val="005B5F22"/>
    <w:rsid w:val="005B6961"/>
    <w:rsid w:val="005B69CF"/>
    <w:rsid w:val="005B6E00"/>
    <w:rsid w:val="005B73D5"/>
    <w:rsid w:val="005B7B29"/>
    <w:rsid w:val="005B7DCF"/>
    <w:rsid w:val="005B7E50"/>
    <w:rsid w:val="005B7F76"/>
    <w:rsid w:val="005C0BB8"/>
    <w:rsid w:val="005C0D9E"/>
    <w:rsid w:val="005C0EA3"/>
    <w:rsid w:val="005C1154"/>
    <w:rsid w:val="005C1CB9"/>
    <w:rsid w:val="005C1F72"/>
    <w:rsid w:val="005C2071"/>
    <w:rsid w:val="005C21A4"/>
    <w:rsid w:val="005C25A4"/>
    <w:rsid w:val="005C2C3A"/>
    <w:rsid w:val="005C2EC7"/>
    <w:rsid w:val="005C31FF"/>
    <w:rsid w:val="005C357F"/>
    <w:rsid w:val="005C3880"/>
    <w:rsid w:val="005C39C9"/>
    <w:rsid w:val="005C3B40"/>
    <w:rsid w:val="005C3F2A"/>
    <w:rsid w:val="005C4150"/>
    <w:rsid w:val="005C453E"/>
    <w:rsid w:val="005C468E"/>
    <w:rsid w:val="005C46EA"/>
    <w:rsid w:val="005C48FB"/>
    <w:rsid w:val="005C4C50"/>
    <w:rsid w:val="005C4E40"/>
    <w:rsid w:val="005C5B76"/>
    <w:rsid w:val="005C5D8C"/>
    <w:rsid w:val="005C5DBA"/>
    <w:rsid w:val="005C5EEE"/>
    <w:rsid w:val="005C67D5"/>
    <w:rsid w:val="005C75CD"/>
    <w:rsid w:val="005C79AB"/>
    <w:rsid w:val="005C7B3A"/>
    <w:rsid w:val="005C7C30"/>
    <w:rsid w:val="005C7C41"/>
    <w:rsid w:val="005C7D67"/>
    <w:rsid w:val="005C7F3D"/>
    <w:rsid w:val="005D045A"/>
    <w:rsid w:val="005D0486"/>
    <w:rsid w:val="005D09A1"/>
    <w:rsid w:val="005D0E44"/>
    <w:rsid w:val="005D0E6A"/>
    <w:rsid w:val="005D1103"/>
    <w:rsid w:val="005D1148"/>
    <w:rsid w:val="005D1209"/>
    <w:rsid w:val="005D14C0"/>
    <w:rsid w:val="005D14F1"/>
    <w:rsid w:val="005D19A0"/>
    <w:rsid w:val="005D1B7F"/>
    <w:rsid w:val="005D1C86"/>
    <w:rsid w:val="005D1DE8"/>
    <w:rsid w:val="005D1E8A"/>
    <w:rsid w:val="005D21AF"/>
    <w:rsid w:val="005D2526"/>
    <w:rsid w:val="005D2623"/>
    <w:rsid w:val="005D28EF"/>
    <w:rsid w:val="005D2C95"/>
    <w:rsid w:val="005D2E10"/>
    <w:rsid w:val="005D32B2"/>
    <w:rsid w:val="005D330B"/>
    <w:rsid w:val="005D3471"/>
    <w:rsid w:val="005D34B7"/>
    <w:rsid w:val="005D3941"/>
    <w:rsid w:val="005D3B37"/>
    <w:rsid w:val="005D3C58"/>
    <w:rsid w:val="005D456E"/>
    <w:rsid w:val="005D45F2"/>
    <w:rsid w:val="005D483D"/>
    <w:rsid w:val="005D4871"/>
    <w:rsid w:val="005D4A09"/>
    <w:rsid w:val="005D4AC1"/>
    <w:rsid w:val="005D4D88"/>
    <w:rsid w:val="005D4E61"/>
    <w:rsid w:val="005D4F29"/>
    <w:rsid w:val="005D508D"/>
    <w:rsid w:val="005D5358"/>
    <w:rsid w:val="005D5C30"/>
    <w:rsid w:val="005D5D47"/>
    <w:rsid w:val="005D64D6"/>
    <w:rsid w:val="005D6766"/>
    <w:rsid w:val="005D714A"/>
    <w:rsid w:val="005D71F3"/>
    <w:rsid w:val="005D73D0"/>
    <w:rsid w:val="005D79B9"/>
    <w:rsid w:val="005D7BE0"/>
    <w:rsid w:val="005E0344"/>
    <w:rsid w:val="005E116B"/>
    <w:rsid w:val="005E12D3"/>
    <w:rsid w:val="005E1A5C"/>
    <w:rsid w:val="005E1AF0"/>
    <w:rsid w:val="005E217D"/>
    <w:rsid w:val="005E2B33"/>
    <w:rsid w:val="005E2DDE"/>
    <w:rsid w:val="005E2E3E"/>
    <w:rsid w:val="005E2E58"/>
    <w:rsid w:val="005E3240"/>
    <w:rsid w:val="005E3287"/>
    <w:rsid w:val="005E355E"/>
    <w:rsid w:val="005E35C7"/>
    <w:rsid w:val="005E3605"/>
    <w:rsid w:val="005E38FC"/>
    <w:rsid w:val="005E3DFD"/>
    <w:rsid w:val="005E3F08"/>
    <w:rsid w:val="005E4D80"/>
    <w:rsid w:val="005E4F5C"/>
    <w:rsid w:val="005E521C"/>
    <w:rsid w:val="005E554B"/>
    <w:rsid w:val="005E582E"/>
    <w:rsid w:val="005E5A18"/>
    <w:rsid w:val="005E5A93"/>
    <w:rsid w:val="005E5ADE"/>
    <w:rsid w:val="005E5BE3"/>
    <w:rsid w:val="005E5CD8"/>
    <w:rsid w:val="005E5D17"/>
    <w:rsid w:val="005E5D1F"/>
    <w:rsid w:val="005E5F72"/>
    <w:rsid w:val="005E60A4"/>
    <w:rsid w:val="005E6118"/>
    <w:rsid w:val="005E6148"/>
    <w:rsid w:val="005E630D"/>
    <w:rsid w:val="005E66C2"/>
    <w:rsid w:val="005E742D"/>
    <w:rsid w:val="005E7A10"/>
    <w:rsid w:val="005F0058"/>
    <w:rsid w:val="005F055B"/>
    <w:rsid w:val="005F0669"/>
    <w:rsid w:val="005F078B"/>
    <w:rsid w:val="005F07DC"/>
    <w:rsid w:val="005F0D63"/>
    <w:rsid w:val="005F0FAB"/>
    <w:rsid w:val="005F10FC"/>
    <w:rsid w:val="005F190F"/>
    <w:rsid w:val="005F1BC8"/>
    <w:rsid w:val="005F1FCE"/>
    <w:rsid w:val="005F2355"/>
    <w:rsid w:val="005F266E"/>
    <w:rsid w:val="005F333A"/>
    <w:rsid w:val="005F337B"/>
    <w:rsid w:val="005F389F"/>
    <w:rsid w:val="005F3D94"/>
    <w:rsid w:val="005F3DE9"/>
    <w:rsid w:val="005F4234"/>
    <w:rsid w:val="005F4417"/>
    <w:rsid w:val="005F45C0"/>
    <w:rsid w:val="005F4C66"/>
    <w:rsid w:val="005F4F7E"/>
    <w:rsid w:val="005F5482"/>
    <w:rsid w:val="005F56C1"/>
    <w:rsid w:val="005F585A"/>
    <w:rsid w:val="005F597E"/>
    <w:rsid w:val="005F5C8B"/>
    <w:rsid w:val="005F5E1A"/>
    <w:rsid w:val="005F6045"/>
    <w:rsid w:val="005F631A"/>
    <w:rsid w:val="005F6370"/>
    <w:rsid w:val="005F6A08"/>
    <w:rsid w:val="005F6AF6"/>
    <w:rsid w:val="005F6C55"/>
    <w:rsid w:val="005F73E7"/>
    <w:rsid w:val="005F7464"/>
    <w:rsid w:val="005F7AB7"/>
    <w:rsid w:val="0060006C"/>
    <w:rsid w:val="0060018E"/>
    <w:rsid w:val="006008B7"/>
    <w:rsid w:val="006008F3"/>
    <w:rsid w:val="00600EEA"/>
    <w:rsid w:val="00601055"/>
    <w:rsid w:val="006010D3"/>
    <w:rsid w:val="006013D8"/>
    <w:rsid w:val="0060168F"/>
    <w:rsid w:val="0060189D"/>
    <w:rsid w:val="00601B60"/>
    <w:rsid w:val="00601B69"/>
    <w:rsid w:val="00602364"/>
    <w:rsid w:val="00602515"/>
    <w:rsid w:val="006025C6"/>
    <w:rsid w:val="006026A0"/>
    <w:rsid w:val="00602B8E"/>
    <w:rsid w:val="00602BE9"/>
    <w:rsid w:val="00602F3E"/>
    <w:rsid w:val="00603473"/>
    <w:rsid w:val="0060347D"/>
    <w:rsid w:val="006036F8"/>
    <w:rsid w:val="00603B6F"/>
    <w:rsid w:val="00603D12"/>
    <w:rsid w:val="006042EE"/>
    <w:rsid w:val="006048E8"/>
    <w:rsid w:val="00604A76"/>
    <w:rsid w:val="00604DD5"/>
    <w:rsid w:val="00605097"/>
    <w:rsid w:val="00605393"/>
    <w:rsid w:val="006054F5"/>
    <w:rsid w:val="006057BD"/>
    <w:rsid w:val="006057F6"/>
    <w:rsid w:val="00605926"/>
    <w:rsid w:val="00605B33"/>
    <w:rsid w:val="00605E69"/>
    <w:rsid w:val="00606150"/>
    <w:rsid w:val="00606266"/>
    <w:rsid w:val="006067FB"/>
    <w:rsid w:val="00606D09"/>
    <w:rsid w:val="00606DC5"/>
    <w:rsid w:val="00606DED"/>
    <w:rsid w:val="00606FCC"/>
    <w:rsid w:val="006077CA"/>
    <w:rsid w:val="00607C2F"/>
    <w:rsid w:val="00610221"/>
    <w:rsid w:val="00610444"/>
    <w:rsid w:val="0061063C"/>
    <w:rsid w:val="006108F1"/>
    <w:rsid w:val="00610E3F"/>
    <w:rsid w:val="00610EC1"/>
    <w:rsid w:val="006111CA"/>
    <w:rsid w:val="006112EF"/>
    <w:rsid w:val="006114AE"/>
    <w:rsid w:val="00611D46"/>
    <w:rsid w:val="00611EE7"/>
    <w:rsid w:val="006121A8"/>
    <w:rsid w:val="00612AE2"/>
    <w:rsid w:val="00612B45"/>
    <w:rsid w:val="00612DA3"/>
    <w:rsid w:val="00613558"/>
    <w:rsid w:val="006139C5"/>
    <w:rsid w:val="00613A0B"/>
    <w:rsid w:val="00613F94"/>
    <w:rsid w:val="006142F9"/>
    <w:rsid w:val="006142FD"/>
    <w:rsid w:val="00614570"/>
    <w:rsid w:val="00614649"/>
    <w:rsid w:val="006146D1"/>
    <w:rsid w:val="00614AE6"/>
    <w:rsid w:val="00614C6B"/>
    <w:rsid w:val="006153A6"/>
    <w:rsid w:val="006153AB"/>
    <w:rsid w:val="00615952"/>
    <w:rsid w:val="00615E89"/>
    <w:rsid w:val="00615E95"/>
    <w:rsid w:val="00616BC8"/>
    <w:rsid w:val="00616BD7"/>
    <w:rsid w:val="00616C04"/>
    <w:rsid w:val="00616D0F"/>
    <w:rsid w:val="00616EB9"/>
    <w:rsid w:val="006172FE"/>
    <w:rsid w:val="006173D6"/>
    <w:rsid w:val="00617912"/>
    <w:rsid w:val="00617ADF"/>
    <w:rsid w:val="00617B4A"/>
    <w:rsid w:val="00617E4F"/>
    <w:rsid w:val="006202B7"/>
    <w:rsid w:val="006208FB"/>
    <w:rsid w:val="00620A2D"/>
    <w:rsid w:val="00620AAB"/>
    <w:rsid w:val="00620BB7"/>
    <w:rsid w:val="00620EEC"/>
    <w:rsid w:val="00621165"/>
    <w:rsid w:val="0062150D"/>
    <w:rsid w:val="0062166B"/>
    <w:rsid w:val="00621B14"/>
    <w:rsid w:val="00621B82"/>
    <w:rsid w:val="00621BCD"/>
    <w:rsid w:val="00621CBC"/>
    <w:rsid w:val="00621E28"/>
    <w:rsid w:val="00621EBC"/>
    <w:rsid w:val="00622139"/>
    <w:rsid w:val="006227D5"/>
    <w:rsid w:val="006229AB"/>
    <w:rsid w:val="00622C21"/>
    <w:rsid w:val="00622D4D"/>
    <w:rsid w:val="00622E3B"/>
    <w:rsid w:val="0062325C"/>
    <w:rsid w:val="00623858"/>
    <w:rsid w:val="006239F4"/>
    <w:rsid w:val="00623A2F"/>
    <w:rsid w:val="00623AD3"/>
    <w:rsid w:val="006244E2"/>
    <w:rsid w:val="006246DC"/>
    <w:rsid w:val="006249AE"/>
    <w:rsid w:val="00624B11"/>
    <w:rsid w:val="00624DBB"/>
    <w:rsid w:val="0062501E"/>
    <w:rsid w:val="00625BA7"/>
    <w:rsid w:val="00625C79"/>
    <w:rsid w:val="00625CA8"/>
    <w:rsid w:val="00625ED1"/>
    <w:rsid w:val="00625FBB"/>
    <w:rsid w:val="006261F6"/>
    <w:rsid w:val="006265A6"/>
    <w:rsid w:val="00626616"/>
    <w:rsid w:val="00626676"/>
    <w:rsid w:val="00626958"/>
    <w:rsid w:val="00626C30"/>
    <w:rsid w:val="00626E17"/>
    <w:rsid w:val="00627027"/>
    <w:rsid w:val="0062726C"/>
    <w:rsid w:val="0062735D"/>
    <w:rsid w:val="00627546"/>
    <w:rsid w:val="00627649"/>
    <w:rsid w:val="006277A2"/>
    <w:rsid w:val="00627848"/>
    <w:rsid w:val="006305EF"/>
    <w:rsid w:val="0063082F"/>
    <w:rsid w:val="00630980"/>
    <w:rsid w:val="006309D7"/>
    <w:rsid w:val="00630C80"/>
    <w:rsid w:val="00630CB4"/>
    <w:rsid w:val="00631457"/>
    <w:rsid w:val="00631629"/>
    <w:rsid w:val="0063169C"/>
    <w:rsid w:val="006319A6"/>
    <w:rsid w:val="00631B2A"/>
    <w:rsid w:val="00631B9F"/>
    <w:rsid w:val="00631DE6"/>
    <w:rsid w:val="00632256"/>
    <w:rsid w:val="00632A7A"/>
    <w:rsid w:val="00632AC7"/>
    <w:rsid w:val="00632FBB"/>
    <w:rsid w:val="00633309"/>
    <w:rsid w:val="006333A8"/>
    <w:rsid w:val="00633742"/>
    <w:rsid w:val="006339FD"/>
    <w:rsid w:val="00633BB8"/>
    <w:rsid w:val="00633F6E"/>
    <w:rsid w:val="00634311"/>
    <w:rsid w:val="00634748"/>
    <w:rsid w:val="00634A6B"/>
    <w:rsid w:val="00635360"/>
    <w:rsid w:val="006354F9"/>
    <w:rsid w:val="006355CF"/>
    <w:rsid w:val="00635991"/>
    <w:rsid w:val="00635C79"/>
    <w:rsid w:val="00635E1F"/>
    <w:rsid w:val="00635FB7"/>
    <w:rsid w:val="006363F4"/>
    <w:rsid w:val="0063673F"/>
    <w:rsid w:val="00636E33"/>
    <w:rsid w:val="00637050"/>
    <w:rsid w:val="006370F4"/>
    <w:rsid w:val="006376C7"/>
    <w:rsid w:val="00637B40"/>
    <w:rsid w:val="00637F9B"/>
    <w:rsid w:val="00640815"/>
    <w:rsid w:val="00640DC4"/>
    <w:rsid w:val="00641364"/>
    <w:rsid w:val="00641518"/>
    <w:rsid w:val="00641535"/>
    <w:rsid w:val="0064165C"/>
    <w:rsid w:val="006416AB"/>
    <w:rsid w:val="006417ED"/>
    <w:rsid w:val="00641D34"/>
    <w:rsid w:val="00642058"/>
    <w:rsid w:val="006423D3"/>
    <w:rsid w:val="00643268"/>
    <w:rsid w:val="00643543"/>
    <w:rsid w:val="006435B0"/>
    <w:rsid w:val="00643606"/>
    <w:rsid w:val="00643A74"/>
    <w:rsid w:val="006444D4"/>
    <w:rsid w:val="006449FA"/>
    <w:rsid w:val="0064562C"/>
    <w:rsid w:val="00645826"/>
    <w:rsid w:val="00645914"/>
    <w:rsid w:val="00645BED"/>
    <w:rsid w:val="00645DE3"/>
    <w:rsid w:val="00645FC6"/>
    <w:rsid w:val="0064620F"/>
    <w:rsid w:val="006463DB"/>
    <w:rsid w:val="00646F1F"/>
    <w:rsid w:val="00647131"/>
    <w:rsid w:val="006471AE"/>
    <w:rsid w:val="00647AF9"/>
    <w:rsid w:val="00650034"/>
    <w:rsid w:val="00650305"/>
    <w:rsid w:val="00650465"/>
    <w:rsid w:val="0065140E"/>
    <w:rsid w:val="00651B35"/>
    <w:rsid w:val="00651DEC"/>
    <w:rsid w:val="006522BF"/>
    <w:rsid w:val="006524FD"/>
    <w:rsid w:val="00652593"/>
    <w:rsid w:val="00652616"/>
    <w:rsid w:val="00652676"/>
    <w:rsid w:val="0065276C"/>
    <w:rsid w:val="00652869"/>
    <w:rsid w:val="00652A8F"/>
    <w:rsid w:val="00652C5C"/>
    <w:rsid w:val="00652E37"/>
    <w:rsid w:val="0065330F"/>
    <w:rsid w:val="0065337B"/>
    <w:rsid w:val="006533F1"/>
    <w:rsid w:val="0065372D"/>
    <w:rsid w:val="00653813"/>
    <w:rsid w:val="00653936"/>
    <w:rsid w:val="006542A8"/>
    <w:rsid w:val="006542FA"/>
    <w:rsid w:val="006549A9"/>
    <w:rsid w:val="00655498"/>
    <w:rsid w:val="006556A4"/>
    <w:rsid w:val="006556AD"/>
    <w:rsid w:val="0065582C"/>
    <w:rsid w:val="006558B9"/>
    <w:rsid w:val="00655939"/>
    <w:rsid w:val="00655BD3"/>
    <w:rsid w:val="00655E02"/>
    <w:rsid w:val="00655E54"/>
    <w:rsid w:val="006561F7"/>
    <w:rsid w:val="0065645E"/>
    <w:rsid w:val="00656512"/>
    <w:rsid w:val="006569AE"/>
    <w:rsid w:val="00656CC4"/>
    <w:rsid w:val="00656EF6"/>
    <w:rsid w:val="006570EE"/>
    <w:rsid w:val="00657562"/>
    <w:rsid w:val="0065773B"/>
    <w:rsid w:val="00657743"/>
    <w:rsid w:val="00657A2B"/>
    <w:rsid w:val="00657D3E"/>
    <w:rsid w:val="00657F96"/>
    <w:rsid w:val="006600BD"/>
    <w:rsid w:val="00660561"/>
    <w:rsid w:val="00660F75"/>
    <w:rsid w:val="00661015"/>
    <w:rsid w:val="006613CE"/>
    <w:rsid w:val="0066140A"/>
    <w:rsid w:val="0066178C"/>
    <w:rsid w:val="00662290"/>
    <w:rsid w:val="00662495"/>
    <w:rsid w:val="006625F5"/>
    <w:rsid w:val="00662B1A"/>
    <w:rsid w:val="00663048"/>
    <w:rsid w:val="0066356B"/>
    <w:rsid w:val="00663626"/>
    <w:rsid w:val="00663734"/>
    <w:rsid w:val="006637CE"/>
    <w:rsid w:val="00663971"/>
    <w:rsid w:val="00663C39"/>
    <w:rsid w:val="00663F8E"/>
    <w:rsid w:val="0066449E"/>
    <w:rsid w:val="00664529"/>
    <w:rsid w:val="00664EF8"/>
    <w:rsid w:val="0066500E"/>
    <w:rsid w:val="006651D4"/>
    <w:rsid w:val="006652D6"/>
    <w:rsid w:val="00665645"/>
    <w:rsid w:val="0066565F"/>
    <w:rsid w:val="006656DA"/>
    <w:rsid w:val="00665D09"/>
    <w:rsid w:val="00665D28"/>
    <w:rsid w:val="00666131"/>
    <w:rsid w:val="006662AD"/>
    <w:rsid w:val="0066659E"/>
    <w:rsid w:val="00666840"/>
    <w:rsid w:val="00666888"/>
    <w:rsid w:val="0066688E"/>
    <w:rsid w:val="0066692E"/>
    <w:rsid w:val="006669FF"/>
    <w:rsid w:val="00666ACD"/>
    <w:rsid w:val="00666BE7"/>
    <w:rsid w:val="00666DEC"/>
    <w:rsid w:val="006672F0"/>
    <w:rsid w:val="0066781E"/>
    <w:rsid w:val="006678C3"/>
    <w:rsid w:val="00667F4B"/>
    <w:rsid w:val="00667F9A"/>
    <w:rsid w:val="00670B2C"/>
    <w:rsid w:val="00671B5C"/>
    <w:rsid w:val="0067204A"/>
    <w:rsid w:val="006724DF"/>
    <w:rsid w:val="00672599"/>
    <w:rsid w:val="00672946"/>
    <w:rsid w:val="00672C11"/>
    <w:rsid w:val="006736CC"/>
    <w:rsid w:val="0067394B"/>
    <w:rsid w:val="006739AF"/>
    <w:rsid w:val="00673AD9"/>
    <w:rsid w:val="00673EB6"/>
    <w:rsid w:val="00673FB3"/>
    <w:rsid w:val="0067407F"/>
    <w:rsid w:val="00674693"/>
    <w:rsid w:val="006748AB"/>
    <w:rsid w:val="00674CF0"/>
    <w:rsid w:val="00675200"/>
    <w:rsid w:val="00675213"/>
    <w:rsid w:val="0067529C"/>
    <w:rsid w:val="006753C3"/>
    <w:rsid w:val="006754F4"/>
    <w:rsid w:val="00675C19"/>
    <w:rsid w:val="0067663F"/>
    <w:rsid w:val="00676BBD"/>
    <w:rsid w:val="00676BFF"/>
    <w:rsid w:val="00676C4C"/>
    <w:rsid w:val="00676E42"/>
    <w:rsid w:val="00677213"/>
    <w:rsid w:val="00677618"/>
    <w:rsid w:val="00677631"/>
    <w:rsid w:val="00677C52"/>
    <w:rsid w:val="00677F88"/>
    <w:rsid w:val="00680231"/>
    <w:rsid w:val="0068051C"/>
    <w:rsid w:val="00680989"/>
    <w:rsid w:val="00680D7A"/>
    <w:rsid w:val="00680ECE"/>
    <w:rsid w:val="00680F0C"/>
    <w:rsid w:val="006813A9"/>
    <w:rsid w:val="00681435"/>
    <w:rsid w:val="00681558"/>
    <w:rsid w:val="00681FC0"/>
    <w:rsid w:val="00682097"/>
    <w:rsid w:val="00682265"/>
    <w:rsid w:val="00682716"/>
    <w:rsid w:val="00682746"/>
    <w:rsid w:val="006828E2"/>
    <w:rsid w:val="00683089"/>
    <w:rsid w:val="0068325D"/>
    <w:rsid w:val="00683902"/>
    <w:rsid w:val="006839A3"/>
    <w:rsid w:val="006839AC"/>
    <w:rsid w:val="00684044"/>
    <w:rsid w:val="006843A9"/>
    <w:rsid w:val="00684559"/>
    <w:rsid w:val="006845BE"/>
    <w:rsid w:val="00684687"/>
    <w:rsid w:val="00684EE0"/>
    <w:rsid w:val="0068527A"/>
    <w:rsid w:val="00685321"/>
    <w:rsid w:val="006855FE"/>
    <w:rsid w:val="006863C2"/>
    <w:rsid w:val="00686991"/>
    <w:rsid w:val="00686A86"/>
    <w:rsid w:val="00687239"/>
    <w:rsid w:val="0068756E"/>
    <w:rsid w:val="006877B0"/>
    <w:rsid w:val="00687939"/>
    <w:rsid w:val="0068794F"/>
    <w:rsid w:val="006879CF"/>
    <w:rsid w:val="00687B72"/>
    <w:rsid w:val="00687C39"/>
    <w:rsid w:val="00687C57"/>
    <w:rsid w:val="00687E03"/>
    <w:rsid w:val="00690E3A"/>
    <w:rsid w:val="0069112F"/>
    <w:rsid w:val="00691423"/>
    <w:rsid w:val="006916C1"/>
    <w:rsid w:val="006918EE"/>
    <w:rsid w:val="00692604"/>
    <w:rsid w:val="0069268D"/>
    <w:rsid w:val="006926E1"/>
    <w:rsid w:val="0069275C"/>
    <w:rsid w:val="00692900"/>
    <w:rsid w:val="0069311F"/>
    <w:rsid w:val="006931D8"/>
    <w:rsid w:val="00693672"/>
    <w:rsid w:val="006937CA"/>
    <w:rsid w:val="00693991"/>
    <w:rsid w:val="00693C9D"/>
    <w:rsid w:val="00693D7A"/>
    <w:rsid w:val="00693F00"/>
    <w:rsid w:val="006943EB"/>
    <w:rsid w:val="006947DD"/>
    <w:rsid w:val="00694AC4"/>
    <w:rsid w:val="00694BE1"/>
    <w:rsid w:val="00694CE2"/>
    <w:rsid w:val="00694DC7"/>
    <w:rsid w:val="00694FED"/>
    <w:rsid w:val="006951CE"/>
    <w:rsid w:val="00695201"/>
    <w:rsid w:val="0069546A"/>
    <w:rsid w:val="0069587E"/>
    <w:rsid w:val="006959B6"/>
    <w:rsid w:val="006959BD"/>
    <w:rsid w:val="00696344"/>
    <w:rsid w:val="00696387"/>
    <w:rsid w:val="0069643F"/>
    <w:rsid w:val="006964C2"/>
    <w:rsid w:val="0069667F"/>
    <w:rsid w:val="006967CB"/>
    <w:rsid w:val="006968F0"/>
    <w:rsid w:val="00696CE1"/>
    <w:rsid w:val="00696CEA"/>
    <w:rsid w:val="0069797E"/>
    <w:rsid w:val="00697986"/>
    <w:rsid w:val="00697D1A"/>
    <w:rsid w:val="0069FD33"/>
    <w:rsid w:val="006A0025"/>
    <w:rsid w:val="006A0145"/>
    <w:rsid w:val="006A0214"/>
    <w:rsid w:val="006A02F9"/>
    <w:rsid w:val="006A0E6D"/>
    <w:rsid w:val="006A1409"/>
    <w:rsid w:val="006A1480"/>
    <w:rsid w:val="006A1690"/>
    <w:rsid w:val="006A177F"/>
    <w:rsid w:val="006A2497"/>
    <w:rsid w:val="006A2795"/>
    <w:rsid w:val="006A27F7"/>
    <w:rsid w:val="006A28BC"/>
    <w:rsid w:val="006A2A56"/>
    <w:rsid w:val="006A2DF3"/>
    <w:rsid w:val="006A3468"/>
    <w:rsid w:val="006A3638"/>
    <w:rsid w:val="006A3D10"/>
    <w:rsid w:val="006A3DDF"/>
    <w:rsid w:val="006A3E99"/>
    <w:rsid w:val="006A4190"/>
    <w:rsid w:val="006A4497"/>
    <w:rsid w:val="006A4C10"/>
    <w:rsid w:val="006A4E6E"/>
    <w:rsid w:val="006A5183"/>
    <w:rsid w:val="006A5734"/>
    <w:rsid w:val="006A5A84"/>
    <w:rsid w:val="006A6030"/>
    <w:rsid w:val="006A61A8"/>
    <w:rsid w:val="006A6256"/>
    <w:rsid w:val="006A6307"/>
    <w:rsid w:val="006A638E"/>
    <w:rsid w:val="006A64C0"/>
    <w:rsid w:val="006A6506"/>
    <w:rsid w:val="006A6A36"/>
    <w:rsid w:val="006A6B9B"/>
    <w:rsid w:val="006A6E19"/>
    <w:rsid w:val="006A7CF7"/>
    <w:rsid w:val="006A7F5C"/>
    <w:rsid w:val="006B02C4"/>
    <w:rsid w:val="006B03C3"/>
    <w:rsid w:val="006B0516"/>
    <w:rsid w:val="006B0AF1"/>
    <w:rsid w:val="006B0C26"/>
    <w:rsid w:val="006B0CE6"/>
    <w:rsid w:val="006B0FF9"/>
    <w:rsid w:val="006B11DE"/>
    <w:rsid w:val="006B1ACE"/>
    <w:rsid w:val="006B1C0B"/>
    <w:rsid w:val="006B1C1B"/>
    <w:rsid w:val="006B1D11"/>
    <w:rsid w:val="006B1D26"/>
    <w:rsid w:val="006B1FB3"/>
    <w:rsid w:val="006B200C"/>
    <w:rsid w:val="006B20A6"/>
    <w:rsid w:val="006B22FD"/>
    <w:rsid w:val="006B2586"/>
    <w:rsid w:val="006B28F4"/>
    <w:rsid w:val="006B2925"/>
    <w:rsid w:val="006B29D8"/>
    <w:rsid w:val="006B2DF4"/>
    <w:rsid w:val="006B31FF"/>
    <w:rsid w:val="006B3387"/>
    <w:rsid w:val="006B357D"/>
    <w:rsid w:val="006B36C3"/>
    <w:rsid w:val="006B3D48"/>
    <w:rsid w:val="006B3F01"/>
    <w:rsid w:val="006B41ED"/>
    <w:rsid w:val="006B4438"/>
    <w:rsid w:val="006B461F"/>
    <w:rsid w:val="006B4C47"/>
    <w:rsid w:val="006B5166"/>
    <w:rsid w:val="006B5584"/>
    <w:rsid w:val="006B5692"/>
    <w:rsid w:val="006B5984"/>
    <w:rsid w:val="006B5A5F"/>
    <w:rsid w:val="006B5C72"/>
    <w:rsid w:val="006B5FE5"/>
    <w:rsid w:val="006B608D"/>
    <w:rsid w:val="006B61CA"/>
    <w:rsid w:val="006B6497"/>
    <w:rsid w:val="006B670A"/>
    <w:rsid w:val="006B6AB9"/>
    <w:rsid w:val="006B71C2"/>
    <w:rsid w:val="006B785C"/>
    <w:rsid w:val="006B78A2"/>
    <w:rsid w:val="006B79DE"/>
    <w:rsid w:val="006C00C1"/>
    <w:rsid w:val="006C01A7"/>
    <w:rsid w:val="006C01EE"/>
    <w:rsid w:val="006C02DF"/>
    <w:rsid w:val="006C0614"/>
    <w:rsid w:val="006C1230"/>
    <w:rsid w:val="006C12D9"/>
    <w:rsid w:val="006C16AB"/>
    <w:rsid w:val="006C1747"/>
    <w:rsid w:val="006C18B2"/>
    <w:rsid w:val="006C197C"/>
    <w:rsid w:val="006C1B20"/>
    <w:rsid w:val="006C1EC0"/>
    <w:rsid w:val="006C233D"/>
    <w:rsid w:val="006C26C8"/>
    <w:rsid w:val="006C281F"/>
    <w:rsid w:val="006C2ABD"/>
    <w:rsid w:val="006C2AD7"/>
    <w:rsid w:val="006C2B76"/>
    <w:rsid w:val="006C2C09"/>
    <w:rsid w:val="006C2FCA"/>
    <w:rsid w:val="006C3344"/>
    <w:rsid w:val="006C36D4"/>
    <w:rsid w:val="006C38B9"/>
    <w:rsid w:val="006C3ADC"/>
    <w:rsid w:val="006C3C12"/>
    <w:rsid w:val="006C434B"/>
    <w:rsid w:val="006C459C"/>
    <w:rsid w:val="006C47D9"/>
    <w:rsid w:val="006C4829"/>
    <w:rsid w:val="006C4EE4"/>
    <w:rsid w:val="006C5405"/>
    <w:rsid w:val="006C5A8E"/>
    <w:rsid w:val="006C5F33"/>
    <w:rsid w:val="006C6077"/>
    <w:rsid w:val="006C6231"/>
    <w:rsid w:val="006C6AA0"/>
    <w:rsid w:val="006C6BF5"/>
    <w:rsid w:val="006C6F5F"/>
    <w:rsid w:val="006C744D"/>
    <w:rsid w:val="006C74C6"/>
    <w:rsid w:val="006C754F"/>
    <w:rsid w:val="006C7579"/>
    <w:rsid w:val="006C75C6"/>
    <w:rsid w:val="006C76BD"/>
    <w:rsid w:val="006C7888"/>
    <w:rsid w:val="006C7C6A"/>
    <w:rsid w:val="006D002C"/>
    <w:rsid w:val="006D0244"/>
    <w:rsid w:val="006D027A"/>
    <w:rsid w:val="006D0487"/>
    <w:rsid w:val="006D04B3"/>
    <w:rsid w:val="006D0898"/>
    <w:rsid w:val="006D08C5"/>
    <w:rsid w:val="006D0C32"/>
    <w:rsid w:val="006D0C7D"/>
    <w:rsid w:val="006D0DD7"/>
    <w:rsid w:val="006D1006"/>
    <w:rsid w:val="006D10F4"/>
    <w:rsid w:val="006D1332"/>
    <w:rsid w:val="006D1473"/>
    <w:rsid w:val="006D19B0"/>
    <w:rsid w:val="006D1B29"/>
    <w:rsid w:val="006D1DF6"/>
    <w:rsid w:val="006D23C9"/>
    <w:rsid w:val="006D2640"/>
    <w:rsid w:val="006D3182"/>
    <w:rsid w:val="006D32A7"/>
    <w:rsid w:val="006D333A"/>
    <w:rsid w:val="006D39EE"/>
    <w:rsid w:val="006D3BD4"/>
    <w:rsid w:val="006D3E0B"/>
    <w:rsid w:val="006D4087"/>
    <w:rsid w:val="006D4AF3"/>
    <w:rsid w:val="006D4CFD"/>
    <w:rsid w:val="006D4D31"/>
    <w:rsid w:val="006D4DFF"/>
    <w:rsid w:val="006D51E8"/>
    <w:rsid w:val="006D5A2C"/>
    <w:rsid w:val="006D66DD"/>
    <w:rsid w:val="006D68C0"/>
    <w:rsid w:val="006D6AC8"/>
    <w:rsid w:val="006D73D9"/>
    <w:rsid w:val="006D74ED"/>
    <w:rsid w:val="006D7604"/>
    <w:rsid w:val="006D7B73"/>
    <w:rsid w:val="006D7B95"/>
    <w:rsid w:val="006E0446"/>
    <w:rsid w:val="006E09AE"/>
    <w:rsid w:val="006E09FC"/>
    <w:rsid w:val="006E0BF6"/>
    <w:rsid w:val="006E0D43"/>
    <w:rsid w:val="006E11F1"/>
    <w:rsid w:val="006E13D0"/>
    <w:rsid w:val="006E14CE"/>
    <w:rsid w:val="006E14F0"/>
    <w:rsid w:val="006E1501"/>
    <w:rsid w:val="006E17FA"/>
    <w:rsid w:val="006E181D"/>
    <w:rsid w:val="006E1BC5"/>
    <w:rsid w:val="006E1F96"/>
    <w:rsid w:val="006E2060"/>
    <w:rsid w:val="006E2172"/>
    <w:rsid w:val="006E21D6"/>
    <w:rsid w:val="006E226D"/>
    <w:rsid w:val="006E2824"/>
    <w:rsid w:val="006E34EA"/>
    <w:rsid w:val="006E3814"/>
    <w:rsid w:val="006E3EAA"/>
    <w:rsid w:val="006E42CD"/>
    <w:rsid w:val="006E4448"/>
    <w:rsid w:val="006E47E1"/>
    <w:rsid w:val="006E490C"/>
    <w:rsid w:val="006E51EB"/>
    <w:rsid w:val="006E5205"/>
    <w:rsid w:val="006E567D"/>
    <w:rsid w:val="006E60F0"/>
    <w:rsid w:val="006E62A0"/>
    <w:rsid w:val="006E635A"/>
    <w:rsid w:val="006E6699"/>
    <w:rsid w:val="006E6B28"/>
    <w:rsid w:val="006E6FB4"/>
    <w:rsid w:val="006E7178"/>
    <w:rsid w:val="006E7402"/>
    <w:rsid w:val="006E7466"/>
    <w:rsid w:val="006E7506"/>
    <w:rsid w:val="006E75B9"/>
    <w:rsid w:val="006F02FB"/>
    <w:rsid w:val="006F05B9"/>
    <w:rsid w:val="006F1139"/>
    <w:rsid w:val="006F1336"/>
    <w:rsid w:val="006F1519"/>
    <w:rsid w:val="006F1C77"/>
    <w:rsid w:val="006F1FFE"/>
    <w:rsid w:val="006F237C"/>
    <w:rsid w:val="006F24CB"/>
    <w:rsid w:val="006F26B5"/>
    <w:rsid w:val="006F2749"/>
    <w:rsid w:val="006F2787"/>
    <w:rsid w:val="006F2B71"/>
    <w:rsid w:val="006F30E7"/>
    <w:rsid w:val="006F3557"/>
    <w:rsid w:val="006F38F0"/>
    <w:rsid w:val="006F3B39"/>
    <w:rsid w:val="006F3B9E"/>
    <w:rsid w:val="006F46A3"/>
    <w:rsid w:val="006F4733"/>
    <w:rsid w:val="006F4812"/>
    <w:rsid w:val="006F4A8E"/>
    <w:rsid w:val="006F4AE7"/>
    <w:rsid w:val="006F4F15"/>
    <w:rsid w:val="006F5801"/>
    <w:rsid w:val="006F5A0E"/>
    <w:rsid w:val="006F5B5F"/>
    <w:rsid w:val="006F5F69"/>
    <w:rsid w:val="006F6124"/>
    <w:rsid w:val="006F6AA5"/>
    <w:rsid w:val="006F6B1E"/>
    <w:rsid w:val="006F6F1F"/>
    <w:rsid w:val="006F7016"/>
    <w:rsid w:val="006F7296"/>
    <w:rsid w:val="006F7646"/>
    <w:rsid w:val="006F7A18"/>
    <w:rsid w:val="006F7A9D"/>
    <w:rsid w:val="0070003F"/>
    <w:rsid w:val="0070040F"/>
    <w:rsid w:val="007004AE"/>
    <w:rsid w:val="007006C1"/>
    <w:rsid w:val="00700A79"/>
    <w:rsid w:val="00700E36"/>
    <w:rsid w:val="00700E69"/>
    <w:rsid w:val="00700F8C"/>
    <w:rsid w:val="00701081"/>
    <w:rsid w:val="00701960"/>
    <w:rsid w:val="007019F8"/>
    <w:rsid w:val="00701AB7"/>
    <w:rsid w:val="00701D7F"/>
    <w:rsid w:val="00701F0A"/>
    <w:rsid w:val="00702187"/>
    <w:rsid w:val="007023D3"/>
    <w:rsid w:val="007028D8"/>
    <w:rsid w:val="0070299B"/>
    <w:rsid w:val="00702A3B"/>
    <w:rsid w:val="00702D7D"/>
    <w:rsid w:val="0070304A"/>
    <w:rsid w:val="007030FC"/>
    <w:rsid w:val="00703510"/>
    <w:rsid w:val="00703B7F"/>
    <w:rsid w:val="00703BEA"/>
    <w:rsid w:val="00703E4A"/>
    <w:rsid w:val="007042BE"/>
    <w:rsid w:val="00704436"/>
    <w:rsid w:val="0070485F"/>
    <w:rsid w:val="00704964"/>
    <w:rsid w:val="00704A63"/>
    <w:rsid w:val="007050D6"/>
    <w:rsid w:val="0070511C"/>
    <w:rsid w:val="007053B6"/>
    <w:rsid w:val="007055A0"/>
    <w:rsid w:val="007055BF"/>
    <w:rsid w:val="00705BD8"/>
    <w:rsid w:val="00705D27"/>
    <w:rsid w:val="00705E76"/>
    <w:rsid w:val="00705EB9"/>
    <w:rsid w:val="00706109"/>
    <w:rsid w:val="00706123"/>
    <w:rsid w:val="0070642A"/>
    <w:rsid w:val="00707369"/>
    <w:rsid w:val="00707998"/>
    <w:rsid w:val="00707BAC"/>
    <w:rsid w:val="00707CC6"/>
    <w:rsid w:val="00707D06"/>
    <w:rsid w:val="0071049F"/>
    <w:rsid w:val="007104A4"/>
    <w:rsid w:val="007105E5"/>
    <w:rsid w:val="00710993"/>
    <w:rsid w:val="00710CA0"/>
    <w:rsid w:val="00710EA3"/>
    <w:rsid w:val="0071107D"/>
    <w:rsid w:val="00711306"/>
    <w:rsid w:val="00711586"/>
    <w:rsid w:val="007116B7"/>
    <w:rsid w:val="00711EF3"/>
    <w:rsid w:val="00712046"/>
    <w:rsid w:val="0071224C"/>
    <w:rsid w:val="007123C3"/>
    <w:rsid w:val="007125E0"/>
    <w:rsid w:val="0071266A"/>
    <w:rsid w:val="007132CD"/>
    <w:rsid w:val="00713472"/>
    <w:rsid w:val="007134E9"/>
    <w:rsid w:val="0071419F"/>
    <w:rsid w:val="007141E4"/>
    <w:rsid w:val="0071434E"/>
    <w:rsid w:val="00714377"/>
    <w:rsid w:val="00714460"/>
    <w:rsid w:val="00714728"/>
    <w:rsid w:val="00714B69"/>
    <w:rsid w:val="00714BE3"/>
    <w:rsid w:val="00714E36"/>
    <w:rsid w:val="00715820"/>
    <w:rsid w:val="00715838"/>
    <w:rsid w:val="007158B5"/>
    <w:rsid w:val="00715985"/>
    <w:rsid w:val="00715E91"/>
    <w:rsid w:val="00716079"/>
    <w:rsid w:val="007160E6"/>
    <w:rsid w:val="007162EE"/>
    <w:rsid w:val="007167F9"/>
    <w:rsid w:val="0071698D"/>
    <w:rsid w:val="00716AFF"/>
    <w:rsid w:val="00716D72"/>
    <w:rsid w:val="00716FEF"/>
    <w:rsid w:val="007171EC"/>
    <w:rsid w:val="0071728D"/>
    <w:rsid w:val="00717A14"/>
    <w:rsid w:val="00717F3F"/>
    <w:rsid w:val="0072000B"/>
    <w:rsid w:val="00720350"/>
    <w:rsid w:val="00720411"/>
    <w:rsid w:val="007206DC"/>
    <w:rsid w:val="00720A72"/>
    <w:rsid w:val="0072121B"/>
    <w:rsid w:val="00721622"/>
    <w:rsid w:val="0072169D"/>
    <w:rsid w:val="00721B00"/>
    <w:rsid w:val="00721B3A"/>
    <w:rsid w:val="0072205C"/>
    <w:rsid w:val="00722162"/>
    <w:rsid w:val="0072228B"/>
    <w:rsid w:val="007223C1"/>
    <w:rsid w:val="00722582"/>
    <w:rsid w:val="00722683"/>
    <w:rsid w:val="007226C9"/>
    <w:rsid w:val="00722D7B"/>
    <w:rsid w:val="00722F12"/>
    <w:rsid w:val="00723A60"/>
    <w:rsid w:val="007241CE"/>
    <w:rsid w:val="00724316"/>
    <w:rsid w:val="007243BF"/>
    <w:rsid w:val="00724738"/>
    <w:rsid w:val="00724AA4"/>
    <w:rsid w:val="00724D8D"/>
    <w:rsid w:val="0072504A"/>
    <w:rsid w:val="00725058"/>
    <w:rsid w:val="0072590E"/>
    <w:rsid w:val="00725DD5"/>
    <w:rsid w:val="00725DFD"/>
    <w:rsid w:val="007264F7"/>
    <w:rsid w:val="00726A6A"/>
    <w:rsid w:val="007270D2"/>
    <w:rsid w:val="0072716F"/>
    <w:rsid w:val="007272C4"/>
    <w:rsid w:val="0072730C"/>
    <w:rsid w:val="007275D0"/>
    <w:rsid w:val="00727A6D"/>
    <w:rsid w:val="00727BAD"/>
    <w:rsid w:val="00730143"/>
    <w:rsid w:val="00730604"/>
    <w:rsid w:val="0073063C"/>
    <w:rsid w:val="007306D0"/>
    <w:rsid w:val="007308E5"/>
    <w:rsid w:val="0073093C"/>
    <w:rsid w:val="00730CE1"/>
    <w:rsid w:val="00730FAD"/>
    <w:rsid w:val="00731222"/>
    <w:rsid w:val="00731259"/>
    <w:rsid w:val="007312D2"/>
    <w:rsid w:val="007315C2"/>
    <w:rsid w:val="0073191F"/>
    <w:rsid w:val="00731957"/>
    <w:rsid w:val="00731C5A"/>
    <w:rsid w:val="00732D1F"/>
    <w:rsid w:val="00732FBD"/>
    <w:rsid w:val="00733B28"/>
    <w:rsid w:val="00733B2D"/>
    <w:rsid w:val="00733C84"/>
    <w:rsid w:val="00733EE2"/>
    <w:rsid w:val="00733F66"/>
    <w:rsid w:val="00734728"/>
    <w:rsid w:val="0073485A"/>
    <w:rsid w:val="00734B83"/>
    <w:rsid w:val="00734C5E"/>
    <w:rsid w:val="0073534D"/>
    <w:rsid w:val="00735474"/>
    <w:rsid w:val="007356A9"/>
    <w:rsid w:val="00735A5E"/>
    <w:rsid w:val="00735BAE"/>
    <w:rsid w:val="00735BF2"/>
    <w:rsid w:val="00736374"/>
    <w:rsid w:val="007366FE"/>
    <w:rsid w:val="00736988"/>
    <w:rsid w:val="007371E3"/>
    <w:rsid w:val="007375BC"/>
    <w:rsid w:val="00737963"/>
    <w:rsid w:val="00737DB5"/>
    <w:rsid w:val="007401EE"/>
    <w:rsid w:val="0074023E"/>
    <w:rsid w:val="00740B96"/>
    <w:rsid w:val="00740F2B"/>
    <w:rsid w:val="00741FB0"/>
    <w:rsid w:val="0074225E"/>
    <w:rsid w:val="00742326"/>
    <w:rsid w:val="007426A9"/>
    <w:rsid w:val="00742719"/>
    <w:rsid w:val="0074299C"/>
    <w:rsid w:val="00742AC8"/>
    <w:rsid w:val="00742BA7"/>
    <w:rsid w:val="007434FB"/>
    <w:rsid w:val="00743A5A"/>
    <w:rsid w:val="00743A86"/>
    <w:rsid w:val="00743BBF"/>
    <w:rsid w:val="00744236"/>
    <w:rsid w:val="00744378"/>
    <w:rsid w:val="0074443E"/>
    <w:rsid w:val="00744B75"/>
    <w:rsid w:val="00744CA9"/>
    <w:rsid w:val="00744F41"/>
    <w:rsid w:val="00745138"/>
    <w:rsid w:val="00745711"/>
    <w:rsid w:val="0074574A"/>
    <w:rsid w:val="00745796"/>
    <w:rsid w:val="00745AD1"/>
    <w:rsid w:val="00745DE9"/>
    <w:rsid w:val="00745E2C"/>
    <w:rsid w:val="007460C1"/>
    <w:rsid w:val="007465C4"/>
    <w:rsid w:val="00746737"/>
    <w:rsid w:val="007467CC"/>
    <w:rsid w:val="0074693A"/>
    <w:rsid w:val="00746BEC"/>
    <w:rsid w:val="00746EF1"/>
    <w:rsid w:val="007472B0"/>
    <w:rsid w:val="007473C2"/>
    <w:rsid w:val="007473C9"/>
    <w:rsid w:val="00747C4E"/>
    <w:rsid w:val="00747CAB"/>
    <w:rsid w:val="00747CE8"/>
    <w:rsid w:val="00747DA9"/>
    <w:rsid w:val="007501AB"/>
    <w:rsid w:val="007505BB"/>
    <w:rsid w:val="00750B2D"/>
    <w:rsid w:val="00750C15"/>
    <w:rsid w:val="00751521"/>
    <w:rsid w:val="00751647"/>
    <w:rsid w:val="0075181F"/>
    <w:rsid w:val="00751BAC"/>
    <w:rsid w:val="00751CF8"/>
    <w:rsid w:val="00751D56"/>
    <w:rsid w:val="00751E50"/>
    <w:rsid w:val="0075235A"/>
    <w:rsid w:val="00752A10"/>
    <w:rsid w:val="00752B02"/>
    <w:rsid w:val="00752B89"/>
    <w:rsid w:val="00752BC2"/>
    <w:rsid w:val="00753169"/>
    <w:rsid w:val="007532B2"/>
    <w:rsid w:val="007536F0"/>
    <w:rsid w:val="0075374C"/>
    <w:rsid w:val="00753BA5"/>
    <w:rsid w:val="007542D0"/>
    <w:rsid w:val="0075457F"/>
    <w:rsid w:val="00754923"/>
    <w:rsid w:val="00754C3E"/>
    <w:rsid w:val="0075500F"/>
    <w:rsid w:val="00755127"/>
    <w:rsid w:val="00755278"/>
    <w:rsid w:val="0075550A"/>
    <w:rsid w:val="0075552B"/>
    <w:rsid w:val="0075555C"/>
    <w:rsid w:val="0075603A"/>
    <w:rsid w:val="0075608C"/>
    <w:rsid w:val="00756532"/>
    <w:rsid w:val="0075658E"/>
    <w:rsid w:val="007569FD"/>
    <w:rsid w:val="00756BCC"/>
    <w:rsid w:val="0075703B"/>
    <w:rsid w:val="00757074"/>
    <w:rsid w:val="00757094"/>
    <w:rsid w:val="007570A0"/>
    <w:rsid w:val="0075771B"/>
    <w:rsid w:val="00757E6A"/>
    <w:rsid w:val="00757EA6"/>
    <w:rsid w:val="00760213"/>
    <w:rsid w:val="00760216"/>
    <w:rsid w:val="0076032C"/>
    <w:rsid w:val="007607DA"/>
    <w:rsid w:val="0076098B"/>
    <w:rsid w:val="00760E00"/>
    <w:rsid w:val="00760F68"/>
    <w:rsid w:val="0076136E"/>
    <w:rsid w:val="00761429"/>
    <w:rsid w:val="00761608"/>
    <w:rsid w:val="00761681"/>
    <w:rsid w:val="00762075"/>
    <w:rsid w:val="00762627"/>
    <w:rsid w:val="00762793"/>
    <w:rsid w:val="007628CA"/>
    <w:rsid w:val="007631EA"/>
    <w:rsid w:val="00763339"/>
    <w:rsid w:val="00763355"/>
    <w:rsid w:val="007634B2"/>
    <w:rsid w:val="00763886"/>
    <w:rsid w:val="00763A62"/>
    <w:rsid w:val="00763B13"/>
    <w:rsid w:val="00763F61"/>
    <w:rsid w:val="00763FFF"/>
    <w:rsid w:val="007641C6"/>
    <w:rsid w:val="00764636"/>
    <w:rsid w:val="007647E7"/>
    <w:rsid w:val="00764815"/>
    <w:rsid w:val="0076496D"/>
    <w:rsid w:val="00764A94"/>
    <w:rsid w:val="00764BA6"/>
    <w:rsid w:val="00765314"/>
    <w:rsid w:val="00765528"/>
    <w:rsid w:val="007656C7"/>
    <w:rsid w:val="0076590F"/>
    <w:rsid w:val="007659ED"/>
    <w:rsid w:val="00765BFF"/>
    <w:rsid w:val="00765E9D"/>
    <w:rsid w:val="00765ED4"/>
    <w:rsid w:val="00765EEF"/>
    <w:rsid w:val="00765FCC"/>
    <w:rsid w:val="00766057"/>
    <w:rsid w:val="0076612A"/>
    <w:rsid w:val="0076613A"/>
    <w:rsid w:val="0076656D"/>
    <w:rsid w:val="00766636"/>
    <w:rsid w:val="00766673"/>
    <w:rsid w:val="007669E1"/>
    <w:rsid w:val="00766A49"/>
    <w:rsid w:val="00766DA3"/>
    <w:rsid w:val="00766DCB"/>
    <w:rsid w:val="00766DF2"/>
    <w:rsid w:val="00767247"/>
    <w:rsid w:val="007673E4"/>
    <w:rsid w:val="00767564"/>
    <w:rsid w:val="0076782E"/>
    <w:rsid w:val="00767925"/>
    <w:rsid w:val="00767BA1"/>
    <w:rsid w:val="00767E97"/>
    <w:rsid w:val="007702EA"/>
    <w:rsid w:val="00770619"/>
    <w:rsid w:val="00770669"/>
    <w:rsid w:val="007707F0"/>
    <w:rsid w:val="0077083D"/>
    <w:rsid w:val="00770847"/>
    <w:rsid w:val="007708FF"/>
    <w:rsid w:val="007710B3"/>
    <w:rsid w:val="0077110E"/>
    <w:rsid w:val="0077118A"/>
    <w:rsid w:val="007712DA"/>
    <w:rsid w:val="0077163F"/>
    <w:rsid w:val="00771AFA"/>
    <w:rsid w:val="0077251F"/>
    <w:rsid w:val="007729B6"/>
    <w:rsid w:val="00772B7F"/>
    <w:rsid w:val="00772B8C"/>
    <w:rsid w:val="00772D3F"/>
    <w:rsid w:val="00772E83"/>
    <w:rsid w:val="00773822"/>
    <w:rsid w:val="00773D16"/>
    <w:rsid w:val="00773DF0"/>
    <w:rsid w:val="007746F9"/>
    <w:rsid w:val="0077538B"/>
    <w:rsid w:val="0077560D"/>
    <w:rsid w:val="00775FF7"/>
    <w:rsid w:val="00776483"/>
    <w:rsid w:val="007768B9"/>
    <w:rsid w:val="007768BD"/>
    <w:rsid w:val="00776BB9"/>
    <w:rsid w:val="00776DE8"/>
    <w:rsid w:val="007778FD"/>
    <w:rsid w:val="00777D90"/>
    <w:rsid w:val="00777E39"/>
    <w:rsid w:val="00777F07"/>
    <w:rsid w:val="0078046E"/>
    <w:rsid w:val="00780603"/>
    <w:rsid w:val="00780689"/>
    <w:rsid w:val="007807E7"/>
    <w:rsid w:val="00780B66"/>
    <w:rsid w:val="00780BA5"/>
    <w:rsid w:val="00780FB8"/>
    <w:rsid w:val="0078102E"/>
    <w:rsid w:val="0078108D"/>
    <w:rsid w:val="0078117C"/>
    <w:rsid w:val="0078149B"/>
    <w:rsid w:val="00781509"/>
    <w:rsid w:val="00781731"/>
    <w:rsid w:val="00781BA5"/>
    <w:rsid w:val="00781DB4"/>
    <w:rsid w:val="00781F0E"/>
    <w:rsid w:val="00782233"/>
    <w:rsid w:val="00782377"/>
    <w:rsid w:val="00782726"/>
    <w:rsid w:val="0078283A"/>
    <w:rsid w:val="007828D8"/>
    <w:rsid w:val="00782B5F"/>
    <w:rsid w:val="0078317D"/>
    <w:rsid w:val="0078345D"/>
    <w:rsid w:val="007836CD"/>
    <w:rsid w:val="00783A39"/>
    <w:rsid w:val="00783EA6"/>
    <w:rsid w:val="0078426C"/>
    <w:rsid w:val="00784544"/>
    <w:rsid w:val="007846F3"/>
    <w:rsid w:val="007847EE"/>
    <w:rsid w:val="00784C2B"/>
    <w:rsid w:val="007850D6"/>
    <w:rsid w:val="007851FB"/>
    <w:rsid w:val="00785238"/>
    <w:rsid w:val="007852CA"/>
    <w:rsid w:val="007853C0"/>
    <w:rsid w:val="007853DC"/>
    <w:rsid w:val="007857B6"/>
    <w:rsid w:val="00785AEA"/>
    <w:rsid w:val="00785BB1"/>
    <w:rsid w:val="00785F6B"/>
    <w:rsid w:val="007860E7"/>
    <w:rsid w:val="00786380"/>
    <w:rsid w:val="0078640B"/>
    <w:rsid w:val="00786628"/>
    <w:rsid w:val="00786BEF"/>
    <w:rsid w:val="00786D19"/>
    <w:rsid w:val="00786F0E"/>
    <w:rsid w:val="00787248"/>
    <w:rsid w:val="007873D9"/>
    <w:rsid w:val="0078750D"/>
    <w:rsid w:val="007876F6"/>
    <w:rsid w:val="00787748"/>
    <w:rsid w:val="0078778C"/>
    <w:rsid w:val="00787B3E"/>
    <w:rsid w:val="00787EE8"/>
    <w:rsid w:val="00790292"/>
    <w:rsid w:val="00790648"/>
    <w:rsid w:val="00790744"/>
    <w:rsid w:val="00790B9C"/>
    <w:rsid w:val="00790D74"/>
    <w:rsid w:val="00790E40"/>
    <w:rsid w:val="007911AE"/>
    <w:rsid w:val="00791216"/>
    <w:rsid w:val="00791228"/>
    <w:rsid w:val="00791635"/>
    <w:rsid w:val="0079166C"/>
    <w:rsid w:val="0079191F"/>
    <w:rsid w:val="007919B0"/>
    <w:rsid w:val="007924A5"/>
    <w:rsid w:val="007924EE"/>
    <w:rsid w:val="007929CD"/>
    <w:rsid w:val="00792AA2"/>
    <w:rsid w:val="00793915"/>
    <w:rsid w:val="00793977"/>
    <w:rsid w:val="00793A08"/>
    <w:rsid w:val="00793A7D"/>
    <w:rsid w:val="00793D89"/>
    <w:rsid w:val="00793DD3"/>
    <w:rsid w:val="0079445F"/>
    <w:rsid w:val="00794647"/>
    <w:rsid w:val="0079464B"/>
    <w:rsid w:val="0079467D"/>
    <w:rsid w:val="00794853"/>
    <w:rsid w:val="00794976"/>
    <w:rsid w:val="00794B5E"/>
    <w:rsid w:val="00794F24"/>
    <w:rsid w:val="0079518A"/>
    <w:rsid w:val="007953A4"/>
    <w:rsid w:val="00795780"/>
    <w:rsid w:val="00795CE5"/>
    <w:rsid w:val="0079661F"/>
    <w:rsid w:val="00796802"/>
    <w:rsid w:val="0079689C"/>
    <w:rsid w:val="00796972"/>
    <w:rsid w:val="00796C5E"/>
    <w:rsid w:val="00796CFC"/>
    <w:rsid w:val="00797459"/>
    <w:rsid w:val="00797705"/>
    <w:rsid w:val="0079786A"/>
    <w:rsid w:val="007978CD"/>
    <w:rsid w:val="00797959"/>
    <w:rsid w:val="00797AAC"/>
    <w:rsid w:val="00797B19"/>
    <w:rsid w:val="00797DCF"/>
    <w:rsid w:val="007A012F"/>
    <w:rsid w:val="007A020F"/>
    <w:rsid w:val="007A0402"/>
    <w:rsid w:val="007A078A"/>
    <w:rsid w:val="007A07CF"/>
    <w:rsid w:val="007A0A38"/>
    <w:rsid w:val="007A0B9F"/>
    <w:rsid w:val="007A16AF"/>
    <w:rsid w:val="007A188E"/>
    <w:rsid w:val="007A19A5"/>
    <w:rsid w:val="007A1A72"/>
    <w:rsid w:val="007A1C30"/>
    <w:rsid w:val="007A1FB6"/>
    <w:rsid w:val="007A21FE"/>
    <w:rsid w:val="007A2A2D"/>
    <w:rsid w:val="007A2BC9"/>
    <w:rsid w:val="007A2C3E"/>
    <w:rsid w:val="007A3016"/>
    <w:rsid w:val="007A3031"/>
    <w:rsid w:val="007A30DF"/>
    <w:rsid w:val="007A324C"/>
    <w:rsid w:val="007A3386"/>
    <w:rsid w:val="007A38E4"/>
    <w:rsid w:val="007A395C"/>
    <w:rsid w:val="007A3D9A"/>
    <w:rsid w:val="007A415E"/>
    <w:rsid w:val="007A418A"/>
    <w:rsid w:val="007A49AB"/>
    <w:rsid w:val="007A4C19"/>
    <w:rsid w:val="007A4FBA"/>
    <w:rsid w:val="007A50AB"/>
    <w:rsid w:val="007A5383"/>
    <w:rsid w:val="007A5767"/>
    <w:rsid w:val="007A59B0"/>
    <w:rsid w:val="007A5BB6"/>
    <w:rsid w:val="007A5F4B"/>
    <w:rsid w:val="007A5FF5"/>
    <w:rsid w:val="007A60AF"/>
    <w:rsid w:val="007A63FF"/>
    <w:rsid w:val="007A6A78"/>
    <w:rsid w:val="007A6B31"/>
    <w:rsid w:val="007A6CD4"/>
    <w:rsid w:val="007A70EA"/>
    <w:rsid w:val="007A720E"/>
    <w:rsid w:val="007A7803"/>
    <w:rsid w:val="007A7AC9"/>
    <w:rsid w:val="007A7EFD"/>
    <w:rsid w:val="007B02BA"/>
    <w:rsid w:val="007B0A8A"/>
    <w:rsid w:val="007B0ABF"/>
    <w:rsid w:val="007B1179"/>
    <w:rsid w:val="007B159F"/>
    <w:rsid w:val="007B15B0"/>
    <w:rsid w:val="007B15CA"/>
    <w:rsid w:val="007B1C84"/>
    <w:rsid w:val="007B1CEF"/>
    <w:rsid w:val="007B1D59"/>
    <w:rsid w:val="007B2038"/>
    <w:rsid w:val="007B206E"/>
    <w:rsid w:val="007B22E2"/>
    <w:rsid w:val="007B242C"/>
    <w:rsid w:val="007B25E0"/>
    <w:rsid w:val="007B2745"/>
    <w:rsid w:val="007B27CA"/>
    <w:rsid w:val="007B2BB5"/>
    <w:rsid w:val="007B338D"/>
    <w:rsid w:val="007B33CE"/>
    <w:rsid w:val="007B3F46"/>
    <w:rsid w:val="007B3FCD"/>
    <w:rsid w:val="007B41B2"/>
    <w:rsid w:val="007B4366"/>
    <w:rsid w:val="007B4598"/>
    <w:rsid w:val="007B45A1"/>
    <w:rsid w:val="007B4628"/>
    <w:rsid w:val="007B489D"/>
    <w:rsid w:val="007B4E9C"/>
    <w:rsid w:val="007B4FCF"/>
    <w:rsid w:val="007B52FE"/>
    <w:rsid w:val="007B546E"/>
    <w:rsid w:val="007B5595"/>
    <w:rsid w:val="007B55BB"/>
    <w:rsid w:val="007B5798"/>
    <w:rsid w:val="007B57DE"/>
    <w:rsid w:val="007B5838"/>
    <w:rsid w:val="007B5A61"/>
    <w:rsid w:val="007B5BFE"/>
    <w:rsid w:val="007B5EDE"/>
    <w:rsid w:val="007B6566"/>
    <w:rsid w:val="007B65C8"/>
    <w:rsid w:val="007B68E5"/>
    <w:rsid w:val="007B6DFD"/>
    <w:rsid w:val="007B7769"/>
    <w:rsid w:val="007B7A34"/>
    <w:rsid w:val="007B7BB1"/>
    <w:rsid w:val="007B7BF0"/>
    <w:rsid w:val="007C00B5"/>
    <w:rsid w:val="007C05FF"/>
    <w:rsid w:val="007C0D0E"/>
    <w:rsid w:val="007C0E22"/>
    <w:rsid w:val="007C1635"/>
    <w:rsid w:val="007C1B06"/>
    <w:rsid w:val="007C1DF9"/>
    <w:rsid w:val="007C1FE2"/>
    <w:rsid w:val="007C2114"/>
    <w:rsid w:val="007C252C"/>
    <w:rsid w:val="007C2530"/>
    <w:rsid w:val="007C27F7"/>
    <w:rsid w:val="007C29D0"/>
    <w:rsid w:val="007C2B0B"/>
    <w:rsid w:val="007C323E"/>
    <w:rsid w:val="007C32FD"/>
    <w:rsid w:val="007C368A"/>
    <w:rsid w:val="007C37FE"/>
    <w:rsid w:val="007C476D"/>
    <w:rsid w:val="007C4A5E"/>
    <w:rsid w:val="007C5373"/>
    <w:rsid w:val="007C540C"/>
    <w:rsid w:val="007C540D"/>
    <w:rsid w:val="007C57F4"/>
    <w:rsid w:val="007C5D65"/>
    <w:rsid w:val="007C61F0"/>
    <w:rsid w:val="007C6237"/>
    <w:rsid w:val="007C6266"/>
    <w:rsid w:val="007C6453"/>
    <w:rsid w:val="007C65A6"/>
    <w:rsid w:val="007C65F4"/>
    <w:rsid w:val="007C690B"/>
    <w:rsid w:val="007C69B7"/>
    <w:rsid w:val="007C69DD"/>
    <w:rsid w:val="007C6BB9"/>
    <w:rsid w:val="007C6E3F"/>
    <w:rsid w:val="007C7063"/>
    <w:rsid w:val="007C70CC"/>
    <w:rsid w:val="007C7750"/>
    <w:rsid w:val="007C78C2"/>
    <w:rsid w:val="007C7E6C"/>
    <w:rsid w:val="007C7FA3"/>
    <w:rsid w:val="007D04E3"/>
    <w:rsid w:val="007D1370"/>
    <w:rsid w:val="007D13FE"/>
    <w:rsid w:val="007D144C"/>
    <w:rsid w:val="007D14BF"/>
    <w:rsid w:val="007D160A"/>
    <w:rsid w:val="007D1686"/>
    <w:rsid w:val="007D18FB"/>
    <w:rsid w:val="007D1AA9"/>
    <w:rsid w:val="007D1CEA"/>
    <w:rsid w:val="007D1DA0"/>
    <w:rsid w:val="007D20A6"/>
    <w:rsid w:val="007D27C1"/>
    <w:rsid w:val="007D2C8F"/>
    <w:rsid w:val="007D2E6B"/>
    <w:rsid w:val="007D3351"/>
    <w:rsid w:val="007D35BF"/>
    <w:rsid w:val="007D37CB"/>
    <w:rsid w:val="007D3B0E"/>
    <w:rsid w:val="007D3B79"/>
    <w:rsid w:val="007D41B6"/>
    <w:rsid w:val="007D4567"/>
    <w:rsid w:val="007D4646"/>
    <w:rsid w:val="007D4BD4"/>
    <w:rsid w:val="007D4DAE"/>
    <w:rsid w:val="007D4E1F"/>
    <w:rsid w:val="007D5185"/>
    <w:rsid w:val="007D52A6"/>
    <w:rsid w:val="007D5761"/>
    <w:rsid w:val="007D5BF9"/>
    <w:rsid w:val="007D5CCB"/>
    <w:rsid w:val="007D5CD8"/>
    <w:rsid w:val="007D5CE6"/>
    <w:rsid w:val="007D5F52"/>
    <w:rsid w:val="007D5FAF"/>
    <w:rsid w:val="007D6059"/>
    <w:rsid w:val="007D612B"/>
    <w:rsid w:val="007D6321"/>
    <w:rsid w:val="007D634C"/>
    <w:rsid w:val="007D65D6"/>
    <w:rsid w:val="007D66CB"/>
    <w:rsid w:val="007D6CAB"/>
    <w:rsid w:val="007D725B"/>
    <w:rsid w:val="007D751C"/>
    <w:rsid w:val="007D7740"/>
    <w:rsid w:val="007D7B4A"/>
    <w:rsid w:val="007D7BD2"/>
    <w:rsid w:val="007D7F4D"/>
    <w:rsid w:val="007DA645"/>
    <w:rsid w:val="007E082D"/>
    <w:rsid w:val="007E099E"/>
    <w:rsid w:val="007E0B35"/>
    <w:rsid w:val="007E0FA0"/>
    <w:rsid w:val="007E102A"/>
    <w:rsid w:val="007E121E"/>
    <w:rsid w:val="007E1426"/>
    <w:rsid w:val="007E1CEA"/>
    <w:rsid w:val="007E1FED"/>
    <w:rsid w:val="007E22C0"/>
    <w:rsid w:val="007E2394"/>
    <w:rsid w:val="007E26B6"/>
    <w:rsid w:val="007E28CF"/>
    <w:rsid w:val="007E2EC1"/>
    <w:rsid w:val="007E3330"/>
    <w:rsid w:val="007E3335"/>
    <w:rsid w:val="007E35A5"/>
    <w:rsid w:val="007E3B71"/>
    <w:rsid w:val="007E3D6C"/>
    <w:rsid w:val="007E3DB2"/>
    <w:rsid w:val="007E40BB"/>
    <w:rsid w:val="007E41BE"/>
    <w:rsid w:val="007E42D8"/>
    <w:rsid w:val="007E4378"/>
    <w:rsid w:val="007E440F"/>
    <w:rsid w:val="007E442D"/>
    <w:rsid w:val="007E496D"/>
    <w:rsid w:val="007E4970"/>
    <w:rsid w:val="007E4B40"/>
    <w:rsid w:val="007E4B48"/>
    <w:rsid w:val="007E4FAF"/>
    <w:rsid w:val="007E520D"/>
    <w:rsid w:val="007E547B"/>
    <w:rsid w:val="007E5757"/>
    <w:rsid w:val="007E5A4C"/>
    <w:rsid w:val="007E5D12"/>
    <w:rsid w:val="007E612D"/>
    <w:rsid w:val="007E61E5"/>
    <w:rsid w:val="007E623B"/>
    <w:rsid w:val="007E6256"/>
    <w:rsid w:val="007E6395"/>
    <w:rsid w:val="007E6790"/>
    <w:rsid w:val="007E6CD9"/>
    <w:rsid w:val="007E6D29"/>
    <w:rsid w:val="007E6ED9"/>
    <w:rsid w:val="007E6FE0"/>
    <w:rsid w:val="007E730A"/>
    <w:rsid w:val="007E747B"/>
    <w:rsid w:val="007E775F"/>
    <w:rsid w:val="007E7949"/>
    <w:rsid w:val="007E7A46"/>
    <w:rsid w:val="007F00DD"/>
    <w:rsid w:val="007F0B0D"/>
    <w:rsid w:val="007F0E02"/>
    <w:rsid w:val="007F1124"/>
    <w:rsid w:val="007F1471"/>
    <w:rsid w:val="007F1691"/>
    <w:rsid w:val="007F202F"/>
    <w:rsid w:val="007F226B"/>
    <w:rsid w:val="007F2584"/>
    <w:rsid w:val="007F3253"/>
    <w:rsid w:val="007F3258"/>
    <w:rsid w:val="007F3547"/>
    <w:rsid w:val="007F35F6"/>
    <w:rsid w:val="007F370E"/>
    <w:rsid w:val="007F3A13"/>
    <w:rsid w:val="007F3D7B"/>
    <w:rsid w:val="007F3DDF"/>
    <w:rsid w:val="007F3F61"/>
    <w:rsid w:val="007F40E0"/>
    <w:rsid w:val="007F447F"/>
    <w:rsid w:val="007F4502"/>
    <w:rsid w:val="007F49F1"/>
    <w:rsid w:val="007F4A5D"/>
    <w:rsid w:val="007F4EEA"/>
    <w:rsid w:val="007F50DA"/>
    <w:rsid w:val="007F5178"/>
    <w:rsid w:val="007F5196"/>
    <w:rsid w:val="007F5262"/>
    <w:rsid w:val="007F5459"/>
    <w:rsid w:val="007F55E9"/>
    <w:rsid w:val="007F5607"/>
    <w:rsid w:val="007F578E"/>
    <w:rsid w:val="007F582A"/>
    <w:rsid w:val="007F59F5"/>
    <w:rsid w:val="007F5ADD"/>
    <w:rsid w:val="007F5D4B"/>
    <w:rsid w:val="007F609A"/>
    <w:rsid w:val="007F621D"/>
    <w:rsid w:val="007F62E5"/>
    <w:rsid w:val="007F66A2"/>
    <w:rsid w:val="007F6A12"/>
    <w:rsid w:val="007F6C71"/>
    <w:rsid w:val="007F6DBE"/>
    <w:rsid w:val="007F6EB7"/>
    <w:rsid w:val="007F73B5"/>
    <w:rsid w:val="007F7462"/>
    <w:rsid w:val="007F74C7"/>
    <w:rsid w:val="007F7FEF"/>
    <w:rsid w:val="00800A28"/>
    <w:rsid w:val="00800A3F"/>
    <w:rsid w:val="00800CBF"/>
    <w:rsid w:val="00800DB3"/>
    <w:rsid w:val="00800E91"/>
    <w:rsid w:val="00800F50"/>
    <w:rsid w:val="008010C9"/>
    <w:rsid w:val="008011D0"/>
    <w:rsid w:val="00801257"/>
    <w:rsid w:val="008014D1"/>
    <w:rsid w:val="008015CC"/>
    <w:rsid w:val="00801722"/>
    <w:rsid w:val="00801920"/>
    <w:rsid w:val="00801ACC"/>
    <w:rsid w:val="008022F3"/>
    <w:rsid w:val="0080240C"/>
    <w:rsid w:val="00802F12"/>
    <w:rsid w:val="00802F24"/>
    <w:rsid w:val="0080329A"/>
    <w:rsid w:val="008033D1"/>
    <w:rsid w:val="008034D7"/>
    <w:rsid w:val="0080360E"/>
    <w:rsid w:val="008038B5"/>
    <w:rsid w:val="00803AC6"/>
    <w:rsid w:val="00803C26"/>
    <w:rsid w:val="00803DF0"/>
    <w:rsid w:val="00803E73"/>
    <w:rsid w:val="008042CA"/>
    <w:rsid w:val="00804315"/>
    <w:rsid w:val="00804345"/>
    <w:rsid w:val="0080438C"/>
    <w:rsid w:val="008043CF"/>
    <w:rsid w:val="0080467B"/>
    <w:rsid w:val="00804AFF"/>
    <w:rsid w:val="00804C59"/>
    <w:rsid w:val="00804FAA"/>
    <w:rsid w:val="00805235"/>
    <w:rsid w:val="0080548D"/>
    <w:rsid w:val="0080550A"/>
    <w:rsid w:val="00805AAE"/>
    <w:rsid w:val="00805E6D"/>
    <w:rsid w:val="00806144"/>
    <w:rsid w:val="0080665D"/>
    <w:rsid w:val="00806800"/>
    <w:rsid w:val="008068A0"/>
    <w:rsid w:val="008068A2"/>
    <w:rsid w:val="00806942"/>
    <w:rsid w:val="00806E1B"/>
    <w:rsid w:val="00806E46"/>
    <w:rsid w:val="00806F8D"/>
    <w:rsid w:val="0080735C"/>
    <w:rsid w:val="008076ED"/>
    <w:rsid w:val="00807741"/>
    <w:rsid w:val="00807BF6"/>
    <w:rsid w:val="00807C09"/>
    <w:rsid w:val="00807D91"/>
    <w:rsid w:val="00807F43"/>
    <w:rsid w:val="0081019E"/>
    <w:rsid w:val="008101D6"/>
    <w:rsid w:val="00810AAC"/>
    <w:rsid w:val="00810AF5"/>
    <w:rsid w:val="00810B53"/>
    <w:rsid w:val="00810CE7"/>
    <w:rsid w:val="00810E91"/>
    <w:rsid w:val="00811069"/>
    <w:rsid w:val="00811070"/>
    <w:rsid w:val="008110D4"/>
    <w:rsid w:val="008115F2"/>
    <w:rsid w:val="00811936"/>
    <w:rsid w:val="0081236F"/>
    <w:rsid w:val="008126E3"/>
    <w:rsid w:val="0081276F"/>
    <w:rsid w:val="0081282D"/>
    <w:rsid w:val="008129C2"/>
    <w:rsid w:val="00812BEA"/>
    <w:rsid w:val="00813032"/>
    <w:rsid w:val="00813073"/>
    <w:rsid w:val="00813A1C"/>
    <w:rsid w:val="00813DA2"/>
    <w:rsid w:val="00813F0B"/>
    <w:rsid w:val="008140B6"/>
    <w:rsid w:val="008143A7"/>
    <w:rsid w:val="008145C3"/>
    <w:rsid w:val="0081485D"/>
    <w:rsid w:val="00814F70"/>
    <w:rsid w:val="008153A1"/>
    <w:rsid w:val="008153EE"/>
    <w:rsid w:val="008156F3"/>
    <w:rsid w:val="008157FB"/>
    <w:rsid w:val="00815866"/>
    <w:rsid w:val="00816147"/>
    <w:rsid w:val="00816258"/>
    <w:rsid w:val="0081627A"/>
    <w:rsid w:val="0081627D"/>
    <w:rsid w:val="00816503"/>
    <w:rsid w:val="0081689A"/>
    <w:rsid w:val="00816974"/>
    <w:rsid w:val="008169E0"/>
    <w:rsid w:val="00816B52"/>
    <w:rsid w:val="00816B9D"/>
    <w:rsid w:val="008174B8"/>
    <w:rsid w:val="0081778E"/>
    <w:rsid w:val="00817B19"/>
    <w:rsid w:val="00817B66"/>
    <w:rsid w:val="00817B8F"/>
    <w:rsid w:val="0082015A"/>
    <w:rsid w:val="00820342"/>
    <w:rsid w:val="0082046B"/>
    <w:rsid w:val="00820567"/>
    <w:rsid w:val="008206A1"/>
    <w:rsid w:val="00820AA9"/>
    <w:rsid w:val="00820BB8"/>
    <w:rsid w:val="00820ED3"/>
    <w:rsid w:val="0082139B"/>
    <w:rsid w:val="008214C0"/>
    <w:rsid w:val="008217CD"/>
    <w:rsid w:val="00821843"/>
    <w:rsid w:val="0082191F"/>
    <w:rsid w:val="00821928"/>
    <w:rsid w:val="00822449"/>
    <w:rsid w:val="00822720"/>
    <w:rsid w:val="008227D4"/>
    <w:rsid w:val="0082286E"/>
    <w:rsid w:val="00822B67"/>
    <w:rsid w:val="00822B94"/>
    <w:rsid w:val="00822C7D"/>
    <w:rsid w:val="00822CDA"/>
    <w:rsid w:val="00822D57"/>
    <w:rsid w:val="008232F9"/>
    <w:rsid w:val="008234B6"/>
    <w:rsid w:val="008235D9"/>
    <w:rsid w:val="008235DC"/>
    <w:rsid w:val="00823795"/>
    <w:rsid w:val="008239CC"/>
    <w:rsid w:val="00823AC6"/>
    <w:rsid w:val="00823D7F"/>
    <w:rsid w:val="008249C6"/>
    <w:rsid w:val="00824E4B"/>
    <w:rsid w:val="00824E94"/>
    <w:rsid w:val="00825203"/>
    <w:rsid w:val="00825535"/>
    <w:rsid w:val="0082571B"/>
    <w:rsid w:val="00825972"/>
    <w:rsid w:val="00825AC5"/>
    <w:rsid w:val="00825F34"/>
    <w:rsid w:val="00825F46"/>
    <w:rsid w:val="00826341"/>
    <w:rsid w:val="0082670B"/>
    <w:rsid w:val="0082675E"/>
    <w:rsid w:val="00826A9E"/>
    <w:rsid w:val="00826B19"/>
    <w:rsid w:val="00826CF1"/>
    <w:rsid w:val="008273DE"/>
    <w:rsid w:val="00827A7D"/>
    <w:rsid w:val="00827C89"/>
    <w:rsid w:val="00827FCB"/>
    <w:rsid w:val="00827FEA"/>
    <w:rsid w:val="0083041F"/>
    <w:rsid w:val="00830428"/>
    <w:rsid w:val="00830A75"/>
    <w:rsid w:val="00830B8E"/>
    <w:rsid w:val="00830C47"/>
    <w:rsid w:val="00830DFB"/>
    <w:rsid w:val="00830F6F"/>
    <w:rsid w:val="00830FA6"/>
    <w:rsid w:val="008311CC"/>
    <w:rsid w:val="00831367"/>
    <w:rsid w:val="008314CF"/>
    <w:rsid w:val="008317C0"/>
    <w:rsid w:val="008317F4"/>
    <w:rsid w:val="008318CF"/>
    <w:rsid w:val="008319A1"/>
    <w:rsid w:val="008319F2"/>
    <w:rsid w:val="00831A1B"/>
    <w:rsid w:val="00831A34"/>
    <w:rsid w:val="00831C20"/>
    <w:rsid w:val="00832086"/>
    <w:rsid w:val="0083247B"/>
    <w:rsid w:val="008325B5"/>
    <w:rsid w:val="008325C9"/>
    <w:rsid w:val="008328CE"/>
    <w:rsid w:val="00832A42"/>
    <w:rsid w:val="00832A63"/>
    <w:rsid w:val="00832DDF"/>
    <w:rsid w:val="00832E18"/>
    <w:rsid w:val="00832FA6"/>
    <w:rsid w:val="0083364A"/>
    <w:rsid w:val="00834071"/>
    <w:rsid w:val="00834193"/>
    <w:rsid w:val="0083430B"/>
    <w:rsid w:val="00834388"/>
    <w:rsid w:val="00834608"/>
    <w:rsid w:val="008348C6"/>
    <w:rsid w:val="00834CC3"/>
    <w:rsid w:val="00834E83"/>
    <w:rsid w:val="008351A4"/>
    <w:rsid w:val="00835CB0"/>
    <w:rsid w:val="00835D4A"/>
    <w:rsid w:val="00835F31"/>
    <w:rsid w:val="00835F55"/>
    <w:rsid w:val="00836013"/>
    <w:rsid w:val="00836EF5"/>
    <w:rsid w:val="0083705E"/>
    <w:rsid w:val="008371C4"/>
    <w:rsid w:val="0083737B"/>
    <w:rsid w:val="00837442"/>
    <w:rsid w:val="0083771A"/>
    <w:rsid w:val="0083780B"/>
    <w:rsid w:val="00837AAA"/>
    <w:rsid w:val="00837C93"/>
    <w:rsid w:val="008401E8"/>
    <w:rsid w:val="00840200"/>
    <w:rsid w:val="008404E8"/>
    <w:rsid w:val="008409A5"/>
    <w:rsid w:val="00840BCC"/>
    <w:rsid w:val="0084118C"/>
    <w:rsid w:val="008412EF"/>
    <w:rsid w:val="00841318"/>
    <w:rsid w:val="00841EF3"/>
    <w:rsid w:val="00842683"/>
    <w:rsid w:val="00842704"/>
    <w:rsid w:val="008427BF"/>
    <w:rsid w:val="008427ED"/>
    <w:rsid w:val="00842D11"/>
    <w:rsid w:val="00842D91"/>
    <w:rsid w:val="00842E17"/>
    <w:rsid w:val="00842E39"/>
    <w:rsid w:val="00842F42"/>
    <w:rsid w:val="00842F4F"/>
    <w:rsid w:val="00843008"/>
    <w:rsid w:val="008431FA"/>
    <w:rsid w:val="008433CE"/>
    <w:rsid w:val="0084347B"/>
    <w:rsid w:val="008435E3"/>
    <w:rsid w:val="00843D81"/>
    <w:rsid w:val="00843F40"/>
    <w:rsid w:val="00843F5F"/>
    <w:rsid w:val="0084411A"/>
    <w:rsid w:val="008442BB"/>
    <w:rsid w:val="00844463"/>
    <w:rsid w:val="008444B8"/>
    <w:rsid w:val="008444CF"/>
    <w:rsid w:val="00844769"/>
    <w:rsid w:val="0084490F"/>
    <w:rsid w:val="00844A47"/>
    <w:rsid w:val="008450C1"/>
    <w:rsid w:val="008451D6"/>
    <w:rsid w:val="008452C8"/>
    <w:rsid w:val="008454FF"/>
    <w:rsid w:val="008457EB"/>
    <w:rsid w:val="008458F7"/>
    <w:rsid w:val="00845A1A"/>
    <w:rsid w:val="00845C8B"/>
    <w:rsid w:val="00845CE9"/>
    <w:rsid w:val="00846154"/>
    <w:rsid w:val="0084689F"/>
    <w:rsid w:val="008468A3"/>
    <w:rsid w:val="00846A57"/>
    <w:rsid w:val="00846AEC"/>
    <w:rsid w:val="008470F1"/>
    <w:rsid w:val="00847472"/>
    <w:rsid w:val="0084751C"/>
    <w:rsid w:val="0084789F"/>
    <w:rsid w:val="008478E5"/>
    <w:rsid w:val="00847C5E"/>
    <w:rsid w:val="00847DBF"/>
    <w:rsid w:val="00847E78"/>
    <w:rsid w:val="00850015"/>
    <w:rsid w:val="008500C5"/>
    <w:rsid w:val="0085013B"/>
    <w:rsid w:val="00850370"/>
    <w:rsid w:val="00850EB5"/>
    <w:rsid w:val="00850F78"/>
    <w:rsid w:val="008510C5"/>
    <w:rsid w:val="00851525"/>
    <w:rsid w:val="008515D6"/>
    <w:rsid w:val="00851BF5"/>
    <w:rsid w:val="00851E4C"/>
    <w:rsid w:val="00851EC3"/>
    <w:rsid w:val="008520A7"/>
    <w:rsid w:val="0085215C"/>
    <w:rsid w:val="0085221A"/>
    <w:rsid w:val="00852667"/>
    <w:rsid w:val="00852735"/>
    <w:rsid w:val="00852948"/>
    <w:rsid w:val="00852BFD"/>
    <w:rsid w:val="0085308F"/>
    <w:rsid w:val="0085339E"/>
    <w:rsid w:val="0085381B"/>
    <w:rsid w:val="00853C4A"/>
    <w:rsid w:val="0085411F"/>
    <w:rsid w:val="0085417A"/>
    <w:rsid w:val="008544DE"/>
    <w:rsid w:val="00854790"/>
    <w:rsid w:val="00854CDF"/>
    <w:rsid w:val="00854FCD"/>
    <w:rsid w:val="0085539E"/>
    <w:rsid w:val="00855700"/>
    <w:rsid w:val="00855793"/>
    <w:rsid w:val="008557DE"/>
    <w:rsid w:val="008558ED"/>
    <w:rsid w:val="00855CE3"/>
    <w:rsid w:val="00855D1C"/>
    <w:rsid w:val="00855FE3"/>
    <w:rsid w:val="00856051"/>
    <w:rsid w:val="00856659"/>
    <w:rsid w:val="008566C4"/>
    <w:rsid w:val="0085672F"/>
    <w:rsid w:val="00857354"/>
    <w:rsid w:val="00857374"/>
    <w:rsid w:val="0085738C"/>
    <w:rsid w:val="008574C2"/>
    <w:rsid w:val="008577B8"/>
    <w:rsid w:val="00857C8A"/>
    <w:rsid w:val="00857CA5"/>
    <w:rsid w:val="0085B8CC"/>
    <w:rsid w:val="0086014F"/>
    <w:rsid w:val="0086027C"/>
    <w:rsid w:val="00860376"/>
    <w:rsid w:val="008603B9"/>
    <w:rsid w:val="00860754"/>
    <w:rsid w:val="00860A91"/>
    <w:rsid w:val="00860CA6"/>
    <w:rsid w:val="00860D3C"/>
    <w:rsid w:val="00860DBA"/>
    <w:rsid w:val="00860EA1"/>
    <w:rsid w:val="00860F0B"/>
    <w:rsid w:val="008611AC"/>
    <w:rsid w:val="00861597"/>
    <w:rsid w:val="00861865"/>
    <w:rsid w:val="008619F2"/>
    <w:rsid w:val="00861C2A"/>
    <w:rsid w:val="00861CC1"/>
    <w:rsid w:val="00861EB6"/>
    <w:rsid w:val="008623A0"/>
    <w:rsid w:val="00862694"/>
    <w:rsid w:val="008627E5"/>
    <w:rsid w:val="00862A87"/>
    <w:rsid w:val="00863126"/>
    <w:rsid w:val="008633AE"/>
    <w:rsid w:val="00863738"/>
    <w:rsid w:val="008639F3"/>
    <w:rsid w:val="00863B45"/>
    <w:rsid w:val="00863CBF"/>
    <w:rsid w:val="00863E3D"/>
    <w:rsid w:val="0086473B"/>
    <w:rsid w:val="0086474E"/>
    <w:rsid w:val="00864FA7"/>
    <w:rsid w:val="00865686"/>
    <w:rsid w:val="0086591C"/>
    <w:rsid w:val="00865F0C"/>
    <w:rsid w:val="008661EB"/>
    <w:rsid w:val="008667F9"/>
    <w:rsid w:val="008669AB"/>
    <w:rsid w:val="00866BCB"/>
    <w:rsid w:val="008674A0"/>
    <w:rsid w:val="0086750E"/>
    <w:rsid w:val="00867795"/>
    <w:rsid w:val="008679E3"/>
    <w:rsid w:val="00867E23"/>
    <w:rsid w:val="00867FA1"/>
    <w:rsid w:val="008700D1"/>
    <w:rsid w:val="008705F2"/>
    <w:rsid w:val="00870795"/>
    <w:rsid w:val="00870D6D"/>
    <w:rsid w:val="00871247"/>
    <w:rsid w:val="00871543"/>
    <w:rsid w:val="00871640"/>
    <w:rsid w:val="00871890"/>
    <w:rsid w:val="00871C12"/>
    <w:rsid w:val="00871EEA"/>
    <w:rsid w:val="00872021"/>
    <w:rsid w:val="0087228E"/>
    <w:rsid w:val="008722C4"/>
    <w:rsid w:val="008724C2"/>
    <w:rsid w:val="0087277A"/>
    <w:rsid w:val="0087296B"/>
    <w:rsid w:val="008731E2"/>
    <w:rsid w:val="0087337F"/>
    <w:rsid w:val="00873791"/>
    <w:rsid w:val="0087386F"/>
    <w:rsid w:val="00873877"/>
    <w:rsid w:val="0087405B"/>
    <w:rsid w:val="00874121"/>
    <w:rsid w:val="008743A5"/>
    <w:rsid w:val="00874604"/>
    <w:rsid w:val="008746C8"/>
    <w:rsid w:val="00874A40"/>
    <w:rsid w:val="00874B1F"/>
    <w:rsid w:val="00874BE0"/>
    <w:rsid w:val="00874E2C"/>
    <w:rsid w:val="00874F3B"/>
    <w:rsid w:val="00875792"/>
    <w:rsid w:val="0087590C"/>
    <w:rsid w:val="0087594E"/>
    <w:rsid w:val="0087597A"/>
    <w:rsid w:val="00875AEE"/>
    <w:rsid w:val="00875CF4"/>
    <w:rsid w:val="00875D1F"/>
    <w:rsid w:val="00876109"/>
    <w:rsid w:val="0087656F"/>
    <w:rsid w:val="008765E4"/>
    <w:rsid w:val="008768CD"/>
    <w:rsid w:val="00876A43"/>
    <w:rsid w:val="00876DF4"/>
    <w:rsid w:val="00877175"/>
    <w:rsid w:val="008773BC"/>
    <w:rsid w:val="00877974"/>
    <w:rsid w:val="00877A9B"/>
    <w:rsid w:val="00877FC0"/>
    <w:rsid w:val="00877FFC"/>
    <w:rsid w:val="00880075"/>
    <w:rsid w:val="008800F9"/>
    <w:rsid w:val="00880102"/>
    <w:rsid w:val="0088016D"/>
    <w:rsid w:val="00880262"/>
    <w:rsid w:val="008803EA"/>
    <w:rsid w:val="008804F8"/>
    <w:rsid w:val="00880518"/>
    <w:rsid w:val="00880CD0"/>
    <w:rsid w:val="00880E60"/>
    <w:rsid w:val="00881301"/>
    <w:rsid w:val="00881308"/>
    <w:rsid w:val="008814EC"/>
    <w:rsid w:val="008816A1"/>
    <w:rsid w:val="008816F6"/>
    <w:rsid w:val="00881D44"/>
    <w:rsid w:val="00881DC5"/>
    <w:rsid w:val="008826B1"/>
    <w:rsid w:val="008827D0"/>
    <w:rsid w:val="00882825"/>
    <w:rsid w:val="008828AD"/>
    <w:rsid w:val="00882922"/>
    <w:rsid w:val="00882C33"/>
    <w:rsid w:val="00882CC5"/>
    <w:rsid w:val="0088333D"/>
    <w:rsid w:val="008834A3"/>
    <w:rsid w:val="00883567"/>
    <w:rsid w:val="00883599"/>
    <w:rsid w:val="0088365F"/>
    <w:rsid w:val="008837CA"/>
    <w:rsid w:val="008837D9"/>
    <w:rsid w:val="008838BC"/>
    <w:rsid w:val="00883F43"/>
    <w:rsid w:val="0088430A"/>
    <w:rsid w:val="008847EE"/>
    <w:rsid w:val="00884860"/>
    <w:rsid w:val="008849D6"/>
    <w:rsid w:val="00884FE1"/>
    <w:rsid w:val="008850E5"/>
    <w:rsid w:val="00885343"/>
    <w:rsid w:val="008855AB"/>
    <w:rsid w:val="0088563C"/>
    <w:rsid w:val="0088564B"/>
    <w:rsid w:val="008858F5"/>
    <w:rsid w:val="00885BE8"/>
    <w:rsid w:val="00885DDC"/>
    <w:rsid w:val="00886046"/>
    <w:rsid w:val="008860B7"/>
    <w:rsid w:val="0088644B"/>
    <w:rsid w:val="008864BE"/>
    <w:rsid w:val="0088673B"/>
    <w:rsid w:val="00886930"/>
    <w:rsid w:val="00886985"/>
    <w:rsid w:val="00886CC4"/>
    <w:rsid w:val="00886D6B"/>
    <w:rsid w:val="00886D72"/>
    <w:rsid w:val="00886EE5"/>
    <w:rsid w:val="00886FEB"/>
    <w:rsid w:val="00887205"/>
    <w:rsid w:val="00887418"/>
    <w:rsid w:val="00887992"/>
    <w:rsid w:val="00890068"/>
    <w:rsid w:val="0089007E"/>
    <w:rsid w:val="008902C3"/>
    <w:rsid w:val="008904D8"/>
    <w:rsid w:val="0089092B"/>
    <w:rsid w:val="008909D9"/>
    <w:rsid w:val="008913F7"/>
    <w:rsid w:val="00891552"/>
    <w:rsid w:val="0089156D"/>
    <w:rsid w:val="008917CD"/>
    <w:rsid w:val="00891A94"/>
    <w:rsid w:val="00891C36"/>
    <w:rsid w:val="00891FD5"/>
    <w:rsid w:val="0089219B"/>
    <w:rsid w:val="00892432"/>
    <w:rsid w:val="00892658"/>
    <w:rsid w:val="00892BF3"/>
    <w:rsid w:val="00892DF3"/>
    <w:rsid w:val="00892FE9"/>
    <w:rsid w:val="008931EE"/>
    <w:rsid w:val="00893238"/>
    <w:rsid w:val="00893348"/>
    <w:rsid w:val="008935DD"/>
    <w:rsid w:val="00893876"/>
    <w:rsid w:val="00893AD2"/>
    <w:rsid w:val="00893F02"/>
    <w:rsid w:val="0089408B"/>
    <w:rsid w:val="008940A1"/>
    <w:rsid w:val="00894221"/>
    <w:rsid w:val="0089456B"/>
    <w:rsid w:val="00894796"/>
    <w:rsid w:val="00894C62"/>
    <w:rsid w:val="00894E8A"/>
    <w:rsid w:val="0089531B"/>
    <w:rsid w:val="00895C64"/>
    <w:rsid w:val="00895DD1"/>
    <w:rsid w:val="008960BB"/>
    <w:rsid w:val="00896781"/>
    <w:rsid w:val="00896AA1"/>
    <w:rsid w:val="00896C89"/>
    <w:rsid w:val="00896D04"/>
    <w:rsid w:val="00896DD8"/>
    <w:rsid w:val="00896EB7"/>
    <w:rsid w:val="00897135"/>
    <w:rsid w:val="008975A2"/>
    <w:rsid w:val="008975A6"/>
    <w:rsid w:val="008975E7"/>
    <w:rsid w:val="00897694"/>
    <w:rsid w:val="00897814"/>
    <w:rsid w:val="00897900"/>
    <w:rsid w:val="0089799A"/>
    <w:rsid w:val="00897B49"/>
    <w:rsid w:val="00897C3A"/>
    <w:rsid w:val="008A073E"/>
    <w:rsid w:val="008A0941"/>
    <w:rsid w:val="008A0EDD"/>
    <w:rsid w:val="008A1109"/>
    <w:rsid w:val="008A1362"/>
    <w:rsid w:val="008A14ED"/>
    <w:rsid w:val="008A1AD3"/>
    <w:rsid w:val="008A1B26"/>
    <w:rsid w:val="008A216A"/>
    <w:rsid w:val="008A23D4"/>
    <w:rsid w:val="008A2F03"/>
    <w:rsid w:val="008A30C1"/>
    <w:rsid w:val="008A33C3"/>
    <w:rsid w:val="008A37FC"/>
    <w:rsid w:val="008A40CC"/>
    <w:rsid w:val="008A448B"/>
    <w:rsid w:val="008A4688"/>
    <w:rsid w:val="008A4B1E"/>
    <w:rsid w:val="008A4B9F"/>
    <w:rsid w:val="008A5178"/>
    <w:rsid w:val="008A51D5"/>
    <w:rsid w:val="008A54B0"/>
    <w:rsid w:val="008A566E"/>
    <w:rsid w:val="008A59D3"/>
    <w:rsid w:val="008A5AC0"/>
    <w:rsid w:val="008A5BEE"/>
    <w:rsid w:val="008A5D01"/>
    <w:rsid w:val="008A5F0D"/>
    <w:rsid w:val="008A6239"/>
    <w:rsid w:val="008A6276"/>
    <w:rsid w:val="008A62F2"/>
    <w:rsid w:val="008A6339"/>
    <w:rsid w:val="008A6471"/>
    <w:rsid w:val="008A64B4"/>
    <w:rsid w:val="008A6859"/>
    <w:rsid w:val="008A6924"/>
    <w:rsid w:val="008A6939"/>
    <w:rsid w:val="008A6D3A"/>
    <w:rsid w:val="008A6F92"/>
    <w:rsid w:val="008A725E"/>
    <w:rsid w:val="008A7439"/>
    <w:rsid w:val="008A7458"/>
    <w:rsid w:val="008A758B"/>
    <w:rsid w:val="008A7623"/>
    <w:rsid w:val="008A7BF7"/>
    <w:rsid w:val="008A7C92"/>
    <w:rsid w:val="008A7D09"/>
    <w:rsid w:val="008A7E0A"/>
    <w:rsid w:val="008B021C"/>
    <w:rsid w:val="008B0979"/>
    <w:rsid w:val="008B0D10"/>
    <w:rsid w:val="008B0E07"/>
    <w:rsid w:val="008B0EC7"/>
    <w:rsid w:val="008B0FA5"/>
    <w:rsid w:val="008B1046"/>
    <w:rsid w:val="008B1192"/>
    <w:rsid w:val="008B1944"/>
    <w:rsid w:val="008B1AD9"/>
    <w:rsid w:val="008B2037"/>
    <w:rsid w:val="008B2277"/>
    <w:rsid w:val="008B22F1"/>
    <w:rsid w:val="008B2487"/>
    <w:rsid w:val="008B286F"/>
    <w:rsid w:val="008B2FEB"/>
    <w:rsid w:val="008B3583"/>
    <w:rsid w:val="008B3685"/>
    <w:rsid w:val="008B4110"/>
    <w:rsid w:val="008B411B"/>
    <w:rsid w:val="008B4128"/>
    <w:rsid w:val="008B46CF"/>
    <w:rsid w:val="008B47D1"/>
    <w:rsid w:val="008B4C80"/>
    <w:rsid w:val="008B4F91"/>
    <w:rsid w:val="008B4FEF"/>
    <w:rsid w:val="008B51D6"/>
    <w:rsid w:val="008B5505"/>
    <w:rsid w:val="008B5A81"/>
    <w:rsid w:val="008B5ACB"/>
    <w:rsid w:val="008B62E9"/>
    <w:rsid w:val="008B63E3"/>
    <w:rsid w:val="008B6504"/>
    <w:rsid w:val="008B675D"/>
    <w:rsid w:val="008B6890"/>
    <w:rsid w:val="008B6A08"/>
    <w:rsid w:val="008B6AEB"/>
    <w:rsid w:val="008B71E0"/>
    <w:rsid w:val="008B729A"/>
    <w:rsid w:val="008B734E"/>
    <w:rsid w:val="008B7470"/>
    <w:rsid w:val="008B7C9A"/>
    <w:rsid w:val="008B7CB5"/>
    <w:rsid w:val="008B7FB8"/>
    <w:rsid w:val="008C0B65"/>
    <w:rsid w:val="008C0C68"/>
    <w:rsid w:val="008C0F45"/>
    <w:rsid w:val="008C19A0"/>
    <w:rsid w:val="008C1B03"/>
    <w:rsid w:val="008C1C4F"/>
    <w:rsid w:val="008C2109"/>
    <w:rsid w:val="008C2171"/>
    <w:rsid w:val="008C285E"/>
    <w:rsid w:val="008C2D68"/>
    <w:rsid w:val="008C2DCF"/>
    <w:rsid w:val="008C2F13"/>
    <w:rsid w:val="008C3138"/>
    <w:rsid w:val="008C32AA"/>
    <w:rsid w:val="008C3421"/>
    <w:rsid w:val="008C3B52"/>
    <w:rsid w:val="008C3B6B"/>
    <w:rsid w:val="008C3DAC"/>
    <w:rsid w:val="008C3DD0"/>
    <w:rsid w:val="008C4218"/>
    <w:rsid w:val="008C44CA"/>
    <w:rsid w:val="008C44E0"/>
    <w:rsid w:val="008C4976"/>
    <w:rsid w:val="008C4A8E"/>
    <w:rsid w:val="008C4CAA"/>
    <w:rsid w:val="008C4DC2"/>
    <w:rsid w:val="008C4E26"/>
    <w:rsid w:val="008C5010"/>
    <w:rsid w:val="008C542C"/>
    <w:rsid w:val="008C5453"/>
    <w:rsid w:val="008C5AC8"/>
    <w:rsid w:val="008C5C91"/>
    <w:rsid w:val="008C5D3B"/>
    <w:rsid w:val="008C5F9F"/>
    <w:rsid w:val="008C5FF0"/>
    <w:rsid w:val="008C622D"/>
    <w:rsid w:val="008C6230"/>
    <w:rsid w:val="008C6566"/>
    <w:rsid w:val="008C66A6"/>
    <w:rsid w:val="008C67F2"/>
    <w:rsid w:val="008C6AC1"/>
    <w:rsid w:val="008C6B12"/>
    <w:rsid w:val="008C6C8F"/>
    <w:rsid w:val="008C7137"/>
    <w:rsid w:val="008C7341"/>
    <w:rsid w:val="008C73AF"/>
    <w:rsid w:val="008C77FD"/>
    <w:rsid w:val="008C7B17"/>
    <w:rsid w:val="008C7CCD"/>
    <w:rsid w:val="008C7E85"/>
    <w:rsid w:val="008C7EE5"/>
    <w:rsid w:val="008D002D"/>
    <w:rsid w:val="008D01E6"/>
    <w:rsid w:val="008D06F5"/>
    <w:rsid w:val="008D0F56"/>
    <w:rsid w:val="008D1126"/>
    <w:rsid w:val="008D11D1"/>
    <w:rsid w:val="008D1871"/>
    <w:rsid w:val="008D1A21"/>
    <w:rsid w:val="008D1A58"/>
    <w:rsid w:val="008D1AC3"/>
    <w:rsid w:val="008D1E05"/>
    <w:rsid w:val="008D1EAC"/>
    <w:rsid w:val="008D1FC1"/>
    <w:rsid w:val="008D24FE"/>
    <w:rsid w:val="008D28ED"/>
    <w:rsid w:val="008D29DE"/>
    <w:rsid w:val="008D2B7C"/>
    <w:rsid w:val="008D2F8D"/>
    <w:rsid w:val="008D33B4"/>
    <w:rsid w:val="008D341E"/>
    <w:rsid w:val="008D3DB3"/>
    <w:rsid w:val="008D4120"/>
    <w:rsid w:val="008D4140"/>
    <w:rsid w:val="008D4B43"/>
    <w:rsid w:val="008D5226"/>
    <w:rsid w:val="008D5580"/>
    <w:rsid w:val="008D574C"/>
    <w:rsid w:val="008D66AA"/>
    <w:rsid w:val="008D6B34"/>
    <w:rsid w:val="008D6B7D"/>
    <w:rsid w:val="008D6BAC"/>
    <w:rsid w:val="008D7023"/>
    <w:rsid w:val="008D705C"/>
    <w:rsid w:val="008D7258"/>
    <w:rsid w:val="008D74A6"/>
    <w:rsid w:val="008D74C8"/>
    <w:rsid w:val="008D79F6"/>
    <w:rsid w:val="008D7AE9"/>
    <w:rsid w:val="008D7BB8"/>
    <w:rsid w:val="008E0033"/>
    <w:rsid w:val="008E021F"/>
    <w:rsid w:val="008E03C5"/>
    <w:rsid w:val="008E052F"/>
    <w:rsid w:val="008E0627"/>
    <w:rsid w:val="008E073E"/>
    <w:rsid w:val="008E0CC6"/>
    <w:rsid w:val="008E0CF9"/>
    <w:rsid w:val="008E0D18"/>
    <w:rsid w:val="008E1328"/>
    <w:rsid w:val="008E149D"/>
    <w:rsid w:val="008E177A"/>
    <w:rsid w:val="008E1844"/>
    <w:rsid w:val="008E2034"/>
    <w:rsid w:val="008E26DD"/>
    <w:rsid w:val="008E299A"/>
    <w:rsid w:val="008E2B1D"/>
    <w:rsid w:val="008E2EFE"/>
    <w:rsid w:val="008E373D"/>
    <w:rsid w:val="008E3759"/>
    <w:rsid w:val="008E3A77"/>
    <w:rsid w:val="008E3D03"/>
    <w:rsid w:val="008E3E5D"/>
    <w:rsid w:val="008E3F16"/>
    <w:rsid w:val="008E3FC0"/>
    <w:rsid w:val="008E40DF"/>
    <w:rsid w:val="008E423E"/>
    <w:rsid w:val="008E430C"/>
    <w:rsid w:val="008E4340"/>
    <w:rsid w:val="008E48AE"/>
    <w:rsid w:val="008E4971"/>
    <w:rsid w:val="008E5164"/>
    <w:rsid w:val="008E53B1"/>
    <w:rsid w:val="008E54A1"/>
    <w:rsid w:val="008E551D"/>
    <w:rsid w:val="008E56A9"/>
    <w:rsid w:val="008E58CD"/>
    <w:rsid w:val="008E58D0"/>
    <w:rsid w:val="008E5A29"/>
    <w:rsid w:val="008E65A6"/>
    <w:rsid w:val="008E665F"/>
    <w:rsid w:val="008E67C0"/>
    <w:rsid w:val="008E6BE4"/>
    <w:rsid w:val="008E6E6A"/>
    <w:rsid w:val="008E6EF4"/>
    <w:rsid w:val="008E7A7E"/>
    <w:rsid w:val="008E7E1C"/>
    <w:rsid w:val="008E7F37"/>
    <w:rsid w:val="008E7FC3"/>
    <w:rsid w:val="008F05FE"/>
    <w:rsid w:val="008F071B"/>
    <w:rsid w:val="008F086C"/>
    <w:rsid w:val="008F0A00"/>
    <w:rsid w:val="008F0C66"/>
    <w:rsid w:val="008F1086"/>
    <w:rsid w:val="008F168D"/>
    <w:rsid w:val="008F18C3"/>
    <w:rsid w:val="008F1B13"/>
    <w:rsid w:val="008F1B52"/>
    <w:rsid w:val="008F1BD3"/>
    <w:rsid w:val="008F1CB8"/>
    <w:rsid w:val="008F1FB4"/>
    <w:rsid w:val="008F2214"/>
    <w:rsid w:val="008F22EC"/>
    <w:rsid w:val="008F2747"/>
    <w:rsid w:val="008F2912"/>
    <w:rsid w:val="008F29C2"/>
    <w:rsid w:val="008F2AFC"/>
    <w:rsid w:val="008F33F3"/>
    <w:rsid w:val="008F36C1"/>
    <w:rsid w:val="008F3962"/>
    <w:rsid w:val="008F3D9A"/>
    <w:rsid w:val="008F40C9"/>
    <w:rsid w:val="008F4581"/>
    <w:rsid w:val="008F45F3"/>
    <w:rsid w:val="008F45FD"/>
    <w:rsid w:val="008F486D"/>
    <w:rsid w:val="008F48B8"/>
    <w:rsid w:val="008F4917"/>
    <w:rsid w:val="008F4BAE"/>
    <w:rsid w:val="008F4CA9"/>
    <w:rsid w:val="008F5538"/>
    <w:rsid w:val="008F5B6A"/>
    <w:rsid w:val="008F6629"/>
    <w:rsid w:val="008F6888"/>
    <w:rsid w:val="008F69D8"/>
    <w:rsid w:val="008F6A0B"/>
    <w:rsid w:val="008F6B42"/>
    <w:rsid w:val="008F6FCC"/>
    <w:rsid w:val="008F70EC"/>
    <w:rsid w:val="008F7C9E"/>
    <w:rsid w:val="0090016A"/>
    <w:rsid w:val="0090025B"/>
    <w:rsid w:val="0090045F"/>
    <w:rsid w:val="0090067A"/>
    <w:rsid w:val="00900854"/>
    <w:rsid w:val="00900F87"/>
    <w:rsid w:val="00900FA3"/>
    <w:rsid w:val="009011F3"/>
    <w:rsid w:val="0090130A"/>
    <w:rsid w:val="009019F8"/>
    <w:rsid w:val="00902996"/>
    <w:rsid w:val="00902BE5"/>
    <w:rsid w:val="00902E3E"/>
    <w:rsid w:val="00903014"/>
    <w:rsid w:val="009030AD"/>
    <w:rsid w:val="009032A5"/>
    <w:rsid w:val="0090354A"/>
    <w:rsid w:val="00903BD5"/>
    <w:rsid w:val="00903D9F"/>
    <w:rsid w:val="00903F32"/>
    <w:rsid w:val="009040AF"/>
    <w:rsid w:val="00904810"/>
    <w:rsid w:val="00904D3D"/>
    <w:rsid w:val="00904DC1"/>
    <w:rsid w:val="00904E93"/>
    <w:rsid w:val="00905384"/>
    <w:rsid w:val="0090584A"/>
    <w:rsid w:val="00905C7A"/>
    <w:rsid w:val="00905DC2"/>
    <w:rsid w:val="009061CF"/>
    <w:rsid w:val="009064FC"/>
    <w:rsid w:val="00906C61"/>
    <w:rsid w:val="00907330"/>
    <w:rsid w:val="009074EB"/>
    <w:rsid w:val="00907999"/>
    <w:rsid w:val="00907C21"/>
    <w:rsid w:val="00907DC1"/>
    <w:rsid w:val="009105D3"/>
    <w:rsid w:val="00910662"/>
    <w:rsid w:val="00910916"/>
    <w:rsid w:val="009109FC"/>
    <w:rsid w:val="00910A83"/>
    <w:rsid w:val="00910BFE"/>
    <w:rsid w:val="00910D6B"/>
    <w:rsid w:val="00911203"/>
    <w:rsid w:val="00911399"/>
    <w:rsid w:val="00911665"/>
    <w:rsid w:val="00911685"/>
    <w:rsid w:val="00911B67"/>
    <w:rsid w:val="00912959"/>
    <w:rsid w:val="009129DB"/>
    <w:rsid w:val="00913032"/>
    <w:rsid w:val="0091318F"/>
    <w:rsid w:val="0091345E"/>
    <w:rsid w:val="00913464"/>
    <w:rsid w:val="009135EE"/>
    <w:rsid w:val="00913C2B"/>
    <w:rsid w:val="00913C88"/>
    <w:rsid w:val="009146A6"/>
    <w:rsid w:val="00914AED"/>
    <w:rsid w:val="00914E24"/>
    <w:rsid w:val="009155F9"/>
    <w:rsid w:val="00915B51"/>
    <w:rsid w:val="0091630D"/>
    <w:rsid w:val="009165E7"/>
    <w:rsid w:val="00916A26"/>
    <w:rsid w:val="00916AAD"/>
    <w:rsid w:val="00916D24"/>
    <w:rsid w:val="00916EE8"/>
    <w:rsid w:val="00917127"/>
    <w:rsid w:val="009172EB"/>
    <w:rsid w:val="00917C26"/>
    <w:rsid w:val="00917D5B"/>
    <w:rsid w:val="009201BA"/>
    <w:rsid w:val="00920525"/>
    <w:rsid w:val="00920600"/>
    <w:rsid w:val="009207E2"/>
    <w:rsid w:val="00920B58"/>
    <w:rsid w:val="00920C40"/>
    <w:rsid w:val="00920DC1"/>
    <w:rsid w:val="00920FBD"/>
    <w:rsid w:val="00921052"/>
    <w:rsid w:val="009212E6"/>
    <w:rsid w:val="009215B0"/>
    <w:rsid w:val="00921613"/>
    <w:rsid w:val="0092188F"/>
    <w:rsid w:val="00921EA8"/>
    <w:rsid w:val="00922212"/>
    <w:rsid w:val="0092272F"/>
    <w:rsid w:val="00922740"/>
    <w:rsid w:val="0092298D"/>
    <w:rsid w:val="00922D27"/>
    <w:rsid w:val="0092311F"/>
    <w:rsid w:val="00923421"/>
    <w:rsid w:val="00923428"/>
    <w:rsid w:val="009239C9"/>
    <w:rsid w:val="00923BC7"/>
    <w:rsid w:val="00923C30"/>
    <w:rsid w:val="00923CC4"/>
    <w:rsid w:val="009240D0"/>
    <w:rsid w:val="009243A4"/>
    <w:rsid w:val="009243E9"/>
    <w:rsid w:val="00924475"/>
    <w:rsid w:val="00924D24"/>
    <w:rsid w:val="00925098"/>
    <w:rsid w:val="00925171"/>
    <w:rsid w:val="0092525F"/>
    <w:rsid w:val="0092544D"/>
    <w:rsid w:val="00925879"/>
    <w:rsid w:val="00925BAA"/>
    <w:rsid w:val="00925D15"/>
    <w:rsid w:val="00925E07"/>
    <w:rsid w:val="00925E6D"/>
    <w:rsid w:val="00925F4D"/>
    <w:rsid w:val="00926240"/>
    <w:rsid w:val="0092625C"/>
    <w:rsid w:val="009266D7"/>
    <w:rsid w:val="00926999"/>
    <w:rsid w:val="00926ABE"/>
    <w:rsid w:val="00926F1F"/>
    <w:rsid w:val="009270AD"/>
    <w:rsid w:val="009275B0"/>
    <w:rsid w:val="00927729"/>
    <w:rsid w:val="00927BE4"/>
    <w:rsid w:val="00927CC2"/>
    <w:rsid w:val="00927D99"/>
    <w:rsid w:val="00930241"/>
    <w:rsid w:val="0093037B"/>
    <w:rsid w:val="009304CD"/>
    <w:rsid w:val="00930A6A"/>
    <w:rsid w:val="00931166"/>
    <w:rsid w:val="0093119C"/>
    <w:rsid w:val="009316BC"/>
    <w:rsid w:val="00931857"/>
    <w:rsid w:val="00931B09"/>
    <w:rsid w:val="009320A1"/>
    <w:rsid w:val="009323A6"/>
    <w:rsid w:val="00932477"/>
    <w:rsid w:val="00932822"/>
    <w:rsid w:val="00932996"/>
    <w:rsid w:val="00932B8A"/>
    <w:rsid w:val="00932BE3"/>
    <w:rsid w:val="00933300"/>
    <w:rsid w:val="00933377"/>
    <w:rsid w:val="00933477"/>
    <w:rsid w:val="0093367E"/>
    <w:rsid w:val="00933895"/>
    <w:rsid w:val="00933BCA"/>
    <w:rsid w:val="009343C2"/>
    <w:rsid w:val="0093452C"/>
    <w:rsid w:val="00934A0C"/>
    <w:rsid w:val="00934C55"/>
    <w:rsid w:val="00934C88"/>
    <w:rsid w:val="00934FC9"/>
    <w:rsid w:val="0093509E"/>
    <w:rsid w:val="0093548B"/>
    <w:rsid w:val="00935709"/>
    <w:rsid w:val="00935B9E"/>
    <w:rsid w:val="00935D00"/>
    <w:rsid w:val="00935EC2"/>
    <w:rsid w:val="00935FD7"/>
    <w:rsid w:val="00936C81"/>
    <w:rsid w:val="00936EC5"/>
    <w:rsid w:val="009372A9"/>
    <w:rsid w:val="00937528"/>
    <w:rsid w:val="0093776D"/>
    <w:rsid w:val="00937887"/>
    <w:rsid w:val="00937D76"/>
    <w:rsid w:val="00937E26"/>
    <w:rsid w:val="0093C457"/>
    <w:rsid w:val="00940039"/>
    <w:rsid w:val="009406B9"/>
    <w:rsid w:val="00940A1A"/>
    <w:rsid w:val="00940AD1"/>
    <w:rsid w:val="00940C74"/>
    <w:rsid w:val="00940CC0"/>
    <w:rsid w:val="00940E28"/>
    <w:rsid w:val="0094125D"/>
    <w:rsid w:val="009417EE"/>
    <w:rsid w:val="0094184B"/>
    <w:rsid w:val="00941B2F"/>
    <w:rsid w:val="00941D5E"/>
    <w:rsid w:val="00942E22"/>
    <w:rsid w:val="0094312C"/>
    <w:rsid w:val="00943263"/>
    <w:rsid w:val="0094327B"/>
    <w:rsid w:val="009433FD"/>
    <w:rsid w:val="0094356F"/>
    <w:rsid w:val="00943A6A"/>
    <w:rsid w:val="00943DAE"/>
    <w:rsid w:val="00943EE6"/>
    <w:rsid w:val="009440AF"/>
    <w:rsid w:val="00944103"/>
    <w:rsid w:val="0094411A"/>
    <w:rsid w:val="0094426F"/>
    <w:rsid w:val="0094448F"/>
    <w:rsid w:val="009447FB"/>
    <w:rsid w:val="009449F8"/>
    <w:rsid w:val="00944C5F"/>
    <w:rsid w:val="00945812"/>
    <w:rsid w:val="00945911"/>
    <w:rsid w:val="009459BB"/>
    <w:rsid w:val="009459E1"/>
    <w:rsid w:val="00945A7B"/>
    <w:rsid w:val="00945BAA"/>
    <w:rsid w:val="00945F35"/>
    <w:rsid w:val="00945F9B"/>
    <w:rsid w:val="00946083"/>
    <w:rsid w:val="00946502"/>
    <w:rsid w:val="00946AB8"/>
    <w:rsid w:val="00946C5B"/>
    <w:rsid w:val="00946F4F"/>
    <w:rsid w:val="00947140"/>
    <w:rsid w:val="009471D8"/>
    <w:rsid w:val="00947218"/>
    <w:rsid w:val="0094724D"/>
    <w:rsid w:val="009474CE"/>
    <w:rsid w:val="00947602"/>
    <w:rsid w:val="0094766A"/>
    <w:rsid w:val="0094791E"/>
    <w:rsid w:val="00947C8A"/>
    <w:rsid w:val="009500A5"/>
    <w:rsid w:val="009501A5"/>
    <w:rsid w:val="009505AF"/>
    <w:rsid w:val="009507A3"/>
    <w:rsid w:val="00950966"/>
    <w:rsid w:val="00950AC3"/>
    <w:rsid w:val="00950D4E"/>
    <w:rsid w:val="00950FA9"/>
    <w:rsid w:val="00951567"/>
    <w:rsid w:val="009516A9"/>
    <w:rsid w:val="00951705"/>
    <w:rsid w:val="00951824"/>
    <w:rsid w:val="009518BB"/>
    <w:rsid w:val="009526C9"/>
    <w:rsid w:val="00952AFB"/>
    <w:rsid w:val="00952EC5"/>
    <w:rsid w:val="0095320A"/>
    <w:rsid w:val="0095338D"/>
    <w:rsid w:val="0095441A"/>
    <w:rsid w:val="0095470C"/>
    <w:rsid w:val="00954F00"/>
    <w:rsid w:val="00955131"/>
    <w:rsid w:val="009558EA"/>
    <w:rsid w:val="00955A39"/>
    <w:rsid w:val="009565FA"/>
    <w:rsid w:val="00956D76"/>
    <w:rsid w:val="009571A9"/>
    <w:rsid w:val="009573F5"/>
    <w:rsid w:val="00957802"/>
    <w:rsid w:val="00957BF9"/>
    <w:rsid w:val="00957E44"/>
    <w:rsid w:val="00957E77"/>
    <w:rsid w:val="009600D0"/>
    <w:rsid w:val="00960230"/>
    <w:rsid w:val="00960632"/>
    <w:rsid w:val="0096066A"/>
    <w:rsid w:val="009607A5"/>
    <w:rsid w:val="00960AB5"/>
    <w:rsid w:val="00960DE8"/>
    <w:rsid w:val="00961472"/>
    <w:rsid w:val="0096155A"/>
    <w:rsid w:val="00961742"/>
    <w:rsid w:val="009618BA"/>
    <w:rsid w:val="00961A32"/>
    <w:rsid w:val="00961A8B"/>
    <w:rsid w:val="00961B62"/>
    <w:rsid w:val="00961D2D"/>
    <w:rsid w:val="00961D2E"/>
    <w:rsid w:val="00961DB6"/>
    <w:rsid w:val="00962CB8"/>
    <w:rsid w:val="009633BA"/>
    <w:rsid w:val="00963525"/>
    <w:rsid w:val="00963627"/>
    <w:rsid w:val="009638E7"/>
    <w:rsid w:val="00963B83"/>
    <w:rsid w:val="00963C46"/>
    <w:rsid w:val="00964755"/>
    <w:rsid w:val="009647EA"/>
    <w:rsid w:val="00964FB7"/>
    <w:rsid w:val="00965097"/>
    <w:rsid w:val="00965187"/>
    <w:rsid w:val="0096524E"/>
    <w:rsid w:val="00965363"/>
    <w:rsid w:val="00965984"/>
    <w:rsid w:val="00965A8D"/>
    <w:rsid w:val="00965F08"/>
    <w:rsid w:val="00965FCE"/>
    <w:rsid w:val="00966178"/>
    <w:rsid w:val="00966ADB"/>
    <w:rsid w:val="00966E79"/>
    <w:rsid w:val="0096743B"/>
    <w:rsid w:val="009674B9"/>
    <w:rsid w:val="009675F5"/>
    <w:rsid w:val="00967680"/>
    <w:rsid w:val="00967F68"/>
    <w:rsid w:val="009703FB"/>
    <w:rsid w:val="00970415"/>
    <w:rsid w:val="0097050D"/>
    <w:rsid w:val="009708BC"/>
    <w:rsid w:val="00970AB3"/>
    <w:rsid w:val="00970E3A"/>
    <w:rsid w:val="009713DE"/>
    <w:rsid w:val="00971E6E"/>
    <w:rsid w:val="0097202D"/>
    <w:rsid w:val="00972112"/>
    <w:rsid w:val="00972234"/>
    <w:rsid w:val="00972298"/>
    <w:rsid w:val="00972331"/>
    <w:rsid w:val="00972333"/>
    <w:rsid w:val="0097252E"/>
    <w:rsid w:val="00972656"/>
    <w:rsid w:val="009726A4"/>
    <w:rsid w:val="00972B91"/>
    <w:rsid w:val="00972D9B"/>
    <w:rsid w:val="00972FBF"/>
    <w:rsid w:val="009736AA"/>
    <w:rsid w:val="009736E1"/>
    <w:rsid w:val="00973EDB"/>
    <w:rsid w:val="0097472B"/>
    <w:rsid w:val="0097483C"/>
    <w:rsid w:val="00974B53"/>
    <w:rsid w:val="00974D84"/>
    <w:rsid w:val="00974F11"/>
    <w:rsid w:val="009751D5"/>
    <w:rsid w:val="00975376"/>
    <w:rsid w:val="009755A8"/>
    <w:rsid w:val="00975998"/>
    <w:rsid w:val="00975C86"/>
    <w:rsid w:val="00975FC8"/>
    <w:rsid w:val="009761F3"/>
    <w:rsid w:val="009767E8"/>
    <w:rsid w:val="0097686D"/>
    <w:rsid w:val="00976BCF"/>
    <w:rsid w:val="00977E0C"/>
    <w:rsid w:val="00980367"/>
    <w:rsid w:val="00980458"/>
    <w:rsid w:val="00980564"/>
    <w:rsid w:val="009808C1"/>
    <w:rsid w:val="00980CB2"/>
    <w:rsid w:val="00980D80"/>
    <w:rsid w:val="00980E04"/>
    <w:rsid w:val="009813B9"/>
    <w:rsid w:val="009813EF"/>
    <w:rsid w:val="009816C7"/>
    <w:rsid w:val="00981931"/>
    <w:rsid w:val="00981CDC"/>
    <w:rsid w:val="00981DE4"/>
    <w:rsid w:val="00982495"/>
    <w:rsid w:val="009824AF"/>
    <w:rsid w:val="0098252C"/>
    <w:rsid w:val="009826F3"/>
    <w:rsid w:val="00982B5F"/>
    <w:rsid w:val="00982DA8"/>
    <w:rsid w:val="00982E07"/>
    <w:rsid w:val="00983056"/>
    <w:rsid w:val="009830DC"/>
    <w:rsid w:val="00983303"/>
    <w:rsid w:val="0098339A"/>
    <w:rsid w:val="0098394F"/>
    <w:rsid w:val="00983A45"/>
    <w:rsid w:val="00983C0E"/>
    <w:rsid w:val="009846DF"/>
    <w:rsid w:val="009847D3"/>
    <w:rsid w:val="009847D9"/>
    <w:rsid w:val="00984883"/>
    <w:rsid w:val="00984E01"/>
    <w:rsid w:val="00985598"/>
    <w:rsid w:val="00985BB4"/>
    <w:rsid w:val="00985E14"/>
    <w:rsid w:val="009863B3"/>
    <w:rsid w:val="00986439"/>
    <w:rsid w:val="00986B21"/>
    <w:rsid w:val="0098703C"/>
    <w:rsid w:val="009870C9"/>
    <w:rsid w:val="009871D6"/>
    <w:rsid w:val="0098721A"/>
    <w:rsid w:val="00987A4C"/>
    <w:rsid w:val="00987C53"/>
    <w:rsid w:val="00987CE1"/>
    <w:rsid w:val="00987DFB"/>
    <w:rsid w:val="00987FEE"/>
    <w:rsid w:val="00990082"/>
    <w:rsid w:val="009900B3"/>
    <w:rsid w:val="00990590"/>
    <w:rsid w:val="009906DB"/>
    <w:rsid w:val="00990AD4"/>
    <w:rsid w:val="00990C57"/>
    <w:rsid w:val="00991043"/>
    <w:rsid w:val="0099138B"/>
    <w:rsid w:val="009913D2"/>
    <w:rsid w:val="00991599"/>
    <w:rsid w:val="009919DD"/>
    <w:rsid w:val="00991FD4"/>
    <w:rsid w:val="009922BF"/>
    <w:rsid w:val="00992A60"/>
    <w:rsid w:val="00992BFB"/>
    <w:rsid w:val="009934EE"/>
    <w:rsid w:val="00993A97"/>
    <w:rsid w:val="00993B8E"/>
    <w:rsid w:val="009940C3"/>
    <w:rsid w:val="009940E5"/>
    <w:rsid w:val="009944AF"/>
    <w:rsid w:val="0099462F"/>
    <w:rsid w:val="00994697"/>
    <w:rsid w:val="00994B62"/>
    <w:rsid w:val="00994E4D"/>
    <w:rsid w:val="0099511F"/>
    <w:rsid w:val="009951C8"/>
    <w:rsid w:val="00995224"/>
    <w:rsid w:val="0099522D"/>
    <w:rsid w:val="00995B57"/>
    <w:rsid w:val="00995D50"/>
    <w:rsid w:val="00996083"/>
    <w:rsid w:val="009961CE"/>
    <w:rsid w:val="00996429"/>
    <w:rsid w:val="00996535"/>
    <w:rsid w:val="00996E6B"/>
    <w:rsid w:val="00996F25"/>
    <w:rsid w:val="0099743E"/>
    <w:rsid w:val="0099782F"/>
    <w:rsid w:val="00997AC9"/>
    <w:rsid w:val="00997BCB"/>
    <w:rsid w:val="00997C01"/>
    <w:rsid w:val="00997CA6"/>
    <w:rsid w:val="009A03B6"/>
    <w:rsid w:val="009A067E"/>
    <w:rsid w:val="009A07C8"/>
    <w:rsid w:val="009A0886"/>
    <w:rsid w:val="009A0B48"/>
    <w:rsid w:val="009A0BA6"/>
    <w:rsid w:val="009A0C33"/>
    <w:rsid w:val="009A0E6E"/>
    <w:rsid w:val="009A1059"/>
    <w:rsid w:val="009A1252"/>
    <w:rsid w:val="009A161B"/>
    <w:rsid w:val="009A1D7F"/>
    <w:rsid w:val="009A1E3F"/>
    <w:rsid w:val="009A1FA0"/>
    <w:rsid w:val="009A2086"/>
    <w:rsid w:val="009A2326"/>
    <w:rsid w:val="009A2547"/>
    <w:rsid w:val="009A284A"/>
    <w:rsid w:val="009A284B"/>
    <w:rsid w:val="009A2856"/>
    <w:rsid w:val="009A2C70"/>
    <w:rsid w:val="009A2E7A"/>
    <w:rsid w:val="009A3089"/>
    <w:rsid w:val="009A312C"/>
    <w:rsid w:val="009A349B"/>
    <w:rsid w:val="009A34CF"/>
    <w:rsid w:val="009A35B2"/>
    <w:rsid w:val="009A361F"/>
    <w:rsid w:val="009A3899"/>
    <w:rsid w:val="009A3A19"/>
    <w:rsid w:val="009A3ACE"/>
    <w:rsid w:val="009A4502"/>
    <w:rsid w:val="009A45E3"/>
    <w:rsid w:val="009A4704"/>
    <w:rsid w:val="009A4A70"/>
    <w:rsid w:val="009A4B16"/>
    <w:rsid w:val="009A4C3C"/>
    <w:rsid w:val="009A4CAC"/>
    <w:rsid w:val="009A4D91"/>
    <w:rsid w:val="009A4FD6"/>
    <w:rsid w:val="009A5233"/>
    <w:rsid w:val="009A5789"/>
    <w:rsid w:val="009A5880"/>
    <w:rsid w:val="009A5ABC"/>
    <w:rsid w:val="009A630E"/>
    <w:rsid w:val="009A66A5"/>
    <w:rsid w:val="009A6743"/>
    <w:rsid w:val="009A684D"/>
    <w:rsid w:val="009A6852"/>
    <w:rsid w:val="009A6CC3"/>
    <w:rsid w:val="009A6CC9"/>
    <w:rsid w:val="009A7316"/>
    <w:rsid w:val="009A74D7"/>
    <w:rsid w:val="009A779F"/>
    <w:rsid w:val="009A7C1C"/>
    <w:rsid w:val="009A7D97"/>
    <w:rsid w:val="009A7D9B"/>
    <w:rsid w:val="009A7F70"/>
    <w:rsid w:val="009B00E6"/>
    <w:rsid w:val="009B0116"/>
    <w:rsid w:val="009B03CF"/>
    <w:rsid w:val="009B0887"/>
    <w:rsid w:val="009B0CAF"/>
    <w:rsid w:val="009B0DF5"/>
    <w:rsid w:val="009B111B"/>
    <w:rsid w:val="009B1C7D"/>
    <w:rsid w:val="009B1CB3"/>
    <w:rsid w:val="009B2095"/>
    <w:rsid w:val="009B225A"/>
    <w:rsid w:val="009B25FF"/>
    <w:rsid w:val="009B2668"/>
    <w:rsid w:val="009B2A3A"/>
    <w:rsid w:val="009B2E8B"/>
    <w:rsid w:val="009B335C"/>
    <w:rsid w:val="009B39FD"/>
    <w:rsid w:val="009B3A38"/>
    <w:rsid w:val="009B3A5C"/>
    <w:rsid w:val="009B3AC6"/>
    <w:rsid w:val="009B3C82"/>
    <w:rsid w:val="009B3E10"/>
    <w:rsid w:val="009B3E75"/>
    <w:rsid w:val="009B4513"/>
    <w:rsid w:val="009B49FD"/>
    <w:rsid w:val="009B4A1A"/>
    <w:rsid w:val="009B4B77"/>
    <w:rsid w:val="009B4DFB"/>
    <w:rsid w:val="009B4E3C"/>
    <w:rsid w:val="009B5130"/>
    <w:rsid w:val="009B521D"/>
    <w:rsid w:val="009B537A"/>
    <w:rsid w:val="009B554A"/>
    <w:rsid w:val="009B57A3"/>
    <w:rsid w:val="009B60CF"/>
    <w:rsid w:val="009B62FF"/>
    <w:rsid w:val="009B6318"/>
    <w:rsid w:val="009B650B"/>
    <w:rsid w:val="009B677E"/>
    <w:rsid w:val="009B6B9D"/>
    <w:rsid w:val="009B6F8D"/>
    <w:rsid w:val="009B70E7"/>
    <w:rsid w:val="009B733A"/>
    <w:rsid w:val="009B7A97"/>
    <w:rsid w:val="009C006A"/>
    <w:rsid w:val="009C0513"/>
    <w:rsid w:val="009C0786"/>
    <w:rsid w:val="009C0A0E"/>
    <w:rsid w:val="009C0C34"/>
    <w:rsid w:val="009C0CD5"/>
    <w:rsid w:val="009C0F0F"/>
    <w:rsid w:val="009C11CC"/>
    <w:rsid w:val="009C1966"/>
    <w:rsid w:val="009C1975"/>
    <w:rsid w:val="009C19D8"/>
    <w:rsid w:val="009C1AFB"/>
    <w:rsid w:val="009C233A"/>
    <w:rsid w:val="009C2754"/>
    <w:rsid w:val="009C27AE"/>
    <w:rsid w:val="009C2EBB"/>
    <w:rsid w:val="009C3133"/>
    <w:rsid w:val="009C315E"/>
    <w:rsid w:val="009C31A8"/>
    <w:rsid w:val="009C34BD"/>
    <w:rsid w:val="009C39A0"/>
    <w:rsid w:val="009C3A19"/>
    <w:rsid w:val="009C3B91"/>
    <w:rsid w:val="009C3F2D"/>
    <w:rsid w:val="009C3F8C"/>
    <w:rsid w:val="009C3FC7"/>
    <w:rsid w:val="009C4510"/>
    <w:rsid w:val="009C47D6"/>
    <w:rsid w:val="009C48D7"/>
    <w:rsid w:val="009C49BD"/>
    <w:rsid w:val="009C5CA9"/>
    <w:rsid w:val="009C637B"/>
    <w:rsid w:val="009C6560"/>
    <w:rsid w:val="009C660E"/>
    <w:rsid w:val="009C66DD"/>
    <w:rsid w:val="009C6780"/>
    <w:rsid w:val="009C6806"/>
    <w:rsid w:val="009C6837"/>
    <w:rsid w:val="009C69B9"/>
    <w:rsid w:val="009C6AA0"/>
    <w:rsid w:val="009C6AC1"/>
    <w:rsid w:val="009C6E57"/>
    <w:rsid w:val="009C79A4"/>
    <w:rsid w:val="009C7F93"/>
    <w:rsid w:val="009D03C3"/>
    <w:rsid w:val="009D06C5"/>
    <w:rsid w:val="009D0AFA"/>
    <w:rsid w:val="009D0AFF"/>
    <w:rsid w:val="009D0E50"/>
    <w:rsid w:val="009D0EA4"/>
    <w:rsid w:val="009D17C1"/>
    <w:rsid w:val="009D18AD"/>
    <w:rsid w:val="009D1D92"/>
    <w:rsid w:val="009D2056"/>
    <w:rsid w:val="009D20E7"/>
    <w:rsid w:val="009D2516"/>
    <w:rsid w:val="009D2533"/>
    <w:rsid w:val="009D277A"/>
    <w:rsid w:val="009D2899"/>
    <w:rsid w:val="009D2954"/>
    <w:rsid w:val="009D297D"/>
    <w:rsid w:val="009D2D79"/>
    <w:rsid w:val="009D2E3F"/>
    <w:rsid w:val="009D2EE3"/>
    <w:rsid w:val="009D3115"/>
    <w:rsid w:val="009D3CA6"/>
    <w:rsid w:val="009D40C6"/>
    <w:rsid w:val="009D4205"/>
    <w:rsid w:val="009D42C9"/>
    <w:rsid w:val="009D4381"/>
    <w:rsid w:val="009D4777"/>
    <w:rsid w:val="009D482E"/>
    <w:rsid w:val="009D4880"/>
    <w:rsid w:val="009D49B8"/>
    <w:rsid w:val="009D4C70"/>
    <w:rsid w:val="009D4EB8"/>
    <w:rsid w:val="009D5578"/>
    <w:rsid w:val="009D56B6"/>
    <w:rsid w:val="009D6557"/>
    <w:rsid w:val="009D69B5"/>
    <w:rsid w:val="009D71D3"/>
    <w:rsid w:val="009D72C7"/>
    <w:rsid w:val="009D7CB2"/>
    <w:rsid w:val="009D7D4C"/>
    <w:rsid w:val="009E01F6"/>
    <w:rsid w:val="009E06FE"/>
    <w:rsid w:val="009E0B51"/>
    <w:rsid w:val="009E0CD4"/>
    <w:rsid w:val="009E0D8D"/>
    <w:rsid w:val="009E15B0"/>
    <w:rsid w:val="009E1754"/>
    <w:rsid w:val="009E1AFE"/>
    <w:rsid w:val="009E1BF9"/>
    <w:rsid w:val="009E1EB6"/>
    <w:rsid w:val="009E2091"/>
    <w:rsid w:val="009E2105"/>
    <w:rsid w:val="009E215A"/>
    <w:rsid w:val="009E28F1"/>
    <w:rsid w:val="009E2C98"/>
    <w:rsid w:val="009E2E7D"/>
    <w:rsid w:val="009E3886"/>
    <w:rsid w:val="009E38F7"/>
    <w:rsid w:val="009E3948"/>
    <w:rsid w:val="009E3A16"/>
    <w:rsid w:val="009E3A95"/>
    <w:rsid w:val="009E3DE1"/>
    <w:rsid w:val="009E3F27"/>
    <w:rsid w:val="009E3F2A"/>
    <w:rsid w:val="009E42C9"/>
    <w:rsid w:val="009E42F8"/>
    <w:rsid w:val="009E463F"/>
    <w:rsid w:val="009E471F"/>
    <w:rsid w:val="009E49D8"/>
    <w:rsid w:val="009E4B9A"/>
    <w:rsid w:val="009E4D98"/>
    <w:rsid w:val="009E4F2F"/>
    <w:rsid w:val="009E508F"/>
    <w:rsid w:val="009E5886"/>
    <w:rsid w:val="009E5A46"/>
    <w:rsid w:val="009E607B"/>
    <w:rsid w:val="009E6153"/>
    <w:rsid w:val="009E6346"/>
    <w:rsid w:val="009E6F29"/>
    <w:rsid w:val="009E7107"/>
    <w:rsid w:val="009E7465"/>
    <w:rsid w:val="009E7846"/>
    <w:rsid w:val="009E7C8B"/>
    <w:rsid w:val="009F0058"/>
    <w:rsid w:val="009F0073"/>
    <w:rsid w:val="009F0430"/>
    <w:rsid w:val="009F0F88"/>
    <w:rsid w:val="009F1093"/>
    <w:rsid w:val="009F1308"/>
    <w:rsid w:val="009F1916"/>
    <w:rsid w:val="009F2029"/>
    <w:rsid w:val="009F2380"/>
    <w:rsid w:val="009F2529"/>
    <w:rsid w:val="009F2649"/>
    <w:rsid w:val="009F274E"/>
    <w:rsid w:val="009F2779"/>
    <w:rsid w:val="009F2BF0"/>
    <w:rsid w:val="009F2E75"/>
    <w:rsid w:val="009F336A"/>
    <w:rsid w:val="009F3B0E"/>
    <w:rsid w:val="009F4101"/>
    <w:rsid w:val="009F412A"/>
    <w:rsid w:val="009F4304"/>
    <w:rsid w:val="009F47FE"/>
    <w:rsid w:val="009F4D5A"/>
    <w:rsid w:val="009F534F"/>
    <w:rsid w:val="009F53E2"/>
    <w:rsid w:val="009F53F4"/>
    <w:rsid w:val="009F5C53"/>
    <w:rsid w:val="009F5C90"/>
    <w:rsid w:val="009F5F46"/>
    <w:rsid w:val="009F6462"/>
    <w:rsid w:val="009F679C"/>
    <w:rsid w:val="009F67B8"/>
    <w:rsid w:val="009F6B68"/>
    <w:rsid w:val="009F6BD6"/>
    <w:rsid w:val="009F6C48"/>
    <w:rsid w:val="009F6CAC"/>
    <w:rsid w:val="009F6D05"/>
    <w:rsid w:val="009F6E2C"/>
    <w:rsid w:val="009F71D3"/>
    <w:rsid w:val="009F743D"/>
    <w:rsid w:val="009F760D"/>
    <w:rsid w:val="009F7E8E"/>
    <w:rsid w:val="009F7F4E"/>
    <w:rsid w:val="00A002A7"/>
    <w:rsid w:val="00A0052B"/>
    <w:rsid w:val="00A00570"/>
    <w:rsid w:val="00A00D43"/>
    <w:rsid w:val="00A01229"/>
    <w:rsid w:val="00A01BA1"/>
    <w:rsid w:val="00A01BB7"/>
    <w:rsid w:val="00A021BC"/>
    <w:rsid w:val="00A026F9"/>
    <w:rsid w:val="00A026FA"/>
    <w:rsid w:val="00A027F9"/>
    <w:rsid w:val="00A02971"/>
    <w:rsid w:val="00A02EA1"/>
    <w:rsid w:val="00A02F33"/>
    <w:rsid w:val="00A03010"/>
    <w:rsid w:val="00A032EB"/>
    <w:rsid w:val="00A034B2"/>
    <w:rsid w:val="00A039EB"/>
    <w:rsid w:val="00A03BA6"/>
    <w:rsid w:val="00A03E3E"/>
    <w:rsid w:val="00A043C3"/>
    <w:rsid w:val="00A04C75"/>
    <w:rsid w:val="00A0539F"/>
    <w:rsid w:val="00A054A1"/>
    <w:rsid w:val="00A05750"/>
    <w:rsid w:val="00A05A94"/>
    <w:rsid w:val="00A05DA9"/>
    <w:rsid w:val="00A05F5B"/>
    <w:rsid w:val="00A060DC"/>
    <w:rsid w:val="00A0616F"/>
    <w:rsid w:val="00A06340"/>
    <w:rsid w:val="00A06618"/>
    <w:rsid w:val="00A066F7"/>
    <w:rsid w:val="00A06C28"/>
    <w:rsid w:val="00A06EDE"/>
    <w:rsid w:val="00A06F1E"/>
    <w:rsid w:val="00A06F4C"/>
    <w:rsid w:val="00A06F57"/>
    <w:rsid w:val="00A06F5C"/>
    <w:rsid w:val="00A078F8"/>
    <w:rsid w:val="00A07ABB"/>
    <w:rsid w:val="00A07C29"/>
    <w:rsid w:val="00A07EC6"/>
    <w:rsid w:val="00A07F24"/>
    <w:rsid w:val="00A10570"/>
    <w:rsid w:val="00A10A28"/>
    <w:rsid w:val="00A10B63"/>
    <w:rsid w:val="00A10B8E"/>
    <w:rsid w:val="00A10C0D"/>
    <w:rsid w:val="00A10F5A"/>
    <w:rsid w:val="00A11157"/>
    <w:rsid w:val="00A11269"/>
    <w:rsid w:val="00A11605"/>
    <w:rsid w:val="00A119B7"/>
    <w:rsid w:val="00A11CDB"/>
    <w:rsid w:val="00A11E51"/>
    <w:rsid w:val="00A12165"/>
    <w:rsid w:val="00A126DE"/>
    <w:rsid w:val="00A12717"/>
    <w:rsid w:val="00A12BC1"/>
    <w:rsid w:val="00A13325"/>
    <w:rsid w:val="00A1345F"/>
    <w:rsid w:val="00A13617"/>
    <w:rsid w:val="00A1379E"/>
    <w:rsid w:val="00A1385F"/>
    <w:rsid w:val="00A13C87"/>
    <w:rsid w:val="00A13E40"/>
    <w:rsid w:val="00A13E5A"/>
    <w:rsid w:val="00A14023"/>
    <w:rsid w:val="00A14132"/>
    <w:rsid w:val="00A14266"/>
    <w:rsid w:val="00A14286"/>
    <w:rsid w:val="00A14442"/>
    <w:rsid w:val="00A14564"/>
    <w:rsid w:val="00A14753"/>
    <w:rsid w:val="00A1482A"/>
    <w:rsid w:val="00A14AE6"/>
    <w:rsid w:val="00A14BC8"/>
    <w:rsid w:val="00A14EE4"/>
    <w:rsid w:val="00A14EEA"/>
    <w:rsid w:val="00A152CB"/>
    <w:rsid w:val="00A153BE"/>
    <w:rsid w:val="00A156C6"/>
    <w:rsid w:val="00A157D8"/>
    <w:rsid w:val="00A15CCE"/>
    <w:rsid w:val="00A16150"/>
    <w:rsid w:val="00A161FA"/>
    <w:rsid w:val="00A16551"/>
    <w:rsid w:val="00A16730"/>
    <w:rsid w:val="00A16E11"/>
    <w:rsid w:val="00A1746D"/>
    <w:rsid w:val="00A1760D"/>
    <w:rsid w:val="00A1776E"/>
    <w:rsid w:val="00A177BE"/>
    <w:rsid w:val="00A17D6D"/>
    <w:rsid w:val="00A200D2"/>
    <w:rsid w:val="00A2012A"/>
    <w:rsid w:val="00A2050D"/>
    <w:rsid w:val="00A2050F"/>
    <w:rsid w:val="00A206BB"/>
    <w:rsid w:val="00A208E9"/>
    <w:rsid w:val="00A20965"/>
    <w:rsid w:val="00A20D9D"/>
    <w:rsid w:val="00A20E26"/>
    <w:rsid w:val="00A20EB8"/>
    <w:rsid w:val="00A21103"/>
    <w:rsid w:val="00A217C5"/>
    <w:rsid w:val="00A21BEA"/>
    <w:rsid w:val="00A21C07"/>
    <w:rsid w:val="00A21C2F"/>
    <w:rsid w:val="00A22181"/>
    <w:rsid w:val="00A22238"/>
    <w:rsid w:val="00A2259B"/>
    <w:rsid w:val="00A227A9"/>
    <w:rsid w:val="00A228AA"/>
    <w:rsid w:val="00A23768"/>
    <w:rsid w:val="00A23B4A"/>
    <w:rsid w:val="00A23CD5"/>
    <w:rsid w:val="00A23DFE"/>
    <w:rsid w:val="00A240F3"/>
    <w:rsid w:val="00A24719"/>
    <w:rsid w:val="00A24C7A"/>
    <w:rsid w:val="00A24CD9"/>
    <w:rsid w:val="00A24FE8"/>
    <w:rsid w:val="00A2501B"/>
    <w:rsid w:val="00A2544E"/>
    <w:rsid w:val="00A25CCA"/>
    <w:rsid w:val="00A25DC5"/>
    <w:rsid w:val="00A25E71"/>
    <w:rsid w:val="00A26631"/>
    <w:rsid w:val="00A266C7"/>
    <w:rsid w:val="00A2672D"/>
    <w:rsid w:val="00A26E96"/>
    <w:rsid w:val="00A270A6"/>
    <w:rsid w:val="00A271CD"/>
    <w:rsid w:val="00A272BB"/>
    <w:rsid w:val="00A2749D"/>
    <w:rsid w:val="00A275F7"/>
    <w:rsid w:val="00A27857"/>
    <w:rsid w:val="00A30101"/>
    <w:rsid w:val="00A303A8"/>
    <w:rsid w:val="00A30883"/>
    <w:rsid w:val="00A30C22"/>
    <w:rsid w:val="00A3105B"/>
    <w:rsid w:val="00A31220"/>
    <w:rsid w:val="00A3185D"/>
    <w:rsid w:val="00A31F98"/>
    <w:rsid w:val="00A32418"/>
    <w:rsid w:val="00A326D9"/>
    <w:rsid w:val="00A32783"/>
    <w:rsid w:val="00A327CE"/>
    <w:rsid w:val="00A32AFE"/>
    <w:rsid w:val="00A32F89"/>
    <w:rsid w:val="00A33098"/>
    <w:rsid w:val="00A33230"/>
    <w:rsid w:val="00A33513"/>
    <w:rsid w:val="00A336B5"/>
    <w:rsid w:val="00A337EA"/>
    <w:rsid w:val="00A3388D"/>
    <w:rsid w:val="00A33890"/>
    <w:rsid w:val="00A33BB8"/>
    <w:rsid w:val="00A33CBD"/>
    <w:rsid w:val="00A33D24"/>
    <w:rsid w:val="00A33F02"/>
    <w:rsid w:val="00A3414C"/>
    <w:rsid w:val="00A349A1"/>
    <w:rsid w:val="00A34BEE"/>
    <w:rsid w:val="00A350AD"/>
    <w:rsid w:val="00A3515A"/>
    <w:rsid w:val="00A354A4"/>
    <w:rsid w:val="00A35620"/>
    <w:rsid w:val="00A35BBA"/>
    <w:rsid w:val="00A35CB7"/>
    <w:rsid w:val="00A35E9E"/>
    <w:rsid w:val="00A35F7A"/>
    <w:rsid w:val="00A36768"/>
    <w:rsid w:val="00A36862"/>
    <w:rsid w:val="00A36A6B"/>
    <w:rsid w:val="00A36FF1"/>
    <w:rsid w:val="00A37012"/>
    <w:rsid w:val="00A373C8"/>
    <w:rsid w:val="00A37531"/>
    <w:rsid w:val="00A375DE"/>
    <w:rsid w:val="00A37756"/>
    <w:rsid w:val="00A377E0"/>
    <w:rsid w:val="00A3798B"/>
    <w:rsid w:val="00A37F7F"/>
    <w:rsid w:val="00A406B5"/>
    <w:rsid w:val="00A4095D"/>
    <w:rsid w:val="00A40AE2"/>
    <w:rsid w:val="00A4110C"/>
    <w:rsid w:val="00A41324"/>
    <w:rsid w:val="00A41347"/>
    <w:rsid w:val="00A41434"/>
    <w:rsid w:val="00A41482"/>
    <w:rsid w:val="00A414CE"/>
    <w:rsid w:val="00A416C9"/>
    <w:rsid w:val="00A41AE1"/>
    <w:rsid w:val="00A41EA5"/>
    <w:rsid w:val="00A425C1"/>
    <w:rsid w:val="00A42673"/>
    <w:rsid w:val="00A42733"/>
    <w:rsid w:val="00A4296C"/>
    <w:rsid w:val="00A42C29"/>
    <w:rsid w:val="00A42D03"/>
    <w:rsid w:val="00A42EC0"/>
    <w:rsid w:val="00A432A2"/>
    <w:rsid w:val="00A433EB"/>
    <w:rsid w:val="00A443B2"/>
    <w:rsid w:val="00A44751"/>
    <w:rsid w:val="00A44799"/>
    <w:rsid w:val="00A44BEA"/>
    <w:rsid w:val="00A44ECE"/>
    <w:rsid w:val="00A44FA1"/>
    <w:rsid w:val="00A4507B"/>
    <w:rsid w:val="00A4545A"/>
    <w:rsid w:val="00A4549E"/>
    <w:rsid w:val="00A4555E"/>
    <w:rsid w:val="00A45563"/>
    <w:rsid w:val="00A45571"/>
    <w:rsid w:val="00A457D4"/>
    <w:rsid w:val="00A46247"/>
    <w:rsid w:val="00A4688B"/>
    <w:rsid w:val="00A46920"/>
    <w:rsid w:val="00A46A85"/>
    <w:rsid w:val="00A46B35"/>
    <w:rsid w:val="00A46C47"/>
    <w:rsid w:val="00A46F41"/>
    <w:rsid w:val="00A4746C"/>
    <w:rsid w:val="00A474FB"/>
    <w:rsid w:val="00A478E8"/>
    <w:rsid w:val="00A47D44"/>
    <w:rsid w:val="00A500F0"/>
    <w:rsid w:val="00A503EE"/>
    <w:rsid w:val="00A504AF"/>
    <w:rsid w:val="00A504F2"/>
    <w:rsid w:val="00A50536"/>
    <w:rsid w:val="00A5075C"/>
    <w:rsid w:val="00A50C9A"/>
    <w:rsid w:val="00A51045"/>
    <w:rsid w:val="00A51310"/>
    <w:rsid w:val="00A525B9"/>
    <w:rsid w:val="00A52660"/>
    <w:rsid w:val="00A52875"/>
    <w:rsid w:val="00A52908"/>
    <w:rsid w:val="00A52A43"/>
    <w:rsid w:val="00A52A75"/>
    <w:rsid w:val="00A52C91"/>
    <w:rsid w:val="00A531AF"/>
    <w:rsid w:val="00A53356"/>
    <w:rsid w:val="00A53425"/>
    <w:rsid w:val="00A534CA"/>
    <w:rsid w:val="00A53502"/>
    <w:rsid w:val="00A538AA"/>
    <w:rsid w:val="00A538C8"/>
    <w:rsid w:val="00A539DD"/>
    <w:rsid w:val="00A53C89"/>
    <w:rsid w:val="00A53E5D"/>
    <w:rsid w:val="00A53F95"/>
    <w:rsid w:val="00A548A6"/>
    <w:rsid w:val="00A548BF"/>
    <w:rsid w:val="00A55041"/>
    <w:rsid w:val="00A550D2"/>
    <w:rsid w:val="00A55267"/>
    <w:rsid w:val="00A556D1"/>
    <w:rsid w:val="00A55899"/>
    <w:rsid w:val="00A55A2D"/>
    <w:rsid w:val="00A55AE4"/>
    <w:rsid w:val="00A55DC7"/>
    <w:rsid w:val="00A5652F"/>
    <w:rsid w:val="00A5677E"/>
    <w:rsid w:val="00A569CE"/>
    <w:rsid w:val="00A56ED0"/>
    <w:rsid w:val="00A57706"/>
    <w:rsid w:val="00A57837"/>
    <w:rsid w:val="00A57CB1"/>
    <w:rsid w:val="00A57DF8"/>
    <w:rsid w:val="00A57EAC"/>
    <w:rsid w:val="00A60117"/>
    <w:rsid w:val="00A6022A"/>
    <w:rsid w:val="00A60356"/>
    <w:rsid w:val="00A60366"/>
    <w:rsid w:val="00A60413"/>
    <w:rsid w:val="00A60418"/>
    <w:rsid w:val="00A605B4"/>
    <w:rsid w:val="00A60786"/>
    <w:rsid w:val="00A607AF"/>
    <w:rsid w:val="00A609BC"/>
    <w:rsid w:val="00A6128A"/>
    <w:rsid w:val="00A6128D"/>
    <w:rsid w:val="00A613FF"/>
    <w:rsid w:val="00A6142D"/>
    <w:rsid w:val="00A6164A"/>
    <w:rsid w:val="00A61822"/>
    <w:rsid w:val="00A6196C"/>
    <w:rsid w:val="00A61AB7"/>
    <w:rsid w:val="00A6288B"/>
    <w:rsid w:val="00A62AB4"/>
    <w:rsid w:val="00A62ACD"/>
    <w:rsid w:val="00A62BC1"/>
    <w:rsid w:val="00A63148"/>
    <w:rsid w:val="00A634FE"/>
    <w:rsid w:val="00A63513"/>
    <w:rsid w:val="00A63644"/>
    <w:rsid w:val="00A63742"/>
    <w:rsid w:val="00A63793"/>
    <w:rsid w:val="00A638C4"/>
    <w:rsid w:val="00A6397B"/>
    <w:rsid w:val="00A640D5"/>
    <w:rsid w:val="00A644EC"/>
    <w:rsid w:val="00A64796"/>
    <w:rsid w:val="00A64C93"/>
    <w:rsid w:val="00A64F6F"/>
    <w:rsid w:val="00A64F9E"/>
    <w:rsid w:val="00A652DA"/>
    <w:rsid w:val="00A6583F"/>
    <w:rsid w:val="00A65840"/>
    <w:rsid w:val="00A66405"/>
    <w:rsid w:val="00A666D9"/>
    <w:rsid w:val="00A66DF4"/>
    <w:rsid w:val="00A66EB4"/>
    <w:rsid w:val="00A66ED1"/>
    <w:rsid w:val="00A670CA"/>
    <w:rsid w:val="00A6719D"/>
    <w:rsid w:val="00A675AD"/>
    <w:rsid w:val="00A6764B"/>
    <w:rsid w:val="00A67A9C"/>
    <w:rsid w:val="00A701C9"/>
    <w:rsid w:val="00A7022E"/>
    <w:rsid w:val="00A70291"/>
    <w:rsid w:val="00A7094D"/>
    <w:rsid w:val="00A70B8C"/>
    <w:rsid w:val="00A70CD1"/>
    <w:rsid w:val="00A70CF8"/>
    <w:rsid w:val="00A70EA4"/>
    <w:rsid w:val="00A70EAC"/>
    <w:rsid w:val="00A7111E"/>
    <w:rsid w:val="00A71610"/>
    <w:rsid w:val="00A71619"/>
    <w:rsid w:val="00A71696"/>
    <w:rsid w:val="00A717A1"/>
    <w:rsid w:val="00A718CB"/>
    <w:rsid w:val="00A71A6A"/>
    <w:rsid w:val="00A71E3C"/>
    <w:rsid w:val="00A720BD"/>
    <w:rsid w:val="00A72242"/>
    <w:rsid w:val="00A72694"/>
    <w:rsid w:val="00A72A7C"/>
    <w:rsid w:val="00A72DA0"/>
    <w:rsid w:val="00A731B0"/>
    <w:rsid w:val="00A734A0"/>
    <w:rsid w:val="00A73872"/>
    <w:rsid w:val="00A7387F"/>
    <w:rsid w:val="00A73A30"/>
    <w:rsid w:val="00A73B8A"/>
    <w:rsid w:val="00A743F2"/>
    <w:rsid w:val="00A746FD"/>
    <w:rsid w:val="00A74811"/>
    <w:rsid w:val="00A74989"/>
    <w:rsid w:val="00A74B87"/>
    <w:rsid w:val="00A74D6E"/>
    <w:rsid w:val="00A74E87"/>
    <w:rsid w:val="00A751BE"/>
    <w:rsid w:val="00A75927"/>
    <w:rsid w:val="00A759DD"/>
    <w:rsid w:val="00A75B20"/>
    <w:rsid w:val="00A75DF6"/>
    <w:rsid w:val="00A75F52"/>
    <w:rsid w:val="00A76350"/>
    <w:rsid w:val="00A76822"/>
    <w:rsid w:val="00A76965"/>
    <w:rsid w:val="00A76AFC"/>
    <w:rsid w:val="00A76C6A"/>
    <w:rsid w:val="00A76C74"/>
    <w:rsid w:val="00A770EE"/>
    <w:rsid w:val="00A77150"/>
    <w:rsid w:val="00A7746A"/>
    <w:rsid w:val="00A774EA"/>
    <w:rsid w:val="00A77580"/>
    <w:rsid w:val="00A7758D"/>
    <w:rsid w:val="00A77749"/>
    <w:rsid w:val="00A77771"/>
    <w:rsid w:val="00A77EB9"/>
    <w:rsid w:val="00A77F69"/>
    <w:rsid w:val="00A801DA"/>
    <w:rsid w:val="00A802E8"/>
    <w:rsid w:val="00A80943"/>
    <w:rsid w:val="00A80CA9"/>
    <w:rsid w:val="00A811A1"/>
    <w:rsid w:val="00A812CE"/>
    <w:rsid w:val="00A813EE"/>
    <w:rsid w:val="00A817A6"/>
    <w:rsid w:val="00A8184A"/>
    <w:rsid w:val="00A81BA0"/>
    <w:rsid w:val="00A81E08"/>
    <w:rsid w:val="00A81EED"/>
    <w:rsid w:val="00A82430"/>
    <w:rsid w:val="00A82722"/>
    <w:rsid w:val="00A82961"/>
    <w:rsid w:val="00A82ED9"/>
    <w:rsid w:val="00A830E0"/>
    <w:rsid w:val="00A83112"/>
    <w:rsid w:val="00A834CD"/>
    <w:rsid w:val="00A83669"/>
    <w:rsid w:val="00A83922"/>
    <w:rsid w:val="00A840A1"/>
    <w:rsid w:val="00A84196"/>
    <w:rsid w:val="00A84716"/>
    <w:rsid w:val="00A847FC"/>
    <w:rsid w:val="00A84B5A"/>
    <w:rsid w:val="00A84BD6"/>
    <w:rsid w:val="00A8561F"/>
    <w:rsid w:val="00A85A73"/>
    <w:rsid w:val="00A85AF1"/>
    <w:rsid w:val="00A85F40"/>
    <w:rsid w:val="00A86105"/>
    <w:rsid w:val="00A864C1"/>
    <w:rsid w:val="00A8671D"/>
    <w:rsid w:val="00A86BA5"/>
    <w:rsid w:val="00A86D45"/>
    <w:rsid w:val="00A86E67"/>
    <w:rsid w:val="00A86F2B"/>
    <w:rsid w:val="00A87143"/>
    <w:rsid w:val="00A87149"/>
    <w:rsid w:val="00A871A8"/>
    <w:rsid w:val="00A87471"/>
    <w:rsid w:val="00A874F1"/>
    <w:rsid w:val="00A8778D"/>
    <w:rsid w:val="00A87883"/>
    <w:rsid w:val="00A87981"/>
    <w:rsid w:val="00A87A65"/>
    <w:rsid w:val="00A9020C"/>
    <w:rsid w:val="00A904B6"/>
    <w:rsid w:val="00A905A6"/>
    <w:rsid w:val="00A9071F"/>
    <w:rsid w:val="00A907F3"/>
    <w:rsid w:val="00A90D87"/>
    <w:rsid w:val="00A91605"/>
    <w:rsid w:val="00A921E5"/>
    <w:rsid w:val="00A9229B"/>
    <w:rsid w:val="00A923C8"/>
    <w:rsid w:val="00A92857"/>
    <w:rsid w:val="00A92955"/>
    <w:rsid w:val="00A9298F"/>
    <w:rsid w:val="00A92C52"/>
    <w:rsid w:val="00A92D01"/>
    <w:rsid w:val="00A92F10"/>
    <w:rsid w:val="00A92FD8"/>
    <w:rsid w:val="00A93140"/>
    <w:rsid w:val="00A93423"/>
    <w:rsid w:val="00A93830"/>
    <w:rsid w:val="00A9387A"/>
    <w:rsid w:val="00A93B16"/>
    <w:rsid w:val="00A93B4F"/>
    <w:rsid w:val="00A93C25"/>
    <w:rsid w:val="00A93CE2"/>
    <w:rsid w:val="00A9426E"/>
    <w:rsid w:val="00A94409"/>
    <w:rsid w:val="00A9556F"/>
    <w:rsid w:val="00A957AA"/>
    <w:rsid w:val="00A9585A"/>
    <w:rsid w:val="00A959E9"/>
    <w:rsid w:val="00A95CAB"/>
    <w:rsid w:val="00A95D90"/>
    <w:rsid w:val="00A961E9"/>
    <w:rsid w:val="00A96B57"/>
    <w:rsid w:val="00A96C37"/>
    <w:rsid w:val="00A97154"/>
    <w:rsid w:val="00A97385"/>
    <w:rsid w:val="00AA03B4"/>
    <w:rsid w:val="00AA0565"/>
    <w:rsid w:val="00AA059E"/>
    <w:rsid w:val="00AA0661"/>
    <w:rsid w:val="00AA075F"/>
    <w:rsid w:val="00AA0B62"/>
    <w:rsid w:val="00AA0D6A"/>
    <w:rsid w:val="00AA0DAB"/>
    <w:rsid w:val="00AA0DB6"/>
    <w:rsid w:val="00AA0F79"/>
    <w:rsid w:val="00AA1184"/>
    <w:rsid w:val="00AA11A6"/>
    <w:rsid w:val="00AA1CD3"/>
    <w:rsid w:val="00AA1D70"/>
    <w:rsid w:val="00AA2274"/>
    <w:rsid w:val="00AA24AC"/>
    <w:rsid w:val="00AA2766"/>
    <w:rsid w:val="00AA2891"/>
    <w:rsid w:val="00AA2DC4"/>
    <w:rsid w:val="00AA2E2A"/>
    <w:rsid w:val="00AA2EB0"/>
    <w:rsid w:val="00AA3192"/>
    <w:rsid w:val="00AA31F2"/>
    <w:rsid w:val="00AA337C"/>
    <w:rsid w:val="00AA34FA"/>
    <w:rsid w:val="00AA36C0"/>
    <w:rsid w:val="00AA38A8"/>
    <w:rsid w:val="00AA3AEE"/>
    <w:rsid w:val="00AA3C5E"/>
    <w:rsid w:val="00AA3FA0"/>
    <w:rsid w:val="00AA4B8D"/>
    <w:rsid w:val="00AA4C9C"/>
    <w:rsid w:val="00AA4DB7"/>
    <w:rsid w:val="00AA5623"/>
    <w:rsid w:val="00AA604F"/>
    <w:rsid w:val="00AA60F4"/>
    <w:rsid w:val="00AA661F"/>
    <w:rsid w:val="00AA6717"/>
    <w:rsid w:val="00AA6766"/>
    <w:rsid w:val="00AA6E95"/>
    <w:rsid w:val="00AA6F70"/>
    <w:rsid w:val="00AA737F"/>
    <w:rsid w:val="00AA7418"/>
    <w:rsid w:val="00AA7D0D"/>
    <w:rsid w:val="00AB02E5"/>
    <w:rsid w:val="00AB0856"/>
    <w:rsid w:val="00AB0985"/>
    <w:rsid w:val="00AB0D5D"/>
    <w:rsid w:val="00AB0DDD"/>
    <w:rsid w:val="00AB0E48"/>
    <w:rsid w:val="00AB0F77"/>
    <w:rsid w:val="00AB1068"/>
    <w:rsid w:val="00AB10BE"/>
    <w:rsid w:val="00AB1139"/>
    <w:rsid w:val="00AB151D"/>
    <w:rsid w:val="00AB1B75"/>
    <w:rsid w:val="00AB1F33"/>
    <w:rsid w:val="00AB2137"/>
    <w:rsid w:val="00AB23E0"/>
    <w:rsid w:val="00AB2BB9"/>
    <w:rsid w:val="00AB302A"/>
    <w:rsid w:val="00AB3397"/>
    <w:rsid w:val="00AB355D"/>
    <w:rsid w:val="00AB3657"/>
    <w:rsid w:val="00AB3692"/>
    <w:rsid w:val="00AB3890"/>
    <w:rsid w:val="00AB3AEB"/>
    <w:rsid w:val="00AB3B2C"/>
    <w:rsid w:val="00AB3E9F"/>
    <w:rsid w:val="00AB3EA9"/>
    <w:rsid w:val="00AB4003"/>
    <w:rsid w:val="00AB41E8"/>
    <w:rsid w:val="00AB4203"/>
    <w:rsid w:val="00AB4253"/>
    <w:rsid w:val="00AB42EB"/>
    <w:rsid w:val="00AB4311"/>
    <w:rsid w:val="00AB44E0"/>
    <w:rsid w:val="00AB4A1B"/>
    <w:rsid w:val="00AB4F8B"/>
    <w:rsid w:val="00AB53FB"/>
    <w:rsid w:val="00AB5680"/>
    <w:rsid w:val="00AB58F8"/>
    <w:rsid w:val="00AB599C"/>
    <w:rsid w:val="00AB5B26"/>
    <w:rsid w:val="00AB5B69"/>
    <w:rsid w:val="00AB5C17"/>
    <w:rsid w:val="00AB6238"/>
    <w:rsid w:val="00AB64B0"/>
    <w:rsid w:val="00AB6CE5"/>
    <w:rsid w:val="00AB7061"/>
    <w:rsid w:val="00AB70F9"/>
    <w:rsid w:val="00AB744D"/>
    <w:rsid w:val="00AB75F4"/>
    <w:rsid w:val="00AB7839"/>
    <w:rsid w:val="00AB7B2F"/>
    <w:rsid w:val="00AB7C52"/>
    <w:rsid w:val="00AB7DBB"/>
    <w:rsid w:val="00AC0008"/>
    <w:rsid w:val="00AC0877"/>
    <w:rsid w:val="00AC0F0D"/>
    <w:rsid w:val="00AC1008"/>
    <w:rsid w:val="00AC128B"/>
    <w:rsid w:val="00AC1688"/>
    <w:rsid w:val="00AC1B77"/>
    <w:rsid w:val="00AC1D0D"/>
    <w:rsid w:val="00AC1F3E"/>
    <w:rsid w:val="00AC2524"/>
    <w:rsid w:val="00AC3375"/>
    <w:rsid w:val="00AC3496"/>
    <w:rsid w:val="00AC350E"/>
    <w:rsid w:val="00AC38EC"/>
    <w:rsid w:val="00AC3996"/>
    <w:rsid w:val="00AC3B74"/>
    <w:rsid w:val="00AC3D0F"/>
    <w:rsid w:val="00AC3F8E"/>
    <w:rsid w:val="00AC4894"/>
    <w:rsid w:val="00AC4AD6"/>
    <w:rsid w:val="00AC4FB5"/>
    <w:rsid w:val="00AC50A2"/>
    <w:rsid w:val="00AC50B8"/>
    <w:rsid w:val="00AC51AD"/>
    <w:rsid w:val="00AC520B"/>
    <w:rsid w:val="00AC54F0"/>
    <w:rsid w:val="00AC5A63"/>
    <w:rsid w:val="00AC5D1D"/>
    <w:rsid w:val="00AC5E15"/>
    <w:rsid w:val="00AC63AB"/>
    <w:rsid w:val="00AC657E"/>
    <w:rsid w:val="00AC65F9"/>
    <w:rsid w:val="00AC68B2"/>
    <w:rsid w:val="00AC6B68"/>
    <w:rsid w:val="00AC6C3D"/>
    <w:rsid w:val="00AC6E18"/>
    <w:rsid w:val="00AC6F56"/>
    <w:rsid w:val="00AC6FCC"/>
    <w:rsid w:val="00AC7714"/>
    <w:rsid w:val="00AC778B"/>
    <w:rsid w:val="00AC78FB"/>
    <w:rsid w:val="00AC7C42"/>
    <w:rsid w:val="00AC7D77"/>
    <w:rsid w:val="00AC7F4D"/>
    <w:rsid w:val="00AD015A"/>
    <w:rsid w:val="00AD02A1"/>
    <w:rsid w:val="00AD0332"/>
    <w:rsid w:val="00AD04CD"/>
    <w:rsid w:val="00AD0802"/>
    <w:rsid w:val="00AD09E2"/>
    <w:rsid w:val="00AD11FB"/>
    <w:rsid w:val="00AD165B"/>
    <w:rsid w:val="00AD1BCF"/>
    <w:rsid w:val="00AD1F5C"/>
    <w:rsid w:val="00AD1FAF"/>
    <w:rsid w:val="00AD2480"/>
    <w:rsid w:val="00AD26B4"/>
    <w:rsid w:val="00AD2814"/>
    <w:rsid w:val="00AD286A"/>
    <w:rsid w:val="00AD29C6"/>
    <w:rsid w:val="00AD29FD"/>
    <w:rsid w:val="00AD2A4D"/>
    <w:rsid w:val="00AD2DB4"/>
    <w:rsid w:val="00AD2F88"/>
    <w:rsid w:val="00AD36E2"/>
    <w:rsid w:val="00AD3725"/>
    <w:rsid w:val="00AD3896"/>
    <w:rsid w:val="00AD3A7C"/>
    <w:rsid w:val="00AD3A8C"/>
    <w:rsid w:val="00AD42D9"/>
    <w:rsid w:val="00AD47F4"/>
    <w:rsid w:val="00AD4D65"/>
    <w:rsid w:val="00AD4E4E"/>
    <w:rsid w:val="00AD4E54"/>
    <w:rsid w:val="00AD4F5E"/>
    <w:rsid w:val="00AD5236"/>
    <w:rsid w:val="00AD5539"/>
    <w:rsid w:val="00AD5643"/>
    <w:rsid w:val="00AD5AA3"/>
    <w:rsid w:val="00AD5FA1"/>
    <w:rsid w:val="00AD6585"/>
    <w:rsid w:val="00AD6606"/>
    <w:rsid w:val="00AD6738"/>
    <w:rsid w:val="00AD6D72"/>
    <w:rsid w:val="00AD6E38"/>
    <w:rsid w:val="00AD6E43"/>
    <w:rsid w:val="00AD7044"/>
    <w:rsid w:val="00AD746A"/>
    <w:rsid w:val="00AD7626"/>
    <w:rsid w:val="00AD78D6"/>
    <w:rsid w:val="00AD7A51"/>
    <w:rsid w:val="00AE00EC"/>
    <w:rsid w:val="00AE015C"/>
    <w:rsid w:val="00AE01F1"/>
    <w:rsid w:val="00AE027C"/>
    <w:rsid w:val="00AE0621"/>
    <w:rsid w:val="00AE0B5F"/>
    <w:rsid w:val="00AE0CB6"/>
    <w:rsid w:val="00AE0F23"/>
    <w:rsid w:val="00AE10C2"/>
    <w:rsid w:val="00AE119B"/>
    <w:rsid w:val="00AE12AE"/>
    <w:rsid w:val="00AE17B1"/>
    <w:rsid w:val="00AE1A06"/>
    <w:rsid w:val="00AE1D56"/>
    <w:rsid w:val="00AE1F5C"/>
    <w:rsid w:val="00AE2309"/>
    <w:rsid w:val="00AE27A1"/>
    <w:rsid w:val="00AE29F6"/>
    <w:rsid w:val="00AE2C29"/>
    <w:rsid w:val="00AE2C55"/>
    <w:rsid w:val="00AE2DB6"/>
    <w:rsid w:val="00AE2EC2"/>
    <w:rsid w:val="00AE2F4C"/>
    <w:rsid w:val="00AE2F9C"/>
    <w:rsid w:val="00AE3001"/>
    <w:rsid w:val="00AE3040"/>
    <w:rsid w:val="00AE31AF"/>
    <w:rsid w:val="00AE329B"/>
    <w:rsid w:val="00AE3567"/>
    <w:rsid w:val="00AE3810"/>
    <w:rsid w:val="00AE3CA5"/>
    <w:rsid w:val="00AE3FFD"/>
    <w:rsid w:val="00AE4178"/>
    <w:rsid w:val="00AE4AC4"/>
    <w:rsid w:val="00AE4C41"/>
    <w:rsid w:val="00AE4D6B"/>
    <w:rsid w:val="00AE4DE5"/>
    <w:rsid w:val="00AE50A4"/>
    <w:rsid w:val="00AE51CB"/>
    <w:rsid w:val="00AE5214"/>
    <w:rsid w:val="00AE560C"/>
    <w:rsid w:val="00AE5B02"/>
    <w:rsid w:val="00AE5E89"/>
    <w:rsid w:val="00AE5FDF"/>
    <w:rsid w:val="00AE6172"/>
    <w:rsid w:val="00AE6B19"/>
    <w:rsid w:val="00AE6B3D"/>
    <w:rsid w:val="00AE743D"/>
    <w:rsid w:val="00AE7AA4"/>
    <w:rsid w:val="00AF033F"/>
    <w:rsid w:val="00AF0373"/>
    <w:rsid w:val="00AF0626"/>
    <w:rsid w:val="00AF073A"/>
    <w:rsid w:val="00AF0761"/>
    <w:rsid w:val="00AF0A34"/>
    <w:rsid w:val="00AF0C24"/>
    <w:rsid w:val="00AF1131"/>
    <w:rsid w:val="00AF12AD"/>
    <w:rsid w:val="00AF1737"/>
    <w:rsid w:val="00AF177D"/>
    <w:rsid w:val="00AF1CC8"/>
    <w:rsid w:val="00AF1E4D"/>
    <w:rsid w:val="00AF2083"/>
    <w:rsid w:val="00AF208C"/>
    <w:rsid w:val="00AF21D2"/>
    <w:rsid w:val="00AF2374"/>
    <w:rsid w:val="00AF2843"/>
    <w:rsid w:val="00AF2925"/>
    <w:rsid w:val="00AF35D1"/>
    <w:rsid w:val="00AF3925"/>
    <w:rsid w:val="00AF3B09"/>
    <w:rsid w:val="00AF3B74"/>
    <w:rsid w:val="00AF3DCF"/>
    <w:rsid w:val="00AF3E08"/>
    <w:rsid w:val="00AF4003"/>
    <w:rsid w:val="00AF420B"/>
    <w:rsid w:val="00AF46C8"/>
    <w:rsid w:val="00AF4799"/>
    <w:rsid w:val="00AF4CE6"/>
    <w:rsid w:val="00AF4F7D"/>
    <w:rsid w:val="00AF50E0"/>
    <w:rsid w:val="00AF5599"/>
    <w:rsid w:val="00AF5656"/>
    <w:rsid w:val="00AF58F9"/>
    <w:rsid w:val="00AF5F33"/>
    <w:rsid w:val="00AF6432"/>
    <w:rsid w:val="00AF646E"/>
    <w:rsid w:val="00AF6A94"/>
    <w:rsid w:val="00AF707E"/>
    <w:rsid w:val="00AF7257"/>
    <w:rsid w:val="00AF74AA"/>
    <w:rsid w:val="00AF7962"/>
    <w:rsid w:val="00AF7C91"/>
    <w:rsid w:val="00AF7CA0"/>
    <w:rsid w:val="00AF7D1F"/>
    <w:rsid w:val="00AF7EC1"/>
    <w:rsid w:val="00B00FC0"/>
    <w:rsid w:val="00B010BB"/>
    <w:rsid w:val="00B014D9"/>
    <w:rsid w:val="00B0163B"/>
    <w:rsid w:val="00B01812"/>
    <w:rsid w:val="00B01A5B"/>
    <w:rsid w:val="00B01DE1"/>
    <w:rsid w:val="00B01E49"/>
    <w:rsid w:val="00B02045"/>
    <w:rsid w:val="00B02594"/>
    <w:rsid w:val="00B02616"/>
    <w:rsid w:val="00B029D4"/>
    <w:rsid w:val="00B02E86"/>
    <w:rsid w:val="00B032DD"/>
    <w:rsid w:val="00B034FD"/>
    <w:rsid w:val="00B035AC"/>
    <w:rsid w:val="00B0367E"/>
    <w:rsid w:val="00B03856"/>
    <w:rsid w:val="00B0391F"/>
    <w:rsid w:val="00B03923"/>
    <w:rsid w:val="00B03D25"/>
    <w:rsid w:val="00B03DB8"/>
    <w:rsid w:val="00B03E5E"/>
    <w:rsid w:val="00B03FEA"/>
    <w:rsid w:val="00B0401E"/>
    <w:rsid w:val="00B0451B"/>
    <w:rsid w:val="00B04617"/>
    <w:rsid w:val="00B04655"/>
    <w:rsid w:val="00B046C0"/>
    <w:rsid w:val="00B04704"/>
    <w:rsid w:val="00B04A03"/>
    <w:rsid w:val="00B04A29"/>
    <w:rsid w:val="00B04BCA"/>
    <w:rsid w:val="00B04CCC"/>
    <w:rsid w:val="00B04F01"/>
    <w:rsid w:val="00B05478"/>
    <w:rsid w:val="00B05533"/>
    <w:rsid w:val="00B05B32"/>
    <w:rsid w:val="00B05C79"/>
    <w:rsid w:val="00B06001"/>
    <w:rsid w:val="00B06432"/>
    <w:rsid w:val="00B0645D"/>
    <w:rsid w:val="00B06E57"/>
    <w:rsid w:val="00B070A1"/>
    <w:rsid w:val="00B077EB"/>
    <w:rsid w:val="00B0794C"/>
    <w:rsid w:val="00B07A56"/>
    <w:rsid w:val="00B07A9E"/>
    <w:rsid w:val="00B07C6A"/>
    <w:rsid w:val="00B07D8E"/>
    <w:rsid w:val="00B07E9F"/>
    <w:rsid w:val="00B07FBC"/>
    <w:rsid w:val="00B10041"/>
    <w:rsid w:val="00B10766"/>
    <w:rsid w:val="00B10DD3"/>
    <w:rsid w:val="00B10FDC"/>
    <w:rsid w:val="00B11828"/>
    <w:rsid w:val="00B11F57"/>
    <w:rsid w:val="00B122B0"/>
    <w:rsid w:val="00B12467"/>
    <w:rsid w:val="00B1250A"/>
    <w:rsid w:val="00B1258A"/>
    <w:rsid w:val="00B12685"/>
    <w:rsid w:val="00B126DC"/>
    <w:rsid w:val="00B1275D"/>
    <w:rsid w:val="00B1275E"/>
    <w:rsid w:val="00B129FF"/>
    <w:rsid w:val="00B12C21"/>
    <w:rsid w:val="00B12D03"/>
    <w:rsid w:val="00B12DC0"/>
    <w:rsid w:val="00B12E4B"/>
    <w:rsid w:val="00B1331A"/>
    <w:rsid w:val="00B13B3C"/>
    <w:rsid w:val="00B13D19"/>
    <w:rsid w:val="00B13EF8"/>
    <w:rsid w:val="00B13FA1"/>
    <w:rsid w:val="00B14452"/>
    <w:rsid w:val="00B14CDA"/>
    <w:rsid w:val="00B14E62"/>
    <w:rsid w:val="00B14F10"/>
    <w:rsid w:val="00B14F17"/>
    <w:rsid w:val="00B14F53"/>
    <w:rsid w:val="00B153A2"/>
    <w:rsid w:val="00B153B2"/>
    <w:rsid w:val="00B1599A"/>
    <w:rsid w:val="00B159BA"/>
    <w:rsid w:val="00B15ACF"/>
    <w:rsid w:val="00B15CAE"/>
    <w:rsid w:val="00B15FD2"/>
    <w:rsid w:val="00B1628C"/>
    <w:rsid w:val="00B164A0"/>
    <w:rsid w:val="00B1688F"/>
    <w:rsid w:val="00B17805"/>
    <w:rsid w:val="00B17BB0"/>
    <w:rsid w:val="00B17D2C"/>
    <w:rsid w:val="00B2037C"/>
    <w:rsid w:val="00B20601"/>
    <w:rsid w:val="00B2129C"/>
    <w:rsid w:val="00B21593"/>
    <w:rsid w:val="00B218D4"/>
    <w:rsid w:val="00B2192B"/>
    <w:rsid w:val="00B21A72"/>
    <w:rsid w:val="00B2238E"/>
    <w:rsid w:val="00B224C5"/>
    <w:rsid w:val="00B22C21"/>
    <w:rsid w:val="00B230DC"/>
    <w:rsid w:val="00B236C6"/>
    <w:rsid w:val="00B23C6F"/>
    <w:rsid w:val="00B23EC7"/>
    <w:rsid w:val="00B244B3"/>
    <w:rsid w:val="00B2456A"/>
    <w:rsid w:val="00B248A9"/>
    <w:rsid w:val="00B24920"/>
    <w:rsid w:val="00B2494F"/>
    <w:rsid w:val="00B24B14"/>
    <w:rsid w:val="00B24FA6"/>
    <w:rsid w:val="00B25078"/>
    <w:rsid w:val="00B25357"/>
    <w:rsid w:val="00B253FA"/>
    <w:rsid w:val="00B25465"/>
    <w:rsid w:val="00B255B5"/>
    <w:rsid w:val="00B25607"/>
    <w:rsid w:val="00B258BA"/>
    <w:rsid w:val="00B25980"/>
    <w:rsid w:val="00B25B06"/>
    <w:rsid w:val="00B25DA1"/>
    <w:rsid w:val="00B25DBD"/>
    <w:rsid w:val="00B26194"/>
    <w:rsid w:val="00B26245"/>
    <w:rsid w:val="00B264BC"/>
    <w:rsid w:val="00B26EE5"/>
    <w:rsid w:val="00B26F06"/>
    <w:rsid w:val="00B27278"/>
    <w:rsid w:val="00B27864"/>
    <w:rsid w:val="00B27B33"/>
    <w:rsid w:val="00B27B81"/>
    <w:rsid w:val="00B27F7F"/>
    <w:rsid w:val="00B30064"/>
    <w:rsid w:val="00B301F5"/>
    <w:rsid w:val="00B303C1"/>
    <w:rsid w:val="00B30771"/>
    <w:rsid w:val="00B31CBE"/>
    <w:rsid w:val="00B31CC7"/>
    <w:rsid w:val="00B31D92"/>
    <w:rsid w:val="00B31E2D"/>
    <w:rsid w:val="00B3206A"/>
    <w:rsid w:val="00B32F2D"/>
    <w:rsid w:val="00B32FA2"/>
    <w:rsid w:val="00B33046"/>
    <w:rsid w:val="00B331C8"/>
    <w:rsid w:val="00B3340A"/>
    <w:rsid w:val="00B338BC"/>
    <w:rsid w:val="00B33ACF"/>
    <w:rsid w:val="00B33AD4"/>
    <w:rsid w:val="00B33EC7"/>
    <w:rsid w:val="00B33EEC"/>
    <w:rsid w:val="00B33FFF"/>
    <w:rsid w:val="00B3402B"/>
    <w:rsid w:val="00B341BE"/>
    <w:rsid w:val="00B342E0"/>
    <w:rsid w:val="00B34B1F"/>
    <w:rsid w:val="00B34BB0"/>
    <w:rsid w:val="00B34EB2"/>
    <w:rsid w:val="00B34EE3"/>
    <w:rsid w:val="00B35C9E"/>
    <w:rsid w:val="00B3612E"/>
    <w:rsid w:val="00B36280"/>
    <w:rsid w:val="00B36FD3"/>
    <w:rsid w:val="00B3722A"/>
    <w:rsid w:val="00B3725E"/>
    <w:rsid w:val="00B37390"/>
    <w:rsid w:val="00B37403"/>
    <w:rsid w:val="00B37411"/>
    <w:rsid w:val="00B3765D"/>
    <w:rsid w:val="00B37712"/>
    <w:rsid w:val="00B3781C"/>
    <w:rsid w:val="00B37908"/>
    <w:rsid w:val="00B37AD0"/>
    <w:rsid w:val="00B37B2E"/>
    <w:rsid w:val="00B37B45"/>
    <w:rsid w:val="00B40081"/>
    <w:rsid w:val="00B4018A"/>
    <w:rsid w:val="00B401CE"/>
    <w:rsid w:val="00B401EA"/>
    <w:rsid w:val="00B402F1"/>
    <w:rsid w:val="00B40698"/>
    <w:rsid w:val="00B40892"/>
    <w:rsid w:val="00B40DA2"/>
    <w:rsid w:val="00B40EF6"/>
    <w:rsid w:val="00B410D8"/>
    <w:rsid w:val="00B4132F"/>
    <w:rsid w:val="00B413C3"/>
    <w:rsid w:val="00B4159F"/>
    <w:rsid w:val="00B41BED"/>
    <w:rsid w:val="00B41C9B"/>
    <w:rsid w:val="00B41E19"/>
    <w:rsid w:val="00B42192"/>
    <w:rsid w:val="00B421D3"/>
    <w:rsid w:val="00B4229F"/>
    <w:rsid w:val="00B425FF"/>
    <w:rsid w:val="00B42673"/>
    <w:rsid w:val="00B42C63"/>
    <w:rsid w:val="00B4300F"/>
    <w:rsid w:val="00B433A8"/>
    <w:rsid w:val="00B435EA"/>
    <w:rsid w:val="00B438D4"/>
    <w:rsid w:val="00B43E5D"/>
    <w:rsid w:val="00B4411D"/>
    <w:rsid w:val="00B4441E"/>
    <w:rsid w:val="00B447F6"/>
    <w:rsid w:val="00B44A9D"/>
    <w:rsid w:val="00B44B2D"/>
    <w:rsid w:val="00B44CCD"/>
    <w:rsid w:val="00B452C4"/>
    <w:rsid w:val="00B45487"/>
    <w:rsid w:val="00B45CF1"/>
    <w:rsid w:val="00B45D79"/>
    <w:rsid w:val="00B45DF1"/>
    <w:rsid w:val="00B463D0"/>
    <w:rsid w:val="00B465D3"/>
    <w:rsid w:val="00B46864"/>
    <w:rsid w:val="00B46C63"/>
    <w:rsid w:val="00B46D7C"/>
    <w:rsid w:val="00B46FE7"/>
    <w:rsid w:val="00B473AA"/>
    <w:rsid w:val="00B473E6"/>
    <w:rsid w:val="00B47496"/>
    <w:rsid w:val="00B476ED"/>
    <w:rsid w:val="00B47820"/>
    <w:rsid w:val="00B50126"/>
    <w:rsid w:val="00B50322"/>
    <w:rsid w:val="00B50642"/>
    <w:rsid w:val="00B508CC"/>
    <w:rsid w:val="00B50A6E"/>
    <w:rsid w:val="00B50B5B"/>
    <w:rsid w:val="00B50C32"/>
    <w:rsid w:val="00B5110D"/>
    <w:rsid w:val="00B5140F"/>
    <w:rsid w:val="00B51FB8"/>
    <w:rsid w:val="00B5278E"/>
    <w:rsid w:val="00B527D1"/>
    <w:rsid w:val="00B52EC2"/>
    <w:rsid w:val="00B52EC8"/>
    <w:rsid w:val="00B530E2"/>
    <w:rsid w:val="00B5343F"/>
    <w:rsid w:val="00B53B77"/>
    <w:rsid w:val="00B53D3C"/>
    <w:rsid w:val="00B53FE5"/>
    <w:rsid w:val="00B5419A"/>
    <w:rsid w:val="00B5433C"/>
    <w:rsid w:val="00B54340"/>
    <w:rsid w:val="00B546EF"/>
    <w:rsid w:val="00B546F4"/>
    <w:rsid w:val="00B54756"/>
    <w:rsid w:val="00B549CE"/>
    <w:rsid w:val="00B54B15"/>
    <w:rsid w:val="00B54D2E"/>
    <w:rsid w:val="00B54DBF"/>
    <w:rsid w:val="00B5520B"/>
    <w:rsid w:val="00B559FC"/>
    <w:rsid w:val="00B55DE2"/>
    <w:rsid w:val="00B56792"/>
    <w:rsid w:val="00B56AE1"/>
    <w:rsid w:val="00B56DF0"/>
    <w:rsid w:val="00B56EC8"/>
    <w:rsid w:val="00B573E7"/>
    <w:rsid w:val="00B574A7"/>
    <w:rsid w:val="00B57726"/>
    <w:rsid w:val="00B577EC"/>
    <w:rsid w:val="00B57C85"/>
    <w:rsid w:val="00B57CC6"/>
    <w:rsid w:val="00B57E54"/>
    <w:rsid w:val="00B602D1"/>
    <w:rsid w:val="00B6061F"/>
    <w:rsid w:val="00B60743"/>
    <w:rsid w:val="00B607D3"/>
    <w:rsid w:val="00B6090A"/>
    <w:rsid w:val="00B61027"/>
    <w:rsid w:val="00B6108B"/>
    <w:rsid w:val="00B612E2"/>
    <w:rsid w:val="00B6192B"/>
    <w:rsid w:val="00B61E8D"/>
    <w:rsid w:val="00B61EA2"/>
    <w:rsid w:val="00B62692"/>
    <w:rsid w:val="00B62751"/>
    <w:rsid w:val="00B62E85"/>
    <w:rsid w:val="00B62F2E"/>
    <w:rsid w:val="00B630E1"/>
    <w:rsid w:val="00B634A4"/>
    <w:rsid w:val="00B639AC"/>
    <w:rsid w:val="00B63E12"/>
    <w:rsid w:val="00B63EC9"/>
    <w:rsid w:val="00B63FB7"/>
    <w:rsid w:val="00B643F0"/>
    <w:rsid w:val="00B6458B"/>
    <w:rsid w:val="00B647C1"/>
    <w:rsid w:val="00B647C3"/>
    <w:rsid w:val="00B64C5A"/>
    <w:rsid w:val="00B64D40"/>
    <w:rsid w:val="00B653E3"/>
    <w:rsid w:val="00B6580C"/>
    <w:rsid w:val="00B65B16"/>
    <w:rsid w:val="00B65B47"/>
    <w:rsid w:val="00B65CC4"/>
    <w:rsid w:val="00B65DEB"/>
    <w:rsid w:val="00B66163"/>
    <w:rsid w:val="00B66196"/>
    <w:rsid w:val="00B661E1"/>
    <w:rsid w:val="00B66528"/>
    <w:rsid w:val="00B6685D"/>
    <w:rsid w:val="00B66AB7"/>
    <w:rsid w:val="00B66E20"/>
    <w:rsid w:val="00B6738E"/>
    <w:rsid w:val="00B6740D"/>
    <w:rsid w:val="00B679D5"/>
    <w:rsid w:val="00B67C6F"/>
    <w:rsid w:val="00B702DC"/>
    <w:rsid w:val="00B70369"/>
    <w:rsid w:val="00B70391"/>
    <w:rsid w:val="00B7043D"/>
    <w:rsid w:val="00B70979"/>
    <w:rsid w:val="00B70B7B"/>
    <w:rsid w:val="00B70D96"/>
    <w:rsid w:val="00B710CC"/>
    <w:rsid w:val="00B710F7"/>
    <w:rsid w:val="00B71389"/>
    <w:rsid w:val="00B713AB"/>
    <w:rsid w:val="00B713BE"/>
    <w:rsid w:val="00B71402"/>
    <w:rsid w:val="00B714C7"/>
    <w:rsid w:val="00B714D6"/>
    <w:rsid w:val="00B717BB"/>
    <w:rsid w:val="00B71988"/>
    <w:rsid w:val="00B71B82"/>
    <w:rsid w:val="00B71F25"/>
    <w:rsid w:val="00B721B2"/>
    <w:rsid w:val="00B72270"/>
    <w:rsid w:val="00B7229D"/>
    <w:rsid w:val="00B7237C"/>
    <w:rsid w:val="00B7247C"/>
    <w:rsid w:val="00B727FB"/>
    <w:rsid w:val="00B72A2B"/>
    <w:rsid w:val="00B72D53"/>
    <w:rsid w:val="00B72F56"/>
    <w:rsid w:val="00B730C4"/>
    <w:rsid w:val="00B73256"/>
    <w:rsid w:val="00B73275"/>
    <w:rsid w:val="00B732C4"/>
    <w:rsid w:val="00B73620"/>
    <w:rsid w:val="00B7373E"/>
    <w:rsid w:val="00B738F6"/>
    <w:rsid w:val="00B73945"/>
    <w:rsid w:val="00B73C77"/>
    <w:rsid w:val="00B73CA5"/>
    <w:rsid w:val="00B73DA1"/>
    <w:rsid w:val="00B741E5"/>
    <w:rsid w:val="00B7434F"/>
    <w:rsid w:val="00B7483F"/>
    <w:rsid w:val="00B74910"/>
    <w:rsid w:val="00B74996"/>
    <w:rsid w:val="00B74A7B"/>
    <w:rsid w:val="00B74CD7"/>
    <w:rsid w:val="00B74CE0"/>
    <w:rsid w:val="00B74E82"/>
    <w:rsid w:val="00B74F7E"/>
    <w:rsid w:val="00B75139"/>
    <w:rsid w:val="00B75549"/>
    <w:rsid w:val="00B75AAD"/>
    <w:rsid w:val="00B75CC8"/>
    <w:rsid w:val="00B75F30"/>
    <w:rsid w:val="00B76579"/>
    <w:rsid w:val="00B76703"/>
    <w:rsid w:val="00B76780"/>
    <w:rsid w:val="00B768D1"/>
    <w:rsid w:val="00B76ABA"/>
    <w:rsid w:val="00B777C8"/>
    <w:rsid w:val="00B77A34"/>
    <w:rsid w:val="00B77CD0"/>
    <w:rsid w:val="00B803C7"/>
    <w:rsid w:val="00B80905"/>
    <w:rsid w:val="00B80BCC"/>
    <w:rsid w:val="00B81635"/>
    <w:rsid w:val="00B81C20"/>
    <w:rsid w:val="00B8223D"/>
    <w:rsid w:val="00B825D7"/>
    <w:rsid w:val="00B82AA5"/>
    <w:rsid w:val="00B82C58"/>
    <w:rsid w:val="00B82F67"/>
    <w:rsid w:val="00B83126"/>
    <w:rsid w:val="00B833DF"/>
    <w:rsid w:val="00B83991"/>
    <w:rsid w:val="00B83C53"/>
    <w:rsid w:val="00B83E1D"/>
    <w:rsid w:val="00B83E73"/>
    <w:rsid w:val="00B844D3"/>
    <w:rsid w:val="00B84627"/>
    <w:rsid w:val="00B84AE7"/>
    <w:rsid w:val="00B84B4D"/>
    <w:rsid w:val="00B84B62"/>
    <w:rsid w:val="00B84B73"/>
    <w:rsid w:val="00B84F75"/>
    <w:rsid w:val="00B85077"/>
    <w:rsid w:val="00B8521A"/>
    <w:rsid w:val="00B856B5"/>
    <w:rsid w:val="00B85798"/>
    <w:rsid w:val="00B85B50"/>
    <w:rsid w:val="00B85C17"/>
    <w:rsid w:val="00B86005"/>
    <w:rsid w:val="00B87491"/>
    <w:rsid w:val="00B874DF"/>
    <w:rsid w:val="00B87565"/>
    <w:rsid w:val="00B87702"/>
    <w:rsid w:val="00B878C8"/>
    <w:rsid w:val="00B87BAD"/>
    <w:rsid w:val="00B9002A"/>
    <w:rsid w:val="00B90738"/>
    <w:rsid w:val="00B9078B"/>
    <w:rsid w:val="00B90A7F"/>
    <w:rsid w:val="00B90CC4"/>
    <w:rsid w:val="00B90D87"/>
    <w:rsid w:val="00B90F2E"/>
    <w:rsid w:val="00B91122"/>
    <w:rsid w:val="00B912A7"/>
    <w:rsid w:val="00B92107"/>
    <w:rsid w:val="00B9235A"/>
    <w:rsid w:val="00B926DE"/>
    <w:rsid w:val="00B929AD"/>
    <w:rsid w:val="00B92A99"/>
    <w:rsid w:val="00B92E80"/>
    <w:rsid w:val="00B93101"/>
    <w:rsid w:val="00B93175"/>
    <w:rsid w:val="00B938E8"/>
    <w:rsid w:val="00B93D03"/>
    <w:rsid w:val="00B93FED"/>
    <w:rsid w:val="00B94258"/>
    <w:rsid w:val="00B9465F"/>
    <w:rsid w:val="00B947E6"/>
    <w:rsid w:val="00B948D1"/>
    <w:rsid w:val="00B94D09"/>
    <w:rsid w:val="00B94E70"/>
    <w:rsid w:val="00B94F1F"/>
    <w:rsid w:val="00B952F3"/>
    <w:rsid w:val="00B95536"/>
    <w:rsid w:val="00B955AE"/>
    <w:rsid w:val="00B95992"/>
    <w:rsid w:val="00B95AA4"/>
    <w:rsid w:val="00B95BE4"/>
    <w:rsid w:val="00B95C1D"/>
    <w:rsid w:val="00B95FE9"/>
    <w:rsid w:val="00B9620B"/>
    <w:rsid w:val="00B962B1"/>
    <w:rsid w:val="00B967A0"/>
    <w:rsid w:val="00B967E4"/>
    <w:rsid w:val="00B9682F"/>
    <w:rsid w:val="00B968BA"/>
    <w:rsid w:val="00B96D7D"/>
    <w:rsid w:val="00B96D9B"/>
    <w:rsid w:val="00B972D6"/>
    <w:rsid w:val="00B97323"/>
    <w:rsid w:val="00B9737F"/>
    <w:rsid w:val="00B97704"/>
    <w:rsid w:val="00B97DDD"/>
    <w:rsid w:val="00B97EC7"/>
    <w:rsid w:val="00B97F55"/>
    <w:rsid w:val="00B97FDE"/>
    <w:rsid w:val="00BA028E"/>
    <w:rsid w:val="00BA041A"/>
    <w:rsid w:val="00BA092C"/>
    <w:rsid w:val="00BA0A8A"/>
    <w:rsid w:val="00BA0CB3"/>
    <w:rsid w:val="00BA0DA8"/>
    <w:rsid w:val="00BA0E57"/>
    <w:rsid w:val="00BA0F28"/>
    <w:rsid w:val="00BA1330"/>
    <w:rsid w:val="00BA13DF"/>
    <w:rsid w:val="00BA167A"/>
    <w:rsid w:val="00BA18C9"/>
    <w:rsid w:val="00BA1CCA"/>
    <w:rsid w:val="00BA225E"/>
    <w:rsid w:val="00BA2423"/>
    <w:rsid w:val="00BA24D8"/>
    <w:rsid w:val="00BA2568"/>
    <w:rsid w:val="00BA2585"/>
    <w:rsid w:val="00BA26A8"/>
    <w:rsid w:val="00BA26FA"/>
    <w:rsid w:val="00BA281E"/>
    <w:rsid w:val="00BA2BF8"/>
    <w:rsid w:val="00BA2D62"/>
    <w:rsid w:val="00BA2E1F"/>
    <w:rsid w:val="00BA2F25"/>
    <w:rsid w:val="00BA362D"/>
    <w:rsid w:val="00BA3C3C"/>
    <w:rsid w:val="00BA3D7E"/>
    <w:rsid w:val="00BA3DD5"/>
    <w:rsid w:val="00BA3F35"/>
    <w:rsid w:val="00BA3FE8"/>
    <w:rsid w:val="00BA4053"/>
    <w:rsid w:val="00BA40F3"/>
    <w:rsid w:val="00BA4391"/>
    <w:rsid w:val="00BA46EC"/>
    <w:rsid w:val="00BA4D7F"/>
    <w:rsid w:val="00BA4DDD"/>
    <w:rsid w:val="00BA539D"/>
    <w:rsid w:val="00BA547C"/>
    <w:rsid w:val="00BA564C"/>
    <w:rsid w:val="00BA66D5"/>
    <w:rsid w:val="00BA676C"/>
    <w:rsid w:val="00BA6C1B"/>
    <w:rsid w:val="00BA7098"/>
    <w:rsid w:val="00BA713A"/>
    <w:rsid w:val="00BA7645"/>
    <w:rsid w:val="00BA7661"/>
    <w:rsid w:val="00BA767B"/>
    <w:rsid w:val="00BA79B8"/>
    <w:rsid w:val="00BA7BC7"/>
    <w:rsid w:val="00BA7D3E"/>
    <w:rsid w:val="00BB04FB"/>
    <w:rsid w:val="00BB07EE"/>
    <w:rsid w:val="00BB0B90"/>
    <w:rsid w:val="00BB147E"/>
    <w:rsid w:val="00BB1692"/>
    <w:rsid w:val="00BB196A"/>
    <w:rsid w:val="00BB196B"/>
    <w:rsid w:val="00BB1C3C"/>
    <w:rsid w:val="00BB1D34"/>
    <w:rsid w:val="00BB1F25"/>
    <w:rsid w:val="00BB1F41"/>
    <w:rsid w:val="00BB221F"/>
    <w:rsid w:val="00BB2568"/>
    <w:rsid w:val="00BB25F1"/>
    <w:rsid w:val="00BB2947"/>
    <w:rsid w:val="00BB29F6"/>
    <w:rsid w:val="00BB2AD4"/>
    <w:rsid w:val="00BB2E9D"/>
    <w:rsid w:val="00BB33A2"/>
    <w:rsid w:val="00BB3610"/>
    <w:rsid w:val="00BB3AC7"/>
    <w:rsid w:val="00BB3B0D"/>
    <w:rsid w:val="00BB3B60"/>
    <w:rsid w:val="00BB3D6C"/>
    <w:rsid w:val="00BB3D84"/>
    <w:rsid w:val="00BB3DDB"/>
    <w:rsid w:val="00BB48ED"/>
    <w:rsid w:val="00BB4980"/>
    <w:rsid w:val="00BB4DA8"/>
    <w:rsid w:val="00BB542A"/>
    <w:rsid w:val="00BB5546"/>
    <w:rsid w:val="00BB574C"/>
    <w:rsid w:val="00BB5A7D"/>
    <w:rsid w:val="00BB5C46"/>
    <w:rsid w:val="00BB5D0A"/>
    <w:rsid w:val="00BB5FB7"/>
    <w:rsid w:val="00BB61C3"/>
    <w:rsid w:val="00BB6355"/>
    <w:rsid w:val="00BB63A9"/>
    <w:rsid w:val="00BB6643"/>
    <w:rsid w:val="00BB66EA"/>
    <w:rsid w:val="00BB69FC"/>
    <w:rsid w:val="00BB6A8B"/>
    <w:rsid w:val="00BB6D32"/>
    <w:rsid w:val="00BB6DE5"/>
    <w:rsid w:val="00BB7228"/>
    <w:rsid w:val="00BB7262"/>
    <w:rsid w:val="00BB727B"/>
    <w:rsid w:val="00BB7A3C"/>
    <w:rsid w:val="00BB7C5E"/>
    <w:rsid w:val="00BC01FA"/>
    <w:rsid w:val="00BC027E"/>
    <w:rsid w:val="00BC029B"/>
    <w:rsid w:val="00BC0DF8"/>
    <w:rsid w:val="00BC125D"/>
    <w:rsid w:val="00BC15F7"/>
    <w:rsid w:val="00BC16B6"/>
    <w:rsid w:val="00BC1B85"/>
    <w:rsid w:val="00BC1BE3"/>
    <w:rsid w:val="00BC1F48"/>
    <w:rsid w:val="00BC2362"/>
    <w:rsid w:val="00BC2714"/>
    <w:rsid w:val="00BC2786"/>
    <w:rsid w:val="00BC2871"/>
    <w:rsid w:val="00BC2A34"/>
    <w:rsid w:val="00BC3054"/>
    <w:rsid w:val="00BC3162"/>
    <w:rsid w:val="00BC3313"/>
    <w:rsid w:val="00BC39D7"/>
    <w:rsid w:val="00BC406A"/>
    <w:rsid w:val="00BC4B4C"/>
    <w:rsid w:val="00BC4C6E"/>
    <w:rsid w:val="00BC4D51"/>
    <w:rsid w:val="00BC502B"/>
    <w:rsid w:val="00BC503B"/>
    <w:rsid w:val="00BC5434"/>
    <w:rsid w:val="00BC56D4"/>
    <w:rsid w:val="00BC5965"/>
    <w:rsid w:val="00BC5DA5"/>
    <w:rsid w:val="00BC5EA7"/>
    <w:rsid w:val="00BC5FB8"/>
    <w:rsid w:val="00BC6426"/>
    <w:rsid w:val="00BC647B"/>
    <w:rsid w:val="00BC6A8C"/>
    <w:rsid w:val="00BC70B5"/>
    <w:rsid w:val="00BC74B3"/>
    <w:rsid w:val="00BC76C1"/>
    <w:rsid w:val="00BC7741"/>
    <w:rsid w:val="00BC77FB"/>
    <w:rsid w:val="00BD00CB"/>
    <w:rsid w:val="00BD09A2"/>
    <w:rsid w:val="00BD0C49"/>
    <w:rsid w:val="00BD0F13"/>
    <w:rsid w:val="00BD117A"/>
    <w:rsid w:val="00BD1180"/>
    <w:rsid w:val="00BD141C"/>
    <w:rsid w:val="00BD1495"/>
    <w:rsid w:val="00BD1714"/>
    <w:rsid w:val="00BD184E"/>
    <w:rsid w:val="00BD1916"/>
    <w:rsid w:val="00BD1ED7"/>
    <w:rsid w:val="00BD1FD4"/>
    <w:rsid w:val="00BD2148"/>
    <w:rsid w:val="00BD25B2"/>
    <w:rsid w:val="00BD2C17"/>
    <w:rsid w:val="00BD2FD1"/>
    <w:rsid w:val="00BD31B1"/>
    <w:rsid w:val="00BD3298"/>
    <w:rsid w:val="00BD3319"/>
    <w:rsid w:val="00BD33F1"/>
    <w:rsid w:val="00BD470B"/>
    <w:rsid w:val="00BD4735"/>
    <w:rsid w:val="00BD494C"/>
    <w:rsid w:val="00BD4BE9"/>
    <w:rsid w:val="00BD4D1E"/>
    <w:rsid w:val="00BD4E5D"/>
    <w:rsid w:val="00BD4FA1"/>
    <w:rsid w:val="00BD5087"/>
    <w:rsid w:val="00BD5113"/>
    <w:rsid w:val="00BD52C5"/>
    <w:rsid w:val="00BD5436"/>
    <w:rsid w:val="00BD5465"/>
    <w:rsid w:val="00BD5639"/>
    <w:rsid w:val="00BD576F"/>
    <w:rsid w:val="00BD5862"/>
    <w:rsid w:val="00BD5DB5"/>
    <w:rsid w:val="00BD5E57"/>
    <w:rsid w:val="00BD64A0"/>
    <w:rsid w:val="00BD6935"/>
    <w:rsid w:val="00BD6998"/>
    <w:rsid w:val="00BD6C92"/>
    <w:rsid w:val="00BD72FB"/>
    <w:rsid w:val="00BD7459"/>
    <w:rsid w:val="00BD7549"/>
    <w:rsid w:val="00BD7909"/>
    <w:rsid w:val="00BD7990"/>
    <w:rsid w:val="00BD7B7A"/>
    <w:rsid w:val="00BD7D19"/>
    <w:rsid w:val="00BE0074"/>
    <w:rsid w:val="00BE007B"/>
    <w:rsid w:val="00BE00C8"/>
    <w:rsid w:val="00BE0647"/>
    <w:rsid w:val="00BE085E"/>
    <w:rsid w:val="00BE0BDB"/>
    <w:rsid w:val="00BE0CFA"/>
    <w:rsid w:val="00BE17ED"/>
    <w:rsid w:val="00BE1817"/>
    <w:rsid w:val="00BE1B67"/>
    <w:rsid w:val="00BE219E"/>
    <w:rsid w:val="00BE2434"/>
    <w:rsid w:val="00BE2933"/>
    <w:rsid w:val="00BE2A13"/>
    <w:rsid w:val="00BE2AC2"/>
    <w:rsid w:val="00BE2D21"/>
    <w:rsid w:val="00BE2F1A"/>
    <w:rsid w:val="00BE2FD3"/>
    <w:rsid w:val="00BE31A4"/>
    <w:rsid w:val="00BE3523"/>
    <w:rsid w:val="00BE35FD"/>
    <w:rsid w:val="00BE3649"/>
    <w:rsid w:val="00BE387E"/>
    <w:rsid w:val="00BE3BB0"/>
    <w:rsid w:val="00BE3E04"/>
    <w:rsid w:val="00BE3F4A"/>
    <w:rsid w:val="00BE40C8"/>
    <w:rsid w:val="00BE431D"/>
    <w:rsid w:val="00BE443F"/>
    <w:rsid w:val="00BE4831"/>
    <w:rsid w:val="00BE4958"/>
    <w:rsid w:val="00BE49B4"/>
    <w:rsid w:val="00BE4C4E"/>
    <w:rsid w:val="00BE509C"/>
    <w:rsid w:val="00BE5574"/>
    <w:rsid w:val="00BE595D"/>
    <w:rsid w:val="00BE5A26"/>
    <w:rsid w:val="00BE5C56"/>
    <w:rsid w:val="00BE5D4D"/>
    <w:rsid w:val="00BE5EE4"/>
    <w:rsid w:val="00BE612A"/>
    <w:rsid w:val="00BE61C6"/>
    <w:rsid w:val="00BE6266"/>
    <w:rsid w:val="00BE645A"/>
    <w:rsid w:val="00BE64DB"/>
    <w:rsid w:val="00BE665E"/>
    <w:rsid w:val="00BE6938"/>
    <w:rsid w:val="00BE6AB4"/>
    <w:rsid w:val="00BE6C27"/>
    <w:rsid w:val="00BE6F60"/>
    <w:rsid w:val="00BE721B"/>
    <w:rsid w:val="00BE792C"/>
    <w:rsid w:val="00BE7EFF"/>
    <w:rsid w:val="00BE7F05"/>
    <w:rsid w:val="00BE7F1E"/>
    <w:rsid w:val="00BF0201"/>
    <w:rsid w:val="00BF0268"/>
    <w:rsid w:val="00BF060D"/>
    <w:rsid w:val="00BF07DF"/>
    <w:rsid w:val="00BF0920"/>
    <w:rsid w:val="00BF0AE4"/>
    <w:rsid w:val="00BF0B66"/>
    <w:rsid w:val="00BF0CA0"/>
    <w:rsid w:val="00BF10FA"/>
    <w:rsid w:val="00BF15B2"/>
    <w:rsid w:val="00BF15BE"/>
    <w:rsid w:val="00BF1A7E"/>
    <w:rsid w:val="00BF1CED"/>
    <w:rsid w:val="00BF2078"/>
    <w:rsid w:val="00BF2586"/>
    <w:rsid w:val="00BF2632"/>
    <w:rsid w:val="00BF3028"/>
    <w:rsid w:val="00BF313B"/>
    <w:rsid w:val="00BF3375"/>
    <w:rsid w:val="00BF3760"/>
    <w:rsid w:val="00BF39A7"/>
    <w:rsid w:val="00BF3E83"/>
    <w:rsid w:val="00BF3F5E"/>
    <w:rsid w:val="00BF3FAA"/>
    <w:rsid w:val="00BF402E"/>
    <w:rsid w:val="00BF404D"/>
    <w:rsid w:val="00BF425E"/>
    <w:rsid w:val="00BF43F1"/>
    <w:rsid w:val="00BF4651"/>
    <w:rsid w:val="00BF4C43"/>
    <w:rsid w:val="00BF4C54"/>
    <w:rsid w:val="00BF4DF1"/>
    <w:rsid w:val="00BF5995"/>
    <w:rsid w:val="00BF610D"/>
    <w:rsid w:val="00BF680C"/>
    <w:rsid w:val="00BF69AF"/>
    <w:rsid w:val="00BF6C4C"/>
    <w:rsid w:val="00BF6DDA"/>
    <w:rsid w:val="00BF6EF3"/>
    <w:rsid w:val="00BF6F52"/>
    <w:rsid w:val="00BF71DE"/>
    <w:rsid w:val="00BF7ED9"/>
    <w:rsid w:val="00BF7EF3"/>
    <w:rsid w:val="00BF7F60"/>
    <w:rsid w:val="00BF7F62"/>
    <w:rsid w:val="00BF7F81"/>
    <w:rsid w:val="00C002DF"/>
    <w:rsid w:val="00C00453"/>
    <w:rsid w:val="00C00A0F"/>
    <w:rsid w:val="00C00D91"/>
    <w:rsid w:val="00C00F95"/>
    <w:rsid w:val="00C010E0"/>
    <w:rsid w:val="00C01451"/>
    <w:rsid w:val="00C015DF"/>
    <w:rsid w:val="00C01630"/>
    <w:rsid w:val="00C0180D"/>
    <w:rsid w:val="00C01904"/>
    <w:rsid w:val="00C01AD0"/>
    <w:rsid w:val="00C01BDE"/>
    <w:rsid w:val="00C01C69"/>
    <w:rsid w:val="00C01D17"/>
    <w:rsid w:val="00C01EE3"/>
    <w:rsid w:val="00C01F25"/>
    <w:rsid w:val="00C026A7"/>
    <w:rsid w:val="00C028D2"/>
    <w:rsid w:val="00C02ACF"/>
    <w:rsid w:val="00C02B0C"/>
    <w:rsid w:val="00C02D94"/>
    <w:rsid w:val="00C0321D"/>
    <w:rsid w:val="00C033F0"/>
    <w:rsid w:val="00C03435"/>
    <w:rsid w:val="00C037B1"/>
    <w:rsid w:val="00C03946"/>
    <w:rsid w:val="00C03DAA"/>
    <w:rsid w:val="00C03EEB"/>
    <w:rsid w:val="00C03FB9"/>
    <w:rsid w:val="00C047FC"/>
    <w:rsid w:val="00C049A8"/>
    <w:rsid w:val="00C04B6A"/>
    <w:rsid w:val="00C04D44"/>
    <w:rsid w:val="00C04E02"/>
    <w:rsid w:val="00C0517D"/>
    <w:rsid w:val="00C0557D"/>
    <w:rsid w:val="00C0565D"/>
    <w:rsid w:val="00C058C5"/>
    <w:rsid w:val="00C05A86"/>
    <w:rsid w:val="00C05C81"/>
    <w:rsid w:val="00C05CB5"/>
    <w:rsid w:val="00C06053"/>
    <w:rsid w:val="00C06141"/>
    <w:rsid w:val="00C06329"/>
    <w:rsid w:val="00C06920"/>
    <w:rsid w:val="00C0692E"/>
    <w:rsid w:val="00C069F1"/>
    <w:rsid w:val="00C06A54"/>
    <w:rsid w:val="00C06CDC"/>
    <w:rsid w:val="00C06E28"/>
    <w:rsid w:val="00C071C8"/>
    <w:rsid w:val="00C073E0"/>
    <w:rsid w:val="00C079B5"/>
    <w:rsid w:val="00C07DAD"/>
    <w:rsid w:val="00C07E70"/>
    <w:rsid w:val="00C10922"/>
    <w:rsid w:val="00C10AE9"/>
    <w:rsid w:val="00C10D24"/>
    <w:rsid w:val="00C10EBB"/>
    <w:rsid w:val="00C11028"/>
    <w:rsid w:val="00C118D0"/>
    <w:rsid w:val="00C1198A"/>
    <w:rsid w:val="00C11998"/>
    <w:rsid w:val="00C119EF"/>
    <w:rsid w:val="00C11ADC"/>
    <w:rsid w:val="00C120D3"/>
    <w:rsid w:val="00C121AE"/>
    <w:rsid w:val="00C121E0"/>
    <w:rsid w:val="00C12357"/>
    <w:rsid w:val="00C125B2"/>
    <w:rsid w:val="00C12769"/>
    <w:rsid w:val="00C1290F"/>
    <w:rsid w:val="00C12BAC"/>
    <w:rsid w:val="00C12C5C"/>
    <w:rsid w:val="00C12E48"/>
    <w:rsid w:val="00C12EBE"/>
    <w:rsid w:val="00C12EDB"/>
    <w:rsid w:val="00C132AA"/>
    <w:rsid w:val="00C13797"/>
    <w:rsid w:val="00C13A34"/>
    <w:rsid w:val="00C13F8D"/>
    <w:rsid w:val="00C14498"/>
    <w:rsid w:val="00C145BF"/>
    <w:rsid w:val="00C148A1"/>
    <w:rsid w:val="00C14E64"/>
    <w:rsid w:val="00C15367"/>
    <w:rsid w:val="00C156DC"/>
    <w:rsid w:val="00C15B5D"/>
    <w:rsid w:val="00C15E49"/>
    <w:rsid w:val="00C15E6A"/>
    <w:rsid w:val="00C15F48"/>
    <w:rsid w:val="00C1629F"/>
    <w:rsid w:val="00C16A4C"/>
    <w:rsid w:val="00C16AA1"/>
    <w:rsid w:val="00C16CEA"/>
    <w:rsid w:val="00C16D43"/>
    <w:rsid w:val="00C17002"/>
    <w:rsid w:val="00C1742D"/>
    <w:rsid w:val="00C1775F"/>
    <w:rsid w:val="00C17897"/>
    <w:rsid w:val="00C17A4B"/>
    <w:rsid w:val="00C17E68"/>
    <w:rsid w:val="00C17F57"/>
    <w:rsid w:val="00C2012A"/>
    <w:rsid w:val="00C20296"/>
    <w:rsid w:val="00C20300"/>
    <w:rsid w:val="00C2062D"/>
    <w:rsid w:val="00C206F2"/>
    <w:rsid w:val="00C20AFE"/>
    <w:rsid w:val="00C210F8"/>
    <w:rsid w:val="00C21391"/>
    <w:rsid w:val="00C2156E"/>
    <w:rsid w:val="00C216EB"/>
    <w:rsid w:val="00C216F4"/>
    <w:rsid w:val="00C21A6A"/>
    <w:rsid w:val="00C21CE8"/>
    <w:rsid w:val="00C2203F"/>
    <w:rsid w:val="00C22178"/>
    <w:rsid w:val="00C221D1"/>
    <w:rsid w:val="00C222DD"/>
    <w:rsid w:val="00C22D71"/>
    <w:rsid w:val="00C22E7E"/>
    <w:rsid w:val="00C23203"/>
    <w:rsid w:val="00C23408"/>
    <w:rsid w:val="00C237BA"/>
    <w:rsid w:val="00C23B01"/>
    <w:rsid w:val="00C23EB8"/>
    <w:rsid w:val="00C23F59"/>
    <w:rsid w:val="00C24043"/>
    <w:rsid w:val="00C24366"/>
    <w:rsid w:val="00C24992"/>
    <w:rsid w:val="00C24BB5"/>
    <w:rsid w:val="00C24C1A"/>
    <w:rsid w:val="00C24E99"/>
    <w:rsid w:val="00C25875"/>
    <w:rsid w:val="00C25B16"/>
    <w:rsid w:val="00C25DF6"/>
    <w:rsid w:val="00C26004"/>
    <w:rsid w:val="00C26223"/>
    <w:rsid w:val="00C26225"/>
    <w:rsid w:val="00C26609"/>
    <w:rsid w:val="00C26613"/>
    <w:rsid w:val="00C26627"/>
    <w:rsid w:val="00C26874"/>
    <w:rsid w:val="00C26AA5"/>
    <w:rsid w:val="00C26EEF"/>
    <w:rsid w:val="00C27105"/>
    <w:rsid w:val="00C27665"/>
    <w:rsid w:val="00C27AE9"/>
    <w:rsid w:val="00C27CEE"/>
    <w:rsid w:val="00C27D84"/>
    <w:rsid w:val="00C27E1C"/>
    <w:rsid w:val="00C27E76"/>
    <w:rsid w:val="00C305BA"/>
    <w:rsid w:val="00C30862"/>
    <w:rsid w:val="00C312B6"/>
    <w:rsid w:val="00C312F9"/>
    <w:rsid w:val="00C3144A"/>
    <w:rsid w:val="00C316C2"/>
    <w:rsid w:val="00C318DF"/>
    <w:rsid w:val="00C318F9"/>
    <w:rsid w:val="00C31AFD"/>
    <w:rsid w:val="00C31C1D"/>
    <w:rsid w:val="00C31E3D"/>
    <w:rsid w:val="00C320C9"/>
    <w:rsid w:val="00C32319"/>
    <w:rsid w:val="00C323F9"/>
    <w:rsid w:val="00C3254E"/>
    <w:rsid w:val="00C328A9"/>
    <w:rsid w:val="00C32BB9"/>
    <w:rsid w:val="00C32EFA"/>
    <w:rsid w:val="00C32FC4"/>
    <w:rsid w:val="00C332FF"/>
    <w:rsid w:val="00C339F1"/>
    <w:rsid w:val="00C33AF0"/>
    <w:rsid w:val="00C33C73"/>
    <w:rsid w:val="00C33D05"/>
    <w:rsid w:val="00C33E7E"/>
    <w:rsid w:val="00C33F4C"/>
    <w:rsid w:val="00C3461C"/>
    <w:rsid w:val="00C34B60"/>
    <w:rsid w:val="00C34B90"/>
    <w:rsid w:val="00C34BA0"/>
    <w:rsid w:val="00C34F75"/>
    <w:rsid w:val="00C3515C"/>
    <w:rsid w:val="00C3518F"/>
    <w:rsid w:val="00C351F4"/>
    <w:rsid w:val="00C351FC"/>
    <w:rsid w:val="00C3529E"/>
    <w:rsid w:val="00C354AE"/>
    <w:rsid w:val="00C35549"/>
    <w:rsid w:val="00C355DA"/>
    <w:rsid w:val="00C35E54"/>
    <w:rsid w:val="00C364DC"/>
    <w:rsid w:val="00C369DA"/>
    <w:rsid w:val="00C36A93"/>
    <w:rsid w:val="00C36B84"/>
    <w:rsid w:val="00C36CBC"/>
    <w:rsid w:val="00C3768D"/>
    <w:rsid w:val="00C377E8"/>
    <w:rsid w:val="00C377FB"/>
    <w:rsid w:val="00C37941"/>
    <w:rsid w:val="00C3794A"/>
    <w:rsid w:val="00C379BE"/>
    <w:rsid w:val="00C40392"/>
    <w:rsid w:val="00C405B4"/>
    <w:rsid w:val="00C414BA"/>
    <w:rsid w:val="00C41586"/>
    <w:rsid w:val="00C41776"/>
    <w:rsid w:val="00C41AF9"/>
    <w:rsid w:val="00C41E8A"/>
    <w:rsid w:val="00C4224D"/>
    <w:rsid w:val="00C422A5"/>
    <w:rsid w:val="00C423EF"/>
    <w:rsid w:val="00C42B13"/>
    <w:rsid w:val="00C42F2B"/>
    <w:rsid w:val="00C43127"/>
    <w:rsid w:val="00C431C9"/>
    <w:rsid w:val="00C432AB"/>
    <w:rsid w:val="00C436D6"/>
    <w:rsid w:val="00C43912"/>
    <w:rsid w:val="00C43976"/>
    <w:rsid w:val="00C43C7E"/>
    <w:rsid w:val="00C43CB7"/>
    <w:rsid w:val="00C44233"/>
    <w:rsid w:val="00C449BC"/>
    <w:rsid w:val="00C44C6E"/>
    <w:rsid w:val="00C44D7F"/>
    <w:rsid w:val="00C45091"/>
    <w:rsid w:val="00C4523B"/>
    <w:rsid w:val="00C45803"/>
    <w:rsid w:val="00C45825"/>
    <w:rsid w:val="00C45BE2"/>
    <w:rsid w:val="00C45C1F"/>
    <w:rsid w:val="00C45C3B"/>
    <w:rsid w:val="00C45C57"/>
    <w:rsid w:val="00C4637E"/>
    <w:rsid w:val="00C465A6"/>
    <w:rsid w:val="00C468CB"/>
    <w:rsid w:val="00C46CD1"/>
    <w:rsid w:val="00C46CD2"/>
    <w:rsid w:val="00C46D60"/>
    <w:rsid w:val="00C46E3D"/>
    <w:rsid w:val="00C470F8"/>
    <w:rsid w:val="00C47105"/>
    <w:rsid w:val="00C47188"/>
    <w:rsid w:val="00C47206"/>
    <w:rsid w:val="00C47224"/>
    <w:rsid w:val="00C472DA"/>
    <w:rsid w:val="00C473BD"/>
    <w:rsid w:val="00C475CE"/>
    <w:rsid w:val="00C47D73"/>
    <w:rsid w:val="00C504EB"/>
    <w:rsid w:val="00C508C9"/>
    <w:rsid w:val="00C509B7"/>
    <w:rsid w:val="00C50ADD"/>
    <w:rsid w:val="00C51086"/>
    <w:rsid w:val="00C51411"/>
    <w:rsid w:val="00C5194F"/>
    <w:rsid w:val="00C51A55"/>
    <w:rsid w:val="00C51B11"/>
    <w:rsid w:val="00C51D8F"/>
    <w:rsid w:val="00C51D9B"/>
    <w:rsid w:val="00C52250"/>
    <w:rsid w:val="00C52705"/>
    <w:rsid w:val="00C52797"/>
    <w:rsid w:val="00C529BF"/>
    <w:rsid w:val="00C52A65"/>
    <w:rsid w:val="00C52B2A"/>
    <w:rsid w:val="00C52C34"/>
    <w:rsid w:val="00C52D7F"/>
    <w:rsid w:val="00C52E2A"/>
    <w:rsid w:val="00C5382E"/>
    <w:rsid w:val="00C53B1B"/>
    <w:rsid w:val="00C53CD2"/>
    <w:rsid w:val="00C53DC9"/>
    <w:rsid w:val="00C53EED"/>
    <w:rsid w:val="00C541B4"/>
    <w:rsid w:val="00C54541"/>
    <w:rsid w:val="00C54746"/>
    <w:rsid w:val="00C54A2D"/>
    <w:rsid w:val="00C54A53"/>
    <w:rsid w:val="00C54B66"/>
    <w:rsid w:val="00C54DFF"/>
    <w:rsid w:val="00C54F3A"/>
    <w:rsid w:val="00C55015"/>
    <w:rsid w:val="00C552FC"/>
    <w:rsid w:val="00C55313"/>
    <w:rsid w:val="00C55464"/>
    <w:rsid w:val="00C55CFA"/>
    <w:rsid w:val="00C55E0E"/>
    <w:rsid w:val="00C55F83"/>
    <w:rsid w:val="00C55F86"/>
    <w:rsid w:val="00C561C1"/>
    <w:rsid w:val="00C567F0"/>
    <w:rsid w:val="00C56A8C"/>
    <w:rsid w:val="00C56DA3"/>
    <w:rsid w:val="00C5702F"/>
    <w:rsid w:val="00C573DA"/>
    <w:rsid w:val="00C573DF"/>
    <w:rsid w:val="00C574BC"/>
    <w:rsid w:val="00C57610"/>
    <w:rsid w:val="00C5767E"/>
    <w:rsid w:val="00C57BBC"/>
    <w:rsid w:val="00C57E87"/>
    <w:rsid w:val="00C60556"/>
    <w:rsid w:val="00C605CB"/>
    <w:rsid w:val="00C606F2"/>
    <w:rsid w:val="00C60713"/>
    <w:rsid w:val="00C6094C"/>
    <w:rsid w:val="00C60952"/>
    <w:rsid w:val="00C60B0C"/>
    <w:rsid w:val="00C610A2"/>
    <w:rsid w:val="00C61B24"/>
    <w:rsid w:val="00C62047"/>
    <w:rsid w:val="00C62232"/>
    <w:rsid w:val="00C6244E"/>
    <w:rsid w:val="00C624B7"/>
    <w:rsid w:val="00C628CF"/>
    <w:rsid w:val="00C62AA0"/>
    <w:rsid w:val="00C62C7A"/>
    <w:rsid w:val="00C62C96"/>
    <w:rsid w:val="00C62F2A"/>
    <w:rsid w:val="00C63426"/>
    <w:rsid w:val="00C63438"/>
    <w:rsid w:val="00C635F4"/>
    <w:rsid w:val="00C636CC"/>
    <w:rsid w:val="00C63799"/>
    <w:rsid w:val="00C63A6C"/>
    <w:rsid w:val="00C63B30"/>
    <w:rsid w:val="00C63D71"/>
    <w:rsid w:val="00C63F9B"/>
    <w:rsid w:val="00C6407B"/>
    <w:rsid w:val="00C6419B"/>
    <w:rsid w:val="00C64309"/>
    <w:rsid w:val="00C644C6"/>
    <w:rsid w:val="00C645A1"/>
    <w:rsid w:val="00C64745"/>
    <w:rsid w:val="00C649F5"/>
    <w:rsid w:val="00C64C1C"/>
    <w:rsid w:val="00C6521B"/>
    <w:rsid w:val="00C65387"/>
    <w:rsid w:val="00C654C0"/>
    <w:rsid w:val="00C66003"/>
    <w:rsid w:val="00C66145"/>
    <w:rsid w:val="00C662FD"/>
    <w:rsid w:val="00C66449"/>
    <w:rsid w:val="00C66474"/>
    <w:rsid w:val="00C665C7"/>
    <w:rsid w:val="00C66B8B"/>
    <w:rsid w:val="00C675F4"/>
    <w:rsid w:val="00C67959"/>
    <w:rsid w:val="00C67EC0"/>
    <w:rsid w:val="00C70049"/>
    <w:rsid w:val="00C703B4"/>
    <w:rsid w:val="00C70A99"/>
    <w:rsid w:val="00C70F88"/>
    <w:rsid w:val="00C70FA7"/>
    <w:rsid w:val="00C71293"/>
    <w:rsid w:val="00C712EF"/>
    <w:rsid w:val="00C71324"/>
    <w:rsid w:val="00C7142E"/>
    <w:rsid w:val="00C71568"/>
    <w:rsid w:val="00C719DF"/>
    <w:rsid w:val="00C71CC6"/>
    <w:rsid w:val="00C71D1C"/>
    <w:rsid w:val="00C71D3A"/>
    <w:rsid w:val="00C7277B"/>
    <w:rsid w:val="00C72A4E"/>
    <w:rsid w:val="00C72ACB"/>
    <w:rsid w:val="00C72CBE"/>
    <w:rsid w:val="00C7315F"/>
    <w:rsid w:val="00C7365C"/>
    <w:rsid w:val="00C73AE3"/>
    <w:rsid w:val="00C73E8D"/>
    <w:rsid w:val="00C7433C"/>
    <w:rsid w:val="00C74DBC"/>
    <w:rsid w:val="00C75221"/>
    <w:rsid w:val="00C7550F"/>
    <w:rsid w:val="00C756F1"/>
    <w:rsid w:val="00C758D9"/>
    <w:rsid w:val="00C75C3A"/>
    <w:rsid w:val="00C75DC8"/>
    <w:rsid w:val="00C75F4C"/>
    <w:rsid w:val="00C76165"/>
    <w:rsid w:val="00C7639E"/>
    <w:rsid w:val="00C765C6"/>
    <w:rsid w:val="00C767E7"/>
    <w:rsid w:val="00C7712C"/>
    <w:rsid w:val="00C772C7"/>
    <w:rsid w:val="00C774D2"/>
    <w:rsid w:val="00C7790A"/>
    <w:rsid w:val="00C77ADF"/>
    <w:rsid w:val="00C77B62"/>
    <w:rsid w:val="00C77E49"/>
    <w:rsid w:val="00C801B1"/>
    <w:rsid w:val="00C8025B"/>
    <w:rsid w:val="00C80323"/>
    <w:rsid w:val="00C80A9F"/>
    <w:rsid w:val="00C80ACA"/>
    <w:rsid w:val="00C811C7"/>
    <w:rsid w:val="00C814AE"/>
    <w:rsid w:val="00C817B6"/>
    <w:rsid w:val="00C81820"/>
    <w:rsid w:val="00C819B2"/>
    <w:rsid w:val="00C819DF"/>
    <w:rsid w:val="00C81FD1"/>
    <w:rsid w:val="00C8230C"/>
    <w:rsid w:val="00C824C5"/>
    <w:rsid w:val="00C824F4"/>
    <w:rsid w:val="00C825B9"/>
    <w:rsid w:val="00C828FD"/>
    <w:rsid w:val="00C829F4"/>
    <w:rsid w:val="00C82DE9"/>
    <w:rsid w:val="00C82F32"/>
    <w:rsid w:val="00C833FA"/>
    <w:rsid w:val="00C838C8"/>
    <w:rsid w:val="00C83DB7"/>
    <w:rsid w:val="00C841F6"/>
    <w:rsid w:val="00C844EF"/>
    <w:rsid w:val="00C84917"/>
    <w:rsid w:val="00C84A68"/>
    <w:rsid w:val="00C84AD2"/>
    <w:rsid w:val="00C84CD6"/>
    <w:rsid w:val="00C84EE7"/>
    <w:rsid w:val="00C8516B"/>
    <w:rsid w:val="00C85294"/>
    <w:rsid w:val="00C85380"/>
    <w:rsid w:val="00C85819"/>
    <w:rsid w:val="00C85898"/>
    <w:rsid w:val="00C85AF5"/>
    <w:rsid w:val="00C85B19"/>
    <w:rsid w:val="00C85C3B"/>
    <w:rsid w:val="00C85E4E"/>
    <w:rsid w:val="00C8668A"/>
    <w:rsid w:val="00C868D3"/>
    <w:rsid w:val="00C8691D"/>
    <w:rsid w:val="00C86A62"/>
    <w:rsid w:val="00C86A8B"/>
    <w:rsid w:val="00C86CBE"/>
    <w:rsid w:val="00C86CDA"/>
    <w:rsid w:val="00C872A0"/>
    <w:rsid w:val="00C87478"/>
    <w:rsid w:val="00C8759F"/>
    <w:rsid w:val="00C87997"/>
    <w:rsid w:val="00C87B73"/>
    <w:rsid w:val="00C90030"/>
    <w:rsid w:val="00C90360"/>
    <w:rsid w:val="00C90817"/>
    <w:rsid w:val="00C90D35"/>
    <w:rsid w:val="00C90D98"/>
    <w:rsid w:val="00C90FF1"/>
    <w:rsid w:val="00C9111A"/>
    <w:rsid w:val="00C915DC"/>
    <w:rsid w:val="00C92214"/>
    <w:rsid w:val="00C922AE"/>
    <w:rsid w:val="00C9259D"/>
    <w:rsid w:val="00C925A7"/>
    <w:rsid w:val="00C92709"/>
    <w:rsid w:val="00C9281D"/>
    <w:rsid w:val="00C929AD"/>
    <w:rsid w:val="00C92C24"/>
    <w:rsid w:val="00C92DAB"/>
    <w:rsid w:val="00C92EBD"/>
    <w:rsid w:val="00C9375D"/>
    <w:rsid w:val="00C93825"/>
    <w:rsid w:val="00C938CC"/>
    <w:rsid w:val="00C939B6"/>
    <w:rsid w:val="00C93BF5"/>
    <w:rsid w:val="00C93D48"/>
    <w:rsid w:val="00C93D93"/>
    <w:rsid w:val="00C93F96"/>
    <w:rsid w:val="00C9423D"/>
    <w:rsid w:val="00C9423F"/>
    <w:rsid w:val="00C944B9"/>
    <w:rsid w:val="00C94511"/>
    <w:rsid w:val="00C94584"/>
    <w:rsid w:val="00C9477D"/>
    <w:rsid w:val="00C94E8E"/>
    <w:rsid w:val="00C94F11"/>
    <w:rsid w:val="00C94F9B"/>
    <w:rsid w:val="00C9524F"/>
    <w:rsid w:val="00C952A1"/>
    <w:rsid w:val="00C95338"/>
    <w:rsid w:val="00C95633"/>
    <w:rsid w:val="00C95B4C"/>
    <w:rsid w:val="00C95CF0"/>
    <w:rsid w:val="00C95D8D"/>
    <w:rsid w:val="00C96349"/>
    <w:rsid w:val="00C9644C"/>
    <w:rsid w:val="00C9687D"/>
    <w:rsid w:val="00C9724F"/>
    <w:rsid w:val="00C9798C"/>
    <w:rsid w:val="00C97A0E"/>
    <w:rsid w:val="00C97A3A"/>
    <w:rsid w:val="00C97F3A"/>
    <w:rsid w:val="00CA011C"/>
    <w:rsid w:val="00CA0EAB"/>
    <w:rsid w:val="00CA10FA"/>
    <w:rsid w:val="00CA15A0"/>
    <w:rsid w:val="00CA1613"/>
    <w:rsid w:val="00CA1A38"/>
    <w:rsid w:val="00CA2238"/>
    <w:rsid w:val="00CA235B"/>
    <w:rsid w:val="00CA2746"/>
    <w:rsid w:val="00CA2A9D"/>
    <w:rsid w:val="00CA2B95"/>
    <w:rsid w:val="00CA2C94"/>
    <w:rsid w:val="00CA3064"/>
    <w:rsid w:val="00CA321D"/>
    <w:rsid w:val="00CA341B"/>
    <w:rsid w:val="00CA3904"/>
    <w:rsid w:val="00CA3922"/>
    <w:rsid w:val="00CA4089"/>
    <w:rsid w:val="00CA45E5"/>
    <w:rsid w:val="00CA472C"/>
    <w:rsid w:val="00CA4B7C"/>
    <w:rsid w:val="00CA4CA7"/>
    <w:rsid w:val="00CA4D23"/>
    <w:rsid w:val="00CA4F3F"/>
    <w:rsid w:val="00CA508D"/>
    <w:rsid w:val="00CA5641"/>
    <w:rsid w:val="00CA578F"/>
    <w:rsid w:val="00CA5AA6"/>
    <w:rsid w:val="00CA5BEA"/>
    <w:rsid w:val="00CA5C8B"/>
    <w:rsid w:val="00CA5EF8"/>
    <w:rsid w:val="00CA60F6"/>
    <w:rsid w:val="00CA6B92"/>
    <w:rsid w:val="00CA6DCB"/>
    <w:rsid w:val="00CA6E04"/>
    <w:rsid w:val="00CA6F28"/>
    <w:rsid w:val="00CA7650"/>
    <w:rsid w:val="00CA7773"/>
    <w:rsid w:val="00CA779E"/>
    <w:rsid w:val="00CA77DB"/>
    <w:rsid w:val="00CA7820"/>
    <w:rsid w:val="00CA7A01"/>
    <w:rsid w:val="00CA7B54"/>
    <w:rsid w:val="00CA7EB4"/>
    <w:rsid w:val="00CB000D"/>
    <w:rsid w:val="00CB002F"/>
    <w:rsid w:val="00CB01E8"/>
    <w:rsid w:val="00CB02EE"/>
    <w:rsid w:val="00CB0799"/>
    <w:rsid w:val="00CB0814"/>
    <w:rsid w:val="00CB0AF8"/>
    <w:rsid w:val="00CB0DC7"/>
    <w:rsid w:val="00CB1391"/>
    <w:rsid w:val="00CB13A4"/>
    <w:rsid w:val="00CB1463"/>
    <w:rsid w:val="00CB1765"/>
    <w:rsid w:val="00CB1856"/>
    <w:rsid w:val="00CB1A5E"/>
    <w:rsid w:val="00CB1B32"/>
    <w:rsid w:val="00CB1D12"/>
    <w:rsid w:val="00CB2CC4"/>
    <w:rsid w:val="00CB2F7D"/>
    <w:rsid w:val="00CB3193"/>
    <w:rsid w:val="00CB33FC"/>
    <w:rsid w:val="00CB3752"/>
    <w:rsid w:val="00CB39B4"/>
    <w:rsid w:val="00CB4623"/>
    <w:rsid w:val="00CB4795"/>
    <w:rsid w:val="00CB4DCE"/>
    <w:rsid w:val="00CB53F4"/>
    <w:rsid w:val="00CB55AD"/>
    <w:rsid w:val="00CB57A9"/>
    <w:rsid w:val="00CB5C75"/>
    <w:rsid w:val="00CB5CD6"/>
    <w:rsid w:val="00CB60DB"/>
    <w:rsid w:val="00CB67A4"/>
    <w:rsid w:val="00CB67FC"/>
    <w:rsid w:val="00CB6B7A"/>
    <w:rsid w:val="00CB6F73"/>
    <w:rsid w:val="00CB7448"/>
    <w:rsid w:val="00CC0119"/>
    <w:rsid w:val="00CC02DD"/>
    <w:rsid w:val="00CC05B3"/>
    <w:rsid w:val="00CC0798"/>
    <w:rsid w:val="00CC091B"/>
    <w:rsid w:val="00CC0D47"/>
    <w:rsid w:val="00CC0FC0"/>
    <w:rsid w:val="00CC14ED"/>
    <w:rsid w:val="00CC15E6"/>
    <w:rsid w:val="00CC1727"/>
    <w:rsid w:val="00CC180D"/>
    <w:rsid w:val="00CC1AB3"/>
    <w:rsid w:val="00CC1AB7"/>
    <w:rsid w:val="00CC213E"/>
    <w:rsid w:val="00CC2337"/>
    <w:rsid w:val="00CC2541"/>
    <w:rsid w:val="00CC2669"/>
    <w:rsid w:val="00CC296E"/>
    <w:rsid w:val="00CC3137"/>
    <w:rsid w:val="00CC3150"/>
    <w:rsid w:val="00CC33CD"/>
    <w:rsid w:val="00CC3436"/>
    <w:rsid w:val="00CC3DAB"/>
    <w:rsid w:val="00CC4075"/>
    <w:rsid w:val="00CC45D9"/>
    <w:rsid w:val="00CC4714"/>
    <w:rsid w:val="00CC482F"/>
    <w:rsid w:val="00CC4928"/>
    <w:rsid w:val="00CC4D7F"/>
    <w:rsid w:val="00CC51D1"/>
    <w:rsid w:val="00CC5205"/>
    <w:rsid w:val="00CC5B63"/>
    <w:rsid w:val="00CC66AA"/>
    <w:rsid w:val="00CC675A"/>
    <w:rsid w:val="00CC6F7D"/>
    <w:rsid w:val="00CC7035"/>
    <w:rsid w:val="00CC71C3"/>
    <w:rsid w:val="00CC75AA"/>
    <w:rsid w:val="00CC7615"/>
    <w:rsid w:val="00CC785C"/>
    <w:rsid w:val="00CD0120"/>
    <w:rsid w:val="00CD0455"/>
    <w:rsid w:val="00CD06A6"/>
    <w:rsid w:val="00CD06FF"/>
    <w:rsid w:val="00CD0912"/>
    <w:rsid w:val="00CD0ADA"/>
    <w:rsid w:val="00CD0D5B"/>
    <w:rsid w:val="00CD0D82"/>
    <w:rsid w:val="00CD12AA"/>
    <w:rsid w:val="00CD12E7"/>
    <w:rsid w:val="00CD1444"/>
    <w:rsid w:val="00CD1B5D"/>
    <w:rsid w:val="00CD1C36"/>
    <w:rsid w:val="00CD1E22"/>
    <w:rsid w:val="00CD2344"/>
    <w:rsid w:val="00CD27A4"/>
    <w:rsid w:val="00CD2800"/>
    <w:rsid w:val="00CD2867"/>
    <w:rsid w:val="00CD2878"/>
    <w:rsid w:val="00CD29AB"/>
    <w:rsid w:val="00CD2F93"/>
    <w:rsid w:val="00CD3092"/>
    <w:rsid w:val="00CD3352"/>
    <w:rsid w:val="00CD3360"/>
    <w:rsid w:val="00CD3685"/>
    <w:rsid w:val="00CD37E9"/>
    <w:rsid w:val="00CD3B73"/>
    <w:rsid w:val="00CD3D4A"/>
    <w:rsid w:val="00CD3D58"/>
    <w:rsid w:val="00CD3F54"/>
    <w:rsid w:val="00CD410B"/>
    <w:rsid w:val="00CD44BA"/>
    <w:rsid w:val="00CD45F7"/>
    <w:rsid w:val="00CD4665"/>
    <w:rsid w:val="00CD4BE9"/>
    <w:rsid w:val="00CD4E9F"/>
    <w:rsid w:val="00CD4F31"/>
    <w:rsid w:val="00CD4F61"/>
    <w:rsid w:val="00CD55BB"/>
    <w:rsid w:val="00CD5717"/>
    <w:rsid w:val="00CD5744"/>
    <w:rsid w:val="00CD5858"/>
    <w:rsid w:val="00CD5C9E"/>
    <w:rsid w:val="00CD5CDB"/>
    <w:rsid w:val="00CD608F"/>
    <w:rsid w:val="00CD6864"/>
    <w:rsid w:val="00CD72FF"/>
    <w:rsid w:val="00CD7317"/>
    <w:rsid w:val="00CD7733"/>
    <w:rsid w:val="00CD7DC4"/>
    <w:rsid w:val="00CE013C"/>
    <w:rsid w:val="00CE029D"/>
    <w:rsid w:val="00CE02A7"/>
    <w:rsid w:val="00CE031B"/>
    <w:rsid w:val="00CE0498"/>
    <w:rsid w:val="00CE0664"/>
    <w:rsid w:val="00CE0BC1"/>
    <w:rsid w:val="00CE0C5D"/>
    <w:rsid w:val="00CE0D8E"/>
    <w:rsid w:val="00CE0EBF"/>
    <w:rsid w:val="00CE0FCB"/>
    <w:rsid w:val="00CE1B18"/>
    <w:rsid w:val="00CE1B31"/>
    <w:rsid w:val="00CE1C2C"/>
    <w:rsid w:val="00CE1C3D"/>
    <w:rsid w:val="00CE3251"/>
    <w:rsid w:val="00CE330A"/>
    <w:rsid w:val="00CE3401"/>
    <w:rsid w:val="00CE3A8B"/>
    <w:rsid w:val="00CE3AD4"/>
    <w:rsid w:val="00CE3FE1"/>
    <w:rsid w:val="00CE4012"/>
    <w:rsid w:val="00CE40F8"/>
    <w:rsid w:val="00CE4C12"/>
    <w:rsid w:val="00CE5066"/>
    <w:rsid w:val="00CE5A09"/>
    <w:rsid w:val="00CE5CBE"/>
    <w:rsid w:val="00CE61A8"/>
    <w:rsid w:val="00CE62AE"/>
    <w:rsid w:val="00CE6419"/>
    <w:rsid w:val="00CE6483"/>
    <w:rsid w:val="00CE66A8"/>
    <w:rsid w:val="00CE68F9"/>
    <w:rsid w:val="00CE694D"/>
    <w:rsid w:val="00CE69B1"/>
    <w:rsid w:val="00CE6F80"/>
    <w:rsid w:val="00CE70DE"/>
    <w:rsid w:val="00CE7CA8"/>
    <w:rsid w:val="00CE7D40"/>
    <w:rsid w:val="00CE7FFD"/>
    <w:rsid w:val="00CF03E7"/>
    <w:rsid w:val="00CF050E"/>
    <w:rsid w:val="00CF07A5"/>
    <w:rsid w:val="00CF07AF"/>
    <w:rsid w:val="00CF0C3B"/>
    <w:rsid w:val="00CF0C73"/>
    <w:rsid w:val="00CF0C8A"/>
    <w:rsid w:val="00CF0EC2"/>
    <w:rsid w:val="00CF0F13"/>
    <w:rsid w:val="00CF1CB2"/>
    <w:rsid w:val="00CF1E35"/>
    <w:rsid w:val="00CF1FCA"/>
    <w:rsid w:val="00CF2028"/>
    <w:rsid w:val="00CF208F"/>
    <w:rsid w:val="00CF2506"/>
    <w:rsid w:val="00CF2571"/>
    <w:rsid w:val="00CF270A"/>
    <w:rsid w:val="00CF2B7F"/>
    <w:rsid w:val="00CF2CC1"/>
    <w:rsid w:val="00CF2E4F"/>
    <w:rsid w:val="00CF32B6"/>
    <w:rsid w:val="00CF3BCC"/>
    <w:rsid w:val="00CF4211"/>
    <w:rsid w:val="00CF42FC"/>
    <w:rsid w:val="00CF43C6"/>
    <w:rsid w:val="00CF4546"/>
    <w:rsid w:val="00CF465B"/>
    <w:rsid w:val="00CF4913"/>
    <w:rsid w:val="00CF4DBA"/>
    <w:rsid w:val="00CF4F9E"/>
    <w:rsid w:val="00CF50C1"/>
    <w:rsid w:val="00CF53F9"/>
    <w:rsid w:val="00CF5504"/>
    <w:rsid w:val="00CF5D90"/>
    <w:rsid w:val="00CF5F69"/>
    <w:rsid w:val="00CF5FF0"/>
    <w:rsid w:val="00CF65C8"/>
    <w:rsid w:val="00CF65EF"/>
    <w:rsid w:val="00CF6CD3"/>
    <w:rsid w:val="00CF6E67"/>
    <w:rsid w:val="00CF6FE8"/>
    <w:rsid w:val="00CF73CC"/>
    <w:rsid w:val="00CF7525"/>
    <w:rsid w:val="00CF75B4"/>
    <w:rsid w:val="00CF790F"/>
    <w:rsid w:val="00D00718"/>
    <w:rsid w:val="00D00994"/>
    <w:rsid w:val="00D00BE8"/>
    <w:rsid w:val="00D00D48"/>
    <w:rsid w:val="00D00D8D"/>
    <w:rsid w:val="00D00E1B"/>
    <w:rsid w:val="00D00EE6"/>
    <w:rsid w:val="00D0121F"/>
    <w:rsid w:val="00D016E9"/>
    <w:rsid w:val="00D018B0"/>
    <w:rsid w:val="00D01A2F"/>
    <w:rsid w:val="00D01D22"/>
    <w:rsid w:val="00D01E30"/>
    <w:rsid w:val="00D01F34"/>
    <w:rsid w:val="00D01F69"/>
    <w:rsid w:val="00D01FDE"/>
    <w:rsid w:val="00D020DD"/>
    <w:rsid w:val="00D02132"/>
    <w:rsid w:val="00D02216"/>
    <w:rsid w:val="00D023A8"/>
    <w:rsid w:val="00D0247F"/>
    <w:rsid w:val="00D0253C"/>
    <w:rsid w:val="00D0265C"/>
    <w:rsid w:val="00D027FE"/>
    <w:rsid w:val="00D02A49"/>
    <w:rsid w:val="00D02C28"/>
    <w:rsid w:val="00D032AC"/>
    <w:rsid w:val="00D0345F"/>
    <w:rsid w:val="00D03460"/>
    <w:rsid w:val="00D0347C"/>
    <w:rsid w:val="00D0350D"/>
    <w:rsid w:val="00D03622"/>
    <w:rsid w:val="00D03B45"/>
    <w:rsid w:val="00D03F37"/>
    <w:rsid w:val="00D040A1"/>
    <w:rsid w:val="00D04407"/>
    <w:rsid w:val="00D04A79"/>
    <w:rsid w:val="00D0508E"/>
    <w:rsid w:val="00D05319"/>
    <w:rsid w:val="00D05414"/>
    <w:rsid w:val="00D05480"/>
    <w:rsid w:val="00D059B4"/>
    <w:rsid w:val="00D06155"/>
    <w:rsid w:val="00D061DA"/>
    <w:rsid w:val="00D06960"/>
    <w:rsid w:val="00D06B4B"/>
    <w:rsid w:val="00D06B59"/>
    <w:rsid w:val="00D06DBF"/>
    <w:rsid w:val="00D078AE"/>
    <w:rsid w:val="00D07983"/>
    <w:rsid w:val="00D07D84"/>
    <w:rsid w:val="00D07E00"/>
    <w:rsid w:val="00D07E5F"/>
    <w:rsid w:val="00D10039"/>
    <w:rsid w:val="00D101B9"/>
    <w:rsid w:val="00D102D2"/>
    <w:rsid w:val="00D10344"/>
    <w:rsid w:val="00D1055F"/>
    <w:rsid w:val="00D105BE"/>
    <w:rsid w:val="00D1086C"/>
    <w:rsid w:val="00D108C1"/>
    <w:rsid w:val="00D109A8"/>
    <w:rsid w:val="00D10C90"/>
    <w:rsid w:val="00D1132B"/>
    <w:rsid w:val="00D1135E"/>
    <w:rsid w:val="00D11616"/>
    <w:rsid w:val="00D118E7"/>
    <w:rsid w:val="00D11A29"/>
    <w:rsid w:val="00D11E13"/>
    <w:rsid w:val="00D122CD"/>
    <w:rsid w:val="00D12C27"/>
    <w:rsid w:val="00D13093"/>
    <w:rsid w:val="00D13292"/>
    <w:rsid w:val="00D135EB"/>
    <w:rsid w:val="00D137F7"/>
    <w:rsid w:val="00D13A4B"/>
    <w:rsid w:val="00D13C1D"/>
    <w:rsid w:val="00D13E71"/>
    <w:rsid w:val="00D140C8"/>
    <w:rsid w:val="00D14452"/>
    <w:rsid w:val="00D14459"/>
    <w:rsid w:val="00D14505"/>
    <w:rsid w:val="00D145F7"/>
    <w:rsid w:val="00D148A9"/>
    <w:rsid w:val="00D148CC"/>
    <w:rsid w:val="00D149D6"/>
    <w:rsid w:val="00D14B81"/>
    <w:rsid w:val="00D14C20"/>
    <w:rsid w:val="00D14F19"/>
    <w:rsid w:val="00D1530B"/>
    <w:rsid w:val="00D153F0"/>
    <w:rsid w:val="00D15426"/>
    <w:rsid w:val="00D1543D"/>
    <w:rsid w:val="00D15A69"/>
    <w:rsid w:val="00D15A87"/>
    <w:rsid w:val="00D15B48"/>
    <w:rsid w:val="00D15BDA"/>
    <w:rsid w:val="00D15DFE"/>
    <w:rsid w:val="00D165BA"/>
    <w:rsid w:val="00D16AE2"/>
    <w:rsid w:val="00D16D62"/>
    <w:rsid w:val="00D16DE5"/>
    <w:rsid w:val="00D1706E"/>
    <w:rsid w:val="00D172A1"/>
    <w:rsid w:val="00D1758C"/>
    <w:rsid w:val="00D1798D"/>
    <w:rsid w:val="00D17A72"/>
    <w:rsid w:val="00D17B82"/>
    <w:rsid w:val="00D17BA6"/>
    <w:rsid w:val="00D17D60"/>
    <w:rsid w:val="00D184B4"/>
    <w:rsid w:val="00D20017"/>
    <w:rsid w:val="00D202DD"/>
    <w:rsid w:val="00D2060C"/>
    <w:rsid w:val="00D20923"/>
    <w:rsid w:val="00D20C1E"/>
    <w:rsid w:val="00D211C2"/>
    <w:rsid w:val="00D2150E"/>
    <w:rsid w:val="00D2159C"/>
    <w:rsid w:val="00D215F4"/>
    <w:rsid w:val="00D21822"/>
    <w:rsid w:val="00D21845"/>
    <w:rsid w:val="00D219B1"/>
    <w:rsid w:val="00D219B7"/>
    <w:rsid w:val="00D21CCA"/>
    <w:rsid w:val="00D22171"/>
    <w:rsid w:val="00D22666"/>
    <w:rsid w:val="00D22788"/>
    <w:rsid w:val="00D22891"/>
    <w:rsid w:val="00D2301E"/>
    <w:rsid w:val="00D231F8"/>
    <w:rsid w:val="00D2332E"/>
    <w:rsid w:val="00D233C0"/>
    <w:rsid w:val="00D23424"/>
    <w:rsid w:val="00D2406B"/>
    <w:rsid w:val="00D244CD"/>
    <w:rsid w:val="00D245A1"/>
    <w:rsid w:val="00D24737"/>
    <w:rsid w:val="00D248D0"/>
    <w:rsid w:val="00D249CC"/>
    <w:rsid w:val="00D249E7"/>
    <w:rsid w:val="00D24E78"/>
    <w:rsid w:val="00D24E9B"/>
    <w:rsid w:val="00D2504D"/>
    <w:rsid w:val="00D255B7"/>
    <w:rsid w:val="00D257EB"/>
    <w:rsid w:val="00D25C53"/>
    <w:rsid w:val="00D26572"/>
    <w:rsid w:val="00D26913"/>
    <w:rsid w:val="00D27385"/>
    <w:rsid w:val="00D27764"/>
    <w:rsid w:val="00D27C36"/>
    <w:rsid w:val="00D27CE3"/>
    <w:rsid w:val="00D27EC7"/>
    <w:rsid w:val="00D300A3"/>
    <w:rsid w:val="00D30809"/>
    <w:rsid w:val="00D30986"/>
    <w:rsid w:val="00D30F26"/>
    <w:rsid w:val="00D31019"/>
    <w:rsid w:val="00D3185C"/>
    <w:rsid w:val="00D31B07"/>
    <w:rsid w:val="00D31BEA"/>
    <w:rsid w:val="00D31FAF"/>
    <w:rsid w:val="00D323C7"/>
    <w:rsid w:val="00D3261E"/>
    <w:rsid w:val="00D32737"/>
    <w:rsid w:val="00D327C7"/>
    <w:rsid w:val="00D32F72"/>
    <w:rsid w:val="00D32FD2"/>
    <w:rsid w:val="00D335E7"/>
    <w:rsid w:val="00D33600"/>
    <w:rsid w:val="00D33672"/>
    <w:rsid w:val="00D33786"/>
    <w:rsid w:val="00D33862"/>
    <w:rsid w:val="00D3398D"/>
    <w:rsid w:val="00D33CA2"/>
    <w:rsid w:val="00D33D1A"/>
    <w:rsid w:val="00D33E42"/>
    <w:rsid w:val="00D33FDC"/>
    <w:rsid w:val="00D341B2"/>
    <w:rsid w:val="00D342C1"/>
    <w:rsid w:val="00D34550"/>
    <w:rsid w:val="00D346BC"/>
    <w:rsid w:val="00D350A4"/>
    <w:rsid w:val="00D35326"/>
    <w:rsid w:val="00D3566F"/>
    <w:rsid w:val="00D35680"/>
    <w:rsid w:val="00D35855"/>
    <w:rsid w:val="00D358C1"/>
    <w:rsid w:val="00D35938"/>
    <w:rsid w:val="00D35AD3"/>
    <w:rsid w:val="00D35AEE"/>
    <w:rsid w:val="00D35C81"/>
    <w:rsid w:val="00D36065"/>
    <w:rsid w:val="00D36661"/>
    <w:rsid w:val="00D36C09"/>
    <w:rsid w:val="00D36EAE"/>
    <w:rsid w:val="00D3767A"/>
    <w:rsid w:val="00D37754"/>
    <w:rsid w:val="00D377DC"/>
    <w:rsid w:val="00D37F16"/>
    <w:rsid w:val="00D40019"/>
    <w:rsid w:val="00D40141"/>
    <w:rsid w:val="00D403E4"/>
    <w:rsid w:val="00D4048E"/>
    <w:rsid w:val="00D4085B"/>
    <w:rsid w:val="00D408FF"/>
    <w:rsid w:val="00D4093E"/>
    <w:rsid w:val="00D40C2D"/>
    <w:rsid w:val="00D40C35"/>
    <w:rsid w:val="00D40EDF"/>
    <w:rsid w:val="00D411F5"/>
    <w:rsid w:val="00D41530"/>
    <w:rsid w:val="00D41CCD"/>
    <w:rsid w:val="00D41D5E"/>
    <w:rsid w:val="00D41E25"/>
    <w:rsid w:val="00D4249C"/>
    <w:rsid w:val="00D4257E"/>
    <w:rsid w:val="00D42589"/>
    <w:rsid w:val="00D426F0"/>
    <w:rsid w:val="00D42DD1"/>
    <w:rsid w:val="00D42EA4"/>
    <w:rsid w:val="00D431F3"/>
    <w:rsid w:val="00D43350"/>
    <w:rsid w:val="00D4353D"/>
    <w:rsid w:val="00D43612"/>
    <w:rsid w:val="00D43D57"/>
    <w:rsid w:val="00D441EA"/>
    <w:rsid w:val="00D442D5"/>
    <w:rsid w:val="00D4462E"/>
    <w:rsid w:val="00D446A5"/>
    <w:rsid w:val="00D447B0"/>
    <w:rsid w:val="00D4485F"/>
    <w:rsid w:val="00D44956"/>
    <w:rsid w:val="00D44A8E"/>
    <w:rsid w:val="00D45542"/>
    <w:rsid w:val="00D455B8"/>
    <w:rsid w:val="00D45628"/>
    <w:rsid w:val="00D457F6"/>
    <w:rsid w:val="00D45B71"/>
    <w:rsid w:val="00D45D21"/>
    <w:rsid w:val="00D45ECB"/>
    <w:rsid w:val="00D45FA3"/>
    <w:rsid w:val="00D46184"/>
    <w:rsid w:val="00D463FD"/>
    <w:rsid w:val="00D4653B"/>
    <w:rsid w:val="00D467A8"/>
    <w:rsid w:val="00D4684C"/>
    <w:rsid w:val="00D4684E"/>
    <w:rsid w:val="00D46CDA"/>
    <w:rsid w:val="00D472AD"/>
    <w:rsid w:val="00D47445"/>
    <w:rsid w:val="00D47733"/>
    <w:rsid w:val="00D47762"/>
    <w:rsid w:val="00D47A3F"/>
    <w:rsid w:val="00D47D64"/>
    <w:rsid w:val="00D47E49"/>
    <w:rsid w:val="00D47F39"/>
    <w:rsid w:val="00D47F74"/>
    <w:rsid w:val="00D5012B"/>
    <w:rsid w:val="00D50337"/>
    <w:rsid w:val="00D50648"/>
    <w:rsid w:val="00D509E7"/>
    <w:rsid w:val="00D50B93"/>
    <w:rsid w:val="00D50C5B"/>
    <w:rsid w:val="00D50CD9"/>
    <w:rsid w:val="00D50D25"/>
    <w:rsid w:val="00D512BF"/>
    <w:rsid w:val="00D5136C"/>
    <w:rsid w:val="00D51441"/>
    <w:rsid w:val="00D51723"/>
    <w:rsid w:val="00D519DD"/>
    <w:rsid w:val="00D51AC4"/>
    <w:rsid w:val="00D51F40"/>
    <w:rsid w:val="00D5280A"/>
    <w:rsid w:val="00D52944"/>
    <w:rsid w:val="00D52BB8"/>
    <w:rsid w:val="00D5356E"/>
    <w:rsid w:val="00D535DD"/>
    <w:rsid w:val="00D5361C"/>
    <w:rsid w:val="00D536F9"/>
    <w:rsid w:val="00D5378F"/>
    <w:rsid w:val="00D53936"/>
    <w:rsid w:val="00D53AC2"/>
    <w:rsid w:val="00D53E8C"/>
    <w:rsid w:val="00D53F7F"/>
    <w:rsid w:val="00D55176"/>
    <w:rsid w:val="00D5517E"/>
    <w:rsid w:val="00D55375"/>
    <w:rsid w:val="00D559AA"/>
    <w:rsid w:val="00D55A43"/>
    <w:rsid w:val="00D55DB7"/>
    <w:rsid w:val="00D55E04"/>
    <w:rsid w:val="00D5609E"/>
    <w:rsid w:val="00D56786"/>
    <w:rsid w:val="00D569F3"/>
    <w:rsid w:val="00D56A6C"/>
    <w:rsid w:val="00D56AE2"/>
    <w:rsid w:val="00D56C6B"/>
    <w:rsid w:val="00D56C83"/>
    <w:rsid w:val="00D56DC2"/>
    <w:rsid w:val="00D57378"/>
    <w:rsid w:val="00D57396"/>
    <w:rsid w:val="00D574B8"/>
    <w:rsid w:val="00D574CE"/>
    <w:rsid w:val="00D5758E"/>
    <w:rsid w:val="00D57848"/>
    <w:rsid w:val="00D57A6C"/>
    <w:rsid w:val="00D6005A"/>
    <w:rsid w:val="00D603C9"/>
    <w:rsid w:val="00D6069E"/>
    <w:rsid w:val="00D60D19"/>
    <w:rsid w:val="00D60D5B"/>
    <w:rsid w:val="00D611D0"/>
    <w:rsid w:val="00D615D7"/>
    <w:rsid w:val="00D6163A"/>
    <w:rsid w:val="00D61689"/>
    <w:rsid w:val="00D61726"/>
    <w:rsid w:val="00D617EA"/>
    <w:rsid w:val="00D61999"/>
    <w:rsid w:val="00D61B07"/>
    <w:rsid w:val="00D61D29"/>
    <w:rsid w:val="00D62091"/>
    <w:rsid w:val="00D62420"/>
    <w:rsid w:val="00D6259A"/>
    <w:rsid w:val="00D6268D"/>
    <w:rsid w:val="00D626B4"/>
    <w:rsid w:val="00D62D33"/>
    <w:rsid w:val="00D62EF0"/>
    <w:rsid w:val="00D6303C"/>
    <w:rsid w:val="00D631BE"/>
    <w:rsid w:val="00D6333D"/>
    <w:rsid w:val="00D640FA"/>
    <w:rsid w:val="00D6428A"/>
    <w:rsid w:val="00D64745"/>
    <w:rsid w:val="00D64D34"/>
    <w:rsid w:val="00D64E95"/>
    <w:rsid w:val="00D65114"/>
    <w:rsid w:val="00D65297"/>
    <w:rsid w:val="00D654C4"/>
    <w:rsid w:val="00D65689"/>
    <w:rsid w:val="00D65748"/>
    <w:rsid w:val="00D660DE"/>
    <w:rsid w:val="00D66464"/>
    <w:rsid w:val="00D669B1"/>
    <w:rsid w:val="00D66B97"/>
    <w:rsid w:val="00D66BA8"/>
    <w:rsid w:val="00D66F70"/>
    <w:rsid w:val="00D67030"/>
    <w:rsid w:val="00D6708D"/>
    <w:rsid w:val="00D672E5"/>
    <w:rsid w:val="00D677DB"/>
    <w:rsid w:val="00D67D60"/>
    <w:rsid w:val="00D70101"/>
    <w:rsid w:val="00D702B8"/>
    <w:rsid w:val="00D70B66"/>
    <w:rsid w:val="00D70CE0"/>
    <w:rsid w:val="00D70D2F"/>
    <w:rsid w:val="00D70D92"/>
    <w:rsid w:val="00D710FB"/>
    <w:rsid w:val="00D715DA"/>
    <w:rsid w:val="00D716BE"/>
    <w:rsid w:val="00D716C9"/>
    <w:rsid w:val="00D71B16"/>
    <w:rsid w:val="00D71D21"/>
    <w:rsid w:val="00D71E2B"/>
    <w:rsid w:val="00D71E69"/>
    <w:rsid w:val="00D71EF6"/>
    <w:rsid w:val="00D71FFB"/>
    <w:rsid w:val="00D723EE"/>
    <w:rsid w:val="00D72869"/>
    <w:rsid w:val="00D72D4D"/>
    <w:rsid w:val="00D73139"/>
    <w:rsid w:val="00D7317B"/>
    <w:rsid w:val="00D7318F"/>
    <w:rsid w:val="00D731C3"/>
    <w:rsid w:val="00D7368B"/>
    <w:rsid w:val="00D73CA0"/>
    <w:rsid w:val="00D73D9C"/>
    <w:rsid w:val="00D74092"/>
    <w:rsid w:val="00D7424C"/>
    <w:rsid w:val="00D74900"/>
    <w:rsid w:val="00D74AE0"/>
    <w:rsid w:val="00D74D0A"/>
    <w:rsid w:val="00D74E4D"/>
    <w:rsid w:val="00D74FF1"/>
    <w:rsid w:val="00D75047"/>
    <w:rsid w:val="00D750B6"/>
    <w:rsid w:val="00D7541C"/>
    <w:rsid w:val="00D75532"/>
    <w:rsid w:val="00D75792"/>
    <w:rsid w:val="00D75CDD"/>
    <w:rsid w:val="00D75FA4"/>
    <w:rsid w:val="00D75FBB"/>
    <w:rsid w:val="00D760E0"/>
    <w:rsid w:val="00D762E7"/>
    <w:rsid w:val="00D76481"/>
    <w:rsid w:val="00D7704E"/>
    <w:rsid w:val="00D77E47"/>
    <w:rsid w:val="00D77E55"/>
    <w:rsid w:val="00D77F26"/>
    <w:rsid w:val="00D80265"/>
    <w:rsid w:val="00D8026C"/>
    <w:rsid w:val="00D8034A"/>
    <w:rsid w:val="00D80FC1"/>
    <w:rsid w:val="00D814B0"/>
    <w:rsid w:val="00D8163F"/>
    <w:rsid w:val="00D816A6"/>
    <w:rsid w:val="00D816DB"/>
    <w:rsid w:val="00D819B9"/>
    <w:rsid w:val="00D81CD7"/>
    <w:rsid w:val="00D81F40"/>
    <w:rsid w:val="00D82292"/>
    <w:rsid w:val="00D822C8"/>
    <w:rsid w:val="00D8242A"/>
    <w:rsid w:val="00D8263F"/>
    <w:rsid w:val="00D826F8"/>
    <w:rsid w:val="00D828A8"/>
    <w:rsid w:val="00D82AE1"/>
    <w:rsid w:val="00D83192"/>
    <w:rsid w:val="00D831FC"/>
    <w:rsid w:val="00D837B9"/>
    <w:rsid w:val="00D83A31"/>
    <w:rsid w:val="00D83B86"/>
    <w:rsid w:val="00D841DB"/>
    <w:rsid w:val="00D84AA0"/>
    <w:rsid w:val="00D84C55"/>
    <w:rsid w:val="00D84C84"/>
    <w:rsid w:val="00D84D9D"/>
    <w:rsid w:val="00D84F83"/>
    <w:rsid w:val="00D85188"/>
    <w:rsid w:val="00D85778"/>
    <w:rsid w:val="00D8594F"/>
    <w:rsid w:val="00D85A90"/>
    <w:rsid w:val="00D860BB"/>
    <w:rsid w:val="00D861DB"/>
    <w:rsid w:val="00D861E2"/>
    <w:rsid w:val="00D86601"/>
    <w:rsid w:val="00D8684F"/>
    <w:rsid w:val="00D86990"/>
    <w:rsid w:val="00D86C47"/>
    <w:rsid w:val="00D86D8B"/>
    <w:rsid w:val="00D8761C"/>
    <w:rsid w:val="00D87799"/>
    <w:rsid w:val="00D87915"/>
    <w:rsid w:val="00D87BB5"/>
    <w:rsid w:val="00D90226"/>
    <w:rsid w:val="00D902BA"/>
    <w:rsid w:val="00D90345"/>
    <w:rsid w:val="00D9064F"/>
    <w:rsid w:val="00D9098A"/>
    <w:rsid w:val="00D90D9F"/>
    <w:rsid w:val="00D90FF5"/>
    <w:rsid w:val="00D91135"/>
    <w:rsid w:val="00D9160C"/>
    <w:rsid w:val="00D919DB"/>
    <w:rsid w:val="00D919F9"/>
    <w:rsid w:val="00D91E1D"/>
    <w:rsid w:val="00D92413"/>
    <w:rsid w:val="00D924B2"/>
    <w:rsid w:val="00D92597"/>
    <w:rsid w:val="00D925DD"/>
    <w:rsid w:val="00D92D60"/>
    <w:rsid w:val="00D939C5"/>
    <w:rsid w:val="00D93FA6"/>
    <w:rsid w:val="00D9406D"/>
    <w:rsid w:val="00D94596"/>
    <w:rsid w:val="00D94698"/>
    <w:rsid w:val="00D947A7"/>
    <w:rsid w:val="00D95389"/>
    <w:rsid w:val="00D9546D"/>
    <w:rsid w:val="00D959F6"/>
    <w:rsid w:val="00D95D3A"/>
    <w:rsid w:val="00D96363"/>
    <w:rsid w:val="00D96877"/>
    <w:rsid w:val="00D968C5"/>
    <w:rsid w:val="00D9699A"/>
    <w:rsid w:val="00D96D2E"/>
    <w:rsid w:val="00D96E6C"/>
    <w:rsid w:val="00D96F66"/>
    <w:rsid w:val="00D97616"/>
    <w:rsid w:val="00D97C5E"/>
    <w:rsid w:val="00D97D2B"/>
    <w:rsid w:val="00D97D32"/>
    <w:rsid w:val="00DA00C1"/>
    <w:rsid w:val="00DA01C2"/>
    <w:rsid w:val="00DA0286"/>
    <w:rsid w:val="00DA04B6"/>
    <w:rsid w:val="00DA050F"/>
    <w:rsid w:val="00DA0745"/>
    <w:rsid w:val="00DA0819"/>
    <w:rsid w:val="00DA09D7"/>
    <w:rsid w:val="00DA0BD6"/>
    <w:rsid w:val="00DA0CD8"/>
    <w:rsid w:val="00DA0D6E"/>
    <w:rsid w:val="00DA1125"/>
    <w:rsid w:val="00DA1137"/>
    <w:rsid w:val="00DA149B"/>
    <w:rsid w:val="00DA179A"/>
    <w:rsid w:val="00DA1F88"/>
    <w:rsid w:val="00DA2092"/>
    <w:rsid w:val="00DA21AD"/>
    <w:rsid w:val="00DA2371"/>
    <w:rsid w:val="00DA282E"/>
    <w:rsid w:val="00DA29D8"/>
    <w:rsid w:val="00DA2C16"/>
    <w:rsid w:val="00DA2CC1"/>
    <w:rsid w:val="00DA2F3F"/>
    <w:rsid w:val="00DA328C"/>
    <w:rsid w:val="00DA32E0"/>
    <w:rsid w:val="00DA35B9"/>
    <w:rsid w:val="00DA3914"/>
    <w:rsid w:val="00DA3B43"/>
    <w:rsid w:val="00DA3EF5"/>
    <w:rsid w:val="00DA405D"/>
    <w:rsid w:val="00DA43A0"/>
    <w:rsid w:val="00DA45CA"/>
    <w:rsid w:val="00DA4836"/>
    <w:rsid w:val="00DA4CBB"/>
    <w:rsid w:val="00DA5318"/>
    <w:rsid w:val="00DA542C"/>
    <w:rsid w:val="00DA59EE"/>
    <w:rsid w:val="00DA5B3D"/>
    <w:rsid w:val="00DA5CD6"/>
    <w:rsid w:val="00DA5F97"/>
    <w:rsid w:val="00DA611F"/>
    <w:rsid w:val="00DA6898"/>
    <w:rsid w:val="00DA6C27"/>
    <w:rsid w:val="00DA6E13"/>
    <w:rsid w:val="00DA710D"/>
    <w:rsid w:val="00DA77AD"/>
    <w:rsid w:val="00DA7845"/>
    <w:rsid w:val="00DA7940"/>
    <w:rsid w:val="00DA7A0B"/>
    <w:rsid w:val="00DA7C0F"/>
    <w:rsid w:val="00DB000F"/>
    <w:rsid w:val="00DB07B7"/>
    <w:rsid w:val="00DB0C53"/>
    <w:rsid w:val="00DB136F"/>
    <w:rsid w:val="00DB1BC4"/>
    <w:rsid w:val="00DB1D04"/>
    <w:rsid w:val="00DB2549"/>
    <w:rsid w:val="00DB26EE"/>
    <w:rsid w:val="00DB27B6"/>
    <w:rsid w:val="00DB2839"/>
    <w:rsid w:val="00DB2A2E"/>
    <w:rsid w:val="00DB2DDE"/>
    <w:rsid w:val="00DB33B6"/>
    <w:rsid w:val="00DB3412"/>
    <w:rsid w:val="00DB3A62"/>
    <w:rsid w:val="00DB3C57"/>
    <w:rsid w:val="00DB3CF9"/>
    <w:rsid w:val="00DB3E32"/>
    <w:rsid w:val="00DB3E64"/>
    <w:rsid w:val="00DB3FEC"/>
    <w:rsid w:val="00DB45FE"/>
    <w:rsid w:val="00DB4C1F"/>
    <w:rsid w:val="00DB4EA9"/>
    <w:rsid w:val="00DB50F3"/>
    <w:rsid w:val="00DB543F"/>
    <w:rsid w:val="00DB54DB"/>
    <w:rsid w:val="00DB57F0"/>
    <w:rsid w:val="00DB5B1B"/>
    <w:rsid w:val="00DB5D76"/>
    <w:rsid w:val="00DB5FEF"/>
    <w:rsid w:val="00DB5FF1"/>
    <w:rsid w:val="00DB6015"/>
    <w:rsid w:val="00DB640D"/>
    <w:rsid w:val="00DB6473"/>
    <w:rsid w:val="00DB6598"/>
    <w:rsid w:val="00DB6951"/>
    <w:rsid w:val="00DB6CE3"/>
    <w:rsid w:val="00DB6E79"/>
    <w:rsid w:val="00DB702E"/>
    <w:rsid w:val="00DB70D8"/>
    <w:rsid w:val="00DB7218"/>
    <w:rsid w:val="00DB7472"/>
    <w:rsid w:val="00DB74F0"/>
    <w:rsid w:val="00DB7653"/>
    <w:rsid w:val="00DB775C"/>
    <w:rsid w:val="00DB78BF"/>
    <w:rsid w:val="00DB7AD3"/>
    <w:rsid w:val="00DB7ED0"/>
    <w:rsid w:val="00DB7EEC"/>
    <w:rsid w:val="00DC035A"/>
    <w:rsid w:val="00DC09C3"/>
    <w:rsid w:val="00DC12EF"/>
    <w:rsid w:val="00DC18C1"/>
    <w:rsid w:val="00DC19D5"/>
    <w:rsid w:val="00DC1AA5"/>
    <w:rsid w:val="00DC1AEE"/>
    <w:rsid w:val="00DC1BCB"/>
    <w:rsid w:val="00DC1C11"/>
    <w:rsid w:val="00DC1D18"/>
    <w:rsid w:val="00DC1E00"/>
    <w:rsid w:val="00DC1E40"/>
    <w:rsid w:val="00DC1FC6"/>
    <w:rsid w:val="00DC2063"/>
    <w:rsid w:val="00DC21FE"/>
    <w:rsid w:val="00DC2455"/>
    <w:rsid w:val="00DC2535"/>
    <w:rsid w:val="00DC25D7"/>
    <w:rsid w:val="00DC298A"/>
    <w:rsid w:val="00DC2BC7"/>
    <w:rsid w:val="00DC2D5A"/>
    <w:rsid w:val="00DC2FB0"/>
    <w:rsid w:val="00DC31F4"/>
    <w:rsid w:val="00DC32E9"/>
    <w:rsid w:val="00DC368D"/>
    <w:rsid w:val="00DC36A5"/>
    <w:rsid w:val="00DC39C5"/>
    <w:rsid w:val="00DC3AE6"/>
    <w:rsid w:val="00DC3D4E"/>
    <w:rsid w:val="00DC3E71"/>
    <w:rsid w:val="00DC45FD"/>
    <w:rsid w:val="00DC4AEA"/>
    <w:rsid w:val="00DC4D16"/>
    <w:rsid w:val="00DC4D62"/>
    <w:rsid w:val="00DC4DC3"/>
    <w:rsid w:val="00DC5319"/>
    <w:rsid w:val="00DC5457"/>
    <w:rsid w:val="00DC5899"/>
    <w:rsid w:val="00DC59CC"/>
    <w:rsid w:val="00DC5CBF"/>
    <w:rsid w:val="00DC5E0B"/>
    <w:rsid w:val="00DC610F"/>
    <w:rsid w:val="00DC623F"/>
    <w:rsid w:val="00DC62AF"/>
    <w:rsid w:val="00DC6464"/>
    <w:rsid w:val="00DC64EF"/>
    <w:rsid w:val="00DC6605"/>
    <w:rsid w:val="00DC6775"/>
    <w:rsid w:val="00DC6FFB"/>
    <w:rsid w:val="00DC71E3"/>
    <w:rsid w:val="00DC7385"/>
    <w:rsid w:val="00DC7D40"/>
    <w:rsid w:val="00DD02CF"/>
    <w:rsid w:val="00DD0385"/>
    <w:rsid w:val="00DD0553"/>
    <w:rsid w:val="00DD070D"/>
    <w:rsid w:val="00DD0905"/>
    <w:rsid w:val="00DD0DB6"/>
    <w:rsid w:val="00DD0FC7"/>
    <w:rsid w:val="00DD105A"/>
    <w:rsid w:val="00DD1172"/>
    <w:rsid w:val="00DD123C"/>
    <w:rsid w:val="00DD1506"/>
    <w:rsid w:val="00DD1BD4"/>
    <w:rsid w:val="00DD1DF2"/>
    <w:rsid w:val="00DD1E20"/>
    <w:rsid w:val="00DD20BB"/>
    <w:rsid w:val="00DD213E"/>
    <w:rsid w:val="00DD2188"/>
    <w:rsid w:val="00DD298E"/>
    <w:rsid w:val="00DD3452"/>
    <w:rsid w:val="00DD371C"/>
    <w:rsid w:val="00DD3849"/>
    <w:rsid w:val="00DD3C1A"/>
    <w:rsid w:val="00DD3C74"/>
    <w:rsid w:val="00DD3DB9"/>
    <w:rsid w:val="00DD424F"/>
    <w:rsid w:val="00DD48B8"/>
    <w:rsid w:val="00DD4AD7"/>
    <w:rsid w:val="00DD4CFB"/>
    <w:rsid w:val="00DD4D58"/>
    <w:rsid w:val="00DD568A"/>
    <w:rsid w:val="00DD579C"/>
    <w:rsid w:val="00DD5810"/>
    <w:rsid w:val="00DD599D"/>
    <w:rsid w:val="00DD5CE6"/>
    <w:rsid w:val="00DD5E79"/>
    <w:rsid w:val="00DD6006"/>
    <w:rsid w:val="00DD618B"/>
    <w:rsid w:val="00DD65DA"/>
    <w:rsid w:val="00DD6670"/>
    <w:rsid w:val="00DD682F"/>
    <w:rsid w:val="00DD684A"/>
    <w:rsid w:val="00DD6A03"/>
    <w:rsid w:val="00DD6BE7"/>
    <w:rsid w:val="00DD708F"/>
    <w:rsid w:val="00DD70AB"/>
    <w:rsid w:val="00DD7C20"/>
    <w:rsid w:val="00DD7C42"/>
    <w:rsid w:val="00DD7CB6"/>
    <w:rsid w:val="00DE0072"/>
    <w:rsid w:val="00DE04E5"/>
    <w:rsid w:val="00DE0602"/>
    <w:rsid w:val="00DE0B5D"/>
    <w:rsid w:val="00DE0BB5"/>
    <w:rsid w:val="00DE12A9"/>
    <w:rsid w:val="00DE1CBF"/>
    <w:rsid w:val="00DE1DEF"/>
    <w:rsid w:val="00DE1E46"/>
    <w:rsid w:val="00DE2468"/>
    <w:rsid w:val="00DE2C3C"/>
    <w:rsid w:val="00DE325C"/>
    <w:rsid w:val="00DE3326"/>
    <w:rsid w:val="00DE3615"/>
    <w:rsid w:val="00DE3670"/>
    <w:rsid w:val="00DE3E55"/>
    <w:rsid w:val="00DE41B6"/>
    <w:rsid w:val="00DE42F4"/>
    <w:rsid w:val="00DE4550"/>
    <w:rsid w:val="00DE456F"/>
    <w:rsid w:val="00DE461B"/>
    <w:rsid w:val="00DE4787"/>
    <w:rsid w:val="00DE494E"/>
    <w:rsid w:val="00DE4F60"/>
    <w:rsid w:val="00DE5086"/>
    <w:rsid w:val="00DE5088"/>
    <w:rsid w:val="00DE515A"/>
    <w:rsid w:val="00DE5431"/>
    <w:rsid w:val="00DE55A6"/>
    <w:rsid w:val="00DE55D7"/>
    <w:rsid w:val="00DE566B"/>
    <w:rsid w:val="00DE566E"/>
    <w:rsid w:val="00DE568C"/>
    <w:rsid w:val="00DE57ED"/>
    <w:rsid w:val="00DE5BBE"/>
    <w:rsid w:val="00DE5C85"/>
    <w:rsid w:val="00DE6290"/>
    <w:rsid w:val="00DE63E2"/>
    <w:rsid w:val="00DE63E6"/>
    <w:rsid w:val="00DE670A"/>
    <w:rsid w:val="00DE6C7F"/>
    <w:rsid w:val="00DE7367"/>
    <w:rsid w:val="00DE7426"/>
    <w:rsid w:val="00DE7843"/>
    <w:rsid w:val="00DE7A9B"/>
    <w:rsid w:val="00DE7D94"/>
    <w:rsid w:val="00DE7F90"/>
    <w:rsid w:val="00DF0393"/>
    <w:rsid w:val="00DF0FAA"/>
    <w:rsid w:val="00DF1032"/>
    <w:rsid w:val="00DF13FB"/>
    <w:rsid w:val="00DF1754"/>
    <w:rsid w:val="00DF1E0B"/>
    <w:rsid w:val="00DF1E83"/>
    <w:rsid w:val="00DF1EA1"/>
    <w:rsid w:val="00DF2084"/>
    <w:rsid w:val="00DF20F3"/>
    <w:rsid w:val="00DF26AE"/>
    <w:rsid w:val="00DF273F"/>
    <w:rsid w:val="00DF3106"/>
    <w:rsid w:val="00DF348C"/>
    <w:rsid w:val="00DF3743"/>
    <w:rsid w:val="00DF3B3E"/>
    <w:rsid w:val="00DF3C5A"/>
    <w:rsid w:val="00DF3C75"/>
    <w:rsid w:val="00DF3F78"/>
    <w:rsid w:val="00DF3FDD"/>
    <w:rsid w:val="00DF403D"/>
    <w:rsid w:val="00DF4701"/>
    <w:rsid w:val="00DF4A33"/>
    <w:rsid w:val="00DF4D3E"/>
    <w:rsid w:val="00DF53EF"/>
    <w:rsid w:val="00DF54BC"/>
    <w:rsid w:val="00DF593D"/>
    <w:rsid w:val="00DF59D0"/>
    <w:rsid w:val="00DF5AA3"/>
    <w:rsid w:val="00DF5FA8"/>
    <w:rsid w:val="00DF640E"/>
    <w:rsid w:val="00DF6443"/>
    <w:rsid w:val="00DF6479"/>
    <w:rsid w:val="00DF6764"/>
    <w:rsid w:val="00DF6891"/>
    <w:rsid w:val="00DF6B90"/>
    <w:rsid w:val="00DF6D71"/>
    <w:rsid w:val="00DF6E79"/>
    <w:rsid w:val="00DF7208"/>
    <w:rsid w:val="00DF741A"/>
    <w:rsid w:val="00DF75CD"/>
    <w:rsid w:val="00E00027"/>
    <w:rsid w:val="00E00401"/>
    <w:rsid w:val="00E010D6"/>
    <w:rsid w:val="00E01588"/>
    <w:rsid w:val="00E015EB"/>
    <w:rsid w:val="00E01625"/>
    <w:rsid w:val="00E016C1"/>
    <w:rsid w:val="00E0180D"/>
    <w:rsid w:val="00E01B96"/>
    <w:rsid w:val="00E01C98"/>
    <w:rsid w:val="00E01D23"/>
    <w:rsid w:val="00E02146"/>
    <w:rsid w:val="00E021FB"/>
    <w:rsid w:val="00E022C7"/>
    <w:rsid w:val="00E024E2"/>
    <w:rsid w:val="00E0288E"/>
    <w:rsid w:val="00E0319F"/>
    <w:rsid w:val="00E03468"/>
    <w:rsid w:val="00E0369C"/>
    <w:rsid w:val="00E03C43"/>
    <w:rsid w:val="00E0442A"/>
    <w:rsid w:val="00E047D1"/>
    <w:rsid w:val="00E055AE"/>
    <w:rsid w:val="00E055BA"/>
    <w:rsid w:val="00E055D5"/>
    <w:rsid w:val="00E0573B"/>
    <w:rsid w:val="00E0598E"/>
    <w:rsid w:val="00E059A8"/>
    <w:rsid w:val="00E05A36"/>
    <w:rsid w:val="00E05CA2"/>
    <w:rsid w:val="00E05D64"/>
    <w:rsid w:val="00E062BD"/>
    <w:rsid w:val="00E062FC"/>
    <w:rsid w:val="00E068D1"/>
    <w:rsid w:val="00E06C4D"/>
    <w:rsid w:val="00E07827"/>
    <w:rsid w:val="00E07859"/>
    <w:rsid w:val="00E07CC8"/>
    <w:rsid w:val="00E07F7A"/>
    <w:rsid w:val="00E1037E"/>
    <w:rsid w:val="00E10C28"/>
    <w:rsid w:val="00E1109B"/>
    <w:rsid w:val="00E111C5"/>
    <w:rsid w:val="00E11368"/>
    <w:rsid w:val="00E11728"/>
    <w:rsid w:val="00E11EDB"/>
    <w:rsid w:val="00E121A5"/>
    <w:rsid w:val="00E121FE"/>
    <w:rsid w:val="00E12685"/>
    <w:rsid w:val="00E12786"/>
    <w:rsid w:val="00E1279C"/>
    <w:rsid w:val="00E12B5C"/>
    <w:rsid w:val="00E12E01"/>
    <w:rsid w:val="00E13084"/>
    <w:rsid w:val="00E13336"/>
    <w:rsid w:val="00E13396"/>
    <w:rsid w:val="00E135BF"/>
    <w:rsid w:val="00E138CC"/>
    <w:rsid w:val="00E13A1A"/>
    <w:rsid w:val="00E13C57"/>
    <w:rsid w:val="00E13CBE"/>
    <w:rsid w:val="00E13D5F"/>
    <w:rsid w:val="00E14255"/>
    <w:rsid w:val="00E142B6"/>
    <w:rsid w:val="00E142D1"/>
    <w:rsid w:val="00E14579"/>
    <w:rsid w:val="00E14B3C"/>
    <w:rsid w:val="00E152D6"/>
    <w:rsid w:val="00E157DF"/>
    <w:rsid w:val="00E159AC"/>
    <w:rsid w:val="00E15A20"/>
    <w:rsid w:val="00E15B75"/>
    <w:rsid w:val="00E15CB8"/>
    <w:rsid w:val="00E16395"/>
    <w:rsid w:val="00E16428"/>
    <w:rsid w:val="00E165AA"/>
    <w:rsid w:val="00E167A4"/>
    <w:rsid w:val="00E168B3"/>
    <w:rsid w:val="00E16986"/>
    <w:rsid w:val="00E16FA3"/>
    <w:rsid w:val="00E17013"/>
    <w:rsid w:val="00E1748D"/>
    <w:rsid w:val="00E17532"/>
    <w:rsid w:val="00E176A5"/>
    <w:rsid w:val="00E176B7"/>
    <w:rsid w:val="00E17C3F"/>
    <w:rsid w:val="00E17F25"/>
    <w:rsid w:val="00E17FAF"/>
    <w:rsid w:val="00E204C8"/>
    <w:rsid w:val="00E20E4F"/>
    <w:rsid w:val="00E211B9"/>
    <w:rsid w:val="00E215CD"/>
    <w:rsid w:val="00E216CF"/>
    <w:rsid w:val="00E21857"/>
    <w:rsid w:val="00E21886"/>
    <w:rsid w:val="00E21A60"/>
    <w:rsid w:val="00E21B9B"/>
    <w:rsid w:val="00E22403"/>
    <w:rsid w:val="00E225A7"/>
    <w:rsid w:val="00E2266A"/>
    <w:rsid w:val="00E22ACA"/>
    <w:rsid w:val="00E22B20"/>
    <w:rsid w:val="00E22EF6"/>
    <w:rsid w:val="00E23152"/>
    <w:rsid w:val="00E2354A"/>
    <w:rsid w:val="00E2355E"/>
    <w:rsid w:val="00E237AF"/>
    <w:rsid w:val="00E2396A"/>
    <w:rsid w:val="00E23B00"/>
    <w:rsid w:val="00E23B80"/>
    <w:rsid w:val="00E23BD0"/>
    <w:rsid w:val="00E23C51"/>
    <w:rsid w:val="00E23E6E"/>
    <w:rsid w:val="00E23F0A"/>
    <w:rsid w:val="00E2426A"/>
    <w:rsid w:val="00E24392"/>
    <w:rsid w:val="00E2464C"/>
    <w:rsid w:val="00E2469F"/>
    <w:rsid w:val="00E247BC"/>
    <w:rsid w:val="00E24CD1"/>
    <w:rsid w:val="00E24E0B"/>
    <w:rsid w:val="00E24F97"/>
    <w:rsid w:val="00E25691"/>
    <w:rsid w:val="00E25694"/>
    <w:rsid w:val="00E25727"/>
    <w:rsid w:val="00E2577E"/>
    <w:rsid w:val="00E257A1"/>
    <w:rsid w:val="00E258CC"/>
    <w:rsid w:val="00E259C9"/>
    <w:rsid w:val="00E25BF9"/>
    <w:rsid w:val="00E25F2E"/>
    <w:rsid w:val="00E25FD1"/>
    <w:rsid w:val="00E25FD3"/>
    <w:rsid w:val="00E2605D"/>
    <w:rsid w:val="00E262CD"/>
    <w:rsid w:val="00E26398"/>
    <w:rsid w:val="00E266BC"/>
    <w:rsid w:val="00E267AA"/>
    <w:rsid w:val="00E26805"/>
    <w:rsid w:val="00E26E05"/>
    <w:rsid w:val="00E26EE0"/>
    <w:rsid w:val="00E270FE"/>
    <w:rsid w:val="00E27286"/>
    <w:rsid w:val="00E273BF"/>
    <w:rsid w:val="00E278A0"/>
    <w:rsid w:val="00E27B0E"/>
    <w:rsid w:val="00E27F9A"/>
    <w:rsid w:val="00E27FD6"/>
    <w:rsid w:val="00E301D7"/>
    <w:rsid w:val="00E302BD"/>
    <w:rsid w:val="00E3045B"/>
    <w:rsid w:val="00E30588"/>
    <w:rsid w:val="00E30BF3"/>
    <w:rsid w:val="00E30E55"/>
    <w:rsid w:val="00E314BD"/>
    <w:rsid w:val="00E314C9"/>
    <w:rsid w:val="00E31620"/>
    <w:rsid w:val="00E3179F"/>
    <w:rsid w:val="00E31C64"/>
    <w:rsid w:val="00E31D11"/>
    <w:rsid w:val="00E31FD7"/>
    <w:rsid w:val="00E3228D"/>
    <w:rsid w:val="00E3260E"/>
    <w:rsid w:val="00E32936"/>
    <w:rsid w:val="00E3298E"/>
    <w:rsid w:val="00E32AF4"/>
    <w:rsid w:val="00E32B6F"/>
    <w:rsid w:val="00E32DF9"/>
    <w:rsid w:val="00E33BB6"/>
    <w:rsid w:val="00E33F4A"/>
    <w:rsid w:val="00E34384"/>
    <w:rsid w:val="00E343C1"/>
    <w:rsid w:val="00E346AD"/>
    <w:rsid w:val="00E346B3"/>
    <w:rsid w:val="00E3492F"/>
    <w:rsid w:val="00E34B21"/>
    <w:rsid w:val="00E34B50"/>
    <w:rsid w:val="00E34B6E"/>
    <w:rsid w:val="00E34BB2"/>
    <w:rsid w:val="00E34BE7"/>
    <w:rsid w:val="00E34C9F"/>
    <w:rsid w:val="00E34E9C"/>
    <w:rsid w:val="00E35115"/>
    <w:rsid w:val="00E3537D"/>
    <w:rsid w:val="00E35827"/>
    <w:rsid w:val="00E35F67"/>
    <w:rsid w:val="00E36069"/>
    <w:rsid w:val="00E361DB"/>
    <w:rsid w:val="00E36388"/>
    <w:rsid w:val="00E36784"/>
    <w:rsid w:val="00E368E5"/>
    <w:rsid w:val="00E36BAC"/>
    <w:rsid w:val="00E36C98"/>
    <w:rsid w:val="00E36EB8"/>
    <w:rsid w:val="00E37C08"/>
    <w:rsid w:val="00E37F06"/>
    <w:rsid w:val="00E40756"/>
    <w:rsid w:val="00E40E79"/>
    <w:rsid w:val="00E41438"/>
    <w:rsid w:val="00E41772"/>
    <w:rsid w:val="00E41975"/>
    <w:rsid w:val="00E42097"/>
    <w:rsid w:val="00E42B9E"/>
    <w:rsid w:val="00E42BA9"/>
    <w:rsid w:val="00E42C3D"/>
    <w:rsid w:val="00E42D10"/>
    <w:rsid w:val="00E43355"/>
    <w:rsid w:val="00E433D6"/>
    <w:rsid w:val="00E4389E"/>
    <w:rsid w:val="00E43E5D"/>
    <w:rsid w:val="00E43F25"/>
    <w:rsid w:val="00E440A4"/>
    <w:rsid w:val="00E44332"/>
    <w:rsid w:val="00E443A9"/>
    <w:rsid w:val="00E447D3"/>
    <w:rsid w:val="00E44901"/>
    <w:rsid w:val="00E449C7"/>
    <w:rsid w:val="00E44D26"/>
    <w:rsid w:val="00E4557A"/>
    <w:rsid w:val="00E455B1"/>
    <w:rsid w:val="00E459BB"/>
    <w:rsid w:val="00E45A39"/>
    <w:rsid w:val="00E45CCF"/>
    <w:rsid w:val="00E45CED"/>
    <w:rsid w:val="00E45CFB"/>
    <w:rsid w:val="00E45DDB"/>
    <w:rsid w:val="00E45EC2"/>
    <w:rsid w:val="00E460FB"/>
    <w:rsid w:val="00E467EF"/>
    <w:rsid w:val="00E46AC6"/>
    <w:rsid w:val="00E46B2A"/>
    <w:rsid w:val="00E471D2"/>
    <w:rsid w:val="00E472A1"/>
    <w:rsid w:val="00E472F8"/>
    <w:rsid w:val="00E47BBC"/>
    <w:rsid w:val="00E47E75"/>
    <w:rsid w:val="00E47E7A"/>
    <w:rsid w:val="00E47F80"/>
    <w:rsid w:val="00E50379"/>
    <w:rsid w:val="00E50918"/>
    <w:rsid w:val="00E50A13"/>
    <w:rsid w:val="00E50B83"/>
    <w:rsid w:val="00E50C58"/>
    <w:rsid w:val="00E50C6E"/>
    <w:rsid w:val="00E50F13"/>
    <w:rsid w:val="00E50F69"/>
    <w:rsid w:val="00E50FBC"/>
    <w:rsid w:val="00E5135B"/>
    <w:rsid w:val="00E518C3"/>
    <w:rsid w:val="00E51DC9"/>
    <w:rsid w:val="00E522C2"/>
    <w:rsid w:val="00E522F8"/>
    <w:rsid w:val="00E526DE"/>
    <w:rsid w:val="00E52994"/>
    <w:rsid w:val="00E52C90"/>
    <w:rsid w:val="00E52CC1"/>
    <w:rsid w:val="00E53051"/>
    <w:rsid w:val="00E530DF"/>
    <w:rsid w:val="00E53122"/>
    <w:rsid w:val="00E531EF"/>
    <w:rsid w:val="00E532C1"/>
    <w:rsid w:val="00E535A3"/>
    <w:rsid w:val="00E53603"/>
    <w:rsid w:val="00E537C7"/>
    <w:rsid w:val="00E5431C"/>
    <w:rsid w:val="00E54867"/>
    <w:rsid w:val="00E54A99"/>
    <w:rsid w:val="00E5512D"/>
    <w:rsid w:val="00E55599"/>
    <w:rsid w:val="00E5560A"/>
    <w:rsid w:val="00E557F3"/>
    <w:rsid w:val="00E55A2C"/>
    <w:rsid w:val="00E55A31"/>
    <w:rsid w:val="00E560F1"/>
    <w:rsid w:val="00E56425"/>
    <w:rsid w:val="00E56459"/>
    <w:rsid w:val="00E569B7"/>
    <w:rsid w:val="00E569BB"/>
    <w:rsid w:val="00E569D1"/>
    <w:rsid w:val="00E5703A"/>
    <w:rsid w:val="00E5704D"/>
    <w:rsid w:val="00E57134"/>
    <w:rsid w:val="00E57289"/>
    <w:rsid w:val="00E57544"/>
    <w:rsid w:val="00E575D9"/>
    <w:rsid w:val="00E57716"/>
    <w:rsid w:val="00E57719"/>
    <w:rsid w:val="00E57729"/>
    <w:rsid w:val="00E57A7C"/>
    <w:rsid w:val="00E57C65"/>
    <w:rsid w:val="00E57F73"/>
    <w:rsid w:val="00E57F89"/>
    <w:rsid w:val="00E602BE"/>
    <w:rsid w:val="00E60442"/>
    <w:rsid w:val="00E60545"/>
    <w:rsid w:val="00E6089D"/>
    <w:rsid w:val="00E60D5A"/>
    <w:rsid w:val="00E60E5B"/>
    <w:rsid w:val="00E60E6C"/>
    <w:rsid w:val="00E60EBE"/>
    <w:rsid w:val="00E6137A"/>
    <w:rsid w:val="00E613D3"/>
    <w:rsid w:val="00E61471"/>
    <w:rsid w:val="00E61C52"/>
    <w:rsid w:val="00E61EFB"/>
    <w:rsid w:val="00E620E2"/>
    <w:rsid w:val="00E6254D"/>
    <w:rsid w:val="00E6271F"/>
    <w:rsid w:val="00E62788"/>
    <w:rsid w:val="00E6280D"/>
    <w:rsid w:val="00E6297B"/>
    <w:rsid w:val="00E62A0B"/>
    <w:rsid w:val="00E62A82"/>
    <w:rsid w:val="00E62AD7"/>
    <w:rsid w:val="00E62BDD"/>
    <w:rsid w:val="00E63116"/>
    <w:rsid w:val="00E63637"/>
    <w:rsid w:val="00E63758"/>
    <w:rsid w:val="00E63AE1"/>
    <w:rsid w:val="00E640F7"/>
    <w:rsid w:val="00E640FA"/>
    <w:rsid w:val="00E641F2"/>
    <w:rsid w:val="00E64392"/>
    <w:rsid w:val="00E645B4"/>
    <w:rsid w:val="00E648F8"/>
    <w:rsid w:val="00E64E12"/>
    <w:rsid w:val="00E64F93"/>
    <w:rsid w:val="00E656A2"/>
    <w:rsid w:val="00E6572B"/>
    <w:rsid w:val="00E65B8D"/>
    <w:rsid w:val="00E65E2D"/>
    <w:rsid w:val="00E65E42"/>
    <w:rsid w:val="00E65F3B"/>
    <w:rsid w:val="00E66013"/>
    <w:rsid w:val="00E6634E"/>
    <w:rsid w:val="00E666B3"/>
    <w:rsid w:val="00E666C1"/>
    <w:rsid w:val="00E66785"/>
    <w:rsid w:val="00E6693A"/>
    <w:rsid w:val="00E66D38"/>
    <w:rsid w:val="00E66E74"/>
    <w:rsid w:val="00E670C4"/>
    <w:rsid w:val="00E675AB"/>
    <w:rsid w:val="00E70303"/>
    <w:rsid w:val="00E704C0"/>
    <w:rsid w:val="00E70AF9"/>
    <w:rsid w:val="00E70D5A"/>
    <w:rsid w:val="00E70F3A"/>
    <w:rsid w:val="00E70F5C"/>
    <w:rsid w:val="00E71400"/>
    <w:rsid w:val="00E716DB"/>
    <w:rsid w:val="00E717A9"/>
    <w:rsid w:val="00E719B9"/>
    <w:rsid w:val="00E71B53"/>
    <w:rsid w:val="00E71CE3"/>
    <w:rsid w:val="00E71D75"/>
    <w:rsid w:val="00E72790"/>
    <w:rsid w:val="00E729FE"/>
    <w:rsid w:val="00E73167"/>
    <w:rsid w:val="00E73974"/>
    <w:rsid w:val="00E73A57"/>
    <w:rsid w:val="00E73AB8"/>
    <w:rsid w:val="00E73AF7"/>
    <w:rsid w:val="00E74058"/>
    <w:rsid w:val="00E74175"/>
    <w:rsid w:val="00E743C9"/>
    <w:rsid w:val="00E74680"/>
    <w:rsid w:val="00E74941"/>
    <w:rsid w:val="00E74F1B"/>
    <w:rsid w:val="00E75217"/>
    <w:rsid w:val="00E7532C"/>
    <w:rsid w:val="00E755B2"/>
    <w:rsid w:val="00E755DE"/>
    <w:rsid w:val="00E75633"/>
    <w:rsid w:val="00E758F3"/>
    <w:rsid w:val="00E75AAB"/>
    <w:rsid w:val="00E75AFA"/>
    <w:rsid w:val="00E75BEC"/>
    <w:rsid w:val="00E75E15"/>
    <w:rsid w:val="00E7609A"/>
    <w:rsid w:val="00E761D7"/>
    <w:rsid w:val="00E76849"/>
    <w:rsid w:val="00E76E92"/>
    <w:rsid w:val="00E77233"/>
    <w:rsid w:val="00E773E8"/>
    <w:rsid w:val="00E7763A"/>
    <w:rsid w:val="00E77710"/>
    <w:rsid w:val="00E77766"/>
    <w:rsid w:val="00E77AA3"/>
    <w:rsid w:val="00E80007"/>
    <w:rsid w:val="00E80036"/>
    <w:rsid w:val="00E803AC"/>
    <w:rsid w:val="00E80426"/>
    <w:rsid w:val="00E80BC4"/>
    <w:rsid w:val="00E8165C"/>
    <w:rsid w:val="00E81EB4"/>
    <w:rsid w:val="00E81F0A"/>
    <w:rsid w:val="00E82086"/>
    <w:rsid w:val="00E82185"/>
    <w:rsid w:val="00E822DA"/>
    <w:rsid w:val="00E824F5"/>
    <w:rsid w:val="00E82BA5"/>
    <w:rsid w:val="00E82CCA"/>
    <w:rsid w:val="00E82CE7"/>
    <w:rsid w:val="00E82D56"/>
    <w:rsid w:val="00E82E44"/>
    <w:rsid w:val="00E82FE2"/>
    <w:rsid w:val="00E838C4"/>
    <w:rsid w:val="00E839D8"/>
    <w:rsid w:val="00E83F79"/>
    <w:rsid w:val="00E84025"/>
    <w:rsid w:val="00E8403B"/>
    <w:rsid w:val="00E845E1"/>
    <w:rsid w:val="00E84B55"/>
    <w:rsid w:val="00E84C09"/>
    <w:rsid w:val="00E85487"/>
    <w:rsid w:val="00E85B4B"/>
    <w:rsid w:val="00E868D0"/>
    <w:rsid w:val="00E86ABC"/>
    <w:rsid w:val="00E86BE2"/>
    <w:rsid w:val="00E87118"/>
    <w:rsid w:val="00E872C9"/>
    <w:rsid w:val="00E87512"/>
    <w:rsid w:val="00E8795B"/>
    <w:rsid w:val="00E87A1B"/>
    <w:rsid w:val="00E87C5E"/>
    <w:rsid w:val="00E87C82"/>
    <w:rsid w:val="00E87EB6"/>
    <w:rsid w:val="00E87EE0"/>
    <w:rsid w:val="00E87F7B"/>
    <w:rsid w:val="00E901F2"/>
    <w:rsid w:val="00E90212"/>
    <w:rsid w:val="00E90552"/>
    <w:rsid w:val="00E9073E"/>
    <w:rsid w:val="00E90773"/>
    <w:rsid w:val="00E908A7"/>
    <w:rsid w:val="00E908F0"/>
    <w:rsid w:val="00E90A4F"/>
    <w:rsid w:val="00E90FA7"/>
    <w:rsid w:val="00E9118D"/>
    <w:rsid w:val="00E91225"/>
    <w:rsid w:val="00E9142A"/>
    <w:rsid w:val="00E91505"/>
    <w:rsid w:val="00E915E9"/>
    <w:rsid w:val="00E9181C"/>
    <w:rsid w:val="00E91DC3"/>
    <w:rsid w:val="00E922F8"/>
    <w:rsid w:val="00E927D8"/>
    <w:rsid w:val="00E92898"/>
    <w:rsid w:val="00E92A05"/>
    <w:rsid w:val="00E92AE2"/>
    <w:rsid w:val="00E92D9B"/>
    <w:rsid w:val="00E930F8"/>
    <w:rsid w:val="00E93600"/>
    <w:rsid w:val="00E943DA"/>
    <w:rsid w:val="00E9464C"/>
    <w:rsid w:val="00E94B07"/>
    <w:rsid w:val="00E94B5A"/>
    <w:rsid w:val="00E94D54"/>
    <w:rsid w:val="00E94E3F"/>
    <w:rsid w:val="00E95578"/>
    <w:rsid w:val="00E955FA"/>
    <w:rsid w:val="00E95711"/>
    <w:rsid w:val="00E95907"/>
    <w:rsid w:val="00E95EFF"/>
    <w:rsid w:val="00E96096"/>
    <w:rsid w:val="00E9626F"/>
    <w:rsid w:val="00E9646E"/>
    <w:rsid w:val="00E965C8"/>
    <w:rsid w:val="00E9724D"/>
    <w:rsid w:val="00E97431"/>
    <w:rsid w:val="00E97704"/>
    <w:rsid w:val="00E97CA1"/>
    <w:rsid w:val="00E97E12"/>
    <w:rsid w:val="00E97EBA"/>
    <w:rsid w:val="00EA03A0"/>
    <w:rsid w:val="00EA056F"/>
    <w:rsid w:val="00EA06FF"/>
    <w:rsid w:val="00EA0783"/>
    <w:rsid w:val="00EA0D4E"/>
    <w:rsid w:val="00EA0E87"/>
    <w:rsid w:val="00EA14F3"/>
    <w:rsid w:val="00EA163F"/>
    <w:rsid w:val="00EA16D5"/>
    <w:rsid w:val="00EA1735"/>
    <w:rsid w:val="00EA1777"/>
    <w:rsid w:val="00EA1B34"/>
    <w:rsid w:val="00EA2329"/>
    <w:rsid w:val="00EA2439"/>
    <w:rsid w:val="00EA25A6"/>
    <w:rsid w:val="00EA29B2"/>
    <w:rsid w:val="00EA2BDF"/>
    <w:rsid w:val="00EA2DF7"/>
    <w:rsid w:val="00EA323B"/>
    <w:rsid w:val="00EA3246"/>
    <w:rsid w:val="00EA368A"/>
    <w:rsid w:val="00EA37B6"/>
    <w:rsid w:val="00EA3BC8"/>
    <w:rsid w:val="00EA3BE2"/>
    <w:rsid w:val="00EA3D86"/>
    <w:rsid w:val="00EA40C6"/>
    <w:rsid w:val="00EA41BD"/>
    <w:rsid w:val="00EA43D7"/>
    <w:rsid w:val="00EA4447"/>
    <w:rsid w:val="00EA4594"/>
    <w:rsid w:val="00EA4A67"/>
    <w:rsid w:val="00EA4C04"/>
    <w:rsid w:val="00EA4D61"/>
    <w:rsid w:val="00EA4F68"/>
    <w:rsid w:val="00EA542C"/>
    <w:rsid w:val="00EA55F9"/>
    <w:rsid w:val="00EA5A0B"/>
    <w:rsid w:val="00EA5E61"/>
    <w:rsid w:val="00EA5EED"/>
    <w:rsid w:val="00EA6034"/>
    <w:rsid w:val="00EA622A"/>
    <w:rsid w:val="00EA6241"/>
    <w:rsid w:val="00EA68C0"/>
    <w:rsid w:val="00EA6D53"/>
    <w:rsid w:val="00EA6DC8"/>
    <w:rsid w:val="00EA70CA"/>
    <w:rsid w:val="00EA7527"/>
    <w:rsid w:val="00EA766B"/>
    <w:rsid w:val="00EA7E42"/>
    <w:rsid w:val="00EB048D"/>
    <w:rsid w:val="00EB0558"/>
    <w:rsid w:val="00EB08F2"/>
    <w:rsid w:val="00EB098B"/>
    <w:rsid w:val="00EB09FE"/>
    <w:rsid w:val="00EB0B13"/>
    <w:rsid w:val="00EB0BD8"/>
    <w:rsid w:val="00EB0E55"/>
    <w:rsid w:val="00EB127F"/>
    <w:rsid w:val="00EB140F"/>
    <w:rsid w:val="00EB15E8"/>
    <w:rsid w:val="00EB196B"/>
    <w:rsid w:val="00EB23F1"/>
    <w:rsid w:val="00EB2684"/>
    <w:rsid w:val="00EB2B21"/>
    <w:rsid w:val="00EB301F"/>
    <w:rsid w:val="00EB30B1"/>
    <w:rsid w:val="00EB31CB"/>
    <w:rsid w:val="00EB3267"/>
    <w:rsid w:val="00EB3435"/>
    <w:rsid w:val="00EB3E80"/>
    <w:rsid w:val="00EB3F83"/>
    <w:rsid w:val="00EB4297"/>
    <w:rsid w:val="00EB4AB9"/>
    <w:rsid w:val="00EB4C97"/>
    <w:rsid w:val="00EB4CB2"/>
    <w:rsid w:val="00EB4E6B"/>
    <w:rsid w:val="00EB5486"/>
    <w:rsid w:val="00EB566A"/>
    <w:rsid w:val="00EB5C2C"/>
    <w:rsid w:val="00EB6024"/>
    <w:rsid w:val="00EB6392"/>
    <w:rsid w:val="00EB64FE"/>
    <w:rsid w:val="00EB6E36"/>
    <w:rsid w:val="00EB7006"/>
    <w:rsid w:val="00EB71C1"/>
    <w:rsid w:val="00EB7209"/>
    <w:rsid w:val="00EB736C"/>
    <w:rsid w:val="00EB749A"/>
    <w:rsid w:val="00EB760F"/>
    <w:rsid w:val="00EB769F"/>
    <w:rsid w:val="00EC03D5"/>
    <w:rsid w:val="00EC044C"/>
    <w:rsid w:val="00EC0647"/>
    <w:rsid w:val="00EC0876"/>
    <w:rsid w:val="00EC0989"/>
    <w:rsid w:val="00EC0AF3"/>
    <w:rsid w:val="00EC10CB"/>
    <w:rsid w:val="00EC160C"/>
    <w:rsid w:val="00EC16A3"/>
    <w:rsid w:val="00EC1DAE"/>
    <w:rsid w:val="00EC272B"/>
    <w:rsid w:val="00EC2AEA"/>
    <w:rsid w:val="00EC2B25"/>
    <w:rsid w:val="00EC2E3B"/>
    <w:rsid w:val="00EC2E70"/>
    <w:rsid w:val="00EC2F12"/>
    <w:rsid w:val="00EC315F"/>
    <w:rsid w:val="00EC318A"/>
    <w:rsid w:val="00EC3466"/>
    <w:rsid w:val="00EC35B8"/>
    <w:rsid w:val="00EC3830"/>
    <w:rsid w:val="00EC3958"/>
    <w:rsid w:val="00EC3D81"/>
    <w:rsid w:val="00EC4047"/>
    <w:rsid w:val="00EC41BE"/>
    <w:rsid w:val="00EC42AD"/>
    <w:rsid w:val="00EC4441"/>
    <w:rsid w:val="00EC44A9"/>
    <w:rsid w:val="00EC463A"/>
    <w:rsid w:val="00EC482E"/>
    <w:rsid w:val="00EC4D32"/>
    <w:rsid w:val="00EC4E9C"/>
    <w:rsid w:val="00EC4F15"/>
    <w:rsid w:val="00EC4F8A"/>
    <w:rsid w:val="00EC50D2"/>
    <w:rsid w:val="00EC50DF"/>
    <w:rsid w:val="00EC5187"/>
    <w:rsid w:val="00EC544F"/>
    <w:rsid w:val="00EC55BE"/>
    <w:rsid w:val="00EC5D05"/>
    <w:rsid w:val="00EC5DE6"/>
    <w:rsid w:val="00EC6919"/>
    <w:rsid w:val="00EC6C4A"/>
    <w:rsid w:val="00EC6E46"/>
    <w:rsid w:val="00EC6FCF"/>
    <w:rsid w:val="00EC70BD"/>
    <w:rsid w:val="00EC76D1"/>
    <w:rsid w:val="00EC7B37"/>
    <w:rsid w:val="00EC7EED"/>
    <w:rsid w:val="00EC7FD9"/>
    <w:rsid w:val="00ED001C"/>
    <w:rsid w:val="00ED0159"/>
    <w:rsid w:val="00ED0425"/>
    <w:rsid w:val="00ED0786"/>
    <w:rsid w:val="00ED0895"/>
    <w:rsid w:val="00ED09E2"/>
    <w:rsid w:val="00ED0A94"/>
    <w:rsid w:val="00ED0B53"/>
    <w:rsid w:val="00ED0E61"/>
    <w:rsid w:val="00ED111D"/>
    <w:rsid w:val="00ED1395"/>
    <w:rsid w:val="00ED19AF"/>
    <w:rsid w:val="00ED231B"/>
    <w:rsid w:val="00ED2B2D"/>
    <w:rsid w:val="00ED2C46"/>
    <w:rsid w:val="00ED2D49"/>
    <w:rsid w:val="00ED2E98"/>
    <w:rsid w:val="00ED3903"/>
    <w:rsid w:val="00ED3A60"/>
    <w:rsid w:val="00ED3DD5"/>
    <w:rsid w:val="00ED42C8"/>
    <w:rsid w:val="00ED4325"/>
    <w:rsid w:val="00ED4C76"/>
    <w:rsid w:val="00ED4D14"/>
    <w:rsid w:val="00ED4F0F"/>
    <w:rsid w:val="00ED4F49"/>
    <w:rsid w:val="00ED5764"/>
    <w:rsid w:val="00ED5862"/>
    <w:rsid w:val="00ED5AE5"/>
    <w:rsid w:val="00ED5D44"/>
    <w:rsid w:val="00ED629D"/>
    <w:rsid w:val="00ED6599"/>
    <w:rsid w:val="00ED689B"/>
    <w:rsid w:val="00ED695A"/>
    <w:rsid w:val="00ED6EAE"/>
    <w:rsid w:val="00ED72FC"/>
    <w:rsid w:val="00ED73D4"/>
    <w:rsid w:val="00ED78D1"/>
    <w:rsid w:val="00ED7917"/>
    <w:rsid w:val="00ED7E84"/>
    <w:rsid w:val="00ED7ED7"/>
    <w:rsid w:val="00EE0102"/>
    <w:rsid w:val="00EE0234"/>
    <w:rsid w:val="00EE0883"/>
    <w:rsid w:val="00EE0968"/>
    <w:rsid w:val="00EE0A3C"/>
    <w:rsid w:val="00EE0A59"/>
    <w:rsid w:val="00EE0B94"/>
    <w:rsid w:val="00EE0BE7"/>
    <w:rsid w:val="00EE137C"/>
    <w:rsid w:val="00EE1381"/>
    <w:rsid w:val="00EE19B3"/>
    <w:rsid w:val="00EE1AE5"/>
    <w:rsid w:val="00EE1AF5"/>
    <w:rsid w:val="00EE1BD1"/>
    <w:rsid w:val="00EE1F35"/>
    <w:rsid w:val="00EE203F"/>
    <w:rsid w:val="00EE21F1"/>
    <w:rsid w:val="00EE26F3"/>
    <w:rsid w:val="00EE278F"/>
    <w:rsid w:val="00EE283B"/>
    <w:rsid w:val="00EE29F8"/>
    <w:rsid w:val="00EE2AC6"/>
    <w:rsid w:val="00EE2E24"/>
    <w:rsid w:val="00EE2E54"/>
    <w:rsid w:val="00EE30D7"/>
    <w:rsid w:val="00EE3695"/>
    <w:rsid w:val="00EE3889"/>
    <w:rsid w:val="00EE3AC2"/>
    <w:rsid w:val="00EE3EF4"/>
    <w:rsid w:val="00EE4108"/>
    <w:rsid w:val="00EE418B"/>
    <w:rsid w:val="00EE4217"/>
    <w:rsid w:val="00EE42C6"/>
    <w:rsid w:val="00EE4518"/>
    <w:rsid w:val="00EE4764"/>
    <w:rsid w:val="00EE48AE"/>
    <w:rsid w:val="00EE4C1E"/>
    <w:rsid w:val="00EE4CB6"/>
    <w:rsid w:val="00EE4CDF"/>
    <w:rsid w:val="00EE4E86"/>
    <w:rsid w:val="00EE50DA"/>
    <w:rsid w:val="00EE5152"/>
    <w:rsid w:val="00EE5E6F"/>
    <w:rsid w:val="00EE6261"/>
    <w:rsid w:val="00EE65F8"/>
    <w:rsid w:val="00EE6971"/>
    <w:rsid w:val="00EE6AAE"/>
    <w:rsid w:val="00EE71F7"/>
    <w:rsid w:val="00EE75C8"/>
    <w:rsid w:val="00EE766A"/>
    <w:rsid w:val="00EE781F"/>
    <w:rsid w:val="00EF0247"/>
    <w:rsid w:val="00EF06D7"/>
    <w:rsid w:val="00EF07E6"/>
    <w:rsid w:val="00EF0832"/>
    <w:rsid w:val="00EF0994"/>
    <w:rsid w:val="00EF0ED7"/>
    <w:rsid w:val="00EF11F4"/>
    <w:rsid w:val="00EF13A6"/>
    <w:rsid w:val="00EF1C74"/>
    <w:rsid w:val="00EF24CA"/>
    <w:rsid w:val="00EF2AB6"/>
    <w:rsid w:val="00EF2AC2"/>
    <w:rsid w:val="00EF2B03"/>
    <w:rsid w:val="00EF2D9B"/>
    <w:rsid w:val="00EF2F7C"/>
    <w:rsid w:val="00EF3154"/>
    <w:rsid w:val="00EF33B4"/>
    <w:rsid w:val="00EF3550"/>
    <w:rsid w:val="00EF370A"/>
    <w:rsid w:val="00EF3ACF"/>
    <w:rsid w:val="00EF3B2B"/>
    <w:rsid w:val="00EF3E0C"/>
    <w:rsid w:val="00EF3F25"/>
    <w:rsid w:val="00EF3F7A"/>
    <w:rsid w:val="00EF406A"/>
    <w:rsid w:val="00EF45A1"/>
    <w:rsid w:val="00EF468D"/>
    <w:rsid w:val="00EF4691"/>
    <w:rsid w:val="00EF46D0"/>
    <w:rsid w:val="00EF4B72"/>
    <w:rsid w:val="00EF4B79"/>
    <w:rsid w:val="00EF4D07"/>
    <w:rsid w:val="00EF506C"/>
    <w:rsid w:val="00EF542F"/>
    <w:rsid w:val="00EF5431"/>
    <w:rsid w:val="00EF54F7"/>
    <w:rsid w:val="00EF5563"/>
    <w:rsid w:val="00EF5617"/>
    <w:rsid w:val="00EF57A1"/>
    <w:rsid w:val="00EF5E1C"/>
    <w:rsid w:val="00EF6435"/>
    <w:rsid w:val="00EF6613"/>
    <w:rsid w:val="00EF6AC3"/>
    <w:rsid w:val="00EF6D37"/>
    <w:rsid w:val="00EF6EDB"/>
    <w:rsid w:val="00EF6FFD"/>
    <w:rsid w:val="00EF700F"/>
    <w:rsid w:val="00EF71E4"/>
    <w:rsid w:val="00EF73E1"/>
    <w:rsid w:val="00EF7426"/>
    <w:rsid w:val="00EF7DE2"/>
    <w:rsid w:val="00EF7E03"/>
    <w:rsid w:val="00EF7EB8"/>
    <w:rsid w:val="00F0099F"/>
    <w:rsid w:val="00F00BB0"/>
    <w:rsid w:val="00F00EB0"/>
    <w:rsid w:val="00F00FE6"/>
    <w:rsid w:val="00F01031"/>
    <w:rsid w:val="00F014E4"/>
    <w:rsid w:val="00F01B0B"/>
    <w:rsid w:val="00F01D17"/>
    <w:rsid w:val="00F01F28"/>
    <w:rsid w:val="00F01FC8"/>
    <w:rsid w:val="00F02340"/>
    <w:rsid w:val="00F02492"/>
    <w:rsid w:val="00F02767"/>
    <w:rsid w:val="00F02782"/>
    <w:rsid w:val="00F028EC"/>
    <w:rsid w:val="00F02AE4"/>
    <w:rsid w:val="00F02DEB"/>
    <w:rsid w:val="00F02F83"/>
    <w:rsid w:val="00F03376"/>
    <w:rsid w:val="00F033AB"/>
    <w:rsid w:val="00F034B7"/>
    <w:rsid w:val="00F0355C"/>
    <w:rsid w:val="00F03655"/>
    <w:rsid w:val="00F037EE"/>
    <w:rsid w:val="00F0382B"/>
    <w:rsid w:val="00F03EB6"/>
    <w:rsid w:val="00F03FA8"/>
    <w:rsid w:val="00F0409B"/>
    <w:rsid w:val="00F042C5"/>
    <w:rsid w:val="00F04726"/>
    <w:rsid w:val="00F047B4"/>
    <w:rsid w:val="00F04BB6"/>
    <w:rsid w:val="00F04E78"/>
    <w:rsid w:val="00F05191"/>
    <w:rsid w:val="00F0554C"/>
    <w:rsid w:val="00F0560E"/>
    <w:rsid w:val="00F057A6"/>
    <w:rsid w:val="00F057F0"/>
    <w:rsid w:val="00F058B5"/>
    <w:rsid w:val="00F05AE4"/>
    <w:rsid w:val="00F05B2F"/>
    <w:rsid w:val="00F06022"/>
    <w:rsid w:val="00F060AB"/>
    <w:rsid w:val="00F0610F"/>
    <w:rsid w:val="00F063EF"/>
    <w:rsid w:val="00F0646A"/>
    <w:rsid w:val="00F068DF"/>
    <w:rsid w:val="00F069C0"/>
    <w:rsid w:val="00F06C46"/>
    <w:rsid w:val="00F06C9C"/>
    <w:rsid w:val="00F06D1D"/>
    <w:rsid w:val="00F070C4"/>
    <w:rsid w:val="00F07453"/>
    <w:rsid w:val="00F0748A"/>
    <w:rsid w:val="00F078AE"/>
    <w:rsid w:val="00F07948"/>
    <w:rsid w:val="00F07C22"/>
    <w:rsid w:val="00F1019A"/>
    <w:rsid w:val="00F1024A"/>
    <w:rsid w:val="00F10348"/>
    <w:rsid w:val="00F103B0"/>
    <w:rsid w:val="00F10487"/>
    <w:rsid w:val="00F10FAC"/>
    <w:rsid w:val="00F112DC"/>
    <w:rsid w:val="00F11749"/>
    <w:rsid w:val="00F1178D"/>
    <w:rsid w:val="00F11827"/>
    <w:rsid w:val="00F11C66"/>
    <w:rsid w:val="00F11CD9"/>
    <w:rsid w:val="00F120E2"/>
    <w:rsid w:val="00F1272F"/>
    <w:rsid w:val="00F12C47"/>
    <w:rsid w:val="00F12FA6"/>
    <w:rsid w:val="00F13652"/>
    <w:rsid w:val="00F138B0"/>
    <w:rsid w:val="00F1409D"/>
    <w:rsid w:val="00F14193"/>
    <w:rsid w:val="00F1419D"/>
    <w:rsid w:val="00F14208"/>
    <w:rsid w:val="00F142DD"/>
    <w:rsid w:val="00F14330"/>
    <w:rsid w:val="00F14358"/>
    <w:rsid w:val="00F144D0"/>
    <w:rsid w:val="00F1453D"/>
    <w:rsid w:val="00F14736"/>
    <w:rsid w:val="00F1488F"/>
    <w:rsid w:val="00F14A05"/>
    <w:rsid w:val="00F14C16"/>
    <w:rsid w:val="00F14FF7"/>
    <w:rsid w:val="00F1513D"/>
    <w:rsid w:val="00F151FE"/>
    <w:rsid w:val="00F15426"/>
    <w:rsid w:val="00F15F0F"/>
    <w:rsid w:val="00F160B1"/>
    <w:rsid w:val="00F160B4"/>
    <w:rsid w:val="00F160EB"/>
    <w:rsid w:val="00F16803"/>
    <w:rsid w:val="00F16A36"/>
    <w:rsid w:val="00F16BF4"/>
    <w:rsid w:val="00F16CD7"/>
    <w:rsid w:val="00F16E71"/>
    <w:rsid w:val="00F1784C"/>
    <w:rsid w:val="00F178F7"/>
    <w:rsid w:val="00F17A7B"/>
    <w:rsid w:val="00F17B68"/>
    <w:rsid w:val="00F17E58"/>
    <w:rsid w:val="00F17F9F"/>
    <w:rsid w:val="00F2004A"/>
    <w:rsid w:val="00F2013A"/>
    <w:rsid w:val="00F206D5"/>
    <w:rsid w:val="00F2096E"/>
    <w:rsid w:val="00F21143"/>
    <w:rsid w:val="00F212CE"/>
    <w:rsid w:val="00F2187B"/>
    <w:rsid w:val="00F21984"/>
    <w:rsid w:val="00F21E32"/>
    <w:rsid w:val="00F21FE1"/>
    <w:rsid w:val="00F22173"/>
    <w:rsid w:val="00F2245F"/>
    <w:rsid w:val="00F2291B"/>
    <w:rsid w:val="00F22D9A"/>
    <w:rsid w:val="00F22DDD"/>
    <w:rsid w:val="00F22E7D"/>
    <w:rsid w:val="00F22E8E"/>
    <w:rsid w:val="00F236DE"/>
    <w:rsid w:val="00F237AB"/>
    <w:rsid w:val="00F23C45"/>
    <w:rsid w:val="00F23F03"/>
    <w:rsid w:val="00F23F8D"/>
    <w:rsid w:val="00F2409A"/>
    <w:rsid w:val="00F242CF"/>
    <w:rsid w:val="00F244DB"/>
    <w:rsid w:val="00F24B47"/>
    <w:rsid w:val="00F2541F"/>
    <w:rsid w:val="00F25467"/>
    <w:rsid w:val="00F25597"/>
    <w:rsid w:val="00F25924"/>
    <w:rsid w:val="00F25FB8"/>
    <w:rsid w:val="00F25FCC"/>
    <w:rsid w:val="00F26107"/>
    <w:rsid w:val="00F2617E"/>
    <w:rsid w:val="00F26469"/>
    <w:rsid w:val="00F26510"/>
    <w:rsid w:val="00F2657D"/>
    <w:rsid w:val="00F26C5F"/>
    <w:rsid w:val="00F26CAB"/>
    <w:rsid w:val="00F26EEB"/>
    <w:rsid w:val="00F26EEC"/>
    <w:rsid w:val="00F273D7"/>
    <w:rsid w:val="00F27566"/>
    <w:rsid w:val="00F27593"/>
    <w:rsid w:val="00F276EC"/>
    <w:rsid w:val="00F27854"/>
    <w:rsid w:val="00F27907"/>
    <w:rsid w:val="00F27B30"/>
    <w:rsid w:val="00F27C10"/>
    <w:rsid w:val="00F27EC3"/>
    <w:rsid w:val="00F27F7D"/>
    <w:rsid w:val="00F27FC3"/>
    <w:rsid w:val="00F30076"/>
    <w:rsid w:val="00F3082D"/>
    <w:rsid w:val="00F3109A"/>
    <w:rsid w:val="00F310A2"/>
    <w:rsid w:val="00F317BF"/>
    <w:rsid w:val="00F317E8"/>
    <w:rsid w:val="00F31970"/>
    <w:rsid w:val="00F31BA6"/>
    <w:rsid w:val="00F31F00"/>
    <w:rsid w:val="00F32951"/>
    <w:rsid w:val="00F32A3E"/>
    <w:rsid w:val="00F32B3F"/>
    <w:rsid w:val="00F32DFC"/>
    <w:rsid w:val="00F33294"/>
    <w:rsid w:val="00F33305"/>
    <w:rsid w:val="00F33566"/>
    <w:rsid w:val="00F3369C"/>
    <w:rsid w:val="00F337EB"/>
    <w:rsid w:val="00F33A20"/>
    <w:rsid w:val="00F33DB6"/>
    <w:rsid w:val="00F3403F"/>
    <w:rsid w:val="00F34136"/>
    <w:rsid w:val="00F34343"/>
    <w:rsid w:val="00F34760"/>
    <w:rsid w:val="00F34F38"/>
    <w:rsid w:val="00F34FDD"/>
    <w:rsid w:val="00F3532E"/>
    <w:rsid w:val="00F359A3"/>
    <w:rsid w:val="00F35A8D"/>
    <w:rsid w:val="00F35AD6"/>
    <w:rsid w:val="00F35D06"/>
    <w:rsid w:val="00F35D23"/>
    <w:rsid w:val="00F361C6"/>
    <w:rsid w:val="00F362AF"/>
    <w:rsid w:val="00F36365"/>
    <w:rsid w:val="00F3636B"/>
    <w:rsid w:val="00F3640C"/>
    <w:rsid w:val="00F3680F"/>
    <w:rsid w:val="00F369DA"/>
    <w:rsid w:val="00F37192"/>
    <w:rsid w:val="00F37438"/>
    <w:rsid w:val="00F376D1"/>
    <w:rsid w:val="00F37746"/>
    <w:rsid w:val="00F37783"/>
    <w:rsid w:val="00F3779B"/>
    <w:rsid w:val="00F378F7"/>
    <w:rsid w:val="00F37931"/>
    <w:rsid w:val="00F37AAD"/>
    <w:rsid w:val="00F37B73"/>
    <w:rsid w:val="00F37EA2"/>
    <w:rsid w:val="00F37EBA"/>
    <w:rsid w:val="00F37EEA"/>
    <w:rsid w:val="00F3E1AD"/>
    <w:rsid w:val="00F416EF"/>
    <w:rsid w:val="00F41809"/>
    <w:rsid w:val="00F4186A"/>
    <w:rsid w:val="00F41916"/>
    <w:rsid w:val="00F4191C"/>
    <w:rsid w:val="00F41B9D"/>
    <w:rsid w:val="00F41DB7"/>
    <w:rsid w:val="00F41E62"/>
    <w:rsid w:val="00F42004"/>
    <w:rsid w:val="00F42159"/>
    <w:rsid w:val="00F421DF"/>
    <w:rsid w:val="00F42596"/>
    <w:rsid w:val="00F42BD6"/>
    <w:rsid w:val="00F433C2"/>
    <w:rsid w:val="00F436E7"/>
    <w:rsid w:val="00F43808"/>
    <w:rsid w:val="00F4401E"/>
    <w:rsid w:val="00F4441F"/>
    <w:rsid w:val="00F44883"/>
    <w:rsid w:val="00F44AEE"/>
    <w:rsid w:val="00F44CAE"/>
    <w:rsid w:val="00F44F5E"/>
    <w:rsid w:val="00F4515E"/>
    <w:rsid w:val="00F4526F"/>
    <w:rsid w:val="00F452C2"/>
    <w:rsid w:val="00F452DF"/>
    <w:rsid w:val="00F459D4"/>
    <w:rsid w:val="00F45D52"/>
    <w:rsid w:val="00F45E20"/>
    <w:rsid w:val="00F46029"/>
    <w:rsid w:val="00F462B5"/>
    <w:rsid w:val="00F465CB"/>
    <w:rsid w:val="00F46627"/>
    <w:rsid w:val="00F46B60"/>
    <w:rsid w:val="00F46BE1"/>
    <w:rsid w:val="00F47147"/>
    <w:rsid w:val="00F47188"/>
    <w:rsid w:val="00F478AB"/>
    <w:rsid w:val="00F47DF3"/>
    <w:rsid w:val="00F47FF4"/>
    <w:rsid w:val="00F50842"/>
    <w:rsid w:val="00F50F6C"/>
    <w:rsid w:val="00F518E3"/>
    <w:rsid w:val="00F51E45"/>
    <w:rsid w:val="00F52153"/>
    <w:rsid w:val="00F523C3"/>
    <w:rsid w:val="00F52BF1"/>
    <w:rsid w:val="00F53452"/>
    <w:rsid w:val="00F53457"/>
    <w:rsid w:val="00F538AD"/>
    <w:rsid w:val="00F53AFF"/>
    <w:rsid w:val="00F53CBB"/>
    <w:rsid w:val="00F543D2"/>
    <w:rsid w:val="00F5455D"/>
    <w:rsid w:val="00F54E8C"/>
    <w:rsid w:val="00F54F31"/>
    <w:rsid w:val="00F555BF"/>
    <w:rsid w:val="00F55724"/>
    <w:rsid w:val="00F55D2B"/>
    <w:rsid w:val="00F55D75"/>
    <w:rsid w:val="00F5617C"/>
    <w:rsid w:val="00F5643D"/>
    <w:rsid w:val="00F5671F"/>
    <w:rsid w:val="00F56959"/>
    <w:rsid w:val="00F5697F"/>
    <w:rsid w:val="00F56B38"/>
    <w:rsid w:val="00F56C1E"/>
    <w:rsid w:val="00F56C4E"/>
    <w:rsid w:val="00F56F48"/>
    <w:rsid w:val="00F57C83"/>
    <w:rsid w:val="00F57C9A"/>
    <w:rsid w:val="00F57DDC"/>
    <w:rsid w:val="00F6021F"/>
    <w:rsid w:val="00F6056F"/>
    <w:rsid w:val="00F609F3"/>
    <w:rsid w:val="00F60C1D"/>
    <w:rsid w:val="00F60D76"/>
    <w:rsid w:val="00F611EA"/>
    <w:rsid w:val="00F6127B"/>
    <w:rsid w:val="00F61730"/>
    <w:rsid w:val="00F6175A"/>
    <w:rsid w:val="00F6185B"/>
    <w:rsid w:val="00F61C82"/>
    <w:rsid w:val="00F61F7D"/>
    <w:rsid w:val="00F6214B"/>
    <w:rsid w:val="00F62458"/>
    <w:rsid w:val="00F625F2"/>
    <w:rsid w:val="00F62A1C"/>
    <w:rsid w:val="00F62B28"/>
    <w:rsid w:val="00F62E7C"/>
    <w:rsid w:val="00F632D8"/>
    <w:rsid w:val="00F6348E"/>
    <w:rsid w:val="00F6380E"/>
    <w:rsid w:val="00F63A54"/>
    <w:rsid w:val="00F63E95"/>
    <w:rsid w:val="00F6452E"/>
    <w:rsid w:val="00F6475C"/>
    <w:rsid w:val="00F65045"/>
    <w:rsid w:val="00F6535D"/>
    <w:rsid w:val="00F6569D"/>
    <w:rsid w:val="00F65958"/>
    <w:rsid w:val="00F66555"/>
    <w:rsid w:val="00F67023"/>
    <w:rsid w:val="00F67094"/>
    <w:rsid w:val="00F672BB"/>
    <w:rsid w:val="00F676C6"/>
    <w:rsid w:val="00F677A1"/>
    <w:rsid w:val="00F67C86"/>
    <w:rsid w:val="00F67D7C"/>
    <w:rsid w:val="00F67E5B"/>
    <w:rsid w:val="00F70108"/>
    <w:rsid w:val="00F701AB"/>
    <w:rsid w:val="00F70A4F"/>
    <w:rsid w:val="00F70AEC"/>
    <w:rsid w:val="00F70F3B"/>
    <w:rsid w:val="00F70FC2"/>
    <w:rsid w:val="00F7130F"/>
    <w:rsid w:val="00F71434"/>
    <w:rsid w:val="00F716E8"/>
    <w:rsid w:val="00F71802"/>
    <w:rsid w:val="00F71958"/>
    <w:rsid w:val="00F71A96"/>
    <w:rsid w:val="00F71B05"/>
    <w:rsid w:val="00F71D05"/>
    <w:rsid w:val="00F72168"/>
    <w:rsid w:val="00F721B4"/>
    <w:rsid w:val="00F721F6"/>
    <w:rsid w:val="00F726F5"/>
    <w:rsid w:val="00F72FFE"/>
    <w:rsid w:val="00F730F1"/>
    <w:rsid w:val="00F73161"/>
    <w:rsid w:val="00F7319B"/>
    <w:rsid w:val="00F73364"/>
    <w:rsid w:val="00F733F1"/>
    <w:rsid w:val="00F7361A"/>
    <w:rsid w:val="00F73798"/>
    <w:rsid w:val="00F73860"/>
    <w:rsid w:val="00F73C4B"/>
    <w:rsid w:val="00F744A1"/>
    <w:rsid w:val="00F74736"/>
    <w:rsid w:val="00F7487D"/>
    <w:rsid w:val="00F753AE"/>
    <w:rsid w:val="00F759CD"/>
    <w:rsid w:val="00F759E4"/>
    <w:rsid w:val="00F75F3F"/>
    <w:rsid w:val="00F76146"/>
    <w:rsid w:val="00F761B8"/>
    <w:rsid w:val="00F76329"/>
    <w:rsid w:val="00F763B7"/>
    <w:rsid w:val="00F765A7"/>
    <w:rsid w:val="00F76B88"/>
    <w:rsid w:val="00F76FF6"/>
    <w:rsid w:val="00F7759C"/>
    <w:rsid w:val="00F776A0"/>
    <w:rsid w:val="00F80075"/>
    <w:rsid w:val="00F80096"/>
    <w:rsid w:val="00F80482"/>
    <w:rsid w:val="00F8074D"/>
    <w:rsid w:val="00F8083E"/>
    <w:rsid w:val="00F808F7"/>
    <w:rsid w:val="00F80BC9"/>
    <w:rsid w:val="00F80D69"/>
    <w:rsid w:val="00F80EC6"/>
    <w:rsid w:val="00F80F79"/>
    <w:rsid w:val="00F80FFE"/>
    <w:rsid w:val="00F81239"/>
    <w:rsid w:val="00F81AF5"/>
    <w:rsid w:val="00F81BB8"/>
    <w:rsid w:val="00F81D2D"/>
    <w:rsid w:val="00F81EE6"/>
    <w:rsid w:val="00F8211F"/>
    <w:rsid w:val="00F82F30"/>
    <w:rsid w:val="00F8311C"/>
    <w:rsid w:val="00F8314C"/>
    <w:rsid w:val="00F83249"/>
    <w:rsid w:val="00F83292"/>
    <w:rsid w:val="00F836C4"/>
    <w:rsid w:val="00F837D9"/>
    <w:rsid w:val="00F838EF"/>
    <w:rsid w:val="00F83A6D"/>
    <w:rsid w:val="00F83AA8"/>
    <w:rsid w:val="00F83AE1"/>
    <w:rsid w:val="00F83C65"/>
    <w:rsid w:val="00F83DF6"/>
    <w:rsid w:val="00F83F96"/>
    <w:rsid w:val="00F84170"/>
    <w:rsid w:val="00F8443E"/>
    <w:rsid w:val="00F846AD"/>
    <w:rsid w:val="00F84862"/>
    <w:rsid w:val="00F848C9"/>
    <w:rsid w:val="00F849DF"/>
    <w:rsid w:val="00F84FA9"/>
    <w:rsid w:val="00F8526A"/>
    <w:rsid w:val="00F85469"/>
    <w:rsid w:val="00F854F5"/>
    <w:rsid w:val="00F85631"/>
    <w:rsid w:val="00F85872"/>
    <w:rsid w:val="00F85A34"/>
    <w:rsid w:val="00F85C2D"/>
    <w:rsid w:val="00F85D1D"/>
    <w:rsid w:val="00F85E58"/>
    <w:rsid w:val="00F85FC4"/>
    <w:rsid w:val="00F86016"/>
    <w:rsid w:val="00F86209"/>
    <w:rsid w:val="00F86256"/>
    <w:rsid w:val="00F86AFF"/>
    <w:rsid w:val="00F86B41"/>
    <w:rsid w:val="00F86BE0"/>
    <w:rsid w:val="00F86F75"/>
    <w:rsid w:val="00F86FB4"/>
    <w:rsid w:val="00F87625"/>
    <w:rsid w:val="00F879A2"/>
    <w:rsid w:val="00F87B9B"/>
    <w:rsid w:val="00F87FFB"/>
    <w:rsid w:val="00F903B7"/>
    <w:rsid w:val="00F90848"/>
    <w:rsid w:val="00F90956"/>
    <w:rsid w:val="00F909EC"/>
    <w:rsid w:val="00F90E91"/>
    <w:rsid w:val="00F91464"/>
    <w:rsid w:val="00F916FB"/>
    <w:rsid w:val="00F91B95"/>
    <w:rsid w:val="00F91BF0"/>
    <w:rsid w:val="00F93AF4"/>
    <w:rsid w:val="00F93C3A"/>
    <w:rsid w:val="00F93D54"/>
    <w:rsid w:val="00F94873"/>
    <w:rsid w:val="00F9496E"/>
    <w:rsid w:val="00F94A5C"/>
    <w:rsid w:val="00F94B5E"/>
    <w:rsid w:val="00F94C05"/>
    <w:rsid w:val="00F94DF9"/>
    <w:rsid w:val="00F94E5B"/>
    <w:rsid w:val="00F953E9"/>
    <w:rsid w:val="00F95555"/>
    <w:rsid w:val="00F9577D"/>
    <w:rsid w:val="00F9589B"/>
    <w:rsid w:val="00F960D7"/>
    <w:rsid w:val="00F9610B"/>
    <w:rsid w:val="00F96170"/>
    <w:rsid w:val="00F965A9"/>
    <w:rsid w:val="00F96965"/>
    <w:rsid w:val="00F96C7C"/>
    <w:rsid w:val="00F96E81"/>
    <w:rsid w:val="00F97079"/>
    <w:rsid w:val="00F97175"/>
    <w:rsid w:val="00F971B5"/>
    <w:rsid w:val="00F97247"/>
    <w:rsid w:val="00F9746F"/>
    <w:rsid w:val="00F97515"/>
    <w:rsid w:val="00F97697"/>
    <w:rsid w:val="00F97791"/>
    <w:rsid w:val="00F97814"/>
    <w:rsid w:val="00F97D26"/>
    <w:rsid w:val="00F97D92"/>
    <w:rsid w:val="00FA0572"/>
    <w:rsid w:val="00FA0A6D"/>
    <w:rsid w:val="00FA0C30"/>
    <w:rsid w:val="00FA0C6A"/>
    <w:rsid w:val="00FA111C"/>
    <w:rsid w:val="00FA1429"/>
    <w:rsid w:val="00FA1471"/>
    <w:rsid w:val="00FA1CEB"/>
    <w:rsid w:val="00FA28E5"/>
    <w:rsid w:val="00FA29D3"/>
    <w:rsid w:val="00FA2CEB"/>
    <w:rsid w:val="00FA308B"/>
    <w:rsid w:val="00FA31A4"/>
    <w:rsid w:val="00FA383A"/>
    <w:rsid w:val="00FA3AD6"/>
    <w:rsid w:val="00FA3B2F"/>
    <w:rsid w:val="00FA3F89"/>
    <w:rsid w:val="00FA404E"/>
    <w:rsid w:val="00FA438C"/>
    <w:rsid w:val="00FA44C8"/>
    <w:rsid w:val="00FA4A9F"/>
    <w:rsid w:val="00FA4FCD"/>
    <w:rsid w:val="00FA561B"/>
    <w:rsid w:val="00FA570B"/>
    <w:rsid w:val="00FA5B2C"/>
    <w:rsid w:val="00FA5DEE"/>
    <w:rsid w:val="00FA61F6"/>
    <w:rsid w:val="00FA6292"/>
    <w:rsid w:val="00FA6397"/>
    <w:rsid w:val="00FA65C9"/>
    <w:rsid w:val="00FA682D"/>
    <w:rsid w:val="00FA6868"/>
    <w:rsid w:val="00FA72FB"/>
    <w:rsid w:val="00FA7420"/>
    <w:rsid w:val="00FA7820"/>
    <w:rsid w:val="00FA7B18"/>
    <w:rsid w:val="00FA7EAE"/>
    <w:rsid w:val="00FA7FEF"/>
    <w:rsid w:val="00FB00BD"/>
    <w:rsid w:val="00FB021B"/>
    <w:rsid w:val="00FB0481"/>
    <w:rsid w:val="00FB0484"/>
    <w:rsid w:val="00FB04C5"/>
    <w:rsid w:val="00FB062D"/>
    <w:rsid w:val="00FB09A8"/>
    <w:rsid w:val="00FB09CD"/>
    <w:rsid w:val="00FB0B6F"/>
    <w:rsid w:val="00FB0C5B"/>
    <w:rsid w:val="00FB0D17"/>
    <w:rsid w:val="00FB0EB0"/>
    <w:rsid w:val="00FB0ED3"/>
    <w:rsid w:val="00FB0EE5"/>
    <w:rsid w:val="00FB0F13"/>
    <w:rsid w:val="00FB0F52"/>
    <w:rsid w:val="00FB1093"/>
    <w:rsid w:val="00FB11FE"/>
    <w:rsid w:val="00FB1203"/>
    <w:rsid w:val="00FB121F"/>
    <w:rsid w:val="00FB14DA"/>
    <w:rsid w:val="00FB16BB"/>
    <w:rsid w:val="00FB2301"/>
    <w:rsid w:val="00FB24C7"/>
    <w:rsid w:val="00FB26BD"/>
    <w:rsid w:val="00FB2948"/>
    <w:rsid w:val="00FB2B00"/>
    <w:rsid w:val="00FB2E12"/>
    <w:rsid w:val="00FB314B"/>
    <w:rsid w:val="00FB36CD"/>
    <w:rsid w:val="00FB395A"/>
    <w:rsid w:val="00FB3A71"/>
    <w:rsid w:val="00FB3EB1"/>
    <w:rsid w:val="00FB4132"/>
    <w:rsid w:val="00FB4195"/>
    <w:rsid w:val="00FB41E6"/>
    <w:rsid w:val="00FB4461"/>
    <w:rsid w:val="00FB4508"/>
    <w:rsid w:val="00FB48C4"/>
    <w:rsid w:val="00FB4944"/>
    <w:rsid w:val="00FB5117"/>
    <w:rsid w:val="00FB5514"/>
    <w:rsid w:val="00FB5696"/>
    <w:rsid w:val="00FB5818"/>
    <w:rsid w:val="00FB58CC"/>
    <w:rsid w:val="00FB5FE1"/>
    <w:rsid w:val="00FB6625"/>
    <w:rsid w:val="00FB6653"/>
    <w:rsid w:val="00FB67D7"/>
    <w:rsid w:val="00FB6D44"/>
    <w:rsid w:val="00FB718A"/>
    <w:rsid w:val="00FB71DF"/>
    <w:rsid w:val="00FB73AF"/>
    <w:rsid w:val="00FB78CE"/>
    <w:rsid w:val="00FB7906"/>
    <w:rsid w:val="00FB7C1B"/>
    <w:rsid w:val="00FB7F00"/>
    <w:rsid w:val="00FC0143"/>
    <w:rsid w:val="00FC02CB"/>
    <w:rsid w:val="00FC037E"/>
    <w:rsid w:val="00FC0394"/>
    <w:rsid w:val="00FC0404"/>
    <w:rsid w:val="00FC05E3"/>
    <w:rsid w:val="00FC07BB"/>
    <w:rsid w:val="00FC1351"/>
    <w:rsid w:val="00FC136F"/>
    <w:rsid w:val="00FC14E1"/>
    <w:rsid w:val="00FC15E5"/>
    <w:rsid w:val="00FC1658"/>
    <w:rsid w:val="00FC1675"/>
    <w:rsid w:val="00FC1899"/>
    <w:rsid w:val="00FC19C3"/>
    <w:rsid w:val="00FC1CC0"/>
    <w:rsid w:val="00FC1EAB"/>
    <w:rsid w:val="00FC1EC8"/>
    <w:rsid w:val="00FC33CA"/>
    <w:rsid w:val="00FC34B1"/>
    <w:rsid w:val="00FC3FF4"/>
    <w:rsid w:val="00FC400E"/>
    <w:rsid w:val="00FC442B"/>
    <w:rsid w:val="00FC4673"/>
    <w:rsid w:val="00FC474E"/>
    <w:rsid w:val="00FC5163"/>
    <w:rsid w:val="00FC5655"/>
    <w:rsid w:val="00FC5B1E"/>
    <w:rsid w:val="00FC5BCF"/>
    <w:rsid w:val="00FC616A"/>
    <w:rsid w:val="00FC63C6"/>
    <w:rsid w:val="00FC64B3"/>
    <w:rsid w:val="00FC6570"/>
    <w:rsid w:val="00FC69CD"/>
    <w:rsid w:val="00FC6C4B"/>
    <w:rsid w:val="00FC6D86"/>
    <w:rsid w:val="00FC6ECD"/>
    <w:rsid w:val="00FC703B"/>
    <w:rsid w:val="00FC70DC"/>
    <w:rsid w:val="00FC741C"/>
    <w:rsid w:val="00FC7562"/>
    <w:rsid w:val="00FC778D"/>
    <w:rsid w:val="00FC78C6"/>
    <w:rsid w:val="00FC79DF"/>
    <w:rsid w:val="00FC7A79"/>
    <w:rsid w:val="00FD035B"/>
    <w:rsid w:val="00FD040F"/>
    <w:rsid w:val="00FD0598"/>
    <w:rsid w:val="00FD05B2"/>
    <w:rsid w:val="00FD06FE"/>
    <w:rsid w:val="00FD0746"/>
    <w:rsid w:val="00FD0927"/>
    <w:rsid w:val="00FD0E75"/>
    <w:rsid w:val="00FD0E86"/>
    <w:rsid w:val="00FD1036"/>
    <w:rsid w:val="00FD133B"/>
    <w:rsid w:val="00FD1433"/>
    <w:rsid w:val="00FD1851"/>
    <w:rsid w:val="00FD1C84"/>
    <w:rsid w:val="00FD243F"/>
    <w:rsid w:val="00FD291E"/>
    <w:rsid w:val="00FD2985"/>
    <w:rsid w:val="00FD2A26"/>
    <w:rsid w:val="00FD2AE8"/>
    <w:rsid w:val="00FD2C14"/>
    <w:rsid w:val="00FD2C9F"/>
    <w:rsid w:val="00FD3822"/>
    <w:rsid w:val="00FD3B30"/>
    <w:rsid w:val="00FD3DA7"/>
    <w:rsid w:val="00FD3DC6"/>
    <w:rsid w:val="00FD3FD9"/>
    <w:rsid w:val="00FD4083"/>
    <w:rsid w:val="00FD4430"/>
    <w:rsid w:val="00FD45DF"/>
    <w:rsid w:val="00FD482A"/>
    <w:rsid w:val="00FD484F"/>
    <w:rsid w:val="00FD4D18"/>
    <w:rsid w:val="00FD4DAB"/>
    <w:rsid w:val="00FD5064"/>
    <w:rsid w:val="00FD5F25"/>
    <w:rsid w:val="00FD633B"/>
    <w:rsid w:val="00FD63CF"/>
    <w:rsid w:val="00FD6406"/>
    <w:rsid w:val="00FD6826"/>
    <w:rsid w:val="00FD697E"/>
    <w:rsid w:val="00FD6C25"/>
    <w:rsid w:val="00FD6C72"/>
    <w:rsid w:val="00FD6D9D"/>
    <w:rsid w:val="00FD720C"/>
    <w:rsid w:val="00FD7296"/>
    <w:rsid w:val="00FD7632"/>
    <w:rsid w:val="00FD7CB8"/>
    <w:rsid w:val="00FE0161"/>
    <w:rsid w:val="00FE0218"/>
    <w:rsid w:val="00FE0486"/>
    <w:rsid w:val="00FE053C"/>
    <w:rsid w:val="00FE05A7"/>
    <w:rsid w:val="00FE05C8"/>
    <w:rsid w:val="00FE0615"/>
    <w:rsid w:val="00FE0847"/>
    <w:rsid w:val="00FE1AF1"/>
    <w:rsid w:val="00FE1D32"/>
    <w:rsid w:val="00FE1D8A"/>
    <w:rsid w:val="00FE1DA3"/>
    <w:rsid w:val="00FE22C6"/>
    <w:rsid w:val="00FE26A9"/>
    <w:rsid w:val="00FE2A9B"/>
    <w:rsid w:val="00FE2A9C"/>
    <w:rsid w:val="00FE2AF2"/>
    <w:rsid w:val="00FE2C89"/>
    <w:rsid w:val="00FE2DC2"/>
    <w:rsid w:val="00FE38D5"/>
    <w:rsid w:val="00FE3C2A"/>
    <w:rsid w:val="00FE3CB6"/>
    <w:rsid w:val="00FE3E56"/>
    <w:rsid w:val="00FE425E"/>
    <w:rsid w:val="00FE464B"/>
    <w:rsid w:val="00FE4683"/>
    <w:rsid w:val="00FE4938"/>
    <w:rsid w:val="00FE4CD5"/>
    <w:rsid w:val="00FE5007"/>
    <w:rsid w:val="00FE51C8"/>
    <w:rsid w:val="00FE53DF"/>
    <w:rsid w:val="00FE5400"/>
    <w:rsid w:val="00FE5402"/>
    <w:rsid w:val="00FE544E"/>
    <w:rsid w:val="00FE5D2C"/>
    <w:rsid w:val="00FE63D0"/>
    <w:rsid w:val="00FE6699"/>
    <w:rsid w:val="00FE6B16"/>
    <w:rsid w:val="00FE6ECC"/>
    <w:rsid w:val="00FE6EFD"/>
    <w:rsid w:val="00FE6F25"/>
    <w:rsid w:val="00FE6F3D"/>
    <w:rsid w:val="00FE715E"/>
    <w:rsid w:val="00FE75B4"/>
    <w:rsid w:val="00FE773E"/>
    <w:rsid w:val="00FE7E53"/>
    <w:rsid w:val="00FF0114"/>
    <w:rsid w:val="00FF05AF"/>
    <w:rsid w:val="00FF09D4"/>
    <w:rsid w:val="00FF0C00"/>
    <w:rsid w:val="00FF116C"/>
    <w:rsid w:val="00FF1559"/>
    <w:rsid w:val="00FF164D"/>
    <w:rsid w:val="00FF1651"/>
    <w:rsid w:val="00FF19F4"/>
    <w:rsid w:val="00FF1CB8"/>
    <w:rsid w:val="00FF1CE0"/>
    <w:rsid w:val="00FF1E2B"/>
    <w:rsid w:val="00FF218C"/>
    <w:rsid w:val="00FF2584"/>
    <w:rsid w:val="00FF260F"/>
    <w:rsid w:val="00FF279A"/>
    <w:rsid w:val="00FF292A"/>
    <w:rsid w:val="00FF296C"/>
    <w:rsid w:val="00FF2FB4"/>
    <w:rsid w:val="00FF356F"/>
    <w:rsid w:val="00FF389A"/>
    <w:rsid w:val="00FF38A1"/>
    <w:rsid w:val="00FF3959"/>
    <w:rsid w:val="00FF3A14"/>
    <w:rsid w:val="00FF3A2E"/>
    <w:rsid w:val="00FF3CC7"/>
    <w:rsid w:val="00FF4178"/>
    <w:rsid w:val="00FF4441"/>
    <w:rsid w:val="00FF4932"/>
    <w:rsid w:val="00FF5157"/>
    <w:rsid w:val="00FF53E5"/>
    <w:rsid w:val="00FF59C5"/>
    <w:rsid w:val="00FF5C1E"/>
    <w:rsid w:val="00FF6481"/>
    <w:rsid w:val="00FF653F"/>
    <w:rsid w:val="00FF69CB"/>
    <w:rsid w:val="00FF7001"/>
    <w:rsid w:val="00FF702C"/>
    <w:rsid w:val="00FF71E3"/>
    <w:rsid w:val="00FF73CB"/>
    <w:rsid w:val="00FF73E0"/>
    <w:rsid w:val="00FF7453"/>
    <w:rsid w:val="00FF76B6"/>
    <w:rsid w:val="00FF7AB4"/>
    <w:rsid w:val="0100A699"/>
    <w:rsid w:val="013752D2"/>
    <w:rsid w:val="01399265"/>
    <w:rsid w:val="0144CC11"/>
    <w:rsid w:val="0157212F"/>
    <w:rsid w:val="015ED059"/>
    <w:rsid w:val="016689C7"/>
    <w:rsid w:val="018B5022"/>
    <w:rsid w:val="0191A089"/>
    <w:rsid w:val="01963A68"/>
    <w:rsid w:val="019D936E"/>
    <w:rsid w:val="019DAD59"/>
    <w:rsid w:val="01CCED19"/>
    <w:rsid w:val="01CFCE6B"/>
    <w:rsid w:val="01D4C426"/>
    <w:rsid w:val="020AB7A1"/>
    <w:rsid w:val="02138BCA"/>
    <w:rsid w:val="02350C01"/>
    <w:rsid w:val="023B914E"/>
    <w:rsid w:val="02CFAA80"/>
    <w:rsid w:val="02D28081"/>
    <w:rsid w:val="02E03F13"/>
    <w:rsid w:val="02EA4DA7"/>
    <w:rsid w:val="02F6F5BA"/>
    <w:rsid w:val="02FEB879"/>
    <w:rsid w:val="0319CE45"/>
    <w:rsid w:val="032A6A37"/>
    <w:rsid w:val="032A6A5A"/>
    <w:rsid w:val="0333A78D"/>
    <w:rsid w:val="0347E436"/>
    <w:rsid w:val="034F7D2D"/>
    <w:rsid w:val="0354AA1D"/>
    <w:rsid w:val="0372806C"/>
    <w:rsid w:val="03747A30"/>
    <w:rsid w:val="0391E4C0"/>
    <w:rsid w:val="03AB933D"/>
    <w:rsid w:val="03AD0AA3"/>
    <w:rsid w:val="03AFC68D"/>
    <w:rsid w:val="03DE9DE0"/>
    <w:rsid w:val="04028BB5"/>
    <w:rsid w:val="04091E0D"/>
    <w:rsid w:val="041B6EF0"/>
    <w:rsid w:val="0480B2ED"/>
    <w:rsid w:val="048A2ABA"/>
    <w:rsid w:val="049DFB54"/>
    <w:rsid w:val="04BC3344"/>
    <w:rsid w:val="05076D00"/>
    <w:rsid w:val="0533E640"/>
    <w:rsid w:val="055940E4"/>
    <w:rsid w:val="0585826C"/>
    <w:rsid w:val="05AF0F84"/>
    <w:rsid w:val="06022C29"/>
    <w:rsid w:val="06115522"/>
    <w:rsid w:val="06193C17"/>
    <w:rsid w:val="06401848"/>
    <w:rsid w:val="06623518"/>
    <w:rsid w:val="066B1537"/>
    <w:rsid w:val="06900CDB"/>
    <w:rsid w:val="06BE4972"/>
    <w:rsid w:val="06C5743A"/>
    <w:rsid w:val="06EBE5DF"/>
    <w:rsid w:val="06EEAF84"/>
    <w:rsid w:val="070A3EDA"/>
    <w:rsid w:val="071AE959"/>
    <w:rsid w:val="074785CD"/>
    <w:rsid w:val="0766CD95"/>
    <w:rsid w:val="0771434D"/>
    <w:rsid w:val="07734F43"/>
    <w:rsid w:val="0779AA61"/>
    <w:rsid w:val="07A5C849"/>
    <w:rsid w:val="07A871F7"/>
    <w:rsid w:val="07BB5565"/>
    <w:rsid w:val="07F954C0"/>
    <w:rsid w:val="07FCF2AA"/>
    <w:rsid w:val="081EF9B9"/>
    <w:rsid w:val="082D0A88"/>
    <w:rsid w:val="083FD271"/>
    <w:rsid w:val="0860E5D0"/>
    <w:rsid w:val="087F371A"/>
    <w:rsid w:val="087FF2A1"/>
    <w:rsid w:val="08807D93"/>
    <w:rsid w:val="08B719A5"/>
    <w:rsid w:val="08D7FC9F"/>
    <w:rsid w:val="08F96544"/>
    <w:rsid w:val="0908A8FA"/>
    <w:rsid w:val="091FE665"/>
    <w:rsid w:val="09255445"/>
    <w:rsid w:val="0936C320"/>
    <w:rsid w:val="0946CDB4"/>
    <w:rsid w:val="0963980F"/>
    <w:rsid w:val="09685598"/>
    <w:rsid w:val="0970C982"/>
    <w:rsid w:val="097CD606"/>
    <w:rsid w:val="097FB110"/>
    <w:rsid w:val="09ABD700"/>
    <w:rsid w:val="09C82082"/>
    <w:rsid w:val="09CF63AB"/>
    <w:rsid w:val="09E7469C"/>
    <w:rsid w:val="0A012689"/>
    <w:rsid w:val="0A205B69"/>
    <w:rsid w:val="0A460849"/>
    <w:rsid w:val="0AD7F6F8"/>
    <w:rsid w:val="0AE41D89"/>
    <w:rsid w:val="0B08BACE"/>
    <w:rsid w:val="0B52214F"/>
    <w:rsid w:val="0B6B5265"/>
    <w:rsid w:val="0B7AFC37"/>
    <w:rsid w:val="0B7FCEDD"/>
    <w:rsid w:val="0B84F6D5"/>
    <w:rsid w:val="0BB6F382"/>
    <w:rsid w:val="0BB98BD0"/>
    <w:rsid w:val="0BC60D64"/>
    <w:rsid w:val="0BD518D0"/>
    <w:rsid w:val="0BFC9086"/>
    <w:rsid w:val="0C04BA59"/>
    <w:rsid w:val="0C209F67"/>
    <w:rsid w:val="0C243AE0"/>
    <w:rsid w:val="0C2733B1"/>
    <w:rsid w:val="0C48CE77"/>
    <w:rsid w:val="0C608F0C"/>
    <w:rsid w:val="0C8CD676"/>
    <w:rsid w:val="0CA5DB34"/>
    <w:rsid w:val="0CB32600"/>
    <w:rsid w:val="0D010B6B"/>
    <w:rsid w:val="0D17C721"/>
    <w:rsid w:val="0D3FA747"/>
    <w:rsid w:val="0D4142B1"/>
    <w:rsid w:val="0D49B18B"/>
    <w:rsid w:val="0D50B581"/>
    <w:rsid w:val="0D5CF317"/>
    <w:rsid w:val="0D735E7E"/>
    <w:rsid w:val="0D79DC14"/>
    <w:rsid w:val="0DEEC382"/>
    <w:rsid w:val="0E0162EB"/>
    <w:rsid w:val="0E1A6E27"/>
    <w:rsid w:val="0E49CD4C"/>
    <w:rsid w:val="0E4ADAE9"/>
    <w:rsid w:val="0E5C52AE"/>
    <w:rsid w:val="0E70BDFE"/>
    <w:rsid w:val="0EA872D8"/>
    <w:rsid w:val="0ECBAD60"/>
    <w:rsid w:val="0ECF0441"/>
    <w:rsid w:val="0EF8647A"/>
    <w:rsid w:val="0F0FD728"/>
    <w:rsid w:val="0F1034D7"/>
    <w:rsid w:val="0F1672F9"/>
    <w:rsid w:val="0F1B7887"/>
    <w:rsid w:val="0F3FEEF0"/>
    <w:rsid w:val="0F4A25A0"/>
    <w:rsid w:val="0F794F57"/>
    <w:rsid w:val="0F9E92AF"/>
    <w:rsid w:val="0FA6E0ED"/>
    <w:rsid w:val="0FAA7185"/>
    <w:rsid w:val="0FED4519"/>
    <w:rsid w:val="0FF9D307"/>
    <w:rsid w:val="10002B00"/>
    <w:rsid w:val="1018D7A9"/>
    <w:rsid w:val="1020A2C2"/>
    <w:rsid w:val="1025373E"/>
    <w:rsid w:val="1033DF52"/>
    <w:rsid w:val="1044F889"/>
    <w:rsid w:val="1046095D"/>
    <w:rsid w:val="10592D82"/>
    <w:rsid w:val="1064340A"/>
    <w:rsid w:val="1065F66A"/>
    <w:rsid w:val="10903BC6"/>
    <w:rsid w:val="109EE0CF"/>
    <w:rsid w:val="10B3C39F"/>
    <w:rsid w:val="10BA05AB"/>
    <w:rsid w:val="10C285B4"/>
    <w:rsid w:val="10E95958"/>
    <w:rsid w:val="10EA4227"/>
    <w:rsid w:val="10F345C6"/>
    <w:rsid w:val="1113BE69"/>
    <w:rsid w:val="1113F7DD"/>
    <w:rsid w:val="11143475"/>
    <w:rsid w:val="11231D76"/>
    <w:rsid w:val="11480391"/>
    <w:rsid w:val="11614325"/>
    <w:rsid w:val="116EF4D7"/>
    <w:rsid w:val="118C6B20"/>
    <w:rsid w:val="118D3716"/>
    <w:rsid w:val="11A2CB2B"/>
    <w:rsid w:val="11D7C4B0"/>
    <w:rsid w:val="120A9A78"/>
    <w:rsid w:val="1225936B"/>
    <w:rsid w:val="126A3545"/>
    <w:rsid w:val="128FB2EE"/>
    <w:rsid w:val="1292270C"/>
    <w:rsid w:val="129EB075"/>
    <w:rsid w:val="12BD6CD1"/>
    <w:rsid w:val="12D14644"/>
    <w:rsid w:val="12D9185A"/>
    <w:rsid w:val="12F8CF02"/>
    <w:rsid w:val="130454D0"/>
    <w:rsid w:val="130D269C"/>
    <w:rsid w:val="133CBDCE"/>
    <w:rsid w:val="133CCA13"/>
    <w:rsid w:val="133E5C9C"/>
    <w:rsid w:val="136E3273"/>
    <w:rsid w:val="138BB9C1"/>
    <w:rsid w:val="1390267A"/>
    <w:rsid w:val="13A36332"/>
    <w:rsid w:val="13D44BFB"/>
    <w:rsid w:val="13F9269A"/>
    <w:rsid w:val="1405E9C9"/>
    <w:rsid w:val="141DF9B4"/>
    <w:rsid w:val="142236D7"/>
    <w:rsid w:val="14243B02"/>
    <w:rsid w:val="14351653"/>
    <w:rsid w:val="143ECB5E"/>
    <w:rsid w:val="144E6D20"/>
    <w:rsid w:val="146024BB"/>
    <w:rsid w:val="1460328A"/>
    <w:rsid w:val="148D3D1B"/>
    <w:rsid w:val="14959553"/>
    <w:rsid w:val="149A74C9"/>
    <w:rsid w:val="14A56011"/>
    <w:rsid w:val="14A92742"/>
    <w:rsid w:val="14B802F4"/>
    <w:rsid w:val="14BAE0BE"/>
    <w:rsid w:val="14D73615"/>
    <w:rsid w:val="14E43FBD"/>
    <w:rsid w:val="14F8E391"/>
    <w:rsid w:val="15269056"/>
    <w:rsid w:val="1531252E"/>
    <w:rsid w:val="153F4FF0"/>
    <w:rsid w:val="155E561A"/>
    <w:rsid w:val="156A05DC"/>
    <w:rsid w:val="158C245D"/>
    <w:rsid w:val="15910BCC"/>
    <w:rsid w:val="15A6AF10"/>
    <w:rsid w:val="15D9BAC0"/>
    <w:rsid w:val="15E1AFB0"/>
    <w:rsid w:val="16252ED4"/>
    <w:rsid w:val="16322D83"/>
    <w:rsid w:val="16595FD0"/>
    <w:rsid w:val="165E75C2"/>
    <w:rsid w:val="1665B3DE"/>
    <w:rsid w:val="1667FCE9"/>
    <w:rsid w:val="1687A181"/>
    <w:rsid w:val="169B65E6"/>
    <w:rsid w:val="16A4CBF1"/>
    <w:rsid w:val="16A806DA"/>
    <w:rsid w:val="16FD7A4E"/>
    <w:rsid w:val="17025614"/>
    <w:rsid w:val="170A2ECD"/>
    <w:rsid w:val="172E6C83"/>
    <w:rsid w:val="172EDE1D"/>
    <w:rsid w:val="1733CD69"/>
    <w:rsid w:val="1735F3F9"/>
    <w:rsid w:val="173E7F59"/>
    <w:rsid w:val="17AD3DDE"/>
    <w:rsid w:val="17AFA4B9"/>
    <w:rsid w:val="17B8B2C3"/>
    <w:rsid w:val="17C0813C"/>
    <w:rsid w:val="17C91B4F"/>
    <w:rsid w:val="17DE11BC"/>
    <w:rsid w:val="17FA059E"/>
    <w:rsid w:val="180BFD6B"/>
    <w:rsid w:val="183EF633"/>
    <w:rsid w:val="188533DA"/>
    <w:rsid w:val="188997B6"/>
    <w:rsid w:val="188C4ADA"/>
    <w:rsid w:val="1895A5C8"/>
    <w:rsid w:val="189EA94D"/>
    <w:rsid w:val="18B18F0A"/>
    <w:rsid w:val="18B65CCC"/>
    <w:rsid w:val="18B6F2DB"/>
    <w:rsid w:val="18BA8991"/>
    <w:rsid w:val="18C774D6"/>
    <w:rsid w:val="18CACF6A"/>
    <w:rsid w:val="18CF3A1B"/>
    <w:rsid w:val="18D47B80"/>
    <w:rsid w:val="18DC6CB9"/>
    <w:rsid w:val="18DD60A2"/>
    <w:rsid w:val="18F156E3"/>
    <w:rsid w:val="193192F1"/>
    <w:rsid w:val="193AAECC"/>
    <w:rsid w:val="1944F006"/>
    <w:rsid w:val="194F3559"/>
    <w:rsid w:val="1951A5B2"/>
    <w:rsid w:val="19915C15"/>
    <w:rsid w:val="199AFFD5"/>
    <w:rsid w:val="19A5BFAA"/>
    <w:rsid w:val="19B17BA6"/>
    <w:rsid w:val="19D62254"/>
    <w:rsid w:val="19EDA43C"/>
    <w:rsid w:val="1A1A20DA"/>
    <w:rsid w:val="1A2FE16E"/>
    <w:rsid w:val="1A4044F8"/>
    <w:rsid w:val="1A491515"/>
    <w:rsid w:val="1A75A5C5"/>
    <w:rsid w:val="1A78BC10"/>
    <w:rsid w:val="1A86BB8C"/>
    <w:rsid w:val="1AA63AB4"/>
    <w:rsid w:val="1AB39C08"/>
    <w:rsid w:val="1ACAF499"/>
    <w:rsid w:val="1AD15BF6"/>
    <w:rsid w:val="1AE76945"/>
    <w:rsid w:val="1AF86AC7"/>
    <w:rsid w:val="1AFB3137"/>
    <w:rsid w:val="1B042F30"/>
    <w:rsid w:val="1B29D6FC"/>
    <w:rsid w:val="1B3D519B"/>
    <w:rsid w:val="1B560AE7"/>
    <w:rsid w:val="1B590603"/>
    <w:rsid w:val="1B7145D5"/>
    <w:rsid w:val="1B80C3B4"/>
    <w:rsid w:val="1B95F670"/>
    <w:rsid w:val="1B9775A5"/>
    <w:rsid w:val="1BA8AFE3"/>
    <w:rsid w:val="1BE3A958"/>
    <w:rsid w:val="1C06378C"/>
    <w:rsid w:val="1C7F0C8A"/>
    <w:rsid w:val="1C9E0580"/>
    <w:rsid w:val="1CBB729E"/>
    <w:rsid w:val="1CCCBD7E"/>
    <w:rsid w:val="1CDBB0AA"/>
    <w:rsid w:val="1CF73A10"/>
    <w:rsid w:val="1CFB722F"/>
    <w:rsid w:val="1D0EF8D3"/>
    <w:rsid w:val="1D11ABB4"/>
    <w:rsid w:val="1D245DBF"/>
    <w:rsid w:val="1D3D5244"/>
    <w:rsid w:val="1D727262"/>
    <w:rsid w:val="1D811309"/>
    <w:rsid w:val="1D954982"/>
    <w:rsid w:val="1D95F297"/>
    <w:rsid w:val="1D9BBC06"/>
    <w:rsid w:val="1DC03DC3"/>
    <w:rsid w:val="1DC4215C"/>
    <w:rsid w:val="1DD27A7A"/>
    <w:rsid w:val="1DD651C3"/>
    <w:rsid w:val="1DDCA093"/>
    <w:rsid w:val="1DDCA7F4"/>
    <w:rsid w:val="1DDF71BA"/>
    <w:rsid w:val="1DFBB0B2"/>
    <w:rsid w:val="1E0743FC"/>
    <w:rsid w:val="1E15DB6D"/>
    <w:rsid w:val="1E1CE540"/>
    <w:rsid w:val="1E29F738"/>
    <w:rsid w:val="1E3CFE29"/>
    <w:rsid w:val="1E573F33"/>
    <w:rsid w:val="1E817CDD"/>
    <w:rsid w:val="1E90453E"/>
    <w:rsid w:val="1E99FDBD"/>
    <w:rsid w:val="1EAB1E69"/>
    <w:rsid w:val="1EBB35DB"/>
    <w:rsid w:val="1ED53604"/>
    <w:rsid w:val="1ED8BA0F"/>
    <w:rsid w:val="1EED22FC"/>
    <w:rsid w:val="1F1FE322"/>
    <w:rsid w:val="1F2C2E36"/>
    <w:rsid w:val="1F300B77"/>
    <w:rsid w:val="1F95A8E6"/>
    <w:rsid w:val="1F9E8EC7"/>
    <w:rsid w:val="1FAA769A"/>
    <w:rsid w:val="1FD89664"/>
    <w:rsid w:val="2000290B"/>
    <w:rsid w:val="20033A7D"/>
    <w:rsid w:val="201ABEE1"/>
    <w:rsid w:val="20331144"/>
    <w:rsid w:val="2092B1FA"/>
    <w:rsid w:val="20A2DDB8"/>
    <w:rsid w:val="20B6FD3E"/>
    <w:rsid w:val="20D603A6"/>
    <w:rsid w:val="212217BB"/>
    <w:rsid w:val="2126C6D1"/>
    <w:rsid w:val="21478448"/>
    <w:rsid w:val="215276BB"/>
    <w:rsid w:val="217273D5"/>
    <w:rsid w:val="217C88F9"/>
    <w:rsid w:val="218AB905"/>
    <w:rsid w:val="21B23D87"/>
    <w:rsid w:val="21C0396A"/>
    <w:rsid w:val="21D1AC04"/>
    <w:rsid w:val="21D29999"/>
    <w:rsid w:val="21DE581E"/>
    <w:rsid w:val="21E1EF5F"/>
    <w:rsid w:val="21E2ED93"/>
    <w:rsid w:val="225CAFDC"/>
    <w:rsid w:val="2279D68B"/>
    <w:rsid w:val="22830439"/>
    <w:rsid w:val="2290C715"/>
    <w:rsid w:val="22B5BD1E"/>
    <w:rsid w:val="22B6DA59"/>
    <w:rsid w:val="22BB4491"/>
    <w:rsid w:val="22C396D0"/>
    <w:rsid w:val="22D5C652"/>
    <w:rsid w:val="22F8CEB9"/>
    <w:rsid w:val="23058108"/>
    <w:rsid w:val="234CDD88"/>
    <w:rsid w:val="238684AC"/>
    <w:rsid w:val="238FC40E"/>
    <w:rsid w:val="23BBACFA"/>
    <w:rsid w:val="23C9B4F6"/>
    <w:rsid w:val="23FD2932"/>
    <w:rsid w:val="23FF10B2"/>
    <w:rsid w:val="23FF7D4F"/>
    <w:rsid w:val="240B2E77"/>
    <w:rsid w:val="2413ADEA"/>
    <w:rsid w:val="241C2A63"/>
    <w:rsid w:val="241C9FB6"/>
    <w:rsid w:val="24210DC2"/>
    <w:rsid w:val="2426233E"/>
    <w:rsid w:val="2427C79A"/>
    <w:rsid w:val="2428AD6D"/>
    <w:rsid w:val="242C3B71"/>
    <w:rsid w:val="24598329"/>
    <w:rsid w:val="246C39F4"/>
    <w:rsid w:val="2514FD36"/>
    <w:rsid w:val="251F181D"/>
    <w:rsid w:val="25239E4E"/>
    <w:rsid w:val="253617A2"/>
    <w:rsid w:val="25430138"/>
    <w:rsid w:val="2563732E"/>
    <w:rsid w:val="2573DA03"/>
    <w:rsid w:val="259D83B6"/>
    <w:rsid w:val="259E487B"/>
    <w:rsid w:val="25A02305"/>
    <w:rsid w:val="25A8472A"/>
    <w:rsid w:val="25C211D2"/>
    <w:rsid w:val="25C76D56"/>
    <w:rsid w:val="25D9EECA"/>
    <w:rsid w:val="25E6D94B"/>
    <w:rsid w:val="261CA057"/>
    <w:rsid w:val="262463FE"/>
    <w:rsid w:val="2625A297"/>
    <w:rsid w:val="2629D703"/>
    <w:rsid w:val="26316408"/>
    <w:rsid w:val="264726B4"/>
    <w:rsid w:val="267088FA"/>
    <w:rsid w:val="2683842D"/>
    <w:rsid w:val="26908C26"/>
    <w:rsid w:val="2694BD2F"/>
    <w:rsid w:val="26AD6C7F"/>
    <w:rsid w:val="26BE6542"/>
    <w:rsid w:val="26CC33EB"/>
    <w:rsid w:val="26E06B2B"/>
    <w:rsid w:val="27343CCB"/>
    <w:rsid w:val="273EEF23"/>
    <w:rsid w:val="27848F2F"/>
    <w:rsid w:val="2793B085"/>
    <w:rsid w:val="27A6D76D"/>
    <w:rsid w:val="27B344CA"/>
    <w:rsid w:val="27C8636B"/>
    <w:rsid w:val="27CA17BE"/>
    <w:rsid w:val="27DDEAAD"/>
    <w:rsid w:val="27F17877"/>
    <w:rsid w:val="280D9BA5"/>
    <w:rsid w:val="283B5EA6"/>
    <w:rsid w:val="284A0EE0"/>
    <w:rsid w:val="28B763E8"/>
    <w:rsid w:val="28B8892C"/>
    <w:rsid w:val="28ECBEEF"/>
    <w:rsid w:val="28FAA122"/>
    <w:rsid w:val="28FD35AD"/>
    <w:rsid w:val="2925B610"/>
    <w:rsid w:val="2942E0AB"/>
    <w:rsid w:val="295B1CD9"/>
    <w:rsid w:val="295DA5DC"/>
    <w:rsid w:val="297D924C"/>
    <w:rsid w:val="2987E4FA"/>
    <w:rsid w:val="2997AA5F"/>
    <w:rsid w:val="29A28F29"/>
    <w:rsid w:val="29B7D24F"/>
    <w:rsid w:val="29BD1FEA"/>
    <w:rsid w:val="29D5F757"/>
    <w:rsid w:val="29DA2B96"/>
    <w:rsid w:val="2A021B52"/>
    <w:rsid w:val="2A16F1B9"/>
    <w:rsid w:val="2A385481"/>
    <w:rsid w:val="2A3BB277"/>
    <w:rsid w:val="2A509EE7"/>
    <w:rsid w:val="2A592820"/>
    <w:rsid w:val="2A5DCC59"/>
    <w:rsid w:val="2A7DB1AE"/>
    <w:rsid w:val="2AA392B1"/>
    <w:rsid w:val="2B1E0A9C"/>
    <w:rsid w:val="2B6BD2B6"/>
    <w:rsid w:val="2B74E15A"/>
    <w:rsid w:val="2B7FB132"/>
    <w:rsid w:val="2B828998"/>
    <w:rsid w:val="2B8EE61F"/>
    <w:rsid w:val="2BB1B23A"/>
    <w:rsid w:val="2BCD4551"/>
    <w:rsid w:val="2C1765D6"/>
    <w:rsid w:val="2C247D5D"/>
    <w:rsid w:val="2C742B00"/>
    <w:rsid w:val="2C75AAB5"/>
    <w:rsid w:val="2CA02BF4"/>
    <w:rsid w:val="2CD64700"/>
    <w:rsid w:val="2CDD2D16"/>
    <w:rsid w:val="2CE6A7F7"/>
    <w:rsid w:val="2CE74395"/>
    <w:rsid w:val="2D025F9A"/>
    <w:rsid w:val="2D042FE2"/>
    <w:rsid w:val="2D0BEEFA"/>
    <w:rsid w:val="2D2748B9"/>
    <w:rsid w:val="2D2E8FBF"/>
    <w:rsid w:val="2D318474"/>
    <w:rsid w:val="2D3F65DC"/>
    <w:rsid w:val="2D4107F2"/>
    <w:rsid w:val="2D509AD4"/>
    <w:rsid w:val="2D59F10C"/>
    <w:rsid w:val="2D5F9156"/>
    <w:rsid w:val="2D633664"/>
    <w:rsid w:val="2D6A4A73"/>
    <w:rsid w:val="2D6EB1DC"/>
    <w:rsid w:val="2D7358F8"/>
    <w:rsid w:val="2DC1DECC"/>
    <w:rsid w:val="2DCCD7FA"/>
    <w:rsid w:val="2DF90E29"/>
    <w:rsid w:val="2DFEFB56"/>
    <w:rsid w:val="2E0CA9C1"/>
    <w:rsid w:val="2E2C02B4"/>
    <w:rsid w:val="2E37242B"/>
    <w:rsid w:val="2E483D98"/>
    <w:rsid w:val="2E509BE9"/>
    <w:rsid w:val="2E7270A5"/>
    <w:rsid w:val="2E832C5F"/>
    <w:rsid w:val="2E861E7D"/>
    <w:rsid w:val="2E88DB62"/>
    <w:rsid w:val="2EA4F204"/>
    <w:rsid w:val="2EAEB6E2"/>
    <w:rsid w:val="2EBABBA5"/>
    <w:rsid w:val="2ED7B8BF"/>
    <w:rsid w:val="2ED8F9FF"/>
    <w:rsid w:val="2EDBD66D"/>
    <w:rsid w:val="2EE3DD50"/>
    <w:rsid w:val="2F13C9B1"/>
    <w:rsid w:val="2F18638A"/>
    <w:rsid w:val="2F391A8A"/>
    <w:rsid w:val="2F3E1E04"/>
    <w:rsid w:val="2F5068D4"/>
    <w:rsid w:val="2F53DDA5"/>
    <w:rsid w:val="2F56B9CC"/>
    <w:rsid w:val="2F68B4D2"/>
    <w:rsid w:val="2FB9112E"/>
    <w:rsid w:val="2FC1F39E"/>
    <w:rsid w:val="2FC9B243"/>
    <w:rsid w:val="2FFB04B5"/>
    <w:rsid w:val="3021E8FC"/>
    <w:rsid w:val="302E9C41"/>
    <w:rsid w:val="3044731B"/>
    <w:rsid w:val="3072380A"/>
    <w:rsid w:val="3079729D"/>
    <w:rsid w:val="308E81E3"/>
    <w:rsid w:val="309B6364"/>
    <w:rsid w:val="30D82595"/>
    <w:rsid w:val="30FCA95D"/>
    <w:rsid w:val="311A1D4B"/>
    <w:rsid w:val="311E2253"/>
    <w:rsid w:val="3120BA9D"/>
    <w:rsid w:val="312A79F6"/>
    <w:rsid w:val="312DF0CC"/>
    <w:rsid w:val="312E9A69"/>
    <w:rsid w:val="314024C6"/>
    <w:rsid w:val="31509719"/>
    <w:rsid w:val="315C4C32"/>
    <w:rsid w:val="316C88EE"/>
    <w:rsid w:val="31AF33D8"/>
    <w:rsid w:val="31B2E16C"/>
    <w:rsid w:val="31CE206F"/>
    <w:rsid w:val="31EAE2D3"/>
    <w:rsid w:val="3204212C"/>
    <w:rsid w:val="320D6617"/>
    <w:rsid w:val="32321E86"/>
    <w:rsid w:val="3234400B"/>
    <w:rsid w:val="32496585"/>
    <w:rsid w:val="324CCE43"/>
    <w:rsid w:val="324EEFE6"/>
    <w:rsid w:val="325A2A46"/>
    <w:rsid w:val="3270E9B1"/>
    <w:rsid w:val="327C0AD3"/>
    <w:rsid w:val="3290DC39"/>
    <w:rsid w:val="32BCF38C"/>
    <w:rsid w:val="32C8C049"/>
    <w:rsid w:val="32CD3661"/>
    <w:rsid w:val="32EC5962"/>
    <w:rsid w:val="330A771A"/>
    <w:rsid w:val="3313F3BE"/>
    <w:rsid w:val="335D88F0"/>
    <w:rsid w:val="33711469"/>
    <w:rsid w:val="337511BF"/>
    <w:rsid w:val="33889984"/>
    <w:rsid w:val="33CB8BF7"/>
    <w:rsid w:val="33F15D07"/>
    <w:rsid w:val="33F443DF"/>
    <w:rsid w:val="3407BB4F"/>
    <w:rsid w:val="340CFF52"/>
    <w:rsid w:val="3424C97E"/>
    <w:rsid w:val="34370286"/>
    <w:rsid w:val="3439CAF3"/>
    <w:rsid w:val="344241D0"/>
    <w:rsid w:val="346139F9"/>
    <w:rsid w:val="3470BB6A"/>
    <w:rsid w:val="3490E491"/>
    <w:rsid w:val="3493A4D7"/>
    <w:rsid w:val="34945381"/>
    <w:rsid w:val="349EAD49"/>
    <w:rsid w:val="34A1C514"/>
    <w:rsid w:val="34B2A697"/>
    <w:rsid w:val="34F7D9BE"/>
    <w:rsid w:val="351733AF"/>
    <w:rsid w:val="351976A9"/>
    <w:rsid w:val="352364DF"/>
    <w:rsid w:val="352F2648"/>
    <w:rsid w:val="3546FD41"/>
    <w:rsid w:val="35489C0D"/>
    <w:rsid w:val="35529291"/>
    <w:rsid w:val="35568879"/>
    <w:rsid w:val="35595750"/>
    <w:rsid w:val="3559EE52"/>
    <w:rsid w:val="355B290F"/>
    <w:rsid w:val="35761B93"/>
    <w:rsid w:val="35818158"/>
    <w:rsid w:val="35B29C2D"/>
    <w:rsid w:val="35BA2C2E"/>
    <w:rsid w:val="35BB1ECD"/>
    <w:rsid w:val="35CE9F3F"/>
    <w:rsid w:val="35E625F5"/>
    <w:rsid w:val="35FB6B55"/>
    <w:rsid w:val="3612B313"/>
    <w:rsid w:val="36557EC3"/>
    <w:rsid w:val="3675296A"/>
    <w:rsid w:val="367B6BEC"/>
    <w:rsid w:val="367CD918"/>
    <w:rsid w:val="368CA1B2"/>
    <w:rsid w:val="3694FCDB"/>
    <w:rsid w:val="36953FBB"/>
    <w:rsid w:val="36A12F1F"/>
    <w:rsid w:val="36A56ECE"/>
    <w:rsid w:val="36B64FA4"/>
    <w:rsid w:val="36F1CAA0"/>
    <w:rsid w:val="370711ED"/>
    <w:rsid w:val="3707AA17"/>
    <w:rsid w:val="372B25EF"/>
    <w:rsid w:val="3739C3DF"/>
    <w:rsid w:val="373CF04F"/>
    <w:rsid w:val="37424F52"/>
    <w:rsid w:val="377734B5"/>
    <w:rsid w:val="3779B2D3"/>
    <w:rsid w:val="377C1054"/>
    <w:rsid w:val="378B635C"/>
    <w:rsid w:val="379897E9"/>
    <w:rsid w:val="37C3CA84"/>
    <w:rsid w:val="37E9FFD9"/>
    <w:rsid w:val="37EF3730"/>
    <w:rsid w:val="37F0FF12"/>
    <w:rsid w:val="37FC05CF"/>
    <w:rsid w:val="380B5BFD"/>
    <w:rsid w:val="381847C4"/>
    <w:rsid w:val="38236391"/>
    <w:rsid w:val="382ABED6"/>
    <w:rsid w:val="384E7F94"/>
    <w:rsid w:val="38688BF8"/>
    <w:rsid w:val="386D2478"/>
    <w:rsid w:val="3878BB60"/>
    <w:rsid w:val="388D904E"/>
    <w:rsid w:val="388DE38C"/>
    <w:rsid w:val="389A6819"/>
    <w:rsid w:val="38D3BF86"/>
    <w:rsid w:val="38DD63EF"/>
    <w:rsid w:val="38E2188A"/>
    <w:rsid w:val="38EDF226"/>
    <w:rsid w:val="39099326"/>
    <w:rsid w:val="3970B35C"/>
    <w:rsid w:val="3973BC67"/>
    <w:rsid w:val="397CF743"/>
    <w:rsid w:val="39C94F58"/>
    <w:rsid w:val="39DC2BE5"/>
    <w:rsid w:val="39E60B58"/>
    <w:rsid w:val="39FBFBD2"/>
    <w:rsid w:val="3A0FDA60"/>
    <w:rsid w:val="3A159C13"/>
    <w:rsid w:val="3A1F5ABD"/>
    <w:rsid w:val="3A372CCB"/>
    <w:rsid w:val="3A58AE0E"/>
    <w:rsid w:val="3A744C76"/>
    <w:rsid w:val="3A9F7292"/>
    <w:rsid w:val="3AA25F1A"/>
    <w:rsid w:val="3AA97949"/>
    <w:rsid w:val="3AB3305E"/>
    <w:rsid w:val="3ABA19C9"/>
    <w:rsid w:val="3AE0BF6B"/>
    <w:rsid w:val="3AE86683"/>
    <w:rsid w:val="3AF46B70"/>
    <w:rsid w:val="3AF51017"/>
    <w:rsid w:val="3B1A8A23"/>
    <w:rsid w:val="3B35FF54"/>
    <w:rsid w:val="3B4AD063"/>
    <w:rsid w:val="3B64E9DD"/>
    <w:rsid w:val="3B682DDD"/>
    <w:rsid w:val="3B81E67D"/>
    <w:rsid w:val="3B826079"/>
    <w:rsid w:val="3B84F1DF"/>
    <w:rsid w:val="3B8D4224"/>
    <w:rsid w:val="3B932E8D"/>
    <w:rsid w:val="3B9AFF7F"/>
    <w:rsid w:val="3BB6D6B5"/>
    <w:rsid w:val="3BD18E69"/>
    <w:rsid w:val="3C158E2D"/>
    <w:rsid w:val="3C1C2884"/>
    <w:rsid w:val="3C2B06A5"/>
    <w:rsid w:val="3C41B593"/>
    <w:rsid w:val="3C4D7C2B"/>
    <w:rsid w:val="3C895914"/>
    <w:rsid w:val="3C9C01F3"/>
    <w:rsid w:val="3CA180A4"/>
    <w:rsid w:val="3CA4D545"/>
    <w:rsid w:val="3CBEFF02"/>
    <w:rsid w:val="3CC6BF05"/>
    <w:rsid w:val="3CCF4033"/>
    <w:rsid w:val="3CE97421"/>
    <w:rsid w:val="3D41517C"/>
    <w:rsid w:val="3D73E3B9"/>
    <w:rsid w:val="3D76362E"/>
    <w:rsid w:val="3D76B92A"/>
    <w:rsid w:val="3D80405B"/>
    <w:rsid w:val="3D8D3CF1"/>
    <w:rsid w:val="3DA3588D"/>
    <w:rsid w:val="3DB46493"/>
    <w:rsid w:val="3DB590A3"/>
    <w:rsid w:val="3DB8C60B"/>
    <w:rsid w:val="3DE2BC0A"/>
    <w:rsid w:val="3DEB47C1"/>
    <w:rsid w:val="3DF3937D"/>
    <w:rsid w:val="3E0F7A83"/>
    <w:rsid w:val="3E10A2C6"/>
    <w:rsid w:val="3E2DEA13"/>
    <w:rsid w:val="3E4E2824"/>
    <w:rsid w:val="3E4E2B3F"/>
    <w:rsid w:val="3E71C779"/>
    <w:rsid w:val="3E972B60"/>
    <w:rsid w:val="3EA553D4"/>
    <w:rsid w:val="3EA707A8"/>
    <w:rsid w:val="3EA82285"/>
    <w:rsid w:val="3EA8B8D2"/>
    <w:rsid w:val="3EBE630C"/>
    <w:rsid w:val="3EC2259C"/>
    <w:rsid w:val="3ED891DE"/>
    <w:rsid w:val="3ED9A771"/>
    <w:rsid w:val="3EDDA5F3"/>
    <w:rsid w:val="3F0011E4"/>
    <w:rsid w:val="3F040C8D"/>
    <w:rsid w:val="3F13D09F"/>
    <w:rsid w:val="3F25B986"/>
    <w:rsid w:val="3F2AF5C5"/>
    <w:rsid w:val="3F74D5F7"/>
    <w:rsid w:val="3F74DD80"/>
    <w:rsid w:val="3F8A7A94"/>
    <w:rsid w:val="3F9E2BBE"/>
    <w:rsid w:val="3FA3CB5C"/>
    <w:rsid w:val="3FAC1616"/>
    <w:rsid w:val="3FB3C58B"/>
    <w:rsid w:val="3FBD30BC"/>
    <w:rsid w:val="3FD0C55E"/>
    <w:rsid w:val="3FEFB340"/>
    <w:rsid w:val="400B74D6"/>
    <w:rsid w:val="4010E332"/>
    <w:rsid w:val="40283D1F"/>
    <w:rsid w:val="40301DDF"/>
    <w:rsid w:val="403A9269"/>
    <w:rsid w:val="404BA174"/>
    <w:rsid w:val="408AF08F"/>
    <w:rsid w:val="409B89B6"/>
    <w:rsid w:val="409E52A8"/>
    <w:rsid w:val="40A15FCF"/>
    <w:rsid w:val="40A35722"/>
    <w:rsid w:val="40A4DC41"/>
    <w:rsid w:val="40D11E48"/>
    <w:rsid w:val="40D25C36"/>
    <w:rsid w:val="40D5E557"/>
    <w:rsid w:val="40DB4EFE"/>
    <w:rsid w:val="40E0FD74"/>
    <w:rsid w:val="40E328FC"/>
    <w:rsid w:val="40F08657"/>
    <w:rsid w:val="40FD3042"/>
    <w:rsid w:val="41082A9C"/>
    <w:rsid w:val="410F6C59"/>
    <w:rsid w:val="412DF783"/>
    <w:rsid w:val="41657B35"/>
    <w:rsid w:val="4189267B"/>
    <w:rsid w:val="41AE5335"/>
    <w:rsid w:val="41C058A0"/>
    <w:rsid w:val="4200828E"/>
    <w:rsid w:val="4202D94B"/>
    <w:rsid w:val="4217F841"/>
    <w:rsid w:val="422146C3"/>
    <w:rsid w:val="422F08A2"/>
    <w:rsid w:val="424D71A6"/>
    <w:rsid w:val="42630A45"/>
    <w:rsid w:val="426B7059"/>
    <w:rsid w:val="4290FF5F"/>
    <w:rsid w:val="42A94230"/>
    <w:rsid w:val="42B74A75"/>
    <w:rsid w:val="42B7FA5F"/>
    <w:rsid w:val="42C31C81"/>
    <w:rsid w:val="42CBE07E"/>
    <w:rsid w:val="42CDE186"/>
    <w:rsid w:val="42FFAEE9"/>
    <w:rsid w:val="4311D0E4"/>
    <w:rsid w:val="431F0E0D"/>
    <w:rsid w:val="432277C4"/>
    <w:rsid w:val="432EC6E1"/>
    <w:rsid w:val="4338B8E0"/>
    <w:rsid w:val="4340498B"/>
    <w:rsid w:val="434AB867"/>
    <w:rsid w:val="436E0B31"/>
    <w:rsid w:val="43850D87"/>
    <w:rsid w:val="439ACAFC"/>
    <w:rsid w:val="43B1BA73"/>
    <w:rsid w:val="44416EE1"/>
    <w:rsid w:val="444A2462"/>
    <w:rsid w:val="44615519"/>
    <w:rsid w:val="44966107"/>
    <w:rsid w:val="44ABDD83"/>
    <w:rsid w:val="44C526C4"/>
    <w:rsid w:val="44DFE7F0"/>
    <w:rsid w:val="44FEEE8A"/>
    <w:rsid w:val="45159A19"/>
    <w:rsid w:val="45254EE4"/>
    <w:rsid w:val="453CFB06"/>
    <w:rsid w:val="456C377B"/>
    <w:rsid w:val="458FE9C3"/>
    <w:rsid w:val="459BB00A"/>
    <w:rsid w:val="45B22D17"/>
    <w:rsid w:val="45B33CE2"/>
    <w:rsid w:val="45E8B897"/>
    <w:rsid w:val="45F7EA2F"/>
    <w:rsid w:val="460B9663"/>
    <w:rsid w:val="461EB819"/>
    <w:rsid w:val="4622F1C5"/>
    <w:rsid w:val="466D0091"/>
    <w:rsid w:val="467058BB"/>
    <w:rsid w:val="4676D2F1"/>
    <w:rsid w:val="46B00EC1"/>
    <w:rsid w:val="46B27DBD"/>
    <w:rsid w:val="46F43E65"/>
    <w:rsid w:val="46FFCCA9"/>
    <w:rsid w:val="4712D013"/>
    <w:rsid w:val="47140340"/>
    <w:rsid w:val="47281151"/>
    <w:rsid w:val="472AD312"/>
    <w:rsid w:val="474C9315"/>
    <w:rsid w:val="476A3F14"/>
    <w:rsid w:val="476DFD8A"/>
    <w:rsid w:val="477C9278"/>
    <w:rsid w:val="47963031"/>
    <w:rsid w:val="479EDC33"/>
    <w:rsid w:val="47AE54A1"/>
    <w:rsid w:val="47B1C3DA"/>
    <w:rsid w:val="47B2BBDC"/>
    <w:rsid w:val="47C5F37F"/>
    <w:rsid w:val="47D5A4CF"/>
    <w:rsid w:val="47E1C579"/>
    <w:rsid w:val="47EE7305"/>
    <w:rsid w:val="481BE73A"/>
    <w:rsid w:val="482C91F8"/>
    <w:rsid w:val="483324C0"/>
    <w:rsid w:val="4852D375"/>
    <w:rsid w:val="48A25607"/>
    <w:rsid w:val="48A9E4B3"/>
    <w:rsid w:val="48B5AF67"/>
    <w:rsid w:val="48BD85ED"/>
    <w:rsid w:val="48C03CAF"/>
    <w:rsid w:val="48C5B05B"/>
    <w:rsid w:val="48CAFACD"/>
    <w:rsid w:val="48D77A54"/>
    <w:rsid w:val="48F46F7B"/>
    <w:rsid w:val="48F5251D"/>
    <w:rsid w:val="49023A4A"/>
    <w:rsid w:val="491E22F6"/>
    <w:rsid w:val="492E7F02"/>
    <w:rsid w:val="4930BB6A"/>
    <w:rsid w:val="493FB036"/>
    <w:rsid w:val="49698405"/>
    <w:rsid w:val="496BAA5D"/>
    <w:rsid w:val="49770F3C"/>
    <w:rsid w:val="49877A6F"/>
    <w:rsid w:val="498D4004"/>
    <w:rsid w:val="49A3742F"/>
    <w:rsid w:val="49A7B794"/>
    <w:rsid w:val="49B02A4D"/>
    <w:rsid w:val="49B09BA1"/>
    <w:rsid w:val="49C1CACD"/>
    <w:rsid w:val="49C29D9E"/>
    <w:rsid w:val="49F4358B"/>
    <w:rsid w:val="49F8D4C0"/>
    <w:rsid w:val="49F9DE59"/>
    <w:rsid w:val="4A044D15"/>
    <w:rsid w:val="4A1072D9"/>
    <w:rsid w:val="4A215423"/>
    <w:rsid w:val="4A34CCED"/>
    <w:rsid w:val="4A4011B4"/>
    <w:rsid w:val="4A63F603"/>
    <w:rsid w:val="4A6D09B5"/>
    <w:rsid w:val="4A871ECA"/>
    <w:rsid w:val="4ADA5CC1"/>
    <w:rsid w:val="4ADAABFA"/>
    <w:rsid w:val="4ADB6FF6"/>
    <w:rsid w:val="4AF27EEE"/>
    <w:rsid w:val="4B06F8A2"/>
    <w:rsid w:val="4B23E66F"/>
    <w:rsid w:val="4B3DE2F9"/>
    <w:rsid w:val="4B69B795"/>
    <w:rsid w:val="4B71173D"/>
    <w:rsid w:val="4B94ADC1"/>
    <w:rsid w:val="4BA3F3AE"/>
    <w:rsid w:val="4BC10087"/>
    <w:rsid w:val="4BDA20B8"/>
    <w:rsid w:val="4C019304"/>
    <w:rsid w:val="4C15DEA3"/>
    <w:rsid w:val="4C1E9632"/>
    <w:rsid w:val="4C23DED9"/>
    <w:rsid w:val="4C260915"/>
    <w:rsid w:val="4C3CB425"/>
    <w:rsid w:val="4C7257FE"/>
    <w:rsid w:val="4C76D0F9"/>
    <w:rsid w:val="4C7E04E2"/>
    <w:rsid w:val="4C8A57AF"/>
    <w:rsid w:val="4C8C7EEA"/>
    <w:rsid w:val="4CA1A94B"/>
    <w:rsid w:val="4CACBC70"/>
    <w:rsid w:val="4CCB4B1B"/>
    <w:rsid w:val="4CCF3857"/>
    <w:rsid w:val="4CEE903C"/>
    <w:rsid w:val="4CF0C536"/>
    <w:rsid w:val="4D0A9674"/>
    <w:rsid w:val="4D23B63B"/>
    <w:rsid w:val="4D5E314D"/>
    <w:rsid w:val="4D7B6FCA"/>
    <w:rsid w:val="4D8C12F3"/>
    <w:rsid w:val="4D99F96F"/>
    <w:rsid w:val="4DB1418C"/>
    <w:rsid w:val="4DB4642E"/>
    <w:rsid w:val="4DE6511D"/>
    <w:rsid w:val="4E080DCA"/>
    <w:rsid w:val="4E21752B"/>
    <w:rsid w:val="4E26DB1A"/>
    <w:rsid w:val="4E333AB2"/>
    <w:rsid w:val="4E3A8C0A"/>
    <w:rsid w:val="4E4F0B3E"/>
    <w:rsid w:val="4E559301"/>
    <w:rsid w:val="4E801DAA"/>
    <w:rsid w:val="4E99E80A"/>
    <w:rsid w:val="4EB3BA38"/>
    <w:rsid w:val="4EB6770B"/>
    <w:rsid w:val="4ECCD940"/>
    <w:rsid w:val="4F4DB24D"/>
    <w:rsid w:val="4F734FC9"/>
    <w:rsid w:val="4F9587AF"/>
    <w:rsid w:val="4F9AF1D0"/>
    <w:rsid w:val="4FAC3A3D"/>
    <w:rsid w:val="4FB36564"/>
    <w:rsid w:val="4FDD331A"/>
    <w:rsid w:val="4FE026B7"/>
    <w:rsid w:val="5003322F"/>
    <w:rsid w:val="502D4B58"/>
    <w:rsid w:val="50300689"/>
    <w:rsid w:val="5065A376"/>
    <w:rsid w:val="508AAE14"/>
    <w:rsid w:val="509B3259"/>
    <w:rsid w:val="50CADCDB"/>
    <w:rsid w:val="50E8B4D3"/>
    <w:rsid w:val="51133F8B"/>
    <w:rsid w:val="511A9BC2"/>
    <w:rsid w:val="512302B2"/>
    <w:rsid w:val="5162DB26"/>
    <w:rsid w:val="5165E68C"/>
    <w:rsid w:val="517466FC"/>
    <w:rsid w:val="518F7176"/>
    <w:rsid w:val="51C3AC06"/>
    <w:rsid w:val="51CEB11C"/>
    <w:rsid w:val="51D6BAA1"/>
    <w:rsid w:val="520E808A"/>
    <w:rsid w:val="5224230A"/>
    <w:rsid w:val="52317D4A"/>
    <w:rsid w:val="5235E3E0"/>
    <w:rsid w:val="5238514B"/>
    <w:rsid w:val="5243C0D4"/>
    <w:rsid w:val="5246A656"/>
    <w:rsid w:val="527692F4"/>
    <w:rsid w:val="529AACA7"/>
    <w:rsid w:val="52A5B2A3"/>
    <w:rsid w:val="52A68B5B"/>
    <w:rsid w:val="52B4BCCF"/>
    <w:rsid w:val="52BC04B0"/>
    <w:rsid w:val="52F1CB45"/>
    <w:rsid w:val="52FFDD8E"/>
    <w:rsid w:val="530819A9"/>
    <w:rsid w:val="5315294E"/>
    <w:rsid w:val="5335A4BB"/>
    <w:rsid w:val="53759E0C"/>
    <w:rsid w:val="537634A3"/>
    <w:rsid w:val="538D50A3"/>
    <w:rsid w:val="539EEA2B"/>
    <w:rsid w:val="53B7D635"/>
    <w:rsid w:val="53E74604"/>
    <w:rsid w:val="53F1C0A5"/>
    <w:rsid w:val="54008B50"/>
    <w:rsid w:val="54222226"/>
    <w:rsid w:val="542B4DD0"/>
    <w:rsid w:val="54467027"/>
    <w:rsid w:val="54690E71"/>
    <w:rsid w:val="54904074"/>
    <w:rsid w:val="549F2328"/>
    <w:rsid w:val="54B287A2"/>
    <w:rsid w:val="54BB182E"/>
    <w:rsid w:val="54BFC760"/>
    <w:rsid w:val="54EFD67F"/>
    <w:rsid w:val="55005F34"/>
    <w:rsid w:val="550C3A47"/>
    <w:rsid w:val="55181027"/>
    <w:rsid w:val="55312F44"/>
    <w:rsid w:val="55901E79"/>
    <w:rsid w:val="559BD2F7"/>
    <w:rsid w:val="559EFFCF"/>
    <w:rsid w:val="55AE5F7C"/>
    <w:rsid w:val="55B62D85"/>
    <w:rsid w:val="55C5D39A"/>
    <w:rsid w:val="55E7E729"/>
    <w:rsid w:val="55EBA769"/>
    <w:rsid w:val="560BFF80"/>
    <w:rsid w:val="561A1D2D"/>
    <w:rsid w:val="5620C1ED"/>
    <w:rsid w:val="563C5C51"/>
    <w:rsid w:val="564E89FE"/>
    <w:rsid w:val="5658B52C"/>
    <w:rsid w:val="5691E756"/>
    <w:rsid w:val="56962230"/>
    <w:rsid w:val="569A6072"/>
    <w:rsid w:val="56E22862"/>
    <w:rsid w:val="56FE3710"/>
    <w:rsid w:val="572AD4BF"/>
    <w:rsid w:val="57497254"/>
    <w:rsid w:val="574985BA"/>
    <w:rsid w:val="57618224"/>
    <w:rsid w:val="57652362"/>
    <w:rsid w:val="57764D39"/>
    <w:rsid w:val="57AFA62D"/>
    <w:rsid w:val="57B34F97"/>
    <w:rsid w:val="57B71D05"/>
    <w:rsid w:val="57F00747"/>
    <w:rsid w:val="57F06E9B"/>
    <w:rsid w:val="57F7F7E1"/>
    <w:rsid w:val="57FAA1FF"/>
    <w:rsid w:val="581F050D"/>
    <w:rsid w:val="582854C0"/>
    <w:rsid w:val="583A723F"/>
    <w:rsid w:val="584861AA"/>
    <w:rsid w:val="586036AA"/>
    <w:rsid w:val="58827F38"/>
    <w:rsid w:val="589EC665"/>
    <w:rsid w:val="592A8101"/>
    <w:rsid w:val="5933BEE7"/>
    <w:rsid w:val="5981FE49"/>
    <w:rsid w:val="598E499F"/>
    <w:rsid w:val="598E84DC"/>
    <w:rsid w:val="59972FEB"/>
    <w:rsid w:val="599DC12B"/>
    <w:rsid w:val="59A7CF69"/>
    <w:rsid w:val="59AB6AA6"/>
    <w:rsid w:val="59D0105E"/>
    <w:rsid w:val="59D31D68"/>
    <w:rsid w:val="5A0417AE"/>
    <w:rsid w:val="5A05773E"/>
    <w:rsid w:val="5A3124DD"/>
    <w:rsid w:val="5A46C11E"/>
    <w:rsid w:val="5A4F946E"/>
    <w:rsid w:val="5A5224B7"/>
    <w:rsid w:val="5A5C803D"/>
    <w:rsid w:val="5A6A0797"/>
    <w:rsid w:val="5A9F085A"/>
    <w:rsid w:val="5AABB0A9"/>
    <w:rsid w:val="5ABA26A6"/>
    <w:rsid w:val="5AC00550"/>
    <w:rsid w:val="5AC2D714"/>
    <w:rsid w:val="5ACF9EB0"/>
    <w:rsid w:val="5AD3DBDF"/>
    <w:rsid w:val="5AD9D8D6"/>
    <w:rsid w:val="5B060512"/>
    <w:rsid w:val="5B0CA347"/>
    <w:rsid w:val="5B206DB0"/>
    <w:rsid w:val="5B2158B2"/>
    <w:rsid w:val="5B24931E"/>
    <w:rsid w:val="5B30B3E6"/>
    <w:rsid w:val="5B507A16"/>
    <w:rsid w:val="5B624BA1"/>
    <w:rsid w:val="5B641A23"/>
    <w:rsid w:val="5B7CECA1"/>
    <w:rsid w:val="5B86925B"/>
    <w:rsid w:val="5B90DC65"/>
    <w:rsid w:val="5BA0AB9E"/>
    <w:rsid w:val="5BB5A425"/>
    <w:rsid w:val="5BD34A9A"/>
    <w:rsid w:val="5BD8679D"/>
    <w:rsid w:val="5C3976B2"/>
    <w:rsid w:val="5C407016"/>
    <w:rsid w:val="5C41513C"/>
    <w:rsid w:val="5C77A1A6"/>
    <w:rsid w:val="5C8E162A"/>
    <w:rsid w:val="5C93CF94"/>
    <w:rsid w:val="5CB07AAC"/>
    <w:rsid w:val="5CB7D301"/>
    <w:rsid w:val="5CCAD65C"/>
    <w:rsid w:val="5CF28627"/>
    <w:rsid w:val="5D07CD5A"/>
    <w:rsid w:val="5D1B733E"/>
    <w:rsid w:val="5D38F60E"/>
    <w:rsid w:val="5D584BC4"/>
    <w:rsid w:val="5D7AF159"/>
    <w:rsid w:val="5D8AC8E8"/>
    <w:rsid w:val="5D906EEB"/>
    <w:rsid w:val="5D989A76"/>
    <w:rsid w:val="5DABF926"/>
    <w:rsid w:val="5DBB2F38"/>
    <w:rsid w:val="5E154378"/>
    <w:rsid w:val="5E270D33"/>
    <w:rsid w:val="5E290A1D"/>
    <w:rsid w:val="5E354C87"/>
    <w:rsid w:val="5E4ACA71"/>
    <w:rsid w:val="5E601C81"/>
    <w:rsid w:val="5E83E1B8"/>
    <w:rsid w:val="5EB20FA5"/>
    <w:rsid w:val="5EB8C382"/>
    <w:rsid w:val="5ED0ED83"/>
    <w:rsid w:val="5EF7101A"/>
    <w:rsid w:val="5F0DAD7F"/>
    <w:rsid w:val="5F13429B"/>
    <w:rsid w:val="5F5265F7"/>
    <w:rsid w:val="5F9871D8"/>
    <w:rsid w:val="5FBC0A9B"/>
    <w:rsid w:val="5FCD1AAD"/>
    <w:rsid w:val="5FCD6E16"/>
    <w:rsid w:val="5FDD7D02"/>
    <w:rsid w:val="5FF2F2E1"/>
    <w:rsid w:val="60015DC3"/>
    <w:rsid w:val="602A6C38"/>
    <w:rsid w:val="60511293"/>
    <w:rsid w:val="60694518"/>
    <w:rsid w:val="606AA2B8"/>
    <w:rsid w:val="606C8B56"/>
    <w:rsid w:val="606F0325"/>
    <w:rsid w:val="607073D4"/>
    <w:rsid w:val="607909A1"/>
    <w:rsid w:val="607AD409"/>
    <w:rsid w:val="607BC9E9"/>
    <w:rsid w:val="607F5F8B"/>
    <w:rsid w:val="60C60BF0"/>
    <w:rsid w:val="60CE47F0"/>
    <w:rsid w:val="60D0DF07"/>
    <w:rsid w:val="60E155F6"/>
    <w:rsid w:val="60F36BB2"/>
    <w:rsid w:val="60F6B6E0"/>
    <w:rsid w:val="614AD203"/>
    <w:rsid w:val="6167D808"/>
    <w:rsid w:val="617873E0"/>
    <w:rsid w:val="617A57BC"/>
    <w:rsid w:val="618AF6D1"/>
    <w:rsid w:val="619AD905"/>
    <w:rsid w:val="61B64B6D"/>
    <w:rsid w:val="61C1FC7D"/>
    <w:rsid w:val="61E9D26D"/>
    <w:rsid w:val="61F122B2"/>
    <w:rsid w:val="61F4BB0C"/>
    <w:rsid w:val="6233C33F"/>
    <w:rsid w:val="623EC981"/>
    <w:rsid w:val="6278016D"/>
    <w:rsid w:val="62840E9C"/>
    <w:rsid w:val="62846F9A"/>
    <w:rsid w:val="62873D54"/>
    <w:rsid w:val="629404FC"/>
    <w:rsid w:val="62BFBFE7"/>
    <w:rsid w:val="62CC2E8E"/>
    <w:rsid w:val="62E481CB"/>
    <w:rsid w:val="62E79C5C"/>
    <w:rsid w:val="62EB7F09"/>
    <w:rsid w:val="63073B43"/>
    <w:rsid w:val="632A6DFB"/>
    <w:rsid w:val="633995D1"/>
    <w:rsid w:val="634C4866"/>
    <w:rsid w:val="634FE3D4"/>
    <w:rsid w:val="635F890F"/>
    <w:rsid w:val="63827809"/>
    <w:rsid w:val="63939B27"/>
    <w:rsid w:val="63B63DFE"/>
    <w:rsid w:val="63B9F0A9"/>
    <w:rsid w:val="640A9B1B"/>
    <w:rsid w:val="64100AC5"/>
    <w:rsid w:val="641B2636"/>
    <w:rsid w:val="642176DF"/>
    <w:rsid w:val="644331DD"/>
    <w:rsid w:val="644C08F2"/>
    <w:rsid w:val="644EE361"/>
    <w:rsid w:val="6450FC9F"/>
    <w:rsid w:val="64590605"/>
    <w:rsid w:val="64594168"/>
    <w:rsid w:val="647CF8BA"/>
    <w:rsid w:val="648D98A2"/>
    <w:rsid w:val="649E3BC7"/>
    <w:rsid w:val="64A88284"/>
    <w:rsid w:val="64C337F9"/>
    <w:rsid w:val="64E2CB42"/>
    <w:rsid w:val="64E3F95B"/>
    <w:rsid w:val="64E7F6AC"/>
    <w:rsid w:val="650ABEF3"/>
    <w:rsid w:val="6569B6F8"/>
    <w:rsid w:val="656E7752"/>
    <w:rsid w:val="65880E47"/>
    <w:rsid w:val="658F5BD7"/>
    <w:rsid w:val="65C0F345"/>
    <w:rsid w:val="65D7AA5E"/>
    <w:rsid w:val="65EA7BB0"/>
    <w:rsid w:val="65EBFB8D"/>
    <w:rsid w:val="65EF3DD6"/>
    <w:rsid w:val="6611B8A8"/>
    <w:rsid w:val="66135447"/>
    <w:rsid w:val="6614CC30"/>
    <w:rsid w:val="661A1D3C"/>
    <w:rsid w:val="662FCC30"/>
    <w:rsid w:val="66356E67"/>
    <w:rsid w:val="6637A729"/>
    <w:rsid w:val="66723BA3"/>
    <w:rsid w:val="668333F5"/>
    <w:rsid w:val="6691C185"/>
    <w:rsid w:val="66AC80A9"/>
    <w:rsid w:val="66BD92BD"/>
    <w:rsid w:val="66C05BE9"/>
    <w:rsid w:val="66CE0D09"/>
    <w:rsid w:val="66F49EED"/>
    <w:rsid w:val="66F7F5F3"/>
    <w:rsid w:val="6719D72A"/>
    <w:rsid w:val="6728C368"/>
    <w:rsid w:val="673D7B95"/>
    <w:rsid w:val="67436BE2"/>
    <w:rsid w:val="676CB785"/>
    <w:rsid w:val="678657AA"/>
    <w:rsid w:val="678F07D7"/>
    <w:rsid w:val="67A7ECD1"/>
    <w:rsid w:val="67C36FCA"/>
    <w:rsid w:val="67D81363"/>
    <w:rsid w:val="6829612F"/>
    <w:rsid w:val="6831721A"/>
    <w:rsid w:val="6839E49B"/>
    <w:rsid w:val="68802919"/>
    <w:rsid w:val="6894CF2D"/>
    <w:rsid w:val="6896AF74"/>
    <w:rsid w:val="68AA9BC2"/>
    <w:rsid w:val="68E30C5D"/>
    <w:rsid w:val="68E61437"/>
    <w:rsid w:val="691E07C6"/>
    <w:rsid w:val="691E903E"/>
    <w:rsid w:val="694B37A8"/>
    <w:rsid w:val="695EFE39"/>
    <w:rsid w:val="696D5159"/>
    <w:rsid w:val="6971476B"/>
    <w:rsid w:val="6974661B"/>
    <w:rsid w:val="697B051B"/>
    <w:rsid w:val="698A0215"/>
    <w:rsid w:val="699DA0CC"/>
    <w:rsid w:val="69B2FD71"/>
    <w:rsid w:val="69BF3CC0"/>
    <w:rsid w:val="69C4F3B1"/>
    <w:rsid w:val="69EAA2D3"/>
    <w:rsid w:val="6A31235F"/>
    <w:rsid w:val="6A7208C0"/>
    <w:rsid w:val="6A837BF1"/>
    <w:rsid w:val="6AA409BA"/>
    <w:rsid w:val="6AABF646"/>
    <w:rsid w:val="6AB02A1A"/>
    <w:rsid w:val="6AB2B364"/>
    <w:rsid w:val="6ABA2641"/>
    <w:rsid w:val="6ABAB167"/>
    <w:rsid w:val="6AFCEE89"/>
    <w:rsid w:val="6B2BD736"/>
    <w:rsid w:val="6B347B96"/>
    <w:rsid w:val="6B7A0A5D"/>
    <w:rsid w:val="6B877FBA"/>
    <w:rsid w:val="6B947717"/>
    <w:rsid w:val="6B988D91"/>
    <w:rsid w:val="6BAC84A9"/>
    <w:rsid w:val="6BD6EDEA"/>
    <w:rsid w:val="6BD9BBBB"/>
    <w:rsid w:val="6C024C7E"/>
    <w:rsid w:val="6C3435E0"/>
    <w:rsid w:val="6C639D30"/>
    <w:rsid w:val="6C7317C0"/>
    <w:rsid w:val="6C96B2FC"/>
    <w:rsid w:val="6C9F4524"/>
    <w:rsid w:val="6CBDD4FC"/>
    <w:rsid w:val="6CCF5FB3"/>
    <w:rsid w:val="6CE7BBD7"/>
    <w:rsid w:val="6CF85D93"/>
    <w:rsid w:val="6D0BBF4D"/>
    <w:rsid w:val="6D29EDFE"/>
    <w:rsid w:val="6D476EAA"/>
    <w:rsid w:val="6D62791F"/>
    <w:rsid w:val="6D67E548"/>
    <w:rsid w:val="6D6C03A4"/>
    <w:rsid w:val="6D71B2B8"/>
    <w:rsid w:val="6D73B0AD"/>
    <w:rsid w:val="6D749834"/>
    <w:rsid w:val="6D766329"/>
    <w:rsid w:val="6D9EE182"/>
    <w:rsid w:val="6DA8301B"/>
    <w:rsid w:val="6DC15D02"/>
    <w:rsid w:val="6DCDAA79"/>
    <w:rsid w:val="6DCF30DF"/>
    <w:rsid w:val="6DD55A38"/>
    <w:rsid w:val="6DE1EDCC"/>
    <w:rsid w:val="6DE518A4"/>
    <w:rsid w:val="6DE5E433"/>
    <w:rsid w:val="6DEB5A54"/>
    <w:rsid w:val="6E1ABC69"/>
    <w:rsid w:val="6E1CD726"/>
    <w:rsid w:val="6E24C5BE"/>
    <w:rsid w:val="6E2F23E9"/>
    <w:rsid w:val="6E409055"/>
    <w:rsid w:val="6E441DF2"/>
    <w:rsid w:val="6E4DE343"/>
    <w:rsid w:val="6E6E4902"/>
    <w:rsid w:val="6E74A2CE"/>
    <w:rsid w:val="6E786054"/>
    <w:rsid w:val="6EB3A08C"/>
    <w:rsid w:val="6ED44CE9"/>
    <w:rsid w:val="6EF96C56"/>
    <w:rsid w:val="6F0468FB"/>
    <w:rsid w:val="6F2498DE"/>
    <w:rsid w:val="6F2D60B8"/>
    <w:rsid w:val="6F445671"/>
    <w:rsid w:val="6F44E972"/>
    <w:rsid w:val="6F6EAF95"/>
    <w:rsid w:val="6F9BC166"/>
    <w:rsid w:val="6FB90AC0"/>
    <w:rsid w:val="6FBCBD35"/>
    <w:rsid w:val="6FCE58B8"/>
    <w:rsid w:val="6FD1593C"/>
    <w:rsid w:val="6FDD30A2"/>
    <w:rsid w:val="6FE869B4"/>
    <w:rsid w:val="70160267"/>
    <w:rsid w:val="702B38D1"/>
    <w:rsid w:val="7030E128"/>
    <w:rsid w:val="70326C62"/>
    <w:rsid w:val="7045BD48"/>
    <w:rsid w:val="70518316"/>
    <w:rsid w:val="705C1A34"/>
    <w:rsid w:val="7089782C"/>
    <w:rsid w:val="708D7F18"/>
    <w:rsid w:val="709C0AFD"/>
    <w:rsid w:val="70D5B5D5"/>
    <w:rsid w:val="71050A80"/>
    <w:rsid w:val="71215BBD"/>
    <w:rsid w:val="714AAA9F"/>
    <w:rsid w:val="7156F75A"/>
    <w:rsid w:val="716749FB"/>
    <w:rsid w:val="7188E7DF"/>
    <w:rsid w:val="718F86BF"/>
    <w:rsid w:val="719848F8"/>
    <w:rsid w:val="719C2034"/>
    <w:rsid w:val="719F9BF0"/>
    <w:rsid w:val="71B367DE"/>
    <w:rsid w:val="71C406CA"/>
    <w:rsid w:val="71CD8AFE"/>
    <w:rsid w:val="71E248E7"/>
    <w:rsid w:val="71ED7C3A"/>
    <w:rsid w:val="7213408D"/>
    <w:rsid w:val="72319F03"/>
    <w:rsid w:val="7239A3B1"/>
    <w:rsid w:val="7286BECA"/>
    <w:rsid w:val="7293BABD"/>
    <w:rsid w:val="72AAC533"/>
    <w:rsid w:val="72ABB77A"/>
    <w:rsid w:val="72D3441F"/>
    <w:rsid w:val="72F44836"/>
    <w:rsid w:val="7308F0FE"/>
    <w:rsid w:val="73154772"/>
    <w:rsid w:val="73174302"/>
    <w:rsid w:val="7322CFAF"/>
    <w:rsid w:val="73319993"/>
    <w:rsid w:val="73364A06"/>
    <w:rsid w:val="73A9C696"/>
    <w:rsid w:val="73B49577"/>
    <w:rsid w:val="73C4A725"/>
    <w:rsid w:val="73D357B2"/>
    <w:rsid w:val="73D6D8B6"/>
    <w:rsid w:val="73E0EC58"/>
    <w:rsid w:val="73EA4350"/>
    <w:rsid w:val="73FECFD9"/>
    <w:rsid w:val="740BF2E4"/>
    <w:rsid w:val="7431B05D"/>
    <w:rsid w:val="74458A95"/>
    <w:rsid w:val="74548604"/>
    <w:rsid w:val="74594567"/>
    <w:rsid w:val="7461364A"/>
    <w:rsid w:val="746F5320"/>
    <w:rsid w:val="74ACA30B"/>
    <w:rsid w:val="74AE3BBD"/>
    <w:rsid w:val="74CDA9B9"/>
    <w:rsid w:val="74D1FEC0"/>
    <w:rsid w:val="74E90A9D"/>
    <w:rsid w:val="74F217CD"/>
    <w:rsid w:val="74FDE7F9"/>
    <w:rsid w:val="75100FD3"/>
    <w:rsid w:val="7515C182"/>
    <w:rsid w:val="7525A9B8"/>
    <w:rsid w:val="753E7F8D"/>
    <w:rsid w:val="7568F4B9"/>
    <w:rsid w:val="757F7D70"/>
    <w:rsid w:val="7584B5E5"/>
    <w:rsid w:val="75876F2A"/>
    <w:rsid w:val="7594D18A"/>
    <w:rsid w:val="75A97976"/>
    <w:rsid w:val="75C9F346"/>
    <w:rsid w:val="75D1489A"/>
    <w:rsid w:val="75EA11E0"/>
    <w:rsid w:val="762659A9"/>
    <w:rsid w:val="76334ED4"/>
    <w:rsid w:val="76396852"/>
    <w:rsid w:val="7661E43E"/>
    <w:rsid w:val="7667D4E5"/>
    <w:rsid w:val="766A9C66"/>
    <w:rsid w:val="76896B7B"/>
    <w:rsid w:val="768C7122"/>
    <w:rsid w:val="7694BF3D"/>
    <w:rsid w:val="76BE8CAE"/>
    <w:rsid w:val="76CE2045"/>
    <w:rsid w:val="76D74E66"/>
    <w:rsid w:val="76DC42B5"/>
    <w:rsid w:val="76E34E5C"/>
    <w:rsid w:val="76E3EE4E"/>
    <w:rsid w:val="7716375A"/>
    <w:rsid w:val="77309DE2"/>
    <w:rsid w:val="773C8B27"/>
    <w:rsid w:val="77616CE2"/>
    <w:rsid w:val="7761A569"/>
    <w:rsid w:val="7786F34C"/>
    <w:rsid w:val="77A8AB7D"/>
    <w:rsid w:val="77B14EC1"/>
    <w:rsid w:val="77FC802D"/>
    <w:rsid w:val="780D71E9"/>
    <w:rsid w:val="782C8B17"/>
    <w:rsid w:val="7855FFB7"/>
    <w:rsid w:val="78577199"/>
    <w:rsid w:val="78642F6A"/>
    <w:rsid w:val="78698F7D"/>
    <w:rsid w:val="78B4F753"/>
    <w:rsid w:val="78D8EBDA"/>
    <w:rsid w:val="78EC70E8"/>
    <w:rsid w:val="79067A71"/>
    <w:rsid w:val="790E9F85"/>
    <w:rsid w:val="791BAA62"/>
    <w:rsid w:val="7926B86B"/>
    <w:rsid w:val="7941C083"/>
    <w:rsid w:val="7944067A"/>
    <w:rsid w:val="794984BF"/>
    <w:rsid w:val="79610074"/>
    <w:rsid w:val="797952DA"/>
    <w:rsid w:val="7983A0A0"/>
    <w:rsid w:val="798E5AD1"/>
    <w:rsid w:val="79A27B2B"/>
    <w:rsid w:val="79CC19AA"/>
    <w:rsid w:val="79DE93FE"/>
    <w:rsid w:val="79E2CE39"/>
    <w:rsid w:val="7A0A8BA9"/>
    <w:rsid w:val="7A15CB46"/>
    <w:rsid w:val="7A196BB6"/>
    <w:rsid w:val="7A29ABEB"/>
    <w:rsid w:val="7A4AA0A4"/>
    <w:rsid w:val="7A557B96"/>
    <w:rsid w:val="7A68EB69"/>
    <w:rsid w:val="7A6EDAF0"/>
    <w:rsid w:val="7A972400"/>
    <w:rsid w:val="7A981513"/>
    <w:rsid w:val="7AC06700"/>
    <w:rsid w:val="7AC4370C"/>
    <w:rsid w:val="7AC621FD"/>
    <w:rsid w:val="7AD6D0E5"/>
    <w:rsid w:val="7AEEF382"/>
    <w:rsid w:val="7B001150"/>
    <w:rsid w:val="7B055B5E"/>
    <w:rsid w:val="7B08FA59"/>
    <w:rsid w:val="7B0918CB"/>
    <w:rsid w:val="7B2B099B"/>
    <w:rsid w:val="7B41DE0C"/>
    <w:rsid w:val="7B502718"/>
    <w:rsid w:val="7B5F5D1E"/>
    <w:rsid w:val="7B60CFC3"/>
    <w:rsid w:val="7B667931"/>
    <w:rsid w:val="7B6DB55E"/>
    <w:rsid w:val="7B6EB4C6"/>
    <w:rsid w:val="7B6FC815"/>
    <w:rsid w:val="7B70CDA0"/>
    <w:rsid w:val="7B98674D"/>
    <w:rsid w:val="7BA6D6A1"/>
    <w:rsid w:val="7BBFF868"/>
    <w:rsid w:val="7BDA8778"/>
    <w:rsid w:val="7BE72174"/>
    <w:rsid w:val="7BF886C0"/>
    <w:rsid w:val="7BFA8F3F"/>
    <w:rsid w:val="7C018F7D"/>
    <w:rsid w:val="7C08E7FC"/>
    <w:rsid w:val="7C24A4F7"/>
    <w:rsid w:val="7C2E2CDB"/>
    <w:rsid w:val="7C360576"/>
    <w:rsid w:val="7C678907"/>
    <w:rsid w:val="7C813291"/>
    <w:rsid w:val="7C9478CC"/>
    <w:rsid w:val="7CAEF3B2"/>
    <w:rsid w:val="7D01FC2A"/>
    <w:rsid w:val="7D3459BA"/>
    <w:rsid w:val="7D895B8C"/>
    <w:rsid w:val="7DD14DE2"/>
    <w:rsid w:val="7DE2EDDA"/>
    <w:rsid w:val="7DE4E15A"/>
    <w:rsid w:val="7DEC57BF"/>
    <w:rsid w:val="7E0FB0DC"/>
    <w:rsid w:val="7E2CFA6F"/>
    <w:rsid w:val="7E3B1EC7"/>
    <w:rsid w:val="7E6491F7"/>
    <w:rsid w:val="7E65F050"/>
    <w:rsid w:val="7E67890E"/>
    <w:rsid w:val="7E6CD1B6"/>
    <w:rsid w:val="7E79C3C0"/>
    <w:rsid w:val="7E87E24B"/>
    <w:rsid w:val="7E8E3F44"/>
    <w:rsid w:val="7EB00BA1"/>
    <w:rsid w:val="7EB323EA"/>
    <w:rsid w:val="7EBB61BA"/>
    <w:rsid w:val="7EC8BCB3"/>
    <w:rsid w:val="7ED4131E"/>
    <w:rsid w:val="7EE28298"/>
    <w:rsid w:val="7F63A984"/>
    <w:rsid w:val="7F655E26"/>
    <w:rsid w:val="7F91451A"/>
    <w:rsid w:val="7FB57AC0"/>
    <w:rsid w:val="7FCF8F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6657A"/>
  <w15:docId w15:val="{FE7083D3-DFBF-437D-91B0-C5F2D2AB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fr-B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1"/>
    <w:qFormat/>
    <w:pPr>
      <w:numPr>
        <w:numId w:val="20"/>
      </w:numPr>
    </w:pPr>
  </w:style>
  <w:style w:type="paragraph" w:customStyle="1" w:styleId="ContNumLevel2">
    <w:name w:val="ContNum (Level 2)"/>
    <w:basedOn w:val="Normal"/>
    <w:uiPriority w:val="1"/>
    <w:pPr>
      <w:numPr>
        <w:ilvl w:val="1"/>
        <w:numId w:val="20"/>
      </w:numPr>
    </w:pPr>
  </w:style>
  <w:style w:type="paragraph" w:customStyle="1" w:styleId="ContNumLevel3">
    <w:name w:val="ContNum (Level 3)"/>
    <w:basedOn w:val="Normal"/>
    <w:uiPriority w:val="1"/>
    <w:pPr>
      <w:numPr>
        <w:ilvl w:val="2"/>
        <w:numId w:val="20"/>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35"/>
    <w:pPr>
      <w:numPr>
        <w:numId w:val="17"/>
      </w:numPr>
    </w:pPr>
  </w:style>
  <w:style w:type="paragraph" w:customStyle="1" w:styleId="ListBulletLevel2">
    <w:name w:val="List Bullet (Level 2)"/>
    <w:basedOn w:val="Normal"/>
    <w:uiPriority w:val="35"/>
    <w:semiHidden/>
    <w:unhideWhenUsed/>
    <w:pPr>
      <w:numPr>
        <w:ilvl w:val="1"/>
        <w:numId w:val="17"/>
      </w:numPr>
    </w:pPr>
  </w:style>
  <w:style w:type="paragraph" w:customStyle="1" w:styleId="ListBulletLevel3">
    <w:name w:val="List Bullet (Level 3)"/>
    <w:basedOn w:val="Normal"/>
    <w:uiPriority w:val="35"/>
    <w:semiHidden/>
    <w:unhideWhenUsed/>
    <w:pPr>
      <w:numPr>
        <w:ilvl w:val="2"/>
        <w:numId w:val="17"/>
      </w:numPr>
    </w:pPr>
  </w:style>
  <w:style w:type="paragraph" w:customStyle="1" w:styleId="ListBulletLevel4">
    <w:name w:val="List Bullet (Level 4)"/>
    <w:basedOn w:val="Normal"/>
    <w:uiPriority w:val="35"/>
    <w:semiHidden/>
    <w:unhideWhenUsed/>
    <w:pPr>
      <w:numPr>
        <w:ilvl w:val="3"/>
        <w:numId w:val="17"/>
      </w:numPr>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30"/>
    <w:pPr>
      <w:numPr>
        <w:numId w:val="12"/>
      </w:numPr>
    </w:pPr>
  </w:style>
  <w:style w:type="paragraph" w:customStyle="1" w:styleId="ListNumberLevel2">
    <w:name w:val="List Number (Level 2)"/>
    <w:basedOn w:val="Normal"/>
    <w:uiPriority w:val="30"/>
    <w:pPr>
      <w:numPr>
        <w:ilvl w:val="1"/>
        <w:numId w:val="12"/>
      </w:numPr>
    </w:pPr>
  </w:style>
  <w:style w:type="paragraph" w:customStyle="1" w:styleId="ListNumberLevel3">
    <w:name w:val="List Number (Level 3)"/>
    <w:basedOn w:val="Normal"/>
    <w:uiPriority w:val="30"/>
    <w:pPr>
      <w:numPr>
        <w:ilvl w:val="2"/>
        <w:numId w:val="12"/>
      </w:numPr>
    </w:pPr>
  </w:style>
  <w:style w:type="paragraph" w:customStyle="1" w:styleId="ListNumberLevel4">
    <w:name w:val="List Number (Level 4)"/>
    <w:basedOn w:val="Normal"/>
    <w:uiPriority w:val="30"/>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364933"/>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364933"/>
    <w:pPr>
      <w:ind w:left="720"/>
      <w:contextualSpacing/>
    </w:pPr>
  </w:style>
  <w:style w:type="character" w:styleId="Hyperlink">
    <w:name w:val="Hyperlink"/>
    <w:basedOn w:val="DefaultParagraphFont"/>
    <w:uiPriority w:val="99"/>
    <w:unhideWhenUsed/>
    <w:rsid w:val="004810E5"/>
    <w:rPr>
      <w:color w:val="0000FF"/>
      <w:u w:val="single"/>
    </w:rPr>
  </w:style>
  <w:style w:type="paragraph" w:styleId="CommentText">
    <w:name w:val="annotation text"/>
    <w:basedOn w:val="Normal"/>
    <w:link w:val="CommentTextChar"/>
    <w:uiPriority w:val="99"/>
    <w:unhideWhenUsed/>
    <w:rsid w:val="00470D3D"/>
    <w:pPr>
      <w:spacing w:after="160"/>
      <w:jc w:val="left"/>
    </w:pPr>
    <w:rPr>
      <w:rFonts w:asciiTheme="minorHAnsi" w:eastAsiaTheme="minorEastAsia" w:hAnsiTheme="minorHAnsi" w:cstheme="minorBidi"/>
      <w:sz w:val="20"/>
      <w:lang w:eastAsia="en-US"/>
    </w:rPr>
  </w:style>
  <w:style w:type="character" w:customStyle="1" w:styleId="CommentTextChar">
    <w:name w:val="Comment Text Char"/>
    <w:basedOn w:val="DefaultParagraphFont"/>
    <w:link w:val="CommentText"/>
    <w:uiPriority w:val="99"/>
    <w:rsid w:val="00470D3D"/>
    <w:rPr>
      <w:rFonts w:asciiTheme="minorHAnsi" w:eastAsiaTheme="minorEastAsia" w:hAnsiTheme="minorHAnsi" w:cstheme="minorBidi"/>
      <w:sz w:val="20"/>
      <w:lang w:eastAsia="en-US"/>
    </w:rPr>
  </w:style>
  <w:style w:type="character" w:styleId="CommentReference">
    <w:name w:val="annotation reference"/>
    <w:basedOn w:val="DefaultParagraphFont"/>
    <w:uiPriority w:val="99"/>
    <w:semiHidden/>
    <w:unhideWhenUsed/>
    <w:rsid w:val="00470D3D"/>
    <w:rPr>
      <w:sz w:val="16"/>
      <w:szCs w:val="16"/>
    </w:rPr>
  </w:style>
  <w:style w:type="paragraph" w:styleId="CommentSubject">
    <w:name w:val="annotation subject"/>
    <w:basedOn w:val="CommentText"/>
    <w:next w:val="CommentText"/>
    <w:link w:val="CommentSubjectChar"/>
    <w:uiPriority w:val="99"/>
    <w:semiHidden/>
    <w:rsid w:val="00FE4683"/>
    <w:pPr>
      <w:spacing w:after="240"/>
      <w:jc w:val="both"/>
    </w:pPr>
    <w:rPr>
      <w:rFonts w:ascii="Times New Roman" w:eastAsia="Times New Roman" w:hAnsi="Times New Roman" w:cs="Times New Roman"/>
      <w:b/>
      <w:bCs/>
      <w:lang w:eastAsia="fr-BE"/>
    </w:rPr>
  </w:style>
  <w:style w:type="character" w:customStyle="1" w:styleId="CommentSubjectChar">
    <w:name w:val="Comment Subject Char"/>
    <w:basedOn w:val="CommentTextChar"/>
    <w:link w:val="CommentSubject"/>
    <w:uiPriority w:val="99"/>
    <w:semiHidden/>
    <w:rsid w:val="00FE4683"/>
    <w:rPr>
      <w:rFonts w:asciiTheme="minorHAnsi" w:eastAsiaTheme="minorEastAsia" w:hAnsiTheme="minorHAnsi" w:cstheme="minorBidi"/>
      <w:b/>
      <w:bCs/>
      <w:sz w:val="20"/>
      <w:lang w:eastAsia="en-US"/>
    </w:rPr>
  </w:style>
  <w:style w:type="character" w:customStyle="1" w:styleId="UnresolvedMention">
    <w:name w:val="Unresolved Mention"/>
    <w:basedOn w:val="DefaultParagraphFont"/>
    <w:uiPriority w:val="99"/>
    <w:semiHidden/>
    <w:unhideWhenUsed/>
    <w:rsid w:val="0022224A"/>
    <w:rPr>
      <w:color w:val="605E5C"/>
      <w:shd w:val="clear" w:color="auto" w:fill="E1DFDD"/>
    </w:rPr>
  </w:style>
  <w:style w:type="character" w:customStyle="1" w:styleId="Mention">
    <w:name w:val="Mention"/>
    <w:basedOn w:val="DefaultParagraphFont"/>
    <w:uiPriority w:val="99"/>
    <w:unhideWhenUsed/>
    <w:rsid w:val="0081236F"/>
    <w:rPr>
      <w:color w:val="2B579A"/>
      <w:shd w:val="clear" w:color="auto" w:fill="E1DFDD"/>
    </w:rPr>
  </w:style>
  <w:style w:type="paragraph" w:styleId="Revision">
    <w:name w:val="Revision"/>
    <w:hidden/>
    <w:uiPriority w:val="99"/>
    <w:semiHidden/>
    <w:rsid w:val="008557DE"/>
  </w:style>
  <w:style w:type="paragraph" w:customStyle="1" w:styleId="oj-normal">
    <w:name w:val="oj-normal"/>
    <w:basedOn w:val="Normal"/>
    <w:rsid w:val="00E50B83"/>
    <w:pPr>
      <w:spacing w:before="100" w:beforeAutospacing="1" w:after="100" w:afterAutospacing="1"/>
      <w:jc w:val="left"/>
    </w:pPr>
    <w:rPr>
      <w:szCs w:val="24"/>
      <w:lang w:eastAsia="en-IE"/>
    </w:rPr>
  </w:style>
  <w:style w:type="character" w:styleId="FollowedHyperlink">
    <w:name w:val="FollowedHyperlink"/>
    <w:basedOn w:val="DefaultParagraphFont"/>
    <w:uiPriority w:val="99"/>
    <w:semiHidden/>
    <w:rsid w:val="00DA5318"/>
    <w:rPr>
      <w:color w:val="954F72" w:themeColor="followedHyperlink"/>
      <w:u w:val="single"/>
    </w:rPr>
  </w:style>
  <w:style w:type="character" w:customStyle="1" w:styleId="Marker">
    <w:name w:val="Marker"/>
    <w:basedOn w:val="DefaultParagraphFont"/>
    <w:rsid w:val="0001121F"/>
    <w:rPr>
      <w:color w:val="0000FF"/>
      <w:shd w:val="clear" w:color="auto" w:fill="auto"/>
    </w:rPr>
  </w:style>
  <w:style w:type="paragraph" w:customStyle="1" w:styleId="Pagedecouverture">
    <w:name w:val="Page de couverture"/>
    <w:basedOn w:val="Normal"/>
    <w:next w:val="Normal"/>
    <w:rsid w:val="0001121F"/>
    <w:pPr>
      <w:spacing w:after="0"/>
    </w:pPr>
    <w:rPr>
      <w:rFonts w:eastAsiaTheme="minorHAnsi"/>
      <w:szCs w:val="22"/>
      <w:lang w:eastAsia="en-US"/>
    </w:rPr>
  </w:style>
  <w:style w:type="paragraph" w:customStyle="1" w:styleId="FooterCoverPage">
    <w:name w:val="Footer Cover Page"/>
    <w:basedOn w:val="Normal"/>
    <w:link w:val="FooterCoverPageChar"/>
    <w:rsid w:val="0001121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1121F"/>
  </w:style>
  <w:style w:type="paragraph" w:customStyle="1" w:styleId="FooterSensitivity">
    <w:name w:val="Footer Sensitivity"/>
    <w:basedOn w:val="Normal"/>
    <w:link w:val="FooterSensitivityChar"/>
    <w:rsid w:val="0001121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1121F"/>
    <w:rPr>
      <w:b/>
      <w:sz w:val="32"/>
    </w:rPr>
  </w:style>
  <w:style w:type="paragraph" w:customStyle="1" w:styleId="HeaderCoverPage">
    <w:name w:val="Header Cover Page"/>
    <w:basedOn w:val="Normal"/>
    <w:link w:val="HeaderCoverPageChar"/>
    <w:rsid w:val="0001121F"/>
    <w:pPr>
      <w:tabs>
        <w:tab w:val="center" w:pos="4535"/>
        <w:tab w:val="right" w:pos="9071"/>
      </w:tabs>
      <w:spacing w:after="120"/>
    </w:pPr>
  </w:style>
  <w:style w:type="character" w:customStyle="1" w:styleId="HeaderCoverPageChar">
    <w:name w:val="Header Cover Page Char"/>
    <w:basedOn w:val="DefaultParagraphFont"/>
    <w:link w:val="HeaderCoverPage"/>
    <w:rsid w:val="0001121F"/>
  </w:style>
  <w:style w:type="paragraph" w:customStyle="1" w:styleId="HeaderSensitivity">
    <w:name w:val="Header Sensitivity"/>
    <w:basedOn w:val="Normal"/>
    <w:link w:val="HeaderSensitivityChar"/>
    <w:rsid w:val="0001121F"/>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1121F"/>
    <w:rPr>
      <w:b/>
      <w:sz w:val="32"/>
    </w:rPr>
  </w:style>
  <w:style w:type="paragraph" w:customStyle="1" w:styleId="HeaderSensitivityRight">
    <w:name w:val="Header Sensitivity Right"/>
    <w:basedOn w:val="Normal"/>
    <w:link w:val="HeaderSensitivityRightChar"/>
    <w:rsid w:val="0001121F"/>
    <w:pPr>
      <w:spacing w:after="120"/>
      <w:jc w:val="right"/>
    </w:pPr>
    <w:rPr>
      <w:sz w:val="28"/>
    </w:rPr>
  </w:style>
  <w:style w:type="character" w:customStyle="1" w:styleId="HeaderSensitivityRightChar">
    <w:name w:val="Header Sensitivity Right Char"/>
    <w:basedOn w:val="DefaultParagraphFont"/>
    <w:link w:val="HeaderSensitivityRight"/>
    <w:rsid w:val="0001121F"/>
    <w:rPr>
      <w:sz w:val="28"/>
    </w:rPr>
  </w:style>
  <w:style w:type="character" w:customStyle="1" w:styleId="FootnoteTextChar">
    <w:name w:val="Footnote Text Char"/>
    <w:basedOn w:val="DefaultParagraphFont"/>
    <w:semiHidden/>
    <w:rsid w:val="00F74736"/>
    <w:rPr>
      <w:sz w:val="20"/>
    </w:rPr>
  </w:style>
  <w:style w:type="character" w:customStyle="1" w:styleId="normaltextrun">
    <w:name w:val="normaltextrun"/>
    <w:basedOn w:val="DefaultParagraphFont"/>
    <w:rsid w:val="00FC33CA"/>
  </w:style>
  <w:style w:type="paragraph" w:customStyle="1" w:styleId="Languesfaisantfoi">
    <w:name w:val="Langues faisant foi"/>
    <w:basedOn w:val="Normal"/>
    <w:next w:val="Normal"/>
    <w:rsid w:val="003C1729"/>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3C1729"/>
    <w:pPr>
      <w:spacing w:before="360"/>
      <w:jc w:val="center"/>
    </w:pPr>
    <w:rPr>
      <w:rFonts w:eastAsiaTheme="minorHAnsi"/>
      <w:szCs w:val="22"/>
      <w:lang w:eastAsia="en-US"/>
    </w:rPr>
  </w:style>
  <w:style w:type="paragraph" w:customStyle="1" w:styleId="IntrtEEE">
    <w:name w:val="Intérêt EEE"/>
    <w:basedOn w:val="Languesfaisantfoi"/>
    <w:next w:val="Normal"/>
    <w:rsid w:val="003C1729"/>
    <w:pPr>
      <w:spacing w:after="0"/>
    </w:pPr>
  </w:style>
  <w:style w:type="paragraph" w:customStyle="1" w:styleId="IntrtEEEPagedecouverture">
    <w:name w:val="Intérêt EEE (Page de couverture)"/>
    <w:basedOn w:val="IntrtEEE"/>
    <w:next w:val="Normal"/>
    <w:rsid w:val="003C1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6020">
      <w:bodyDiv w:val="1"/>
      <w:marLeft w:val="0"/>
      <w:marRight w:val="0"/>
      <w:marTop w:val="0"/>
      <w:marBottom w:val="0"/>
      <w:divBdr>
        <w:top w:val="none" w:sz="0" w:space="0" w:color="auto"/>
        <w:left w:val="none" w:sz="0" w:space="0" w:color="auto"/>
        <w:bottom w:val="none" w:sz="0" w:space="0" w:color="auto"/>
        <w:right w:val="none" w:sz="0" w:space="0" w:color="auto"/>
      </w:divBdr>
    </w:div>
    <w:div w:id="192691417">
      <w:bodyDiv w:val="1"/>
      <w:marLeft w:val="0"/>
      <w:marRight w:val="0"/>
      <w:marTop w:val="0"/>
      <w:marBottom w:val="0"/>
      <w:divBdr>
        <w:top w:val="none" w:sz="0" w:space="0" w:color="auto"/>
        <w:left w:val="none" w:sz="0" w:space="0" w:color="auto"/>
        <w:bottom w:val="none" w:sz="0" w:space="0" w:color="auto"/>
        <w:right w:val="none" w:sz="0" w:space="0" w:color="auto"/>
      </w:divBdr>
    </w:div>
    <w:div w:id="258029579">
      <w:bodyDiv w:val="1"/>
      <w:marLeft w:val="0"/>
      <w:marRight w:val="0"/>
      <w:marTop w:val="0"/>
      <w:marBottom w:val="0"/>
      <w:divBdr>
        <w:top w:val="none" w:sz="0" w:space="0" w:color="auto"/>
        <w:left w:val="none" w:sz="0" w:space="0" w:color="auto"/>
        <w:bottom w:val="none" w:sz="0" w:space="0" w:color="auto"/>
        <w:right w:val="none" w:sz="0" w:space="0" w:color="auto"/>
      </w:divBdr>
    </w:div>
    <w:div w:id="308943082">
      <w:bodyDiv w:val="1"/>
      <w:marLeft w:val="0"/>
      <w:marRight w:val="0"/>
      <w:marTop w:val="0"/>
      <w:marBottom w:val="0"/>
      <w:divBdr>
        <w:top w:val="none" w:sz="0" w:space="0" w:color="auto"/>
        <w:left w:val="none" w:sz="0" w:space="0" w:color="auto"/>
        <w:bottom w:val="none" w:sz="0" w:space="0" w:color="auto"/>
        <w:right w:val="none" w:sz="0" w:space="0" w:color="auto"/>
      </w:divBdr>
    </w:div>
    <w:div w:id="379011427">
      <w:bodyDiv w:val="1"/>
      <w:marLeft w:val="0"/>
      <w:marRight w:val="0"/>
      <w:marTop w:val="0"/>
      <w:marBottom w:val="0"/>
      <w:divBdr>
        <w:top w:val="none" w:sz="0" w:space="0" w:color="auto"/>
        <w:left w:val="none" w:sz="0" w:space="0" w:color="auto"/>
        <w:bottom w:val="none" w:sz="0" w:space="0" w:color="auto"/>
        <w:right w:val="none" w:sz="0" w:space="0" w:color="auto"/>
      </w:divBdr>
    </w:div>
    <w:div w:id="415368905">
      <w:bodyDiv w:val="1"/>
      <w:marLeft w:val="0"/>
      <w:marRight w:val="0"/>
      <w:marTop w:val="0"/>
      <w:marBottom w:val="0"/>
      <w:divBdr>
        <w:top w:val="none" w:sz="0" w:space="0" w:color="auto"/>
        <w:left w:val="none" w:sz="0" w:space="0" w:color="auto"/>
        <w:bottom w:val="none" w:sz="0" w:space="0" w:color="auto"/>
        <w:right w:val="none" w:sz="0" w:space="0" w:color="auto"/>
      </w:divBdr>
    </w:div>
    <w:div w:id="475220116">
      <w:bodyDiv w:val="1"/>
      <w:marLeft w:val="0"/>
      <w:marRight w:val="0"/>
      <w:marTop w:val="0"/>
      <w:marBottom w:val="0"/>
      <w:divBdr>
        <w:top w:val="none" w:sz="0" w:space="0" w:color="auto"/>
        <w:left w:val="none" w:sz="0" w:space="0" w:color="auto"/>
        <w:bottom w:val="none" w:sz="0" w:space="0" w:color="auto"/>
        <w:right w:val="none" w:sz="0" w:space="0" w:color="auto"/>
      </w:divBdr>
    </w:div>
    <w:div w:id="479658630">
      <w:bodyDiv w:val="1"/>
      <w:marLeft w:val="0"/>
      <w:marRight w:val="0"/>
      <w:marTop w:val="0"/>
      <w:marBottom w:val="0"/>
      <w:divBdr>
        <w:top w:val="none" w:sz="0" w:space="0" w:color="auto"/>
        <w:left w:val="none" w:sz="0" w:space="0" w:color="auto"/>
        <w:bottom w:val="none" w:sz="0" w:space="0" w:color="auto"/>
        <w:right w:val="none" w:sz="0" w:space="0" w:color="auto"/>
      </w:divBdr>
    </w:div>
    <w:div w:id="541942139">
      <w:bodyDiv w:val="1"/>
      <w:marLeft w:val="0"/>
      <w:marRight w:val="0"/>
      <w:marTop w:val="0"/>
      <w:marBottom w:val="0"/>
      <w:divBdr>
        <w:top w:val="none" w:sz="0" w:space="0" w:color="auto"/>
        <w:left w:val="none" w:sz="0" w:space="0" w:color="auto"/>
        <w:bottom w:val="none" w:sz="0" w:space="0" w:color="auto"/>
        <w:right w:val="none" w:sz="0" w:space="0" w:color="auto"/>
      </w:divBdr>
    </w:div>
    <w:div w:id="546524375">
      <w:bodyDiv w:val="1"/>
      <w:marLeft w:val="0"/>
      <w:marRight w:val="0"/>
      <w:marTop w:val="0"/>
      <w:marBottom w:val="0"/>
      <w:divBdr>
        <w:top w:val="none" w:sz="0" w:space="0" w:color="auto"/>
        <w:left w:val="none" w:sz="0" w:space="0" w:color="auto"/>
        <w:bottom w:val="none" w:sz="0" w:space="0" w:color="auto"/>
        <w:right w:val="none" w:sz="0" w:space="0" w:color="auto"/>
      </w:divBdr>
    </w:div>
    <w:div w:id="560402854">
      <w:bodyDiv w:val="1"/>
      <w:marLeft w:val="0"/>
      <w:marRight w:val="0"/>
      <w:marTop w:val="0"/>
      <w:marBottom w:val="0"/>
      <w:divBdr>
        <w:top w:val="none" w:sz="0" w:space="0" w:color="auto"/>
        <w:left w:val="none" w:sz="0" w:space="0" w:color="auto"/>
        <w:bottom w:val="none" w:sz="0" w:space="0" w:color="auto"/>
        <w:right w:val="none" w:sz="0" w:space="0" w:color="auto"/>
      </w:divBdr>
    </w:div>
    <w:div w:id="599609419">
      <w:bodyDiv w:val="1"/>
      <w:marLeft w:val="0"/>
      <w:marRight w:val="0"/>
      <w:marTop w:val="0"/>
      <w:marBottom w:val="0"/>
      <w:divBdr>
        <w:top w:val="none" w:sz="0" w:space="0" w:color="auto"/>
        <w:left w:val="none" w:sz="0" w:space="0" w:color="auto"/>
        <w:bottom w:val="none" w:sz="0" w:space="0" w:color="auto"/>
        <w:right w:val="none" w:sz="0" w:space="0" w:color="auto"/>
      </w:divBdr>
    </w:div>
    <w:div w:id="605578041">
      <w:bodyDiv w:val="1"/>
      <w:marLeft w:val="0"/>
      <w:marRight w:val="0"/>
      <w:marTop w:val="0"/>
      <w:marBottom w:val="0"/>
      <w:divBdr>
        <w:top w:val="none" w:sz="0" w:space="0" w:color="auto"/>
        <w:left w:val="none" w:sz="0" w:space="0" w:color="auto"/>
        <w:bottom w:val="none" w:sz="0" w:space="0" w:color="auto"/>
        <w:right w:val="none" w:sz="0" w:space="0" w:color="auto"/>
      </w:divBdr>
    </w:div>
    <w:div w:id="677005645">
      <w:bodyDiv w:val="1"/>
      <w:marLeft w:val="0"/>
      <w:marRight w:val="0"/>
      <w:marTop w:val="0"/>
      <w:marBottom w:val="0"/>
      <w:divBdr>
        <w:top w:val="none" w:sz="0" w:space="0" w:color="auto"/>
        <w:left w:val="none" w:sz="0" w:space="0" w:color="auto"/>
        <w:bottom w:val="none" w:sz="0" w:space="0" w:color="auto"/>
        <w:right w:val="none" w:sz="0" w:space="0" w:color="auto"/>
      </w:divBdr>
    </w:div>
    <w:div w:id="684096733">
      <w:bodyDiv w:val="1"/>
      <w:marLeft w:val="0"/>
      <w:marRight w:val="0"/>
      <w:marTop w:val="0"/>
      <w:marBottom w:val="0"/>
      <w:divBdr>
        <w:top w:val="none" w:sz="0" w:space="0" w:color="auto"/>
        <w:left w:val="none" w:sz="0" w:space="0" w:color="auto"/>
        <w:bottom w:val="none" w:sz="0" w:space="0" w:color="auto"/>
        <w:right w:val="none" w:sz="0" w:space="0" w:color="auto"/>
      </w:divBdr>
    </w:div>
    <w:div w:id="696126028">
      <w:bodyDiv w:val="1"/>
      <w:marLeft w:val="0"/>
      <w:marRight w:val="0"/>
      <w:marTop w:val="0"/>
      <w:marBottom w:val="0"/>
      <w:divBdr>
        <w:top w:val="none" w:sz="0" w:space="0" w:color="auto"/>
        <w:left w:val="none" w:sz="0" w:space="0" w:color="auto"/>
        <w:bottom w:val="none" w:sz="0" w:space="0" w:color="auto"/>
        <w:right w:val="none" w:sz="0" w:space="0" w:color="auto"/>
      </w:divBdr>
    </w:div>
    <w:div w:id="835652083">
      <w:bodyDiv w:val="1"/>
      <w:marLeft w:val="0"/>
      <w:marRight w:val="0"/>
      <w:marTop w:val="0"/>
      <w:marBottom w:val="0"/>
      <w:divBdr>
        <w:top w:val="none" w:sz="0" w:space="0" w:color="auto"/>
        <w:left w:val="none" w:sz="0" w:space="0" w:color="auto"/>
        <w:bottom w:val="none" w:sz="0" w:space="0" w:color="auto"/>
        <w:right w:val="none" w:sz="0" w:space="0" w:color="auto"/>
      </w:divBdr>
    </w:div>
    <w:div w:id="848105441">
      <w:bodyDiv w:val="1"/>
      <w:marLeft w:val="0"/>
      <w:marRight w:val="0"/>
      <w:marTop w:val="0"/>
      <w:marBottom w:val="0"/>
      <w:divBdr>
        <w:top w:val="none" w:sz="0" w:space="0" w:color="auto"/>
        <w:left w:val="none" w:sz="0" w:space="0" w:color="auto"/>
        <w:bottom w:val="none" w:sz="0" w:space="0" w:color="auto"/>
        <w:right w:val="none" w:sz="0" w:space="0" w:color="auto"/>
      </w:divBdr>
    </w:div>
    <w:div w:id="857891711">
      <w:bodyDiv w:val="1"/>
      <w:marLeft w:val="0"/>
      <w:marRight w:val="0"/>
      <w:marTop w:val="0"/>
      <w:marBottom w:val="0"/>
      <w:divBdr>
        <w:top w:val="none" w:sz="0" w:space="0" w:color="auto"/>
        <w:left w:val="none" w:sz="0" w:space="0" w:color="auto"/>
        <w:bottom w:val="none" w:sz="0" w:space="0" w:color="auto"/>
        <w:right w:val="none" w:sz="0" w:space="0" w:color="auto"/>
      </w:divBdr>
    </w:div>
    <w:div w:id="1030572469">
      <w:bodyDiv w:val="1"/>
      <w:marLeft w:val="0"/>
      <w:marRight w:val="0"/>
      <w:marTop w:val="0"/>
      <w:marBottom w:val="0"/>
      <w:divBdr>
        <w:top w:val="none" w:sz="0" w:space="0" w:color="auto"/>
        <w:left w:val="none" w:sz="0" w:space="0" w:color="auto"/>
        <w:bottom w:val="none" w:sz="0" w:space="0" w:color="auto"/>
        <w:right w:val="none" w:sz="0" w:space="0" w:color="auto"/>
      </w:divBdr>
    </w:div>
    <w:div w:id="1103261775">
      <w:bodyDiv w:val="1"/>
      <w:marLeft w:val="0"/>
      <w:marRight w:val="0"/>
      <w:marTop w:val="0"/>
      <w:marBottom w:val="0"/>
      <w:divBdr>
        <w:top w:val="none" w:sz="0" w:space="0" w:color="auto"/>
        <w:left w:val="none" w:sz="0" w:space="0" w:color="auto"/>
        <w:bottom w:val="none" w:sz="0" w:space="0" w:color="auto"/>
        <w:right w:val="none" w:sz="0" w:space="0" w:color="auto"/>
      </w:divBdr>
    </w:div>
    <w:div w:id="1180504854">
      <w:bodyDiv w:val="1"/>
      <w:marLeft w:val="0"/>
      <w:marRight w:val="0"/>
      <w:marTop w:val="0"/>
      <w:marBottom w:val="0"/>
      <w:divBdr>
        <w:top w:val="none" w:sz="0" w:space="0" w:color="auto"/>
        <w:left w:val="none" w:sz="0" w:space="0" w:color="auto"/>
        <w:bottom w:val="none" w:sz="0" w:space="0" w:color="auto"/>
        <w:right w:val="none" w:sz="0" w:space="0" w:color="auto"/>
      </w:divBdr>
    </w:div>
    <w:div w:id="1183203355">
      <w:bodyDiv w:val="1"/>
      <w:marLeft w:val="0"/>
      <w:marRight w:val="0"/>
      <w:marTop w:val="0"/>
      <w:marBottom w:val="0"/>
      <w:divBdr>
        <w:top w:val="none" w:sz="0" w:space="0" w:color="auto"/>
        <w:left w:val="none" w:sz="0" w:space="0" w:color="auto"/>
        <w:bottom w:val="none" w:sz="0" w:space="0" w:color="auto"/>
        <w:right w:val="none" w:sz="0" w:space="0" w:color="auto"/>
      </w:divBdr>
    </w:div>
    <w:div w:id="1265770016">
      <w:bodyDiv w:val="1"/>
      <w:marLeft w:val="0"/>
      <w:marRight w:val="0"/>
      <w:marTop w:val="0"/>
      <w:marBottom w:val="0"/>
      <w:divBdr>
        <w:top w:val="none" w:sz="0" w:space="0" w:color="auto"/>
        <w:left w:val="none" w:sz="0" w:space="0" w:color="auto"/>
        <w:bottom w:val="none" w:sz="0" w:space="0" w:color="auto"/>
        <w:right w:val="none" w:sz="0" w:space="0" w:color="auto"/>
      </w:divBdr>
    </w:div>
    <w:div w:id="1375690009">
      <w:bodyDiv w:val="1"/>
      <w:marLeft w:val="0"/>
      <w:marRight w:val="0"/>
      <w:marTop w:val="0"/>
      <w:marBottom w:val="0"/>
      <w:divBdr>
        <w:top w:val="none" w:sz="0" w:space="0" w:color="auto"/>
        <w:left w:val="none" w:sz="0" w:space="0" w:color="auto"/>
        <w:bottom w:val="none" w:sz="0" w:space="0" w:color="auto"/>
        <w:right w:val="none" w:sz="0" w:space="0" w:color="auto"/>
      </w:divBdr>
    </w:div>
    <w:div w:id="1484816273">
      <w:bodyDiv w:val="1"/>
      <w:marLeft w:val="0"/>
      <w:marRight w:val="0"/>
      <w:marTop w:val="0"/>
      <w:marBottom w:val="0"/>
      <w:divBdr>
        <w:top w:val="none" w:sz="0" w:space="0" w:color="auto"/>
        <w:left w:val="none" w:sz="0" w:space="0" w:color="auto"/>
        <w:bottom w:val="none" w:sz="0" w:space="0" w:color="auto"/>
        <w:right w:val="none" w:sz="0" w:space="0" w:color="auto"/>
      </w:divBdr>
    </w:div>
    <w:div w:id="1529954482">
      <w:bodyDiv w:val="1"/>
      <w:marLeft w:val="0"/>
      <w:marRight w:val="0"/>
      <w:marTop w:val="0"/>
      <w:marBottom w:val="0"/>
      <w:divBdr>
        <w:top w:val="none" w:sz="0" w:space="0" w:color="auto"/>
        <w:left w:val="none" w:sz="0" w:space="0" w:color="auto"/>
        <w:bottom w:val="none" w:sz="0" w:space="0" w:color="auto"/>
        <w:right w:val="none" w:sz="0" w:space="0" w:color="auto"/>
      </w:divBdr>
    </w:div>
    <w:div w:id="1624313163">
      <w:bodyDiv w:val="1"/>
      <w:marLeft w:val="0"/>
      <w:marRight w:val="0"/>
      <w:marTop w:val="0"/>
      <w:marBottom w:val="0"/>
      <w:divBdr>
        <w:top w:val="none" w:sz="0" w:space="0" w:color="auto"/>
        <w:left w:val="none" w:sz="0" w:space="0" w:color="auto"/>
        <w:bottom w:val="none" w:sz="0" w:space="0" w:color="auto"/>
        <w:right w:val="none" w:sz="0" w:space="0" w:color="auto"/>
      </w:divBdr>
    </w:div>
    <w:div w:id="1653557631">
      <w:bodyDiv w:val="1"/>
      <w:marLeft w:val="0"/>
      <w:marRight w:val="0"/>
      <w:marTop w:val="0"/>
      <w:marBottom w:val="0"/>
      <w:divBdr>
        <w:top w:val="none" w:sz="0" w:space="0" w:color="auto"/>
        <w:left w:val="none" w:sz="0" w:space="0" w:color="auto"/>
        <w:bottom w:val="none" w:sz="0" w:space="0" w:color="auto"/>
        <w:right w:val="none" w:sz="0" w:space="0" w:color="auto"/>
      </w:divBdr>
    </w:div>
    <w:div w:id="1706563975">
      <w:bodyDiv w:val="1"/>
      <w:marLeft w:val="0"/>
      <w:marRight w:val="0"/>
      <w:marTop w:val="0"/>
      <w:marBottom w:val="0"/>
      <w:divBdr>
        <w:top w:val="none" w:sz="0" w:space="0" w:color="auto"/>
        <w:left w:val="none" w:sz="0" w:space="0" w:color="auto"/>
        <w:bottom w:val="none" w:sz="0" w:space="0" w:color="auto"/>
        <w:right w:val="none" w:sz="0" w:space="0" w:color="auto"/>
      </w:divBdr>
    </w:div>
    <w:div w:id="1740786533">
      <w:bodyDiv w:val="1"/>
      <w:marLeft w:val="0"/>
      <w:marRight w:val="0"/>
      <w:marTop w:val="0"/>
      <w:marBottom w:val="0"/>
      <w:divBdr>
        <w:top w:val="none" w:sz="0" w:space="0" w:color="auto"/>
        <w:left w:val="none" w:sz="0" w:space="0" w:color="auto"/>
        <w:bottom w:val="none" w:sz="0" w:space="0" w:color="auto"/>
        <w:right w:val="none" w:sz="0" w:space="0" w:color="auto"/>
      </w:divBdr>
    </w:div>
    <w:div w:id="1806774193">
      <w:bodyDiv w:val="1"/>
      <w:marLeft w:val="0"/>
      <w:marRight w:val="0"/>
      <w:marTop w:val="0"/>
      <w:marBottom w:val="0"/>
      <w:divBdr>
        <w:top w:val="none" w:sz="0" w:space="0" w:color="auto"/>
        <w:left w:val="none" w:sz="0" w:space="0" w:color="auto"/>
        <w:bottom w:val="none" w:sz="0" w:space="0" w:color="auto"/>
        <w:right w:val="none" w:sz="0" w:space="0" w:color="auto"/>
      </w:divBdr>
    </w:div>
    <w:div w:id="1816292001">
      <w:bodyDiv w:val="1"/>
      <w:marLeft w:val="0"/>
      <w:marRight w:val="0"/>
      <w:marTop w:val="0"/>
      <w:marBottom w:val="0"/>
      <w:divBdr>
        <w:top w:val="none" w:sz="0" w:space="0" w:color="auto"/>
        <w:left w:val="none" w:sz="0" w:space="0" w:color="auto"/>
        <w:bottom w:val="none" w:sz="0" w:space="0" w:color="auto"/>
        <w:right w:val="none" w:sz="0" w:space="0" w:color="auto"/>
      </w:divBdr>
    </w:div>
    <w:div w:id="1831016742">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5305789">
      <w:bodyDiv w:val="1"/>
      <w:marLeft w:val="0"/>
      <w:marRight w:val="0"/>
      <w:marTop w:val="0"/>
      <w:marBottom w:val="0"/>
      <w:divBdr>
        <w:top w:val="none" w:sz="0" w:space="0" w:color="auto"/>
        <w:left w:val="none" w:sz="0" w:space="0" w:color="auto"/>
        <w:bottom w:val="none" w:sz="0" w:space="0" w:color="auto"/>
        <w:right w:val="none" w:sz="0" w:space="0" w:color="auto"/>
      </w:divBdr>
    </w:div>
    <w:div w:id="1999383399">
      <w:bodyDiv w:val="1"/>
      <w:marLeft w:val="0"/>
      <w:marRight w:val="0"/>
      <w:marTop w:val="0"/>
      <w:marBottom w:val="0"/>
      <w:divBdr>
        <w:top w:val="none" w:sz="0" w:space="0" w:color="auto"/>
        <w:left w:val="none" w:sz="0" w:space="0" w:color="auto"/>
        <w:bottom w:val="none" w:sz="0" w:space="0" w:color="auto"/>
        <w:right w:val="none" w:sz="0" w:space="0" w:color="auto"/>
      </w:divBdr>
    </w:div>
    <w:div w:id="2012444220">
      <w:bodyDiv w:val="1"/>
      <w:marLeft w:val="0"/>
      <w:marRight w:val="0"/>
      <w:marTop w:val="0"/>
      <w:marBottom w:val="0"/>
      <w:divBdr>
        <w:top w:val="none" w:sz="0" w:space="0" w:color="auto"/>
        <w:left w:val="none" w:sz="0" w:space="0" w:color="auto"/>
        <w:bottom w:val="none" w:sz="0" w:space="0" w:color="auto"/>
        <w:right w:val="none" w:sz="0" w:space="0" w:color="auto"/>
      </w:divBdr>
    </w:div>
    <w:div w:id="2031028353">
      <w:bodyDiv w:val="1"/>
      <w:marLeft w:val="0"/>
      <w:marRight w:val="0"/>
      <w:marTop w:val="0"/>
      <w:marBottom w:val="0"/>
      <w:divBdr>
        <w:top w:val="none" w:sz="0" w:space="0" w:color="auto"/>
        <w:left w:val="none" w:sz="0" w:space="0" w:color="auto"/>
        <w:bottom w:val="none" w:sz="0" w:space="0" w:color="auto"/>
        <w:right w:val="none" w:sz="0" w:space="0" w:color="auto"/>
      </w:divBdr>
    </w:div>
    <w:div w:id="210758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attachments/thematic/eib_group_climate_bank_roadmap_fr.pdf" TargetMode="External"/><Relationship Id="rId13" Type="http://schemas.openxmlformats.org/officeDocument/2006/relationships/hyperlink" Target="https://www.eib.org/fr/press/all/2025-331-more-than-350000-european-companies-to-get-energy-efficiency-support-under-major-eu-financing-initiative" TargetMode="External"/><Relationship Id="rId18" Type="http://schemas.openxmlformats.org/officeDocument/2006/relationships/hyperlink" Target="https://www.fi-compass.eu/" TargetMode="External"/><Relationship Id="rId26" Type="http://schemas.openxmlformats.org/officeDocument/2006/relationships/hyperlink" Target="https://commission.europa.eu/document/download/4e8f26d1-6604-496f-87c4-0b9a886adf29_en?filename=EU%20core%20performance%20indicators_15_07_0.pdf" TargetMode="External"/><Relationship Id="rId3" Type="http://schemas.openxmlformats.org/officeDocument/2006/relationships/hyperlink" Target="https://eur-lex.europa.eu/legal-content/FR/TXT/?uri=celex%3A52024DC0063" TargetMode="External"/><Relationship Id="rId21" Type="http://schemas.openxmlformats.org/officeDocument/2006/relationships/hyperlink" Target="https://www.fi-compass.eu/erdf/scale-up-energy-efficiency-financial-instruments" TargetMode="External"/><Relationship Id="rId7" Type="http://schemas.openxmlformats.org/officeDocument/2006/relationships/hyperlink" Target="https://modernisationfund.eu/" TargetMode="External"/><Relationship Id="rId12" Type="http://schemas.openxmlformats.org/officeDocument/2006/relationships/hyperlink" Target="https://www.eib.org/fr/publications/20240198-eib-group-2024-2027-strategic-roadmap" TargetMode="External"/><Relationship Id="rId17" Type="http://schemas.openxmlformats.org/officeDocument/2006/relationships/hyperlink" Target="https://www.fi-compass.eu/resources/factsheets-and-brochures/model-for-a-financial-instrument-with-a-grant-component" TargetMode="External"/><Relationship Id="rId25" Type="http://schemas.openxmlformats.org/officeDocument/2006/relationships/hyperlink" Target="https://www.bruegel.org/sites/default/files/2024-10/PB%2012%202024.pdf" TargetMode="External"/><Relationship Id="rId2" Type="http://schemas.openxmlformats.org/officeDocument/2006/relationships/hyperlink" Target="https://eur-lex.europa.eu/eli/dir/2024/1275/oj/fra" TargetMode="External"/><Relationship Id="rId16" Type="http://schemas.openxmlformats.org/officeDocument/2006/relationships/hyperlink" Target="https://cohesiondata.ec.europa.eu/stories/s/Financial-instruments-under-cohesion-policy-2021-2/tkqa-xd2d" TargetMode="External"/><Relationship Id="rId20" Type="http://schemas.openxmlformats.org/officeDocument/2006/relationships/hyperlink" Target="https://www.fi-compass.eu/erdf/scale-up-energy-efficiency-financial-instruments" TargetMode="External"/><Relationship Id="rId1" Type="http://schemas.openxmlformats.org/officeDocument/2006/relationships/hyperlink" Target="https://eur-lex.europa.eu/eli/dir/2023/1791/oj/fra" TargetMode="External"/><Relationship Id="rId6" Type="http://schemas.openxmlformats.org/officeDocument/2006/relationships/hyperlink" Target="https://eur-lex.europa.eu/eli/reg/2021/241/oj/fra" TargetMode="External"/><Relationship Id="rId11" Type="http://schemas.openxmlformats.org/officeDocument/2006/relationships/hyperlink" Target="https://www.eib.org/fr/products/advisory-services/elena/index" TargetMode="External"/><Relationship Id="rId24" Type="http://schemas.openxmlformats.org/officeDocument/2006/relationships/hyperlink" Target="https://www.i4ce.org/wp-content/uploads/2024/02/20240222-i4ce3859-Panorama-EU_VA-40p.pdf" TargetMode="External"/><Relationship Id="rId5" Type="http://schemas.openxmlformats.org/officeDocument/2006/relationships/hyperlink" Target="https://publications.europa.eu/resource/cellar/6c154426-c5a6-11ee-95d9-01aa75ed71a1.0001.03/DOC_3" TargetMode="External"/><Relationship Id="rId15" Type="http://schemas.openxmlformats.org/officeDocument/2006/relationships/hyperlink" Target="https://cohesiondata.ec.europa.eu/stories/s/Financial-instruments-under-cohesion-policy-2021-2/tkqa-xd2d" TargetMode="External"/><Relationship Id="rId23" Type="http://schemas.openxmlformats.org/officeDocument/2006/relationships/hyperlink" Target="https://iea.blob.core.windows.net/assets/f304f2ba-e9a2-4e6d-b529-fb67cd13f646/EnergyEfficiency2024.pdf" TargetMode="External"/><Relationship Id="rId10" Type="http://schemas.openxmlformats.org/officeDocument/2006/relationships/hyperlink" Target="https://investeu.europa.eu/investeu-programme/investeu-advisory-hub_fr" TargetMode="External"/><Relationship Id="rId19" Type="http://schemas.openxmlformats.org/officeDocument/2006/relationships/hyperlink" Target="https://www.fi-compass.eu/" TargetMode="External"/><Relationship Id="rId4" Type="http://schemas.openxmlformats.org/officeDocument/2006/relationships/hyperlink" Target="https://single-market-economy.ec.europa.eu/system/files/2023-03/SWD_2023_68_F1_STAFF_WORKING_PAPER_EN_V4_P1_2629849.PDF" TargetMode="External"/><Relationship Id="rId9" Type="http://schemas.openxmlformats.org/officeDocument/2006/relationships/hyperlink" Target="https://www.eib.org/fr/publications/20250240-eib-group-climate-bank-roadmap-phase-2-2026-2030" TargetMode="External"/><Relationship Id="rId14" Type="http://schemas.openxmlformats.org/officeDocument/2006/relationships/hyperlink" Target="https://ec.europa.eu/info/law/better-regulation/have-your-say/initiatives/13824-Efficacite-energetique-evaluation-du-niveau-de-financement-europeen-et-national_fr" TargetMode="External"/><Relationship Id="rId22" Type="http://schemas.openxmlformats.org/officeDocument/2006/relationships/hyperlink" Target="https://ec.europa.eu/regional_policy/whats-new/newsroom/10-01-2025-apply-for-c4t-groundwork-technical-assistance-for-cohesion-policy-investments_en" TargetMode="External"/><Relationship Id="rId27" Type="http://schemas.openxmlformats.org/officeDocument/2006/relationships/hyperlink" Target="https://ec.europa.eu/economy_finance/recovery-and-resilience-scoreboard/RRFCI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10.0.46216.0</Version>
    <Date>2024-11-27T09:37:10</Date>
    <Language>EN</Language>
    <Note/>
  </Created>
  <Edited>
    <Version/>
    <Date/>
  </Edited>
  <DocumentModel>
    <Id>6cbda13a-4db2-46c6-876a-ef72275827ef</Id>
    <Name>Report</Name>
  </DocumentModel>
  <CustomTemplate>
    <Id/>
    <Name/>
  </CustomTemplate>
  <DocumentDate>2024-11-27T09:37:10</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3.xml><?xml version="1.0" encoding="utf-8"?>
<Author Role="Creator" AuthorRoleName="Writer" AuthorRoleId="a4fbaff4-b07c-48b4-a21e-e7b9eedf3796">
  <Id>36772c46-7716-429e-8f22-a4eb6de74035</Id>
  <Names>
    <Latin>
      <FirstName>Hadrien</FirstName>
      <LastName>MICHEL</LastName>
    </Latin>
    <Greek>
      <FirstName/>
      <LastName/>
    </Greek>
    <Cyrillic>
      <FirstName/>
      <LastName/>
    </Cyrillic>
    <DocumentScript>
      <FirstName>Hadrien</FirstName>
      <LastName>MICHEL</LastName>
      <FullName>Hadrien MICHEL</FullName>
    </DocumentScript>
  </Names>
  <Initials>HM</Initials>
  <Gender>m</Gender>
  <Email>DIR B FMB?</Email>
  <Service>ENER.B.2</Service>
  <Function ADCode="" ShowInSignature="true" ShowInHeader="false" HeaderText=""/>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7cdba69b-6b39-4644-97e8-39609623e060</Id>
    <LogicalLevel>3</LogicalLevel>
    <Name>ENER.B.2</Name>
    <HeadLine1>B.2 – Energy Efficiency: Policy and Financing &amp; 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7cdba69b-6b39-4644-97e8-39609623e060</Id>
      <LogicalLevel>3</LogicalLevel>
      <Name>ENER.B.2</Name>
      <HeadLine1>B.2 – Energy Efficiency: Policy and Financing</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+32 229-63432</Phone>
    <Office>DM24 04/024</Office>
  </MainWorkplace>
  <Workplaces>
    <Workplace IsMain="true">
      <AddressId>f03b5801-04c9-4931-aa17-c6d6c70bc579</AddressId>
      <Fax/>
      <Phone>+32 229-63432</Phone>
      <Office>DM24 04/024</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8A9B296-89AC-4B86-8736-252A77DB02E1}">
  <ds:schemaRefs/>
</ds:datastoreItem>
</file>

<file path=customXml/itemProps4.xml><?xml version="1.0" encoding="utf-8"?>
<ds:datastoreItem xmlns:ds="http://schemas.openxmlformats.org/officeDocument/2006/customXml" ds:itemID="{CC7ECA21-50DA-4A25-8159-7699DF990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21</Pages>
  <Words>7689</Words>
  <Characters>43832</Characters>
  <Application>Microsoft Office Word</Application>
  <DocSecurity>0</DocSecurity>
  <PresentationFormat>Microsoft Word 14.0</PresentationFormat>
  <Lines>365</Lines>
  <Paragraphs>102</Paragraphs>
  <ScaleCrop>true</ScaleCrop>
  <HeadingPairs>
    <vt:vector size="2" baseType="variant">
      <vt:variant>
        <vt:lpstr>Title</vt:lpstr>
      </vt:variant>
      <vt:variant>
        <vt:i4>1</vt:i4>
      </vt:variant>
    </vt:vector>
  </HeadingPairs>
  <TitlesOfParts>
    <vt:vector size="1" baseType="lpstr">
      <vt:lpstr>Report on Energy Efficiency financing in Europe</vt:lpstr>
    </vt:vector>
  </TitlesOfParts>
  <Manager/>
  <Company/>
  <LinksUpToDate>false</LinksUpToDate>
  <CharactersWithSpaces>51419</CharactersWithSpaces>
  <SharedDoc>false</SharedDoc>
  <HLinks>
    <vt:vector size="120" baseType="variant">
      <vt:variant>
        <vt:i4>4325460</vt:i4>
      </vt:variant>
      <vt:variant>
        <vt:i4>51</vt:i4>
      </vt:variant>
      <vt:variant>
        <vt:i4>0</vt:i4>
      </vt:variant>
      <vt:variant>
        <vt:i4>5</vt:i4>
      </vt:variant>
      <vt:variant>
        <vt:lpwstr>https://circabc.europa.eu/ui/group/8f5f9424-a7ef-4dbf-b914-1af1d12ff5d2/library/a8116057-2055-48e7-81c5-ee94a62de5c8</vt:lpwstr>
      </vt:variant>
      <vt:variant>
        <vt:lpwstr/>
      </vt:variant>
      <vt:variant>
        <vt:i4>5701657</vt:i4>
      </vt:variant>
      <vt:variant>
        <vt:i4>48</vt:i4>
      </vt:variant>
      <vt:variant>
        <vt:i4>0</vt:i4>
      </vt:variant>
      <vt:variant>
        <vt:i4>5</vt:i4>
      </vt:variant>
      <vt:variant>
        <vt:lpwstr>https://commission.europa.eu/document/download/4e8f26d1-6604-496f-87c4-0b9a886adf29_en?filename=EU%20core%20performance%20indicators_15_07_0.pdf</vt:lpwstr>
      </vt:variant>
      <vt:variant>
        <vt:lpwstr/>
      </vt:variant>
      <vt:variant>
        <vt:i4>7667823</vt:i4>
      </vt:variant>
      <vt:variant>
        <vt:i4>45</vt:i4>
      </vt:variant>
      <vt:variant>
        <vt:i4>0</vt:i4>
      </vt:variant>
      <vt:variant>
        <vt:i4>5</vt:i4>
      </vt:variant>
      <vt:variant>
        <vt:lpwstr>https://www.bruegel.org/sites/default/files/2024-10/PB 12 2024.pdf</vt:lpwstr>
      </vt:variant>
      <vt:variant>
        <vt:lpwstr/>
      </vt:variant>
      <vt:variant>
        <vt:i4>8126532</vt:i4>
      </vt:variant>
      <vt:variant>
        <vt:i4>42</vt:i4>
      </vt:variant>
      <vt:variant>
        <vt:i4>0</vt:i4>
      </vt:variant>
      <vt:variant>
        <vt:i4>5</vt:i4>
      </vt:variant>
      <vt:variant>
        <vt:lpwstr>https://www.i4ce.org/wp-content/uploads/2024/02/20240222-i4ce3859-Panorama-EU_VA-40p.pdf</vt:lpwstr>
      </vt:variant>
      <vt:variant>
        <vt:lpwstr/>
      </vt:variant>
      <vt:variant>
        <vt:i4>4063359</vt:i4>
      </vt:variant>
      <vt:variant>
        <vt:i4>39</vt:i4>
      </vt:variant>
      <vt:variant>
        <vt:i4>0</vt:i4>
      </vt:variant>
      <vt:variant>
        <vt:i4>5</vt:i4>
      </vt:variant>
      <vt:variant>
        <vt:lpwstr>https://iea.blob.core.windows.net/assets/f304f2ba-e9a2-4e6d-b529-fb67cd13f646/EnergyEfficiency2024.pdf</vt:lpwstr>
      </vt:variant>
      <vt:variant>
        <vt:lpwstr/>
      </vt:variant>
      <vt:variant>
        <vt:i4>1245276</vt:i4>
      </vt:variant>
      <vt:variant>
        <vt:i4>36</vt:i4>
      </vt:variant>
      <vt:variant>
        <vt:i4>0</vt:i4>
      </vt:variant>
      <vt:variant>
        <vt:i4>5</vt:i4>
      </vt:variant>
      <vt:variant>
        <vt:lpwstr>https://cohesiondata.ec.europa.eu/stories/s/Financial-instruments-under-cohesion-policy-2021-2/tkqa-xd2d</vt:lpwstr>
      </vt:variant>
      <vt:variant>
        <vt:lpwstr/>
      </vt:variant>
      <vt:variant>
        <vt:i4>3538964</vt:i4>
      </vt:variant>
      <vt:variant>
        <vt:i4>33</vt:i4>
      </vt:variant>
      <vt:variant>
        <vt:i4>0</vt:i4>
      </vt:variant>
      <vt:variant>
        <vt:i4>5</vt:i4>
      </vt:variant>
      <vt:variant>
        <vt:lpwstr>https://ec.europa.eu/info/law/better-regulation/have-your-say/initiatives/13824-Energy-efficiency-assessing-the-level-of-EU-national-funding_en</vt:lpwstr>
      </vt:variant>
      <vt:variant>
        <vt:lpwstr/>
      </vt:variant>
      <vt:variant>
        <vt:i4>2687018</vt:i4>
      </vt:variant>
      <vt:variant>
        <vt:i4>30</vt:i4>
      </vt:variant>
      <vt:variant>
        <vt:i4>0</vt:i4>
      </vt:variant>
      <vt:variant>
        <vt:i4>5</vt:i4>
      </vt:variant>
      <vt:variant>
        <vt:lpwstr>https://www.eib.org/en/publications/20240198-eib-group-2024-2027-strategic-roadmap</vt:lpwstr>
      </vt:variant>
      <vt:variant>
        <vt:lpwstr/>
      </vt:variant>
      <vt:variant>
        <vt:i4>1179735</vt:i4>
      </vt:variant>
      <vt:variant>
        <vt:i4>27</vt:i4>
      </vt:variant>
      <vt:variant>
        <vt:i4>0</vt:i4>
      </vt:variant>
      <vt:variant>
        <vt:i4>5</vt:i4>
      </vt:variant>
      <vt:variant>
        <vt:lpwstr>https://www.eib.org/en/products/advisory-services/elena/index</vt:lpwstr>
      </vt:variant>
      <vt:variant>
        <vt:lpwstr/>
      </vt:variant>
      <vt:variant>
        <vt:i4>4194409</vt:i4>
      </vt:variant>
      <vt:variant>
        <vt:i4>24</vt:i4>
      </vt:variant>
      <vt:variant>
        <vt:i4>0</vt:i4>
      </vt:variant>
      <vt:variant>
        <vt:i4>5</vt:i4>
      </vt:variant>
      <vt:variant>
        <vt:lpwstr>https://investeu.europa.eu/investeu-programme/investeu-advisory-hub_en</vt:lpwstr>
      </vt:variant>
      <vt:variant>
        <vt:lpwstr/>
      </vt:variant>
      <vt:variant>
        <vt:i4>7077904</vt:i4>
      </vt:variant>
      <vt:variant>
        <vt:i4>21</vt:i4>
      </vt:variant>
      <vt:variant>
        <vt:i4>0</vt:i4>
      </vt:variant>
      <vt:variant>
        <vt:i4>5</vt:i4>
      </vt:variant>
      <vt:variant>
        <vt:lpwstr>https://www.eib.org/attachments/thematic/eib_group_climate_bank_roadmap_en.pdf</vt:lpwstr>
      </vt:variant>
      <vt:variant>
        <vt:lpwstr/>
      </vt:variant>
      <vt:variant>
        <vt:i4>5111872</vt:i4>
      </vt:variant>
      <vt:variant>
        <vt:i4>18</vt:i4>
      </vt:variant>
      <vt:variant>
        <vt:i4>0</vt:i4>
      </vt:variant>
      <vt:variant>
        <vt:i4>5</vt:i4>
      </vt:variant>
      <vt:variant>
        <vt:lpwstr>https://modernisationfund.eu/</vt:lpwstr>
      </vt:variant>
      <vt:variant>
        <vt:lpwstr/>
      </vt:variant>
      <vt:variant>
        <vt:i4>3080216</vt:i4>
      </vt:variant>
      <vt:variant>
        <vt:i4>15</vt:i4>
      </vt:variant>
      <vt:variant>
        <vt:i4>0</vt:i4>
      </vt:variant>
      <vt:variant>
        <vt:i4>5</vt:i4>
      </vt:variant>
      <vt:variant>
        <vt:lpwstr>https://ec.europa.eu/economy_finance/recovery-and-resilience-scoreboard/assets/thematic_analysis/scoreboard_thematic_analysis_efficiency.pdf</vt:lpwstr>
      </vt:variant>
      <vt:variant>
        <vt:lpwstr/>
      </vt:variant>
      <vt:variant>
        <vt:i4>7536730</vt:i4>
      </vt:variant>
      <vt:variant>
        <vt:i4>12</vt:i4>
      </vt:variant>
      <vt:variant>
        <vt:i4>0</vt:i4>
      </vt:variant>
      <vt:variant>
        <vt:i4>5</vt:i4>
      </vt:variant>
      <vt:variant>
        <vt:lpwstr>https://publications.europa.eu/resource/cellar/6c154426-c5a6-11ee-95d9-01aa75ed71a1.0001.03/DOC_3</vt:lpwstr>
      </vt:variant>
      <vt:variant>
        <vt:lpwstr/>
      </vt:variant>
      <vt:variant>
        <vt:i4>6750318</vt:i4>
      </vt:variant>
      <vt:variant>
        <vt:i4>9</vt:i4>
      </vt:variant>
      <vt:variant>
        <vt:i4>0</vt:i4>
      </vt:variant>
      <vt:variant>
        <vt:i4>5</vt:i4>
      </vt:variant>
      <vt:variant>
        <vt:lpwstr>https://single-market-economy.ec.europa.eu/system/files/2023-03/SWD_2023_68_F1_STAFF_WORKING_PAPER_EN_V4_P1_2629849.PDF</vt:lpwstr>
      </vt:variant>
      <vt:variant>
        <vt:lpwstr/>
      </vt:variant>
      <vt:variant>
        <vt:i4>7864355</vt:i4>
      </vt:variant>
      <vt:variant>
        <vt:i4>6</vt:i4>
      </vt:variant>
      <vt:variant>
        <vt:i4>0</vt:i4>
      </vt:variant>
      <vt:variant>
        <vt:i4>5</vt:i4>
      </vt:variant>
      <vt:variant>
        <vt:lpwstr>https://eur-lex.europa.eu/legal-content/EN/TXT/?uri=celex%3A52024DC0063</vt:lpwstr>
      </vt:variant>
      <vt:variant>
        <vt:lpwstr/>
      </vt:variant>
      <vt:variant>
        <vt:i4>7536739</vt:i4>
      </vt:variant>
      <vt:variant>
        <vt:i4>3</vt:i4>
      </vt:variant>
      <vt:variant>
        <vt:i4>0</vt:i4>
      </vt:variant>
      <vt:variant>
        <vt:i4>5</vt:i4>
      </vt:variant>
      <vt:variant>
        <vt:lpwstr>https://eur-lex.europa.eu/eli/dir/2024/1275/oj/eng</vt:lpwstr>
      </vt:variant>
      <vt:variant>
        <vt:lpwstr/>
      </vt:variant>
      <vt:variant>
        <vt:i4>7995490</vt:i4>
      </vt:variant>
      <vt:variant>
        <vt:i4>0</vt:i4>
      </vt:variant>
      <vt:variant>
        <vt:i4>0</vt:i4>
      </vt:variant>
      <vt:variant>
        <vt:i4>5</vt:i4>
      </vt:variant>
      <vt:variant>
        <vt:lpwstr>https://eur-lex.europa.eu/eli/dir/2023/1791/oj/eng</vt:lpwstr>
      </vt:variant>
      <vt:variant>
        <vt:lpwstr/>
      </vt:variant>
      <vt:variant>
        <vt:i4>5111847</vt:i4>
      </vt:variant>
      <vt:variant>
        <vt:i4>3</vt:i4>
      </vt:variant>
      <vt:variant>
        <vt:i4>0</vt:i4>
      </vt:variant>
      <vt:variant>
        <vt:i4>5</vt:i4>
      </vt:variant>
      <vt:variant>
        <vt:lpwstr>mailto:Carlos.SANCHEZ-RIVERO@ec.europa.eu</vt:lpwstr>
      </vt:variant>
      <vt:variant>
        <vt:lpwstr/>
      </vt:variant>
      <vt:variant>
        <vt:i4>5111847</vt:i4>
      </vt:variant>
      <vt:variant>
        <vt:i4>0</vt:i4>
      </vt:variant>
      <vt:variant>
        <vt:i4>0</vt:i4>
      </vt:variant>
      <vt:variant>
        <vt:i4>5</vt:i4>
      </vt:variant>
      <vt:variant>
        <vt:lpwstr>mailto:Carlos.SANCHEZ-RIVERO@ec.europa.eu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Energy Efficiency financing in Europe</dc:title>
  <dc:subject>An assessment of public spending for energy efficiency</dc:subject>
  <dc:creator/>
  <cp:keywords/>
  <dc:description/>
  <cp:lastModifiedBy>EC CoDe</cp:lastModifiedBy>
  <cp:revision>9</cp:revision>
  <dcterms:created xsi:type="dcterms:W3CDTF">2026-02-12T17:50:00Z</dcterms:created>
  <dcterms:modified xsi:type="dcterms:W3CDTF">2026-03-03T21:49:00Z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2025-10-07T15:14:11Z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66ac0603-caaf-4587-b6e2-802618eddd0e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