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3093C" w14:textId="75E3F834" w:rsidR="0001121F" w:rsidRPr="00424FC0" w:rsidRDefault="00F50353" w:rsidP="00F50353">
      <w:pPr>
        <w:pStyle w:val="Pagedecouverture"/>
        <w:rPr>
          <w:noProof/>
        </w:rPr>
      </w:pPr>
      <w:bookmarkStart w:id="0" w:name="_Hlk210747244"/>
      <w:bookmarkStart w:id="1" w:name="LW_BM_COVERPAGE"/>
      <w:r>
        <w:rPr>
          <w:noProof/>
        </w:rPr>
        <w:pict w14:anchorId="7F9072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8AA862D-2BF6-4FF8-A2DE-94E79732567E" style="width:455.25pt;height:313.5pt">
            <v:imagedata r:id="rId11" o:title=""/>
          </v:shape>
        </w:pict>
      </w:r>
    </w:p>
    <w:bookmarkEnd w:id="1"/>
    <w:p w14:paraId="57DF5F84" w14:textId="6E526F5A" w:rsidR="007570A0" w:rsidRPr="00424FC0" w:rsidRDefault="007570A0" w:rsidP="007570A0">
      <w:pPr>
        <w:pStyle w:val="Pagedecouverture"/>
        <w:rPr>
          <w:noProof/>
        </w:rPr>
        <w:sectPr w:rsidR="007570A0" w:rsidRPr="00424FC0" w:rsidSect="00F50353">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bookmarkStart w:id="2" w:name="_GoBack" w:displacedByCustomXml="next"/>
    <w:bookmarkEnd w:id="2" w:displacedByCustomXml="next"/>
    <w:sdt>
      <w:sdtPr>
        <w:rPr>
          <w:b/>
          <w:noProof/>
        </w:rPr>
        <w:alias w:val="Titlu – Titlu și subtitlu"/>
        <w:tag w:val="Ppyc7FjJog1LOR8q5Gy3v8-KWz8EPdyPrAZ9AmbxwqTv1"/>
        <w:id w:val="779142970"/>
      </w:sdtPr>
      <w:sdtEndPr/>
      <w:sdtContent>
        <w:p w14:paraId="12BBC632" w14:textId="29981872" w:rsidR="0072228B" w:rsidRPr="00424FC0" w:rsidRDefault="00F50353" w:rsidP="0072228B">
          <w:pPr>
            <w:spacing w:line="276" w:lineRule="auto"/>
            <w:jc w:val="center"/>
            <w:rPr>
              <w:b/>
              <w:noProof/>
            </w:rPr>
          </w:pPr>
          <w:sdt>
            <w:sdtPr>
              <w:rPr>
                <w:b/>
                <w:noProof/>
              </w:rPr>
              <w:id w:val="396013788"/>
              <w:placeholder>
                <w:docPart w:val="72ADADE6E03B4065B65A6C979D3E4127"/>
              </w:placeholde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C6759A" w:rsidRPr="00424FC0">
                <w:rPr>
                  <w:b/>
                  <w:noProof/>
                </w:rPr>
                <w:t>Raport privind finanțarea eficienței energetice în Europa</w:t>
              </w:r>
            </w:sdtContent>
          </w:sdt>
        </w:p>
        <w:p w14:paraId="0E0FE30D" w14:textId="03D9A7BE" w:rsidR="001B23E7" w:rsidRPr="00424FC0" w:rsidRDefault="00F50353" w:rsidP="0072228B">
          <w:pPr>
            <w:spacing w:line="276" w:lineRule="auto"/>
            <w:jc w:val="center"/>
            <w:rPr>
              <w:b/>
              <w:noProof/>
            </w:rPr>
          </w:pPr>
          <w:sdt>
            <w:sdtPr>
              <w:rPr>
                <w:b/>
                <w:noProof/>
              </w:rPr>
              <w:id w:val="1251545496"/>
              <w:placeholder>
                <w:docPart w:val="1F28C21B396141DAB8000BF074A6AEB7"/>
              </w:placeholder>
              <w:dataBinding w:prefixMappings="xmlns:cp=&quot;http://schemas.openxmlformats.org/package/2006/metadata/core-properties&quot; xmlns:dc=&quot;http://purl.org/dc/elements/1.1/&quot; xmlns:dcterms=&quot;http://purl.org/dc/terms/&quot;" w:xpath="/cp:coreProperties[1]/dc:subject[1]" w:storeItemID="{6C3C8BC8-F283-45AE-878A-BAB7291924A1}"/>
              <w:text w:multiLine="1"/>
            </w:sdtPr>
            <w:sdtEndPr/>
            <w:sdtContent>
              <w:r w:rsidR="00C6759A" w:rsidRPr="00424FC0">
                <w:rPr>
                  <w:b/>
                  <w:noProof/>
                </w:rPr>
                <w:t>O evaluare a cheltuielilor publice</w:t>
              </w:r>
              <w:r w:rsidR="00B56C9E" w:rsidRPr="00424FC0">
                <w:rPr>
                  <w:b/>
                  <w:noProof/>
                </w:rPr>
                <w:t xml:space="preserve"> </w:t>
              </w:r>
              <w:r w:rsidR="00C6759A" w:rsidRPr="00424FC0">
                <w:rPr>
                  <w:b/>
                  <w:noProof/>
                </w:rPr>
                <w:t>pentru eficiența energetică</w:t>
              </w:r>
            </w:sdtContent>
          </w:sdt>
        </w:p>
      </w:sdtContent>
    </w:sdt>
    <w:p w14:paraId="48AF160C" w14:textId="5F93FBC0" w:rsidR="0072228B" w:rsidRPr="00424FC0" w:rsidRDefault="001B23E7" w:rsidP="0072228B">
      <w:pPr>
        <w:spacing w:line="276" w:lineRule="auto"/>
        <w:jc w:val="center"/>
        <w:rPr>
          <w:b/>
          <w:noProof/>
        </w:rPr>
      </w:pPr>
      <w:r w:rsidRPr="00424FC0">
        <w:rPr>
          <w:b/>
          <w:noProof/>
        </w:rPr>
        <w:t xml:space="preserve"> și performanța energetică a clădirilor</w:t>
      </w:r>
    </w:p>
    <w:p w14:paraId="04FCE360" w14:textId="1DA04B47" w:rsidR="00CE013C" w:rsidRPr="00424FC0" w:rsidRDefault="00364933" w:rsidP="007D751C">
      <w:pPr>
        <w:pStyle w:val="Heading1"/>
        <w:spacing w:line="276" w:lineRule="auto"/>
        <w:rPr>
          <w:noProof/>
        </w:rPr>
      </w:pPr>
      <w:r w:rsidRPr="00424FC0">
        <w:rPr>
          <w:noProof/>
        </w:rPr>
        <w:t>Introducere</w:t>
      </w:r>
    </w:p>
    <w:p w14:paraId="00E85647" w14:textId="78466AB7" w:rsidR="00364933" w:rsidRPr="00424FC0" w:rsidRDefault="00364933" w:rsidP="00D32737">
      <w:pPr>
        <w:spacing w:line="276" w:lineRule="auto"/>
        <w:rPr>
          <w:noProof/>
        </w:rPr>
      </w:pPr>
      <w:r w:rsidRPr="00424FC0">
        <w:rPr>
          <w:b/>
          <w:noProof/>
        </w:rPr>
        <w:t>Eficiența energetică joacă un rol esențial în realizarea decarbonizării depline și eficiente din punctul de vedere al costurilor pe întreg teritoriul UE până în 2050, precum și în sporirea competitivității economiei europene și în asigurarea securității energetice și a accesibilității prețurilor, atât în prezent, cât și în viitor.</w:t>
      </w:r>
      <w:r w:rsidRPr="00424FC0">
        <w:rPr>
          <w:noProof/>
        </w:rPr>
        <w:t xml:space="preserve"> În acest context, reducerea risipei de energie la nivelul întregului sistem energetic, în toate sectoarele economice, reprezintă unul dintre obiectivele strategice ale UE. Măsurile în domeniul eficienței energetice contribuie nu numai la stimularea competitivității întreprinderilor din UE, ci și la atenuarea sărăciei energetice și la reducerea dependenței Uniunii de sursele de energie importate.</w:t>
      </w:r>
    </w:p>
    <w:p w14:paraId="1D20455C" w14:textId="59602FF9" w:rsidR="00455265" w:rsidRPr="00424FC0" w:rsidRDefault="00455265" w:rsidP="007D751C">
      <w:pPr>
        <w:spacing w:line="276" w:lineRule="auto"/>
        <w:rPr>
          <w:noProof/>
        </w:rPr>
      </w:pPr>
      <w:r w:rsidRPr="00424FC0">
        <w:rPr>
          <w:b/>
          <w:noProof/>
        </w:rPr>
        <w:t>Pentru a contribui la atingerea obiectivului pentru 2030</w:t>
      </w:r>
      <w:r w:rsidRPr="00424FC0">
        <w:rPr>
          <w:noProof/>
        </w:rPr>
        <w:t xml:space="preserve"> de reducere cu 55 % a emisiilor de gaze cu efect de seră, Directiva reformată privind eficiența energetică (DEE reformată) (</w:t>
      </w:r>
      <w:r w:rsidRPr="00424FC0">
        <w:rPr>
          <w:rStyle w:val="FootnoteReference"/>
          <w:noProof/>
        </w:rPr>
        <w:footnoteReference w:id="2"/>
      </w:r>
      <w:r w:rsidRPr="00424FC0">
        <w:rPr>
          <w:noProof/>
        </w:rPr>
        <w:t>) stabilește un obiectiv conform căruia consumul de energie primară (CEP) al UE nu trebuie să depășească 992,5 Mtep, iar consumul final de energie (CFE) nu trebuie să depășească 763 Mtep până în 2030. Aceasta corespunde unei reduceri de cel puțin 11,7 % până în 2030 comparativ cu proiecțiile scenariului de referință al UE din 2020.</w:t>
      </w:r>
    </w:p>
    <w:p w14:paraId="47EE99A3" w14:textId="39D80370" w:rsidR="00F73C4B" w:rsidRPr="00424FC0" w:rsidRDefault="000575CF" w:rsidP="007D751C">
      <w:pPr>
        <w:spacing w:line="276" w:lineRule="auto"/>
        <w:rPr>
          <w:noProof/>
        </w:rPr>
      </w:pPr>
      <w:r w:rsidRPr="00424FC0">
        <w:rPr>
          <w:b/>
          <w:noProof/>
        </w:rPr>
        <w:t>Sectorul construcțiilor</w:t>
      </w:r>
      <w:r w:rsidRPr="00424FC0">
        <w:rPr>
          <w:noProof/>
        </w:rPr>
        <w:t xml:space="preserve"> joacă un rol important în acest context, întrucât reprezintă 36 % din consumul total de energie al UE și 40 % din totalul emisiilor de gaze cu efect de seră legate de energie. În 2023, 52 % din totalul gazelor naturale consumate în UE au fost utilizate direct sau indirect pentru clădiri, astfel încât economiile realizate în acest sector vor contribui, de asemenea, la reducerea dependenței actuale de combustibilii fosili importați. În plus, locuințele eficiente din punct de vedere energetic înseamnă locuințe mai accesibile, decente și durabile. Aproape 75 % din fondul imobiliar este ineficient potrivit standardelor actuale, de construcție, iar 85-95 % din clădirile existente în prezent vor fi încă în picioare în 2050. Cu toate acestea, rata anuală ponderată a renovărilor energetice este de numai aproximativ 1 %.</w:t>
      </w:r>
    </w:p>
    <w:p w14:paraId="54054F64" w14:textId="609FC12C" w:rsidR="000575CF" w:rsidRPr="00424FC0" w:rsidRDefault="000257DB" w:rsidP="007D751C">
      <w:pPr>
        <w:spacing w:line="276" w:lineRule="auto"/>
        <w:rPr>
          <w:noProof/>
        </w:rPr>
      </w:pPr>
      <w:r w:rsidRPr="00424FC0">
        <w:rPr>
          <w:noProof/>
        </w:rPr>
        <w:t xml:space="preserve">Prin urmare, </w:t>
      </w:r>
      <w:r w:rsidRPr="00424FC0">
        <w:rPr>
          <w:b/>
          <w:noProof/>
        </w:rPr>
        <w:t>rata de renovare ar trebui cel puțin dublată, iar profunzimea renovării ar trebui sporită</w:t>
      </w:r>
      <w:r w:rsidRPr="00424FC0">
        <w:rPr>
          <w:noProof/>
        </w:rPr>
        <w:t>, pentru a se asigura că sectorul contribuie la atingerea obiectivelor pentru 2030. Toate clădirile noi ar trebui să fie clădiri cu emisii zero până în 2030, iar clădirile existente ar trebui transformate în clădiri cu emisii zero până în 2050. Directiva reformată privind performanța energetică a clădirilor (DPEC reformată) (</w:t>
      </w:r>
      <w:r w:rsidRPr="00424FC0">
        <w:rPr>
          <w:rStyle w:val="FootnoteReference"/>
          <w:noProof/>
        </w:rPr>
        <w:footnoteReference w:id="3"/>
      </w:r>
      <w:r w:rsidRPr="00424FC0">
        <w:rPr>
          <w:noProof/>
        </w:rPr>
        <w:t>) reprezintă mecanismul de punere în aplicare a strategiei privind „valul de renovări” (</w:t>
      </w:r>
      <w:r w:rsidRPr="00424FC0">
        <w:rPr>
          <w:rStyle w:val="FootnoteReference"/>
          <w:noProof/>
        </w:rPr>
        <w:footnoteReference w:id="4"/>
      </w:r>
      <w:r w:rsidRPr="00424FC0">
        <w:rPr>
          <w:noProof/>
        </w:rPr>
        <w:t>). Obiectivul său principal este de a crește rata și profunzimea renovărilor în UE, în special în cazul clădirilor cu cele mai slabe performanțe.</w:t>
      </w:r>
    </w:p>
    <w:p w14:paraId="0D6C66F1" w14:textId="3CAA2A18" w:rsidR="004C3118" w:rsidRPr="00424FC0" w:rsidRDefault="009B2E8B" w:rsidP="007D751C">
      <w:pPr>
        <w:spacing w:line="276" w:lineRule="auto"/>
        <w:rPr>
          <w:noProof/>
        </w:rPr>
      </w:pPr>
      <w:r w:rsidRPr="00424FC0">
        <w:rPr>
          <w:noProof/>
        </w:rPr>
        <w:t xml:space="preserve">Evaluarea impactului care însoțește </w:t>
      </w:r>
      <w:r w:rsidRPr="00424FC0">
        <w:rPr>
          <w:b/>
          <w:noProof/>
        </w:rPr>
        <w:t>Comunicarea Comisiei privind obiectivele climatice pentru 2040</w:t>
      </w:r>
      <w:r w:rsidRPr="00424FC0">
        <w:rPr>
          <w:noProof/>
        </w:rPr>
        <w:t> (</w:t>
      </w:r>
      <w:r w:rsidRPr="00424FC0">
        <w:rPr>
          <w:rStyle w:val="FootnoteReference"/>
          <w:noProof/>
        </w:rPr>
        <w:footnoteReference w:id="5"/>
      </w:r>
      <w:r w:rsidRPr="00424FC0">
        <w:rPr>
          <w:noProof/>
        </w:rPr>
        <w:t xml:space="preserve">) estimează că CFE al UE va scădea de la 763 Mtep în 2030 la 594–624 Mtep până în 2040, în funcție de scenariu. Până în 2050, CFE va scădea la aproximativ 560 Mtep. La nivel sectorial, se estimează că economiile de energie </w:t>
      </w:r>
      <w:r w:rsidRPr="00424FC0">
        <w:rPr>
          <w:b/>
          <w:noProof/>
        </w:rPr>
        <w:t>în clădiri</w:t>
      </w:r>
      <w:r w:rsidRPr="00424FC0">
        <w:rPr>
          <w:noProof/>
        </w:rPr>
        <w:t xml:space="preserve"> vor ajunge la 35</w:t>
      </w:r>
      <w:r w:rsidRPr="00424FC0">
        <w:rPr>
          <w:noProof/>
        </w:rPr>
        <w:noBreakHyphen/>
        <w:t xml:space="preserve">38 % în funcție de scenariu până în 2040 și la 40 % până în 2050, în timp ce consumul de energie în </w:t>
      </w:r>
      <w:r w:rsidRPr="00424FC0">
        <w:rPr>
          <w:b/>
          <w:noProof/>
        </w:rPr>
        <w:t>industrie</w:t>
      </w:r>
      <w:r w:rsidRPr="00424FC0">
        <w:rPr>
          <w:noProof/>
        </w:rPr>
        <w:t xml:space="preserve"> va scădea cu aproximativ 20 % în deceniul 2031–2040 și cu încă 7 puncte procentuale în deceniul 2041–2050 (raportat la nivelurile din 2030).</w:t>
      </w:r>
    </w:p>
    <w:p w14:paraId="5623F2DE" w14:textId="3C533934" w:rsidR="00BC3054" w:rsidRPr="00424FC0" w:rsidRDefault="00BC3054" w:rsidP="00BC3054">
      <w:pPr>
        <w:spacing w:line="276" w:lineRule="auto"/>
        <w:rPr>
          <w:noProof/>
        </w:rPr>
      </w:pPr>
      <w:r w:rsidRPr="00424FC0">
        <w:rPr>
          <w:b/>
          <w:noProof/>
        </w:rPr>
        <w:t>Eficiența energetică reprezintă un triplu avantaj pentru competitivitatea, clima și securitatea Europei</w:t>
      </w:r>
      <w:r w:rsidRPr="00424FC0">
        <w:rPr>
          <w:noProof/>
        </w:rPr>
        <w:t xml:space="preserve">, oferind o multitudine de beneficii. Prin reducerea consumului de energie, nu numai că ne diminuăm dependența de combustibilii importați, ci și reducem emisiile și ne consolidăm independența energetică – fiecare kilowatt-oră economisit echivalează cu un kilowatt-oră mai puțin care trebuie importat, subvenționat și/sau produs. </w:t>
      </w:r>
      <w:r w:rsidRPr="00424FC0">
        <w:rPr>
          <w:b/>
          <w:noProof/>
        </w:rPr>
        <w:t>Investițiile în eficiența energetică au un impact profund, fiecare euro investit în eficiența energetică generând economii de 12 euro la costurile energiei pe durata de viață a investiției în locuințe și de 4 euro în industrie</w:t>
      </w:r>
      <w:r w:rsidRPr="00424FC0">
        <w:rPr>
          <w:noProof/>
        </w:rPr>
        <w:t>. În plus, beneficiile eficienței energetice sunt de amploare, de la asigurarea a până la 40 % din reducerile de CO₂ necesare la nivelul UE până în 2030, la crearea a 1,6 milioane de locuri de muncă și evitarea unor costuri semnificative de extindere a rețelei, ceea ce face din eficiența energetică o strategie esențială pentru o economie mai competitivă și mai durabilă, fiind totodată necesare eforturi semnificative de investiții pentru a valorifica pe deplin potențialul eficienței energetice în Europa.</w:t>
      </w:r>
    </w:p>
    <w:p w14:paraId="475917B6" w14:textId="23F8F44B" w:rsidR="00BC3054" w:rsidRPr="00424FC0" w:rsidRDefault="00BC3054" w:rsidP="00BC3054">
      <w:pPr>
        <w:spacing w:line="276" w:lineRule="auto"/>
        <w:rPr>
          <w:noProof/>
        </w:rPr>
      </w:pPr>
      <w:r w:rsidRPr="00424FC0">
        <w:rPr>
          <w:noProof/>
        </w:rPr>
        <w:t>Eficiența energetică este primul combustibil al Europei – curat, ieftin și produs la nivel intern. În conformitate cu principiul „eficiența energetică înainte de toate”, soluțiile de eficiență energetică ar trebui luate în considerare ca prima opțiune în deciziile de politică, de planificare și de investiții.</w:t>
      </w:r>
    </w:p>
    <w:p w14:paraId="671BE18F" w14:textId="718B8FC3" w:rsidR="004C3118" w:rsidRPr="00424FC0" w:rsidRDefault="00BC3054" w:rsidP="007D751C">
      <w:pPr>
        <w:spacing w:line="276" w:lineRule="auto"/>
        <w:rPr>
          <w:noProof/>
        </w:rPr>
      </w:pPr>
      <w:r w:rsidRPr="00424FC0">
        <w:rPr>
          <w:b/>
          <w:noProof/>
        </w:rPr>
        <w:t>Valorificarea potențialului eficienței energetice în Europa necesită un efort semnificativ de investiții, astfel cum se subliniază în raportul Draghi, efort care a crescut în concordanță cu obiectivele în materie de energie și climă.</w:t>
      </w:r>
      <w:r w:rsidRPr="00424FC0">
        <w:rPr>
          <w:noProof/>
        </w:rPr>
        <w:t xml:space="preserve"> Scenariul modelului PRIMES din planul privind obiectivele climatice pentru 2040 estimează că, pentru a atinge obiectivele de eficiență energetică, necesarul total de investiții în eficiența energetică se ridică la aproximativ 370 de miliarde EUR pe an (</w:t>
      </w:r>
      <w:r w:rsidRPr="00424FC0">
        <w:rPr>
          <w:rStyle w:val="FootnoteReference"/>
          <w:noProof/>
        </w:rPr>
        <w:footnoteReference w:id="6"/>
      </w:r>
      <w:r w:rsidRPr="00424FC0">
        <w:rPr>
          <w:noProof/>
        </w:rPr>
        <w:t>) în deceniul 2021–2030, comparativ cu 120 de miliarde EUR pe an în deceniul precedent. Aceasta reprezintă o triplare a investițiilor. Prin comparație, se estimează în prezent că atingerea obiectivului de reducere cu 55 % a emisiilor de gaze cu efect de seră până în 2030 necesită investiții de aproximativ 1 241 de miliarde EUR pe an (</w:t>
      </w:r>
      <w:r w:rsidRPr="00424FC0">
        <w:rPr>
          <w:rStyle w:val="FootnoteReference"/>
          <w:noProof/>
        </w:rPr>
        <w:footnoteReference w:id="7"/>
      </w:r>
      <w:r w:rsidRPr="00424FC0">
        <w:rPr>
          <w:noProof/>
        </w:rPr>
        <w:t>). Pe partea de furnizare și infrastructură energetică, nevoile de investiții sunt estimate la 208 miliarde EUR pe an (</w:t>
      </w:r>
      <w:r w:rsidRPr="00424FC0">
        <w:rPr>
          <w:rStyle w:val="FootnoteReference"/>
          <w:noProof/>
        </w:rPr>
        <w:footnoteReference w:id="8"/>
      </w:r>
      <w:r w:rsidRPr="00424FC0">
        <w:rPr>
          <w:noProof/>
        </w:rPr>
        <w:t>) pentru aceeași perioadă de referință. Se preconizează că, după 2030, nevoile de investiții în eficiența energetică vor scădea ușor, dar se vor menține la niveluri foarte ridicate în perioada 2031–2040 (303 miliarde EUR) și în perioada 2041–2050 (288 de miliarde EUR). Măsurile de eficiență energetică a clădirilor, inclusiv renovarea sistemelor de încălzire și răcire, vor reprezenta cea mai mare parte a investițiilor necesare pentru îndeplinirea obiectivelor pentru 2030, ridicându-se la aproximativ 242 de miliarde EUR pe an în perioada 2021–2030.</w:t>
      </w:r>
    </w:p>
    <w:p w14:paraId="51B5C61E" w14:textId="103DE18D" w:rsidR="00364933" w:rsidRPr="00424FC0" w:rsidRDefault="007B52FE" w:rsidP="007D751C">
      <w:pPr>
        <w:spacing w:line="276" w:lineRule="auto"/>
        <w:rPr>
          <w:noProof/>
        </w:rPr>
      </w:pPr>
      <w:r w:rsidRPr="00424FC0">
        <w:rPr>
          <w:noProof/>
        </w:rPr>
        <w:t xml:space="preserve">Aceste obiective nu pot fi atinse doar prin reglementare, ci vor necesita mobilizarea atât a finanțării publice, cât și a celei private. </w:t>
      </w:r>
      <w:r w:rsidRPr="00424FC0">
        <w:rPr>
          <w:b/>
          <w:noProof/>
        </w:rPr>
        <w:t>Resursele publice limitate nu pot acoperi toate nevoile de investiții</w:t>
      </w:r>
      <w:r w:rsidRPr="00424FC0">
        <w:rPr>
          <w:noProof/>
        </w:rPr>
        <w:t xml:space="preserve">, astfel încât </w:t>
      </w:r>
      <w:r w:rsidRPr="00424FC0">
        <w:rPr>
          <w:noProof/>
          <w:color w:val="333333"/>
        </w:rPr>
        <w:t>este necesară identificarea unei utilizări mai eficiente și mai bine adaptate a resurselor publice</w:t>
      </w:r>
      <w:r w:rsidRPr="00424FC0">
        <w:rPr>
          <w:noProof/>
        </w:rPr>
        <w:t>.</w:t>
      </w:r>
      <w:r w:rsidRPr="00424FC0">
        <w:rPr>
          <w:noProof/>
          <w:color w:val="333333"/>
        </w:rPr>
        <w:t xml:space="preserve"> De asemenea, pentru a cataliza și a reduce riscurile investițiilor private, trebuie utilizate produse financiare și finanțare mixtă.</w:t>
      </w:r>
    </w:p>
    <w:p w14:paraId="1FB1775A" w14:textId="1B97723A" w:rsidR="00695201" w:rsidRPr="00424FC0" w:rsidRDefault="00364933" w:rsidP="007D751C">
      <w:pPr>
        <w:spacing w:line="276" w:lineRule="auto"/>
        <w:rPr>
          <w:noProof/>
        </w:rPr>
      </w:pPr>
      <w:r w:rsidRPr="00424FC0">
        <w:rPr>
          <w:noProof/>
        </w:rPr>
        <w:t>În vederea asigurării finanțării necesare, articolul 30 din DEE reformată impune Comisiei să evalueze:</w:t>
      </w:r>
    </w:p>
    <w:p w14:paraId="51260C63" w14:textId="5AC09567" w:rsidR="00695201" w:rsidRPr="00424FC0" w:rsidRDefault="003C44EC" w:rsidP="00695201">
      <w:pPr>
        <w:pStyle w:val="ListParagraph"/>
        <w:numPr>
          <w:ilvl w:val="0"/>
          <w:numId w:val="39"/>
        </w:numPr>
        <w:spacing w:line="276" w:lineRule="auto"/>
        <w:rPr>
          <w:noProof/>
        </w:rPr>
      </w:pPr>
      <w:r w:rsidRPr="00424FC0">
        <w:rPr>
          <w:b/>
          <w:noProof/>
        </w:rPr>
        <w:t>situația actuală a sprijinului financiar public și capacitatea statelor membre de a stimula investițiile private</w:t>
      </w:r>
      <w:r w:rsidRPr="00424FC0">
        <w:rPr>
          <w:noProof/>
        </w:rPr>
        <w:t xml:space="preserve"> în eficiența energetică;</w:t>
      </w:r>
    </w:p>
    <w:p w14:paraId="3A31E081" w14:textId="14BC0ECA" w:rsidR="00364933" w:rsidRPr="00424FC0" w:rsidRDefault="003C44EC" w:rsidP="00EB3267">
      <w:pPr>
        <w:pStyle w:val="ListParagraph"/>
        <w:numPr>
          <w:ilvl w:val="0"/>
          <w:numId w:val="39"/>
        </w:numPr>
        <w:spacing w:line="276" w:lineRule="auto"/>
        <w:rPr>
          <w:noProof/>
        </w:rPr>
      </w:pPr>
      <w:r w:rsidRPr="00424FC0">
        <w:rPr>
          <w:b/>
          <w:noProof/>
        </w:rPr>
        <w:t xml:space="preserve">dacă este necesar un mecanism de eficiență energetică sau o combinație de granturi, asistență tehnică și garanții, toate la nivelul UE, </w:t>
      </w:r>
      <w:r w:rsidRPr="00424FC0">
        <w:rPr>
          <w:noProof/>
        </w:rPr>
        <w:t>pentru a contribui într-un mod eficient din punctul de vedere al costurilor la realizarea obiectivelor Uniunii în materie de eficiență energetică și climă. Comisia trebuie să transmită Parlamentului European și Consiliului un raport în acest sens.</w:t>
      </w:r>
    </w:p>
    <w:p w14:paraId="64BB4131" w14:textId="1EAA19FB" w:rsidR="00BA6C1B" w:rsidRPr="00424FC0" w:rsidRDefault="00947C8A" w:rsidP="007D751C">
      <w:pPr>
        <w:spacing w:line="276" w:lineRule="auto"/>
        <w:rPr>
          <w:noProof/>
        </w:rPr>
      </w:pPr>
      <w:r w:rsidRPr="00424FC0">
        <w:rPr>
          <w:noProof/>
        </w:rPr>
        <w:t>În plus, articolul 9 alineatul (8) din DPEC reformată prevede obligația Comisiei de a prezenta o analiză privind:</w:t>
      </w:r>
    </w:p>
    <w:p w14:paraId="43B2779F" w14:textId="223D752B" w:rsidR="00E50B83" w:rsidRPr="00424FC0" w:rsidRDefault="0001325F" w:rsidP="007D751C">
      <w:pPr>
        <w:pStyle w:val="ListParagraph"/>
        <w:numPr>
          <w:ilvl w:val="0"/>
          <w:numId w:val="29"/>
        </w:numPr>
        <w:spacing w:line="276" w:lineRule="auto"/>
        <w:rPr>
          <w:noProof/>
          <w:szCs w:val="24"/>
        </w:rPr>
      </w:pPr>
      <w:r w:rsidRPr="00424FC0">
        <w:rPr>
          <w:noProof/>
        </w:rPr>
        <w:t>fondurile structurale și programele-cadru ale UE, inclusiv finanțarea acordată de Banca Europeană de Investiții, existente în prezent pentru îmbunătățirea performanței energetice a clădirilor, în special a locuințelor, din perspectiva eficacității lor, a tipurilor de instrumente utilizate, a sumelor efectiv alocate și a caracterului adecvat al nivelului de finanțare;</w:t>
      </w:r>
    </w:p>
    <w:p w14:paraId="77DD541E" w14:textId="21BFA757" w:rsidR="00E50B83" w:rsidRPr="00424FC0" w:rsidRDefault="00221754" w:rsidP="007D751C">
      <w:pPr>
        <w:pStyle w:val="ListParagraph"/>
        <w:numPr>
          <w:ilvl w:val="0"/>
          <w:numId w:val="29"/>
        </w:numPr>
        <w:spacing w:line="276" w:lineRule="auto"/>
        <w:rPr>
          <w:noProof/>
          <w:szCs w:val="24"/>
        </w:rPr>
      </w:pPr>
      <w:r w:rsidRPr="00424FC0">
        <w:rPr>
          <w:noProof/>
        </w:rPr>
        <w:t>fondurile disponibile din partea instituțiilor financiare publice, din perspectiva eficacității lor, a tipurilor de instrumente și de măsuri utilizate și a caracterului adecvat al nivelului de finanțare;</w:t>
      </w:r>
    </w:p>
    <w:p w14:paraId="57341FE4" w14:textId="75640B3D" w:rsidR="008F33F3" w:rsidRPr="00424FC0" w:rsidRDefault="00221754" w:rsidP="007D751C">
      <w:pPr>
        <w:pStyle w:val="ListParagraph"/>
        <w:numPr>
          <w:ilvl w:val="0"/>
          <w:numId w:val="29"/>
        </w:numPr>
        <w:spacing w:line="276" w:lineRule="auto"/>
        <w:rPr>
          <w:noProof/>
          <w:szCs w:val="24"/>
        </w:rPr>
      </w:pPr>
      <w:r w:rsidRPr="00424FC0">
        <w:rPr>
          <w:noProof/>
        </w:rPr>
        <w:t>coordonarea finanțării din partea UE și de la nivel național, precum și a altor tipuri de măsuri menite să stimuleze investițiile în performanța energetică a clădirilor și caracterul adecvat al fondurilor respective în scopul realizării obiectivelor Uniunii.</w:t>
      </w:r>
    </w:p>
    <w:p w14:paraId="617192D6" w14:textId="681A14C6" w:rsidR="00364933" w:rsidRPr="00424FC0" w:rsidRDefault="00D73D9C" w:rsidP="007D751C">
      <w:pPr>
        <w:spacing w:line="276" w:lineRule="auto"/>
        <w:rPr>
          <w:noProof/>
        </w:rPr>
      </w:pPr>
      <w:r w:rsidRPr="00424FC0">
        <w:rPr>
          <w:noProof/>
        </w:rPr>
        <w:t>Prezentul raport își propune să abordeze toate aspectele menționate mai sus, în următoarea ordine:</w:t>
      </w:r>
    </w:p>
    <w:p w14:paraId="6F491B6B" w14:textId="296DA72B" w:rsidR="00364933" w:rsidRPr="00424FC0" w:rsidRDefault="0001325F" w:rsidP="007D751C">
      <w:pPr>
        <w:pStyle w:val="ListParagraph"/>
        <w:numPr>
          <w:ilvl w:val="0"/>
          <w:numId w:val="26"/>
        </w:numPr>
        <w:spacing w:after="160" w:line="276" w:lineRule="auto"/>
        <w:rPr>
          <w:noProof/>
        </w:rPr>
      </w:pPr>
      <w:r w:rsidRPr="00424FC0">
        <w:rPr>
          <w:noProof/>
        </w:rPr>
        <w:t>Prezentare generală a finanțării publice pentru eficiența energetică și renovările energetice în UE — capitolul 2</w:t>
      </w:r>
    </w:p>
    <w:p w14:paraId="62ADC63D" w14:textId="61EDE6D0" w:rsidR="00364933" w:rsidRPr="00424FC0" w:rsidRDefault="001E40F1" w:rsidP="007D751C">
      <w:pPr>
        <w:pStyle w:val="ListParagraph"/>
        <w:numPr>
          <w:ilvl w:val="0"/>
          <w:numId w:val="26"/>
        </w:numPr>
        <w:spacing w:after="160" w:line="276" w:lineRule="auto"/>
        <w:rPr>
          <w:noProof/>
        </w:rPr>
      </w:pPr>
      <w:r w:rsidRPr="00424FC0">
        <w:rPr>
          <w:noProof/>
        </w:rPr>
        <w:t>Evaluarea finanțării publice în UE — capitolul 3</w:t>
      </w:r>
    </w:p>
    <w:p w14:paraId="32B1BC95" w14:textId="286BEEAC" w:rsidR="644C08F2" w:rsidRPr="00424FC0" w:rsidRDefault="00364933" w:rsidP="007D751C">
      <w:pPr>
        <w:pStyle w:val="ListParagraph"/>
        <w:numPr>
          <w:ilvl w:val="0"/>
          <w:numId w:val="26"/>
        </w:numPr>
        <w:spacing w:after="160" w:line="276" w:lineRule="auto"/>
        <w:rPr>
          <w:noProof/>
        </w:rPr>
      </w:pPr>
      <w:r w:rsidRPr="00424FC0">
        <w:rPr>
          <w:noProof/>
        </w:rPr>
        <w:t>Principalele constatări și concluzii — capitolul 4.</w:t>
      </w:r>
    </w:p>
    <w:p w14:paraId="7C6D1BEE" w14:textId="31B5A9FE" w:rsidR="00364933" w:rsidRPr="00424FC0" w:rsidRDefault="0001325F" w:rsidP="007D751C">
      <w:pPr>
        <w:pStyle w:val="Heading1"/>
        <w:spacing w:line="276" w:lineRule="auto"/>
        <w:rPr>
          <w:noProof/>
        </w:rPr>
      </w:pPr>
      <w:r w:rsidRPr="00424FC0">
        <w:rPr>
          <w:noProof/>
        </w:rPr>
        <w:t>Prezentare generală a finanțării publice pentru eficiența energetică și renovările energetice în UE</w:t>
      </w:r>
    </w:p>
    <w:p w14:paraId="53EBBC02" w14:textId="254E21FE" w:rsidR="00173B66" w:rsidRPr="00424FC0" w:rsidRDefault="00173B66" w:rsidP="007D751C">
      <w:pPr>
        <w:pStyle w:val="Heading2"/>
        <w:spacing w:line="276" w:lineRule="auto"/>
        <w:rPr>
          <w:noProof/>
        </w:rPr>
      </w:pPr>
      <w:r w:rsidRPr="00424FC0">
        <w:rPr>
          <w:noProof/>
        </w:rPr>
        <w:t>Sprijin financiar public la nivelul UE</w:t>
      </w:r>
    </w:p>
    <w:p w14:paraId="73CAFD30" w14:textId="0868398E" w:rsidR="002B1A59" w:rsidRPr="00424FC0" w:rsidRDefault="0002146F" w:rsidP="007D751C">
      <w:pPr>
        <w:pStyle w:val="Heading3"/>
        <w:spacing w:line="276" w:lineRule="auto"/>
        <w:rPr>
          <w:noProof/>
        </w:rPr>
      </w:pPr>
      <w:r w:rsidRPr="00424FC0">
        <w:rPr>
          <w:noProof/>
        </w:rPr>
        <w:t>Sprijin bugetar din partea Uniunii</w:t>
      </w:r>
    </w:p>
    <w:p w14:paraId="4E79A03B" w14:textId="5A5CC60C" w:rsidR="00173B66" w:rsidRPr="00424FC0" w:rsidRDefault="0002146F" w:rsidP="007D751C">
      <w:pPr>
        <w:pStyle w:val="Text2"/>
        <w:spacing w:line="276" w:lineRule="auto"/>
        <w:ind w:left="0"/>
        <w:rPr>
          <w:noProof/>
        </w:rPr>
      </w:pPr>
      <w:r w:rsidRPr="00424FC0">
        <w:rPr>
          <w:noProof/>
        </w:rPr>
        <w:t>Sprijinul bugetar din partea Uniunii este, de regulă, acordat în cadrul financiar multianual (CFM), care este un plan bugetar pe șapte ani. Bugetul total al Uniunii în cadrul CFM 2014-2020 s-a ridicat la 1 083 de miliarde EUR. CFM pentru perioada 2021-2027 se ridică la 1 211 miliarde EUR. În plus, pentru a sprijini redresarea economică a UE în urma pandemiei de coronavirus, a fost instituit în 2021 un instrument temporar de redresare – NextGenerationEU, inclusiv principalul său instrument, Mecanismul de redresare și reziliență (MRR), în valoare totală de 807 miliarde EUR. Resursele bugetare ale UE au crescut astfel cu 86 % comparativ cu CFM anterior, luând în considerare inflația.</w:t>
      </w:r>
    </w:p>
    <w:p w14:paraId="520D46F6" w14:textId="28FB0F33" w:rsidR="2E37242B" w:rsidRPr="00424FC0" w:rsidRDefault="2E37242B" w:rsidP="00FE0847">
      <w:pPr>
        <w:pStyle w:val="Text2"/>
        <w:spacing w:after="0" w:line="276" w:lineRule="auto"/>
        <w:ind w:left="0"/>
        <w:rPr>
          <w:i/>
          <w:iCs/>
          <w:noProof/>
        </w:rPr>
      </w:pPr>
      <w:r w:rsidRPr="00424FC0">
        <w:rPr>
          <w:i/>
          <w:noProof/>
        </w:rPr>
        <w:t>Tabelul 1: Bugetul UE</w:t>
      </w:r>
    </w:p>
    <w:tbl>
      <w:tblPr>
        <w:tblStyle w:val="TableGrid"/>
        <w:tblW w:w="0" w:type="auto"/>
        <w:jc w:val="center"/>
        <w:tblLook w:val="04A0" w:firstRow="1" w:lastRow="0" w:firstColumn="1" w:lastColumn="0" w:noHBand="0" w:noVBand="1"/>
      </w:tblPr>
      <w:tblGrid>
        <w:gridCol w:w="2631"/>
        <w:gridCol w:w="4642"/>
      </w:tblGrid>
      <w:tr w:rsidR="001A3426" w:rsidRPr="00424FC0" w14:paraId="16D7BB7C" w14:textId="77777777" w:rsidTr="004854A6">
        <w:trPr>
          <w:trHeight w:val="68"/>
          <w:jc w:val="center"/>
        </w:trPr>
        <w:tc>
          <w:tcPr>
            <w:tcW w:w="2631" w:type="dxa"/>
            <w:vAlign w:val="center"/>
          </w:tcPr>
          <w:p w14:paraId="1943FD15" w14:textId="77777777" w:rsidR="001A3426" w:rsidRPr="00424FC0" w:rsidRDefault="001A3426" w:rsidP="007D751C">
            <w:pPr>
              <w:pStyle w:val="Text2"/>
              <w:spacing w:after="0" w:line="276" w:lineRule="auto"/>
              <w:ind w:left="0"/>
              <w:jc w:val="left"/>
              <w:rPr>
                <w:noProof/>
                <w:szCs w:val="24"/>
              </w:rPr>
            </w:pPr>
          </w:p>
        </w:tc>
        <w:tc>
          <w:tcPr>
            <w:tcW w:w="4642" w:type="dxa"/>
            <w:vAlign w:val="center"/>
          </w:tcPr>
          <w:p w14:paraId="6050CA0C" w14:textId="712274A9" w:rsidR="001A3426" w:rsidRPr="00424FC0" w:rsidRDefault="0002146F" w:rsidP="007D751C">
            <w:pPr>
              <w:pStyle w:val="Text2"/>
              <w:spacing w:after="0" w:line="276" w:lineRule="auto"/>
              <w:ind w:left="0"/>
              <w:jc w:val="center"/>
              <w:rPr>
                <w:b/>
                <w:bCs/>
                <w:noProof/>
                <w:szCs w:val="24"/>
              </w:rPr>
            </w:pPr>
            <w:r w:rsidRPr="00424FC0">
              <w:rPr>
                <w:b/>
                <w:noProof/>
              </w:rPr>
              <w:t>Sume adoptate (la prețuri curente)</w:t>
            </w:r>
          </w:p>
        </w:tc>
      </w:tr>
      <w:tr w:rsidR="001A3426" w:rsidRPr="00424FC0" w14:paraId="040D5D21" w14:textId="77777777" w:rsidTr="004854A6">
        <w:trPr>
          <w:trHeight w:val="55"/>
          <w:jc w:val="center"/>
        </w:trPr>
        <w:tc>
          <w:tcPr>
            <w:tcW w:w="2631" w:type="dxa"/>
            <w:vAlign w:val="center"/>
          </w:tcPr>
          <w:p w14:paraId="6D40539E" w14:textId="0543A241" w:rsidR="001A3426" w:rsidRPr="00424FC0" w:rsidRDefault="00100CB5" w:rsidP="007D751C">
            <w:pPr>
              <w:pStyle w:val="Text2"/>
              <w:spacing w:after="0" w:line="276" w:lineRule="auto"/>
              <w:ind w:left="0"/>
              <w:rPr>
                <w:b/>
                <w:bCs/>
                <w:noProof/>
                <w:szCs w:val="24"/>
              </w:rPr>
            </w:pPr>
            <w:r w:rsidRPr="00424FC0">
              <w:rPr>
                <w:b/>
                <w:noProof/>
              </w:rPr>
              <w:t>CFM 2014-2020</w:t>
            </w:r>
          </w:p>
        </w:tc>
        <w:tc>
          <w:tcPr>
            <w:tcW w:w="4642" w:type="dxa"/>
            <w:vAlign w:val="center"/>
          </w:tcPr>
          <w:p w14:paraId="57D4D0DA" w14:textId="69B0E549" w:rsidR="001A3426" w:rsidRPr="00424FC0" w:rsidRDefault="00834071" w:rsidP="007D751C">
            <w:pPr>
              <w:pStyle w:val="Text2"/>
              <w:spacing w:after="0" w:line="276" w:lineRule="auto"/>
              <w:ind w:left="0"/>
              <w:rPr>
                <w:noProof/>
                <w:szCs w:val="24"/>
              </w:rPr>
            </w:pPr>
            <w:r w:rsidRPr="00424FC0">
              <w:rPr>
                <w:noProof/>
              </w:rPr>
              <w:t xml:space="preserve">1 083 miliarde EUR </w:t>
            </w:r>
          </w:p>
        </w:tc>
      </w:tr>
      <w:tr w:rsidR="001A3426" w:rsidRPr="00424FC0" w14:paraId="16B3A68C" w14:textId="77777777" w:rsidTr="004854A6">
        <w:trPr>
          <w:trHeight w:val="55"/>
          <w:jc w:val="center"/>
        </w:trPr>
        <w:tc>
          <w:tcPr>
            <w:tcW w:w="2631" w:type="dxa"/>
            <w:vAlign w:val="center"/>
          </w:tcPr>
          <w:p w14:paraId="0FBA725D" w14:textId="6F74D3A8" w:rsidR="001A3426" w:rsidRPr="00424FC0" w:rsidRDefault="6D29EDFE" w:rsidP="007D751C">
            <w:pPr>
              <w:pStyle w:val="Text2"/>
              <w:spacing w:after="0" w:line="276" w:lineRule="auto"/>
              <w:ind w:left="0"/>
              <w:rPr>
                <w:b/>
                <w:bCs/>
                <w:noProof/>
                <w:szCs w:val="24"/>
              </w:rPr>
            </w:pPr>
            <w:r w:rsidRPr="00424FC0">
              <w:rPr>
                <w:b/>
                <w:noProof/>
              </w:rPr>
              <w:t>CFM 2021-2027</w:t>
            </w:r>
          </w:p>
        </w:tc>
        <w:tc>
          <w:tcPr>
            <w:tcW w:w="4642" w:type="dxa"/>
            <w:vAlign w:val="center"/>
          </w:tcPr>
          <w:p w14:paraId="7EC2162D" w14:textId="795AE017" w:rsidR="001A3426" w:rsidRPr="00424FC0" w:rsidRDefault="00834071" w:rsidP="007D751C">
            <w:pPr>
              <w:pStyle w:val="Text2"/>
              <w:spacing w:after="0" w:line="276" w:lineRule="auto"/>
              <w:ind w:left="0"/>
              <w:rPr>
                <w:noProof/>
                <w:szCs w:val="24"/>
              </w:rPr>
            </w:pPr>
            <w:r w:rsidRPr="00424FC0">
              <w:rPr>
                <w:noProof/>
              </w:rPr>
              <w:t xml:space="preserve">1 211 miliarde EUR </w:t>
            </w:r>
          </w:p>
        </w:tc>
      </w:tr>
      <w:tr w:rsidR="006D1473" w:rsidRPr="00424FC0" w14:paraId="29A272B1" w14:textId="77777777" w:rsidTr="004854A6">
        <w:trPr>
          <w:trHeight w:val="55"/>
          <w:jc w:val="center"/>
        </w:trPr>
        <w:tc>
          <w:tcPr>
            <w:tcW w:w="2631" w:type="dxa"/>
            <w:vAlign w:val="center"/>
          </w:tcPr>
          <w:p w14:paraId="510E1FDC" w14:textId="4CB226FA" w:rsidR="006D1473" w:rsidRPr="00424FC0" w:rsidRDefault="006B11DE" w:rsidP="007D751C">
            <w:pPr>
              <w:pStyle w:val="Text2"/>
              <w:spacing w:after="0" w:line="276" w:lineRule="auto"/>
              <w:ind w:left="0"/>
              <w:rPr>
                <w:b/>
                <w:bCs/>
                <w:noProof/>
                <w:szCs w:val="24"/>
              </w:rPr>
            </w:pPr>
            <w:r w:rsidRPr="00424FC0">
              <w:rPr>
                <w:b/>
                <w:noProof/>
              </w:rPr>
              <w:t>Instrumentul NextGenerationEU</w:t>
            </w:r>
          </w:p>
        </w:tc>
        <w:tc>
          <w:tcPr>
            <w:tcW w:w="4642" w:type="dxa"/>
            <w:vAlign w:val="center"/>
          </w:tcPr>
          <w:p w14:paraId="14D03028" w14:textId="4F22D631" w:rsidR="006D1473" w:rsidRPr="00424FC0" w:rsidRDefault="00834071" w:rsidP="007D751C">
            <w:pPr>
              <w:pStyle w:val="Text2"/>
              <w:spacing w:after="0" w:line="276" w:lineRule="auto"/>
              <w:ind w:left="0"/>
              <w:rPr>
                <w:noProof/>
                <w:szCs w:val="24"/>
              </w:rPr>
            </w:pPr>
            <w:r w:rsidRPr="00424FC0">
              <w:rPr>
                <w:noProof/>
              </w:rPr>
              <w:t xml:space="preserve">807 miliarde EUR </w:t>
            </w:r>
          </w:p>
        </w:tc>
      </w:tr>
      <w:tr w:rsidR="007929CD" w:rsidRPr="00424FC0" w14:paraId="241C2104" w14:textId="77777777" w:rsidTr="004854A6">
        <w:trPr>
          <w:trHeight w:val="55"/>
          <w:jc w:val="center"/>
        </w:trPr>
        <w:tc>
          <w:tcPr>
            <w:tcW w:w="2631" w:type="dxa"/>
            <w:vAlign w:val="center"/>
          </w:tcPr>
          <w:p w14:paraId="44D62AEC" w14:textId="74AF68AA" w:rsidR="007929CD" w:rsidRPr="00424FC0" w:rsidRDefault="007929CD" w:rsidP="007D751C">
            <w:pPr>
              <w:pStyle w:val="Text2"/>
              <w:spacing w:after="0" w:line="276" w:lineRule="auto"/>
              <w:ind w:left="0"/>
              <w:rPr>
                <w:b/>
                <w:bCs/>
                <w:noProof/>
                <w:szCs w:val="24"/>
              </w:rPr>
            </w:pPr>
            <w:r w:rsidRPr="00424FC0">
              <w:rPr>
                <w:b/>
                <w:noProof/>
              </w:rPr>
              <w:t>MRR și CFM 2021-2027</w:t>
            </w:r>
          </w:p>
        </w:tc>
        <w:tc>
          <w:tcPr>
            <w:tcW w:w="4642" w:type="dxa"/>
            <w:vAlign w:val="center"/>
          </w:tcPr>
          <w:p w14:paraId="49B8C645" w14:textId="68E7CD9E" w:rsidR="007929CD" w:rsidRPr="00424FC0" w:rsidRDefault="00834071" w:rsidP="007D751C">
            <w:pPr>
              <w:pStyle w:val="Text2"/>
              <w:spacing w:after="0" w:line="276" w:lineRule="auto"/>
              <w:ind w:left="0"/>
              <w:rPr>
                <w:noProof/>
                <w:szCs w:val="24"/>
              </w:rPr>
            </w:pPr>
            <w:r w:rsidRPr="00424FC0">
              <w:rPr>
                <w:noProof/>
              </w:rPr>
              <w:t xml:space="preserve">2 018 miliarde EUR </w:t>
            </w:r>
          </w:p>
        </w:tc>
      </w:tr>
    </w:tbl>
    <w:p w14:paraId="26BDD8AA" w14:textId="70B83188" w:rsidR="001A3426" w:rsidRPr="00424FC0" w:rsidRDefault="005E554B" w:rsidP="007D751C">
      <w:pPr>
        <w:pStyle w:val="Text2"/>
        <w:spacing w:line="276" w:lineRule="auto"/>
        <w:ind w:left="0" w:firstLine="720"/>
        <w:rPr>
          <w:noProof/>
          <w:sz w:val="20"/>
        </w:rPr>
      </w:pPr>
      <w:r w:rsidRPr="00424FC0">
        <w:rPr>
          <w:noProof/>
          <w:sz w:val="20"/>
        </w:rPr>
        <w:t>Sursă: Comisia Europeană, 2024</w:t>
      </w:r>
    </w:p>
    <w:p w14:paraId="667A4161" w14:textId="44D30BFC" w:rsidR="003E48BB" w:rsidRPr="00424FC0" w:rsidRDefault="00FE4938" w:rsidP="007D751C">
      <w:pPr>
        <w:pStyle w:val="Text2"/>
        <w:spacing w:line="276" w:lineRule="auto"/>
        <w:ind w:left="0"/>
        <w:rPr>
          <w:noProof/>
        </w:rPr>
      </w:pPr>
      <w:r w:rsidRPr="00424FC0">
        <w:rPr>
          <w:noProof/>
        </w:rPr>
        <w:t>În special în ceea ce privește eficiența energetică,</w:t>
      </w:r>
      <w:r w:rsidRPr="00424FC0">
        <w:rPr>
          <w:b/>
          <w:noProof/>
        </w:rPr>
        <w:t xml:space="preserve"> finanțarea totală disponibilă din partea UE a consemnat o creștere de 6,8 ori </w:t>
      </w:r>
      <w:r w:rsidRPr="00424FC0">
        <w:rPr>
          <w:noProof/>
        </w:rPr>
        <w:t xml:space="preserve">între 2014–2020 (21 de miliarde EUR) și 2021–2027 (144,7 miliarde EUR), ceea ce este </w:t>
      </w:r>
      <w:r w:rsidRPr="00424FC0">
        <w:rPr>
          <w:b/>
          <w:noProof/>
        </w:rPr>
        <w:t>fără precedent</w:t>
      </w:r>
      <w:r w:rsidRPr="00424FC0">
        <w:rPr>
          <w:noProof/>
        </w:rPr>
        <w:t>.</w:t>
      </w:r>
      <w:r w:rsidRPr="00424FC0">
        <w:rPr>
          <w:b/>
          <w:noProof/>
        </w:rPr>
        <w:t xml:space="preserve"> </w:t>
      </w:r>
      <w:r w:rsidRPr="00424FC0">
        <w:rPr>
          <w:noProof/>
        </w:rPr>
        <w:t xml:space="preserve">Astfel cum se arată în tabelul 2 de mai jos, </w:t>
      </w:r>
      <w:r w:rsidRPr="00424FC0">
        <w:rPr>
          <w:b/>
          <w:noProof/>
        </w:rPr>
        <w:t>finanțarea suplimentară a provenit în principal din MRR, reprezentând 73,8 % din total</w:t>
      </w:r>
      <w:r w:rsidRPr="00424FC0">
        <w:rPr>
          <w:noProof/>
        </w:rPr>
        <w:t xml:space="preserve"> și, într-o măsură mult mai mică, din politica de coeziune.</w:t>
      </w:r>
    </w:p>
    <w:p w14:paraId="1A7BF771" w14:textId="346D6DAC" w:rsidR="388DE38C" w:rsidRPr="00424FC0" w:rsidRDefault="388DE38C" w:rsidP="00FE0847">
      <w:pPr>
        <w:pStyle w:val="Text2"/>
        <w:spacing w:after="0" w:line="276" w:lineRule="auto"/>
        <w:ind w:left="0"/>
        <w:rPr>
          <w:i/>
          <w:iCs/>
          <w:noProof/>
        </w:rPr>
      </w:pPr>
      <w:r w:rsidRPr="00424FC0">
        <w:rPr>
          <w:i/>
          <w:noProof/>
        </w:rPr>
        <w:t>Tabelul 2: Finanțarea eficienței energetice pe programe ale UE (în miliarde EUR)</w:t>
      </w:r>
    </w:p>
    <w:tbl>
      <w:tblPr>
        <w:tblW w:w="8520" w:type="dxa"/>
        <w:jc w:val="center"/>
        <w:tblLayout w:type="fixed"/>
        <w:tblCellMar>
          <w:left w:w="57" w:type="dxa"/>
          <w:right w:w="57" w:type="dxa"/>
        </w:tblCellMar>
        <w:tblLook w:val="04A0" w:firstRow="1" w:lastRow="0" w:firstColumn="1" w:lastColumn="0" w:noHBand="0" w:noVBand="1"/>
      </w:tblPr>
      <w:tblGrid>
        <w:gridCol w:w="2987"/>
        <w:gridCol w:w="1276"/>
        <w:gridCol w:w="1276"/>
        <w:gridCol w:w="1128"/>
        <w:gridCol w:w="1853"/>
      </w:tblGrid>
      <w:tr w:rsidR="009A067E" w:rsidRPr="00424FC0" w14:paraId="4FDAA411" w14:textId="47607619" w:rsidTr="009A067E">
        <w:trPr>
          <w:trHeight w:val="453"/>
          <w:jc w:val="center"/>
        </w:trPr>
        <w:tc>
          <w:tcPr>
            <w:tcW w:w="2987" w:type="dxa"/>
            <w:tcBorders>
              <w:top w:val="single" w:sz="4" w:space="0" w:color="auto"/>
              <w:left w:val="single" w:sz="4" w:space="0" w:color="auto"/>
              <w:bottom w:val="single" w:sz="4" w:space="0" w:color="auto"/>
              <w:right w:val="single" w:sz="4" w:space="0" w:color="auto"/>
            </w:tcBorders>
            <w:noWrap/>
            <w:vAlign w:val="center"/>
            <w:hideMark/>
          </w:tcPr>
          <w:p w14:paraId="4BCCA426" w14:textId="7AEE0C45" w:rsidR="009674B9" w:rsidRPr="00424FC0" w:rsidRDefault="009674B9" w:rsidP="007D751C">
            <w:pPr>
              <w:spacing w:after="0" w:line="276" w:lineRule="auto"/>
              <w:jc w:val="left"/>
              <w:rPr>
                <w:noProof/>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04C223D8" w14:textId="662FB501" w:rsidR="009674B9" w:rsidRPr="00424FC0" w:rsidRDefault="009674B9" w:rsidP="007D751C">
            <w:pPr>
              <w:spacing w:after="0" w:line="276" w:lineRule="auto"/>
              <w:jc w:val="center"/>
              <w:rPr>
                <w:b/>
                <w:bCs/>
                <w:noProof/>
                <w:szCs w:val="24"/>
              </w:rPr>
            </w:pPr>
            <w:r w:rsidRPr="00424FC0">
              <w:rPr>
                <w:b/>
                <w:noProof/>
              </w:rPr>
              <w:t>2014-2020</w:t>
            </w:r>
          </w:p>
        </w:tc>
        <w:tc>
          <w:tcPr>
            <w:tcW w:w="1276" w:type="dxa"/>
            <w:tcBorders>
              <w:top w:val="single" w:sz="4" w:space="0" w:color="auto"/>
              <w:left w:val="nil"/>
              <w:bottom w:val="single" w:sz="4" w:space="0" w:color="auto"/>
              <w:right w:val="single" w:sz="4" w:space="0" w:color="auto"/>
            </w:tcBorders>
            <w:noWrap/>
            <w:vAlign w:val="center"/>
            <w:hideMark/>
          </w:tcPr>
          <w:p w14:paraId="26E5C75F" w14:textId="79BBECF8" w:rsidR="009674B9" w:rsidRPr="00424FC0" w:rsidRDefault="009674B9" w:rsidP="007D751C">
            <w:pPr>
              <w:spacing w:after="0" w:line="276" w:lineRule="auto"/>
              <w:jc w:val="center"/>
              <w:rPr>
                <w:b/>
                <w:bCs/>
                <w:noProof/>
                <w:szCs w:val="24"/>
              </w:rPr>
            </w:pPr>
            <w:r w:rsidRPr="00424FC0">
              <w:rPr>
                <w:b/>
                <w:noProof/>
              </w:rPr>
              <w:t>2021-2027</w:t>
            </w:r>
          </w:p>
        </w:tc>
        <w:tc>
          <w:tcPr>
            <w:tcW w:w="1128" w:type="dxa"/>
            <w:tcBorders>
              <w:top w:val="single" w:sz="4" w:space="0" w:color="auto"/>
              <w:left w:val="nil"/>
              <w:bottom w:val="single" w:sz="4" w:space="0" w:color="auto"/>
              <w:right w:val="single" w:sz="4" w:space="0" w:color="auto"/>
            </w:tcBorders>
            <w:noWrap/>
            <w:vAlign w:val="center"/>
            <w:hideMark/>
          </w:tcPr>
          <w:p w14:paraId="581E604D" w14:textId="3024EF47" w:rsidR="009674B9" w:rsidRPr="00424FC0" w:rsidRDefault="004F571F" w:rsidP="007D751C">
            <w:pPr>
              <w:spacing w:after="0" w:line="276" w:lineRule="auto"/>
              <w:jc w:val="center"/>
              <w:rPr>
                <w:b/>
                <w:bCs/>
                <w:noProof/>
                <w:szCs w:val="24"/>
              </w:rPr>
            </w:pPr>
            <w:r w:rsidRPr="00424FC0">
              <w:rPr>
                <w:b/>
                <w:noProof/>
              </w:rPr>
              <w:t>Creștere (%)</w:t>
            </w:r>
          </w:p>
        </w:tc>
        <w:tc>
          <w:tcPr>
            <w:tcW w:w="1853" w:type="dxa"/>
            <w:tcBorders>
              <w:top w:val="single" w:sz="4" w:space="0" w:color="auto"/>
              <w:left w:val="single" w:sz="4" w:space="0" w:color="auto"/>
              <w:bottom w:val="single" w:sz="4" w:space="0" w:color="auto"/>
              <w:right w:val="single" w:sz="4" w:space="0" w:color="auto"/>
            </w:tcBorders>
            <w:vAlign w:val="center"/>
          </w:tcPr>
          <w:p w14:paraId="018F8740" w14:textId="66058B1E" w:rsidR="009674B9" w:rsidRPr="00424FC0" w:rsidRDefault="0047401C" w:rsidP="007D751C">
            <w:pPr>
              <w:spacing w:after="0" w:line="276" w:lineRule="auto"/>
              <w:jc w:val="center"/>
              <w:rPr>
                <w:b/>
                <w:bCs/>
                <w:noProof/>
                <w:szCs w:val="24"/>
              </w:rPr>
            </w:pPr>
            <w:r w:rsidRPr="00424FC0">
              <w:rPr>
                <w:b/>
                <w:noProof/>
              </w:rPr>
              <w:t>Procent din actualul CFM (%)</w:t>
            </w:r>
          </w:p>
        </w:tc>
      </w:tr>
      <w:tr w:rsidR="009A067E" w:rsidRPr="00424FC0" w14:paraId="647F5CDB" w14:textId="3FFEF58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11D50F86" w14:textId="6186DBFA" w:rsidR="009674B9" w:rsidRPr="00424FC0" w:rsidRDefault="009674B9" w:rsidP="007D751C">
            <w:pPr>
              <w:spacing w:after="0" w:line="276" w:lineRule="auto"/>
              <w:jc w:val="left"/>
              <w:rPr>
                <w:b/>
                <w:noProof/>
                <w:szCs w:val="24"/>
              </w:rPr>
            </w:pPr>
            <w:r w:rsidRPr="00424FC0">
              <w:rPr>
                <w:b/>
                <w:noProof/>
              </w:rPr>
              <w:t>Total UE</w:t>
            </w:r>
          </w:p>
        </w:tc>
        <w:tc>
          <w:tcPr>
            <w:tcW w:w="1276" w:type="dxa"/>
            <w:tcBorders>
              <w:top w:val="nil"/>
              <w:left w:val="nil"/>
              <w:bottom w:val="single" w:sz="4" w:space="0" w:color="auto"/>
              <w:right w:val="single" w:sz="4" w:space="0" w:color="auto"/>
            </w:tcBorders>
            <w:noWrap/>
            <w:vAlign w:val="center"/>
            <w:hideMark/>
          </w:tcPr>
          <w:p w14:paraId="35C13802" w14:textId="47CFE933" w:rsidR="009674B9" w:rsidRPr="00424FC0" w:rsidRDefault="002D43C9" w:rsidP="007D751C">
            <w:pPr>
              <w:spacing w:after="0" w:line="276" w:lineRule="auto"/>
              <w:jc w:val="center"/>
              <w:rPr>
                <w:b/>
                <w:noProof/>
                <w:color w:val="000000"/>
                <w:szCs w:val="24"/>
              </w:rPr>
            </w:pPr>
            <w:r w:rsidRPr="00424FC0">
              <w:rPr>
                <w:b/>
                <w:noProof/>
                <w:color w:val="000000"/>
              </w:rPr>
              <w:t>21,0</w:t>
            </w:r>
          </w:p>
        </w:tc>
        <w:tc>
          <w:tcPr>
            <w:tcW w:w="1276" w:type="dxa"/>
            <w:tcBorders>
              <w:top w:val="nil"/>
              <w:left w:val="nil"/>
              <w:bottom w:val="single" w:sz="4" w:space="0" w:color="auto"/>
              <w:right w:val="single" w:sz="4" w:space="0" w:color="auto"/>
            </w:tcBorders>
            <w:noWrap/>
            <w:vAlign w:val="center"/>
            <w:hideMark/>
          </w:tcPr>
          <w:p w14:paraId="508E84A2" w14:textId="321C7A7F" w:rsidR="009674B9" w:rsidRPr="00424FC0" w:rsidRDefault="009674B9" w:rsidP="007D751C">
            <w:pPr>
              <w:spacing w:after="0" w:line="276" w:lineRule="auto"/>
              <w:jc w:val="center"/>
              <w:rPr>
                <w:b/>
                <w:noProof/>
                <w:color w:val="000000"/>
                <w:szCs w:val="24"/>
              </w:rPr>
            </w:pPr>
            <w:r w:rsidRPr="00424FC0">
              <w:rPr>
                <w:b/>
                <w:noProof/>
                <w:color w:val="000000"/>
              </w:rPr>
              <w:t>144,7</w:t>
            </w:r>
          </w:p>
        </w:tc>
        <w:tc>
          <w:tcPr>
            <w:tcW w:w="1128" w:type="dxa"/>
            <w:tcBorders>
              <w:top w:val="nil"/>
              <w:left w:val="nil"/>
              <w:bottom w:val="single" w:sz="4" w:space="0" w:color="auto"/>
              <w:right w:val="single" w:sz="4" w:space="0" w:color="auto"/>
            </w:tcBorders>
            <w:noWrap/>
            <w:vAlign w:val="center"/>
            <w:hideMark/>
          </w:tcPr>
          <w:p w14:paraId="068327E0" w14:textId="57048CBE" w:rsidR="009674B9" w:rsidRPr="00424FC0" w:rsidRDefault="004C109E" w:rsidP="007D751C">
            <w:pPr>
              <w:spacing w:after="0" w:line="276" w:lineRule="auto"/>
              <w:jc w:val="center"/>
              <w:rPr>
                <w:b/>
                <w:noProof/>
                <w:szCs w:val="24"/>
              </w:rPr>
            </w:pPr>
            <w:r w:rsidRPr="00424FC0">
              <w:rPr>
                <w:b/>
                <w:noProof/>
              </w:rPr>
              <w:t>822</w:t>
            </w:r>
          </w:p>
        </w:tc>
        <w:tc>
          <w:tcPr>
            <w:tcW w:w="1853" w:type="dxa"/>
            <w:tcBorders>
              <w:top w:val="single" w:sz="4" w:space="0" w:color="auto"/>
              <w:left w:val="single" w:sz="4" w:space="0" w:color="auto"/>
              <w:bottom w:val="single" w:sz="4" w:space="0" w:color="auto"/>
              <w:right w:val="single" w:sz="4" w:space="0" w:color="auto"/>
            </w:tcBorders>
            <w:vAlign w:val="center"/>
          </w:tcPr>
          <w:p w14:paraId="287DF79B" w14:textId="06C72729" w:rsidR="009674B9" w:rsidRPr="00424FC0" w:rsidRDefault="009674B9" w:rsidP="007D751C">
            <w:pPr>
              <w:spacing w:after="0" w:line="276" w:lineRule="auto"/>
              <w:jc w:val="center"/>
              <w:rPr>
                <w:rFonts w:eastAsia="Calibri"/>
                <w:b/>
                <w:iCs/>
                <w:noProof/>
                <w:szCs w:val="24"/>
              </w:rPr>
            </w:pPr>
            <w:r w:rsidRPr="00424FC0">
              <w:rPr>
                <w:b/>
                <w:noProof/>
              </w:rPr>
              <w:t>100,0</w:t>
            </w:r>
          </w:p>
        </w:tc>
      </w:tr>
      <w:tr w:rsidR="009A067E" w:rsidRPr="00424FC0" w14:paraId="65CAEEA1" w14:textId="78C270EB"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051A1F0B" w14:textId="26EE0153" w:rsidR="009674B9" w:rsidRPr="00424FC0" w:rsidRDefault="009674B9" w:rsidP="007D751C">
            <w:pPr>
              <w:spacing w:after="0" w:line="276" w:lineRule="auto"/>
              <w:jc w:val="left"/>
              <w:rPr>
                <w:noProof/>
                <w:szCs w:val="24"/>
              </w:rPr>
            </w:pPr>
            <w:r w:rsidRPr="00424FC0">
              <w:rPr>
                <w:noProof/>
              </w:rPr>
              <w:t xml:space="preserve">Fonduri ale politicii de coeziune </w:t>
            </w:r>
          </w:p>
        </w:tc>
        <w:tc>
          <w:tcPr>
            <w:tcW w:w="1276" w:type="dxa"/>
            <w:tcBorders>
              <w:top w:val="nil"/>
              <w:left w:val="nil"/>
              <w:bottom w:val="single" w:sz="4" w:space="0" w:color="auto"/>
              <w:right w:val="single" w:sz="4" w:space="0" w:color="auto"/>
            </w:tcBorders>
            <w:noWrap/>
            <w:vAlign w:val="center"/>
            <w:hideMark/>
          </w:tcPr>
          <w:p w14:paraId="5625A889" w14:textId="3DF16B48" w:rsidR="009674B9" w:rsidRPr="00424FC0" w:rsidRDefault="009674B9" w:rsidP="007D751C">
            <w:pPr>
              <w:spacing w:after="0" w:line="276" w:lineRule="auto"/>
              <w:jc w:val="center"/>
              <w:rPr>
                <w:noProof/>
                <w:color w:val="000000"/>
                <w:szCs w:val="24"/>
              </w:rPr>
            </w:pPr>
            <w:r w:rsidRPr="00424FC0">
              <w:rPr>
                <w:noProof/>
                <w:color w:val="000000"/>
              </w:rPr>
              <w:t>17,8</w:t>
            </w:r>
          </w:p>
        </w:tc>
        <w:tc>
          <w:tcPr>
            <w:tcW w:w="1276" w:type="dxa"/>
            <w:tcBorders>
              <w:top w:val="nil"/>
              <w:left w:val="nil"/>
              <w:bottom w:val="single" w:sz="4" w:space="0" w:color="auto"/>
              <w:right w:val="single" w:sz="4" w:space="0" w:color="auto"/>
            </w:tcBorders>
            <w:noWrap/>
            <w:vAlign w:val="center"/>
            <w:hideMark/>
          </w:tcPr>
          <w:p w14:paraId="7DBF6ACE" w14:textId="7B23E652" w:rsidR="009674B9" w:rsidRPr="00424FC0" w:rsidRDefault="009674B9" w:rsidP="007D751C">
            <w:pPr>
              <w:spacing w:after="0" w:line="276" w:lineRule="auto"/>
              <w:jc w:val="center"/>
              <w:rPr>
                <w:noProof/>
                <w:color w:val="000000"/>
                <w:szCs w:val="24"/>
              </w:rPr>
            </w:pPr>
            <w:r w:rsidRPr="00424FC0">
              <w:rPr>
                <w:noProof/>
                <w:color w:val="000000" w:themeColor="text1"/>
              </w:rPr>
              <w:t>29,0</w:t>
            </w:r>
          </w:p>
        </w:tc>
        <w:tc>
          <w:tcPr>
            <w:tcW w:w="1128" w:type="dxa"/>
            <w:tcBorders>
              <w:top w:val="nil"/>
              <w:left w:val="nil"/>
              <w:bottom w:val="single" w:sz="4" w:space="0" w:color="auto"/>
              <w:right w:val="single" w:sz="4" w:space="0" w:color="auto"/>
            </w:tcBorders>
            <w:noWrap/>
            <w:vAlign w:val="center"/>
            <w:hideMark/>
          </w:tcPr>
          <w:p w14:paraId="33715547" w14:textId="02052A8F" w:rsidR="009674B9" w:rsidRPr="00424FC0" w:rsidRDefault="009674B9" w:rsidP="007D751C">
            <w:pPr>
              <w:spacing w:after="0" w:line="276" w:lineRule="auto"/>
              <w:jc w:val="center"/>
              <w:rPr>
                <w:noProof/>
                <w:szCs w:val="24"/>
              </w:rPr>
            </w:pPr>
            <w:r w:rsidRPr="00424FC0">
              <w:rPr>
                <w:noProof/>
              </w:rPr>
              <w:t>132</w:t>
            </w:r>
          </w:p>
        </w:tc>
        <w:tc>
          <w:tcPr>
            <w:tcW w:w="1853" w:type="dxa"/>
            <w:tcBorders>
              <w:top w:val="single" w:sz="4" w:space="0" w:color="auto"/>
              <w:left w:val="single" w:sz="4" w:space="0" w:color="auto"/>
              <w:bottom w:val="single" w:sz="4" w:space="0" w:color="auto"/>
              <w:right w:val="single" w:sz="4" w:space="0" w:color="auto"/>
            </w:tcBorders>
            <w:vAlign w:val="center"/>
          </w:tcPr>
          <w:p w14:paraId="21372C17" w14:textId="79FEA7C2" w:rsidR="009674B9" w:rsidRPr="00424FC0" w:rsidRDefault="002D43C9" w:rsidP="007D751C">
            <w:pPr>
              <w:spacing w:after="0" w:line="276" w:lineRule="auto"/>
              <w:jc w:val="center"/>
              <w:rPr>
                <w:rFonts w:eastAsia="Calibri"/>
                <w:iCs/>
                <w:noProof/>
                <w:szCs w:val="24"/>
              </w:rPr>
            </w:pPr>
            <w:r w:rsidRPr="00424FC0">
              <w:rPr>
                <w:noProof/>
              </w:rPr>
              <w:t>20,6</w:t>
            </w:r>
          </w:p>
        </w:tc>
      </w:tr>
      <w:tr w:rsidR="009A067E" w:rsidRPr="00424FC0" w14:paraId="09D9A74E" w14:textId="4318E2BA"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353194BE" w14:textId="2877A043" w:rsidR="009674B9" w:rsidRPr="00424FC0" w:rsidRDefault="009674B9" w:rsidP="007D751C">
            <w:pPr>
              <w:spacing w:after="0" w:line="276" w:lineRule="auto"/>
              <w:jc w:val="left"/>
              <w:rPr>
                <w:noProof/>
                <w:szCs w:val="24"/>
              </w:rPr>
            </w:pPr>
            <w:r w:rsidRPr="00424FC0">
              <w:rPr>
                <w:noProof/>
              </w:rPr>
              <w:t>Fonduri agricole</w:t>
            </w:r>
          </w:p>
        </w:tc>
        <w:tc>
          <w:tcPr>
            <w:tcW w:w="1276" w:type="dxa"/>
            <w:tcBorders>
              <w:top w:val="nil"/>
              <w:left w:val="nil"/>
              <w:bottom w:val="single" w:sz="4" w:space="0" w:color="auto"/>
              <w:right w:val="single" w:sz="4" w:space="0" w:color="auto"/>
            </w:tcBorders>
            <w:noWrap/>
            <w:vAlign w:val="center"/>
            <w:hideMark/>
          </w:tcPr>
          <w:p w14:paraId="4A241956" w14:textId="5001C8EE" w:rsidR="009674B9" w:rsidRPr="00424FC0" w:rsidRDefault="009674B9" w:rsidP="007D751C">
            <w:pPr>
              <w:spacing w:after="0" w:line="276" w:lineRule="auto"/>
              <w:jc w:val="center"/>
              <w:rPr>
                <w:noProof/>
                <w:color w:val="000000"/>
                <w:szCs w:val="24"/>
              </w:rPr>
            </w:pPr>
            <w:r w:rsidRPr="00424FC0">
              <w:rPr>
                <w:noProof/>
                <w:color w:val="000000"/>
              </w:rPr>
              <w:t>0,7</w:t>
            </w:r>
          </w:p>
        </w:tc>
        <w:tc>
          <w:tcPr>
            <w:tcW w:w="1276" w:type="dxa"/>
            <w:tcBorders>
              <w:top w:val="nil"/>
              <w:left w:val="nil"/>
              <w:bottom w:val="single" w:sz="4" w:space="0" w:color="auto"/>
              <w:right w:val="single" w:sz="4" w:space="0" w:color="auto"/>
            </w:tcBorders>
            <w:noWrap/>
            <w:vAlign w:val="center"/>
            <w:hideMark/>
          </w:tcPr>
          <w:p w14:paraId="65ECC9B0" w14:textId="74B42A6A" w:rsidR="009674B9" w:rsidRPr="00424FC0" w:rsidRDefault="009674B9" w:rsidP="007D751C">
            <w:pPr>
              <w:spacing w:after="0" w:line="276" w:lineRule="auto"/>
              <w:jc w:val="center"/>
              <w:rPr>
                <w:noProof/>
                <w:color w:val="000000"/>
                <w:szCs w:val="24"/>
              </w:rPr>
            </w:pPr>
            <w:r w:rsidRPr="00424FC0">
              <w:rPr>
                <w:noProof/>
                <w:color w:val="000000"/>
              </w:rPr>
              <w:t>1,4</w:t>
            </w:r>
          </w:p>
        </w:tc>
        <w:tc>
          <w:tcPr>
            <w:tcW w:w="1128" w:type="dxa"/>
            <w:tcBorders>
              <w:top w:val="nil"/>
              <w:left w:val="nil"/>
              <w:bottom w:val="single" w:sz="4" w:space="0" w:color="auto"/>
              <w:right w:val="single" w:sz="4" w:space="0" w:color="auto"/>
            </w:tcBorders>
            <w:noWrap/>
            <w:vAlign w:val="center"/>
            <w:hideMark/>
          </w:tcPr>
          <w:p w14:paraId="48024FC9" w14:textId="0BFF573F" w:rsidR="009674B9" w:rsidRPr="00424FC0" w:rsidRDefault="009674B9" w:rsidP="007D751C">
            <w:pPr>
              <w:spacing w:after="0" w:line="276" w:lineRule="auto"/>
              <w:jc w:val="center"/>
              <w:rPr>
                <w:noProof/>
                <w:szCs w:val="24"/>
              </w:rPr>
            </w:pPr>
            <w:r w:rsidRPr="00424FC0">
              <w:rPr>
                <w:noProof/>
              </w:rPr>
              <w:t>100</w:t>
            </w:r>
          </w:p>
        </w:tc>
        <w:tc>
          <w:tcPr>
            <w:tcW w:w="1853" w:type="dxa"/>
            <w:tcBorders>
              <w:top w:val="single" w:sz="4" w:space="0" w:color="auto"/>
              <w:left w:val="single" w:sz="4" w:space="0" w:color="auto"/>
              <w:bottom w:val="single" w:sz="4" w:space="0" w:color="auto"/>
              <w:right w:val="single" w:sz="4" w:space="0" w:color="auto"/>
            </w:tcBorders>
            <w:vAlign w:val="center"/>
          </w:tcPr>
          <w:p w14:paraId="779BB402" w14:textId="198FD26F" w:rsidR="009674B9" w:rsidRPr="00424FC0" w:rsidRDefault="009674B9" w:rsidP="007D751C">
            <w:pPr>
              <w:spacing w:after="0" w:line="276" w:lineRule="auto"/>
              <w:jc w:val="center"/>
              <w:rPr>
                <w:rFonts w:eastAsia="Calibri"/>
                <w:iCs/>
                <w:noProof/>
                <w:szCs w:val="24"/>
              </w:rPr>
            </w:pPr>
            <w:r w:rsidRPr="00424FC0">
              <w:rPr>
                <w:noProof/>
              </w:rPr>
              <w:t>1,0</w:t>
            </w:r>
          </w:p>
        </w:tc>
      </w:tr>
      <w:tr w:rsidR="009A067E" w:rsidRPr="00424FC0" w14:paraId="29938C17" w14:textId="1C2446B3"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7DF40B83" w14:textId="21633761" w:rsidR="009674B9" w:rsidRPr="00424FC0" w:rsidRDefault="009674B9" w:rsidP="007D751C">
            <w:pPr>
              <w:spacing w:after="0" w:line="276" w:lineRule="auto"/>
              <w:jc w:val="left"/>
              <w:rPr>
                <w:noProof/>
                <w:szCs w:val="24"/>
              </w:rPr>
            </w:pPr>
            <w:r w:rsidRPr="00424FC0">
              <w:rPr>
                <w:noProof/>
              </w:rPr>
              <w:t xml:space="preserve">FEIS/InvestEU </w:t>
            </w:r>
          </w:p>
        </w:tc>
        <w:tc>
          <w:tcPr>
            <w:tcW w:w="1276" w:type="dxa"/>
            <w:tcBorders>
              <w:top w:val="nil"/>
              <w:left w:val="nil"/>
              <w:bottom w:val="single" w:sz="4" w:space="0" w:color="auto"/>
              <w:right w:val="single" w:sz="4" w:space="0" w:color="auto"/>
            </w:tcBorders>
            <w:noWrap/>
            <w:vAlign w:val="center"/>
            <w:hideMark/>
          </w:tcPr>
          <w:p w14:paraId="166A98ED" w14:textId="31589B09" w:rsidR="009674B9" w:rsidRPr="00424FC0" w:rsidRDefault="009674B9" w:rsidP="007D751C">
            <w:pPr>
              <w:spacing w:after="0" w:line="276" w:lineRule="auto"/>
              <w:jc w:val="center"/>
              <w:rPr>
                <w:noProof/>
                <w:color w:val="000000"/>
                <w:szCs w:val="24"/>
              </w:rPr>
            </w:pPr>
            <w:r w:rsidRPr="00424FC0">
              <w:rPr>
                <w:noProof/>
                <w:color w:val="000000"/>
              </w:rPr>
              <w:t>1,6</w:t>
            </w:r>
          </w:p>
        </w:tc>
        <w:tc>
          <w:tcPr>
            <w:tcW w:w="1276" w:type="dxa"/>
            <w:tcBorders>
              <w:top w:val="nil"/>
              <w:left w:val="nil"/>
              <w:bottom w:val="single" w:sz="4" w:space="0" w:color="auto"/>
              <w:right w:val="single" w:sz="4" w:space="0" w:color="auto"/>
            </w:tcBorders>
            <w:noWrap/>
            <w:vAlign w:val="center"/>
            <w:hideMark/>
          </w:tcPr>
          <w:p w14:paraId="12798B26" w14:textId="1DBC095D" w:rsidR="009674B9" w:rsidRPr="00424FC0" w:rsidRDefault="009674B9" w:rsidP="007D751C">
            <w:pPr>
              <w:spacing w:after="0" w:line="276" w:lineRule="auto"/>
              <w:jc w:val="center"/>
              <w:rPr>
                <w:noProof/>
                <w:color w:val="000000"/>
                <w:szCs w:val="24"/>
              </w:rPr>
            </w:pPr>
            <w:r w:rsidRPr="00424FC0">
              <w:rPr>
                <w:noProof/>
                <w:color w:val="000000"/>
              </w:rPr>
              <w:t>1,6</w:t>
            </w:r>
          </w:p>
        </w:tc>
        <w:tc>
          <w:tcPr>
            <w:tcW w:w="1128" w:type="dxa"/>
            <w:tcBorders>
              <w:top w:val="nil"/>
              <w:left w:val="nil"/>
              <w:bottom w:val="single" w:sz="4" w:space="0" w:color="auto"/>
              <w:right w:val="single" w:sz="4" w:space="0" w:color="auto"/>
            </w:tcBorders>
            <w:noWrap/>
            <w:vAlign w:val="center"/>
            <w:hideMark/>
          </w:tcPr>
          <w:p w14:paraId="5BDBFC7B" w14:textId="3AFDFC64" w:rsidR="009674B9" w:rsidRPr="00424FC0" w:rsidRDefault="009674B9" w:rsidP="007D751C">
            <w:pPr>
              <w:spacing w:after="0" w:line="276" w:lineRule="auto"/>
              <w:jc w:val="center"/>
              <w:rPr>
                <w:noProof/>
                <w:szCs w:val="24"/>
              </w:rPr>
            </w:pPr>
            <w:r w:rsidRPr="00424FC0">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260EC87C" w14:textId="3C6688BC" w:rsidR="009674B9" w:rsidRPr="00424FC0" w:rsidRDefault="009674B9" w:rsidP="007D751C">
            <w:pPr>
              <w:spacing w:after="0" w:line="276" w:lineRule="auto"/>
              <w:jc w:val="center"/>
              <w:rPr>
                <w:rFonts w:eastAsia="Calibri"/>
                <w:iCs/>
                <w:noProof/>
                <w:szCs w:val="24"/>
              </w:rPr>
            </w:pPr>
            <w:r w:rsidRPr="00424FC0">
              <w:rPr>
                <w:noProof/>
              </w:rPr>
              <w:t>1,1</w:t>
            </w:r>
          </w:p>
        </w:tc>
      </w:tr>
      <w:tr w:rsidR="009A067E" w:rsidRPr="00424FC0" w14:paraId="0E300668" w14:textId="0A145A75"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1C722281" w14:textId="10A4A275" w:rsidR="009674B9" w:rsidRPr="00424FC0" w:rsidRDefault="009674B9" w:rsidP="007D751C">
            <w:pPr>
              <w:spacing w:after="0" w:line="276" w:lineRule="auto"/>
              <w:jc w:val="left"/>
              <w:rPr>
                <w:noProof/>
                <w:szCs w:val="24"/>
              </w:rPr>
            </w:pPr>
            <w:r w:rsidRPr="00424FC0">
              <w:rPr>
                <w:noProof/>
              </w:rPr>
              <w:t xml:space="preserve">Programe specifice de eficiență energetică (LIFE CET, ELENA, Orizont Europa) </w:t>
            </w:r>
          </w:p>
        </w:tc>
        <w:tc>
          <w:tcPr>
            <w:tcW w:w="1276" w:type="dxa"/>
            <w:tcBorders>
              <w:top w:val="nil"/>
              <w:left w:val="nil"/>
              <w:bottom w:val="single" w:sz="4" w:space="0" w:color="auto"/>
              <w:right w:val="single" w:sz="4" w:space="0" w:color="auto"/>
            </w:tcBorders>
            <w:noWrap/>
            <w:vAlign w:val="center"/>
            <w:hideMark/>
          </w:tcPr>
          <w:p w14:paraId="61A261AA" w14:textId="611489FE" w:rsidR="009674B9" w:rsidRPr="00424FC0" w:rsidRDefault="009674B9" w:rsidP="007D751C">
            <w:pPr>
              <w:spacing w:after="0" w:line="276" w:lineRule="auto"/>
              <w:jc w:val="center"/>
              <w:rPr>
                <w:noProof/>
                <w:color w:val="000000"/>
                <w:szCs w:val="24"/>
              </w:rPr>
            </w:pPr>
            <w:r w:rsidRPr="00424FC0">
              <w:rPr>
                <w:noProof/>
                <w:color w:val="000000" w:themeColor="text1"/>
              </w:rPr>
              <w:t>0,9</w:t>
            </w:r>
          </w:p>
        </w:tc>
        <w:tc>
          <w:tcPr>
            <w:tcW w:w="1276" w:type="dxa"/>
            <w:tcBorders>
              <w:top w:val="nil"/>
              <w:left w:val="nil"/>
              <w:bottom w:val="single" w:sz="4" w:space="0" w:color="auto"/>
              <w:right w:val="single" w:sz="4" w:space="0" w:color="auto"/>
            </w:tcBorders>
            <w:noWrap/>
            <w:vAlign w:val="center"/>
            <w:hideMark/>
          </w:tcPr>
          <w:p w14:paraId="2D899671" w14:textId="49709134" w:rsidR="009674B9" w:rsidRPr="00424FC0" w:rsidRDefault="004553A8" w:rsidP="007D751C">
            <w:pPr>
              <w:spacing w:after="0" w:line="276" w:lineRule="auto"/>
              <w:jc w:val="center"/>
              <w:rPr>
                <w:noProof/>
                <w:color w:val="000000"/>
                <w:szCs w:val="24"/>
              </w:rPr>
            </w:pPr>
            <w:r w:rsidRPr="00424FC0">
              <w:rPr>
                <w:noProof/>
                <w:color w:val="000000"/>
              </w:rPr>
              <w:t>2,0</w:t>
            </w:r>
          </w:p>
        </w:tc>
        <w:tc>
          <w:tcPr>
            <w:tcW w:w="1128" w:type="dxa"/>
            <w:tcBorders>
              <w:top w:val="nil"/>
              <w:left w:val="nil"/>
              <w:bottom w:val="single" w:sz="4" w:space="0" w:color="auto"/>
              <w:right w:val="single" w:sz="4" w:space="0" w:color="auto"/>
            </w:tcBorders>
            <w:noWrap/>
            <w:vAlign w:val="center"/>
            <w:hideMark/>
          </w:tcPr>
          <w:p w14:paraId="125D452B" w14:textId="460534A8" w:rsidR="009674B9" w:rsidRPr="00424FC0" w:rsidRDefault="004553A8" w:rsidP="007D751C">
            <w:pPr>
              <w:spacing w:after="0" w:line="276" w:lineRule="auto"/>
              <w:jc w:val="center"/>
              <w:rPr>
                <w:noProof/>
                <w:szCs w:val="24"/>
              </w:rPr>
            </w:pPr>
            <w:r w:rsidRPr="00424FC0">
              <w:rPr>
                <w:noProof/>
              </w:rPr>
              <w:t>122</w:t>
            </w:r>
          </w:p>
        </w:tc>
        <w:tc>
          <w:tcPr>
            <w:tcW w:w="1853" w:type="dxa"/>
            <w:tcBorders>
              <w:top w:val="single" w:sz="4" w:space="0" w:color="auto"/>
              <w:left w:val="single" w:sz="4" w:space="0" w:color="auto"/>
              <w:bottom w:val="single" w:sz="4" w:space="0" w:color="auto"/>
              <w:right w:val="single" w:sz="4" w:space="0" w:color="auto"/>
            </w:tcBorders>
            <w:vAlign w:val="center"/>
          </w:tcPr>
          <w:p w14:paraId="787305B1" w14:textId="10D28923" w:rsidR="009674B9" w:rsidRPr="00424FC0" w:rsidRDefault="009674B9" w:rsidP="007D751C">
            <w:pPr>
              <w:spacing w:after="0" w:line="276" w:lineRule="auto"/>
              <w:jc w:val="center"/>
              <w:rPr>
                <w:rFonts w:eastAsia="Calibri"/>
                <w:iCs/>
                <w:noProof/>
                <w:szCs w:val="24"/>
              </w:rPr>
            </w:pPr>
            <w:r w:rsidRPr="00424FC0">
              <w:rPr>
                <w:noProof/>
              </w:rPr>
              <w:t>1,4</w:t>
            </w:r>
          </w:p>
        </w:tc>
      </w:tr>
      <w:tr w:rsidR="009A067E" w:rsidRPr="00424FC0" w14:paraId="41727B2B"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tcPr>
          <w:p w14:paraId="4E69DFF8" w14:textId="3783EC93" w:rsidR="009674B9" w:rsidRPr="00424FC0" w:rsidRDefault="009674B9" w:rsidP="007D751C">
            <w:pPr>
              <w:spacing w:after="0" w:line="276" w:lineRule="auto"/>
              <w:jc w:val="left"/>
              <w:rPr>
                <w:noProof/>
                <w:szCs w:val="24"/>
              </w:rPr>
            </w:pPr>
            <w:r w:rsidRPr="00424FC0">
              <w:rPr>
                <w:noProof/>
              </w:rPr>
              <w:t>Fondul pentru modernizare</w:t>
            </w:r>
          </w:p>
        </w:tc>
        <w:tc>
          <w:tcPr>
            <w:tcW w:w="1276" w:type="dxa"/>
            <w:tcBorders>
              <w:top w:val="nil"/>
              <w:left w:val="nil"/>
              <w:bottom w:val="single" w:sz="4" w:space="0" w:color="auto"/>
              <w:right w:val="single" w:sz="4" w:space="0" w:color="auto"/>
            </w:tcBorders>
            <w:noWrap/>
            <w:vAlign w:val="center"/>
          </w:tcPr>
          <w:p w14:paraId="4EC2116C" w14:textId="6148E57C" w:rsidR="009674B9" w:rsidRPr="00424FC0" w:rsidRDefault="009674B9" w:rsidP="007D751C">
            <w:pPr>
              <w:spacing w:after="0" w:line="276" w:lineRule="auto"/>
              <w:jc w:val="center"/>
              <w:rPr>
                <w:noProof/>
                <w:color w:val="000000" w:themeColor="text1"/>
                <w:szCs w:val="24"/>
              </w:rPr>
            </w:pPr>
            <w:r w:rsidRPr="00424FC0">
              <w:rPr>
                <w:noProof/>
                <w:color w:val="000000" w:themeColor="text1"/>
              </w:rPr>
              <w:t>-</w:t>
            </w:r>
          </w:p>
        </w:tc>
        <w:tc>
          <w:tcPr>
            <w:tcW w:w="1276" w:type="dxa"/>
            <w:tcBorders>
              <w:top w:val="nil"/>
              <w:left w:val="nil"/>
              <w:bottom w:val="single" w:sz="4" w:space="0" w:color="auto"/>
              <w:right w:val="single" w:sz="4" w:space="0" w:color="auto"/>
            </w:tcBorders>
            <w:noWrap/>
            <w:vAlign w:val="center"/>
          </w:tcPr>
          <w:p w14:paraId="06233E65" w14:textId="4770529B" w:rsidR="009674B9" w:rsidRPr="00424FC0" w:rsidRDefault="009674B9" w:rsidP="007D751C">
            <w:pPr>
              <w:spacing w:after="0" w:line="276" w:lineRule="auto"/>
              <w:jc w:val="center"/>
              <w:rPr>
                <w:noProof/>
                <w:color w:val="000000"/>
                <w:szCs w:val="24"/>
              </w:rPr>
            </w:pPr>
            <w:r w:rsidRPr="00424FC0">
              <w:rPr>
                <w:noProof/>
                <w:color w:val="000000" w:themeColor="text1"/>
              </w:rPr>
              <w:t>6,8</w:t>
            </w:r>
          </w:p>
        </w:tc>
        <w:tc>
          <w:tcPr>
            <w:tcW w:w="1128" w:type="dxa"/>
            <w:tcBorders>
              <w:top w:val="nil"/>
              <w:left w:val="nil"/>
              <w:bottom w:val="single" w:sz="4" w:space="0" w:color="auto"/>
              <w:right w:val="single" w:sz="4" w:space="0" w:color="auto"/>
            </w:tcBorders>
            <w:noWrap/>
            <w:vAlign w:val="center"/>
          </w:tcPr>
          <w:p w14:paraId="111D5A39" w14:textId="23B6B128" w:rsidR="009674B9" w:rsidRPr="00424FC0" w:rsidRDefault="009674B9" w:rsidP="007D751C">
            <w:pPr>
              <w:spacing w:after="0" w:line="276" w:lineRule="auto"/>
              <w:jc w:val="center"/>
              <w:rPr>
                <w:noProof/>
                <w:szCs w:val="24"/>
              </w:rPr>
            </w:pPr>
            <w:r w:rsidRPr="00424FC0">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5ADBE87A" w14:textId="4F201652" w:rsidR="009674B9" w:rsidRPr="00424FC0" w:rsidRDefault="009674B9" w:rsidP="007D751C">
            <w:pPr>
              <w:spacing w:after="0" w:line="276" w:lineRule="auto"/>
              <w:jc w:val="center"/>
              <w:rPr>
                <w:rFonts w:eastAsia="Calibri"/>
                <w:iCs/>
                <w:noProof/>
                <w:szCs w:val="24"/>
              </w:rPr>
            </w:pPr>
            <w:r w:rsidRPr="00424FC0">
              <w:rPr>
                <w:noProof/>
              </w:rPr>
              <w:t>4,8</w:t>
            </w:r>
          </w:p>
        </w:tc>
      </w:tr>
      <w:tr w:rsidR="009A067E" w:rsidRPr="00424FC0" w14:paraId="3F75D435" w14:textId="2343A60F"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63728963" w14:textId="489DD4DF" w:rsidR="009674B9" w:rsidRPr="00424FC0" w:rsidRDefault="009674B9" w:rsidP="007D751C">
            <w:pPr>
              <w:spacing w:after="0" w:line="276" w:lineRule="auto"/>
              <w:jc w:val="left"/>
              <w:rPr>
                <w:bCs/>
                <w:noProof/>
                <w:szCs w:val="24"/>
              </w:rPr>
            </w:pPr>
            <w:r w:rsidRPr="00424FC0">
              <w:rPr>
                <w:noProof/>
              </w:rPr>
              <w:t>MRR</w:t>
            </w:r>
          </w:p>
        </w:tc>
        <w:tc>
          <w:tcPr>
            <w:tcW w:w="1276" w:type="dxa"/>
            <w:tcBorders>
              <w:top w:val="nil"/>
              <w:left w:val="nil"/>
              <w:bottom w:val="single" w:sz="4" w:space="0" w:color="auto"/>
              <w:right w:val="single" w:sz="4" w:space="0" w:color="auto"/>
            </w:tcBorders>
            <w:noWrap/>
            <w:vAlign w:val="center"/>
            <w:hideMark/>
          </w:tcPr>
          <w:p w14:paraId="3C0D915A" w14:textId="4C487A74" w:rsidR="009674B9" w:rsidRPr="00424FC0" w:rsidRDefault="009674B9" w:rsidP="007D751C">
            <w:pPr>
              <w:spacing w:after="0" w:line="276" w:lineRule="auto"/>
              <w:jc w:val="center"/>
              <w:rPr>
                <w:bCs/>
                <w:noProof/>
                <w:color w:val="000000"/>
                <w:szCs w:val="24"/>
              </w:rPr>
            </w:pPr>
            <w:r w:rsidRPr="00424FC0">
              <w:rPr>
                <w:noProof/>
                <w:color w:val="000000"/>
              </w:rPr>
              <w:t>-</w:t>
            </w:r>
          </w:p>
        </w:tc>
        <w:tc>
          <w:tcPr>
            <w:tcW w:w="1276" w:type="dxa"/>
            <w:tcBorders>
              <w:top w:val="nil"/>
              <w:left w:val="nil"/>
              <w:bottom w:val="single" w:sz="4" w:space="0" w:color="auto"/>
              <w:right w:val="single" w:sz="4" w:space="0" w:color="auto"/>
            </w:tcBorders>
            <w:noWrap/>
            <w:vAlign w:val="center"/>
            <w:hideMark/>
          </w:tcPr>
          <w:p w14:paraId="6F8E033B" w14:textId="1352B09B" w:rsidR="009674B9" w:rsidRPr="00424FC0" w:rsidRDefault="009674B9" w:rsidP="007D751C">
            <w:pPr>
              <w:spacing w:after="0" w:line="276" w:lineRule="auto"/>
              <w:jc w:val="center"/>
              <w:rPr>
                <w:bCs/>
                <w:noProof/>
                <w:color w:val="000000"/>
                <w:szCs w:val="24"/>
              </w:rPr>
            </w:pPr>
            <w:r w:rsidRPr="00424FC0">
              <w:rPr>
                <w:noProof/>
                <w:color w:val="000000" w:themeColor="text1"/>
              </w:rPr>
              <w:t>103,9 (</w:t>
            </w:r>
            <w:r w:rsidRPr="00424FC0">
              <w:rPr>
                <w:rStyle w:val="FootnoteReference"/>
                <w:noProof/>
                <w:color w:val="000000" w:themeColor="text1"/>
                <w:szCs w:val="24"/>
                <w:lang w:eastAsia="en-IE"/>
              </w:rPr>
              <w:footnoteReference w:id="9"/>
            </w:r>
            <w:r w:rsidRPr="00424FC0">
              <w:rPr>
                <w:noProof/>
                <w:color w:val="000000" w:themeColor="text1"/>
              </w:rPr>
              <w:t>) </w:t>
            </w:r>
          </w:p>
        </w:tc>
        <w:tc>
          <w:tcPr>
            <w:tcW w:w="1128" w:type="dxa"/>
            <w:tcBorders>
              <w:top w:val="nil"/>
              <w:left w:val="nil"/>
              <w:bottom w:val="single" w:sz="4" w:space="0" w:color="auto"/>
              <w:right w:val="single" w:sz="4" w:space="0" w:color="auto"/>
            </w:tcBorders>
            <w:noWrap/>
            <w:vAlign w:val="center"/>
            <w:hideMark/>
          </w:tcPr>
          <w:p w14:paraId="361EF0F6" w14:textId="5B46B496" w:rsidR="009674B9" w:rsidRPr="00424FC0" w:rsidRDefault="009674B9" w:rsidP="007D751C">
            <w:pPr>
              <w:spacing w:after="0" w:line="276" w:lineRule="auto"/>
              <w:jc w:val="center"/>
              <w:rPr>
                <w:bCs/>
                <w:noProof/>
                <w:szCs w:val="24"/>
              </w:rPr>
            </w:pPr>
            <w:r w:rsidRPr="00424FC0">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6D7112DE" w14:textId="41357805" w:rsidR="009674B9" w:rsidRPr="00424FC0" w:rsidRDefault="009674B9" w:rsidP="007D751C">
            <w:pPr>
              <w:spacing w:after="0" w:line="276" w:lineRule="auto"/>
              <w:jc w:val="center"/>
              <w:rPr>
                <w:rFonts w:eastAsia="Calibri"/>
                <w:bCs/>
                <w:iCs/>
                <w:noProof/>
                <w:szCs w:val="24"/>
              </w:rPr>
            </w:pPr>
            <w:r w:rsidRPr="00424FC0">
              <w:rPr>
                <w:noProof/>
              </w:rPr>
              <w:t>73,8</w:t>
            </w:r>
          </w:p>
        </w:tc>
      </w:tr>
      <w:tr w:rsidR="009A067E" w:rsidRPr="00424FC0" w14:paraId="34C15321"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tcPr>
          <w:p w14:paraId="21F1684B" w14:textId="4D6D95CB" w:rsidR="009674B9" w:rsidRPr="00424FC0" w:rsidRDefault="009674B9" w:rsidP="007D751C">
            <w:pPr>
              <w:spacing w:after="0" w:line="276" w:lineRule="auto"/>
              <w:jc w:val="right"/>
              <w:rPr>
                <w:i/>
                <w:iCs/>
                <w:noProof/>
                <w:szCs w:val="24"/>
              </w:rPr>
            </w:pPr>
            <w:r w:rsidRPr="00424FC0">
              <w:rPr>
                <w:i/>
                <w:noProof/>
              </w:rPr>
              <w:t>MRR pentru clădiri</w:t>
            </w:r>
          </w:p>
        </w:tc>
        <w:tc>
          <w:tcPr>
            <w:tcW w:w="1276" w:type="dxa"/>
            <w:tcBorders>
              <w:top w:val="nil"/>
              <w:left w:val="nil"/>
              <w:bottom w:val="single" w:sz="4" w:space="0" w:color="auto"/>
              <w:right w:val="single" w:sz="4" w:space="0" w:color="auto"/>
            </w:tcBorders>
            <w:noWrap/>
            <w:vAlign w:val="center"/>
          </w:tcPr>
          <w:p w14:paraId="453AC8AE" w14:textId="70A1E371" w:rsidR="009674B9" w:rsidRPr="00424FC0" w:rsidRDefault="009674B9" w:rsidP="007D751C">
            <w:pPr>
              <w:spacing w:after="0" w:line="276" w:lineRule="auto"/>
              <w:jc w:val="center"/>
              <w:rPr>
                <w:noProof/>
                <w:color w:val="000000"/>
                <w:szCs w:val="24"/>
              </w:rPr>
            </w:pPr>
            <w:r w:rsidRPr="00424FC0">
              <w:rPr>
                <w:noProof/>
                <w:color w:val="000000"/>
              </w:rPr>
              <w:t>-</w:t>
            </w:r>
          </w:p>
        </w:tc>
        <w:tc>
          <w:tcPr>
            <w:tcW w:w="1276" w:type="dxa"/>
            <w:tcBorders>
              <w:top w:val="nil"/>
              <w:left w:val="nil"/>
              <w:bottom w:val="single" w:sz="4" w:space="0" w:color="auto"/>
              <w:right w:val="single" w:sz="4" w:space="0" w:color="auto"/>
            </w:tcBorders>
            <w:noWrap/>
            <w:vAlign w:val="center"/>
          </w:tcPr>
          <w:p w14:paraId="7B31A754" w14:textId="54BBA0E9" w:rsidR="009674B9" w:rsidRPr="00424FC0" w:rsidRDefault="006B11DE" w:rsidP="007D751C">
            <w:pPr>
              <w:spacing w:after="0" w:line="276" w:lineRule="auto"/>
              <w:jc w:val="center"/>
              <w:rPr>
                <w:noProof/>
                <w:color w:val="000000" w:themeColor="text1"/>
                <w:szCs w:val="24"/>
              </w:rPr>
            </w:pPr>
            <w:r w:rsidRPr="00424FC0">
              <w:rPr>
                <w:noProof/>
                <w:color w:val="000000" w:themeColor="text1"/>
              </w:rPr>
              <w:t>79,4 (</w:t>
            </w:r>
            <w:r w:rsidRPr="00424FC0">
              <w:rPr>
                <w:rStyle w:val="FootnoteReference"/>
                <w:noProof/>
                <w:color w:val="000000" w:themeColor="text1"/>
                <w:szCs w:val="24"/>
                <w:lang w:eastAsia="en-IE"/>
              </w:rPr>
              <w:footnoteReference w:id="10"/>
            </w:r>
            <w:r w:rsidRPr="00424FC0">
              <w:rPr>
                <w:noProof/>
                <w:color w:val="000000" w:themeColor="text1"/>
              </w:rPr>
              <w:t>) </w:t>
            </w:r>
          </w:p>
        </w:tc>
        <w:tc>
          <w:tcPr>
            <w:tcW w:w="1128" w:type="dxa"/>
            <w:tcBorders>
              <w:top w:val="nil"/>
              <w:left w:val="nil"/>
              <w:bottom w:val="single" w:sz="4" w:space="0" w:color="auto"/>
              <w:right w:val="single" w:sz="4" w:space="0" w:color="auto"/>
            </w:tcBorders>
            <w:noWrap/>
            <w:vAlign w:val="center"/>
          </w:tcPr>
          <w:p w14:paraId="3AED45D7" w14:textId="16D077F0" w:rsidR="009674B9" w:rsidRPr="00424FC0" w:rsidRDefault="009674B9" w:rsidP="007D751C">
            <w:pPr>
              <w:spacing w:after="0" w:line="276" w:lineRule="auto"/>
              <w:jc w:val="center"/>
              <w:rPr>
                <w:noProof/>
                <w:szCs w:val="24"/>
              </w:rPr>
            </w:pPr>
            <w:r w:rsidRPr="00424FC0">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15107E13" w14:textId="69D0CC69" w:rsidR="009674B9" w:rsidRPr="00424FC0" w:rsidRDefault="009674B9" w:rsidP="007D751C">
            <w:pPr>
              <w:spacing w:after="0" w:line="276" w:lineRule="auto"/>
              <w:jc w:val="center"/>
              <w:rPr>
                <w:rFonts w:eastAsia="Calibri"/>
                <w:i/>
                <w:iCs/>
                <w:noProof/>
                <w:szCs w:val="24"/>
              </w:rPr>
            </w:pPr>
          </w:p>
        </w:tc>
      </w:tr>
      <w:tr w:rsidR="009A067E" w:rsidRPr="00424FC0" w14:paraId="4DE28E97" w14:textId="69228C2C"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265AC6DA" w14:textId="0E87B1FB" w:rsidR="009674B9" w:rsidRPr="00424FC0" w:rsidRDefault="009674B9" w:rsidP="007D751C">
            <w:pPr>
              <w:spacing w:after="0" w:line="276" w:lineRule="auto"/>
              <w:jc w:val="left"/>
              <w:rPr>
                <w:b/>
                <w:noProof/>
                <w:szCs w:val="24"/>
              </w:rPr>
            </w:pPr>
            <w:r w:rsidRPr="00424FC0">
              <w:rPr>
                <w:b/>
                <w:noProof/>
              </w:rPr>
              <w:t>Cofinanțare totală (fonduri de coeziune + AGRI)</w:t>
            </w:r>
          </w:p>
        </w:tc>
        <w:tc>
          <w:tcPr>
            <w:tcW w:w="1276" w:type="dxa"/>
            <w:tcBorders>
              <w:top w:val="nil"/>
              <w:left w:val="nil"/>
              <w:bottom w:val="single" w:sz="4" w:space="0" w:color="auto"/>
              <w:right w:val="single" w:sz="4" w:space="0" w:color="auto"/>
            </w:tcBorders>
            <w:noWrap/>
            <w:vAlign w:val="center"/>
            <w:hideMark/>
          </w:tcPr>
          <w:p w14:paraId="038B6B9F" w14:textId="269AD10C" w:rsidR="009674B9" w:rsidRPr="00424FC0" w:rsidRDefault="009674B9" w:rsidP="007D751C">
            <w:pPr>
              <w:spacing w:after="0" w:line="276" w:lineRule="auto"/>
              <w:jc w:val="center"/>
              <w:rPr>
                <w:b/>
                <w:noProof/>
                <w:color w:val="000000"/>
                <w:szCs w:val="24"/>
              </w:rPr>
            </w:pPr>
            <w:r w:rsidRPr="00424FC0">
              <w:rPr>
                <w:b/>
                <w:noProof/>
                <w:color w:val="000000"/>
              </w:rPr>
              <w:t>5,5</w:t>
            </w:r>
          </w:p>
        </w:tc>
        <w:tc>
          <w:tcPr>
            <w:tcW w:w="1276" w:type="dxa"/>
            <w:tcBorders>
              <w:top w:val="nil"/>
              <w:left w:val="nil"/>
              <w:bottom w:val="single" w:sz="4" w:space="0" w:color="auto"/>
              <w:right w:val="single" w:sz="4" w:space="0" w:color="auto"/>
            </w:tcBorders>
            <w:noWrap/>
            <w:vAlign w:val="center"/>
            <w:hideMark/>
          </w:tcPr>
          <w:p w14:paraId="16AC5EBF" w14:textId="61232731" w:rsidR="009674B9" w:rsidRPr="00424FC0" w:rsidRDefault="009674B9" w:rsidP="007D751C">
            <w:pPr>
              <w:spacing w:after="0" w:line="276" w:lineRule="auto"/>
              <w:jc w:val="center"/>
              <w:rPr>
                <w:b/>
                <w:noProof/>
                <w:color w:val="000000"/>
                <w:szCs w:val="24"/>
              </w:rPr>
            </w:pPr>
            <w:r w:rsidRPr="00424FC0">
              <w:rPr>
                <w:b/>
                <w:noProof/>
                <w:color w:val="000000"/>
              </w:rPr>
              <w:t>11,9</w:t>
            </w:r>
          </w:p>
        </w:tc>
        <w:tc>
          <w:tcPr>
            <w:tcW w:w="1128" w:type="dxa"/>
            <w:tcBorders>
              <w:top w:val="nil"/>
              <w:left w:val="nil"/>
              <w:bottom w:val="single" w:sz="4" w:space="0" w:color="auto"/>
              <w:right w:val="single" w:sz="4" w:space="0" w:color="auto"/>
            </w:tcBorders>
            <w:noWrap/>
            <w:vAlign w:val="center"/>
            <w:hideMark/>
          </w:tcPr>
          <w:p w14:paraId="6DBB90C3" w14:textId="072CC939" w:rsidR="009674B9" w:rsidRPr="00424FC0" w:rsidRDefault="009674B9" w:rsidP="007D751C">
            <w:pPr>
              <w:spacing w:after="0" w:line="276" w:lineRule="auto"/>
              <w:jc w:val="center"/>
              <w:rPr>
                <w:b/>
                <w:noProof/>
                <w:szCs w:val="24"/>
              </w:rPr>
            </w:pPr>
            <w:r w:rsidRPr="00424FC0">
              <w:rPr>
                <w:b/>
                <w:noProof/>
              </w:rPr>
              <w:t>116</w:t>
            </w:r>
          </w:p>
        </w:tc>
        <w:tc>
          <w:tcPr>
            <w:tcW w:w="1853" w:type="dxa"/>
            <w:tcBorders>
              <w:top w:val="single" w:sz="4" w:space="0" w:color="auto"/>
              <w:left w:val="single" w:sz="4" w:space="0" w:color="auto"/>
              <w:bottom w:val="single" w:sz="4" w:space="0" w:color="auto"/>
              <w:right w:val="single" w:sz="4" w:space="0" w:color="auto"/>
            </w:tcBorders>
            <w:vAlign w:val="center"/>
          </w:tcPr>
          <w:p w14:paraId="335891D7" w14:textId="45D0E907" w:rsidR="009674B9" w:rsidRPr="00424FC0" w:rsidRDefault="009674B9" w:rsidP="007D751C">
            <w:pPr>
              <w:spacing w:after="0" w:line="276" w:lineRule="auto"/>
              <w:jc w:val="center"/>
              <w:rPr>
                <w:b/>
                <w:noProof/>
                <w:szCs w:val="24"/>
                <w:lang w:eastAsia="en-IE"/>
              </w:rPr>
            </w:pPr>
          </w:p>
        </w:tc>
      </w:tr>
      <w:tr w:rsidR="009A067E" w:rsidRPr="00424FC0" w14:paraId="3D985913" w14:textId="61B885E1"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07851079" w14:textId="313CD71C" w:rsidR="009674B9" w:rsidRPr="00424FC0" w:rsidRDefault="009674B9" w:rsidP="007D751C">
            <w:pPr>
              <w:spacing w:after="0" w:line="276" w:lineRule="auto"/>
              <w:jc w:val="left"/>
              <w:rPr>
                <w:b/>
                <w:noProof/>
                <w:szCs w:val="24"/>
              </w:rPr>
            </w:pPr>
            <w:r w:rsidRPr="00424FC0">
              <w:rPr>
                <w:b/>
                <w:noProof/>
              </w:rPr>
              <w:t>Total UE + cofinanțare</w:t>
            </w:r>
          </w:p>
        </w:tc>
        <w:tc>
          <w:tcPr>
            <w:tcW w:w="1276" w:type="dxa"/>
            <w:tcBorders>
              <w:top w:val="nil"/>
              <w:left w:val="nil"/>
              <w:bottom w:val="single" w:sz="4" w:space="0" w:color="auto"/>
              <w:right w:val="single" w:sz="4" w:space="0" w:color="auto"/>
            </w:tcBorders>
            <w:noWrap/>
            <w:vAlign w:val="center"/>
            <w:hideMark/>
          </w:tcPr>
          <w:p w14:paraId="16D5AEBA" w14:textId="6478BF6A" w:rsidR="009674B9" w:rsidRPr="00424FC0" w:rsidRDefault="009674B9" w:rsidP="007D751C">
            <w:pPr>
              <w:spacing w:after="0" w:line="276" w:lineRule="auto"/>
              <w:jc w:val="center"/>
              <w:rPr>
                <w:b/>
                <w:noProof/>
                <w:color w:val="000000"/>
                <w:szCs w:val="24"/>
              </w:rPr>
            </w:pPr>
            <w:r w:rsidRPr="00424FC0">
              <w:rPr>
                <w:b/>
                <w:noProof/>
                <w:color w:val="000000"/>
              </w:rPr>
              <w:t>26,5</w:t>
            </w:r>
          </w:p>
        </w:tc>
        <w:tc>
          <w:tcPr>
            <w:tcW w:w="1276" w:type="dxa"/>
            <w:tcBorders>
              <w:top w:val="nil"/>
              <w:left w:val="nil"/>
              <w:bottom w:val="single" w:sz="4" w:space="0" w:color="auto"/>
              <w:right w:val="single" w:sz="4" w:space="0" w:color="auto"/>
            </w:tcBorders>
            <w:noWrap/>
            <w:vAlign w:val="center"/>
            <w:hideMark/>
          </w:tcPr>
          <w:p w14:paraId="1E9CD4F6" w14:textId="72D2070C" w:rsidR="009674B9" w:rsidRPr="00424FC0" w:rsidRDefault="009674B9" w:rsidP="007D751C">
            <w:pPr>
              <w:spacing w:after="0" w:line="276" w:lineRule="auto"/>
              <w:jc w:val="center"/>
              <w:rPr>
                <w:b/>
                <w:noProof/>
                <w:color w:val="000000"/>
                <w:szCs w:val="24"/>
              </w:rPr>
            </w:pPr>
            <w:r w:rsidRPr="00424FC0">
              <w:rPr>
                <w:b/>
                <w:noProof/>
                <w:color w:val="000000"/>
              </w:rPr>
              <w:t>156,6</w:t>
            </w:r>
          </w:p>
        </w:tc>
        <w:tc>
          <w:tcPr>
            <w:tcW w:w="1128" w:type="dxa"/>
            <w:tcBorders>
              <w:top w:val="nil"/>
              <w:left w:val="nil"/>
              <w:bottom w:val="single" w:sz="4" w:space="0" w:color="auto"/>
              <w:right w:val="single" w:sz="4" w:space="0" w:color="auto"/>
            </w:tcBorders>
            <w:noWrap/>
            <w:vAlign w:val="center"/>
            <w:hideMark/>
          </w:tcPr>
          <w:p w14:paraId="01A2AE79" w14:textId="7E65498C" w:rsidR="009674B9" w:rsidRPr="00424FC0" w:rsidRDefault="002D43C9" w:rsidP="007D751C">
            <w:pPr>
              <w:spacing w:after="0" w:line="276" w:lineRule="auto"/>
              <w:jc w:val="center"/>
              <w:rPr>
                <w:b/>
                <w:noProof/>
                <w:szCs w:val="24"/>
              </w:rPr>
            </w:pPr>
            <w:r w:rsidRPr="00424FC0">
              <w:rPr>
                <w:b/>
                <w:noProof/>
              </w:rPr>
              <w:t>491</w:t>
            </w:r>
          </w:p>
        </w:tc>
        <w:tc>
          <w:tcPr>
            <w:tcW w:w="1853" w:type="dxa"/>
            <w:tcBorders>
              <w:top w:val="single" w:sz="4" w:space="0" w:color="auto"/>
              <w:left w:val="single" w:sz="4" w:space="0" w:color="auto"/>
              <w:bottom w:val="single" w:sz="4" w:space="0" w:color="auto"/>
              <w:right w:val="single" w:sz="4" w:space="0" w:color="auto"/>
            </w:tcBorders>
            <w:vAlign w:val="center"/>
          </w:tcPr>
          <w:p w14:paraId="168B0288" w14:textId="61AE36C5" w:rsidR="009674B9" w:rsidRPr="00424FC0" w:rsidRDefault="009674B9" w:rsidP="007D751C">
            <w:pPr>
              <w:spacing w:after="0" w:line="276" w:lineRule="auto"/>
              <w:jc w:val="center"/>
              <w:rPr>
                <w:b/>
                <w:noProof/>
                <w:szCs w:val="24"/>
                <w:lang w:eastAsia="en-IE"/>
              </w:rPr>
            </w:pPr>
          </w:p>
        </w:tc>
      </w:tr>
    </w:tbl>
    <w:p w14:paraId="38BD986D" w14:textId="097E58EF" w:rsidR="0BC60D64" w:rsidRPr="00424FC0" w:rsidRDefault="005E554B" w:rsidP="007D751C">
      <w:pPr>
        <w:pStyle w:val="Text2"/>
        <w:spacing w:line="276" w:lineRule="auto"/>
        <w:ind w:left="0"/>
        <w:rPr>
          <w:noProof/>
          <w:sz w:val="20"/>
        </w:rPr>
      </w:pPr>
      <w:r w:rsidRPr="00424FC0">
        <w:rPr>
          <w:noProof/>
          <w:sz w:val="20"/>
        </w:rPr>
        <w:t>Sursă: Comisia Europeană, 2024</w:t>
      </w:r>
    </w:p>
    <w:p w14:paraId="673EDF25" w14:textId="42EE82FB" w:rsidR="001917AF" w:rsidRPr="00424FC0" w:rsidRDefault="00134B25" w:rsidP="001917AF">
      <w:pPr>
        <w:pStyle w:val="Text2"/>
        <w:spacing w:line="276" w:lineRule="auto"/>
        <w:ind w:left="0"/>
        <w:rPr>
          <w:noProof/>
        </w:rPr>
      </w:pPr>
      <w:r w:rsidRPr="00424FC0">
        <w:rPr>
          <w:b/>
          <w:noProof/>
        </w:rPr>
        <w:t>O mare parte din MRR a fost alocată în domeniul eficienței energetice, în special a clădirilor</w:t>
      </w:r>
      <w:r w:rsidRPr="00424FC0">
        <w:rPr>
          <w:noProof/>
        </w:rPr>
        <w:t>. Din cele 650 de miliarde EUR (</w:t>
      </w:r>
      <w:r w:rsidRPr="00424FC0">
        <w:rPr>
          <w:rStyle w:val="FootnoteReference"/>
          <w:noProof/>
        </w:rPr>
        <w:footnoteReference w:id="11"/>
      </w:r>
      <w:r w:rsidRPr="00424FC0">
        <w:rPr>
          <w:noProof/>
        </w:rPr>
        <w:t xml:space="preserve">) disponibile, 103,9 miliarde EUR, respectiv 16 %, au fost utilizate pentru finanțarea investițiilor în eficiența energetică, acest domeniu de politică devenind astfel unul dintre principalii beneficiari ai MRR. Trebuie remarcat faptul că toate cele 27 de state membre au alocat fonduri pentru măsuri de eficiență energetică în planurile lor de redresare și reziliență, alocările variind de la 31 % din fondurile disponibile în Portugalia la 2 % în Finlanda. </w:t>
      </w:r>
      <w:r w:rsidRPr="00424FC0">
        <w:rPr>
          <w:b/>
          <w:noProof/>
        </w:rPr>
        <w:t xml:space="preserve">Eficiența energetică a clădirilor </w:t>
      </w:r>
      <w:r w:rsidRPr="00424FC0">
        <w:rPr>
          <w:noProof/>
        </w:rPr>
        <w:t xml:space="preserve">a atras cea mai mare pondere a finanțării, totalizând </w:t>
      </w:r>
      <w:r w:rsidRPr="00424FC0">
        <w:rPr>
          <w:b/>
          <w:noProof/>
        </w:rPr>
        <w:t>79,4 miliarde EUR (la nivelul tuturor statelor membre)</w:t>
      </w:r>
      <w:r w:rsidRPr="00424FC0">
        <w:rPr>
          <w:noProof/>
        </w:rPr>
        <w:t>. Pe lângă investiții, MRR stimulează, de asemenea, eforturile de reformă în domeniul eficienței energetice, inclusiv îmbunătățirea cadrelor de reglementare și administrative, stabilirea de strategii pe termen lung și furnizarea de informații și formare.</w:t>
      </w:r>
    </w:p>
    <w:p w14:paraId="760250B6" w14:textId="47314EFA" w:rsidR="00BB2E9D" w:rsidRPr="00424FC0" w:rsidRDefault="00EF506C" w:rsidP="007D751C">
      <w:pPr>
        <w:pStyle w:val="Text2"/>
        <w:spacing w:line="276" w:lineRule="auto"/>
        <w:ind w:left="0"/>
        <w:rPr>
          <w:noProof/>
        </w:rPr>
      </w:pPr>
      <w:r w:rsidRPr="00424FC0">
        <w:rPr>
          <w:b/>
          <w:noProof/>
        </w:rPr>
        <w:t>Noile resurse provenite din schema UE de comercializare a certificatelor de emisii (ETS)</w:t>
      </w:r>
      <w:r w:rsidRPr="00424FC0">
        <w:rPr>
          <w:noProof/>
        </w:rPr>
        <w:t xml:space="preserve"> au contribuit, de asemenea, la reducerea deficitului de investiții. </w:t>
      </w:r>
      <w:r w:rsidRPr="00424FC0">
        <w:rPr>
          <w:b/>
          <w:noProof/>
        </w:rPr>
        <w:t>Fondul pentru modernizare</w:t>
      </w:r>
      <w:r w:rsidRPr="00424FC0">
        <w:rPr>
          <w:noProof/>
        </w:rPr>
        <w:t> (</w:t>
      </w:r>
      <w:r w:rsidRPr="00424FC0">
        <w:rPr>
          <w:rStyle w:val="FootnoteReference"/>
          <w:noProof/>
        </w:rPr>
        <w:footnoteReference w:id="12"/>
      </w:r>
      <w:r w:rsidRPr="00424FC0">
        <w:rPr>
          <w:noProof/>
        </w:rPr>
        <w:t>), conceput pentru a ajuta statele membre cu venituri mai mici să își modernizeze sistemele energetice și să îmbunătățească eficiența energetică, este finanțat prin vânzarea a 2 % din certificatele ETS pentru perioada 2021–2030. La sfârșitul anului 2023, fondul deja a efectuat plăți în valoare de 3 miliarde EUR pentru investiții în eficiența energetică în statele membre beneficiare, reprezentând un sfert din totalul plăților. Pe baza tendinței actuale, se estimează că plățile pentru eficiența energetică vor fi ajuns la 6,8 miliarde EUR până la sfârșitul anului 2027.</w:t>
      </w:r>
    </w:p>
    <w:p w14:paraId="54467F12" w14:textId="27B7468B" w:rsidR="00F85A34" w:rsidRPr="00424FC0" w:rsidRDefault="6F6EAF95" w:rsidP="007D751C">
      <w:pPr>
        <w:pStyle w:val="Text2"/>
        <w:spacing w:line="276" w:lineRule="auto"/>
        <w:ind w:left="0"/>
        <w:rPr>
          <w:noProof/>
        </w:rPr>
      </w:pPr>
      <w:r w:rsidRPr="00424FC0">
        <w:rPr>
          <w:b/>
          <w:noProof/>
        </w:rPr>
        <w:t>Noile resurse provenite din MRR și ETS reprezintă 89 % din această creștere</w:t>
      </w:r>
      <w:r w:rsidRPr="00424FC0">
        <w:rPr>
          <w:noProof/>
        </w:rPr>
        <w:t>. Ambele instrumente sunt gestionate exclusiv de statele membre.</w:t>
      </w:r>
    </w:p>
    <w:p w14:paraId="51C138F1" w14:textId="51BB620C" w:rsidR="00134B25" w:rsidRPr="00424FC0" w:rsidRDefault="002B1A59" w:rsidP="007D751C">
      <w:pPr>
        <w:pStyle w:val="Text2"/>
        <w:spacing w:line="276" w:lineRule="auto"/>
        <w:ind w:left="0"/>
        <w:rPr>
          <w:noProof/>
        </w:rPr>
      </w:pPr>
      <w:r w:rsidRPr="00424FC0">
        <w:rPr>
          <w:i/>
          <w:iCs/>
          <w:noProof/>
        </w:rPr>
        <w:t>Ceteris paribus</w:t>
      </w:r>
      <w:r w:rsidRPr="00424FC0">
        <w:rPr>
          <w:noProof/>
        </w:rPr>
        <w:t>, fondurile UE disponibile au consemnat astfel o creștere de 62 %, de la 21 de miliarde EUR la 34 de miliarde EUR (excluzând resursele din MRR în cuantum de 103,9 miliarde EUR și fondurile ETS în cuantum de 6,8 miliarde EUR). Aceasta corespunde unei contribuții anuale din bugetul Uniunii de 4,8 miliarde EUR în perioada 2021-2027, care se ridică la 20,7 miliarde EUR dacă se includ MRR și Fondul pentru modernizare.</w:t>
      </w:r>
    </w:p>
    <w:p w14:paraId="48B4B866" w14:textId="6568E3EB" w:rsidR="002B1A59" w:rsidRPr="00424FC0" w:rsidRDefault="002D42D0" w:rsidP="007D751C">
      <w:pPr>
        <w:pStyle w:val="Text2"/>
        <w:spacing w:line="276" w:lineRule="auto"/>
        <w:ind w:left="0"/>
        <w:rPr>
          <w:noProof/>
        </w:rPr>
      </w:pPr>
      <w:r w:rsidRPr="00424FC0">
        <w:rPr>
          <w:b/>
          <w:noProof/>
        </w:rPr>
        <w:t>Fondurile politicii de coeziune</w:t>
      </w:r>
      <w:r w:rsidRPr="00424FC0">
        <w:rPr>
          <w:noProof/>
        </w:rPr>
        <w:t xml:space="preserve"> puse la dispoziție s-au majorat, de asemenea, în mod semnificativ, dublându-se efectiv de la 17,8 miliarde EUR la 29 de miliarde EUR în perioada 2021–2027 și, în plus, evaluarea la jumătatea perioadei urmărește dublarea finanțării din politica de coeziune pentru locuințe sustenabile și la prețuri accesibile. Fondurile politicii de coeziune s-au dovedit a fi un instrument eficace pentru consolidarea cooperării dintre instituțiile financiare publice și private din diferite state membre și au contribuit la mobilizarea investițiilor private pentru renovările care vizează eficiența energetică la nivel local, evidențiindu-se utilizarea tot mai frecventă a instrumentelor financiare reînnoibile pentru eficiența energetică (împrumuturi și garanții combinate cu granturi).</w:t>
      </w:r>
    </w:p>
    <w:p w14:paraId="44994453" w14:textId="5287C45B" w:rsidR="004D1D19" w:rsidRPr="00424FC0" w:rsidRDefault="003D7B4D" w:rsidP="007D751C">
      <w:pPr>
        <w:pStyle w:val="Text2"/>
        <w:spacing w:line="276" w:lineRule="auto"/>
        <w:ind w:left="0"/>
        <w:rPr>
          <w:noProof/>
        </w:rPr>
      </w:pPr>
      <w:r w:rsidRPr="00424FC0">
        <w:rPr>
          <w:noProof/>
          <w:lang w:val="en-GB" w:eastAsia="en-GB"/>
        </w:rPr>
        <mc:AlternateContent>
          <mc:Choice Requires="wps">
            <w:drawing>
              <wp:anchor distT="45720" distB="45720" distL="114300" distR="114300" simplePos="0" relativeHeight="251659264" behindDoc="0" locked="0" layoutInCell="1" allowOverlap="1" wp14:anchorId="01ED850F" wp14:editId="5BF14A33">
                <wp:simplePos x="0" y="0"/>
                <wp:positionH relativeFrom="page">
                  <wp:align>center</wp:align>
                </wp:positionH>
                <wp:positionV relativeFrom="paragraph">
                  <wp:posOffset>1575435</wp:posOffset>
                </wp:positionV>
                <wp:extent cx="5440680" cy="5958840"/>
                <wp:effectExtent l="0" t="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0680" cy="5958840"/>
                        </a:xfrm>
                        <a:prstGeom prst="rect">
                          <a:avLst/>
                        </a:prstGeom>
                        <a:solidFill>
                          <a:schemeClr val="bg1">
                            <a:lumMod val="85000"/>
                          </a:schemeClr>
                        </a:solidFill>
                        <a:ln w="9525">
                          <a:solidFill>
                            <a:srgbClr val="000000"/>
                          </a:solidFill>
                          <a:miter lim="800000"/>
                          <a:headEnd/>
                          <a:tailEnd/>
                        </a:ln>
                      </wps:spPr>
                      <wps:txbx>
                        <w:txbxContent>
                          <w:p w14:paraId="427ADCFB" w14:textId="514BDED9" w:rsidR="0049602F" w:rsidRPr="00232F3F" w:rsidRDefault="0049602F">
                            <w:pPr>
                              <w:rPr>
                                <w:b/>
                                <w:bCs/>
                              </w:rPr>
                            </w:pPr>
                            <w:r>
                              <w:rPr>
                                <w:b/>
                              </w:rPr>
                              <w:t>Fondul european pentru eficiență energetică (EEEF): un parteneriat public-privat pentru eficiență energetică</w:t>
                            </w:r>
                          </w:p>
                          <w:p w14:paraId="776B90AE" w14:textId="71876AE7" w:rsidR="00FA3B2F" w:rsidRPr="00232F3F" w:rsidRDefault="007053B6" w:rsidP="0049602F">
                            <w:r>
                              <w:t xml:space="preserve">Înființat în 2011, EEEF este un vehicul de investiții public-privat, pe termen lung, conceput pentru a sprijini obiectivele UE în materie de energie și climă. Fondul oferă finanțare specifică autorităților locale, regionale sau naționale, precum și entităților publice sau private care acționează în numele acestora, cu scopul de a stimula economiile de energie și eficiența energetică și de a promova sursele regenerabile de energie în UE. </w:t>
                            </w:r>
                          </w:p>
                          <w:p w14:paraId="351668FF" w14:textId="2EC0D5DC" w:rsidR="003D7B4D" w:rsidRPr="00232F3F" w:rsidRDefault="003D7B4D" w:rsidP="003D7B4D">
                            <w:r>
                              <w:t>Fondul, care a plătit dividende în fiecare an începând din 2013, are o bază diversă de acționari, cuprinzând instituții atât din sectorul public, cât și din cel privat, inclusiv Comisia Europeană, care a contribuit cu capital de risc, Generali, Stichting Achmea Algemeen Pensioenfonds, DBU și DWS/Wepla.</w:t>
                            </w:r>
                          </w:p>
                          <w:p w14:paraId="5C5278B9" w14:textId="518CE345" w:rsidR="0049602F" w:rsidRPr="00232F3F" w:rsidRDefault="0049602F" w:rsidP="0049602F">
                            <w:r>
                              <w:t>Cu investiții totale de aproximativ 180 de milioane EUR, EEEF a sprijinit 18 proiecte în 10 țări europene, implicând 56 de autorități publice și ajungând la peste 2 milioane de persoane anual. Fondul a obținut rezultate semnificative de la lansarea sa, generând investiții totale de peste 380 de milioane EUR. Acesta a sprijinit o serie de proiecte, inclusiv renovarea clădirilor publice, modernizarea iluminatului stradal, producerea de energie din surse regenerabile și infrastructura de transport curată. Mecanismul de asistență tehnică al fondului a jucat, de asemenea, un rol esențial în pregătirea proiectelor care conduc la economii semnificative de energie și la reduceri ale emisiilor de gaze cu efect de seră. Până la sfârșitul anului 2021, fondul realizase economii cumulate de emisii de CO₂ de 740 460 de tone și economii de energie primară de 1 318 549 MWh.</w:t>
                            </w:r>
                          </w:p>
                          <w:p w14:paraId="6F255794" w14:textId="2B3D4BAC" w:rsidR="0049602F" w:rsidRPr="00232F3F" w:rsidRDefault="0049602F" w:rsidP="0049602F">
                            <w:r>
                              <w:t>EEEF este un exemplu relevant de parteneriat public-privat specific în domeniul eficienței energetice, demonstrând potențialul finanțării mixte de a mobiliza capitalul public al UE și de a atrage investiții private. Modul în care a fost conceput fondul, care combină finanțarea preferențială, asistența tehnică și expertiza sectorială, a permis implementarea unor proiecte cu impact ridicat, cu aporturi de capital relativ modeste din partea 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D850F" id="_x0000_t202" coordsize="21600,21600" o:spt="202" path="m,l,21600r21600,l21600,xe">
                <v:stroke joinstyle="miter"/>
                <v:path gradientshapeok="t" o:connecttype="rect"/>
              </v:shapetype>
              <v:shape id="Text Box 2" o:spid="_x0000_s1026" type="#_x0000_t202" style="position:absolute;left:0;text-align:left;margin-left:0;margin-top:124.05pt;width:428.4pt;height:469.2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" fillcolor="#d8d8d8 [2732]">
                <v:textbox>
                  <w:txbxContent>
                    <w:p w14:paraId="427ADCFB" w14:textId="514BDED9" w:rsidR="0049602F" w:rsidRPr="00232F3F" w:rsidRDefault="0049602F">
                      <w:pPr>
                        <w:rPr>
                          <w:b/>
                          <w:bCs/>
                        </w:rPr>
                      </w:pPr>
                      <w:r>
                        <w:rPr>
                          <w:b/>
                        </w:rPr>
                        <w:t>Fondul european pentru eficiență energetică (EEEF): un parteneriat public-privat pentru eficiență energetică</w:t>
                      </w:r>
                    </w:p>
                    <w:p w14:paraId="776B90AE" w14:textId="71876AE7" w:rsidR="00FA3B2F" w:rsidRPr="00232F3F" w:rsidRDefault="007053B6" w:rsidP="0049602F">
                      <w:r>
                        <w:t xml:space="preserve">Înființat în 2011, EEEF este un vehicul de investiții public-privat, pe termen lung, conceput pentru a sprijini obiectivele UE în materie de energie și climă. Fondul oferă finanțare specifică autorităților locale, regionale sau naționale, precum și entităților publice sau private care acționează în numele acestora, cu scopul de a stimula economiile de energie și eficiența energetică și de a promova sursele regenerabile de energie în UE. </w:t>
                      </w:r>
                    </w:p>
                    <w:p w14:paraId="351668FF" w14:textId="2EC0D5DC" w:rsidR="003D7B4D" w:rsidRPr="00232F3F" w:rsidRDefault="003D7B4D" w:rsidP="003D7B4D">
                      <w:r>
                        <w:t>Fondul, care a plătit dividende în fiecare an începând din 2013, are o bază diversă de acționari, cuprinzând instituții atât din sectorul public, cât și din cel privat, inclusiv Comisia Europeană, care a contribuit cu capital de risc, Generali, Stichting Achmea Algemeen Pensioenfonds, DBU și DWS/Wepla.</w:t>
                      </w:r>
                    </w:p>
                    <w:p w14:paraId="5C5278B9" w14:textId="518CE345" w:rsidR="0049602F" w:rsidRPr="00232F3F" w:rsidRDefault="0049602F" w:rsidP="0049602F">
                      <w:r>
                        <w:t>Cu investiții totale de aproximativ 180 de milioane EUR, EEEF a sprijinit 18 proiecte în 10 țări europene, implicând 56 de autorități publice și ajungând la peste 2 milioane de persoane anual. Fondul a obținut rezultate semnificative de la lansarea sa, generând investiții totale de peste 380 de milioane EUR. Acesta a sprijinit o serie de proiecte, inclusiv renovarea clădirilor publice, modernizarea iluminatului stradal, producerea de energie din surse regenerabile și infrastructura de transport curată. Mecanismul de asistență tehnică al fondului a jucat, de asemenea, un rol esențial în pregătirea proiectelor care conduc la economii semnificative de energie și la reduceri ale emisiilor de gaze cu efect de seră. Până la sfârșitul anului 2021, fondul realizase economii cumulate de emisii de CO₂ de 740 460 de tone și economii de energie primară de 1 318 549 MWh.</w:t>
                      </w:r>
                    </w:p>
                    <w:p w14:paraId="6F255794" w14:textId="2B3D4BAC" w:rsidR="0049602F" w:rsidRPr="00232F3F" w:rsidRDefault="0049602F" w:rsidP="0049602F">
                      <w:r>
                        <w:t>EEEF este un exemplu relevant de parteneriat public-privat specific în domeniul eficienței energetice, demonstrând potențialul finanțării mixte de a mobiliza capitalul public al UE și de a atrage investiții private. Modul în care a fost conceput fondul, care combină finanțarea preferențială, asistența tehnică și expertiza sectorială, a permis implementarea unor proiecte cu impact ridicat, cu aporturi de capital relativ modeste din partea UE.</w:t>
                      </w:r>
                    </w:p>
                  </w:txbxContent>
                </v:textbox>
                <w10:wrap type="square" anchorx="page"/>
              </v:shape>
            </w:pict>
          </mc:Fallback>
        </mc:AlternateContent>
      </w:r>
      <w:r w:rsidRPr="00424FC0">
        <w:rPr>
          <w:noProof/>
        </w:rPr>
        <w:t xml:space="preserve">Fondul </w:t>
      </w:r>
      <w:r w:rsidRPr="00424FC0">
        <w:rPr>
          <w:b/>
          <w:noProof/>
        </w:rPr>
        <w:t xml:space="preserve">social pentru climă </w:t>
      </w:r>
      <w:r w:rsidRPr="00424FC0">
        <w:rPr>
          <w:noProof/>
        </w:rPr>
        <w:t>va intra în vigoare începând din 2026, când MRR va fi eliminat treptat. Fondul a fost creat concomitent cu extinderea ETS pentru a acoperi emisiile provenite din arderea combustibililor în sectorul clădirilor, al transportului rutier și în alte sectoare. Acesta va oferi finanțare în cuantum total de 86,7 miliarde EUR, ce urmează să fie distribuită între statele membre, pentru a sprijini măsuri structurale, investiții în eficiența energetică și renovarea clădirilor, încălzirea și răcirea curate, integrarea energiei din surse regenerabile și soluții de mobilitate cu emisii zero și cu emisii scăzute.</w:t>
      </w:r>
    </w:p>
    <w:p w14:paraId="022EE17F" w14:textId="07D17D29" w:rsidR="002B1A59" w:rsidRPr="00424FC0" w:rsidRDefault="00B1250A" w:rsidP="007D751C">
      <w:pPr>
        <w:pStyle w:val="Heading3"/>
        <w:spacing w:line="276" w:lineRule="auto"/>
        <w:rPr>
          <w:noProof/>
        </w:rPr>
      </w:pPr>
      <w:r w:rsidRPr="00424FC0">
        <w:rPr>
          <w:noProof/>
        </w:rPr>
        <w:t>Sprijinul Grupului Băncii Europene de Investiții, inclusiv atunci când este sprijinit de bugetul Uniunii</w:t>
      </w:r>
    </w:p>
    <w:p w14:paraId="6ADE077B" w14:textId="27E47CBA" w:rsidR="00BA2D62" w:rsidRPr="00424FC0" w:rsidRDefault="7941C083" w:rsidP="007D751C">
      <w:pPr>
        <w:pStyle w:val="Text3"/>
        <w:spacing w:line="276" w:lineRule="auto"/>
        <w:ind w:left="0"/>
        <w:rPr>
          <w:noProof/>
        </w:rPr>
      </w:pPr>
      <w:r w:rsidRPr="00424FC0">
        <w:rPr>
          <w:noProof/>
        </w:rPr>
        <w:t>Grupul Băncii Europene de Investiții („GBEI”) (</w:t>
      </w:r>
      <w:r w:rsidRPr="00424FC0">
        <w:rPr>
          <w:rStyle w:val="FootnoteReference"/>
          <w:noProof/>
        </w:rPr>
        <w:footnoteReference w:id="13"/>
      </w:r>
      <w:r w:rsidRPr="00424FC0">
        <w:rPr>
          <w:noProof/>
        </w:rPr>
        <w:t>), în calitate de bancă pentru climă a UE și principal partener de implementare a fondurilor UE, joacă un rol esențial în finanțarea tranziției energetice.</w:t>
      </w:r>
    </w:p>
    <w:p w14:paraId="17F122E3" w14:textId="7D207EEE" w:rsidR="002B1A59" w:rsidRPr="00424FC0" w:rsidRDefault="7941C083" w:rsidP="007D751C">
      <w:pPr>
        <w:pStyle w:val="Text3"/>
        <w:spacing w:line="276" w:lineRule="auto"/>
        <w:ind w:left="0"/>
        <w:rPr>
          <w:noProof/>
        </w:rPr>
      </w:pPr>
      <w:r w:rsidRPr="00424FC0">
        <w:rPr>
          <w:noProof/>
        </w:rPr>
        <w:t>Astfel cum se prevede în foaia sa de parcurs privind banca pentru climă (</w:t>
      </w:r>
      <w:r w:rsidRPr="00424FC0">
        <w:rPr>
          <w:rStyle w:val="FootnoteReference"/>
          <w:noProof/>
        </w:rPr>
        <w:footnoteReference w:id="14"/>
      </w:r>
      <w:r w:rsidRPr="00424FC0">
        <w:rPr>
          <w:noProof/>
        </w:rPr>
        <w:t>) și în continuarea strategiei privind valul de renovări din sectorul clădirilor, strategia sa privind eficiența energetică include împrumuturi și garanții intermediate, precum și servicii de consiliere [Platforma de consiliere InvestEU (</w:t>
      </w:r>
      <w:r w:rsidRPr="00424FC0">
        <w:rPr>
          <w:rStyle w:val="FootnoteReference"/>
          <w:noProof/>
        </w:rPr>
        <w:footnoteReference w:id="15"/>
      </w:r>
      <w:r w:rsidRPr="00424FC0">
        <w:rPr>
          <w:noProof/>
        </w:rPr>
        <w:t>), în special instrumentul ELENA (</w:t>
      </w:r>
      <w:r w:rsidRPr="00424FC0">
        <w:rPr>
          <w:rStyle w:val="FootnoteReference"/>
          <w:noProof/>
        </w:rPr>
        <w:footnoteReference w:id="16"/>
      </w:r>
      <w:r w:rsidRPr="00424FC0">
        <w:rPr>
          <w:noProof/>
        </w:rPr>
        <w:t>)].</w:t>
      </w:r>
    </w:p>
    <w:p w14:paraId="14D18084" w14:textId="2757DEE0" w:rsidR="00887418" w:rsidRPr="00424FC0" w:rsidRDefault="002E4642" w:rsidP="007D751C">
      <w:pPr>
        <w:pStyle w:val="Text3"/>
        <w:spacing w:line="276" w:lineRule="auto"/>
        <w:ind w:left="0"/>
        <w:rPr>
          <w:noProof/>
        </w:rPr>
      </w:pPr>
      <w:r w:rsidRPr="00424FC0">
        <w:rPr>
          <w:noProof/>
        </w:rPr>
        <w:t xml:space="preserve">Prin urmare, </w:t>
      </w:r>
      <w:r w:rsidRPr="00424FC0">
        <w:rPr>
          <w:b/>
          <w:noProof/>
        </w:rPr>
        <w:t>resursele dedicate eficienței energetice au fost multiplicate de 12,2 ori în perioada 2012–2023</w:t>
      </w:r>
      <w:r w:rsidRPr="00424FC0">
        <w:rPr>
          <w:noProof/>
        </w:rPr>
        <w:t>. Finanțarea din partea Grupul Băncii Europene de Investiții a fost direcționată în principal către sectorul clădirilor, precum și către aparate și soluții inteligente, în conformitate cu strategia prevăzută în foaia de parcurs.</w:t>
      </w:r>
    </w:p>
    <w:p w14:paraId="5571CACB" w14:textId="2C86FD97" w:rsidR="00116EE3" w:rsidRPr="00424FC0" w:rsidRDefault="00D248D0" w:rsidP="007D751C">
      <w:pPr>
        <w:pStyle w:val="Text3"/>
        <w:spacing w:line="276" w:lineRule="auto"/>
        <w:ind w:left="0"/>
        <w:rPr>
          <w:noProof/>
        </w:rPr>
      </w:pPr>
      <w:r w:rsidRPr="00424FC0">
        <w:rPr>
          <w:noProof/>
        </w:rPr>
        <w:t xml:space="preserve">Pe de altă parte, finanțarea a rămas scăzută în cazul întreprinderilor mici și mijlocii („IMM-uri”), al industriei, al producerii combinate de energie electrică și energie termică („CHP”) și al încălzirii centralizate („DH”). În septembrie 2025, </w:t>
      </w:r>
      <w:r w:rsidRPr="00424FC0">
        <w:rPr>
          <w:b/>
          <w:noProof/>
        </w:rPr>
        <w:t>Grupul BEI și Comisia au lansat</w:t>
      </w:r>
      <w:r w:rsidRPr="00424FC0">
        <w:rPr>
          <w:noProof/>
        </w:rPr>
        <w:t xml:space="preserve"> </w:t>
      </w:r>
      <w:r w:rsidRPr="00424FC0">
        <w:rPr>
          <w:b/>
          <w:noProof/>
        </w:rPr>
        <w:t>inițiativa privind eficiența energetică pentru IMM-uri</w:t>
      </w:r>
      <w:r w:rsidRPr="00424FC0">
        <w:rPr>
          <w:noProof/>
        </w:rPr>
        <w:t>, care este parte a foii de parcurs strategice a BEI (</w:t>
      </w:r>
      <w:r w:rsidRPr="00424FC0">
        <w:rPr>
          <w:rStyle w:val="FootnoteReference"/>
          <w:noProof/>
        </w:rPr>
        <w:footnoteReference w:id="17"/>
      </w:r>
      <w:r w:rsidRPr="00424FC0">
        <w:rPr>
          <w:noProof/>
        </w:rPr>
        <w:t>) pentru perioada 2024–2027. Această inițiativă va oferi finanțare în cuantum de 17,5 miliarde EUR în perioada 2025–2027, urmărind aproape dublarea nivelului actual de sprijin pentru soluții eficiente din punct de vedere energetic destinate IMM-urilor (</w:t>
      </w:r>
      <w:r w:rsidRPr="00424FC0">
        <w:rPr>
          <w:rStyle w:val="FootnoteReference"/>
          <w:noProof/>
        </w:rPr>
        <w:footnoteReference w:id="18"/>
      </w:r>
      <w:r w:rsidRPr="00424FC0">
        <w:rPr>
          <w:noProof/>
        </w:rPr>
        <w:t>).</w:t>
      </w:r>
    </w:p>
    <w:p w14:paraId="2E010924" w14:textId="4F38A790" w:rsidR="007C540D" w:rsidRPr="00424FC0" w:rsidRDefault="007C540D" w:rsidP="004854A6">
      <w:pPr>
        <w:pStyle w:val="Text3"/>
        <w:spacing w:line="276" w:lineRule="auto"/>
        <w:ind w:left="0"/>
        <w:rPr>
          <w:noProof/>
        </w:rPr>
      </w:pPr>
      <w:r w:rsidRPr="00424FC0">
        <w:rPr>
          <w:noProof/>
        </w:rPr>
        <w:t>Fondul European de Investiții („FEI”) a fost un susținător pe termen lung al tehnologiilor curate, oferind investiții de capital de risc și introducând inițiative precum o garanție de risc parțial pentru promovarea împrumuturilor verzi destinate proiectelor în domeniul eficienței energetice și al energiei din surse regenerabile. Prin intermediul programului InvestEU, FEI și-a intensificat în continuare orientarea către finanțarea proiectelor care sprijină decarbonizarea, eficiența energetică, energia din surse regenerabile, mobilitatea durabilă și economia circulară, cu o investiție totală de aproximativ 4,1 miliarde EUR până în 2025.</w:t>
      </w:r>
    </w:p>
    <w:p w14:paraId="3A317D73" w14:textId="04802772" w:rsidR="002E4642" w:rsidRPr="00424FC0" w:rsidRDefault="74AE3BBD" w:rsidP="00FE0847">
      <w:pPr>
        <w:pStyle w:val="Text3"/>
        <w:spacing w:after="0" w:line="276" w:lineRule="auto"/>
        <w:ind w:left="0"/>
        <w:rPr>
          <w:i/>
          <w:iCs/>
          <w:noProof/>
        </w:rPr>
      </w:pPr>
      <w:r w:rsidRPr="00424FC0">
        <w:rPr>
          <w:i/>
          <w:noProof/>
        </w:rPr>
        <w:t>Tabelul 3: Finanțarea eficienței energetice în UE de către Grupul BEI (în milioane EUR)</w:t>
      </w:r>
    </w:p>
    <w:tbl>
      <w:tblPr>
        <w:tblStyle w:val="TableGrid"/>
        <w:tblW w:w="0" w:type="auto"/>
        <w:jc w:val="center"/>
        <w:tblLook w:val="04A0" w:firstRow="1" w:lastRow="0" w:firstColumn="1" w:lastColumn="0" w:noHBand="0" w:noVBand="1"/>
      </w:tblPr>
      <w:tblGrid>
        <w:gridCol w:w="2686"/>
        <w:gridCol w:w="986"/>
        <w:gridCol w:w="986"/>
        <w:gridCol w:w="986"/>
        <w:gridCol w:w="986"/>
        <w:gridCol w:w="986"/>
        <w:gridCol w:w="986"/>
      </w:tblGrid>
      <w:tr w:rsidR="008765E4" w:rsidRPr="00424FC0" w14:paraId="476A0355" w14:textId="77777777" w:rsidTr="004E34F6">
        <w:trPr>
          <w:trHeight w:val="227"/>
          <w:jc w:val="center"/>
        </w:trPr>
        <w:tc>
          <w:tcPr>
            <w:tcW w:w="2686" w:type="dxa"/>
            <w:vAlign w:val="center"/>
          </w:tcPr>
          <w:p w14:paraId="60E09837" w14:textId="371B8A7A" w:rsidR="00F46029" w:rsidRPr="00424FC0" w:rsidRDefault="00F46029" w:rsidP="007D751C">
            <w:pPr>
              <w:pStyle w:val="Text3"/>
              <w:spacing w:after="0" w:line="276" w:lineRule="auto"/>
              <w:ind w:left="0"/>
              <w:jc w:val="left"/>
              <w:rPr>
                <w:noProof/>
                <w:szCs w:val="24"/>
              </w:rPr>
            </w:pPr>
          </w:p>
        </w:tc>
        <w:tc>
          <w:tcPr>
            <w:tcW w:w="986" w:type="dxa"/>
            <w:vAlign w:val="center"/>
          </w:tcPr>
          <w:p w14:paraId="233C5B23" w14:textId="5F0B71EF" w:rsidR="00F46029" w:rsidRPr="00424FC0" w:rsidRDefault="00F46029" w:rsidP="007D751C">
            <w:pPr>
              <w:pStyle w:val="Text3"/>
              <w:spacing w:after="0" w:line="276" w:lineRule="auto"/>
              <w:ind w:left="0"/>
              <w:jc w:val="center"/>
              <w:rPr>
                <w:b/>
                <w:bCs/>
                <w:noProof/>
                <w:szCs w:val="24"/>
              </w:rPr>
            </w:pPr>
            <w:r w:rsidRPr="00424FC0">
              <w:rPr>
                <w:b/>
                <w:noProof/>
              </w:rPr>
              <w:t>2012</w:t>
            </w:r>
          </w:p>
        </w:tc>
        <w:tc>
          <w:tcPr>
            <w:tcW w:w="986" w:type="dxa"/>
            <w:vAlign w:val="center"/>
          </w:tcPr>
          <w:p w14:paraId="5D81096E" w14:textId="551ED76F" w:rsidR="00F46029" w:rsidRPr="00424FC0" w:rsidRDefault="00F46029" w:rsidP="007D751C">
            <w:pPr>
              <w:pStyle w:val="Text3"/>
              <w:spacing w:after="0" w:line="276" w:lineRule="auto"/>
              <w:ind w:left="0"/>
              <w:jc w:val="center"/>
              <w:rPr>
                <w:b/>
                <w:bCs/>
                <w:noProof/>
                <w:szCs w:val="24"/>
              </w:rPr>
            </w:pPr>
            <w:r w:rsidRPr="00424FC0">
              <w:rPr>
                <w:b/>
                <w:noProof/>
              </w:rPr>
              <w:t>2013</w:t>
            </w:r>
          </w:p>
        </w:tc>
        <w:tc>
          <w:tcPr>
            <w:tcW w:w="986" w:type="dxa"/>
            <w:vAlign w:val="center"/>
          </w:tcPr>
          <w:p w14:paraId="3A53B83F" w14:textId="1B3B8F99" w:rsidR="00F46029" w:rsidRPr="00424FC0" w:rsidRDefault="00F46029" w:rsidP="007D751C">
            <w:pPr>
              <w:pStyle w:val="Text3"/>
              <w:spacing w:after="0" w:line="276" w:lineRule="auto"/>
              <w:ind w:left="0"/>
              <w:jc w:val="center"/>
              <w:rPr>
                <w:b/>
                <w:bCs/>
                <w:noProof/>
                <w:szCs w:val="24"/>
              </w:rPr>
            </w:pPr>
            <w:r w:rsidRPr="00424FC0">
              <w:rPr>
                <w:b/>
                <w:noProof/>
              </w:rPr>
              <w:t>2014</w:t>
            </w:r>
          </w:p>
        </w:tc>
        <w:tc>
          <w:tcPr>
            <w:tcW w:w="986" w:type="dxa"/>
            <w:vAlign w:val="center"/>
          </w:tcPr>
          <w:p w14:paraId="38D02952" w14:textId="5700A4FE" w:rsidR="00F46029" w:rsidRPr="00424FC0" w:rsidRDefault="00F46029" w:rsidP="007D751C">
            <w:pPr>
              <w:pStyle w:val="Text3"/>
              <w:spacing w:after="0" w:line="276" w:lineRule="auto"/>
              <w:ind w:left="0"/>
              <w:jc w:val="center"/>
              <w:rPr>
                <w:b/>
                <w:bCs/>
                <w:noProof/>
                <w:szCs w:val="24"/>
              </w:rPr>
            </w:pPr>
            <w:r w:rsidRPr="00424FC0">
              <w:rPr>
                <w:b/>
                <w:noProof/>
              </w:rPr>
              <w:t>2015</w:t>
            </w:r>
          </w:p>
        </w:tc>
        <w:tc>
          <w:tcPr>
            <w:tcW w:w="986" w:type="dxa"/>
            <w:vAlign w:val="center"/>
          </w:tcPr>
          <w:p w14:paraId="24CDFFDD" w14:textId="4EC677E5" w:rsidR="00F46029" w:rsidRPr="00424FC0" w:rsidRDefault="00F46029" w:rsidP="007D751C">
            <w:pPr>
              <w:pStyle w:val="Text3"/>
              <w:spacing w:after="0" w:line="276" w:lineRule="auto"/>
              <w:ind w:left="0"/>
              <w:jc w:val="center"/>
              <w:rPr>
                <w:b/>
                <w:bCs/>
                <w:noProof/>
                <w:szCs w:val="24"/>
              </w:rPr>
            </w:pPr>
            <w:r w:rsidRPr="00424FC0">
              <w:rPr>
                <w:b/>
                <w:noProof/>
              </w:rPr>
              <w:t>2016</w:t>
            </w:r>
          </w:p>
        </w:tc>
        <w:tc>
          <w:tcPr>
            <w:tcW w:w="986" w:type="dxa"/>
            <w:vAlign w:val="center"/>
          </w:tcPr>
          <w:p w14:paraId="0DDD894B" w14:textId="2EF25AF1" w:rsidR="00F46029" w:rsidRPr="00424FC0" w:rsidRDefault="00F46029" w:rsidP="007D751C">
            <w:pPr>
              <w:pStyle w:val="Text3"/>
              <w:spacing w:after="0" w:line="276" w:lineRule="auto"/>
              <w:ind w:left="0"/>
              <w:jc w:val="center"/>
              <w:rPr>
                <w:b/>
                <w:bCs/>
                <w:noProof/>
                <w:szCs w:val="24"/>
              </w:rPr>
            </w:pPr>
            <w:r w:rsidRPr="00424FC0">
              <w:rPr>
                <w:b/>
                <w:noProof/>
              </w:rPr>
              <w:t>2017</w:t>
            </w:r>
          </w:p>
        </w:tc>
      </w:tr>
      <w:tr w:rsidR="008765E4" w:rsidRPr="00424FC0" w14:paraId="25F5B745" w14:textId="77777777" w:rsidTr="004E34F6">
        <w:trPr>
          <w:trHeight w:val="227"/>
          <w:jc w:val="center"/>
        </w:trPr>
        <w:tc>
          <w:tcPr>
            <w:tcW w:w="2686" w:type="dxa"/>
            <w:vAlign w:val="center"/>
          </w:tcPr>
          <w:p w14:paraId="490EAFAA" w14:textId="559BF477" w:rsidR="00F46029" w:rsidRPr="00424FC0" w:rsidRDefault="00F46029" w:rsidP="007D751C">
            <w:pPr>
              <w:pStyle w:val="Text3"/>
              <w:spacing w:after="0" w:line="276" w:lineRule="auto"/>
              <w:ind w:left="0"/>
              <w:jc w:val="left"/>
              <w:rPr>
                <w:noProof/>
                <w:szCs w:val="24"/>
              </w:rPr>
            </w:pPr>
            <w:r w:rsidRPr="00424FC0">
              <w:rPr>
                <w:noProof/>
              </w:rPr>
              <w:t>Eficiență energetică (EE)</w:t>
            </w:r>
          </w:p>
        </w:tc>
        <w:tc>
          <w:tcPr>
            <w:tcW w:w="986" w:type="dxa"/>
            <w:vAlign w:val="center"/>
          </w:tcPr>
          <w:p w14:paraId="5375FA27" w14:textId="15548A7A" w:rsidR="00F46029" w:rsidRPr="00424FC0" w:rsidRDefault="007C540D" w:rsidP="007D751C">
            <w:pPr>
              <w:pStyle w:val="Text3"/>
              <w:spacing w:after="0" w:line="276" w:lineRule="auto"/>
              <w:ind w:left="0"/>
              <w:jc w:val="center"/>
              <w:rPr>
                <w:noProof/>
                <w:szCs w:val="24"/>
              </w:rPr>
            </w:pPr>
            <w:r w:rsidRPr="00424FC0">
              <w:rPr>
                <w:noProof/>
              </w:rPr>
              <w:t>763</w:t>
            </w:r>
          </w:p>
        </w:tc>
        <w:tc>
          <w:tcPr>
            <w:tcW w:w="986" w:type="dxa"/>
            <w:vAlign w:val="center"/>
          </w:tcPr>
          <w:p w14:paraId="700A8B7F" w14:textId="2BA90DCB" w:rsidR="00F46029" w:rsidRPr="00424FC0" w:rsidRDefault="007C540D" w:rsidP="007D751C">
            <w:pPr>
              <w:pStyle w:val="Text3"/>
              <w:spacing w:after="0" w:line="276" w:lineRule="auto"/>
              <w:ind w:left="0"/>
              <w:jc w:val="center"/>
              <w:rPr>
                <w:noProof/>
                <w:szCs w:val="24"/>
              </w:rPr>
            </w:pPr>
            <w:r w:rsidRPr="00424FC0">
              <w:rPr>
                <w:noProof/>
              </w:rPr>
              <w:t>1 354</w:t>
            </w:r>
          </w:p>
        </w:tc>
        <w:tc>
          <w:tcPr>
            <w:tcW w:w="986" w:type="dxa"/>
            <w:vAlign w:val="center"/>
          </w:tcPr>
          <w:p w14:paraId="5F968577" w14:textId="5AEC8312" w:rsidR="00F46029" w:rsidRPr="00424FC0" w:rsidRDefault="007C540D" w:rsidP="007D751C">
            <w:pPr>
              <w:pStyle w:val="Text3"/>
              <w:spacing w:after="0" w:line="276" w:lineRule="auto"/>
              <w:ind w:left="0"/>
              <w:jc w:val="center"/>
              <w:rPr>
                <w:noProof/>
                <w:szCs w:val="24"/>
              </w:rPr>
            </w:pPr>
            <w:r w:rsidRPr="00424FC0">
              <w:rPr>
                <w:noProof/>
              </w:rPr>
              <w:t>1 557</w:t>
            </w:r>
          </w:p>
        </w:tc>
        <w:tc>
          <w:tcPr>
            <w:tcW w:w="986" w:type="dxa"/>
            <w:vAlign w:val="center"/>
          </w:tcPr>
          <w:p w14:paraId="2C8B09A9" w14:textId="596DEB40" w:rsidR="00F46029" w:rsidRPr="00424FC0" w:rsidRDefault="007C540D" w:rsidP="007D751C">
            <w:pPr>
              <w:pStyle w:val="Text3"/>
              <w:spacing w:after="0" w:line="276" w:lineRule="auto"/>
              <w:ind w:left="0"/>
              <w:jc w:val="center"/>
              <w:rPr>
                <w:noProof/>
                <w:szCs w:val="24"/>
              </w:rPr>
            </w:pPr>
            <w:r w:rsidRPr="00424FC0">
              <w:rPr>
                <w:noProof/>
              </w:rPr>
              <w:t>2 876</w:t>
            </w:r>
          </w:p>
        </w:tc>
        <w:tc>
          <w:tcPr>
            <w:tcW w:w="986" w:type="dxa"/>
            <w:vAlign w:val="center"/>
          </w:tcPr>
          <w:p w14:paraId="6CFE73A8" w14:textId="37B5F9E8" w:rsidR="00F46029" w:rsidRPr="00424FC0" w:rsidRDefault="007C540D" w:rsidP="007D751C">
            <w:pPr>
              <w:pStyle w:val="Text3"/>
              <w:spacing w:after="0" w:line="276" w:lineRule="auto"/>
              <w:ind w:left="0"/>
              <w:jc w:val="center"/>
              <w:rPr>
                <w:noProof/>
                <w:szCs w:val="24"/>
              </w:rPr>
            </w:pPr>
            <w:r w:rsidRPr="00424FC0">
              <w:rPr>
                <w:noProof/>
              </w:rPr>
              <w:t>3 349</w:t>
            </w:r>
          </w:p>
        </w:tc>
        <w:tc>
          <w:tcPr>
            <w:tcW w:w="986" w:type="dxa"/>
            <w:vAlign w:val="center"/>
          </w:tcPr>
          <w:p w14:paraId="78A7D702" w14:textId="57220633" w:rsidR="00F46029" w:rsidRPr="00424FC0" w:rsidRDefault="00F46029" w:rsidP="007D751C">
            <w:pPr>
              <w:pStyle w:val="Text3"/>
              <w:spacing w:after="0" w:line="276" w:lineRule="auto"/>
              <w:ind w:left="0"/>
              <w:jc w:val="center"/>
              <w:rPr>
                <w:noProof/>
                <w:szCs w:val="24"/>
              </w:rPr>
            </w:pPr>
            <w:r w:rsidRPr="00424FC0">
              <w:rPr>
                <w:noProof/>
              </w:rPr>
              <w:t>4 613</w:t>
            </w:r>
          </w:p>
        </w:tc>
      </w:tr>
      <w:tr w:rsidR="00FE0847" w:rsidRPr="00424FC0" w14:paraId="358616B1" w14:textId="77777777" w:rsidTr="004A3878">
        <w:trPr>
          <w:trHeight w:val="227"/>
          <w:jc w:val="center"/>
        </w:trPr>
        <w:tc>
          <w:tcPr>
            <w:tcW w:w="2686" w:type="dxa"/>
            <w:vAlign w:val="center"/>
          </w:tcPr>
          <w:p w14:paraId="5D9E52AD" w14:textId="77777777" w:rsidR="00FE0847" w:rsidRPr="00424FC0" w:rsidRDefault="00FE0847" w:rsidP="004A3878">
            <w:pPr>
              <w:pStyle w:val="Text3"/>
              <w:spacing w:after="0" w:line="276" w:lineRule="auto"/>
              <w:ind w:left="0"/>
              <w:jc w:val="left"/>
              <w:rPr>
                <w:noProof/>
                <w:szCs w:val="24"/>
              </w:rPr>
            </w:pPr>
          </w:p>
        </w:tc>
        <w:tc>
          <w:tcPr>
            <w:tcW w:w="986" w:type="dxa"/>
            <w:vAlign w:val="center"/>
          </w:tcPr>
          <w:p w14:paraId="1DD6A6A5" w14:textId="77777777" w:rsidR="00FE0847" w:rsidRPr="00424FC0" w:rsidRDefault="00FE0847" w:rsidP="004A3878">
            <w:pPr>
              <w:pStyle w:val="Text3"/>
              <w:spacing w:after="0" w:line="276" w:lineRule="auto"/>
              <w:ind w:left="0"/>
              <w:jc w:val="center"/>
              <w:rPr>
                <w:b/>
                <w:bCs/>
                <w:noProof/>
                <w:szCs w:val="24"/>
              </w:rPr>
            </w:pPr>
            <w:r w:rsidRPr="00424FC0">
              <w:rPr>
                <w:b/>
                <w:noProof/>
              </w:rPr>
              <w:t>2018</w:t>
            </w:r>
          </w:p>
        </w:tc>
        <w:tc>
          <w:tcPr>
            <w:tcW w:w="986" w:type="dxa"/>
            <w:vAlign w:val="center"/>
          </w:tcPr>
          <w:p w14:paraId="4EC3BBB7" w14:textId="77777777" w:rsidR="00FE0847" w:rsidRPr="00424FC0" w:rsidRDefault="00FE0847" w:rsidP="004A3878">
            <w:pPr>
              <w:pStyle w:val="Text3"/>
              <w:spacing w:after="0" w:line="276" w:lineRule="auto"/>
              <w:ind w:left="0"/>
              <w:jc w:val="center"/>
              <w:rPr>
                <w:b/>
                <w:bCs/>
                <w:noProof/>
                <w:szCs w:val="24"/>
              </w:rPr>
            </w:pPr>
            <w:r w:rsidRPr="00424FC0">
              <w:rPr>
                <w:b/>
                <w:noProof/>
              </w:rPr>
              <w:t>2019</w:t>
            </w:r>
          </w:p>
        </w:tc>
        <w:tc>
          <w:tcPr>
            <w:tcW w:w="986" w:type="dxa"/>
            <w:vAlign w:val="center"/>
          </w:tcPr>
          <w:p w14:paraId="46054907" w14:textId="77777777" w:rsidR="00FE0847" w:rsidRPr="00424FC0" w:rsidRDefault="00FE0847" w:rsidP="004A3878">
            <w:pPr>
              <w:pStyle w:val="Text3"/>
              <w:spacing w:after="0" w:line="276" w:lineRule="auto"/>
              <w:ind w:left="0"/>
              <w:jc w:val="center"/>
              <w:rPr>
                <w:b/>
                <w:bCs/>
                <w:noProof/>
                <w:szCs w:val="24"/>
              </w:rPr>
            </w:pPr>
            <w:r w:rsidRPr="00424FC0">
              <w:rPr>
                <w:b/>
                <w:noProof/>
              </w:rPr>
              <w:t>2020</w:t>
            </w:r>
          </w:p>
        </w:tc>
        <w:tc>
          <w:tcPr>
            <w:tcW w:w="986" w:type="dxa"/>
            <w:vAlign w:val="center"/>
          </w:tcPr>
          <w:p w14:paraId="53CF5A73" w14:textId="77777777" w:rsidR="00FE0847" w:rsidRPr="00424FC0" w:rsidRDefault="00FE0847" w:rsidP="004A3878">
            <w:pPr>
              <w:pStyle w:val="Text3"/>
              <w:spacing w:after="0" w:line="276" w:lineRule="auto"/>
              <w:ind w:left="0"/>
              <w:jc w:val="center"/>
              <w:rPr>
                <w:b/>
                <w:bCs/>
                <w:noProof/>
                <w:szCs w:val="24"/>
              </w:rPr>
            </w:pPr>
            <w:r w:rsidRPr="00424FC0">
              <w:rPr>
                <w:b/>
                <w:noProof/>
              </w:rPr>
              <w:t>2021</w:t>
            </w:r>
          </w:p>
        </w:tc>
        <w:tc>
          <w:tcPr>
            <w:tcW w:w="986" w:type="dxa"/>
            <w:vAlign w:val="center"/>
          </w:tcPr>
          <w:p w14:paraId="54CDBD80" w14:textId="77777777" w:rsidR="00FE0847" w:rsidRPr="00424FC0" w:rsidRDefault="00FE0847" w:rsidP="004A3878">
            <w:pPr>
              <w:pStyle w:val="Text3"/>
              <w:spacing w:after="0" w:line="276" w:lineRule="auto"/>
              <w:ind w:left="0"/>
              <w:jc w:val="center"/>
              <w:rPr>
                <w:b/>
                <w:bCs/>
                <w:noProof/>
                <w:szCs w:val="24"/>
              </w:rPr>
            </w:pPr>
            <w:r w:rsidRPr="00424FC0">
              <w:rPr>
                <w:b/>
                <w:noProof/>
              </w:rPr>
              <w:t>2022</w:t>
            </w:r>
          </w:p>
        </w:tc>
        <w:tc>
          <w:tcPr>
            <w:tcW w:w="986" w:type="dxa"/>
            <w:vAlign w:val="center"/>
          </w:tcPr>
          <w:p w14:paraId="73EBBB87" w14:textId="77777777" w:rsidR="00FE0847" w:rsidRPr="00424FC0" w:rsidRDefault="00FE0847" w:rsidP="004A3878">
            <w:pPr>
              <w:pStyle w:val="Text3"/>
              <w:spacing w:after="0" w:line="276" w:lineRule="auto"/>
              <w:ind w:left="0"/>
              <w:jc w:val="center"/>
              <w:rPr>
                <w:b/>
                <w:bCs/>
                <w:noProof/>
                <w:szCs w:val="24"/>
              </w:rPr>
            </w:pPr>
            <w:r w:rsidRPr="00424FC0">
              <w:rPr>
                <w:b/>
                <w:noProof/>
              </w:rPr>
              <w:t>2023</w:t>
            </w:r>
          </w:p>
        </w:tc>
      </w:tr>
      <w:tr w:rsidR="00FE0847" w:rsidRPr="00424FC0" w14:paraId="72C5B4E0" w14:textId="77777777" w:rsidTr="004A3878">
        <w:trPr>
          <w:trHeight w:val="227"/>
          <w:jc w:val="center"/>
        </w:trPr>
        <w:tc>
          <w:tcPr>
            <w:tcW w:w="2686" w:type="dxa"/>
            <w:vAlign w:val="center"/>
          </w:tcPr>
          <w:p w14:paraId="74214676" w14:textId="77777777" w:rsidR="00FE0847" w:rsidRPr="00424FC0" w:rsidRDefault="00FE0847" w:rsidP="004A3878">
            <w:pPr>
              <w:pStyle w:val="Text3"/>
              <w:spacing w:after="0" w:line="276" w:lineRule="auto"/>
              <w:ind w:left="0"/>
              <w:jc w:val="left"/>
              <w:rPr>
                <w:noProof/>
                <w:szCs w:val="24"/>
              </w:rPr>
            </w:pPr>
            <w:r w:rsidRPr="00424FC0">
              <w:rPr>
                <w:noProof/>
              </w:rPr>
              <w:t>Eficiență energetică (EE)</w:t>
            </w:r>
          </w:p>
        </w:tc>
        <w:tc>
          <w:tcPr>
            <w:tcW w:w="986" w:type="dxa"/>
            <w:vAlign w:val="center"/>
          </w:tcPr>
          <w:p w14:paraId="3B99059E" w14:textId="77777777" w:rsidR="00FE0847" w:rsidRPr="00424FC0" w:rsidRDefault="00FE0847" w:rsidP="004A3878">
            <w:pPr>
              <w:pStyle w:val="Text3"/>
              <w:spacing w:after="0" w:line="276" w:lineRule="auto"/>
              <w:ind w:left="0"/>
              <w:jc w:val="center"/>
              <w:rPr>
                <w:noProof/>
                <w:szCs w:val="24"/>
              </w:rPr>
            </w:pPr>
            <w:r w:rsidRPr="00424FC0">
              <w:rPr>
                <w:noProof/>
              </w:rPr>
              <w:t>2 421</w:t>
            </w:r>
          </w:p>
        </w:tc>
        <w:tc>
          <w:tcPr>
            <w:tcW w:w="986" w:type="dxa"/>
            <w:vAlign w:val="center"/>
          </w:tcPr>
          <w:p w14:paraId="787955D6" w14:textId="77777777" w:rsidR="00FE0847" w:rsidRPr="00424FC0" w:rsidRDefault="00FE0847" w:rsidP="004A3878">
            <w:pPr>
              <w:pStyle w:val="Text3"/>
              <w:spacing w:after="0" w:line="276" w:lineRule="auto"/>
              <w:ind w:left="0"/>
              <w:jc w:val="center"/>
              <w:rPr>
                <w:noProof/>
                <w:szCs w:val="24"/>
              </w:rPr>
            </w:pPr>
            <w:r w:rsidRPr="00424FC0">
              <w:rPr>
                <w:noProof/>
              </w:rPr>
              <w:t>4 289</w:t>
            </w:r>
          </w:p>
        </w:tc>
        <w:tc>
          <w:tcPr>
            <w:tcW w:w="986" w:type="dxa"/>
            <w:vAlign w:val="center"/>
          </w:tcPr>
          <w:p w14:paraId="61DEF1F8" w14:textId="77777777" w:rsidR="00FE0847" w:rsidRPr="00424FC0" w:rsidRDefault="00FE0847" w:rsidP="004A3878">
            <w:pPr>
              <w:pStyle w:val="Text3"/>
              <w:spacing w:after="0" w:line="276" w:lineRule="auto"/>
              <w:ind w:left="0"/>
              <w:jc w:val="center"/>
              <w:rPr>
                <w:noProof/>
                <w:szCs w:val="24"/>
              </w:rPr>
            </w:pPr>
            <w:r w:rsidRPr="00424FC0">
              <w:rPr>
                <w:noProof/>
              </w:rPr>
              <w:t>5 273</w:t>
            </w:r>
          </w:p>
        </w:tc>
        <w:tc>
          <w:tcPr>
            <w:tcW w:w="986" w:type="dxa"/>
            <w:vAlign w:val="center"/>
          </w:tcPr>
          <w:p w14:paraId="40F5A16B" w14:textId="77777777" w:rsidR="00FE0847" w:rsidRPr="00424FC0" w:rsidRDefault="00FE0847" w:rsidP="004A3878">
            <w:pPr>
              <w:pStyle w:val="Text3"/>
              <w:spacing w:after="0" w:line="276" w:lineRule="auto"/>
              <w:ind w:left="0"/>
              <w:jc w:val="center"/>
              <w:rPr>
                <w:noProof/>
                <w:szCs w:val="24"/>
              </w:rPr>
            </w:pPr>
            <w:r w:rsidRPr="00424FC0">
              <w:rPr>
                <w:noProof/>
              </w:rPr>
              <w:t>4 539</w:t>
            </w:r>
          </w:p>
        </w:tc>
        <w:tc>
          <w:tcPr>
            <w:tcW w:w="986" w:type="dxa"/>
            <w:vAlign w:val="center"/>
          </w:tcPr>
          <w:p w14:paraId="2A3E560C" w14:textId="77777777" w:rsidR="00FE0847" w:rsidRPr="00424FC0" w:rsidRDefault="00FE0847" w:rsidP="004A3878">
            <w:pPr>
              <w:pStyle w:val="Text3"/>
              <w:spacing w:after="0" w:line="276" w:lineRule="auto"/>
              <w:ind w:left="0"/>
              <w:jc w:val="center"/>
              <w:rPr>
                <w:noProof/>
                <w:szCs w:val="24"/>
              </w:rPr>
            </w:pPr>
            <w:r w:rsidRPr="00424FC0">
              <w:rPr>
                <w:noProof/>
              </w:rPr>
              <w:t>7 624</w:t>
            </w:r>
          </w:p>
        </w:tc>
        <w:tc>
          <w:tcPr>
            <w:tcW w:w="986" w:type="dxa"/>
            <w:vAlign w:val="center"/>
          </w:tcPr>
          <w:p w14:paraId="3477CB79" w14:textId="77777777" w:rsidR="00FE0847" w:rsidRPr="00424FC0" w:rsidRDefault="00FE0847" w:rsidP="004A3878">
            <w:pPr>
              <w:pStyle w:val="Text3"/>
              <w:spacing w:after="0" w:line="276" w:lineRule="auto"/>
              <w:ind w:left="0"/>
              <w:jc w:val="center"/>
              <w:rPr>
                <w:noProof/>
                <w:szCs w:val="24"/>
              </w:rPr>
            </w:pPr>
            <w:r w:rsidRPr="00424FC0">
              <w:rPr>
                <w:noProof/>
              </w:rPr>
              <w:t>9 326</w:t>
            </w:r>
          </w:p>
        </w:tc>
      </w:tr>
      <w:tr w:rsidR="003100D4" w:rsidRPr="00424FC0" w14:paraId="3883BF6F" w14:textId="77777777" w:rsidTr="004E34F6">
        <w:trPr>
          <w:trHeight w:val="227"/>
          <w:jc w:val="center"/>
        </w:trPr>
        <w:tc>
          <w:tcPr>
            <w:tcW w:w="2686" w:type="dxa"/>
            <w:tcBorders>
              <w:left w:val="nil"/>
              <w:right w:val="nil"/>
            </w:tcBorders>
            <w:vAlign w:val="center"/>
          </w:tcPr>
          <w:p w14:paraId="165CFA3D" w14:textId="77777777" w:rsidR="003100D4" w:rsidRPr="00424FC0" w:rsidRDefault="003100D4" w:rsidP="007D751C">
            <w:pPr>
              <w:pStyle w:val="Text3"/>
              <w:spacing w:after="0" w:line="276" w:lineRule="auto"/>
              <w:ind w:left="0"/>
              <w:jc w:val="left"/>
              <w:rPr>
                <w:noProof/>
                <w:szCs w:val="24"/>
              </w:rPr>
            </w:pPr>
          </w:p>
        </w:tc>
        <w:tc>
          <w:tcPr>
            <w:tcW w:w="986" w:type="dxa"/>
            <w:tcBorders>
              <w:left w:val="nil"/>
              <w:right w:val="nil"/>
            </w:tcBorders>
            <w:vAlign w:val="center"/>
          </w:tcPr>
          <w:p w14:paraId="07F8A4EB" w14:textId="77777777" w:rsidR="003100D4" w:rsidRPr="00424FC0"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DB8C08" w14:textId="77777777" w:rsidR="003100D4" w:rsidRPr="00424FC0"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499805BE" w14:textId="77777777" w:rsidR="003100D4" w:rsidRPr="00424FC0"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212702" w14:textId="77777777" w:rsidR="003100D4" w:rsidRPr="00424FC0"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5AE26186" w14:textId="77777777" w:rsidR="003100D4" w:rsidRPr="00424FC0"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39C43DCD" w14:textId="77777777" w:rsidR="003100D4" w:rsidRPr="00424FC0" w:rsidRDefault="003100D4" w:rsidP="007D751C">
            <w:pPr>
              <w:pStyle w:val="Text3"/>
              <w:spacing w:after="0" w:line="276" w:lineRule="auto"/>
              <w:ind w:left="0"/>
              <w:jc w:val="center"/>
              <w:rPr>
                <w:noProof/>
                <w:szCs w:val="24"/>
              </w:rPr>
            </w:pPr>
          </w:p>
        </w:tc>
      </w:tr>
    </w:tbl>
    <w:p w14:paraId="4C9BA495" w14:textId="292C96D3" w:rsidR="00F46029" w:rsidRPr="00424FC0" w:rsidRDefault="00F46029" w:rsidP="00446D0B">
      <w:pPr>
        <w:pStyle w:val="Text3"/>
        <w:spacing w:line="276" w:lineRule="auto"/>
        <w:ind w:left="0"/>
        <w:rPr>
          <w:noProof/>
          <w:sz w:val="20"/>
        </w:rPr>
      </w:pPr>
      <w:r w:rsidRPr="00424FC0">
        <w:rPr>
          <w:noProof/>
          <w:sz w:val="20"/>
        </w:rPr>
        <w:t>Sursă: Grupul Băncii Europene de Investiții, 2024</w:t>
      </w:r>
    </w:p>
    <w:p w14:paraId="604EB915" w14:textId="666EE69B" w:rsidR="002E4642" w:rsidRPr="00424FC0" w:rsidRDefault="00612DA3" w:rsidP="007D751C">
      <w:pPr>
        <w:pStyle w:val="Text3"/>
        <w:spacing w:line="276" w:lineRule="auto"/>
        <w:ind w:left="0"/>
        <w:rPr>
          <w:noProof/>
        </w:rPr>
      </w:pPr>
      <w:r w:rsidRPr="00424FC0">
        <w:rPr>
          <w:noProof/>
        </w:rPr>
        <w:t>Trebuie remarcat faptul că aceste cifre includ resurse din bugetul Uniunii implementat de Banca Europeană de Investiții („BEI”) – unul dintre principalii parteneri de implementare ai fondurilor UE – precum și băncile naționale de promovare și dezvoltare („NPBI”) gestionează astfel de resurse. Prin urmare, acestea nu ar trebui adăugate la cifrele prezentate în secțiunea anterioară. Acesta este cazul, de exemplu, al programului de garantare InvestEU și al instrumentului ELENA. Totuși, cifrele evidențiază creșterea de peste douăsprezece ori a investițiilor Grupului BEI în eficiența energetică începând din 2012.</w:t>
      </w:r>
    </w:p>
    <w:p w14:paraId="2F7882DE" w14:textId="0075439D" w:rsidR="00612DA3" w:rsidRPr="00424FC0" w:rsidRDefault="00C54A53" w:rsidP="007D751C">
      <w:pPr>
        <w:pStyle w:val="Heading2"/>
        <w:spacing w:line="276" w:lineRule="auto"/>
        <w:rPr>
          <w:noProof/>
        </w:rPr>
      </w:pPr>
      <w:r w:rsidRPr="00424FC0">
        <w:rPr>
          <w:noProof/>
        </w:rPr>
        <w:t>Sprijin financiar public la nivelul statelor membre</w:t>
      </w:r>
    </w:p>
    <w:p w14:paraId="4C1E7F40" w14:textId="42FA3315" w:rsidR="006305EF" w:rsidRPr="00424FC0" w:rsidRDefault="003D0646" w:rsidP="007D751C">
      <w:pPr>
        <w:spacing w:line="276" w:lineRule="auto"/>
        <w:rPr>
          <w:noProof/>
        </w:rPr>
      </w:pPr>
      <w:r w:rsidRPr="00424FC0">
        <w:rPr>
          <w:noProof/>
        </w:rPr>
        <w:t>Comisia a efectuat o analiză ascendentă a schemelor de finanțare publică. Statele membre au fost ulterior consultate (i) prin intermediul unei cereri de contribuții (</w:t>
      </w:r>
      <w:r w:rsidRPr="00424FC0">
        <w:rPr>
          <w:rStyle w:val="FootnoteReference"/>
          <w:noProof/>
        </w:rPr>
        <w:footnoteReference w:id="19"/>
      </w:r>
      <w:r w:rsidRPr="00424FC0">
        <w:rPr>
          <w:noProof/>
        </w:rPr>
        <w:t>) și (ii) prin intermediul Grupului de experți privind DEE. Prezentul raport se bazează în principal pe datele colectate direct de la statele membre, în timp ce alte date reieșite din analiză, acolo unde au fost disponibile, au fost utilizate pentru a acoperi eventualele lacune.</w:t>
      </w:r>
    </w:p>
    <w:p w14:paraId="0685DA60" w14:textId="303F24B2" w:rsidR="00F46029" w:rsidRPr="00424FC0" w:rsidRDefault="006305EF" w:rsidP="007D751C">
      <w:pPr>
        <w:spacing w:line="276" w:lineRule="auto"/>
        <w:rPr>
          <w:noProof/>
        </w:rPr>
      </w:pPr>
      <w:r w:rsidRPr="00424FC0">
        <w:rPr>
          <w:noProof/>
        </w:rPr>
        <w:t>În total, au fost identificate 426 de scheme de finanțare publică în cele 27 de state membre.</w:t>
      </w:r>
    </w:p>
    <w:p w14:paraId="49049A3C" w14:textId="0E0CDAD8" w:rsidR="006305EF" w:rsidRPr="00424FC0" w:rsidRDefault="00F46029" w:rsidP="007D751C">
      <w:pPr>
        <w:spacing w:line="276" w:lineRule="auto"/>
        <w:rPr>
          <w:noProof/>
        </w:rPr>
      </w:pPr>
      <w:r w:rsidRPr="00424FC0">
        <w:rPr>
          <w:noProof/>
        </w:rPr>
        <w:t>Trebuie subliniat faptul că, întrucât datele privind eficiența energetică nu sunt colectate în mod sistematic în cadrul schemelor de finanțare publică, acestea reprezintă doar estimări orientative.</w:t>
      </w:r>
    </w:p>
    <w:p w14:paraId="56DA351B" w14:textId="5F71618E" w:rsidR="00FE4683" w:rsidRPr="00424FC0" w:rsidRDefault="4FB36564" w:rsidP="007D751C">
      <w:pPr>
        <w:spacing w:line="276" w:lineRule="auto"/>
        <w:rPr>
          <w:noProof/>
        </w:rPr>
      </w:pPr>
      <w:r w:rsidRPr="00424FC0">
        <w:rPr>
          <w:b/>
          <w:noProof/>
        </w:rPr>
        <w:t>Multe scheme naționale sunt cofinanțate prin programe ale UE.</w:t>
      </w:r>
      <w:r w:rsidRPr="00424FC0">
        <w:rPr>
          <w:noProof/>
        </w:rPr>
        <w:t xml:space="preserve"> 103 scheme au primit cofinanțare din partea programelor UE, fie parțial, fie integral. Atât din punctul de vedere al numărului, cât și al volumului schemelor, MRR a fost principalul contribuitor. Contribuțiile raportate ale UE, în valoare de 28,8 miliarde EUR, au fost deduse din total pentru a se evita dubla contabilizare între schemele de finanțare ale UE și cele naționale (</w:t>
      </w:r>
      <w:r w:rsidRPr="00424FC0">
        <w:rPr>
          <w:rStyle w:val="FootnoteReference"/>
          <w:noProof/>
        </w:rPr>
        <w:footnoteReference w:id="20"/>
      </w:r>
      <w:r w:rsidRPr="00424FC0">
        <w:rPr>
          <w:noProof/>
        </w:rPr>
        <w:t xml:space="preserve">). </w:t>
      </w:r>
    </w:p>
    <w:p w14:paraId="03C766F6" w14:textId="77777777" w:rsidR="0031363B" w:rsidRPr="00424FC0" w:rsidRDefault="00E01D23" w:rsidP="0031363B">
      <w:pPr>
        <w:spacing w:line="276" w:lineRule="auto"/>
        <w:rPr>
          <w:noProof/>
        </w:rPr>
      </w:pPr>
      <w:r w:rsidRPr="00424FC0">
        <w:rPr>
          <w:noProof/>
        </w:rPr>
        <w:t xml:space="preserve">Nu au fost primite date bugetare pentru 80 de scheme, astfel încât evaluarea se bazează pe date aferente unui număr de 346 de scheme din întreaga Europă. </w:t>
      </w:r>
      <w:r w:rsidRPr="00424FC0">
        <w:rPr>
          <w:b/>
          <w:noProof/>
        </w:rPr>
        <w:t>Sprijinul din bugetele naționale pentru proiectele de eficiență energetică în perioada 2014–2024 este estimat la 360 de miliarde EUR</w:t>
      </w:r>
      <w:r w:rsidRPr="00424FC0">
        <w:rPr>
          <w:noProof/>
        </w:rPr>
        <w:t> (</w:t>
      </w:r>
      <w:r w:rsidRPr="00424FC0">
        <w:rPr>
          <w:rStyle w:val="FootnoteReference"/>
          <w:noProof/>
        </w:rPr>
        <w:footnoteReference w:id="21"/>
      </w:r>
      <w:r w:rsidRPr="00424FC0">
        <w:rPr>
          <w:noProof/>
        </w:rPr>
        <w:t>)</w:t>
      </w:r>
      <w:r w:rsidRPr="00424FC0">
        <w:rPr>
          <w:b/>
          <w:noProof/>
        </w:rPr>
        <w:t xml:space="preserve">, respectiv aproximativ 32,7 miliarde EUR pe an. </w:t>
      </w:r>
      <w:r w:rsidRPr="00424FC0">
        <w:rPr>
          <w:noProof/>
        </w:rPr>
        <w:t>Repartizarea bugetului pe state membre este prezentată mai jos.</w:t>
      </w:r>
    </w:p>
    <w:p w14:paraId="35325DA1" w14:textId="0914F353" w:rsidR="00470D3D" w:rsidRPr="00424FC0" w:rsidRDefault="73364A06" w:rsidP="0031363B">
      <w:pPr>
        <w:spacing w:after="0" w:line="276" w:lineRule="auto"/>
        <w:rPr>
          <w:i/>
          <w:iCs/>
          <w:noProof/>
        </w:rPr>
      </w:pPr>
      <w:r w:rsidRPr="00424FC0">
        <w:rPr>
          <w:i/>
          <w:noProof/>
        </w:rPr>
        <w:t>Graficul 1/Tabelul 4: Scheme naționale în materie de eficiență energetică, 2014-2024</w:t>
      </w:r>
    </w:p>
    <w:p w14:paraId="7B0AD9F5" w14:textId="686978A1" w:rsidR="00470D3D" w:rsidRPr="00424FC0" w:rsidRDefault="00367542" w:rsidP="007D751C">
      <w:pPr>
        <w:pStyle w:val="Text2"/>
        <w:spacing w:line="276" w:lineRule="auto"/>
        <w:ind w:left="0"/>
        <w:rPr>
          <w:noProof/>
        </w:rPr>
      </w:pPr>
      <w:r w:rsidRPr="00424FC0">
        <w:rPr>
          <w:noProof/>
          <w:lang w:val="en-GB" w:eastAsia="en-GB"/>
        </w:rPr>
        <w:drawing>
          <wp:inline distT="0" distB="0" distL="0" distR="0" wp14:anchorId="051A4FD0" wp14:editId="68C36397">
            <wp:extent cx="5472430" cy="2846567"/>
            <wp:effectExtent l="0" t="0" r="13970" b="11430"/>
            <wp:docPr id="1025232597" name="Chart 1">
              <a:extLst xmlns:a="http://schemas.openxmlformats.org/drawingml/2006/main">
                <a:ext uri="{FF2B5EF4-FFF2-40B4-BE49-F238E27FC236}">
                  <a16:creationId xmlns:a16="http://schemas.microsoft.com/office/drawing/2014/main" id="{41F38335-FB4F-40F0-AA2D-D776937061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2556"/>
        <w:gridCol w:w="1843"/>
      </w:tblGrid>
      <w:tr w:rsidR="00B72A2B" w:rsidRPr="00424FC0" w14:paraId="171CFE59" w14:textId="77777777" w:rsidTr="00DB3CF9">
        <w:trPr>
          <w:trHeight w:val="590"/>
          <w:jc w:val="center"/>
        </w:trPr>
        <w:tc>
          <w:tcPr>
            <w:tcW w:w="1838" w:type="dxa"/>
            <w:vAlign w:val="center"/>
            <w:hideMark/>
          </w:tcPr>
          <w:p w14:paraId="70472C82" w14:textId="54273914" w:rsidR="00F744A1" w:rsidRPr="00424FC0" w:rsidRDefault="00F00EB0" w:rsidP="007D751C">
            <w:pPr>
              <w:spacing w:after="0" w:line="276" w:lineRule="auto"/>
              <w:jc w:val="left"/>
              <w:rPr>
                <w:b/>
                <w:bCs/>
                <w:noProof/>
                <w:color w:val="000000"/>
                <w:szCs w:val="24"/>
              </w:rPr>
            </w:pPr>
            <w:r w:rsidRPr="00424FC0">
              <w:rPr>
                <w:b/>
                <w:noProof/>
                <w:color w:val="000000"/>
              </w:rPr>
              <w:t>State membre</w:t>
            </w:r>
          </w:p>
        </w:tc>
        <w:tc>
          <w:tcPr>
            <w:tcW w:w="1418" w:type="dxa"/>
            <w:vAlign w:val="center"/>
            <w:hideMark/>
          </w:tcPr>
          <w:p w14:paraId="758372EE" w14:textId="5CE17622" w:rsidR="00F744A1" w:rsidRPr="00424FC0" w:rsidRDefault="00C44233" w:rsidP="007D751C">
            <w:pPr>
              <w:spacing w:after="0" w:line="276" w:lineRule="auto"/>
              <w:jc w:val="center"/>
              <w:rPr>
                <w:b/>
                <w:bCs/>
                <w:noProof/>
                <w:color w:val="000000"/>
                <w:szCs w:val="24"/>
              </w:rPr>
            </w:pPr>
            <w:r w:rsidRPr="00424FC0">
              <w:rPr>
                <w:b/>
                <w:noProof/>
                <w:color w:val="000000"/>
              </w:rPr>
              <w:t>Număr de scheme</w:t>
            </w:r>
          </w:p>
        </w:tc>
        <w:tc>
          <w:tcPr>
            <w:tcW w:w="2556" w:type="dxa"/>
            <w:vAlign w:val="center"/>
            <w:hideMark/>
          </w:tcPr>
          <w:p w14:paraId="4EDD1077" w14:textId="10740E9A" w:rsidR="00F744A1" w:rsidRPr="00424FC0" w:rsidRDefault="00F744A1" w:rsidP="007D751C">
            <w:pPr>
              <w:spacing w:after="0" w:line="276" w:lineRule="auto"/>
              <w:jc w:val="center"/>
              <w:rPr>
                <w:b/>
                <w:bCs/>
                <w:noProof/>
                <w:color w:val="000000"/>
                <w:szCs w:val="24"/>
              </w:rPr>
            </w:pPr>
            <w:r w:rsidRPr="00424FC0">
              <w:rPr>
                <w:b/>
                <w:noProof/>
                <w:color w:val="000000"/>
              </w:rPr>
              <w:t>Buget total planificat (în milioane EUR)</w:t>
            </w:r>
          </w:p>
        </w:tc>
        <w:tc>
          <w:tcPr>
            <w:tcW w:w="1843" w:type="dxa"/>
            <w:vAlign w:val="center"/>
            <w:hideMark/>
          </w:tcPr>
          <w:p w14:paraId="11CD96C0" w14:textId="0775AF9F" w:rsidR="00F744A1" w:rsidRPr="00424FC0" w:rsidRDefault="003C7063" w:rsidP="007D751C">
            <w:pPr>
              <w:spacing w:after="0" w:line="276" w:lineRule="auto"/>
              <w:jc w:val="center"/>
              <w:rPr>
                <w:b/>
                <w:bCs/>
                <w:noProof/>
                <w:color w:val="000000"/>
                <w:szCs w:val="24"/>
              </w:rPr>
            </w:pPr>
            <w:r w:rsidRPr="00424FC0">
              <w:rPr>
                <w:b/>
                <w:noProof/>
                <w:color w:val="000000"/>
              </w:rPr>
              <w:t>EUR pe cap de locuitor</w:t>
            </w:r>
          </w:p>
        </w:tc>
      </w:tr>
      <w:tr w:rsidR="00B72A2B" w:rsidRPr="00424FC0" w14:paraId="2A1A41D0" w14:textId="77777777" w:rsidTr="00DB3CF9">
        <w:trPr>
          <w:trHeight w:val="300"/>
          <w:jc w:val="center"/>
        </w:trPr>
        <w:tc>
          <w:tcPr>
            <w:tcW w:w="1838" w:type="dxa"/>
            <w:vAlign w:val="center"/>
            <w:hideMark/>
          </w:tcPr>
          <w:p w14:paraId="4E565175" w14:textId="77777777" w:rsidR="00F744A1" w:rsidRPr="00424FC0" w:rsidRDefault="00F744A1" w:rsidP="007D751C">
            <w:pPr>
              <w:spacing w:after="0" w:line="276" w:lineRule="auto"/>
              <w:rPr>
                <w:noProof/>
                <w:color w:val="000000"/>
                <w:szCs w:val="24"/>
              </w:rPr>
            </w:pPr>
            <w:r w:rsidRPr="00424FC0">
              <w:rPr>
                <w:noProof/>
                <w:color w:val="000000"/>
              </w:rPr>
              <w:t>Italia</w:t>
            </w:r>
          </w:p>
        </w:tc>
        <w:tc>
          <w:tcPr>
            <w:tcW w:w="1418" w:type="dxa"/>
            <w:vAlign w:val="center"/>
            <w:hideMark/>
          </w:tcPr>
          <w:p w14:paraId="607FC706" w14:textId="77777777" w:rsidR="00F744A1" w:rsidRPr="00424FC0" w:rsidRDefault="00F744A1" w:rsidP="007D751C">
            <w:pPr>
              <w:spacing w:after="0" w:line="276" w:lineRule="auto"/>
              <w:jc w:val="center"/>
              <w:rPr>
                <w:noProof/>
                <w:color w:val="000000"/>
                <w:szCs w:val="24"/>
              </w:rPr>
            </w:pPr>
            <w:r w:rsidRPr="00424FC0">
              <w:rPr>
                <w:noProof/>
                <w:color w:val="000000"/>
              </w:rPr>
              <w:t>8</w:t>
            </w:r>
          </w:p>
        </w:tc>
        <w:tc>
          <w:tcPr>
            <w:tcW w:w="2556" w:type="dxa"/>
            <w:vAlign w:val="center"/>
            <w:hideMark/>
          </w:tcPr>
          <w:p w14:paraId="210322FF" w14:textId="0492302C" w:rsidR="00F744A1" w:rsidRPr="00424FC0" w:rsidRDefault="00F744A1" w:rsidP="007D751C">
            <w:pPr>
              <w:spacing w:after="0" w:line="276" w:lineRule="auto"/>
              <w:jc w:val="center"/>
              <w:rPr>
                <w:noProof/>
                <w:color w:val="000000"/>
                <w:szCs w:val="24"/>
              </w:rPr>
            </w:pPr>
            <w:r w:rsidRPr="00424FC0">
              <w:rPr>
                <w:noProof/>
                <w:color w:val="000000"/>
              </w:rPr>
              <w:t>134 465</w:t>
            </w:r>
          </w:p>
        </w:tc>
        <w:tc>
          <w:tcPr>
            <w:tcW w:w="1843" w:type="dxa"/>
            <w:vAlign w:val="center"/>
            <w:hideMark/>
          </w:tcPr>
          <w:p w14:paraId="1062671B" w14:textId="17B8A942" w:rsidR="00F744A1" w:rsidRPr="00424FC0" w:rsidRDefault="00F744A1" w:rsidP="007D751C">
            <w:pPr>
              <w:spacing w:after="0" w:line="276" w:lineRule="auto"/>
              <w:jc w:val="center"/>
              <w:rPr>
                <w:noProof/>
                <w:color w:val="000000"/>
                <w:szCs w:val="24"/>
              </w:rPr>
            </w:pPr>
            <w:r w:rsidRPr="00424FC0">
              <w:rPr>
                <w:noProof/>
                <w:color w:val="000000"/>
              </w:rPr>
              <w:t>2 284</w:t>
            </w:r>
          </w:p>
        </w:tc>
      </w:tr>
      <w:tr w:rsidR="00B72A2B" w:rsidRPr="00424FC0" w14:paraId="22B48707" w14:textId="77777777" w:rsidTr="00DB3CF9">
        <w:trPr>
          <w:trHeight w:val="300"/>
          <w:jc w:val="center"/>
        </w:trPr>
        <w:tc>
          <w:tcPr>
            <w:tcW w:w="1838" w:type="dxa"/>
            <w:vAlign w:val="center"/>
            <w:hideMark/>
          </w:tcPr>
          <w:p w14:paraId="4C5B9B95" w14:textId="77777777" w:rsidR="00F744A1" w:rsidRPr="00424FC0" w:rsidRDefault="00F744A1" w:rsidP="007D751C">
            <w:pPr>
              <w:spacing w:after="0" w:line="276" w:lineRule="auto"/>
              <w:rPr>
                <w:noProof/>
                <w:color w:val="000000"/>
                <w:szCs w:val="24"/>
              </w:rPr>
            </w:pPr>
            <w:r w:rsidRPr="00424FC0">
              <w:rPr>
                <w:noProof/>
                <w:color w:val="000000"/>
              </w:rPr>
              <w:t>Suedia</w:t>
            </w:r>
          </w:p>
        </w:tc>
        <w:tc>
          <w:tcPr>
            <w:tcW w:w="1418" w:type="dxa"/>
            <w:vAlign w:val="center"/>
            <w:hideMark/>
          </w:tcPr>
          <w:p w14:paraId="716C86DB" w14:textId="77777777" w:rsidR="00F744A1" w:rsidRPr="00424FC0" w:rsidRDefault="00F744A1" w:rsidP="007D751C">
            <w:pPr>
              <w:spacing w:after="0" w:line="276" w:lineRule="auto"/>
              <w:jc w:val="center"/>
              <w:rPr>
                <w:noProof/>
                <w:color w:val="000000"/>
                <w:szCs w:val="24"/>
              </w:rPr>
            </w:pPr>
            <w:r w:rsidRPr="00424FC0">
              <w:rPr>
                <w:noProof/>
                <w:color w:val="000000"/>
              </w:rPr>
              <w:t>7</w:t>
            </w:r>
          </w:p>
        </w:tc>
        <w:tc>
          <w:tcPr>
            <w:tcW w:w="2556" w:type="dxa"/>
            <w:vAlign w:val="center"/>
            <w:hideMark/>
          </w:tcPr>
          <w:p w14:paraId="6B7E76B1" w14:textId="01784C7C" w:rsidR="00F744A1" w:rsidRPr="00424FC0" w:rsidRDefault="00F744A1" w:rsidP="007D751C">
            <w:pPr>
              <w:spacing w:after="0" w:line="276" w:lineRule="auto"/>
              <w:jc w:val="center"/>
              <w:rPr>
                <w:noProof/>
                <w:color w:val="000000"/>
                <w:szCs w:val="24"/>
              </w:rPr>
            </w:pPr>
            <w:r w:rsidRPr="00424FC0">
              <w:rPr>
                <w:noProof/>
                <w:color w:val="000000"/>
              </w:rPr>
              <w:t>22 067</w:t>
            </w:r>
          </w:p>
        </w:tc>
        <w:tc>
          <w:tcPr>
            <w:tcW w:w="1843" w:type="dxa"/>
            <w:vAlign w:val="center"/>
            <w:hideMark/>
          </w:tcPr>
          <w:p w14:paraId="6D9C5D4F" w14:textId="5D728E40" w:rsidR="00F744A1" w:rsidRPr="00424FC0" w:rsidRDefault="00F744A1" w:rsidP="007D751C">
            <w:pPr>
              <w:spacing w:after="0" w:line="276" w:lineRule="auto"/>
              <w:jc w:val="center"/>
              <w:rPr>
                <w:noProof/>
                <w:color w:val="000000"/>
                <w:szCs w:val="24"/>
              </w:rPr>
            </w:pPr>
            <w:r w:rsidRPr="00424FC0">
              <w:rPr>
                <w:noProof/>
                <w:color w:val="000000"/>
              </w:rPr>
              <w:t>2 104</w:t>
            </w:r>
          </w:p>
        </w:tc>
      </w:tr>
      <w:tr w:rsidR="00B72A2B" w:rsidRPr="00424FC0" w14:paraId="1F782C97" w14:textId="77777777" w:rsidTr="00DB3CF9">
        <w:trPr>
          <w:trHeight w:val="300"/>
          <w:jc w:val="center"/>
        </w:trPr>
        <w:tc>
          <w:tcPr>
            <w:tcW w:w="1838" w:type="dxa"/>
            <w:vAlign w:val="center"/>
            <w:hideMark/>
          </w:tcPr>
          <w:p w14:paraId="02ACDD9B" w14:textId="77777777" w:rsidR="00F744A1" w:rsidRPr="00424FC0" w:rsidRDefault="00F744A1" w:rsidP="007D751C">
            <w:pPr>
              <w:spacing w:after="0" w:line="276" w:lineRule="auto"/>
              <w:rPr>
                <w:noProof/>
                <w:color w:val="000000"/>
                <w:szCs w:val="24"/>
              </w:rPr>
            </w:pPr>
            <w:r w:rsidRPr="00424FC0">
              <w:rPr>
                <w:noProof/>
                <w:color w:val="000000"/>
              </w:rPr>
              <w:t>Franța</w:t>
            </w:r>
          </w:p>
        </w:tc>
        <w:tc>
          <w:tcPr>
            <w:tcW w:w="1418" w:type="dxa"/>
            <w:vAlign w:val="center"/>
            <w:hideMark/>
          </w:tcPr>
          <w:p w14:paraId="3CBE306A" w14:textId="77777777" w:rsidR="00F744A1" w:rsidRPr="00424FC0" w:rsidRDefault="00F744A1" w:rsidP="007D751C">
            <w:pPr>
              <w:spacing w:after="0" w:line="276" w:lineRule="auto"/>
              <w:jc w:val="center"/>
              <w:rPr>
                <w:noProof/>
                <w:color w:val="000000"/>
                <w:szCs w:val="24"/>
              </w:rPr>
            </w:pPr>
            <w:r w:rsidRPr="00424FC0">
              <w:rPr>
                <w:noProof/>
                <w:color w:val="000000"/>
              </w:rPr>
              <w:t>14</w:t>
            </w:r>
          </w:p>
        </w:tc>
        <w:tc>
          <w:tcPr>
            <w:tcW w:w="2556" w:type="dxa"/>
            <w:vAlign w:val="center"/>
            <w:hideMark/>
          </w:tcPr>
          <w:p w14:paraId="675439AF" w14:textId="0B787307" w:rsidR="00F744A1" w:rsidRPr="00424FC0" w:rsidRDefault="00F744A1" w:rsidP="007D751C">
            <w:pPr>
              <w:spacing w:after="0" w:line="276" w:lineRule="auto"/>
              <w:jc w:val="center"/>
              <w:rPr>
                <w:noProof/>
                <w:color w:val="000000"/>
                <w:szCs w:val="24"/>
              </w:rPr>
            </w:pPr>
            <w:r w:rsidRPr="00424FC0">
              <w:rPr>
                <w:noProof/>
                <w:color w:val="000000"/>
              </w:rPr>
              <w:t>125 711</w:t>
            </w:r>
          </w:p>
        </w:tc>
        <w:tc>
          <w:tcPr>
            <w:tcW w:w="1843" w:type="dxa"/>
            <w:vAlign w:val="center"/>
            <w:hideMark/>
          </w:tcPr>
          <w:p w14:paraId="2535E3FD" w14:textId="0F631609" w:rsidR="00F744A1" w:rsidRPr="00424FC0" w:rsidRDefault="00F744A1" w:rsidP="007D751C">
            <w:pPr>
              <w:spacing w:after="0" w:line="276" w:lineRule="auto"/>
              <w:jc w:val="center"/>
              <w:rPr>
                <w:noProof/>
                <w:color w:val="000000"/>
                <w:szCs w:val="24"/>
              </w:rPr>
            </w:pPr>
            <w:r w:rsidRPr="00424FC0">
              <w:rPr>
                <w:noProof/>
                <w:color w:val="000000"/>
              </w:rPr>
              <w:t>1 850</w:t>
            </w:r>
          </w:p>
        </w:tc>
      </w:tr>
      <w:tr w:rsidR="00B72A2B" w:rsidRPr="00424FC0" w14:paraId="05D2D350" w14:textId="77777777" w:rsidTr="00DB3CF9">
        <w:trPr>
          <w:trHeight w:val="300"/>
          <w:jc w:val="center"/>
        </w:trPr>
        <w:tc>
          <w:tcPr>
            <w:tcW w:w="1838" w:type="dxa"/>
            <w:vAlign w:val="center"/>
            <w:hideMark/>
          </w:tcPr>
          <w:p w14:paraId="605361DD" w14:textId="77777777" w:rsidR="00F744A1" w:rsidRPr="00424FC0" w:rsidRDefault="00F744A1" w:rsidP="007D751C">
            <w:pPr>
              <w:spacing w:after="0" w:line="276" w:lineRule="auto"/>
              <w:rPr>
                <w:noProof/>
                <w:color w:val="000000"/>
                <w:szCs w:val="24"/>
              </w:rPr>
            </w:pPr>
            <w:r w:rsidRPr="00424FC0">
              <w:rPr>
                <w:noProof/>
                <w:color w:val="000000"/>
              </w:rPr>
              <w:t>Austria</w:t>
            </w:r>
          </w:p>
        </w:tc>
        <w:tc>
          <w:tcPr>
            <w:tcW w:w="1418" w:type="dxa"/>
            <w:vAlign w:val="center"/>
            <w:hideMark/>
          </w:tcPr>
          <w:p w14:paraId="79DE4049" w14:textId="77777777" w:rsidR="00F744A1" w:rsidRPr="00424FC0" w:rsidRDefault="00F744A1" w:rsidP="007D751C">
            <w:pPr>
              <w:spacing w:after="0" w:line="276" w:lineRule="auto"/>
              <w:jc w:val="center"/>
              <w:rPr>
                <w:noProof/>
                <w:color w:val="000000"/>
                <w:szCs w:val="24"/>
              </w:rPr>
            </w:pPr>
            <w:r w:rsidRPr="00424FC0">
              <w:rPr>
                <w:noProof/>
                <w:color w:val="000000"/>
              </w:rPr>
              <w:t>16</w:t>
            </w:r>
          </w:p>
        </w:tc>
        <w:tc>
          <w:tcPr>
            <w:tcW w:w="2556" w:type="dxa"/>
            <w:vAlign w:val="center"/>
            <w:hideMark/>
          </w:tcPr>
          <w:p w14:paraId="5E552B07" w14:textId="7E1DD746" w:rsidR="00F744A1" w:rsidRPr="00424FC0" w:rsidRDefault="00F744A1" w:rsidP="007D751C">
            <w:pPr>
              <w:spacing w:after="0" w:line="276" w:lineRule="auto"/>
              <w:jc w:val="center"/>
              <w:rPr>
                <w:noProof/>
                <w:color w:val="000000"/>
                <w:szCs w:val="24"/>
              </w:rPr>
            </w:pPr>
            <w:r w:rsidRPr="00424FC0">
              <w:rPr>
                <w:noProof/>
                <w:color w:val="000000"/>
              </w:rPr>
              <w:t>14 537</w:t>
            </w:r>
          </w:p>
        </w:tc>
        <w:tc>
          <w:tcPr>
            <w:tcW w:w="1843" w:type="dxa"/>
            <w:vAlign w:val="center"/>
            <w:hideMark/>
          </w:tcPr>
          <w:p w14:paraId="046084C9" w14:textId="4228A882" w:rsidR="00F744A1" w:rsidRPr="00424FC0" w:rsidRDefault="00F744A1" w:rsidP="007D751C">
            <w:pPr>
              <w:spacing w:after="0" w:line="276" w:lineRule="auto"/>
              <w:jc w:val="center"/>
              <w:rPr>
                <w:noProof/>
                <w:color w:val="000000"/>
                <w:szCs w:val="24"/>
              </w:rPr>
            </w:pPr>
            <w:r w:rsidRPr="00424FC0">
              <w:rPr>
                <w:noProof/>
                <w:color w:val="000000"/>
              </w:rPr>
              <w:t>1 608</w:t>
            </w:r>
          </w:p>
        </w:tc>
      </w:tr>
      <w:tr w:rsidR="00B72A2B" w:rsidRPr="00424FC0" w14:paraId="10E3AD95" w14:textId="77777777" w:rsidTr="00DB3CF9">
        <w:trPr>
          <w:trHeight w:val="300"/>
          <w:jc w:val="center"/>
        </w:trPr>
        <w:tc>
          <w:tcPr>
            <w:tcW w:w="1838" w:type="dxa"/>
            <w:vAlign w:val="center"/>
            <w:hideMark/>
          </w:tcPr>
          <w:p w14:paraId="040151B3" w14:textId="77777777" w:rsidR="00F744A1" w:rsidRPr="00424FC0" w:rsidRDefault="00F744A1" w:rsidP="007D751C">
            <w:pPr>
              <w:spacing w:after="0" w:line="276" w:lineRule="auto"/>
              <w:rPr>
                <w:noProof/>
                <w:color w:val="000000"/>
                <w:szCs w:val="24"/>
              </w:rPr>
            </w:pPr>
            <w:r w:rsidRPr="00424FC0">
              <w:rPr>
                <w:noProof/>
                <w:color w:val="000000"/>
              </w:rPr>
              <w:t>Cehia</w:t>
            </w:r>
          </w:p>
        </w:tc>
        <w:tc>
          <w:tcPr>
            <w:tcW w:w="1418" w:type="dxa"/>
            <w:vAlign w:val="center"/>
            <w:hideMark/>
          </w:tcPr>
          <w:p w14:paraId="41A7E4E4" w14:textId="77777777" w:rsidR="00F744A1" w:rsidRPr="00424FC0" w:rsidRDefault="00F744A1" w:rsidP="007D751C">
            <w:pPr>
              <w:spacing w:after="0" w:line="276" w:lineRule="auto"/>
              <w:jc w:val="center"/>
              <w:rPr>
                <w:noProof/>
                <w:color w:val="000000"/>
                <w:szCs w:val="24"/>
              </w:rPr>
            </w:pPr>
            <w:r w:rsidRPr="00424FC0">
              <w:rPr>
                <w:noProof/>
                <w:color w:val="000000"/>
              </w:rPr>
              <w:t>24</w:t>
            </w:r>
          </w:p>
        </w:tc>
        <w:tc>
          <w:tcPr>
            <w:tcW w:w="2556" w:type="dxa"/>
            <w:vAlign w:val="center"/>
            <w:hideMark/>
          </w:tcPr>
          <w:p w14:paraId="6104E6C1" w14:textId="29A0A497" w:rsidR="00F744A1" w:rsidRPr="00424FC0" w:rsidRDefault="00F744A1" w:rsidP="007D751C">
            <w:pPr>
              <w:spacing w:after="0" w:line="276" w:lineRule="auto"/>
              <w:jc w:val="center"/>
              <w:rPr>
                <w:noProof/>
                <w:color w:val="000000"/>
                <w:szCs w:val="24"/>
              </w:rPr>
            </w:pPr>
            <w:r w:rsidRPr="00424FC0">
              <w:rPr>
                <w:noProof/>
                <w:color w:val="000000"/>
              </w:rPr>
              <w:t>15 697</w:t>
            </w:r>
          </w:p>
        </w:tc>
        <w:tc>
          <w:tcPr>
            <w:tcW w:w="1843" w:type="dxa"/>
            <w:vAlign w:val="center"/>
            <w:hideMark/>
          </w:tcPr>
          <w:p w14:paraId="1415517C" w14:textId="659483B6" w:rsidR="00F744A1" w:rsidRPr="00424FC0" w:rsidRDefault="00F744A1" w:rsidP="007D751C">
            <w:pPr>
              <w:spacing w:after="0" w:line="276" w:lineRule="auto"/>
              <w:jc w:val="center"/>
              <w:rPr>
                <w:noProof/>
                <w:color w:val="000000"/>
                <w:szCs w:val="24"/>
              </w:rPr>
            </w:pPr>
            <w:r w:rsidRPr="00424FC0">
              <w:rPr>
                <w:noProof/>
                <w:color w:val="000000"/>
              </w:rPr>
              <w:t>1 491</w:t>
            </w:r>
          </w:p>
        </w:tc>
      </w:tr>
      <w:tr w:rsidR="00B72A2B" w:rsidRPr="00424FC0" w14:paraId="2635B5FA" w14:textId="77777777" w:rsidTr="00DB3CF9">
        <w:trPr>
          <w:trHeight w:val="300"/>
          <w:jc w:val="center"/>
        </w:trPr>
        <w:tc>
          <w:tcPr>
            <w:tcW w:w="1838" w:type="dxa"/>
            <w:vAlign w:val="center"/>
            <w:hideMark/>
          </w:tcPr>
          <w:p w14:paraId="0986F510" w14:textId="77777777" w:rsidR="00F744A1" w:rsidRPr="00424FC0" w:rsidRDefault="00F744A1" w:rsidP="007D751C">
            <w:pPr>
              <w:spacing w:after="0" w:line="276" w:lineRule="auto"/>
              <w:rPr>
                <w:noProof/>
                <w:color w:val="000000"/>
                <w:szCs w:val="24"/>
              </w:rPr>
            </w:pPr>
            <w:r w:rsidRPr="00424FC0">
              <w:rPr>
                <w:noProof/>
                <w:color w:val="000000"/>
              </w:rPr>
              <w:t>Danemarca</w:t>
            </w:r>
          </w:p>
        </w:tc>
        <w:tc>
          <w:tcPr>
            <w:tcW w:w="1418" w:type="dxa"/>
            <w:vAlign w:val="center"/>
            <w:hideMark/>
          </w:tcPr>
          <w:p w14:paraId="197428AD" w14:textId="77777777" w:rsidR="00F744A1" w:rsidRPr="00424FC0" w:rsidRDefault="00F744A1" w:rsidP="007D751C">
            <w:pPr>
              <w:spacing w:after="0" w:line="276" w:lineRule="auto"/>
              <w:jc w:val="center"/>
              <w:rPr>
                <w:noProof/>
                <w:color w:val="000000"/>
                <w:szCs w:val="24"/>
              </w:rPr>
            </w:pPr>
            <w:r w:rsidRPr="00424FC0">
              <w:rPr>
                <w:noProof/>
                <w:color w:val="000000"/>
              </w:rPr>
              <w:t>9</w:t>
            </w:r>
          </w:p>
        </w:tc>
        <w:tc>
          <w:tcPr>
            <w:tcW w:w="2556" w:type="dxa"/>
            <w:vAlign w:val="center"/>
            <w:hideMark/>
          </w:tcPr>
          <w:p w14:paraId="184941BA" w14:textId="75E44317" w:rsidR="00F744A1" w:rsidRPr="00424FC0" w:rsidRDefault="00F744A1" w:rsidP="007D751C">
            <w:pPr>
              <w:spacing w:after="0" w:line="276" w:lineRule="auto"/>
              <w:jc w:val="center"/>
              <w:rPr>
                <w:noProof/>
                <w:color w:val="000000"/>
                <w:szCs w:val="24"/>
              </w:rPr>
            </w:pPr>
            <w:r w:rsidRPr="00424FC0">
              <w:rPr>
                <w:noProof/>
                <w:color w:val="000000"/>
              </w:rPr>
              <w:t>5 720</w:t>
            </w:r>
          </w:p>
        </w:tc>
        <w:tc>
          <w:tcPr>
            <w:tcW w:w="1843" w:type="dxa"/>
            <w:vAlign w:val="center"/>
            <w:hideMark/>
          </w:tcPr>
          <w:p w14:paraId="4D6B3DFB" w14:textId="553430EB" w:rsidR="00F744A1" w:rsidRPr="00424FC0" w:rsidRDefault="00F744A1" w:rsidP="007D751C">
            <w:pPr>
              <w:spacing w:after="0" w:line="276" w:lineRule="auto"/>
              <w:jc w:val="center"/>
              <w:rPr>
                <w:noProof/>
                <w:color w:val="000000"/>
                <w:szCs w:val="24"/>
              </w:rPr>
            </w:pPr>
            <w:r w:rsidRPr="00424FC0">
              <w:rPr>
                <w:noProof/>
                <w:color w:val="000000"/>
              </w:rPr>
              <w:t>969</w:t>
            </w:r>
          </w:p>
        </w:tc>
      </w:tr>
      <w:tr w:rsidR="00B72A2B" w:rsidRPr="00424FC0" w14:paraId="2230EA14" w14:textId="77777777" w:rsidTr="00DB3CF9">
        <w:trPr>
          <w:trHeight w:val="300"/>
          <w:jc w:val="center"/>
        </w:trPr>
        <w:tc>
          <w:tcPr>
            <w:tcW w:w="1838" w:type="dxa"/>
            <w:vAlign w:val="center"/>
            <w:hideMark/>
          </w:tcPr>
          <w:p w14:paraId="759311F5" w14:textId="77777777" w:rsidR="00F744A1" w:rsidRPr="00424FC0" w:rsidRDefault="00F744A1" w:rsidP="007D751C">
            <w:pPr>
              <w:spacing w:after="0" w:line="276" w:lineRule="auto"/>
              <w:rPr>
                <w:noProof/>
                <w:color w:val="000000"/>
                <w:szCs w:val="24"/>
              </w:rPr>
            </w:pPr>
            <w:r w:rsidRPr="00424FC0">
              <w:rPr>
                <w:noProof/>
                <w:color w:val="000000"/>
              </w:rPr>
              <w:t>Germania</w:t>
            </w:r>
          </w:p>
        </w:tc>
        <w:tc>
          <w:tcPr>
            <w:tcW w:w="1418" w:type="dxa"/>
            <w:vAlign w:val="center"/>
            <w:hideMark/>
          </w:tcPr>
          <w:p w14:paraId="2624D18D" w14:textId="77777777" w:rsidR="00F744A1" w:rsidRPr="00424FC0" w:rsidRDefault="00F744A1" w:rsidP="007D751C">
            <w:pPr>
              <w:spacing w:after="0" w:line="276" w:lineRule="auto"/>
              <w:jc w:val="center"/>
              <w:rPr>
                <w:noProof/>
                <w:color w:val="000000"/>
                <w:szCs w:val="24"/>
              </w:rPr>
            </w:pPr>
            <w:r w:rsidRPr="00424FC0">
              <w:rPr>
                <w:noProof/>
                <w:color w:val="000000"/>
              </w:rPr>
              <w:t>15</w:t>
            </w:r>
          </w:p>
        </w:tc>
        <w:tc>
          <w:tcPr>
            <w:tcW w:w="2556" w:type="dxa"/>
            <w:vAlign w:val="center"/>
            <w:hideMark/>
          </w:tcPr>
          <w:p w14:paraId="6D87D746" w14:textId="2FC1A12B" w:rsidR="00F744A1" w:rsidRPr="00424FC0" w:rsidRDefault="00F744A1" w:rsidP="007D751C">
            <w:pPr>
              <w:spacing w:after="0" w:line="276" w:lineRule="auto"/>
              <w:jc w:val="center"/>
              <w:rPr>
                <w:noProof/>
                <w:color w:val="000000"/>
                <w:szCs w:val="24"/>
              </w:rPr>
            </w:pPr>
            <w:r w:rsidRPr="00424FC0">
              <w:rPr>
                <w:noProof/>
                <w:color w:val="000000"/>
              </w:rPr>
              <w:t>80 563</w:t>
            </w:r>
          </w:p>
        </w:tc>
        <w:tc>
          <w:tcPr>
            <w:tcW w:w="1843" w:type="dxa"/>
            <w:vAlign w:val="center"/>
            <w:hideMark/>
          </w:tcPr>
          <w:p w14:paraId="0F5A9C75" w14:textId="5B3B8922" w:rsidR="00F744A1" w:rsidRPr="00424FC0" w:rsidRDefault="00F744A1" w:rsidP="007D751C">
            <w:pPr>
              <w:spacing w:after="0" w:line="276" w:lineRule="auto"/>
              <w:jc w:val="center"/>
              <w:rPr>
                <w:noProof/>
                <w:color w:val="000000"/>
                <w:szCs w:val="24"/>
              </w:rPr>
            </w:pPr>
            <w:r w:rsidRPr="00424FC0">
              <w:rPr>
                <w:noProof/>
                <w:color w:val="000000"/>
              </w:rPr>
              <w:t>958</w:t>
            </w:r>
          </w:p>
        </w:tc>
      </w:tr>
      <w:tr w:rsidR="00B72A2B" w:rsidRPr="00424FC0" w14:paraId="41C85DC2" w14:textId="77777777" w:rsidTr="00DB3CF9">
        <w:trPr>
          <w:trHeight w:val="300"/>
          <w:jc w:val="center"/>
        </w:trPr>
        <w:tc>
          <w:tcPr>
            <w:tcW w:w="1838" w:type="dxa"/>
            <w:vAlign w:val="center"/>
            <w:hideMark/>
          </w:tcPr>
          <w:p w14:paraId="4990D63C" w14:textId="77777777" w:rsidR="00F744A1" w:rsidRPr="00424FC0" w:rsidRDefault="00F744A1" w:rsidP="007D751C">
            <w:pPr>
              <w:spacing w:after="0" w:line="276" w:lineRule="auto"/>
              <w:rPr>
                <w:noProof/>
                <w:color w:val="000000"/>
                <w:szCs w:val="24"/>
              </w:rPr>
            </w:pPr>
            <w:r w:rsidRPr="00424FC0">
              <w:rPr>
                <w:noProof/>
                <w:color w:val="000000"/>
              </w:rPr>
              <w:t>Finlanda</w:t>
            </w:r>
          </w:p>
        </w:tc>
        <w:tc>
          <w:tcPr>
            <w:tcW w:w="1418" w:type="dxa"/>
            <w:vAlign w:val="center"/>
            <w:hideMark/>
          </w:tcPr>
          <w:p w14:paraId="547794E3" w14:textId="77777777" w:rsidR="00F744A1" w:rsidRPr="00424FC0" w:rsidRDefault="00F744A1" w:rsidP="007D751C">
            <w:pPr>
              <w:spacing w:after="0" w:line="276" w:lineRule="auto"/>
              <w:jc w:val="center"/>
              <w:rPr>
                <w:noProof/>
                <w:color w:val="000000"/>
                <w:szCs w:val="24"/>
              </w:rPr>
            </w:pPr>
            <w:r w:rsidRPr="00424FC0">
              <w:rPr>
                <w:noProof/>
                <w:color w:val="000000"/>
              </w:rPr>
              <w:t>10</w:t>
            </w:r>
          </w:p>
        </w:tc>
        <w:tc>
          <w:tcPr>
            <w:tcW w:w="2556" w:type="dxa"/>
            <w:vAlign w:val="center"/>
            <w:hideMark/>
          </w:tcPr>
          <w:p w14:paraId="0A97A12F" w14:textId="67FAF0B8" w:rsidR="00F744A1" w:rsidRPr="00424FC0" w:rsidRDefault="00F744A1" w:rsidP="007D751C">
            <w:pPr>
              <w:spacing w:after="0" w:line="276" w:lineRule="auto"/>
              <w:jc w:val="center"/>
              <w:rPr>
                <w:noProof/>
                <w:color w:val="000000"/>
                <w:szCs w:val="24"/>
              </w:rPr>
            </w:pPr>
            <w:r w:rsidRPr="00424FC0">
              <w:rPr>
                <w:noProof/>
                <w:color w:val="000000"/>
              </w:rPr>
              <w:t>5 186</w:t>
            </w:r>
          </w:p>
        </w:tc>
        <w:tc>
          <w:tcPr>
            <w:tcW w:w="1843" w:type="dxa"/>
            <w:vAlign w:val="center"/>
            <w:hideMark/>
          </w:tcPr>
          <w:p w14:paraId="760F3DF2" w14:textId="3DFD03AB" w:rsidR="00F744A1" w:rsidRPr="00424FC0" w:rsidRDefault="00F744A1" w:rsidP="007D751C">
            <w:pPr>
              <w:spacing w:after="0" w:line="276" w:lineRule="auto"/>
              <w:jc w:val="center"/>
              <w:rPr>
                <w:noProof/>
                <w:color w:val="000000"/>
                <w:szCs w:val="24"/>
              </w:rPr>
            </w:pPr>
            <w:r w:rsidRPr="00424FC0">
              <w:rPr>
                <w:noProof/>
                <w:color w:val="000000"/>
              </w:rPr>
              <w:t>933</w:t>
            </w:r>
          </w:p>
        </w:tc>
      </w:tr>
      <w:tr w:rsidR="00B72A2B" w:rsidRPr="00424FC0" w14:paraId="4FCD1CB2" w14:textId="77777777" w:rsidTr="00DB3CF9">
        <w:trPr>
          <w:trHeight w:val="300"/>
          <w:jc w:val="center"/>
        </w:trPr>
        <w:tc>
          <w:tcPr>
            <w:tcW w:w="1838" w:type="dxa"/>
            <w:vAlign w:val="center"/>
            <w:hideMark/>
          </w:tcPr>
          <w:p w14:paraId="3EC1A43B" w14:textId="69DB122B" w:rsidR="00F744A1" w:rsidRPr="00424FC0" w:rsidRDefault="00F744A1" w:rsidP="007D751C">
            <w:pPr>
              <w:spacing w:after="0" w:line="276" w:lineRule="auto"/>
              <w:rPr>
                <w:b/>
                <w:bCs/>
                <w:i/>
                <w:iCs/>
                <w:noProof/>
                <w:color w:val="000000"/>
                <w:szCs w:val="24"/>
              </w:rPr>
            </w:pPr>
            <w:r w:rsidRPr="00424FC0">
              <w:rPr>
                <w:b/>
                <w:i/>
                <w:noProof/>
                <w:color w:val="000000"/>
              </w:rPr>
              <w:t>UE-27</w:t>
            </w:r>
          </w:p>
        </w:tc>
        <w:tc>
          <w:tcPr>
            <w:tcW w:w="1418" w:type="dxa"/>
            <w:vAlign w:val="center"/>
            <w:hideMark/>
          </w:tcPr>
          <w:p w14:paraId="25C65396" w14:textId="77777777" w:rsidR="00F744A1" w:rsidRPr="00424FC0" w:rsidRDefault="00F744A1" w:rsidP="007D751C">
            <w:pPr>
              <w:spacing w:after="0" w:line="276" w:lineRule="auto"/>
              <w:jc w:val="center"/>
              <w:rPr>
                <w:b/>
                <w:bCs/>
                <w:i/>
                <w:iCs/>
                <w:noProof/>
                <w:color w:val="000000"/>
                <w:szCs w:val="24"/>
              </w:rPr>
            </w:pPr>
            <w:r w:rsidRPr="00424FC0">
              <w:rPr>
                <w:b/>
                <w:i/>
                <w:noProof/>
                <w:color w:val="000000"/>
              </w:rPr>
              <w:t>426</w:t>
            </w:r>
          </w:p>
        </w:tc>
        <w:tc>
          <w:tcPr>
            <w:tcW w:w="2556" w:type="dxa"/>
            <w:vAlign w:val="center"/>
            <w:hideMark/>
          </w:tcPr>
          <w:p w14:paraId="44816766" w14:textId="1454FB4D" w:rsidR="00F744A1" w:rsidRPr="00424FC0" w:rsidRDefault="00F744A1" w:rsidP="007D751C">
            <w:pPr>
              <w:spacing w:after="0" w:line="276" w:lineRule="auto"/>
              <w:jc w:val="center"/>
              <w:rPr>
                <w:b/>
                <w:bCs/>
                <w:i/>
                <w:iCs/>
                <w:noProof/>
                <w:color w:val="000000"/>
                <w:szCs w:val="24"/>
              </w:rPr>
            </w:pPr>
            <w:r w:rsidRPr="00424FC0">
              <w:rPr>
                <w:b/>
                <w:i/>
                <w:noProof/>
                <w:color w:val="000000"/>
              </w:rPr>
              <w:t>388 654</w:t>
            </w:r>
          </w:p>
        </w:tc>
        <w:tc>
          <w:tcPr>
            <w:tcW w:w="1843" w:type="dxa"/>
            <w:vAlign w:val="center"/>
            <w:hideMark/>
          </w:tcPr>
          <w:p w14:paraId="33689FF4" w14:textId="5EDE031F" w:rsidR="00F744A1" w:rsidRPr="00424FC0" w:rsidRDefault="00F744A1" w:rsidP="007D751C">
            <w:pPr>
              <w:spacing w:after="0" w:line="276" w:lineRule="auto"/>
              <w:jc w:val="center"/>
              <w:rPr>
                <w:b/>
                <w:bCs/>
                <w:i/>
                <w:iCs/>
                <w:noProof/>
                <w:color w:val="000000"/>
                <w:szCs w:val="24"/>
              </w:rPr>
            </w:pPr>
            <w:r w:rsidRPr="00424FC0">
              <w:rPr>
                <w:b/>
                <w:i/>
                <w:noProof/>
                <w:color w:val="000000"/>
              </w:rPr>
              <w:t>864</w:t>
            </w:r>
          </w:p>
        </w:tc>
      </w:tr>
      <w:tr w:rsidR="00B72A2B" w:rsidRPr="00424FC0" w14:paraId="36D4D8D5" w14:textId="77777777" w:rsidTr="00DB3CF9">
        <w:trPr>
          <w:trHeight w:val="300"/>
          <w:jc w:val="center"/>
        </w:trPr>
        <w:tc>
          <w:tcPr>
            <w:tcW w:w="1838" w:type="dxa"/>
            <w:vAlign w:val="center"/>
            <w:hideMark/>
          </w:tcPr>
          <w:p w14:paraId="0AD2B654" w14:textId="77777777" w:rsidR="00F744A1" w:rsidRPr="00424FC0" w:rsidRDefault="00F744A1" w:rsidP="007D751C">
            <w:pPr>
              <w:spacing w:after="0" w:line="276" w:lineRule="auto"/>
              <w:rPr>
                <w:noProof/>
                <w:color w:val="000000"/>
                <w:szCs w:val="24"/>
              </w:rPr>
            </w:pPr>
            <w:r w:rsidRPr="00424FC0">
              <w:rPr>
                <w:noProof/>
                <w:color w:val="000000"/>
              </w:rPr>
              <w:t>Estonia</w:t>
            </w:r>
          </w:p>
        </w:tc>
        <w:tc>
          <w:tcPr>
            <w:tcW w:w="1418" w:type="dxa"/>
            <w:vAlign w:val="center"/>
            <w:hideMark/>
          </w:tcPr>
          <w:p w14:paraId="50A969F0" w14:textId="77777777" w:rsidR="00F744A1" w:rsidRPr="00424FC0" w:rsidRDefault="00F744A1" w:rsidP="007D751C">
            <w:pPr>
              <w:spacing w:after="0" w:line="276" w:lineRule="auto"/>
              <w:jc w:val="center"/>
              <w:rPr>
                <w:noProof/>
                <w:color w:val="000000"/>
                <w:szCs w:val="24"/>
              </w:rPr>
            </w:pPr>
            <w:r w:rsidRPr="00424FC0">
              <w:rPr>
                <w:noProof/>
                <w:color w:val="000000"/>
              </w:rPr>
              <w:t>13</w:t>
            </w:r>
          </w:p>
        </w:tc>
        <w:tc>
          <w:tcPr>
            <w:tcW w:w="2556" w:type="dxa"/>
            <w:vAlign w:val="center"/>
            <w:hideMark/>
          </w:tcPr>
          <w:p w14:paraId="0E520996" w14:textId="1B39803B" w:rsidR="00F744A1" w:rsidRPr="00424FC0" w:rsidRDefault="00F744A1" w:rsidP="007D751C">
            <w:pPr>
              <w:spacing w:after="0" w:line="276" w:lineRule="auto"/>
              <w:jc w:val="center"/>
              <w:rPr>
                <w:noProof/>
                <w:color w:val="000000"/>
                <w:szCs w:val="24"/>
              </w:rPr>
            </w:pPr>
            <w:r w:rsidRPr="00424FC0">
              <w:rPr>
                <w:noProof/>
                <w:color w:val="000000"/>
              </w:rPr>
              <w:t>1 137</w:t>
            </w:r>
          </w:p>
        </w:tc>
        <w:tc>
          <w:tcPr>
            <w:tcW w:w="1843" w:type="dxa"/>
            <w:vAlign w:val="center"/>
            <w:hideMark/>
          </w:tcPr>
          <w:p w14:paraId="7C467A75" w14:textId="11B4E996" w:rsidR="00F744A1" w:rsidRPr="00424FC0" w:rsidRDefault="00F744A1" w:rsidP="007D751C">
            <w:pPr>
              <w:spacing w:after="0" w:line="276" w:lineRule="auto"/>
              <w:jc w:val="center"/>
              <w:rPr>
                <w:noProof/>
                <w:color w:val="000000"/>
                <w:szCs w:val="24"/>
              </w:rPr>
            </w:pPr>
            <w:r w:rsidRPr="00424FC0">
              <w:rPr>
                <w:noProof/>
                <w:color w:val="000000"/>
              </w:rPr>
              <w:t>849</w:t>
            </w:r>
          </w:p>
        </w:tc>
      </w:tr>
      <w:tr w:rsidR="00B72A2B" w:rsidRPr="00424FC0" w14:paraId="08556099" w14:textId="77777777" w:rsidTr="00DB3CF9">
        <w:trPr>
          <w:trHeight w:val="300"/>
          <w:jc w:val="center"/>
        </w:trPr>
        <w:tc>
          <w:tcPr>
            <w:tcW w:w="1838" w:type="dxa"/>
            <w:vAlign w:val="center"/>
            <w:hideMark/>
          </w:tcPr>
          <w:p w14:paraId="1E8F46D0" w14:textId="77777777" w:rsidR="00F744A1" w:rsidRPr="00424FC0" w:rsidRDefault="00F744A1" w:rsidP="007D751C">
            <w:pPr>
              <w:spacing w:after="0" w:line="276" w:lineRule="auto"/>
              <w:rPr>
                <w:noProof/>
                <w:color w:val="000000"/>
                <w:szCs w:val="24"/>
              </w:rPr>
            </w:pPr>
            <w:r w:rsidRPr="00424FC0">
              <w:rPr>
                <w:noProof/>
                <w:color w:val="000000"/>
              </w:rPr>
              <w:t>Polonia</w:t>
            </w:r>
          </w:p>
        </w:tc>
        <w:tc>
          <w:tcPr>
            <w:tcW w:w="1418" w:type="dxa"/>
            <w:vAlign w:val="center"/>
            <w:hideMark/>
          </w:tcPr>
          <w:p w14:paraId="799C4E75" w14:textId="77777777" w:rsidR="00F744A1" w:rsidRPr="00424FC0" w:rsidRDefault="00F744A1" w:rsidP="007D751C">
            <w:pPr>
              <w:spacing w:after="0" w:line="276" w:lineRule="auto"/>
              <w:jc w:val="center"/>
              <w:rPr>
                <w:noProof/>
                <w:color w:val="000000"/>
                <w:szCs w:val="24"/>
              </w:rPr>
            </w:pPr>
            <w:r w:rsidRPr="00424FC0">
              <w:rPr>
                <w:noProof/>
                <w:color w:val="000000"/>
              </w:rPr>
              <w:t>34</w:t>
            </w:r>
          </w:p>
        </w:tc>
        <w:tc>
          <w:tcPr>
            <w:tcW w:w="2556" w:type="dxa"/>
            <w:vAlign w:val="center"/>
            <w:hideMark/>
          </w:tcPr>
          <w:p w14:paraId="7C7AE7D8" w14:textId="61794243" w:rsidR="00F744A1" w:rsidRPr="00424FC0" w:rsidRDefault="00F744A1" w:rsidP="007D751C">
            <w:pPr>
              <w:spacing w:after="0" w:line="276" w:lineRule="auto"/>
              <w:jc w:val="center"/>
              <w:rPr>
                <w:noProof/>
                <w:color w:val="000000"/>
                <w:szCs w:val="24"/>
              </w:rPr>
            </w:pPr>
            <w:r w:rsidRPr="00424FC0">
              <w:rPr>
                <w:noProof/>
                <w:color w:val="000000"/>
              </w:rPr>
              <w:t>26 655</w:t>
            </w:r>
          </w:p>
        </w:tc>
        <w:tc>
          <w:tcPr>
            <w:tcW w:w="1843" w:type="dxa"/>
            <w:vAlign w:val="center"/>
            <w:hideMark/>
          </w:tcPr>
          <w:p w14:paraId="121D47BA" w14:textId="084C860B" w:rsidR="00F744A1" w:rsidRPr="00424FC0" w:rsidRDefault="00F744A1" w:rsidP="007D751C">
            <w:pPr>
              <w:spacing w:after="0" w:line="276" w:lineRule="auto"/>
              <w:jc w:val="center"/>
              <w:rPr>
                <w:noProof/>
                <w:color w:val="000000"/>
                <w:szCs w:val="24"/>
              </w:rPr>
            </w:pPr>
            <w:r w:rsidRPr="00424FC0">
              <w:rPr>
                <w:noProof/>
                <w:color w:val="000000"/>
              </w:rPr>
              <w:t>710</w:t>
            </w:r>
          </w:p>
        </w:tc>
      </w:tr>
      <w:tr w:rsidR="00B72A2B" w:rsidRPr="00424FC0" w14:paraId="5B3778AC" w14:textId="77777777" w:rsidTr="00DB3CF9">
        <w:trPr>
          <w:trHeight w:val="300"/>
          <w:jc w:val="center"/>
        </w:trPr>
        <w:tc>
          <w:tcPr>
            <w:tcW w:w="1838" w:type="dxa"/>
            <w:vAlign w:val="center"/>
            <w:hideMark/>
          </w:tcPr>
          <w:p w14:paraId="4E677FA2" w14:textId="77777777" w:rsidR="00F744A1" w:rsidRPr="00424FC0" w:rsidRDefault="00F744A1" w:rsidP="007D751C">
            <w:pPr>
              <w:spacing w:after="0" w:line="276" w:lineRule="auto"/>
              <w:rPr>
                <w:noProof/>
                <w:color w:val="000000"/>
                <w:szCs w:val="24"/>
              </w:rPr>
            </w:pPr>
            <w:r w:rsidRPr="00424FC0">
              <w:rPr>
                <w:noProof/>
                <w:color w:val="000000"/>
              </w:rPr>
              <w:t>Letonia</w:t>
            </w:r>
          </w:p>
        </w:tc>
        <w:tc>
          <w:tcPr>
            <w:tcW w:w="1418" w:type="dxa"/>
            <w:vAlign w:val="center"/>
            <w:hideMark/>
          </w:tcPr>
          <w:p w14:paraId="73985093" w14:textId="77777777" w:rsidR="00F744A1" w:rsidRPr="00424FC0" w:rsidRDefault="00F744A1" w:rsidP="007D751C">
            <w:pPr>
              <w:spacing w:after="0" w:line="276" w:lineRule="auto"/>
              <w:jc w:val="center"/>
              <w:rPr>
                <w:noProof/>
                <w:color w:val="000000"/>
                <w:szCs w:val="24"/>
              </w:rPr>
            </w:pPr>
            <w:r w:rsidRPr="00424FC0">
              <w:rPr>
                <w:noProof/>
                <w:color w:val="000000"/>
              </w:rPr>
              <w:t>21</w:t>
            </w:r>
          </w:p>
        </w:tc>
        <w:tc>
          <w:tcPr>
            <w:tcW w:w="2556" w:type="dxa"/>
            <w:vAlign w:val="center"/>
            <w:hideMark/>
          </w:tcPr>
          <w:p w14:paraId="355818BB" w14:textId="03EFF483" w:rsidR="00F744A1" w:rsidRPr="00424FC0" w:rsidRDefault="00F744A1" w:rsidP="007D751C">
            <w:pPr>
              <w:spacing w:after="0" w:line="276" w:lineRule="auto"/>
              <w:jc w:val="center"/>
              <w:rPr>
                <w:noProof/>
                <w:color w:val="000000"/>
                <w:szCs w:val="24"/>
              </w:rPr>
            </w:pPr>
            <w:r w:rsidRPr="00424FC0">
              <w:rPr>
                <w:noProof/>
                <w:color w:val="000000"/>
              </w:rPr>
              <w:t>1 171</w:t>
            </w:r>
          </w:p>
        </w:tc>
        <w:tc>
          <w:tcPr>
            <w:tcW w:w="1843" w:type="dxa"/>
            <w:vAlign w:val="center"/>
            <w:hideMark/>
          </w:tcPr>
          <w:p w14:paraId="0FB98532" w14:textId="149D7D49" w:rsidR="00F744A1" w:rsidRPr="00424FC0" w:rsidRDefault="00F744A1" w:rsidP="007D751C">
            <w:pPr>
              <w:spacing w:after="0" w:line="276" w:lineRule="auto"/>
              <w:jc w:val="center"/>
              <w:rPr>
                <w:noProof/>
                <w:color w:val="000000"/>
                <w:szCs w:val="24"/>
              </w:rPr>
            </w:pPr>
            <w:r w:rsidRPr="00424FC0">
              <w:rPr>
                <w:noProof/>
                <w:color w:val="000000"/>
              </w:rPr>
              <w:t>623</w:t>
            </w:r>
          </w:p>
        </w:tc>
      </w:tr>
      <w:tr w:rsidR="00B72A2B" w:rsidRPr="00424FC0" w14:paraId="66079446" w14:textId="77777777" w:rsidTr="00DB3CF9">
        <w:trPr>
          <w:trHeight w:val="300"/>
          <w:jc w:val="center"/>
        </w:trPr>
        <w:tc>
          <w:tcPr>
            <w:tcW w:w="1838" w:type="dxa"/>
            <w:vAlign w:val="center"/>
            <w:hideMark/>
          </w:tcPr>
          <w:p w14:paraId="7A1D5072" w14:textId="77777777" w:rsidR="00F744A1" w:rsidRPr="00424FC0" w:rsidRDefault="00F744A1" w:rsidP="007D751C">
            <w:pPr>
              <w:spacing w:after="0" w:line="276" w:lineRule="auto"/>
              <w:rPr>
                <w:noProof/>
                <w:color w:val="000000"/>
                <w:szCs w:val="24"/>
              </w:rPr>
            </w:pPr>
            <w:r w:rsidRPr="00424FC0">
              <w:rPr>
                <w:noProof/>
                <w:color w:val="000000"/>
              </w:rPr>
              <w:t>Țările de Jos</w:t>
            </w:r>
          </w:p>
        </w:tc>
        <w:tc>
          <w:tcPr>
            <w:tcW w:w="1418" w:type="dxa"/>
            <w:vAlign w:val="center"/>
            <w:hideMark/>
          </w:tcPr>
          <w:p w14:paraId="51A4302E" w14:textId="77777777" w:rsidR="00F744A1" w:rsidRPr="00424FC0" w:rsidRDefault="00F744A1" w:rsidP="007D751C">
            <w:pPr>
              <w:spacing w:after="0" w:line="276" w:lineRule="auto"/>
              <w:jc w:val="center"/>
              <w:rPr>
                <w:noProof/>
                <w:color w:val="000000"/>
                <w:szCs w:val="24"/>
              </w:rPr>
            </w:pPr>
            <w:r w:rsidRPr="00424FC0">
              <w:rPr>
                <w:noProof/>
                <w:color w:val="000000"/>
              </w:rPr>
              <w:t>10</w:t>
            </w:r>
          </w:p>
        </w:tc>
        <w:tc>
          <w:tcPr>
            <w:tcW w:w="2556" w:type="dxa"/>
            <w:vAlign w:val="center"/>
            <w:hideMark/>
          </w:tcPr>
          <w:p w14:paraId="22D93DD6" w14:textId="21E44FC9" w:rsidR="00F744A1" w:rsidRPr="00424FC0" w:rsidRDefault="00F744A1" w:rsidP="007D751C">
            <w:pPr>
              <w:spacing w:after="0" w:line="276" w:lineRule="auto"/>
              <w:jc w:val="center"/>
              <w:rPr>
                <w:noProof/>
                <w:color w:val="000000"/>
                <w:szCs w:val="24"/>
              </w:rPr>
            </w:pPr>
            <w:r w:rsidRPr="00424FC0">
              <w:rPr>
                <w:noProof/>
                <w:color w:val="000000"/>
              </w:rPr>
              <w:t>9 467</w:t>
            </w:r>
          </w:p>
        </w:tc>
        <w:tc>
          <w:tcPr>
            <w:tcW w:w="1843" w:type="dxa"/>
            <w:vAlign w:val="center"/>
            <w:hideMark/>
          </w:tcPr>
          <w:p w14:paraId="03260E84" w14:textId="3DAF82F7" w:rsidR="00F744A1" w:rsidRPr="00424FC0" w:rsidRDefault="00F744A1" w:rsidP="007D751C">
            <w:pPr>
              <w:spacing w:after="0" w:line="276" w:lineRule="auto"/>
              <w:jc w:val="center"/>
              <w:rPr>
                <w:noProof/>
                <w:color w:val="000000"/>
                <w:szCs w:val="24"/>
              </w:rPr>
            </w:pPr>
            <w:r w:rsidRPr="00424FC0">
              <w:rPr>
                <w:noProof/>
                <w:color w:val="000000"/>
              </w:rPr>
              <w:t>528</w:t>
            </w:r>
          </w:p>
        </w:tc>
      </w:tr>
      <w:tr w:rsidR="00B72A2B" w:rsidRPr="00424FC0" w14:paraId="5BA07C89" w14:textId="77777777" w:rsidTr="00DB3CF9">
        <w:trPr>
          <w:trHeight w:val="300"/>
          <w:jc w:val="center"/>
        </w:trPr>
        <w:tc>
          <w:tcPr>
            <w:tcW w:w="1838" w:type="dxa"/>
            <w:vAlign w:val="center"/>
            <w:hideMark/>
          </w:tcPr>
          <w:p w14:paraId="4BD035B8" w14:textId="77777777" w:rsidR="00F744A1" w:rsidRPr="00424FC0" w:rsidRDefault="00F744A1" w:rsidP="007D751C">
            <w:pPr>
              <w:spacing w:after="0" w:line="276" w:lineRule="auto"/>
              <w:rPr>
                <w:noProof/>
                <w:color w:val="000000"/>
                <w:szCs w:val="24"/>
              </w:rPr>
            </w:pPr>
            <w:r w:rsidRPr="00424FC0">
              <w:rPr>
                <w:noProof/>
                <w:color w:val="000000"/>
              </w:rPr>
              <w:t>Croația</w:t>
            </w:r>
          </w:p>
        </w:tc>
        <w:tc>
          <w:tcPr>
            <w:tcW w:w="1418" w:type="dxa"/>
            <w:vAlign w:val="center"/>
            <w:hideMark/>
          </w:tcPr>
          <w:p w14:paraId="0DA9C118" w14:textId="77777777" w:rsidR="00F744A1" w:rsidRPr="00424FC0" w:rsidRDefault="00F744A1" w:rsidP="007D751C">
            <w:pPr>
              <w:spacing w:after="0" w:line="276" w:lineRule="auto"/>
              <w:jc w:val="center"/>
              <w:rPr>
                <w:noProof/>
                <w:color w:val="000000"/>
                <w:szCs w:val="24"/>
              </w:rPr>
            </w:pPr>
            <w:r w:rsidRPr="00424FC0">
              <w:rPr>
                <w:noProof/>
                <w:color w:val="000000"/>
              </w:rPr>
              <w:t>11</w:t>
            </w:r>
          </w:p>
        </w:tc>
        <w:tc>
          <w:tcPr>
            <w:tcW w:w="2556" w:type="dxa"/>
            <w:vAlign w:val="center"/>
            <w:hideMark/>
          </w:tcPr>
          <w:p w14:paraId="446162C0" w14:textId="2513A038" w:rsidR="00F744A1" w:rsidRPr="00424FC0" w:rsidRDefault="00F744A1" w:rsidP="007D751C">
            <w:pPr>
              <w:spacing w:after="0" w:line="276" w:lineRule="auto"/>
              <w:jc w:val="center"/>
              <w:rPr>
                <w:noProof/>
                <w:color w:val="000000"/>
                <w:szCs w:val="24"/>
              </w:rPr>
            </w:pPr>
            <w:r w:rsidRPr="00424FC0">
              <w:rPr>
                <w:noProof/>
                <w:color w:val="000000"/>
              </w:rPr>
              <w:t>1 877</w:t>
            </w:r>
          </w:p>
        </w:tc>
        <w:tc>
          <w:tcPr>
            <w:tcW w:w="1843" w:type="dxa"/>
            <w:vAlign w:val="center"/>
            <w:hideMark/>
          </w:tcPr>
          <w:p w14:paraId="67163FF5" w14:textId="41C3E547" w:rsidR="00F744A1" w:rsidRPr="00424FC0" w:rsidRDefault="00F744A1" w:rsidP="007D751C">
            <w:pPr>
              <w:spacing w:after="0" w:line="276" w:lineRule="auto"/>
              <w:jc w:val="center"/>
              <w:rPr>
                <w:noProof/>
                <w:color w:val="000000"/>
                <w:szCs w:val="24"/>
              </w:rPr>
            </w:pPr>
            <w:r w:rsidRPr="00424FC0">
              <w:rPr>
                <w:noProof/>
                <w:color w:val="000000"/>
              </w:rPr>
              <w:t>488</w:t>
            </w:r>
          </w:p>
        </w:tc>
      </w:tr>
      <w:tr w:rsidR="00B72A2B" w:rsidRPr="00424FC0" w14:paraId="6920251E" w14:textId="77777777" w:rsidTr="00DB3CF9">
        <w:trPr>
          <w:trHeight w:val="300"/>
          <w:jc w:val="center"/>
        </w:trPr>
        <w:tc>
          <w:tcPr>
            <w:tcW w:w="1838" w:type="dxa"/>
            <w:vAlign w:val="center"/>
            <w:hideMark/>
          </w:tcPr>
          <w:p w14:paraId="36D66824" w14:textId="77777777" w:rsidR="00F744A1" w:rsidRPr="00424FC0" w:rsidRDefault="00F744A1" w:rsidP="007D751C">
            <w:pPr>
              <w:spacing w:after="0" w:line="276" w:lineRule="auto"/>
              <w:rPr>
                <w:noProof/>
                <w:color w:val="000000"/>
                <w:szCs w:val="24"/>
              </w:rPr>
            </w:pPr>
            <w:r w:rsidRPr="00424FC0">
              <w:rPr>
                <w:noProof/>
                <w:color w:val="000000"/>
              </w:rPr>
              <w:t>Belgia</w:t>
            </w:r>
          </w:p>
        </w:tc>
        <w:tc>
          <w:tcPr>
            <w:tcW w:w="1418" w:type="dxa"/>
            <w:vAlign w:val="center"/>
            <w:hideMark/>
          </w:tcPr>
          <w:p w14:paraId="5A65F4C9" w14:textId="77777777" w:rsidR="00F744A1" w:rsidRPr="00424FC0" w:rsidRDefault="00F744A1" w:rsidP="007D751C">
            <w:pPr>
              <w:spacing w:after="0" w:line="276" w:lineRule="auto"/>
              <w:jc w:val="center"/>
              <w:rPr>
                <w:noProof/>
                <w:color w:val="000000"/>
                <w:szCs w:val="24"/>
              </w:rPr>
            </w:pPr>
            <w:r w:rsidRPr="00424FC0">
              <w:rPr>
                <w:noProof/>
                <w:color w:val="000000"/>
              </w:rPr>
              <w:t>25</w:t>
            </w:r>
          </w:p>
        </w:tc>
        <w:tc>
          <w:tcPr>
            <w:tcW w:w="2556" w:type="dxa"/>
            <w:vAlign w:val="center"/>
            <w:hideMark/>
          </w:tcPr>
          <w:p w14:paraId="146C9658" w14:textId="2CC7AD4C" w:rsidR="00F744A1" w:rsidRPr="00424FC0" w:rsidRDefault="00F744A1" w:rsidP="007D751C">
            <w:pPr>
              <w:spacing w:after="0" w:line="276" w:lineRule="auto"/>
              <w:jc w:val="center"/>
              <w:rPr>
                <w:noProof/>
                <w:color w:val="000000"/>
                <w:szCs w:val="24"/>
              </w:rPr>
            </w:pPr>
            <w:r w:rsidRPr="00424FC0">
              <w:rPr>
                <w:noProof/>
                <w:color w:val="000000"/>
              </w:rPr>
              <w:t>5 684</w:t>
            </w:r>
          </w:p>
        </w:tc>
        <w:tc>
          <w:tcPr>
            <w:tcW w:w="1843" w:type="dxa"/>
            <w:vAlign w:val="center"/>
            <w:hideMark/>
          </w:tcPr>
          <w:p w14:paraId="24D060D9" w14:textId="0C69168C" w:rsidR="00F744A1" w:rsidRPr="00424FC0" w:rsidRDefault="00F744A1" w:rsidP="007D751C">
            <w:pPr>
              <w:spacing w:after="0" w:line="276" w:lineRule="auto"/>
              <w:jc w:val="center"/>
              <w:rPr>
                <w:noProof/>
                <w:color w:val="000000"/>
                <w:szCs w:val="24"/>
              </w:rPr>
            </w:pPr>
            <w:r w:rsidRPr="00424FC0">
              <w:rPr>
                <w:noProof/>
                <w:color w:val="000000"/>
              </w:rPr>
              <w:t>487</w:t>
            </w:r>
          </w:p>
        </w:tc>
      </w:tr>
      <w:tr w:rsidR="00B72A2B" w:rsidRPr="00424FC0" w14:paraId="32ED2B25" w14:textId="77777777" w:rsidTr="00DB3CF9">
        <w:trPr>
          <w:trHeight w:val="300"/>
          <w:jc w:val="center"/>
        </w:trPr>
        <w:tc>
          <w:tcPr>
            <w:tcW w:w="1838" w:type="dxa"/>
            <w:vAlign w:val="center"/>
            <w:hideMark/>
          </w:tcPr>
          <w:p w14:paraId="113CEA42" w14:textId="77777777" w:rsidR="00F744A1" w:rsidRPr="00424FC0" w:rsidRDefault="00F744A1" w:rsidP="007D751C">
            <w:pPr>
              <w:spacing w:after="0" w:line="276" w:lineRule="auto"/>
              <w:rPr>
                <w:noProof/>
                <w:color w:val="000000"/>
                <w:szCs w:val="24"/>
              </w:rPr>
            </w:pPr>
            <w:r w:rsidRPr="00424FC0">
              <w:rPr>
                <w:noProof/>
                <w:color w:val="000000"/>
              </w:rPr>
              <w:t>Portugalia</w:t>
            </w:r>
          </w:p>
        </w:tc>
        <w:tc>
          <w:tcPr>
            <w:tcW w:w="1418" w:type="dxa"/>
            <w:vAlign w:val="center"/>
            <w:hideMark/>
          </w:tcPr>
          <w:p w14:paraId="68F3B134" w14:textId="77777777" w:rsidR="00F744A1" w:rsidRPr="00424FC0" w:rsidRDefault="00F744A1" w:rsidP="007D751C">
            <w:pPr>
              <w:spacing w:after="0" w:line="276" w:lineRule="auto"/>
              <w:jc w:val="center"/>
              <w:rPr>
                <w:noProof/>
                <w:color w:val="000000"/>
                <w:szCs w:val="24"/>
              </w:rPr>
            </w:pPr>
            <w:r w:rsidRPr="00424FC0">
              <w:rPr>
                <w:noProof/>
                <w:color w:val="000000"/>
              </w:rPr>
              <w:t>12</w:t>
            </w:r>
          </w:p>
        </w:tc>
        <w:tc>
          <w:tcPr>
            <w:tcW w:w="2556" w:type="dxa"/>
            <w:vAlign w:val="center"/>
            <w:hideMark/>
          </w:tcPr>
          <w:p w14:paraId="67E1FFD0" w14:textId="41E23428" w:rsidR="00F744A1" w:rsidRPr="00424FC0" w:rsidRDefault="00F744A1" w:rsidP="007D751C">
            <w:pPr>
              <w:spacing w:after="0" w:line="276" w:lineRule="auto"/>
              <w:jc w:val="center"/>
              <w:rPr>
                <w:noProof/>
                <w:color w:val="000000"/>
                <w:szCs w:val="24"/>
              </w:rPr>
            </w:pPr>
            <w:r w:rsidRPr="00424FC0">
              <w:rPr>
                <w:noProof/>
                <w:color w:val="000000"/>
              </w:rPr>
              <w:t>4 967</w:t>
            </w:r>
          </w:p>
        </w:tc>
        <w:tc>
          <w:tcPr>
            <w:tcW w:w="1843" w:type="dxa"/>
            <w:vAlign w:val="center"/>
            <w:hideMark/>
          </w:tcPr>
          <w:p w14:paraId="641FCC4A" w14:textId="30E0E614" w:rsidR="00F744A1" w:rsidRPr="00424FC0" w:rsidRDefault="00F744A1" w:rsidP="007D751C">
            <w:pPr>
              <w:spacing w:after="0" w:line="276" w:lineRule="auto"/>
              <w:jc w:val="center"/>
              <w:rPr>
                <w:noProof/>
                <w:color w:val="000000"/>
                <w:szCs w:val="24"/>
              </w:rPr>
            </w:pPr>
            <w:r w:rsidRPr="00424FC0">
              <w:rPr>
                <w:noProof/>
                <w:color w:val="000000"/>
              </w:rPr>
              <w:t>479</w:t>
            </w:r>
          </w:p>
        </w:tc>
      </w:tr>
      <w:tr w:rsidR="00B72A2B" w:rsidRPr="00424FC0" w14:paraId="0914B44B" w14:textId="77777777" w:rsidTr="00DB3CF9">
        <w:trPr>
          <w:trHeight w:val="300"/>
          <w:jc w:val="center"/>
        </w:trPr>
        <w:tc>
          <w:tcPr>
            <w:tcW w:w="1838" w:type="dxa"/>
            <w:vAlign w:val="center"/>
            <w:hideMark/>
          </w:tcPr>
          <w:p w14:paraId="4F9CF25F" w14:textId="77777777" w:rsidR="00F744A1" w:rsidRPr="00424FC0" w:rsidRDefault="00F744A1" w:rsidP="007D751C">
            <w:pPr>
              <w:spacing w:after="0" w:line="276" w:lineRule="auto"/>
              <w:rPr>
                <w:noProof/>
                <w:color w:val="000000"/>
                <w:szCs w:val="24"/>
              </w:rPr>
            </w:pPr>
            <w:r w:rsidRPr="00424FC0">
              <w:rPr>
                <w:noProof/>
                <w:color w:val="000000"/>
              </w:rPr>
              <w:t>Slovacia</w:t>
            </w:r>
          </w:p>
        </w:tc>
        <w:tc>
          <w:tcPr>
            <w:tcW w:w="1418" w:type="dxa"/>
            <w:vAlign w:val="center"/>
            <w:hideMark/>
          </w:tcPr>
          <w:p w14:paraId="530B0EBC" w14:textId="77777777" w:rsidR="00F744A1" w:rsidRPr="00424FC0" w:rsidRDefault="00F744A1" w:rsidP="007D751C">
            <w:pPr>
              <w:spacing w:after="0" w:line="276" w:lineRule="auto"/>
              <w:jc w:val="center"/>
              <w:rPr>
                <w:noProof/>
                <w:color w:val="000000"/>
                <w:szCs w:val="24"/>
              </w:rPr>
            </w:pPr>
            <w:r w:rsidRPr="00424FC0">
              <w:rPr>
                <w:noProof/>
                <w:color w:val="000000"/>
              </w:rPr>
              <w:t>14</w:t>
            </w:r>
          </w:p>
        </w:tc>
        <w:tc>
          <w:tcPr>
            <w:tcW w:w="2556" w:type="dxa"/>
            <w:vAlign w:val="center"/>
            <w:hideMark/>
          </w:tcPr>
          <w:p w14:paraId="6A413589" w14:textId="0CAB4366" w:rsidR="00F744A1" w:rsidRPr="00424FC0" w:rsidRDefault="00F744A1" w:rsidP="007D751C">
            <w:pPr>
              <w:spacing w:after="0" w:line="276" w:lineRule="auto"/>
              <w:jc w:val="center"/>
              <w:rPr>
                <w:noProof/>
                <w:color w:val="000000"/>
                <w:szCs w:val="24"/>
              </w:rPr>
            </w:pPr>
            <w:r w:rsidRPr="00424FC0">
              <w:rPr>
                <w:noProof/>
                <w:color w:val="000000"/>
              </w:rPr>
              <w:t>2 365</w:t>
            </w:r>
          </w:p>
        </w:tc>
        <w:tc>
          <w:tcPr>
            <w:tcW w:w="1843" w:type="dxa"/>
            <w:vAlign w:val="center"/>
            <w:hideMark/>
          </w:tcPr>
          <w:p w14:paraId="62AFB08B" w14:textId="2A419D77" w:rsidR="00F744A1" w:rsidRPr="00424FC0" w:rsidRDefault="00F744A1" w:rsidP="007D751C">
            <w:pPr>
              <w:spacing w:after="0" w:line="276" w:lineRule="auto"/>
              <w:jc w:val="center"/>
              <w:rPr>
                <w:noProof/>
                <w:color w:val="000000"/>
                <w:szCs w:val="24"/>
              </w:rPr>
            </w:pPr>
            <w:r w:rsidRPr="00424FC0">
              <w:rPr>
                <w:noProof/>
                <w:color w:val="000000"/>
              </w:rPr>
              <w:t>436</w:t>
            </w:r>
          </w:p>
        </w:tc>
      </w:tr>
      <w:tr w:rsidR="00B72A2B" w:rsidRPr="00424FC0" w14:paraId="17C51A25" w14:textId="77777777" w:rsidTr="00DB3CF9">
        <w:trPr>
          <w:trHeight w:val="300"/>
          <w:jc w:val="center"/>
        </w:trPr>
        <w:tc>
          <w:tcPr>
            <w:tcW w:w="1838" w:type="dxa"/>
            <w:vAlign w:val="center"/>
            <w:hideMark/>
          </w:tcPr>
          <w:p w14:paraId="7A555505" w14:textId="77777777" w:rsidR="00F744A1" w:rsidRPr="00424FC0" w:rsidRDefault="00F744A1" w:rsidP="007D751C">
            <w:pPr>
              <w:spacing w:after="0" w:line="276" w:lineRule="auto"/>
              <w:rPr>
                <w:noProof/>
                <w:color w:val="000000"/>
                <w:szCs w:val="24"/>
              </w:rPr>
            </w:pPr>
            <w:r w:rsidRPr="00424FC0">
              <w:rPr>
                <w:noProof/>
                <w:color w:val="000000"/>
              </w:rPr>
              <w:t>Lituania</w:t>
            </w:r>
          </w:p>
        </w:tc>
        <w:tc>
          <w:tcPr>
            <w:tcW w:w="1418" w:type="dxa"/>
            <w:vAlign w:val="center"/>
            <w:hideMark/>
          </w:tcPr>
          <w:p w14:paraId="36AB8E5D" w14:textId="77777777" w:rsidR="00F744A1" w:rsidRPr="00424FC0" w:rsidRDefault="00F744A1" w:rsidP="007D751C">
            <w:pPr>
              <w:spacing w:after="0" w:line="276" w:lineRule="auto"/>
              <w:jc w:val="center"/>
              <w:rPr>
                <w:noProof/>
                <w:color w:val="000000"/>
                <w:szCs w:val="24"/>
              </w:rPr>
            </w:pPr>
            <w:r w:rsidRPr="00424FC0">
              <w:rPr>
                <w:noProof/>
                <w:color w:val="000000"/>
              </w:rPr>
              <w:t>9</w:t>
            </w:r>
          </w:p>
        </w:tc>
        <w:tc>
          <w:tcPr>
            <w:tcW w:w="2556" w:type="dxa"/>
            <w:vAlign w:val="center"/>
            <w:hideMark/>
          </w:tcPr>
          <w:p w14:paraId="6E814ED6" w14:textId="75C5982B" w:rsidR="00F744A1" w:rsidRPr="00424FC0" w:rsidRDefault="00F744A1" w:rsidP="007D751C">
            <w:pPr>
              <w:spacing w:after="0" w:line="276" w:lineRule="auto"/>
              <w:jc w:val="center"/>
              <w:rPr>
                <w:noProof/>
                <w:color w:val="000000"/>
                <w:szCs w:val="24"/>
              </w:rPr>
            </w:pPr>
            <w:r w:rsidRPr="00424FC0">
              <w:rPr>
                <w:noProof/>
                <w:color w:val="000000"/>
              </w:rPr>
              <w:t>1 084</w:t>
            </w:r>
          </w:p>
        </w:tc>
        <w:tc>
          <w:tcPr>
            <w:tcW w:w="1843" w:type="dxa"/>
            <w:vAlign w:val="center"/>
            <w:hideMark/>
          </w:tcPr>
          <w:p w14:paraId="71BA6BC3" w14:textId="4121444D" w:rsidR="00F744A1" w:rsidRPr="00424FC0" w:rsidRDefault="00F744A1" w:rsidP="007D751C">
            <w:pPr>
              <w:spacing w:after="0" w:line="276" w:lineRule="auto"/>
              <w:jc w:val="center"/>
              <w:rPr>
                <w:noProof/>
                <w:color w:val="000000"/>
                <w:szCs w:val="24"/>
              </w:rPr>
            </w:pPr>
            <w:r w:rsidRPr="00424FC0">
              <w:rPr>
                <w:noProof/>
                <w:color w:val="000000"/>
              </w:rPr>
              <w:t>383</w:t>
            </w:r>
          </w:p>
        </w:tc>
      </w:tr>
      <w:tr w:rsidR="00B72A2B" w:rsidRPr="00424FC0" w14:paraId="0D5247B9" w14:textId="77777777" w:rsidTr="00DB3CF9">
        <w:trPr>
          <w:trHeight w:val="300"/>
          <w:jc w:val="center"/>
        </w:trPr>
        <w:tc>
          <w:tcPr>
            <w:tcW w:w="1838" w:type="dxa"/>
            <w:vAlign w:val="center"/>
            <w:hideMark/>
          </w:tcPr>
          <w:p w14:paraId="7F88AC1E" w14:textId="77777777" w:rsidR="00F744A1" w:rsidRPr="00424FC0" w:rsidRDefault="00F744A1" w:rsidP="007D751C">
            <w:pPr>
              <w:spacing w:after="0" w:line="276" w:lineRule="auto"/>
              <w:rPr>
                <w:noProof/>
                <w:color w:val="000000"/>
                <w:szCs w:val="24"/>
              </w:rPr>
            </w:pPr>
            <w:r w:rsidRPr="00424FC0">
              <w:rPr>
                <w:noProof/>
                <w:color w:val="000000"/>
              </w:rPr>
              <w:t>Grecia</w:t>
            </w:r>
          </w:p>
        </w:tc>
        <w:tc>
          <w:tcPr>
            <w:tcW w:w="1418" w:type="dxa"/>
            <w:vAlign w:val="center"/>
            <w:hideMark/>
          </w:tcPr>
          <w:p w14:paraId="39400152" w14:textId="77777777" w:rsidR="00F744A1" w:rsidRPr="00424FC0" w:rsidRDefault="00F744A1" w:rsidP="007D751C">
            <w:pPr>
              <w:spacing w:after="0" w:line="276" w:lineRule="auto"/>
              <w:jc w:val="center"/>
              <w:rPr>
                <w:noProof/>
                <w:color w:val="000000"/>
                <w:szCs w:val="24"/>
              </w:rPr>
            </w:pPr>
            <w:r w:rsidRPr="00424FC0">
              <w:rPr>
                <w:noProof/>
                <w:color w:val="000000"/>
              </w:rPr>
              <w:t>7</w:t>
            </w:r>
          </w:p>
        </w:tc>
        <w:tc>
          <w:tcPr>
            <w:tcW w:w="2556" w:type="dxa"/>
            <w:vAlign w:val="center"/>
            <w:hideMark/>
          </w:tcPr>
          <w:p w14:paraId="677F7B88" w14:textId="505B73E6" w:rsidR="00F744A1" w:rsidRPr="00424FC0" w:rsidRDefault="00F744A1" w:rsidP="007D751C">
            <w:pPr>
              <w:spacing w:after="0" w:line="276" w:lineRule="auto"/>
              <w:jc w:val="center"/>
              <w:rPr>
                <w:noProof/>
                <w:color w:val="000000"/>
                <w:szCs w:val="24"/>
              </w:rPr>
            </w:pPr>
            <w:r w:rsidRPr="00424FC0">
              <w:rPr>
                <w:noProof/>
                <w:color w:val="000000"/>
              </w:rPr>
              <w:t>4 032</w:t>
            </w:r>
          </w:p>
        </w:tc>
        <w:tc>
          <w:tcPr>
            <w:tcW w:w="1843" w:type="dxa"/>
            <w:vAlign w:val="center"/>
            <w:hideMark/>
          </w:tcPr>
          <w:p w14:paraId="20B2FAF5" w14:textId="01B5C519" w:rsidR="00F744A1" w:rsidRPr="00424FC0" w:rsidRDefault="00F744A1" w:rsidP="007D751C">
            <w:pPr>
              <w:spacing w:after="0" w:line="276" w:lineRule="auto"/>
              <w:jc w:val="center"/>
              <w:rPr>
                <w:noProof/>
                <w:color w:val="000000"/>
                <w:szCs w:val="24"/>
              </w:rPr>
            </w:pPr>
            <w:r w:rsidRPr="00424FC0">
              <w:rPr>
                <w:noProof/>
                <w:color w:val="000000"/>
              </w:rPr>
              <w:t>381</w:t>
            </w:r>
          </w:p>
        </w:tc>
      </w:tr>
      <w:tr w:rsidR="00B72A2B" w:rsidRPr="00424FC0" w14:paraId="596D7AD7" w14:textId="77777777" w:rsidTr="00DB3CF9">
        <w:trPr>
          <w:trHeight w:val="300"/>
          <w:jc w:val="center"/>
        </w:trPr>
        <w:tc>
          <w:tcPr>
            <w:tcW w:w="1838" w:type="dxa"/>
            <w:vAlign w:val="center"/>
            <w:hideMark/>
          </w:tcPr>
          <w:p w14:paraId="289638F5" w14:textId="77777777" w:rsidR="00F744A1" w:rsidRPr="00424FC0" w:rsidRDefault="00F744A1" w:rsidP="007D751C">
            <w:pPr>
              <w:spacing w:after="0" w:line="276" w:lineRule="auto"/>
              <w:rPr>
                <w:noProof/>
                <w:color w:val="000000"/>
                <w:szCs w:val="24"/>
              </w:rPr>
            </w:pPr>
            <w:r w:rsidRPr="00424FC0">
              <w:rPr>
                <w:noProof/>
                <w:color w:val="000000"/>
              </w:rPr>
              <w:t>Luxemburg</w:t>
            </w:r>
          </w:p>
        </w:tc>
        <w:tc>
          <w:tcPr>
            <w:tcW w:w="1418" w:type="dxa"/>
            <w:vAlign w:val="center"/>
            <w:hideMark/>
          </w:tcPr>
          <w:p w14:paraId="2613E40D" w14:textId="77777777" w:rsidR="00F744A1" w:rsidRPr="00424FC0" w:rsidRDefault="00F744A1" w:rsidP="007D751C">
            <w:pPr>
              <w:spacing w:after="0" w:line="276" w:lineRule="auto"/>
              <w:jc w:val="center"/>
              <w:rPr>
                <w:noProof/>
                <w:color w:val="000000"/>
                <w:szCs w:val="24"/>
              </w:rPr>
            </w:pPr>
            <w:r w:rsidRPr="00424FC0">
              <w:rPr>
                <w:noProof/>
                <w:color w:val="000000"/>
              </w:rPr>
              <w:t>10</w:t>
            </w:r>
          </w:p>
        </w:tc>
        <w:tc>
          <w:tcPr>
            <w:tcW w:w="2556" w:type="dxa"/>
            <w:vAlign w:val="center"/>
            <w:hideMark/>
          </w:tcPr>
          <w:p w14:paraId="6420806A" w14:textId="77777777" w:rsidR="00F744A1" w:rsidRPr="00424FC0" w:rsidRDefault="00F744A1" w:rsidP="007D751C">
            <w:pPr>
              <w:spacing w:after="0" w:line="276" w:lineRule="auto"/>
              <w:jc w:val="center"/>
              <w:rPr>
                <w:noProof/>
                <w:color w:val="000000"/>
                <w:szCs w:val="24"/>
              </w:rPr>
            </w:pPr>
            <w:r w:rsidRPr="00424FC0">
              <w:rPr>
                <w:noProof/>
                <w:color w:val="000000"/>
              </w:rPr>
              <w:t>236</w:t>
            </w:r>
          </w:p>
        </w:tc>
        <w:tc>
          <w:tcPr>
            <w:tcW w:w="1843" w:type="dxa"/>
            <w:vAlign w:val="center"/>
            <w:hideMark/>
          </w:tcPr>
          <w:p w14:paraId="4DEB5D77" w14:textId="381F0920" w:rsidR="00F744A1" w:rsidRPr="00424FC0" w:rsidRDefault="00F744A1" w:rsidP="007D751C">
            <w:pPr>
              <w:spacing w:after="0" w:line="276" w:lineRule="auto"/>
              <w:jc w:val="center"/>
              <w:rPr>
                <w:noProof/>
                <w:color w:val="000000"/>
                <w:szCs w:val="24"/>
              </w:rPr>
            </w:pPr>
            <w:r w:rsidRPr="00424FC0">
              <w:rPr>
                <w:noProof/>
                <w:color w:val="000000"/>
              </w:rPr>
              <w:t>363</w:t>
            </w:r>
          </w:p>
        </w:tc>
      </w:tr>
      <w:tr w:rsidR="00B72A2B" w:rsidRPr="00424FC0" w14:paraId="30E50135" w14:textId="77777777" w:rsidTr="00DB3CF9">
        <w:trPr>
          <w:trHeight w:val="300"/>
          <w:jc w:val="center"/>
        </w:trPr>
        <w:tc>
          <w:tcPr>
            <w:tcW w:w="1838" w:type="dxa"/>
            <w:vAlign w:val="center"/>
            <w:hideMark/>
          </w:tcPr>
          <w:p w14:paraId="580E776D" w14:textId="77777777" w:rsidR="00F744A1" w:rsidRPr="00424FC0" w:rsidRDefault="00F744A1" w:rsidP="007D751C">
            <w:pPr>
              <w:spacing w:after="0" w:line="276" w:lineRule="auto"/>
              <w:rPr>
                <w:noProof/>
                <w:color w:val="000000"/>
                <w:szCs w:val="24"/>
              </w:rPr>
            </w:pPr>
            <w:r w:rsidRPr="00424FC0">
              <w:rPr>
                <w:noProof/>
                <w:color w:val="000000"/>
              </w:rPr>
              <w:t>Bulgaria</w:t>
            </w:r>
          </w:p>
        </w:tc>
        <w:tc>
          <w:tcPr>
            <w:tcW w:w="1418" w:type="dxa"/>
            <w:vAlign w:val="center"/>
            <w:hideMark/>
          </w:tcPr>
          <w:p w14:paraId="3E086AF6" w14:textId="77777777" w:rsidR="00F744A1" w:rsidRPr="00424FC0" w:rsidRDefault="00F744A1" w:rsidP="007D751C">
            <w:pPr>
              <w:spacing w:after="0" w:line="276" w:lineRule="auto"/>
              <w:jc w:val="center"/>
              <w:rPr>
                <w:noProof/>
                <w:color w:val="000000"/>
                <w:szCs w:val="24"/>
              </w:rPr>
            </w:pPr>
            <w:r w:rsidRPr="00424FC0">
              <w:rPr>
                <w:noProof/>
                <w:color w:val="000000"/>
              </w:rPr>
              <w:t>15</w:t>
            </w:r>
          </w:p>
        </w:tc>
        <w:tc>
          <w:tcPr>
            <w:tcW w:w="2556" w:type="dxa"/>
            <w:vAlign w:val="center"/>
            <w:hideMark/>
          </w:tcPr>
          <w:p w14:paraId="63FC3B74" w14:textId="603B593B" w:rsidR="00F744A1" w:rsidRPr="00424FC0" w:rsidRDefault="00F744A1" w:rsidP="007D751C">
            <w:pPr>
              <w:spacing w:after="0" w:line="276" w:lineRule="auto"/>
              <w:jc w:val="center"/>
              <w:rPr>
                <w:noProof/>
                <w:color w:val="000000"/>
                <w:szCs w:val="24"/>
              </w:rPr>
            </w:pPr>
            <w:r w:rsidRPr="00424FC0">
              <w:rPr>
                <w:noProof/>
                <w:color w:val="000000"/>
              </w:rPr>
              <w:t>2 332</w:t>
            </w:r>
          </w:p>
        </w:tc>
        <w:tc>
          <w:tcPr>
            <w:tcW w:w="1843" w:type="dxa"/>
            <w:vAlign w:val="center"/>
            <w:hideMark/>
          </w:tcPr>
          <w:p w14:paraId="5E81B40B" w14:textId="3F846EDA" w:rsidR="00F744A1" w:rsidRPr="00424FC0" w:rsidRDefault="00F744A1" w:rsidP="007D751C">
            <w:pPr>
              <w:spacing w:after="0" w:line="276" w:lineRule="auto"/>
              <w:jc w:val="center"/>
              <w:rPr>
                <w:noProof/>
                <w:color w:val="000000"/>
                <w:szCs w:val="24"/>
              </w:rPr>
            </w:pPr>
            <w:r w:rsidRPr="00424FC0">
              <w:rPr>
                <w:noProof/>
                <w:color w:val="000000"/>
              </w:rPr>
              <w:t>360</w:t>
            </w:r>
          </w:p>
        </w:tc>
      </w:tr>
      <w:tr w:rsidR="00B72A2B" w:rsidRPr="00424FC0" w14:paraId="469E7D85" w14:textId="77777777" w:rsidTr="00DB3CF9">
        <w:trPr>
          <w:trHeight w:val="300"/>
          <w:jc w:val="center"/>
        </w:trPr>
        <w:tc>
          <w:tcPr>
            <w:tcW w:w="1838" w:type="dxa"/>
            <w:vAlign w:val="center"/>
            <w:hideMark/>
          </w:tcPr>
          <w:p w14:paraId="5C6C27B8" w14:textId="77777777" w:rsidR="00F744A1" w:rsidRPr="00424FC0" w:rsidRDefault="00F744A1" w:rsidP="007D751C">
            <w:pPr>
              <w:spacing w:after="0" w:line="276" w:lineRule="auto"/>
              <w:rPr>
                <w:noProof/>
                <w:color w:val="000000"/>
                <w:szCs w:val="24"/>
              </w:rPr>
            </w:pPr>
            <w:r w:rsidRPr="00424FC0">
              <w:rPr>
                <w:noProof/>
                <w:color w:val="000000"/>
              </w:rPr>
              <w:t>Cipru</w:t>
            </w:r>
          </w:p>
        </w:tc>
        <w:tc>
          <w:tcPr>
            <w:tcW w:w="1418" w:type="dxa"/>
            <w:vAlign w:val="center"/>
            <w:hideMark/>
          </w:tcPr>
          <w:p w14:paraId="3C3C930A" w14:textId="77777777" w:rsidR="00F744A1" w:rsidRPr="00424FC0" w:rsidRDefault="00F744A1" w:rsidP="007D751C">
            <w:pPr>
              <w:spacing w:after="0" w:line="276" w:lineRule="auto"/>
              <w:jc w:val="center"/>
              <w:rPr>
                <w:noProof/>
                <w:color w:val="000000"/>
                <w:szCs w:val="24"/>
              </w:rPr>
            </w:pPr>
            <w:r w:rsidRPr="00424FC0">
              <w:rPr>
                <w:noProof/>
                <w:color w:val="000000"/>
              </w:rPr>
              <w:t>9</w:t>
            </w:r>
          </w:p>
        </w:tc>
        <w:tc>
          <w:tcPr>
            <w:tcW w:w="2556" w:type="dxa"/>
            <w:vAlign w:val="center"/>
            <w:hideMark/>
          </w:tcPr>
          <w:p w14:paraId="7AE1AE43" w14:textId="77777777" w:rsidR="00F744A1" w:rsidRPr="00424FC0" w:rsidRDefault="00F744A1" w:rsidP="007D751C">
            <w:pPr>
              <w:spacing w:after="0" w:line="276" w:lineRule="auto"/>
              <w:jc w:val="center"/>
              <w:rPr>
                <w:noProof/>
                <w:color w:val="000000"/>
                <w:szCs w:val="24"/>
              </w:rPr>
            </w:pPr>
            <w:r w:rsidRPr="00424FC0">
              <w:rPr>
                <w:noProof/>
                <w:color w:val="000000"/>
              </w:rPr>
              <w:t>361</w:t>
            </w:r>
          </w:p>
        </w:tc>
        <w:tc>
          <w:tcPr>
            <w:tcW w:w="1843" w:type="dxa"/>
            <w:vAlign w:val="center"/>
            <w:hideMark/>
          </w:tcPr>
          <w:p w14:paraId="3EE7330E" w14:textId="121FE7E1" w:rsidR="00F744A1" w:rsidRPr="00424FC0" w:rsidRDefault="00F744A1" w:rsidP="007D751C">
            <w:pPr>
              <w:spacing w:after="0" w:line="276" w:lineRule="auto"/>
              <w:jc w:val="center"/>
              <w:rPr>
                <w:noProof/>
                <w:color w:val="000000"/>
                <w:szCs w:val="24"/>
              </w:rPr>
            </w:pPr>
            <w:r w:rsidRPr="00424FC0">
              <w:rPr>
                <w:noProof/>
                <w:color w:val="000000"/>
              </w:rPr>
              <w:t>289</w:t>
            </w:r>
          </w:p>
        </w:tc>
      </w:tr>
      <w:tr w:rsidR="00B72A2B" w:rsidRPr="00424FC0" w14:paraId="3EDF6CED" w14:textId="77777777" w:rsidTr="00DB3CF9">
        <w:trPr>
          <w:trHeight w:val="300"/>
          <w:jc w:val="center"/>
        </w:trPr>
        <w:tc>
          <w:tcPr>
            <w:tcW w:w="1838" w:type="dxa"/>
            <w:vAlign w:val="center"/>
            <w:hideMark/>
          </w:tcPr>
          <w:p w14:paraId="49424490" w14:textId="77777777" w:rsidR="00F744A1" w:rsidRPr="00424FC0" w:rsidRDefault="00F744A1" w:rsidP="007D751C">
            <w:pPr>
              <w:spacing w:after="0" w:line="276" w:lineRule="auto"/>
              <w:rPr>
                <w:noProof/>
                <w:color w:val="000000"/>
                <w:szCs w:val="24"/>
              </w:rPr>
            </w:pPr>
            <w:r w:rsidRPr="00424FC0">
              <w:rPr>
                <w:noProof/>
                <w:color w:val="000000"/>
              </w:rPr>
              <w:t>Malta</w:t>
            </w:r>
          </w:p>
        </w:tc>
        <w:tc>
          <w:tcPr>
            <w:tcW w:w="1418" w:type="dxa"/>
            <w:vAlign w:val="center"/>
            <w:hideMark/>
          </w:tcPr>
          <w:p w14:paraId="0E4D1BB6" w14:textId="77777777" w:rsidR="00F744A1" w:rsidRPr="00424FC0" w:rsidRDefault="00F744A1" w:rsidP="007D751C">
            <w:pPr>
              <w:spacing w:after="0" w:line="276" w:lineRule="auto"/>
              <w:jc w:val="center"/>
              <w:rPr>
                <w:noProof/>
                <w:color w:val="000000"/>
                <w:szCs w:val="24"/>
              </w:rPr>
            </w:pPr>
            <w:r w:rsidRPr="00424FC0">
              <w:rPr>
                <w:noProof/>
                <w:color w:val="000000"/>
              </w:rPr>
              <w:t>16</w:t>
            </w:r>
          </w:p>
        </w:tc>
        <w:tc>
          <w:tcPr>
            <w:tcW w:w="2556" w:type="dxa"/>
            <w:vAlign w:val="center"/>
            <w:hideMark/>
          </w:tcPr>
          <w:p w14:paraId="3F2CCEF6" w14:textId="77777777" w:rsidR="00F744A1" w:rsidRPr="00424FC0" w:rsidRDefault="00F744A1" w:rsidP="007D751C">
            <w:pPr>
              <w:spacing w:after="0" w:line="276" w:lineRule="auto"/>
              <w:jc w:val="center"/>
              <w:rPr>
                <w:noProof/>
                <w:color w:val="000000"/>
                <w:szCs w:val="24"/>
              </w:rPr>
            </w:pPr>
            <w:r w:rsidRPr="00424FC0">
              <w:rPr>
                <w:noProof/>
                <w:color w:val="000000"/>
              </w:rPr>
              <w:t>146</w:t>
            </w:r>
          </w:p>
        </w:tc>
        <w:tc>
          <w:tcPr>
            <w:tcW w:w="1843" w:type="dxa"/>
            <w:vAlign w:val="center"/>
            <w:hideMark/>
          </w:tcPr>
          <w:p w14:paraId="350C95E6" w14:textId="5C847998" w:rsidR="00F744A1" w:rsidRPr="00424FC0" w:rsidRDefault="00F744A1" w:rsidP="007D751C">
            <w:pPr>
              <w:spacing w:after="0" w:line="276" w:lineRule="auto"/>
              <w:jc w:val="center"/>
              <w:rPr>
                <w:noProof/>
                <w:color w:val="000000"/>
                <w:szCs w:val="24"/>
              </w:rPr>
            </w:pPr>
            <w:r w:rsidRPr="00424FC0">
              <w:rPr>
                <w:noProof/>
                <w:color w:val="000000"/>
              </w:rPr>
              <w:t>279</w:t>
            </w:r>
          </w:p>
        </w:tc>
      </w:tr>
      <w:tr w:rsidR="00B72A2B" w:rsidRPr="00424FC0" w14:paraId="6AB7F456" w14:textId="77777777" w:rsidTr="00DB3CF9">
        <w:trPr>
          <w:trHeight w:val="300"/>
          <w:jc w:val="center"/>
        </w:trPr>
        <w:tc>
          <w:tcPr>
            <w:tcW w:w="1838" w:type="dxa"/>
            <w:vAlign w:val="center"/>
            <w:hideMark/>
          </w:tcPr>
          <w:p w14:paraId="1C6287CE" w14:textId="77777777" w:rsidR="00F744A1" w:rsidRPr="00424FC0" w:rsidRDefault="00F744A1" w:rsidP="007D751C">
            <w:pPr>
              <w:spacing w:after="0" w:line="276" w:lineRule="auto"/>
              <w:rPr>
                <w:noProof/>
                <w:color w:val="000000"/>
                <w:szCs w:val="24"/>
              </w:rPr>
            </w:pPr>
            <w:r w:rsidRPr="00424FC0">
              <w:rPr>
                <w:noProof/>
                <w:color w:val="000000"/>
              </w:rPr>
              <w:t>Spania</w:t>
            </w:r>
          </w:p>
        </w:tc>
        <w:tc>
          <w:tcPr>
            <w:tcW w:w="1418" w:type="dxa"/>
            <w:vAlign w:val="center"/>
            <w:hideMark/>
          </w:tcPr>
          <w:p w14:paraId="0B00BD29" w14:textId="77777777" w:rsidR="00F744A1" w:rsidRPr="00424FC0" w:rsidRDefault="00F744A1" w:rsidP="007D751C">
            <w:pPr>
              <w:spacing w:after="0" w:line="276" w:lineRule="auto"/>
              <w:jc w:val="center"/>
              <w:rPr>
                <w:noProof/>
                <w:color w:val="000000"/>
                <w:szCs w:val="24"/>
              </w:rPr>
            </w:pPr>
            <w:r w:rsidRPr="00424FC0">
              <w:rPr>
                <w:noProof/>
                <w:color w:val="000000"/>
              </w:rPr>
              <w:t>62</w:t>
            </w:r>
          </w:p>
        </w:tc>
        <w:tc>
          <w:tcPr>
            <w:tcW w:w="2556" w:type="dxa"/>
            <w:vAlign w:val="center"/>
            <w:hideMark/>
          </w:tcPr>
          <w:p w14:paraId="366580C6" w14:textId="1AA1E60F" w:rsidR="00F744A1" w:rsidRPr="00424FC0" w:rsidRDefault="00F744A1" w:rsidP="007D751C">
            <w:pPr>
              <w:spacing w:after="0" w:line="276" w:lineRule="auto"/>
              <w:jc w:val="center"/>
              <w:rPr>
                <w:noProof/>
                <w:color w:val="000000"/>
                <w:szCs w:val="24"/>
              </w:rPr>
            </w:pPr>
            <w:r w:rsidRPr="00424FC0">
              <w:rPr>
                <w:noProof/>
                <w:color w:val="000000"/>
              </w:rPr>
              <w:t>10 663</w:t>
            </w:r>
          </w:p>
        </w:tc>
        <w:tc>
          <w:tcPr>
            <w:tcW w:w="1843" w:type="dxa"/>
            <w:vAlign w:val="center"/>
            <w:hideMark/>
          </w:tcPr>
          <w:p w14:paraId="6F09EC37" w14:textId="02CE2792" w:rsidR="00F744A1" w:rsidRPr="00424FC0" w:rsidRDefault="00F744A1" w:rsidP="007D751C">
            <w:pPr>
              <w:spacing w:after="0" w:line="276" w:lineRule="auto"/>
              <w:jc w:val="center"/>
              <w:rPr>
                <w:noProof/>
                <w:color w:val="000000"/>
                <w:szCs w:val="24"/>
              </w:rPr>
            </w:pPr>
            <w:r w:rsidRPr="00424FC0">
              <w:rPr>
                <w:noProof/>
                <w:color w:val="000000"/>
              </w:rPr>
              <w:t>224</w:t>
            </w:r>
          </w:p>
        </w:tc>
      </w:tr>
      <w:tr w:rsidR="00B72A2B" w:rsidRPr="00424FC0" w14:paraId="37D66B21" w14:textId="77777777" w:rsidTr="00DB3CF9">
        <w:trPr>
          <w:trHeight w:val="300"/>
          <w:jc w:val="center"/>
        </w:trPr>
        <w:tc>
          <w:tcPr>
            <w:tcW w:w="1838" w:type="dxa"/>
            <w:vAlign w:val="center"/>
            <w:hideMark/>
          </w:tcPr>
          <w:p w14:paraId="2E2578E9" w14:textId="77777777" w:rsidR="00F744A1" w:rsidRPr="00424FC0" w:rsidRDefault="00F744A1" w:rsidP="007D751C">
            <w:pPr>
              <w:spacing w:after="0" w:line="276" w:lineRule="auto"/>
              <w:rPr>
                <w:noProof/>
                <w:color w:val="000000"/>
                <w:szCs w:val="24"/>
              </w:rPr>
            </w:pPr>
            <w:r w:rsidRPr="00424FC0">
              <w:rPr>
                <w:noProof/>
                <w:color w:val="000000"/>
              </w:rPr>
              <w:t>Ungaria</w:t>
            </w:r>
          </w:p>
        </w:tc>
        <w:tc>
          <w:tcPr>
            <w:tcW w:w="1418" w:type="dxa"/>
            <w:vAlign w:val="center"/>
            <w:hideMark/>
          </w:tcPr>
          <w:p w14:paraId="6E9C4B2C" w14:textId="77777777" w:rsidR="00F744A1" w:rsidRPr="00424FC0" w:rsidRDefault="00F744A1" w:rsidP="007D751C">
            <w:pPr>
              <w:spacing w:after="0" w:line="276" w:lineRule="auto"/>
              <w:jc w:val="center"/>
              <w:rPr>
                <w:noProof/>
                <w:color w:val="000000"/>
                <w:szCs w:val="24"/>
              </w:rPr>
            </w:pPr>
            <w:r w:rsidRPr="00424FC0">
              <w:rPr>
                <w:noProof/>
                <w:color w:val="000000"/>
              </w:rPr>
              <w:t>35</w:t>
            </w:r>
          </w:p>
        </w:tc>
        <w:tc>
          <w:tcPr>
            <w:tcW w:w="2556" w:type="dxa"/>
            <w:vAlign w:val="center"/>
            <w:hideMark/>
          </w:tcPr>
          <w:p w14:paraId="7CFCD097" w14:textId="10E689DA" w:rsidR="00F744A1" w:rsidRPr="00424FC0" w:rsidRDefault="00F744A1" w:rsidP="007D751C">
            <w:pPr>
              <w:spacing w:after="0" w:line="276" w:lineRule="auto"/>
              <w:jc w:val="center"/>
              <w:rPr>
                <w:noProof/>
                <w:color w:val="000000"/>
                <w:szCs w:val="24"/>
              </w:rPr>
            </w:pPr>
            <w:r w:rsidRPr="00424FC0">
              <w:rPr>
                <w:noProof/>
                <w:color w:val="000000"/>
              </w:rPr>
              <w:t>1 931</w:t>
            </w:r>
          </w:p>
        </w:tc>
        <w:tc>
          <w:tcPr>
            <w:tcW w:w="1843" w:type="dxa"/>
            <w:vAlign w:val="center"/>
            <w:hideMark/>
          </w:tcPr>
          <w:p w14:paraId="09DB2992" w14:textId="17BA835B" w:rsidR="00F744A1" w:rsidRPr="00424FC0" w:rsidRDefault="00F744A1" w:rsidP="007D751C">
            <w:pPr>
              <w:spacing w:after="0" w:line="276" w:lineRule="auto"/>
              <w:jc w:val="center"/>
              <w:rPr>
                <w:noProof/>
                <w:color w:val="000000"/>
                <w:szCs w:val="24"/>
              </w:rPr>
            </w:pPr>
            <w:r w:rsidRPr="00424FC0">
              <w:rPr>
                <w:noProof/>
                <w:color w:val="000000"/>
              </w:rPr>
              <w:t>199</w:t>
            </w:r>
          </w:p>
        </w:tc>
      </w:tr>
      <w:tr w:rsidR="00B72A2B" w:rsidRPr="00424FC0" w14:paraId="5F2D362B" w14:textId="77777777" w:rsidTr="00DB3CF9">
        <w:trPr>
          <w:trHeight w:val="300"/>
          <w:jc w:val="center"/>
        </w:trPr>
        <w:tc>
          <w:tcPr>
            <w:tcW w:w="1838" w:type="dxa"/>
            <w:vAlign w:val="center"/>
            <w:hideMark/>
          </w:tcPr>
          <w:p w14:paraId="37D8A775" w14:textId="77777777" w:rsidR="00F744A1" w:rsidRPr="00424FC0" w:rsidRDefault="00F744A1" w:rsidP="007D751C">
            <w:pPr>
              <w:spacing w:after="0" w:line="276" w:lineRule="auto"/>
              <w:rPr>
                <w:noProof/>
                <w:color w:val="000000"/>
                <w:szCs w:val="24"/>
              </w:rPr>
            </w:pPr>
            <w:r w:rsidRPr="00424FC0">
              <w:rPr>
                <w:noProof/>
                <w:color w:val="000000"/>
              </w:rPr>
              <w:t>Slovenia</w:t>
            </w:r>
          </w:p>
        </w:tc>
        <w:tc>
          <w:tcPr>
            <w:tcW w:w="1418" w:type="dxa"/>
            <w:vAlign w:val="center"/>
            <w:hideMark/>
          </w:tcPr>
          <w:p w14:paraId="0D9CFE83" w14:textId="77777777" w:rsidR="00F744A1" w:rsidRPr="00424FC0" w:rsidRDefault="00F744A1" w:rsidP="007D751C">
            <w:pPr>
              <w:spacing w:after="0" w:line="276" w:lineRule="auto"/>
              <w:jc w:val="center"/>
              <w:rPr>
                <w:noProof/>
                <w:color w:val="000000"/>
                <w:szCs w:val="24"/>
              </w:rPr>
            </w:pPr>
            <w:r w:rsidRPr="00424FC0">
              <w:rPr>
                <w:noProof/>
                <w:color w:val="000000"/>
              </w:rPr>
              <w:t>7</w:t>
            </w:r>
          </w:p>
        </w:tc>
        <w:tc>
          <w:tcPr>
            <w:tcW w:w="2556" w:type="dxa"/>
            <w:vAlign w:val="center"/>
            <w:hideMark/>
          </w:tcPr>
          <w:p w14:paraId="5ADC943F" w14:textId="77777777" w:rsidR="00F744A1" w:rsidRPr="00424FC0" w:rsidRDefault="00F744A1" w:rsidP="007D751C">
            <w:pPr>
              <w:spacing w:after="0" w:line="276" w:lineRule="auto"/>
              <w:jc w:val="center"/>
              <w:rPr>
                <w:noProof/>
                <w:color w:val="000000"/>
                <w:szCs w:val="24"/>
              </w:rPr>
            </w:pPr>
            <w:r w:rsidRPr="00424FC0">
              <w:rPr>
                <w:noProof/>
                <w:color w:val="000000"/>
              </w:rPr>
              <w:t>331</w:t>
            </w:r>
          </w:p>
        </w:tc>
        <w:tc>
          <w:tcPr>
            <w:tcW w:w="1843" w:type="dxa"/>
            <w:vAlign w:val="center"/>
            <w:hideMark/>
          </w:tcPr>
          <w:p w14:paraId="5B30189D" w14:textId="491402B6" w:rsidR="00F744A1" w:rsidRPr="00424FC0" w:rsidRDefault="00F744A1" w:rsidP="007D751C">
            <w:pPr>
              <w:spacing w:after="0" w:line="276" w:lineRule="auto"/>
              <w:jc w:val="center"/>
              <w:rPr>
                <w:noProof/>
                <w:color w:val="000000"/>
                <w:szCs w:val="24"/>
              </w:rPr>
            </w:pPr>
            <w:r w:rsidRPr="00424FC0">
              <w:rPr>
                <w:noProof/>
                <w:color w:val="000000"/>
              </w:rPr>
              <w:t>157</w:t>
            </w:r>
          </w:p>
        </w:tc>
      </w:tr>
      <w:tr w:rsidR="00B72A2B" w:rsidRPr="00424FC0" w14:paraId="74D0ACF2" w14:textId="77777777" w:rsidTr="00DB3CF9">
        <w:trPr>
          <w:trHeight w:val="300"/>
          <w:jc w:val="center"/>
        </w:trPr>
        <w:tc>
          <w:tcPr>
            <w:tcW w:w="1838" w:type="dxa"/>
            <w:vAlign w:val="center"/>
            <w:hideMark/>
          </w:tcPr>
          <w:p w14:paraId="6484087B" w14:textId="77777777" w:rsidR="00F744A1" w:rsidRPr="00424FC0" w:rsidRDefault="00F744A1" w:rsidP="007D751C">
            <w:pPr>
              <w:spacing w:after="0" w:line="276" w:lineRule="auto"/>
              <w:rPr>
                <w:noProof/>
                <w:color w:val="000000"/>
                <w:szCs w:val="24"/>
              </w:rPr>
            </w:pPr>
            <w:r w:rsidRPr="00424FC0">
              <w:rPr>
                <w:noProof/>
                <w:color w:val="000000"/>
              </w:rPr>
              <w:t>Irlanda</w:t>
            </w:r>
          </w:p>
        </w:tc>
        <w:tc>
          <w:tcPr>
            <w:tcW w:w="1418" w:type="dxa"/>
            <w:vAlign w:val="center"/>
            <w:hideMark/>
          </w:tcPr>
          <w:p w14:paraId="38463000" w14:textId="77777777" w:rsidR="00F744A1" w:rsidRPr="00424FC0" w:rsidRDefault="00F744A1" w:rsidP="007D751C">
            <w:pPr>
              <w:spacing w:after="0" w:line="276" w:lineRule="auto"/>
              <w:jc w:val="center"/>
              <w:rPr>
                <w:noProof/>
                <w:color w:val="000000"/>
                <w:szCs w:val="24"/>
              </w:rPr>
            </w:pPr>
            <w:r w:rsidRPr="00424FC0">
              <w:rPr>
                <w:noProof/>
                <w:color w:val="000000"/>
              </w:rPr>
              <w:t>6</w:t>
            </w:r>
          </w:p>
        </w:tc>
        <w:tc>
          <w:tcPr>
            <w:tcW w:w="2556" w:type="dxa"/>
            <w:vAlign w:val="center"/>
            <w:hideMark/>
          </w:tcPr>
          <w:p w14:paraId="77AC3741" w14:textId="77777777" w:rsidR="00F744A1" w:rsidRPr="00424FC0" w:rsidRDefault="00F744A1" w:rsidP="007D751C">
            <w:pPr>
              <w:spacing w:after="0" w:line="276" w:lineRule="auto"/>
              <w:jc w:val="center"/>
              <w:rPr>
                <w:noProof/>
                <w:color w:val="000000"/>
                <w:szCs w:val="24"/>
              </w:rPr>
            </w:pPr>
            <w:r w:rsidRPr="00424FC0">
              <w:rPr>
                <w:noProof/>
                <w:color w:val="000000"/>
              </w:rPr>
              <w:t>172</w:t>
            </w:r>
          </w:p>
        </w:tc>
        <w:tc>
          <w:tcPr>
            <w:tcW w:w="1843" w:type="dxa"/>
            <w:vAlign w:val="center"/>
            <w:hideMark/>
          </w:tcPr>
          <w:p w14:paraId="24D0AEDA" w14:textId="0F15FA21" w:rsidR="00F744A1" w:rsidRPr="00424FC0" w:rsidRDefault="00F744A1" w:rsidP="007D751C">
            <w:pPr>
              <w:spacing w:after="0" w:line="276" w:lineRule="auto"/>
              <w:jc w:val="center"/>
              <w:rPr>
                <w:noProof/>
                <w:color w:val="000000"/>
                <w:szCs w:val="24"/>
              </w:rPr>
            </w:pPr>
            <w:r w:rsidRPr="00424FC0">
              <w:rPr>
                <w:noProof/>
                <w:color w:val="000000"/>
              </w:rPr>
              <w:t>26</w:t>
            </w:r>
          </w:p>
        </w:tc>
      </w:tr>
      <w:tr w:rsidR="00B72A2B" w:rsidRPr="00424FC0" w14:paraId="10913656" w14:textId="77777777" w:rsidTr="00DB3CF9">
        <w:trPr>
          <w:trHeight w:val="300"/>
          <w:jc w:val="center"/>
        </w:trPr>
        <w:tc>
          <w:tcPr>
            <w:tcW w:w="1838" w:type="dxa"/>
            <w:vAlign w:val="center"/>
            <w:hideMark/>
          </w:tcPr>
          <w:p w14:paraId="0487B242" w14:textId="77777777" w:rsidR="00F744A1" w:rsidRPr="00424FC0" w:rsidRDefault="00F744A1" w:rsidP="007D751C">
            <w:pPr>
              <w:spacing w:after="0" w:line="276" w:lineRule="auto"/>
              <w:rPr>
                <w:noProof/>
                <w:color w:val="000000"/>
                <w:szCs w:val="24"/>
              </w:rPr>
            </w:pPr>
            <w:r w:rsidRPr="00424FC0">
              <w:rPr>
                <w:noProof/>
                <w:color w:val="000000"/>
              </w:rPr>
              <w:t>România</w:t>
            </w:r>
          </w:p>
        </w:tc>
        <w:tc>
          <w:tcPr>
            <w:tcW w:w="1418" w:type="dxa"/>
            <w:vAlign w:val="center"/>
            <w:hideMark/>
          </w:tcPr>
          <w:p w14:paraId="64CE48A5" w14:textId="77777777" w:rsidR="00F744A1" w:rsidRPr="00424FC0" w:rsidRDefault="00F744A1" w:rsidP="007D751C">
            <w:pPr>
              <w:spacing w:after="0" w:line="276" w:lineRule="auto"/>
              <w:jc w:val="center"/>
              <w:rPr>
                <w:noProof/>
                <w:color w:val="000000"/>
                <w:szCs w:val="24"/>
              </w:rPr>
            </w:pPr>
            <w:r w:rsidRPr="00424FC0">
              <w:rPr>
                <w:noProof/>
                <w:color w:val="000000"/>
              </w:rPr>
              <w:t>7</w:t>
            </w:r>
          </w:p>
        </w:tc>
        <w:tc>
          <w:tcPr>
            <w:tcW w:w="2556" w:type="dxa"/>
            <w:vAlign w:val="center"/>
            <w:hideMark/>
          </w:tcPr>
          <w:p w14:paraId="58C5C465" w14:textId="77777777" w:rsidR="00F744A1" w:rsidRPr="00424FC0" w:rsidRDefault="00F744A1" w:rsidP="007D751C">
            <w:pPr>
              <w:spacing w:after="0" w:line="276" w:lineRule="auto"/>
              <w:jc w:val="center"/>
              <w:rPr>
                <w:noProof/>
                <w:color w:val="000000"/>
                <w:szCs w:val="24"/>
              </w:rPr>
            </w:pPr>
            <w:r w:rsidRPr="00424FC0">
              <w:rPr>
                <w:noProof/>
                <w:color w:val="000000"/>
              </w:rPr>
              <w:t>263</w:t>
            </w:r>
          </w:p>
        </w:tc>
        <w:tc>
          <w:tcPr>
            <w:tcW w:w="1843" w:type="dxa"/>
            <w:vAlign w:val="center"/>
            <w:hideMark/>
          </w:tcPr>
          <w:p w14:paraId="360C4A75" w14:textId="64D6BD89" w:rsidR="00F744A1" w:rsidRPr="00424FC0" w:rsidRDefault="00F744A1" w:rsidP="007D751C">
            <w:pPr>
              <w:spacing w:after="0" w:line="276" w:lineRule="auto"/>
              <w:jc w:val="center"/>
              <w:rPr>
                <w:noProof/>
                <w:color w:val="000000"/>
                <w:szCs w:val="24"/>
              </w:rPr>
            </w:pPr>
            <w:r w:rsidRPr="00424FC0">
              <w:rPr>
                <w:noProof/>
                <w:color w:val="000000"/>
              </w:rPr>
              <w:t>14</w:t>
            </w:r>
          </w:p>
        </w:tc>
      </w:tr>
    </w:tbl>
    <w:p w14:paraId="09728D9F" w14:textId="0CF09081" w:rsidR="003B0930" w:rsidRPr="00424FC0" w:rsidRDefault="00430D34" w:rsidP="007D751C">
      <w:pPr>
        <w:spacing w:line="276" w:lineRule="auto"/>
        <w:rPr>
          <w:noProof/>
          <w:sz w:val="20"/>
        </w:rPr>
      </w:pPr>
      <w:r w:rsidRPr="00424FC0">
        <w:rPr>
          <w:noProof/>
          <w:sz w:val="20"/>
        </w:rPr>
        <w:t>Sursă: Comisia Europeană, 2024. Clasament bazat pe EUR pe cap de locuitor.</w:t>
      </w:r>
    </w:p>
    <w:p w14:paraId="1F93376E" w14:textId="3056A704" w:rsidR="00415590" w:rsidRPr="00424FC0" w:rsidRDefault="00A80CA9" w:rsidP="007D751C">
      <w:pPr>
        <w:spacing w:line="276" w:lineRule="auto"/>
        <w:rPr>
          <w:noProof/>
          <w:color w:val="BFBFBF" w:themeColor="background1" w:themeShade="BF"/>
          <w:highlight w:val="yellow"/>
        </w:rPr>
      </w:pPr>
      <w:r w:rsidRPr="00424FC0">
        <w:rPr>
          <w:noProof/>
        </w:rPr>
        <w:t xml:space="preserve">Dintre statele membre cu economii mari, Italia și Franța se disting prin niveluri ridicate de sprijin. În cadrul </w:t>
      </w:r>
      <w:r w:rsidRPr="00424FC0">
        <w:rPr>
          <w:i/>
          <w:noProof/>
        </w:rPr>
        <w:t>Superbonus</w:t>
      </w:r>
      <w:r w:rsidRPr="00424FC0">
        <w:rPr>
          <w:noProof/>
        </w:rPr>
        <w:t xml:space="preserve"> din Italia, beneficiarii au primit o subvenție de 110 % sub formă de credite fiscale. În Franța, s-a estimat că aplicarea unei cote reduse de TVA pentru lucrările de renovare (5,5 %), în vigoare din 2014, a costat 90 de miliarde EUR de la lansarea sa, reprezentând trei sferturi din cheltuielile Franței.</w:t>
      </w:r>
    </w:p>
    <w:p w14:paraId="254EC218" w14:textId="71160EF1" w:rsidR="00415590" w:rsidRPr="00424FC0" w:rsidRDefault="00C85294" w:rsidP="007D751C">
      <w:pPr>
        <w:spacing w:line="276" w:lineRule="auto"/>
        <w:rPr>
          <w:noProof/>
        </w:rPr>
      </w:pPr>
      <w:r w:rsidRPr="00424FC0">
        <w:rPr>
          <w:noProof/>
        </w:rPr>
        <w:t xml:space="preserve">Granturile, asistența tehnică și reducerile fiscale sunt forme </w:t>
      </w:r>
      <w:r w:rsidRPr="00424FC0">
        <w:rPr>
          <w:b/>
          <w:noProof/>
        </w:rPr>
        <w:t>nerambursabile</w:t>
      </w:r>
      <w:r w:rsidRPr="00424FC0">
        <w:rPr>
          <w:noProof/>
        </w:rPr>
        <w:t xml:space="preserve"> de sprijin, ceea ce înseamnă că aceste resurse pot fi furnizate beneficiarilor o singură dată și nu revin la bugetul național. Sprijinul nerambursabil ar trebui să vizeze în principal beneficiarii vulnerabili, care ar avea dificultăți în rambursarea acestuia, fie din cauza lipsei de resurse, fie din cauza concurenței acerbe cu alte cheltuieli. Pe de altă parte, fondurile primite în cadrul schemelor rambursabile, care includ instrumente financiare precum împrumuturile, garanțiile și capitalurile proprii, trebuie rambursate organismelor naționale sau regionale de implementare și, în cazul fondurilor reînnoibile, pot fi utilizate pentru operațiuni succesive. Sprijinul rambursabil tinde să aibă un potențial de levier mai ridicat. Există, de asemenea, scheme mixte, care oferă o combinație de sprijin rambursabil și nerambursabil. Acestea sunt deosebit de adecvate pentru declanșarea deciziilor de investiții ale beneficiarilor, datorită componentei lor de subvenționare (de exemplu, sprijin tehnic gratuit sau audituri energetice, condiții de creditare preferențiale, reduceri de capital, subvenții ale ratelor dobânzilor sau subvenții pentru comisioanele de garantare).</w:t>
      </w:r>
    </w:p>
    <w:p w14:paraId="6406DA99" w14:textId="1E6428D4" w:rsidR="0D49B18B" w:rsidRPr="00424FC0" w:rsidRDefault="118D3716" w:rsidP="0031363B">
      <w:pPr>
        <w:spacing w:after="0" w:line="276" w:lineRule="auto"/>
        <w:rPr>
          <w:i/>
          <w:iCs/>
          <w:noProof/>
        </w:rPr>
      </w:pPr>
      <w:r w:rsidRPr="00424FC0">
        <w:rPr>
          <w:i/>
          <w:noProof/>
        </w:rPr>
        <w:t>Tabelul 5: Defalcarea schemelor naționale în funcție de forma de sprijin</w:t>
      </w:r>
    </w:p>
    <w:tbl>
      <w:tblPr>
        <w:tblW w:w="0" w:type="auto"/>
        <w:jc w:val="center"/>
        <w:tblLayout w:type="fixed"/>
        <w:tblLook w:val="06A0" w:firstRow="1" w:lastRow="0" w:firstColumn="1" w:lastColumn="0" w:noHBand="1" w:noVBand="1"/>
      </w:tblPr>
      <w:tblGrid>
        <w:gridCol w:w="1984"/>
        <w:gridCol w:w="1701"/>
        <w:gridCol w:w="1849"/>
        <w:gridCol w:w="1843"/>
      </w:tblGrid>
      <w:tr w:rsidR="001B1A11" w:rsidRPr="00424FC0" w14:paraId="56E9A161" w14:textId="79D3D455" w:rsidTr="00CF73CC">
        <w:trPr>
          <w:trHeight w:val="344"/>
          <w:jc w:val="center"/>
        </w:trPr>
        <w:tc>
          <w:tcPr>
            <w:tcW w:w="1984" w:type="dxa"/>
            <w:tcBorders>
              <w:top w:val="single" w:sz="4" w:space="0" w:color="auto"/>
              <w:left w:val="single" w:sz="4" w:space="0" w:color="auto"/>
              <w:bottom w:val="single" w:sz="4" w:space="0" w:color="auto"/>
              <w:right w:val="single" w:sz="4" w:space="0" w:color="auto"/>
            </w:tcBorders>
            <w:vAlign w:val="center"/>
          </w:tcPr>
          <w:p w14:paraId="32D04FF4" w14:textId="160AA88C" w:rsidR="001B1A11" w:rsidRPr="00424FC0" w:rsidRDefault="001B1A11" w:rsidP="007D751C">
            <w:pPr>
              <w:spacing w:after="0" w:line="276" w:lineRule="auto"/>
              <w:jc w:val="left"/>
              <w:rPr>
                <w:rFonts w:eastAsia="Calibri"/>
                <w:b/>
                <w:bCs/>
                <w:noProof/>
                <w:color w:val="000000" w:themeColor="text1"/>
                <w:szCs w:val="24"/>
              </w:rPr>
            </w:pPr>
            <w:r w:rsidRPr="00424FC0">
              <w:rPr>
                <w:b/>
                <w:noProof/>
                <w:color w:val="000000" w:themeColor="text1"/>
              </w:rPr>
              <w:t>Tipul schemei</w:t>
            </w:r>
          </w:p>
        </w:tc>
        <w:tc>
          <w:tcPr>
            <w:tcW w:w="1701" w:type="dxa"/>
            <w:tcBorders>
              <w:top w:val="single" w:sz="4" w:space="0" w:color="auto"/>
              <w:left w:val="single" w:sz="4" w:space="0" w:color="auto"/>
              <w:bottom w:val="single" w:sz="4" w:space="0" w:color="auto"/>
              <w:right w:val="single" w:sz="4" w:space="0" w:color="auto"/>
            </w:tcBorders>
            <w:vAlign w:val="center"/>
          </w:tcPr>
          <w:p w14:paraId="642D1027" w14:textId="35E98BF1" w:rsidR="001B1A11" w:rsidRPr="00424FC0" w:rsidRDefault="001B1A11" w:rsidP="007D751C">
            <w:pPr>
              <w:spacing w:after="0" w:line="276" w:lineRule="auto"/>
              <w:jc w:val="center"/>
              <w:rPr>
                <w:rFonts w:eastAsia="Calibri"/>
                <w:b/>
                <w:bCs/>
                <w:noProof/>
                <w:color w:val="000000" w:themeColor="text1"/>
                <w:szCs w:val="24"/>
              </w:rPr>
            </w:pPr>
            <w:r w:rsidRPr="00424FC0">
              <w:rPr>
                <w:b/>
                <w:noProof/>
                <w:color w:val="000000" w:themeColor="text1"/>
              </w:rPr>
              <w:t>Număr de scheme</w:t>
            </w:r>
          </w:p>
        </w:tc>
        <w:tc>
          <w:tcPr>
            <w:tcW w:w="1849" w:type="dxa"/>
            <w:tcBorders>
              <w:top w:val="single" w:sz="4" w:space="0" w:color="auto"/>
              <w:left w:val="single" w:sz="4" w:space="0" w:color="auto"/>
              <w:bottom w:val="single" w:sz="4" w:space="0" w:color="auto"/>
              <w:right w:val="single" w:sz="4" w:space="0" w:color="auto"/>
            </w:tcBorders>
            <w:vAlign w:val="center"/>
          </w:tcPr>
          <w:p w14:paraId="4DC6AB31" w14:textId="2EC2E33B" w:rsidR="001B1A11" w:rsidRPr="00424FC0" w:rsidRDefault="001B1A11" w:rsidP="007D751C">
            <w:pPr>
              <w:spacing w:after="0" w:line="276" w:lineRule="auto"/>
              <w:jc w:val="center"/>
              <w:rPr>
                <w:rFonts w:eastAsia="Calibri"/>
                <w:b/>
                <w:bCs/>
                <w:noProof/>
                <w:color w:val="000000" w:themeColor="text1"/>
                <w:szCs w:val="24"/>
              </w:rPr>
            </w:pPr>
            <w:r w:rsidRPr="00424FC0">
              <w:rPr>
                <w:b/>
                <w:noProof/>
                <w:color w:val="000000" w:themeColor="text1"/>
              </w:rPr>
              <w:t>Volum (în milioane EUR)</w:t>
            </w:r>
          </w:p>
        </w:tc>
        <w:tc>
          <w:tcPr>
            <w:tcW w:w="1843" w:type="dxa"/>
            <w:tcBorders>
              <w:top w:val="single" w:sz="4" w:space="0" w:color="auto"/>
              <w:left w:val="single" w:sz="4" w:space="0" w:color="auto"/>
              <w:bottom w:val="single" w:sz="4" w:space="0" w:color="auto"/>
              <w:right w:val="single" w:sz="4" w:space="0" w:color="auto"/>
            </w:tcBorders>
          </w:tcPr>
          <w:p w14:paraId="4E85C3DA" w14:textId="5B6FB1F7" w:rsidR="001B1A11" w:rsidRPr="00424FC0" w:rsidRDefault="0014797B" w:rsidP="007D751C">
            <w:pPr>
              <w:spacing w:after="0" w:line="276" w:lineRule="auto"/>
              <w:jc w:val="center"/>
              <w:rPr>
                <w:rFonts w:eastAsia="Calibri"/>
                <w:b/>
                <w:bCs/>
                <w:noProof/>
                <w:color w:val="000000" w:themeColor="text1"/>
                <w:szCs w:val="24"/>
              </w:rPr>
            </w:pPr>
            <w:r w:rsidRPr="00424FC0">
              <w:rPr>
                <w:b/>
                <w:noProof/>
                <w:color w:val="000000" w:themeColor="text1"/>
              </w:rPr>
              <w:t>Cotă de volum (%)</w:t>
            </w:r>
          </w:p>
        </w:tc>
      </w:tr>
      <w:tr w:rsidR="001B1A11" w:rsidRPr="00424FC0" w14:paraId="4CA55F0F" w14:textId="77F900A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7BC86AE0" w14:textId="677BD960" w:rsidR="001B1A11" w:rsidRPr="00424FC0" w:rsidRDefault="001B1A11" w:rsidP="007D751C">
            <w:pPr>
              <w:spacing w:after="0" w:line="276" w:lineRule="auto"/>
              <w:rPr>
                <w:rFonts w:eastAsia="Calibri"/>
                <w:noProof/>
                <w:color w:val="000000" w:themeColor="text1"/>
                <w:szCs w:val="24"/>
              </w:rPr>
            </w:pPr>
            <w:r w:rsidRPr="00424FC0">
              <w:rPr>
                <w:noProof/>
                <w:color w:val="000000" w:themeColor="text1"/>
              </w:rPr>
              <w:t>Nerambursabilă</w:t>
            </w:r>
          </w:p>
        </w:tc>
        <w:tc>
          <w:tcPr>
            <w:tcW w:w="1701" w:type="dxa"/>
            <w:tcBorders>
              <w:top w:val="single" w:sz="4" w:space="0" w:color="auto"/>
              <w:left w:val="single" w:sz="4" w:space="0" w:color="auto"/>
              <w:bottom w:val="single" w:sz="4" w:space="0" w:color="auto"/>
              <w:right w:val="single" w:sz="4" w:space="0" w:color="auto"/>
            </w:tcBorders>
            <w:vAlign w:val="center"/>
          </w:tcPr>
          <w:p w14:paraId="5D1DA739" w14:textId="7FCA8883"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285</w:t>
            </w:r>
          </w:p>
        </w:tc>
        <w:tc>
          <w:tcPr>
            <w:tcW w:w="1849" w:type="dxa"/>
            <w:tcBorders>
              <w:top w:val="single" w:sz="4" w:space="0" w:color="auto"/>
              <w:left w:val="single" w:sz="4" w:space="0" w:color="auto"/>
              <w:bottom w:val="single" w:sz="4" w:space="0" w:color="auto"/>
              <w:right w:val="single" w:sz="4" w:space="0" w:color="auto"/>
            </w:tcBorders>
            <w:vAlign w:val="center"/>
          </w:tcPr>
          <w:p w14:paraId="492BDE60" w14:textId="5E698F05"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248 046</w:t>
            </w:r>
          </w:p>
        </w:tc>
        <w:tc>
          <w:tcPr>
            <w:tcW w:w="1843" w:type="dxa"/>
            <w:tcBorders>
              <w:top w:val="single" w:sz="4" w:space="0" w:color="auto"/>
              <w:left w:val="single" w:sz="4" w:space="0" w:color="auto"/>
              <w:bottom w:val="single" w:sz="4" w:space="0" w:color="auto"/>
              <w:right w:val="single" w:sz="4" w:space="0" w:color="auto"/>
            </w:tcBorders>
          </w:tcPr>
          <w:p w14:paraId="269B443D" w14:textId="1E16DC86" w:rsidR="001B1A11" w:rsidRPr="00424FC0" w:rsidRDefault="00D47445" w:rsidP="007D751C">
            <w:pPr>
              <w:spacing w:after="0" w:line="276" w:lineRule="auto"/>
              <w:jc w:val="center"/>
              <w:rPr>
                <w:rFonts w:eastAsia="Calibri"/>
                <w:noProof/>
                <w:color w:val="000000" w:themeColor="text1"/>
                <w:szCs w:val="24"/>
              </w:rPr>
            </w:pPr>
            <w:r w:rsidRPr="00424FC0">
              <w:rPr>
                <w:noProof/>
                <w:color w:val="000000" w:themeColor="text1"/>
              </w:rPr>
              <w:t>63,8 %</w:t>
            </w:r>
          </w:p>
        </w:tc>
      </w:tr>
      <w:tr w:rsidR="001B1A11" w:rsidRPr="00424FC0" w14:paraId="4A7499A0" w14:textId="3C10FFC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D0658E3" w14:textId="1F7A645D" w:rsidR="001B1A11" w:rsidRPr="00424FC0" w:rsidRDefault="001B1A11" w:rsidP="007D751C">
            <w:pPr>
              <w:spacing w:after="0" w:line="276" w:lineRule="auto"/>
              <w:rPr>
                <w:rFonts w:eastAsia="Calibri"/>
                <w:noProof/>
                <w:color w:val="000000" w:themeColor="text1"/>
                <w:szCs w:val="24"/>
              </w:rPr>
            </w:pPr>
            <w:r w:rsidRPr="00424FC0">
              <w:rPr>
                <w:noProof/>
                <w:color w:val="000000" w:themeColor="text1"/>
              </w:rPr>
              <w:t>Schemă mixtă</w:t>
            </w:r>
          </w:p>
        </w:tc>
        <w:tc>
          <w:tcPr>
            <w:tcW w:w="1701" w:type="dxa"/>
            <w:tcBorders>
              <w:top w:val="single" w:sz="4" w:space="0" w:color="auto"/>
              <w:left w:val="single" w:sz="4" w:space="0" w:color="auto"/>
              <w:bottom w:val="single" w:sz="4" w:space="0" w:color="auto"/>
              <w:right w:val="single" w:sz="4" w:space="0" w:color="auto"/>
            </w:tcBorders>
            <w:vAlign w:val="center"/>
          </w:tcPr>
          <w:p w14:paraId="178374EC" w14:textId="00B481BE"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36</w:t>
            </w:r>
          </w:p>
        </w:tc>
        <w:tc>
          <w:tcPr>
            <w:tcW w:w="1849" w:type="dxa"/>
            <w:tcBorders>
              <w:top w:val="single" w:sz="4" w:space="0" w:color="auto"/>
              <w:left w:val="single" w:sz="4" w:space="0" w:color="auto"/>
              <w:bottom w:val="single" w:sz="4" w:space="0" w:color="auto"/>
              <w:right w:val="single" w:sz="4" w:space="0" w:color="auto"/>
            </w:tcBorders>
            <w:vAlign w:val="center"/>
          </w:tcPr>
          <w:p w14:paraId="331D7048" w14:textId="07BCCBD5"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 xml:space="preserve">91 815 </w:t>
            </w:r>
          </w:p>
        </w:tc>
        <w:tc>
          <w:tcPr>
            <w:tcW w:w="1843" w:type="dxa"/>
            <w:tcBorders>
              <w:top w:val="single" w:sz="4" w:space="0" w:color="auto"/>
              <w:left w:val="single" w:sz="4" w:space="0" w:color="auto"/>
              <w:bottom w:val="single" w:sz="4" w:space="0" w:color="auto"/>
              <w:right w:val="single" w:sz="4" w:space="0" w:color="auto"/>
            </w:tcBorders>
          </w:tcPr>
          <w:p w14:paraId="7332475E" w14:textId="576B96E7" w:rsidR="001B1A11" w:rsidRPr="00424FC0" w:rsidRDefault="00B37908" w:rsidP="007D751C">
            <w:pPr>
              <w:spacing w:after="0" w:line="276" w:lineRule="auto"/>
              <w:jc w:val="center"/>
              <w:rPr>
                <w:rFonts w:eastAsia="Calibri"/>
                <w:noProof/>
                <w:color w:val="000000" w:themeColor="text1"/>
                <w:szCs w:val="24"/>
              </w:rPr>
            </w:pPr>
            <w:r w:rsidRPr="00424FC0">
              <w:rPr>
                <w:noProof/>
                <w:color w:val="000000" w:themeColor="text1"/>
              </w:rPr>
              <w:t>23,6 %</w:t>
            </w:r>
          </w:p>
        </w:tc>
      </w:tr>
      <w:tr w:rsidR="001B1A11" w:rsidRPr="00424FC0" w14:paraId="4A5CEC99" w14:textId="1B9926FA"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6D2425D6" w14:textId="4B35F184" w:rsidR="001B1A11" w:rsidRPr="00424FC0" w:rsidRDefault="001B1A11" w:rsidP="007D751C">
            <w:pPr>
              <w:spacing w:after="0" w:line="276" w:lineRule="auto"/>
              <w:rPr>
                <w:rFonts w:eastAsia="Calibri"/>
                <w:noProof/>
                <w:color w:val="000000" w:themeColor="text1"/>
                <w:szCs w:val="24"/>
              </w:rPr>
            </w:pPr>
            <w:r w:rsidRPr="00424FC0">
              <w:rPr>
                <w:noProof/>
                <w:color w:val="000000" w:themeColor="text1"/>
              </w:rPr>
              <w:t>Rambursabilă</w:t>
            </w:r>
          </w:p>
        </w:tc>
        <w:tc>
          <w:tcPr>
            <w:tcW w:w="1701" w:type="dxa"/>
            <w:tcBorders>
              <w:top w:val="single" w:sz="4" w:space="0" w:color="auto"/>
              <w:left w:val="single" w:sz="4" w:space="0" w:color="auto"/>
              <w:bottom w:val="single" w:sz="4" w:space="0" w:color="auto"/>
              <w:right w:val="single" w:sz="4" w:space="0" w:color="auto"/>
            </w:tcBorders>
            <w:vAlign w:val="center"/>
          </w:tcPr>
          <w:p w14:paraId="596DFCAB" w14:textId="22AE0FCC"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69</w:t>
            </w:r>
          </w:p>
        </w:tc>
        <w:tc>
          <w:tcPr>
            <w:tcW w:w="1849" w:type="dxa"/>
            <w:tcBorders>
              <w:top w:val="single" w:sz="4" w:space="0" w:color="auto"/>
              <w:left w:val="single" w:sz="4" w:space="0" w:color="auto"/>
              <w:bottom w:val="single" w:sz="4" w:space="0" w:color="auto"/>
              <w:right w:val="single" w:sz="4" w:space="0" w:color="auto"/>
            </w:tcBorders>
            <w:vAlign w:val="center"/>
          </w:tcPr>
          <w:p w14:paraId="5852B46D" w14:textId="62CE76C7"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 xml:space="preserve">41 621 </w:t>
            </w:r>
          </w:p>
        </w:tc>
        <w:tc>
          <w:tcPr>
            <w:tcW w:w="1843" w:type="dxa"/>
            <w:tcBorders>
              <w:top w:val="single" w:sz="4" w:space="0" w:color="auto"/>
              <w:left w:val="single" w:sz="4" w:space="0" w:color="auto"/>
              <w:bottom w:val="single" w:sz="4" w:space="0" w:color="auto"/>
              <w:right w:val="single" w:sz="4" w:space="0" w:color="auto"/>
            </w:tcBorders>
          </w:tcPr>
          <w:p w14:paraId="5D790EB3" w14:textId="23D2DA6C" w:rsidR="001B1A11" w:rsidRPr="00424FC0" w:rsidRDefault="00B727FB" w:rsidP="007D751C">
            <w:pPr>
              <w:spacing w:after="0" w:line="276" w:lineRule="auto"/>
              <w:jc w:val="center"/>
              <w:rPr>
                <w:rFonts w:eastAsia="Calibri"/>
                <w:noProof/>
                <w:color w:val="000000" w:themeColor="text1"/>
                <w:szCs w:val="24"/>
              </w:rPr>
            </w:pPr>
            <w:r w:rsidRPr="00424FC0">
              <w:rPr>
                <w:noProof/>
                <w:color w:val="000000" w:themeColor="text1"/>
              </w:rPr>
              <w:t>10,7 %</w:t>
            </w:r>
          </w:p>
        </w:tc>
      </w:tr>
      <w:tr w:rsidR="001B1A11" w:rsidRPr="00424FC0" w14:paraId="753944EA" w14:textId="687897A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1EBB1B2F" w14:textId="413D879B" w:rsidR="001B1A11" w:rsidRPr="00424FC0" w:rsidRDefault="001B1A11" w:rsidP="007D751C">
            <w:pPr>
              <w:spacing w:after="0" w:line="276" w:lineRule="auto"/>
              <w:rPr>
                <w:rFonts w:eastAsia="Calibri"/>
                <w:noProof/>
                <w:color w:val="000000" w:themeColor="text1"/>
                <w:szCs w:val="24"/>
              </w:rPr>
            </w:pPr>
            <w:r w:rsidRPr="00424FC0">
              <w:rPr>
                <w:noProof/>
                <w:color w:val="000000" w:themeColor="text1"/>
              </w:rPr>
              <w:t>Altele</w:t>
            </w:r>
          </w:p>
        </w:tc>
        <w:tc>
          <w:tcPr>
            <w:tcW w:w="1701" w:type="dxa"/>
            <w:tcBorders>
              <w:top w:val="single" w:sz="4" w:space="0" w:color="auto"/>
              <w:left w:val="single" w:sz="4" w:space="0" w:color="auto"/>
              <w:bottom w:val="single" w:sz="4" w:space="0" w:color="auto"/>
              <w:right w:val="single" w:sz="4" w:space="0" w:color="auto"/>
            </w:tcBorders>
            <w:vAlign w:val="center"/>
          </w:tcPr>
          <w:p w14:paraId="7D355711" w14:textId="5C6BDD47"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36</w:t>
            </w:r>
          </w:p>
        </w:tc>
        <w:tc>
          <w:tcPr>
            <w:tcW w:w="1849" w:type="dxa"/>
            <w:tcBorders>
              <w:top w:val="single" w:sz="4" w:space="0" w:color="auto"/>
              <w:left w:val="single" w:sz="4" w:space="0" w:color="auto"/>
              <w:bottom w:val="single" w:sz="4" w:space="0" w:color="auto"/>
              <w:right w:val="single" w:sz="4" w:space="0" w:color="auto"/>
            </w:tcBorders>
            <w:vAlign w:val="center"/>
          </w:tcPr>
          <w:p w14:paraId="6701EBEC" w14:textId="32AAED4B" w:rsidR="001B1A11" w:rsidRPr="00424FC0" w:rsidRDefault="001B1A11" w:rsidP="007D751C">
            <w:pPr>
              <w:spacing w:after="0" w:line="276" w:lineRule="auto"/>
              <w:jc w:val="center"/>
              <w:rPr>
                <w:rFonts w:eastAsia="Calibri"/>
                <w:noProof/>
                <w:color w:val="000000" w:themeColor="text1"/>
                <w:szCs w:val="24"/>
              </w:rPr>
            </w:pPr>
            <w:r w:rsidRPr="00424FC0">
              <w:rPr>
                <w:noProof/>
                <w:color w:val="000000" w:themeColor="text1"/>
              </w:rPr>
              <w:t xml:space="preserve">7 172 </w:t>
            </w:r>
          </w:p>
        </w:tc>
        <w:tc>
          <w:tcPr>
            <w:tcW w:w="1843" w:type="dxa"/>
            <w:tcBorders>
              <w:top w:val="single" w:sz="4" w:space="0" w:color="auto"/>
              <w:left w:val="single" w:sz="4" w:space="0" w:color="auto"/>
              <w:bottom w:val="single" w:sz="4" w:space="0" w:color="auto"/>
              <w:right w:val="single" w:sz="4" w:space="0" w:color="auto"/>
            </w:tcBorders>
          </w:tcPr>
          <w:p w14:paraId="755FD263" w14:textId="621809DD" w:rsidR="001B1A11" w:rsidRPr="00424FC0" w:rsidRDefault="002D4D9E" w:rsidP="007D751C">
            <w:pPr>
              <w:spacing w:after="0" w:line="276" w:lineRule="auto"/>
              <w:jc w:val="center"/>
              <w:rPr>
                <w:rFonts w:eastAsia="Calibri"/>
                <w:noProof/>
                <w:color w:val="000000" w:themeColor="text1"/>
                <w:szCs w:val="24"/>
              </w:rPr>
            </w:pPr>
            <w:r w:rsidRPr="00424FC0">
              <w:rPr>
                <w:noProof/>
                <w:color w:val="000000" w:themeColor="text1"/>
              </w:rPr>
              <w:t>1,8 %</w:t>
            </w:r>
          </w:p>
        </w:tc>
      </w:tr>
      <w:tr w:rsidR="001B1A11" w:rsidRPr="00424FC0" w14:paraId="46C8F0F3" w14:textId="3B3087E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045BF4E" w14:textId="0D6283BE" w:rsidR="001B1A11" w:rsidRPr="00424FC0" w:rsidRDefault="001B1A11" w:rsidP="007D751C">
            <w:pPr>
              <w:spacing w:after="0" w:line="276" w:lineRule="auto"/>
              <w:rPr>
                <w:rFonts w:eastAsia="Calibri"/>
                <w:b/>
                <w:bCs/>
                <w:noProof/>
                <w:color w:val="000000" w:themeColor="text1"/>
                <w:szCs w:val="24"/>
              </w:rPr>
            </w:pPr>
            <w:r w:rsidRPr="00424FC0">
              <w:rPr>
                <w:b/>
                <w:noProof/>
                <w:color w:val="000000" w:themeColor="text1"/>
              </w:rPr>
              <w:t>TOTAL</w:t>
            </w:r>
          </w:p>
        </w:tc>
        <w:tc>
          <w:tcPr>
            <w:tcW w:w="1701" w:type="dxa"/>
            <w:tcBorders>
              <w:top w:val="single" w:sz="4" w:space="0" w:color="auto"/>
              <w:left w:val="single" w:sz="4" w:space="0" w:color="auto"/>
              <w:bottom w:val="single" w:sz="4" w:space="0" w:color="auto"/>
              <w:right w:val="single" w:sz="4" w:space="0" w:color="auto"/>
            </w:tcBorders>
            <w:vAlign w:val="center"/>
          </w:tcPr>
          <w:p w14:paraId="2DC0A80F" w14:textId="0B33C86B" w:rsidR="001B1A11" w:rsidRPr="00424FC0" w:rsidRDefault="001B1A11" w:rsidP="007D751C">
            <w:pPr>
              <w:spacing w:after="0" w:line="276" w:lineRule="auto"/>
              <w:jc w:val="center"/>
              <w:rPr>
                <w:rFonts w:eastAsia="Calibri"/>
                <w:b/>
                <w:bCs/>
                <w:noProof/>
                <w:color w:val="000000" w:themeColor="text1"/>
                <w:szCs w:val="24"/>
              </w:rPr>
            </w:pPr>
            <w:r w:rsidRPr="00424FC0">
              <w:rPr>
                <w:b/>
                <w:noProof/>
                <w:color w:val="000000" w:themeColor="text1"/>
              </w:rPr>
              <w:t>426</w:t>
            </w:r>
          </w:p>
        </w:tc>
        <w:tc>
          <w:tcPr>
            <w:tcW w:w="1849" w:type="dxa"/>
            <w:tcBorders>
              <w:top w:val="single" w:sz="4" w:space="0" w:color="auto"/>
              <w:left w:val="single" w:sz="4" w:space="0" w:color="auto"/>
              <w:bottom w:val="single" w:sz="4" w:space="0" w:color="auto"/>
              <w:right w:val="single" w:sz="4" w:space="0" w:color="auto"/>
            </w:tcBorders>
            <w:vAlign w:val="center"/>
          </w:tcPr>
          <w:p w14:paraId="118BC960" w14:textId="0833E847" w:rsidR="001B1A11" w:rsidRPr="00424FC0" w:rsidRDefault="001B1A11" w:rsidP="007D751C">
            <w:pPr>
              <w:spacing w:after="0" w:line="276" w:lineRule="auto"/>
              <w:jc w:val="center"/>
              <w:rPr>
                <w:rFonts w:eastAsia="Calibri"/>
                <w:b/>
                <w:bCs/>
                <w:noProof/>
                <w:color w:val="000000" w:themeColor="text1"/>
                <w:szCs w:val="24"/>
              </w:rPr>
            </w:pPr>
            <w:r w:rsidRPr="00424FC0">
              <w:rPr>
                <w:b/>
                <w:noProof/>
                <w:color w:val="000000" w:themeColor="text1"/>
              </w:rPr>
              <w:t>388 654</w:t>
            </w:r>
          </w:p>
        </w:tc>
        <w:tc>
          <w:tcPr>
            <w:tcW w:w="1843" w:type="dxa"/>
            <w:tcBorders>
              <w:top w:val="single" w:sz="4" w:space="0" w:color="auto"/>
              <w:left w:val="single" w:sz="4" w:space="0" w:color="auto"/>
              <w:bottom w:val="single" w:sz="4" w:space="0" w:color="auto"/>
              <w:right w:val="single" w:sz="4" w:space="0" w:color="auto"/>
            </w:tcBorders>
          </w:tcPr>
          <w:p w14:paraId="4FDAD51A" w14:textId="77777777" w:rsidR="001B1A11" w:rsidRPr="00424FC0" w:rsidRDefault="001B1A11" w:rsidP="007D751C">
            <w:pPr>
              <w:spacing w:after="0" w:line="276" w:lineRule="auto"/>
              <w:jc w:val="center"/>
              <w:rPr>
                <w:rFonts w:eastAsia="Calibri"/>
                <w:b/>
                <w:bCs/>
                <w:noProof/>
                <w:color w:val="000000" w:themeColor="text1"/>
                <w:szCs w:val="24"/>
              </w:rPr>
            </w:pPr>
          </w:p>
        </w:tc>
      </w:tr>
    </w:tbl>
    <w:p w14:paraId="61910457" w14:textId="719C58B0" w:rsidR="00F00EB0" w:rsidRPr="00424FC0" w:rsidRDefault="003C1AAB" w:rsidP="007D751C">
      <w:pPr>
        <w:spacing w:line="276" w:lineRule="auto"/>
        <w:rPr>
          <w:noProof/>
          <w:sz w:val="20"/>
        </w:rPr>
      </w:pPr>
      <w:r w:rsidRPr="00424FC0">
        <w:rPr>
          <w:noProof/>
          <w:sz w:val="20"/>
        </w:rPr>
        <w:t>Sursă: Comisia Europeană, 2024</w:t>
      </w:r>
    </w:p>
    <w:p w14:paraId="2474A230" w14:textId="31C7A63A" w:rsidR="00AC0F0D" w:rsidRPr="00424FC0" w:rsidRDefault="004D7B2B" w:rsidP="007D751C">
      <w:pPr>
        <w:spacing w:line="276" w:lineRule="auto"/>
        <w:rPr>
          <w:noProof/>
        </w:rPr>
      </w:pPr>
      <w:r w:rsidRPr="00424FC0">
        <w:rPr>
          <w:b/>
          <w:noProof/>
        </w:rPr>
        <w:t>Statelor membre li s-a solicitat să furnizeze date numai pentru cele mai relevante scheme.</w:t>
      </w:r>
      <w:r w:rsidRPr="00424FC0">
        <w:rPr>
          <w:noProof/>
        </w:rPr>
        <w:t xml:space="preserve"> Majoritatea au raportat mai puțin de 20, însă 6 state membre au raportat un număr mai mare, fie deoarece există subprograme distincte ale unor programe de amploare (Cehia, Ungaria, Letonia, Polonia), fie deoarece programele de eficiență energetică sunt gestionate la nivel regional (Belgia, Spania).</w:t>
      </w:r>
    </w:p>
    <w:p w14:paraId="5E68849B" w14:textId="40A3FBBE" w:rsidR="10C285B4" w:rsidRPr="00424FC0" w:rsidRDefault="51CEB11C" w:rsidP="007D751C">
      <w:pPr>
        <w:pStyle w:val="Text2"/>
        <w:spacing w:line="276" w:lineRule="auto"/>
        <w:ind w:left="0"/>
        <w:rPr>
          <w:noProof/>
        </w:rPr>
      </w:pPr>
      <w:r w:rsidRPr="00424FC0">
        <w:rPr>
          <w:b/>
          <w:noProof/>
        </w:rPr>
        <w:t>Statele membre optează în principal pentru scheme nerambursabile.</w:t>
      </w:r>
      <w:r w:rsidRPr="00424FC0">
        <w:rPr>
          <w:noProof/>
        </w:rPr>
        <w:t xml:space="preserve"> Deși sprijinul nerambursabil constă adesea în granturi, mai multe state membre mari (Franța, Germania, Italia) utilizează în principal reduceri fiscale. Instrumentele financiare (schemele rambursabile) reprezintă peste 30 % din finanțare în doar 5 state membre (Belgia, Bulgaria, Ungaria, Finlanda și Portugalia), în timp ce schemele mixte sunt utilizate pe scară largă în doar 3 state membre (Austria, Danemarca și Germania).</w:t>
      </w:r>
    </w:p>
    <w:p w14:paraId="40650B70" w14:textId="7D29C9D3" w:rsidR="15269056" w:rsidRPr="00424FC0" w:rsidRDefault="15269056" w:rsidP="0031363B">
      <w:pPr>
        <w:pStyle w:val="Text2"/>
        <w:spacing w:after="0" w:line="276" w:lineRule="auto"/>
        <w:ind w:left="0"/>
        <w:rPr>
          <w:i/>
          <w:iCs/>
          <w:noProof/>
        </w:rPr>
      </w:pPr>
      <w:r w:rsidRPr="00424FC0">
        <w:rPr>
          <w:i/>
          <w:noProof/>
        </w:rPr>
        <w:t>Graficul 2: Defalcarea bugetară a schemelor naționale în funcție de forma de sprijin — defalcare națională</w:t>
      </w:r>
    </w:p>
    <w:p w14:paraId="25049153" w14:textId="6E159AD1" w:rsidR="201ABEE1" w:rsidRPr="00424FC0" w:rsidRDefault="004D0392" w:rsidP="007D751C">
      <w:pPr>
        <w:pStyle w:val="Text2"/>
        <w:spacing w:line="276" w:lineRule="auto"/>
        <w:ind w:left="0"/>
        <w:jc w:val="center"/>
        <w:rPr>
          <w:noProof/>
        </w:rPr>
      </w:pPr>
      <w:r w:rsidRPr="00424FC0">
        <w:rPr>
          <w:noProof/>
          <w:lang w:val="en-GB" w:eastAsia="en-GB"/>
        </w:rPr>
        <w:drawing>
          <wp:inline distT="0" distB="0" distL="0" distR="0" wp14:anchorId="4DE13CA2" wp14:editId="0A560525">
            <wp:extent cx="5431790" cy="4890052"/>
            <wp:effectExtent l="0" t="0" r="16510" b="6350"/>
            <wp:docPr id="2065945846" name="Chart 1">
              <a:extLst xmlns:a="http://schemas.openxmlformats.org/drawingml/2006/main">
                <a:ext uri="{FF2B5EF4-FFF2-40B4-BE49-F238E27FC236}">
                  <a16:creationId xmlns:a16="http://schemas.microsoft.com/office/drawing/2014/main" id="{27FE2FB0-D95D-4845-A854-FF6A9BF485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2B5EA3" w14:textId="2CF1686A" w:rsidR="00933377" w:rsidRPr="00424FC0" w:rsidRDefault="00C85294" w:rsidP="007D751C">
      <w:pPr>
        <w:spacing w:line="276" w:lineRule="auto"/>
        <w:rPr>
          <w:noProof/>
        </w:rPr>
      </w:pPr>
      <w:r w:rsidRPr="00424FC0">
        <w:rPr>
          <w:b/>
          <w:noProof/>
        </w:rPr>
        <w:t>Pentru a stimula redresarea economică în urma pandemiei de COVID-19, statele membre au utilizat în principal resursele de care dispuneau pentru a finanța programe de granturi.</w:t>
      </w:r>
      <w:r w:rsidRPr="00424FC0">
        <w:rPr>
          <w:noProof/>
        </w:rPr>
        <w:t xml:space="preserve"> Până în 2019, numărul de scheme noi în materie de eficiență energetică instituite anual a variat între 10 și 25, însă în perioada 2020–2023, statele membre au creat nu mai puțin de 205 scheme noi (între 34 și 67 pe an), în mare parte ca urmare a punerii în aplicare a MRR. Multe dintre acestea au fost sub formă de granturi (116), urmate de instrumente financiare (25). În ceea ce privește volumul, granturile s-au ridicat la 56,4 miliarde EUR, iar instrumentele financiare la 16,5 miliarde EUR. Dintre noile scheme, 48 au vizat clădiri rezidențiale, în cuantum total de 95,4 miliarde EUR, ceea ce reprezintă 55,6 % din volumul total alocat noilor scheme în această perioadă (171,5 miliarde EUR).</w:t>
      </w:r>
    </w:p>
    <w:p w14:paraId="6040E030" w14:textId="77777777" w:rsidR="00DC3E71" w:rsidRPr="00424FC0" w:rsidRDefault="00DC3E71">
      <w:pPr>
        <w:spacing w:after="0"/>
        <w:jc w:val="left"/>
        <w:rPr>
          <w:i/>
          <w:iCs/>
          <w:noProof/>
        </w:rPr>
      </w:pPr>
      <w:r w:rsidRPr="00424FC0">
        <w:rPr>
          <w:noProof/>
        </w:rPr>
        <w:br w:type="page"/>
      </w:r>
    </w:p>
    <w:p w14:paraId="159DFFF5" w14:textId="2BEC1344" w:rsidR="00933377" w:rsidRPr="00424FC0" w:rsidRDefault="00933377" w:rsidP="0031363B">
      <w:pPr>
        <w:spacing w:after="0" w:line="276" w:lineRule="auto"/>
        <w:rPr>
          <w:i/>
          <w:iCs/>
          <w:noProof/>
        </w:rPr>
      </w:pPr>
      <w:r w:rsidRPr="00424FC0">
        <w:rPr>
          <w:i/>
          <w:noProof/>
        </w:rPr>
        <w:t>Graficele 3 și 4/Tabelul 6: Defalcarea schemelor naționale și a bugetelor în funcție de data lansării (în milioane EUR)</w:t>
      </w:r>
    </w:p>
    <w:p w14:paraId="60674734" w14:textId="5E35B92B" w:rsidR="0037229C" w:rsidRPr="00424FC0" w:rsidRDefault="000D2D11" w:rsidP="007D751C">
      <w:pPr>
        <w:spacing w:line="276" w:lineRule="auto"/>
        <w:jc w:val="center"/>
        <w:rPr>
          <w:noProof/>
        </w:rPr>
      </w:pPr>
      <w:r w:rsidRPr="00424FC0">
        <w:rPr>
          <w:noProof/>
          <w:lang w:val="en-GB" w:eastAsia="en-GB"/>
        </w:rPr>
        <w:drawing>
          <wp:inline distT="0" distB="0" distL="0" distR="0" wp14:anchorId="4E0D8EA0" wp14:editId="499367E3">
            <wp:extent cx="5472430" cy="2541270"/>
            <wp:effectExtent l="0" t="0" r="13970" b="11430"/>
            <wp:docPr id="1015494107" name="Chart 1">
              <a:extLst xmlns:a="http://schemas.openxmlformats.org/drawingml/2006/main">
                <a:ext uri="{FF2B5EF4-FFF2-40B4-BE49-F238E27FC236}">
                  <a16:creationId xmlns:a16="http://schemas.microsoft.com/office/drawing/2014/main" id="{FC178BB5-A9F1-4E2A-B850-EB60787A2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77BF8D" w14:textId="42B87B41" w:rsidR="004D0F82" w:rsidRPr="00424FC0" w:rsidRDefault="00D57848" w:rsidP="007D751C">
      <w:pPr>
        <w:pStyle w:val="Text2"/>
        <w:spacing w:line="276" w:lineRule="auto"/>
        <w:ind w:left="0"/>
        <w:jc w:val="center"/>
        <w:rPr>
          <w:noProof/>
        </w:rPr>
      </w:pPr>
      <w:r w:rsidRPr="00424FC0">
        <w:rPr>
          <w:noProof/>
          <w:lang w:val="en-GB" w:eastAsia="en-GB"/>
        </w:rPr>
        <w:drawing>
          <wp:inline distT="0" distB="0" distL="0" distR="0" wp14:anchorId="15AF3A77" wp14:editId="3C1F5AA4">
            <wp:extent cx="5469890" cy="3037398"/>
            <wp:effectExtent l="0" t="0" r="16510" b="10795"/>
            <wp:docPr id="788789322" name="Chart 1">
              <a:extLst xmlns:a="http://schemas.openxmlformats.org/drawingml/2006/main">
                <a:ext uri="{FF2B5EF4-FFF2-40B4-BE49-F238E27FC236}">
                  <a16:creationId xmlns:a16="http://schemas.microsoft.com/office/drawing/2014/main" id="{81570885-19A5-4C63-8909-CD0AC8219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W w:w="0" w:type="auto"/>
        <w:jc w:val="center"/>
        <w:tblLayout w:type="fixed"/>
        <w:tblLook w:val="06A0" w:firstRow="1" w:lastRow="0" w:firstColumn="1" w:lastColumn="0" w:noHBand="1" w:noVBand="1"/>
      </w:tblPr>
      <w:tblGrid>
        <w:gridCol w:w="1696"/>
        <w:gridCol w:w="2000"/>
        <w:gridCol w:w="1921"/>
        <w:gridCol w:w="1345"/>
        <w:gridCol w:w="1025"/>
      </w:tblGrid>
      <w:tr w:rsidR="607F5F8B" w:rsidRPr="00424FC0" w14:paraId="1B5F7926"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0D49F287" w14:textId="5603EE1D" w:rsidR="607F5F8B" w:rsidRPr="00424FC0" w:rsidRDefault="00DC3E71" w:rsidP="007D751C">
            <w:pPr>
              <w:spacing w:after="0" w:line="276" w:lineRule="auto"/>
              <w:jc w:val="left"/>
              <w:rPr>
                <w:noProof/>
                <w:szCs w:val="24"/>
              </w:rPr>
            </w:pPr>
            <w:r w:rsidRPr="00424FC0">
              <w:rPr>
                <w:b/>
                <w:noProof/>
                <w:color w:val="000000" w:themeColor="text1"/>
              </w:rPr>
              <w:t>Data lansării</w:t>
            </w:r>
          </w:p>
        </w:tc>
        <w:tc>
          <w:tcPr>
            <w:tcW w:w="2000" w:type="dxa"/>
            <w:tcBorders>
              <w:top w:val="single" w:sz="4" w:space="0" w:color="auto"/>
              <w:left w:val="single" w:sz="4" w:space="0" w:color="auto"/>
              <w:bottom w:val="single" w:sz="4" w:space="0" w:color="auto"/>
              <w:right w:val="single" w:sz="4" w:space="0" w:color="auto"/>
            </w:tcBorders>
            <w:vAlign w:val="center"/>
          </w:tcPr>
          <w:p w14:paraId="3208F478" w14:textId="3A1A493B" w:rsidR="607F5F8B" w:rsidRPr="00424FC0" w:rsidRDefault="607F5F8B" w:rsidP="007D751C">
            <w:pPr>
              <w:spacing w:after="0" w:line="276" w:lineRule="auto"/>
              <w:jc w:val="center"/>
              <w:rPr>
                <w:noProof/>
                <w:szCs w:val="24"/>
              </w:rPr>
            </w:pPr>
            <w:r w:rsidRPr="00424FC0">
              <w:rPr>
                <w:b/>
                <w:noProof/>
                <w:color w:val="000000" w:themeColor="text1"/>
              </w:rPr>
              <w:t>Nerambursabilă</w:t>
            </w:r>
          </w:p>
        </w:tc>
        <w:tc>
          <w:tcPr>
            <w:tcW w:w="1921" w:type="dxa"/>
            <w:tcBorders>
              <w:top w:val="single" w:sz="4" w:space="0" w:color="auto"/>
              <w:left w:val="single" w:sz="4" w:space="0" w:color="auto"/>
              <w:bottom w:val="single" w:sz="4" w:space="0" w:color="auto"/>
              <w:right w:val="single" w:sz="4" w:space="0" w:color="auto"/>
            </w:tcBorders>
            <w:vAlign w:val="center"/>
          </w:tcPr>
          <w:p w14:paraId="22DFE07F" w14:textId="24AAB0ED" w:rsidR="607F5F8B" w:rsidRPr="00424FC0" w:rsidRDefault="607F5F8B" w:rsidP="007D751C">
            <w:pPr>
              <w:spacing w:after="0" w:line="276" w:lineRule="auto"/>
              <w:jc w:val="center"/>
              <w:rPr>
                <w:noProof/>
                <w:szCs w:val="24"/>
              </w:rPr>
            </w:pPr>
            <w:r w:rsidRPr="00424FC0">
              <w:rPr>
                <w:b/>
                <w:noProof/>
                <w:color w:val="000000" w:themeColor="text1"/>
              </w:rPr>
              <w:t>Schemă mixtă</w:t>
            </w:r>
          </w:p>
        </w:tc>
        <w:tc>
          <w:tcPr>
            <w:tcW w:w="1345" w:type="dxa"/>
            <w:tcBorders>
              <w:top w:val="single" w:sz="4" w:space="0" w:color="auto"/>
              <w:left w:val="single" w:sz="4" w:space="0" w:color="auto"/>
              <w:bottom w:val="single" w:sz="4" w:space="0" w:color="auto"/>
              <w:right w:val="single" w:sz="4" w:space="0" w:color="auto"/>
            </w:tcBorders>
            <w:vAlign w:val="center"/>
          </w:tcPr>
          <w:p w14:paraId="3B4499BE" w14:textId="5D05BEA2" w:rsidR="607F5F8B" w:rsidRPr="00424FC0" w:rsidRDefault="607F5F8B" w:rsidP="007D751C">
            <w:pPr>
              <w:spacing w:after="0" w:line="276" w:lineRule="auto"/>
              <w:jc w:val="center"/>
              <w:rPr>
                <w:noProof/>
                <w:szCs w:val="24"/>
              </w:rPr>
            </w:pPr>
            <w:r w:rsidRPr="00424FC0">
              <w:rPr>
                <w:b/>
                <w:noProof/>
                <w:color w:val="000000" w:themeColor="text1"/>
              </w:rPr>
              <w:t>Rambursabilă</w:t>
            </w:r>
          </w:p>
        </w:tc>
        <w:tc>
          <w:tcPr>
            <w:tcW w:w="1025" w:type="dxa"/>
            <w:tcBorders>
              <w:top w:val="single" w:sz="4" w:space="0" w:color="auto"/>
              <w:left w:val="single" w:sz="4" w:space="0" w:color="auto"/>
              <w:bottom w:val="single" w:sz="4" w:space="0" w:color="auto"/>
              <w:right w:val="single" w:sz="4" w:space="0" w:color="auto"/>
            </w:tcBorders>
            <w:vAlign w:val="center"/>
          </w:tcPr>
          <w:p w14:paraId="6F6A34A3" w14:textId="6FD2B483" w:rsidR="607F5F8B" w:rsidRPr="00424FC0" w:rsidRDefault="00BF6EF3" w:rsidP="007D751C">
            <w:pPr>
              <w:spacing w:after="0" w:line="276" w:lineRule="auto"/>
              <w:jc w:val="center"/>
              <w:rPr>
                <w:noProof/>
                <w:szCs w:val="24"/>
              </w:rPr>
            </w:pPr>
            <w:r w:rsidRPr="00424FC0">
              <w:rPr>
                <w:b/>
                <w:noProof/>
                <w:color w:val="000000" w:themeColor="text1"/>
              </w:rPr>
              <w:t>Altele</w:t>
            </w:r>
          </w:p>
        </w:tc>
      </w:tr>
      <w:tr w:rsidR="607F5F8B" w:rsidRPr="00424FC0" w14:paraId="2C4EF32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0F149D0" w14:textId="0A33D281" w:rsidR="607F5F8B" w:rsidRPr="00424FC0" w:rsidRDefault="607F5F8B" w:rsidP="007D751C">
            <w:pPr>
              <w:spacing w:after="0" w:line="276" w:lineRule="auto"/>
              <w:jc w:val="left"/>
              <w:rPr>
                <w:noProof/>
                <w:szCs w:val="24"/>
              </w:rPr>
            </w:pPr>
            <w:r w:rsidRPr="00424FC0">
              <w:rPr>
                <w:noProof/>
                <w:color w:val="000000" w:themeColor="text1"/>
              </w:rPr>
              <w:t>2015</w:t>
            </w:r>
          </w:p>
        </w:tc>
        <w:tc>
          <w:tcPr>
            <w:tcW w:w="2000" w:type="dxa"/>
            <w:tcBorders>
              <w:top w:val="single" w:sz="4" w:space="0" w:color="auto"/>
              <w:left w:val="single" w:sz="4" w:space="0" w:color="auto"/>
              <w:bottom w:val="single" w:sz="4" w:space="0" w:color="auto"/>
              <w:right w:val="single" w:sz="4" w:space="0" w:color="auto"/>
            </w:tcBorders>
            <w:vAlign w:val="center"/>
          </w:tcPr>
          <w:p w14:paraId="34E0694B" w14:textId="0163E79A" w:rsidR="607F5F8B" w:rsidRPr="00424FC0" w:rsidRDefault="607F5F8B" w:rsidP="007D751C">
            <w:pPr>
              <w:spacing w:after="0" w:line="276" w:lineRule="auto"/>
              <w:jc w:val="center"/>
              <w:rPr>
                <w:noProof/>
                <w:szCs w:val="24"/>
              </w:rPr>
            </w:pPr>
            <w:r w:rsidRPr="00424FC0">
              <w:rPr>
                <w:noProof/>
                <w:color w:val="000000" w:themeColor="text1"/>
              </w:rPr>
              <w:t>2 774</w:t>
            </w:r>
          </w:p>
        </w:tc>
        <w:tc>
          <w:tcPr>
            <w:tcW w:w="1921" w:type="dxa"/>
            <w:tcBorders>
              <w:top w:val="single" w:sz="4" w:space="0" w:color="auto"/>
              <w:left w:val="single" w:sz="4" w:space="0" w:color="auto"/>
              <w:bottom w:val="single" w:sz="4" w:space="0" w:color="auto"/>
              <w:right w:val="single" w:sz="4" w:space="0" w:color="auto"/>
            </w:tcBorders>
            <w:vAlign w:val="center"/>
          </w:tcPr>
          <w:p w14:paraId="2996AA29" w14:textId="05492259" w:rsidR="7FCF8F86" w:rsidRPr="00424FC0" w:rsidRDefault="7FCF8F86" w:rsidP="007D751C">
            <w:pPr>
              <w:spacing w:after="0" w:line="276" w:lineRule="auto"/>
              <w:jc w:val="center"/>
              <w:rPr>
                <w:noProof/>
                <w:szCs w:val="24"/>
              </w:rPr>
            </w:pPr>
            <w:r w:rsidRPr="00424FC0">
              <w:rPr>
                <w:noProof/>
                <w:color w:val="000000" w:themeColor="text1"/>
              </w:rPr>
              <w:t>13</w:t>
            </w:r>
          </w:p>
        </w:tc>
        <w:tc>
          <w:tcPr>
            <w:tcW w:w="1345" w:type="dxa"/>
            <w:tcBorders>
              <w:top w:val="single" w:sz="4" w:space="0" w:color="auto"/>
              <w:left w:val="single" w:sz="4" w:space="0" w:color="auto"/>
              <w:bottom w:val="single" w:sz="4" w:space="0" w:color="auto"/>
              <w:right w:val="single" w:sz="4" w:space="0" w:color="auto"/>
            </w:tcBorders>
            <w:vAlign w:val="center"/>
          </w:tcPr>
          <w:p w14:paraId="3509C217" w14:textId="70B8A289" w:rsidR="607F5F8B" w:rsidRPr="00424FC0" w:rsidRDefault="607F5F8B" w:rsidP="007D751C">
            <w:pPr>
              <w:spacing w:after="0" w:line="276" w:lineRule="auto"/>
              <w:jc w:val="center"/>
              <w:rPr>
                <w:noProof/>
                <w:szCs w:val="24"/>
              </w:rPr>
            </w:pPr>
            <w:r w:rsidRPr="00424FC0">
              <w:rPr>
                <w:noProof/>
                <w:color w:val="000000" w:themeColor="text1"/>
              </w:rPr>
              <w:t>4 878</w:t>
            </w:r>
          </w:p>
        </w:tc>
        <w:tc>
          <w:tcPr>
            <w:tcW w:w="1025" w:type="dxa"/>
            <w:tcBorders>
              <w:top w:val="single" w:sz="4" w:space="0" w:color="auto"/>
              <w:left w:val="single" w:sz="4" w:space="0" w:color="auto"/>
              <w:bottom w:val="single" w:sz="4" w:space="0" w:color="auto"/>
              <w:right w:val="single" w:sz="4" w:space="0" w:color="auto"/>
            </w:tcBorders>
            <w:vAlign w:val="center"/>
          </w:tcPr>
          <w:p w14:paraId="7F6BB839" w14:textId="549F20CF" w:rsidR="607F5F8B" w:rsidRPr="00424FC0" w:rsidRDefault="607F5F8B" w:rsidP="007D751C">
            <w:pPr>
              <w:spacing w:after="0" w:line="276" w:lineRule="auto"/>
              <w:jc w:val="center"/>
              <w:rPr>
                <w:noProof/>
                <w:szCs w:val="24"/>
              </w:rPr>
            </w:pPr>
            <w:r w:rsidRPr="00424FC0">
              <w:rPr>
                <w:noProof/>
                <w:color w:val="000000" w:themeColor="text1"/>
              </w:rPr>
              <w:t>27</w:t>
            </w:r>
          </w:p>
        </w:tc>
      </w:tr>
      <w:tr w:rsidR="607F5F8B" w:rsidRPr="00424FC0" w14:paraId="1F6B3C5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F6A8AF3" w14:textId="3934CC69" w:rsidR="607F5F8B" w:rsidRPr="00424FC0" w:rsidRDefault="607F5F8B" w:rsidP="007D751C">
            <w:pPr>
              <w:spacing w:after="0" w:line="276" w:lineRule="auto"/>
              <w:jc w:val="left"/>
              <w:rPr>
                <w:noProof/>
                <w:szCs w:val="24"/>
              </w:rPr>
            </w:pPr>
            <w:r w:rsidRPr="00424FC0">
              <w:rPr>
                <w:noProof/>
                <w:color w:val="000000" w:themeColor="text1"/>
              </w:rPr>
              <w:t>2016</w:t>
            </w:r>
          </w:p>
        </w:tc>
        <w:tc>
          <w:tcPr>
            <w:tcW w:w="2000" w:type="dxa"/>
            <w:tcBorders>
              <w:top w:val="single" w:sz="4" w:space="0" w:color="auto"/>
              <w:left w:val="single" w:sz="4" w:space="0" w:color="auto"/>
              <w:bottom w:val="single" w:sz="4" w:space="0" w:color="auto"/>
              <w:right w:val="single" w:sz="4" w:space="0" w:color="auto"/>
            </w:tcBorders>
            <w:vAlign w:val="center"/>
          </w:tcPr>
          <w:p w14:paraId="54D52CF6" w14:textId="76404652" w:rsidR="607F5F8B" w:rsidRPr="00424FC0" w:rsidRDefault="607F5F8B" w:rsidP="007D751C">
            <w:pPr>
              <w:spacing w:after="0" w:line="276" w:lineRule="auto"/>
              <w:jc w:val="center"/>
              <w:rPr>
                <w:noProof/>
                <w:szCs w:val="24"/>
              </w:rPr>
            </w:pPr>
            <w:r w:rsidRPr="00424FC0">
              <w:rPr>
                <w:noProof/>
                <w:color w:val="000000" w:themeColor="text1"/>
              </w:rPr>
              <w:t>4 421</w:t>
            </w:r>
          </w:p>
        </w:tc>
        <w:tc>
          <w:tcPr>
            <w:tcW w:w="1921" w:type="dxa"/>
            <w:tcBorders>
              <w:top w:val="single" w:sz="4" w:space="0" w:color="auto"/>
              <w:left w:val="single" w:sz="4" w:space="0" w:color="auto"/>
              <w:bottom w:val="single" w:sz="4" w:space="0" w:color="auto"/>
              <w:right w:val="single" w:sz="4" w:space="0" w:color="auto"/>
            </w:tcBorders>
            <w:vAlign w:val="center"/>
          </w:tcPr>
          <w:p w14:paraId="26F73025" w14:textId="49748B1F" w:rsidR="607F5F8B" w:rsidRPr="00424FC0" w:rsidRDefault="607F5F8B" w:rsidP="007D751C">
            <w:pPr>
              <w:spacing w:after="0" w:line="276" w:lineRule="auto"/>
              <w:jc w:val="center"/>
              <w:rPr>
                <w:noProof/>
                <w:szCs w:val="24"/>
              </w:rPr>
            </w:pPr>
            <w:r w:rsidRPr="00424FC0">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3D57E087" w14:textId="1AD6BA64" w:rsidR="59D31D68" w:rsidRPr="00424FC0" w:rsidRDefault="59D31D68" w:rsidP="007D751C">
            <w:pPr>
              <w:spacing w:after="0" w:line="276" w:lineRule="auto"/>
              <w:jc w:val="center"/>
              <w:rPr>
                <w:noProof/>
                <w:szCs w:val="24"/>
              </w:rPr>
            </w:pPr>
            <w:r w:rsidRPr="00424FC0">
              <w:rPr>
                <w:noProof/>
                <w:color w:val="000000" w:themeColor="text1"/>
              </w:rPr>
              <w:t>8 050</w:t>
            </w:r>
          </w:p>
        </w:tc>
        <w:tc>
          <w:tcPr>
            <w:tcW w:w="1025" w:type="dxa"/>
            <w:tcBorders>
              <w:top w:val="single" w:sz="4" w:space="0" w:color="auto"/>
              <w:left w:val="single" w:sz="4" w:space="0" w:color="auto"/>
              <w:bottom w:val="single" w:sz="4" w:space="0" w:color="auto"/>
              <w:right w:val="single" w:sz="4" w:space="0" w:color="auto"/>
            </w:tcBorders>
            <w:vAlign w:val="center"/>
          </w:tcPr>
          <w:p w14:paraId="72C3E8BE" w14:textId="777CA50F" w:rsidR="607F5F8B" w:rsidRPr="00424FC0" w:rsidRDefault="607F5F8B" w:rsidP="007D751C">
            <w:pPr>
              <w:spacing w:after="0" w:line="276" w:lineRule="auto"/>
              <w:jc w:val="center"/>
              <w:rPr>
                <w:noProof/>
                <w:szCs w:val="24"/>
              </w:rPr>
            </w:pPr>
            <w:r w:rsidRPr="00424FC0">
              <w:rPr>
                <w:noProof/>
                <w:color w:val="000000" w:themeColor="text1"/>
              </w:rPr>
              <w:t>-</w:t>
            </w:r>
          </w:p>
        </w:tc>
      </w:tr>
      <w:tr w:rsidR="607F5F8B" w:rsidRPr="00424FC0" w14:paraId="124AE443"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1960450" w14:textId="5DBF3C0D" w:rsidR="607F5F8B" w:rsidRPr="00424FC0" w:rsidRDefault="607F5F8B" w:rsidP="007D751C">
            <w:pPr>
              <w:spacing w:after="0" w:line="276" w:lineRule="auto"/>
              <w:jc w:val="left"/>
              <w:rPr>
                <w:noProof/>
                <w:szCs w:val="24"/>
              </w:rPr>
            </w:pPr>
            <w:r w:rsidRPr="00424FC0">
              <w:rPr>
                <w:noProof/>
                <w:color w:val="000000" w:themeColor="text1"/>
              </w:rPr>
              <w:t>2017</w:t>
            </w:r>
          </w:p>
        </w:tc>
        <w:tc>
          <w:tcPr>
            <w:tcW w:w="2000" w:type="dxa"/>
            <w:tcBorders>
              <w:top w:val="single" w:sz="4" w:space="0" w:color="auto"/>
              <w:left w:val="single" w:sz="4" w:space="0" w:color="auto"/>
              <w:bottom w:val="single" w:sz="4" w:space="0" w:color="auto"/>
              <w:right w:val="single" w:sz="4" w:space="0" w:color="auto"/>
            </w:tcBorders>
            <w:vAlign w:val="center"/>
          </w:tcPr>
          <w:p w14:paraId="3C45E803" w14:textId="3AB958E2" w:rsidR="607F5F8B" w:rsidRPr="00424FC0" w:rsidRDefault="607F5F8B" w:rsidP="007D751C">
            <w:pPr>
              <w:spacing w:after="0" w:line="276" w:lineRule="auto"/>
              <w:jc w:val="center"/>
              <w:rPr>
                <w:noProof/>
                <w:szCs w:val="24"/>
              </w:rPr>
            </w:pPr>
            <w:r w:rsidRPr="00424FC0">
              <w:rPr>
                <w:noProof/>
                <w:color w:val="000000" w:themeColor="text1"/>
              </w:rPr>
              <w:t>1 865</w:t>
            </w:r>
          </w:p>
        </w:tc>
        <w:tc>
          <w:tcPr>
            <w:tcW w:w="1921" w:type="dxa"/>
            <w:tcBorders>
              <w:top w:val="single" w:sz="4" w:space="0" w:color="auto"/>
              <w:left w:val="single" w:sz="4" w:space="0" w:color="auto"/>
              <w:bottom w:val="single" w:sz="4" w:space="0" w:color="auto"/>
              <w:right w:val="single" w:sz="4" w:space="0" w:color="auto"/>
            </w:tcBorders>
            <w:vAlign w:val="center"/>
          </w:tcPr>
          <w:p w14:paraId="37E8CF8C" w14:textId="24C3C7E6" w:rsidR="607F5F8B" w:rsidRPr="00424FC0" w:rsidRDefault="607F5F8B" w:rsidP="007D751C">
            <w:pPr>
              <w:spacing w:after="0" w:line="276" w:lineRule="auto"/>
              <w:jc w:val="center"/>
              <w:rPr>
                <w:noProof/>
                <w:szCs w:val="24"/>
              </w:rPr>
            </w:pPr>
            <w:r w:rsidRPr="00424FC0">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310E0911" w14:textId="05D8926F" w:rsidR="607F5F8B" w:rsidRPr="00424FC0" w:rsidRDefault="607F5F8B" w:rsidP="007D751C">
            <w:pPr>
              <w:spacing w:after="0" w:line="276" w:lineRule="auto"/>
              <w:jc w:val="center"/>
              <w:rPr>
                <w:noProof/>
                <w:szCs w:val="24"/>
              </w:rPr>
            </w:pPr>
            <w:r w:rsidRPr="00424FC0">
              <w:rPr>
                <w:noProof/>
                <w:color w:val="000000" w:themeColor="text1"/>
              </w:rPr>
              <w:t>963</w:t>
            </w:r>
          </w:p>
        </w:tc>
        <w:tc>
          <w:tcPr>
            <w:tcW w:w="1025" w:type="dxa"/>
            <w:tcBorders>
              <w:top w:val="single" w:sz="4" w:space="0" w:color="auto"/>
              <w:left w:val="single" w:sz="4" w:space="0" w:color="auto"/>
              <w:bottom w:val="single" w:sz="4" w:space="0" w:color="auto"/>
              <w:right w:val="single" w:sz="4" w:space="0" w:color="auto"/>
            </w:tcBorders>
            <w:vAlign w:val="center"/>
          </w:tcPr>
          <w:p w14:paraId="22C55416" w14:textId="60765190" w:rsidR="607F5F8B" w:rsidRPr="00424FC0" w:rsidRDefault="607F5F8B" w:rsidP="007D751C">
            <w:pPr>
              <w:spacing w:after="0" w:line="276" w:lineRule="auto"/>
              <w:jc w:val="center"/>
              <w:rPr>
                <w:noProof/>
                <w:szCs w:val="24"/>
              </w:rPr>
            </w:pPr>
            <w:r w:rsidRPr="00424FC0">
              <w:rPr>
                <w:noProof/>
                <w:color w:val="000000" w:themeColor="text1"/>
              </w:rPr>
              <w:t>-</w:t>
            </w:r>
          </w:p>
        </w:tc>
      </w:tr>
      <w:tr w:rsidR="607F5F8B" w:rsidRPr="00424FC0" w14:paraId="781F7CE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5A4F653B" w14:textId="4B87520E" w:rsidR="607F5F8B" w:rsidRPr="00424FC0" w:rsidRDefault="607F5F8B" w:rsidP="007D751C">
            <w:pPr>
              <w:spacing w:after="0" w:line="276" w:lineRule="auto"/>
              <w:jc w:val="left"/>
              <w:rPr>
                <w:noProof/>
                <w:szCs w:val="24"/>
              </w:rPr>
            </w:pPr>
            <w:r w:rsidRPr="00424FC0">
              <w:rPr>
                <w:noProof/>
                <w:color w:val="000000" w:themeColor="text1"/>
              </w:rPr>
              <w:t>2018</w:t>
            </w:r>
          </w:p>
        </w:tc>
        <w:tc>
          <w:tcPr>
            <w:tcW w:w="2000" w:type="dxa"/>
            <w:tcBorders>
              <w:top w:val="single" w:sz="4" w:space="0" w:color="auto"/>
              <w:left w:val="single" w:sz="4" w:space="0" w:color="auto"/>
              <w:bottom w:val="single" w:sz="4" w:space="0" w:color="auto"/>
              <w:right w:val="single" w:sz="4" w:space="0" w:color="auto"/>
            </w:tcBorders>
            <w:vAlign w:val="center"/>
          </w:tcPr>
          <w:p w14:paraId="08F1B8EC" w14:textId="7393A5AC" w:rsidR="607F5F8B" w:rsidRPr="00424FC0" w:rsidRDefault="607F5F8B" w:rsidP="007D751C">
            <w:pPr>
              <w:spacing w:after="0" w:line="276" w:lineRule="auto"/>
              <w:jc w:val="center"/>
              <w:rPr>
                <w:noProof/>
                <w:szCs w:val="24"/>
              </w:rPr>
            </w:pPr>
            <w:r w:rsidRPr="00424FC0">
              <w:rPr>
                <w:noProof/>
                <w:color w:val="000000" w:themeColor="text1"/>
              </w:rPr>
              <w:t>20 645</w:t>
            </w:r>
          </w:p>
        </w:tc>
        <w:tc>
          <w:tcPr>
            <w:tcW w:w="1921" w:type="dxa"/>
            <w:tcBorders>
              <w:top w:val="single" w:sz="4" w:space="0" w:color="auto"/>
              <w:left w:val="single" w:sz="4" w:space="0" w:color="auto"/>
              <w:bottom w:val="single" w:sz="4" w:space="0" w:color="auto"/>
              <w:right w:val="single" w:sz="4" w:space="0" w:color="auto"/>
            </w:tcBorders>
            <w:vAlign w:val="center"/>
          </w:tcPr>
          <w:p w14:paraId="7710EAB2" w14:textId="1A30869C" w:rsidR="607F5F8B" w:rsidRPr="00424FC0" w:rsidRDefault="607F5F8B" w:rsidP="007D751C">
            <w:pPr>
              <w:spacing w:after="0" w:line="276" w:lineRule="auto"/>
              <w:jc w:val="center"/>
              <w:rPr>
                <w:noProof/>
                <w:szCs w:val="24"/>
              </w:rPr>
            </w:pPr>
            <w:r w:rsidRPr="00424FC0">
              <w:rPr>
                <w:noProof/>
                <w:color w:val="000000" w:themeColor="text1"/>
              </w:rPr>
              <w:t>252</w:t>
            </w:r>
          </w:p>
        </w:tc>
        <w:tc>
          <w:tcPr>
            <w:tcW w:w="1345" w:type="dxa"/>
            <w:tcBorders>
              <w:top w:val="single" w:sz="4" w:space="0" w:color="auto"/>
              <w:left w:val="single" w:sz="4" w:space="0" w:color="auto"/>
              <w:bottom w:val="single" w:sz="4" w:space="0" w:color="auto"/>
              <w:right w:val="single" w:sz="4" w:space="0" w:color="auto"/>
            </w:tcBorders>
            <w:vAlign w:val="center"/>
          </w:tcPr>
          <w:p w14:paraId="73807A34" w14:textId="52A8BC14" w:rsidR="607F5F8B" w:rsidRPr="00424FC0" w:rsidRDefault="607F5F8B" w:rsidP="007D751C">
            <w:pPr>
              <w:spacing w:after="0" w:line="276" w:lineRule="auto"/>
              <w:jc w:val="center"/>
              <w:rPr>
                <w:noProof/>
                <w:szCs w:val="24"/>
              </w:rPr>
            </w:pPr>
            <w:r w:rsidRPr="00424FC0">
              <w:rPr>
                <w:noProof/>
                <w:color w:val="000000" w:themeColor="text1"/>
              </w:rPr>
              <w:t>566</w:t>
            </w:r>
          </w:p>
        </w:tc>
        <w:tc>
          <w:tcPr>
            <w:tcW w:w="1025" w:type="dxa"/>
            <w:tcBorders>
              <w:top w:val="single" w:sz="4" w:space="0" w:color="auto"/>
              <w:left w:val="single" w:sz="4" w:space="0" w:color="auto"/>
              <w:bottom w:val="single" w:sz="4" w:space="0" w:color="auto"/>
              <w:right w:val="single" w:sz="4" w:space="0" w:color="auto"/>
            </w:tcBorders>
            <w:vAlign w:val="center"/>
          </w:tcPr>
          <w:p w14:paraId="122F88D9" w14:textId="2E4427F4" w:rsidR="607F5F8B" w:rsidRPr="00424FC0" w:rsidRDefault="607F5F8B" w:rsidP="007D751C">
            <w:pPr>
              <w:spacing w:after="0" w:line="276" w:lineRule="auto"/>
              <w:jc w:val="center"/>
              <w:rPr>
                <w:noProof/>
                <w:szCs w:val="24"/>
              </w:rPr>
            </w:pPr>
            <w:r w:rsidRPr="00424FC0">
              <w:rPr>
                <w:noProof/>
                <w:color w:val="000000" w:themeColor="text1"/>
              </w:rPr>
              <w:t>-</w:t>
            </w:r>
          </w:p>
        </w:tc>
      </w:tr>
      <w:tr w:rsidR="607F5F8B" w:rsidRPr="00424FC0" w14:paraId="05FC55E0"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B52D158" w14:textId="4CF5659F" w:rsidR="607F5F8B" w:rsidRPr="00424FC0" w:rsidRDefault="607F5F8B" w:rsidP="007D751C">
            <w:pPr>
              <w:spacing w:after="0" w:line="276" w:lineRule="auto"/>
              <w:jc w:val="left"/>
              <w:rPr>
                <w:noProof/>
                <w:szCs w:val="24"/>
              </w:rPr>
            </w:pPr>
            <w:r w:rsidRPr="00424FC0">
              <w:rPr>
                <w:noProof/>
                <w:color w:val="000000" w:themeColor="text1"/>
              </w:rPr>
              <w:t>2019</w:t>
            </w:r>
          </w:p>
        </w:tc>
        <w:tc>
          <w:tcPr>
            <w:tcW w:w="2000" w:type="dxa"/>
            <w:tcBorders>
              <w:top w:val="single" w:sz="4" w:space="0" w:color="auto"/>
              <w:left w:val="single" w:sz="4" w:space="0" w:color="auto"/>
              <w:bottom w:val="single" w:sz="4" w:space="0" w:color="auto"/>
              <w:right w:val="single" w:sz="4" w:space="0" w:color="auto"/>
            </w:tcBorders>
            <w:vAlign w:val="center"/>
          </w:tcPr>
          <w:p w14:paraId="48BE539D" w14:textId="0247B3F2" w:rsidR="607F5F8B" w:rsidRPr="00424FC0" w:rsidRDefault="607F5F8B" w:rsidP="007D751C">
            <w:pPr>
              <w:spacing w:after="0" w:line="276" w:lineRule="auto"/>
              <w:jc w:val="center"/>
              <w:rPr>
                <w:noProof/>
                <w:szCs w:val="24"/>
              </w:rPr>
            </w:pPr>
            <w:r w:rsidRPr="00424FC0">
              <w:rPr>
                <w:noProof/>
                <w:color w:val="000000" w:themeColor="text1"/>
              </w:rPr>
              <w:t>3 998</w:t>
            </w:r>
          </w:p>
        </w:tc>
        <w:tc>
          <w:tcPr>
            <w:tcW w:w="1921" w:type="dxa"/>
            <w:tcBorders>
              <w:top w:val="single" w:sz="4" w:space="0" w:color="auto"/>
              <w:left w:val="single" w:sz="4" w:space="0" w:color="auto"/>
              <w:bottom w:val="single" w:sz="4" w:space="0" w:color="auto"/>
              <w:right w:val="single" w:sz="4" w:space="0" w:color="auto"/>
            </w:tcBorders>
            <w:vAlign w:val="center"/>
          </w:tcPr>
          <w:p w14:paraId="255DB9A6" w14:textId="0D5355EC" w:rsidR="607F5F8B" w:rsidRPr="00424FC0" w:rsidRDefault="607F5F8B" w:rsidP="007D751C">
            <w:pPr>
              <w:spacing w:after="0" w:line="276" w:lineRule="auto"/>
              <w:jc w:val="center"/>
              <w:rPr>
                <w:noProof/>
                <w:szCs w:val="24"/>
              </w:rPr>
            </w:pPr>
            <w:r w:rsidRPr="00424FC0">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666835E9" w14:textId="13CEF327" w:rsidR="607F5F8B" w:rsidRPr="00424FC0" w:rsidRDefault="607F5F8B" w:rsidP="007D751C">
            <w:pPr>
              <w:spacing w:after="0" w:line="276" w:lineRule="auto"/>
              <w:jc w:val="center"/>
              <w:rPr>
                <w:noProof/>
                <w:szCs w:val="24"/>
              </w:rPr>
            </w:pPr>
            <w:r w:rsidRPr="00424FC0">
              <w:rPr>
                <w:noProof/>
                <w:color w:val="000000" w:themeColor="text1"/>
              </w:rPr>
              <w:t>1 100</w:t>
            </w:r>
          </w:p>
        </w:tc>
        <w:tc>
          <w:tcPr>
            <w:tcW w:w="1025" w:type="dxa"/>
            <w:tcBorders>
              <w:top w:val="single" w:sz="4" w:space="0" w:color="auto"/>
              <w:left w:val="single" w:sz="4" w:space="0" w:color="auto"/>
              <w:bottom w:val="single" w:sz="4" w:space="0" w:color="auto"/>
              <w:right w:val="single" w:sz="4" w:space="0" w:color="auto"/>
            </w:tcBorders>
            <w:vAlign w:val="center"/>
          </w:tcPr>
          <w:p w14:paraId="4C5E667D" w14:textId="05A46EC4" w:rsidR="607F5F8B" w:rsidRPr="00424FC0" w:rsidRDefault="607F5F8B" w:rsidP="007D751C">
            <w:pPr>
              <w:spacing w:after="0" w:line="276" w:lineRule="auto"/>
              <w:jc w:val="center"/>
              <w:rPr>
                <w:noProof/>
                <w:szCs w:val="24"/>
              </w:rPr>
            </w:pPr>
            <w:r w:rsidRPr="00424FC0">
              <w:rPr>
                <w:noProof/>
                <w:color w:val="000000" w:themeColor="text1"/>
              </w:rPr>
              <w:t>227</w:t>
            </w:r>
          </w:p>
        </w:tc>
      </w:tr>
      <w:tr w:rsidR="607F5F8B" w:rsidRPr="00424FC0" w14:paraId="6E365627"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EBCCB36" w14:textId="722BC74C" w:rsidR="607F5F8B" w:rsidRPr="00424FC0" w:rsidRDefault="607F5F8B" w:rsidP="007D751C">
            <w:pPr>
              <w:spacing w:after="0" w:line="276" w:lineRule="auto"/>
              <w:jc w:val="left"/>
              <w:rPr>
                <w:noProof/>
                <w:szCs w:val="24"/>
              </w:rPr>
            </w:pPr>
            <w:r w:rsidRPr="00424FC0">
              <w:rPr>
                <w:noProof/>
                <w:color w:val="000000" w:themeColor="text1"/>
              </w:rPr>
              <w:t>2020</w:t>
            </w:r>
          </w:p>
        </w:tc>
        <w:tc>
          <w:tcPr>
            <w:tcW w:w="2000" w:type="dxa"/>
            <w:tcBorders>
              <w:top w:val="single" w:sz="4" w:space="0" w:color="auto"/>
              <w:left w:val="single" w:sz="4" w:space="0" w:color="auto"/>
              <w:bottom w:val="single" w:sz="4" w:space="0" w:color="auto"/>
              <w:right w:val="single" w:sz="4" w:space="0" w:color="auto"/>
            </w:tcBorders>
            <w:vAlign w:val="center"/>
          </w:tcPr>
          <w:p w14:paraId="00D32922" w14:textId="611DCD6F" w:rsidR="607F5F8B" w:rsidRPr="00424FC0" w:rsidRDefault="607F5F8B" w:rsidP="007D751C">
            <w:pPr>
              <w:spacing w:after="0" w:line="276" w:lineRule="auto"/>
              <w:jc w:val="center"/>
              <w:rPr>
                <w:noProof/>
                <w:szCs w:val="24"/>
              </w:rPr>
            </w:pPr>
            <w:r w:rsidRPr="00424FC0">
              <w:rPr>
                <w:noProof/>
                <w:color w:val="000000" w:themeColor="text1"/>
              </w:rPr>
              <w:t>51 887</w:t>
            </w:r>
          </w:p>
        </w:tc>
        <w:tc>
          <w:tcPr>
            <w:tcW w:w="1921" w:type="dxa"/>
            <w:tcBorders>
              <w:top w:val="single" w:sz="4" w:space="0" w:color="auto"/>
              <w:left w:val="single" w:sz="4" w:space="0" w:color="auto"/>
              <w:bottom w:val="single" w:sz="4" w:space="0" w:color="auto"/>
              <w:right w:val="single" w:sz="4" w:space="0" w:color="auto"/>
            </w:tcBorders>
            <w:vAlign w:val="center"/>
          </w:tcPr>
          <w:p w14:paraId="7392227E" w14:textId="1EBC1DC1" w:rsidR="607F5F8B" w:rsidRPr="00424FC0" w:rsidRDefault="607F5F8B" w:rsidP="007D751C">
            <w:pPr>
              <w:spacing w:after="0" w:line="276" w:lineRule="auto"/>
              <w:jc w:val="center"/>
              <w:rPr>
                <w:noProof/>
                <w:szCs w:val="24"/>
              </w:rPr>
            </w:pPr>
            <w:r w:rsidRPr="00424FC0">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5A5CD9B7" w14:textId="31CE38B3" w:rsidR="607F5F8B" w:rsidRPr="00424FC0" w:rsidRDefault="607F5F8B" w:rsidP="007D751C">
            <w:pPr>
              <w:spacing w:after="0" w:line="276" w:lineRule="auto"/>
              <w:jc w:val="center"/>
              <w:rPr>
                <w:noProof/>
                <w:szCs w:val="24"/>
              </w:rPr>
            </w:pPr>
            <w:r w:rsidRPr="00424FC0">
              <w:rPr>
                <w:noProof/>
                <w:color w:val="000000" w:themeColor="text1"/>
              </w:rPr>
              <w:t>381</w:t>
            </w:r>
          </w:p>
        </w:tc>
        <w:tc>
          <w:tcPr>
            <w:tcW w:w="1025" w:type="dxa"/>
            <w:tcBorders>
              <w:top w:val="single" w:sz="4" w:space="0" w:color="auto"/>
              <w:left w:val="single" w:sz="4" w:space="0" w:color="auto"/>
              <w:bottom w:val="single" w:sz="4" w:space="0" w:color="auto"/>
              <w:right w:val="single" w:sz="4" w:space="0" w:color="auto"/>
            </w:tcBorders>
            <w:vAlign w:val="center"/>
          </w:tcPr>
          <w:p w14:paraId="4E4AE2A1" w14:textId="4F61FEB9" w:rsidR="607F5F8B" w:rsidRPr="00424FC0" w:rsidRDefault="607F5F8B" w:rsidP="007D751C">
            <w:pPr>
              <w:spacing w:after="0" w:line="276" w:lineRule="auto"/>
              <w:jc w:val="center"/>
              <w:rPr>
                <w:noProof/>
                <w:szCs w:val="24"/>
              </w:rPr>
            </w:pPr>
            <w:r w:rsidRPr="00424FC0">
              <w:rPr>
                <w:noProof/>
                <w:color w:val="000000" w:themeColor="text1"/>
              </w:rPr>
              <w:t>213</w:t>
            </w:r>
          </w:p>
        </w:tc>
      </w:tr>
      <w:tr w:rsidR="607F5F8B" w:rsidRPr="00424FC0" w14:paraId="17D344F9"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92CDD3A" w14:textId="69CC9BF0" w:rsidR="607F5F8B" w:rsidRPr="00424FC0" w:rsidRDefault="607F5F8B" w:rsidP="007D751C">
            <w:pPr>
              <w:spacing w:after="0" w:line="276" w:lineRule="auto"/>
              <w:jc w:val="left"/>
              <w:rPr>
                <w:noProof/>
                <w:szCs w:val="24"/>
              </w:rPr>
            </w:pPr>
            <w:r w:rsidRPr="00424FC0">
              <w:rPr>
                <w:noProof/>
                <w:color w:val="000000" w:themeColor="text1"/>
              </w:rPr>
              <w:t>2021</w:t>
            </w:r>
          </w:p>
        </w:tc>
        <w:tc>
          <w:tcPr>
            <w:tcW w:w="2000" w:type="dxa"/>
            <w:tcBorders>
              <w:top w:val="single" w:sz="4" w:space="0" w:color="auto"/>
              <w:left w:val="single" w:sz="4" w:space="0" w:color="auto"/>
              <w:bottom w:val="single" w:sz="4" w:space="0" w:color="auto"/>
              <w:right w:val="single" w:sz="4" w:space="0" w:color="auto"/>
            </w:tcBorders>
            <w:vAlign w:val="center"/>
          </w:tcPr>
          <w:p w14:paraId="44F79D4D" w14:textId="4F5F056C" w:rsidR="607F5F8B" w:rsidRPr="00424FC0" w:rsidRDefault="607F5F8B" w:rsidP="007D751C">
            <w:pPr>
              <w:spacing w:after="0" w:line="276" w:lineRule="auto"/>
              <w:jc w:val="center"/>
              <w:rPr>
                <w:noProof/>
                <w:szCs w:val="24"/>
              </w:rPr>
            </w:pPr>
            <w:r w:rsidRPr="00424FC0">
              <w:rPr>
                <w:noProof/>
                <w:color w:val="000000" w:themeColor="text1"/>
              </w:rPr>
              <w:t>22 380</w:t>
            </w:r>
          </w:p>
        </w:tc>
        <w:tc>
          <w:tcPr>
            <w:tcW w:w="1921" w:type="dxa"/>
            <w:tcBorders>
              <w:top w:val="single" w:sz="4" w:space="0" w:color="auto"/>
              <w:left w:val="single" w:sz="4" w:space="0" w:color="auto"/>
              <w:bottom w:val="single" w:sz="4" w:space="0" w:color="auto"/>
              <w:right w:val="single" w:sz="4" w:space="0" w:color="auto"/>
            </w:tcBorders>
            <w:vAlign w:val="center"/>
          </w:tcPr>
          <w:p w14:paraId="28146F42" w14:textId="0B5FE1DF" w:rsidR="607F5F8B" w:rsidRPr="00424FC0" w:rsidRDefault="607F5F8B" w:rsidP="007D751C">
            <w:pPr>
              <w:spacing w:after="0" w:line="276" w:lineRule="auto"/>
              <w:jc w:val="center"/>
              <w:rPr>
                <w:noProof/>
                <w:szCs w:val="24"/>
              </w:rPr>
            </w:pPr>
            <w:r w:rsidRPr="00424FC0">
              <w:rPr>
                <w:noProof/>
                <w:color w:val="000000" w:themeColor="text1"/>
              </w:rPr>
              <w:t>55 382</w:t>
            </w:r>
          </w:p>
        </w:tc>
        <w:tc>
          <w:tcPr>
            <w:tcW w:w="1345" w:type="dxa"/>
            <w:tcBorders>
              <w:top w:val="single" w:sz="4" w:space="0" w:color="auto"/>
              <w:left w:val="single" w:sz="4" w:space="0" w:color="auto"/>
              <w:bottom w:val="single" w:sz="4" w:space="0" w:color="auto"/>
              <w:right w:val="single" w:sz="4" w:space="0" w:color="auto"/>
            </w:tcBorders>
            <w:vAlign w:val="center"/>
          </w:tcPr>
          <w:p w14:paraId="27982A22" w14:textId="536D1362" w:rsidR="607F5F8B" w:rsidRPr="00424FC0" w:rsidRDefault="607F5F8B" w:rsidP="007D751C">
            <w:pPr>
              <w:spacing w:after="0" w:line="276" w:lineRule="auto"/>
              <w:jc w:val="center"/>
              <w:rPr>
                <w:noProof/>
                <w:szCs w:val="24"/>
              </w:rPr>
            </w:pPr>
            <w:r w:rsidRPr="00424FC0">
              <w:rPr>
                <w:noProof/>
                <w:color w:val="000000" w:themeColor="text1"/>
              </w:rPr>
              <w:t>333</w:t>
            </w:r>
          </w:p>
        </w:tc>
        <w:tc>
          <w:tcPr>
            <w:tcW w:w="1025" w:type="dxa"/>
            <w:tcBorders>
              <w:top w:val="single" w:sz="4" w:space="0" w:color="auto"/>
              <w:left w:val="single" w:sz="4" w:space="0" w:color="auto"/>
              <w:bottom w:val="single" w:sz="4" w:space="0" w:color="auto"/>
              <w:right w:val="single" w:sz="4" w:space="0" w:color="auto"/>
            </w:tcBorders>
            <w:vAlign w:val="center"/>
          </w:tcPr>
          <w:p w14:paraId="757409A1" w14:textId="7868CF1F" w:rsidR="607F5F8B" w:rsidRPr="00424FC0" w:rsidRDefault="607F5F8B" w:rsidP="007D751C">
            <w:pPr>
              <w:spacing w:after="0" w:line="276" w:lineRule="auto"/>
              <w:jc w:val="center"/>
              <w:rPr>
                <w:noProof/>
                <w:szCs w:val="24"/>
              </w:rPr>
            </w:pPr>
            <w:r w:rsidRPr="00424FC0">
              <w:rPr>
                <w:noProof/>
                <w:color w:val="000000" w:themeColor="text1"/>
              </w:rPr>
              <w:t>1 024</w:t>
            </w:r>
          </w:p>
        </w:tc>
      </w:tr>
      <w:tr w:rsidR="607F5F8B" w:rsidRPr="00424FC0" w14:paraId="33795F95"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608D706E" w14:textId="7BA353D7" w:rsidR="607F5F8B" w:rsidRPr="00424FC0" w:rsidRDefault="607F5F8B" w:rsidP="007D751C">
            <w:pPr>
              <w:spacing w:after="0" w:line="276" w:lineRule="auto"/>
              <w:jc w:val="left"/>
              <w:rPr>
                <w:noProof/>
                <w:szCs w:val="24"/>
              </w:rPr>
            </w:pPr>
            <w:r w:rsidRPr="00424FC0">
              <w:rPr>
                <w:noProof/>
                <w:color w:val="000000" w:themeColor="text1"/>
              </w:rPr>
              <w:t>2022</w:t>
            </w:r>
          </w:p>
        </w:tc>
        <w:tc>
          <w:tcPr>
            <w:tcW w:w="2000" w:type="dxa"/>
            <w:tcBorders>
              <w:top w:val="single" w:sz="4" w:space="0" w:color="auto"/>
              <w:left w:val="single" w:sz="4" w:space="0" w:color="auto"/>
              <w:bottom w:val="single" w:sz="4" w:space="0" w:color="auto"/>
              <w:right w:val="single" w:sz="4" w:space="0" w:color="auto"/>
            </w:tcBorders>
            <w:vAlign w:val="center"/>
          </w:tcPr>
          <w:p w14:paraId="3A6F79EB" w14:textId="67DED16B" w:rsidR="607F5F8B" w:rsidRPr="00424FC0" w:rsidRDefault="607F5F8B" w:rsidP="007D751C">
            <w:pPr>
              <w:spacing w:after="0" w:line="276" w:lineRule="auto"/>
              <w:jc w:val="center"/>
              <w:rPr>
                <w:noProof/>
                <w:szCs w:val="24"/>
              </w:rPr>
            </w:pPr>
            <w:r w:rsidRPr="00424FC0">
              <w:rPr>
                <w:noProof/>
                <w:color w:val="000000" w:themeColor="text1"/>
              </w:rPr>
              <w:t>13 576</w:t>
            </w:r>
          </w:p>
        </w:tc>
        <w:tc>
          <w:tcPr>
            <w:tcW w:w="1921" w:type="dxa"/>
            <w:tcBorders>
              <w:top w:val="single" w:sz="4" w:space="0" w:color="auto"/>
              <w:left w:val="single" w:sz="4" w:space="0" w:color="auto"/>
              <w:bottom w:val="single" w:sz="4" w:space="0" w:color="auto"/>
              <w:right w:val="single" w:sz="4" w:space="0" w:color="auto"/>
            </w:tcBorders>
            <w:vAlign w:val="center"/>
          </w:tcPr>
          <w:p w14:paraId="66AF992E" w14:textId="6A14EB22" w:rsidR="607F5F8B" w:rsidRPr="00424FC0" w:rsidRDefault="607F5F8B" w:rsidP="007D751C">
            <w:pPr>
              <w:spacing w:after="0" w:line="276" w:lineRule="auto"/>
              <w:jc w:val="center"/>
              <w:rPr>
                <w:noProof/>
                <w:szCs w:val="24"/>
              </w:rPr>
            </w:pPr>
            <w:r w:rsidRPr="00424FC0">
              <w:rPr>
                <w:noProof/>
                <w:color w:val="000000" w:themeColor="text1"/>
              </w:rPr>
              <w:t>2 476</w:t>
            </w:r>
          </w:p>
        </w:tc>
        <w:tc>
          <w:tcPr>
            <w:tcW w:w="1345" w:type="dxa"/>
            <w:tcBorders>
              <w:top w:val="single" w:sz="4" w:space="0" w:color="auto"/>
              <w:left w:val="single" w:sz="4" w:space="0" w:color="auto"/>
              <w:bottom w:val="single" w:sz="4" w:space="0" w:color="auto"/>
              <w:right w:val="single" w:sz="4" w:space="0" w:color="auto"/>
            </w:tcBorders>
            <w:vAlign w:val="center"/>
          </w:tcPr>
          <w:p w14:paraId="7B3D4A8C" w14:textId="3F8D5B75" w:rsidR="607F5F8B" w:rsidRPr="00424FC0" w:rsidRDefault="607F5F8B" w:rsidP="007D751C">
            <w:pPr>
              <w:spacing w:after="0" w:line="276" w:lineRule="auto"/>
              <w:jc w:val="center"/>
              <w:rPr>
                <w:noProof/>
                <w:szCs w:val="24"/>
              </w:rPr>
            </w:pPr>
            <w:r w:rsidRPr="00424FC0">
              <w:rPr>
                <w:noProof/>
                <w:color w:val="000000" w:themeColor="text1"/>
              </w:rPr>
              <w:t>2 696</w:t>
            </w:r>
          </w:p>
        </w:tc>
        <w:tc>
          <w:tcPr>
            <w:tcW w:w="1025" w:type="dxa"/>
            <w:tcBorders>
              <w:top w:val="single" w:sz="4" w:space="0" w:color="auto"/>
              <w:left w:val="single" w:sz="4" w:space="0" w:color="auto"/>
              <w:bottom w:val="single" w:sz="4" w:space="0" w:color="auto"/>
              <w:right w:val="single" w:sz="4" w:space="0" w:color="auto"/>
            </w:tcBorders>
            <w:vAlign w:val="center"/>
          </w:tcPr>
          <w:p w14:paraId="5DDE480B" w14:textId="6C95C63E" w:rsidR="607F5F8B" w:rsidRPr="00424FC0" w:rsidRDefault="607F5F8B" w:rsidP="007D751C">
            <w:pPr>
              <w:spacing w:after="0" w:line="276" w:lineRule="auto"/>
              <w:jc w:val="center"/>
              <w:rPr>
                <w:noProof/>
                <w:szCs w:val="24"/>
              </w:rPr>
            </w:pPr>
            <w:r w:rsidRPr="00424FC0">
              <w:rPr>
                <w:noProof/>
                <w:color w:val="000000" w:themeColor="text1"/>
              </w:rPr>
              <w:t>164</w:t>
            </w:r>
          </w:p>
        </w:tc>
      </w:tr>
      <w:tr w:rsidR="607F5F8B" w:rsidRPr="00424FC0" w14:paraId="7C47ACB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233BE857" w14:textId="3152A878" w:rsidR="607F5F8B" w:rsidRPr="00424FC0" w:rsidRDefault="607F5F8B" w:rsidP="007D751C">
            <w:pPr>
              <w:spacing w:after="0" w:line="276" w:lineRule="auto"/>
              <w:jc w:val="left"/>
              <w:rPr>
                <w:noProof/>
                <w:szCs w:val="24"/>
              </w:rPr>
            </w:pPr>
            <w:r w:rsidRPr="00424FC0">
              <w:rPr>
                <w:noProof/>
                <w:color w:val="000000" w:themeColor="text1"/>
              </w:rPr>
              <w:t>2023</w:t>
            </w:r>
          </w:p>
        </w:tc>
        <w:tc>
          <w:tcPr>
            <w:tcW w:w="2000" w:type="dxa"/>
            <w:tcBorders>
              <w:top w:val="single" w:sz="4" w:space="0" w:color="auto"/>
              <w:left w:val="single" w:sz="4" w:space="0" w:color="auto"/>
              <w:bottom w:val="single" w:sz="4" w:space="0" w:color="auto"/>
              <w:right w:val="single" w:sz="4" w:space="0" w:color="auto"/>
            </w:tcBorders>
            <w:vAlign w:val="center"/>
          </w:tcPr>
          <w:p w14:paraId="7FA111F8" w14:textId="2CFA64C2" w:rsidR="607F5F8B" w:rsidRPr="00424FC0" w:rsidRDefault="607F5F8B" w:rsidP="007D751C">
            <w:pPr>
              <w:spacing w:after="0" w:line="276" w:lineRule="auto"/>
              <w:jc w:val="center"/>
              <w:rPr>
                <w:noProof/>
                <w:szCs w:val="24"/>
              </w:rPr>
            </w:pPr>
            <w:r w:rsidRPr="00424FC0">
              <w:rPr>
                <w:noProof/>
                <w:color w:val="000000" w:themeColor="text1"/>
              </w:rPr>
              <w:t>5 303</w:t>
            </w:r>
          </w:p>
        </w:tc>
        <w:tc>
          <w:tcPr>
            <w:tcW w:w="1921" w:type="dxa"/>
            <w:tcBorders>
              <w:top w:val="single" w:sz="4" w:space="0" w:color="auto"/>
              <w:left w:val="single" w:sz="4" w:space="0" w:color="auto"/>
              <w:bottom w:val="single" w:sz="4" w:space="0" w:color="auto"/>
              <w:right w:val="single" w:sz="4" w:space="0" w:color="auto"/>
            </w:tcBorders>
            <w:vAlign w:val="center"/>
          </w:tcPr>
          <w:p w14:paraId="4168BB15" w14:textId="1CF8245F" w:rsidR="607F5F8B" w:rsidRPr="00424FC0" w:rsidRDefault="607F5F8B" w:rsidP="007D751C">
            <w:pPr>
              <w:spacing w:after="0" w:line="276" w:lineRule="auto"/>
              <w:jc w:val="center"/>
              <w:rPr>
                <w:noProof/>
                <w:szCs w:val="24"/>
              </w:rPr>
            </w:pPr>
            <w:r w:rsidRPr="00424FC0">
              <w:rPr>
                <w:noProof/>
                <w:color w:val="000000" w:themeColor="text1"/>
              </w:rPr>
              <w:t>2 362</w:t>
            </w:r>
          </w:p>
        </w:tc>
        <w:tc>
          <w:tcPr>
            <w:tcW w:w="1345" w:type="dxa"/>
            <w:tcBorders>
              <w:top w:val="single" w:sz="4" w:space="0" w:color="auto"/>
              <w:left w:val="single" w:sz="4" w:space="0" w:color="auto"/>
              <w:bottom w:val="single" w:sz="4" w:space="0" w:color="auto"/>
              <w:right w:val="single" w:sz="4" w:space="0" w:color="auto"/>
            </w:tcBorders>
            <w:vAlign w:val="center"/>
          </w:tcPr>
          <w:p w14:paraId="4CEC90E6" w14:textId="76980555" w:rsidR="607F5F8B" w:rsidRPr="00424FC0" w:rsidRDefault="607F5F8B" w:rsidP="007D751C">
            <w:pPr>
              <w:spacing w:after="0" w:line="276" w:lineRule="auto"/>
              <w:jc w:val="center"/>
              <w:rPr>
                <w:noProof/>
                <w:szCs w:val="24"/>
              </w:rPr>
            </w:pPr>
            <w:r w:rsidRPr="00424FC0">
              <w:rPr>
                <w:noProof/>
                <w:color w:val="000000" w:themeColor="text1"/>
              </w:rPr>
              <w:t>13 083</w:t>
            </w:r>
          </w:p>
        </w:tc>
        <w:tc>
          <w:tcPr>
            <w:tcW w:w="1025" w:type="dxa"/>
            <w:tcBorders>
              <w:top w:val="single" w:sz="4" w:space="0" w:color="auto"/>
              <w:left w:val="single" w:sz="4" w:space="0" w:color="auto"/>
              <w:bottom w:val="single" w:sz="4" w:space="0" w:color="auto"/>
              <w:right w:val="single" w:sz="4" w:space="0" w:color="auto"/>
            </w:tcBorders>
            <w:vAlign w:val="center"/>
          </w:tcPr>
          <w:p w14:paraId="615CCF5C" w14:textId="75CD1B0C" w:rsidR="607F5F8B" w:rsidRPr="00424FC0" w:rsidRDefault="607F5F8B" w:rsidP="007D751C">
            <w:pPr>
              <w:spacing w:after="0" w:line="276" w:lineRule="auto"/>
              <w:jc w:val="center"/>
              <w:rPr>
                <w:noProof/>
                <w:szCs w:val="24"/>
              </w:rPr>
            </w:pPr>
            <w:r w:rsidRPr="00424FC0">
              <w:rPr>
                <w:noProof/>
                <w:color w:val="000000" w:themeColor="text1"/>
              </w:rPr>
              <w:t>239</w:t>
            </w:r>
          </w:p>
        </w:tc>
      </w:tr>
      <w:tr w:rsidR="607F5F8B" w:rsidRPr="00424FC0" w14:paraId="59093C2C"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39168F04" w14:textId="733D3CF8" w:rsidR="607F5F8B" w:rsidRPr="00424FC0" w:rsidRDefault="607F5F8B" w:rsidP="007D751C">
            <w:pPr>
              <w:spacing w:after="0" w:line="276" w:lineRule="auto"/>
              <w:jc w:val="left"/>
              <w:rPr>
                <w:noProof/>
                <w:szCs w:val="24"/>
              </w:rPr>
            </w:pPr>
            <w:r w:rsidRPr="00424FC0">
              <w:rPr>
                <w:noProof/>
                <w:color w:val="000000" w:themeColor="text1"/>
              </w:rPr>
              <w:t>2024</w:t>
            </w:r>
          </w:p>
        </w:tc>
        <w:tc>
          <w:tcPr>
            <w:tcW w:w="2000" w:type="dxa"/>
            <w:tcBorders>
              <w:top w:val="single" w:sz="4" w:space="0" w:color="auto"/>
              <w:left w:val="single" w:sz="4" w:space="0" w:color="auto"/>
              <w:bottom w:val="single" w:sz="4" w:space="0" w:color="auto"/>
              <w:right w:val="single" w:sz="4" w:space="0" w:color="auto"/>
            </w:tcBorders>
            <w:vAlign w:val="center"/>
          </w:tcPr>
          <w:p w14:paraId="7E689609" w14:textId="41119041" w:rsidR="607F5F8B" w:rsidRPr="00424FC0" w:rsidRDefault="607F5F8B" w:rsidP="007D751C">
            <w:pPr>
              <w:spacing w:after="0" w:line="276" w:lineRule="auto"/>
              <w:jc w:val="center"/>
              <w:rPr>
                <w:noProof/>
                <w:szCs w:val="24"/>
              </w:rPr>
            </w:pPr>
            <w:r w:rsidRPr="00424FC0">
              <w:rPr>
                <w:noProof/>
                <w:color w:val="000000" w:themeColor="text1"/>
              </w:rPr>
              <w:t>1 481</w:t>
            </w:r>
          </w:p>
        </w:tc>
        <w:tc>
          <w:tcPr>
            <w:tcW w:w="1921" w:type="dxa"/>
            <w:tcBorders>
              <w:top w:val="single" w:sz="4" w:space="0" w:color="auto"/>
              <w:left w:val="single" w:sz="4" w:space="0" w:color="auto"/>
              <w:bottom w:val="single" w:sz="4" w:space="0" w:color="auto"/>
              <w:right w:val="single" w:sz="4" w:space="0" w:color="auto"/>
            </w:tcBorders>
            <w:vAlign w:val="center"/>
          </w:tcPr>
          <w:p w14:paraId="2153B64A" w14:textId="2E45BD35" w:rsidR="607F5F8B" w:rsidRPr="00424FC0" w:rsidRDefault="607F5F8B" w:rsidP="007D751C">
            <w:pPr>
              <w:spacing w:after="0" w:line="276" w:lineRule="auto"/>
              <w:jc w:val="center"/>
              <w:rPr>
                <w:noProof/>
                <w:szCs w:val="24"/>
              </w:rPr>
            </w:pPr>
            <w:r w:rsidRPr="00424FC0">
              <w:rPr>
                <w:noProof/>
                <w:color w:val="000000" w:themeColor="text1"/>
              </w:rPr>
              <w:t>334</w:t>
            </w:r>
          </w:p>
        </w:tc>
        <w:tc>
          <w:tcPr>
            <w:tcW w:w="1345" w:type="dxa"/>
            <w:tcBorders>
              <w:top w:val="single" w:sz="4" w:space="0" w:color="auto"/>
              <w:left w:val="single" w:sz="4" w:space="0" w:color="auto"/>
              <w:bottom w:val="single" w:sz="4" w:space="0" w:color="auto"/>
              <w:right w:val="single" w:sz="4" w:space="0" w:color="auto"/>
            </w:tcBorders>
            <w:vAlign w:val="center"/>
          </w:tcPr>
          <w:p w14:paraId="747DBED4" w14:textId="0C297AD9" w:rsidR="607F5F8B" w:rsidRPr="00424FC0" w:rsidRDefault="607F5F8B" w:rsidP="007D751C">
            <w:pPr>
              <w:spacing w:after="0" w:line="276" w:lineRule="auto"/>
              <w:jc w:val="center"/>
              <w:rPr>
                <w:noProof/>
                <w:szCs w:val="24"/>
              </w:rPr>
            </w:pPr>
            <w:r w:rsidRPr="00424FC0">
              <w:rPr>
                <w:noProof/>
                <w:color w:val="000000" w:themeColor="text1"/>
              </w:rPr>
              <w:t>280</w:t>
            </w:r>
          </w:p>
        </w:tc>
        <w:tc>
          <w:tcPr>
            <w:tcW w:w="1025" w:type="dxa"/>
            <w:tcBorders>
              <w:top w:val="single" w:sz="4" w:space="0" w:color="auto"/>
              <w:left w:val="single" w:sz="4" w:space="0" w:color="auto"/>
              <w:bottom w:val="single" w:sz="4" w:space="0" w:color="auto"/>
              <w:right w:val="single" w:sz="4" w:space="0" w:color="auto"/>
            </w:tcBorders>
            <w:vAlign w:val="center"/>
          </w:tcPr>
          <w:p w14:paraId="0D26ADEC" w14:textId="44785CF1" w:rsidR="607F5F8B" w:rsidRPr="00424FC0" w:rsidRDefault="607F5F8B" w:rsidP="007D751C">
            <w:pPr>
              <w:spacing w:after="0" w:line="276" w:lineRule="auto"/>
              <w:jc w:val="center"/>
              <w:rPr>
                <w:noProof/>
                <w:szCs w:val="24"/>
              </w:rPr>
            </w:pPr>
            <w:r w:rsidRPr="00424FC0">
              <w:rPr>
                <w:noProof/>
                <w:color w:val="000000" w:themeColor="text1"/>
              </w:rPr>
              <w:t>-</w:t>
            </w:r>
          </w:p>
        </w:tc>
      </w:tr>
    </w:tbl>
    <w:p w14:paraId="6902EAD8" w14:textId="59D7E98D" w:rsidR="607F5F8B" w:rsidRPr="00424FC0" w:rsidRDefault="00102DE7" w:rsidP="007D751C">
      <w:pPr>
        <w:pStyle w:val="Text2"/>
        <w:spacing w:line="276" w:lineRule="auto"/>
        <w:ind w:left="0" w:firstLine="482"/>
        <w:rPr>
          <w:noProof/>
          <w:sz w:val="20"/>
        </w:rPr>
      </w:pPr>
      <w:r w:rsidRPr="00424FC0">
        <w:rPr>
          <w:noProof/>
          <w:sz w:val="20"/>
        </w:rPr>
        <w:t>Sursă: Comisia Europeană, 2024</w:t>
      </w:r>
    </w:p>
    <w:p w14:paraId="53EB88F0" w14:textId="552C268B" w:rsidR="004D0F82" w:rsidRPr="00424FC0" w:rsidRDefault="00DA7940" w:rsidP="007D751C">
      <w:pPr>
        <w:pStyle w:val="Heading1"/>
        <w:spacing w:line="276" w:lineRule="auto"/>
        <w:rPr>
          <w:noProof/>
        </w:rPr>
      </w:pPr>
      <w:r w:rsidRPr="00424FC0">
        <w:rPr>
          <w:noProof/>
        </w:rPr>
        <w:t>Evaluarea finanțării publice din surse UE și naționale</w:t>
      </w:r>
    </w:p>
    <w:p w14:paraId="7B1C7DB7" w14:textId="19CF7EBC" w:rsidR="000D4ABD" w:rsidRPr="00424FC0" w:rsidRDefault="000D4ABD" w:rsidP="007D751C">
      <w:pPr>
        <w:pStyle w:val="Heading2"/>
        <w:spacing w:line="276" w:lineRule="auto"/>
        <w:rPr>
          <w:noProof/>
        </w:rPr>
      </w:pPr>
      <w:r w:rsidRPr="00424FC0">
        <w:rPr>
          <w:noProof/>
        </w:rPr>
        <w:t>Evaluarea efectului de levier</w:t>
      </w:r>
    </w:p>
    <w:p w14:paraId="4AFEE0D5" w14:textId="483DBCC7" w:rsidR="606F0325" w:rsidRPr="00424FC0" w:rsidRDefault="005F4417" w:rsidP="007D751C">
      <w:pPr>
        <w:pStyle w:val="Heading3"/>
        <w:spacing w:line="276" w:lineRule="auto"/>
        <w:rPr>
          <w:noProof/>
        </w:rPr>
      </w:pPr>
      <w:r w:rsidRPr="00424FC0">
        <w:rPr>
          <w:noProof/>
        </w:rPr>
        <w:t>Efectul multiplicator și efectul de levier al programelor UE</w:t>
      </w:r>
    </w:p>
    <w:p w14:paraId="393F5FB8" w14:textId="3663C53E" w:rsidR="00933377" w:rsidRPr="00424FC0" w:rsidRDefault="00933377" w:rsidP="0031363B">
      <w:pPr>
        <w:pStyle w:val="Text3"/>
        <w:spacing w:after="0" w:line="276" w:lineRule="auto"/>
        <w:ind w:left="0"/>
        <w:rPr>
          <w:i/>
          <w:iCs/>
          <w:noProof/>
        </w:rPr>
      </w:pPr>
      <w:r w:rsidRPr="00424FC0">
        <w:rPr>
          <w:i/>
          <w:noProof/>
        </w:rPr>
        <w:t>Tabelul 7: Bugetul UE și efectul de levier (în milioane EUR)</w:t>
      </w: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95"/>
        <w:gridCol w:w="1055"/>
        <w:gridCol w:w="1444"/>
        <w:gridCol w:w="1342"/>
        <w:gridCol w:w="1213"/>
        <w:gridCol w:w="1488"/>
      </w:tblGrid>
      <w:tr w:rsidR="0024404F" w:rsidRPr="00424FC0" w14:paraId="49CC0369" w14:textId="77777777" w:rsidTr="004E34F6">
        <w:trPr>
          <w:trHeight w:val="790"/>
        </w:trPr>
        <w:tc>
          <w:tcPr>
            <w:tcW w:w="2263" w:type="dxa"/>
            <w:vAlign w:val="center"/>
            <w:hideMark/>
          </w:tcPr>
          <w:p w14:paraId="1D390E05" w14:textId="77777777" w:rsidR="008C6B12" w:rsidRPr="00424FC0" w:rsidRDefault="008C6B12" w:rsidP="007D751C">
            <w:pPr>
              <w:spacing w:after="0" w:line="276" w:lineRule="auto"/>
              <w:jc w:val="left"/>
              <w:rPr>
                <w:noProof/>
                <w:color w:val="000000"/>
                <w:szCs w:val="24"/>
              </w:rPr>
            </w:pPr>
            <w:r w:rsidRPr="00424FC0">
              <w:rPr>
                <w:noProof/>
                <w:color w:val="000000"/>
              </w:rPr>
              <w:t xml:space="preserve"> </w:t>
            </w:r>
          </w:p>
        </w:tc>
        <w:tc>
          <w:tcPr>
            <w:tcW w:w="1087" w:type="dxa"/>
            <w:vAlign w:val="center"/>
            <w:hideMark/>
          </w:tcPr>
          <w:p w14:paraId="30DB8A1E" w14:textId="7DD1D3CB" w:rsidR="008C6B12" w:rsidRPr="00424FC0" w:rsidRDefault="008C6B12" w:rsidP="007D751C">
            <w:pPr>
              <w:spacing w:after="0" w:line="276" w:lineRule="auto"/>
              <w:jc w:val="center"/>
              <w:rPr>
                <w:b/>
                <w:bCs/>
                <w:noProof/>
                <w:color w:val="000000"/>
                <w:szCs w:val="24"/>
              </w:rPr>
            </w:pPr>
            <w:r w:rsidRPr="00424FC0">
              <w:rPr>
                <w:b/>
                <w:noProof/>
                <w:color w:val="000000"/>
              </w:rPr>
              <w:t>Bugetul UE</w:t>
            </w:r>
            <w:r w:rsidRPr="00424FC0">
              <w:rPr>
                <w:noProof/>
              </w:rPr>
              <w:t xml:space="preserve"> </w:t>
            </w:r>
            <w:r w:rsidRPr="00424FC0">
              <w:rPr>
                <w:noProof/>
              </w:rPr>
              <w:br/>
            </w:r>
            <w:r w:rsidRPr="00424FC0">
              <w:rPr>
                <w:noProof/>
                <w:color w:val="000000"/>
              </w:rPr>
              <w:t>A</w:t>
            </w:r>
          </w:p>
        </w:tc>
        <w:tc>
          <w:tcPr>
            <w:tcW w:w="1465" w:type="dxa"/>
            <w:vAlign w:val="center"/>
            <w:hideMark/>
          </w:tcPr>
          <w:p w14:paraId="714E727E" w14:textId="2B9FDF41" w:rsidR="008C6B12" w:rsidRPr="00424FC0" w:rsidRDefault="008C6B12" w:rsidP="007D751C">
            <w:pPr>
              <w:spacing w:after="0" w:line="276" w:lineRule="auto"/>
              <w:jc w:val="center"/>
              <w:rPr>
                <w:b/>
                <w:bCs/>
                <w:noProof/>
                <w:color w:val="000000"/>
                <w:szCs w:val="24"/>
              </w:rPr>
            </w:pPr>
            <w:r w:rsidRPr="00424FC0">
              <w:rPr>
                <w:b/>
                <w:noProof/>
                <w:color w:val="000000"/>
              </w:rPr>
              <w:t>Cofinanțare națională</w:t>
            </w:r>
            <w:r w:rsidRPr="00424FC0">
              <w:rPr>
                <w:noProof/>
              </w:rPr>
              <w:t xml:space="preserve"> </w:t>
            </w:r>
            <w:r w:rsidRPr="00424FC0">
              <w:rPr>
                <w:noProof/>
              </w:rPr>
              <w:br/>
            </w:r>
            <w:r w:rsidRPr="00424FC0">
              <w:rPr>
                <w:noProof/>
                <w:color w:val="000000"/>
              </w:rPr>
              <w:t>B</w:t>
            </w:r>
          </w:p>
        </w:tc>
        <w:tc>
          <w:tcPr>
            <w:tcW w:w="1417" w:type="dxa"/>
            <w:vAlign w:val="center"/>
            <w:hideMark/>
          </w:tcPr>
          <w:p w14:paraId="698B448E" w14:textId="6EF85F0B" w:rsidR="008C6B12" w:rsidRPr="00424FC0" w:rsidRDefault="008C6B12" w:rsidP="007D751C">
            <w:pPr>
              <w:spacing w:after="0" w:line="276" w:lineRule="auto"/>
              <w:jc w:val="center"/>
              <w:rPr>
                <w:b/>
                <w:bCs/>
                <w:noProof/>
                <w:color w:val="000000"/>
                <w:szCs w:val="24"/>
              </w:rPr>
            </w:pPr>
            <w:r w:rsidRPr="00424FC0">
              <w:rPr>
                <w:b/>
                <w:noProof/>
                <w:color w:val="000000"/>
              </w:rPr>
              <w:t>Investiții totale</w:t>
            </w:r>
            <w:r w:rsidRPr="00424FC0">
              <w:rPr>
                <w:noProof/>
              </w:rPr>
              <w:t xml:space="preserve"> </w:t>
            </w:r>
            <w:r w:rsidRPr="00424FC0">
              <w:rPr>
                <w:noProof/>
              </w:rPr>
              <w:br/>
            </w:r>
            <w:r w:rsidRPr="00424FC0">
              <w:rPr>
                <w:noProof/>
                <w:color w:val="000000"/>
              </w:rPr>
              <w:t>C</w:t>
            </w:r>
          </w:p>
        </w:tc>
        <w:tc>
          <w:tcPr>
            <w:tcW w:w="1266" w:type="dxa"/>
            <w:vAlign w:val="center"/>
            <w:hideMark/>
          </w:tcPr>
          <w:p w14:paraId="1ED1F44C" w14:textId="737938CE" w:rsidR="008C6B12" w:rsidRPr="00424FC0" w:rsidRDefault="003F7AB7" w:rsidP="007D751C">
            <w:pPr>
              <w:spacing w:after="0" w:line="276" w:lineRule="auto"/>
              <w:jc w:val="center"/>
              <w:rPr>
                <w:b/>
                <w:bCs/>
                <w:noProof/>
                <w:color w:val="000000"/>
                <w:szCs w:val="24"/>
              </w:rPr>
            </w:pPr>
            <w:r w:rsidRPr="00424FC0">
              <w:rPr>
                <w:b/>
                <w:noProof/>
                <w:color w:val="000000"/>
              </w:rPr>
              <w:t>efect de levier</w:t>
            </w:r>
            <w:r w:rsidRPr="00424FC0">
              <w:rPr>
                <w:noProof/>
                <w:color w:val="000000"/>
              </w:rPr>
              <w:t xml:space="preserve"> </w:t>
            </w:r>
            <w:r w:rsidRPr="00424FC0">
              <w:rPr>
                <w:noProof/>
              </w:rPr>
              <w:t xml:space="preserve"> </w:t>
            </w:r>
            <w:r w:rsidRPr="00424FC0">
              <w:rPr>
                <w:noProof/>
              </w:rPr>
              <w:cr/>
            </w:r>
            <w:r w:rsidRPr="00424FC0">
              <w:rPr>
                <w:noProof/>
              </w:rPr>
              <w:br/>
            </w:r>
            <w:r w:rsidRPr="00424FC0">
              <w:rPr>
                <w:noProof/>
                <w:color w:val="000000"/>
              </w:rPr>
              <w:t>(A+B)/A</w:t>
            </w:r>
          </w:p>
        </w:tc>
        <w:tc>
          <w:tcPr>
            <w:tcW w:w="1139" w:type="dxa"/>
            <w:vAlign w:val="center"/>
            <w:hideMark/>
          </w:tcPr>
          <w:p w14:paraId="7795D2FC" w14:textId="4325E104" w:rsidR="008C6B12" w:rsidRPr="00424FC0" w:rsidRDefault="008C6B12" w:rsidP="007D751C">
            <w:pPr>
              <w:spacing w:after="0" w:line="276" w:lineRule="auto"/>
              <w:jc w:val="center"/>
              <w:rPr>
                <w:b/>
                <w:bCs/>
                <w:noProof/>
                <w:color w:val="000000"/>
                <w:szCs w:val="24"/>
              </w:rPr>
            </w:pPr>
            <w:r w:rsidRPr="00424FC0">
              <w:rPr>
                <w:b/>
                <w:noProof/>
                <w:color w:val="000000"/>
              </w:rPr>
              <w:t>Multiplicator total</w:t>
            </w:r>
            <w:r w:rsidRPr="00424FC0">
              <w:rPr>
                <w:noProof/>
                <w:color w:val="000000"/>
              </w:rPr>
              <w:t xml:space="preserve"> </w:t>
            </w:r>
            <w:r w:rsidRPr="00424FC0">
              <w:rPr>
                <w:noProof/>
              </w:rPr>
              <w:t xml:space="preserve"> </w:t>
            </w:r>
            <w:r w:rsidRPr="00424FC0">
              <w:rPr>
                <w:noProof/>
              </w:rPr>
              <w:cr/>
            </w:r>
            <w:r w:rsidRPr="00424FC0">
              <w:rPr>
                <w:noProof/>
              </w:rPr>
              <w:br/>
            </w:r>
            <w:r w:rsidRPr="00424FC0">
              <w:rPr>
                <w:noProof/>
                <w:color w:val="000000"/>
              </w:rPr>
              <w:t>C/A</w:t>
            </w:r>
          </w:p>
        </w:tc>
      </w:tr>
      <w:tr w:rsidR="0024404F" w:rsidRPr="00424FC0" w14:paraId="07D97E22" w14:textId="77777777" w:rsidTr="004E34F6">
        <w:trPr>
          <w:trHeight w:val="530"/>
        </w:trPr>
        <w:tc>
          <w:tcPr>
            <w:tcW w:w="2263" w:type="dxa"/>
            <w:vAlign w:val="center"/>
            <w:hideMark/>
          </w:tcPr>
          <w:p w14:paraId="32ABA258" w14:textId="77777777" w:rsidR="008C6B12" w:rsidRPr="00424FC0" w:rsidRDefault="008C6B12" w:rsidP="007D751C">
            <w:pPr>
              <w:spacing w:after="0" w:line="276" w:lineRule="auto"/>
              <w:jc w:val="left"/>
              <w:rPr>
                <w:noProof/>
                <w:color w:val="000000"/>
                <w:szCs w:val="24"/>
              </w:rPr>
            </w:pPr>
            <w:r w:rsidRPr="00424FC0">
              <w:rPr>
                <w:noProof/>
                <w:color w:val="000000"/>
              </w:rPr>
              <w:t>Fondurile politicii de coeziune în perioada 2014-2020 </w:t>
            </w:r>
          </w:p>
        </w:tc>
        <w:tc>
          <w:tcPr>
            <w:tcW w:w="1087" w:type="dxa"/>
            <w:vAlign w:val="center"/>
            <w:hideMark/>
          </w:tcPr>
          <w:p w14:paraId="7D7FE394" w14:textId="64F8D843" w:rsidR="008C6B12" w:rsidRPr="00424FC0" w:rsidRDefault="008C6B12" w:rsidP="007D751C">
            <w:pPr>
              <w:spacing w:after="0" w:line="276" w:lineRule="auto"/>
              <w:jc w:val="center"/>
              <w:rPr>
                <w:noProof/>
                <w:color w:val="000000"/>
                <w:szCs w:val="24"/>
              </w:rPr>
            </w:pPr>
            <w:r w:rsidRPr="00424FC0">
              <w:rPr>
                <w:noProof/>
                <w:color w:val="000000"/>
              </w:rPr>
              <w:t>12 540</w:t>
            </w:r>
          </w:p>
        </w:tc>
        <w:tc>
          <w:tcPr>
            <w:tcW w:w="1465" w:type="dxa"/>
            <w:vAlign w:val="center"/>
            <w:hideMark/>
          </w:tcPr>
          <w:p w14:paraId="2E4AAE43" w14:textId="0A5853E8" w:rsidR="008C6B12" w:rsidRPr="00424FC0" w:rsidRDefault="008C6B12" w:rsidP="007D751C">
            <w:pPr>
              <w:spacing w:after="0" w:line="276" w:lineRule="auto"/>
              <w:jc w:val="center"/>
              <w:rPr>
                <w:noProof/>
                <w:color w:val="000000"/>
                <w:szCs w:val="24"/>
              </w:rPr>
            </w:pPr>
            <w:r w:rsidRPr="00424FC0">
              <w:rPr>
                <w:noProof/>
                <w:color w:val="000000"/>
              </w:rPr>
              <w:t>5 244</w:t>
            </w:r>
          </w:p>
        </w:tc>
        <w:tc>
          <w:tcPr>
            <w:tcW w:w="1417" w:type="dxa"/>
            <w:vAlign w:val="center"/>
            <w:hideMark/>
          </w:tcPr>
          <w:p w14:paraId="020BFFCF" w14:textId="1C230822" w:rsidR="008C6B12" w:rsidRPr="00424FC0" w:rsidRDefault="008C6B12" w:rsidP="007D751C">
            <w:pPr>
              <w:spacing w:after="0" w:line="276" w:lineRule="auto"/>
              <w:jc w:val="center"/>
              <w:rPr>
                <w:noProof/>
                <w:color w:val="000000"/>
                <w:szCs w:val="24"/>
                <w:lang w:eastAsia="en-IE"/>
              </w:rPr>
            </w:pPr>
          </w:p>
        </w:tc>
        <w:tc>
          <w:tcPr>
            <w:tcW w:w="1266" w:type="dxa"/>
            <w:vAlign w:val="center"/>
            <w:hideMark/>
          </w:tcPr>
          <w:p w14:paraId="216155E8" w14:textId="7997A486" w:rsidR="008C6B12" w:rsidRPr="00424FC0" w:rsidRDefault="008C6B12" w:rsidP="007D751C">
            <w:pPr>
              <w:spacing w:after="0" w:line="276" w:lineRule="auto"/>
              <w:jc w:val="center"/>
              <w:rPr>
                <w:noProof/>
                <w:color w:val="000000"/>
                <w:szCs w:val="24"/>
              </w:rPr>
            </w:pPr>
            <w:r w:rsidRPr="00424FC0">
              <w:rPr>
                <w:noProof/>
                <w:color w:val="000000"/>
              </w:rPr>
              <w:t>1,4</w:t>
            </w:r>
          </w:p>
        </w:tc>
        <w:tc>
          <w:tcPr>
            <w:tcW w:w="1139" w:type="dxa"/>
            <w:noWrap/>
            <w:vAlign w:val="center"/>
            <w:hideMark/>
          </w:tcPr>
          <w:p w14:paraId="2E29777B" w14:textId="2A304E4A" w:rsidR="008C6B12" w:rsidRPr="00424FC0" w:rsidRDefault="007F50DA" w:rsidP="007D751C">
            <w:pPr>
              <w:spacing w:after="0" w:line="276" w:lineRule="auto"/>
              <w:jc w:val="center"/>
              <w:rPr>
                <w:noProof/>
                <w:color w:val="000000"/>
                <w:szCs w:val="24"/>
              </w:rPr>
            </w:pPr>
            <w:r w:rsidRPr="00424FC0">
              <w:rPr>
                <w:noProof/>
                <w:color w:val="000000"/>
              </w:rPr>
              <w:t>N/A</w:t>
            </w:r>
          </w:p>
        </w:tc>
      </w:tr>
      <w:tr w:rsidR="0024404F" w:rsidRPr="00424FC0" w14:paraId="3AFB6EC0" w14:textId="77777777" w:rsidTr="004E34F6">
        <w:trPr>
          <w:trHeight w:val="530"/>
        </w:trPr>
        <w:tc>
          <w:tcPr>
            <w:tcW w:w="2263" w:type="dxa"/>
            <w:vAlign w:val="center"/>
            <w:hideMark/>
          </w:tcPr>
          <w:p w14:paraId="3DC886AA" w14:textId="77777777" w:rsidR="008C6B12" w:rsidRPr="00424FC0" w:rsidRDefault="008C6B12" w:rsidP="007D751C">
            <w:pPr>
              <w:spacing w:after="0" w:line="276" w:lineRule="auto"/>
              <w:jc w:val="left"/>
              <w:rPr>
                <w:noProof/>
                <w:color w:val="000000"/>
                <w:szCs w:val="24"/>
              </w:rPr>
            </w:pPr>
            <w:r w:rsidRPr="00424FC0">
              <w:rPr>
                <w:noProof/>
                <w:color w:val="000000"/>
              </w:rPr>
              <w:t>Fondurile politicii de coeziune în perioada 2021-2027 </w:t>
            </w:r>
          </w:p>
        </w:tc>
        <w:tc>
          <w:tcPr>
            <w:tcW w:w="1087" w:type="dxa"/>
            <w:vAlign w:val="center"/>
            <w:hideMark/>
          </w:tcPr>
          <w:p w14:paraId="50E2F6F5" w14:textId="3B3AD69B" w:rsidR="008C6B12" w:rsidRPr="00424FC0" w:rsidRDefault="008C6B12" w:rsidP="007D751C">
            <w:pPr>
              <w:spacing w:after="0" w:line="276" w:lineRule="auto"/>
              <w:jc w:val="center"/>
              <w:rPr>
                <w:noProof/>
                <w:color w:val="000000"/>
                <w:szCs w:val="24"/>
              </w:rPr>
            </w:pPr>
            <w:r w:rsidRPr="00424FC0">
              <w:rPr>
                <w:noProof/>
                <w:color w:val="000000"/>
              </w:rPr>
              <w:t>24 986</w:t>
            </w:r>
          </w:p>
        </w:tc>
        <w:tc>
          <w:tcPr>
            <w:tcW w:w="1465" w:type="dxa"/>
            <w:vAlign w:val="center"/>
            <w:hideMark/>
          </w:tcPr>
          <w:p w14:paraId="2E28EE9F" w14:textId="5B47CC74" w:rsidR="008C6B12" w:rsidRPr="00424FC0" w:rsidRDefault="008C6B12" w:rsidP="007D751C">
            <w:pPr>
              <w:spacing w:after="0" w:line="276" w:lineRule="auto"/>
              <w:jc w:val="center"/>
              <w:rPr>
                <w:noProof/>
                <w:color w:val="000000"/>
                <w:szCs w:val="24"/>
              </w:rPr>
            </w:pPr>
            <w:r w:rsidRPr="00424FC0">
              <w:rPr>
                <w:noProof/>
                <w:color w:val="000000"/>
              </w:rPr>
              <w:t>11 275</w:t>
            </w:r>
          </w:p>
        </w:tc>
        <w:tc>
          <w:tcPr>
            <w:tcW w:w="1417" w:type="dxa"/>
            <w:vAlign w:val="center"/>
            <w:hideMark/>
          </w:tcPr>
          <w:p w14:paraId="73570687" w14:textId="06FBD0E7" w:rsidR="008C6B12" w:rsidRPr="00424FC0" w:rsidRDefault="008C6B12" w:rsidP="007D751C">
            <w:pPr>
              <w:spacing w:after="0" w:line="276" w:lineRule="auto"/>
              <w:jc w:val="center"/>
              <w:rPr>
                <w:noProof/>
                <w:color w:val="000000"/>
                <w:szCs w:val="24"/>
                <w:lang w:eastAsia="en-IE"/>
              </w:rPr>
            </w:pPr>
          </w:p>
        </w:tc>
        <w:tc>
          <w:tcPr>
            <w:tcW w:w="1266" w:type="dxa"/>
            <w:vAlign w:val="center"/>
            <w:hideMark/>
          </w:tcPr>
          <w:p w14:paraId="6CA24ECB" w14:textId="6C7B574E" w:rsidR="008C6B12" w:rsidRPr="00424FC0" w:rsidRDefault="008C6B12" w:rsidP="007D751C">
            <w:pPr>
              <w:spacing w:after="0" w:line="276" w:lineRule="auto"/>
              <w:jc w:val="center"/>
              <w:rPr>
                <w:noProof/>
                <w:color w:val="000000"/>
                <w:szCs w:val="24"/>
              </w:rPr>
            </w:pPr>
            <w:r w:rsidRPr="00424FC0">
              <w:rPr>
                <w:noProof/>
                <w:color w:val="000000"/>
              </w:rPr>
              <w:t>1,5</w:t>
            </w:r>
          </w:p>
        </w:tc>
        <w:tc>
          <w:tcPr>
            <w:tcW w:w="1139" w:type="dxa"/>
            <w:noWrap/>
            <w:vAlign w:val="center"/>
            <w:hideMark/>
          </w:tcPr>
          <w:p w14:paraId="29B5B55D" w14:textId="1392855B" w:rsidR="008C6B12" w:rsidRPr="00424FC0" w:rsidRDefault="007F50DA" w:rsidP="007D751C">
            <w:pPr>
              <w:spacing w:after="0" w:line="276" w:lineRule="auto"/>
              <w:jc w:val="center"/>
              <w:rPr>
                <w:noProof/>
                <w:color w:val="000000"/>
                <w:szCs w:val="24"/>
              </w:rPr>
            </w:pPr>
            <w:r w:rsidRPr="00424FC0">
              <w:rPr>
                <w:noProof/>
                <w:color w:val="000000"/>
              </w:rPr>
              <w:t>N/A</w:t>
            </w:r>
          </w:p>
        </w:tc>
      </w:tr>
      <w:tr w:rsidR="0024404F" w:rsidRPr="00424FC0" w14:paraId="1BDBEEE6" w14:textId="77777777" w:rsidTr="004E34F6">
        <w:trPr>
          <w:trHeight w:val="563"/>
        </w:trPr>
        <w:tc>
          <w:tcPr>
            <w:tcW w:w="2263" w:type="dxa"/>
            <w:vAlign w:val="center"/>
            <w:hideMark/>
          </w:tcPr>
          <w:p w14:paraId="5AD49DE8" w14:textId="0192B317" w:rsidR="008C6B12" w:rsidRPr="00424FC0" w:rsidRDefault="008C6B12" w:rsidP="007D751C">
            <w:pPr>
              <w:spacing w:after="0" w:line="276" w:lineRule="auto"/>
              <w:jc w:val="left"/>
              <w:rPr>
                <w:noProof/>
                <w:color w:val="000000"/>
                <w:szCs w:val="24"/>
              </w:rPr>
            </w:pPr>
            <w:r w:rsidRPr="00424FC0">
              <w:rPr>
                <w:noProof/>
                <w:color w:val="000000"/>
              </w:rPr>
              <w:t>Fondurile politicii agricole în perioada 2014-2022</w:t>
            </w:r>
          </w:p>
        </w:tc>
        <w:tc>
          <w:tcPr>
            <w:tcW w:w="1087" w:type="dxa"/>
            <w:vAlign w:val="center"/>
            <w:hideMark/>
          </w:tcPr>
          <w:p w14:paraId="29BAA52C" w14:textId="3CD06376" w:rsidR="008C6B12" w:rsidRPr="00424FC0" w:rsidRDefault="008C6B12" w:rsidP="007D751C">
            <w:pPr>
              <w:spacing w:after="0" w:line="276" w:lineRule="auto"/>
              <w:jc w:val="center"/>
              <w:rPr>
                <w:noProof/>
                <w:color w:val="000000"/>
                <w:szCs w:val="24"/>
              </w:rPr>
            </w:pPr>
            <w:r w:rsidRPr="00424FC0">
              <w:rPr>
                <w:noProof/>
                <w:color w:val="000000"/>
              </w:rPr>
              <w:t>710</w:t>
            </w:r>
          </w:p>
        </w:tc>
        <w:tc>
          <w:tcPr>
            <w:tcW w:w="1465" w:type="dxa"/>
            <w:vAlign w:val="center"/>
            <w:hideMark/>
          </w:tcPr>
          <w:p w14:paraId="785F654B" w14:textId="0ACC078D"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7EBDE60E" w14:textId="2D3A23C4" w:rsidR="008C6B12" w:rsidRPr="00424FC0" w:rsidRDefault="008C6B12" w:rsidP="007D751C">
            <w:pPr>
              <w:spacing w:after="0" w:line="276" w:lineRule="auto"/>
              <w:jc w:val="center"/>
              <w:rPr>
                <w:noProof/>
                <w:color w:val="000000"/>
                <w:szCs w:val="24"/>
              </w:rPr>
            </w:pPr>
            <w:r w:rsidRPr="00424FC0">
              <w:rPr>
                <w:noProof/>
                <w:color w:val="000000"/>
              </w:rPr>
              <w:t>1 695</w:t>
            </w:r>
          </w:p>
        </w:tc>
        <w:tc>
          <w:tcPr>
            <w:tcW w:w="1266" w:type="dxa"/>
            <w:vAlign w:val="center"/>
            <w:hideMark/>
          </w:tcPr>
          <w:p w14:paraId="562F9202" w14:textId="23DA7669"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7A01385B" w14:textId="478C4621" w:rsidR="008C6B12" w:rsidRPr="00424FC0" w:rsidRDefault="008C6B12" w:rsidP="007D751C">
            <w:pPr>
              <w:spacing w:after="0" w:line="276" w:lineRule="auto"/>
              <w:jc w:val="center"/>
              <w:rPr>
                <w:noProof/>
                <w:color w:val="000000"/>
                <w:szCs w:val="24"/>
              </w:rPr>
            </w:pPr>
            <w:r w:rsidRPr="00424FC0">
              <w:rPr>
                <w:noProof/>
                <w:color w:val="000000"/>
              </w:rPr>
              <w:t>2,4</w:t>
            </w:r>
          </w:p>
        </w:tc>
      </w:tr>
      <w:tr w:rsidR="0024404F" w:rsidRPr="00424FC0" w14:paraId="771762C4" w14:textId="77777777" w:rsidTr="004E34F6">
        <w:trPr>
          <w:trHeight w:val="530"/>
        </w:trPr>
        <w:tc>
          <w:tcPr>
            <w:tcW w:w="2263" w:type="dxa"/>
            <w:vAlign w:val="center"/>
            <w:hideMark/>
          </w:tcPr>
          <w:p w14:paraId="5F68C080" w14:textId="77777777" w:rsidR="008C6B12" w:rsidRPr="00424FC0" w:rsidRDefault="008C6B12" w:rsidP="007D751C">
            <w:pPr>
              <w:spacing w:after="0" w:line="276" w:lineRule="auto"/>
              <w:jc w:val="left"/>
              <w:rPr>
                <w:noProof/>
                <w:color w:val="000000"/>
                <w:szCs w:val="24"/>
              </w:rPr>
            </w:pPr>
            <w:r w:rsidRPr="00424FC0">
              <w:rPr>
                <w:noProof/>
                <w:color w:val="000000"/>
              </w:rPr>
              <w:t>Mecanismul de redresare și reziliență </w:t>
            </w:r>
          </w:p>
        </w:tc>
        <w:tc>
          <w:tcPr>
            <w:tcW w:w="1087" w:type="dxa"/>
            <w:vAlign w:val="center"/>
            <w:hideMark/>
          </w:tcPr>
          <w:p w14:paraId="50ADCB43" w14:textId="167DCE31" w:rsidR="008C6B12" w:rsidRPr="00424FC0" w:rsidRDefault="008C6B12" w:rsidP="007D751C">
            <w:pPr>
              <w:spacing w:after="0" w:line="276" w:lineRule="auto"/>
              <w:jc w:val="center"/>
              <w:rPr>
                <w:noProof/>
                <w:color w:val="000000"/>
                <w:szCs w:val="24"/>
              </w:rPr>
            </w:pPr>
            <w:r w:rsidRPr="00424FC0">
              <w:rPr>
                <w:noProof/>
                <w:color w:val="000000"/>
              </w:rPr>
              <w:t>103 921</w:t>
            </w:r>
          </w:p>
        </w:tc>
        <w:tc>
          <w:tcPr>
            <w:tcW w:w="1465" w:type="dxa"/>
            <w:vAlign w:val="center"/>
            <w:hideMark/>
          </w:tcPr>
          <w:p w14:paraId="365B9E3C" w14:textId="2947F926"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73D235EA" w14:textId="171CBFE8" w:rsidR="008C6B12" w:rsidRPr="00424FC0" w:rsidRDefault="008C6B12" w:rsidP="007D751C">
            <w:pPr>
              <w:spacing w:after="0" w:line="276" w:lineRule="auto"/>
              <w:jc w:val="center"/>
              <w:rPr>
                <w:noProof/>
                <w:color w:val="000000"/>
                <w:szCs w:val="24"/>
                <w:lang w:eastAsia="en-IE"/>
              </w:rPr>
            </w:pPr>
          </w:p>
        </w:tc>
        <w:tc>
          <w:tcPr>
            <w:tcW w:w="1266" w:type="dxa"/>
            <w:vAlign w:val="center"/>
            <w:hideMark/>
          </w:tcPr>
          <w:p w14:paraId="626B5535" w14:textId="0AA9C3EA"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4AB0AE31" w14:textId="69C4014C" w:rsidR="008C6B12" w:rsidRPr="00424FC0" w:rsidRDefault="007A2C3E" w:rsidP="007D751C">
            <w:pPr>
              <w:spacing w:after="0" w:line="276" w:lineRule="auto"/>
              <w:jc w:val="center"/>
              <w:rPr>
                <w:noProof/>
                <w:color w:val="000000"/>
                <w:szCs w:val="24"/>
              </w:rPr>
            </w:pPr>
            <w:r w:rsidRPr="00424FC0">
              <w:rPr>
                <w:noProof/>
                <w:color w:val="000000"/>
              </w:rPr>
              <w:t>N/A</w:t>
            </w:r>
          </w:p>
        </w:tc>
      </w:tr>
      <w:tr w:rsidR="0024404F" w:rsidRPr="00424FC0" w14:paraId="2742A4C4" w14:textId="77777777" w:rsidTr="004E34F6">
        <w:trPr>
          <w:trHeight w:val="300"/>
        </w:trPr>
        <w:tc>
          <w:tcPr>
            <w:tcW w:w="2263" w:type="dxa"/>
            <w:vAlign w:val="center"/>
            <w:hideMark/>
          </w:tcPr>
          <w:p w14:paraId="5734F8A8" w14:textId="77777777" w:rsidR="008C6B12" w:rsidRPr="00424FC0" w:rsidRDefault="008C6B12" w:rsidP="007D751C">
            <w:pPr>
              <w:spacing w:after="0" w:line="276" w:lineRule="auto"/>
              <w:jc w:val="left"/>
              <w:rPr>
                <w:noProof/>
                <w:color w:val="000000"/>
                <w:szCs w:val="24"/>
              </w:rPr>
            </w:pPr>
            <w:r w:rsidRPr="00424FC0">
              <w:rPr>
                <w:noProof/>
                <w:color w:val="000000"/>
              </w:rPr>
              <w:t>Fondul pentru modernizare </w:t>
            </w:r>
          </w:p>
        </w:tc>
        <w:tc>
          <w:tcPr>
            <w:tcW w:w="1087" w:type="dxa"/>
            <w:vAlign w:val="center"/>
            <w:hideMark/>
          </w:tcPr>
          <w:p w14:paraId="26341DD3" w14:textId="06FCC65A" w:rsidR="008C6B12" w:rsidRPr="00424FC0" w:rsidRDefault="008C6B12" w:rsidP="007D751C">
            <w:pPr>
              <w:spacing w:after="0" w:line="276" w:lineRule="auto"/>
              <w:jc w:val="center"/>
              <w:rPr>
                <w:noProof/>
                <w:color w:val="000000"/>
                <w:szCs w:val="24"/>
              </w:rPr>
            </w:pPr>
            <w:r w:rsidRPr="00424FC0">
              <w:rPr>
                <w:noProof/>
                <w:color w:val="000000"/>
              </w:rPr>
              <w:t>3 085</w:t>
            </w:r>
          </w:p>
        </w:tc>
        <w:tc>
          <w:tcPr>
            <w:tcW w:w="1465" w:type="dxa"/>
            <w:vAlign w:val="center"/>
            <w:hideMark/>
          </w:tcPr>
          <w:p w14:paraId="3868E47F" w14:textId="492DEFC9"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2B12A27F" w14:textId="44FAED6A" w:rsidR="008C6B12" w:rsidRPr="00424FC0" w:rsidRDefault="008C6B12" w:rsidP="007D751C">
            <w:pPr>
              <w:spacing w:after="0" w:line="276" w:lineRule="auto"/>
              <w:jc w:val="center"/>
              <w:rPr>
                <w:noProof/>
                <w:color w:val="000000"/>
                <w:szCs w:val="24"/>
                <w:lang w:eastAsia="en-IE"/>
              </w:rPr>
            </w:pPr>
          </w:p>
        </w:tc>
        <w:tc>
          <w:tcPr>
            <w:tcW w:w="1266" w:type="dxa"/>
            <w:vAlign w:val="center"/>
            <w:hideMark/>
          </w:tcPr>
          <w:p w14:paraId="04F0AB1F" w14:textId="2DCD9D49"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1FE17498" w14:textId="70975C3F" w:rsidR="008C6B12" w:rsidRPr="00424FC0" w:rsidRDefault="007A2C3E" w:rsidP="007D751C">
            <w:pPr>
              <w:spacing w:after="0" w:line="276" w:lineRule="auto"/>
              <w:jc w:val="center"/>
              <w:rPr>
                <w:noProof/>
                <w:color w:val="000000"/>
                <w:szCs w:val="24"/>
              </w:rPr>
            </w:pPr>
            <w:r w:rsidRPr="00424FC0">
              <w:rPr>
                <w:noProof/>
                <w:color w:val="000000"/>
              </w:rPr>
              <w:t>N/A</w:t>
            </w:r>
          </w:p>
        </w:tc>
      </w:tr>
      <w:tr w:rsidR="0024404F" w:rsidRPr="00424FC0" w14:paraId="3C58B6A6" w14:textId="77777777" w:rsidTr="004E34F6">
        <w:trPr>
          <w:trHeight w:val="530"/>
        </w:trPr>
        <w:tc>
          <w:tcPr>
            <w:tcW w:w="2263" w:type="dxa"/>
            <w:vAlign w:val="center"/>
            <w:hideMark/>
          </w:tcPr>
          <w:p w14:paraId="42B7B9DC" w14:textId="77777777" w:rsidR="008C6B12" w:rsidRPr="00424FC0" w:rsidRDefault="008C6B12" w:rsidP="007D751C">
            <w:pPr>
              <w:spacing w:after="0" w:line="276" w:lineRule="auto"/>
              <w:jc w:val="left"/>
              <w:rPr>
                <w:noProof/>
                <w:color w:val="000000"/>
                <w:szCs w:val="24"/>
              </w:rPr>
            </w:pPr>
            <w:r w:rsidRPr="00424FC0">
              <w:rPr>
                <w:noProof/>
                <w:color w:val="000000"/>
              </w:rPr>
              <w:t>LIFE CET (cererile de propuneri 2021 și 2022)</w:t>
            </w:r>
          </w:p>
        </w:tc>
        <w:tc>
          <w:tcPr>
            <w:tcW w:w="1087" w:type="dxa"/>
            <w:vAlign w:val="center"/>
            <w:hideMark/>
          </w:tcPr>
          <w:p w14:paraId="1D6211C7" w14:textId="6DC2BC4F" w:rsidR="008C6B12" w:rsidRPr="00424FC0" w:rsidRDefault="008C6B12" w:rsidP="007D751C">
            <w:pPr>
              <w:spacing w:after="0" w:line="276" w:lineRule="auto"/>
              <w:jc w:val="center"/>
              <w:rPr>
                <w:noProof/>
                <w:color w:val="000000"/>
                <w:szCs w:val="24"/>
              </w:rPr>
            </w:pPr>
            <w:r w:rsidRPr="00424FC0">
              <w:rPr>
                <w:noProof/>
                <w:color w:val="000000"/>
              </w:rPr>
              <w:t>216</w:t>
            </w:r>
          </w:p>
        </w:tc>
        <w:tc>
          <w:tcPr>
            <w:tcW w:w="1465" w:type="dxa"/>
            <w:vAlign w:val="center"/>
            <w:hideMark/>
          </w:tcPr>
          <w:p w14:paraId="5650C580" w14:textId="0254C8B7"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73B5A0E7" w14:textId="76ABEC49" w:rsidR="008C6B12" w:rsidRPr="00424FC0" w:rsidRDefault="008C6B12" w:rsidP="007D751C">
            <w:pPr>
              <w:spacing w:after="0" w:line="276" w:lineRule="auto"/>
              <w:jc w:val="center"/>
              <w:rPr>
                <w:noProof/>
                <w:color w:val="000000"/>
                <w:szCs w:val="24"/>
              </w:rPr>
            </w:pPr>
            <w:r w:rsidRPr="00424FC0">
              <w:rPr>
                <w:noProof/>
                <w:color w:val="000000"/>
              </w:rPr>
              <w:t>8 640</w:t>
            </w:r>
          </w:p>
        </w:tc>
        <w:tc>
          <w:tcPr>
            <w:tcW w:w="1266" w:type="dxa"/>
            <w:vAlign w:val="center"/>
            <w:hideMark/>
          </w:tcPr>
          <w:p w14:paraId="19EAC338" w14:textId="4417B29D"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5E4FF436" w14:textId="6A76F28A" w:rsidR="008C6B12" w:rsidRPr="00424FC0" w:rsidRDefault="008C6B12" w:rsidP="007D751C">
            <w:pPr>
              <w:spacing w:after="0" w:line="276" w:lineRule="auto"/>
              <w:jc w:val="center"/>
              <w:rPr>
                <w:noProof/>
                <w:color w:val="000000"/>
                <w:szCs w:val="24"/>
              </w:rPr>
            </w:pPr>
            <w:r w:rsidRPr="00424FC0">
              <w:rPr>
                <w:noProof/>
                <w:color w:val="000000"/>
              </w:rPr>
              <w:t>40,0</w:t>
            </w:r>
          </w:p>
        </w:tc>
      </w:tr>
      <w:tr w:rsidR="0024404F" w:rsidRPr="00424FC0" w14:paraId="7EF3C7EF" w14:textId="77777777" w:rsidTr="004E34F6">
        <w:trPr>
          <w:trHeight w:val="300"/>
        </w:trPr>
        <w:tc>
          <w:tcPr>
            <w:tcW w:w="2263" w:type="dxa"/>
            <w:vAlign w:val="center"/>
            <w:hideMark/>
          </w:tcPr>
          <w:p w14:paraId="3263E1E3" w14:textId="77777777" w:rsidR="008C6B12" w:rsidRPr="00424FC0" w:rsidRDefault="008C6B12" w:rsidP="007D751C">
            <w:pPr>
              <w:spacing w:after="0" w:line="276" w:lineRule="auto"/>
              <w:jc w:val="left"/>
              <w:rPr>
                <w:noProof/>
                <w:color w:val="000000"/>
                <w:szCs w:val="24"/>
              </w:rPr>
            </w:pPr>
            <w:r w:rsidRPr="00424FC0">
              <w:rPr>
                <w:noProof/>
                <w:color w:val="000000"/>
              </w:rPr>
              <w:t>ELENA </w:t>
            </w:r>
          </w:p>
        </w:tc>
        <w:tc>
          <w:tcPr>
            <w:tcW w:w="1087" w:type="dxa"/>
            <w:vAlign w:val="center"/>
            <w:hideMark/>
          </w:tcPr>
          <w:p w14:paraId="3CDD844D" w14:textId="62BF24B3" w:rsidR="008C6B12" w:rsidRPr="00424FC0" w:rsidRDefault="008C6B12" w:rsidP="007D751C">
            <w:pPr>
              <w:spacing w:after="0" w:line="276" w:lineRule="auto"/>
              <w:jc w:val="center"/>
              <w:rPr>
                <w:noProof/>
                <w:color w:val="000000"/>
                <w:szCs w:val="24"/>
              </w:rPr>
            </w:pPr>
            <w:r w:rsidRPr="00424FC0">
              <w:rPr>
                <w:noProof/>
                <w:color w:val="000000"/>
              </w:rPr>
              <w:t>295</w:t>
            </w:r>
          </w:p>
        </w:tc>
        <w:tc>
          <w:tcPr>
            <w:tcW w:w="1465" w:type="dxa"/>
            <w:vAlign w:val="center"/>
            <w:hideMark/>
          </w:tcPr>
          <w:p w14:paraId="192958B7" w14:textId="09A4CE07"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623D16AE" w14:textId="6C9B9B34" w:rsidR="008C6B12" w:rsidRPr="00424FC0" w:rsidRDefault="008C6B12" w:rsidP="007D751C">
            <w:pPr>
              <w:spacing w:after="0" w:line="276" w:lineRule="auto"/>
              <w:jc w:val="center"/>
              <w:rPr>
                <w:noProof/>
                <w:color w:val="000000"/>
                <w:szCs w:val="24"/>
              </w:rPr>
            </w:pPr>
            <w:r w:rsidRPr="00424FC0">
              <w:rPr>
                <w:noProof/>
                <w:color w:val="000000"/>
              </w:rPr>
              <w:t>9 662</w:t>
            </w:r>
          </w:p>
        </w:tc>
        <w:tc>
          <w:tcPr>
            <w:tcW w:w="1266" w:type="dxa"/>
            <w:vAlign w:val="center"/>
            <w:hideMark/>
          </w:tcPr>
          <w:p w14:paraId="5C9C05DF" w14:textId="5C2C1A9C"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689A3518" w14:textId="41D155E2" w:rsidR="008C6B12" w:rsidRPr="00424FC0" w:rsidRDefault="008C6B12" w:rsidP="007D751C">
            <w:pPr>
              <w:spacing w:after="0" w:line="276" w:lineRule="auto"/>
              <w:jc w:val="center"/>
              <w:rPr>
                <w:noProof/>
                <w:color w:val="000000"/>
                <w:szCs w:val="24"/>
              </w:rPr>
            </w:pPr>
            <w:r w:rsidRPr="00424FC0">
              <w:rPr>
                <w:noProof/>
                <w:color w:val="000000"/>
              </w:rPr>
              <w:t>32,8</w:t>
            </w:r>
          </w:p>
        </w:tc>
      </w:tr>
      <w:tr w:rsidR="0024404F" w:rsidRPr="00424FC0" w14:paraId="784B4A08" w14:textId="77777777" w:rsidTr="004E34F6">
        <w:trPr>
          <w:trHeight w:val="300"/>
        </w:trPr>
        <w:tc>
          <w:tcPr>
            <w:tcW w:w="2263" w:type="dxa"/>
            <w:vAlign w:val="center"/>
            <w:hideMark/>
          </w:tcPr>
          <w:p w14:paraId="694A2371" w14:textId="77777777" w:rsidR="008C6B12" w:rsidRPr="00424FC0" w:rsidRDefault="008C6B12" w:rsidP="007D751C">
            <w:pPr>
              <w:spacing w:after="0" w:line="276" w:lineRule="auto"/>
              <w:jc w:val="left"/>
              <w:rPr>
                <w:noProof/>
                <w:color w:val="000000"/>
                <w:szCs w:val="24"/>
              </w:rPr>
            </w:pPr>
            <w:r w:rsidRPr="00424FC0">
              <w:rPr>
                <w:noProof/>
                <w:color w:val="000000"/>
              </w:rPr>
              <w:t>FEIS </w:t>
            </w:r>
          </w:p>
        </w:tc>
        <w:tc>
          <w:tcPr>
            <w:tcW w:w="1087" w:type="dxa"/>
            <w:vAlign w:val="center"/>
            <w:hideMark/>
          </w:tcPr>
          <w:p w14:paraId="5C3E9D8F" w14:textId="06EDC525" w:rsidR="008C6B12" w:rsidRPr="00424FC0" w:rsidRDefault="008C6B12" w:rsidP="007D751C">
            <w:pPr>
              <w:spacing w:after="0" w:line="276" w:lineRule="auto"/>
              <w:jc w:val="center"/>
              <w:rPr>
                <w:noProof/>
                <w:color w:val="000000"/>
                <w:szCs w:val="24"/>
              </w:rPr>
            </w:pPr>
            <w:r w:rsidRPr="00424FC0">
              <w:rPr>
                <w:noProof/>
                <w:color w:val="000000"/>
              </w:rPr>
              <w:t>1 624</w:t>
            </w:r>
          </w:p>
        </w:tc>
        <w:tc>
          <w:tcPr>
            <w:tcW w:w="1465" w:type="dxa"/>
            <w:vAlign w:val="center"/>
            <w:hideMark/>
          </w:tcPr>
          <w:p w14:paraId="692F6C49" w14:textId="1280A935"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5B5A1797" w14:textId="24277C9A" w:rsidR="008C6B12" w:rsidRPr="00424FC0" w:rsidRDefault="008C6B12" w:rsidP="007D751C">
            <w:pPr>
              <w:spacing w:after="0" w:line="276" w:lineRule="auto"/>
              <w:jc w:val="center"/>
              <w:rPr>
                <w:noProof/>
                <w:color w:val="000000"/>
                <w:szCs w:val="24"/>
              </w:rPr>
            </w:pPr>
            <w:r w:rsidRPr="00424FC0">
              <w:rPr>
                <w:noProof/>
                <w:color w:val="000000"/>
              </w:rPr>
              <w:t>25 400</w:t>
            </w:r>
          </w:p>
        </w:tc>
        <w:tc>
          <w:tcPr>
            <w:tcW w:w="1266" w:type="dxa"/>
            <w:vAlign w:val="center"/>
            <w:hideMark/>
          </w:tcPr>
          <w:p w14:paraId="2A47EB5A" w14:textId="2305A9E4"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241C99F6" w14:textId="71F4A2B2" w:rsidR="008C6B12" w:rsidRPr="00424FC0" w:rsidRDefault="008C6B12" w:rsidP="007D751C">
            <w:pPr>
              <w:spacing w:after="0" w:line="276" w:lineRule="auto"/>
              <w:jc w:val="center"/>
              <w:rPr>
                <w:noProof/>
                <w:color w:val="000000"/>
                <w:szCs w:val="24"/>
              </w:rPr>
            </w:pPr>
            <w:r w:rsidRPr="00424FC0">
              <w:rPr>
                <w:noProof/>
                <w:color w:val="000000"/>
              </w:rPr>
              <w:t>15,6</w:t>
            </w:r>
          </w:p>
        </w:tc>
      </w:tr>
      <w:tr w:rsidR="0024404F" w:rsidRPr="00424FC0" w14:paraId="5A624C42" w14:textId="77777777" w:rsidTr="004E34F6">
        <w:trPr>
          <w:trHeight w:val="300"/>
        </w:trPr>
        <w:tc>
          <w:tcPr>
            <w:tcW w:w="2263" w:type="dxa"/>
            <w:vAlign w:val="center"/>
            <w:hideMark/>
          </w:tcPr>
          <w:p w14:paraId="7B6402AC" w14:textId="77777777" w:rsidR="008C6B12" w:rsidRPr="00424FC0" w:rsidRDefault="008C6B12" w:rsidP="007D751C">
            <w:pPr>
              <w:spacing w:after="0" w:line="276" w:lineRule="auto"/>
              <w:jc w:val="left"/>
              <w:rPr>
                <w:noProof/>
                <w:color w:val="000000"/>
                <w:szCs w:val="24"/>
              </w:rPr>
            </w:pPr>
            <w:r w:rsidRPr="00424FC0">
              <w:rPr>
                <w:noProof/>
                <w:color w:val="000000"/>
              </w:rPr>
              <w:t>Programul InvestEU </w:t>
            </w:r>
          </w:p>
        </w:tc>
        <w:tc>
          <w:tcPr>
            <w:tcW w:w="1087" w:type="dxa"/>
            <w:vAlign w:val="center"/>
            <w:hideMark/>
          </w:tcPr>
          <w:p w14:paraId="46C784BC" w14:textId="5EA14C7D" w:rsidR="008C6B12" w:rsidRPr="00424FC0" w:rsidRDefault="008C6B12" w:rsidP="007D751C">
            <w:pPr>
              <w:spacing w:after="0" w:line="276" w:lineRule="auto"/>
              <w:jc w:val="center"/>
              <w:rPr>
                <w:noProof/>
                <w:color w:val="000000"/>
                <w:szCs w:val="24"/>
              </w:rPr>
            </w:pPr>
            <w:r w:rsidRPr="00424FC0">
              <w:rPr>
                <w:noProof/>
                <w:color w:val="000000"/>
              </w:rPr>
              <w:t>624</w:t>
            </w:r>
          </w:p>
        </w:tc>
        <w:tc>
          <w:tcPr>
            <w:tcW w:w="1465" w:type="dxa"/>
            <w:vAlign w:val="center"/>
            <w:hideMark/>
          </w:tcPr>
          <w:p w14:paraId="6F3BEAB3" w14:textId="6CE8055F" w:rsidR="008C6B12" w:rsidRPr="00424FC0" w:rsidRDefault="008C6B12" w:rsidP="007D751C">
            <w:pPr>
              <w:spacing w:after="0" w:line="276" w:lineRule="auto"/>
              <w:jc w:val="center"/>
              <w:rPr>
                <w:noProof/>
                <w:color w:val="000000"/>
                <w:szCs w:val="24"/>
                <w:lang w:eastAsia="en-IE"/>
              </w:rPr>
            </w:pPr>
          </w:p>
        </w:tc>
        <w:tc>
          <w:tcPr>
            <w:tcW w:w="1417" w:type="dxa"/>
            <w:vAlign w:val="center"/>
            <w:hideMark/>
          </w:tcPr>
          <w:p w14:paraId="68A7BD07" w14:textId="1B5F7367" w:rsidR="008C6B12" w:rsidRPr="00424FC0" w:rsidRDefault="008C6B12" w:rsidP="007D751C">
            <w:pPr>
              <w:spacing w:after="0" w:line="276" w:lineRule="auto"/>
              <w:jc w:val="center"/>
              <w:rPr>
                <w:noProof/>
                <w:color w:val="000000"/>
                <w:szCs w:val="24"/>
              </w:rPr>
            </w:pPr>
            <w:r w:rsidRPr="00424FC0">
              <w:rPr>
                <w:noProof/>
                <w:color w:val="000000"/>
              </w:rPr>
              <w:t>9 915</w:t>
            </w:r>
          </w:p>
        </w:tc>
        <w:tc>
          <w:tcPr>
            <w:tcW w:w="1266" w:type="dxa"/>
            <w:vAlign w:val="center"/>
            <w:hideMark/>
          </w:tcPr>
          <w:p w14:paraId="060B93E2" w14:textId="2B5353CA" w:rsidR="008C6B12" w:rsidRPr="00424FC0" w:rsidRDefault="008C6B12" w:rsidP="007D751C">
            <w:pPr>
              <w:spacing w:after="0" w:line="276" w:lineRule="auto"/>
              <w:jc w:val="center"/>
              <w:rPr>
                <w:noProof/>
                <w:color w:val="000000"/>
                <w:szCs w:val="24"/>
                <w:lang w:eastAsia="en-IE"/>
              </w:rPr>
            </w:pPr>
          </w:p>
        </w:tc>
        <w:tc>
          <w:tcPr>
            <w:tcW w:w="1139" w:type="dxa"/>
            <w:noWrap/>
            <w:vAlign w:val="center"/>
            <w:hideMark/>
          </w:tcPr>
          <w:p w14:paraId="0534EC85" w14:textId="3C7E132D" w:rsidR="008C6B12" w:rsidRPr="00424FC0" w:rsidRDefault="008C6B12" w:rsidP="007D751C">
            <w:pPr>
              <w:spacing w:after="0" w:line="276" w:lineRule="auto"/>
              <w:jc w:val="center"/>
              <w:rPr>
                <w:noProof/>
                <w:color w:val="000000"/>
                <w:szCs w:val="24"/>
              </w:rPr>
            </w:pPr>
            <w:r w:rsidRPr="00424FC0">
              <w:rPr>
                <w:noProof/>
                <w:color w:val="000000"/>
              </w:rPr>
              <w:t>15,9</w:t>
            </w:r>
          </w:p>
        </w:tc>
      </w:tr>
    </w:tbl>
    <w:p w14:paraId="2A742FE3" w14:textId="128B47F2" w:rsidR="00EC50D2" w:rsidRPr="00424FC0" w:rsidRDefault="003E00DB" w:rsidP="007D751C">
      <w:pPr>
        <w:pStyle w:val="Text2"/>
        <w:spacing w:line="276" w:lineRule="auto"/>
        <w:ind w:left="0"/>
        <w:rPr>
          <w:noProof/>
          <w:sz w:val="20"/>
        </w:rPr>
      </w:pPr>
      <w:r w:rsidRPr="00424FC0">
        <w:rPr>
          <w:noProof/>
          <w:sz w:val="20"/>
        </w:rPr>
        <w:t>Sursă: Comisia Europeană, 2024 și 2025</w:t>
      </w:r>
    </w:p>
    <w:p w14:paraId="318E00C6" w14:textId="66CDE444" w:rsidR="005C7B3A" w:rsidRPr="00424FC0" w:rsidRDefault="30FCA95D" w:rsidP="007D751C">
      <w:pPr>
        <w:pStyle w:val="Text2"/>
        <w:spacing w:line="276" w:lineRule="auto"/>
        <w:ind w:left="0"/>
        <w:rPr>
          <w:noProof/>
        </w:rPr>
      </w:pPr>
      <w:r w:rsidRPr="00424FC0">
        <w:rPr>
          <w:b/>
          <w:noProof/>
        </w:rPr>
        <w:t>Programele UE cu o proporție semnificativă de granturi au un efect de levier limitat asupra eficienței energetice.</w:t>
      </w:r>
      <w:r w:rsidRPr="00424FC0">
        <w:rPr>
          <w:noProof/>
        </w:rPr>
        <w:t xml:space="preserve"> Efectul de levier al fondurilor politicii de coeziune este mai mic de 1,5, ceea ce înseamnă că fiecare euro din bugetul Uniunii atrage aproximativ 50 de cenți de cofinanțare națională. Multiplicatorul total nu poate fi calculat, deoarece nu este posibilă furnizarea unei valori agregate pentru investițiile totale, inclusiv finanțarea privată.</w:t>
      </w:r>
    </w:p>
    <w:p w14:paraId="423A0ACC" w14:textId="5120C9EE" w:rsidR="30FCA95D" w:rsidRPr="00424FC0" w:rsidRDefault="005D19A0" w:rsidP="007D751C">
      <w:pPr>
        <w:pStyle w:val="Text2"/>
        <w:spacing w:line="276" w:lineRule="auto"/>
        <w:ind w:left="0"/>
        <w:rPr>
          <w:noProof/>
        </w:rPr>
      </w:pPr>
      <w:r w:rsidRPr="00424FC0">
        <w:rPr>
          <w:noProof/>
        </w:rPr>
        <w:t>În ceea ce privește fondurile agricole, multiplicatorul total este estimat la 2,4 pentru perioada 2014–2022. Multiplicatorul MRR și al Fondului pentru modernizare este dificil de estimat din cauza lipsei de date, dar, întrucât majoritatea fondurilor naționale acoperă doar o parte din investiția totală (între 20 % și 100 %), multiplicatorul public total poate fi estimat între 2 și 3.</w:t>
      </w:r>
    </w:p>
    <w:p w14:paraId="5609FDB1" w14:textId="7DBE7FB4" w:rsidR="005C7B3A" w:rsidRPr="00424FC0" w:rsidRDefault="64590605" w:rsidP="008C0B65">
      <w:pPr>
        <w:spacing w:after="120"/>
        <w:textAlignment w:val="baseline"/>
        <w:rPr>
          <w:noProof/>
        </w:rPr>
      </w:pPr>
      <w:r w:rsidRPr="00424FC0">
        <w:rPr>
          <w:b/>
          <w:noProof/>
        </w:rPr>
        <w:t>Fondurile politicii de coeziune încurajează utilizarea instrumentelor financiare, cu rezultate demonstrate.</w:t>
      </w:r>
      <w:r w:rsidRPr="00424FC0">
        <w:rPr>
          <w:noProof/>
        </w:rPr>
        <w:t xml:space="preserve"> În cadrul actualului CFM, 18,5 miliarde EUR au fost alocate instrumentelor financiare, din care 24 % urmează să fie direcționate către investiții în eficiența energetică (4,3 miliarde EUR). Deși clasificarea categoriilor de cheltuieli diferă între cele două perioade ale CFM, aceasta înseamnă că alocările din fondul de coeziune pentru instrumente financiare aproape s-au triplat comparativ cu perioada 2014–2020 (1,6 miliarde EUR) (</w:t>
      </w:r>
      <w:r w:rsidRPr="00424FC0">
        <w:rPr>
          <w:rStyle w:val="FootnoteReference"/>
          <w:noProof/>
        </w:rPr>
        <w:footnoteReference w:id="22"/>
      </w:r>
      <w:r w:rsidRPr="00424FC0">
        <w:rPr>
          <w:noProof/>
        </w:rPr>
        <w:t xml:space="preserve">). În cadrul fondurilor politicii de coeziune, majoritatea statelor membre sunt încurajate să utilizeze </w:t>
      </w:r>
      <w:r w:rsidRPr="00424FC0">
        <w:rPr>
          <w:b/>
          <w:noProof/>
        </w:rPr>
        <w:t>combinații de granturi și instrumente financiare într-o singură operațiune</w:t>
      </w:r>
      <w:r w:rsidRPr="00424FC0">
        <w:rPr>
          <w:noProof/>
        </w:rPr>
        <w:t>. Totuși, acest lucru nu se întâmplă în mod sistematic în toate statele membre, iar amploarea necesară nu este adesea încă atinsă.</w:t>
      </w:r>
    </w:p>
    <w:p w14:paraId="2117E665" w14:textId="1C9491CD" w:rsidR="00FC33CA" w:rsidRPr="00424FC0" w:rsidRDefault="002A42FC" w:rsidP="0042049C">
      <w:pPr>
        <w:pStyle w:val="Text2"/>
        <w:spacing w:line="276" w:lineRule="auto"/>
        <w:ind w:left="0"/>
        <w:rPr>
          <w:noProof/>
        </w:rPr>
      </w:pPr>
      <w:r w:rsidRPr="00424FC0">
        <w:rPr>
          <w:noProof/>
        </w:rPr>
        <w:t xml:space="preserve">Nu există date precise pentru fiecare obiectiv tematic, defalcate pe domenii (de exemplu, eficiența energetică), însă în perioada 2014–2020, instrumentele financiare din cadrul fondurilor politicii de coeziune au înregistrat un efect de levier de 3,8 la nivelul tuturor sectoarelor, valoare semnificativ peste media politicii de coeziune, de 1,4. Instrumentele financiare au mobilizat capital privat suplimentar echivalent cu 15 % din bugetul politicii de coeziune în perioada 2014-2020. </w:t>
      </w:r>
      <w:r w:rsidRPr="00424FC0">
        <w:rPr>
          <w:b/>
          <w:noProof/>
        </w:rPr>
        <w:t>Comisia, în cooperare cu BEI, oferă, de asemenea, diverse forme de sprijin tehnic pentru a încuraja adoptarea instrumentelor financiare în domeniul eficienței energetice</w:t>
      </w:r>
      <w:r w:rsidRPr="00424FC0">
        <w:rPr>
          <w:noProof/>
        </w:rPr>
        <w:t>, precum Modelul de instrument financiar pentru eficiență energetică (EEFI) (</w:t>
      </w:r>
      <w:r w:rsidRPr="00424FC0">
        <w:rPr>
          <w:rStyle w:val="FootnoteReference"/>
          <w:noProof/>
        </w:rPr>
        <w:footnoteReference w:id="23"/>
      </w:r>
      <w:r w:rsidRPr="00424FC0">
        <w:rPr>
          <w:noProof/>
        </w:rPr>
        <w:t>), platforma fi-compass,</w:t>
      </w:r>
      <w:r w:rsidRPr="00424FC0">
        <w:rPr>
          <w:b/>
          <w:noProof/>
        </w:rPr>
        <w:t xml:space="preserve"> </w:t>
      </w:r>
      <w:r w:rsidRPr="00424FC0">
        <w:rPr>
          <w:noProof/>
        </w:rPr>
        <w:t>Inițiativa de extindere a eficienței energetice (</w:t>
      </w:r>
      <w:r w:rsidRPr="00424FC0">
        <w:rPr>
          <w:rStyle w:val="FootnoteReference"/>
          <w:noProof/>
        </w:rPr>
        <w:footnoteReference w:id="24"/>
      </w:r>
      <w:r w:rsidRPr="00424FC0">
        <w:rPr>
          <w:noProof/>
        </w:rPr>
        <w:t>) și Coeziunea pentru tranziții (C4T) (</w:t>
      </w:r>
      <w:r w:rsidRPr="00424FC0">
        <w:rPr>
          <w:rStyle w:val="FootnoteReference"/>
          <w:noProof/>
        </w:rPr>
        <w:footnoteReference w:id="25"/>
      </w:r>
      <w:r w:rsidRPr="00424FC0">
        <w:rPr>
          <w:noProof/>
        </w:rPr>
        <w:t xml:space="preserve">). </w:t>
      </w:r>
    </w:p>
    <w:p w14:paraId="5E6BABD6" w14:textId="395EC20F" w:rsidR="005C7B3A" w:rsidRPr="00424FC0" w:rsidRDefault="2B74E15A" w:rsidP="007D751C">
      <w:pPr>
        <w:pStyle w:val="Text2"/>
        <w:spacing w:line="276" w:lineRule="auto"/>
        <w:ind w:left="0"/>
        <w:rPr>
          <w:noProof/>
        </w:rPr>
      </w:pPr>
      <w:r w:rsidRPr="00424FC0">
        <w:rPr>
          <w:b/>
          <w:noProof/>
        </w:rPr>
        <w:t xml:space="preserve">Programele UE care oferă asistență tehnică, garanții și măsuri de introducere pe piață prezintă un efect de levier foarte ridicat. </w:t>
      </w:r>
      <w:r w:rsidRPr="00424FC0">
        <w:rPr>
          <w:noProof/>
        </w:rPr>
        <w:t>În special, instrumentul ELENA, care oferă servicii de consiliere pentru proiectele locale din domeniul energiei și al mobilității, impunând un efect de levier minim de 10-20 din partea beneficiarilor proiectelor (în funcție de sector), și-a depășit cu mult obiectivul, înregistrând o valoare medie de 32.</w:t>
      </w:r>
    </w:p>
    <w:p w14:paraId="3CE3976F" w14:textId="61C824B5" w:rsidR="006B5C72" w:rsidRPr="00424FC0" w:rsidRDefault="16A806DA" w:rsidP="007D751C">
      <w:pPr>
        <w:pStyle w:val="Text2"/>
        <w:spacing w:line="276" w:lineRule="auto"/>
        <w:ind w:left="0"/>
        <w:rPr>
          <w:noProof/>
        </w:rPr>
      </w:pPr>
      <w:r w:rsidRPr="00424FC0">
        <w:rPr>
          <w:noProof/>
        </w:rPr>
        <w:t>Gestionat în prezent în cadrul programului InvestEU, instrumentul ELENA a utilizat cu succes resursele UE ca fonduri de demarare pentru portofolii de investiții locale în 25 din cele 27 de state membre. Un efect de levier de până la 40 a fost obținut de subprogramul LIFE „Tranziția către o energie curată” (LIFE CET), care include cerințe de cofinanțare și sprijină introducerea pe piață, dezvoltarea de proiecte și abordări inovatoare, precum instituirea de instrumente financiare pilot.</w:t>
      </w:r>
    </w:p>
    <w:p w14:paraId="6C6C26BC" w14:textId="66DF5CB4" w:rsidR="0B7AFC37" w:rsidRPr="00424FC0" w:rsidRDefault="7F91451A" w:rsidP="007D751C">
      <w:pPr>
        <w:pStyle w:val="Text2"/>
        <w:spacing w:line="276" w:lineRule="auto"/>
        <w:ind w:left="0"/>
        <w:rPr>
          <w:noProof/>
        </w:rPr>
      </w:pPr>
      <w:r w:rsidRPr="00424FC0">
        <w:rPr>
          <w:b/>
          <w:noProof/>
        </w:rPr>
        <w:t>Fondul european pentru investiții strategice (FEIS)</w:t>
      </w:r>
      <w:r w:rsidRPr="00424FC0">
        <w:rPr>
          <w:noProof/>
        </w:rPr>
        <w:t xml:space="preserve">, succedat de InvestEU începând din 2021, este un </w:t>
      </w:r>
      <w:r w:rsidRPr="00424FC0">
        <w:rPr>
          <w:b/>
          <w:noProof/>
        </w:rPr>
        <w:t>instrument de garantare intermediat</w:t>
      </w:r>
      <w:r w:rsidRPr="00424FC0">
        <w:rPr>
          <w:noProof/>
        </w:rPr>
        <w:t>, care urmărește reducerea deficitului de investiții din Europa prin atragerea de finanțare privată pentru proiecte din domenii precum inovarea, infrastructura, dezvoltarea socială și a competențelor și sprijinul pentru IMM-uri. FEIS a devenit cel mai important vehicul de investiții din cadrul bugetului Uniunii, având ca obiectiv mobilizarea a aproape 900 de miliarde EUR în perioada 2014–2027. FEIS a obținut un efect de levier de 15,6, valoare care se preconizează că va fi egalată de InvestEU.</w:t>
      </w:r>
    </w:p>
    <w:p w14:paraId="394A66EF" w14:textId="4949A077" w:rsidR="606F0325" w:rsidRPr="00424FC0" w:rsidRDefault="005F4417" w:rsidP="007D751C">
      <w:pPr>
        <w:pStyle w:val="Heading3"/>
        <w:spacing w:line="276" w:lineRule="auto"/>
        <w:rPr>
          <w:noProof/>
        </w:rPr>
      </w:pPr>
      <w:r w:rsidRPr="00424FC0">
        <w:rPr>
          <w:noProof/>
        </w:rPr>
        <w:t>Efectul multiplicator al programelor naționale de finanțare</w:t>
      </w:r>
    </w:p>
    <w:p w14:paraId="3B1C96D6" w14:textId="34607BE8" w:rsidR="000D4ABD" w:rsidRPr="00424FC0" w:rsidRDefault="005F4417" w:rsidP="007D751C">
      <w:pPr>
        <w:pStyle w:val="Text2"/>
        <w:spacing w:line="276" w:lineRule="auto"/>
        <w:ind w:left="0"/>
        <w:rPr>
          <w:noProof/>
        </w:rPr>
      </w:pPr>
      <w:r w:rsidRPr="00424FC0">
        <w:rPr>
          <w:b/>
          <w:noProof/>
        </w:rPr>
        <w:t>Datele privind multiplicatorii lipsesc pentru majoritatea schemelor naționale de sprijin</w:t>
      </w:r>
      <w:r w:rsidRPr="00424FC0">
        <w:rPr>
          <w:noProof/>
        </w:rPr>
        <w:t>. Cu toate acestea, există date privind investițiile private mobilizate prin resursele naționale pentru 71 de astfel de scheme.</w:t>
      </w:r>
    </w:p>
    <w:p w14:paraId="41A64101" w14:textId="3E10361E" w:rsidR="0069FD33" w:rsidRPr="00424FC0" w:rsidRDefault="0069FD33" w:rsidP="0031363B">
      <w:pPr>
        <w:pStyle w:val="Text2"/>
        <w:spacing w:after="0" w:line="276" w:lineRule="auto"/>
        <w:ind w:left="0"/>
        <w:rPr>
          <w:i/>
          <w:iCs/>
          <w:noProof/>
        </w:rPr>
      </w:pPr>
      <w:r w:rsidRPr="00424FC0">
        <w:rPr>
          <w:i/>
          <w:noProof/>
        </w:rPr>
        <w:t>Tabelul 8: Efectul de levier al schemelor naționale în materie de eficiență energetică</w:t>
      </w:r>
    </w:p>
    <w:tbl>
      <w:tblPr>
        <w:tblW w:w="8642" w:type="dxa"/>
        <w:tblLayout w:type="fixed"/>
        <w:tblCellMar>
          <w:left w:w="57" w:type="dxa"/>
          <w:right w:w="57" w:type="dxa"/>
        </w:tblCellMar>
        <w:tblLook w:val="04A0" w:firstRow="1" w:lastRow="0" w:firstColumn="1" w:lastColumn="0" w:noHBand="0" w:noVBand="1"/>
      </w:tblPr>
      <w:tblGrid>
        <w:gridCol w:w="1980"/>
        <w:gridCol w:w="1276"/>
        <w:gridCol w:w="1559"/>
        <w:gridCol w:w="1072"/>
        <w:gridCol w:w="1377"/>
        <w:gridCol w:w="1378"/>
      </w:tblGrid>
      <w:tr w:rsidR="00E74680" w:rsidRPr="00424FC0" w14:paraId="57F8EB16" w14:textId="77777777" w:rsidTr="004854A6">
        <w:trPr>
          <w:trHeight w:val="432"/>
        </w:trPr>
        <w:tc>
          <w:tcPr>
            <w:tcW w:w="1980" w:type="dxa"/>
            <w:tcBorders>
              <w:top w:val="single" w:sz="4" w:space="0" w:color="auto"/>
              <w:left w:val="single" w:sz="4" w:space="0" w:color="auto"/>
              <w:bottom w:val="single" w:sz="4" w:space="0" w:color="auto"/>
              <w:right w:val="single" w:sz="4" w:space="0" w:color="auto"/>
            </w:tcBorders>
            <w:vAlign w:val="center"/>
            <w:hideMark/>
          </w:tcPr>
          <w:p w14:paraId="78137FAE" w14:textId="1B12755B" w:rsidR="00E74680" w:rsidRPr="00424FC0" w:rsidRDefault="00E74680" w:rsidP="007D751C">
            <w:pPr>
              <w:spacing w:after="0" w:line="276" w:lineRule="auto"/>
              <w:jc w:val="center"/>
              <w:rPr>
                <w:noProof/>
                <w:color w:val="000000"/>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1F16307F" w14:textId="09585451" w:rsidR="00E74680" w:rsidRPr="00424FC0" w:rsidRDefault="008F40C9" w:rsidP="007D751C">
            <w:pPr>
              <w:spacing w:after="0" w:line="276" w:lineRule="auto"/>
              <w:jc w:val="center"/>
              <w:rPr>
                <w:b/>
                <w:bCs/>
                <w:noProof/>
                <w:color w:val="000000"/>
                <w:szCs w:val="24"/>
              </w:rPr>
            </w:pPr>
            <w:r w:rsidRPr="00424FC0">
              <w:rPr>
                <w:b/>
                <w:noProof/>
                <w:color w:val="000000"/>
              </w:rPr>
              <w:t>Număr de scheme</w:t>
            </w:r>
          </w:p>
        </w:tc>
        <w:tc>
          <w:tcPr>
            <w:tcW w:w="1559" w:type="dxa"/>
            <w:tcBorders>
              <w:top w:val="single" w:sz="4" w:space="0" w:color="auto"/>
              <w:left w:val="nil"/>
              <w:bottom w:val="single" w:sz="4" w:space="0" w:color="auto"/>
              <w:right w:val="single" w:sz="4" w:space="0" w:color="auto"/>
            </w:tcBorders>
            <w:noWrap/>
            <w:vAlign w:val="center"/>
            <w:hideMark/>
          </w:tcPr>
          <w:p w14:paraId="314F3C66" w14:textId="1CA75655" w:rsidR="00E74680" w:rsidRPr="00424FC0" w:rsidRDefault="008F40C9" w:rsidP="007D751C">
            <w:pPr>
              <w:spacing w:after="0" w:line="276" w:lineRule="auto"/>
              <w:jc w:val="center"/>
              <w:rPr>
                <w:b/>
                <w:bCs/>
                <w:noProof/>
                <w:color w:val="000000"/>
                <w:szCs w:val="24"/>
              </w:rPr>
            </w:pPr>
            <w:r w:rsidRPr="00424FC0">
              <w:rPr>
                <w:b/>
                <w:noProof/>
                <w:color w:val="000000" w:themeColor="text1"/>
              </w:rPr>
              <w:t>Pus în aplicare</w:t>
            </w:r>
          </w:p>
        </w:tc>
        <w:tc>
          <w:tcPr>
            <w:tcW w:w="1072" w:type="dxa"/>
            <w:tcBorders>
              <w:top w:val="single" w:sz="4" w:space="0" w:color="auto"/>
              <w:left w:val="nil"/>
              <w:bottom w:val="single" w:sz="4" w:space="0" w:color="auto"/>
              <w:right w:val="single" w:sz="4" w:space="0" w:color="auto"/>
            </w:tcBorders>
            <w:noWrap/>
            <w:vAlign w:val="center"/>
            <w:hideMark/>
          </w:tcPr>
          <w:p w14:paraId="47CCDABD" w14:textId="77777777" w:rsidR="00E74680" w:rsidRPr="00424FC0" w:rsidRDefault="00E74680" w:rsidP="007D751C">
            <w:pPr>
              <w:spacing w:after="0" w:line="276" w:lineRule="auto"/>
              <w:jc w:val="center"/>
              <w:rPr>
                <w:b/>
                <w:bCs/>
                <w:noProof/>
                <w:color w:val="000000"/>
                <w:szCs w:val="24"/>
              </w:rPr>
            </w:pPr>
            <w:r w:rsidRPr="00424FC0">
              <w:rPr>
                <w:b/>
                <w:noProof/>
                <w:color w:val="000000"/>
              </w:rPr>
              <w:t>Privat</w:t>
            </w:r>
          </w:p>
        </w:tc>
        <w:tc>
          <w:tcPr>
            <w:tcW w:w="1377" w:type="dxa"/>
            <w:tcBorders>
              <w:top w:val="single" w:sz="4" w:space="0" w:color="auto"/>
              <w:left w:val="nil"/>
              <w:bottom w:val="single" w:sz="4" w:space="0" w:color="auto"/>
              <w:right w:val="single" w:sz="4" w:space="0" w:color="auto"/>
            </w:tcBorders>
            <w:vAlign w:val="center"/>
          </w:tcPr>
          <w:p w14:paraId="10D5625C" w14:textId="5C938F1E" w:rsidR="40F08657" w:rsidRPr="00424FC0" w:rsidRDefault="5A46C11E" w:rsidP="007D751C">
            <w:pPr>
              <w:spacing w:after="0" w:line="276" w:lineRule="auto"/>
              <w:jc w:val="center"/>
              <w:rPr>
                <w:b/>
                <w:bCs/>
                <w:noProof/>
                <w:color w:val="000000" w:themeColor="text1"/>
                <w:szCs w:val="24"/>
              </w:rPr>
            </w:pPr>
            <w:r w:rsidRPr="00424FC0">
              <w:rPr>
                <w:b/>
                <w:noProof/>
                <w:color w:val="000000" w:themeColor="text1"/>
              </w:rPr>
              <w:t>Total</w:t>
            </w:r>
          </w:p>
        </w:tc>
        <w:tc>
          <w:tcPr>
            <w:tcW w:w="1378" w:type="dxa"/>
            <w:tcBorders>
              <w:top w:val="single" w:sz="4" w:space="0" w:color="auto"/>
              <w:left w:val="nil"/>
              <w:bottom w:val="single" w:sz="4" w:space="0" w:color="auto"/>
              <w:right w:val="single" w:sz="4" w:space="0" w:color="auto"/>
            </w:tcBorders>
            <w:noWrap/>
            <w:vAlign w:val="center"/>
            <w:hideMark/>
          </w:tcPr>
          <w:p w14:paraId="18F05BA8" w14:textId="5AA7C97A" w:rsidR="00E74680" w:rsidRPr="00424FC0" w:rsidRDefault="00781731" w:rsidP="007D751C">
            <w:pPr>
              <w:spacing w:after="0" w:line="276" w:lineRule="auto"/>
              <w:jc w:val="center"/>
              <w:rPr>
                <w:b/>
                <w:bCs/>
                <w:noProof/>
                <w:color w:val="000000"/>
                <w:szCs w:val="24"/>
              </w:rPr>
            </w:pPr>
            <w:r w:rsidRPr="00424FC0">
              <w:rPr>
                <w:b/>
                <w:noProof/>
                <w:color w:val="000000"/>
              </w:rPr>
              <w:t>Factor de multiplicare</w:t>
            </w:r>
          </w:p>
        </w:tc>
      </w:tr>
      <w:tr w:rsidR="00E74680" w:rsidRPr="00424FC0" w14:paraId="31F03B47"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035F8788" w14:textId="259EBEFB" w:rsidR="00E74680" w:rsidRPr="00424FC0" w:rsidRDefault="59A7CF69" w:rsidP="007D751C">
            <w:pPr>
              <w:spacing w:after="0" w:line="276" w:lineRule="auto"/>
              <w:jc w:val="left"/>
              <w:rPr>
                <w:b/>
                <w:bCs/>
                <w:noProof/>
                <w:color w:val="000000"/>
                <w:szCs w:val="24"/>
              </w:rPr>
            </w:pPr>
            <w:r w:rsidRPr="00424FC0">
              <w:rPr>
                <w:b/>
                <w:noProof/>
                <w:color w:val="000000" w:themeColor="text1"/>
              </w:rPr>
              <w:t>În total, din care:</w:t>
            </w:r>
          </w:p>
        </w:tc>
        <w:tc>
          <w:tcPr>
            <w:tcW w:w="1276" w:type="dxa"/>
            <w:tcBorders>
              <w:top w:val="nil"/>
              <w:left w:val="nil"/>
              <w:bottom w:val="single" w:sz="4" w:space="0" w:color="auto"/>
              <w:right w:val="single" w:sz="4" w:space="0" w:color="auto"/>
            </w:tcBorders>
            <w:noWrap/>
            <w:vAlign w:val="center"/>
            <w:hideMark/>
          </w:tcPr>
          <w:p w14:paraId="02DF2C66" w14:textId="031A2ED7" w:rsidR="00E74680" w:rsidRPr="00424FC0" w:rsidRDefault="00E74680" w:rsidP="007D751C">
            <w:pPr>
              <w:spacing w:after="0" w:line="276" w:lineRule="auto"/>
              <w:jc w:val="center"/>
              <w:rPr>
                <w:noProof/>
                <w:color w:val="000000"/>
                <w:szCs w:val="24"/>
              </w:rPr>
            </w:pPr>
            <w:r w:rsidRPr="00424FC0">
              <w:rPr>
                <w:noProof/>
                <w:color w:val="000000"/>
              </w:rPr>
              <w:t>71</w:t>
            </w:r>
          </w:p>
        </w:tc>
        <w:tc>
          <w:tcPr>
            <w:tcW w:w="1559" w:type="dxa"/>
            <w:tcBorders>
              <w:top w:val="nil"/>
              <w:left w:val="nil"/>
              <w:bottom w:val="single" w:sz="4" w:space="0" w:color="auto"/>
              <w:right w:val="single" w:sz="4" w:space="0" w:color="auto"/>
            </w:tcBorders>
            <w:noWrap/>
            <w:vAlign w:val="center"/>
            <w:hideMark/>
          </w:tcPr>
          <w:p w14:paraId="46B6FD2D" w14:textId="71E93BE9" w:rsidR="00E74680" w:rsidRPr="00424FC0" w:rsidRDefault="00BC2714" w:rsidP="007D751C">
            <w:pPr>
              <w:spacing w:after="0" w:line="276" w:lineRule="auto"/>
              <w:jc w:val="center"/>
              <w:rPr>
                <w:noProof/>
                <w:color w:val="000000"/>
                <w:szCs w:val="24"/>
              </w:rPr>
            </w:pPr>
            <w:r w:rsidRPr="00424FC0">
              <w:rPr>
                <w:noProof/>
                <w:color w:val="000000"/>
              </w:rPr>
              <w:t>36 394</w:t>
            </w:r>
          </w:p>
        </w:tc>
        <w:tc>
          <w:tcPr>
            <w:tcW w:w="1072" w:type="dxa"/>
            <w:tcBorders>
              <w:top w:val="nil"/>
              <w:left w:val="nil"/>
              <w:bottom w:val="single" w:sz="4" w:space="0" w:color="auto"/>
              <w:right w:val="single" w:sz="4" w:space="0" w:color="auto"/>
            </w:tcBorders>
            <w:noWrap/>
            <w:vAlign w:val="center"/>
            <w:hideMark/>
          </w:tcPr>
          <w:p w14:paraId="751B830F" w14:textId="1BAC5DBF" w:rsidR="00E74680" w:rsidRPr="00424FC0" w:rsidRDefault="00E74680" w:rsidP="007D751C">
            <w:pPr>
              <w:spacing w:after="0" w:line="276" w:lineRule="auto"/>
              <w:jc w:val="center"/>
              <w:rPr>
                <w:noProof/>
                <w:color w:val="000000"/>
                <w:szCs w:val="24"/>
              </w:rPr>
            </w:pPr>
            <w:r w:rsidRPr="00424FC0">
              <w:rPr>
                <w:noProof/>
                <w:color w:val="000000"/>
              </w:rPr>
              <w:t>56 045</w:t>
            </w:r>
          </w:p>
        </w:tc>
        <w:tc>
          <w:tcPr>
            <w:tcW w:w="1377" w:type="dxa"/>
            <w:tcBorders>
              <w:top w:val="nil"/>
              <w:left w:val="nil"/>
              <w:bottom w:val="single" w:sz="4" w:space="0" w:color="auto"/>
              <w:right w:val="single" w:sz="4" w:space="0" w:color="auto"/>
            </w:tcBorders>
            <w:vAlign w:val="center"/>
          </w:tcPr>
          <w:p w14:paraId="2645ACB1" w14:textId="3E9524DB" w:rsidR="40F08657" w:rsidRPr="00424FC0" w:rsidRDefault="2CE74395" w:rsidP="007D751C">
            <w:pPr>
              <w:spacing w:after="0" w:line="276" w:lineRule="auto"/>
              <w:jc w:val="center"/>
              <w:rPr>
                <w:noProof/>
                <w:color w:val="000000" w:themeColor="text1"/>
                <w:szCs w:val="24"/>
              </w:rPr>
            </w:pPr>
            <w:r w:rsidRPr="00424FC0">
              <w:rPr>
                <w:noProof/>
                <w:color w:val="000000" w:themeColor="text1"/>
              </w:rPr>
              <w:t>92 019</w:t>
            </w:r>
          </w:p>
        </w:tc>
        <w:tc>
          <w:tcPr>
            <w:tcW w:w="1378" w:type="dxa"/>
            <w:tcBorders>
              <w:top w:val="nil"/>
              <w:left w:val="nil"/>
              <w:bottom w:val="single" w:sz="4" w:space="0" w:color="auto"/>
              <w:right w:val="single" w:sz="4" w:space="0" w:color="auto"/>
            </w:tcBorders>
            <w:noWrap/>
            <w:vAlign w:val="center"/>
            <w:hideMark/>
          </w:tcPr>
          <w:p w14:paraId="3B7FD3E1" w14:textId="29C8F149" w:rsidR="00E74680" w:rsidRPr="00424FC0" w:rsidRDefault="355B290F" w:rsidP="007D751C">
            <w:pPr>
              <w:spacing w:after="0" w:line="276" w:lineRule="auto"/>
              <w:jc w:val="center"/>
              <w:rPr>
                <w:noProof/>
                <w:color w:val="000000"/>
                <w:szCs w:val="24"/>
              </w:rPr>
            </w:pPr>
            <w:r w:rsidRPr="00424FC0">
              <w:rPr>
                <w:noProof/>
                <w:color w:val="000000" w:themeColor="text1"/>
              </w:rPr>
              <w:t>2,5</w:t>
            </w:r>
          </w:p>
        </w:tc>
      </w:tr>
      <w:tr w:rsidR="00E74680" w:rsidRPr="00424FC0" w14:paraId="5FC8E270"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681ED2C8" w14:textId="2B90907D" w:rsidR="00E74680" w:rsidRPr="00424FC0" w:rsidRDefault="34A1C514" w:rsidP="007D751C">
            <w:pPr>
              <w:spacing w:after="0" w:line="276" w:lineRule="auto"/>
              <w:jc w:val="left"/>
              <w:rPr>
                <w:noProof/>
                <w:color w:val="000000"/>
                <w:szCs w:val="24"/>
              </w:rPr>
            </w:pPr>
            <w:r w:rsidRPr="00424FC0">
              <w:rPr>
                <w:noProof/>
                <w:color w:val="000000" w:themeColor="text1"/>
              </w:rPr>
              <w:t>Nerambursabile</w:t>
            </w:r>
          </w:p>
        </w:tc>
        <w:tc>
          <w:tcPr>
            <w:tcW w:w="1276" w:type="dxa"/>
            <w:tcBorders>
              <w:top w:val="nil"/>
              <w:left w:val="nil"/>
              <w:bottom w:val="single" w:sz="4" w:space="0" w:color="auto"/>
              <w:right w:val="single" w:sz="4" w:space="0" w:color="auto"/>
            </w:tcBorders>
            <w:noWrap/>
            <w:vAlign w:val="center"/>
            <w:hideMark/>
          </w:tcPr>
          <w:p w14:paraId="01892125" w14:textId="6DFE55EA" w:rsidR="00E74680" w:rsidRPr="00424FC0" w:rsidRDefault="59A7CF69" w:rsidP="007D751C">
            <w:pPr>
              <w:spacing w:after="0" w:line="276" w:lineRule="auto"/>
              <w:jc w:val="center"/>
              <w:rPr>
                <w:noProof/>
                <w:color w:val="000000"/>
                <w:szCs w:val="24"/>
              </w:rPr>
            </w:pPr>
            <w:r w:rsidRPr="00424FC0">
              <w:rPr>
                <w:noProof/>
                <w:color w:val="000000" w:themeColor="text1"/>
              </w:rPr>
              <w:t>58</w:t>
            </w:r>
          </w:p>
        </w:tc>
        <w:tc>
          <w:tcPr>
            <w:tcW w:w="1559" w:type="dxa"/>
            <w:tcBorders>
              <w:top w:val="nil"/>
              <w:left w:val="nil"/>
              <w:bottom w:val="single" w:sz="4" w:space="0" w:color="auto"/>
              <w:right w:val="single" w:sz="4" w:space="0" w:color="auto"/>
            </w:tcBorders>
            <w:noWrap/>
            <w:vAlign w:val="center"/>
            <w:hideMark/>
          </w:tcPr>
          <w:p w14:paraId="04C93DCB" w14:textId="5BA55714" w:rsidR="00E74680" w:rsidRPr="00424FC0" w:rsidRDefault="1B042F30" w:rsidP="007D751C">
            <w:pPr>
              <w:spacing w:after="0" w:line="276" w:lineRule="auto"/>
              <w:jc w:val="center"/>
              <w:rPr>
                <w:noProof/>
                <w:color w:val="000000"/>
                <w:szCs w:val="24"/>
              </w:rPr>
            </w:pPr>
            <w:r w:rsidRPr="00424FC0">
              <w:rPr>
                <w:noProof/>
                <w:color w:val="000000" w:themeColor="text1"/>
              </w:rPr>
              <w:t>30 651</w:t>
            </w:r>
          </w:p>
        </w:tc>
        <w:tc>
          <w:tcPr>
            <w:tcW w:w="1072" w:type="dxa"/>
            <w:tcBorders>
              <w:top w:val="nil"/>
              <w:left w:val="nil"/>
              <w:bottom w:val="single" w:sz="4" w:space="0" w:color="auto"/>
              <w:right w:val="single" w:sz="4" w:space="0" w:color="auto"/>
            </w:tcBorders>
            <w:noWrap/>
            <w:vAlign w:val="center"/>
            <w:hideMark/>
          </w:tcPr>
          <w:p w14:paraId="375454D0" w14:textId="57DF061D" w:rsidR="00E74680" w:rsidRPr="00424FC0" w:rsidRDefault="1B042F30" w:rsidP="007D751C">
            <w:pPr>
              <w:spacing w:after="0" w:line="276" w:lineRule="auto"/>
              <w:jc w:val="center"/>
              <w:rPr>
                <w:noProof/>
                <w:color w:val="000000"/>
                <w:szCs w:val="24"/>
              </w:rPr>
            </w:pPr>
            <w:r w:rsidRPr="00424FC0">
              <w:rPr>
                <w:noProof/>
                <w:color w:val="000000" w:themeColor="text1"/>
              </w:rPr>
              <w:t>40 037</w:t>
            </w:r>
          </w:p>
        </w:tc>
        <w:tc>
          <w:tcPr>
            <w:tcW w:w="1377" w:type="dxa"/>
            <w:tcBorders>
              <w:top w:val="nil"/>
              <w:left w:val="nil"/>
              <w:bottom w:val="single" w:sz="4" w:space="0" w:color="auto"/>
              <w:right w:val="single" w:sz="4" w:space="0" w:color="auto"/>
            </w:tcBorders>
            <w:vAlign w:val="center"/>
          </w:tcPr>
          <w:p w14:paraId="2E47A864" w14:textId="21FA671F" w:rsidR="40F08657" w:rsidRPr="00424FC0" w:rsidRDefault="6A837BF1" w:rsidP="007D751C">
            <w:pPr>
              <w:spacing w:after="0" w:line="276" w:lineRule="auto"/>
              <w:jc w:val="center"/>
              <w:rPr>
                <w:noProof/>
                <w:color w:val="000000" w:themeColor="text1"/>
                <w:szCs w:val="24"/>
              </w:rPr>
            </w:pPr>
            <w:r w:rsidRPr="00424FC0">
              <w:rPr>
                <w:noProof/>
                <w:color w:val="000000" w:themeColor="text1"/>
              </w:rPr>
              <w:t>70 268</w:t>
            </w:r>
          </w:p>
        </w:tc>
        <w:tc>
          <w:tcPr>
            <w:tcW w:w="1378" w:type="dxa"/>
            <w:tcBorders>
              <w:top w:val="nil"/>
              <w:left w:val="nil"/>
              <w:bottom w:val="single" w:sz="4" w:space="0" w:color="auto"/>
              <w:right w:val="single" w:sz="4" w:space="0" w:color="auto"/>
            </w:tcBorders>
            <w:noWrap/>
            <w:vAlign w:val="center"/>
            <w:hideMark/>
          </w:tcPr>
          <w:p w14:paraId="39467A26" w14:textId="1E52C8E9" w:rsidR="00E74680" w:rsidRPr="00424FC0" w:rsidRDefault="7BE72174" w:rsidP="007D751C">
            <w:pPr>
              <w:spacing w:after="0" w:line="276" w:lineRule="auto"/>
              <w:jc w:val="center"/>
              <w:rPr>
                <w:noProof/>
                <w:color w:val="000000"/>
                <w:szCs w:val="24"/>
              </w:rPr>
            </w:pPr>
            <w:r w:rsidRPr="00424FC0">
              <w:rPr>
                <w:noProof/>
                <w:color w:val="000000" w:themeColor="text1"/>
              </w:rPr>
              <w:t>2,3</w:t>
            </w:r>
          </w:p>
        </w:tc>
      </w:tr>
      <w:tr w:rsidR="54EFD67F" w:rsidRPr="00424FC0" w14:paraId="4CA97962"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1B927D41" w14:textId="42BFFF86" w:rsidR="582854C0" w:rsidRPr="00424FC0" w:rsidRDefault="456C377B" w:rsidP="007D751C">
            <w:pPr>
              <w:spacing w:after="0" w:line="276" w:lineRule="auto"/>
              <w:jc w:val="left"/>
              <w:rPr>
                <w:noProof/>
                <w:color w:val="000000" w:themeColor="text1"/>
                <w:szCs w:val="24"/>
              </w:rPr>
            </w:pPr>
            <w:r w:rsidRPr="00424FC0">
              <w:rPr>
                <w:noProof/>
                <w:color w:val="000000" w:themeColor="text1"/>
              </w:rPr>
              <w:t>Programe mixte + rambursabile</w:t>
            </w:r>
          </w:p>
        </w:tc>
        <w:tc>
          <w:tcPr>
            <w:tcW w:w="1276" w:type="dxa"/>
            <w:tcBorders>
              <w:top w:val="nil"/>
              <w:left w:val="nil"/>
              <w:bottom w:val="single" w:sz="4" w:space="0" w:color="auto"/>
              <w:right w:val="single" w:sz="4" w:space="0" w:color="auto"/>
            </w:tcBorders>
            <w:noWrap/>
            <w:vAlign w:val="center"/>
            <w:hideMark/>
          </w:tcPr>
          <w:p w14:paraId="2C2B7928" w14:textId="7190C898" w:rsidR="312E9A69" w:rsidRPr="00424FC0" w:rsidRDefault="312E9A69" w:rsidP="007D751C">
            <w:pPr>
              <w:spacing w:after="0" w:line="276" w:lineRule="auto"/>
              <w:jc w:val="center"/>
              <w:rPr>
                <w:noProof/>
                <w:color w:val="000000" w:themeColor="text1"/>
                <w:szCs w:val="24"/>
              </w:rPr>
            </w:pPr>
            <w:r w:rsidRPr="00424FC0">
              <w:rPr>
                <w:noProof/>
                <w:color w:val="000000" w:themeColor="text1"/>
              </w:rPr>
              <w:t>13</w:t>
            </w:r>
          </w:p>
        </w:tc>
        <w:tc>
          <w:tcPr>
            <w:tcW w:w="1559" w:type="dxa"/>
            <w:tcBorders>
              <w:top w:val="nil"/>
              <w:left w:val="nil"/>
              <w:bottom w:val="single" w:sz="4" w:space="0" w:color="auto"/>
              <w:right w:val="single" w:sz="4" w:space="0" w:color="auto"/>
            </w:tcBorders>
            <w:noWrap/>
            <w:vAlign w:val="center"/>
            <w:hideMark/>
          </w:tcPr>
          <w:p w14:paraId="05537A94" w14:textId="53CF4343" w:rsidR="312E9A69" w:rsidRPr="00424FC0" w:rsidRDefault="312E9A69" w:rsidP="007D751C">
            <w:pPr>
              <w:spacing w:after="0" w:line="276" w:lineRule="auto"/>
              <w:jc w:val="center"/>
              <w:rPr>
                <w:noProof/>
                <w:color w:val="000000" w:themeColor="text1"/>
                <w:szCs w:val="24"/>
              </w:rPr>
            </w:pPr>
            <w:r w:rsidRPr="00424FC0">
              <w:rPr>
                <w:noProof/>
                <w:color w:val="000000" w:themeColor="text1"/>
              </w:rPr>
              <w:t>5 743</w:t>
            </w:r>
          </w:p>
        </w:tc>
        <w:tc>
          <w:tcPr>
            <w:tcW w:w="1072" w:type="dxa"/>
            <w:tcBorders>
              <w:top w:val="nil"/>
              <w:left w:val="nil"/>
              <w:bottom w:val="single" w:sz="4" w:space="0" w:color="auto"/>
              <w:right w:val="single" w:sz="4" w:space="0" w:color="auto"/>
            </w:tcBorders>
            <w:noWrap/>
            <w:vAlign w:val="center"/>
            <w:hideMark/>
          </w:tcPr>
          <w:p w14:paraId="444831CD" w14:textId="515435C9" w:rsidR="312E9A69" w:rsidRPr="00424FC0" w:rsidRDefault="312E9A69" w:rsidP="007D751C">
            <w:pPr>
              <w:spacing w:after="0" w:line="276" w:lineRule="auto"/>
              <w:jc w:val="center"/>
              <w:rPr>
                <w:noProof/>
                <w:color w:val="000000" w:themeColor="text1"/>
                <w:szCs w:val="24"/>
              </w:rPr>
            </w:pPr>
            <w:r w:rsidRPr="00424FC0">
              <w:rPr>
                <w:noProof/>
                <w:color w:val="000000" w:themeColor="text1"/>
              </w:rPr>
              <w:t>16 008</w:t>
            </w:r>
          </w:p>
        </w:tc>
        <w:tc>
          <w:tcPr>
            <w:tcW w:w="1377" w:type="dxa"/>
            <w:tcBorders>
              <w:top w:val="nil"/>
              <w:left w:val="nil"/>
              <w:bottom w:val="single" w:sz="4" w:space="0" w:color="auto"/>
              <w:right w:val="single" w:sz="4" w:space="0" w:color="auto"/>
            </w:tcBorders>
            <w:vAlign w:val="center"/>
          </w:tcPr>
          <w:p w14:paraId="4D81A41B" w14:textId="26A02EB2" w:rsidR="312E9A69" w:rsidRPr="00424FC0" w:rsidRDefault="312E9A69" w:rsidP="007D751C">
            <w:pPr>
              <w:spacing w:after="0" w:line="276" w:lineRule="auto"/>
              <w:jc w:val="center"/>
              <w:rPr>
                <w:noProof/>
                <w:color w:val="000000" w:themeColor="text1"/>
                <w:szCs w:val="24"/>
              </w:rPr>
            </w:pPr>
            <w:r w:rsidRPr="00424FC0">
              <w:rPr>
                <w:noProof/>
                <w:color w:val="000000" w:themeColor="text1"/>
              </w:rPr>
              <w:t>21 751</w:t>
            </w:r>
          </w:p>
        </w:tc>
        <w:tc>
          <w:tcPr>
            <w:tcW w:w="1378" w:type="dxa"/>
            <w:tcBorders>
              <w:top w:val="nil"/>
              <w:left w:val="nil"/>
              <w:bottom w:val="single" w:sz="4" w:space="0" w:color="auto"/>
              <w:right w:val="single" w:sz="4" w:space="0" w:color="auto"/>
            </w:tcBorders>
            <w:noWrap/>
            <w:vAlign w:val="center"/>
            <w:hideMark/>
          </w:tcPr>
          <w:p w14:paraId="2A5BACC2" w14:textId="6A2C31DC" w:rsidR="312E9A69" w:rsidRPr="00424FC0" w:rsidRDefault="47D5A4CF" w:rsidP="007D751C">
            <w:pPr>
              <w:spacing w:after="0" w:line="276" w:lineRule="auto"/>
              <w:jc w:val="center"/>
              <w:rPr>
                <w:noProof/>
                <w:color w:val="000000" w:themeColor="text1"/>
                <w:szCs w:val="24"/>
              </w:rPr>
            </w:pPr>
            <w:r w:rsidRPr="00424FC0">
              <w:rPr>
                <w:noProof/>
                <w:color w:val="000000" w:themeColor="text1"/>
              </w:rPr>
              <w:t>3,8</w:t>
            </w:r>
          </w:p>
        </w:tc>
      </w:tr>
      <w:tr w:rsidR="004B5268" w:rsidRPr="00424FC0" w14:paraId="2FB56E7D" w14:textId="77777777" w:rsidTr="004854A6">
        <w:trPr>
          <w:trHeight w:val="300"/>
        </w:trPr>
        <w:tc>
          <w:tcPr>
            <w:tcW w:w="1980" w:type="dxa"/>
            <w:tcBorders>
              <w:top w:val="nil"/>
              <w:left w:val="single" w:sz="4" w:space="0" w:color="auto"/>
              <w:bottom w:val="single" w:sz="4" w:space="0" w:color="auto"/>
              <w:right w:val="single" w:sz="4" w:space="0" w:color="auto"/>
            </w:tcBorders>
            <w:vAlign w:val="center"/>
          </w:tcPr>
          <w:p w14:paraId="1BF49A43" w14:textId="55266581" w:rsidR="004B5268" w:rsidRPr="00424FC0" w:rsidRDefault="004B5268" w:rsidP="007D751C">
            <w:pPr>
              <w:spacing w:after="0" w:line="276" w:lineRule="auto"/>
              <w:jc w:val="right"/>
              <w:rPr>
                <w:i/>
                <w:iCs/>
                <w:noProof/>
                <w:color w:val="000000" w:themeColor="text1"/>
                <w:szCs w:val="24"/>
              </w:rPr>
            </w:pPr>
            <w:r w:rsidRPr="00424FC0">
              <w:rPr>
                <w:i/>
                <w:noProof/>
                <w:color w:val="000000" w:themeColor="text1"/>
              </w:rPr>
              <w:t>Rambursabile</w:t>
            </w:r>
          </w:p>
        </w:tc>
        <w:tc>
          <w:tcPr>
            <w:tcW w:w="1276" w:type="dxa"/>
            <w:tcBorders>
              <w:top w:val="nil"/>
              <w:left w:val="nil"/>
              <w:bottom w:val="single" w:sz="4" w:space="0" w:color="auto"/>
              <w:right w:val="single" w:sz="4" w:space="0" w:color="auto"/>
            </w:tcBorders>
            <w:noWrap/>
            <w:vAlign w:val="center"/>
          </w:tcPr>
          <w:p w14:paraId="11CECA0B" w14:textId="3D10E34D" w:rsidR="004B5268" w:rsidRPr="00424FC0" w:rsidRDefault="004B5268" w:rsidP="007D751C">
            <w:pPr>
              <w:spacing w:after="0" w:line="276" w:lineRule="auto"/>
              <w:jc w:val="center"/>
              <w:rPr>
                <w:i/>
                <w:iCs/>
                <w:noProof/>
                <w:color w:val="000000" w:themeColor="text1"/>
                <w:szCs w:val="24"/>
              </w:rPr>
            </w:pPr>
            <w:r w:rsidRPr="00424FC0">
              <w:rPr>
                <w:i/>
                <w:noProof/>
                <w:color w:val="000000" w:themeColor="text1"/>
              </w:rPr>
              <w:t>8</w:t>
            </w:r>
          </w:p>
        </w:tc>
        <w:tc>
          <w:tcPr>
            <w:tcW w:w="1559" w:type="dxa"/>
            <w:tcBorders>
              <w:top w:val="nil"/>
              <w:left w:val="nil"/>
              <w:bottom w:val="single" w:sz="4" w:space="0" w:color="auto"/>
              <w:right w:val="single" w:sz="4" w:space="0" w:color="auto"/>
            </w:tcBorders>
            <w:noWrap/>
            <w:vAlign w:val="center"/>
          </w:tcPr>
          <w:p w14:paraId="4529C955" w14:textId="4BECC7DB" w:rsidR="004B5268" w:rsidRPr="00424FC0" w:rsidRDefault="004B5268" w:rsidP="007D751C">
            <w:pPr>
              <w:spacing w:after="0" w:line="276" w:lineRule="auto"/>
              <w:jc w:val="center"/>
              <w:rPr>
                <w:i/>
                <w:iCs/>
                <w:noProof/>
                <w:color w:val="000000" w:themeColor="text1"/>
                <w:szCs w:val="24"/>
              </w:rPr>
            </w:pPr>
            <w:r w:rsidRPr="00424FC0">
              <w:rPr>
                <w:i/>
                <w:noProof/>
                <w:color w:val="000000" w:themeColor="text1"/>
              </w:rPr>
              <w:t>902</w:t>
            </w:r>
          </w:p>
        </w:tc>
        <w:tc>
          <w:tcPr>
            <w:tcW w:w="1072" w:type="dxa"/>
            <w:tcBorders>
              <w:top w:val="nil"/>
              <w:left w:val="nil"/>
              <w:bottom w:val="single" w:sz="4" w:space="0" w:color="auto"/>
              <w:right w:val="single" w:sz="4" w:space="0" w:color="auto"/>
            </w:tcBorders>
            <w:noWrap/>
            <w:vAlign w:val="center"/>
          </w:tcPr>
          <w:p w14:paraId="6F1DAAB3" w14:textId="29E5CDCF" w:rsidR="004B5268" w:rsidRPr="00424FC0" w:rsidRDefault="004B5268" w:rsidP="007D751C">
            <w:pPr>
              <w:spacing w:after="0" w:line="276" w:lineRule="auto"/>
              <w:jc w:val="center"/>
              <w:rPr>
                <w:i/>
                <w:iCs/>
                <w:noProof/>
                <w:color w:val="000000" w:themeColor="text1"/>
                <w:szCs w:val="24"/>
              </w:rPr>
            </w:pPr>
            <w:r w:rsidRPr="00424FC0">
              <w:rPr>
                <w:i/>
                <w:noProof/>
                <w:color w:val="000000" w:themeColor="text1"/>
              </w:rPr>
              <w:t>11 478</w:t>
            </w:r>
          </w:p>
        </w:tc>
        <w:tc>
          <w:tcPr>
            <w:tcW w:w="1377" w:type="dxa"/>
            <w:tcBorders>
              <w:top w:val="nil"/>
              <w:left w:val="nil"/>
              <w:bottom w:val="single" w:sz="4" w:space="0" w:color="auto"/>
              <w:right w:val="single" w:sz="4" w:space="0" w:color="auto"/>
            </w:tcBorders>
            <w:vAlign w:val="center"/>
          </w:tcPr>
          <w:p w14:paraId="602A99A6" w14:textId="70155590" w:rsidR="004B5268" w:rsidRPr="00424FC0" w:rsidRDefault="004B5268" w:rsidP="007D751C">
            <w:pPr>
              <w:spacing w:after="0" w:line="276" w:lineRule="auto"/>
              <w:jc w:val="center"/>
              <w:rPr>
                <w:i/>
                <w:iCs/>
                <w:noProof/>
                <w:color w:val="000000" w:themeColor="text1"/>
                <w:szCs w:val="24"/>
              </w:rPr>
            </w:pPr>
            <w:r w:rsidRPr="00424FC0">
              <w:rPr>
                <w:i/>
                <w:noProof/>
                <w:color w:val="000000" w:themeColor="text1"/>
              </w:rPr>
              <w:t>12 381</w:t>
            </w:r>
          </w:p>
        </w:tc>
        <w:tc>
          <w:tcPr>
            <w:tcW w:w="1378" w:type="dxa"/>
            <w:tcBorders>
              <w:top w:val="nil"/>
              <w:left w:val="nil"/>
              <w:bottom w:val="single" w:sz="4" w:space="0" w:color="auto"/>
              <w:right w:val="single" w:sz="4" w:space="0" w:color="auto"/>
            </w:tcBorders>
            <w:noWrap/>
            <w:vAlign w:val="center"/>
          </w:tcPr>
          <w:p w14:paraId="5D5562A0" w14:textId="7D806D92" w:rsidR="004B5268" w:rsidRPr="00424FC0" w:rsidRDefault="004B5268" w:rsidP="007D751C">
            <w:pPr>
              <w:spacing w:after="0" w:line="276" w:lineRule="auto"/>
              <w:jc w:val="center"/>
              <w:rPr>
                <w:i/>
                <w:iCs/>
                <w:noProof/>
                <w:color w:val="000000" w:themeColor="text1"/>
                <w:szCs w:val="24"/>
              </w:rPr>
            </w:pPr>
            <w:r w:rsidRPr="00424FC0">
              <w:rPr>
                <w:i/>
                <w:noProof/>
                <w:color w:val="000000" w:themeColor="text1"/>
              </w:rPr>
              <w:t>13,7</w:t>
            </w:r>
          </w:p>
        </w:tc>
      </w:tr>
    </w:tbl>
    <w:p w14:paraId="3A0BC1C3" w14:textId="369D1FCD" w:rsidR="00664EF8" w:rsidRPr="00424FC0" w:rsidRDefault="004E3B26" w:rsidP="007D751C">
      <w:pPr>
        <w:pStyle w:val="Text2"/>
        <w:spacing w:line="276" w:lineRule="auto"/>
        <w:ind w:left="0"/>
        <w:rPr>
          <w:noProof/>
          <w:sz w:val="20"/>
        </w:rPr>
      </w:pPr>
      <w:r w:rsidRPr="00424FC0">
        <w:rPr>
          <w:noProof/>
          <w:sz w:val="20"/>
        </w:rPr>
        <w:t>Sursă: Comisia Europeană, 2024</w:t>
      </w:r>
    </w:p>
    <w:p w14:paraId="2DA835F6" w14:textId="1EB180D1" w:rsidR="005C7B3A" w:rsidRPr="00424FC0" w:rsidRDefault="00867795" w:rsidP="007D751C">
      <w:pPr>
        <w:pStyle w:val="Text2"/>
        <w:spacing w:line="276" w:lineRule="auto"/>
        <w:ind w:left="0"/>
        <w:rPr>
          <w:noProof/>
        </w:rPr>
      </w:pPr>
      <w:r w:rsidRPr="00424FC0">
        <w:rPr>
          <w:noProof/>
        </w:rPr>
        <w:t xml:space="preserve">Multiplicatorul global prezentat în tabelul de mai sus ascunde diferențe semnificative între instrumentele utilizate. </w:t>
      </w:r>
      <w:r w:rsidRPr="00424FC0">
        <w:rPr>
          <w:b/>
          <w:noProof/>
        </w:rPr>
        <w:t>Schemele nerambursabile au un multiplicator mediu de 2,3</w:t>
      </w:r>
      <w:r w:rsidRPr="00424FC0">
        <w:rPr>
          <w:noProof/>
        </w:rPr>
        <w:t>, care poate fi interpretat și ca o intensitate medie a granturilor de aproximativ 30 %. Cu toate acestea, efectul de levier al investițiilor private crește la 2,4 atunci când există cofinanțare din partea UE, ceea ce indică faptul că aportul fondurilor UE contribuie la atragerea de investiții private suplimentare.</w:t>
      </w:r>
    </w:p>
    <w:p w14:paraId="1951208A" w14:textId="3F24D754" w:rsidR="0087594E" w:rsidRPr="00424FC0" w:rsidRDefault="00613A0B" w:rsidP="007D751C">
      <w:pPr>
        <w:pStyle w:val="Text2"/>
        <w:spacing w:line="276" w:lineRule="auto"/>
        <w:ind w:left="0"/>
        <w:rPr>
          <w:noProof/>
        </w:rPr>
      </w:pPr>
      <w:r w:rsidRPr="00424FC0">
        <w:rPr>
          <w:noProof/>
        </w:rPr>
        <w:t>Conform datelor disponibile, finanțarea UE tinde nu doar să substituie finanțarea națională, ci și să reducă cerințele de cofinanțare. O posibilă explicație este aceea că, prin creșterea intensității granturilor unui anumit program, cofinanțarea UE reduce necesitatea ca beneficiarii finali să coinvestească. În același timp, granturile din sectorul clădirilor – indiferent dacă sunt finanțate din surse UE sau naționale – sunt eficace atunci când vizează categorii specifice de proprietari (gospodării cu venituri reduse/IMM-uri), segmente de clădiri (clădirile cu cele mai slabe performanțe) sau renovări aprofundate care necesită investiții substanțiale.</w:t>
      </w:r>
    </w:p>
    <w:p w14:paraId="5A7E8F7A" w14:textId="0C972FB2" w:rsidR="00867795" w:rsidRPr="00424FC0" w:rsidRDefault="008153A1" w:rsidP="007D751C">
      <w:pPr>
        <w:pStyle w:val="Text2"/>
        <w:spacing w:line="276" w:lineRule="auto"/>
        <w:ind w:left="0"/>
        <w:rPr>
          <w:noProof/>
        </w:rPr>
      </w:pPr>
      <w:r w:rsidRPr="00424FC0">
        <w:rPr>
          <w:noProof/>
        </w:rPr>
        <w:t xml:space="preserve">În cazul instrumentelor financiare, multiplicatorul este mai dificil de evaluat, întrucât poate fi calculat numai pe baza bugetului executat, respectiv după realizarea investițiilor. </w:t>
      </w:r>
      <w:r w:rsidRPr="00424FC0">
        <w:rPr>
          <w:b/>
          <w:noProof/>
        </w:rPr>
        <w:t>Multiplicatorul schemelor rambursabile este estimat la aproape 14</w:t>
      </w:r>
      <w:r w:rsidRPr="00424FC0">
        <w:rPr>
          <w:noProof/>
        </w:rPr>
        <w:t>, valoare care este în concordanță cu efectul multiplicator observat pentru InvestEU. Totuși, volumul instrumentelor financiare pentru care există date fiabile este extrem de limitat (900 de milioane EUR plătite pe parcursul a 10 ani).</w:t>
      </w:r>
    </w:p>
    <w:p w14:paraId="194D5A80" w14:textId="4E02DCCE" w:rsidR="00867795" w:rsidRPr="00424FC0" w:rsidRDefault="00867795" w:rsidP="007D751C">
      <w:pPr>
        <w:pStyle w:val="Text2"/>
        <w:spacing w:line="276" w:lineRule="auto"/>
        <w:ind w:left="0"/>
        <w:rPr>
          <w:noProof/>
        </w:rPr>
      </w:pPr>
      <w:r w:rsidRPr="00424FC0">
        <w:rPr>
          <w:noProof/>
        </w:rPr>
        <w:t xml:space="preserve">În concluzie, din cauza eterogenității datelor disponibile, este </w:t>
      </w:r>
      <w:r w:rsidRPr="00424FC0">
        <w:rPr>
          <w:b/>
          <w:noProof/>
        </w:rPr>
        <w:t>dificil să se cuantifice cu precizie efectul multiplicator global al finanțării publice în statele membre</w:t>
      </w:r>
      <w:r w:rsidRPr="00424FC0">
        <w:rPr>
          <w:noProof/>
        </w:rPr>
        <w:t>. Cu toate acestea, se poate presupune că granturile generează, de obicei, un efect multiplicator de aproximativ 3.</w:t>
      </w:r>
    </w:p>
    <w:p w14:paraId="4E5E5572" w14:textId="3F5EA657" w:rsidR="00DA7940" w:rsidRPr="00424FC0" w:rsidRDefault="00776BB9" w:rsidP="007D751C">
      <w:pPr>
        <w:pStyle w:val="Heading2"/>
        <w:spacing w:line="276" w:lineRule="auto"/>
        <w:rPr>
          <w:noProof/>
        </w:rPr>
      </w:pPr>
      <w:r w:rsidRPr="00424FC0">
        <w:rPr>
          <w:noProof/>
        </w:rPr>
        <w:t>Finanțarea publică în raport cu nevoile de investiții</w:t>
      </w:r>
    </w:p>
    <w:p w14:paraId="3E25322D" w14:textId="56B7886A" w:rsidR="00776BB9" w:rsidRPr="00424FC0" w:rsidRDefault="00C47D73" w:rsidP="007D751C">
      <w:pPr>
        <w:spacing w:line="276" w:lineRule="auto"/>
        <w:rPr>
          <w:noProof/>
        </w:rPr>
      </w:pPr>
      <w:r w:rsidRPr="00424FC0">
        <w:rPr>
          <w:noProof/>
        </w:rPr>
        <w:t>Modelul PRIMES utilizat de Comisie pentru a efectua evaluări ale impactului și pentru a analiza opțiunile de politică pentru sectorul energetic a estimat că aproximativ 370 de miliarde EUR vor trebui investite</w:t>
      </w:r>
      <w:bookmarkStart w:id="3" w:name="_Hlk210830780"/>
      <w:r w:rsidRPr="00424FC0">
        <w:rPr>
          <w:noProof/>
        </w:rPr>
        <w:t xml:space="preserve"> în fiecare an din 2021 până în 2030 pentru a atinge obiectivele de eficiență energetică pentru 2030</w:t>
      </w:r>
      <w:bookmarkEnd w:id="3"/>
      <w:r w:rsidRPr="00424FC0">
        <w:rPr>
          <w:noProof/>
        </w:rPr>
        <w:t> (</w:t>
      </w:r>
      <w:r w:rsidRPr="00424FC0">
        <w:rPr>
          <w:rStyle w:val="FootnoteReference"/>
          <w:noProof/>
        </w:rPr>
        <w:footnoteReference w:id="26"/>
      </w:r>
      <w:r w:rsidRPr="00424FC0">
        <w:rPr>
          <w:noProof/>
        </w:rPr>
        <w:t>). Numai pentru sectorul clădirilor, nevoile de investiții sunt estimate la 242 de miliarde EUR pe an în deceniul actual, din care 180 de miliarde EUR pentru renovarea energetică a clădirilor rezidențiale și 62 de miliarde EUR pentru renovarea energetică a clădirilor de servicii (nerezidențiale).</w:t>
      </w:r>
    </w:p>
    <w:p w14:paraId="5C8AAFAE" w14:textId="7880C9FD" w:rsidR="003104D8" w:rsidRPr="00424FC0" w:rsidRDefault="00F74736" w:rsidP="007D751C">
      <w:pPr>
        <w:spacing w:line="276" w:lineRule="auto"/>
        <w:rPr>
          <w:noProof/>
        </w:rPr>
      </w:pPr>
      <w:r w:rsidRPr="00424FC0">
        <w:rPr>
          <w:noProof/>
        </w:rPr>
        <w:t>Raportul din 2024 privind eficiența energetică al Agenției Internaționale a Energiei (AIE) (</w:t>
      </w:r>
      <w:r w:rsidRPr="00424FC0">
        <w:rPr>
          <w:rStyle w:val="FootnoteReference"/>
          <w:noProof/>
        </w:rPr>
        <w:footnoteReference w:id="27"/>
      </w:r>
      <w:r w:rsidRPr="00424FC0">
        <w:rPr>
          <w:noProof/>
        </w:rPr>
        <w:t xml:space="preserve">) estimează că, în medie, în perioada 2021–2023 au fost investite aproximativ 200 de miliarde EUR pe an în eficiența energetică în Europa. Prin urmare, comparând nevoile de investiții cu investițiile realizate în UE în perioada respectivă, astfel cum au fost estimate de AIE, </w:t>
      </w:r>
      <w:r w:rsidRPr="00424FC0">
        <w:rPr>
          <w:b/>
          <w:noProof/>
        </w:rPr>
        <w:t>deficitul de investiții care trebuie acoperit pentru atingerea obiectivelor de eficiență energetică pentru 2030 se ridică la 170 de miliarde EUR pe an.</w:t>
      </w:r>
    </w:p>
    <w:p w14:paraId="333E5377" w14:textId="0AEDE9B6" w:rsidR="003A0422" w:rsidRPr="00424FC0" w:rsidRDefault="003104D8" w:rsidP="007D751C">
      <w:pPr>
        <w:spacing w:line="276" w:lineRule="auto"/>
        <w:rPr>
          <w:noProof/>
        </w:rPr>
      </w:pPr>
      <w:r w:rsidRPr="00424FC0">
        <w:rPr>
          <w:noProof/>
        </w:rPr>
        <w:t>Amploarea deficitului de investiții preconizat este proporțională cu alte estimări ale Institutului pentru Economie Climatică (I4CE) (</w:t>
      </w:r>
      <w:r w:rsidRPr="00424FC0">
        <w:rPr>
          <w:rStyle w:val="FootnoteReference"/>
          <w:noProof/>
        </w:rPr>
        <w:footnoteReference w:id="28"/>
      </w:r>
      <w:r w:rsidRPr="00424FC0">
        <w:rPr>
          <w:noProof/>
        </w:rPr>
        <w:t>) și Bruegel (</w:t>
      </w:r>
      <w:r w:rsidRPr="00424FC0">
        <w:rPr>
          <w:rStyle w:val="FootnoteReference"/>
          <w:noProof/>
        </w:rPr>
        <w:footnoteReference w:id="29"/>
      </w:r>
      <w:r w:rsidRPr="00424FC0">
        <w:rPr>
          <w:noProof/>
        </w:rPr>
        <w:t>). I4CE a estimat un deficit de investiții de 137 de miliarde EUR pe an, raportat la 2022, iar Bruegel estimează un deficit de 149 de miliarde EUR pe an, în special pentru sectorul clădirilor.</w:t>
      </w:r>
    </w:p>
    <w:p w14:paraId="178E2B16" w14:textId="642BACD4" w:rsidR="7C9478CC" w:rsidRPr="00424FC0" w:rsidRDefault="000E70C8" w:rsidP="0031363B">
      <w:pPr>
        <w:spacing w:after="0" w:line="276" w:lineRule="auto"/>
        <w:rPr>
          <w:i/>
          <w:iCs/>
          <w:noProof/>
        </w:rPr>
      </w:pPr>
      <w:r w:rsidRPr="00424FC0">
        <w:rPr>
          <w:i/>
          <w:noProof/>
        </w:rPr>
        <w:t>Tabelul 9: Nevoile anuale de investiții în eficiența energetică și deficitul de investiții, 2021-2030 (în miliarde EUR)</w:t>
      </w:r>
    </w:p>
    <w:tbl>
      <w:tblPr>
        <w:tblStyle w:val="TableGrid"/>
        <w:tblW w:w="6467" w:type="dxa"/>
        <w:jc w:val="center"/>
        <w:tblLayout w:type="fixed"/>
        <w:tblLook w:val="06A0" w:firstRow="1" w:lastRow="0" w:firstColumn="1" w:lastColumn="0" w:noHBand="1" w:noVBand="1"/>
      </w:tblPr>
      <w:tblGrid>
        <w:gridCol w:w="2151"/>
        <w:gridCol w:w="2031"/>
        <w:gridCol w:w="2285"/>
      </w:tblGrid>
      <w:tr w:rsidR="00F73161" w:rsidRPr="00424FC0" w14:paraId="705EC4E8" w14:textId="77777777" w:rsidTr="00397A0C">
        <w:trPr>
          <w:trHeight w:val="240"/>
          <w:jc w:val="center"/>
        </w:trPr>
        <w:tc>
          <w:tcPr>
            <w:tcW w:w="2151" w:type="dxa"/>
          </w:tcPr>
          <w:p w14:paraId="6C56C38D" w14:textId="6D7C4356" w:rsidR="00F73161" w:rsidRPr="00424FC0" w:rsidRDefault="00F73161" w:rsidP="007D751C">
            <w:pPr>
              <w:spacing w:after="0" w:line="276" w:lineRule="auto"/>
              <w:rPr>
                <w:i/>
                <w:iCs/>
                <w:noProof/>
                <w:sz w:val="22"/>
                <w:szCs w:val="22"/>
              </w:rPr>
            </w:pPr>
          </w:p>
        </w:tc>
        <w:tc>
          <w:tcPr>
            <w:tcW w:w="2031" w:type="dxa"/>
          </w:tcPr>
          <w:p w14:paraId="23CD8D5B" w14:textId="1C1FBCF6" w:rsidR="00F73161" w:rsidRPr="00424FC0" w:rsidRDefault="00F73161" w:rsidP="007D751C">
            <w:pPr>
              <w:spacing w:after="0" w:line="276" w:lineRule="auto"/>
              <w:jc w:val="center"/>
              <w:rPr>
                <w:b/>
                <w:bCs/>
                <w:noProof/>
                <w:sz w:val="22"/>
                <w:szCs w:val="22"/>
              </w:rPr>
            </w:pPr>
            <w:r w:rsidRPr="00424FC0">
              <w:rPr>
                <w:b/>
                <w:noProof/>
                <w:sz w:val="22"/>
              </w:rPr>
              <w:t xml:space="preserve">Nevoi de investiții </w:t>
            </w:r>
          </w:p>
        </w:tc>
        <w:tc>
          <w:tcPr>
            <w:tcW w:w="2285" w:type="dxa"/>
          </w:tcPr>
          <w:p w14:paraId="23CA99A5" w14:textId="48C7E1AC" w:rsidR="00F73161" w:rsidRPr="00424FC0" w:rsidRDefault="00020A9A" w:rsidP="007D751C">
            <w:pPr>
              <w:spacing w:after="0" w:line="276" w:lineRule="auto"/>
              <w:jc w:val="center"/>
              <w:rPr>
                <w:b/>
                <w:bCs/>
                <w:noProof/>
                <w:sz w:val="22"/>
                <w:szCs w:val="22"/>
              </w:rPr>
            </w:pPr>
            <w:r w:rsidRPr="00424FC0">
              <w:rPr>
                <w:b/>
                <w:noProof/>
                <w:sz w:val="22"/>
              </w:rPr>
              <w:t xml:space="preserve">Deficit de investiții </w:t>
            </w:r>
          </w:p>
        </w:tc>
      </w:tr>
      <w:tr w:rsidR="00F73161" w:rsidRPr="00424FC0" w14:paraId="2749A79F" w14:textId="77777777" w:rsidTr="00397A0C">
        <w:trPr>
          <w:trHeight w:val="240"/>
          <w:jc w:val="center"/>
        </w:trPr>
        <w:tc>
          <w:tcPr>
            <w:tcW w:w="2151" w:type="dxa"/>
          </w:tcPr>
          <w:p w14:paraId="2AF47CB1" w14:textId="4E4284D0" w:rsidR="00F73161" w:rsidRPr="00424FC0" w:rsidRDefault="00F73161" w:rsidP="007D751C">
            <w:pPr>
              <w:spacing w:after="0" w:line="276" w:lineRule="auto"/>
              <w:rPr>
                <w:noProof/>
                <w:sz w:val="22"/>
                <w:szCs w:val="22"/>
              </w:rPr>
            </w:pPr>
            <w:r w:rsidRPr="00424FC0">
              <w:rPr>
                <w:noProof/>
                <w:sz w:val="22"/>
              </w:rPr>
              <w:t>Eficiență energetică</w:t>
            </w:r>
          </w:p>
        </w:tc>
        <w:tc>
          <w:tcPr>
            <w:tcW w:w="2031" w:type="dxa"/>
          </w:tcPr>
          <w:p w14:paraId="0F31AFD6" w14:textId="59AFEEE7" w:rsidR="00F73161" w:rsidRPr="00424FC0" w:rsidRDefault="00F73161" w:rsidP="007D751C">
            <w:pPr>
              <w:spacing w:after="0" w:line="276" w:lineRule="auto"/>
              <w:jc w:val="left"/>
              <w:rPr>
                <w:noProof/>
                <w:sz w:val="22"/>
                <w:szCs w:val="22"/>
              </w:rPr>
            </w:pPr>
            <w:r w:rsidRPr="00424FC0">
              <w:rPr>
                <w:noProof/>
                <w:sz w:val="22"/>
              </w:rPr>
              <w:t>370</w:t>
            </w:r>
          </w:p>
        </w:tc>
        <w:tc>
          <w:tcPr>
            <w:tcW w:w="2285" w:type="dxa"/>
          </w:tcPr>
          <w:p w14:paraId="252C4F02" w14:textId="4D6CFC38" w:rsidR="00F73161" w:rsidRPr="00424FC0" w:rsidRDefault="00F73161" w:rsidP="007D751C">
            <w:pPr>
              <w:spacing w:after="0" w:line="276" w:lineRule="auto"/>
              <w:jc w:val="left"/>
              <w:rPr>
                <w:noProof/>
                <w:sz w:val="22"/>
                <w:szCs w:val="22"/>
              </w:rPr>
            </w:pPr>
            <w:r w:rsidRPr="00424FC0">
              <w:rPr>
                <w:noProof/>
                <w:sz w:val="22"/>
              </w:rPr>
              <w:t>170</w:t>
            </w:r>
          </w:p>
        </w:tc>
      </w:tr>
      <w:tr w:rsidR="00F73161" w:rsidRPr="00424FC0" w14:paraId="008C1CB0" w14:textId="77777777" w:rsidTr="00397A0C">
        <w:trPr>
          <w:trHeight w:val="240"/>
          <w:jc w:val="center"/>
        </w:trPr>
        <w:tc>
          <w:tcPr>
            <w:tcW w:w="2151" w:type="dxa"/>
          </w:tcPr>
          <w:p w14:paraId="5C9F42CD" w14:textId="7627D699" w:rsidR="00F73161" w:rsidRPr="00424FC0" w:rsidRDefault="00F73161" w:rsidP="007D751C">
            <w:pPr>
              <w:spacing w:after="0" w:line="276" w:lineRule="auto"/>
              <w:rPr>
                <w:noProof/>
                <w:sz w:val="22"/>
                <w:szCs w:val="22"/>
              </w:rPr>
            </w:pPr>
            <w:r w:rsidRPr="00424FC0">
              <w:rPr>
                <w:noProof/>
                <w:sz w:val="22"/>
              </w:rPr>
              <w:t>Clădiri</w:t>
            </w:r>
          </w:p>
        </w:tc>
        <w:tc>
          <w:tcPr>
            <w:tcW w:w="2031" w:type="dxa"/>
          </w:tcPr>
          <w:p w14:paraId="794A7F12" w14:textId="5308CBE8" w:rsidR="00F73161" w:rsidRPr="00424FC0" w:rsidRDefault="00F73161" w:rsidP="007D751C">
            <w:pPr>
              <w:spacing w:after="0" w:line="276" w:lineRule="auto"/>
              <w:jc w:val="left"/>
              <w:rPr>
                <w:noProof/>
                <w:sz w:val="22"/>
                <w:szCs w:val="22"/>
              </w:rPr>
            </w:pPr>
            <w:r w:rsidRPr="00424FC0">
              <w:rPr>
                <w:noProof/>
                <w:sz w:val="22"/>
              </w:rPr>
              <w:t>242</w:t>
            </w:r>
          </w:p>
        </w:tc>
        <w:tc>
          <w:tcPr>
            <w:tcW w:w="2285" w:type="dxa"/>
          </w:tcPr>
          <w:p w14:paraId="17382B66" w14:textId="6914C430" w:rsidR="00F73161" w:rsidRPr="00424FC0" w:rsidRDefault="00F73161" w:rsidP="007D751C">
            <w:pPr>
              <w:spacing w:after="0" w:line="276" w:lineRule="auto"/>
              <w:jc w:val="left"/>
              <w:rPr>
                <w:noProof/>
                <w:sz w:val="22"/>
                <w:szCs w:val="22"/>
              </w:rPr>
            </w:pPr>
            <w:r w:rsidRPr="00424FC0">
              <w:rPr>
                <w:noProof/>
                <w:sz w:val="22"/>
              </w:rPr>
              <w:t>149</w:t>
            </w:r>
          </w:p>
        </w:tc>
      </w:tr>
    </w:tbl>
    <w:p w14:paraId="2F250A38" w14:textId="6296AD99" w:rsidR="6167D808" w:rsidRPr="00424FC0" w:rsidRDefault="004E3B26" w:rsidP="007D751C">
      <w:pPr>
        <w:pStyle w:val="Text2"/>
        <w:spacing w:line="276" w:lineRule="auto"/>
        <w:ind w:left="720"/>
        <w:rPr>
          <w:noProof/>
          <w:sz w:val="20"/>
        </w:rPr>
      </w:pPr>
      <w:r w:rsidRPr="00424FC0">
        <w:rPr>
          <w:noProof/>
          <w:sz w:val="20"/>
        </w:rPr>
        <w:t>Sursă: Comisia Europeană, 2024, Bruegel</w:t>
      </w:r>
    </w:p>
    <w:p w14:paraId="3C0F16C2" w14:textId="4D0764EF" w:rsidR="00776BB9" w:rsidRPr="00424FC0" w:rsidRDefault="00EE6971" w:rsidP="007D751C">
      <w:pPr>
        <w:spacing w:line="276" w:lineRule="auto"/>
        <w:rPr>
          <w:b/>
          <w:noProof/>
        </w:rPr>
      </w:pPr>
      <w:bookmarkStart w:id="4" w:name="_Hlk212709237"/>
      <w:r w:rsidRPr="00424FC0">
        <w:rPr>
          <w:noProof/>
        </w:rPr>
        <w:t xml:space="preserve">În capitolul 2 de mai sus, finanțarea din partea UE a fost estimată la 20,6 miliarde EUR pe an, iar finanțarea din partea statelor membre la 32,7 miliarde EUR pe an. Prin urmare, se poate considera că 53,3 miliarde EUR din fonduri publice sunt alocate eficienței energetice, ceea ce reprezintă aproximativ o șesime (14,4 %) din totalul nevoilor de investiții. </w:t>
      </w:r>
    </w:p>
    <w:bookmarkEnd w:id="4"/>
    <w:p w14:paraId="4B6E7A45" w14:textId="53A56A78" w:rsidR="0FF9D307" w:rsidRPr="00424FC0" w:rsidRDefault="21C0396A" w:rsidP="007D751C">
      <w:pPr>
        <w:pStyle w:val="Heading2"/>
        <w:spacing w:line="276" w:lineRule="auto"/>
        <w:rPr>
          <w:i/>
          <w:iCs/>
          <w:noProof/>
        </w:rPr>
      </w:pPr>
      <w:r w:rsidRPr="00424FC0">
        <w:rPr>
          <w:noProof/>
        </w:rPr>
        <w:t>Economii de energie realizate</w:t>
      </w:r>
    </w:p>
    <w:p w14:paraId="652574B1" w14:textId="0F45721F" w:rsidR="0FF9D307" w:rsidRPr="00424FC0" w:rsidRDefault="4CCB4B1B" w:rsidP="007D751C">
      <w:pPr>
        <w:pStyle w:val="Heading3"/>
        <w:spacing w:line="276" w:lineRule="auto"/>
        <w:rPr>
          <w:iCs/>
          <w:noProof/>
        </w:rPr>
      </w:pPr>
      <w:r w:rsidRPr="00424FC0">
        <w:rPr>
          <w:noProof/>
        </w:rPr>
        <w:t>Programele UE (</w:t>
      </w:r>
      <w:r w:rsidRPr="00424FC0">
        <w:rPr>
          <w:rStyle w:val="FootnoteReference"/>
          <w:i w:val="0"/>
          <w:noProof/>
        </w:rPr>
        <w:footnoteReference w:id="30"/>
      </w:r>
      <w:r w:rsidRPr="00424FC0">
        <w:rPr>
          <w:noProof/>
        </w:rPr>
        <w:t>)</w:t>
      </w:r>
    </w:p>
    <w:p w14:paraId="08D95BBA" w14:textId="6592FB7D" w:rsidR="00AA7D0D" w:rsidRPr="00424FC0" w:rsidRDefault="00C422A5" w:rsidP="007D751C">
      <w:pPr>
        <w:pStyle w:val="Text2"/>
        <w:spacing w:line="276" w:lineRule="auto"/>
        <w:ind w:left="0"/>
        <w:rPr>
          <w:noProof/>
        </w:rPr>
      </w:pPr>
      <w:r w:rsidRPr="00424FC0">
        <w:rPr>
          <w:b/>
          <w:noProof/>
        </w:rPr>
        <w:t>Raportarea economiilor de energie în cadrul financiar al UE variază considerabil în funcție de cerințele fiecărui program</w:t>
      </w:r>
      <w:r w:rsidRPr="00424FC0">
        <w:rPr>
          <w:noProof/>
        </w:rPr>
        <w:t>. Nu există o metodă standardizată de urmărire sau de raportare a economiilor de energie rezultate din finanțarea UE. De asemenea, raportarea este fragmentară, din mai multe motive, inclusiv raportarea incompletă sau întârziată și faptul că unele economii de energie nu sunt raportate deloc, de exemplu atunci când proiectele contribuie la reducerea consumului de energie, dar domeniile bugetare de intervenție nu sunt etichetate ca „eficiență energetică”.</w:t>
      </w:r>
    </w:p>
    <w:p w14:paraId="000ACEC8" w14:textId="7C147B4B" w:rsidR="008129C2" w:rsidRPr="00424FC0" w:rsidRDefault="00BF3760" w:rsidP="1F9E8EC7">
      <w:pPr>
        <w:pStyle w:val="Text2"/>
        <w:spacing w:line="276" w:lineRule="auto"/>
        <w:ind w:left="0"/>
        <w:rPr>
          <w:noProof/>
        </w:rPr>
      </w:pPr>
      <w:r w:rsidRPr="00424FC0">
        <w:rPr>
          <w:b/>
          <w:noProof/>
        </w:rPr>
        <w:t>Prin urmare, nu este posibilă urmărirea progreselor și nici măsurarea impactului global și a eficienței, în termeni de economii de energie per euro din bugetul Uniunii cheltuit pentru eficiența energetică</w:t>
      </w:r>
      <w:r w:rsidRPr="00424FC0">
        <w:rPr>
          <w:noProof/>
        </w:rPr>
        <w:t>.</w:t>
      </w:r>
    </w:p>
    <w:p w14:paraId="4DABADBC" w14:textId="5EFFE36B" w:rsidR="008129C2" w:rsidRPr="00424FC0" w:rsidRDefault="008129C2" w:rsidP="007D751C">
      <w:pPr>
        <w:pStyle w:val="Text2"/>
        <w:spacing w:line="276" w:lineRule="auto"/>
        <w:ind w:left="0"/>
        <w:rPr>
          <w:noProof/>
        </w:rPr>
      </w:pPr>
      <w:r w:rsidRPr="00424FC0">
        <w:rPr>
          <w:b/>
          <w:noProof/>
        </w:rPr>
        <w:t>Ca exemplu de bună practică</w:t>
      </w:r>
      <w:r w:rsidRPr="00424FC0">
        <w:rPr>
          <w:noProof/>
        </w:rPr>
        <w:t xml:space="preserve">, în cadrul instrumentului </w:t>
      </w:r>
      <w:r w:rsidRPr="00424FC0">
        <w:rPr>
          <w:b/>
          <w:noProof/>
        </w:rPr>
        <w:t>ELENA</w:t>
      </w:r>
      <w:r w:rsidRPr="00424FC0">
        <w:rPr>
          <w:noProof/>
        </w:rPr>
        <w:t>, beneficiarii au obligația de a estima și de a raporta economiile de energie generate de proiectele lor. Această cerință se aplică încă de la lansarea programului, în 2009.</w:t>
      </w:r>
    </w:p>
    <w:p w14:paraId="114BA8DC" w14:textId="7640E39B" w:rsidR="000E70C8" w:rsidRPr="00424FC0" w:rsidRDefault="000E70C8" w:rsidP="0031363B">
      <w:pPr>
        <w:pStyle w:val="Text2"/>
        <w:spacing w:after="0" w:line="276" w:lineRule="auto"/>
        <w:ind w:left="0"/>
        <w:rPr>
          <w:i/>
          <w:iCs/>
          <w:noProof/>
        </w:rPr>
      </w:pPr>
      <w:r w:rsidRPr="00424FC0">
        <w:rPr>
          <w:i/>
          <w:noProof/>
        </w:rPr>
        <w:t>Tabelul 10: Economii de energie estimate, pe fond</w:t>
      </w:r>
    </w:p>
    <w:tbl>
      <w:tblPr>
        <w:tblW w:w="0" w:type="auto"/>
        <w:jc w:val="center"/>
        <w:tblLayout w:type="fixed"/>
        <w:tblLook w:val="06A0" w:firstRow="1" w:lastRow="0" w:firstColumn="1" w:lastColumn="0" w:noHBand="1" w:noVBand="1"/>
      </w:tblPr>
      <w:tblGrid>
        <w:gridCol w:w="3545"/>
        <w:gridCol w:w="2905"/>
      </w:tblGrid>
      <w:tr w:rsidR="234CDD88" w:rsidRPr="00424FC0" w14:paraId="175B61FD" w14:textId="77777777" w:rsidTr="00397A0C">
        <w:trPr>
          <w:trHeight w:val="49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134E87C" w14:textId="7ED59D8B" w:rsidR="234CDD88" w:rsidRPr="00424FC0" w:rsidRDefault="234CDD88" w:rsidP="007D751C">
            <w:pPr>
              <w:spacing w:after="0" w:line="276" w:lineRule="auto"/>
              <w:jc w:val="left"/>
              <w:rPr>
                <w:rFonts w:eastAsia="Calibri"/>
                <w:b/>
                <w:bCs/>
                <w:noProof/>
                <w:color w:val="000000" w:themeColor="text1"/>
                <w:sz w:val="22"/>
                <w:szCs w:val="22"/>
              </w:rPr>
            </w:pPr>
            <w:r w:rsidRPr="00424FC0">
              <w:rPr>
                <w:b/>
                <w:noProof/>
                <w:color w:val="000000" w:themeColor="text1"/>
                <w:sz w:val="22"/>
              </w:rPr>
              <w:t>Schemă</w:t>
            </w:r>
          </w:p>
        </w:tc>
        <w:tc>
          <w:tcPr>
            <w:tcW w:w="2905" w:type="dxa"/>
            <w:tcBorders>
              <w:top w:val="single" w:sz="4" w:space="0" w:color="auto"/>
              <w:left w:val="single" w:sz="4" w:space="0" w:color="auto"/>
              <w:bottom w:val="single" w:sz="4" w:space="0" w:color="auto"/>
              <w:right w:val="single" w:sz="4" w:space="0" w:color="auto"/>
            </w:tcBorders>
            <w:vAlign w:val="center"/>
          </w:tcPr>
          <w:p w14:paraId="256517AA" w14:textId="2F9FEF42" w:rsidR="234CDD88" w:rsidRPr="00424FC0" w:rsidRDefault="234CDD88" w:rsidP="007D751C">
            <w:pPr>
              <w:spacing w:after="0" w:line="276" w:lineRule="auto"/>
              <w:jc w:val="center"/>
              <w:rPr>
                <w:rFonts w:eastAsia="Calibri"/>
                <w:b/>
                <w:bCs/>
                <w:noProof/>
                <w:color w:val="000000" w:themeColor="text1"/>
                <w:sz w:val="22"/>
                <w:szCs w:val="22"/>
              </w:rPr>
            </w:pPr>
            <w:r w:rsidRPr="00424FC0">
              <w:rPr>
                <w:b/>
                <w:noProof/>
                <w:color w:val="000000" w:themeColor="text1"/>
                <w:sz w:val="22"/>
              </w:rPr>
              <w:t>Economii anuale de energie estimate (MWh*)</w:t>
            </w:r>
          </w:p>
        </w:tc>
      </w:tr>
      <w:tr w:rsidR="234CDD88" w:rsidRPr="00424FC0" w14:paraId="10A4C018"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3901B22D" w14:textId="7430DCDB" w:rsidR="234CDD88" w:rsidRPr="00424FC0" w:rsidRDefault="234CDD88" w:rsidP="007D751C">
            <w:pPr>
              <w:spacing w:after="0" w:line="276" w:lineRule="auto"/>
              <w:jc w:val="left"/>
              <w:rPr>
                <w:noProof/>
                <w:sz w:val="22"/>
                <w:szCs w:val="22"/>
              </w:rPr>
            </w:pPr>
            <w:r w:rsidRPr="00424FC0">
              <w:rPr>
                <w:noProof/>
                <w:color w:val="000000" w:themeColor="text1"/>
                <w:sz w:val="22"/>
              </w:rPr>
              <w:t>Fondurile politicii de coeziune în perioada 2014-2020</w:t>
            </w:r>
          </w:p>
        </w:tc>
        <w:tc>
          <w:tcPr>
            <w:tcW w:w="2905" w:type="dxa"/>
            <w:tcBorders>
              <w:top w:val="single" w:sz="4" w:space="0" w:color="auto"/>
              <w:left w:val="single" w:sz="4" w:space="0" w:color="auto"/>
              <w:bottom w:val="single" w:sz="4" w:space="0" w:color="auto"/>
              <w:right w:val="single" w:sz="4" w:space="0" w:color="auto"/>
            </w:tcBorders>
            <w:vAlign w:val="center"/>
          </w:tcPr>
          <w:p w14:paraId="1723A420" w14:textId="3C345599" w:rsidR="234CDD88" w:rsidRPr="00424FC0" w:rsidRDefault="234CDD88" w:rsidP="007D751C">
            <w:pPr>
              <w:spacing w:after="0" w:line="276" w:lineRule="auto"/>
              <w:jc w:val="center"/>
              <w:rPr>
                <w:noProof/>
                <w:sz w:val="22"/>
                <w:szCs w:val="22"/>
              </w:rPr>
            </w:pPr>
            <w:r w:rsidRPr="00424FC0">
              <w:rPr>
                <w:noProof/>
                <w:color w:val="000000" w:themeColor="text1"/>
                <w:sz w:val="22"/>
              </w:rPr>
              <w:t>7 926 050</w:t>
            </w:r>
          </w:p>
        </w:tc>
      </w:tr>
      <w:tr w:rsidR="234CDD88" w:rsidRPr="00424FC0" w14:paraId="3D447975"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7A435D98" w14:textId="49CD2391" w:rsidR="234CDD88" w:rsidRPr="00424FC0" w:rsidRDefault="234CDD88" w:rsidP="007D751C">
            <w:pPr>
              <w:spacing w:after="0" w:line="276" w:lineRule="auto"/>
              <w:jc w:val="left"/>
              <w:rPr>
                <w:noProof/>
                <w:sz w:val="22"/>
                <w:szCs w:val="22"/>
              </w:rPr>
            </w:pPr>
            <w:r w:rsidRPr="00424FC0">
              <w:rPr>
                <w:noProof/>
                <w:color w:val="000000" w:themeColor="text1"/>
                <w:sz w:val="22"/>
              </w:rPr>
              <w:t>Fondurile politicii de coeziune în perioada 2021-2027</w:t>
            </w:r>
          </w:p>
        </w:tc>
        <w:tc>
          <w:tcPr>
            <w:tcW w:w="2905" w:type="dxa"/>
            <w:tcBorders>
              <w:top w:val="single" w:sz="4" w:space="0" w:color="auto"/>
              <w:left w:val="single" w:sz="4" w:space="0" w:color="auto"/>
              <w:bottom w:val="single" w:sz="4" w:space="0" w:color="auto"/>
              <w:right w:val="single" w:sz="4" w:space="0" w:color="auto"/>
            </w:tcBorders>
            <w:vAlign w:val="center"/>
          </w:tcPr>
          <w:p w14:paraId="40927599" w14:textId="26AA9D70" w:rsidR="234CDD88" w:rsidRPr="00424FC0" w:rsidRDefault="234CDD88" w:rsidP="007D751C">
            <w:pPr>
              <w:spacing w:after="0" w:line="276" w:lineRule="auto"/>
              <w:jc w:val="center"/>
              <w:rPr>
                <w:noProof/>
                <w:sz w:val="22"/>
                <w:szCs w:val="22"/>
              </w:rPr>
            </w:pPr>
            <w:r w:rsidRPr="00424FC0">
              <w:rPr>
                <w:noProof/>
                <w:color w:val="000000" w:themeColor="text1"/>
                <w:sz w:val="22"/>
              </w:rPr>
              <w:t>N/A</w:t>
            </w:r>
          </w:p>
        </w:tc>
      </w:tr>
      <w:tr w:rsidR="234CDD88" w:rsidRPr="00424FC0" w14:paraId="2FE99704"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D99A994" w14:textId="6D30EFC1" w:rsidR="234CDD88" w:rsidRPr="00424FC0" w:rsidRDefault="234CDD88" w:rsidP="007D751C">
            <w:pPr>
              <w:spacing w:after="0" w:line="276" w:lineRule="auto"/>
              <w:jc w:val="left"/>
              <w:rPr>
                <w:noProof/>
                <w:sz w:val="22"/>
                <w:szCs w:val="22"/>
              </w:rPr>
            </w:pPr>
            <w:r w:rsidRPr="00424FC0">
              <w:rPr>
                <w:noProof/>
                <w:color w:val="000000" w:themeColor="text1"/>
                <w:sz w:val="22"/>
              </w:rPr>
              <w:t>Fondurile politicii agricole în perioada 2014-2022</w:t>
            </w:r>
          </w:p>
        </w:tc>
        <w:tc>
          <w:tcPr>
            <w:tcW w:w="2905" w:type="dxa"/>
            <w:tcBorders>
              <w:top w:val="single" w:sz="4" w:space="0" w:color="auto"/>
              <w:left w:val="single" w:sz="4" w:space="0" w:color="auto"/>
              <w:bottom w:val="single" w:sz="4" w:space="0" w:color="auto"/>
              <w:right w:val="single" w:sz="4" w:space="0" w:color="auto"/>
            </w:tcBorders>
            <w:vAlign w:val="center"/>
          </w:tcPr>
          <w:p w14:paraId="260CEF1C" w14:textId="7A668BE7" w:rsidR="234CDD88" w:rsidRPr="00424FC0" w:rsidRDefault="234CDD88" w:rsidP="007D751C">
            <w:pPr>
              <w:spacing w:after="0" w:line="276" w:lineRule="auto"/>
              <w:jc w:val="center"/>
              <w:rPr>
                <w:noProof/>
                <w:sz w:val="22"/>
                <w:szCs w:val="22"/>
              </w:rPr>
            </w:pPr>
            <w:r w:rsidRPr="00424FC0">
              <w:rPr>
                <w:noProof/>
                <w:color w:val="000000" w:themeColor="text1"/>
                <w:sz w:val="22"/>
              </w:rPr>
              <w:t>N/A</w:t>
            </w:r>
          </w:p>
        </w:tc>
      </w:tr>
      <w:tr w:rsidR="234CDD88" w:rsidRPr="00424FC0" w14:paraId="1F6BFF70"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663FD1AB" w14:textId="59F718F5" w:rsidR="234CDD88" w:rsidRPr="00424FC0" w:rsidRDefault="234CDD88" w:rsidP="007D751C">
            <w:pPr>
              <w:spacing w:after="0" w:line="276" w:lineRule="auto"/>
              <w:jc w:val="left"/>
              <w:rPr>
                <w:noProof/>
                <w:sz w:val="22"/>
                <w:szCs w:val="22"/>
              </w:rPr>
            </w:pPr>
            <w:r w:rsidRPr="00424FC0">
              <w:rPr>
                <w:noProof/>
                <w:color w:val="000000" w:themeColor="text1"/>
                <w:sz w:val="22"/>
              </w:rPr>
              <w:t>LIFE CET în perioada 2021-2027 (</w:t>
            </w:r>
            <w:r w:rsidRPr="00424FC0">
              <w:rPr>
                <w:rStyle w:val="FootnoteReference"/>
                <w:rFonts w:eastAsia="Calibri"/>
                <w:noProof/>
                <w:color w:val="000000" w:themeColor="text1"/>
                <w:sz w:val="22"/>
                <w:szCs w:val="22"/>
              </w:rPr>
              <w:footnoteReference w:id="31"/>
            </w:r>
            <w:r w:rsidRPr="00424FC0">
              <w:rPr>
                <w:noProof/>
                <w:color w:val="000000" w:themeColor="text1"/>
                <w:sz w:val="22"/>
              </w:rPr>
              <w:t>) </w:t>
            </w:r>
          </w:p>
        </w:tc>
        <w:tc>
          <w:tcPr>
            <w:tcW w:w="2905" w:type="dxa"/>
            <w:tcBorders>
              <w:top w:val="single" w:sz="4" w:space="0" w:color="auto"/>
              <w:left w:val="single" w:sz="4" w:space="0" w:color="auto"/>
              <w:bottom w:val="single" w:sz="4" w:space="0" w:color="auto"/>
              <w:right w:val="single" w:sz="4" w:space="0" w:color="auto"/>
            </w:tcBorders>
            <w:vAlign w:val="center"/>
          </w:tcPr>
          <w:p w14:paraId="46F31BBA" w14:textId="28C7BE6B" w:rsidR="234CDD88" w:rsidRPr="00424FC0" w:rsidRDefault="234CDD88" w:rsidP="007D751C">
            <w:pPr>
              <w:spacing w:after="0" w:line="276" w:lineRule="auto"/>
              <w:jc w:val="center"/>
              <w:rPr>
                <w:noProof/>
                <w:sz w:val="22"/>
                <w:szCs w:val="22"/>
              </w:rPr>
            </w:pPr>
            <w:r w:rsidRPr="00424FC0">
              <w:rPr>
                <w:noProof/>
                <w:color w:val="000000" w:themeColor="text1"/>
                <w:sz w:val="22"/>
              </w:rPr>
              <w:t>8 344 000</w:t>
            </w:r>
          </w:p>
        </w:tc>
      </w:tr>
      <w:tr w:rsidR="234CDD88" w:rsidRPr="00424FC0" w14:paraId="4EC5F9AE"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162150BD" w14:textId="0DF6763F" w:rsidR="234CDD88" w:rsidRPr="00424FC0" w:rsidRDefault="234CDD88" w:rsidP="007D751C">
            <w:pPr>
              <w:spacing w:after="0" w:line="276" w:lineRule="auto"/>
              <w:jc w:val="left"/>
              <w:rPr>
                <w:noProof/>
                <w:sz w:val="22"/>
                <w:szCs w:val="22"/>
              </w:rPr>
            </w:pPr>
            <w:r w:rsidRPr="00424FC0">
              <w:rPr>
                <w:noProof/>
                <w:color w:val="000000" w:themeColor="text1"/>
                <w:sz w:val="22"/>
              </w:rPr>
              <w:t>ELENA</w:t>
            </w:r>
          </w:p>
        </w:tc>
        <w:tc>
          <w:tcPr>
            <w:tcW w:w="2905" w:type="dxa"/>
            <w:tcBorders>
              <w:top w:val="single" w:sz="4" w:space="0" w:color="auto"/>
              <w:left w:val="single" w:sz="4" w:space="0" w:color="auto"/>
              <w:bottom w:val="single" w:sz="4" w:space="0" w:color="auto"/>
              <w:right w:val="single" w:sz="4" w:space="0" w:color="auto"/>
            </w:tcBorders>
            <w:vAlign w:val="center"/>
          </w:tcPr>
          <w:p w14:paraId="733C43F9" w14:textId="3A56946A" w:rsidR="234CDD88" w:rsidRPr="00424FC0" w:rsidRDefault="234CDD88" w:rsidP="007D751C">
            <w:pPr>
              <w:spacing w:after="0" w:line="276" w:lineRule="auto"/>
              <w:jc w:val="center"/>
              <w:rPr>
                <w:noProof/>
                <w:sz w:val="22"/>
                <w:szCs w:val="22"/>
              </w:rPr>
            </w:pPr>
            <w:r w:rsidRPr="00424FC0">
              <w:rPr>
                <w:noProof/>
                <w:color w:val="000000" w:themeColor="text1"/>
                <w:sz w:val="22"/>
              </w:rPr>
              <w:t>4 936 030</w:t>
            </w:r>
          </w:p>
        </w:tc>
      </w:tr>
      <w:tr w:rsidR="234CDD88" w:rsidRPr="00424FC0" w14:paraId="15792C77"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C5EE540" w14:textId="05FE6C96" w:rsidR="234CDD88" w:rsidRPr="00424FC0" w:rsidRDefault="234CDD88" w:rsidP="007D751C">
            <w:pPr>
              <w:spacing w:after="0" w:line="276" w:lineRule="auto"/>
              <w:jc w:val="left"/>
              <w:rPr>
                <w:rFonts w:eastAsia="Calibri"/>
                <w:noProof/>
                <w:color w:val="000000" w:themeColor="text1"/>
                <w:sz w:val="22"/>
                <w:szCs w:val="22"/>
              </w:rPr>
            </w:pPr>
            <w:r w:rsidRPr="00424FC0">
              <w:rPr>
                <w:noProof/>
                <w:color w:val="000000" w:themeColor="text1"/>
                <w:sz w:val="22"/>
              </w:rPr>
              <w:t>Programul InvestEU (</w:t>
            </w:r>
            <w:r w:rsidRPr="00424FC0">
              <w:rPr>
                <w:rStyle w:val="FootnoteReference"/>
                <w:rFonts w:eastAsia="Calibri"/>
                <w:noProof/>
                <w:color w:val="000000" w:themeColor="text1"/>
                <w:sz w:val="22"/>
                <w:szCs w:val="22"/>
              </w:rPr>
              <w:footnoteReference w:id="32"/>
            </w:r>
            <w:r w:rsidRPr="00424FC0">
              <w:rPr>
                <w:noProof/>
                <w:color w:val="000000" w:themeColor="text1"/>
                <w:sz w:val="22"/>
              </w:rPr>
              <w:t>) </w:t>
            </w:r>
          </w:p>
        </w:tc>
        <w:tc>
          <w:tcPr>
            <w:tcW w:w="2905" w:type="dxa"/>
            <w:tcBorders>
              <w:top w:val="single" w:sz="4" w:space="0" w:color="auto"/>
              <w:left w:val="single" w:sz="4" w:space="0" w:color="auto"/>
              <w:bottom w:val="single" w:sz="4" w:space="0" w:color="auto"/>
              <w:right w:val="single" w:sz="4" w:space="0" w:color="auto"/>
            </w:tcBorders>
            <w:vAlign w:val="center"/>
          </w:tcPr>
          <w:p w14:paraId="057D7C36" w14:textId="404741EC" w:rsidR="234CDD88" w:rsidRPr="00424FC0" w:rsidRDefault="234CDD88" w:rsidP="007D751C">
            <w:pPr>
              <w:spacing w:after="0" w:line="276" w:lineRule="auto"/>
              <w:jc w:val="center"/>
              <w:rPr>
                <w:noProof/>
                <w:sz w:val="22"/>
                <w:szCs w:val="22"/>
              </w:rPr>
            </w:pPr>
            <w:r w:rsidRPr="00424FC0">
              <w:rPr>
                <w:noProof/>
                <w:color w:val="000000" w:themeColor="text1"/>
                <w:sz w:val="22"/>
              </w:rPr>
              <w:t>230 736</w:t>
            </w:r>
          </w:p>
        </w:tc>
      </w:tr>
      <w:tr w:rsidR="234CDD88" w:rsidRPr="00424FC0" w14:paraId="4BE8207C"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5E1A082" w14:textId="3FF155B6" w:rsidR="234CDD88" w:rsidRPr="00424FC0" w:rsidRDefault="234CDD88" w:rsidP="007D751C">
            <w:pPr>
              <w:spacing w:after="0" w:line="276" w:lineRule="auto"/>
              <w:jc w:val="left"/>
              <w:rPr>
                <w:noProof/>
                <w:sz w:val="22"/>
                <w:szCs w:val="22"/>
              </w:rPr>
            </w:pPr>
            <w:r w:rsidRPr="00424FC0">
              <w:rPr>
                <w:noProof/>
                <w:color w:val="000000" w:themeColor="text1"/>
                <w:sz w:val="22"/>
              </w:rPr>
              <w:t>Mecanismul de redresare și reziliență (</w:t>
            </w:r>
            <w:r w:rsidRPr="00424FC0">
              <w:rPr>
                <w:rStyle w:val="FootnoteReference"/>
                <w:rFonts w:eastAsia="Calibri"/>
                <w:noProof/>
                <w:color w:val="000000" w:themeColor="text1"/>
                <w:sz w:val="22"/>
                <w:szCs w:val="22"/>
              </w:rPr>
              <w:footnoteReference w:id="33"/>
            </w:r>
            <w:r w:rsidRPr="00424FC0">
              <w:rPr>
                <w:noProof/>
                <w:color w:val="000000" w:themeColor="text1"/>
                <w:sz w:val="22"/>
              </w:rPr>
              <w:t>)</w:t>
            </w:r>
          </w:p>
        </w:tc>
        <w:tc>
          <w:tcPr>
            <w:tcW w:w="2905" w:type="dxa"/>
            <w:tcBorders>
              <w:top w:val="single" w:sz="4" w:space="0" w:color="auto"/>
              <w:left w:val="single" w:sz="4" w:space="0" w:color="auto"/>
              <w:bottom w:val="single" w:sz="4" w:space="0" w:color="auto"/>
              <w:right w:val="single" w:sz="4" w:space="0" w:color="auto"/>
            </w:tcBorders>
            <w:vAlign w:val="center"/>
          </w:tcPr>
          <w:p w14:paraId="59D675D4" w14:textId="37391DA6" w:rsidR="234CDD88" w:rsidRPr="00424FC0" w:rsidRDefault="234CDD88" w:rsidP="007D751C">
            <w:pPr>
              <w:spacing w:after="0" w:line="276" w:lineRule="auto"/>
              <w:jc w:val="center"/>
              <w:rPr>
                <w:noProof/>
                <w:sz w:val="22"/>
                <w:szCs w:val="22"/>
              </w:rPr>
            </w:pPr>
            <w:r w:rsidRPr="00424FC0">
              <w:rPr>
                <w:noProof/>
                <w:color w:val="000000" w:themeColor="text1"/>
                <w:sz w:val="22"/>
              </w:rPr>
              <w:t>33 388 511</w:t>
            </w:r>
          </w:p>
        </w:tc>
      </w:tr>
      <w:tr w:rsidR="234CDD88" w:rsidRPr="00424FC0" w14:paraId="7E1CC741"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27BE1D6" w14:textId="2BE8A743" w:rsidR="234CDD88" w:rsidRPr="00424FC0" w:rsidRDefault="234CDD88" w:rsidP="007D751C">
            <w:pPr>
              <w:spacing w:after="0" w:line="276" w:lineRule="auto"/>
              <w:jc w:val="left"/>
              <w:rPr>
                <w:noProof/>
                <w:sz w:val="22"/>
                <w:szCs w:val="22"/>
              </w:rPr>
            </w:pPr>
            <w:r w:rsidRPr="00424FC0">
              <w:rPr>
                <w:noProof/>
                <w:color w:val="000000" w:themeColor="text1"/>
                <w:sz w:val="22"/>
              </w:rPr>
              <w:t>Fondul pentru modernizare</w:t>
            </w:r>
          </w:p>
        </w:tc>
        <w:tc>
          <w:tcPr>
            <w:tcW w:w="2905" w:type="dxa"/>
            <w:tcBorders>
              <w:top w:val="single" w:sz="4" w:space="0" w:color="auto"/>
              <w:left w:val="single" w:sz="4" w:space="0" w:color="auto"/>
              <w:bottom w:val="single" w:sz="4" w:space="0" w:color="auto"/>
              <w:right w:val="single" w:sz="4" w:space="0" w:color="auto"/>
            </w:tcBorders>
            <w:vAlign w:val="center"/>
          </w:tcPr>
          <w:p w14:paraId="7CE994B6" w14:textId="6EFC9DE0" w:rsidR="234CDD88" w:rsidRPr="00424FC0" w:rsidRDefault="234CDD88" w:rsidP="007D751C">
            <w:pPr>
              <w:spacing w:after="0" w:line="276" w:lineRule="auto"/>
              <w:jc w:val="center"/>
              <w:rPr>
                <w:noProof/>
                <w:sz w:val="22"/>
                <w:szCs w:val="22"/>
              </w:rPr>
            </w:pPr>
            <w:r w:rsidRPr="00424FC0">
              <w:rPr>
                <w:noProof/>
                <w:color w:val="000000" w:themeColor="text1"/>
                <w:sz w:val="22"/>
              </w:rPr>
              <w:t>26 886 804</w:t>
            </w:r>
          </w:p>
        </w:tc>
      </w:tr>
    </w:tbl>
    <w:p w14:paraId="2D21328F" w14:textId="4D5D58C6" w:rsidR="00343889" w:rsidRPr="00424FC0" w:rsidRDefault="00343889" w:rsidP="004854A6">
      <w:pPr>
        <w:pStyle w:val="Text2"/>
        <w:spacing w:after="0" w:line="276" w:lineRule="auto"/>
        <w:ind w:left="720"/>
        <w:rPr>
          <w:noProof/>
          <w:sz w:val="20"/>
        </w:rPr>
      </w:pPr>
      <w:r w:rsidRPr="00424FC0">
        <w:rPr>
          <w:noProof/>
          <w:sz w:val="20"/>
        </w:rPr>
        <w:t>*Megawatt-oră</w:t>
      </w:r>
    </w:p>
    <w:p w14:paraId="4750FA22" w14:textId="405DBF39" w:rsidR="234CDD88" w:rsidRPr="00424FC0" w:rsidRDefault="00F83249" w:rsidP="007D751C">
      <w:pPr>
        <w:pStyle w:val="Text2"/>
        <w:spacing w:line="276" w:lineRule="auto"/>
        <w:ind w:left="720"/>
        <w:rPr>
          <w:noProof/>
          <w:sz w:val="20"/>
        </w:rPr>
      </w:pPr>
      <w:r w:rsidRPr="00424FC0">
        <w:rPr>
          <w:noProof/>
          <w:sz w:val="20"/>
        </w:rPr>
        <w:t>Sursă: Comisia Europeană, 2024</w:t>
      </w:r>
    </w:p>
    <w:p w14:paraId="239B5BE4" w14:textId="677DB21D" w:rsidR="1B80C3B4" w:rsidRPr="00424FC0" w:rsidRDefault="00343889" w:rsidP="007D751C">
      <w:pPr>
        <w:pStyle w:val="Text2"/>
        <w:spacing w:line="276" w:lineRule="auto"/>
        <w:ind w:left="0"/>
        <w:rPr>
          <w:noProof/>
        </w:rPr>
      </w:pPr>
      <w:r w:rsidRPr="00424FC0">
        <w:rPr>
          <w:noProof/>
        </w:rPr>
        <w:t>Pe baza datelor disponibile, până la sfârșitul anului 2023, economiile anuale de energie realizate prin intermediul fondurilor UE se ridicau la 81,9 TWh, echivalentul a aproximativ 6 % din efortul suplimentar necesar pentru atingerea obiectivului de eficiență energetică al Uniunii pentru 2030. Totuși, din motivele prezentate mai sus, această valoare se bazează pe date incomplete și nu reflectă impactul real al finanțării din partea UE.</w:t>
      </w:r>
    </w:p>
    <w:p w14:paraId="5874BE2D" w14:textId="767F8205" w:rsidR="0FF9D307" w:rsidRPr="00424FC0" w:rsidRDefault="00153F01" w:rsidP="007D751C">
      <w:pPr>
        <w:pStyle w:val="Heading3"/>
        <w:spacing w:line="276" w:lineRule="auto"/>
        <w:rPr>
          <w:i w:val="0"/>
          <w:noProof/>
        </w:rPr>
      </w:pPr>
      <w:r w:rsidRPr="00424FC0">
        <w:rPr>
          <w:noProof/>
        </w:rPr>
        <w:t>Programele naționale</w:t>
      </w:r>
    </w:p>
    <w:p w14:paraId="554B8C8F" w14:textId="43F62204" w:rsidR="00AB1139" w:rsidRPr="00424FC0" w:rsidRDefault="006B0FF9" w:rsidP="007D751C">
      <w:pPr>
        <w:pStyle w:val="Text2"/>
        <w:spacing w:line="276" w:lineRule="auto"/>
        <w:ind w:left="0"/>
        <w:rPr>
          <w:noProof/>
        </w:rPr>
      </w:pPr>
      <w:r w:rsidRPr="00424FC0">
        <w:rPr>
          <w:b/>
          <w:noProof/>
        </w:rPr>
        <w:t>Datele privind economiile de energie sunt raportate în mod neuniform</w:t>
      </w:r>
      <w:r w:rsidRPr="00424FC0">
        <w:rPr>
          <w:noProof/>
        </w:rPr>
        <w:t>. În trei state membre (Danemarca, Irlanda și Spania), peste 80 % din scheme raportează economii de energie, în timp ce în opt state membre nu există raportări. În total, doar 135 de scheme din întreaga Europă raportează economii de energie.</w:t>
      </w:r>
    </w:p>
    <w:p w14:paraId="0C02E733" w14:textId="2E6FA498" w:rsidR="006B0FF9" w:rsidRPr="00424FC0" w:rsidRDefault="006B0FF9" w:rsidP="007D751C">
      <w:pPr>
        <w:pStyle w:val="Text2"/>
        <w:spacing w:line="276" w:lineRule="auto"/>
        <w:ind w:left="0"/>
        <w:rPr>
          <w:noProof/>
        </w:rPr>
      </w:pPr>
      <w:bookmarkStart w:id="5" w:name="_Hlk202279253"/>
      <w:r w:rsidRPr="00424FC0">
        <w:rPr>
          <w:b/>
          <w:noProof/>
        </w:rPr>
        <w:t>Nu există o metodă standardizată de raportare a câștigurilor în materie de eficiență energetică</w:t>
      </w:r>
      <w:r w:rsidRPr="00424FC0">
        <w:rPr>
          <w:noProof/>
        </w:rPr>
        <w:t xml:space="preserve">. Economiile de energie pot fi estimate </w:t>
      </w:r>
      <w:r w:rsidRPr="00424FC0">
        <w:rPr>
          <w:i/>
          <w:noProof/>
        </w:rPr>
        <w:t>ex ante</w:t>
      </w:r>
      <w:r w:rsidRPr="00424FC0">
        <w:rPr>
          <w:noProof/>
        </w:rPr>
        <w:t xml:space="preserve"> sau raportate </w:t>
      </w:r>
      <w:r w:rsidRPr="00424FC0">
        <w:rPr>
          <w:i/>
          <w:noProof/>
        </w:rPr>
        <w:t>ex post</w:t>
      </w:r>
      <w:r w:rsidRPr="00424FC0">
        <w:rPr>
          <w:noProof/>
        </w:rPr>
        <w:t>. Majoritatea schemelor (95 din 137) raportează date privind consumul de energie finală (CEF), însă cinci state membre utilizează date privind consumul de energie primară (CEP), iar unele state (de exemplu, Spania, Polonia și Malta) raportează fie date CEP, fie date CEF, în funcție de schemă.</w:t>
      </w:r>
      <w:bookmarkEnd w:id="5"/>
    </w:p>
    <w:p w14:paraId="59EFCA3D" w14:textId="73FDE53E" w:rsidR="00835F55" w:rsidRPr="00424FC0" w:rsidRDefault="03747A30" w:rsidP="005D3B37">
      <w:pPr>
        <w:pStyle w:val="Text2"/>
        <w:spacing w:line="276" w:lineRule="auto"/>
        <w:ind w:left="0"/>
        <w:rPr>
          <w:noProof/>
          <w:color w:val="FF0000"/>
        </w:rPr>
      </w:pPr>
      <w:r w:rsidRPr="00424FC0">
        <w:rPr>
          <w:noProof/>
        </w:rPr>
        <w:t>Pentru perioada 2014–2024 analizată în prezentul raport, 135 de scheme naționale (mai puțin de 30 %) au raportat date privind economiile de energie. Economiile totale de energie raportate s-au ridicat la 135 611 696,46 MWh, adică 135,6 TWh (</w:t>
      </w:r>
      <w:r w:rsidRPr="00424FC0">
        <w:rPr>
          <w:rStyle w:val="FootnoteReference"/>
          <w:noProof/>
        </w:rPr>
        <w:footnoteReference w:id="34"/>
      </w:r>
      <w:r w:rsidRPr="00424FC0">
        <w:rPr>
          <w:noProof/>
        </w:rPr>
        <w:t>), ceea ce reprezintă aproximativ 10 % din efortul suplimentar necesar pentru atingerea obiectivului de eficiență energetică al Uniunii pentru 2030.</w:t>
      </w:r>
    </w:p>
    <w:p w14:paraId="124D0401" w14:textId="1945A191" w:rsidR="234CDD88" w:rsidRPr="00424FC0" w:rsidRDefault="00A45571" w:rsidP="0031363B">
      <w:pPr>
        <w:spacing w:after="0" w:line="276" w:lineRule="auto"/>
        <w:rPr>
          <w:i/>
          <w:iCs/>
          <w:noProof/>
        </w:rPr>
      </w:pPr>
      <w:r w:rsidRPr="00424FC0">
        <w:rPr>
          <w:i/>
          <w:noProof/>
        </w:rPr>
        <w:t>Graficul 5/Tabelul 11: Economiile de energie estimate în țările selectate</w:t>
      </w:r>
    </w:p>
    <w:p w14:paraId="4D49DFD2" w14:textId="7462347B" w:rsidR="193AAECC" w:rsidRPr="00424FC0" w:rsidRDefault="007710B3" w:rsidP="007D751C">
      <w:pPr>
        <w:pStyle w:val="Text2"/>
        <w:spacing w:line="276" w:lineRule="auto"/>
        <w:ind w:left="0"/>
        <w:rPr>
          <w:noProof/>
        </w:rPr>
      </w:pPr>
      <w:r w:rsidRPr="00424FC0">
        <w:rPr>
          <w:noProof/>
          <w:lang w:val="en-GB" w:eastAsia="en-GB"/>
        </w:rPr>
        <w:drawing>
          <wp:inline distT="0" distB="0" distL="0" distR="0" wp14:anchorId="1435C79C" wp14:editId="052A8404">
            <wp:extent cx="5472430" cy="2790908"/>
            <wp:effectExtent l="0" t="0" r="13970" b="9525"/>
            <wp:docPr id="972775980" name="Chart 1">
              <a:extLst xmlns:a="http://schemas.openxmlformats.org/drawingml/2006/main">
                <a:ext uri="{FF2B5EF4-FFF2-40B4-BE49-F238E27FC236}">
                  <a16:creationId xmlns:a16="http://schemas.microsoft.com/office/drawing/2014/main" id="{77EF3297-4096-465B-940F-3554CB0B61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02B5544" w14:textId="088F911D" w:rsidR="006E09AE" w:rsidRPr="00424FC0" w:rsidRDefault="006E09AE" w:rsidP="007D751C">
      <w:pPr>
        <w:pStyle w:val="Heading1"/>
        <w:spacing w:line="276" w:lineRule="auto"/>
        <w:rPr>
          <w:noProof/>
        </w:rPr>
      </w:pPr>
      <w:r w:rsidRPr="00424FC0">
        <w:rPr>
          <w:noProof/>
        </w:rPr>
        <w:t>Principalele constatări și concluzii</w:t>
      </w:r>
    </w:p>
    <w:p w14:paraId="2DCA6C6A" w14:textId="7FCB5728" w:rsidR="006E09AE" w:rsidRPr="00424FC0" w:rsidRDefault="607AD409" w:rsidP="007D751C">
      <w:pPr>
        <w:pStyle w:val="Heading2"/>
        <w:spacing w:line="276" w:lineRule="auto"/>
        <w:rPr>
          <w:noProof/>
        </w:rPr>
      </w:pPr>
      <w:r w:rsidRPr="00424FC0">
        <w:rPr>
          <w:noProof/>
        </w:rPr>
        <w:t>Principalele constatări</w:t>
      </w:r>
    </w:p>
    <w:p w14:paraId="13373811" w14:textId="1D544C44" w:rsidR="00AA337C" w:rsidRPr="00424FC0" w:rsidRDefault="00FB395A" w:rsidP="007D751C">
      <w:pPr>
        <w:spacing w:line="276" w:lineRule="auto"/>
        <w:rPr>
          <w:noProof/>
        </w:rPr>
      </w:pPr>
      <w:r w:rsidRPr="00424FC0">
        <w:rPr>
          <w:noProof/>
        </w:rPr>
        <w:t xml:space="preserve">Prezentul raport arată că, în ultimii ani, s-au înregistrat </w:t>
      </w:r>
      <w:r w:rsidRPr="00424FC0">
        <w:rPr>
          <w:b/>
          <w:noProof/>
        </w:rPr>
        <w:t>progrese considerabile în domeniul finanțării eficienței energetice</w:t>
      </w:r>
      <w:r w:rsidRPr="00424FC0">
        <w:rPr>
          <w:noProof/>
        </w:rPr>
        <w:t>, reflectând o creștere semnificativă a bugetului Uniunii. Această creștere a finanțării reprezintă un pas esențial în direcția atingerii obiectivelor de sustenabilitate pe termen lung și a satisfacerii cererii de renovări vizând performanța energetică.</w:t>
      </w:r>
    </w:p>
    <w:p w14:paraId="6E9AB235" w14:textId="00D47F87" w:rsidR="006111CA" w:rsidRPr="00424FC0" w:rsidRDefault="00C3144A" w:rsidP="007D751C">
      <w:pPr>
        <w:spacing w:line="276" w:lineRule="auto"/>
        <w:rPr>
          <w:noProof/>
        </w:rPr>
      </w:pPr>
      <w:r w:rsidRPr="00424FC0">
        <w:rPr>
          <w:noProof/>
        </w:rPr>
        <w:t>Cu toate acestea, un sondaj realizat asupra a 486 de scheme naționale a evidențiat</w:t>
      </w:r>
      <w:r w:rsidRPr="00424FC0">
        <w:rPr>
          <w:b/>
          <w:noProof/>
        </w:rPr>
        <w:t xml:space="preserve"> utilizarea limitată a schemelor de finanțare mixtă și rambursabilă</w:t>
      </w:r>
      <w:r w:rsidRPr="00424FC0">
        <w:rPr>
          <w:noProof/>
        </w:rPr>
        <w:t>, care reprezintă în prezent mai puțin de 25 % din total. Această subutilizare se datorează nu numai complexității acestor scheme, comparativ cu schemele de subvenții bazate pe granturi, ci și lipsei sau capacității limitate a entităților naționale de finanțare specializate în mobilizarea investițiilor în eficiența energetică.</w:t>
      </w:r>
    </w:p>
    <w:p w14:paraId="52132EF3" w14:textId="3D57B159" w:rsidR="00F96170" w:rsidRPr="00424FC0" w:rsidRDefault="00534888" w:rsidP="007D751C">
      <w:pPr>
        <w:spacing w:line="276" w:lineRule="auto"/>
        <w:rPr>
          <w:noProof/>
        </w:rPr>
      </w:pPr>
      <w:r w:rsidRPr="00424FC0">
        <w:rPr>
          <w:noProof/>
        </w:rPr>
        <w:t xml:space="preserve">Deși instrumentele financiare pot mobiliza niveluri mai ridicate de investiții private, acestea sunt utilizate mai rar decât granturile. Aceasta evidențiază necesitatea unei interacțiuni mai eficace între granturi și instrumentele financiare. </w:t>
      </w:r>
      <w:r w:rsidRPr="00424FC0">
        <w:rPr>
          <w:b/>
          <w:noProof/>
        </w:rPr>
        <w:t>Granturile ar trebui să sprijine nevoi sociale sau sectoriale specifice</w:t>
      </w:r>
      <w:r w:rsidRPr="00424FC0">
        <w:rPr>
          <w:noProof/>
        </w:rPr>
        <w:t xml:space="preserve">, precum gospodăriile vulnerabile, microîntreprinderile sau clădirile cu cele mai slabe performanțe, </w:t>
      </w:r>
      <w:r w:rsidRPr="00424FC0">
        <w:rPr>
          <w:b/>
          <w:noProof/>
        </w:rPr>
        <w:t>în timp ce instrumentele financiare ar trebui integrate</w:t>
      </w:r>
      <w:r w:rsidRPr="00424FC0">
        <w:rPr>
          <w:noProof/>
        </w:rPr>
        <w:t>, vizând alte domenii și maximizând impactul fondurilor publice.</w:t>
      </w:r>
    </w:p>
    <w:p w14:paraId="380638A2" w14:textId="30BE444C" w:rsidR="0024404F" w:rsidRPr="00424FC0" w:rsidRDefault="00A4545A" w:rsidP="005D3B37">
      <w:pPr>
        <w:spacing w:line="276" w:lineRule="auto"/>
        <w:rPr>
          <w:noProof/>
        </w:rPr>
      </w:pPr>
      <w:r w:rsidRPr="00424FC0">
        <w:rPr>
          <w:noProof/>
        </w:rPr>
        <w:t xml:space="preserve">În plus, dovezile furnizate de instrumentele financiare din cadrul politicii de coeziune arată că </w:t>
      </w:r>
      <w:r w:rsidRPr="00424FC0">
        <w:rPr>
          <w:b/>
          <w:noProof/>
        </w:rPr>
        <w:t>granturile pot fi combinate în mod eficace cu instrumente financiare</w:t>
      </w:r>
      <w:r w:rsidRPr="00424FC0">
        <w:rPr>
          <w:noProof/>
        </w:rPr>
        <w:t xml:space="preserve"> în vederea îmbunătățirii pregătirii proiectelor, a stimulării renovărilor energetice mai aprofundate și a sporirii accesibilității prețurilor pentru gospodăriile cu venituri mici care se confruntă cu sărăcia energetică. Diferite forme de granturi – cum ar fi subvențiile la rata dobânzii sau la comisioanele de garantare, asistența tehnică, granturile pentru investiții și subvențiile de capital – pot fi combinate cu împrumuturi, garanții sau capitaluri proprii în cadrul unei singure operațiuni, sporind atractivitatea schemelor atât pentru piață, cât și pentru intermediarii financiari. Experiența dobândită în cadrul Mecanismului de redresare și reziliență evidențiază importanța combinării sprijinului pentru investiții cu reformele, precum și a instituirii rețelelor de sprijin necesare (de exemplu, ghișeele unice).</w:t>
      </w:r>
    </w:p>
    <w:p w14:paraId="59300BC5" w14:textId="07ECC535" w:rsidR="00FB4195" w:rsidRPr="00424FC0" w:rsidRDefault="00E5560A" w:rsidP="007D751C">
      <w:pPr>
        <w:spacing w:line="276" w:lineRule="auto"/>
        <w:rPr>
          <w:noProof/>
        </w:rPr>
      </w:pPr>
      <w:r w:rsidRPr="00424FC0">
        <w:rPr>
          <w:b/>
          <w:noProof/>
        </w:rPr>
        <w:t>Fondurile Uniunii pentru eficiența energetică sunt repartizate între diverse programe naționale și regionale</w:t>
      </w:r>
      <w:r w:rsidRPr="00424FC0">
        <w:rPr>
          <w:noProof/>
        </w:rPr>
        <w:t>,</w:t>
      </w:r>
      <w:r w:rsidRPr="00424FC0">
        <w:rPr>
          <w:b/>
          <w:noProof/>
        </w:rPr>
        <w:t xml:space="preserve"> </w:t>
      </w:r>
      <w:r w:rsidRPr="00424FC0">
        <w:rPr>
          <w:noProof/>
        </w:rPr>
        <w:t xml:space="preserve">fiecare fiind gestionat de organizații diferite. Această fragmentare și </w:t>
      </w:r>
      <w:r w:rsidRPr="00424FC0">
        <w:rPr>
          <w:b/>
          <w:noProof/>
        </w:rPr>
        <w:t>lipsa de coordonare</w:t>
      </w:r>
      <w:r w:rsidRPr="00424FC0">
        <w:rPr>
          <w:noProof/>
        </w:rPr>
        <w:t xml:space="preserve"> dintre instituțiile publice și cele financiare limitează utilizarea finanțării mixte și împiedică mobilizarea investițiilor private.</w:t>
      </w:r>
    </w:p>
    <w:p w14:paraId="3A633840" w14:textId="76DDED39" w:rsidR="00356E2A" w:rsidRPr="00424FC0" w:rsidRDefault="009D4EB8" w:rsidP="007D751C">
      <w:pPr>
        <w:spacing w:line="276" w:lineRule="auto"/>
        <w:rPr>
          <w:noProof/>
        </w:rPr>
      </w:pPr>
      <w:r w:rsidRPr="00424FC0">
        <w:rPr>
          <w:noProof/>
        </w:rPr>
        <w:t xml:space="preserve">Totodată, </w:t>
      </w:r>
      <w:r w:rsidRPr="00424FC0">
        <w:rPr>
          <w:b/>
          <w:noProof/>
        </w:rPr>
        <w:t>finanțarea publică ar putea deveni mai eficace prin mutarea accentului de pe proiectele individuale pe cele agregate</w:t>
      </w:r>
      <w:r w:rsidRPr="00424FC0">
        <w:rPr>
          <w:noProof/>
        </w:rPr>
        <w:t>, inclusiv prin sprijinirea standardizării, crearea de economii de scară și atingerea unei dimensiuni critice necesare pentru accesul la finanțare. Totuși, sprijinul pentru agregatorii de proiecte este adesea limitat de norme și reglementări, printre altele de practicile bancare pentru finanțarea pe termen lung, de garanții ș de garanții reale. În același timp, programele relevante finanțate de Uniune, precum ELENA și LIFE CET, care utilizează în mod eficace resursele bugetului Uniunii și au demonstrat un efect de levier și un efect multiplicator semnificativ, dispun de un buget relativ limitat.</w:t>
      </w:r>
    </w:p>
    <w:p w14:paraId="7DB38F53" w14:textId="78F60777" w:rsidR="00AC78FB" w:rsidRPr="00424FC0" w:rsidRDefault="0038592B" w:rsidP="007D751C">
      <w:pPr>
        <w:spacing w:line="276" w:lineRule="auto"/>
        <w:rPr>
          <w:noProof/>
        </w:rPr>
      </w:pPr>
      <w:r w:rsidRPr="00424FC0">
        <w:rPr>
          <w:b/>
          <w:noProof/>
        </w:rPr>
        <w:t>Absența unor date și a unei raportări standardizate privind proiectele de eficiență energetică</w:t>
      </w:r>
      <w:r w:rsidRPr="00424FC0">
        <w:rPr>
          <w:noProof/>
        </w:rPr>
        <w:t>, investițiile și economiile de energie continuă să reprezinte o provocare în ceea ce privește evaluarea progreselor și măsurarea impactului. Această situație este deosebit de relevantă pentru programele de mare amploare, pentru anumite populații-țintă (de exemplu, gospodăriile vulnerabile) și pentru clădirile cu cele mai slabe performanțe, care au cel mai mult de câștigat de pe urma renovărilor energetice.</w:t>
      </w:r>
    </w:p>
    <w:p w14:paraId="0FB38BE5" w14:textId="22ECABF9" w:rsidR="006E09AE" w:rsidRPr="00424FC0" w:rsidRDefault="00001143" w:rsidP="007D751C">
      <w:pPr>
        <w:pStyle w:val="Heading2"/>
        <w:spacing w:line="276" w:lineRule="auto"/>
        <w:rPr>
          <w:noProof/>
        </w:rPr>
      </w:pPr>
      <w:r w:rsidRPr="00424FC0">
        <w:rPr>
          <w:noProof/>
        </w:rPr>
        <w:t>Concluzii</w:t>
      </w:r>
    </w:p>
    <w:p w14:paraId="1BB4767A" w14:textId="1BE85828" w:rsidR="009D3CA6" w:rsidRPr="00424FC0" w:rsidRDefault="00BC3054" w:rsidP="00C3144A">
      <w:pPr>
        <w:spacing w:line="276" w:lineRule="auto"/>
        <w:rPr>
          <w:noProof/>
        </w:rPr>
      </w:pPr>
      <w:r w:rsidRPr="00424FC0">
        <w:rPr>
          <w:noProof/>
        </w:rPr>
        <w:t xml:space="preserve">În pofida progreselor notabile înregistrate în consolidarea sprijinului public pentru proiectele de eficiență energetică, </w:t>
      </w:r>
      <w:r w:rsidRPr="00424FC0">
        <w:rPr>
          <w:b/>
          <w:noProof/>
        </w:rPr>
        <w:t>finanțarea publică acoperă în prezent doar o proporție limitată (15 %) din totalul necesarului de investiții estimat</w:t>
      </w:r>
      <w:r w:rsidRPr="00424FC0">
        <w:rPr>
          <w:noProof/>
        </w:rPr>
        <w:t xml:space="preserve"> pentru atingerea obiectivelor de eficiență energetică ale Uniunii pentru 2030</w:t>
      </w:r>
      <w:r w:rsidRPr="00424FC0">
        <w:rPr>
          <w:b/>
          <w:noProof/>
        </w:rPr>
        <w:t>. Încheierea Mecanismului de redresare și reziliență în 2026 riscă să adâncească și mai mult acest deficit de investiții</w:t>
      </w:r>
      <w:r w:rsidRPr="00424FC0">
        <w:rPr>
          <w:noProof/>
        </w:rPr>
        <w:t xml:space="preserve">, ceea ce va face mai dificilă valorificarea pe deplin a potențialului eficienței energetice. </w:t>
      </w:r>
    </w:p>
    <w:p w14:paraId="20F6A271" w14:textId="60780421" w:rsidR="00C3144A" w:rsidRPr="00424FC0" w:rsidRDefault="000378A8" w:rsidP="00C3144A">
      <w:pPr>
        <w:spacing w:line="276" w:lineRule="auto"/>
        <w:rPr>
          <w:noProof/>
        </w:rPr>
      </w:pPr>
      <w:r w:rsidRPr="00424FC0">
        <w:rPr>
          <w:noProof/>
        </w:rPr>
        <w:t>Renovările clădirilor și îmbunătățirile în materie de eficiență energetică realizate de IMM-uri și microîntreprinderi generează economii substanțiale pe termen lung; cu toate acestea, gospodăriile vulnerabile și IMM-urile, în special, au nevoie de sprijin financiar pentru a acoperi costurile inițiale ale investițiilor.</w:t>
      </w:r>
    </w:p>
    <w:p w14:paraId="4C882261" w14:textId="45D58CF0" w:rsidR="00114478" w:rsidRPr="00424FC0" w:rsidRDefault="00894C62" w:rsidP="004854A6">
      <w:pPr>
        <w:pStyle w:val="Text2"/>
        <w:spacing w:line="276" w:lineRule="auto"/>
        <w:ind w:left="0"/>
        <w:rPr>
          <w:noProof/>
          <w:szCs w:val="24"/>
        </w:rPr>
      </w:pPr>
      <w:r w:rsidRPr="00424FC0">
        <w:rPr>
          <w:noProof/>
        </w:rPr>
        <w:t>Scheme de finanțare mai eficiente, mai bine direcționate și bazate pe performanță, la nivelul Uniunii, la nivel național și la nivel regional, pot debloca soluții energetice simple, adaptate și atractive pentru cetățeni și întreprinderi.</w:t>
      </w:r>
    </w:p>
    <w:p w14:paraId="4207DF97" w14:textId="60ABC0F4" w:rsidR="00CA4089" w:rsidRPr="00424FC0" w:rsidRDefault="00CA4089" w:rsidP="00CA4089">
      <w:pPr>
        <w:spacing w:line="276" w:lineRule="auto"/>
        <w:rPr>
          <w:noProof/>
        </w:rPr>
      </w:pPr>
      <w:r w:rsidRPr="00424FC0">
        <w:rPr>
          <w:noProof/>
        </w:rPr>
        <w:t xml:space="preserve">Prin urmare, există o nevoie urgentă de a </w:t>
      </w:r>
      <w:r w:rsidRPr="00424FC0">
        <w:rPr>
          <w:b/>
          <w:noProof/>
        </w:rPr>
        <w:t>maximiza</w:t>
      </w:r>
      <w:r w:rsidRPr="00424FC0">
        <w:rPr>
          <w:noProof/>
        </w:rPr>
        <w:t xml:space="preserve"> </w:t>
      </w:r>
      <w:r w:rsidRPr="00424FC0">
        <w:rPr>
          <w:b/>
          <w:noProof/>
        </w:rPr>
        <w:t>efectul catalizator și de transformare a pieței al finanțării publice, în vederea deblocării unor investiții private semnificative și a valorificării potențialului eficienței energetice în termeni de competitivitate, accesibilitate a energiei, securitate, sănătate și calitate a vieții</w:t>
      </w:r>
      <w:r w:rsidRPr="00424FC0">
        <w:rPr>
          <w:noProof/>
        </w:rPr>
        <w:t xml:space="preserve">, asigurând atingerea obiectivelor Uniunii în materie de eficiență energetică, în special în domeniul renovării clădirilor, pentru 2030 și ulterior. În același timp, instrumentele dedicate și măsurile de politică ar trebui să continue să contribuie la stimularea cererii de investiții în eficiența energetică, inclusiv prin servicii de tip ghișeu unic, precum și la stimularea ofertei de soluții de finanțare inovatoare și private, inclusiv prin simplificarea și extinderea pieței serviciilor de eficiență energetică. </w:t>
      </w:r>
    </w:p>
    <w:p w14:paraId="079E6026" w14:textId="216A1498" w:rsidR="00FC0143" w:rsidRPr="00424FC0" w:rsidRDefault="009155F9" w:rsidP="007D751C">
      <w:pPr>
        <w:pStyle w:val="Text2"/>
        <w:spacing w:line="276" w:lineRule="auto"/>
        <w:ind w:left="0"/>
        <w:rPr>
          <w:noProof/>
        </w:rPr>
      </w:pPr>
      <w:r w:rsidRPr="00424FC0">
        <w:rPr>
          <w:noProof/>
        </w:rPr>
        <w:t>Domeniul de aplicare modernizat al bugetului propus pentru perioada 2028–2034 permite punerea în aplicare a acestei optimizări.  În special, planurile de parteneriat naționale și regionale vor corela reformele cu investițiile, inclusiv cele destinate îmbunătățirii eficienței energetice, alături de noul Fond european pentru competitivitate, care va consolida economia Uniunii prin investiții menite să decarbonizeze economia europeană și să promoveze eficiența energetică.</w:t>
      </w:r>
    </w:p>
    <w:p w14:paraId="5B910C69" w14:textId="3F3CF589" w:rsidR="00114478" w:rsidRPr="00424FC0" w:rsidRDefault="009155F9" w:rsidP="00893876">
      <w:pPr>
        <w:pStyle w:val="Text2"/>
        <w:spacing w:line="276" w:lineRule="auto"/>
        <w:ind w:left="0"/>
        <w:rPr>
          <w:noProof/>
        </w:rPr>
      </w:pPr>
      <w:r w:rsidRPr="00424FC0">
        <w:rPr>
          <w:noProof/>
        </w:rPr>
        <w:t xml:space="preserve">Bugetul Uniunii va sprijini, de asemenea, </w:t>
      </w:r>
      <w:r w:rsidRPr="00424FC0">
        <w:rPr>
          <w:b/>
          <w:noProof/>
        </w:rPr>
        <w:t>dezvoltarea și extinderea instrumentelor financiare și a schemelor de finanțare mixtă</w:t>
      </w:r>
      <w:r w:rsidRPr="00424FC0">
        <w:rPr>
          <w:noProof/>
        </w:rPr>
        <w:t xml:space="preserve">, care combină granturi, servicii de consiliere și garanții, în vederea satisfacerii nevoilor specifice ale sectoarelor. </w:t>
      </w:r>
      <w:r w:rsidRPr="00424FC0">
        <w:rPr>
          <w:b/>
          <w:noProof/>
        </w:rPr>
        <w:t>Recomandarea Comisiei privind deblocarea investițiilor private în eficiența energetică</w:t>
      </w:r>
      <w:r w:rsidRPr="00424FC0">
        <w:rPr>
          <w:noProof/>
        </w:rPr>
        <w:t xml:space="preserve"> oferă statelor membre și actorilor de pe piață orientări valoroase și exemple concrete pentru mobilizarea resurselor din sectorul privat.</w:t>
      </w:r>
    </w:p>
    <w:p w14:paraId="43EB1CBC" w14:textId="6909AA20" w:rsidR="00114478" w:rsidRPr="00424FC0" w:rsidRDefault="00114478" w:rsidP="00893876">
      <w:pPr>
        <w:spacing w:after="0" w:line="276" w:lineRule="auto"/>
        <w:rPr>
          <w:noProof/>
          <w:szCs w:val="24"/>
        </w:rPr>
      </w:pPr>
      <w:r w:rsidRPr="00424FC0">
        <w:rPr>
          <w:noProof/>
        </w:rPr>
        <w:t xml:space="preserve">Sunt necesare o </w:t>
      </w:r>
      <w:r w:rsidRPr="00424FC0">
        <w:rPr>
          <w:b/>
          <w:noProof/>
        </w:rPr>
        <w:t xml:space="preserve">asistență solidă pentru dezvoltarea proiectelor, inițiative de introducere pe piață și măsuri de consolidare a capacităților </w:t>
      </w:r>
      <w:r w:rsidRPr="00424FC0">
        <w:rPr>
          <w:noProof/>
        </w:rPr>
        <w:t>pentru a îmbunătăți eficiența utilizării și gradul de absorbție a fondurilor publice și private. În cadrul următorului CFM, Comisia se va baza pe programele existente ale Uniunii, precum LIFE CET și ELENA, care au demonstrat un efect de levier ridicat în ceea ce privește investițiile și economiile de energie, pentru a pregăti terenul în vederea unor programe de investiții directe de mai mare amploare.</w:t>
      </w:r>
    </w:p>
    <w:p w14:paraId="713DDA53" w14:textId="77777777" w:rsidR="00114478" w:rsidRPr="00424FC0" w:rsidRDefault="00114478" w:rsidP="004854A6">
      <w:pPr>
        <w:spacing w:after="0" w:line="276" w:lineRule="auto"/>
        <w:rPr>
          <w:noProof/>
          <w:szCs w:val="24"/>
        </w:rPr>
      </w:pPr>
    </w:p>
    <w:p w14:paraId="10B1183B" w14:textId="4E3AE189" w:rsidR="00FC0143" w:rsidRPr="00424FC0" w:rsidRDefault="00FC0143" w:rsidP="00FC0143">
      <w:pPr>
        <w:spacing w:line="276" w:lineRule="auto"/>
        <w:rPr>
          <w:noProof/>
          <w:szCs w:val="24"/>
        </w:rPr>
      </w:pPr>
      <w:r w:rsidRPr="00424FC0">
        <w:rPr>
          <w:noProof/>
        </w:rPr>
        <w:t xml:space="preserve">Pentru a maximiza impactul finanțării publice în sprijinul investițiilor în eficiența energetică, </w:t>
      </w:r>
      <w:r w:rsidRPr="00424FC0">
        <w:rPr>
          <w:b/>
          <w:noProof/>
        </w:rPr>
        <w:t>statele membre ar trebui să sporească utilizarea instrumentelor financiare</w:t>
      </w:r>
      <w:r w:rsidRPr="00424FC0">
        <w:rPr>
          <w:noProof/>
        </w:rPr>
        <w:t xml:space="preserve"> și să își reducă dependența de granturi. Cu toate acestea, granturile ar trebui să fie utilizate în continuare pentru remedierea disfuncționalităților pieței, pentru asigurarea incluziunii sociale și pentru sprijinirea nevoilor sectoriale specifice.</w:t>
      </w:r>
    </w:p>
    <w:p w14:paraId="515B90C0" w14:textId="09FF7B01" w:rsidR="00893876" w:rsidRPr="00424FC0" w:rsidRDefault="00893876" w:rsidP="00893876">
      <w:pPr>
        <w:spacing w:line="276" w:lineRule="auto"/>
        <w:rPr>
          <w:noProof/>
          <w:szCs w:val="24"/>
        </w:rPr>
      </w:pPr>
      <w:r w:rsidRPr="00424FC0">
        <w:rPr>
          <w:noProof/>
        </w:rPr>
        <w:t>În același timp, cadrul favorabil ar trebui să promoveze implementarea și utilizarea eficace a instrumentelor facilitatoare, precum împrumuturile și creditele ipotecare pentru eficiență energetică, garanțiile de portofoliu combinate, destinate renovării clădirilor, contractele de performanță energetică, schemele financiare de tip plată în funcție de performanță, stimulentele fiscale și standardele de performanță energetică.</w:t>
      </w:r>
    </w:p>
    <w:p w14:paraId="087FDEDA" w14:textId="77777777" w:rsidR="009155F9" w:rsidRPr="00424FC0" w:rsidRDefault="009155F9" w:rsidP="004854A6">
      <w:pPr>
        <w:pStyle w:val="Text2"/>
        <w:spacing w:line="276" w:lineRule="auto"/>
        <w:ind w:left="0"/>
        <w:rPr>
          <w:noProof/>
        </w:rPr>
      </w:pPr>
      <w:r w:rsidRPr="00424FC0">
        <w:rPr>
          <w:noProof/>
        </w:rPr>
        <w:t xml:space="preserve">Având în vedere complexitatea și provocările asociate finanțării proiectelor de eficiență energetică, Comisia recunoaște nevoia tot mai mare de soluții de finanțare eficace, pentru dezvoltarea unor </w:t>
      </w:r>
      <w:r w:rsidRPr="00424FC0">
        <w:rPr>
          <w:b/>
          <w:noProof/>
        </w:rPr>
        <w:t>rezerve ample de investiții în eficiența energetică și pentru reducerea riscurilor investiționale</w:t>
      </w:r>
      <w:r w:rsidRPr="00424FC0">
        <w:rPr>
          <w:noProof/>
        </w:rPr>
        <w:t>.</w:t>
      </w:r>
    </w:p>
    <w:p w14:paraId="6B1DE176" w14:textId="286965BE" w:rsidR="005256F5" w:rsidRPr="00424FC0" w:rsidRDefault="009155F9" w:rsidP="004854A6">
      <w:pPr>
        <w:pStyle w:val="Text2"/>
        <w:spacing w:line="276" w:lineRule="auto"/>
        <w:ind w:left="0"/>
        <w:rPr>
          <w:noProof/>
        </w:rPr>
      </w:pPr>
      <w:r w:rsidRPr="00424FC0">
        <w:rPr>
          <w:b/>
          <w:noProof/>
        </w:rPr>
        <w:t>Instrumentele de accelerare a eficienței energetice</w:t>
      </w:r>
      <w:r w:rsidRPr="00424FC0">
        <w:rPr>
          <w:noProof/>
        </w:rPr>
        <w:t xml:space="preserve"> ar putea include componente sectoriale specifice menite să crească rapid investițiile în renovarea clădirilor, în IMM-uri și microîntreprinderi, precum și în sistemele de încălzire și răcire. Statele membre ar putea implica centrele naționale ale Coaliției europene pentru finanțarea eficienței energetice, în dezvoltarea acestor instrumente. </w:t>
      </w:r>
    </w:p>
    <w:p w14:paraId="0D4EC125" w14:textId="00C53C2D" w:rsidR="005256F5" w:rsidRPr="00424FC0" w:rsidRDefault="005256F5" w:rsidP="007D751C">
      <w:pPr>
        <w:pStyle w:val="Text2"/>
        <w:spacing w:line="276" w:lineRule="auto"/>
        <w:ind w:left="0"/>
        <w:rPr>
          <w:noProof/>
        </w:rPr>
      </w:pPr>
      <w:r w:rsidRPr="00424FC0">
        <w:rPr>
          <w:b/>
          <w:noProof/>
          <w:color w:val="000000" w:themeColor="text1"/>
        </w:rPr>
        <w:t>Parteneriatele public-privat</w:t>
      </w:r>
      <w:r w:rsidRPr="00424FC0">
        <w:rPr>
          <w:noProof/>
          <w:color w:val="000000" w:themeColor="text1"/>
        </w:rPr>
        <w:t>, precum EEEF, s-au dovedit a fi un succes în ceea ce privește extinderea proiectelor de investiții și mobilizarea finanțării din sectorul privat. Aceasta demonstrează beneficiile potențiale ale replicării și extinderii acestui model într-un cadru mai larg al Uniunii pentru finanțarea eficienței energetice</w:t>
      </w:r>
      <w:r w:rsidRPr="00424FC0">
        <w:rPr>
          <w:noProof/>
        </w:rPr>
        <w:t>. Aceste parteneriate pot servi drept model pentru următoarea generație de instrumente de accelerare. Procedând astfel, Uniunea poate debloca beneficii semnificative pentru proiectele de eficiență energetică, inclusiv reducerea riscurilor, creșterea volumului finanțării și îmbunătățirea dezvoltării proiectelor.</w:t>
      </w:r>
    </w:p>
    <w:p w14:paraId="3750E4CC" w14:textId="37011BA8" w:rsidR="00CA4089" w:rsidRPr="00424FC0" w:rsidRDefault="00CA4089" w:rsidP="00CA4089">
      <w:pPr>
        <w:pStyle w:val="Text2"/>
        <w:spacing w:line="276" w:lineRule="auto"/>
        <w:ind w:left="0"/>
        <w:rPr>
          <w:noProof/>
        </w:rPr>
      </w:pPr>
      <w:r w:rsidRPr="00424FC0">
        <w:rPr>
          <w:noProof/>
        </w:rPr>
        <w:t>Nu în ultimul rând, pentru a stimula în mod semnificativ investițiile private în eficiența energetică, asigurând totodată utilizarea eficace a fondurilor publice,</w:t>
      </w:r>
      <w:r w:rsidRPr="00424FC0">
        <w:rPr>
          <w:b/>
          <w:noProof/>
        </w:rPr>
        <w:t xml:space="preserve"> </w:t>
      </w:r>
      <w:r w:rsidRPr="00424FC0">
        <w:rPr>
          <w:noProof/>
        </w:rPr>
        <w:t xml:space="preserve">Comisia a lansat, în 2024, </w:t>
      </w:r>
      <w:r w:rsidRPr="00424FC0">
        <w:rPr>
          <w:b/>
          <w:noProof/>
        </w:rPr>
        <w:t>Coaliția europeană pentru finanțarea eficienței energetice.</w:t>
      </w:r>
      <w:r w:rsidRPr="00424FC0">
        <w:rPr>
          <w:noProof/>
        </w:rPr>
        <w:t xml:space="preserve"> Continuarea și consolidarea în continuare a acestui</w:t>
      </w:r>
      <w:r w:rsidRPr="00424FC0">
        <w:rPr>
          <w:b/>
          <w:noProof/>
          <w:color w:val="000000" w:themeColor="text1"/>
        </w:rPr>
        <w:t xml:space="preserve"> </w:t>
      </w:r>
      <w:r w:rsidRPr="00424FC0">
        <w:rPr>
          <w:noProof/>
        </w:rPr>
        <w:t>parteneriat structurat între Comisie, statele membre, instituțiile financiare și industrie</w:t>
      </w:r>
      <w:r w:rsidRPr="00424FC0">
        <w:rPr>
          <w:b/>
          <w:noProof/>
        </w:rPr>
        <w:t xml:space="preserve"> </w:t>
      </w:r>
      <w:r w:rsidRPr="00424FC0">
        <w:rPr>
          <w:noProof/>
        </w:rPr>
        <w:t>sunt esențiale pentru realizarea obiectivelor Uniunii în materie de eficiență energetică.</w:t>
      </w:r>
    </w:p>
    <w:p w14:paraId="4B7E5E1A" w14:textId="5582FE53" w:rsidR="009155F9" w:rsidRPr="00424FC0" w:rsidRDefault="009155F9" w:rsidP="009155F9">
      <w:pPr>
        <w:pStyle w:val="Text2"/>
        <w:spacing w:line="276" w:lineRule="auto"/>
        <w:ind w:left="0"/>
        <w:rPr>
          <w:noProof/>
        </w:rPr>
      </w:pPr>
      <w:r w:rsidRPr="00424FC0">
        <w:rPr>
          <w:noProof/>
        </w:rPr>
        <w:t>Comisia invită atât Parlamentul European, cât și Consiliul să ia act de prezentul raport.</w:t>
      </w:r>
    </w:p>
    <w:p w14:paraId="20E29326" w14:textId="77777777" w:rsidR="009155F9" w:rsidRPr="00424FC0" w:rsidRDefault="009155F9" w:rsidP="007D751C">
      <w:pPr>
        <w:pStyle w:val="Text2"/>
        <w:spacing w:line="276" w:lineRule="auto"/>
        <w:ind w:left="0"/>
        <w:rPr>
          <w:noProof/>
        </w:rPr>
      </w:pPr>
    </w:p>
    <w:p w14:paraId="4C61DA10" w14:textId="77777777" w:rsidR="00FC0143" w:rsidRPr="00424FC0" w:rsidRDefault="00FC0143" w:rsidP="007D751C">
      <w:pPr>
        <w:pStyle w:val="Text2"/>
        <w:spacing w:line="276" w:lineRule="auto"/>
        <w:ind w:left="0"/>
        <w:rPr>
          <w:noProof/>
        </w:rPr>
      </w:pPr>
    </w:p>
    <w:bookmarkEnd w:id="0"/>
    <w:p w14:paraId="326ED15D" w14:textId="134077B6" w:rsidR="20033A7D" w:rsidRPr="00424FC0" w:rsidRDefault="20033A7D" w:rsidP="007D751C">
      <w:pPr>
        <w:pStyle w:val="Text2"/>
        <w:spacing w:line="276" w:lineRule="auto"/>
        <w:ind w:left="0"/>
        <w:rPr>
          <w:noProof/>
        </w:rPr>
      </w:pPr>
    </w:p>
    <w:sectPr w:rsidR="20033A7D" w:rsidRPr="00424FC0" w:rsidSect="0001121F">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9E0B8" w14:textId="77777777" w:rsidR="009D277A" w:rsidRPr="00232F3F" w:rsidRDefault="009D277A">
      <w:pPr>
        <w:spacing w:after="0"/>
      </w:pPr>
      <w:r>
        <w:separator/>
      </w:r>
    </w:p>
  </w:endnote>
  <w:endnote w:type="continuationSeparator" w:id="0">
    <w:p w14:paraId="66E43AD8" w14:textId="77777777" w:rsidR="009D277A" w:rsidRPr="00232F3F" w:rsidRDefault="009D277A">
      <w:pPr>
        <w:spacing w:after="0"/>
      </w:pPr>
      <w:r>
        <w:continuationSeparator/>
      </w:r>
    </w:p>
  </w:endnote>
  <w:endnote w:type="continuationNotice" w:id="1">
    <w:p w14:paraId="43BBF21D" w14:textId="77777777" w:rsidR="009D277A" w:rsidRPr="00232F3F" w:rsidRDefault="009D27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917C" w14:textId="445DA309" w:rsidR="00F50353" w:rsidRPr="00F50353" w:rsidRDefault="00F50353" w:rsidP="00F50353">
    <w:pPr>
      <w:pStyle w:val="FooterCoverPage"/>
      <w:rPr>
        <w:rFonts w:ascii="Arial" w:hAnsi="Arial" w:cs="Arial"/>
        <w:b/>
        <w:sz w:val="48"/>
      </w:rPr>
    </w:pPr>
    <w:r w:rsidRPr="00F50353">
      <w:rPr>
        <w:rFonts w:ascii="Arial" w:hAnsi="Arial" w:cs="Arial"/>
        <w:b/>
        <w:sz w:val="48"/>
      </w:rPr>
      <w:t>RO</w:t>
    </w:r>
    <w:r w:rsidRPr="00F50353">
      <w:rPr>
        <w:rFonts w:ascii="Arial" w:hAnsi="Arial" w:cs="Arial"/>
        <w:b/>
        <w:sz w:val="48"/>
      </w:rPr>
      <w:tab/>
    </w:r>
    <w:r w:rsidRPr="00F50353">
      <w:rPr>
        <w:rFonts w:ascii="Arial" w:hAnsi="Arial" w:cs="Arial"/>
        <w:b/>
        <w:sz w:val="48"/>
      </w:rPr>
      <w:tab/>
    </w:r>
    <w:r w:rsidRPr="00F50353">
      <w:tab/>
    </w:r>
    <w:r w:rsidRPr="00F503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0E25A" w14:textId="3B44351D" w:rsidR="00F50353" w:rsidRPr="00F50353" w:rsidRDefault="00F50353" w:rsidP="00F50353">
    <w:pPr>
      <w:pStyle w:val="FooterCoverPage"/>
      <w:rPr>
        <w:rFonts w:ascii="Arial" w:hAnsi="Arial" w:cs="Arial"/>
        <w:b/>
        <w:sz w:val="48"/>
      </w:rPr>
    </w:pPr>
    <w:r w:rsidRPr="00F50353">
      <w:rPr>
        <w:rFonts w:ascii="Arial" w:hAnsi="Arial" w:cs="Arial"/>
        <w:b/>
        <w:sz w:val="48"/>
      </w:rPr>
      <w:t>RO</w:t>
    </w:r>
    <w:r w:rsidRPr="00F50353">
      <w:rPr>
        <w:rFonts w:ascii="Arial" w:hAnsi="Arial" w:cs="Arial"/>
        <w:b/>
        <w:sz w:val="48"/>
      </w:rPr>
      <w:tab/>
    </w:r>
    <w:r w:rsidRPr="00F50353">
      <w:rPr>
        <w:rFonts w:ascii="Arial" w:hAnsi="Arial" w:cs="Arial"/>
        <w:b/>
        <w:sz w:val="48"/>
      </w:rPr>
      <w:tab/>
    </w:r>
    <w:r w:rsidRPr="00F50353">
      <w:tab/>
    </w:r>
    <w:r w:rsidRPr="00F503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1832" w14:textId="77777777" w:rsidR="00F50353" w:rsidRPr="00F50353" w:rsidRDefault="00F50353" w:rsidP="00F503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106A" w14:textId="77777777" w:rsidR="0001121F" w:rsidRPr="00232F3F" w:rsidRDefault="0001121F">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E5A3" w14:textId="4D824353" w:rsidR="0001121F" w:rsidRPr="00232F3F" w:rsidRDefault="0001121F">
    <w:pPr>
      <w:pStyle w:val="FooterLine"/>
      <w:jc w:val="center"/>
    </w:pPr>
    <w:r>
      <w:fldChar w:fldCharType="begin"/>
    </w:r>
    <w:r>
      <w:instrText>PAGE   \* MERGEFORMAT</w:instrText>
    </w:r>
    <w:r>
      <w:fldChar w:fldCharType="separate"/>
    </w:r>
    <w:r w:rsidR="00F50353">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7BA1" w14:textId="181CA768" w:rsidR="0001121F" w:rsidRPr="00232F3F" w:rsidRDefault="0001121F" w:rsidP="00011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26D97" w14:textId="77777777" w:rsidR="009D277A" w:rsidRPr="00232F3F" w:rsidRDefault="009D277A">
      <w:pPr>
        <w:spacing w:after="0"/>
      </w:pPr>
      <w:r>
        <w:separator/>
      </w:r>
    </w:p>
  </w:footnote>
  <w:footnote w:type="continuationSeparator" w:id="0">
    <w:p w14:paraId="5BF72505" w14:textId="77777777" w:rsidR="009D277A" w:rsidRPr="00232F3F" w:rsidRDefault="009D277A">
      <w:pPr>
        <w:spacing w:after="0"/>
      </w:pPr>
      <w:r>
        <w:continuationSeparator/>
      </w:r>
    </w:p>
  </w:footnote>
  <w:footnote w:type="continuationNotice" w:id="1">
    <w:p w14:paraId="3BECEC66" w14:textId="77777777" w:rsidR="009D277A" w:rsidRPr="00232F3F" w:rsidRDefault="009D277A">
      <w:pPr>
        <w:spacing w:after="0"/>
      </w:pPr>
    </w:p>
  </w:footnote>
  <w:footnote w:id="2">
    <w:p w14:paraId="4F02D8BA" w14:textId="33E720C8" w:rsidR="00DF59D0" w:rsidRPr="00232F3F" w:rsidRDefault="009323A6" w:rsidP="00116EE3">
      <w:pPr>
        <w:pStyle w:val="FootnoteText"/>
        <w:spacing w:after="0"/>
      </w:pPr>
      <w:r>
        <w:t>(</w:t>
      </w:r>
      <w:r>
        <w:rPr>
          <w:rStyle w:val="FootnoteReference"/>
        </w:rPr>
        <w:footnoteRef/>
      </w:r>
      <w:r>
        <w:t>)</w:t>
      </w:r>
      <w:r>
        <w:tab/>
      </w:r>
      <w:hyperlink r:id="rId1" w:history="1">
        <w:r>
          <w:rPr>
            <w:rStyle w:val="Hyperlink"/>
          </w:rPr>
          <w:t>(UE) 2023/1791</w:t>
        </w:r>
      </w:hyperlink>
      <w:r>
        <w:t>.</w:t>
      </w:r>
    </w:p>
  </w:footnote>
  <w:footnote w:id="3">
    <w:p w14:paraId="55A97A5C" w14:textId="4BD394CA" w:rsidR="00A10B8E" w:rsidRPr="00232F3F" w:rsidRDefault="009323A6" w:rsidP="00116EE3">
      <w:pPr>
        <w:pStyle w:val="FootnoteText"/>
        <w:spacing w:after="0"/>
      </w:pPr>
      <w:r>
        <w:t>(</w:t>
      </w:r>
      <w:r>
        <w:rPr>
          <w:rStyle w:val="FootnoteReference"/>
        </w:rPr>
        <w:footnoteRef/>
      </w:r>
      <w:r>
        <w:t>)</w:t>
      </w:r>
      <w:r>
        <w:tab/>
      </w:r>
      <w:hyperlink r:id="rId2" w:history="1">
        <w:r>
          <w:rPr>
            <w:rStyle w:val="Hyperlink"/>
          </w:rPr>
          <w:t>(UE) 2024/1275</w:t>
        </w:r>
      </w:hyperlink>
      <w:r>
        <w:t>.</w:t>
      </w:r>
    </w:p>
  </w:footnote>
  <w:footnote w:id="4">
    <w:p w14:paraId="44FB7CE7" w14:textId="77CCAC9A" w:rsidR="00F46029" w:rsidRPr="00232F3F" w:rsidRDefault="00F46029" w:rsidP="00116EE3">
      <w:pPr>
        <w:pStyle w:val="FootnoteText"/>
        <w:spacing w:after="0"/>
      </w:pPr>
      <w:r>
        <w:t>(</w:t>
      </w:r>
      <w:r>
        <w:rPr>
          <w:rStyle w:val="FootnoteReference"/>
        </w:rPr>
        <w:footnoteRef/>
      </w:r>
      <w:r>
        <w:t>)</w:t>
      </w:r>
      <w:r>
        <w:tab/>
        <w:t>Un val de renovări pentru Europa – ecologizarea clădirilor, crearea de locuri de muncă, îmbunătățirea condițiilor de trai, COM(2020) 662 final.</w:t>
      </w:r>
    </w:p>
  </w:footnote>
  <w:footnote w:id="5">
    <w:p w14:paraId="142D7595" w14:textId="3927AEC5" w:rsidR="006D1006" w:rsidRPr="00232F3F" w:rsidRDefault="009323A6" w:rsidP="00116EE3">
      <w:pPr>
        <w:pStyle w:val="FootnoteText"/>
        <w:spacing w:after="0"/>
      </w:pPr>
      <w:r>
        <w:t>(</w:t>
      </w:r>
      <w:r>
        <w:rPr>
          <w:rStyle w:val="FootnoteReference"/>
        </w:rPr>
        <w:footnoteRef/>
      </w:r>
      <w:r>
        <w:t>)</w:t>
      </w:r>
      <w:r>
        <w:tab/>
      </w:r>
      <w:hyperlink r:id="rId3" w:history="1">
        <w:r>
          <w:rPr>
            <w:rStyle w:val="Hyperlink"/>
          </w:rPr>
          <w:t>COM/2024/63 final</w:t>
        </w:r>
      </w:hyperlink>
      <w:r>
        <w:t>.</w:t>
      </w:r>
    </w:p>
  </w:footnote>
  <w:footnote w:id="6">
    <w:p w14:paraId="3301832D" w14:textId="2F90841C" w:rsidR="00A406B5" w:rsidRPr="00232F3F" w:rsidRDefault="00A406B5" w:rsidP="00116EE3">
      <w:pPr>
        <w:pStyle w:val="FootnoteText"/>
        <w:spacing w:after="0"/>
      </w:pPr>
      <w:r>
        <w:t>(</w:t>
      </w:r>
      <w:r>
        <w:rPr>
          <w:rStyle w:val="FootnoteReference"/>
        </w:rPr>
        <w:footnoteRef/>
      </w:r>
      <w:r>
        <w:t>)</w:t>
      </w:r>
      <w:r>
        <w:tab/>
        <w:t>Estimarea se bazează pe investiții pe partea cererii pentru atingerea obiectivelor în materie de climă și energie pentru 2030, inclusiv a obiectivelor de eficiență energetică, dar excluzând nevoile de investiții în transporturi și în construcțiile noi.</w:t>
      </w:r>
    </w:p>
  </w:footnote>
  <w:footnote w:id="7">
    <w:p w14:paraId="07EEC4BB" w14:textId="3AEFDEDE" w:rsidR="25239E4E" w:rsidRPr="00232F3F" w:rsidRDefault="00ED2D49" w:rsidP="00116EE3">
      <w:pPr>
        <w:pStyle w:val="FootnoteText"/>
        <w:spacing w:after="0"/>
      </w:pPr>
      <w:r>
        <w:t>(</w:t>
      </w:r>
      <w:r>
        <w:rPr>
          <w:rStyle w:val="FootnoteReference"/>
        </w:rPr>
        <w:footnoteRef/>
      </w:r>
      <w:r>
        <w:t>)</w:t>
      </w:r>
      <w:r>
        <w:tab/>
      </w:r>
      <w:hyperlink r:id="rId4" w:history="1">
        <w:r>
          <w:rPr>
            <w:rStyle w:val="Hyperlink"/>
          </w:rPr>
          <w:t>SWD/2023/68 final</w:t>
        </w:r>
      </w:hyperlink>
      <w:r>
        <w:t>.</w:t>
      </w:r>
    </w:p>
  </w:footnote>
  <w:footnote w:id="8">
    <w:p w14:paraId="15DEA26F" w14:textId="044F1CC9" w:rsidR="004B2475" w:rsidRPr="00232F3F" w:rsidRDefault="004B2475" w:rsidP="00116EE3">
      <w:pPr>
        <w:pStyle w:val="FootnoteText"/>
        <w:spacing w:after="0"/>
      </w:pPr>
      <w:r>
        <w:t>(</w:t>
      </w:r>
      <w:r>
        <w:rPr>
          <w:rStyle w:val="FootnoteReference"/>
        </w:rPr>
        <w:footnoteRef/>
      </w:r>
      <w:r>
        <w:t>)</w:t>
      </w:r>
      <w:r>
        <w:tab/>
      </w:r>
      <w:hyperlink r:id="rId5" w:history="1">
        <w:r>
          <w:rPr>
            <w:rStyle w:val="Hyperlink"/>
          </w:rPr>
          <w:t>SWD/2024/63 final</w:t>
        </w:r>
      </w:hyperlink>
      <w:r>
        <w:t>.</w:t>
      </w:r>
    </w:p>
  </w:footnote>
  <w:footnote w:id="9">
    <w:p w14:paraId="38D51AFC" w14:textId="0F7BADAA" w:rsidR="009674B9" w:rsidRPr="00232F3F" w:rsidRDefault="009674B9" w:rsidP="00116EE3">
      <w:pPr>
        <w:pStyle w:val="FootnoteText"/>
        <w:spacing w:after="0"/>
        <w:jc w:val="left"/>
      </w:pPr>
      <w:r>
        <w:t>(</w:t>
      </w:r>
      <w:r>
        <w:rPr>
          <w:rStyle w:val="FootnoteReference"/>
        </w:rPr>
        <w:footnoteRef/>
      </w:r>
      <w:r>
        <w:t>)</w:t>
      </w:r>
      <w:r>
        <w:tab/>
        <w:t xml:space="preserve">Această cifră prezintă estimări ale costurilor măsurilor de eficiență energetică din cadrul MRR, care vizează renovarea și construcția de clădiri, precum și proiecte de eficiență energetică în IMM-uri și în întreprinderi mari, pe baza datelor din septembrie 2025. Această cifră a fost obținută prin însumarea cheltuielilor estimate asociate măsurilor încadrate în domeniile de intervenție 024/024bis/024ter/025/025bis/025ter/026/026bis, astfel cum sunt definite în </w:t>
      </w:r>
      <w:hyperlink r:id="rId6" w:history="1">
        <w:r>
          <w:rPr>
            <w:rStyle w:val="Hyperlink"/>
          </w:rPr>
          <w:t>anexa VI la Regulamentul privind MRR</w:t>
        </w:r>
      </w:hyperlink>
      <w:r>
        <w:t>, care stabilește metodologia pentru urmărirea cheltuielilor legate de climă ale măsurilor sprijinite de MRR.</w:t>
      </w:r>
    </w:p>
  </w:footnote>
  <w:footnote w:id="10">
    <w:p w14:paraId="33CFE1BC" w14:textId="0A4F8AEC" w:rsidR="006B11DE" w:rsidRPr="0045629C" w:rsidRDefault="006B11DE" w:rsidP="0045629C">
      <w:pPr>
        <w:pStyle w:val="FootnoteText"/>
        <w:spacing w:after="0"/>
      </w:pPr>
      <w:r>
        <w:t>(</w:t>
      </w:r>
      <w:r>
        <w:rPr>
          <w:rStyle w:val="FootnoteReference"/>
        </w:rPr>
        <w:footnoteRef/>
      </w:r>
      <w:r>
        <w:t>)</w:t>
      </w:r>
      <w:r>
        <w:tab/>
        <w:t>Această cifră prezintă estimări ale costurilor măsurilor legate de eficiența energetică, precum și de renovarea și construcția de clădiri care fac obiectul MRR, pe baza datelor din septembrie 2025. Această cifră a fost obținută prin însumarea cheltuielilor estimate asociate măsurilor încadrate în domeniile de intervenție 025/025bis/025ter/026/026bis, astfel cum sunt definite în anexa VI la Regulamentul privind MRR, care stabilește metodologia de urmărire climatică a măsurilor sprijinite de MRR.</w:t>
      </w:r>
    </w:p>
  </w:footnote>
  <w:footnote w:id="11">
    <w:p w14:paraId="7AF1EC99" w14:textId="5F8F7932" w:rsidR="006B11DE" w:rsidRPr="0045629C" w:rsidRDefault="006B11DE" w:rsidP="00D32737">
      <w:pPr>
        <w:pStyle w:val="FootnoteText"/>
        <w:spacing w:after="0"/>
      </w:pPr>
      <w:r>
        <w:t>(</w:t>
      </w:r>
      <w:r>
        <w:rPr>
          <w:rStyle w:val="FootnoteReference"/>
        </w:rPr>
        <w:footnoteRef/>
      </w:r>
      <w:r>
        <w:t>)</w:t>
      </w:r>
      <w:r>
        <w:tab/>
        <w:t>Pachetul financiar total al MRR a fost stabilit la 650 de miliarde EUR la sfârșitul lunii august 2024. Suma raportată anterior, de 723 de miliarde EUR, reprezenta cuantumul maxim al sprijinului nerambursabil din MRR (338 de miliarde EUR) și al împrumuturilor MRR (385 de miliarde EUR) puse la dispoziție prin Regulamentul privind MRR, dar care nu a fost utilizat integral de statele membre.</w:t>
      </w:r>
    </w:p>
  </w:footnote>
  <w:footnote w:id="12">
    <w:p w14:paraId="6505D1EC" w14:textId="31A23A5C" w:rsidR="002C36B4" w:rsidRPr="00232F3F" w:rsidRDefault="002C36B4" w:rsidP="00116EE3">
      <w:pPr>
        <w:pStyle w:val="FootnoteText"/>
        <w:spacing w:after="0"/>
        <w:rPr>
          <w:rStyle w:val="Hyperlink"/>
        </w:rPr>
      </w:pPr>
      <w:r>
        <w:t>(</w:t>
      </w:r>
      <w:r>
        <w:rPr>
          <w:rStyle w:val="FootnoteReference"/>
        </w:rPr>
        <w:footnoteRef/>
      </w:r>
      <w:r>
        <w:t>)</w:t>
      </w:r>
      <w:r>
        <w:tab/>
      </w:r>
      <w:hyperlink r:id="rId7" w:history="1">
        <w:r>
          <w:rPr>
            <w:rStyle w:val="Hyperlink"/>
          </w:rPr>
          <w:t>Fondul pentru modernizare</w:t>
        </w:r>
      </w:hyperlink>
      <w:r>
        <w:t>.</w:t>
      </w:r>
    </w:p>
  </w:footnote>
  <w:footnote w:id="13">
    <w:p w14:paraId="48225987" w14:textId="483E74F8" w:rsidR="002970CD" w:rsidRPr="00232F3F" w:rsidRDefault="002970CD" w:rsidP="002970CD">
      <w:pPr>
        <w:pStyle w:val="FootnoteText"/>
        <w:spacing w:after="0"/>
      </w:pPr>
      <w:r>
        <w:t>(</w:t>
      </w:r>
      <w:r>
        <w:rPr>
          <w:rStyle w:val="FootnoteReference"/>
        </w:rPr>
        <w:footnoteRef/>
      </w:r>
      <w:r>
        <w:t>)</w:t>
      </w:r>
      <w:r>
        <w:tab/>
        <w:t>Grupul BEI este format din Banca Europeană de Investiții (BEI) și Fondul European de Investiții (FEI).</w:t>
      </w:r>
    </w:p>
  </w:footnote>
  <w:footnote w:id="14">
    <w:p w14:paraId="6B165105" w14:textId="0D39DA8B" w:rsidR="002E4642" w:rsidRPr="00232F3F" w:rsidRDefault="002E4642" w:rsidP="00116EE3">
      <w:pPr>
        <w:pStyle w:val="FootnoteText"/>
        <w:spacing w:after="0"/>
      </w:pPr>
      <w:r>
        <w:t>(</w:t>
      </w:r>
      <w:r>
        <w:rPr>
          <w:rStyle w:val="FootnoteReference"/>
        </w:rPr>
        <w:footnoteRef/>
      </w:r>
      <w:r>
        <w:t>)</w:t>
      </w:r>
      <w:r>
        <w:tab/>
      </w:r>
      <w:hyperlink r:id="rId8" w:history="1">
        <w:r>
          <w:rPr>
            <w:rStyle w:val="Hyperlink"/>
          </w:rPr>
          <w:t>Foaia de parcurs a Grupului Băncii Europene de Investiții privind banca pentru climă pentru perioada 2021–2025</w:t>
        </w:r>
      </w:hyperlink>
      <w:r>
        <w:t xml:space="preserve"> și </w:t>
      </w:r>
      <w:hyperlink r:id="rId9" w:history="1">
        <w:r>
          <w:rPr>
            <w:rStyle w:val="Hyperlink"/>
          </w:rPr>
          <w:t>Foaia de parcurs a Grupului Băncii Europene de Investiții privind banca pentru climă – faza 2 (2026–2030)</w:t>
        </w:r>
      </w:hyperlink>
      <w:r>
        <w:t>.</w:t>
      </w:r>
    </w:p>
  </w:footnote>
  <w:footnote w:id="15">
    <w:p w14:paraId="01D9F2E5" w14:textId="72357E6C" w:rsidR="007D751C" w:rsidRPr="00232F3F" w:rsidRDefault="00F46029" w:rsidP="007D751C">
      <w:pPr>
        <w:pStyle w:val="FootnoteText"/>
        <w:spacing w:after="0"/>
      </w:pPr>
      <w:r>
        <w:t>(</w:t>
      </w:r>
      <w:r>
        <w:rPr>
          <w:rStyle w:val="FootnoteReference"/>
        </w:rPr>
        <w:footnoteRef/>
      </w:r>
      <w:r>
        <w:t>)</w:t>
      </w:r>
      <w:r>
        <w:tab/>
      </w:r>
      <w:hyperlink r:id="rId10" w:history="1">
        <w:r>
          <w:rPr>
            <w:rStyle w:val="Hyperlink"/>
          </w:rPr>
          <w:t>https://investeu.europa.eu/investeu-programme/investeu-advisory-hub_en</w:t>
        </w:r>
      </w:hyperlink>
      <w:r>
        <w:t>.</w:t>
      </w:r>
    </w:p>
  </w:footnote>
  <w:footnote w:id="16">
    <w:p w14:paraId="423C0D1E" w14:textId="28C00B60" w:rsidR="007D751C" w:rsidRPr="00232F3F" w:rsidRDefault="00F46029" w:rsidP="007D751C">
      <w:pPr>
        <w:pStyle w:val="FootnoteText"/>
        <w:spacing w:after="0"/>
      </w:pPr>
      <w:r>
        <w:t>(</w:t>
      </w:r>
      <w:r>
        <w:rPr>
          <w:rStyle w:val="FootnoteReference"/>
        </w:rPr>
        <w:footnoteRef/>
      </w:r>
      <w:r>
        <w:t>)</w:t>
      </w:r>
      <w:r>
        <w:tab/>
      </w:r>
      <w:hyperlink r:id="rId11" w:history="1">
        <w:r>
          <w:rPr>
            <w:rStyle w:val="Hyperlink"/>
          </w:rPr>
          <w:t>https://www.eib.org/en/products/advisory-services/elena/index</w:t>
        </w:r>
      </w:hyperlink>
      <w:r>
        <w:t>.</w:t>
      </w:r>
    </w:p>
  </w:footnote>
  <w:footnote w:id="17">
    <w:p w14:paraId="7B78B959" w14:textId="77777777" w:rsidR="00BC3054" w:rsidRPr="0029006B" w:rsidRDefault="00BC3054" w:rsidP="00BC3054">
      <w:pPr>
        <w:pStyle w:val="FootnoteText"/>
        <w:spacing w:after="0"/>
      </w:pPr>
      <w:r>
        <w:t>(</w:t>
      </w:r>
      <w:r>
        <w:rPr>
          <w:rStyle w:val="FootnoteReference"/>
        </w:rPr>
        <w:footnoteRef/>
      </w:r>
      <w:r>
        <w:t>)</w:t>
      </w:r>
      <w:r>
        <w:tab/>
      </w:r>
      <w:hyperlink r:id="rId12" w:history="1">
        <w:r>
          <w:rPr>
            <w:rStyle w:val="Hyperlink"/>
          </w:rPr>
          <w:t>Foaia de parcurs strategică a Grupului BEI pentru perioada 2024-2027</w:t>
        </w:r>
      </w:hyperlink>
      <w:r>
        <w:t>.</w:t>
      </w:r>
    </w:p>
  </w:footnote>
  <w:footnote w:id="18">
    <w:p w14:paraId="6DB3D72A" w14:textId="509203A4" w:rsidR="00D248D0" w:rsidRPr="004854A6" w:rsidRDefault="00D248D0">
      <w:pPr>
        <w:pStyle w:val="FootnoteText"/>
      </w:pPr>
      <w:r>
        <w:t>(</w:t>
      </w:r>
      <w:r>
        <w:rPr>
          <w:rStyle w:val="FootnoteReference"/>
        </w:rPr>
        <w:footnoteRef/>
      </w:r>
      <w:r>
        <w:t>)</w:t>
      </w:r>
      <w:r>
        <w:tab/>
      </w:r>
      <w:hyperlink r:id="rId13" w:history="1">
        <w:r>
          <w:rPr>
            <w:rStyle w:val="Hyperlink"/>
          </w:rPr>
          <w:t>Inițiativa BEI privind eficiența energetică în IMM-uri</w:t>
        </w:r>
      </w:hyperlink>
      <w:r>
        <w:t>.</w:t>
      </w:r>
    </w:p>
  </w:footnote>
  <w:footnote w:id="19">
    <w:p w14:paraId="58D4F7EF" w14:textId="21E5ABCB" w:rsidR="32CD3661" w:rsidRPr="00232F3F" w:rsidRDefault="0009412C" w:rsidP="32CD3661">
      <w:pPr>
        <w:pStyle w:val="FootnoteText"/>
      </w:pPr>
      <w:r>
        <w:t>(</w:t>
      </w:r>
      <w:r>
        <w:rPr>
          <w:rStyle w:val="FootnoteReference"/>
        </w:rPr>
        <w:footnoteRef/>
      </w:r>
      <w:r>
        <w:t>)</w:t>
      </w:r>
      <w:r>
        <w:tab/>
      </w:r>
      <w:hyperlink r:id="rId14">
        <w:r>
          <w:rPr>
            <w:rStyle w:val="Hyperlink"/>
          </w:rPr>
          <w:t>Eficiența energetică – evaluarea nivelului de finanțare din partea UE și de la nivel național</w:t>
        </w:r>
      </w:hyperlink>
      <w:r>
        <w:t>.</w:t>
      </w:r>
    </w:p>
  </w:footnote>
  <w:footnote w:id="20">
    <w:p w14:paraId="13CB8FE3" w14:textId="06A4EF26" w:rsidR="00CD06FF" w:rsidRPr="004854A6" w:rsidRDefault="00CD06FF">
      <w:pPr>
        <w:pStyle w:val="FootnoteText"/>
      </w:pPr>
      <w:r>
        <w:t>(</w:t>
      </w:r>
      <w:r>
        <w:rPr>
          <w:rStyle w:val="FootnoteReference"/>
        </w:rPr>
        <w:footnoteRef/>
      </w:r>
      <w:r>
        <w:t>)</w:t>
      </w:r>
      <w:r>
        <w:tab/>
        <w:t xml:space="preserve">În contribuția lor, statele membre au raportat un total de 28,8 miliarde EUR drept contribuție a UE la schemele naționale de finanțare puse în aplicare. </w:t>
      </w:r>
    </w:p>
  </w:footnote>
  <w:footnote w:id="21">
    <w:p w14:paraId="55E00F6E" w14:textId="4E432CD4" w:rsidR="48C03CAF" w:rsidRPr="00232F3F" w:rsidRDefault="0009412C" w:rsidP="48C03CAF">
      <w:pPr>
        <w:pStyle w:val="FootnoteText"/>
      </w:pPr>
      <w:r>
        <w:t>(</w:t>
      </w:r>
      <w:r>
        <w:rPr>
          <w:rStyle w:val="FootnoteReference"/>
        </w:rPr>
        <w:footnoteRef/>
      </w:r>
      <w:r>
        <w:t>)</w:t>
      </w:r>
      <w:r>
        <w:tab/>
        <w:t>388,7 miliarde EUR minus 28,8 miliarde EUR provenind din contribuțiile raportate ale UE.</w:t>
      </w:r>
    </w:p>
  </w:footnote>
  <w:footnote w:id="22">
    <w:p w14:paraId="01882669" w14:textId="2A9E9F54" w:rsidR="44ABDD83" w:rsidRPr="00232F3F" w:rsidRDefault="0009412C" w:rsidP="44ABDD83">
      <w:pPr>
        <w:pStyle w:val="FootnoteText"/>
      </w:pPr>
      <w:r>
        <w:t>(</w:t>
      </w:r>
      <w:r>
        <w:rPr>
          <w:rStyle w:val="FootnoteReference"/>
        </w:rPr>
        <w:footnoteRef/>
      </w:r>
      <w:r>
        <w:t>)</w:t>
      </w:r>
      <w:r>
        <w:tab/>
      </w:r>
      <w:hyperlink r:id="rId15">
        <w:r>
          <w:rPr>
            <w:rStyle w:val="Hyperlink"/>
          </w:rPr>
          <w:t>Instrumente financiare în cadrul politicii de coeziune 2021–2027 |</w:t>
        </w:r>
      </w:hyperlink>
      <w:hyperlink r:id="rId16">
        <w:r>
          <w:rPr>
            <w:rStyle w:val="Hyperlink"/>
          </w:rPr>
          <w:t xml:space="preserve"> Date deschise privind coeziunea</w:t>
        </w:r>
      </w:hyperlink>
      <w:r>
        <w:t>.</w:t>
      </w:r>
    </w:p>
  </w:footnote>
  <w:footnote w:id="23">
    <w:p w14:paraId="47F92ED0" w14:textId="2EFD0411" w:rsidR="00FC33CA" w:rsidRPr="00204D4F" w:rsidRDefault="00FC33CA" w:rsidP="00D32737">
      <w:pPr>
        <w:pStyle w:val="FootnoteText"/>
        <w:spacing w:after="0"/>
      </w:pPr>
      <w:r>
        <w:t>(</w:t>
      </w:r>
      <w:r>
        <w:rPr>
          <w:rStyle w:val="FootnoteReference"/>
        </w:rPr>
        <w:footnoteRef/>
      </w:r>
      <w:r>
        <w:t>)</w:t>
      </w:r>
      <w:r>
        <w:tab/>
        <w:t xml:space="preserve">EEFI este un model flexibil, care oferă un ghid practic pentru statele membre ale UE cu privire la modul în care pot institui cu ușurință un instrument financiar orientat către piață, combinat cu un grant, pentru a furniza finanțare și sprijin consultativ pentru investiții în eficiența energetică (locuințe, IMM-uri). În mod esențial, modelul oferă o cale de valorificare a fondurilor disponibile prin bugetul UE, în vederea mobilizării unor resurse suplimentare din partea băncilor comerciale și a investitorilor privați pentru astfel de scheme, </w:t>
      </w:r>
      <w:hyperlink r:id="rId17" w:tgtFrame="_blank" w:history="1">
        <w:r>
          <w:rPr>
            <w:rStyle w:val="Hyperlink"/>
            <w:color w:val="2F80ED"/>
            <w:shd w:val="clear" w:color="auto" w:fill="FFFFFF"/>
          </w:rPr>
          <w:t>inclusiv pentru investiții în eficiența energetică în cadrul REPowerEU</w:t>
        </w:r>
      </w:hyperlink>
      <w:r>
        <w:t xml:space="preserve">. </w:t>
      </w:r>
    </w:p>
  </w:footnote>
  <w:footnote w:id="24">
    <w:p w14:paraId="5844BD04" w14:textId="749CDD55" w:rsidR="0042049C" w:rsidRPr="00204D4F" w:rsidRDefault="0042049C" w:rsidP="00D32737">
      <w:pPr>
        <w:pStyle w:val="FootnoteText"/>
        <w:spacing w:after="0"/>
      </w:pPr>
      <w:r>
        <w:t>(</w:t>
      </w:r>
      <w:r>
        <w:rPr>
          <w:rStyle w:val="FootnoteReference"/>
        </w:rPr>
        <w:footnoteRef/>
      </w:r>
      <w:r>
        <w:t>)</w:t>
      </w:r>
      <w:r>
        <w:tab/>
      </w:r>
      <w:hyperlink r:id="rId18" w:history="1">
        <w:r>
          <w:rPr>
            <w:rStyle w:val="Hyperlink"/>
          </w:rPr>
          <w:t>fi-compass |</w:t>
        </w:r>
      </w:hyperlink>
      <w:hyperlink r:id="rId19" w:history="1">
        <w:r>
          <w:rPr>
            <w:rStyle w:val="Hyperlink"/>
          </w:rPr>
          <w:t xml:space="preserve"> Instrumentele financiare din cadrul gestiunii partajate a UE</w:t>
        </w:r>
      </w:hyperlink>
      <w:r>
        <w:t xml:space="preserve"> oferă asistență tehnică autorităților de management, sprijinindu-le în realizarea studiilor de fezabilitate, a evaluărilor ex ante, a studiilor de caz și a altor lucrări pregătitoare necesare pentru instituirea instrumentelor financiare. Ca parte a platformei fi-compass, inițiativa </w:t>
      </w:r>
      <w:hyperlink r:id="rId20" w:history="1">
        <w:r>
          <w:rPr>
            <w:rStyle w:val="Hyperlink"/>
          </w:rPr>
          <w:t>Scale-Up:</w:t>
        </w:r>
      </w:hyperlink>
      <w:hyperlink r:id="rId21" w:history="1">
        <w:r>
          <w:rPr>
            <w:rStyle w:val="Hyperlink"/>
          </w:rPr>
          <w:t xml:space="preserve"> instrumente financiare pentru eficiență energetică</w:t>
        </w:r>
      </w:hyperlink>
      <w:r>
        <w:t xml:space="preserve"> reunește experți din diverse instituții pentru a elimina barierele din calea punerii în aplicare a instrumentelor financiare pentru eficiență energetică și pentru a propune soluții. Grupuri de lucru tematice vor elabora strategii de îmbunătățire și extindere a instrumentelor financiare pentru eficiență energetică, valorificând cele mai bune practici și expertiza din statele membre ale UE. </w:t>
      </w:r>
    </w:p>
  </w:footnote>
  <w:footnote w:id="25">
    <w:p w14:paraId="50C2679D" w14:textId="3940769B" w:rsidR="00745138" w:rsidRPr="004854A6" w:rsidRDefault="00745138" w:rsidP="00D32737">
      <w:pPr>
        <w:pStyle w:val="FootnoteText"/>
        <w:spacing w:after="0"/>
      </w:pPr>
      <w:r>
        <w:t>(</w:t>
      </w:r>
      <w:r>
        <w:rPr>
          <w:rStyle w:val="FootnoteReference"/>
        </w:rPr>
        <w:footnoteRef/>
      </w:r>
      <w:r>
        <w:t>)</w:t>
      </w:r>
      <w:r>
        <w:tab/>
      </w:r>
      <w:hyperlink r:id="rId22" w:history="1">
        <w:r>
          <w:rPr>
            <w:rStyle w:val="Hyperlink"/>
          </w:rPr>
          <w:t>Inforegio - Solicitați asistență din partea C4T GROUNDWORK – asistență tehnică pentru investițiile din cadrul politicii de coeziune</w:t>
        </w:r>
      </w:hyperlink>
      <w:r>
        <w:t xml:space="preserve"> Această inițiativă oferă sprijin de specialitate statelor membre ale UE, regiunilor și autorităților locale, ajutându-le în punerea în aplicare a investițiilor din politica de coeziune în cadrul obiectivului de politică 2 (OP2), inclusiv a celor axate pe eficiența energetică. Serviciile de sprijin includ elaborarea de strategii, îmbunătățirea monitorizării, implicarea părților interesate, identificarea oportunităților de finanțare, alocarea de sprijin pentru pregătirea cererilor de propuneri și consolidarea capacităților. </w:t>
      </w:r>
    </w:p>
  </w:footnote>
  <w:footnote w:id="26">
    <w:p w14:paraId="55CF48D8" w14:textId="1E504DA2" w:rsidR="00505B86" w:rsidRPr="00232F3F" w:rsidRDefault="403A9269" w:rsidP="0054235F">
      <w:pPr>
        <w:pStyle w:val="FootnoteText"/>
        <w:spacing w:after="0"/>
      </w:pPr>
      <w:r>
        <w:t>(</w:t>
      </w:r>
      <w:r>
        <w:rPr>
          <w:rStyle w:val="FootnoteReference"/>
        </w:rPr>
        <w:footnoteRef/>
      </w:r>
      <w:r>
        <w:t>)</w:t>
      </w:r>
      <w:r>
        <w:tab/>
        <w:t>Estimarea se bazează pe investițiile pe partea cererii necesare pentru atingerea obiectivelor în materie de climă și energie pentru 2030, în conformitate cu scenariul de modelare PRIMES utilizat în Planul privind obiectivul climatic pentru 2040, care include obiectivele de eficiență energetică, dar exclude nevoile de investiții în transporturi și în construcții noi.</w:t>
      </w:r>
    </w:p>
  </w:footnote>
  <w:footnote w:id="27">
    <w:p w14:paraId="6B86D78E" w14:textId="7E423A8B" w:rsidR="00F74736" w:rsidRPr="00232F3F" w:rsidRDefault="00F74736" w:rsidP="00F74736">
      <w:pPr>
        <w:pStyle w:val="FootnoteText"/>
        <w:spacing w:after="0"/>
      </w:pPr>
      <w:r>
        <w:t>(</w:t>
      </w:r>
      <w:r>
        <w:rPr>
          <w:rStyle w:val="FootnoteReference"/>
        </w:rPr>
        <w:footnoteRef/>
      </w:r>
      <w:r>
        <w:t>)</w:t>
      </w:r>
      <w:r>
        <w:tab/>
        <w:t xml:space="preserve">Raportul AIE din 2024 privind eficiența energetică, </w:t>
      </w:r>
      <w:hyperlink r:id="rId23" w:history="1">
        <w:r>
          <w:rPr>
            <w:rStyle w:val="Hyperlink"/>
          </w:rPr>
          <w:t>https://iea.blob.core.windows.net/assets/f304f2ba-e9a2-4e6d-b529-fb67cd13f646/EnergyEfficiency2024.pdf</w:t>
        </w:r>
      </w:hyperlink>
      <w:r>
        <w:t>.</w:t>
      </w:r>
    </w:p>
  </w:footnote>
  <w:footnote w:id="28">
    <w:p w14:paraId="745E7209" w14:textId="4DCCF383" w:rsidR="003104D8" w:rsidRPr="003C1729" w:rsidRDefault="003104D8" w:rsidP="0054235F">
      <w:pPr>
        <w:pStyle w:val="FootnoteText"/>
        <w:spacing w:after="0"/>
      </w:pPr>
      <w:r>
        <w:t>(</w:t>
      </w:r>
      <w:r>
        <w:rPr>
          <w:rStyle w:val="FootnoteReference"/>
        </w:rPr>
        <w:footnoteRef/>
      </w:r>
      <w:r>
        <w:t>)</w:t>
      </w:r>
      <w:r>
        <w:tab/>
        <w:t xml:space="preserve">Institutul pentru Economie Climatică (I4CE), „European Climate Investment Deficit Report” (Raportul european privind deficitul de investiții în domeniul climei), sursa: </w:t>
      </w:r>
      <w:hyperlink r:id="rId24" w:history="1">
        <w:r>
          <w:rPr>
            <w:rStyle w:val="Hyperlink"/>
          </w:rPr>
          <w:t>20240222-i4ce3859-Panorama-EU_VA-40p.pdf</w:t>
        </w:r>
      </w:hyperlink>
      <w:r>
        <w:t>.</w:t>
      </w:r>
    </w:p>
  </w:footnote>
  <w:footnote w:id="29">
    <w:p w14:paraId="6649C112" w14:textId="17045DD6" w:rsidR="003104D8" w:rsidRPr="00232F3F" w:rsidRDefault="003104D8" w:rsidP="0054235F">
      <w:pPr>
        <w:pStyle w:val="FootnoteText"/>
        <w:spacing w:after="0"/>
      </w:pPr>
      <w:r>
        <w:t>(</w:t>
      </w:r>
      <w:r>
        <w:rPr>
          <w:rStyle w:val="FootnoteReference"/>
        </w:rPr>
        <w:footnoteRef/>
      </w:r>
      <w:r>
        <w:t>)</w:t>
      </w:r>
      <w:r>
        <w:tab/>
        <w:t xml:space="preserve">Bruegel, „How to finance the European Union’s building decarbonisation plan” (Modalități de finanțare a planului Uniunii Europene de decarbonizare a clădirilor), sursa: </w:t>
      </w:r>
      <w:hyperlink r:id="rId25" w:history="1">
        <w:r>
          <w:rPr>
            <w:rStyle w:val="Hyperlink"/>
          </w:rPr>
          <w:t>PB 12 2024.pdf</w:t>
        </w:r>
      </w:hyperlink>
      <w:r>
        <w:t>.</w:t>
      </w:r>
    </w:p>
  </w:footnote>
  <w:footnote w:id="30">
    <w:p w14:paraId="429E4B90" w14:textId="43947CA4" w:rsidR="00BE4C4E" w:rsidRPr="00232F3F" w:rsidRDefault="00BE4C4E" w:rsidP="0054235F">
      <w:pPr>
        <w:pStyle w:val="FootnoteText"/>
        <w:spacing w:after="0"/>
      </w:pPr>
      <w:r>
        <w:t>(</w:t>
      </w:r>
      <w:r>
        <w:rPr>
          <w:rStyle w:val="FootnoteReference"/>
        </w:rPr>
        <w:footnoteRef/>
      </w:r>
      <w:r>
        <w:t>)</w:t>
      </w:r>
      <w:r>
        <w:tab/>
      </w:r>
      <w:hyperlink r:id="rId26" w:history="1">
        <w:r>
          <w:rPr>
            <w:rStyle w:val="Hyperlink"/>
          </w:rPr>
          <w:t>EU core performance indicators_15_07_0.pdf</w:t>
        </w:r>
      </w:hyperlink>
      <w:r>
        <w:t>.</w:t>
      </w:r>
    </w:p>
  </w:footnote>
  <w:footnote w:id="31">
    <w:p w14:paraId="22E2FAA8" w14:textId="79A35175" w:rsidR="00D95389" w:rsidRPr="00232F3F" w:rsidRDefault="00D95389" w:rsidP="0054235F">
      <w:pPr>
        <w:pStyle w:val="FootnoteText"/>
        <w:spacing w:after="0"/>
      </w:pPr>
      <w:r>
        <w:t>(</w:t>
      </w:r>
      <w:r>
        <w:rPr>
          <w:rStyle w:val="FootnoteReference"/>
        </w:rPr>
        <w:footnoteRef/>
      </w:r>
      <w:r>
        <w:t>)</w:t>
      </w:r>
      <w:r>
        <w:tab/>
        <w:t>Obiectiv estimat până în 2030.</w:t>
      </w:r>
    </w:p>
  </w:footnote>
  <w:footnote w:id="32">
    <w:p w14:paraId="55FC31AD" w14:textId="0978FB8E" w:rsidR="00E943DA" w:rsidRPr="00232F3F" w:rsidRDefault="00E943DA" w:rsidP="0054235F">
      <w:pPr>
        <w:pStyle w:val="FootnoteText"/>
        <w:spacing w:after="0"/>
      </w:pPr>
      <w:r>
        <w:t>(</w:t>
      </w:r>
      <w:r>
        <w:rPr>
          <w:rStyle w:val="FootnoteReference"/>
        </w:rPr>
        <w:footnoteRef/>
      </w:r>
      <w:r>
        <w:t>)</w:t>
      </w:r>
      <w:r>
        <w:tab/>
        <w:t>Date raportate pentru anul 2023.</w:t>
      </w:r>
    </w:p>
  </w:footnote>
  <w:footnote w:id="33">
    <w:p w14:paraId="70A1634C" w14:textId="4DF7EB86" w:rsidR="00075BFB" w:rsidRPr="004854A6" w:rsidRDefault="00075BFB">
      <w:pPr>
        <w:pStyle w:val="FootnoteText"/>
      </w:pPr>
      <w:r>
        <w:t>(</w:t>
      </w:r>
      <w:r>
        <w:rPr>
          <w:rStyle w:val="FootnoteReference"/>
        </w:rPr>
        <w:footnoteRef/>
      </w:r>
      <w:r>
        <w:t>)</w:t>
      </w:r>
      <w:r>
        <w:tab/>
        <w:t xml:space="preserve">Indicator comun privind economiile în consumul anual de energie primară, astfel cum a fost raportat de statele membre în 2024, </w:t>
      </w:r>
      <w:hyperlink r:id="rId27" w:history="1">
        <w:r>
          <w:rPr>
            <w:rStyle w:val="Hyperlink"/>
          </w:rPr>
          <w:t>Tabloul de bord privind redresarea și reziliența</w:t>
        </w:r>
      </w:hyperlink>
      <w:r>
        <w:t xml:space="preserve">. </w:t>
      </w:r>
    </w:p>
  </w:footnote>
  <w:footnote w:id="34">
    <w:p w14:paraId="7868CF63" w14:textId="558490D4" w:rsidR="59D0105E" w:rsidRPr="00232F3F" w:rsidRDefault="004B2475" w:rsidP="0054235F">
      <w:pPr>
        <w:pStyle w:val="Text2"/>
        <w:spacing w:after="0"/>
        <w:ind w:left="0"/>
        <w:rPr>
          <w:color w:val="FF0000"/>
          <w:sz w:val="20"/>
        </w:rPr>
      </w:pPr>
      <w:r>
        <w:rPr>
          <w:sz w:val="20"/>
        </w:rPr>
        <w:t>(</w:t>
      </w:r>
      <w:r>
        <w:rPr>
          <w:rStyle w:val="FootnoteReference"/>
          <w:sz w:val="20"/>
        </w:rPr>
        <w:footnoteRef/>
      </w:r>
      <w:r>
        <w:rPr>
          <w:sz w:val="20"/>
        </w:rPr>
        <w:t>) Economiile anuale realizate în 2023, cel mai recent an de raportare.</w:t>
      </w:r>
    </w:p>
    <w:p w14:paraId="6FB36810" w14:textId="07B63C55" w:rsidR="14E43FBD" w:rsidRPr="00232F3F" w:rsidRDefault="00232F3F" w:rsidP="59D0105E">
      <w:pPr>
        <w:pStyle w:val="FootnoteText"/>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E7099" w14:textId="77777777" w:rsidR="00F50353" w:rsidRPr="00F50353" w:rsidRDefault="00F50353" w:rsidP="00F503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4990" w14:textId="77777777" w:rsidR="00F50353" w:rsidRPr="00F50353" w:rsidRDefault="00F50353" w:rsidP="00F503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C4573" w14:textId="77777777" w:rsidR="00F50353" w:rsidRPr="00F50353" w:rsidRDefault="00F50353" w:rsidP="00F503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95543" w14:textId="77777777" w:rsidR="0001121F" w:rsidRPr="00232F3F" w:rsidRDefault="000112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45EA" w14:textId="77777777" w:rsidR="0001121F" w:rsidRPr="00232F3F" w:rsidRDefault="000112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0E1D4" w14:textId="77777777" w:rsidR="0001121F" w:rsidRPr="00232F3F" w:rsidRDefault="00011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962CE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3E50C6"/>
    <w:multiLevelType w:val="hybridMultilevel"/>
    <w:tmpl w:val="04E8A026"/>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 w15:restartNumberingAfterBreak="0">
    <w:nsid w:val="0A2900F7"/>
    <w:multiLevelType w:val="multilevel"/>
    <w:tmpl w:val="0B200A1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E23101"/>
    <w:multiLevelType w:val="hybridMultilevel"/>
    <w:tmpl w:val="5AC240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A28A8"/>
    <w:multiLevelType w:val="hybridMultilevel"/>
    <w:tmpl w:val="FFFFFFFF"/>
    <w:lvl w:ilvl="0" w:tplc="ED7EBE76">
      <w:start w:val="1"/>
      <w:numFmt w:val="bullet"/>
      <w:lvlText w:val="·"/>
      <w:lvlJc w:val="left"/>
      <w:pPr>
        <w:ind w:left="360" w:hanging="360"/>
      </w:pPr>
      <w:rPr>
        <w:rFonts w:ascii="Symbol" w:hAnsi="Symbol" w:hint="default"/>
      </w:rPr>
    </w:lvl>
    <w:lvl w:ilvl="1" w:tplc="50CC06F4">
      <w:start w:val="1"/>
      <w:numFmt w:val="bullet"/>
      <w:lvlText w:val="o"/>
      <w:lvlJc w:val="left"/>
      <w:pPr>
        <w:ind w:left="1080" w:hanging="360"/>
      </w:pPr>
      <w:rPr>
        <w:rFonts w:ascii="Courier New" w:hAnsi="Courier New" w:hint="default"/>
      </w:rPr>
    </w:lvl>
    <w:lvl w:ilvl="2" w:tplc="3CBA2D82">
      <w:start w:val="1"/>
      <w:numFmt w:val="bullet"/>
      <w:lvlText w:val=""/>
      <w:lvlJc w:val="left"/>
      <w:pPr>
        <w:ind w:left="1800" w:hanging="360"/>
      </w:pPr>
      <w:rPr>
        <w:rFonts w:ascii="Wingdings" w:hAnsi="Wingdings" w:hint="default"/>
      </w:rPr>
    </w:lvl>
    <w:lvl w:ilvl="3" w:tplc="241C896A">
      <w:start w:val="1"/>
      <w:numFmt w:val="bullet"/>
      <w:lvlText w:val=""/>
      <w:lvlJc w:val="left"/>
      <w:pPr>
        <w:ind w:left="2520" w:hanging="360"/>
      </w:pPr>
      <w:rPr>
        <w:rFonts w:ascii="Symbol" w:hAnsi="Symbol" w:hint="default"/>
      </w:rPr>
    </w:lvl>
    <w:lvl w:ilvl="4" w:tplc="2CD436EA">
      <w:start w:val="1"/>
      <w:numFmt w:val="bullet"/>
      <w:lvlText w:val="o"/>
      <w:lvlJc w:val="left"/>
      <w:pPr>
        <w:ind w:left="3240" w:hanging="360"/>
      </w:pPr>
      <w:rPr>
        <w:rFonts w:ascii="Courier New" w:hAnsi="Courier New" w:hint="default"/>
      </w:rPr>
    </w:lvl>
    <w:lvl w:ilvl="5" w:tplc="252EB772">
      <w:start w:val="1"/>
      <w:numFmt w:val="bullet"/>
      <w:lvlText w:val=""/>
      <w:lvlJc w:val="left"/>
      <w:pPr>
        <w:ind w:left="3960" w:hanging="360"/>
      </w:pPr>
      <w:rPr>
        <w:rFonts w:ascii="Wingdings" w:hAnsi="Wingdings" w:hint="default"/>
      </w:rPr>
    </w:lvl>
    <w:lvl w:ilvl="6" w:tplc="FF90CEE4">
      <w:start w:val="1"/>
      <w:numFmt w:val="bullet"/>
      <w:lvlText w:val=""/>
      <w:lvlJc w:val="left"/>
      <w:pPr>
        <w:ind w:left="4680" w:hanging="360"/>
      </w:pPr>
      <w:rPr>
        <w:rFonts w:ascii="Symbol" w:hAnsi="Symbol" w:hint="default"/>
      </w:rPr>
    </w:lvl>
    <w:lvl w:ilvl="7" w:tplc="7FFA2464">
      <w:start w:val="1"/>
      <w:numFmt w:val="bullet"/>
      <w:lvlText w:val="o"/>
      <w:lvlJc w:val="left"/>
      <w:pPr>
        <w:ind w:left="5400" w:hanging="360"/>
      </w:pPr>
      <w:rPr>
        <w:rFonts w:ascii="Courier New" w:hAnsi="Courier New" w:hint="default"/>
      </w:rPr>
    </w:lvl>
    <w:lvl w:ilvl="8" w:tplc="526EC946">
      <w:start w:val="1"/>
      <w:numFmt w:val="bullet"/>
      <w:lvlText w:val=""/>
      <w:lvlJc w:val="left"/>
      <w:pPr>
        <w:ind w:left="6120" w:hanging="360"/>
      </w:pPr>
      <w:rPr>
        <w:rFonts w:ascii="Wingdings" w:hAnsi="Wingdings" w:hint="default"/>
      </w:rPr>
    </w:lvl>
  </w:abstractNum>
  <w:abstractNum w:abstractNumId="5" w15:restartNumberingAfterBreak="0">
    <w:nsid w:val="0E935874"/>
    <w:multiLevelType w:val="hybridMultilevel"/>
    <w:tmpl w:val="36002EDE"/>
    <w:lvl w:ilvl="0" w:tplc="5062288A">
      <w:start w:val="1"/>
      <w:numFmt w:val="bullet"/>
      <w:lvlText w:val=""/>
      <w:lvlJc w:val="left"/>
      <w:pPr>
        <w:ind w:left="720" w:hanging="360"/>
      </w:pPr>
      <w:rPr>
        <w:rFonts w:ascii="Symbol" w:hAnsi="Symbol"/>
      </w:rPr>
    </w:lvl>
    <w:lvl w:ilvl="1" w:tplc="8C02A95A">
      <w:start w:val="1"/>
      <w:numFmt w:val="bullet"/>
      <w:lvlText w:val=""/>
      <w:lvlJc w:val="left"/>
      <w:pPr>
        <w:ind w:left="720" w:hanging="360"/>
      </w:pPr>
      <w:rPr>
        <w:rFonts w:ascii="Symbol" w:hAnsi="Symbol"/>
      </w:rPr>
    </w:lvl>
    <w:lvl w:ilvl="2" w:tplc="8FBA7D52">
      <w:start w:val="1"/>
      <w:numFmt w:val="bullet"/>
      <w:lvlText w:val=""/>
      <w:lvlJc w:val="left"/>
      <w:pPr>
        <w:ind w:left="720" w:hanging="360"/>
      </w:pPr>
      <w:rPr>
        <w:rFonts w:ascii="Symbol" w:hAnsi="Symbol"/>
      </w:rPr>
    </w:lvl>
    <w:lvl w:ilvl="3" w:tplc="479A7690">
      <w:start w:val="1"/>
      <w:numFmt w:val="bullet"/>
      <w:lvlText w:val=""/>
      <w:lvlJc w:val="left"/>
      <w:pPr>
        <w:ind w:left="720" w:hanging="360"/>
      </w:pPr>
      <w:rPr>
        <w:rFonts w:ascii="Symbol" w:hAnsi="Symbol"/>
      </w:rPr>
    </w:lvl>
    <w:lvl w:ilvl="4" w:tplc="EF984464">
      <w:start w:val="1"/>
      <w:numFmt w:val="bullet"/>
      <w:lvlText w:val=""/>
      <w:lvlJc w:val="left"/>
      <w:pPr>
        <w:ind w:left="720" w:hanging="360"/>
      </w:pPr>
      <w:rPr>
        <w:rFonts w:ascii="Symbol" w:hAnsi="Symbol"/>
      </w:rPr>
    </w:lvl>
    <w:lvl w:ilvl="5" w:tplc="2FF42450">
      <w:start w:val="1"/>
      <w:numFmt w:val="bullet"/>
      <w:lvlText w:val=""/>
      <w:lvlJc w:val="left"/>
      <w:pPr>
        <w:ind w:left="720" w:hanging="360"/>
      </w:pPr>
      <w:rPr>
        <w:rFonts w:ascii="Symbol" w:hAnsi="Symbol"/>
      </w:rPr>
    </w:lvl>
    <w:lvl w:ilvl="6" w:tplc="74B0E72E">
      <w:start w:val="1"/>
      <w:numFmt w:val="bullet"/>
      <w:lvlText w:val=""/>
      <w:lvlJc w:val="left"/>
      <w:pPr>
        <w:ind w:left="720" w:hanging="360"/>
      </w:pPr>
      <w:rPr>
        <w:rFonts w:ascii="Symbol" w:hAnsi="Symbol"/>
      </w:rPr>
    </w:lvl>
    <w:lvl w:ilvl="7" w:tplc="506EE90E">
      <w:start w:val="1"/>
      <w:numFmt w:val="bullet"/>
      <w:lvlText w:val=""/>
      <w:lvlJc w:val="left"/>
      <w:pPr>
        <w:ind w:left="720" w:hanging="360"/>
      </w:pPr>
      <w:rPr>
        <w:rFonts w:ascii="Symbol" w:hAnsi="Symbol"/>
      </w:rPr>
    </w:lvl>
    <w:lvl w:ilvl="8" w:tplc="5470CFE2">
      <w:start w:val="1"/>
      <w:numFmt w:val="bullet"/>
      <w:lvlText w:val=""/>
      <w:lvlJc w:val="left"/>
      <w:pPr>
        <w:ind w:left="720" w:hanging="360"/>
      </w:pPr>
      <w:rPr>
        <w:rFonts w:ascii="Symbol" w:hAnsi="Symbol"/>
      </w:rPr>
    </w:lvl>
  </w:abstractNum>
  <w:abstractNum w:abstractNumId="6" w15:restartNumberingAfterBreak="0">
    <w:nsid w:val="0EFB7115"/>
    <w:multiLevelType w:val="multilevel"/>
    <w:tmpl w:val="48125A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F14330A"/>
    <w:multiLevelType w:val="hybridMultilevel"/>
    <w:tmpl w:val="A65A53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462D1F"/>
    <w:multiLevelType w:val="hybridMultilevel"/>
    <w:tmpl w:val="02FE3B64"/>
    <w:lvl w:ilvl="0" w:tplc="4D28752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0B7201"/>
    <w:multiLevelType w:val="multilevel"/>
    <w:tmpl w:val="090A35B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0B8345"/>
    <w:multiLevelType w:val="multilevel"/>
    <w:tmpl w:val="52E0C38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262685D"/>
    <w:multiLevelType w:val="multilevel"/>
    <w:tmpl w:val="355679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3D0A16"/>
    <w:multiLevelType w:val="multilevel"/>
    <w:tmpl w:val="1EB0BB8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72F0AC5"/>
    <w:multiLevelType w:val="multilevel"/>
    <w:tmpl w:val="89203A3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7B624F"/>
    <w:multiLevelType w:val="multilevel"/>
    <w:tmpl w:val="354E543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30F2031"/>
    <w:multiLevelType w:val="multilevel"/>
    <w:tmpl w:val="C3368D60"/>
    <w:lvl w:ilvl="0">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F71472B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9182C2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F9057D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20B0DD3"/>
    <w:multiLevelType w:val="hybridMultilevel"/>
    <w:tmpl w:val="F3BC3BD6"/>
    <w:lvl w:ilvl="0" w:tplc="1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324F1E"/>
    <w:multiLevelType w:val="multilevel"/>
    <w:tmpl w:val="95A41AF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0D68C04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4795A0"/>
    <w:multiLevelType w:val="hybridMultilevel"/>
    <w:tmpl w:val="FFFFFFFF"/>
    <w:lvl w:ilvl="0" w:tplc="C518C762">
      <w:start w:val="1"/>
      <w:numFmt w:val="lowerLetter"/>
      <w:lvlText w:val="%1."/>
      <w:lvlJc w:val="left"/>
      <w:pPr>
        <w:ind w:left="720" w:hanging="360"/>
      </w:pPr>
    </w:lvl>
    <w:lvl w:ilvl="1" w:tplc="943091A4">
      <w:start w:val="1"/>
      <w:numFmt w:val="lowerLetter"/>
      <w:lvlText w:val="%2."/>
      <w:lvlJc w:val="left"/>
      <w:pPr>
        <w:ind w:left="1440" w:hanging="360"/>
      </w:pPr>
    </w:lvl>
    <w:lvl w:ilvl="2" w:tplc="B928E330">
      <w:start w:val="1"/>
      <w:numFmt w:val="lowerRoman"/>
      <w:lvlText w:val="%3."/>
      <w:lvlJc w:val="right"/>
      <w:pPr>
        <w:ind w:left="2160" w:hanging="180"/>
      </w:pPr>
    </w:lvl>
    <w:lvl w:ilvl="3" w:tplc="52527006">
      <w:start w:val="1"/>
      <w:numFmt w:val="decimal"/>
      <w:lvlText w:val="%4."/>
      <w:lvlJc w:val="left"/>
      <w:pPr>
        <w:ind w:left="2880" w:hanging="360"/>
      </w:pPr>
    </w:lvl>
    <w:lvl w:ilvl="4" w:tplc="361AEB58">
      <w:start w:val="1"/>
      <w:numFmt w:val="lowerLetter"/>
      <w:lvlText w:val="%5."/>
      <w:lvlJc w:val="left"/>
      <w:pPr>
        <w:ind w:left="3600" w:hanging="360"/>
      </w:pPr>
    </w:lvl>
    <w:lvl w:ilvl="5" w:tplc="38FEB264">
      <w:start w:val="1"/>
      <w:numFmt w:val="lowerRoman"/>
      <w:lvlText w:val="%6."/>
      <w:lvlJc w:val="right"/>
      <w:pPr>
        <w:ind w:left="4320" w:hanging="180"/>
      </w:pPr>
    </w:lvl>
    <w:lvl w:ilvl="6" w:tplc="39F27C6E">
      <w:start w:val="1"/>
      <w:numFmt w:val="decimal"/>
      <w:lvlText w:val="%7."/>
      <w:lvlJc w:val="left"/>
      <w:pPr>
        <w:ind w:left="5040" w:hanging="360"/>
      </w:pPr>
    </w:lvl>
    <w:lvl w:ilvl="7" w:tplc="FDEAA628">
      <w:start w:val="1"/>
      <w:numFmt w:val="lowerLetter"/>
      <w:lvlText w:val="%8."/>
      <w:lvlJc w:val="left"/>
      <w:pPr>
        <w:ind w:left="5760" w:hanging="360"/>
      </w:pPr>
    </w:lvl>
    <w:lvl w:ilvl="8" w:tplc="E4401E3C">
      <w:start w:val="1"/>
      <w:numFmt w:val="lowerRoman"/>
      <w:lvlText w:val="%9."/>
      <w:lvlJc w:val="right"/>
      <w:pPr>
        <w:ind w:left="6480" w:hanging="180"/>
      </w:pPr>
    </w:lvl>
  </w:abstractNum>
  <w:abstractNum w:abstractNumId="23" w15:restartNumberingAfterBreak="0">
    <w:nsid w:val="3A7730C4"/>
    <w:multiLevelType w:val="multilevel"/>
    <w:tmpl w:val="7F2EA70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CB0E82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57E6C"/>
    <w:multiLevelType w:val="hybridMultilevel"/>
    <w:tmpl w:val="A10A98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03366B0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2265C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1A882B1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9E29AE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3DC6E55"/>
    <w:multiLevelType w:val="hybridMultilevel"/>
    <w:tmpl w:val="EBF811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134FD3"/>
    <w:multiLevelType w:val="multilevel"/>
    <w:tmpl w:val="27147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0EFBF6"/>
    <w:multiLevelType w:val="multilevel"/>
    <w:tmpl w:val="AFE802D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814FBE"/>
    <w:multiLevelType w:val="hybridMultilevel"/>
    <w:tmpl w:val="C4D23F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77472E"/>
    <w:multiLevelType w:val="multilevel"/>
    <w:tmpl w:val="6A5A7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9050BF1"/>
    <w:multiLevelType w:val="hybridMultilevel"/>
    <w:tmpl w:val="C3368D60"/>
    <w:lvl w:ilvl="0" w:tplc="771E3B6A">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9FF1716"/>
    <w:multiLevelType w:val="hybridMultilevel"/>
    <w:tmpl w:val="525623DA"/>
    <w:lvl w:ilvl="0" w:tplc="D088952A">
      <w:start w:val="1"/>
      <w:numFmt w:val="bullet"/>
      <w:lvlText w:val="-"/>
      <w:lvlJc w:val="left"/>
      <w:pPr>
        <w:ind w:left="360" w:hanging="360"/>
      </w:pPr>
      <w:rPr>
        <w:rFonts w:ascii="Aptos" w:hAnsi="Aptos" w:hint="default"/>
      </w:rPr>
    </w:lvl>
    <w:lvl w:ilvl="1" w:tplc="FD02FBEC">
      <w:start w:val="1"/>
      <w:numFmt w:val="bullet"/>
      <w:lvlText w:val="o"/>
      <w:lvlJc w:val="left"/>
      <w:pPr>
        <w:ind w:left="1080" w:hanging="360"/>
      </w:pPr>
      <w:rPr>
        <w:rFonts w:ascii="Courier New" w:hAnsi="Courier New" w:hint="default"/>
      </w:rPr>
    </w:lvl>
    <w:lvl w:ilvl="2" w:tplc="1AE2AC92">
      <w:start w:val="1"/>
      <w:numFmt w:val="bullet"/>
      <w:lvlText w:val=""/>
      <w:lvlJc w:val="left"/>
      <w:pPr>
        <w:ind w:left="1800" w:hanging="360"/>
      </w:pPr>
      <w:rPr>
        <w:rFonts w:ascii="Wingdings" w:hAnsi="Wingdings" w:hint="default"/>
      </w:rPr>
    </w:lvl>
    <w:lvl w:ilvl="3" w:tplc="CF3005DE">
      <w:start w:val="1"/>
      <w:numFmt w:val="bullet"/>
      <w:lvlText w:val=""/>
      <w:lvlJc w:val="left"/>
      <w:pPr>
        <w:ind w:left="2520" w:hanging="360"/>
      </w:pPr>
      <w:rPr>
        <w:rFonts w:ascii="Symbol" w:hAnsi="Symbol" w:hint="default"/>
      </w:rPr>
    </w:lvl>
    <w:lvl w:ilvl="4" w:tplc="64904AFC">
      <w:start w:val="1"/>
      <w:numFmt w:val="bullet"/>
      <w:lvlText w:val="o"/>
      <w:lvlJc w:val="left"/>
      <w:pPr>
        <w:ind w:left="3240" w:hanging="360"/>
      </w:pPr>
      <w:rPr>
        <w:rFonts w:ascii="Courier New" w:hAnsi="Courier New" w:hint="default"/>
      </w:rPr>
    </w:lvl>
    <w:lvl w:ilvl="5" w:tplc="1332CD1E">
      <w:start w:val="1"/>
      <w:numFmt w:val="bullet"/>
      <w:lvlText w:val=""/>
      <w:lvlJc w:val="left"/>
      <w:pPr>
        <w:ind w:left="3960" w:hanging="360"/>
      </w:pPr>
      <w:rPr>
        <w:rFonts w:ascii="Wingdings" w:hAnsi="Wingdings" w:hint="default"/>
      </w:rPr>
    </w:lvl>
    <w:lvl w:ilvl="6" w:tplc="742A0BA6">
      <w:start w:val="1"/>
      <w:numFmt w:val="bullet"/>
      <w:lvlText w:val=""/>
      <w:lvlJc w:val="left"/>
      <w:pPr>
        <w:ind w:left="4680" w:hanging="360"/>
      </w:pPr>
      <w:rPr>
        <w:rFonts w:ascii="Symbol" w:hAnsi="Symbol" w:hint="default"/>
      </w:rPr>
    </w:lvl>
    <w:lvl w:ilvl="7" w:tplc="20C0C432">
      <w:start w:val="1"/>
      <w:numFmt w:val="bullet"/>
      <w:lvlText w:val="o"/>
      <w:lvlJc w:val="left"/>
      <w:pPr>
        <w:ind w:left="5400" w:hanging="360"/>
      </w:pPr>
      <w:rPr>
        <w:rFonts w:ascii="Courier New" w:hAnsi="Courier New" w:hint="default"/>
      </w:rPr>
    </w:lvl>
    <w:lvl w:ilvl="8" w:tplc="4CC46606">
      <w:start w:val="1"/>
      <w:numFmt w:val="bullet"/>
      <w:lvlText w:val=""/>
      <w:lvlJc w:val="left"/>
      <w:pPr>
        <w:ind w:left="6120" w:hanging="360"/>
      </w:pPr>
      <w:rPr>
        <w:rFonts w:ascii="Wingdings" w:hAnsi="Wingdings" w:hint="default"/>
      </w:rPr>
    </w:lvl>
  </w:abstractNum>
  <w:abstractNum w:abstractNumId="37" w15:restartNumberingAfterBreak="0">
    <w:nsid w:val="7C65145E"/>
    <w:multiLevelType w:val="multilevel"/>
    <w:tmpl w:val="B0DC91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D544F20"/>
    <w:multiLevelType w:val="hybridMultilevel"/>
    <w:tmpl w:val="A3B6FA6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2"/>
  </w:num>
  <w:num w:numId="2">
    <w:abstractNumId w:val="36"/>
  </w:num>
  <w:num w:numId="3">
    <w:abstractNumId w:val="2"/>
  </w:num>
  <w:num w:numId="4">
    <w:abstractNumId w:val="20"/>
  </w:num>
  <w:num w:numId="5">
    <w:abstractNumId w:val="14"/>
  </w:num>
  <w:num w:numId="6">
    <w:abstractNumId w:val="21"/>
  </w:num>
  <w:num w:numId="7">
    <w:abstractNumId w:val="28"/>
  </w:num>
  <w:num w:numId="8">
    <w:abstractNumId w:val="34"/>
  </w:num>
  <w:num w:numId="9">
    <w:abstractNumId w:val="6"/>
  </w:num>
  <w:num w:numId="10">
    <w:abstractNumId w:val="13"/>
  </w:num>
  <w:num w:numId="11">
    <w:abstractNumId w:val="24"/>
  </w:num>
  <w:num w:numId="12">
    <w:abstractNumId w:val="9"/>
  </w:num>
  <w:num w:numId="13">
    <w:abstractNumId w:val="11"/>
  </w:num>
  <w:num w:numId="14">
    <w:abstractNumId w:val="12"/>
  </w:num>
  <w:num w:numId="15">
    <w:abstractNumId w:val="16"/>
  </w:num>
  <w:num w:numId="16">
    <w:abstractNumId w:val="23"/>
  </w:num>
  <w:num w:numId="17">
    <w:abstractNumId w:val="27"/>
  </w:num>
  <w:num w:numId="18">
    <w:abstractNumId w:val="37"/>
  </w:num>
  <w:num w:numId="19">
    <w:abstractNumId w:val="17"/>
  </w:num>
  <w:num w:numId="20">
    <w:abstractNumId w:val="18"/>
  </w:num>
  <w:num w:numId="21">
    <w:abstractNumId w:val="38"/>
  </w:num>
  <w:num w:numId="22">
    <w:abstractNumId w:val="26"/>
  </w:num>
  <w:num w:numId="23">
    <w:abstractNumId w:val="29"/>
  </w:num>
  <w:num w:numId="24">
    <w:abstractNumId w:val="10"/>
  </w:num>
  <w:num w:numId="25">
    <w:abstractNumId w:val="39"/>
  </w:num>
  <w:num w:numId="26">
    <w:abstractNumId w:val="33"/>
  </w:num>
  <w:num w:numId="27">
    <w:abstractNumId w:val="35"/>
  </w:num>
  <w:num w:numId="28">
    <w:abstractNumId w:val="22"/>
  </w:num>
  <w:num w:numId="29">
    <w:abstractNumId w:val="1"/>
  </w:num>
  <w:num w:numId="30">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5"/>
  </w:num>
  <w:num w:numId="33">
    <w:abstractNumId w:val="4"/>
  </w:num>
  <w:num w:numId="34">
    <w:abstractNumId w:val="30"/>
  </w:num>
  <w:num w:numId="35">
    <w:abstractNumId w:val="19"/>
  </w:num>
  <w:num w:numId="36">
    <w:abstractNumId w:val="8"/>
  </w:num>
  <w:num w:numId="37">
    <w:abstractNumId w:val="3"/>
  </w:num>
  <w:num w:numId="38">
    <w:abstractNumId w:val="0"/>
  </w:num>
  <w:num w:numId="39">
    <w:abstractNumId w:val="25"/>
  </w:num>
  <w:num w:numId="40">
    <w:abstractNumId w:val="5"/>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68AA862D-2BF6-4FF8-A2DE-94E79732567E"/>
    <w:docVar w:name="LW_COVERPAGE_TYPE" w:val="1"/>
    <w:docVar w:name="LW_CROSSREFERENCE" w:val="&lt;UNUSED&gt;"/>
    <w:docVar w:name="LW_DocType" w:val="2CFEB4215E224EB3A3CCC8FA86889EAB"/>
    <w:docVar w:name="LW_EMISSION" w:val="10.3.2026"/>
    <w:docVar w:name="LW_EMISSION_ISODATE" w:val="2026-03-1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finan\u539?area eficien\u539?ei energetice în Europa&lt;/FMT&gt;_x000b__x000b_O evaluare a cheltuielilor publice pentru eficien\u539?a energetic\u259?&lt;FMT:Bold&gt; &lt;/FMT&gt;\u537?i performan\u539?a energetic\u259? a cl\u259?dirilor"/>
    <w:docVar w:name="LW_TYPE.DOC.CP" w:val="RAPORT AL COMISIEI C\u258?TRE PARLAMENTUL EUROPEAN \u536?I CONSILIU"/>
    <w:docVar w:name="LwApiVersions" w:val="LW4CoDe 1.24.5.0; LW 9.2, Build 20251112"/>
  </w:docVars>
  <w:rsids>
    <w:rsidRoot w:val="00364933"/>
    <w:rsid w:val="000000F4"/>
    <w:rsid w:val="0000048B"/>
    <w:rsid w:val="000007A4"/>
    <w:rsid w:val="00000944"/>
    <w:rsid w:val="00000DAC"/>
    <w:rsid w:val="00001143"/>
    <w:rsid w:val="00001351"/>
    <w:rsid w:val="00001356"/>
    <w:rsid w:val="000014BB"/>
    <w:rsid w:val="00001698"/>
    <w:rsid w:val="00001736"/>
    <w:rsid w:val="00001809"/>
    <w:rsid w:val="000019FC"/>
    <w:rsid w:val="00001C28"/>
    <w:rsid w:val="0000252B"/>
    <w:rsid w:val="00002717"/>
    <w:rsid w:val="00002778"/>
    <w:rsid w:val="000027A2"/>
    <w:rsid w:val="000027C9"/>
    <w:rsid w:val="00002ABD"/>
    <w:rsid w:val="00002E62"/>
    <w:rsid w:val="0000336B"/>
    <w:rsid w:val="000034D6"/>
    <w:rsid w:val="000035FB"/>
    <w:rsid w:val="00003914"/>
    <w:rsid w:val="0000418C"/>
    <w:rsid w:val="00004404"/>
    <w:rsid w:val="00004A69"/>
    <w:rsid w:val="00004ACA"/>
    <w:rsid w:val="00004B7B"/>
    <w:rsid w:val="00005153"/>
    <w:rsid w:val="00005C49"/>
    <w:rsid w:val="00005E54"/>
    <w:rsid w:val="00005ED7"/>
    <w:rsid w:val="0000607A"/>
    <w:rsid w:val="0000623D"/>
    <w:rsid w:val="0000644E"/>
    <w:rsid w:val="000064E4"/>
    <w:rsid w:val="00006780"/>
    <w:rsid w:val="00006EA5"/>
    <w:rsid w:val="00006F3B"/>
    <w:rsid w:val="00006FA1"/>
    <w:rsid w:val="0000704F"/>
    <w:rsid w:val="0000744B"/>
    <w:rsid w:val="0000761A"/>
    <w:rsid w:val="00007B3D"/>
    <w:rsid w:val="00010986"/>
    <w:rsid w:val="00010EA4"/>
    <w:rsid w:val="0001121F"/>
    <w:rsid w:val="000113CB"/>
    <w:rsid w:val="00011442"/>
    <w:rsid w:val="00011AF3"/>
    <w:rsid w:val="00011B8C"/>
    <w:rsid w:val="00011E19"/>
    <w:rsid w:val="000120EE"/>
    <w:rsid w:val="00012697"/>
    <w:rsid w:val="00012A95"/>
    <w:rsid w:val="0001301E"/>
    <w:rsid w:val="0001325F"/>
    <w:rsid w:val="00013622"/>
    <w:rsid w:val="00013BCA"/>
    <w:rsid w:val="00013D32"/>
    <w:rsid w:val="00013EE8"/>
    <w:rsid w:val="00013F5A"/>
    <w:rsid w:val="00014080"/>
    <w:rsid w:val="000140AD"/>
    <w:rsid w:val="000141CD"/>
    <w:rsid w:val="000148FF"/>
    <w:rsid w:val="00014DC9"/>
    <w:rsid w:val="00015A02"/>
    <w:rsid w:val="00015C51"/>
    <w:rsid w:val="00015F26"/>
    <w:rsid w:val="000161B5"/>
    <w:rsid w:val="00016378"/>
    <w:rsid w:val="0001643E"/>
    <w:rsid w:val="00016A70"/>
    <w:rsid w:val="00016F34"/>
    <w:rsid w:val="0001727F"/>
    <w:rsid w:val="00017927"/>
    <w:rsid w:val="000200E5"/>
    <w:rsid w:val="000203B7"/>
    <w:rsid w:val="0002047D"/>
    <w:rsid w:val="000209FD"/>
    <w:rsid w:val="00020A9A"/>
    <w:rsid w:val="00020D06"/>
    <w:rsid w:val="000210B5"/>
    <w:rsid w:val="0002146F"/>
    <w:rsid w:val="00021525"/>
    <w:rsid w:val="00021A9C"/>
    <w:rsid w:val="00021D18"/>
    <w:rsid w:val="00021E38"/>
    <w:rsid w:val="00021F32"/>
    <w:rsid w:val="00022646"/>
    <w:rsid w:val="000226EB"/>
    <w:rsid w:val="000228F3"/>
    <w:rsid w:val="00022947"/>
    <w:rsid w:val="00022CDD"/>
    <w:rsid w:val="00022F5E"/>
    <w:rsid w:val="00023827"/>
    <w:rsid w:val="00023930"/>
    <w:rsid w:val="000243C2"/>
    <w:rsid w:val="000246BC"/>
    <w:rsid w:val="0002498E"/>
    <w:rsid w:val="000254EA"/>
    <w:rsid w:val="000257DB"/>
    <w:rsid w:val="00025C22"/>
    <w:rsid w:val="0002601A"/>
    <w:rsid w:val="000262A0"/>
    <w:rsid w:val="000262A6"/>
    <w:rsid w:val="00026E2F"/>
    <w:rsid w:val="00027766"/>
    <w:rsid w:val="00027ACE"/>
    <w:rsid w:val="00027C1A"/>
    <w:rsid w:val="00027C21"/>
    <w:rsid w:val="00027CD2"/>
    <w:rsid w:val="000300B0"/>
    <w:rsid w:val="000304D3"/>
    <w:rsid w:val="00030675"/>
    <w:rsid w:val="000308E0"/>
    <w:rsid w:val="000309A3"/>
    <w:rsid w:val="00030CB9"/>
    <w:rsid w:val="00030FCA"/>
    <w:rsid w:val="0003149A"/>
    <w:rsid w:val="00031A70"/>
    <w:rsid w:val="00031AFB"/>
    <w:rsid w:val="000320C2"/>
    <w:rsid w:val="000323F4"/>
    <w:rsid w:val="0003272D"/>
    <w:rsid w:val="00032939"/>
    <w:rsid w:val="00032A69"/>
    <w:rsid w:val="00032A89"/>
    <w:rsid w:val="00032CF1"/>
    <w:rsid w:val="00033562"/>
    <w:rsid w:val="00033646"/>
    <w:rsid w:val="000336FA"/>
    <w:rsid w:val="000337D5"/>
    <w:rsid w:val="00033CE5"/>
    <w:rsid w:val="00033E48"/>
    <w:rsid w:val="00034106"/>
    <w:rsid w:val="0003417B"/>
    <w:rsid w:val="000341B3"/>
    <w:rsid w:val="000341DE"/>
    <w:rsid w:val="000341F7"/>
    <w:rsid w:val="00034273"/>
    <w:rsid w:val="000344C2"/>
    <w:rsid w:val="00034812"/>
    <w:rsid w:val="0003483D"/>
    <w:rsid w:val="00034860"/>
    <w:rsid w:val="0003487F"/>
    <w:rsid w:val="00034AA8"/>
    <w:rsid w:val="0003516C"/>
    <w:rsid w:val="000355EB"/>
    <w:rsid w:val="00035699"/>
    <w:rsid w:val="000356F4"/>
    <w:rsid w:val="000359E4"/>
    <w:rsid w:val="000360B1"/>
    <w:rsid w:val="00036349"/>
    <w:rsid w:val="000363DB"/>
    <w:rsid w:val="00036666"/>
    <w:rsid w:val="0003667F"/>
    <w:rsid w:val="0003668C"/>
    <w:rsid w:val="00036962"/>
    <w:rsid w:val="00036F06"/>
    <w:rsid w:val="000374A5"/>
    <w:rsid w:val="000374AD"/>
    <w:rsid w:val="000378A8"/>
    <w:rsid w:val="00037F19"/>
    <w:rsid w:val="000401C9"/>
    <w:rsid w:val="000403F8"/>
    <w:rsid w:val="00040545"/>
    <w:rsid w:val="0004089C"/>
    <w:rsid w:val="00040EA3"/>
    <w:rsid w:val="00040F80"/>
    <w:rsid w:val="0004114D"/>
    <w:rsid w:val="00041971"/>
    <w:rsid w:val="00041CAF"/>
    <w:rsid w:val="00041CC5"/>
    <w:rsid w:val="00041F7A"/>
    <w:rsid w:val="0004227C"/>
    <w:rsid w:val="00042616"/>
    <w:rsid w:val="00042AB5"/>
    <w:rsid w:val="00042C5E"/>
    <w:rsid w:val="00043733"/>
    <w:rsid w:val="00043E4D"/>
    <w:rsid w:val="00044531"/>
    <w:rsid w:val="000446C7"/>
    <w:rsid w:val="000447EA"/>
    <w:rsid w:val="00044874"/>
    <w:rsid w:val="0004490F"/>
    <w:rsid w:val="000449A5"/>
    <w:rsid w:val="000450FE"/>
    <w:rsid w:val="00045147"/>
    <w:rsid w:val="000456EB"/>
    <w:rsid w:val="0004600D"/>
    <w:rsid w:val="0004623F"/>
    <w:rsid w:val="00046712"/>
    <w:rsid w:val="00046A23"/>
    <w:rsid w:val="00046B4F"/>
    <w:rsid w:val="00047087"/>
    <w:rsid w:val="000470A2"/>
    <w:rsid w:val="00047263"/>
    <w:rsid w:val="000472A0"/>
    <w:rsid w:val="0004731A"/>
    <w:rsid w:val="0005006B"/>
    <w:rsid w:val="00050306"/>
    <w:rsid w:val="000503B7"/>
    <w:rsid w:val="00050476"/>
    <w:rsid w:val="0005066B"/>
    <w:rsid w:val="00050865"/>
    <w:rsid w:val="00050E7E"/>
    <w:rsid w:val="0005114F"/>
    <w:rsid w:val="00051263"/>
    <w:rsid w:val="000514D8"/>
    <w:rsid w:val="000515F2"/>
    <w:rsid w:val="00051765"/>
    <w:rsid w:val="00051A89"/>
    <w:rsid w:val="00051AA2"/>
    <w:rsid w:val="00051BCA"/>
    <w:rsid w:val="00051CEA"/>
    <w:rsid w:val="00051ECF"/>
    <w:rsid w:val="00052382"/>
    <w:rsid w:val="00052697"/>
    <w:rsid w:val="00052AFB"/>
    <w:rsid w:val="00052DDD"/>
    <w:rsid w:val="000530FF"/>
    <w:rsid w:val="000532A2"/>
    <w:rsid w:val="0005339D"/>
    <w:rsid w:val="000534F1"/>
    <w:rsid w:val="00053B38"/>
    <w:rsid w:val="00053C75"/>
    <w:rsid w:val="00053ED0"/>
    <w:rsid w:val="00053FDC"/>
    <w:rsid w:val="0005481F"/>
    <w:rsid w:val="00054A6B"/>
    <w:rsid w:val="00054E74"/>
    <w:rsid w:val="00054FD9"/>
    <w:rsid w:val="0005501E"/>
    <w:rsid w:val="00055353"/>
    <w:rsid w:val="000557FC"/>
    <w:rsid w:val="00055AAD"/>
    <w:rsid w:val="00055AF0"/>
    <w:rsid w:val="00055B0F"/>
    <w:rsid w:val="00056064"/>
    <w:rsid w:val="000564CD"/>
    <w:rsid w:val="00056AF2"/>
    <w:rsid w:val="00056BAD"/>
    <w:rsid w:val="00056E3A"/>
    <w:rsid w:val="00057110"/>
    <w:rsid w:val="00057173"/>
    <w:rsid w:val="0005723B"/>
    <w:rsid w:val="000572FB"/>
    <w:rsid w:val="00057329"/>
    <w:rsid w:val="000575CF"/>
    <w:rsid w:val="0005781F"/>
    <w:rsid w:val="00057988"/>
    <w:rsid w:val="00057CC2"/>
    <w:rsid w:val="000601E6"/>
    <w:rsid w:val="000602CA"/>
    <w:rsid w:val="00060C86"/>
    <w:rsid w:val="000610FD"/>
    <w:rsid w:val="00061601"/>
    <w:rsid w:val="000619F3"/>
    <w:rsid w:val="00061B3A"/>
    <w:rsid w:val="00061BB8"/>
    <w:rsid w:val="00061D65"/>
    <w:rsid w:val="000620CD"/>
    <w:rsid w:val="000620E1"/>
    <w:rsid w:val="00062122"/>
    <w:rsid w:val="000625B2"/>
    <w:rsid w:val="00062B09"/>
    <w:rsid w:val="00062C4C"/>
    <w:rsid w:val="0006304C"/>
    <w:rsid w:val="0006325E"/>
    <w:rsid w:val="000632B4"/>
    <w:rsid w:val="0006380E"/>
    <w:rsid w:val="00063970"/>
    <w:rsid w:val="00063B7F"/>
    <w:rsid w:val="00063D19"/>
    <w:rsid w:val="00063E13"/>
    <w:rsid w:val="00064321"/>
    <w:rsid w:val="000644D7"/>
    <w:rsid w:val="000648F8"/>
    <w:rsid w:val="00064AC2"/>
    <w:rsid w:val="00064B26"/>
    <w:rsid w:val="00064B9C"/>
    <w:rsid w:val="00064CF3"/>
    <w:rsid w:val="000653C2"/>
    <w:rsid w:val="000655F5"/>
    <w:rsid w:val="000657A3"/>
    <w:rsid w:val="00065851"/>
    <w:rsid w:val="00065A70"/>
    <w:rsid w:val="00065AF5"/>
    <w:rsid w:val="00065D72"/>
    <w:rsid w:val="00065DF5"/>
    <w:rsid w:val="00065FB2"/>
    <w:rsid w:val="00066029"/>
    <w:rsid w:val="0006615E"/>
    <w:rsid w:val="00066680"/>
    <w:rsid w:val="0006687C"/>
    <w:rsid w:val="000668E2"/>
    <w:rsid w:val="00066986"/>
    <w:rsid w:val="00066E8D"/>
    <w:rsid w:val="00066EC1"/>
    <w:rsid w:val="0006761A"/>
    <w:rsid w:val="00067801"/>
    <w:rsid w:val="00067804"/>
    <w:rsid w:val="00067B74"/>
    <w:rsid w:val="00067C3D"/>
    <w:rsid w:val="00067C8A"/>
    <w:rsid w:val="00067D22"/>
    <w:rsid w:val="00067FD2"/>
    <w:rsid w:val="000704B1"/>
    <w:rsid w:val="000709D5"/>
    <w:rsid w:val="00070E75"/>
    <w:rsid w:val="00071084"/>
    <w:rsid w:val="00071243"/>
    <w:rsid w:val="00071478"/>
    <w:rsid w:val="00071740"/>
    <w:rsid w:val="00071B1B"/>
    <w:rsid w:val="00071B63"/>
    <w:rsid w:val="00071BC4"/>
    <w:rsid w:val="00071F1A"/>
    <w:rsid w:val="00071FFE"/>
    <w:rsid w:val="0007241B"/>
    <w:rsid w:val="00072791"/>
    <w:rsid w:val="000727C8"/>
    <w:rsid w:val="0007293D"/>
    <w:rsid w:val="00072B40"/>
    <w:rsid w:val="00073413"/>
    <w:rsid w:val="00073440"/>
    <w:rsid w:val="00073531"/>
    <w:rsid w:val="00073882"/>
    <w:rsid w:val="00073B00"/>
    <w:rsid w:val="00074021"/>
    <w:rsid w:val="000740BF"/>
    <w:rsid w:val="0007443C"/>
    <w:rsid w:val="00074A57"/>
    <w:rsid w:val="00074C37"/>
    <w:rsid w:val="0007514C"/>
    <w:rsid w:val="0007525A"/>
    <w:rsid w:val="000755BF"/>
    <w:rsid w:val="0007580B"/>
    <w:rsid w:val="00075BFB"/>
    <w:rsid w:val="00075DA7"/>
    <w:rsid w:val="00075F55"/>
    <w:rsid w:val="000760B4"/>
    <w:rsid w:val="0007661A"/>
    <w:rsid w:val="00076A5A"/>
    <w:rsid w:val="00076CD3"/>
    <w:rsid w:val="00076ED2"/>
    <w:rsid w:val="0007728E"/>
    <w:rsid w:val="0007756A"/>
    <w:rsid w:val="0007792B"/>
    <w:rsid w:val="00077BE0"/>
    <w:rsid w:val="00077D08"/>
    <w:rsid w:val="00077D19"/>
    <w:rsid w:val="00080013"/>
    <w:rsid w:val="0008015D"/>
    <w:rsid w:val="00080296"/>
    <w:rsid w:val="0008030A"/>
    <w:rsid w:val="00080362"/>
    <w:rsid w:val="00080622"/>
    <w:rsid w:val="00080991"/>
    <w:rsid w:val="00080B90"/>
    <w:rsid w:val="00080C35"/>
    <w:rsid w:val="00080D68"/>
    <w:rsid w:val="00081209"/>
    <w:rsid w:val="00081247"/>
    <w:rsid w:val="000812AD"/>
    <w:rsid w:val="00081559"/>
    <w:rsid w:val="000815D8"/>
    <w:rsid w:val="000817EA"/>
    <w:rsid w:val="00081AEF"/>
    <w:rsid w:val="00081AF0"/>
    <w:rsid w:val="00081BCA"/>
    <w:rsid w:val="000820B1"/>
    <w:rsid w:val="0008226D"/>
    <w:rsid w:val="000822E0"/>
    <w:rsid w:val="00082385"/>
    <w:rsid w:val="00082467"/>
    <w:rsid w:val="0008265B"/>
    <w:rsid w:val="00082AE9"/>
    <w:rsid w:val="00082C47"/>
    <w:rsid w:val="00082F73"/>
    <w:rsid w:val="00082F77"/>
    <w:rsid w:val="00083104"/>
    <w:rsid w:val="00083530"/>
    <w:rsid w:val="000836DD"/>
    <w:rsid w:val="000837A5"/>
    <w:rsid w:val="0008394D"/>
    <w:rsid w:val="00083AB3"/>
    <w:rsid w:val="00083B85"/>
    <w:rsid w:val="00083D01"/>
    <w:rsid w:val="00084226"/>
    <w:rsid w:val="0008443A"/>
    <w:rsid w:val="000847E3"/>
    <w:rsid w:val="00084C27"/>
    <w:rsid w:val="00084FBF"/>
    <w:rsid w:val="00084FD3"/>
    <w:rsid w:val="000851F0"/>
    <w:rsid w:val="000854AA"/>
    <w:rsid w:val="00085711"/>
    <w:rsid w:val="00085A02"/>
    <w:rsid w:val="00085A99"/>
    <w:rsid w:val="00085AA8"/>
    <w:rsid w:val="00085DC1"/>
    <w:rsid w:val="00085E03"/>
    <w:rsid w:val="00085ED9"/>
    <w:rsid w:val="0008615C"/>
    <w:rsid w:val="000861DC"/>
    <w:rsid w:val="0008626B"/>
    <w:rsid w:val="00086368"/>
    <w:rsid w:val="00086E04"/>
    <w:rsid w:val="00086E3D"/>
    <w:rsid w:val="00086EA9"/>
    <w:rsid w:val="00087393"/>
    <w:rsid w:val="00087850"/>
    <w:rsid w:val="00087DC4"/>
    <w:rsid w:val="00087EFA"/>
    <w:rsid w:val="00087F6F"/>
    <w:rsid w:val="0009062B"/>
    <w:rsid w:val="0009080E"/>
    <w:rsid w:val="00090C9E"/>
    <w:rsid w:val="00091116"/>
    <w:rsid w:val="00091126"/>
    <w:rsid w:val="00091257"/>
    <w:rsid w:val="000913FD"/>
    <w:rsid w:val="0009142C"/>
    <w:rsid w:val="0009156E"/>
    <w:rsid w:val="00091618"/>
    <w:rsid w:val="00091DEC"/>
    <w:rsid w:val="00091E88"/>
    <w:rsid w:val="00092124"/>
    <w:rsid w:val="0009225C"/>
    <w:rsid w:val="0009268F"/>
    <w:rsid w:val="000929FE"/>
    <w:rsid w:val="00092A23"/>
    <w:rsid w:val="00092EB8"/>
    <w:rsid w:val="00092EFC"/>
    <w:rsid w:val="00093008"/>
    <w:rsid w:val="00093039"/>
    <w:rsid w:val="00093091"/>
    <w:rsid w:val="00093360"/>
    <w:rsid w:val="000934BB"/>
    <w:rsid w:val="00093564"/>
    <w:rsid w:val="00093831"/>
    <w:rsid w:val="00093ADF"/>
    <w:rsid w:val="00093D76"/>
    <w:rsid w:val="0009412C"/>
    <w:rsid w:val="00094978"/>
    <w:rsid w:val="00094A6F"/>
    <w:rsid w:val="00094B36"/>
    <w:rsid w:val="00094F42"/>
    <w:rsid w:val="00095086"/>
    <w:rsid w:val="000955BF"/>
    <w:rsid w:val="00095726"/>
    <w:rsid w:val="000958DB"/>
    <w:rsid w:val="00095C3C"/>
    <w:rsid w:val="00095CD4"/>
    <w:rsid w:val="00095DE9"/>
    <w:rsid w:val="00096063"/>
    <w:rsid w:val="000962BA"/>
    <w:rsid w:val="00096628"/>
    <w:rsid w:val="00096DA2"/>
    <w:rsid w:val="00096FC3"/>
    <w:rsid w:val="000970DD"/>
    <w:rsid w:val="0009710A"/>
    <w:rsid w:val="00097D41"/>
    <w:rsid w:val="00097F62"/>
    <w:rsid w:val="0009A27B"/>
    <w:rsid w:val="000A010A"/>
    <w:rsid w:val="000A0529"/>
    <w:rsid w:val="000A083E"/>
    <w:rsid w:val="000A09C5"/>
    <w:rsid w:val="000A1031"/>
    <w:rsid w:val="000A14DA"/>
    <w:rsid w:val="000A1629"/>
    <w:rsid w:val="000A1B89"/>
    <w:rsid w:val="000A1D1B"/>
    <w:rsid w:val="000A1F5E"/>
    <w:rsid w:val="000A26DD"/>
    <w:rsid w:val="000A271E"/>
    <w:rsid w:val="000A2B7C"/>
    <w:rsid w:val="000A2F1B"/>
    <w:rsid w:val="000A3196"/>
    <w:rsid w:val="000A34DB"/>
    <w:rsid w:val="000A34DD"/>
    <w:rsid w:val="000A351B"/>
    <w:rsid w:val="000A359A"/>
    <w:rsid w:val="000A3BAD"/>
    <w:rsid w:val="000A3CDB"/>
    <w:rsid w:val="000A42C0"/>
    <w:rsid w:val="000A45B7"/>
    <w:rsid w:val="000A4675"/>
    <w:rsid w:val="000A4B2C"/>
    <w:rsid w:val="000A4D04"/>
    <w:rsid w:val="000A4D72"/>
    <w:rsid w:val="000A5057"/>
    <w:rsid w:val="000A5610"/>
    <w:rsid w:val="000A5829"/>
    <w:rsid w:val="000A582C"/>
    <w:rsid w:val="000A5A19"/>
    <w:rsid w:val="000A5A4F"/>
    <w:rsid w:val="000A5C06"/>
    <w:rsid w:val="000A5F04"/>
    <w:rsid w:val="000A6D5E"/>
    <w:rsid w:val="000A6ECB"/>
    <w:rsid w:val="000A6F70"/>
    <w:rsid w:val="000A6FA6"/>
    <w:rsid w:val="000A7017"/>
    <w:rsid w:val="000A78A3"/>
    <w:rsid w:val="000A7996"/>
    <w:rsid w:val="000A7AF9"/>
    <w:rsid w:val="000A7BE6"/>
    <w:rsid w:val="000A7C28"/>
    <w:rsid w:val="000A7C60"/>
    <w:rsid w:val="000A7E2D"/>
    <w:rsid w:val="000B0222"/>
    <w:rsid w:val="000B09C5"/>
    <w:rsid w:val="000B0CD6"/>
    <w:rsid w:val="000B1195"/>
    <w:rsid w:val="000B1612"/>
    <w:rsid w:val="000B16E6"/>
    <w:rsid w:val="000B199C"/>
    <w:rsid w:val="000B1B38"/>
    <w:rsid w:val="000B1F71"/>
    <w:rsid w:val="000B2DF7"/>
    <w:rsid w:val="000B2E18"/>
    <w:rsid w:val="000B313C"/>
    <w:rsid w:val="000B3761"/>
    <w:rsid w:val="000B3AD0"/>
    <w:rsid w:val="000B3C68"/>
    <w:rsid w:val="000B3F81"/>
    <w:rsid w:val="000B3FE0"/>
    <w:rsid w:val="000B40D5"/>
    <w:rsid w:val="000B42C6"/>
    <w:rsid w:val="000B477A"/>
    <w:rsid w:val="000B4DC8"/>
    <w:rsid w:val="000B51D8"/>
    <w:rsid w:val="000B5552"/>
    <w:rsid w:val="000B574D"/>
    <w:rsid w:val="000B5AB5"/>
    <w:rsid w:val="000B5BBF"/>
    <w:rsid w:val="000B5C4C"/>
    <w:rsid w:val="000B5E98"/>
    <w:rsid w:val="000B6017"/>
    <w:rsid w:val="000B6665"/>
    <w:rsid w:val="000B6ABC"/>
    <w:rsid w:val="000B6CEA"/>
    <w:rsid w:val="000B6D8C"/>
    <w:rsid w:val="000B7137"/>
    <w:rsid w:val="000B73BA"/>
    <w:rsid w:val="000B78A9"/>
    <w:rsid w:val="000B7B48"/>
    <w:rsid w:val="000B7B4F"/>
    <w:rsid w:val="000B7EAA"/>
    <w:rsid w:val="000B7FA3"/>
    <w:rsid w:val="000C001B"/>
    <w:rsid w:val="000C01DE"/>
    <w:rsid w:val="000C035C"/>
    <w:rsid w:val="000C0398"/>
    <w:rsid w:val="000C0433"/>
    <w:rsid w:val="000C076E"/>
    <w:rsid w:val="000C0A5F"/>
    <w:rsid w:val="000C13AF"/>
    <w:rsid w:val="000C157B"/>
    <w:rsid w:val="000C1682"/>
    <w:rsid w:val="000C19E8"/>
    <w:rsid w:val="000C1A93"/>
    <w:rsid w:val="000C1C01"/>
    <w:rsid w:val="000C1F28"/>
    <w:rsid w:val="000C207B"/>
    <w:rsid w:val="000C2824"/>
    <w:rsid w:val="000C2A2D"/>
    <w:rsid w:val="000C2BDC"/>
    <w:rsid w:val="000C2CB1"/>
    <w:rsid w:val="000C2E3A"/>
    <w:rsid w:val="000C3135"/>
    <w:rsid w:val="000C3394"/>
    <w:rsid w:val="000C34CB"/>
    <w:rsid w:val="000C3516"/>
    <w:rsid w:val="000C356C"/>
    <w:rsid w:val="000C3A37"/>
    <w:rsid w:val="000C3C23"/>
    <w:rsid w:val="000C3DE4"/>
    <w:rsid w:val="000C4009"/>
    <w:rsid w:val="000C483C"/>
    <w:rsid w:val="000C4A9B"/>
    <w:rsid w:val="000C4D55"/>
    <w:rsid w:val="000C51D7"/>
    <w:rsid w:val="000C5285"/>
    <w:rsid w:val="000C5437"/>
    <w:rsid w:val="000C5906"/>
    <w:rsid w:val="000C5CB9"/>
    <w:rsid w:val="000C5F0F"/>
    <w:rsid w:val="000C67E6"/>
    <w:rsid w:val="000C681A"/>
    <w:rsid w:val="000C686A"/>
    <w:rsid w:val="000C6A7A"/>
    <w:rsid w:val="000C6B31"/>
    <w:rsid w:val="000C6BA9"/>
    <w:rsid w:val="000C6F67"/>
    <w:rsid w:val="000C71AB"/>
    <w:rsid w:val="000C74A6"/>
    <w:rsid w:val="000C769C"/>
    <w:rsid w:val="000C7798"/>
    <w:rsid w:val="000C7834"/>
    <w:rsid w:val="000C7874"/>
    <w:rsid w:val="000C79F5"/>
    <w:rsid w:val="000C7C9E"/>
    <w:rsid w:val="000C7E97"/>
    <w:rsid w:val="000D002C"/>
    <w:rsid w:val="000D015C"/>
    <w:rsid w:val="000D01C8"/>
    <w:rsid w:val="000D04E6"/>
    <w:rsid w:val="000D064B"/>
    <w:rsid w:val="000D070D"/>
    <w:rsid w:val="000D0ED8"/>
    <w:rsid w:val="000D0F1F"/>
    <w:rsid w:val="000D109B"/>
    <w:rsid w:val="000D16E7"/>
    <w:rsid w:val="000D1B58"/>
    <w:rsid w:val="000D1E25"/>
    <w:rsid w:val="000D1F79"/>
    <w:rsid w:val="000D20E0"/>
    <w:rsid w:val="000D21C7"/>
    <w:rsid w:val="000D23EC"/>
    <w:rsid w:val="000D2717"/>
    <w:rsid w:val="000D27F8"/>
    <w:rsid w:val="000D29D6"/>
    <w:rsid w:val="000D2BED"/>
    <w:rsid w:val="000D2C11"/>
    <w:rsid w:val="000D2CE8"/>
    <w:rsid w:val="000D2D11"/>
    <w:rsid w:val="000D2E0B"/>
    <w:rsid w:val="000D2F46"/>
    <w:rsid w:val="000D2F6A"/>
    <w:rsid w:val="000D322C"/>
    <w:rsid w:val="000D356E"/>
    <w:rsid w:val="000D3A0C"/>
    <w:rsid w:val="000D3A9A"/>
    <w:rsid w:val="000D3C32"/>
    <w:rsid w:val="000D40FD"/>
    <w:rsid w:val="000D4196"/>
    <w:rsid w:val="000D4ABD"/>
    <w:rsid w:val="000D4BDF"/>
    <w:rsid w:val="000D537C"/>
    <w:rsid w:val="000D57A1"/>
    <w:rsid w:val="000D5921"/>
    <w:rsid w:val="000D5A14"/>
    <w:rsid w:val="000D5BDB"/>
    <w:rsid w:val="000D5FE7"/>
    <w:rsid w:val="000D60FD"/>
    <w:rsid w:val="000D654A"/>
    <w:rsid w:val="000D660E"/>
    <w:rsid w:val="000D6889"/>
    <w:rsid w:val="000D6B30"/>
    <w:rsid w:val="000D6EF4"/>
    <w:rsid w:val="000D7259"/>
    <w:rsid w:val="000D72D8"/>
    <w:rsid w:val="000D7742"/>
    <w:rsid w:val="000D79DD"/>
    <w:rsid w:val="000E0132"/>
    <w:rsid w:val="000E0236"/>
    <w:rsid w:val="000E0395"/>
    <w:rsid w:val="000E04A7"/>
    <w:rsid w:val="000E04ED"/>
    <w:rsid w:val="000E0809"/>
    <w:rsid w:val="000E091C"/>
    <w:rsid w:val="000E09E2"/>
    <w:rsid w:val="000E0B1A"/>
    <w:rsid w:val="000E0F39"/>
    <w:rsid w:val="000E0F9D"/>
    <w:rsid w:val="000E12EA"/>
    <w:rsid w:val="000E181A"/>
    <w:rsid w:val="000E190B"/>
    <w:rsid w:val="000E1997"/>
    <w:rsid w:val="000E1B9F"/>
    <w:rsid w:val="000E1DFA"/>
    <w:rsid w:val="000E27C7"/>
    <w:rsid w:val="000E2A0F"/>
    <w:rsid w:val="000E3DB4"/>
    <w:rsid w:val="000E3EAD"/>
    <w:rsid w:val="000E42A2"/>
    <w:rsid w:val="000E463E"/>
    <w:rsid w:val="000E47E4"/>
    <w:rsid w:val="000E4ED2"/>
    <w:rsid w:val="000E5282"/>
    <w:rsid w:val="000E5407"/>
    <w:rsid w:val="000E5547"/>
    <w:rsid w:val="000E5818"/>
    <w:rsid w:val="000E5C35"/>
    <w:rsid w:val="000E60A9"/>
    <w:rsid w:val="000E633B"/>
    <w:rsid w:val="000E6469"/>
    <w:rsid w:val="000E6A60"/>
    <w:rsid w:val="000E6D4C"/>
    <w:rsid w:val="000E70C8"/>
    <w:rsid w:val="000E7558"/>
    <w:rsid w:val="000E789A"/>
    <w:rsid w:val="000E7C73"/>
    <w:rsid w:val="000E7C77"/>
    <w:rsid w:val="000E7C7A"/>
    <w:rsid w:val="000E7D79"/>
    <w:rsid w:val="000E7DAC"/>
    <w:rsid w:val="000F0096"/>
    <w:rsid w:val="000F0179"/>
    <w:rsid w:val="000F0309"/>
    <w:rsid w:val="000F03FA"/>
    <w:rsid w:val="000F0AF9"/>
    <w:rsid w:val="000F0C8C"/>
    <w:rsid w:val="000F0E8A"/>
    <w:rsid w:val="000F0EAD"/>
    <w:rsid w:val="000F1170"/>
    <w:rsid w:val="000F129A"/>
    <w:rsid w:val="000F1A94"/>
    <w:rsid w:val="000F1F1B"/>
    <w:rsid w:val="000F203F"/>
    <w:rsid w:val="000F231D"/>
    <w:rsid w:val="000F2514"/>
    <w:rsid w:val="000F286B"/>
    <w:rsid w:val="000F2BF6"/>
    <w:rsid w:val="000F2D8D"/>
    <w:rsid w:val="000F2FC4"/>
    <w:rsid w:val="000F3463"/>
    <w:rsid w:val="000F38DE"/>
    <w:rsid w:val="000F3B65"/>
    <w:rsid w:val="000F3BC9"/>
    <w:rsid w:val="000F3E96"/>
    <w:rsid w:val="000F3F90"/>
    <w:rsid w:val="000F407B"/>
    <w:rsid w:val="000F450A"/>
    <w:rsid w:val="000F45A9"/>
    <w:rsid w:val="000F4A54"/>
    <w:rsid w:val="000F4CCC"/>
    <w:rsid w:val="000F4ECD"/>
    <w:rsid w:val="000F50EF"/>
    <w:rsid w:val="000F51AE"/>
    <w:rsid w:val="000F5644"/>
    <w:rsid w:val="000F597D"/>
    <w:rsid w:val="000F5D54"/>
    <w:rsid w:val="000F5DC7"/>
    <w:rsid w:val="000F5ED4"/>
    <w:rsid w:val="000F67DC"/>
    <w:rsid w:val="000F69E9"/>
    <w:rsid w:val="000F6A7E"/>
    <w:rsid w:val="000F6A85"/>
    <w:rsid w:val="000F6C3B"/>
    <w:rsid w:val="000F6CE8"/>
    <w:rsid w:val="000F6DE2"/>
    <w:rsid w:val="000F72AB"/>
    <w:rsid w:val="000F76F8"/>
    <w:rsid w:val="000F7A2A"/>
    <w:rsid w:val="000F7C74"/>
    <w:rsid w:val="000F7EB3"/>
    <w:rsid w:val="000F7F94"/>
    <w:rsid w:val="001001E3"/>
    <w:rsid w:val="001004C0"/>
    <w:rsid w:val="001005CF"/>
    <w:rsid w:val="00100A23"/>
    <w:rsid w:val="00100CB5"/>
    <w:rsid w:val="00100CF7"/>
    <w:rsid w:val="00100DF0"/>
    <w:rsid w:val="00100F2A"/>
    <w:rsid w:val="00101556"/>
    <w:rsid w:val="00101796"/>
    <w:rsid w:val="00101A98"/>
    <w:rsid w:val="00101AD5"/>
    <w:rsid w:val="00102266"/>
    <w:rsid w:val="001023D3"/>
    <w:rsid w:val="00102576"/>
    <w:rsid w:val="001026D2"/>
    <w:rsid w:val="001028DF"/>
    <w:rsid w:val="00102C30"/>
    <w:rsid w:val="00102DE7"/>
    <w:rsid w:val="001031B2"/>
    <w:rsid w:val="00103445"/>
    <w:rsid w:val="001034B9"/>
    <w:rsid w:val="00103685"/>
    <w:rsid w:val="0010381B"/>
    <w:rsid w:val="00103973"/>
    <w:rsid w:val="00103B8C"/>
    <w:rsid w:val="00103DE7"/>
    <w:rsid w:val="00103F9D"/>
    <w:rsid w:val="00104091"/>
    <w:rsid w:val="00104193"/>
    <w:rsid w:val="001045F1"/>
    <w:rsid w:val="001051C7"/>
    <w:rsid w:val="00105436"/>
    <w:rsid w:val="001054EA"/>
    <w:rsid w:val="00105BC1"/>
    <w:rsid w:val="00105C89"/>
    <w:rsid w:val="00105F7F"/>
    <w:rsid w:val="00106086"/>
    <w:rsid w:val="00106880"/>
    <w:rsid w:val="00107263"/>
    <w:rsid w:val="00107340"/>
    <w:rsid w:val="00107560"/>
    <w:rsid w:val="00110BA2"/>
    <w:rsid w:val="0011160B"/>
    <w:rsid w:val="00111C6E"/>
    <w:rsid w:val="00111DBA"/>
    <w:rsid w:val="00112046"/>
    <w:rsid w:val="0011216D"/>
    <w:rsid w:val="001121B7"/>
    <w:rsid w:val="00112621"/>
    <w:rsid w:val="00112CA7"/>
    <w:rsid w:val="00112D49"/>
    <w:rsid w:val="001135A8"/>
    <w:rsid w:val="001137EE"/>
    <w:rsid w:val="00113CBA"/>
    <w:rsid w:val="00113E30"/>
    <w:rsid w:val="00113FED"/>
    <w:rsid w:val="00114194"/>
    <w:rsid w:val="001142EE"/>
    <w:rsid w:val="00114478"/>
    <w:rsid w:val="001145AA"/>
    <w:rsid w:val="001145ED"/>
    <w:rsid w:val="0011488A"/>
    <w:rsid w:val="00114BB4"/>
    <w:rsid w:val="00115201"/>
    <w:rsid w:val="0011546D"/>
    <w:rsid w:val="001157FA"/>
    <w:rsid w:val="00115950"/>
    <w:rsid w:val="00115D1E"/>
    <w:rsid w:val="00115E5E"/>
    <w:rsid w:val="00116348"/>
    <w:rsid w:val="0011646D"/>
    <w:rsid w:val="001164B6"/>
    <w:rsid w:val="0011674E"/>
    <w:rsid w:val="00116B1D"/>
    <w:rsid w:val="00116BEA"/>
    <w:rsid w:val="00116D29"/>
    <w:rsid w:val="00116EE3"/>
    <w:rsid w:val="00116FD7"/>
    <w:rsid w:val="0011707F"/>
    <w:rsid w:val="0011720F"/>
    <w:rsid w:val="0011738D"/>
    <w:rsid w:val="00117519"/>
    <w:rsid w:val="00117766"/>
    <w:rsid w:val="0011796B"/>
    <w:rsid w:val="00117A1E"/>
    <w:rsid w:val="00117C7E"/>
    <w:rsid w:val="001203C1"/>
    <w:rsid w:val="0012072A"/>
    <w:rsid w:val="001208F9"/>
    <w:rsid w:val="00121D72"/>
    <w:rsid w:val="00121FC5"/>
    <w:rsid w:val="00122037"/>
    <w:rsid w:val="00122047"/>
    <w:rsid w:val="0012251B"/>
    <w:rsid w:val="0012260F"/>
    <w:rsid w:val="00122803"/>
    <w:rsid w:val="00122A14"/>
    <w:rsid w:val="00122CDC"/>
    <w:rsid w:val="00122D61"/>
    <w:rsid w:val="00122FC6"/>
    <w:rsid w:val="00123382"/>
    <w:rsid w:val="00123767"/>
    <w:rsid w:val="00123998"/>
    <w:rsid w:val="00123AD1"/>
    <w:rsid w:val="0012418C"/>
    <w:rsid w:val="00124249"/>
    <w:rsid w:val="00124684"/>
    <w:rsid w:val="00124716"/>
    <w:rsid w:val="00124762"/>
    <w:rsid w:val="001249BC"/>
    <w:rsid w:val="00124B3D"/>
    <w:rsid w:val="00124B70"/>
    <w:rsid w:val="0012507D"/>
    <w:rsid w:val="00125301"/>
    <w:rsid w:val="00125312"/>
    <w:rsid w:val="0012541C"/>
    <w:rsid w:val="001255B7"/>
    <w:rsid w:val="001258EA"/>
    <w:rsid w:val="001259CB"/>
    <w:rsid w:val="00125D36"/>
    <w:rsid w:val="001262B0"/>
    <w:rsid w:val="0012646C"/>
    <w:rsid w:val="0012661D"/>
    <w:rsid w:val="00126FE1"/>
    <w:rsid w:val="001271D4"/>
    <w:rsid w:val="0012723C"/>
    <w:rsid w:val="0012733D"/>
    <w:rsid w:val="001273F1"/>
    <w:rsid w:val="0012761C"/>
    <w:rsid w:val="00127695"/>
    <w:rsid w:val="0012785E"/>
    <w:rsid w:val="0012786F"/>
    <w:rsid w:val="0012794B"/>
    <w:rsid w:val="00127AC8"/>
    <w:rsid w:val="00127B0A"/>
    <w:rsid w:val="00127E24"/>
    <w:rsid w:val="0013036F"/>
    <w:rsid w:val="00130406"/>
    <w:rsid w:val="00130BD6"/>
    <w:rsid w:val="00130F0C"/>
    <w:rsid w:val="0013117C"/>
    <w:rsid w:val="001312E2"/>
    <w:rsid w:val="00131419"/>
    <w:rsid w:val="0013161D"/>
    <w:rsid w:val="00131716"/>
    <w:rsid w:val="00131913"/>
    <w:rsid w:val="00131B1C"/>
    <w:rsid w:val="00131D0F"/>
    <w:rsid w:val="00131F30"/>
    <w:rsid w:val="00131F9A"/>
    <w:rsid w:val="001323EF"/>
    <w:rsid w:val="00132885"/>
    <w:rsid w:val="00132FDD"/>
    <w:rsid w:val="00133166"/>
    <w:rsid w:val="0013334D"/>
    <w:rsid w:val="001333C2"/>
    <w:rsid w:val="001335E2"/>
    <w:rsid w:val="00133C04"/>
    <w:rsid w:val="00133CE7"/>
    <w:rsid w:val="00134420"/>
    <w:rsid w:val="00134425"/>
    <w:rsid w:val="0013482A"/>
    <w:rsid w:val="00134A9D"/>
    <w:rsid w:val="00134B25"/>
    <w:rsid w:val="00135314"/>
    <w:rsid w:val="001360EB"/>
    <w:rsid w:val="001361EF"/>
    <w:rsid w:val="00136F3F"/>
    <w:rsid w:val="00136FEF"/>
    <w:rsid w:val="001375C3"/>
    <w:rsid w:val="0013766C"/>
    <w:rsid w:val="00140655"/>
    <w:rsid w:val="00140B67"/>
    <w:rsid w:val="00140C21"/>
    <w:rsid w:val="00140CC5"/>
    <w:rsid w:val="00140D65"/>
    <w:rsid w:val="00140D90"/>
    <w:rsid w:val="001419E8"/>
    <w:rsid w:val="00141B0F"/>
    <w:rsid w:val="00141B13"/>
    <w:rsid w:val="00141DD5"/>
    <w:rsid w:val="00142209"/>
    <w:rsid w:val="00142453"/>
    <w:rsid w:val="00142D30"/>
    <w:rsid w:val="00143141"/>
    <w:rsid w:val="00143217"/>
    <w:rsid w:val="001432A2"/>
    <w:rsid w:val="00143312"/>
    <w:rsid w:val="001436E6"/>
    <w:rsid w:val="00143A35"/>
    <w:rsid w:val="00143AD8"/>
    <w:rsid w:val="00143AF6"/>
    <w:rsid w:val="00143B43"/>
    <w:rsid w:val="00143BE7"/>
    <w:rsid w:val="001440D7"/>
    <w:rsid w:val="00144449"/>
    <w:rsid w:val="001447AC"/>
    <w:rsid w:val="00144858"/>
    <w:rsid w:val="001449C7"/>
    <w:rsid w:val="00144E49"/>
    <w:rsid w:val="001450B1"/>
    <w:rsid w:val="00145366"/>
    <w:rsid w:val="00145848"/>
    <w:rsid w:val="0014589A"/>
    <w:rsid w:val="00145B57"/>
    <w:rsid w:val="00145D98"/>
    <w:rsid w:val="00145DF0"/>
    <w:rsid w:val="00145E39"/>
    <w:rsid w:val="001462D0"/>
    <w:rsid w:val="001467DD"/>
    <w:rsid w:val="00146A67"/>
    <w:rsid w:val="00146B2D"/>
    <w:rsid w:val="00146BD7"/>
    <w:rsid w:val="001470D7"/>
    <w:rsid w:val="0014763C"/>
    <w:rsid w:val="0014797B"/>
    <w:rsid w:val="001479B1"/>
    <w:rsid w:val="00147B5A"/>
    <w:rsid w:val="00147BB2"/>
    <w:rsid w:val="00147F8B"/>
    <w:rsid w:val="0015002D"/>
    <w:rsid w:val="001500BF"/>
    <w:rsid w:val="00150333"/>
    <w:rsid w:val="00150755"/>
    <w:rsid w:val="00150B3B"/>
    <w:rsid w:val="00151513"/>
    <w:rsid w:val="00151548"/>
    <w:rsid w:val="001516B8"/>
    <w:rsid w:val="00151708"/>
    <w:rsid w:val="00151AF7"/>
    <w:rsid w:val="00151CEF"/>
    <w:rsid w:val="00151CFE"/>
    <w:rsid w:val="00151D5A"/>
    <w:rsid w:val="00151ED4"/>
    <w:rsid w:val="00152181"/>
    <w:rsid w:val="0015223D"/>
    <w:rsid w:val="00152628"/>
    <w:rsid w:val="00152B14"/>
    <w:rsid w:val="00152B2A"/>
    <w:rsid w:val="001530D0"/>
    <w:rsid w:val="001530F6"/>
    <w:rsid w:val="0015320A"/>
    <w:rsid w:val="0015335A"/>
    <w:rsid w:val="00153754"/>
    <w:rsid w:val="001538A8"/>
    <w:rsid w:val="00153F01"/>
    <w:rsid w:val="0015430B"/>
    <w:rsid w:val="001545B5"/>
    <w:rsid w:val="001545C1"/>
    <w:rsid w:val="001549C1"/>
    <w:rsid w:val="00154DA1"/>
    <w:rsid w:val="00154DD1"/>
    <w:rsid w:val="00154EAA"/>
    <w:rsid w:val="00154F3B"/>
    <w:rsid w:val="001554DF"/>
    <w:rsid w:val="0015566D"/>
    <w:rsid w:val="00155795"/>
    <w:rsid w:val="00155D90"/>
    <w:rsid w:val="00156515"/>
    <w:rsid w:val="00156538"/>
    <w:rsid w:val="00156745"/>
    <w:rsid w:val="001569B3"/>
    <w:rsid w:val="00156CDE"/>
    <w:rsid w:val="00156F72"/>
    <w:rsid w:val="0015702C"/>
    <w:rsid w:val="00157082"/>
    <w:rsid w:val="001571C9"/>
    <w:rsid w:val="0015785B"/>
    <w:rsid w:val="0015790F"/>
    <w:rsid w:val="00157967"/>
    <w:rsid w:val="00157A66"/>
    <w:rsid w:val="00157BF6"/>
    <w:rsid w:val="00157E50"/>
    <w:rsid w:val="00157E67"/>
    <w:rsid w:val="00157FB1"/>
    <w:rsid w:val="001603DA"/>
    <w:rsid w:val="0016075A"/>
    <w:rsid w:val="00160763"/>
    <w:rsid w:val="001607EF"/>
    <w:rsid w:val="00160B10"/>
    <w:rsid w:val="00160B6B"/>
    <w:rsid w:val="00160DA0"/>
    <w:rsid w:val="00160ED1"/>
    <w:rsid w:val="0016131D"/>
    <w:rsid w:val="00161631"/>
    <w:rsid w:val="00161798"/>
    <w:rsid w:val="00161899"/>
    <w:rsid w:val="00161A1B"/>
    <w:rsid w:val="00161CBB"/>
    <w:rsid w:val="0016213C"/>
    <w:rsid w:val="0016257B"/>
    <w:rsid w:val="0016260D"/>
    <w:rsid w:val="001626B9"/>
    <w:rsid w:val="00162727"/>
    <w:rsid w:val="0016277B"/>
    <w:rsid w:val="00162EF1"/>
    <w:rsid w:val="00163036"/>
    <w:rsid w:val="0016355E"/>
    <w:rsid w:val="0016358A"/>
    <w:rsid w:val="00163BB7"/>
    <w:rsid w:val="00163DF2"/>
    <w:rsid w:val="00163EA8"/>
    <w:rsid w:val="00164231"/>
    <w:rsid w:val="00164291"/>
    <w:rsid w:val="001649C1"/>
    <w:rsid w:val="00164A79"/>
    <w:rsid w:val="00164AD3"/>
    <w:rsid w:val="00164B47"/>
    <w:rsid w:val="00164C3A"/>
    <w:rsid w:val="00164DDE"/>
    <w:rsid w:val="00164F66"/>
    <w:rsid w:val="00164FDE"/>
    <w:rsid w:val="00165109"/>
    <w:rsid w:val="00165236"/>
    <w:rsid w:val="0016554C"/>
    <w:rsid w:val="00165743"/>
    <w:rsid w:val="00165C84"/>
    <w:rsid w:val="00165F0F"/>
    <w:rsid w:val="00166021"/>
    <w:rsid w:val="00166118"/>
    <w:rsid w:val="00166478"/>
    <w:rsid w:val="0016680E"/>
    <w:rsid w:val="00166A28"/>
    <w:rsid w:val="00166C0D"/>
    <w:rsid w:val="00166D16"/>
    <w:rsid w:val="00166E1F"/>
    <w:rsid w:val="00167164"/>
    <w:rsid w:val="001672EC"/>
    <w:rsid w:val="00167542"/>
    <w:rsid w:val="001678E1"/>
    <w:rsid w:val="001678FF"/>
    <w:rsid w:val="00167B7A"/>
    <w:rsid w:val="00170544"/>
    <w:rsid w:val="001706B5"/>
    <w:rsid w:val="00170837"/>
    <w:rsid w:val="00170D1E"/>
    <w:rsid w:val="00170D5A"/>
    <w:rsid w:val="00170E74"/>
    <w:rsid w:val="0017110E"/>
    <w:rsid w:val="00171226"/>
    <w:rsid w:val="00171615"/>
    <w:rsid w:val="00171D34"/>
    <w:rsid w:val="00171E9F"/>
    <w:rsid w:val="00171EF1"/>
    <w:rsid w:val="0017248D"/>
    <w:rsid w:val="001728BA"/>
    <w:rsid w:val="00172C9F"/>
    <w:rsid w:val="00172CFA"/>
    <w:rsid w:val="00172E69"/>
    <w:rsid w:val="00172FFE"/>
    <w:rsid w:val="00173240"/>
    <w:rsid w:val="00173267"/>
    <w:rsid w:val="0017378D"/>
    <w:rsid w:val="0017385C"/>
    <w:rsid w:val="00173A00"/>
    <w:rsid w:val="00173B2D"/>
    <w:rsid w:val="00173B66"/>
    <w:rsid w:val="00173CEC"/>
    <w:rsid w:val="00173DFF"/>
    <w:rsid w:val="00173F77"/>
    <w:rsid w:val="001741BF"/>
    <w:rsid w:val="0017440D"/>
    <w:rsid w:val="001746EB"/>
    <w:rsid w:val="00174BA5"/>
    <w:rsid w:val="00175043"/>
    <w:rsid w:val="00175AA8"/>
    <w:rsid w:val="00175BF9"/>
    <w:rsid w:val="00175F8E"/>
    <w:rsid w:val="00176088"/>
    <w:rsid w:val="0017612F"/>
    <w:rsid w:val="001761F4"/>
    <w:rsid w:val="00176249"/>
    <w:rsid w:val="00176A22"/>
    <w:rsid w:val="00176BDA"/>
    <w:rsid w:val="00176ED6"/>
    <w:rsid w:val="00176F7C"/>
    <w:rsid w:val="001772A5"/>
    <w:rsid w:val="001774D9"/>
    <w:rsid w:val="00177788"/>
    <w:rsid w:val="00177AB0"/>
    <w:rsid w:val="00177BDB"/>
    <w:rsid w:val="0018003E"/>
    <w:rsid w:val="00180211"/>
    <w:rsid w:val="00180722"/>
    <w:rsid w:val="001807A1"/>
    <w:rsid w:val="001808BC"/>
    <w:rsid w:val="00180DB0"/>
    <w:rsid w:val="00180DDA"/>
    <w:rsid w:val="00180E15"/>
    <w:rsid w:val="00180F3F"/>
    <w:rsid w:val="0018112B"/>
    <w:rsid w:val="001813AD"/>
    <w:rsid w:val="0018165C"/>
    <w:rsid w:val="00182BF4"/>
    <w:rsid w:val="00182FD8"/>
    <w:rsid w:val="00183017"/>
    <w:rsid w:val="00183BCC"/>
    <w:rsid w:val="00183F71"/>
    <w:rsid w:val="001845C7"/>
    <w:rsid w:val="001845D1"/>
    <w:rsid w:val="00184B4C"/>
    <w:rsid w:val="00184C1E"/>
    <w:rsid w:val="00184C51"/>
    <w:rsid w:val="0018541B"/>
    <w:rsid w:val="001855E0"/>
    <w:rsid w:val="00185ACB"/>
    <w:rsid w:val="0018612D"/>
    <w:rsid w:val="00186176"/>
    <w:rsid w:val="001868A5"/>
    <w:rsid w:val="0018692C"/>
    <w:rsid w:val="001869F5"/>
    <w:rsid w:val="00186A99"/>
    <w:rsid w:val="00187725"/>
    <w:rsid w:val="00187B63"/>
    <w:rsid w:val="00187CDF"/>
    <w:rsid w:val="00187D63"/>
    <w:rsid w:val="00190502"/>
    <w:rsid w:val="001907DD"/>
    <w:rsid w:val="00191503"/>
    <w:rsid w:val="001917AF"/>
    <w:rsid w:val="0019195A"/>
    <w:rsid w:val="00191BEF"/>
    <w:rsid w:val="00191C1A"/>
    <w:rsid w:val="0019202B"/>
    <w:rsid w:val="001920BF"/>
    <w:rsid w:val="001921E2"/>
    <w:rsid w:val="00192B66"/>
    <w:rsid w:val="00192E56"/>
    <w:rsid w:val="00192F13"/>
    <w:rsid w:val="001931A0"/>
    <w:rsid w:val="001931D1"/>
    <w:rsid w:val="00193281"/>
    <w:rsid w:val="00193941"/>
    <w:rsid w:val="0019405A"/>
    <w:rsid w:val="001942D5"/>
    <w:rsid w:val="00194340"/>
    <w:rsid w:val="001945CA"/>
    <w:rsid w:val="0019522C"/>
    <w:rsid w:val="001952F2"/>
    <w:rsid w:val="001954FD"/>
    <w:rsid w:val="00195596"/>
    <w:rsid w:val="00195679"/>
    <w:rsid w:val="00195765"/>
    <w:rsid w:val="001957DC"/>
    <w:rsid w:val="00195D6D"/>
    <w:rsid w:val="00195EEE"/>
    <w:rsid w:val="0019610D"/>
    <w:rsid w:val="0019614D"/>
    <w:rsid w:val="00196DEA"/>
    <w:rsid w:val="00196E52"/>
    <w:rsid w:val="0019710F"/>
    <w:rsid w:val="00197979"/>
    <w:rsid w:val="0019797D"/>
    <w:rsid w:val="001979F1"/>
    <w:rsid w:val="00197A67"/>
    <w:rsid w:val="00197BD3"/>
    <w:rsid w:val="001A052C"/>
    <w:rsid w:val="001A0634"/>
    <w:rsid w:val="001A068C"/>
    <w:rsid w:val="001A06B5"/>
    <w:rsid w:val="001A06DE"/>
    <w:rsid w:val="001A08A5"/>
    <w:rsid w:val="001A08E0"/>
    <w:rsid w:val="001A09D6"/>
    <w:rsid w:val="001A0D72"/>
    <w:rsid w:val="001A0DD8"/>
    <w:rsid w:val="001A1277"/>
    <w:rsid w:val="001A1288"/>
    <w:rsid w:val="001A143E"/>
    <w:rsid w:val="001A14AD"/>
    <w:rsid w:val="001A1612"/>
    <w:rsid w:val="001A17CC"/>
    <w:rsid w:val="001A1A67"/>
    <w:rsid w:val="001A1BF9"/>
    <w:rsid w:val="001A1C8C"/>
    <w:rsid w:val="001A1D11"/>
    <w:rsid w:val="001A1F68"/>
    <w:rsid w:val="001A2EE5"/>
    <w:rsid w:val="001A3019"/>
    <w:rsid w:val="001A31AF"/>
    <w:rsid w:val="001A3339"/>
    <w:rsid w:val="001A3426"/>
    <w:rsid w:val="001A3497"/>
    <w:rsid w:val="001A34E1"/>
    <w:rsid w:val="001A35E2"/>
    <w:rsid w:val="001A3AC2"/>
    <w:rsid w:val="001A3B45"/>
    <w:rsid w:val="001A3EFE"/>
    <w:rsid w:val="001A426F"/>
    <w:rsid w:val="001A4985"/>
    <w:rsid w:val="001A4AA4"/>
    <w:rsid w:val="001A4EB4"/>
    <w:rsid w:val="001A4F7E"/>
    <w:rsid w:val="001A51EB"/>
    <w:rsid w:val="001A52DE"/>
    <w:rsid w:val="001A55A2"/>
    <w:rsid w:val="001A55EA"/>
    <w:rsid w:val="001A56D3"/>
    <w:rsid w:val="001A58F4"/>
    <w:rsid w:val="001A5931"/>
    <w:rsid w:val="001A5A17"/>
    <w:rsid w:val="001A5D6B"/>
    <w:rsid w:val="001A61ED"/>
    <w:rsid w:val="001A62C4"/>
    <w:rsid w:val="001A64CF"/>
    <w:rsid w:val="001A6537"/>
    <w:rsid w:val="001A6B79"/>
    <w:rsid w:val="001A6E43"/>
    <w:rsid w:val="001A6E4F"/>
    <w:rsid w:val="001A746A"/>
    <w:rsid w:val="001A74EA"/>
    <w:rsid w:val="001A7582"/>
    <w:rsid w:val="001A7747"/>
    <w:rsid w:val="001A796C"/>
    <w:rsid w:val="001A7A3D"/>
    <w:rsid w:val="001A7AF5"/>
    <w:rsid w:val="001B03D0"/>
    <w:rsid w:val="001B08E4"/>
    <w:rsid w:val="001B0EF5"/>
    <w:rsid w:val="001B10A6"/>
    <w:rsid w:val="001B118F"/>
    <w:rsid w:val="001B18AC"/>
    <w:rsid w:val="001B1968"/>
    <w:rsid w:val="001B1A11"/>
    <w:rsid w:val="001B203B"/>
    <w:rsid w:val="001B20EB"/>
    <w:rsid w:val="001B23E7"/>
    <w:rsid w:val="001B24D8"/>
    <w:rsid w:val="001B2783"/>
    <w:rsid w:val="001B27F5"/>
    <w:rsid w:val="001B28F1"/>
    <w:rsid w:val="001B2A01"/>
    <w:rsid w:val="001B2AEA"/>
    <w:rsid w:val="001B30E9"/>
    <w:rsid w:val="001B312D"/>
    <w:rsid w:val="001B3131"/>
    <w:rsid w:val="001B3134"/>
    <w:rsid w:val="001B35C9"/>
    <w:rsid w:val="001B3668"/>
    <w:rsid w:val="001B3A63"/>
    <w:rsid w:val="001B3DF0"/>
    <w:rsid w:val="001B4019"/>
    <w:rsid w:val="001B4057"/>
    <w:rsid w:val="001B4307"/>
    <w:rsid w:val="001B48D7"/>
    <w:rsid w:val="001B4DD4"/>
    <w:rsid w:val="001B4F7D"/>
    <w:rsid w:val="001B5099"/>
    <w:rsid w:val="001B522C"/>
    <w:rsid w:val="001B568F"/>
    <w:rsid w:val="001B57DE"/>
    <w:rsid w:val="001B5C97"/>
    <w:rsid w:val="001B643D"/>
    <w:rsid w:val="001B6450"/>
    <w:rsid w:val="001B6476"/>
    <w:rsid w:val="001B681D"/>
    <w:rsid w:val="001B6A51"/>
    <w:rsid w:val="001B6BCE"/>
    <w:rsid w:val="001B6D62"/>
    <w:rsid w:val="001B6DAD"/>
    <w:rsid w:val="001B6DDC"/>
    <w:rsid w:val="001B7140"/>
    <w:rsid w:val="001B7205"/>
    <w:rsid w:val="001B72BB"/>
    <w:rsid w:val="001B738D"/>
    <w:rsid w:val="001B74C5"/>
    <w:rsid w:val="001B7583"/>
    <w:rsid w:val="001B7629"/>
    <w:rsid w:val="001B790D"/>
    <w:rsid w:val="001B7DC7"/>
    <w:rsid w:val="001B7DDC"/>
    <w:rsid w:val="001B7F7D"/>
    <w:rsid w:val="001C0296"/>
    <w:rsid w:val="001C0449"/>
    <w:rsid w:val="001C0A30"/>
    <w:rsid w:val="001C0B9B"/>
    <w:rsid w:val="001C17C2"/>
    <w:rsid w:val="001C20C1"/>
    <w:rsid w:val="001C2572"/>
    <w:rsid w:val="001C28E5"/>
    <w:rsid w:val="001C2BB3"/>
    <w:rsid w:val="001C2FF8"/>
    <w:rsid w:val="001C30F8"/>
    <w:rsid w:val="001C35B3"/>
    <w:rsid w:val="001C37F0"/>
    <w:rsid w:val="001C38D4"/>
    <w:rsid w:val="001C3A6E"/>
    <w:rsid w:val="001C3B67"/>
    <w:rsid w:val="001C4042"/>
    <w:rsid w:val="001C4221"/>
    <w:rsid w:val="001C4514"/>
    <w:rsid w:val="001C4807"/>
    <w:rsid w:val="001C4A76"/>
    <w:rsid w:val="001C4D6A"/>
    <w:rsid w:val="001C54E5"/>
    <w:rsid w:val="001C5D86"/>
    <w:rsid w:val="001C5F2B"/>
    <w:rsid w:val="001C6141"/>
    <w:rsid w:val="001C6285"/>
    <w:rsid w:val="001C656A"/>
    <w:rsid w:val="001C6A67"/>
    <w:rsid w:val="001C6ECC"/>
    <w:rsid w:val="001C6FB0"/>
    <w:rsid w:val="001C70E9"/>
    <w:rsid w:val="001C71E6"/>
    <w:rsid w:val="001C733F"/>
    <w:rsid w:val="001C7827"/>
    <w:rsid w:val="001C78C8"/>
    <w:rsid w:val="001C7FF4"/>
    <w:rsid w:val="001D0441"/>
    <w:rsid w:val="001D06EC"/>
    <w:rsid w:val="001D09FF"/>
    <w:rsid w:val="001D0B25"/>
    <w:rsid w:val="001D0EE0"/>
    <w:rsid w:val="001D1150"/>
    <w:rsid w:val="001D12D6"/>
    <w:rsid w:val="001D18F2"/>
    <w:rsid w:val="001D19D4"/>
    <w:rsid w:val="001D1D87"/>
    <w:rsid w:val="001D1E51"/>
    <w:rsid w:val="001D2121"/>
    <w:rsid w:val="001D25E0"/>
    <w:rsid w:val="001D2922"/>
    <w:rsid w:val="001D29FE"/>
    <w:rsid w:val="001D30A8"/>
    <w:rsid w:val="001D3195"/>
    <w:rsid w:val="001D37F0"/>
    <w:rsid w:val="001D39E4"/>
    <w:rsid w:val="001D4506"/>
    <w:rsid w:val="001D505C"/>
    <w:rsid w:val="001D52A7"/>
    <w:rsid w:val="001D52CB"/>
    <w:rsid w:val="001D558C"/>
    <w:rsid w:val="001D5D27"/>
    <w:rsid w:val="001D5E2C"/>
    <w:rsid w:val="001D60A7"/>
    <w:rsid w:val="001D61DE"/>
    <w:rsid w:val="001D651F"/>
    <w:rsid w:val="001D65E8"/>
    <w:rsid w:val="001D686D"/>
    <w:rsid w:val="001D6BD3"/>
    <w:rsid w:val="001D7109"/>
    <w:rsid w:val="001D727F"/>
    <w:rsid w:val="001D7770"/>
    <w:rsid w:val="001D7D29"/>
    <w:rsid w:val="001E0413"/>
    <w:rsid w:val="001E0D5F"/>
    <w:rsid w:val="001E0FB2"/>
    <w:rsid w:val="001E0FD9"/>
    <w:rsid w:val="001E1068"/>
    <w:rsid w:val="001E10E2"/>
    <w:rsid w:val="001E147C"/>
    <w:rsid w:val="001E15E7"/>
    <w:rsid w:val="001E18A3"/>
    <w:rsid w:val="001E18B2"/>
    <w:rsid w:val="001E1E95"/>
    <w:rsid w:val="001E271E"/>
    <w:rsid w:val="001E2E8F"/>
    <w:rsid w:val="001E326C"/>
    <w:rsid w:val="001E3501"/>
    <w:rsid w:val="001E35F3"/>
    <w:rsid w:val="001E37BA"/>
    <w:rsid w:val="001E3876"/>
    <w:rsid w:val="001E3E2B"/>
    <w:rsid w:val="001E3E46"/>
    <w:rsid w:val="001E40F1"/>
    <w:rsid w:val="001E47FD"/>
    <w:rsid w:val="001E48CC"/>
    <w:rsid w:val="001E48F5"/>
    <w:rsid w:val="001E499F"/>
    <w:rsid w:val="001E4A7B"/>
    <w:rsid w:val="001E517A"/>
    <w:rsid w:val="001E548D"/>
    <w:rsid w:val="001E56B4"/>
    <w:rsid w:val="001E57AD"/>
    <w:rsid w:val="001E5FC4"/>
    <w:rsid w:val="001E64FA"/>
    <w:rsid w:val="001E6600"/>
    <w:rsid w:val="001E6C4B"/>
    <w:rsid w:val="001E7445"/>
    <w:rsid w:val="001E7493"/>
    <w:rsid w:val="001E7664"/>
    <w:rsid w:val="001E7730"/>
    <w:rsid w:val="001E7989"/>
    <w:rsid w:val="001E7BD2"/>
    <w:rsid w:val="001E7D57"/>
    <w:rsid w:val="001E7DA0"/>
    <w:rsid w:val="001E7DC5"/>
    <w:rsid w:val="001E7F4E"/>
    <w:rsid w:val="001F036D"/>
    <w:rsid w:val="001F0451"/>
    <w:rsid w:val="001F07D8"/>
    <w:rsid w:val="001F0C0C"/>
    <w:rsid w:val="001F12EB"/>
    <w:rsid w:val="001F1D1E"/>
    <w:rsid w:val="001F1D25"/>
    <w:rsid w:val="001F1F05"/>
    <w:rsid w:val="001F20B3"/>
    <w:rsid w:val="001F263B"/>
    <w:rsid w:val="001F263C"/>
    <w:rsid w:val="001F2983"/>
    <w:rsid w:val="001F3280"/>
    <w:rsid w:val="001F343A"/>
    <w:rsid w:val="001F35D4"/>
    <w:rsid w:val="001F36A1"/>
    <w:rsid w:val="001F37A5"/>
    <w:rsid w:val="001F396E"/>
    <w:rsid w:val="001F4364"/>
    <w:rsid w:val="001F4549"/>
    <w:rsid w:val="001F473E"/>
    <w:rsid w:val="001F489D"/>
    <w:rsid w:val="001F4A45"/>
    <w:rsid w:val="001F4A73"/>
    <w:rsid w:val="001F4B74"/>
    <w:rsid w:val="001F4CB5"/>
    <w:rsid w:val="001F4F9D"/>
    <w:rsid w:val="001F50F5"/>
    <w:rsid w:val="001F517B"/>
    <w:rsid w:val="001F5464"/>
    <w:rsid w:val="001F55C9"/>
    <w:rsid w:val="001F59C9"/>
    <w:rsid w:val="001F5A21"/>
    <w:rsid w:val="001F5EEA"/>
    <w:rsid w:val="001F6C6C"/>
    <w:rsid w:val="001F728E"/>
    <w:rsid w:val="001F72FA"/>
    <w:rsid w:val="001F746E"/>
    <w:rsid w:val="001F7628"/>
    <w:rsid w:val="001F7DFC"/>
    <w:rsid w:val="001F7F45"/>
    <w:rsid w:val="00200131"/>
    <w:rsid w:val="00200795"/>
    <w:rsid w:val="00200EB7"/>
    <w:rsid w:val="00201258"/>
    <w:rsid w:val="00201620"/>
    <w:rsid w:val="0020168E"/>
    <w:rsid w:val="00201719"/>
    <w:rsid w:val="0020173C"/>
    <w:rsid w:val="00201B35"/>
    <w:rsid w:val="00201C75"/>
    <w:rsid w:val="002020E7"/>
    <w:rsid w:val="0020224D"/>
    <w:rsid w:val="002024CC"/>
    <w:rsid w:val="00202535"/>
    <w:rsid w:val="00202C0B"/>
    <w:rsid w:val="00203185"/>
    <w:rsid w:val="002032A3"/>
    <w:rsid w:val="002037AE"/>
    <w:rsid w:val="002037B6"/>
    <w:rsid w:val="002037D4"/>
    <w:rsid w:val="00203C45"/>
    <w:rsid w:val="00203E4D"/>
    <w:rsid w:val="00203F68"/>
    <w:rsid w:val="00204042"/>
    <w:rsid w:val="002040BE"/>
    <w:rsid w:val="002044AE"/>
    <w:rsid w:val="002044B6"/>
    <w:rsid w:val="00204631"/>
    <w:rsid w:val="002048E6"/>
    <w:rsid w:val="0020490E"/>
    <w:rsid w:val="00204B39"/>
    <w:rsid w:val="00205301"/>
    <w:rsid w:val="00205465"/>
    <w:rsid w:val="002058FE"/>
    <w:rsid w:val="002059BD"/>
    <w:rsid w:val="002059D6"/>
    <w:rsid w:val="00205AB7"/>
    <w:rsid w:val="00205FF8"/>
    <w:rsid w:val="0020622E"/>
    <w:rsid w:val="00206DF1"/>
    <w:rsid w:val="00206FFD"/>
    <w:rsid w:val="0020745D"/>
    <w:rsid w:val="00207DE3"/>
    <w:rsid w:val="00207E70"/>
    <w:rsid w:val="00210071"/>
    <w:rsid w:val="00210640"/>
    <w:rsid w:val="00210B69"/>
    <w:rsid w:val="002111A4"/>
    <w:rsid w:val="0021163D"/>
    <w:rsid w:val="00211676"/>
    <w:rsid w:val="00211718"/>
    <w:rsid w:val="00212197"/>
    <w:rsid w:val="00212364"/>
    <w:rsid w:val="00212846"/>
    <w:rsid w:val="00212B84"/>
    <w:rsid w:val="00212CF2"/>
    <w:rsid w:val="00213490"/>
    <w:rsid w:val="0021362B"/>
    <w:rsid w:val="002139DC"/>
    <w:rsid w:val="00213B33"/>
    <w:rsid w:val="002145E7"/>
    <w:rsid w:val="00214C3F"/>
    <w:rsid w:val="00214DA1"/>
    <w:rsid w:val="0021517D"/>
    <w:rsid w:val="00215241"/>
    <w:rsid w:val="002152CA"/>
    <w:rsid w:val="0021531B"/>
    <w:rsid w:val="00215323"/>
    <w:rsid w:val="00215554"/>
    <w:rsid w:val="0021569D"/>
    <w:rsid w:val="0021577E"/>
    <w:rsid w:val="00215AB4"/>
    <w:rsid w:val="00215C02"/>
    <w:rsid w:val="00215CE8"/>
    <w:rsid w:val="00216065"/>
    <w:rsid w:val="0021633F"/>
    <w:rsid w:val="00216542"/>
    <w:rsid w:val="0021689A"/>
    <w:rsid w:val="00216D6F"/>
    <w:rsid w:val="00216F25"/>
    <w:rsid w:val="00217016"/>
    <w:rsid w:val="00217042"/>
    <w:rsid w:val="0021734B"/>
    <w:rsid w:val="002175A8"/>
    <w:rsid w:val="002176CA"/>
    <w:rsid w:val="002177BB"/>
    <w:rsid w:val="00217B95"/>
    <w:rsid w:val="00217DD9"/>
    <w:rsid w:val="00220051"/>
    <w:rsid w:val="00220076"/>
    <w:rsid w:val="002202BB"/>
    <w:rsid w:val="00220371"/>
    <w:rsid w:val="002205F4"/>
    <w:rsid w:val="0022084C"/>
    <w:rsid w:val="00220974"/>
    <w:rsid w:val="00220A8A"/>
    <w:rsid w:val="00220E69"/>
    <w:rsid w:val="00221754"/>
    <w:rsid w:val="002219A2"/>
    <w:rsid w:val="00221B8E"/>
    <w:rsid w:val="00221CDE"/>
    <w:rsid w:val="00221DCF"/>
    <w:rsid w:val="00221E07"/>
    <w:rsid w:val="00222193"/>
    <w:rsid w:val="0022224A"/>
    <w:rsid w:val="00222A62"/>
    <w:rsid w:val="00222D12"/>
    <w:rsid w:val="00222E8B"/>
    <w:rsid w:val="00222FA8"/>
    <w:rsid w:val="00223005"/>
    <w:rsid w:val="00223166"/>
    <w:rsid w:val="00223354"/>
    <w:rsid w:val="00223369"/>
    <w:rsid w:val="00223F44"/>
    <w:rsid w:val="00224465"/>
    <w:rsid w:val="00224615"/>
    <w:rsid w:val="00224974"/>
    <w:rsid w:val="002249F3"/>
    <w:rsid w:val="00224DF8"/>
    <w:rsid w:val="00224F02"/>
    <w:rsid w:val="00224F16"/>
    <w:rsid w:val="002252AA"/>
    <w:rsid w:val="002260F4"/>
    <w:rsid w:val="00226519"/>
    <w:rsid w:val="002269C0"/>
    <w:rsid w:val="00226A3F"/>
    <w:rsid w:val="00226E73"/>
    <w:rsid w:val="00226E84"/>
    <w:rsid w:val="002272B2"/>
    <w:rsid w:val="00227978"/>
    <w:rsid w:val="00227B6D"/>
    <w:rsid w:val="002304D3"/>
    <w:rsid w:val="002307F4"/>
    <w:rsid w:val="00230B4E"/>
    <w:rsid w:val="00231356"/>
    <w:rsid w:val="002314C4"/>
    <w:rsid w:val="0023156D"/>
    <w:rsid w:val="0023195A"/>
    <w:rsid w:val="0023195B"/>
    <w:rsid w:val="00232155"/>
    <w:rsid w:val="002324D0"/>
    <w:rsid w:val="00232618"/>
    <w:rsid w:val="00232EB1"/>
    <w:rsid w:val="00232ED6"/>
    <w:rsid w:val="00232F06"/>
    <w:rsid w:val="00232F3F"/>
    <w:rsid w:val="00232FE4"/>
    <w:rsid w:val="00233527"/>
    <w:rsid w:val="00233885"/>
    <w:rsid w:val="00233973"/>
    <w:rsid w:val="00233B6B"/>
    <w:rsid w:val="00233BE8"/>
    <w:rsid w:val="00233C8D"/>
    <w:rsid w:val="0023410F"/>
    <w:rsid w:val="0023428A"/>
    <w:rsid w:val="00234422"/>
    <w:rsid w:val="0023473E"/>
    <w:rsid w:val="002349B0"/>
    <w:rsid w:val="00234C80"/>
    <w:rsid w:val="00234F25"/>
    <w:rsid w:val="002353C7"/>
    <w:rsid w:val="00235EB4"/>
    <w:rsid w:val="002360C2"/>
    <w:rsid w:val="0023620C"/>
    <w:rsid w:val="002362AC"/>
    <w:rsid w:val="00236308"/>
    <w:rsid w:val="00236563"/>
    <w:rsid w:val="0023676C"/>
    <w:rsid w:val="002368C4"/>
    <w:rsid w:val="002369D3"/>
    <w:rsid w:val="00236A51"/>
    <w:rsid w:val="00237266"/>
    <w:rsid w:val="002374D7"/>
    <w:rsid w:val="002375CC"/>
    <w:rsid w:val="0023781D"/>
    <w:rsid w:val="00237909"/>
    <w:rsid w:val="00237D25"/>
    <w:rsid w:val="00237EB4"/>
    <w:rsid w:val="0024023F"/>
    <w:rsid w:val="0024043E"/>
    <w:rsid w:val="00240658"/>
    <w:rsid w:val="00240EF3"/>
    <w:rsid w:val="00241442"/>
    <w:rsid w:val="0024151F"/>
    <w:rsid w:val="0024175A"/>
    <w:rsid w:val="00241769"/>
    <w:rsid w:val="00241B68"/>
    <w:rsid w:val="002421E2"/>
    <w:rsid w:val="0024248A"/>
    <w:rsid w:val="00242650"/>
    <w:rsid w:val="0024269D"/>
    <w:rsid w:val="00242B38"/>
    <w:rsid w:val="00242DD4"/>
    <w:rsid w:val="00242F6B"/>
    <w:rsid w:val="00243021"/>
    <w:rsid w:val="00243390"/>
    <w:rsid w:val="002433AC"/>
    <w:rsid w:val="00243429"/>
    <w:rsid w:val="00243ABD"/>
    <w:rsid w:val="00243EA5"/>
    <w:rsid w:val="0024404F"/>
    <w:rsid w:val="002446C8"/>
    <w:rsid w:val="00244C05"/>
    <w:rsid w:val="00244CAB"/>
    <w:rsid w:val="00244DC0"/>
    <w:rsid w:val="00244FFF"/>
    <w:rsid w:val="00245009"/>
    <w:rsid w:val="002451EE"/>
    <w:rsid w:val="002456E0"/>
    <w:rsid w:val="00246A54"/>
    <w:rsid w:val="00246E7B"/>
    <w:rsid w:val="00246F65"/>
    <w:rsid w:val="00247210"/>
    <w:rsid w:val="00247281"/>
    <w:rsid w:val="002476A5"/>
    <w:rsid w:val="0024799E"/>
    <w:rsid w:val="00247CF6"/>
    <w:rsid w:val="00247E48"/>
    <w:rsid w:val="00250180"/>
    <w:rsid w:val="00250463"/>
    <w:rsid w:val="002509A9"/>
    <w:rsid w:val="00250A3D"/>
    <w:rsid w:val="00250AF5"/>
    <w:rsid w:val="00251221"/>
    <w:rsid w:val="002513D5"/>
    <w:rsid w:val="0025148D"/>
    <w:rsid w:val="00251507"/>
    <w:rsid w:val="00251910"/>
    <w:rsid w:val="00251943"/>
    <w:rsid w:val="00251A31"/>
    <w:rsid w:val="00251B3F"/>
    <w:rsid w:val="00251B41"/>
    <w:rsid w:val="0025211C"/>
    <w:rsid w:val="00252420"/>
    <w:rsid w:val="00252646"/>
    <w:rsid w:val="002526CD"/>
    <w:rsid w:val="0025278B"/>
    <w:rsid w:val="0025299F"/>
    <w:rsid w:val="00252C88"/>
    <w:rsid w:val="00253057"/>
    <w:rsid w:val="0025305B"/>
    <w:rsid w:val="002533FF"/>
    <w:rsid w:val="00253608"/>
    <w:rsid w:val="002537E8"/>
    <w:rsid w:val="00253990"/>
    <w:rsid w:val="00253A9E"/>
    <w:rsid w:val="00253E8B"/>
    <w:rsid w:val="00253EC7"/>
    <w:rsid w:val="00254147"/>
    <w:rsid w:val="00254163"/>
    <w:rsid w:val="0025418B"/>
    <w:rsid w:val="002544DB"/>
    <w:rsid w:val="0025455A"/>
    <w:rsid w:val="0025476D"/>
    <w:rsid w:val="00254986"/>
    <w:rsid w:val="00254B5A"/>
    <w:rsid w:val="00254B63"/>
    <w:rsid w:val="00255076"/>
    <w:rsid w:val="00255217"/>
    <w:rsid w:val="00255281"/>
    <w:rsid w:val="00255583"/>
    <w:rsid w:val="00255748"/>
    <w:rsid w:val="002557E2"/>
    <w:rsid w:val="0025599A"/>
    <w:rsid w:val="00255AD6"/>
    <w:rsid w:val="00255F63"/>
    <w:rsid w:val="0025640F"/>
    <w:rsid w:val="002566DE"/>
    <w:rsid w:val="00256844"/>
    <w:rsid w:val="00256D0A"/>
    <w:rsid w:val="00256DC2"/>
    <w:rsid w:val="00257392"/>
    <w:rsid w:val="0025773A"/>
    <w:rsid w:val="002579A5"/>
    <w:rsid w:val="00257B0D"/>
    <w:rsid w:val="00257CDD"/>
    <w:rsid w:val="00257E0C"/>
    <w:rsid w:val="0025C3BC"/>
    <w:rsid w:val="002600ED"/>
    <w:rsid w:val="00260372"/>
    <w:rsid w:val="00260D9F"/>
    <w:rsid w:val="00260EA6"/>
    <w:rsid w:val="00260F7C"/>
    <w:rsid w:val="002610ED"/>
    <w:rsid w:val="00261179"/>
    <w:rsid w:val="00261221"/>
    <w:rsid w:val="0026147A"/>
    <w:rsid w:val="00261517"/>
    <w:rsid w:val="0026157C"/>
    <w:rsid w:val="00261872"/>
    <w:rsid w:val="002618BD"/>
    <w:rsid w:val="00261F39"/>
    <w:rsid w:val="00261F70"/>
    <w:rsid w:val="00262124"/>
    <w:rsid w:val="00262457"/>
    <w:rsid w:val="00262605"/>
    <w:rsid w:val="002629EC"/>
    <w:rsid w:val="00262C5E"/>
    <w:rsid w:val="00263694"/>
    <w:rsid w:val="00263716"/>
    <w:rsid w:val="00263744"/>
    <w:rsid w:val="002639BB"/>
    <w:rsid w:val="00263E8F"/>
    <w:rsid w:val="00263EC1"/>
    <w:rsid w:val="00263FA3"/>
    <w:rsid w:val="00264499"/>
    <w:rsid w:val="00264531"/>
    <w:rsid w:val="0026463F"/>
    <w:rsid w:val="002646A8"/>
    <w:rsid w:val="00264AE1"/>
    <w:rsid w:val="00264B00"/>
    <w:rsid w:val="00264C6A"/>
    <w:rsid w:val="0026527F"/>
    <w:rsid w:val="00265A39"/>
    <w:rsid w:val="00265A66"/>
    <w:rsid w:val="00265FE6"/>
    <w:rsid w:val="00266019"/>
    <w:rsid w:val="0026662A"/>
    <w:rsid w:val="002668C3"/>
    <w:rsid w:val="00266DAC"/>
    <w:rsid w:val="00266ECC"/>
    <w:rsid w:val="00266F39"/>
    <w:rsid w:val="002672EB"/>
    <w:rsid w:val="002674DA"/>
    <w:rsid w:val="002675E2"/>
    <w:rsid w:val="002701DD"/>
    <w:rsid w:val="00270A4D"/>
    <w:rsid w:val="00270D23"/>
    <w:rsid w:val="00271CCB"/>
    <w:rsid w:val="002721C1"/>
    <w:rsid w:val="002721DC"/>
    <w:rsid w:val="002724F7"/>
    <w:rsid w:val="0027288D"/>
    <w:rsid w:val="002729A8"/>
    <w:rsid w:val="002729B6"/>
    <w:rsid w:val="00272D74"/>
    <w:rsid w:val="00272EFC"/>
    <w:rsid w:val="00272F5D"/>
    <w:rsid w:val="00272FDB"/>
    <w:rsid w:val="00273783"/>
    <w:rsid w:val="002740C9"/>
    <w:rsid w:val="0027441D"/>
    <w:rsid w:val="00274524"/>
    <w:rsid w:val="00274776"/>
    <w:rsid w:val="002747C7"/>
    <w:rsid w:val="00274979"/>
    <w:rsid w:val="00274A32"/>
    <w:rsid w:val="00275528"/>
    <w:rsid w:val="002757C9"/>
    <w:rsid w:val="0027588B"/>
    <w:rsid w:val="00275B07"/>
    <w:rsid w:val="00276251"/>
    <w:rsid w:val="00276391"/>
    <w:rsid w:val="0027659B"/>
    <w:rsid w:val="002766B0"/>
    <w:rsid w:val="0027673E"/>
    <w:rsid w:val="00276920"/>
    <w:rsid w:val="00276AD6"/>
    <w:rsid w:val="00277912"/>
    <w:rsid w:val="00277AF8"/>
    <w:rsid w:val="00277DF7"/>
    <w:rsid w:val="002801FD"/>
    <w:rsid w:val="002805EA"/>
    <w:rsid w:val="002806CC"/>
    <w:rsid w:val="00280801"/>
    <w:rsid w:val="0028090B"/>
    <w:rsid w:val="00280C42"/>
    <w:rsid w:val="00280CBB"/>
    <w:rsid w:val="00281096"/>
    <w:rsid w:val="002818DD"/>
    <w:rsid w:val="00281966"/>
    <w:rsid w:val="00281D48"/>
    <w:rsid w:val="00281D88"/>
    <w:rsid w:val="00281FE9"/>
    <w:rsid w:val="002820D2"/>
    <w:rsid w:val="002823F9"/>
    <w:rsid w:val="00282582"/>
    <w:rsid w:val="0028287A"/>
    <w:rsid w:val="00282D90"/>
    <w:rsid w:val="00282DA0"/>
    <w:rsid w:val="00282DD4"/>
    <w:rsid w:val="00282E4C"/>
    <w:rsid w:val="00283A4B"/>
    <w:rsid w:val="00283C22"/>
    <w:rsid w:val="00284074"/>
    <w:rsid w:val="0028412B"/>
    <w:rsid w:val="00284348"/>
    <w:rsid w:val="00284D63"/>
    <w:rsid w:val="00284D91"/>
    <w:rsid w:val="0028512A"/>
    <w:rsid w:val="00285307"/>
    <w:rsid w:val="00285436"/>
    <w:rsid w:val="00285587"/>
    <w:rsid w:val="00285855"/>
    <w:rsid w:val="00285972"/>
    <w:rsid w:val="00285A34"/>
    <w:rsid w:val="00285DFD"/>
    <w:rsid w:val="00285E32"/>
    <w:rsid w:val="002862CA"/>
    <w:rsid w:val="00286521"/>
    <w:rsid w:val="00286BBD"/>
    <w:rsid w:val="00286D78"/>
    <w:rsid w:val="00286D96"/>
    <w:rsid w:val="00286D99"/>
    <w:rsid w:val="00286DBE"/>
    <w:rsid w:val="00286F37"/>
    <w:rsid w:val="002874A5"/>
    <w:rsid w:val="00287A65"/>
    <w:rsid w:val="00287ACA"/>
    <w:rsid w:val="00287BFE"/>
    <w:rsid w:val="00287D59"/>
    <w:rsid w:val="00287FA6"/>
    <w:rsid w:val="0029006B"/>
    <w:rsid w:val="00290477"/>
    <w:rsid w:val="002904D9"/>
    <w:rsid w:val="00290D1F"/>
    <w:rsid w:val="0029123F"/>
    <w:rsid w:val="00291C71"/>
    <w:rsid w:val="00292C59"/>
    <w:rsid w:val="002935EB"/>
    <w:rsid w:val="0029362E"/>
    <w:rsid w:val="002938A7"/>
    <w:rsid w:val="002938CA"/>
    <w:rsid w:val="00293940"/>
    <w:rsid w:val="00293A55"/>
    <w:rsid w:val="00293B04"/>
    <w:rsid w:val="00293C4D"/>
    <w:rsid w:val="00293DFD"/>
    <w:rsid w:val="002940F0"/>
    <w:rsid w:val="002941E3"/>
    <w:rsid w:val="00294261"/>
    <w:rsid w:val="00294758"/>
    <w:rsid w:val="00294940"/>
    <w:rsid w:val="00294EC0"/>
    <w:rsid w:val="00294F7C"/>
    <w:rsid w:val="00295068"/>
    <w:rsid w:val="00295349"/>
    <w:rsid w:val="002954B9"/>
    <w:rsid w:val="002957E6"/>
    <w:rsid w:val="002959EC"/>
    <w:rsid w:val="00295CDF"/>
    <w:rsid w:val="00295F02"/>
    <w:rsid w:val="0029601D"/>
    <w:rsid w:val="002968E7"/>
    <w:rsid w:val="0029691D"/>
    <w:rsid w:val="00296CAB"/>
    <w:rsid w:val="0029705F"/>
    <w:rsid w:val="002970CD"/>
    <w:rsid w:val="002971AA"/>
    <w:rsid w:val="0029732B"/>
    <w:rsid w:val="00297549"/>
    <w:rsid w:val="00297C8A"/>
    <w:rsid w:val="00297CD0"/>
    <w:rsid w:val="00297E00"/>
    <w:rsid w:val="002A015F"/>
    <w:rsid w:val="002A02EE"/>
    <w:rsid w:val="002A0536"/>
    <w:rsid w:val="002A090D"/>
    <w:rsid w:val="002A0972"/>
    <w:rsid w:val="002A0A6A"/>
    <w:rsid w:val="002A0B4E"/>
    <w:rsid w:val="002A0C4F"/>
    <w:rsid w:val="002A125F"/>
    <w:rsid w:val="002A12D1"/>
    <w:rsid w:val="002A1462"/>
    <w:rsid w:val="002A1708"/>
    <w:rsid w:val="002A193D"/>
    <w:rsid w:val="002A1D89"/>
    <w:rsid w:val="002A1DEC"/>
    <w:rsid w:val="002A2136"/>
    <w:rsid w:val="002A2166"/>
    <w:rsid w:val="002A2799"/>
    <w:rsid w:val="002A2FDC"/>
    <w:rsid w:val="002A3135"/>
    <w:rsid w:val="002A3151"/>
    <w:rsid w:val="002A34CE"/>
    <w:rsid w:val="002A3627"/>
    <w:rsid w:val="002A394B"/>
    <w:rsid w:val="002A3EF7"/>
    <w:rsid w:val="002A42FC"/>
    <w:rsid w:val="002A4556"/>
    <w:rsid w:val="002A494F"/>
    <w:rsid w:val="002A4B6E"/>
    <w:rsid w:val="002A512B"/>
    <w:rsid w:val="002A52D7"/>
    <w:rsid w:val="002A5705"/>
    <w:rsid w:val="002A59EC"/>
    <w:rsid w:val="002A5B7C"/>
    <w:rsid w:val="002A5BBD"/>
    <w:rsid w:val="002A6BC9"/>
    <w:rsid w:val="002A6BDC"/>
    <w:rsid w:val="002A6E6C"/>
    <w:rsid w:val="002A6FA1"/>
    <w:rsid w:val="002A7736"/>
    <w:rsid w:val="002A7750"/>
    <w:rsid w:val="002A781E"/>
    <w:rsid w:val="002B075D"/>
    <w:rsid w:val="002B0833"/>
    <w:rsid w:val="002B09A8"/>
    <w:rsid w:val="002B0A4E"/>
    <w:rsid w:val="002B0A97"/>
    <w:rsid w:val="002B0ACA"/>
    <w:rsid w:val="002B0F9B"/>
    <w:rsid w:val="002B102E"/>
    <w:rsid w:val="002B1494"/>
    <w:rsid w:val="002B16A3"/>
    <w:rsid w:val="002B195A"/>
    <w:rsid w:val="002B1A59"/>
    <w:rsid w:val="002B1D16"/>
    <w:rsid w:val="002B1D27"/>
    <w:rsid w:val="002B1E1B"/>
    <w:rsid w:val="002B2956"/>
    <w:rsid w:val="002B2F1E"/>
    <w:rsid w:val="002B31BE"/>
    <w:rsid w:val="002B323B"/>
    <w:rsid w:val="002B3384"/>
    <w:rsid w:val="002B33D5"/>
    <w:rsid w:val="002B37E3"/>
    <w:rsid w:val="002B3CC0"/>
    <w:rsid w:val="002B44F9"/>
    <w:rsid w:val="002B4911"/>
    <w:rsid w:val="002B49A7"/>
    <w:rsid w:val="002B4BA1"/>
    <w:rsid w:val="002B4DA1"/>
    <w:rsid w:val="002B4F78"/>
    <w:rsid w:val="002B5432"/>
    <w:rsid w:val="002B56E9"/>
    <w:rsid w:val="002B5AB3"/>
    <w:rsid w:val="002B6276"/>
    <w:rsid w:val="002B6542"/>
    <w:rsid w:val="002B72C9"/>
    <w:rsid w:val="002B757A"/>
    <w:rsid w:val="002B7C69"/>
    <w:rsid w:val="002B7E47"/>
    <w:rsid w:val="002B7F3B"/>
    <w:rsid w:val="002C01CD"/>
    <w:rsid w:val="002C05AA"/>
    <w:rsid w:val="002C087D"/>
    <w:rsid w:val="002C0F67"/>
    <w:rsid w:val="002C1131"/>
    <w:rsid w:val="002C1469"/>
    <w:rsid w:val="002C15D4"/>
    <w:rsid w:val="002C172B"/>
    <w:rsid w:val="002C19E8"/>
    <w:rsid w:val="002C1CFA"/>
    <w:rsid w:val="002C1DAB"/>
    <w:rsid w:val="002C25D5"/>
    <w:rsid w:val="002C2687"/>
    <w:rsid w:val="002C26F9"/>
    <w:rsid w:val="002C2B1A"/>
    <w:rsid w:val="002C2DB9"/>
    <w:rsid w:val="002C3107"/>
    <w:rsid w:val="002C31B0"/>
    <w:rsid w:val="002C336F"/>
    <w:rsid w:val="002C34C2"/>
    <w:rsid w:val="002C36B2"/>
    <w:rsid w:val="002C36B4"/>
    <w:rsid w:val="002C3910"/>
    <w:rsid w:val="002C3949"/>
    <w:rsid w:val="002C39CD"/>
    <w:rsid w:val="002C3A8F"/>
    <w:rsid w:val="002C3AED"/>
    <w:rsid w:val="002C42CC"/>
    <w:rsid w:val="002C43B0"/>
    <w:rsid w:val="002C459E"/>
    <w:rsid w:val="002C45AE"/>
    <w:rsid w:val="002C5296"/>
    <w:rsid w:val="002C55B1"/>
    <w:rsid w:val="002C5892"/>
    <w:rsid w:val="002C58E2"/>
    <w:rsid w:val="002C5950"/>
    <w:rsid w:val="002C5D01"/>
    <w:rsid w:val="002C5FC8"/>
    <w:rsid w:val="002C6362"/>
    <w:rsid w:val="002C675F"/>
    <w:rsid w:val="002C68E0"/>
    <w:rsid w:val="002C6CE2"/>
    <w:rsid w:val="002C705F"/>
    <w:rsid w:val="002C70A0"/>
    <w:rsid w:val="002C73A2"/>
    <w:rsid w:val="002C7446"/>
    <w:rsid w:val="002C74BF"/>
    <w:rsid w:val="002C76A6"/>
    <w:rsid w:val="002C7CC5"/>
    <w:rsid w:val="002D0225"/>
    <w:rsid w:val="002D0D81"/>
    <w:rsid w:val="002D0F69"/>
    <w:rsid w:val="002D11AC"/>
    <w:rsid w:val="002D15E8"/>
    <w:rsid w:val="002D1782"/>
    <w:rsid w:val="002D1C23"/>
    <w:rsid w:val="002D2160"/>
    <w:rsid w:val="002D2441"/>
    <w:rsid w:val="002D2AD1"/>
    <w:rsid w:val="002D2AF6"/>
    <w:rsid w:val="002D2B3C"/>
    <w:rsid w:val="002D2CA2"/>
    <w:rsid w:val="002D2D20"/>
    <w:rsid w:val="002D2ECD"/>
    <w:rsid w:val="002D3042"/>
    <w:rsid w:val="002D304D"/>
    <w:rsid w:val="002D3121"/>
    <w:rsid w:val="002D3144"/>
    <w:rsid w:val="002D370D"/>
    <w:rsid w:val="002D3AD4"/>
    <w:rsid w:val="002D42C4"/>
    <w:rsid w:val="002D42D0"/>
    <w:rsid w:val="002D43C9"/>
    <w:rsid w:val="002D4AA6"/>
    <w:rsid w:val="002D4D9E"/>
    <w:rsid w:val="002D4DF1"/>
    <w:rsid w:val="002D4F74"/>
    <w:rsid w:val="002D57A4"/>
    <w:rsid w:val="002D5896"/>
    <w:rsid w:val="002D5A86"/>
    <w:rsid w:val="002D5F1B"/>
    <w:rsid w:val="002D5F64"/>
    <w:rsid w:val="002D65AE"/>
    <w:rsid w:val="002D66BC"/>
    <w:rsid w:val="002D6703"/>
    <w:rsid w:val="002D68C8"/>
    <w:rsid w:val="002D6A94"/>
    <w:rsid w:val="002D6B1B"/>
    <w:rsid w:val="002D76B9"/>
    <w:rsid w:val="002D7929"/>
    <w:rsid w:val="002D7ABC"/>
    <w:rsid w:val="002D7AFD"/>
    <w:rsid w:val="002D7CFB"/>
    <w:rsid w:val="002D7D7C"/>
    <w:rsid w:val="002E058D"/>
    <w:rsid w:val="002E1031"/>
    <w:rsid w:val="002E1054"/>
    <w:rsid w:val="002E10F8"/>
    <w:rsid w:val="002E12F9"/>
    <w:rsid w:val="002E1424"/>
    <w:rsid w:val="002E18E1"/>
    <w:rsid w:val="002E1FFB"/>
    <w:rsid w:val="002E2458"/>
    <w:rsid w:val="002E24BB"/>
    <w:rsid w:val="002E2980"/>
    <w:rsid w:val="002E2C1E"/>
    <w:rsid w:val="002E2D21"/>
    <w:rsid w:val="002E2E9D"/>
    <w:rsid w:val="002E2F4E"/>
    <w:rsid w:val="002E30A3"/>
    <w:rsid w:val="002E3190"/>
    <w:rsid w:val="002E3470"/>
    <w:rsid w:val="002E39CB"/>
    <w:rsid w:val="002E3FBC"/>
    <w:rsid w:val="002E4513"/>
    <w:rsid w:val="002E4642"/>
    <w:rsid w:val="002E4828"/>
    <w:rsid w:val="002E4B90"/>
    <w:rsid w:val="002E4E49"/>
    <w:rsid w:val="002E51E6"/>
    <w:rsid w:val="002E54D1"/>
    <w:rsid w:val="002E55B1"/>
    <w:rsid w:val="002E5902"/>
    <w:rsid w:val="002E6043"/>
    <w:rsid w:val="002E614F"/>
    <w:rsid w:val="002E6388"/>
    <w:rsid w:val="002E67DD"/>
    <w:rsid w:val="002E6A21"/>
    <w:rsid w:val="002E6A52"/>
    <w:rsid w:val="002E6C0D"/>
    <w:rsid w:val="002E6C51"/>
    <w:rsid w:val="002E6E5C"/>
    <w:rsid w:val="002E6EE9"/>
    <w:rsid w:val="002E7086"/>
    <w:rsid w:val="002E71E9"/>
    <w:rsid w:val="002E7629"/>
    <w:rsid w:val="002E7DCB"/>
    <w:rsid w:val="002F0483"/>
    <w:rsid w:val="002F0B40"/>
    <w:rsid w:val="002F0CFB"/>
    <w:rsid w:val="002F1740"/>
    <w:rsid w:val="002F1942"/>
    <w:rsid w:val="002F1AE9"/>
    <w:rsid w:val="002F1DEA"/>
    <w:rsid w:val="002F20AA"/>
    <w:rsid w:val="002F2170"/>
    <w:rsid w:val="002F25A1"/>
    <w:rsid w:val="002F270F"/>
    <w:rsid w:val="002F2809"/>
    <w:rsid w:val="002F2FE2"/>
    <w:rsid w:val="002F3435"/>
    <w:rsid w:val="002F347E"/>
    <w:rsid w:val="002F40C1"/>
    <w:rsid w:val="002F4446"/>
    <w:rsid w:val="002F444F"/>
    <w:rsid w:val="002F4451"/>
    <w:rsid w:val="002F49E9"/>
    <w:rsid w:val="002F4DDB"/>
    <w:rsid w:val="002F50D3"/>
    <w:rsid w:val="002F69EB"/>
    <w:rsid w:val="002F6A19"/>
    <w:rsid w:val="002F6A98"/>
    <w:rsid w:val="002F6E1F"/>
    <w:rsid w:val="002F747A"/>
    <w:rsid w:val="002F75B8"/>
    <w:rsid w:val="002F7D84"/>
    <w:rsid w:val="002F7DD5"/>
    <w:rsid w:val="002F7F4A"/>
    <w:rsid w:val="003000A1"/>
    <w:rsid w:val="00300108"/>
    <w:rsid w:val="0030026C"/>
    <w:rsid w:val="00300818"/>
    <w:rsid w:val="00300DD3"/>
    <w:rsid w:val="00300EF0"/>
    <w:rsid w:val="003012E9"/>
    <w:rsid w:val="00301461"/>
    <w:rsid w:val="0030154C"/>
    <w:rsid w:val="00301558"/>
    <w:rsid w:val="0030162A"/>
    <w:rsid w:val="00301708"/>
    <w:rsid w:val="0030194C"/>
    <w:rsid w:val="00301B87"/>
    <w:rsid w:val="00302181"/>
    <w:rsid w:val="00302464"/>
    <w:rsid w:val="0030255A"/>
    <w:rsid w:val="0030256E"/>
    <w:rsid w:val="00302B1F"/>
    <w:rsid w:val="00302CE4"/>
    <w:rsid w:val="00302DC9"/>
    <w:rsid w:val="003035B7"/>
    <w:rsid w:val="00304433"/>
    <w:rsid w:val="00304459"/>
    <w:rsid w:val="003047AF"/>
    <w:rsid w:val="00304ADD"/>
    <w:rsid w:val="00304F1E"/>
    <w:rsid w:val="0030503C"/>
    <w:rsid w:val="00305165"/>
    <w:rsid w:val="00305191"/>
    <w:rsid w:val="0030546D"/>
    <w:rsid w:val="00306216"/>
    <w:rsid w:val="00306245"/>
    <w:rsid w:val="0030649A"/>
    <w:rsid w:val="00306790"/>
    <w:rsid w:val="00306ABD"/>
    <w:rsid w:val="00306B18"/>
    <w:rsid w:val="00306BFA"/>
    <w:rsid w:val="00306CD5"/>
    <w:rsid w:val="003072B1"/>
    <w:rsid w:val="0030746D"/>
    <w:rsid w:val="0030764B"/>
    <w:rsid w:val="003076DD"/>
    <w:rsid w:val="00307AC4"/>
    <w:rsid w:val="00310065"/>
    <w:rsid w:val="003100D4"/>
    <w:rsid w:val="0031016B"/>
    <w:rsid w:val="003104D8"/>
    <w:rsid w:val="00310707"/>
    <w:rsid w:val="00310793"/>
    <w:rsid w:val="00310B42"/>
    <w:rsid w:val="00310BA7"/>
    <w:rsid w:val="00311029"/>
    <w:rsid w:val="0031117C"/>
    <w:rsid w:val="003111F0"/>
    <w:rsid w:val="003111FE"/>
    <w:rsid w:val="003113BD"/>
    <w:rsid w:val="003114EF"/>
    <w:rsid w:val="0031174D"/>
    <w:rsid w:val="00311835"/>
    <w:rsid w:val="003118B4"/>
    <w:rsid w:val="00312077"/>
    <w:rsid w:val="00312231"/>
    <w:rsid w:val="00312820"/>
    <w:rsid w:val="00312A4A"/>
    <w:rsid w:val="00312C9B"/>
    <w:rsid w:val="00312F9D"/>
    <w:rsid w:val="003132C9"/>
    <w:rsid w:val="0031350E"/>
    <w:rsid w:val="0031363B"/>
    <w:rsid w:val="00313773"/>
    <w:rsid w:val="00313B6D"/>
    <w:rsid w:val="00313F95"/>
    <w:rsid w:val="0031437D"/>
    <w:rsid w:val="003147E4"/>
    <w:rsid w:val="00314858"/>
    <w:rsid w:val="003148E5"/>
    <w:rsid w:val="00314FCB"/>
    <w:rsid w:val="003151D8"/>
    <w:rsid w:val="003156B5"/>
    <w:rsid w:val="003159C6"/>
    <w:rsid w:val="00315E5B"/>
    <w:rsid w:val="00316059"/>
    <w:rsid w:val="003162AC"/>
    <w:rsid w:val="00316317"/>
    <w:rsid w:val="003167B7"/>
    <w:rsid w:val="0031695B"/>
    <w:rsid w:val="00316D1D"/>
    <w:rsid w:val="00316DBF"/>
    <w:rsid w:val="0031732B"/>
    <w:rsid w:val="00317BCB"/>
    <w:rsid w:val="00317C16"/>
    <w:rsid w:val="00317CBA"/>
    <w:rsid w:val="00317D28"/>
    <w:rsid w:val="00317DD8"/>
    <w:rsid w:val="0032028F"/>
    <w:rsid w:val="003205BB"/>
    <w:rsid w:val="003205D1"/>
    <w:rsid w:val="003208E3"/>
    <w:rsid w:val="003212EF"/>
    <w:rsid w:val="00321651"/>
    <w:rsid w:val="003216EA"/>
    <w:rsid w:val="00321FB5"/>
    <w:rsid w:val="00321FED"/>
    <w:rsid w:val="00322433"/>
    <w:rsid w:val="00322526"/>
    <w:rsid w:val="00322884"/>
    <w:rsid w:val="00322CEF"/>
    <w:rsid w:val="003231D9"/>
    <w:rsid w:val="00323B3F"/>
    <w:rsid w:val="00323D8E"/>
    <w:rsid w:val="00324097"/>
    <w:rsid w:val="00324696"/>
    <w:rsid w:val="003249AD"/>
    <w:rsid w:val="00324A73"/>
    <w:rsid w:val="00324D60"/>
    <w:rsid w:val="00324E48"/>
    <w:rsid w:val="00324EE8"/>
    <w:rsid w:val="00324FE3"/>
    <w:rsid w:val="00325572"/>
    <w:rsid w:val="00325672"/>
    <w:rsid w:val="00325721"/>
    <w:rsid w:val="00325825"/>
    <w:rsid w:val="00325911"/>
    <w:rsid w:val="00325AB1"/>
    <w:rsid w:val="00325BD8"/>
    <w:rsid w:val="00325C23"/>
    <w:rsid w:val="00325EE2"/>
    <w:rsid w:val="00325FE3"/>
    <w:rsid w:val="003264B3"/>
    <w:rsid w:val="0032650C"/>
    <w:rsid w:val="003268FF"/>
    <w:rsid w:val="003269AA"/>
    <w:rsid w:val="00326BFD"/>
    <w:rsid w:val="00326C08"/>
    <w:rsid w:val="00326F73"/>
    <w:rsid w:val="0032702E"/>
    <w:rsid w:val="00327201"/>
    <w:rsid w:val="0032724F"/>
    <w:rsid w:val="00327AB2"/>
    <w:rsid w:val="0033038F"/>
    <w:rsid w:val="003304CF"/>
    <w:rsid w:val="00330B45"/>
    <w:rsid w:val="00330D8E"/>
    <w:rsid w:val="00330EF2"/>
    <w:rsid w:val="0033146F"/>
    <w:rsid w:val="003316B1"/>
    <w:rsid w:val="003316E0"/>
    <w:rsid w:val="00331F19"/>
    <w:rsid w:val="0033219C"/>
    <w:rsid w:val="00332418"/>
    <w:rsid w:val="003324B2"/>
    <w:rsid w:val="00332CCF"/>
    <w:rsid w:val="00332DF8"/>
    <w:rsid w:val="003331AD"/>
    <w:rsid w:val="00333412"/>
    <w:rsid w:val="00333754"/>
    <w:rsid w:val="00333B2F"/>
    <w:rsid w:val="00333B32"/>
    <w:rsid w:val="00333EC4"/>
    <w:rsid w:val="00333F7D"/>
    <w:rsid w:val="0033404A"/>
    <w:rsid w:val="00334276"/>
    <w:rsid w:val="00334C7F"/>
    <w:rsid w:val="00334CC4"/>
    <w:rsid w:val="003353A2"/>
    <w:rsid w:val="003358C9"/>
    <w:rsid w:val="003358CF"/>
    <w:rsid w:val="00335916"/>
    <w:rsid w:val="003359FA"/>
    <w:rsid w:val="00335B05"/>
    <w:rsid w:val="00335C59"/>
    <w:rsid w:val="00335CC7"/>
    <w:rsid w:val="00335E6E"/>
    <w:rsid w:val="00335EB2"/>
    <w:rsid w:val="00335EB4"/>
    <w:rsid w:val="00335EE7"/>
    <w:rsid w:val="00336316"/>
    <w:rsid w:val="0033640A"/>
    <w:rsid w:val="0033654A"/>
    <w:rsid w:val="00336C53"/>
    <w:rsid w:val="0033704E"/>
    <w:rsid w:val="003371AC"/>
    <w:rsid w:val="003373EE"/>
    <w:rsid w:val="00337723"/>
    <w:rsid w:val="0033793B"/>
    <w:rsid w:val="0034014B"/>
    <w:rsid w:val="0034036E"/>
    <w:rsid w:val="00340383"/>
    <w:rsid w:val="0034044B"/>
    <w:rsid w:val="003404DC"/>
    <w:rsid w:val="00340A1B"/>
    <w:rsid w:val="00340B86"/>
    <w:rsid w:val="00340BC5"/>
    <w:rsid w:val="00341057"/>
    <w:rsid w:val="00341115"/>
    <w:rsid w:val="003411C4"/>
    <w:rsid w:val="0034132B"/>
    <w:rsid w:val="003413C6"/>
    <w:rsid w:val="00341AE7"/>
    <w:rsid w:val="00341EFA"/>
    <w:rsid w:val="0034202E"/>
    <w:rsid w:val="0034213D"/>
    <w:rsid w:val="003421F5"/>
    <w:rsid w:val="0034224C"/>
    <w:rsid w:val="00342BA9"/>
    <w:rsid w:val="00342F43"/>
    <w:rsid w:val="00343508"/>
    <w:rsid w:val="00343889"/>
    <w:rsid w:val="003439C1"/>
    <w:rsid w:val="00343C5F"/>
    <w:rsid w:val="00343D32"/>
    <w:rsid w:val="003440D9"/>
    <w:rsid w:val="0034426C"/>
    <w:rsid w:val="00344274"/>
    <w:rsid w:val="0034436E"/>
    <w:rsid w:val="003444FC"/>
    <w:rsid w:val="00344589"/>
    <w:rsid w:val="0034476B"/>
    <w:rsid w:val="003447BE"/>
    <w:rsid w:val="003447F9"/>
    <w:rsid w:val="0034556C"/>
    <w:rsid w:val="00345AEE"/>
    <w:rsid w:val="00345D4D"/>
    <w:rsid w:val="00346124"/>
    <w:rsid w:val="0034645A"/>
    <w:rsid w:val="00346775"/>
    <w:rsid w:val="00346782"/>
    <w:rsid w:val="00346A1C"/>
    <w:rsid w:val="00346B50"/>
    <w:rsid w:val="00346BD8"/>
    <w:rsid w:val="00346C3A"/>
    <w:rsid w:val="00346FF2"/>
    <w:rsid w:val="00347137"/>
    <w:rsid w:val="0034736D"/>
    <w:rsid w:val="0034744A"/>
    <w:rsid w:val="0034763F"/>
    <w:rsid w:val="003478E0"/>
    <w:rsid w:val="00347D72"/>
    <w:rsid w:val="00347E18"/>
    <w:rsid w:val="00347E28"/>
    <w:rsid w:val="0035012F"/>
    <w:rsid w:val="00350159"/>
    <w:rsid w:val="003501FA"/>
    <w:rsid w:val="0035029A"/>
    <w:rsid w:val="0035048C"/>
    <w:rsid w:val="0035069A"/>
    <w:rsid w:val="00350A12"/>
    <w:rsid w:val="00350DEC"/>
    <w:rsid w:val="00351258"/>
    <w:rsid w:val="00351314"/>
    <w:rsid w:val="003514F4"/>
    <w:rsid w:val="003515CD"/>
    <w:rsid w:val="003518D3"/>
    <w:rsid w:val="0035191D"/>
    <w:rsid w:val="00351EC3"/>
    <w:rsid w:val="00351ECF"/>
    <w:rsid w:val="003520DA"/>
    <w:rsid w:val="00352221"/>
    <w:rsid w:val="003522AD"/>
    <w:rsid w:val="0035248C"/>
    <w:rsid w:val="00352670"/>
    <w:rsid w:val="003526C6"/>
    <w:rsid w:val="00352976"/>
    <w:rsid w:val="00352993"/>
    <w:rsid w:val="00352B0A"/>
    <w:rsid w:val="00352E6C"/>
    <w:rsid w:val="00352F1B"/>
    <w:rsid w:val="003534E9"/>
    <w:rsid w:val="00353715"/>
    <w:rsid w:val="0035376C"/>
    <w:rsid w:val="00353D9F"/>
    <w:rsid w:val="003543FC"/>
    <w:rsid w:val="0035451B"/>
    <w:rsid w:val="0035486D"/>
    <w:rsid w:val="00354C86"/>
    <w:rsid w:val="00354DAB"/>
    <w:rsid w:val="00354EE0"/>
    <w:rsid w:val="0035502B"/>
    <w:rsid w:val="003550F4"/>
    <w:rsid w:val="003551E0"/>
    <w:rsid w:val="003557B2"/>
    <w:rsid w:val="00355833"/>
    <w:rsid w:val="00355C75"/>
    <w:rsid w:val="00355D4F"/>
    <w:rsid w:val="00355ECF"/>
    <w:rsid w:val="00356029"/>
    <w:rsid w:val="00356394"/>
    <w:rsid w:val="00356442"/>
    <w:rsid w:val="003566AB"/>
    <w:rsid w:val="0035678E"/>
    <w:rsid w:val="003569CB"/>
    <w:rsid w:val="00356E2A"/>
    <w:rsid w:val="00356F32"/>
    <w:rsid w:val="003571B0"/>
    <w:rsid w:val="003573FC"/>
    <w:rsid w:val="00357914"/>
    <w:rsid w:val="00357CFF"/>
    <w:rsid w:val="00357E64"/>
    <w:rsid w:val="00357EAD"/>
    <w:rsid w:val="00357F79"/>
    <w:rsid w:val="00360041"/>
    <w:rsid w:val="0036028C"/>
    <w:rsid w:val="0036053F"/>
    <w:rsid w:val="00360A8F"/>
    <w:rsid w:val="0036117F"/>
    <w:rsid w:val="003621D7"/>
    <w:rsid w:val="00362642"/>
    <w:rsid w:val="0036281A"/>
    <w:rsid w:val="00363003"/>
    <w:rsid w:val="00363039"/>
    <w:rsid w:val="003630E1"/>
    <w:rsid w:val="00363243"/>
    <w:rsid w:val="00363C4F"/>
    <w:rsid w:val="00363D03"/>
    <w:rsid w:val="00363F15"/>
    <w:rsid w:val="003641AC"/>
    <w:rsid w:val="00364632"/>
    <w:rsid w:val="0036478A"/>
    <w:rsid w:val="00364933"/>
    <w:rsid w:val="00364957"/>
    <w:rsid w:val="00364CDE"/>
    <w:rsid w:val="0036510D"/>
    <w:rsid w:val="0036526D"/>
    <w:rsid w:val="003652E0"/>
    <w:rsid w:val="003654E5"/>
    <w:rsid w:val="003655AB"/>
    <w:rsid w:val="003658D3"/>
    <w:rsid w:val="00365B5D"/>
    <w:rsid w:val="003661D0"/>
    <w:rsid w:val="00366372"/>
    <w:rsid w:val="003668AD"/>
    <w:rsid w:val="003672F5"/>
    <w:rsid w:val="00367542"/>
    <w:rsid w:val="00367710"/>
    <w:rsid w:val="00367A24"/>
    <w:rsid w:val="00367B1A"/>
    <w:rsid w:val="0037061D"/>
    <w:rsid w:val="0037080C"/>
    <w:rsid w:val="00370A39"/>
    <w:rsid w:val="00370A4D"/>
    <w:rsid w:val="00370D5E"/>
    <w:rsid w:val="00370E4C"/>
    <w:rsid w:val="00370FF4"/>
    <w:rsid w:val="003711DB"/>
    <w:rsid w:val="00371296"/>
    <w:rsid w:val="003712EB"/>
    <w:rsid w:val="003717C3"/>
    <w:rsid w:val="003717D4"/>
    <w:rsid w:val="00371824"/>
    <w:rsid w:val="00371999"/>
    <w:rsid w:val="00371A2A"/>
    <w:rsid w:val="00371B11"/>
    <w:rsid w:val="00371BC0"/>
    <w:rsid w:val="00371C0F"/>
    <w:rsid w:val="00371C80"/>
    <w:rsid w:val="00371E67"/>
    <w:rsid w:val="0037207B"/>
    <w:rsid w:val="0037229C"/>
    <w:rsid w:val="003722F1"/>
    <w:rsid w:val="003723E3"/>
    <w:rsid w:val="00372457"/>
    <w:rsid w:val="003727B6"/>
    <w:rsid w:val="00372C74"/>
    <w:rsid w:val="00372C90"/>
    <w:rsid w:val="00372EC6"/>
    <w:rsid w:val="00373091"/>
    <w:rsid w:val="00373134"/>
    <w:rsid w:val="00373966"/>
    <w:rsid w:val="00373D5C"/>
    <w:rsid w:val="00374140"/>
    <w:rsid w:val="00374604"/>
    <w:rsid w:val="0037475B"/>
    <w:rsid w:val="00374B69"/>
    <w:rsid w:val="00374D2F"/>
    <w:rsid w:val="003753D2"/>
    <w:rsid w:val="00375580"/>
    <w:rsid w:val="003757A0"/>
    <w:rsid w:val="0037595F"/>
    <w:rsid w:val="003759B6"/>
    <w:rsid w:val="00375ADA"/>
    <w:rsid w:val="00375E00"/>
    <w:rsid w:val="0037655B"/>
    <w:rsid w:val="003766A7"/>
    <w:rsid w:val="00376798"/>
    <w:rsid w:val="00376839"/>
    <w:rsid w:val="00376937"/>
    <w:rsid w:val="00376E85"/>
    <w:rsid w:val="00377749"/>
    <w:rsid w:val="00377965"/>
    <w:rsid w:val="00377966"/>
    <w:rsid w:val="00377CFF"/>
    <w:rsid w:val="00377FD6"/>
    <w:rsid w:val="003802E9"/>
    <w:rsid w:val="003805B4"/>
    <w:rsid w:val="0038073F"/>
    <w:rsid w:val="00380C4F"/>
    <w:rsid w:val="00380CE2"/>
    <w:rsid w:val="00380E86"/>
    <w:rsid w:val="003810D7"/>
    <w:rsid w:val="0038139D"/>
    <w:rsid w:val="003818F1"/>
    <w:rsid w:val="00381B1C"/>
    <w:rsid w:val="003822BA"/>
    <w:rsid w:val="0038248F"/>
    <w:rsid w:val="003824BC"/>
    <w:rsid w:val="00382597"/>
    <w:rsid w:val="00382931"/>
    <w:rsid w:val="00382C93"/>
    <w:rsid w:val="0038301C"/>
    <w:rsid w:val="00383FF5"/>
    <w:rsid w:val="003840E7"/>
    <w:rsid w:val="0038411C"/>
    <w:rsid w:val="003851D2"/>
    <w:rsid w:val="00385296"/>
    <w:rsid w:val="00385591"/>
    <w:rsid w:val="0038591F"/>
    <w:rsid w:val="0038592B"/>
    <w:rsid w:val="00385DB6"/>
    <w:rsid w:val="00385DBA"/>
    <w:rsid w:val="00386033"/>
    <w:rsid w:val="0038637D"/>
    <w:rsid w:val="0038638E"/>
    <w:rsid w:val="00386421"/>
    <w:rsid w:val="003865F2"/>
    <w:rsid w:val="003866C7"/>
    <w:rsid w:val="0038685B"/>
    <w:rsid w:val="00386E62"/>
    <w:rsid w:val="003873E2"/>
    <w:rsid w:val="003873EF"/>
    <w:rsid w:val="0038768F"/>
    <w:rsid w:val="00387695"/>
    <w:rsid w:val="00387715"/>
    <w:rsid w:val="00387847"/>
    <w:rsid w:val="0038794D"/>
    <w:rsid w:val="00387A7E"/>
    <w:rsid w:val="003900A9"/>
    <w:rsid w:val="003900FD"/>
    <w:rsid w:val="00390C22"/>
    <w:rsid w:val="00390C52"/>
    <w:rsid w:val="00390DCE"/>
    <w:rsid w:val="00390E34"/>
    <w:rsid w:val="00391034"/>
    <w:rsid w:val="003913E0"/>
    <w:rsid w:val="0039147A"/>
    <w:rsid w:val="00391487"/>
    <w:rsid w:val="00391593"/>
    <w:rsid w:val="0039168F"/>
    <w:rsid w:val="00392186"/>
    <w:rsid w:val="003921A5"/>
    <w:rsid w:val="0039245C"/>
    <w:rsid w:val="00392950"/>
    <w:rsid w:val="00392974"/>
    <w:rsid w:val="00392A7C"/>
    <w:rsid w:val="00392DF3"/>
    <w:rsid w:val="003931DE"/>
    <w:rsid w:val="0039330D"/>
    <w:rsid w:val="003935A6"/>
    <w:rsid w:val="00393649"/>
    <w:rsid w:val="00393D08"/>
    <w:rsid w:val="003948FC"/>
    <w:rsid w:val="00394A0A"/>
    <w:rsid w:val="00394AC2"/>
    <w:rsid w:val="00394ACE"/>
    <w:rsid w:val="00394C59"/>
    <w:rsid w:val="00394C99"/>
    <w:rsid w:val="00394D74"/>
    <w:rsid w:val="003950BE"/>
    <w:rsid w:val="00395267"/>
    <w:rsid w:val="00395300"/>
    <w:rsid w:val="003954CF"/>
    <w:rsid w:val="0039553C"/>
    <w:rsid w:val="00395AA9"/>
    <w:rsid w:val="00395B99"/>
    <w:rsid w:val="00395C56"/>
    <w:rsid w:val="00395CAB"/>
    <w:rsid w:val="00395E1B"/>
    <w:rsid w:val="00396079"/>
    <w:rsid w:val="003960CE"/>
    <w:rsid w:val="00396501"/>
    <w:rsid w:val="0039660B"/>
    <w:rsid w:val="003966B8"/>
    <w:rsid w:val="00396B34"/>
    <w:rsid w:val="003970FF"/>
    <w:rsid w:val="003973F4"/>
    <w:rsid w:val="0039743B"/>
    <w:rsid w:val="003974AD"/>
    <w:rsid w:val="00397553"/>
    <w:rsid w:val="00397A0C"/>
    <w:rsid w:val="00397AFA"/>
    <w:rsid w:val="00397B72"/>
    <w:rsid w:val="00397D2D"/>
    <w:rsid w:val="003A010E"/>
    <w:rsid w:val="003A0422"/>
    <w:rsid w:val="003A0719"/>
    <w:rsid w:val="003A094D"/>
    <w:rsid w:val="003A152C"/>
    <w:rsid w:val="003A1E85"/>
    <w:rsid w:val="003A1F80"/>
    <w:rsid w:val="003A2CB7"/>
    <w:rsid w:val="003A2F62"/>
    <w:rsid w:val="003A3062"/>
    <w:rsid w:val="003A30B6"/>
    <w:rsid w:val="003A33F2"/>
    <w:rsid w:val="003A34E7"/>
    <w:rsid w:val="003A3A3F"/>
    <w:rsid w:val="003A3C49"/>
    <w:rsid w:val="003A3D8A"/>
    <w:rsid w:val="003A3E49"/>
    <w:rsid w:val="003A3EAB"/>
    <w:rsid w:val="003A3EFC"/>
    <w:rsid w:val="003A420E"/>
    <w:rsid w:val="003A45C4"/>
    <w:rsid w:val="003A4703"/>
    <w:rsid w:val="003A4C88"/>
    <w:rsid w:val="003A4E23"/>
    <w:rsid w:val="003A4F5B"/>
    <w:rsid w:val="003A5113"/>
    <w:rsid w:val="003A53DA"/>
    <w:rsid w:val="003A58DD"/>
    <w:rsid w:val="003A59D6"/>
    <w:rsid w:val="003A603E"/>
    <w:rsid w:val="003A654A"/>
    <w:rsid w:val="003A658E"/>
    <w:rsid w:val="003A65CB"/>
    <w:rsid w:val="003A6792"/>
    <w:rsid w:val="003A6A10"/>
    <w:rsid w:val="003A6F53"/>
    <w:rsid w:val="003A6FA6"/>
    <w:rsid w:val="003A7054"/>
    <w:rsid w:val="003A70AB"/>
    <w:rsid w:val="003A72AF"/>
    <w:rsid w:val="003A74E9"/>
    <w:rsid w:val="003A769C"/>
    <w:rsid w:val="003A7902"/>
    <w:rsid w:val="003A791E"/>
    <w:rsid w:val="003A7929"/>
    <w:rsid w:val="003B023F"/>
    <w:rsid w:val="003B0930"/>
    <w:rsid w:val="003B0A43"/>
    <w:rsid w:val="003B0C41"/>
    <w:rsid w:val="003B0CE1"/>
    <w:rsid w:val="003B106D"/>
    <w:rsid w:val="003B13BD"/>
    <w:rsid w:val="003B13D0"/>
    <w:rsid w:val="003B1478"/>
    <w:rsid w:val="003B14DB"/>
    <w:rsid w:val="003B1CAD"/>
    <w:rsid w:val="003B1D38"/>
    <w:rsid w:val="003B1E1D"/>
    <w:rsid w:val="003B2586"/>
    <w:rsid w:val="003B28CC"/>
    <w:rsid w:val="003B296A"/>
    <w:rsid w:val="003B2B5E"/>
    <w:rsid w:val="003B301B"/>
    <w:rsid w:val="003B3052"/>
    <w:rsid w:val="003B310C"/>
    <w:rsid w:val="003B3306"/>
    <w:rsid w:val="003B3B3C"/>
    <w:rsid w:val="003B3CC9"/>
    <w:rsid w:val="003B3DB7"/>
    <w:rsid w:val="003B40C6"/>
    <w:rsid w:val="003B40F6"/>
    <w:rsid w:val="003B4983"/>
    <w:rsid w:val="003B4A28"/>
    <w:rsid w:val="003B4AEF"/>
    <w:rsid w:val="003B4D15"/>
    <w:rsid w:val="003B51D9"/>
    <w:rsid w:val="003B5549"/>
    <w:rsid w:val="003B57C7"/>
    <w:rsid w:val="003B5BDF"/>
    <w:rsid w:val="003B5C6B"/>
    <w:rsid w:val="003B5CA5"/>
    <w:rsid w:val="003B6049"/>
    <w:rsid w:val="003B623F"/>
    <w:rsid w:val="003B6418"/>
    <w:rsid w:val="003B662C"/>
    <w:rsid w:val="003B677C"/>
    <w:rsid w:val="003B6892"/>
    <w:rsid w:val="003B751D"/>
    <w:rsid w:val="003B7584"/>
    <w:rsid w:val="003B7590"/>
    <w:rsid w:val="003B7BF7"/>
    <w:rsid w:val="003B7CC5"/>
    <w:rsid w:val="003B7CDE"/>
    <w:rsid w:val="003B7D3C"/>
    <w:rsid w:val="003B7ECB"/>
    <w:rsid w:val="003B7F81"/>
    <w:rsid w:val="003C0129"/>
    <w:rsid w:val="003C06D3"/>
    <w:rsid w:val="003C0943"/>
    <w:rsid w:val="003C0976"/>
    <w:rsid w:val="003C1309"/>
    <w:rsid w:val="003C1364"/>
    <w:rsid w:val="003C13A2"/>
    <w:rsid w:val="003C14EA"/>
    <w:rsid w:val="003C15B4"/>
    <w:rsid w:val="003C1729"/>
    <w:rsid w:val="003C1AAB"/>
    <w:rsid w:val="003C1BD3"/>
    <w:rsid w:val="003C207E"/>
    <w:rsid w:val="003C24AD"/>
    <w:rsid w:val="003C25C5"/>
    <w:rsid w:val="003C282B"/>
    <w:rsid w:val="003C2AEE"/>
    <w:rsid w:val="003C2C36"/>
    <w:rsid w:val="003C34C6"/>
    <w:rsid w:val="003C35A6"/>
    <w:rsid w:val="003C3A37"/>
    <w:rsid w:val="003C3D7E"/>
    <w:rsid w:val="003C3E6A"/>
    <w:rsid w:val="003C3F88"/>
    <w:rsid w:val="003C42B7"/>
    <w:rsid w:val="003C4493"/>
    <w:rsid w:val="003C44D6"/>
    <w:rsid w:val="003C44EC"/>
    <w:rsid w:val="003C4A89"/>
    <w:rsid w:val="003C4D80"/>
    <w:rsid w:val="003C5402"/>
    <w:rsid w:val="003C54B2"/>
    <w:rsid w:val="003C54CA"/>
    <w:rsid w:val="003C58F7"/>
    <w:rsid w:val="003C5D14"/>
    <w:rsid w:val="003C5E26"/>
    <w:rsid w:val="003C600B"/>
    <w:rsid w:val="003C6D83"/>
    <w:rsid w:val="003C6F78"/>
    <w:rsid w:val="003C7063"/>
    <w:rsid w:val="003C7446"/>
    <w:rsid w:val="003C74C6"/>
    <w:rsid w:val="003C7B17"/>
    <w:rsid w:val="003C7B38"/>
    <w:rsid w:val="003D0115"/>
    <w:rsid w:val="003D0646"/>
    <w:rsid w:val="003D0A04"/>
    <w:rsid w:val="003D0D8C"/>
    <w:rsid w:val="003D150D"/>
    <w:rsid w:val="003D15F0"/>
    <w:rsid w:val="003D1725"/>
    <w:rsid w:val="003D1DFB"/>
    <w:rsid w:val="003D1E72"/>
    <w:rsid w:val="003D1F5D"/>
    <w:rsid w:val="003D25D0"/>
    <w:rsid w:val="003D2C46"/>
    <w:rsid w:val="003D3237"/>
    <w:rsid w:val="003D360C"/>
    <w:rsid w:val="003D3D05"/>
    <w:rsid w:val="003D439B"/>
    <w:rsid w:val="003D45D5"/>
    <w:rsid w:val="003D4D55"/>
    <w:rsid w:val="003D4EE4"/>
    <w:rsid w:val="003D53AA"/>
    <w:rsid w:val="003D5536"/>
    <w:rsid w:val="003D5B2C"/>
    <w:rsid w:val="003D5F39"/>
    <w:rsid w:val="003D600A"/>
    <w:rsid w:val="003D6200"/>
    <w:rsid w:val="003D63C1"/>
    <w:rsid w:val="003D63E3"/>
    <w:rsid w:val="003D63FC"/>
    <w:rsid w:val="003D64AD"/>
    <w:rsid w:val="003D64D9"/>
    <w:rsid w:val="003D66EC"/>
    <w:rsid w:val="003D67A7"/>
    <w:rsid w:val="003D6E87"/>
    <w:rsid w:val="003D72E4"/>
    <w:rsid w:val="003D7364"/>
    <w:rsid w:val="003D7441"/>
    <w:rsid w:val="003D76C8"/>
    <w:rsid w:val="003D77F2"/>
    <w:rsid w:val="003D784F"/>
    <w:rsid w:val="003D7B4D"/>
    <w:rsid w:val="003D7E86"/>
    <w:rsid w:val="003D7FC0"/>
    <w:rsid w:val="003E00DB"/>
    <w:rsid w:val="003E01C8"/>
    <w:rsid w:val="003E061F"/>
    <w:rsid w:val="003E0707"/>
    <w:rsid w:val="003E0720"/>
    <w:rsid w:val="003E0920"/>
    <w:rsid w:val="003E0A3A"/>
    <w:rsid w:val="003E0D2D"/>
    <w:rsid w:val="003E0E09"/>
    <w:rsid w:val="003E0EF2"/>
    <w:rsid w:val="003E1311"/>
    <w:rsid w:val="003E15DA"/>
    <w:rsid w:val="003E15F9"/>
    <w:rsid w:val="003E1BC2"/>
    <w:rsid w:val="003E1E17"/>
    <w:rsid w:val="003E1F6D"/>
    <w:rsid w:val="003E1FEC"/>
    <w:rsid w:val="003E228E"/>
    <w:rsid w:val="003E2319"/>
    <w:rsid w:val="003E2431"/>
    <w:rsid w:val="003E245D"/>
    <w:rsid w:val="003E2755"/>
    <w:rsid w:val="003E28EE"/>
    <w:rsid w:val="003E2A1E"/>
    <w:rsid w:val="003E2A99"/>
    <w:rsid w:val="003E2E69"/>
    <w:rsid w:val="003E34C2"/>
    <w:rsid w:val="003E365C"/>
    <w:rsid w:val="003E3D04"/>
    <w:rsid w:val="003E4062"/>
    <w:rsid w:val="003E44C5"/>
    <w:rsid w:val="003E46B6"/>
    <w:rsid w:val="003E48BB"/>
    <w:rsid w:val="003E4A1F"/>
    <w:rsid w:val="003E4AE0"/>
    <w:rsid w:val="003E4E77"/>
    <w:rsid w:val="003E5121"/>
    <w:rsid w:val="003E51D0"/>
    <w:rsid w:val="003E5241"/>
    <w:rsid w:val="003E53F4"/>
    <w:rsid w:val="003E5860"/>
    <w:rsid w:val="003E58E8"/>
    <w:rsid w:val="003E5B4F"/>
    <w:rsid w:val="003E5CAD"/>
    <w:rsid w:val="003E641C"/>
    <w:rsid w:val="003E6495"/>
    <w:rsid w:val="003E66A0"/>
    <w:rsid w:val="003E675F"/>
    <w:rsid w:val="003E6AD2"/>
    <w:rsid w:val="003E7029"/>
    <w:rsid w:val="003E7208"/>
    <w:rsid w:val="003E7211"/>
    <w:rsid w:val="003E750D"/>
    <w:rsid w:val="003E75F7"/>
    <w:rsid w:val="003E76EF"/>
    <w:rsid w:val="003E7822"/>
    <w:rsid w:val="003E79F2"/>
    <w:rsid w:val="003E7CAE"/>
    <w:rsid w:val="003F00CF"/>
    <w:rsid w:val="003F0109"/>
    <w:rsid w:val="003F01C2"/>
    <w:rsid w:val="003F0622"/>
    <w:rsid w:val="003F07DE"/>
    <w:rsid w:val="003F0E39"/>
    <w:rsid w:val="003F1463"/>
    <w:rsid w:val="003F1603"/>
    <w:rsid w:val="003F1B1B"/>
    <w:rsid w:val="003F1CB5"/>
    <w:rsid w:val="003F1F78"/>
    <w:rsid w:val="003F2095"/>
    <w:rsid w:val="003F2184"/>
    <w:rsid w:val="003F2280"/>
    <w:rsid w:val="003F23D0"/>
    <w:rsid w:val="003F24F1"/>
    <w:rsid w:val="003F2600"/>
    <w:rsid w:val="003F32DD"/>
    <w:rsid w:val="003F33D1"/>
    <w:rsid w:val="003F3617"/>
    <w:rsid w:val="003F399B"/>
    <w:rsid w:val="003F3ADB"/>
    <w:rsid w:val="003F3D7F"/>
    <w:rsid w:val="003F3EA1"/>
    <w:rsid w:val="003F4626"/>
    <w:rsid w:val="003F4775"/>
    <w:rsid w:val="003F4825"/>
    <w:rsid w:val="003F49AF"/>
    <w:rsid w:val="003F49EE"/>
    <w:rsid w:val="003F49F7"/>
    <w:rsid w:val="003F4C66"/>
    <w:rsid w:val="003F4C87"/>
    <w:rsid w:val="003F4E38"/>
    <w:rsid w:val="003F52BD"/>
    <w:rsid w:val="003F56FB"/>
    <w:rsid w:val="003F5709"/>
    <w:rsid w:val="003F59EE"/>
    <w:rsid w:val="003F5A46"/>
    <w:rsid w:val="003F5FF3"/>
    <w:rsid w:val="003F60BE"/>
    <w:rsid w:val="003F61BD"/>
    <w:rsid w:val="003F6282"/>
    <w:rsid w:val="003F63F2"/>
    <w:rsid w:val="003F6466"/>
    <w:rsid w:val="003F6483"/>
    <w:rsid w:val="003F6646"/>
    <w:rsid w:val="003F67D5"/>
    <w:rsid w:val="003F6E72"/>
    <w:rsid w:val="003F6FFC"/>
    <w:rsid w:val="003F71C2"/>
    <w:rsid w:val="003F766A"/>
    <w:rsid w:val="003F7AB7"/>
    <w:rsid w:val="003F7AE4"/>
    <w:rsid w:val="003F7BE5"/>
    <w:rsid w:val="003F7D9D"/>
    <w:rsid w:val="0040026D"/>
    <w:rsid w:val="00400403"/>
    <w:rsid w:val="00400553"/>
    <w:rsid w:val="0040095B"/>
    <w:rsid w:val="004009E6"/>
    <w:rsid w:val="00400AF7"/>
    <w:rsid w:val="004016A5"/>
    <w:rsid w:val="00402170"/>
    <w:rsid w:val="0040220E"/>
    <w:rsid w:val="00402771"/>
    <w:rsid w:val="00402B97"/>
    <w:rsid w:val="00402CB7"/>
    <w:rsid w:val="00402D90"/>
    <w:rsid w:val="00402DEC"/>
    <w:rsid w:val="0040300A"/>
    <w:rsid w:val="004031CC"/>
    <w:rsid w:val="00403342"/>
    <w:rsid w:val="00403505"/>
    <w:rsid w:val="00403548"/>
    <w:rsid w:val="004039C1"/>
    <w:rsid w:val="00404010"/>
    <w:rsid w:val="00404328"/>
    <w:rsid w:val="00404356"/>
    <w:rsid w:val="004043CF"/>
    <w:rsid w:val="004044CE"/>
    <w:rsid w:val="00404657"/>
    <w:rsid w:val="00404773"/>
    <w:rsid w:val="00404852"/>
    <w:rsid w:val="00404F08"/>
    <w:rsid w:val="004051EA"/>
    <w:rsid w:val="0040543D"/>
    <w:rsid w:val="004054AC"/>
    <w:rsid w:val="00405BAB"/>
    <w:rsid w:val="0040636E"/>
    <w:rsid w:val="00406D52"/>
    <w:rsid w:val="00406FBD"/>
    <w:rsid w:val="00407267"/>
    <w:rsid w:val="00407742"/>
    <w:rsid w:val="004078B7"/>
    <w:rsid w:val="004079F6"/>
    <w:rsid w:val="00407AB2"/>
    <w:rsid w:val="00407B85"/>
    <w:rsid w:val="004101BB"/>
    <w:rsid w:val="004103FD"/>
    <w:rsid w:val="004104F2"/>
    <w:rsid w:val="004107CB"/>
    <w:rsid w:val="00410C7C"/>
    <w:rsid w:val="004111FE"/>
    <w:rsid w:val="004113F8"/>
    <w:rsid w:val="00411585"/>
    <w:rsid w:val="00411765"/>
    <w:rsid w:val="00411CE2"/>
    <w:rsid w:val="00411D86"/>
    <w:rsid w:val="00412128"/>
    <w:rsid w:val="004121E6"/>
    <w:rsid w:val="00412831"/>
    <w:rsid w:val="00412B3C"/>
    <w:rsid w:val="00412E5C"/>
    <w:rsid w:val="00412E8B"/>
    <w:rsid w:val="00412F9C"/>
    <w:rsid w:val="0041304B"/>
    <w:rsid w:val="004133A1"/>
    <w:rsid w:val="004139BD"/>
    <w:rsid w:val="00414378"/>
    <w:rsid w:val="00414875"/>
    <w:rsid w:val="00414881"/>
    <w:rsid w:val="00414D0C"/>
    <w:rsid w:val="00415350"/>
    <w:rsid w:val="004154E0"/>
    <w:rsid w:val="0041558D"/>
    <w:rsid w:val="00415590"/>
    <w:rsid w:val="00415AF4"/>
    <w:rsid w:val="00415C2F"/>
    <w:rsid w:val="00415D98"/>
    <w:rsid w:val="004162C4"/>
    <w:rsid w:val="00416553"/>
    <w:rsid w:val="004165B6"/>
    <w:rsid w:val="00416741"/>
    <w:rsid w:val="00416866"/>
    <w:rsid w:val="00416917"/>
    <w:rsid w:val="00416A8A"/>
    <w:rsid w:val="00416B51"/>
    <w:rsid w:val="00416B70"/>
    <w:rsid w:val="00416DB2"/>
    <w:rsid w:val="0041737D"/>
    <w:rsid w:val="00417FCC"/>
    <w:rsid w:val="0042024F"/>
    <w:rsid w:val="00420435"/>
    <w:rsid w:val="0042049C"/>
    <w:rsid w:val="004206C4"/>
    <w:rsid w:val="0042072A"/>
    <w:rsid w:val="004207AD"/>
    <w:rsid w:val="00420812"/>
    <w:rsid w:val="00420E3F"/>
    <w:rsid w:val="0042116D"/>
    <w:rsid w:val="004211DF"/>
    <w:rsid w:val="00421256"/>
    <w:rsid w:val="00421585"/>
    <w:rsid w:val="00421835"/>
    <w:rsid w:val="00421853"/>
    <w:rsid w:val="00421E13"/>
    <w:rsid w:val="00422053"/>
    <w:rsid w:val="004224D8"/>
    <w:rsid w:val="00422555"/>
    <w:rsid w:val="0042273B"/>
    <w:rsid w:val="004227CE"/>
    <w:rsid w:val="00422E38"/>
    <w:rsid w:val="004232E4"/>
    <w:rsid w:val="004234C7"/>
    <w:rsid w:val="00423883"/>
    <w:rsid w:val="0042390B"/>
    <w:rsid w:val="00423A4C"/>
    <w:rsid w:val="00423EF9"/>
    <w:rsid w:val="0042411A"/>
    <w:rsid w:val="00424930"/>
    <w:rsid w:val="00424C0F"/>
    <w:rsid w:val="00424D40"/>
    <w:rsid w:val="00424FC0"/>
    <w:rsid w:val="00425903"/>
    <w:rsid w:val="00425FEE"/>
    <w:rsid w:val="004269EF"/>
    <w:rsid w:val="00426B6B"/>
    <w:rsid w:val="00426F39"/>
    <w:rsid w:val="00426F7D"/>
    <w:rsid w:val="00427208"/>
    <w:rsid w:val="004272B9"/>
    <w:rsid w:val="0042738D"/>
    <w:rsid w:val="00427627"/>
    <w:rsid w:val="00427B08"/>
    <w:rsid w:val="00427C29"/>
    <w:rsid w:val="00427D96"/>
    <w:rsid w:val="00427F7F"/>
    <w:rsid w:val="004300C0"/>
    <w:rsid w:val="0043032D"/>
    <w:rsid w:val="0043056E"/>
    <w:rsid w:val="0043087A"/>
    <w:rsid w:val="004308F4"/>
    <w:rsid w:val="00430BDE"/>
    <w:rsid w:val="00430D34"/>
    <w:rsid w:val="00430FA3"/>
    <w:rsid w:val="00431036"/>
    <w:rsid w:val="00431415"/>
    <w:rsid w:val="00431453"/>
    <w:rsid w:val="00431729"/>
    <w:rsid w:val="004322D5"/>
    <w:rsid w:val="004324B7"/>
    <w:rsid w:val="004324CE"/>
    <w:rsid w:val="00432599"/>
    <w:rsid w:val="004327BF"/>
    <w:rsid w:val="00432B2B"/>
    <w:rsid w:val="00433124"/>
    <w:rsid w:val="00433292"/>
    <w:rsid w:val="00433353"/>
    <w:rsid w:val="004333DC"/>
    <w:rsid w:val="00433407"/>
    <w:rsid w:val="00433664"/>
    <w:rsid w:val="0043398E"/>
    <w:rsid w:val="00433A28"/>
    <w:rsid w:val="00433D71"/>
    <w:rsid w:val="00433F1E"/>
    <w:rsid w:val="00434037"/>
    <w:rsid w:val="004340DE"/>
    <w:rsid w:val="00434BE9"/>
    <w:rsid w:val="00434DEA"/>
    <w:rsid w:val="00434F6D"/>
    <w:rsid w:val="00434FCE"/>
    <w:rsid w:val="0043515F"/>
    <w:rsid w:val="00435262"/>
    <w:rsid w:val="00435868"/>
    <w:rsid w:val="00435897"/>
    <w:rsid w:val="0043596B"/>
    <w:rsid w:val="00435EB9"/>
    <w:rsid w:val="00436283"/>
    <w:rsid w:val="0043668B"/>
    <w:rsid w:val="00436C60"/>
    <w:rsid w:val="00436E8F"/>
    <w:rsid w:val="004374C1"/>
    <w:rsid w:val="0043788A"/>
    <w:rsid w:val="00437E01"/>
    <w:rsid w:val="00437E2C"/>
    <w:rsid w:val="00437F2C"/>
    <w:rsid w:val="00437F66"/>
    <w:rsid w:val="00440E9B"/>
    <w:rsid w:val="004410FB"/>
    <w:rsid w:val="004412E3"/>
    <w:rsid w:val="004414BE"/>
    <w:rsid w:val="00441B3D"/>
    <w:rsid w:val="00441FEC"/>
    <w:rsid w:val="004429FA"/>
    <w:rsid w:val="00443021"/>
    <w:rsid w:val="004430BA"/>
    <w:rsid w:val="0044394C"/>
    <w:rsid w:val="00443A20"/>
    <w:rsid w:val="00443B36"/>
    <w:rsid w:val="00444279"/>
    <w:rsid w:val="004444E2"/>
    <w:rsid w:val="004445F3"/>
    <w:rsid w:val="0044469D"/>
    <w:rsid w:val="004446DD"/>
    <w:rsid w:val="00444827"/>
    <w:rsid w:val="00444A37"/>
    <w:rsid w:val="00444A66"/>
    <w:rsid w:val="00445367"/>
    <w:rsid w:val="00445A43"/>
    <w:rsid w:val="0044613E"/>
    <w:rsid w:val="004462C2"/>
    <w:rsid w:val="00446377"/>
    <w:rsid w:val="004467A3"/>
    <w:rsid w:val="00446828"/>
    <w:rsid w:val="00446D0B"/>
    <w:rsid w:val="0044749C"/>
    <w:rsid w:val="0044772D"/>
    <w:rsid w:val="0044798C"/>
    <w:rsid w:val="004479C9"/>
    <w:rsid w:val="004479EF"/>
    <w:rsid w:val="004502C5"/>
    <w:rsid w:val="00450613"/>
    <w:rsid w:val="00450723"/>
    <w:rsid w:val="00450792"/>
    <w:rsid w:val="00450DE9"/>
    <w:rsid w:val="00450F1C"/>
    <w:rsid w:val="00450F8C"/>
    <w:rsid w:val="004512F8"/>
    <w:rsid w:val="004519DE"/>
    <w:rsid w:val="00451AC6"/>
    <w:rsid w:val="00451EC6"/>
    <w:rsid w:val="00451FC4"/>
    <w:rsid w:val="00452121"/>
    <w:rsid w:val="0045225F"/>
    <w:rsid w:val="00452645"/>
    <w:rsid w:val="00452660"/>
    <w:rsid w:val="004527EE"/>
    <w:rsid w:val="004528ED"/>
    <w:rsid w:val="00452D33"/>
    <w:rsid w:val="00453166"/>
    <w:rsid w:val="00453368"/>
    <w:rsid w:val="00453B9C"/>
    <w:rsid w:val="00453F41"/>
    <w:rsid w:val="00453FE4"/>
    <w:rsid w:val="0045431A"/>
    <w:rsid w:val="00454446"/>
    <w:rsid w:val="004544B8"/>
    <w:rsid w:val="0045458E"/>
    <w:rsid w:val="00454810"/>
    <w:rsid w:val="00454A48"/>
    <w:rsid w:val="004550E5"/>
    <w:rsid w:val="00455265"/>
    <w:rsid w:val="004553A8"/>
    <w:rsid w:val="00455522"/>
    <w:rsid w:val="004555D8"/>
    <w:rsid w:val="00455741"/>
    <w:rsid w:val="004559E8"/>
    <w:rsid w:val="00455A43"/>
    <w:rsid w:val="00455CB5"/>
    <w:rsid w:val="00455D06"/>
    <w:rsid w:val="00455E00"/>
    <w:rsid w:val="00455F57"/>
    <w:rsid w:val="0045611E"/>
    <w:rsid w:val="004561AE"/>
    <w:rsid w:val="0045629C"/>
    <w:rsid w:val="00456744"/>
    <w:rsid w:val="00456844"/>
    <w:rsid w:val="00456A21"/>
    <w:rsid w:val="00456BD6"/>
    <w:rsid w:val="00456C0A"/>
    <w:rsid w:val="00456E7B"/>
    <w:rsid w:val="00457AA0"/>
    <w:rsid w:val="00457EE2"/>
    <w:rsid w:val="00457F08"/>
    <w:rsid w:val="004600BA"/>
    <w:rsid w:val="00460161"/>
    <w:rsid w:val="00460502"/>
    <w:rsid w:val="004606CD"/>
    <w:rsid w:val="004608F7"/>
    <w:rsid w:val="004609EB"/>
    <w:rsid w:val="00460F48"/>
    <w:rsid w:val="00460FA1"/>
    <w:rsid w:val="0046199D"/>
    <w:rsid w:val="00461A77"/>
    <w:rsid w:val="00461ACB"/>
    <w:rsid w:val="00461F07"/>
    <w:rsid w:val="00462035"/>
    <w:rsid w:val="004620A5"/>
    <w:rsid w:val="00462251"/>
    <w:rsid w:val="00462280"/>
    <w:rsid w:val="0046230D"/>
    <w:rsid w:val="00462886"/>
    <w:rsid w:val="004628C6"/>
    <w:rsid w:val="00462A50"/>
    <w:rsid w:val="00462D39"/>
    <w:rsid w:val="0046326A"/>
    <w:rsid w:val="0046342B"/>
    <w:rsid w:val="0046373A"/>
    <w:rsid w:val="00463844"/>
    <w:rsid w:val="004638E3"/>
    <w:rsid w:val="00463A48"/>
    <w:rsid w:val="00463E0D"/>
    <w:rsid w:val="00463F4B"/>
    <w:rsid w:val="004640DB"/>
    <w:rsid w:val="004647AF"/>
    <w:rsid w:val="00464A1C"/>
    <w:rsid w:val="00464BEF"/>
    <w:rsid w:val="00464DAD"/>
    <w:rsid w:val="00464F29"/>
    <w:rsid w:val="00464F69"/>
    <w:rsid w:val="00465189"/>
    <w:rsid w:val="004651E5"/>
    <w:rsid w:val="004651F3"/>
    <w:rsid w:val="00465280"/>
    <w:rsid w:val="00465589"/>
    <w:rsid w:val="004658B6"/>
    <w:rsid w:val="00465949"/>
    <w:rsid w:val="00466005"/>
    <w:rsid w:val="0046614C"/>
    <w:rsid w:val="004661F1"/>
    <w:rsid w:val="00466517"/>
    <w:rsid w:val="004666AD"/>
    <w:rsid w:val="00466904"/>
    <w:rsid w:val="0046698D"/>
    <w:rsid w:val="00466A95"/>
    <w:rsid w:val="00466C74"/>
    <w:rsid w:val="00466CAF"/>
    <w:rsid w:val="00466FB3"/>
    <w:rsid w:val="00467508"/>
    <w:rsid w:val="004678A8"/>
    <w:rsid w:val="00467A1D"/>
    <w:rsid w:val="00467AD6"/>
    <w:rsid w:val="00470562"/>
    <w:rsid w:val="00470582"/>
    <w:rsid w:val="004708C0"/>
    <w:rsid w:val="00470A69"/>
    <w:rsid w:val="00470CEB"/>
    <w:rsid w:val="00470D3D"/>
    <w:rsid w:val="00470DE3"/>
    <w:rsid w:val="00470F7C"/>
    <w:rsid w:val="004710E9"/>
    <w:rsid w:val="004711D5"/>
    <w:rsid w:val="00471298"/>
    <w:rsid w:val="0047166D"/>
    <w:rsid w:val="004717BF"/>
    <w:rsid w:val="00471BAA"/>
    <w:rsid w:val="00471D9D"/>
    <w:rsid w:val="004720FD"/>
    <w:rsid w:val="004722D2"/>
    <w:rsid w:val="00472350"/>
    <w:rsid w:val="004724EE"/>
    <w:rsid w:val="004725CE"/>
    <w:rsid w:val="00472675"/>
    <w:rsid w:val="004727A4"/>
    <w:rsid w:val="00472AD1"/>
    <w:rsid w:val="00472AEC"/>
    <w:rsid w:val="00472CB8"/>
    <w:rsid w:val="00472E52"/>
    <w:rsid w:val="00472EE2"/>
    <w:rsid w:val="00472FAF"/>
    <w:rsid w:val="004732D8"/>
    <w:rsid w:val="00473522"/>
    <w:rsid w:val="0047381C"/>
    <w:rsid w:val="0047384D"/>
    <w:rsid w:val="0047401C"/>
    <w:rsid w:val="00474112"/>
    <w:rsid w:val="00474234"/>
    <w:rsid w:val="0047431B"/>
    <w:rsid w:val="004743C7"/>
    <w:rsid w:val="0047459A"/>
    <w:rsid w:val="00474C4F"/>
    <w:rsid w:val="00474F14"/>
    <w:rsid w:val="0047558C"/>
    <w:rsid w:val="0047567D"/>
    <w:rsid w:val="00475706"/>
    <w:rsid w:val="004758F6"/>
    <w:rsid w:val="00475F68"/>
    <w:rsid w:val="00475F98"/>
    <w:rsid w:val="00476276"/>
    <w:rsid w:val="004763CD"/>
    <w:rsid w:val="004765EB"/>
    <w:rsid w:val="00476650"/>
    <w:rsid w:val="00476949"/>
    <w:rsid w:val="004769ED"/>
    <w:rsid w:val="00476EDD"/>
    <w:rsid w:val="00477181"/>
    <w:rsid w:val="00477437"/>
    <w:rsid w:val="0047754D"/>
    <w:rsid w:val="00477E5D"/>
    <w:rsid w:val="00477EA6"/>
    <w:rsid w:val="0048007B"/>
    <w:rsid w:val="004800BE"/>
    <w:rsid w:val="00480172"/>
    <w:rsid w:val="00480282"/>
    <w:rsid w:val="004803DC"/>
    <w:rsid w:val="00480519"/>
    <w:rsid w:val="00480738"/>
    <w:rsid w:val="00480E91"/>
    <w:rsid w:val="004810E5"/>
    <w:rsid w:val="00481789"/>
    <w:rsid w:val="00481938"/>
    <w:rsid w:val="00481AB5"/>
    <w:rsid w:val="00481BC9"/>
    <w:rsid w:val="00481CA0"/>
    <w:rsid w:val="00482601"/>
    <w:rsid w:val="0048280E"/>
    <w:rsid w:val="004828A8"/>
    <w:rsid w:val="0048294B"/>
    <w:rsid w:val="004829CA"/>
    <w:rsid w:val="00482B92"/>
    <w:rsid w:val="00482BEF"/>
    <w:rsid w:val="00482D08"/>
    <w:rsid w:val="00483136"/>
    <w:rsid w:val="00483198"/>
    <w:rsid w:val="004831EE"/>
    <w:rsid w:val="004833E5"/>
    <w:rsid w:val="00483403"/>
    <w:rsid w:val="004835CC"/>
    <w:rsid w:val="00483674"/>
    <w:rsid w:val="00483ADC"/>
    <w:rsid w:val="00483EB7"/>
    <w:rsid w:val="00484598"/>
    <w:rsid w:val="00484B6C"/>
    <w:rsid w:val="00484B91"/>
    <w:rsid w:val="004854A6"/>
    <w:rsid w:val="0048557B"/>
    <w:rsid w:val="004856EA"/>
    <w:rsid w:val="0048596A"/>
    <w:rsid w:val="00485BC3"/>
    <w:rsid w:val="004860D2"/>
    <w:rsid w:val="00486437"/>
    <w:rsid w:val="004864CF"/>
    <w:rsid w:val="004867FE"/>
    <w:rsid w:val="00486AC7"/>
    <w:rsid w:val="00486EA3"/>
    <w:rsid w:val="00486ED2"/>
    <w:rsid w:val="0048719C"/>
    <w:rsid w:val="00487480"/>
    <w:rsid w:val="00487E74"/>
    <w:rsid w:val="00487FD9"/>
    <w:rsid w:val="00490479"/>
    <w:rsid w:val="004908BA"/>
    <w:rsid w:val="004908CB"/>
    <w:rsid w:val="0049097A"/>
    <w:rsid w:val="00490AC5"/>
    <w:rsid w:val="0049140E"/>
    <w:rsid w:val="004917E7"/>
    <w:rsid w:val="0049195B"/>
    <w:rsid w:val="0049195E"/>
    <w:rsid w:val="00491CD0"/>
    <w:rsid w:val="00491E8A"/>
    <w:rsid w:val="00491EDC"/>
    <w:rsid w:val="00492B03"/>
    <w:rsid w:val="004930CA"/>
    <w:rsid w:val="00493326"/>
    <w:rsid w:val="00493649"/>
    <w:rsid w:val="00493CEE"/>
    <w:rsid w:val="00493E20"/>
    <w:rsid w:val="004940EF"/>
    <w:rsid w:val="0049427E"/>
    <w:rsid w:val="004943C2"/>
    <w:rsid w:val="0049475D"/>
    <w:rsid w:val="0049480B"/>
    <w:rsid w:val="00494C38"/>
    <w:rsid w:val="00495100"/>
    <w:rsid w:val="004955BF"/>
    <w:rsid w:val="004955C6"/>
    <w:rsid w:val="004955E4"/>
    <w:rsid w:val="004958F0"/>
    <w:rsid w:val="004959A5"/>
    <w:rsid w:val="0049602F"/>
    <w:rsid w:val="00496070"/>
    <w:rsid w:val="0049624D"/>
    <w:rsid w:val="004962E4"/>
    <w:rsid w:val="0049677D"/>
    <w:rsid w:val="004967D1"/>
    <w:rsid w:val="00496CE6"/>
    <w:rsid w:val="00496FB0"/>
    <w:rsid w:val="004971D4"/>
    <w:rsid w:val="00497237"/>
    <w:rsid w:val="0049774E"/>
    <w:rsid w:val="00497E88"/>
    <w:rsid w:val="00497EC0"/>
    <w:rsid w:val="004A0295"/>
    <w:rsid w:val="004A0435"/>
    <w:rsid w:val="004A050F"/>
    <w:rsid w:val="004A071D"/>
    <w:rsid w:val="004A0B6D"/>
    <w:rsid w:val="004A0BBB"/>
    <w:rsid w:val="004A0DB9"/>
    <w:rsid w:val="004A0DC5"/>
    <w:rsid w:val="004A1328"/>
    <w:rsid w:val="004A13FC"/>
    <w:rsid w:val="004A171A"/>
    <w:rsid w:val="004A1B33"/>
    <w:rsid w:val="004A1EF2"/>
    <w:rsid w:val="004A259F"/>
    <w:rsid w:val="004A27A3"/>
    <w:rsid w:val="004A3115"/>
    <w:rsid w:val="004A333E"/>
    <w:rsid w:val="004A3674"/>
    <w:rsid w:val="004A3877"/>
    <w:rsid w:val="004A3D66"/>
    <w:rsid w:val="004A406F"/>
    <w:rsid w:val="004A428D"/>
    <w:rsid w:val="004A42A3"/>
    <w:rsid w:val="004A45BF"/>
    <w:rsid w:val="004A478F"/>
    <w:rsid w:val="004A484E"/>
    <w:rsid w:val="004A4DE0"/>
    <w:rsid w:val="004A5062"/>
    <w:rsid w:val="004A599A"/>
    <w:rsid w:val="004A5AFF"/>
    <w:rsid w:val="004A5BA3"/>
    <w:rsid w:val="004A6071"/>
    <w:rsid w:val="004A609D"/>
    <w:rsid w:val="004A625B"/>
    <w:rsid w:val="004A6288"/>
    <w:rsid w:val="004A6432"/>
    <w:rsid w:val="004A64C6"/>
    <w:rsid w:val="004A67C7"/>
    <w:rsid w:val="004A6A67"/>
    <w:rsid w:val="004A6ADF"/>
    <w:rsid w:val="004A6BAB"/>
    <w:rsid w:val="004A6D48"/>
    <w:rsid w:val="004A6F1E"/>
    <w:rsid w:val="004A6FA4"/>
    <w:rsid w:val="004A709E"/>
    <w:rsid w:val="004A710E"/>
    <w:rsid w:val="004A76D7"/>
    <w:rsid w:val="004A7717"/>
    <w:rsid w:val="004A774E"/>
    <w:rsid w:val="004A7AC4"/>
    <w:rsid w:val="004A7C33"/>
    <w:rsid w:val="004B00E3"/>
    <w:rsid w:val="004B042E"/>
    <w:rsid w:val="004B0806"/>
    <w:rsid w:val="004B0CCA"/>
    <w:rsid w:val="004B152D"/>
    <w:rsid w:val="004B154E"/>
    <w:rsid w:val="004B1796"/>
    <w:rsid w:val="004B1896"/>
    <w:rsid w:val="004B193A"/>
    <w:rsid w:val="004B1B3D"/>
    <w:rsid w:val="004B1D11"/>
    <w:rsid w:val="004B1D53"/>
    <w:rsid w:val="004B1F17"/>
    <w:rsid w:val="004B208D"/>
    <w:rsid w:val="004B241D"/>
    <w:rsid w:val="004B2475"/>
    <w:rsid w:val="004B2A20"/>
    <w:rsid w:val="004B2AAA"/>
    <w:rsid w:val="004B3A0C"/>
    <w:rsid w:val="004B3C9D"/>
    <w:rsid w:val="004B3F2B"/>
    <w:rsid w:val="004B44D0"/>
    <w:rsid w:val="004B4829"/>
    <w:rsid w:val="004B4B49"/>
    <w:rsid w:val="004B4CB4"/>
    <w:rsid w:val="004B5268"/>
    <w:rsid w:val="004B5471"/>
    <w:rsid w:val="004B55C0"/>
    <w:rsid w:val="004B573B"/>
    <w:rsid w:val="004B5B97"/>
    <w:rsid w:val="004B5B9D"/>
    <w:rsid w:val="004B5F6F"/>
    <w:rsid w:val="004B5FB8"/>
    <w:rsid w:val="004B692F"/>
    <w:rsid w:val="004B6A39"/>
    <w:rsid w:val="004B6CD9"/>
    <w:rsid w:val="004B6DEA"/>
    <w:rsid w:val="004B726F"/>
    <w:rsid w:val="004B74AC"/>
    <w:rsid w:val="004B7889"/>
    <w:rsid w:val="004B7BEC"/>
    <w:rsid w:val="004C018B"/>
    <w:rsid w:val="004C029D"/>
    <w:rsid w:val="004C0355"/>
    <w:rsid w:val="004C0412"/>
    <w:rsid w:val="004C0634"/>
    <w:rsid w:val="004C06C9"/>
    <w:rsid w:val="004C09B9"/>
    <w:rsid w:val="004C0B70"/>
    <w:rsid w:val="004C0F88"/>
    <w:rsid w:val="004C0FE7"/>
    <w:rsid w:val="004C109E"/>
    <w:rsid w:val="004C1346"/>
    <w:rsid w:val="004C18AF"/>
    <w:rsid w:val="004C1936"/>
    <w:rsid w:val="004C1B91"/>
    <w:rsid w:val="004C1E60"/>
    <w:rsid w:val="004C22CC"/>
    <w:rsid w:val="004C22E2"/>
    <w:rsid w:val="004C247E"/>
    <w:rsid w:val="004C256F"/>
    <w:rsid w:val="004C2C79"/>
    <w:rsid w:val="004C3118"/>
    <w:rsid w:val="004C3132"/>
    <w:rsid w:val="004C3319"/>
    <w:rsid w:val="004C3677"/>
    <w:rsid w:val="004C394A"/>
    <w:rsid w:val="004C3B98"/>
    <w:rsid w:val="004C3F9E"/>
    <w:rsid w:val="004C401D"/>
    <w:rsid w:val="004C4237"/>
    <w:rsid w:val="004C4A20"/>
    <w:rsid w:val="004C4B35"/>
    <w:rsid w:val="004C5117"/>
    <w:rsid w:val="004C562F"/>
    <w:rsid w:val="004C57D3"/>
    <w:rsid w:val="004C5AC1"/>
    <w:rsid w:val="004C5E41"/>
    <w:rsid w:val="004C5F0D"/>
    <w:rsid w:val="004C6141"/>
    <w:rsid w:val="004C6394"/>
    <w:rsid w:val="004C6837"/>
    <w:rsid w:val="004C686D"/>
    <w:rsid w:val="004C6E1A"/>
    <w:rsid w:val="004C7089"/>
    <w:rsid w:val="004C7277"/>
    <w:rsid w:val="004C749A"/>
    <w:rsid w:val="004C7656"/>
    <w:rsid w:val="004C79EE"/>
    <w:rsid w:val="004C7F80"/>
    <w:rsid w:val="004D0392"/>
    <w:rsid w:val="004D039D"/>
    <w:rsid w:val="004D0539"/>
    <w:rsid w:val="004D06ED"/>
    <w:rsid w:val="004D0B1B"/>
    <w:rsid w:val="004D0D58"/>
    <w:rsid w:val="004D0F82"/>
    <w:rsid w:val="004D11A7"/>
    <w:rsid w:val="004D12CA"/>
    <w:rsid w:val="004D13C5"/>
    <w:rsid w:val="004D1536"/>
    <w:rsid w:val="004D15BF"/>
    <w:rsid w:val="004D1D19"/>
    <w:rsid w:val="004D213D"/>
    <w:rsid w:val="004D21D1"/>
    <w:rsid w:val="004D2385"/>
    <w:rsid w:val="004D25FC"/>
    <w:rsid w:val="004D29AE"/>
    <w:rsid w:val="004D2AE4"/>
    <w:rsid w:val="004D2AE6"/>
    <w:rsid w:val="004D2D73"/>
    <w:rsid w:val="004D3114"/>
    <w:rsid w:val="004D34DE"/>
    <w:rsid w:val="004D38FF"/>
    <w:rsid w:val="004D3B37"/>
    <w:rsid w:val="004D4DAA"/>
    <w:rsid w:val="004D4E9F"/>
    <w:rsid w:val="004D5188"/>
    <w:rsid w:val="004D5CA8"/>
    <w:rsid w:val="004D5CDD"/>
    <w:rsid w:val="004D6016"/>
    <w:rsid w:val="004D6236"/>
    <w:rsid w:val="004D62A6"/>
    <w:rsid w:val="004D6381"/>
    <w:rsid w:val="004D6394"/>
    <w:rsid w:val="004D67FD"/>
    <w:rsid w:val="004D6B22"/>
    <w:rsid w:val="004D6F61"/>
    <w:rsid w:val="004D7169"/>
    <w:rsid w:val="004D74AE"/>
    <w:rsid w:val="004D7B2B"/>
    <w:rsid w:val="004D7C42"/>
    <w:rsid w:val="004D7C6A"/>
    <w:rsid w:val="004D7FED"/>
    <w:rsid w:val="004E0036"/>
    <w:rsid w:val="004E00BC"/>
    <w:rsid w:val="004E0636"/>
    <w:rsid w:val="004E067F"/>
    <w:rsid w:val="004E08D4"/>
    <w:rsid w:val="004E143C"/>
    <w:rsid w:val="004E14EB"/>
    <w:rsid w:val="004E1988"/>
    <w:rsid w:val="004E1DCC"/>
    <w:rsid w:val="004E25C3"/>
    <w:rsid w:val="004E2B51"/>
    <w:rsid w:val="004E30FD"/>
    <w:rsid w:val="004E34F6"/>
    <w:rsid w:val="004E3672"/>
    <w:rsid w:val="004E3AE0"/>
    <w:rsid w:val="004E3B26"/>
    <w:rsid w:val="004E4183"/>
    <w:rsid w:val="004E43DE"/>
    <w:rsid w:val="004E46C9"/>
    <w:rsid w:val="004E4719"/>
    <w:rsid w:val="004E4D07"/>
    <w:rsid w:val="004E4DE4"/>
    <w:rsid w:val="004E517C"/>
    <w:rsid w:val="004E51A7"/>
    <w:rsid w:val="004E54EB"/>
    <w:rsid w:val="004E561C"/>
    <w:rsid w:val="004E5671"/>
    <w:rsid w:val="004E5AC7"/>
    <w:rsid w:val="004E5D97"/>
    <w:rsid w:val="004E5ECB"/>
    <w:rsid w:val="004E62B6"/>
    <w:rsid w:val="004E6377"/>
    <w:rsid w:val="004E68F7"/>
    <w:rsid w:val="004E69C5"/>
    <w:rsid w:val="004E6C18"/>
    <w:rsid w:val="004E6E5C"/>
    <w:rsid w:val="004E713B"/>
    <w:rsid w:val="004E7493"/>
    <w:rsid w:val="004E74B7"/>
    <w:rsid w:val="004E7924"/>
    <w:rsid w:val="004E7D98"/>
    <w:rsid w:val="004E7FAF"/>
    <w:rsid w:val="004F0048"/>
    <w:rsid w:val="004F0161"/>
    <w:rsid w:val="004F0978"/>
    <w:rsid w:val="004F0B75"/>
    <w:rsid w:val="004F133E"/>
    <w:rsid w:val="004F2B69"/>
    <w:rsid w:val="004F2BB8"/>
    <w:rsid w:val="004F2D24"/>
    <w:rsid w:val="004F2D55"/>
    <w:rsid w:val="004F2EB4"/>
    <w:rsid w:val="004F37B8"/>
    <w:rsid w:val="004F382F"/>
    <w:rsid w:val="004F3C7F"/>
    <w:rsid w:val="004F40FE"/>
    <w:rsid w:val="004F4169"/>
    <w:rsid w:val="004F42F6"/>
    <w:rsid w:val="004F4843"/>
    <w:rsid w:val="004F4B7A"/>
    <w:rsid w:val="004F4CD7"/>
    <w:rsid w:val="004F50CE"/>
    <w:rsid w:val="004F5518"/>
    <w:rsid w:val="004F5627"/>
    <w:rsid w:val="004F571F"/>
    <w:rsid w:val="004F5748"/>
    <w:rsid w:val="004F5D9E"/>
    <w:rsid w:val="004F5EF9"/>
    <w:rsid w:val="004F5FA5"/>
    <w:rsid w:val="004F6052"/>
    <w:rsid w:val="004F681D"/>
    <w:rsid w:val="004F68DC"/>
    <w:rsid w:val="004F75D4"/>
    <w:rsid w:val="004F760B"/>
    <w:rsid w:val="004F7893"/>
    <w:rsid w:val="004F7AF5"/>
    <w:rsid w:val="004F7CA2"/>
    <w:rsid w:val="004F7D18"/>
    <w:rsid w:val="00500298"/>
    <w:rsid w:val="00500822"/>
    <w:rsid w:val="00500D45"/>
    <w:rsid w:val="0050115E"/>
    <w:rsid w:val="00501994"/>
    <w:rsid w:val="00501A37"/>
    <w:rsid w:val="00501D52"/>
    <w:rsid w:val="00501D96"/>
    <w:rsid w:val="00501F5C"/>
    <w:rsid w:val="00502054"/>
    <w:rsid w:val="00502060"/>
    <w:rsid w:val="005020D2"/>
    <w:rsid w:val="005020D3"/>
    <w:rsid w:val="00502251"/>
    <w:rsid w:val="00502628"/>
    <w:rsid w:val="005028D5"/>
    <w:rsid w:val="00502D2B"/>
    <w:rsid w:val="00502E0C"/>
    <w:rsid w:val="00502FAD"/>
    <w:rsid w:val="00503696"/>
    <w:rsid w:val="00503BFE"/>
    <w:rsid w:val="00503C7D"/>
    <w:rsid w:val="00503D3F"/>
    <w:rsid w:val="00503DAA"/>
    <w:rsid w:val="005040BA"/>
    <w:rsid w:val="005043A0"/>
    <w:rsid w:val="00504423"/>
    <w:rsid w:val="005045E2"/>
    <w:rsid w:val="005047D1"/>
    <w:rsid w:val="00504C11"/>
    <w:rsid w:val="00504E19"/>
    <w:rsid w:val="00504E28"/>
    <w:rsid w:val="005053A9"/>
    <w:rsid w:val="005056E2"/>
    <w:rsid w:val="0050582C"/>
    <w:rsid w:val="005059A5"/>
    <w:rsid w:val="00505B86"/>
    <w:rsid w:val="00505C27"/>
    <w:rsid w:val="00505EB2"/>
    <w:rsid w:val="0050609E"/>
    <w:rsid w:val="0050619E"/>
    <w:rsid w:val="00506888"/>
    <w:rsid w:val="005069AE"/>
    <w:rsid w:val="005069B2"/>
    <w:rsid w:val="00506B84"/>
    <w:rsid w:val="00506C26"/>
    <w:rsid w:val="00506C5E"/>
    <w:rsid w:val="00506F19"/>
    <w:rsid w:val="0050708B"/>
    <w:rsid w:val="005072A9"/>
    <w:rsid w:val="00507640"/>
    <w:rsid w:val="00507ADC"/>
    <w:rsid w:val="00507C96"/>
    <w:rsid w:val="00507E55"/>
    <w:rsid w:val="0051042D"/>
    <w:rsid w:val="00510528"/>
    <w:rsid w:val="00510701"/>
    <w:rsid w:val="00510756"/>
    <w:rsid w:val="00511188"/>
    <w:rsid w:val="00511583"/>
    <w:rsid w:val="0051158C"/>
    <w:rsid w:val="00511C10"/>
    <w:rsid w:val="00511CF1"/>
    <w:rsid w:val="0051202B"/>
    <w:rsid w:val="00512085"/>
    <w:rsid w:val="0051218D"/>
    <w:rsid w:val="005121C2"/>
    <w:rsid w:val="005121EC"/>
    <w:rsid w:val="00512332"/>
    <w:rsid w:val="0051258C"/>
    <w:rsid w:val="00512BB7"/>
    <w:rsid w:val="00512F43"/>
    <w:rsid w:val="00513069"/>
    <w:rsid w:val="00513397"/>
    <w:rsid w:val="005138AE"/>
    <w:rsid w:val="00513A79"/>
    <w:rsid w:val="00513B1F"/>
    <w:rsid w:val="00513E35"/>
    <w:rsid w:val="00514217"/>
    <w:rsid w:val="0051436D"/>
    <w:rsid w:val="005147C8"/>
    <w:rsid w:val="00514C64"/>
    <w:rsid w:val="00514C80"/>
    <w:rsid w:val="0051507D"/>
    <w:rsid w:val="00515B9E"/>
    <w:rsid w:val="00515CB5"/>
    <w:rsid w:val="005169E5"/>
    <w:rsid w:val="00516B27"/>
    <w:rsid w:val="00516BDF"/>
    <w:rsid w:val="00516CA0"/>
    <w:rsid w:val="005170AE"/>
    <w:rsid w:val="0051725C"/>
    <w:rsid w:val="00517293"/>
    <w:rsid w:val="0051750B"/>
    <w:rsid w:val="005176B0"/>
    <w:rsid w:val="0051781D"/>
    <w:rsid w:val="00517EE1"/>
    <w:rsid w:val="00520424"/>
    <w:rsid w:val="00520639"/>
    <w:rsid w:val="0052079F"/>
    <w:rsid w:val="005209A0"/>
    <w:rsid w:val="00520B31"/>
    <w:rsid w:val="00520B49"/>
    <w:rsid w:val="00520CD4"/>
    <w:rsid w:val="00520E58"/>
    <w:rsid w:val="00520EDC"/>
    <w:rsid w:val="005210B9"/>
    <w:rsid w:val="0052158F"/>
    <w:rsid w:val="00521647"/>
    <w:rsid w:val="00521A1E"/>
    <w:rsid w:val="005221AC"/>
    <w:rsid w:val="00522376"/>
    <w:rsid w:val="00522458"/>
    <w:rsid w:val="00522739"/>
    <w:rsid w:val="005227C4"/>
    <w:rsid w:val="00522926"/>
    <w:rsid w:val="00522989"/>
    <w:rsid w:val="00522A81"/>
    <w:rsid w:val="00522B82"/>
    <w:rsid w:val="00522F96"/>
    <w:rsid w:val="00523061"/>
    <w:rsid w:val="00523325"/>
    <w:rsid w:val="005234F8"/>
    <w:rsid w:val="00523EFD"/>
    <w:rsid w:val="00524076"/>
    <w:rsid w:val="0052436E"/>
    <w:rsid w:val="00524394"/>
    <w:rsid w:val="005243F9"/>
    <w:rsid w:val="005248EB"/>
    <w:rsid w:val="00524F55"/>
    <w:rsid w:val="00524F88"/>
    <w:rsid w:val="005251D9"/>
    <w:rsid w:val="00525674"/>
    <w:rsid w:val="005256F5"/>
    <w:rsid w:val="00525894"/>
    <w:rsid w:val="005259E8"/>
    <w:rsid w:val="00525BE0"/>
    <w:rsid w:val="00525CF9"/>
    <w:rsid w:val="00526027"/>
    <w:rsid w:val="0052604D"/>
    <w:rsid w:val="00526065"/>
    <w:rsid w:val="0052657F"/>
    <w:rsid w:val="005267BF"/>
    <w:rsid w:val="00526946"/>
    <w:rsid w:val="005269F3"/>
    <w:rsid w:val="00527509"/>
    <w:rsid w:val="005279B1"/>
    <w:rsid w:val="00527A8E"/>
    <w:rsid w:val="00527DA8"/>
    <w:rsid w:val="00530201"/>
    <w:rsid w:val="005302DA"/>
    <w:rsid w:val="005304C9"/>
    <w:rsid w:val="005304DE"/>
    <w:rsid w:val="005305F5"/>
    <w:rsid w:val="0053078C"/>
    <w:rsid w:val="00530A69"/>
    <w:rsid w:val="00530B47"/>
    <w:rsid w:val="00530C48"/>
    <w:rsid w:val="00530FF0"/>
    <w:rsid w:val="0053107F"/>
    <w:rsid w:val="005317E9"/>
    <w:rsid w:val="00531B9A"/>
    <w:rsid w:val="00531C09"/>
    <w:rsid w:val="0053227A"/>
    <w:rsid w:val="005324D3"/>
    <w:rsid w:val="00532566"/>
    <w:rsid w:val="00532820"/>
    <w:rsid w:val="005329F1"/>
    <w:rsid w:val="00532F84"/>
    <w:rsid w:val="0053304C"/>
    <w:rsid w:val="005332F2"/>
    <w:rsid w:val="00533672"/>
    <w:rsid w:val="005339B5"/>
    <w:rsid w:val="00533A31"/>
    <w:rsid w:val="00533D7B"/>
    <w:rsid w:val="00533D96"/>
    <w:rsid w:val="0053442A"/>
    <w:rsid w:val="0053443D"/>
    <w:rsid w:val="0053455E"/>
    <w:rsid w:val="00534646"/>
    <w:rsid w:val="00534775"/>
    <w:rsid w:val="005347CE"/>
    <w:rsid w:val="00534888"/>
    <w:rsid w:val="005348D6"/>
    <w:rsid w:val="005349DA"/>
    <w:rsid w:val="00534A02"/>
    <w:rsid w:val="00534BF8"/>
    <w:rsid w:val="00534F97"/>
    <w:rsid w:val="00535265"/>
    <w:rsid w:val="005353DB"/>
    <w:rsid w:val="00535533"/>
    <w:rsid w:val="005355E7"/>
    <w:rsid w:val="0053560C"/>
    <w:rsid w:val="005358A1"/>
    <w:rsid w:val="00535C16"/>
    <w:rsid w:val="00536165"/>
    <w:rsid w:val="00536288"/>
    <w:rsid w:val="005362CC"/>
    <w:rsid w:val="005367D5"/>
    <w:rsid w:val="00536836"/>
    <w:rsid w:val="00536B2A"/>
    <w:rsid w:val="00536B87"/>
    <w:rsid w:val="00536C4D"/>
    <w:rsid w:val="00536C72"/>
    <w:rsid w:val="00536E40"/>
    <w:rsid w:val="00536E7C"/>
    <w:rsid w:val="00536F6F"/>
    <w:rsid w:val="00537011"/>
    <w:rsid w:val="005370E3"/>
    <w:rsid w:val="005372BF"/>
    <w:rsid w:val="0053739D"/>
    <w:rsid w:val="005376BE"/>
    <w:rsid w:val="0053796E"/>
    <w:rsid w:val="00537A19"/>
    <w:rsid w:val="00537CFB"/>
    <w:rsid w:val="005400FD"/>
    <w:rsid w:val="005401A0"/>
    <w:rsid w:val="00540864"/>
    <w:rsid w:val="00540902"/>
    <w:rsid w:val="00540D34"/>
    <w:rsid w:val="00540D61"/>
    <w:rsid w:val="00540D89"/>
    <w:rsid w:val="00541177"/>
    <w:rsid w:val="005411E7"/>
    <w:rsid w:val="00541B1C"/>
    <w:rsid w:val="00541BE2"/>
    <w:rsid w:val="00541DC6"/>
    <w:rsid w:val="00541EDE"/>
    <w:rsid w:val="00542121"/>
    <w:rsid w:val="005421BE"/>
    <w:rsid w:val="00542240"/>
    <w:rsid w:val="00542354"/>
    <w:rsid w:val="0054235F"/>
    <w:rsid w:val="005423EF"/>
    <w:rsid w:val="00542950"/>
    <w:rsid w:val="00542973"/>
    <w:rsid w:val="005429AF"/>
    <w:rsid w:val="00543160"/>
    <w:rsid w:val="005431B1"/>
    <w:rsid w:val="0054324A"/>
    <w:rsid w:val="00543C03"/>
    <w:rsid w:val="00543C57"/>
    <w:rsid w:val="00544240"/>
    <w:rsid w:val="0054455F"/>
    <w:rsid w:val="00544815"/>
    <w:rsid w:val="00544A4E"/>
    <w:rsid w:val="00544E61"/>
    <w:rsid w:val="0054508B"/>
    <w:rsid w:val="005450AA"/>
    <w:rsid w:val="0054567D"/>
    <w:rsid w:val="005457CE"/>
    <w:rsid w:val="00545B16"/>
    <w:rsid w:val="00545B62"/>
    <w:rsid w:val="00545B89"/>
    <w:rsid w:val="00545DD3"/>
    <w:rsid w:val="0054621E"/>
    <w:rsid w:val="0054638C"/>
    <w:rsid w:val="00546857"/>
    <w:rsid w:val="005469FF"/>
    <w:rsid w:val="00546C2D"/>
    <w:rsid w:val="00546CDA"/>
    <w:rsid w:val="00546EF9"/>
    <w:rsid w:val="00546F3A"/>
    <w:rsid w:val="00547037"/>
    <w:rsid w:val="00547124"/>
    <w:rsid w:val="005471E7"/>
    <w:rsid w:val="0054720D"/>
    <w:rsid w:val="00547346"/>
    <w:rsid w:val="00547390"/>
    <w:rsid w:val="005477C9"/>
    <w:rsid w:val="00547CD4"/>
    <w:rsid w:val="00547D48"/>
    <w:rsid w:val="00547ED3"/>
    <w:rsid w:val="0055006D"/>
    <w:rsid w:val="005501DB"/>
    <w:rsid w:val="00550262"/>
    <w:rsid w:val="005503E5"/>
    <w:rsid w:val="00550813"/>
    <w:rsid w:val="00550B7F"/>
    <w:rsid w:val="00550D2F"/>
    <w:rsid w:val="00551059"/>
    <w:rsid w:val="00551681"/>
    <w:rsid w:val="005518B0"/>
    <w:rsid w:val="00551DFA"/>
    <w:rsid w:val="00552148"/>
    <w:rsid w:val="0055237B"/>
    <w:rsid w:val="005523BA"/>
    <w:rsid w:val="0055262B"/>
    <w:rsid w:val="00552AAE"/>
    <w:rsid w:val="00552F68"/>
    <w:rsid w:val="00553639"/>
    <w:rsid w:val="00553726"/>
    <w:rsid w:val="00553AF5"/>
    <w:rsid w:val="00553B4E"/>
    <w:rsid w:val="00553EF6"/>
    <w:rsid w:val="00554435"/>
    <w:rsid w:val="0055448C"/>
    <w:rsid w:val="0055451C"/>
    <w:rsid w:val="0055453C"/>
    <w:rsid w:val="005549E8"/>
    <w:rsid w:val="00554A8F"/>
    <w:rsid w:val="00554C95"/>
    <w:rsid w:val="00554CF4"/>
    <w:rsid w:val="0055507C"/>
    <w:rsid w:val="005557EE"/>
    <w:rsid w:val="00555868"/>
    <w:rsid w:val="00555967"/>
    <w:rsid w:val="00555CF4"/>
    <w:rsid w:val="00556010"/>
    <w:rsid w:val="00556329"/>
    <w:rsid w:val="0055662B"/>
    <w:rsid w:val="0055673D"/>
    <w:rsid w:val="0055693E"/>
    <w:rsid w:val="00556AFD"/>
    <w:rsid w:val="0055710C"/>
    <w:rsid w:val="0055724D"/>
    <w:rsid w:val="00557D13"/>
    <w:rsid w:val="00557FC2"/>
    <w:rsid w:val="00560142"/>
    <w:rsid w:val="00560667"/>
    <w:rsid w:val="005607D8"/>
    <w:rsid w:val="00560849"/>
    <w:rsid w:val="00560E7F"/>
    <w:rsid w:val="00561605"/>
    <w:rsid w:val="00561807"/>
    <w:rsid w:val="0056193E"/>
    <w:rsid w:val="00561B12"/>
    <w:rsid w:val="00561C12"/>
    <w:rsid w:val="00561DF8"/>
    <w:rsid w:val="005621A0"/>
    <w:rsid w:val="005622D0"/>
    <w:rsid w:val="0056241C"/>
    <w:rsid w:val="005627CD"/>
    <w:rsid w:val="00562910"/>
    <w:rsid w:val="005629B9"/>
    <w:rsid w:val="00562DEF"/>
    <w:rsid w:val="00562E6A"/>
    <w:rsid w:val="005637FA"/>
    <w:rsid w:val="005638CF"/>
    <w:rsid w:val="00563A22"/>
    <w:rsid w:val="00563A4E"/>
    <w:rsid w:val="00563AC4"/>
    <w:rsid w:val="00563D51"/>
    <w:rsid w:val="0056444A"/>
    <w:rsid w:val="005644CA"/>
    <w:rsid w:val="00564799"/>
    <w:rsid w:val="005648BF"/>
    <w:rsid w:val="00564B61"/>
    <w:rsid w:val="00565647"/>
    <w:rsid w:val="005658BC"/>
    <w:rsid w:val="005658D6"/>
    <w:rsid w:val="00565B13"/>
    <w:rsid w:val="00565DD4"/>
    <w:rsid w:val="00565F75"/>
    <w:rsid w:val="005660D0"/>
    <w:rsid w:val="00566174"/>
    <w:rsid w:val="00566319"/>
    <w:rsid w:val="005664B5"/>
    <w:rsid w:val="00566534"/>
    <w:rsid w:val="005666E5"/>
    <w:rsid w:val="0056694C"/>
    <w:rsid w:val="00566BD7"/>
    <w:rsid w:val="005676A5"/>
    <w:rsid w:val="00567AE1"/>
    <w:rsid w:val="00567C69"/>
    <w:rsid w:val="00567EF4"/>
    <w:rsid w:val="005702D1"/>
    <w:rsid w:val="0057033F"/>
    <w:rsid w:val="00570620"/>
    <w:rsid w:val="00570691"/>
    <w:rsid w:val="00570AE4"/>
    <w:rsid w:val="00570DE2"/>
    <w:rsid w:val="00571270"/>
    <w:rsid w:val="005713A0"/>
    <w:rsid w:val="005713F7"/>
    <w:rsid w:val="0057143B"/>
    <w:rsid w:val="00571443"/>
    <w:rsid w:val="00571A2C"/>
    <w:rsid w:val="00571A3F"/>
    <w:rsid w:val="00571C02"/>
    <w:rsid w:val="00571D7C"/>
    <w:rsid w:val="005722B3"/>
    <w:rsid w:val="005724BF"/>
    <w:rsid w:val="00572740"/>
    <w:rsid w:val="00572788"/>
    <w:rsid w:val="0057296E"/>
    <w:rsid w:val="00572DCF"/>
    <w:rsid w:val="00573175"/>
    <w:rsid w:val="00573716"/>
    <w:rsid w:val="00573917"/>
    <w:rsid w:val="005739EB"/>
    <w:rsid w:val="00573BD4"/>
    <w:rsid w:val="00573C5D"/>
    <w:rsid w:val="005744D7"/>
    <w:rsid w:val="00574A83"/>
    <w:rsid w:val="005750D1"/>
    <w:rsid w:val="005755B1"/>
    <w:rsid w:val="00575975"/>
    <w:rsid w:val="00575CBE"/>
    <w:rsid w:val="00575D3A"/>
    <w:rsid w:val="00575FF8"/>
    <w:rsid w:val="005761A6"/>
    <w:rsid w:val="0057655F"/>
    <w:rsid w:val="0057678D"/>
    <w:rsid w:val="005773D3"/>
    <w:rsid w:val="00577531"/>
    <w:rsid w:val="005778B9"/>
    <w:rsid w:val="00577ADC"/>
    <w:rsid w:val="00580042"/>
    <w:rsid w:val="005801F6"/>
    <w:rsid w:val="00580E9A"/>
    <w:rsid w:val="00581031"/>
    <w:rsid w:val="00581156"/>
    <w:rsid w:val="005811A3"/>
    <w:rsid w:val="0058124B"/>
    <w:rsid w:val="0058153A"/>
    <w:rsid w:val="005815CE"/>
    <w:rsid w:val="00581637"/>
    <w:rsid w:val="0058167C"/>
    <w:rsid w:val="00582087"/>
    <w:rsid w:val="00582ACA"/>
    <w:rsid w:val="00582BD0"/>
    <w:rsid w:val="00582D09"/>
    <w:rsid w:val="00583083"/>
    <w:rsid w:val="0058316C"/>
    <w:rsid w:val="0058336A"/>
    <w:rsid w:val="005834FE"/>
    <w:rsid w:val="00583504"/>
    <w:rsid w:val="0058367E"/>
    <w:rsid w:val="00583B82"/>
    <w:rsid w:val="00583E7B"/>
    <w:rsid w:val="00583E95"/>
    <w:rsid w:val="00583FA9"/>
    <w:rsid w:val="00583FF4"/>
    <w:rsid w:val="0058403D"/>
    <w:rsid w:val="00584086"/>
    <w:rsid w:val="00584260"/>
    <w:rsid w:val="00584712"/>
    <w:rsid w:val="0058520D"/>
    <w:rsid w:val="0058576F"/>
    <w:rsid w:val="005858CF"/>
    <w:rsid w:val="00585A52"/>
    <w:rsid w:val="00585B05"/>
    <w:rsid w:val="00586586"/>
    <w:rsid w:val="00586C3F"/>
    <w:rsid w:val="00586CFA"/>
    <w:rsid w:val="00586E1C"/>
    <w:rsid w:val="005871C8"/>
    <w:rsid w:val="005871DD"/>
    <w:rsid w:val="0058723F"/>
    <w:rsid w:val="005872A4"/>
    <w:rsid w:val="005872AB"/>
    <w:rsid w:val="00587376"/>
    <w:rsid w:val="005873EE"/>
    <w:rsid w:val="0058748F"/>
    <w:rsid w:val="00587797"/>
    <w:rsid w:val="00587BC1"/>
    <w:rsid w:val="005900F2"/>
    <w:rsid w:val="005902FC"/>
    <w:rsid w:val="0059078C"/>
    <w:rsid w:val="00590849"/>
    <w:rsid w:val="005908DF"/>
    <w:rsid w:val="00590A4A"/>
    <w:rsid w:val="00591271"/>
    <w:rsid w:val="00591515"/>
    <w:rsid w:val="005916FD"/>
    <w:rsid w:val="00591982"/>
    <w:rsid w:val="00591ED4"/>
    <w:rsid w:val="00592517"/>
    <w:rsid w:val="00592621"/>
    <w:rsid w:val="00592632"/>
    <w:rsid w:val="0059282F"/>
    <w:rsid w:val="005935C8"/>
    <w:rsid w:val="00593720"/>
    <w:rsid w:val="0059445F"/>
    <w:rsid w:val="0059485B"/>
    <w:rsid w:val="00594BE3"/>
    <w:rsid w:val="005951B7"/>
    <w:rsid w:val="00595360"/>
    <w:rsid w:val="005955E8"/>
    <w:rsid w:val="005955FD"/>
    <w:rsid w:val="00595A04"/>
    <w:rsid w:val="00595E26"/>
    <w:rsid w:val="00596386"/>
    <w:rsid w:val="005968A6"/>
    <w:rsid w:val="00596921"/>
    <w:rsid w:val="00596C3C"/>
    <w:rsid w:val="0059730E"/>
    <w:rsid w:val="00597608"/>
    <w:rsid w:val="00597BA0"/>
    <w:rsid w:val="00597BDB"/>
    <w:rsid w:val="00597E56"/>
    <w:rsid w:val="005A077D"/>
    <w:rsid w:val="005A08D7"/>
    <w:rsid w:val="005A0AE1"/>
    <w:rsid w:val="005A0E40"/>
    <w:rsid w:val="005A19F8"/>
    <w:rsid w:val="005A1A4A"/>
    <w:rsid w:val="005A1CF0"/>
    <w:rsid w:val="005A227E"/>
    <w:rsid w:val="005A2892"/>
    <w:rsid w:val="005A29C9"/>
    <w:rsid w:val="005A2B39"/>
    <w:rsid w:val="005A2B9B"/>
    <w:rsid w:val="005A3559"/>
    <w:rsid w:val="005A35A1"/>
    <w:rsid w:val="005A3A96"/>
    <w:rsid w:val="005A3B24"/>
    <w:rsid w:val="005A486B"/>
    <w:rsid w:val="005A4AEF"/>
    <w:rsid w:val="005A4BF4"/>
    <w:rsid w:val="005A4D1F"/>
    <w:rsid w:val="005A556D"/>
    <w:rsid w:val="005A5618"/>
    <w:rsid w:val="005A57A1"/>
    <w:rsid w:val="005A5805"/>
    <w:rsid w:val="005A5A1C"/>
    <w:rsid w:val="005A5E3E"/>
    <w:rsid w:val="005A5F6C"/>
    <w:rsid w:val="005A5FFE"/>
    <w:rsid w:val="005A6620"/>
    <w:rsid w:val="005A68A3"/>
    <w:rsid w:val="005A6D40"/>
    <w:rsid w:val="005A6D81"/>
    <w:rsid w:val="005A724F"/>
    <w:rsid w:val="005A7368"/>
    <w:rsid w:val="005A7925"/>
    <w:rsid w:val="005A79F1"/>
    <w:rsid w:val="005A7AEE"/>
    <w:rsid w:val="005B0432"/>
    <w:rsid w:val="005B05AD"/>
    <w:rsid w:val="005B07A3"/>
    <w:rsid w:val="005B0930"/>
    <w:rsid w:val="005B0E39"/>
    <w:rsid w:val="005B10A8"/>
    <w:rsid w:val="005B110B"/>
    <w:rsid w:val="005B145B"/>
    <w:rsid w:val="005B14DC"/>
    <w:rsid w:val="005B1604"/>
    <w:rsid w:val="005B165D"/>
    <w:rsid w:val="005B18DB"/>
    <w:rsid w:val="005B23D4"/>
    <w:rsid w:val="005B24FB"/>
    <w:rsid w:val="005B28EB"/>
    <w:rsid w:val="005B2B7C"/>
    <w:rsid w:val="005B2CD0"/>
    <w:rsid w:val="005B3226"/>
    <w:rsid w:val="005B36EA"/>
    <w:rsid w:val="005B3748"/>
    <w:rsid w:val="005B3799"/>
    <w:rsid w:val="005B39C8"/>
    <w:rsid w:val="005B3A55"/>
    <w:rsid w:val="005B444F"/>
    <w:rsid w:val="005B4675"/>
    <w:rsid w:val="005B4774"/>
    <w:rsid w:val="005B488F"/>
    <w:rsid w:val="005B4A12"/>
    <w:rsid w:val="005B4C57"/>
    <w:rsid w:val="005B4C8D"/>
    <w:rsid w:val="005B4E85"/>
    <w:rsid w:val="005B5066"/>
    <w:rsid w:val="005B532E"/>
    <w:rsid w:val="005B5C5A"/>
    <w:rsid w:val="005B5F22"/>
    <w:rsid w:val="005B6961"/>
    <w:rsid w:val="005B69CF"/>
    <w:rsid w:val="005B6E00"/>
    <w:rsid w:val="005B73D5"/>
    <w:rsid w:val="005B7B29"/>
    <w:rsid w:val="005B7DCF"/>
    <w:rsid w:val="005B7E50"/>
    <w:rsid w:val="005B7F76"/>
    <w:rsid w:val="005C0BB8"/>
    <w:rsid w:val="005C0D9E"/>
    <w:rsid w:val="005C0EA3"/>
    <w:rsid w:val="005C1154"/>
    <w:rsid w:val="005C1CB9"/>
    <w:rsid w:val="005C1F72"/>
    <w:rsid w:val="005C2071"/>
    <w:rsid w:val="005C21A4"/>
    <w:rsid w:val="005C25A4"/>
    <w:rsid w:val="005C2C3A"/>
    <w:rsid w:val="005C2EC7"/>
    <w:rsid w:val="005C31FF"/>
    <w:rsid w:val="005C357F"/>
    <w:rsid w:val="005C3880"/>
    <w:rsid w:val="005C39C9"/>
    <w:rsid w:val="005C3B40"/>
    <w:rsid w:val="005C3F2A"/>
    <w:rsid w:val="005C4150"/>
    <w:rsid w:val="005C453E"/>
    <w:rsid w:val="005C468E"/>
    <w:rsid w:val="005C46EA"/>
    <w:rsid w:val="005C48FB"/>
    <w:rsid w:val="005C4E40"/>
    <w:rsid w:val="005C5B76"/>
    <w:rsid w:val="005C5D8C"/>
    <w:rsid w:val="005C5DBA"/>
    <w:rsid w:val="005C5EEE"/>
    <w:rsid w:val="005C67D5"/>
    <w:rsid w:val="005C75CD"/>
    <w:rsid w:val="005C79AB"/>
    <w:rsid w:val="005C7B3A"/>
    <w:rsid w:val="005C7C30"/>
    <w:rsid w:val="005C7C41"/>
    <w:rsid w:val="005C7D67"/>
    <w:rsid w:val="005C7F3D"/>
    <w:rsid w:val="005D045A"/>
    <w:rsid w:val="005D0486"/>
    <w:rsid w:val="005D09A1"/>
    <w:rsid w:val="005D0E44"/>
    <w:rsid w:val="005D0E6A"/>
    <w:rsid w:val="005D1103"/>
    <w:rsid w:val="005D1148"/>
    <w:rsid w:val="005D1209"/>
    <w:rsid w:val="005D14C0"/>
    <w:rsid w:val="005D14F1"/>
    <w:rsid w:val="005D19A0"/>
    <w:rsid w:val="005D1B7F"/>
    <w:rsid w:val="005D1C86"/>
    <w:rsid w:val="005D1DE8"/>
    <w:rsid w:val="005D1E8A"/>
    <w:rsid w:val="005D21AF"/>
    <w:rsid w:val="005D2526"/>
    <w:rsid w:val="005D2623"/>
    <w:rsid w:val="005D28EF"/>
    <w:rsid w:val="005D2C95"/>
    <w:rsid w:val="005D2E10"/>
    <w:rsid w:val="005D32B2"/>
    <w:rsid w:val="005D330B"/>
    <w:rsid w:val="005D3471"/>
    <w:rsid w:val="005D34B7"/>
    <w:rsid w:val="005D3941"/>
    <w:rsid w:val="005D3B37"/>
    <w:rsid w:val="005D3C58"/>
    <w:rsid w:val="005D456E"/>
    <w:rsid w:val="005D45F2"/>
    <w:rsid w:val="005D483D"/>
    <w:rsid w:val="005D4871"/>
    <w:rsid w:val="005D4A09"/>
    <w:rsid w:val="005D4AC1"/>
    <w:rsid w:val="005D4D88"/>
    <w:rsid w:val="005D4E61"/>
    <w:rsid w:val="005D4F29"/>
    <w:rsid w:val="005D508D"/>
    <w:rsid w:val="005D5358"/>
    <w:rsid w:val="005D5C30"/>
    <w:rsid w:val="005D5D47"/>
    <w:rsid w:val="005D64D6"/>
    <w:rsid w:val="005D6766"/>
    <w:rsid w:val="005D714A"/>
    <w:rsid w:val="005D71F3"/>
    <w:rsid w:val="005D73D0"/>
    <w:rsid w:val="005D79B9"/>
    <w:rsid w:val="005D7BE0"/>
    <w:rsid w:val="005E0344"/>
    <w:rsid w:val="005E116B"/>
    <w:rsid w:val="005E12D3"/>
    <w:rsid w:val="005E1A5C"/>
    <w:rsid w:val="005E1AF0"/>
    <w:rsid w:val="005E217D"/>
    <w:rsid w:val="005E2B33"/>
    <w:rsid w:val="005E2DDE"/>
    <w:rsid w:val="005E2E3E"/>
    <w:rsid w:val="005E2E58"/>
    <w:rsid w:val="005E3240"/>
    <w:rsid w:val="005E3287"/>
    <w:rsid w:val="005E355E"/>
    <w:rsid w:val="005E35C7"/>
    <w:rsid w:val="005E3605"/>
    <w:rsid w:val="005E38FC"/>
    <w:rsid w:val="005E3DFD"/>
    <w:rsid w:val="005E3F08"/>
    <w:rsid w:val="005E4D80"/>
    <w:rsid w:val="005E4F5C"/>
    <w:rsid w:val="005E521C"/>
    <w:rsid w:val="005E554B"/>
    <w:rsid w:val="005E582E"/>
    <w:rsid w:val="005E5A18"/>
    <w:rsid w:val="005E5A93"/>
    <w:rsid w:val="005E5ADE"/>
    <w:rsid w:val="005E5BE3"/>
    <w:rsid w:val="005E5CD8"/>
    <w:rsid w:val="005E5D17"/>
    <w:rsid w:val="005E5D1F"/>
    <w:rsid w:val="005E5F72"/>
    <w:rsid w:val="005E60A4"/>
    <w:rsid w:val="005E6118"/>
    <w:rsid w:val="005E6148"/>
    <w:rsid w:val="005E630D"/>
    <w:rsid w:val="005E66C2"/>
    <w:rsid w:val="005E742D"/>
    <w:rsid w:val="005E7A10"/>
    <w:rsid w:val="005F0058"/>
    <w:rsid w:val="005F055B"/>
    <w:rsid w:val="005F0669"/>
    <w:rsid w:val="005F078B"/>
    <w:rsid w:val="005F07DC"/>
    <w:rsid w:val="005F0D63"/>
    <w:rsid w:val="005F0FAB"/>
    <w:rsid w:val="005F10FC"/>
    <w:rsid w:val="005F190F"/>
    <w:rsid w:val="005F1BC8"/>
    <w:rsid w:val="005F1FCE"/>
    <w:rsid w:val="005F2355"/>
    <w:rsid w:val="005F266E"/>
    <w:rsid w:val="005F333A"/>
    <w:rsid w:val="005F337B"/>
    <w:rsid w:val="005F389F"/>
    <w:rsid w:val="005F3D94"/>
    <w:rsid w:val="005F3DE9"/>
    <w:rsid w:val="005F4234"/>
    <w:rsid w:val="005F4417"/>
    <w:rsid w:val="005F45C0"/>
    <w:rsid w:val="005F4C66"/>
    <w:rsid w:val="005F4F7E"/>
    <w:rsid w:val="005F5482"/>
    <w:rsid w:val="005F56C1"/>
    <w:rsid w:val="005F585A"/>
    <w:rsid w:val="005F597E"/>
    <w:rsid w:val="005F5C8B"/>
    <w:rsid w:val="005F5E1A"/>
    <w:rsid w:val="005F6045"/>
    <w:rsid w:val="005F631A"/>
    <w:rsid w:val="005F6370"/>
    <w:rsid w:val="005F6A08"/>
    <w:rsid w:val="005F6AF6"/>
    <w:rsid w:val="005F6C55"/>
    <w:rsid w:val="005F73E7"/>
    <w:rsid w:val="005F7464"/>
    <w:rsid w:val="005F7AB7"/>
    <w:rsid w:val="0060006C"/>
    <w:rsid w:val="0060018E"/>
    <w:rsid w:val="006008B7"/>
    <w:rsid w:val="006008F3"/>
    <w:rsid w:val="00600EEA"/>
    <w:rsid w:val="00601055"/>
    <w:rsid w:val="006010D3"/>
    <w:rsid w:val="006013D8"/>
    <w:rsid w:val="0060168F"/>
    <w:rsid w:val="0060189D"/>
    <w:rsid w:val="00601B60"/>
    <w:rsid w:val="00601B69"/>
    <w:rsid w:val="00602364"/>
    <w:rsid w:val="00602515"/>
    <w:rsid w:val="006025C6"/>
    <w:rsid w:val="006026A0"/>
    <w:rsid w:val="00602B8E"/>
    <w:rsid w:val="00602BE9"/>
    <w:rsid w:val="00602F3E"/>
    <w:rsid w:val="00603473"/>
    <w:rsid w:val="0060347D"/>
    <w:rsid w:val="006036F8"/>
    <w:rsid w:val="00603B6F"/>
    <w:rsid w:val="00603D12"/>
    <w:rsid w:val="006042EE"/>
    <w:rsid w:val="006048E8"/>
    <w:rsid w:val="00604A76"/>
    <w:rsid w:val="00604DD5"/>
    <w:rsid w:val="00605097"/>
    <w:rsid w:val="00605393"/>
    <w:rsid w:val="006054F5"/>
    <w:rsid w:val="006057BD"/>
    <w:rsid w:val="006057F6"/>
    <w:rsid w:val="00605926"/>
    <w:rsid w:val="00605B33"/>
    <w:rsid w:val="00605E69"/>
    <w:rsid w:val="00606150"/>
    <w:rsid w:val="00606266"/>
    <w:rsid w:val="006067FB"/>
    <w:rsid w:val="00606D09"/>
    <w:rsid w:val="00606DC5"/>
    <w:rsid w:val="00606DED"/>
    <w:rsid w:val="00606FCC"/>
    <w:rsid w:val="006077CA"/>
    <w:rsid w:val="00607C2F"/>
    <w:rsid w:val="00610221"/>
    <w:rsid w:val="00610444"/>
    <w:rsid w:val="0061063C"/>
    <w:rsid w:val="006108F1"/>
    <w:rsid w:val="00610E3F"/>
    <w:rsid w:val="00610EC1"/>
    <w:rsid w:val="006111CA"/>
    <w:rsid w:val="006112EF"/>
    <w:rsid w:val="006114AE"/>
    <w:rsid w:val="00611D46"/>
    <w:rsid w:val="00611EE7"/>
    <w:rsid w:val="006121A8"/>
    <w:rsid w:val="00612AE2"/>
    <w:rsid w:val="00612B45"/>
    <w:rsid w:val="00612DA3"/>
    <w:rsid w:val="00613558"/>
    <w:rsid w:val="006139C5"/>
    <w:rsid w:val="00613A0B"/>
    <w:rsid w:val="00613F94"/>
    <w:rsid w:val="006142F9"/>
    <w:rsid w:val="006142FD"/>
    <w:rsid w:val="00614570"/>
    <w:rsid w:val="00614649"/>
    <w:rsid w:val="006146D1"/>
    <w:rsid w:val="00614AE6"/>
    <w:rsid w:val="00614C6B"/>
    <w:rsid w:val="006153A6"/>
    <w:rsid w:val="006153AB"/>
    <w:rsid w:val="00615952"/>
    <w:rsid w:val="00615E89"/>
    <w:rsid w:val="00615E95"/>
    <w:rsid w:val="00616BC8"/>
    <w:rsid w:val="00616BD7"/>
    <w:rsid w:val="00616C04"/>
    <w:rsid w:val="00616D0F"/>
    <w:rsid w:val="00616EB9"/>
    <w:rsid w:val="006172FE"/>
    <w:rsid w:val="006173D6"/>
    <w:rsid w:val="00617912"/>
    <w:rsid w:val="00617ADF"/>
    <w:rsid w:val="00617B4A"/>
    <w:rsid w:val="00617E4F"/>
    <w:rsid w:val="006202B7"/>
    <w:rsid w:val="006208FB"/>
    <w:rsid w:val="00620A2D"/>
    <w:rsid w:val="00620AAB"/>
    <w:rsid w:val="00620BB7"/>
    <w:rsid w:val="00620EEC"/>
    <w:rsid w:val="00621165"/>
    <w:rsid w:val="0062150D"/>
    <w:rsid w:val="0062166B"/>
    <w:rsid w:val="00621B14"/>
    <w:rsid w:val="00621B82"/>
    <w:rsid w:val="00621BCD"/>
    <w:rsid w:val="00621CBC"/>
    <w:rsid w:val="00621E28"/>
    <w:rsid w:val="00621EBC"/>
    <w:rsid w:val="00622139"/>
    <w:rsid w:val="006227D5"/>
    <w:rsid w:val="006229AB"/>
    <w:rsid w:val="00622C21"/>
    <w:rsid w:val="00622D4D"/>
    <w:rsid w:val="00622E3B"/>
    <w:rsid w:val="0062325C"/>
    <w:rsid w:val="00623858"/>
    <w:rsid w:val="006239F4"/>
    <w:rsid w:val="00623A2F"/>
    <w:rsid w:val="00623AD3"/>
    <w:rsid w:val="006244E2"/>
    <w:rsid w:val="006246DC"/>
    <w:rsid w:val="006249AE"/>
    <w:rsid w:val="00624B11"/>
    <w:rsid w:val="00624DBB"/>
    <w:rsid w:val="0062501E"/>
    <w:rsid w:val="00625BA7"/>
    <w:rsid w:val="00625C79"/>
    <w:rsid w:val="00625CA8"/>
    <w:rsid w:val="00625ED1"/>
    <w:rsid w:val="00625FBB"/>
    <w:rsid w:val="006261F6"/>
    <w:rsid w:val="006265A6"/>
    <w:rsid w:val="00626616"/>
    <w:rsid w:val="00626676"/>
    <w:rsid w:val="00626958"/>
    <w:rsid w:val="00626C30"/>
    <w:rsid w:val="00626E17"/>
    <w:rsid w:val="00627027"/>
    <w:rsid w:val="0062726C"/>
    <w:rsid w:val="0062735D"/>
    <w:rsid w:val="00627546"/>
    <w:rsid w:val="00627649"/>
    <w:rsid w:val="006277A2"/>
    <w:rsid w:val="00627848"/>
    <w:rsid w:val="006305EF"/>
    <w:rsid w:val="0063082F"/>
    <w:rsid w:val="00630980"/>
    <w:rsid w:val="006309D7"/>
    <w:rsid w:val="00630C80"/>
    <w:rsid w:val="00630CB4"/>
    <w:rsid w:val="00631457"/>
    <w:rsid w:val="00631629"/>
    <w:rsid w:val="0063169C"/>
    <w:rsid w:val="006319A6"/>
    <w:rsid w:val="00631B2A"/>
    <w:rsid w:val="00631B9F"/>
    <w:rsid w:val="00631DE6"/>
    <w:rsid w:val="00632256"/>
    <w:rsid w:val="00632A7A"/>
    <w:rsid w:val="00632AC7"/>
    <w:rsid w:val="00632FBB"/>
    <w:rsid w:val="00633309"/>
    <w:rsid w:val="006333A8"/>
    <w:rsid w:val="00633742"/>
    <w:rsid w:val="006339FD"/>
    <w:rsid w:val="00633BB8"/>
    <w:rsid w:val="00633F6E"/>
    <w:rsid w:val="00634311"/>
    <w:rsid w:val="00634748"/>
    <w:rsid w:val="00634A6B"/>
    <w:rsid w:val="00635360"/>
    <w:rsid w:val="006354F9"/>
    <w:rsid w:val="006355CF"/>
    <w:rsid w:val="00635991"/>
    <w:rsid w:val="00635C79"/>
    <w:rsid w:val="00635E1F"/>
    <w:rsid w:val="00635FB7"/>
    <w:rsid w:val="006363F4"/>
    <w:rsid w:val="0063673F"/>
    <w:rsid w:val="00636E33"/>
    <w:rsid w:val="00637050"/>
    <w:rsid w:val="006370F4"/>
    <w:rsid w:val="006376C7"/>
    <w:rsid w:val="00637B40"/>
    <w:rsid w:val="00637F9B"/>
    <w:rsid w:val="00640815"/>
    <w:rsid w:val="00640DC4"/>
    <w:rsid w:val="00641364"/>
    <w:rsid w:val="00641518"/>
    <w:rsid w:val="00641535"/>
    <w:rsid w:val="0064165C"/>
    <w:rsid w:val="006416AB"/>
    <w:rsid w:val="006417ED"/>
    <w:rsid w:val="00641D34"/>
    <w:rsid w:val="00642058"/>
    <w:rsid w:val="006423D3"/>
    <w:rsid w:val="00643268"/>
    <w:rsid w:val="00643543"/>
    <w:rsid w:val="006435B0"/>
    <w:rsid w:val="00643606"/>
    <w:rsid w:val="00643A74"/>
    <w:rsid w:val="006444D4"/>
    <w:rsid w:val="006449FA"/>
    <w:rsid w:val="0064562C"/>
    <w:rsid w:val="00645826"/>
    <w:rsid w:val="00645914"/>
    <w:rsid w:val="00645BED"/>
    <w:rsid w:val="00645DE3"/>
    <w:rsid w:val="00645FC6"/>
    <w:rsid w:val="0064620F"/>
    <w:rsid w:val="006463DB"/>
    <w:rsid w:val="00646F1F"/>
    <w:rsid w:val="00647131"/>
    <w:rsid w:val="006471AE"/>
    <w:rsid w:val="00647AF9"/>
    <w:rsid w:val="00650034"/>
    <w:rsid w:val="00650305"/>
    <w:rsid w:val="00650465"/>
    <w:rsid w:val="0065140E"/>
    <w:rsid w:val="00651B35"/>
    <w:rsid w:val="00651DEC"/>
    <w:rsid w:val="006522BF"/>
    <w:rsid w:val="006524FD"/>
    <w:rsid w:val="00652593"/>
    <w:rsid w:val="00652616"/>
    <w:rsid w:val="00652676"/>
    <w:rsid w:val="0065276C"/>
    <w:rsid w:val="00652869"/>
    <w:rsid w:val="00652A8F"/>
    <w:rsid w:val="00652C5C"/>
    <w:rsid w:val="00652E37"/>
    <w:rsid w:val="0065330F"/>
    <w:rsid w:val="0065337B"/>
    <w:rsid w:val="006533F1"/>
    <w:rsid w:val="0065372D"/>
    <w:rsid w:val="00653813"/>
    <w:rsid w:val="00653936"/>
    <w:rsid w:val="006542A8"/>
    <w:rsid w:val="006542FA"/>
    <w:rsid w:val="006549A9"/>
    <w:rsid w:val="00655498"/>
    <w:rsid w:val="006556A4"/>
    <w:rsid w:val="006556AD"/>
    <w:rsid w:val="0065582C"/>
    <w:rsid w:val="006558B9"/>
    <w:rsid w:val="00655939"/>
    <w:rsid w:val="00655BD3"/>
    <w:rsid w:val="00655E02"/>
    <w:rsid w:val="00655E54"/>
    <w:rsid w:val="006561F7"/>
    <w:rsid w:val="0065645E"/>
    <w:rsid w:val="00656512"/>
    <w:rsid w:val="006569AE"/>
    <w:rsid w:val="00656CC4"/>
    <w:rsid w:val="00656EF6"/>
    <w:rsid w:val="006570EE"/>
    <w:rsid w:val="00657562"/>
    <w:rsid w:val="0065773B"/>
    <w:rsid w:val="00657743"/>
    <w:rsid w:val="00657A2B"/>
    <w:rsid w:val="00657D3E"/>
    <w:rsid w:val="00657F96"/>
    <w:rsid w:val="006600BD"/>
    <w:rsid w:val="00660561"/>
    <w:rsid w:val="00660F75"/>
    <w:rsid w:val="00661015"/>
    <w:rsid w:val="006613CE"/>
    <w:rsid w:val="0066140A"/>
    <w:rsid w:val="0066178C"/>
    <w:rsid w:val="00662290"/>
    <w:rsid w:val="00662495"/>
    <w:rsid w:val="006625F5"/>
    <w:rsid w:val="00662B1A"/>
    <w:rsid w:val="00663048"/>
    <w:rsid w:val="0066356B"/>
    <w:rsid w:val="00663626"/>
    <w:rsid w:val="00663734"/>
    <w:rsid w:val="006637CE"/>
    <w:rsid w:val="00663971"/>
    <w:rsid w:val="00663C39"/>
    <w:rsid w:val="00663F8E"/>
    <w:rsid w:val="0066449E"/>
    <w:rsid w:val="00664529"/>
    <w:rsid w:val="00664EF8"/>
    <w:rsid w:val="0066500E"/>
    <w:rsid w:val="006651D4"/>
    <w:rsid w:val="006652D6"/>
    <w:rsid w:val="00665645"/>
    <w:rsid w:val="0066565F"/>
    <w:rsid w:val="006656DA"/>
    <w:rsid w:val="00665D09"/>
    <w:rsid w:val="00665D28"/>
    <w:rsid w:val="00666131"/>
    <w:rsid w:val="006662AD"/>
    <w:rsid w:val="0066659E"/>
    <w:rsid w:val="00666840"/>
    <w:rsid w:val="00666888"/>
    <w:rsid w:val="0066688E"/>
    <w:rsid w:val="0066692E"/>
    <w:rsid w:val="006669FF"/>
    <w:rsid w:val="00666ACD"/>
    <w:rsid w:val="00666BE7"/>
    <w:rsid w:val="00666DEC"/>
    <w:rsid w:val="006672F0"/>
    <w:rsid w:val="0066781E"/>
    <w:rsid w:val="006678C3"/>
    <w:rsid w:val="00667F4B"/>
    <w:rsid w:val="00667F9A"/>
    <w:rsid w:val="00670B2C"/>
    <w:rsid w:val="00671B5C"/>
    <w:rsid w:val="0067204A"/>
    <w:rsid w:val="006724DF"/>
    <w:rsid w:val="00672599"/>
    <w:rsid w:val="00672946"/>
    <w:rsid w:val="00672C11"/>
    <w:rsid w:val="006736CC"/>
    <w:rsid w:val="0067394B"/>
    <w:rsid w:val="006739AF"/>
    <w:rsid w:val="00673AD9"/>
    <w:rsid w:val="00673EB6"/>
    <w:rsid w:val="00673FB3"/>
    <w:rsid w:val="0067407F"/>
    <w:rsid w:val="00674693"/>
    <w:rsid w:val="006748AB"/>
    <w:rsid w:val="00674CF0"/>
    <w:rsid w:val="00675200"/>
    <w:rsid w:val="00675213"/>
    <w:rsid w:val="0067529C"/>
    <w:rsid w:val="006753C3"/>
    <w:rsid w:val="006754F4"/>
    <w:rsid w:val="00675C19"/>
    <w:rsid w:val="0067663F"/>
    <w:rsid w:val="00676BBD"/>
    <w:rsid w:val="00676BFF"/>
    <w:rsid w:val="00676C4C"/>
    <w:rsid w:val="00676E42"/>
    <w:rsid w:val="00677213"/>
    <w:rsid w:val="00677618"/>
    <w:rsid w:val="00677631"/>
    <w:rsid w:val="00677C52"/>
    <w:rsid w:val="00677F88"/>
    <w:rsid w:val="00680231"/>
    <w:rsid w:val="0068051C"/>
    <w:rsid w:val="00680989"/>
    <w:rsid w:val="00680D7A"/>
    <w:rsid w:val="00680ECE"/>
    <w:rsid w:val="00680F0C"/>
    <w:rsid w:val="006813A9"/>
    <w:rsid w:val="00681435"/>
    <w:rsid w:val="00681558"/>
    <w:rsid w:val="00681FC0"/>
    <w:rsid w:val="00682097"/>
    <w:rsid w:val="00682265"/>
    <w:rsid w:val="00682716"/>
    <w:rsid w:val="00682746"/>
    <w:rsid w:val="006828E2"/>
    <w:rsid w:val="00683089"/>
    <w:rsid w:val="0068325D"/>
    <w:rsid w:val="00683902"/>
    <w:rsid w:val="006839A3"/>
    <w:rsid w:val="006839AC"/>
    <w:rsid w:val="00684044"/>
    <w:rsid w:val="006843A9"/>
    <w:rsid w:val="00684559"/>
    <w:rsid w:val="006845BE"/>
    <w:rsid w:val="00684687"/>
    <w:rsid w:val="00684EE0"/>
    <w:rsid w:val="0068527A"/>
    <w:rsid w:val="00685321"/>
    <w:rsid w:val="006855FE"/>
    <w:rsid w:val="006863C2"/>
    <w:rsid w:val="00686991"/>
    <w:rsid w:val="00686A86"/>
    <w:rsid w:val="00687239"/>
    <w:rsid w:val="0068756E"/>
    <w:rsid w:val="006877B0"/>
    <w:rsid w:val="00687939"/>
    <w:rsid w:val="0068794F"/>
    <w:rsid w:val="006879CF"/>
    <w:rsid w:val="00687B72"/>
    <w:rsid w:val="00687C39"/>
    <w:rsid w:val="00687C57"/>
    <w:rsid w:val="00687E03"/>
    <w:rsid w:val="00690E3A"/>
    <w:rsid w:val="0069112F"/>
    <w:rsid w:val="00691423"/>
    <w:rsid w:val="006916C1"/>
    <w:rsid w:val="006918EE"/>
    <w:rsid w:val="00692604"/>
    <w:rsid w:val="0069268D"/>
    <w:rsid w:val="006926E1"/>
    <w:rsid w:val="0069275C"/>
    <w:rsid w:val="00692900"/>
    <w:rsid w:val="0069311F"/>
    <w:rsid w:val="006931D8"/>
    <w:rsid w:val="00693672"/>
    <w:rsid w:val="006937CA"/>
    <w:rsid w:val="00693991"/>
    <w:rsid w:val="00693C9D"/>
    <w:rsid w:val="00693D7A"/>
    <w:rsid w:val="00693F00"/>
    <w:rsid w:val="006943EB"/>
    <w:rsid w:val="006947DD"/>
    <w:rsid w:val="00694AC4"/>
    <w:rsid w:val="00694BE1"/>
    <w:rsid w:val="00694CE2"/>
    <w:rsid w:val="00694DC7"/>
    <w:rsid w:val="00694FED"/>
    <w:rsid w:val="006951CE"/>
    <w:rsid w:val="00695201"/>
    <w:rsid w:val="0069546A"/>
    <w:rsid w:val="0069587E"/>
    <w:rsid w:val="006959B6"/>
    <w:rsid w:val="006959BD"/>
    <w:rsid w:val="00696344"/>
    <w:rsid w:val="00696387"/>
    <w:rsid w:val="0069643F"/>
    <w:rsid w:val="006964C2"/>
    <w:rsid w:val="0069667F"/>
    <w:rsid w:val="00696700"/>
    <w:rsid w:val="006967CB"/>
    <w:rsid w:val="006968F0"/>
    <w:rsid w:val="00696CE1"/>
    <w:rsid w:val="00696CEA"/>
    <w:rsid w:val="0069797E"/>
    <w:rsid w:val="00697986"/>
    <w:rsid w:val="00697D1A"/>
    <w:rsid w:val="0069FD33"/>
    <w:rsid w:val="006A0025"/>
    <w:rsid w:val="006A0145"/>
    <w:rsid w:val="006A0214"/>
    <w:rsid w:val="006A02F9"/>
    <w:rsid w:val="006A0E6D"/>
    <w:rsid w:val="006A1409"/>
    <w:rsid w:val="006A1480"/>
    <w:rsid w:val="006A1690"/>
    <w:rsid w:val="006A177F"/>
    <w:rsid w:val="006A2497"/>
    <w:rsid w:val="006A2795"/>
    <w:rsid w:val="006A27F7"/>
    <w:rsid w:val="006A28BC"/>
    <w:rsid w:val="006A2A56"/>
    <w:rsid w:val="006A2DF3"/>
    <w:rsid w:val="006A3468"/>
    <w:rsid w:val="006A3638"/>
    <w:rsid w:val="006A3D10"/>
    <w:rsid w:val="006A3DDF"/>
    <w:rsid w:val="006A3E99"/>
    <w:rsid w:val="006A4190"/>
    <w:rsid w:val="006A4497"/>
    <w:rsid w:val="006A4C10"/>
    <w:rsid w:val="006A4E6E"/>
    <w:rsid w:val="006A5183"/>
    <w:rsid w:val="006A5734"/>
    <w:rsid w:val="006A5A84"/>
    <w:rsid w:val="006A6030"/>
    <w:rsid w:val="006A61A8"/>
    <w:rsid w:val="006A6256"/>
    <w:rsid w:val="006A6307"/>
    <w:rsid w:val="006A638E"/>
    <w:rsid w:val="006A64C0"/>
    <w:rsid w:val="006A6506"/>
    <w:rsid w:val="006A6A36"/>
    <w:rsid w:val="006A6B9B"/>
    <w:rsid w:val="006A6E19"/>
    <w:rsid w:val="006A7CF7"/>
    <w:rsid w:val="006A7F5C"/>
    <w:rsid w:val="006B02C4"/>
    <w:rsid w:val="006B03C3"/>
    <w:rsid w:val="006B0516"/>
    <w:rsid w:val="006B0AF1"/>
    <w:rsid w:val="006B0C26"/>
    <w:rsid w:val="006B0CE6"/>
    <w:rsid w:val="006B0FF9"/>
    <w:rsid w:val="006B11DE"/>
    <w:rsid w:val="006B1ACE"/>
    <w:rsid w:val="006B1C0B"/>
    <w:rsid w:val="006B1C1B"/>
    <w:rsid w:val="006B1D11"/>
    <w:rsid w:val="006B1D26"/>
    <w:rsid w:val="006B1FB3"/>
    <w:rsid w:val="006B200C"/>
    <w:rsid w:val="006B20A6"/>
    <w:rsid w:val="006B22FD"/>
    <w:rsid w:val="006B2586"/>
    <w:rsid w:val="006B28F4"/>
    <w:rsid w:val="006B2925"/>
    <w:rsid w:val="006B29D8"/>
    <w:rsid w:val="006B2DF4"/>
    <w:rsid w:val="006B31FF"/>
    <w:rsid w:val="006B3387"/>
    <w:rsid w:val="006B357D"/>
    <w:rsid w:val="006B36C3"/>
    <w:rsid w:val="006B3D48"/>
    <w:rsid w:val="006B3F01"/>
    <w:rsid w:val="006B41ED"/>
    <w:rsid w:val="006B4438"/>
    <w:rsid w:val="006B461F"/>
    <w:rsid w:val="006B4C47"/>
    <w:rsid w:val="006B5166"/>
    <w:rsid w:val="006B5584"/>
    <w:rsid w:val="006B5692"/>
    <w:rsid w:val="006B5984"/>
    <w:rsid w:val="006B5A5F"/>
    <w:rsid w:val="006B5C72"/>
    <w:rsid w:val="006B5FE5"/>
    <w:rsid w:val="006B608D"/>
    <w:rsid w:val="006B61CA"/>
    <w:rsid w:val="006B6497"/>
    <w:rsid w:val="006B670A"/>
    <w:rsid w:val="006B6AB9"/>
    <w:rsid w:val="006B71C2"/>
    <w:rsid w:val="006B785C"/>
    <w:rsid w:val="006B78A2"/>
    <w:rsid w:val="006B79DE"/>
    <w:rsid w:val="006C00C1"/>
    <w:rsid w:val="006C01A7"/>
    <w:rsid w:val="006C01EE"/>
    <w:rsid w:val="006C02DF"/>
    <w:rsid w:val="006C0614"/>
    <w:rsid w:val="006C1230"/>
    <w:rsid w:val="006C12D9"/>
    <w:rsid w:val="006C16AB"/>
    <w:rsid w:val="006C1747"/>
    <w:rsid w:val="006C18B2"/>
    <w:rsid w:val="006C197C"/>
    <w:rsid w:val="006C1B20"/>
    <w:rsid w:val="006C1EC0"/>
    <w:rsid w:val="006C233D"/>
    <w:rsid w:val="006C26C8"/>
    <w:rsid w:val="006C281F"/>
    <w:rsid w:val="006C2ABD"/>
    <w:rsid w:val="006C2AD7"/>
    <w:rsid w:val="006C2B76"/>
    <w:rsid w:val="006C2C09"/>
    <w:rsid w:val="006C2FCA"/>
    <w:rsid w:val="006C3344"/>
    <w:rsid w:val="006C36D4"/>
    <w:rsid w:val="006C38B9"/>
    <w:rsid w:val="006C3ADC"/>
    <w:rsid w:val="006C3C12"/>
    <w:rsid w:val="006C434B"/>
    <w:rsid w:val="006C459C"/>
    <w:rsid w:val="006C47D9"/>
    <w:rsid w:val="006C4829"/>
    <w:rsid w:val="006C4EE4"/>
    <w:rsid w:val="006C5405"/>
    <w:rsid w:val="006C5A8E"/>
    <w:rsid w:val="006C5F33"/>
    <w:rsid w:val="006C6077"/>
    <w:rsid w:val="006C6231"/>
    <w:rsid w:val="006C6AA0"/>
    <w:rsid w:val="006C6BF5"/>
    <w:rsid w:val="006C6F5F"/>
    <w:rsid w:val="006C744D"/>
    <w:rsid w:val="006C74C6"/>
    <w:rsid w:val="006C754F"/>
    <w:rsid w:val="006C7579"/>
    <w:rsid w:val="006C75C6"/>
    <w:rsid w:val="006C76BD"/>
    <w:rsid w:val="006C7888"/>
    <w:rsid w:val="006C7C6A"/>
    <w:rsid w:val="006D002C"/>
    <w:rsid w:val="006D0244"/>
    <w:rsid w:val="006D027A"/>
    <w:rsid w:val="006D0487"/>
    <w:rsid w:val="006D04B3"/>
    <w:rsid w:val="006D0898"/>
    <w:rsid w:val="006D08C5"/>
    <w:rsid w:val="006D0C32"/>
    <w:rsid w:val="006D0C7D"/>
    <w:rsid w:val="006D0DD7"/>
    <w:rsid w:val="006D1006"/>
    <w:rsid w:val="006D10F4"/>
    <w:rsid w:val="006D1332"/>
    <w:rsid w:val="006D1473"/>
    <w:rsid w:val="006D19B0"/>
    <w:rsid w:val="006D1B29"/>
    <w:rsid w:val="006D1DF6"/>
    <w:rsid w:val="006D23C9"/>
    <w:rsid w:val="006D2640"/>
    <w:rsid w:val="006D3182"/>
    <w:rsid w:val="006D32A7"/>
    <w:rsid w:val="006D333A"/>
    <w:rsid w:val="006D39EE"/>
    <w:rsid w:val="006D3BD4"/>
    <w:rsid w:val="006D3E0B"/>
    <w:rsid w:val="006D4087"/>
    <w:rsid w:val="006D4AF3"/>
    <w:rsid w:val="006D4CFD"/>
    <w:rsid w:val="006D4D31"/>
    <w:rsid w:val="006D4DFF"/>
    <w:rsid w:val="006D51E8"/>
    <w:rsid w:val="006D5A2C"/>
    <w:rsid w:val="006D66DD"/>
    <w:rsid w:val="006D68C0"/>
    <w:rsid w:val="006D6AC8"/>
    <w:rsid w:val="006D73D9"/>
    <w:rsid w:val="006D74ED"/>
    <w:rsid w:val="006D7604"/>
    <w:rsid w:val="006D7B73"/>
    <w:rsid w:val="006D7B95"/>
    <w:rsid w:val="006E0446"/>
    <w:rsid w:val="006E09AE"/>
    <w:rsid w:val="006E09FC"/>
    <w:rsid w:val="006E0BF6"/>
    <w:rsid w:val="006E0D43"/>
    <w:rsid w:val="006E11F1"/>
    <w:rsid w:val="006E13D0"/>
    <w:rsid w:val="006E14CE"/>
    <w:rsid w:val="006E14F0"/>
    <w:rsid w:val="006E1501"/>
    <w:rsid w:val="006E17FA"/>
    <w:rsid w:val="006E181D"/>
    <w:rsid w:val="006E1BC5"/>
    <w:rsid w:val="006E1F96"/>
    <w:rsid w:val="006E2060"/>
    <w:rsid w:val="006E2172"/>
    <w:rsid w:val="006E21D6"/>
    <w:rsid w:val="006E226D"/>
    <w:rsid w:val="006E2824"/>
    <w:rsid w:val="006E34EA"/>
    <w:rsid w:val="006E3814"/>
    <w:rsid w:val="006E3EAA"/>
    <w:rsid w:val="006E42CD"/>
    <w:rsid w:val="006E4448"/>
    <w:rsid w:val="006E47E1"/>
    <w:rsid w:val="006E490C"/>
    <w:rsid w:val="006E51EB"/>
    <w:rsid w:val="006E5205"/>
    <w:rsid w:val="006E567D"/>
    <w:rsid w:val="006E60F0"/>
    <w:rsid w:val="006E62A0"/>
    <w:rsid w:val="006E635A"/>
    <w:rsid w:val="006E6699"/>
    <w:rsid w:val="006E6B28"/>
    <w:rsid w:val="006E6FB4"/>
    <w:rsid w:val="006E7178"/>
    <w:rsid w:val="006E7402"/>
    <w:rsid w:val="006E7466"/>
    <w:rsid w:val="006E7506"/>
    <w:rsid w:val="006E75B9"/>
    <w:rsid w:val="006F02FB"/>
    <w:rsid w:val="006F05B9"/>
    <w:rsid w:val="006F1139"/>
    <w:rsid w:val="006F1336"/>
    <w:rsid w:val="006F1519"/>
    <w:rsid w:val="006F1C77"/>
    <w:rsid w:val="006F1FFE"/>
    <w:rsid w:val="006F237C"/>
    <w:rsid w:val="006F24CB"/>
    <w:rsid w:val="006F26B5"/>
    <w:rsid w:val="006F2749"/>
    <w:rsid w:val="006F2787"/>
    <w:rsid w:val="006F2B71"/>
    <w:rsid w:val="006F30E7"/>
    <w:rsid w:val="006F3557"/>
    <w:rsid w:val="006F38F0"/>
    <w:rsid w:val="006F3B39"/>
    <w:rsid w:val="006F3B9E"/>
    <w:rsid w:val="006F46A3"/>
    <w:rsid w:val="006F4733"/>
    <w:rsid w:val="006F4812"/>
    <w:rsid w:val="006F4A8E"/>
    <w:rsid w:val="006F4AE7"/>
    <w:rsid w:val="006F4F15"/>
    <w:rsid w:val="006F5801"/>
    <w:rsid w:val="006F5A0E"/>
    <w:rsid w:val="006F5B5F"/>
    <w:rsid w:val="006F5F69"/>
    <w:rsid w:val="006F6124"/>
    <w:rsid w:val="006F6AA5"/>
    <w:rsid w:val="006F6B1E"/>
    <w:rsid w:val="006F6F1F"/>
    <w:rsid w:val="006F7016"/>
    <w:rsid w:val="006F7296"/>
    <w:rsid w:val="006F7646"/>
    <w:rsid w:val="006F7A18"/>
    <w:rsid w:val="006F7A9D"/>
    <w:rsid w:val="0070003F"/>
    <w:rsid w:val="0070040F"/>
    <w:rsid w:val="007004AE"/>
    <w:rsid w:val="007006C1"/>
    <w:rsid w:val="00700A79"/>
    <w:rsid w:val="00700E36"/>
    <w:rsid w:val="00700E69"/>
    <w:rsid w:val="00700F8C"/>
    <w:rsid w:val="00701081"/>
    <w:rsid w:val="00701960"/>
    <w:rsid w:val="007019F8"/>
    <w:rsid w:val="00701AB7"/>
    <w:rsid w:val="00701D7F"/>
    <w:rsid w:val="00701F0A"/>
    <w:rsid w:val="00702187"/>
    <w:rsid w:val="007023D3"/>
    <w:rsid w:val="007028D8"/>
    <w:rsid w:val="0070299B"/>
    <w:rsid w:val="00702A3B"/>
    <w:rsid w:val="00702D7D"/>
    <w:rsid w:val="0070304A"/>
    <w:rsid w:val="007030FC"/>
    <w:rsid w:val="00703510"/>
    <w:rsid w:val="00703B7F"/>
    <w:rsid w:val="00703BEA"/>
    <w:rsid w:val="00703E4A"/>
    <w:rsid w:val="007042BE"/>
    <w:rsid w:val="00704436"/>
    <w:rsid w:val="0070485F"/>
    <w:rsid w:val="00704964"/>
    <w:rsid w:val="00704A63"/>
    <w:rsid w:val="007050D6"/>
    <w:rsid w:val="0070511C"/>
    <w:rsid w:val="007053B6"/>
    <w:rsid w:val="007055A0"/>
    <w:rsid w:val="007055BF"/>
    <w:rsid w:val="00705BD8"/>
    <w:rsid w:val="00705D27"/>
    <w:rsid w:val="00705E76"/>
    <w:rsid w:val="00705EB9"/>
    <w:rsid w:val="00706109"/>
    <w:rsid w:val="00706123"/>
    <w:rsid w:val="0070642A"/>
    <w:rsid w:val="00707369"/>
    <w:rsid w:val="00707998"/>
    <w:rsid w:val="00707BAC"/>
    <w:rsid w:val="00707CC6"/>
    <w:rsid w:val="00707D06"/>
    <w:rsid w:val="0071049F"/>
    <w:rsid w:val="007104A4"/>
    <w:rsid w:val="007105E5"/>
    <w:rsid w:val="00710993"/>
    <w:rsid w:val="00710CA0"/>
    <w:rsid w:val="00710EA3"/>
    <w:rsid w:val="0071107D"/>
    <w:rsid w:val="00711306"/>
    <w:rsid w:val="00711586"/>
    <w:rsid w:val="007116B7"/>
    <w:rsid w:val="00711EF3"/>
    <w:rsid w:val="00712046"/>
    <w:rsid w:val="0071224C"/>
    <w:rsid w:val="007123C3"/>
    <w:rsid w:val="007125E0"/>
    <w:rsid w:val="0071266A"/>
    <w:rsid w:val="007132CD"/>
    <w:rsid w:val="00713472"/>
    <w:rsid w:val="007134E9"/>
    <w:rsid w:val="0071419F"/>
    <w:rsid w:val="007141E4"/>
    <w:rsid w:val="0071434E"/>
    <w:rsid w:val="00714377"/>
    <w:rsid w:val="00714460"/>
    <w:rsid w:val="00714728"/>
    <w:rsid w:val="00714B69"/>
    <w:rsid w:val="00714BE3"/>
    <w:rsid w:val="00714E36"/>
    <w:rsid w:val="00715820"/>
    <w:rsid w:val="00715838"/>
    <w:rsid w:val="007158B5"/>
    <w:rsid w:val="00715985"/>
    <w:rsid w:val="00715E91"/>
    <w:rsid w:val="00716079"/>
    <w:rsid w:val="007160E6"/>
    <w:rsid w:val="007162EE"/>
    <w:rsid w:val="007167F9"/>
    <w:rsid w:val="0071698D"/>
    <w:rsid w:val="00716AFF"/>
    <w:rsid w:val="00716D72"/>
    <w:rsid w:val="00716FEF"/>
    <w:rsid w:val="007171EC"/>
    <w:rsid w:val="0071728D"/>
    <w:rsid w:val="00717A14"/>
    <w:rsid w:val="00717F3F"/>
    <w:rsid w:val="0072000B"/>
    <w:rsid w:val="00720350"/>
    <w:rsid w:val="00720411"/>
    <w:rsid w:val="007206DC"/>
    <w:rsid w:val="00720A72"/>
    <w:rsid w:val="0072121B"/>
    <w:rsid w:val="00721622"/>
    <w:rsid w:val="0072169D"/>
    <w:rsid w:val="00721B00"/>
    <w:rsid w:val="00721B3A"/>
    <w:rsid w:val="0072205C"/>
    <w:rsid w:val="00722162"/>
    <w:rsid w:val="0072228B"/>
    <w:rsid w:val="007223C1"/>
    <w:rsid w:val="00722582"/>
    <w:rsid w:val="00722683"/>
    <w:rsid w:val="007226C9"/>
    <w:rsid w:val="00722D7B"/>
    <w:rsid w:val="00722F12"/>
    <w:rsid w:val="00723A60"/>
    <w:rsid w:val="007241CE"/>
    <w:rsid w:val="00724316"/>
    <w:rsid w:val="007243BF"/>
    <w:rsid w:val="00724738"/>
    <w:rsid w:val="00724AA4"/>
    <w:rsid w:val="00724D8D"/>
    <w:rsid w:val="0072504A"/>
    <w:rsid w:val="00725058"/>
    <w:rsid w:val="0072590E"/>
    <w:rsid w:val="00725DD5"/>
    <w:rsid w:val="00725DFD"/>
    <w:rsid w:val="007264F7"/>
    <w:rsid w:val="00726A6A"/>
    <w:rsid w:val="007270D2"/>
    <w:rsid w:val="0072716F"/>
    <w:rsid w:val="007272C4"/>
    <w:rsid w:val="0072730C"/>
    <w:rsid w:val="007275D0"/>
    <w:rsid w:val="00727A6D"/>
    <w:rsid w:val="00727BAD"/>
    <w:rsid w:val="00730143"/>
    <w:rsid w:val="00730604"/>
    <w:rsid w:val="0073063C"/>
    <w:rsid w:val="007306D0"/>
    <w:rsid w:val="007308E5"/>
    <w:rsid w:val="0073093C"/>
    <w:rsid w:val="00730CE1"/>
    <w:rsid w:val="00730FAD"/>
    <w:rsid w:val="00731222"/>
    <w:rsid w:val="00731259"/>
    <w:rsid w:val="007312D2"/>
    <w:rsid w:val="007315C2"/>
    <w:rsid w:val="0073191F"/>
    <w:rsid w:val="00731957"/>
    <w:rsid w:val="00731C5A"/>
    <w:rsid w:val="00732D1F"/>
    <w:rsid w:val="00732FBD"/>
    <w:rsid w:val="00733B28"/>
    <w:rsid w:val="00733B2D"/>
    <w:rsid w:val="00733C84"/>
    <w:rsid w:val="00733EE2"/>
    <w:rsid w:val="00733F66"/>
    <w:rsid w:val="00734728"/>
    <w:rsid w:val="0073485A"/>
    <w:rsid w:val="00734B83"/>
    <w:rsid w:val="00734C5E"/>
    <w:rsid w:val="0073534D"/>
    <w:rsid w:val="00735474"/>
    <w:rsid w:val="007356A9"/>
    <w:rsid w:val="00735A5E"/>
    <w:rsid w:val="00735BAE"/>
    <w:rsid w:val="00735BF2"/>
    <w:rsid w:val="00736374"/>
    <w:rsid w:val="007366FE"/>
    <w:rsid w:val="00736988"/>
    <w:rsid w:val="007371E3"/>
    <w:rsid w:val="007375BC"/>
    <w:rsid w:val="00737963"/>
    <w:rsid w:val="00737DB5"/>
    <w:rsid w:val="007401EE"/>
    <w:rsid w:val="0074023E"/>
    <w:rsid w:val="00740B96"/>
    <w:rsid w:val="00740F2B"/>
    <w:rsid w:val="00741FB0"/>
    <w:rsid w:val="0074225E"/>
    <w:rsid w:val="00742326"/>
    <w:rsid w:val="007426A9"/>
    <w:rsid w:val="00742719"/>
    <w:rsid w:val="0074299C"/>
    <w:rsid w:val="00742AC8"/>
    <w:rsid w:val="00742BA7"/>
    <w:rsid w:val="007434FB"/>
    <w:rsid w:val="00743A5A"/>
    <w:rsid w:val="00743A86"/>
    <w:rsid w:val="00743BBF"/>
    <w:rsid w:val="00744236"/>
    <w:rsid w:val="00744378"/>
    <w:rsid w:val="0074443E"/>
    <w:rsid w:val="00744B75"/>
    <w:rsid w:val="00744CA9"/>
    <w:rsid w:val="00744F41"/>
    <w:rsid w:val="00745138"/>
    <w:rsid w:val="00745711"/>
    <w:rsid w:val="0074574A"/>
    <w:rsid w:val="00745796"/>
    <w:rsid w:val="00745AD1"/>
    <w:rsid w:val="00745DE9"/>
    <w:rsid w:val="00745E2C"/>
    <w:rsid w:val="007460C1"/>
    <w:rsid w:val="007465C4"/>
    <w:rsid w:val="00746737"/>
    <w:rsid w:val="007467CC"/>
    <w:rsid w:val="0074693A"/>
    <w:rsid w:val="00746BEC"/>
    <w:rsid w:val="00746EF1"/>
    <w:rsid w:val="007472B0"/>
    <w:rsid w:val="007473C2"/>
    <w:rsid w:val="007473C9"/>
    <w:rsid w:val="00747C4E"/>
    <w:rsid w:val="00747CAB"/>
    <w:rsid w:val="00747CE8"/>
    <w:rsid w:val="00747DA9"/>
    <w:rsid w:val="007501AB"/>
    <w:rsid w:val="007505BB"/>
    <w:rsid w:val="00750B2D"/>
    <w:rsid w:val="00750C15"/>
    <w:rsid w:val="00751521"/>
    <w:rsid w:val="00751647"/>
    <w:rsid w:val="0075181F"/>
    <w:rsid w:val="00751BAC"/>
    <w:rsid w:val="00751CF8"/>
    <w:rsid w:val="00751D56"/>
    <w:rsid w:val="00751E50"/>
    <w:rsid w:val="0075235A"/>
    <w:rsid w:val="00752A10"/>
    <w:rsid w:val="00752B02"/>
    <w:rsid w:val="00752B89"/>
    <w:rsid w:val="00752BC2"/>
    <w:rsid w:val="00753169"/>
    <w:rsid w:val="007532B2"/>
    <w:rsid w:val="007536F0"/>
    <w:rsid w:val="0075374C"/>
    <w:rsid w:val="00753BA5"/>
    <w:rsid w:val="007542D0"/>
    <w:rsid w:val="0075457F"/>
    <w:rsid w:val="00754923"/>
    <w:rsid w:val="00754C3E"/>
    <w:rsid w:val="0075500F"/>
    <w:rsid w:val="00755127"/>
    <w:rsid w:val="00755278"/>
    <w:rsid w:val="0075550A"/>
    <w:rsid w:val="0075552B"/>
    <w:rsid w:val="0075555C"/>
    <w:rsid w:val="0075603A"/>
    <w:rsid w:val="0075608C"/>
    <w:rsid w:val="00756532"/>
    <w:rsid w:val="0075658E"/>
    <w:rsid w:val="007569FD"/>
    <w:rsid w:val="00756BCC"/>
    <w:rsid w:val="0075703B"/>
    <w:rsid w:val="00757074"/>
    <w:rsid w:val="00757094"/>
    <w:rsid w:val="007570A0"/>
    <w:rsid w:val="0075771B"/>
    <w:rsid w:val="00757E6A"/>
    <w:rsid w:val="00757EA6"/>
    <w:rsid w:val="00760213"/>
    <w:rsid w:val="00760216"/>
    <w:rsid w:val="0076032C"/>
    <w:rsid w:val="007607DA"/>
    <w:rsid w:val="0076098B"/>
    <w:rsid w:val="00760E00"/>
    <w:rsid w:val="00760F68"/>
    <w:rsid w:val="0076136E"/>
    <w:rsid w:val="00761429"/>
    <w:rsid w:val="00761608"/>
    <w:rsid w:val="00761681"/>
    <w:rsid w:val="00762075"/>
    <w:rsid w:val="00762627"/>
    <w:rsid w:val="00762793"/>
    <w:rsid w:val="007628CA"/>
    <w:rsid w:val="007631EA"/>
    <w:rsid w:val="00763339"/>
    <w:rsid w:val="00763355"/>
    <w:rsid w:val="007634B2"/>
    <w:rsid w:val="00763886"/>
    <w:rsid w:val="00763A62"/>
    <w:rsid w:val="00763B13"/>
    <w:rsid w:val="00763F61"/>
    <w:rsid w:val="00763FFF"/>
    <w:rsid w:val="007641C6"/>
    <w:rsid w:val="00764636"/>
    <w:rsid w:val="007647E7"/>
    <w:rsid w:val="00764815"/>
    <w:rsid w:val="0076496D"/>
    <w:rsid w:val="00764A94"/>
    <w:rsid w:val="00764BA6"/>
    <w:rsid w:val="00765314"/>
    <w:rsid w:val="00765528"/>
    <w:rsid w:val="007656C7"/>
    <w:rsid w:val="0076590F"/>
    <w:rsid w:val="007659ED"/>
    <w:rsid w:val="00765BFF"/>
    <w:rsid w:val="00765E9D"/>
    <w:rsid w:val="00765ED4"/>
    <w:rsid w:val="00765EEF"/>
    <w:rsid w:val="00765FCC"/>
    <w:rsid w:val="00766057"/>
    <w:rsid w:val="0076612A"/>
    <w:rsid w:val="0076613A"/>
    <w:rsid w:val="0076656D"/>
    <w:rsid w:val="00766636"/>
    <w:rsid w:val="00766673"/>
    <w:rsid w:val="007669E1"/>
    <w:rsid w:val="00766A49"/>
    <w:rsid w:val="00766DA3"/>
    <w:rsid w:val="00766DCB"/>
    <w:rsid w:val="00766DF2"/>
    <w:rsid w:val="00767247"/>
    <w:rsid w:val="007673E4"/>
    <w:rsid w:val="00767564"/>
    <w:rsid w:val="0076782E"/>
    <w:rsid w:val="00767925"/>
    <w:rsid w:val="00767BA1"/>
    <w:rsid w:val="00767E97"/>
    <w:rsid w:val="007702EA"/>
    <w:rsid w:val="00770619"/>
    <w:rsid w:val="00770669"/>
    <w:rsid w:val="007707F0"/>
    <w:rsid w:val="0077083D"/>
    <w:rsid w:val="00770847"/>
    <w:rsid w:val="007708FF"/>
    <w:rsid w:val="007710B3"/>
    <w:rsid w:val="0077110E"/>
    <w:rsid w:val="0077118A"/>
    <w:rsid w:val="007712DA"/>
    <w:rsid w:val="0077163F"/>
    <w:rsid w:val="00771AFA"/>
    <w:rsid w:val="0077251F"/>
    <w:rsid w:val="007729B6"/>
    <w:rsid w:val="00772B7F"/>
    <w:rsid w:val="00772B8C"/>
    <w:rsid w:val="00772D3F"/>
    <w:rsid w:val="00772E83"/>
    <w:rsid w:val="00773822"/>
    <w:rsid w:val="00773D16"/>
    <w:rsid w:val="00773DF0"/>
    <w:rsid w:val="007746F9"/>
    <w:rsid w:val="0077538B"/>
    <w:rsid w:val="0077560D"/>
    <w:rsid w:val="00775FF7"/>
    <w:rsid w:val="00776483"/>
    <w:rsid w:val="007768B9"/>
    <w:rsid w:val="007768BD"/>
    <w:rsid w:val="00776BB9"/>
    <w:rsid w:val="00776DE8"/>
    <w:rsid w:val="007778FD"/>
    <w:rsid w:val="00777D90"/>
    <w:rsid w:val="00777E39"/>
    <w:rsid w:val="00777F07"/>
    <w:rsid w:val="0078046E"/>
    <w:rsid w:val="00780603"/>
    <w:rsid w:val="00780689"/>
    <w:rsid w:val="007807E7"/>
    <w:rsid w:val="00780B66"/>
    <w:rsid w:val="00780BA5"/>
    <w:rsid w:val="00780FB8"/>
    <w:rsid w:val="0078102E"/>
    <w:rsid w:val="0078108D"/>
    <w:rsid w:val="0078117C"/>
    <w:rsid w:val="0078149B"/>
    <w:rsid w:val="00781509"/>
    <w:rsid w:val="00781731"/>
    <w:rsid w:val="00781BA5"/>
    <w:rsid w:val="00781DB4"/>
    <w:rsid w:val="00781F0E"/>
    <w:rsid w:val="00782233"/>
    <w:rsid w:val="00782377"/>
    <w:rsid w:val="00782726"/>
    <w:rsid w:val="0078283A"/>
    <w:rsid w:val="007828D8"/>
    <w:rsid w:val="00782B5F"/>
    <w:rsid w:val="0078345D"/>
    <w:rsid w:val="007836CD"/>
    <w:rsid w:val="00783A39"/>
    <w:rsid w:val="00783EA6"/>
    <w:rsid w:val="0078426C"/>
    <w:rsid w:val="00784544"/>
    <w:rsid w:val="007846F3"/>
    <w:rsid w:val="007847EE"/>
    <w:rsid w:val="00784C2B"/>
    <w:rsid w:val="007850D6"/>
    <w:rsid w:val="007851FB"/>
    <w:rsid w:val="00785238"/>
    <w:rsid w:val="007852CA"/>
    <w:rsid w:val="007853C0"/>
    <w:rsid w:val="007853DC"/>
    <w:rsid w:val="007857B6"/>
    <w:rsid w:val="00785AEA"/>
    <w:rsid w:val="00785BB1"/>
    <w:rsid w:val="00785F6B"/>
    <w:rsid w:val="007860E7"/>
    <w:rsid w:val="00786380"/>
    <w:rsid w:val="0078640B"/>
    <w:rsid w:val="00786628"/>
    <w:rsid w:val="00786BEF"/>
    <w:rsid w:val="00786D19"/>
    <w:rsid w:val="00786F0E"/>
    <w:rsid w:val="00787248"/>
    <w:rsid w:val="007873D9"/>
    <w:rsid w:val="0078750D"/>
    <w:rsid w:val="007876F6"/>
    <w:rsid w:val="00787748"/>
    <w:rsid w:val="0078778C"/>
    <w:rsid w:val="00787B3E"/>
    <w:rsid w:val="00787EE8"/>
    <w:rsid w:val="00790292"/>
    <w:rsid w:val="00790648"/>
    <w:rsid w:val="00790744"/>
    <w:rsid w:val="00790B9C"/>
    <w:rsid w:val="00790D74"/>
    <w:rsid w:val="00790E40"/>
    <w:rsid w:val="007911AE"/>
    <w:rsid w:val="00791216"/>
    <w:rsid w:val="00791228"/>
    <w:rsid w:val="00791635"/>
    <w:rsid w:val="0079166C"/>
    <w:rsid w:val="0079191F"/>
    <w:rsid w:val="007919B0"/>
    <w:rsid w:val="007924A5"/>
    <w:rsid w:val="007924EE"/>
    <w:rsid w:val="007929CD"/>
    <w:rsid w:val="00792AA2"/>
    <w:rsid w:val="00793915"/>
    <w:rsid w:val="00793977"/>
    <w:rsid w:val="00793A08"/>
    <w:rsid w:val="00793A7D"/>
    <w:rsid w:val="00793D89"/>
    <w:rsid w:val="00793DD3"/>
    <w:rsid w:val="0079445F"/>
    <w:rsid w:val="00794647"/>
    <w:rsid w:val="0079464B"/>
    <w:rsid w:val="0079467D"/>
    <w:rsid w:val="00794853"/>
    <w:rsid w:val="00794976"/>
    <w:rsid w:val="00794B5E"/>
    <w:rsid w:val="00794F24"/>
    <w:rsid w:val="0079518A"/>
    <w:rsid w:val="007953A4"/>
    <w:rsid w:val="00795780"/>
    <w:rsid w:val="00795CE5"/>
    <w:rsid w:val="0079661F"/>
    <w:rsid w:val="00796802"/>
    <w:rsid w:val="0079689C"/>
    <w:rsid w:val="00796972"/>
    <w:rsid w:val="00796C5E"/>
    <w:rsid w:val="00796CFC"/>
    <w:rsid w:val="00797459"/>
    <w:rsid w:val="00797705"/>
    <w:rsid w:val="0079786A"/>
    <w:rsid w:val="007978CD"/>
    <w:rsid w:val="00797959"/>
    <w:rsid w:val="00797AAC"/>
    <w:rsid w:val="00797B19"/>
    <w:rsid w:val="00797DCF"/>
    <w:rsid w:val="007A012F"/>
    <w:rsid w:val="007A020F"/>
    <w:rsid w:val="007A0402"/>
    <w:rsid w:val="007A078A"/>
    <w:rsid w:val="007A07CF"/>
    <w:rsid w:val="007A0A38"/>
    <w:rsid w:val="007A0B9F"/>
    <w:rsid w:val="007A16AF"/>
    <w:rsid w:val="007A188E"/>
    <w:rsid w:val="007A19A5"/>
    <w:rsid w:val="007A1A72"/>
    <w:rsid w:val="007A1C30"/>
    <w:rsid w:val="007A1FB6"/>
    <w:rsid w:val="007A21FE"/>
    <w:rsid w:val="007A2A2D"/>
    <w:rsid w:val="007A2BC9"/>
    <w:rsid w:val="007A2C3E"/>
    <w:rsid w:val="007A3016"/>
    <w:rsid w:val="007A3031"/>
    <w:rsid w:val="007A30DF"/>
    <w:rsid w:val="007A324C"/>
    <w:rsid w:val="007A3386"/>
    <w:rsid w:val="007A38E4"/>
    <w:rsid w:val="007A395C"/>
    <w:rsid w:val="007A3D9A"/>
    <w:rsid w:val="007A415E"/>
    <w:rsid w:val="007A418A"/>
    <w:rsid w:val="007A49AB"/>
    <w:rsid w:val="007A4C19"/>
    <w:rsid w:val="007A4FBA"/>
    <w:rsid w:val="007A50AB"/>
    <w:rsid w:val="007A5383"/>
    <w:rsid w:val="007A5767"/>
    <w:rsid w:val="007A59B0"/>
    <w:rsid w:val="007A5BB6"/>
    <w:rsid w:val="007A5F4B"/>
    <w:rsid w:val="007A5FF5"/>
    <w:rsid w:val="007A60AF"/>
    <w:rsid w:val="007A63FF"/>
    <w:rsid w:val="007A6A78"/>
    <w:rsid w:val="007A6B31"/>
    <w:rsid w:val="007A6CD4"/>
    <w:rsid w:val="007A70EA"/>
    <w:rsid w:val="007A720E"/>
    <w:rsid w:val="007A7803"/>
    <w:rsid w:val="007A7AC9"/>
    <w:rsid w:val="007A7EFD"/>
    <w:rsid w:val="007B02BA"/>
    <w:rsid w:val="007B0A8A"/>
    <w:rsid w:val="007B0ABF"/>
    <w:rsid w:val="007B1179"/>
    <w:rsid w:val="007B159F"/>
    <w:rsid w:val="007B15B0"/>
    <w:rsid w:val="007B15CA"/>
    <w:rsid w:val="007B1C84"/>
    <w:rsid w:val="007B1CEF"/>
    <w:rsid w:val="007B1D59"/>
    <w:rsid w:val="007B2038"/>
    <w:rsid w:val="007B206E"/>
    <w:rsid w:val="007B22E2"/>
    <w:rsid w:val="007B242C"/>
    <w:rsid w:val="007B25E0"/>
    <w:rsid w:val="007B2745"/>
    <w:rsid w:val="007B27CA"/>
    <w:rsid w:val="007B2BB5"/>
    <w:rsid w:val="007B338D"/>
    <w:rsid w:val="007B33CE"/>
    <w:rsid w:val="007B3F46"/>
    <w:rsid w:val="007B3FCD"/>
    <w:rsid w:val="007B41B2"/>
    <w:rsid w:val="007B4366"/>
    <w:rsid w:val="007B4598"/>
    <w:rsid w:val="007B45A1"/>
    <w:rsid w:val="007B4628"/>
    <w:rsid w:val="007B489D"/>
    <w:rsid w:val="007B4E9C"/>
    <w:rsid w:val="007B4FCF"/>
    <w:rsid w:val="007B52FE"/>
    <w:rsid w:val="007B546E"/>
    <w:rsid w:val="007B5595"/>
    <w:rsid w:val="007B55BB"/>
    <w:rsid w:val="007B5798"/>
    <w:rsid w:val="007B57DE"/>
    <w:rsid w:val="007B5838"/>
    <w:rsid w:val="007B5A61"/>
    <w:rsid w:val="007B5BFE"/>
    <w:rsid w:val="007B5EDE"/>
    <w:rsid w:val="007B6566"/>
    <w:rsid w:val="007B65C8"/>
    <w:rsid w:val="007B68E5"/>
    <w:rsid w:val="007B6DFD"/>
    <w:rsid w:val="007B7769"/>
    <w:rsid w:val="007B7A34"/>
    <w:rsid w:val="007B7BB1"/>
    <w:rsid w:val="007B7BF0"/>
    <w:rsid w:val="007C00B5"/>
    <w:rsid w:val="007C05FF"/>
    <w:rsid w:val="007C0D0E"/>
    <w:rsid w:val="007C0E22"/>
    <w:rsid w:val="007C1635"/>
    <w:rsid w:val="007C1B06"/>
    <w:rsid w:val="007C1DF9"/>
    <w:rsid w:val="007C1FE2"/>
    <w:rsid w:val="007C2114"/>
    <w:rsid w:val="007C252C"/>
    <w:rsid w:val="007C2530"/>
    <w:rsid w:val="007C27F7"/>
    <w:rsid w:val="007C29D0"/>
    <w:rsid w:val="007C2B0B"/>
    <w:rsid w:val="007C323E"/>
    <w:rsid w:val="007C32FD"/>
    <w:rsid w:val="007C368A"/>
    <w:rsid w:val="007C37FE"/>
    <w:rsid w:val="007C476D"/>
    <w:rsid w:val="007C4A5E"/>
    <w:rsid w:val="007C5373"/>
    <w:rsid w:val="007C540C"/>
    <w:rsid w:val="007C540D"/>
    <w:rsid w:val="007C57F4"/>
    <w:rsid w:val="007C5D65"/>
    <w:rsid w:val="007C61F0"/>
    <w:rsid w:val="007C6237"/>
    <w:rsid w:val="007C6266"/>
    <w:rsid w:val="007C6453"/>
    <w:rsid w:val="007C65A6"/>
    <w:rsid w:val="007C65F4"/>
    <w:rsid w:val="007C690B"/>
    <w:rsid w:val="007C69B7"/>
    <w:rsid w:val="007C69DD"/>
    <w:rsid w:val="007C6BB9"/>
    <w:rsid w:val="007C6E3F"/>
    <w:rsid w:val="007C7063"/>
    <w:rsid w:val="007C70CC"/>
    <w:rsid w:val="007C7750"/>
    <w:rsid w:val="007C78C2"/>
    <w:rsid w:val="007C7E6C"/>
    <w:rsid w:val="007C7FA3"/>
    <w:rsid w:val="007D04E3"/>
    <w:rsid w:val="007D1370"/>
    <w:rsid w:val="007D13FE"/>
    <w:rsid w:val="007D144C"/>
    <w:rsid w:val="007D14BF"/>
    <w:rsid w:val="007D160A"/>
    <w:rsid w:val="007D1686"/>
    <w:rsid w:val="007D18FB"/>
    <w:rsid w:val="007D1AA9"/>
    <w:rsid w:val="007D1CEA"/>
    <w:rsid w:val="007D1DA0"/>
    <w:rsid w:val="007D20A6"/>
    <w:rsid w:val="007D27C1"/>
    <w:rsid w:val="007D2C8F"/>
    <w:rsid w:val="007D2E6B"/>
    <w:rsid w:val="007D3351"/>
    <w:rsid w:val="007D35BF"/>
    <w:rsid w:val="007D37CB"/>
    <w:rsid w:val="007D3B0E"/>
    <w:rsid w:val="007D3B79"/>
    <w:rsid w:val="007D41B6"/>
    <w:rsid w:val="007D4567"/>
    <w:rsid w:val="007D4646"/>
    <w:rsid w:val="007D4BD4"/>
    <w:rsid w:val="007D4DAE"/>
    <w:rsid w:val="007D4E1F"/>
    <w:rsid w:val="007D5185"/>
    <w:rsid w:val="007D52A6"/>
    <w:rsid w:val="007D5761"/>
    <w:rsid w:val="007D5BF9"/>
    <w:rsid w:val="007D5CCB"/>
    <w:rsid w:val="007D5CD8"/>
    <w:rsid w:val="007D5CE6"/>
    <w:rsid w:val="007D5F52"/>
    <w:rsid w:val="007D5FAF"/>
    <w:rsid w:val="007D6059"/>
    <w:rsid w:val="007D612B"/>
    <w:rsid w:val="007D6321"/>
    <w:rsid w:val="007D634C"/>
    <w:rsid w:val="007D65D6"/>
    <w:rsid w:val="007D66CB"/>
    <w:rsid w:val="007D6CAB"/>
    <w:rsid w:val="007D725B"/>
    <w:rsid w:val="007D751C"/>
    <w:rsid w:val="007D7740"/>
    <w:rsid w:val="007D7B4A"/>
    <w:rsid w:val="007D7BD2"/>
    <w:rsid w:val="007D7F4D"/>
    <w:rsid w:val="007DA645"/>
    <w:rsid w:val="007E082D"/>
    <w:rsid w:val="007E099E"/>
    <w:rsid w:val="007E0B35"/>
    <w:rsid w:val="007E0FA0"/>
    <w:rsid w:val="007E102A"/>
    <w:rsid w:val="007E121E"/>
    <w:rsid w:val="007E1426"/>
    <w:rsid w:val="007E1CEA"/>
    <w:rsid w:val="007E1FED"/>
    <w:rsid w:val="007E22C0"/>
    <w:rsid w:val="007E2394"/>
    <w:rsid w:val="007E26B6"/>
    <w:rsid w:val="007E28CF"/>
    <w:rsid w:val="007E2EC1"/>
    <w:rsid w:val="007E3330"/>
    <w:rsid w:val="007E3335"/>
    <w:rsid w:val="007E35A5"/>
    <w:rsid w:val="007E3B71"/>
    <w:rsid w:val="007E3D6C"/>
    <w:rsid w:val="007E3DB2"/>
    <w:rsid w:val="007E40BB"/>
    <w:rsid w:val="007E41BE"/>
    <w:rsid w:val="007E42D8"/>
    <w:rsid w:val="007E4378"/>
    <w:rsid w:val="007E440F"/>
    <w:rsid w:val="007E442D"/>
    <w:rsid w:val="007E45B6"/>
    <w:rsid w:val="007E496D"/>
    <w:rsid w:val="007E4970"/>
    <w:rsid w:val="007E4B40"/>
    <w:rsid w:val="007E4B48"/>
    <w:rsid w:val="007E4FAF"/>
    <w:rsid w:val="007E520D"/>
    <w:rsid w:val="007E547B"/>
    <w:rsid w:val="007E5757"/>
    <w:rsid w:val="007E5A4C"/>
    <w:rsid w:val="007E5D12"/>
    <w:rsid w:val="007E612D"/>
    <w:rsid w:val="007E61E5"/>
    <w:rsid w:val="007E623B"/>
    <w:rsid w:val="007E6256"/>
    <w:rsid w:val="007E6395"/>
    <w:rsid w:val="007E6790"/>
    <w:rsid w:val="007E6CD9"/>
    <w:rsid w:val="007E6D29"/>
    <w:rsid w:val="007E6ED9"/>
    <w:rsid w:val="007E6FE0"/>
    <w:rsid w:val="007E730A"/>
    <w:rsid w:val="007E747B"/>
    <w:rsid w:val="007E775F"/>
    <w:rsid w:val="007E7949"/>
    <w:rsid w:val="007E7A46"/>
    <w:rsid w:val="007F00DD"/>
    <w:rsid w:val="007F0B0D"/>
    <w:rsid w:val="007F0E02"/>
    <w:rsid w:val="007F1124"/>
    <w:rsid w:val="007F1471"/>
    <w:rsid w:val="007F1691"/>
    <w:rsid w:val="007F202F"/>
    <w:rsid w:val="007F226B"/>
    <w:rsid w:val="007F2584"/>
    <w:rsid w:val="007F3253"/>
    <w:rsid w:val="007F3258"/>
    <w:rsid w:val="007F3547"/>
    <w:rsid w:val="007F35F6"/>
    <w:rsid w:val="007F370E"/>
    <w:rsid w:val="007F3A13"/>
    <w:rsid w:val="007F3D7B"/>
    <w:rsid w:val="007F3DDF"/>
    <w:rsid w:val="007F3F61"/>
    <w:rsid w:val="007F40E0"/>
    <w:rsid w:val="007F447F"/>
    <w:rsid w:val="007F4502"/>
    <w:rsid w:val="007F49F1"/>
    <w:rsid w:val="007F4A5D"/>
    <w:rsid w:val="007F4EEA"/>
    <w:rsid w:val="007F50DA"/>
    <w:rsid w:val="007F5178"/>
    <w:rsid w:val="007F5196"/>
    <w:rsid w:val="007F5262"/>
    <w:rsid w:val="007F5459"/>
    <w:rsid w:val="007F55E9"/>
    <w:rsid w:val="007F5607"/>
    <w:rsid w:val="007F578E"/>
    <w:rsid w:val="007F582A"/>
    <w:rsid w:val="007F59F5"/>
    <w:rsid w:val="007F5ADD"/>
    <w:rsid w:val="007F5D4B"/>
    <w:rsid w:val="007F609A"/>
    <w:rsid w:val="007F621D"/>
    <w:rsid w:val="007F62E5"/>
    <w:rsid w:val="007F66A2"/>
    <w:rsid w:val="007F6A12"/>
    <w:rsid w:val="007F6C71"/>
    <w:rsid w:val="007F6DBE"/>
    <w:rsid w:val="007F6EB7"/>
    <w:rsid w:val="007F73B5"/>
    <w:rsid w:val="007F7462"/>
    <w:rsid w:val="007F74C7"/>
    <w:rsid w:val="007F7FEF"/>
    <w:rsid w:val="00800A28"/>
    <w:rsid w:val="00800A3F"/>
    <w:rsid w:val="00800CBF"/>
    <w:rsid w:val="00800DB3"/>
    <w:rsid w:val="00800E91"/>
    <w:rsid w:val="00800F50"/>
    <w:rsid w:val="008010C9"/>
    <w:rsid w:val="008011D0"/>
    <w:rsid w:val="00801257"/>
    <w:rsid w:val="008014D1"/>
    <w:rsid w:val="008015CC"/>
    <w:rsid w:val="00801722"/>
    <w:rsid w:val="00801920"/>
    <w:rsid w:val="00801ACC"/>
    <w:rsid w:val="008022F3"/>
    <w:rsid w:val="0080240C"/>
    <w:rsid w:val="00802F12"/>
    <w:rsid w:val="00802F24"/>
    <w:rsid w:val="0080329A"/>
    <w:rsid w:val="008033D1"/>
    <w:rsid w:val="008034D7"/>
    <w:rsid w:val="0080360E"/>
    <w:rsid w:val="008038B5"/>
    <w:rsid w:val="00803AC6"/>
    <w:rsid w:val="00803C26"/>
    <w:rsid w:val="00803DF0"/>
    <w:rsid w:val="00803E73"/>
    <w:rsid w:val="008042CA"/>
    <w:rsid w:val="00804315"/>
    <w:rsid w:val="00804345"/>
    <w:rsid w:val="0080438C"/>
    <w:rsid w:val="008043CF"/>
    <w:rsid w:val="0080467B"/>
    <w:rsid w:val="00804AFF"/>
    <w:rsid w:val="00804C59"/>
    <w:rsid w:val="00804FAA"/>
    <w:rsid w:val="00805235"/>
    <w:rsid w:val="0080548D"/>
    <w:rsid w:val="0080550A"/>
    <w:rsid w:val="00805AAE"/>
    <w:rsid w:val="00805E6D"/>
    <w:rsid w:val="00806144"/>
    <w:rsid w:val="0080665D"/>
    <w:rsid w:val="00806800"/>
    <w:rsid w:val="008068A0"/>
    <w:rsid w:val="008068A2"/>
    <w:rsid w:val="00806942"/>
    <w:rsid w:val="00806E1B"/>
    <w:rsid w:val="00806E46"/>
    <w:rsid w:val="00806F8D"/>
    <w:rsid w:val="0080735C"/>
    <w:rsid w:val="008076ED"/>
    <w:rsid w:val="00807741"/>
    <w:rsid w:val="00807BF6"/>
    <w:rsid w:val="00807C09"/>
    <w:rsid w:val="00807D91"/>
    <w:rsid w:val="00807F43"/>
    <w:rsid w:val="0081019E"/>
    <w:rsid w:val="008101D6"/>
    <w:rsid w:val="00810AAC"/>
    <w:rsid w:val="00810AF5"/>
    <w:rsid w:val="00810B53"/>
    <w:rsid w:val="00810CE7"/>
    <w:rsid w:val="00810E91"/>
    <w:rsid w:val="00811069"/>
    <w:rsid w:val="00811070"/>
    <w:rsid w:val="008110D4"/>
    <w:rsid w:val="008115F2"/>
    <w:rsid w:val="00811936"/>
    <w:rsid w:val="0081236F"/>
    <w:rsid w:val="008126E3"/>
    <w:rsid w:val="0081276F"/>
    <w:rsid w:val="0081282D"/>
    <w:rsid w:val="008129C2"/>
    <w:rsid w:val="00812BEA"/>
    <w:rsid w:val="00813032"/>
    <w:rsid w:val="00813073"/>
    <w:rsid w:val="00813A1C"/>
    <w:rsid w:val="00813DA2"/>
    <w:rsid w:val="00813F0B"/>
    <w:rsid w:val="008140B6"/>
    <w:rsid w:val="008143A7"/>
    <w:rsid w:val="008145C3"/>
    <w:rsid w:val="0081485D"/>
    <w:rsid w:val="00814F70"/>
    <w:rsid w:val="008153A1"/>
    <w:rsid w:val="008153EE"/>
    <w:rsid w:val="008156F3"/>
    <w:rsid w:val="008157FB"/>
    <w:rsid w:val="00815866"/>
    <w:rsid w:val="00816147"/>
    <w:rsid w:val="00816258"/>
    <w:rsid w:val="0081627A"/>
    <w:rsid w:val="0081627D"/>
    <w:rsid w:val="00816503"/>
    <w:rsid w:val="0081689A"/>
    <w:rsid w:val="00816974"/>
    <w:rsid w:val="008169E0"/>
    <w:rsid w:val="00816B52"/>
    <w:rsid w:val="00816B9D"/>
    <w:rsid w:val="008174B8"/>
    <w:rsid w:val="0081778E"/>
    <w:rsid w:val="00817B19"/>
    <w:rsid w:val="00817B66"/>
    <w:rsid w:val="00817B8F"/>
    <w:rsid w:val="0082015A"/>
    <w:rsid w:val="00820342"/>
    <w:rsid w:val="0082046B"/>
    <w:rsid w:val="00820567"/>
    <w:rsid w:val="008206A1"/>
    <w:rsid w:val="00820AA9"/>
    <w:rsid w:val="00820BB8"/>
    <w:rsid w:val="00820ED3"/>
    <w:rsid w:val="0082139B"/>
    <w:rsid w:val="008214C0"/>
    <w:rsid w:val="008217CD"/>
    <w:rsid w:val="00821843"/>
    <w:rsid w:val="0082191F"/>
    <w:rsid w:val="00821928"/>
    <w:rsid w:val="00822449"/>
    <w:rsid w:val="00822720"/>
    <w:rsid w:val="008227D4"/>
    <w:rsid w:val="0082286E"/>
    <w:rsid w:val="00822B67"/>
    <w:rsid w:val="00822B94"/>
    <w:rsid w:val="00822C7D"/>
    <w:rsid w:val="00822CDA"/>
    <w:rsid w:val="00822D57"/>
    <w:rsid w:val="008232F9"/>
    <w:rsid w:val="008234B6"/>
    <w:rsid w:val="008235D9"/>
    <w:rsid w:val="008235DC"/>
    <w:rsid w:val="00823795"/>
    <w:rsid w:val="008239CC"/>
    <w:rsid w:val="00823AC6"/>
    <w:rsid w:val="00823D7F"/>
    <w:rsid w:val="008249C6"/>
    <w:rsid w:val="00824E4B"/>
    <w:rsid w:val="00824E94"/>
    <w:rsid w:val="00825203"/>
    <w:rsid w:val="00825535"/>
    <w:rsid w:val="0082571B"/>
    <w:rsid w:val="00825972"/>
    <w:rsid w:val="00825AC5"/>
    <w:rsid w:val="00825F34"/>
    <w:rsid w:val="00825F46"/>
    <w:rsid w:val="00826341"/>
    <w:rsid w:val="0082670B"/>
    <w:rsid w:val="0082675E"/>
    <w:rsid w:val="00826A9E"/>
    <w:rsid w:val="00826B19"/>
    <w:rsid w:val="00826CF1"/>
    <w:rsid w:val="008273DE"/>
    <w:rsid w:val="00827A7D"/>
    <w:rsid w:val="00827C89"/>
    <w:rsid w:val="00827FCB"/>
    <w:rsid w:val="00827FEA"/>
    <w:rsid w:val="0083041F"/>
    <w:rsid w:val="00830428"/>
    <w:rsid w:val="00830A75"/>
    <w:rsid w:val="00830B8E"/>
    <w:rsid w:val="00830C47"/>
    <w:rsid w:val="00830DFB"/>
    <w:rsid w:val="00830F6F"/>
    <w:rsid w:val="00830FA6"/>
    <w:rsid w:val="008311CC"/>
    <w:rsid w:val="00831367"/>
    <w:rsid w:val="008314CF"/>
    <w:rsid w:val="008317C0"/>
    <w:rsid w:val="008317F4"/>
    <w:rsid w:val="008318CF"/>
    <w:rsid w:val="008319A1"/>
    <w:rsid w:val="008319F2"/>
    <w:rsid w:val="00831A1B"/>
    <w:rsid w:val="00831A34"/>
    <w:rsid w:val="00831C20"/>
    <w:rsid w:val="00832086"/>
    <w:rsid w:val="0083247B"/>
    <w:rsid w:val="008325B5"/>
    <w:rsid w:val="008325C9"/>
    <w:rsid w:val="008328CE"/>
    <w:rsid w:val="00832A42"/>
    <w:rsid w:val="00832A63"/>
    <w:rsid w:val="00832DDF"/>
    <w:rsid w:val="00832E18"/>
    <w:rsid w:val="00832FA6"/>
    <w:rsid w:val="0083364A"/>
    <w:rsid w:val="00834071"/>
    <w:rsid w:val="00834193"/>
    <w:rsid w:val="0083430B"/>
    <w:rsid w:val="00834388"/>
    <w:rsid w:val="00834608"/>
    <w:rsid w:val="008348C6"/>
    <w:rsid w:val="00834CC3"/>
    <w:rsid w:val="00834E83"/>
    <w:rsid w:val="008351A4"/>
    <w:rsid w:val="00835CB0"/>
    <w:rsid w:val="00835D4A"/>
    <w:rsid w:val="00835F31"/>
    <w:rsid w:val="00835F55"/>
    <w:rsid w:val="00836013"/>
    <w:rsid w:val="00836EF5"/>
    <w:rsid w:val="0083705E"/>
    <w:rsid w:val="008371C4"/>
    <w:rsid w:val="0083737B"/>
    <w:rsid w:val="00837442"/>
    <w:rsid w:val="0083771A"/>
    <w:rsid w:val="0083780B"/>
    <w:rsid w:val="00837AAA"/>
    <w:rsid w:val="00837C93"/>
    <w:rsid w:val="008401E8"/>
    <w:rsid w:val="00840200"/>
    <w:rsid w:val="008404E8"/>
    <w:rsid w:val="008409A5"/>
    <w:rsid w:val="00840BCC"/>
    <w:rsid w:val="0084118C"/>
    <w:rsid w:val="008412EF"/>
    <w:rsid w:val="00841318"/>
    <w:rsid w:val="00841EF3"/>
    <w:rsid w:val="00842683"/>
    <w:rsid w:val="00842704"/>
    <w:rsid w:val="008427BF"/>
    <w:rsid w:val="008427ED"/>
    <w:rsid w:val="00842D11"/>
    <w:rsid w:val="00842D91"/>
    <w:rsid w:val="00842E17"/>
    <w:rsid w:val="00842E39"/>
    <w:rsid w:val="00842F42"/>
    <w:rsid w:val="00842F4F"/>
    <w:rsid w:val="00843008"/>
    <w:rsid w:val="008431FA"/>
    <w:rsid w:val="008433CE"/>
    <w:rsid w:val="0084347B"/>
    <w:rsid w:val="008435E3"/>
    <w:rsid w:val="00843D81"/>
    <w:rsid w:val="00843F40"/>
    <w:rsid w:val="00843F5F"/>
    <w:rsid w:val="0084411A"/>
    <w:rsid w:val="008442BB"/>
    <w:rsid w:val="00844463"/>
    <w:rsid w:val="008444B8"/>
    <w:rsid w:val="008444CF"/>
    <w:rsid w:val="00844769"/>
    <w:rsid w:val="0084490F"/>
    <w:rsid w:val="00844A47"/>
    <w:rsid w:val="008450C1"/>
    <w:rsid w:val="008451D6"/>
    <w:rsid w:val="008452C8"/>
    <w:rsid w:val="008454FF"/>
    <w:rsid w:val="008457EB"/>
    <w:rsid w:val="008458F7"/>
    <w:rsid w:val="00845A1A"/>
    <w:rsid w:val="00845C8B"/>
    <w:rsid w:val="00845CE9"/>
    <w:rsid w:val="00846154"/>
    <w:rsid w:val="0084689F"/>
    <w:rsid w:val="008468A3"/>
    <w:rsid w:val="00846AEC"/>
    <w:rsid w:val="008470F1"/>
    <w:rsid w:val="00847472"/>
    <w:rsid w:val="0084751C"/>
    <w:rsid w:val="0084789F"/>
    <w:rsid w:val="008478E5"/>
    <w:rsid w:val="00847C5E"/>
    <w:rsid w:val="00847DBF"/>
    <w:rsid w:val="00847E78"/>
    <w:rsid w:val="00850015"/>
    <w:rsid w:val="008500C5"/>
    <w:rsid w:val="0085013B"/>
    <w:rsid w:val="00850370"/>
    <w:rsid w:val="00850EB5"/>
    <w:rsid w:val="00850F78"/>
    <w:rsid w:val="008510C5"/>
    <w:rsid w:val="00851525"/>
    <w:rsid w:val="008515D6"/>
    <w:rsid w:val="00851BF5"/>
    <w:rsid w:val="00851E4C"/>
    <w:rsid w:val="00851EC3"/>
    <w:rsid w:val="008520A7"/>
    <w:rsid w:val="0085215C"/>
    <w:rsid w:val="0085221A"/>
    <w:rsid w:val="00852667"/>
    <w:rsid w:val="00852735"/>
    <w:rsid w:val="00852948"/>
    <w:rsid w:val="00852BFD"/>
    <w:rsid w:val="0085308F"/>
    <w:rsid w:val="0085339E"/>
    <w:rsid w:val="0085381B"/>
    <w:rsid w:val="00853C4A"/>
    <w:rsid w:val="0085411F"/>
    <w:rsid w:val="0085417A"/>
    <w:rsid w:val="008544DE"/>
    <w:rsid w:val="00854790"/>
    <w:rsid w:val="00854CDF"/>
    <w:rsid w:val="00854FCD"/>
    <w:rsid w:val="0085539E"/>
    <w:rsid w:val="00855700"/>
    <w:rsid w:val="00855793"/>
    <w:rsid w:val="008557DE"/>
    <w:rsid w:val="008558ED"/>
    <w:rsid w:val="00855CE3"/>
    <w:rsid w:val="00855D1C"/>
    <w:rsid w:val="00855FE3"/>
    <w:rsid w:val="00856051"/>
    <w:rsid w:val="00856659"/>
    <w:rsid w:val="008566C4"/>
    <w:rsid w:val="0085672F"/>
    <w:rsid w:val="00857354"/>
    <w:rsid w:val="00857374"/>
    <w:rsid w:val="0085738C"/>
    <w:rsid w:val="008574C2"/>
    <w:rsid w:val="008577B8"/>
    <w:rsid w:val="00857C8A"/>
    <w:rsid w:val="00857CA5"/>
    <w:rsid w:val="0085B8CC"/>
    <w:rsid w:val="0086014F"/>
    <w:rsid w:val="0086027C"/>
    <w:rsid w:val="00860376"/>
    <w:rsid w:val="008603B9"/>
    <w:rsid w:val="00860754"/>
    <w:rsid w:val="00860A91"/>
    <w:rsid w:val="00860CA6"/>
    <w:rsid w:val="00860D3C"/>
    <w:rsid w:val="00860DBA"/>
    <w:rsid w:val="00860EA1"/>
    <w:rsid w:val="00860F0B"/>
    <w:rsid w:val="008611AC"/>
    <w:rsid w:val="00861597"/>
    <w:rsid w:val="00861865"/>
    <w:rsid w:val="008619F2"/>
    <w:rsid w:val="00861C2A"/>
    <w:rsid w:val="00861CC1"/>
    <w:rsid w:val="00861EB6"/>
    <w:rsid w:val="008623A0"/>
    <w:rsid w:val="00862694"/>
    <w:rsid w:val="008627E5"/>
    <w:rsid w:val="00862A87"/>
    <w:rsid w:val="00863126"/>
    <w:rsid w:val="008633AE"/>
    <w:rsid w:val="00863738"/>
    <w:rsid w:val="008639F3"/>
    <w:rsid w:val="00863B45"/>
    <w:rsid w:val="00863CBF"/>
    <w:rsid w:val="00863E3D"/>
    <w:rsid w:val="0086473B"/>
    <w:rsid w:val="0086474E"/>
    <w:rsid w:val="00864FA7"/>
    <w:rsid w:val="00865686"/>
    <w:rsid w:val="0086591C"/>
    <w:rsid w:val="00865F0C"/>
    <w:rsid w:val="008661EB"/>
    <w:rsid w:val="008667F9"/>
    <w:rsid w:val="008669AB"/>
    <w:rsid w:val="00866BCB"/>
    <w:rsid w:val="008674A0"/>
    <w:rsid w:val="0086750E"/>
    <w:rsid w:val="00867795"/>
    <w:rsid w:val="008679E3"/>
    <w:rsid w:val="00867E23"/>
    <w:rsid w:val="00867FA1"/>
    <w:rsid w:val="008700D1"/>
    <w:rsid w:val="008705F2"/>
    <w:rsid w:val="00870795"/>
    <w:rsid w:val="00870D6D"/>
    <w:rsid w:val="00871247"/>
    <w:rsid w:val="00871543"/>
    <w:rsid w:val="00871640"/>
    <w:rsid w:val="00871890"/>
    <w:rsid w:val="00871C12"/>
    <w:rsid w:val="00871EEA"/>
    <w:rsid w:val="00872021"/>
    <w:rsid w:val="0087228E"/>
    <w:rsid w:val="008722C4"/>
    <w:rsid w:val="008724C2"/>
    <w:rsid w:val="0087277A"/>
    <w:rsid w:val="0087296B"/>
    <w:rsid w:val="008731E2"/>
    <w:rsid w:val="0087337F"/>
    <w:rsid w:val="00873791"/>
    <w:rsid w:val="0087386F"/>
    <w:rsid w:val="00873877"/>
    <w:rsid w:val="0087405B"/>
    <w:rsid w:val="00874121"/>
    <w:rsid w:val="008743A5"/>
    <w:rsid w:val="00874604"/>
    <w:rsid w:val="008746C8"/>
    <w:rsid w:val="00874A40"/>
    <w:rsid w:val="00874B1F"/>
    <w:rsid w:val="00874BE0"/>
    <w:rsid w:val="00874E2C"/>
    <w:rsid w:val="00874F3B"/>
    <w:rsid w:val="00875792"/>
    <w:rsid w:val="0087590C"/>
    <w:rsid w:val="0087594E"/>
    <w:rsid w:val="0087597A"/>
    <w:rsid w:val="00875AEE"/>
    <w:rsid w:val="00875CF4"/>
    <w:rsid w:val="00875D1F"/>
    <w:rsid w:val="00876109"/>
    <w:rsid w:val="0087656F"/>
    <w:rsid w:val="008765E4"/>
    <w:rsid w:val="008768CD"/>
    <w:rsid w:val="00876A43"/>
    <w:rsid w:val="00876DF4"/>
    <w:rsid w:val="00877175"/>
    <w:rsid w:val="008773BC"/>
    <w:rsid w:val="00877974"/>
    <w:rsid w:val="00877A9B"/>
    <w:rsid w:val="00877FC0"/>
    <w:rsid w:val="00877FFC"/>
    <w:rsid w:val="00880075"/>
    <w:rsid w:val="008800F9"/>
    <w:rsid w:val="00880102"/>
    <w:rsid w:val="0088016D"/>
    <w:rsid w:val="00880262"/>
    <w:rsid w:val="008803EA"/>
    <w:rsid w:val="008804F8"/>
    <w:rsid w:val="00880518"/>
    <w:rsid w:val="00880CD0"/>
    <w:rsid w:val="00880E60"/>
    <w:rsid w:val="00881301"/>
    <w:rsid w:val="00881308"/>
    <w:rsid w:val="008814EC"/>
    <w:rsid w:val="008816A1"/>
    <w:rsid w:val="008816F6"/>
    <w:rsid w:val="00881D44"/>
    <w:rsid w:val="00881DC5"/>
    <w:rsid w:val="008826B1"/>
    <w:rsid w:val="008827D0"/>
    <w:rsid w:val="00882825"/>
    <w:rsid w:val="008828AD"/>
    <w:rsid w:val="00882922"/>
    <w:rsid w:val="00882C33"/>
    <w:rsid w:val="00882CC5"/>
    <w:rsid w:val="0088333D"/>
    <w:rsid w:val="008834A3"/>
    <w:rsid w:val="00883567"/>
    <w:rsid w:val="00883599"/>
    <w:rsid w:val="0088365F"/>
    <w:rsid w:val="008837CA"/>
    <w:rsid w:val="008837D9"/>
    <w:rsid w:val="008838BC"/>
    <w:rsid w:val="00883F43"/>
    <w:rsid w:val="0088430A"/>
    <w:rsid w:val="008847EE"/>
    <w:rsid w:val="00884860"/>
    <w:rsid w:val="008849D6"/>
    <w:rsid w:val="00884FE1"/>
    <w:rsid w:val="008850E5"/>
    <w:rsid w:val="00885343"/>
    <w:rsid w:val="008855AB"/>
    <w:rsid w:val="0088563C"/>
    <w:rsid w:val="0088564B"/>
    <w:rsid w:val="008858F5"/>
    <w:rsid w:val="00885BE8"/>
    <w:rsid w:val="00885DDC"/>
    <w:rsid w:val="00886046"/>
    <w:rsid w:val="008860B7"/>
    <w:rsid w:val="0088644B"/>
    <w:rsid w:val="008864BE"/>
    <w:rsid w:val="0088673B"/>
    <w:rsid w:val="00886930"/>
    <w:rsid w:val="00886985"/>
    <w:rsid w:val="00886CC4"/>
    <w:rsid w:val="00886D6B"/>
    <w:rsid w:val="00886D72"/>
    <w:rsid w:val="00886EE5"/>
    <w:rsid w:val="00886FEB"/>
    <w:rsid w:val="00887205"/>
    <w:rsid w:val="00887418"/>
    <w:rsid w:val="00887992"/>
    <w:rsid w:val="00890068"/>
    <w:rsid w:val="0089007E"/>
    <w:rsid w:val="008902C3"/>
    <w:rsid w:val="008904D8"/>
    <w:rsid w:val="0089092B"/>
    <w:rsid w:val="008909D9"/>
    <w:rsid w:val="008913F7"/>
    <w:rsid w:val="00891552"/>
    <w:rsid w:val="0089156D"/>
    <w:rsid w:val="008917CD"/>
    <w:rsid w:val="00891A94"/>
    <w:rsid w:val="00891C36"/>
    <w:rsid w:val="00891FD5"/>
    <w:rsid w:val="0089219B"/>
    <w:rsid w:val="00892432"/>
    <w:rsid w:val="00892658"/>
    <w:rsid w:val="00892BF3"/>
    <w:rsid w:val="00892DF3"/>
    <w:rsid w:val="00892FE9"/>
    <w:rsid w:val="008931EE"/>
    <w:rsid w:val="00893238"/>
    <w:rsid w:val="00893348"/>
    <w:rsid w:val="008935DD"/>
    <w:rsid w:val="00893876"/>
    <w:rsid w:val="00893AD2"/>
    <w:rsid w:val="00893F02"/>
    <w:rsid w:val="0089408B"/>
    <w:rsid w:val="008940A1"/>
    <w:rsid w:val="00894221"/>
    <w:rsid w:val="0089456B"/>
    <w:rsid w:val="00894796"/>
    <w:rsid w:val="00894C62"/>
    <w:rsid w:val="00894E8A"/>
    <w:rsid w:val="0089531B"/>
    <w:rsid w:val="00895C64"/>
    <w:rsid w:val="00895DD1"/>
    <w:rsid w:val="008960BB"/>
    <w:rsid w:val="00896781"/>
    <w:rsid w:val="00896AA1"/>
    <w:rsid w:val="00896C89"/>
    <w:rsid w:val="00896D04"/>
    <w:rsid w:val="00896DD8"/>
    <w:rsid w:val="00896EB7"/>
    <w:rsid w:val="00897135"/>
    <w:rsid w:val="008975A2"/>
    <w:rsid w:val="008975A6"/>
    <w:rsid w:val="008975E7"/>
    <w:rsid w:val="00897694"/>
    <w:rsid w:val="00897814"/>
    <w:rsid w:val="00897900"/>
    <w:rsid w:val="0089799A"/>
    <w:rsid w:val="00897B49"/>
    <w:rsid w:val="00897C3A"/>
    <w:rsid w:val="008A073E"/>
    <w:rsid w:val="008A0941"/>
    <w:rsid w:val="008A0EDD"/>
    <w:rsid w:val="008A1109"/>
    <w:rsid w:val="008A1362"/>
    <w:rsid w:val="008A14ED"/>
    <w:rsid w:val="008A1AD3"/>
    <w:rsid w:val="008A1B26"/>
    <w:rsid w:val="008A216A"/>
    <w:rsid w:val="008A23D4"/>
    <w:rsid w:val="008A2F03"/>
    <w:rsid w:val="008A30C1"/>
    <w:rsid w:val="008A33C3"/>
    <w:rsid w:val="008A37FC"/>
    <w:rsid w:val="008A40CC"/>
    <w:rsid w:val="008A448B"/>
    <w:rsid w:val="008A4688"/>
    <w:rsid w:val="008A4B1E"/>
    <w:rsid w:val="008A4B9F"/>
    <w:rsid w:val="008A5178"/>
    <w:rsid w:val="008A51D5"/>
    <w:rsid w:val="008A54B0"/>
    <w:rsid w:val="008A566E"/>
    <w:rsid w:val="008A59D3"/>
    <w:rsid w:val="008A5AC0"/>
    <w:rsid w:val="008A5BEE"/>
    <w:rsid w:val="008A5D01"/>
    <w:rsid w:val="008A5F0D"/>
    <w:rsid w:val="008A6239"/>
    <w:rsid w:val="008A6276"/>
    <w:rsid w:val="008A62F2"/>
    <w:rsid w:val="008A6339"/>
    <w:rsid w:val="008A6471"/>
    <w:rsid w:val="008A64B4"/>
    <w:rsid w:val="008A6859"/>
    <w:rsid w:val="008A6924"/>
    <w:rsid w:val="008A6939"/>
    <w:rsid w:val="008A6D3A"/>
    <w:rsid w:val="008A6F92"/>
    <w:rsid w:val="008A725E"/>
    <w:rsid w:val="008A7439"/>
    <w:rsid w:val="008A7458"/>
    <w:rsid w:val="008A758B"/>
    <w:rsid w:val="008A7623"/>
    <w:rsid w:val="008A7BF7"/>
    <w:rsid w:val="008A7C92"/>
    <w:rsid w:val="008A7D09"/>
    <w:rsid w:val="008A7E0A"/>
    <w:rsid w:val="008B021C"/>
    <w:rsid w:val="008B0979"/>
    <w:rsid w:val="008B0D10"/>
    <w:rsid w:val="008B0E07"/>
    <w:rsid w:val="008B0EC7"/>
    <w:rsid w:val="008B0FA5"/>
    <w:rsid w:val="008B1046"/>
    <w:rsid w:val="008B1192"/>
    <w:rsid w:val="008B1944"/>
    <w:rsid w:val="008B1AD9"/>
    <w:rsid w:val="008B2037"/>
    <w:rsid w:val="008B2277"/>
    <w:rsid w:val="008B22F1"/>
    <w:rsid w:val="008B2487"/>
    <w:rsid w:val="008B286F"/>
    <w:rsid w:val="008B2FEB"/>
    <w:rsid w:val="008B3583"/>
    <w:rsid w:val="008B3685"/>
    <w:rsid w:val="008B4110"/>
    <w:rsid w:val="008B411B"/>
    <w:rsid w:val="008B4128"/>
    <w:rsid w:val="008B46CF"/>
    <w:rsid w:val="008B47D1"/>
    <w:rsid w:val="008B4C80"/>
    <w:rsid w:val="008B4F91"/>
    <w:rsid w:val="008B4FEF"/>
    <w:rsid w:val="008B51D6"/>
    <w:rsid w:val="008B5505"/>
    <w:rsid w:val="008B5A81"/>
    <w:rsid w:val="008B5ACB"/>
    <w:rsid w:val="008B62E9"/>
    <w:rsid w:val="008B63E3"/>
    <w:rsid w:val="008B6504"/>
    <w:rsid w:val="008B675D"/>
    <w:rsid w:val="008B6890"/>
    <w:rsid w:val="008B6A08"/>
    <w:rsid w:val="008B6AEB"/>
    <w:rsid w:val="008B71E0"/>
    <w:rsid w:val="008B729A"/>
    <w:rsid w:val="008B734E"/>
    <w:rsid w:val="008B7470"/>
    <w:rsid w:val="008B7C9A"/>
    <w:rsid w:val="008B7CB5"/>
    <w:rsid w:val="008B7FB8"/>
    <w:rsid w:val="008C0B65"/>
    <w:rsid w:val="008C0C68"/>
    <w:rsid w:val="008C0F45"/>
    <w:rsid w:val="008C19A0"/>
    <w:rsid w:val="008C1B03"/>
    <w:rsid w:val="008C1C4F"/>
    <w:rsid w:val="008C2109"/>
    <w:rsid w:val="008C2171"/>
    <w:rsid w:val="008C285E"/>
    <w:rsid w:val="008C2D68"/>
    <w:rsid w:val="008C2DCF"/>
    <w:rsid w:val="008C2F13"/>
    <w:rsid w:val="008C3138"/>
    <w:rsid w:val="008C32AA"/>
    <w:rsid w:val="008C3421"/>
    <w:rsid w:val="008C3B52"/>
    <w:rsid w:val="008C3B6B"/>
    <w:rsid w:val="008C3DAC"/>
    <w:rsid w:val="008C3DD0"/>
    <w:rsid w:val="008C4218"/>
    <w:rsid w:val="008C44CA"/>
    <w:rsid w:val="008C44E0"/>
    <w:rsid w:val="008C4976"/>
    <w:rsid w:val="008C4A8E"/>
    <w:rsid w:val="008C4CAA"/>
    <w:rsid w:val="008C4DC2"/>
    <w:rsid w:val="008C4E26"/>
    <w:rsid w:val="008C5010"/>
    <w:rsid w:val="008C542C"/>
    <w:rsid w:val="008C5453"/>
    <w:rsid w:val="008C5AC8"/>
    <w:rsid w:val="008C5C91"/>
    <w:rsid w:val="008C5D3B"/>
    <w:rsid w:val="008C5F9F"/>
    <w:rsid w:val="008C5FF0"/>
    <w:rsid w:val="008C622D"/>
    <w:rsid w:val="008C6230"/>
    <w:rsid w:val="008C6566"/>
    <w:rsid w:val="008C66A6"/>
    <w:rsid w:val="008C67F2"/>
    <w:rsid w:val="008C6AC1"/>
    <w:rsid w:val="008C6B12"/>
    <w:rsid w:val="008C6C8F"/>
    <w:rsid w:val="008C7137"/>
    <w:rsid w:val="008C7341"/>
    <w:rsid w:val="008C73AF"/>
    <w:rsid w:val="008C77FD"/>
    <w:rsid w:val="008C7B17"/>
    <w:rsid w:val="008C7CCD"/>
    <w:rsid w:val="008C7E85"/>
    <w:rsid w:val="008C7EE5"/>
    <w:rsid w:val="008D002D"/>
    <w:rsid w:val="008D01E6"/>
    <w:rsid w:val="008D06F5"/>
    <w:rsid w:val="008D0F56"/>
    <w:rsid w:val="008D1126"/>
    <w:rsid w:val="008D11D1"/>
    <w:rsid w:val="008D1871"/>
    <w:rsid w:val="008D1A21"/>
    <w:rsid w:val="008D1A58"/>
    <w:rsid w:val="008D1AC3"/>
    <w:rsid w:val="008D1E05"/>
    <w:rsid w:val="008D1EAC"/>
    <w:rsid w:val="008D1FC1"/>
    <w:rsid w:val="008D24FE"/>
    <w:rsid w:val="008D28ED"/>
    <w:rsid w:val="008D29DE"/>
    <w:rsid w:val="008D2B7C"/>
    <w:rsid w:val="008D2F8D"/>
    <w:rsid w:val="008D33B4"/>
    <w:rsid w:val="008D341E"/>
    <w:rsid w:val="008D3DB3"/>
    <w:rsid w:val="008D4120"/>
    <w:rsid w:val="008D4140"/>
    <w:rsid w:val="008D4B43"/>
    <w:rsid w:val="008D5226"/>
    <w:rsid w:val="008D5580"/>
    <w:rsid w:val="008D574C"/>
    <w:rsid w:val="008D66AA"/>
    <w:rsid w:val="008D6B34"/>
    <w:rsid w:val="008D6B7D"/>
    <w:rsid w:val="008D6BAC"/>
    <w:rsid w:val="008D7023"/>
    <w:rsid w:val="008D705C"/>
    <w:rsid w:val="008D7258"/>
    <w:rsid w:val="008D74A6"/>
    <w:rsid w:val="008D74C8"/>
    <w:rsid w:val="008D79F6"/>
    <w:rsid w:val="008D7AE9"/>
    <w:rsid w:val="008D7BB8"/>
    <w:rsid w:val="008E0033"/>
    <w:rsid w:val="008E021F"/>
    <w:rsid w:val="008E03C5"/>
    <w:rsid w:val="008E052F"/>
    <w:rsid w:val="008E0627"/>
    <w:rsid w:val="008E073E"/>
    <w:rsid w:val="008E0CC6"/>
    <w:rsid w:val="008E0CF9"/>
    <w:rsid w:val="008E0D18"/>
    <w:rsid w:val="008E1328"/>
    <w:rsid w:val="008E149D"/>
    <w:rsid w:val="008E177A"/>
    <w:rsid w:val="008E1844"/>
    <w:rsid w:val="008E2034"/>
    <w:rsid w:val="008E26DD"/>
    <w:rsid w:val="008E299A"/>
    <w:rsid w:val="008E2B1D"/>
    <w:rsid w:val="008E2EFE"/>
    <w:rsid w:val="008E373D"/>
    <w:rsid w:val="008E3759"/>
    <w:rsid w:val="008E3A77"/>
    <w:rsid w:val="008E3D03"/>
    <w:rsid w:val="008E3E5D"/>
    <w:rsid w:val="008E3F16"/>
    <w:rsid w:val="008E3FC0"/>
    <w:rsid w:val="008E40DF"/>
    <w:rsid w:val="008E423E"/>
    <w:rsid w:val="008E430C"/>
    <w:rsid w:val="008E4340"/>
    <w:rsid w:val="008E48AE"/>
    <w:rsid w:val="008E4971"/>
    <w:rsid w:val="008E5164"/>
    <w:rsid w:val="008E53B1"/>
    <w:rsid w:val="008E54A1"/>
    <w:rsid w:val="008E551D"/>
    <w:rsid w:val="008E56A9"/>
    <w:rsid w:val="008E58CD"/>
    <w:rsid w:val="008E58D0"/>
    <w:rsid w:val="008E5A29"/>
    <w:rsid w:val="008E65A6"/>
    <w:rsid w:val="008E665F"/>
    <w:rsid w:val="008E67C0"/>
    <w:rsid w:val="008E6BE4"/>
    <w:rsid w:val="008E6E6A"/>
    <w:rsid w:val="008E6EF4"/>
    <w:rsid w:val="008E7A7E"/>
    <w:rsid w:val="008E7E1C"/>
    <w:rsid w:val="008E7F37"/>
    <w:rsid w:val="008E7FC3"/>
    <w:rsid w:val="008F05FE"/>
    <w:rsid w:val="008F071B"/>
    <w:rsid w:val="008F086C"/>
    <w:rsid w:val="008F0A00"/>
    <w:rsid w:val="008F0C66"/>
    <w:rsid w:val="008F1086"/>
    <w:rsid w:val="008F168D"/>
    <w:rsid w:val="008F18C3"/>
    <w:rsid w:val="008F1B13"/>
    <w:rsid w:val="008F1B52"/>
    <w:rsid w:val="008F1BD3"/>
    <w:rsid w:val="008F1CB8"/>
    <w:rsid w:val="008F1FB4"/>
    <w:rsid w:val="008F2214"/>
    <w:rsid w:val="008F22EC"/>
    <w:rsid w:val="008F2747"/>
    <w:rsid w:val="008F2912"/>
    <w:rsid w:val="008F29C2"/>
    <w:rsid w:val="008F2AFC"/>
    <w:rsid w:val="008F33F3"/>
    <w:rsid w:val="008F36C1"/>
    <w:rsid w:val="008F3962"/>
    <w:rsid w:val="008F3D9A"/>
    <w:rsid w:val="008F40C9"/>
    <w:rsid w:val="008F4581"/>
    <w:rsid w:val="008F45F3"/>
    <w:rsid w:val="008F45FD"/>
    <w:rsid w:val="008F486D"/>
    <w:rsid w:val="008F48B8"/>
    <w:rsid w:val="008F4917"/>
    <w:rsid w:val="008F4BAE"/>
    <w:rsid w:val="008F4CA9"/>
    <w:rsid w:val="008F5538"/>
    <w:rsid w:val="008F5B6A"/>
    <w:rsid w:val="008F6629"/>
    <w:rsid w:val="008F6888"/>
    <w:rsid w:val="008F69D8"/>
    <w:rsid w:val="008F6A0B"/>
    <w:rsid w:val="008F6B42"/>
    <w:rsid w:val="008F6FCC"/>
    <w:rsid w:val="008F70EC"/>
    <w:rsid w:val="008F7C9E"/>
    <w:rsid w:val="0090016A"/>
    <w:rsid w:val="0090025B"/>
    <w:rsid w:val="0090045F"/>
    <w:rsid w:val="0090067A"/>
    <w:rsid w:val="00900854"/>
    <w:rsid w:val="00900F87"/>
    <w:rsid w:val="00900FA3"/>
    <w:rsid w:val="009011F3"/>
    <w:rsid w:val="0090130A"/>
    <w:rsid w:val="009019F8"/>
    <w:rsid w:val="00902996"/>
    <w:rsid w:val="00902BE5"/>
    <w:rsid w:val="00902E3E"/>
    <w:rsid w:val="00903014"/>
    <w:rsid w:val="009030AD"/>
    <w:rsid w:val="009032A5"/>
    <w:rsid w:val="0090354A"/>
    <w:rsid w:val="00903BD5"/>
    <w:rsid w:val="00903D9F"/>
    <w:rsid w:val="00903F32"/>
    <w:rsid w:val="009040AF"/>
    <w:rsid w:val="00904810"/>
    <w:rsid w:val="00904D3D"/>
    <w:rsid w:val="00904DC1"/>
    <w:rsid w:val="00904E93"/>
    <w:rsid w:val="00905384"/>
    <w:rsid w:val="0090584A"/>
    <w:rsid w:val="00905C7A"/>
    <w:rsid w:val="00905DC2"/>
    <w:rsid w:val="009061CF"/>
    <w:rsid w:val="009064FC"/>
    <w:rsid w:val="00906C61"/>
    <w:rsid w:val="00907330"/>
    <w:rsid w:val="009074EB"/>
    <w:rsid w:val="00907999"/>
    <w:rsid w:val="00907C21"/>
    <w:rsid w:val="00907DC1"/>
    <w:rsid w:val="009105D3"/>
    <w:rsid w:val="00910662"/>
    <w:rsid w:val="00910916"/>
    <w:rsid w:val="009109FC"/>
    <w:rsid w:val="00910A83"/>
    <w:rsid w:val="00910BFE"/>
    <w:rsid w:val="00910D6B"/>
    <w:rsid w:val="00911203"/>
    <w:rsid w:val="00911399"/>
    <w:rsid w:val="00911665"/>
    <w:rsid w:val="00911685"/>
    <w:rsid w:val="00911B67"/>
    <w:rsid w:val="00912959"/>
    <w:rsid w:val="009129DB"/>
    <w:rsid w:val="00913032"/>
    <w:rsid w:val="0091318F"/>
    <w:rsid w:val="0091345E"/>
    <w:rsid w:val="00913464"/>
    <w:rsid w:val="009135EE"/>
    <w:rsid w:val="00913C2B"/>
    <w:rsid w:val="00913C88"/>
    <w:rsid w:val="009146A6"/>
    <w:rsid w:val="00914AED"/>
    <w:rsid w:val="00914E24"/>
    <w:rsid w:val="009155F9"/>
    <w:rsid w:val="00915B51"/>
    <w:rsid w:val="0091630D"/>
    <w:rsid w:val="009165E7"/>
    <w:rsid w:val="00916A26"/>
    <w:rsid w:val="00916AAD"/>
    <w:rsid w:val="00916D24"/>
    <w:rsid w:val="00916EE8"/>
    <w:rsid w:val="00917127"/>
    <w:rsid w:val="009172EB"/>
    <w:rsid w:val="00917C26"/>
    <w:rsid w:val="00917D5B"/>
    <w:rsid w:val="009201BA"/>
    <w:rsid w:val="00920525"/>
    <w:rsid w:val="00920600"/>
    <w:rsid w:val="009207E2"/>
    <w:rsid w:val="00920B58"/>
    <w:rsid w:val="00920C40"/>
    <w:rsid w:val="00920DC1"/>
    <w:rsid w:val="00920FBD"/>
    <w:rsid w:val="00921052"/>
    <w:rsid w:val="009212E6"/>
    <w:rsid w:val="009215B0"/>
    <w:rsid w:val="00921613"/>
    <w:rsid w:val="0092188F"/>
    <w:rsid w:val="00921EA8"/>
    <w:rsid w:val="00922212"/>
    <w:rsid w:val="0092272F"/>
    <w:rsid w:val="00922740"/>
    <w:rsid w:val="0092298D"/>
    <w:rsid w:val="00922D27"/>
    <w:rsid w:val="0092311F"/>
    <w:rsid w:val="00923421"/>
    <w:rsid w:val="00923428"/>
    <w:rsid w:val="009239C9"/>
    <w:rsid w:val="00923BC7"/>
    <w:rsid w:val="00923C30"/>
    <w:rsid w:val="00923CC4"/>
    <w:rsid w:val="009240D0"/>
    <w:rsid w:val="009243A4"/>
    <w:rsid w:val="009243E9"/>
    <w:rsid w:val="00924475"/>
    <w:rsid w:val="00924D24"/>
    <w:rsid w:val="00925098"/>
    <w:rsid w:val="00925171"/>
    <w:rsid w:val="0092525F"/>
    <w:rsid w:val="0092544D"/>
    <w:rsid w:val="00925879"/>
    <w:rsid w:val="00925BAA"/>
    <w:rsid w:val="00925D15"/>
    <w:rsid w:val="00925E07"/>
    <w:rsid w:val="00925E6D"/>
    <w:rsid w:val="00925F4D"/>
    <w:rsid w:val="00926240"/>
    <w:rsid w:val="0092625C"/>
    <w:rsid w:val="009266D7"/>
    <w:rsid w:val="00926999"/>
    <w:rsid w:val="00926ABE"/>
    <w:rsid w:val="00926F1F"/>
    <w:rsid w:val="009270AD"/>
    <w:rsid w:val="009275B0"/>
    <w:rsid w:val="00927729"/>
    <w:rsid w:val="00927BE4"/>
    <w:rsid w:val="00927CC2"/>
    <w:rsid w:val="00927D99"/>
    <w:rsid w:val="00930241"/>
    <w:rsid w:val="0093037B"/>
    <w:rsid w:val="009304CD"/>
    <w:rsid w:val="00930A6A"/>
    <w:rsid w:val="00931166"/>
    <w:rsid w:val="0093119C"/>
    <w:rsid w:val="009316BC"/>
    <w:rsid w:val="00931857"/>
    <w:rsid w:val="00931B09"/>
    <w:rsid w:val="009320A1"/>
    <w:rsid w:val="009323A6"/>
    <w:rsid w:val="00932477"/>
    <w:rsid w:val="00932822"/>
    <w:rsid w:val="00932996"/>
    <w:rsid w:val="00932B8A"/>
    <w:rsid w:val="00932BE3"/>
    <w:rsid w:val="00933300"/>
    <w:rsid w:val="00933377"/>
    <w:rsid w:val="00933477"/>
    <w:rsid w:val="0093367E"/>
    <w:rsid w:val="00933895"/>
    <w:rsid w:val="00933BCA"/>
    <w:rsid w:val="009343C2"/>
    <w:rsid w:val="0093452C"/>
    <w:rsid w:val="00934A0C"/>
    <w:rsid w:val="00934C55"/>
    <w:rsid w:val="00934C88"/>
    <w:rsid w:val="00934FC9"/>
    <w:rsid w:val="0093509E"/>
    <w:rsid w:val="0093548B"/>
    <w:rsid w:val="00935709"/>
    <w:rsid w:val="00935B9E"/>
    <w:rsid w:val="00935D00"/>
    <w:rsid w:val="00935EC2"/>
    <w:rsid w:val="00935FD7"/>
    <w:rsid w:val="00936C81"/>
    <w:rsid w:val="00936EC5"/>
    <w:rsid w:val="009372A9"/>
    <w:rsid w:val="00937528"/>
    <w:rsid w:val="0093776D"/>
    <w:rsid w:val="00937887"/>
    <w:rsid w:val="00937D76"/>
    <w:rsid w:val="00937E26"/>
    <w:rsid w:val="0093C457"/>
    <w:rsid w:val="00940039"/>
    <w:rsid w:val="009406B9"/>
    <w:rsid w:val="00940A1A"/>
    <w:rsid w:val="00940AD1"/>
    <w:rsid w:val="00940C74"/>
    <w:rsid w:val="00940CC0"/>
    <w:rsid w:val="00940E28"/>
    <w:rsid w:val="0094125D"/>
    <w:rsid w:val="009417EE"/>
    <w:rsid w:val="0094184B"/>
    <w:rsid w:val="00941B2F"/>
    <w:rsid w:val="00941D5E"/>
    <w:rsid w:val="00942E22"/>
    <w:rsid w:val="0094312C"/>
    <w:rsid w:val="00943263"/>
    <w:rsid w:val="0094327B"/>
    <w:rsid w:val="009433FD"/>
    <w:rsid w:val="0094356F"/>
    <w:rsid w:val="00943A6A"/>
    <w:rsid w:val="00943DAE"/>
    <w:rsid w:val="00943EE6"/>
    <w:rsid w:val="009440AF"/>
    <w:rsid w:val="00944103"/>
    <w:rsid w:val="0094411A"/>
    <w:rsid w:val="0094426F"/>
    <w:rsid w:val="0094448F"/>
    <w:rsid w:val="009447FB"/>
    <w:rsid w:val="009449F8"/>
    <w:rsid w:val="00944C5F"/>
    <w:rsid w:val="00945812"/>
    <w:rsid w:val="00945911"/>
    <w:rsid w:val="009459BB"/>
    <w:rsid w:val="009459E1"/>
    <w:rsid w:val="00945A7B"/>
    <w:rsid w:val="00945BAA"/>
    <w:rsid w:val="00945F35"/>
    <w:rsid w:val="00945F9B"/>
    <w:rsid w:val="00946083"/>
    <w:rsid w:val="00946502"/>
    <w:rsid w:val="00946AB8"/>
    <w:rsid w:val="00946C5B"/>
    <w:rsid w:val="00946F4F"/>
    <w:rsid w:val="00947140"/>
    <w:rsid w:val="009471D8"/>
    <w:rsid w:val="00947218"/>
    <w:rsid w:val="0094724D"/>
    <w:rsid w:val="009474CE"/>
    <w:rsid w:val="00947602"/>
    <w:rsid w:val="0094766A"/>
    <w:rsid w:val="0094791E"/>
    <w:rsid w:val="00947C8A"/>
    <w:rsid w:val="009500A5"/>
    <w:rsid w:val="009501A5"/>
    <w:rsid w:val="009505AF"/>
    <w:rsid w:val="009507A3"/>
    <w:rsid w:val="00950966"/>
    <w:rsid w:val="00950AC3"/>
    <w:rsid w:val="00950D4E"/>
    <w:rsid w:val="00950FA9"/>
    <w:rsid w:val="00951567"/>
    <w:rsid w:val="009516A9"/>
    <w:rsid w:val="00951705"/>
    <w:rsid w:val="00951824"/>
    <w:rsid w:val="009518BB"/>
    <w:rsid w:val="009526C9"/>
    <w:rsid w:val="00952AFB"/>
    <w:rsid w:val="00952EC5"/>
    <w:rsid w:val="0095320A"/>
    <w:rsid w:val="0095338D"/>
    <w:rsid w:val="0095441A"/>
    <w:rsid w:val="0095470C"/>
    <w:rsid w:val="00954F00"/>
    <w:rsid w:val="00955131"/>
    <w:rsid w:val="009558EA"/>
    <w:rsid w:val="00955A39"/>
    <w:rsid w:val="009565FA"/>
    <w:rsid w:val="00956D76"/>
    <w:rsid w:val="009571A9"/>
    <w:rsid w:val="009573F5"/>
    <w:rsid w:val="00957802"/>
    <w:rsid w:val="00957BF9"/>
    <w:rsid w:val="00957E44"/>
    <w:rsid w:val="00957E77"/>
    <w:rsid w:val="009600D0"/>
    <w:rsid w:val="00960230"/>
    <w:rsid w:val="00960632"/>
    <w:rsid w:val="0096066A"/>
    <w:rsid w:val="009607A5"/>
    <w:rsid w:val="00960AB5"/>
    <w:rsid w:val="00960DE8"/>
    <w:rsid w:val="00961472"/>
    <w:rsid w:val="0096155A"/>
    <w:rsid w:val="00961742"/>
    <w:rsid w:val="009618BA"/>
    <w:rsid w:val="00961A32"/>
    <w:rsid w:val="00961A8B"/>
    <w:rsid w:val="00961B62"/>
    <w:rsid w:val="00961D2D"/>
    <w:rsid w:val="00961D2E"/>
    <w:rsid w:val="00961DB6"/>
    <w:rsid w:val="00962CB8"/>
    <w:rsid w:val="009633BA"/>
    <w:rsid w:val="00963525"/>
    <w:rsid w:val="00963627"/>
    <w:rsid w:val="009638E7"/>
    <w:rsid w:val="00963B83"/>
    <w:rsid w:val="00963C46"/>
    <w:rsid w:val="00964755"/>
    <w:rsid w:val="009647EA"/>
    <w:rsid w:val="00964FB7"/>
    <w:rsid w:val="00965097"/>
    <w:rsid w:val="00965187"/>
    <w:rsid w:val="0096524E"/>
    <w:rsid w:val="00965363"/>
    <w:rsid w:val="00965984"/>
    <w:rsid w:val="00965A8D"/>
    <w:rsid w:val="00965F08"/>
    <w:rsid w:val="00965FCE"/>
    <w:rsid w:val="00966178"/>
    <w:rsid w:val="00966ADB"/>
    <w:rsid w:val="00966E79"/>
    <w:rsid w:val="0096743B"/>
    <w:rsid w:val="009674B9"/>
    <w:rsid w:val="009675F5"/>
    <w:rsid w:val="00967680"/>
    <w:rsid w:val="00967F68"/>
    <w:rsid w:val="009703FB"/>
    <w:rsid w:val="00970415"/>
    <w:rsid w:val="0097050D"/>
    <w:rsid w:val="009708BC"/>
    <w:rsid w:val="00970AB3"/>
    <w:rsid w:val="00970E3A"/>
    <w:rsid w:val="009713DE"/>
    <w:rsid w:val="00971E6E"/>
    <w:rsid w:val="0097202D"/>
    <w:rsid w:val="00972112"/>
    <w:rsid w:val="00972234"/>
    <w:rsid w:val="00972298"/>
    <w:rsid w:val="00972331"/>
    <w:rsid w:val="00972333"/>
    <w:rsid w:val="0097252E"/>
    <w:rsid w:val="00972656"/>
    <w:rsid w:val="009726A4"/>
    <w:rsid w:val="00972B91"/>
    <w:rsid w:val="00972D9B"/>
    <w:rsid w:val="00972FBF"/>
    <w:rsid w:val="009736AA"/>
    <w:rsid w:val="009736E1"/>
    <w:rsid w:val="00973EDB"/>
    <w:rsid w:val="0097472B"/>
    <w:rsid w:val="0097483C"/>
    <w:rsid w:val="00974B53"/>
    <w:rsid w:val="00974D84"/>
    <w:rsid w:val="00974F11"/>
    <w:rsid w:val="009751D5"/>
    <w:rsid w:val="00975376"/>
    <w:rsid w:val="009755A8"/>
    <w:rsid w:val="00975998"/>
    <w:rsid w:val="00975C86"/>
    <w:rsid w:val="00975FC8"/>
    <w:rsid w:val="009761F3"/>
    <w:rsid w:val="009767E8"/>
    <w:rsid w:val="0097686D"/>
    <w:rsid w:val="00976BCF"/>
    <w:rsid w:val="00977E0C"/>
    <w:rsid w:val="00980367"/>
    <w:rsid w:val="00980458"/>
    <w:rsid w:val="00980564"/>
    <w:rsid w:val="009808C1"/>
    <w:rsid w:val="00980CB2"/>
    <w:rsid w:val="00980D80"/>
    <w:rsid w:val="00980E04"/>
    <w:rsid w:val="009813B9"/>
    <w:rsid w:val="009813EF"/>
    <w:rsid w:val="009816C7"/>
    <w:rsid w:val="00981931"/>
    <w:rsid w:val="00981CDC"/>
    <w:rsid w:val="00981DE4"/>
    <w:rsid w:val="00982495"/>
    <w:rsid w:val="009824AF"/>
    <w:rsid w:val="0098252C"/>
    <w:rsid w:val="009826F3"/>
    <w:rsid w:val="00982B5F"/>
    <w:rsid w:val="00982DA8"/>
    <w:rsid w:val="00982E07"/>
    <w:rsid w:val="00983056"/>
    <w:rsid w:val="009830DC"/>
    <w:rsid w:val="00983303"/>
    <w:rsid w:val="0098339A"/>
    <w:rsid w:val="0098394F"/>
    <w:rsid w:val="00983A45"/>
    <w:rsid w:val="00983C0E"/>
    <w:rsid w:val="009846DF"/>
    <w:rsid w:val="009847D3"/>
    <w:rsid w:val="009847D9"/>
    <w:rsid w:val="00984883"/>
    <w:rsid w:val="00984E01"/>
    <w:rsid w:val="00985598"/>
    <w:rsid w:val="00985BB4"/>
    <w:rsid w:val="00985E14"/>
    <w:rsid w:val="009863B3"/>
    <w:rsid w:val="00986439"/>
    <w:rsid w:val="00986B21"/>
    <w:rsid w:val="0098703C"/>
    <w:rsid w:val="009870C9"/>
    <w:rsid w:val="009871D6"/>
    <w:rsid w:val="0098721A"/>
    <w:rsid w:val="00987A4C"/>
    <w:rsid w:val="00987C53"/>
    <w:rsid w:val="00987CE1"/>
    <w:rsid w:val="00987DFB"/>
    <w:rsid w:val="00987FEE"/>
    <w:rsid w:val="00990082"/>
    <w:rsid w:val="009900B3"/>
    <w:rsid w:val="00990590"/>
    <w:rsid w:val="009906DB"/>
    <w:rsid w:val="00990AD4"/>
    <w:rsid w:val="00990C57"/>
    <w:rsid w:val="00991043"/>
    <w:rsid w:val="0099138B"/>
    <w:rsid w:val="009913D2"/>
    <w:rsid w:val="00991599"/>
    <w:rsid w:val="009919DD"/>
    <w:rsid w:val="00991FD4"/>
    <w:rsid w:val="009922BF"/>
    <w:rsid w:val="00992A60"/>
    <w:rsid w:val="00992BFB"/>
    <w:rsid w:val="009934EE"/>
    <w:rsid w:val="00993A97"/>
    <w:rsid w:val="00993B8E"/>
    <w:rsid w:val="009940C3"/>
    <w:rsid w:val="009940E5"/>
    <w:rsid w:val="009944AF"/>
    <w:rsid w:val="0099462F"/>
    <w:rsid w:val="00994697"/>
    <w:rsid w:val="00994B62"/>
    <w:rsid w:val="00994E4D"/>
    <w:rsid w:val="0099511F"/>
    <w:rsid w:val="009951C8"/>
    <w:rsid w:val="00995224"/>
    <w:rsid w:val="0099522D"/>
    <w:rsid w:val="00995B57"/>
    <w:rsid w:val="00995D50"/>
    <w:rsid w:val="00996083"/>
    <w:rsid w:val="009961CE"/>
    <w:rsid w:val="00996429"/>
    <w:rsid w:val="00996535"/>
    <w:rsid w:val="00996E6B"/>
    <w:rsid w:val="00996F25"/>
    <w:rsid w:val="0099743E"/>
    <w:rsid w:val="0099782F"/>
    <w:rsid w:val="00997AC9"/>
    <w:rsid w:val="00997BCB"/>
    <w:rsid w:val="00997C01"/>
    <w:rsid w:val="00997CA6"/>
    <w:rsid w:val="009A03B6"/>
    <w:rsid w:val="009A067E"/>
    <w:rsid w:val="009A07C8"/>
    <w:rsid w:val="009A0886"/>
    <w:rsid w:val="009A0B48"/>
    <w:rsid w:val="009A0BA6"/>
    <w:rsid w:val="009A0C33"/>
    <w:rsid w:val="009A0E6E"/>
    <w:rsid w:val="009A1059"/>
    <w:rsid w:val="009A1252"/>
    <w:rsid w:val="009A161B"/>
    <w:rsid w:val="009A1D7F"/>
    <w:rsid w:val="009A1E3F"/>
    <w:rsid w:val="009A1FA0"/>
    <w:rsid w:val="009A2086"/>
    <w:rsid w:val="009A2326"/>
    <w:rsid w:val="009A2547"/>
    <w:rsid w:val="009A284A"/>
    <w:rsid w:val="009A284B"/>
    <w:rsid w:val="009A2856"/>
    <w:rsid w:val="009A2C70"/>
    <w:rsid w:val="009A2E7A"/>
    <w:rsid w:val="009A3089"/>
    <w:rsid w:val="009A312C"/>
    <w:rsid w:val="009A349B"/>
    <w:rsid w:val="009A34CF"/>
    <w:rsid w:val="009A35B2"/>
    <w:rsid w:val="009A361F"/>
    <w:rsid w:val="009A3899"/>
    <w:rsid w:val="009A3A19"/>
    <w:rsid w:val="009A3ACE"/>
    <w:rsid w:val="009A4502"/>
    <w:rsid w:val="009A45E3"/>
    <w:rsid w:val="009A4704"/>
    <w:rsid w:val="009A4A70"/>
    <w:rsid w:val="009A4B16"/>
    <w:rsid w:val="009A4C3C"/>
    <w:rsid w:val="009A4CAC"/>
    <w:rsid w:val="009A4D91"/>
    <w:rsid w:val="009A4FD6"/>
    <w:rsid w:val="009A5233"/>
    <w:rsid w:val="009A5789"/>
    <w:rsid w:val="009A5880"/>
    <w:rsid w:val="009A5ABC"/>
    <w:rsid w:val="009A630E"/>
    <w:rsid w:val="009A66A5"/>
    <w:rsid w:val="009A6743"/>
    <w:rsid w:val="009A684D"/>
    <w:rsid w:val="009A6852"/>
    <w:rsid w:val="009A6CC3"/>
    <w:rsid w:val="009A6CC9"/>
    <w:rsid w:val="009A7316"/>
    <w:rsid w:val="009A74D7"/>
    <w:rsid w:val="009A779F"/>
    <w:rsid w:val="009A7C1C"/>
    <w:rsid w:val="009A7D97"/>
    <w:rsid w:val="009A7D9B"/>
    <w:rsid w:val="009A7F70"/>
    <w:rsid w:val="009B00E6"/>
    <w:rsid w:val="009B0116"/>
    <w:rsid w:val="009B03CF"/>
    <w:rsid w:val="009B0887"/>
    <w:rsid w:val="009B0CAF"/>
    <w:rsid w:val="009B0DF5"/>
    <w:rsid w:val="009B111B"/>
    <w:rsid w:val="009B1C7D"/>
    <w:rsid w:val="009B1CB3"/>
    <w:rsid w:val="009B2095"/>
    <w:rsid w:val="009B225A"/>
    <w:rsid w:val="009B25FF"/>
    <w:rsid w:val="009B2668"/>
    <w:rsid w:val="009B2A3A"/>
    <w:rsid w:val="009B2E8B"/>
    <w:rsid w:val="009B335C"/>
    <w:rsid w:val="009B39FD"/>
    <w:rsid w:val="009B3A38"/>
    <w:rsid w:val="009B3A5C"/>
    <w:rsid w:val="009B3AC6"/>
    <w:rsid w:val="009B3C82"/>
    <w:rsid w:val="009B3E10"/>
    <w:rsid w:val="009B3E75"/>
    <w:rsid w:val="009B4513"/>
    <w:rsid w:val="009B49FD"/>
    <w:rsid w:val="009B4A1A"/>
    <w:rsid w:val="009B4B77"/>
    <w:rsid w:val="009B4DFB"/>
    <w:rsid w:val="009B4E3C"/>
    <w:rsid w:val="009B5130"/>
    <w:rsid w:val="009B521D"/>
    <w:rsid w:val="009B537A"/>
    <w:rsid w:val="009B554A"/>
    <w:rsid w:val="009B57A3"/>
    <w:rsid w:val="009B60CF"/>
    <w:rsid w:val="009B62FF"/>
    <w:rsid w:val="009B6318"/>
    <w:rsid w:val="009B650B"/>
    <w:rsid w:val="009B677E"/>
    <w:rsid w:val="009B6B9D"/>
    <w:rsid w:val="009B6F8D"/>
    <w:rsid w:val="009B70E7"/>
    <w:rsid w:val="009B733A"/>
    <w:rsid w:val="009B7A97"/>
    <w:rsid w:val="009C006A"/>
    <w:rsid w:val="009C0513"/>
    <w:rsid w:val="009C0786"/>
    <w:rsid w:val="009C0A0E"/>
    <w:rsid w:val="009C0C34"/>
    <w:rsid w:val="009C0CD5"/>
    <w:rsid w:val="009C0F0F"/>
    <w:rsid w:val="009C11CC"/>
    <w:rsid w:val="009C1966"/>
    <w:rsid w:val="009C1975"/>
    <w:rsid w:val="009C19D8"/>
    <w:rsid w:val="009C1AFB"/>
    <w:rsid w:val="009C233A"/>
    <w:rsid w:val="009C2754"/>
    <w:rsid w:val="009C27AE"/>
    <w:rsid w:val="009C2EBB"/>
    <w:rsid w:val="009C3133"/>
    <w:rsid w:val="009C315E"/>
    <w:rsid w:val="009C31A8"/>
    <w:rsid w:val="009C34BD"/>
    <w:rsid w:val="009C39A0"/>
    <w:rsid w:val="009C3A19"/>
    <w:rsid w:val="009C3B91"/>
    <w:rsid w:val="009C3F2D"/>
    <w:rsid w:val="009C3F8C"/>
    <w:rsid w:val="009C3FC7"/>
    <w:rsid w:val="009C4510"/>
    <w:rsid w:val="009C47D6"/>
    <w:rsid w:val="009C48D7"/>
    <w:rsid w:val="009C49BD"/>
    <w:rsid w:val="009C5CA9"/>
    <w:rsid w:val="009C637B"/>
    <w:rsid w:val="009C6560"/>
    <w:rsid w:val="009C660E"/>
    <w:rsid w:val="009C66DD"/>
    <w:rsid w:val="009C6780"/>
    <w:rsid w:val="009C6806"/>
    <w:rsid w:val="009C6837"/>
    <w:rsid w:val="009C69B9"/>
    <w:rsid w:val="009C6AA0"/>
    <w:rsid w:val="009C6AC1"/>
    <w:rsid w:val="009C6E57"/>
    <w:rsid w:val="009C79A4"/>
    <w:rsid w:val="009C7F93"/>
    <w:rsid w:val="009D03C3"/>
    <w:rsid w:val="009D06C5"/>
    <w:rsid w:val="009D0AFA"/>
    <w:rsid w:val="009D0AFF"/>
    <w:rsid w:val="009D0E50"/>
    <w:rsid w:val="009D0EA4"/>
    <w:rsid w:val="009D17C1"/>
    <w:rsid w:val="009D18AD"/>
    <w:rsid w:val="009D1D92"/>
    <w:rsid w:val="009D2056"/>
    <w:rsid w:val="009D20E7"/>
    <w:rsid w:val="009D2516"/>
    <w:rsid w:val="009D2533"/>
    <w:rsid w:val="009D277A"/>
    <w:rsid w:val="009D2899"/>
    <w:rsid w:val="009D2954"/>
    <w:rsid w:val="009D297D"/>
    <w:rsid w:val="009D2D79"/>
    <w:rsid w:val="009D2E3F"/>
    <w:rsid w:val="009D2EE3"/>
    <w:rsid w:val="009D3115"/>
    <w:rsid w:val="009D3CA6"/>
    <w:rsid w:val="009D40C6"/>
    <w:rsid w:val="009D4205"/>
    <w:rsid w:val="009D42C9"/>
    <w:rsid w:val="009D4381"/>
    <w:rsid w:val="009D4777"/>
    <w:rsid w:val="009D482E"/>
    <w:rsid w:val="009D4880"/>
    <w:rsid w:val="009D49B8"/>
    <w:rsid w:val="009D4C70"/>
    <w:rsid w:val="009D4EB8"/>
    <w:rsid w:val="009D5578"/>
    <w:rsid w:val="009D56B6"/>
    <w:rsid w:val="009D6557"/>
    <w:rsid w:val="009D69B5"/>
    <w:rsid w:val="009D71D3"/>
    <w:rsid w:val="009D72C7"/>
    <w:rsid w:val="009D7CB2"/>
    <w:rsid w:val="009D7D4C"/>
    <w:rsid w:val="009E01F6"/>
    <w:rsid w:val="009E06FE"/>
    <w:rsid w:val="009E0B51"/>
    <w:rsid w:val="009E0CD4"/>
    <w:rsid w:val="009E0D8D"/>
    <w:rsid w:val="009E15B0"/>
    <w:rsid w:val="009E1754"/>
    <w:rsid w:val="009E1AFE"/>
    <w:rsid w:val="009E1BF9"/>
    <w:rsid w:val="009E1EB6"/>
    <w:rsid w:val="009E2091"/>
    <w:rsid w:val="009E2105"/>
    <w:rsid w:val="009E215A"/>
    <w:rsid w:val="009E28F1"/>
    <w:rsid w:val="009E2C98"/>
    <w:rsid w:val="009E2E7D"/>
    <w:rsid w:val="009E3886"/>
    <w:rsid w:val="009E38F7"/>
    <w:rsid w:val="009E3948"/>
    <w:rsid w:val="009E3A16"/>
    <w:rsid w:val="009E3A95"/>
    <w:rsid w:val="009E3DE1"/>
    <w:rsid w:val="009E3F27"/>
    <w:rsid w:val="009E3F2A"/>
    <w:rsid w:val="009E42C9"/>
    <w:rsid w:val="009E42F8"/>
    <w:rsid w:val="009E463F"/>
    <w:rsid w:val="009E471F"/>
    <w:rsid w:val="009E49D8"/>
    <w:rsid w:val="009E4B9A"/>
    <w:rsid w:val="009E4D98"/>
    <w:rsid w:val="009E4F2F"/>
    <w:rsid w:val="009E508F"/>
    <w:rsid w:val="009E5886"/>
    <w:rsid w:val="009E5A46"/>
    <w:rsid w:val="009E607B"/>
    <w:rsid w:val="009E6153"/>
    <w:rsid w:val="009E6346"/>
    <w:rsid w:val="009E6F29"/>
    <w:rsid w:val="009E7107"/>
    <w:rsid w:val="009E7465"/>
    <w:rsid w:val="009E7846"/>
    <w:rsid w:val="009E7C8B"/>
    <w:rsid w:val="009F0058"/>
    <w:rsid w:val="009F0073"/>
    <w:rsid w:val="009F0430"/>
    <w:rsid w:val="009F0F88"/>
    <w:rsid w:val="009F1093"/>
    <w:rsid w:val="009F1308"/>
    <w:rsid w:val="009F1916"/>
    <w:rsid w:val="009F2029"/>
    <w:rsid w:val="009F2380"/>
    <w:rsid w:val="009F2529"/>
    <w:rsid w:val="009F2649"/>
    <w:rsid w:val="009F274E"/>
    <w:rsid w:val="009F2779"/>
    <w:rsid w:val="009F2BF0"/>
    <w:rsid w:val="009F2E75"/>
    <w:rsid w:val="009F336A"/>
    <w:rsid w:val="009F3B0E"/>
    <w:rsid w:val="009F4101"/>
    <w:rsid w:val="009F412A"/>
    <w:rsid w:val="009F4304"/>
    <w:rsid w:val="009F47FE"/>
    <w:rsid w:val="009F4D5A"/>
    <w:rsid w:val="009F534F"/>
    <w:rsid w:val="009F53E2"/>
    <w:rsid w:val="009F53F4"/>
    <w:rsid w:val="009F5C53"/>
    <w:rsid w:val="009F5C90"/>
    <w:rsid w:val="009F5F46"/>
    <w:rsid w:val="009F6462"/>
    <w:rsid w:val="009F679C"/>
    <w:rsid w:val="009F67B8"/>
    <w:rsid w:val="009F6B68"/>
    <w:rsid w:val="009F6BD6"/>
    <w:rsid w:val="009F6C48"/>
    <w:rsid w:val="009F6CAC"/>
    <w:rsid w:val="009F6D05"/>
    <w:rsid w:val="009F6E2C"/>
    <w:rsid w:val="009F71D3"/>
    <w:rsid w:val="009F743D"/>
    <w:rsid w:val="009F760D"/>
    <w:rsid w:val="009F7E8E"/>
    <w:rsid w:val="009F7F4E"/>
    <w:rsid w:val="00A002A7"/>
    <w:rsid w:val="00A0052B"/>
    <w:rsid w:val="00A00570"/>
    <w:rsid w:val="00A00D43"/>
    <w:rsid w:val="00A01229"/>
    <w:rsid w:val="00A01BA1"/>
    <w:rsid w:val="00A01BB7"/>
    <w:rsid w:val="00A021BC"/>
    <w:rsid w:val="00A026F9"/>
    <w:rsid w:val="00A026FA"/>
    <w:rsid w:val="00A027F9"/>
    <w:rsid w:val="00A02971"/>
    <w:rsid w:val="00A02EA1"/>
    <w:rsid w:val="00A02F33"/>
    <w:rsid w:val="00A03010"/>
    <w:rsid w:val="00A032EB"/>
    <w:rsid w:val="00A034B2"/>
    <w:rsid w:val="00A039EB"/>
    <w:rsid w:val="00A03BA6"/>
    <w:rsid w:val="00A03E3E"/>
    <w:rsid w:val="00A043C3"/>
    <w:rsid w:val="00A04C75"/>
    <w:rsid w:val="00A0539F"/>
    <w:rsid w:val="00A054A1"/>
    <w:rsid w:val="00A05750"/>
    <w:rsid w:val="00A05A94"/>
    <w:rsid w:val="00A05DA9"/>
    <w:rsid w:val="00A05F5B"/>
    <w:rsid w:val="00A060DC"/>
    <w:rsid w:val="00A0616F"/>
    <w:rsid w:val="00A06340"/>
    <w:rsid w:val="00A06618"/>
    <w:rsid w:val="00A066F7"/>
    <w:rsid w:val="00A06C28"/>
    <w:rsid w:val="00A06EDE"/>
    <w:rsid w:val="00A06F1E"/>
    <w:rsid w:val="00A06F4C"/>
    <w:rsid w:val="00A06F57"/>
    <w:rsid w:val="00A06F5C"/>
    <w:rsid w:val="00A078F8"/>
    <w:rsid w:val="00A07ABB"/>
    <w:rsid w:val="00A07C29"/>
    <w:rsid w:val="00A07EC6"/>
    <w:rsid w:val="00A07F24"/>
    <w:rsid w:val="00A10570"/>
    <w:rsid w:val="00A10A28"/>
    <w:rsid w:val="00A10B63"/>
    <w:rsid w:val="00A10B8E"/>
    <w:rsid w:val="00A10C0D"/>
    <w:rsid w:val="00A10F5A"/>
    <w:rsid w:val="00A11157"/>
    <w:rsid w:val="00A11269"/>
    <w:rsid w:val="00A11605"/>
    <w:rsid w:val="00A119B7"/>
    <w:rsid w:val="00A11CDB"/>
    <w:rsid w:val="00A11E51"/>
    <w:rsid w:val="00A12165"/>
    <w:rsid w:val="00A126DE"/>
    <w:rsid w:val="00A12717"/>
    <w:rsid w:val="00A12BC1"/>
    <w:rsid w:val="00A13325"/>
    <w:rsid w:val="00A1345F"/>
    <w:rsid w:val="00A13617"/>
    <w:rsid w:val="00A1379E"/>
    <w:rsid w:val="00A1385F"/>
    <w:rsid w:val="00A13C87"/>
    <w:rsid w:val="00A13E40"/>
    <w:rsid w:val="00A13E5A"/>
    <w:rsid w:val="00A14023"/>
    <w:rsid w:val="00A14132"/>
    <w:rsid w:val="00A14266"/>
    <w:rsid w:val="00A14286"/>
    <w:rsid w:val="00A14442"/>
    <w:rsid w:val="00A14564"/>
    <w:rsid w:val="00A14753"/>
    <w:rsid w:val="00A1482A"/>
    <w:rsid w:val="00A14AE6"/>
    <w:rsid w:val="00A14BC8"/>
    <w:rsid w:val="00A14EE4"/>
    <w:rsid w:val="00A14EEA"/>
    <w:rsid w:val="00A152CB"/>
    <w:rsid w:val="00A153BE"/>
    <w:rsid w:val="00A156C6"/>
    <w:rsid w:val="00A157D8"/>
    <w:rsid w:val="00A15CCE"/>
    <w:rsid w:val="00A16150"/>
    <w:rsid w:val="00A161FA"/>
    <w:rsid w:val="00A16551"/>
    <w:rsid w:val="00A16730"/>
    <w:rsid w:val="00A16E11"/>
    <w:rsid w:val="00A1746D"/>
    <w:rsid w:val="00A1760D"/>
    <w:rsid w:val="00A1776E"/>
    <w:rsid w:val="00A177BE"/>
    <w:rsid w:val="00A17D6D"/>
    <w:rsid w:val="00A200D2"/>
    <w:rsid w:val="00A2012A"/>
    <w:rsid w:val="00A2050D"/>
    <w:rsid w:val="00A2050F"/>
    <w:rsid w:val="00A206BB"/>
    <w:rsid w:val="00A208E9"/>
    <w:rsid w:val="00A20965"/>
    <w:rsid w:val="00A20D9D"/>
    <w:rsid w:val="00A20E26"/>
    <w:rsid w:val="00A20EB8"/>
    <w:rsid w:val="00A21103"/>
    <w:rsid w:val="00A217C5"/>
    <w:rsid w:val="00A21BEA"/>
    <w:rsid w:val="00A21C07"/>
    <w:rsid w:val="00A21C2F"/>
    <w:rsid w:val="00A22181"/>
    <w:rsid w:val="00A22238"/>
    <w:rsid w:val="00A2259B"/>
    <w:rsid w:val="00A227A9"/>
    <w:rsid w:val="00A228AA"/>
    <w:rsid w:val="00A23768"/>
    <w:rsid w:val="00A23B4A"/>
    <w:rsid w:val="00A23CD5"/>
    <w:rsid w:val="00A23DFE"/>
    <w:rsid w:val="00A240F3"/>
    <w:rsid w:val="00A24719"/>
    <w:rsid w:val="00A24C7A"/>
    <w:rsid w:val="00A24CD9"/>
    <w:rsid w:val="00A24FE8"/>
    <w:rsid w:val="00A2501B"/>
    <w:rsid w:val="00A2544E"/>
    <w:rsid w:val="00A25CCA"/>
    <w:rsid w:val="00A25DC5"/>
    <w:rsid w:val="00A25E71"/>
    <w:rsid w:val="00A26631"/>
    <w:rsid w:val="00A266C7"/>
    <w:rsid w:val="00A2672D"/>
    <w:rsid w:val="00A26E96"/>
    <w:rsid w:val="00A270A6"/>
    <w:rsid w:val="00A271CD"/>
    <w:rsid w:val="00A272BB"/>
    <w:rsid w:val="00A2749D"/>
    <w:rsid w:val="00A275F7"/>
    <w:rsid w:val="00A27857"/>
    <w:rsid w:val="00A30101"/>
    <w:rsid w:val="00A303A8"/>
    <w:rsid w:val="00A30883"/>
    <w:rsid w:val="00A30C22"/>
    <w:rsid w:val="00A3105B"/>
    <w:rsid w:val="00A31220"/>
    <w:rsid w:val="00A3185D"/>
    <w:rsid w:val="00A31F98"/>
    <w:rsid w:val="00A32418"/>
    <w:rsid w:val="00A326D9"/>
    <w:rsid w:val="00A32783"/>
    <w:rsid w:val="00A327CE"/>
    <w:rsid w:val="00A32AFE"/>
    <w:rsid w:val="00A32F89"/>
    <w:rsid w:val="00A33098"/>
    <w:rsid w:val="00A33230"/>
    <w:rsid w:val="00A33513"/>
    <w:rsid w:val="00A336B5"/>
    <w:rsid w:val="00A337EA"/>
    <w:rsid w:val="00A3388D"/>
    <w:rsid w:val="00A33890"/>
    <w:rsid w:val="00A33BB8"/>
    <w:rsid w:val="00A33CBD"/>
    <w:rsid w:val="00A33D24"/>
    <w:rsid w:val="00A33F02"/>
    <w:rsid w:val="00A3414C"/>
    <w:rsid w:val="00A349A1"/>
    <w:rsid w:val="00A34BEE"/>
    <w:rsid w:val="00A350AD"/>
    <w:rsid w:val="00A3515A"/>
    <w:rsid w:val="00A354A4"/>
    <w:rsid w:val="00A35620"/>
    <w:rsid w:val="00A35BBA"/>
    <w:rsid w:val="00A35CB7"/>
    <w:rsid w:val="00A35E9E"/>
    <w:rsid w:val="00A35F7A"/>
    <w:rsid w:val="00A36768"/>
    <w:rsid w:val="00A36862"/>
    <w:rsid w:val="00A36A6B"/>
    <w:rsid w:val="00A36FF1"/>
    <w:rsid w:val="00A37012"/>
    <w:rsid w:val="00A373C8"/>
    <w:rsid w:val="00A37531"/>
    <w:rsid w:val="00A375DE"/>
    <w:rsid w:val="00A37756"/>
    <w:rsid w:val="00A377E0"/>
    <w:rsid w:val="00A3798B"/>
    <w:rsid w:val="00A37F7F"/>
    <w:rsid w:val="00A406B5"/>
    <w:rsid w:val="00A4095D"/>
    <w:rsid w:val="00A40AE2"/>
    <w:rsid w:val="00A4110C"/>
    <w:rsid w:val="00A41324"/>
    <w:rsid w:val="00A41347"/>
    <w:rsid w:val="00A41434"/>
    <w:rsid w:val="00A41482"/>
    <w:rsid w:val="00A414CE"/>
    <w:rsid w:val="00A416C9"/>
    <w:rsid w:val="00A41AE1"/>
    <w:rsid w:val="00A41EA5"/>
    <w:rsid w:val="00A425C1"/>
    <w:rsid w:val="00A42673"/>
    <w:rsid w:val="00A42733"/>
    <w:rsid w:val="00A4296C"/>
    <w:rsid w:val="00A42C29"/>
    <w:rsid w:val="00A42D03"/>
    <w:rsid w:val="00A42EC0"/>
    <w:rsid w:val="00A432A2"/>
    <w:rsid w:val="00A433EB"/>
    <w:rsid w:val="00A43F63"/>
    <w:rsid w:val="00A443B2"/>
    <w:rsid w:val="00A44751"/>
    <w:rsid w:val="00A44799"/>
    <w:rsid w:val="00A44BEA"/>
    <w:rsid w:val="00A44ECE"/>
    <w:rsid w:val="00A44FA1"/>
    <w:rsid w:val="00A4507B"/>
    <w:rsid w:val="00A4545A"/>
    <w:rsid w:val="00A4549E"/>
    <w:rsid w:val="00A4555E"/>
    <w:rsid w:val="00A45563"/>
    <w:rsid w:val="00A45571"/>
    <w:rsid w:val="00A457D4"/>
    <w:rsid w:val="00A46247"/>
    <w:rsid w:val="00A4688B"/>
    <w:rsid w:val="00A46920"/>
    <w:rsid w:val="00A46A85"/>
    <w:rsid w:val="00A46B35"/>
    <w:rsid w:val="00A46C47"/>
    <w:rsid w:val="00A46F41"/>
    <w:rsid w:val="00A4746C"/>
    <w:rsid w:val="00A474FB"/>
    <w:rsid w:val="00A478E8"/>
    <w:rsid w:val="00A47D44"/>
    <w:rsid w:val="00A500F0"/>
    <w:rsid w:val="00A503EE"/>
    <w:rsid w:val="00A504AF"/>
    <w:rsid w:val="00A504F2"/>
    <w:rsid w:val="00A50536"/>
    <w:rsid w:val="00A5075C"/>
    <w:rsid w:val="00A50C9A"/>
    <w:rsid w:val="00A51045"/>
    <w:rsid w:val="00A51310"/>
    <w:rsid w:val="00A525B9"/>
    <w:rsid w:val="00A52660"/>
    <w:rsid w:val="00A52875"/>
    <w:rsid w:val="00A52908"/>
    <w:rsid w:val="00A52A43"/>
    <w:rsid w:val="00A52A75"/>
    <w:rsid w:val="00A52C91"/>
    <w:rsid w:val="00A531AF"/>
    <w:rsid w:val="00A53356"/>
    <w:rsid w:val="00A53425"/>
    <w:rsid w:val="00A534CA"/>
    <w:rsid w:val="00A53502"/>
    <w:rsid w:val="00A538AA"/>
    <w:rsid w:val="00A538C8"/>
    <w:rsid w:val="00A539DD"/>
    <w:rsid w:val="00A53C89"/>
    <w:rsid w:val="00A53E5D"/>
    <w:rsid w:val="00A53F95"/>
    <w:rsid w:val="00A548A6"/>
    <w:rsid w:val="00A548BF"/>
    <w:rsid w:val="00A55041"/>
    <w:rsid w:val="00A550D2"/>
    <w:rsid w:val="00A55267"/>
    <w:rsid w:val="00A556D1"/>
    <w:rsid w:val="00A55899"/>
    <w:rsid w:val="00A55A2D"/>
    <w:rsid w:val="00A55AE4"/>
    <w:rsid w:val="00A55DC7"/>
    <w:rsid w:val="00A5652F"/>
    <w:rsid w:val="00A5677E"/>
    <w:rsid w:val="00A569CE"/>
    <w:rsid w:val="00A56ED0"/>
    <w:rsid w:val="00A57706"/>
    <w:rsid w:val="00A57837"/>
    <w:rsid w:val="00A57CB1"/>
    <w:rsid w:val="00A57DF8"/>
    <w:rsid w:val="00A57EAC"/>
    <w:rsid w:val="00A60117"/>
    <w:rsid w:val="00A6022A"/>
    <w:rsid w:val="00A60356"/>
    <w:rsid w:val="00A60366"/>
    <w:rsid w:val="00A60413"/>
    <w:rsid w:val="00A60418"/>
    <w:rsid w:val="00A605B4"/>
    <w:rsid w:val="00A60786"/>
    <w:rsid w:val="00A607AF"/>
    <w:rsid w:val="00A609BC"/>
    <w:rsid w:val="00A6128A"/>
    <w:rsid w:val="00A6128D"/>
    <w:rsid w:val="00A613FF"/>
    <w:rsid w:val="00A6142D"/>
    <w:rsid w:val="00A6164A"/>
    <w:rsid w:val="00A61822"/>
    <w:rsid w:val="00A6196C"/>
    <w:rsid w:val="00A61AB7"/>
    <w:rsid w:val="00A6288B"/>
    <w:rsid w:val="00A62AB4"/>
    <w:rsid w:val="00A62ACD"/>
    <w:rsid w:val="00A62BC1"/>
    <w:rsid w:val="00A63148"/>
    <w:rsid w:val="00A634FE"/>
    <w:rsid w:val="00A63513"/>
    <w:rsid w:val="00A63644"/>
    <w:rsid w:val="00A63793"/>
    <w:rsid w:val="00A638C4"/>
    <w:rsid w:val="00A6397B"/>
    <w:rsid w:val="00A640D5"/>
    <w:rsid w:val="00A644EC"/>
    <w:rsid w:val="00A64796"/>
    <w:rsid w:val="00A64C93"/>
    <w:rsid w:val="00A64F6F"/>
    <w:rsid w:val="00A64F9E"/>
    <w:rsid w:val="00A652DA"/>
    <w:rsid w:val="00A6583F"/>
    <w:rsid w:val="00A65840"/>
    <w:rsid w:val="00A66405"/>
    <w:rsid w:val="00A666D9"/>
    <w:rsid w:val="00A66DF4"/>
    <w:rsid w:val="00A66EB4"/>
    <w:rsid w:val="00A66ED1"/>
    <w:rsid w:val="00A670CA"/>
    <w:rsid w:val="00A6719D"/>
    <w:rsid w:val="00A675AD"/>
    <w:rsid w:val="00A6764B"/>
    <w:rsid w:val="00A67A9C"/>
    <w:rsid w:val="00A701C9"/>
    <w:rsid w:val="00A7022E"/>
    <w:rsid w:val="00A70291"/>
    <w:rsid w:val="00A7094D"/>
    <w:rsid w:val="00A70B8C"/>
    <w:rsid w:val="00A70CD1"/>
    <w:rsid w:val="00A70CF8"/>
    <w:rsid w:val="00A70EA4"/>
    <w:rsid w:val="00A70EAC"/>
    <w:rsid w:val="00A7111E"/>
    <w:rsid w:val="00A71610"/>
    <w:rsid w:val="00A71619"/>
    <w:rsid w:val="00A71696"/>
    <w:rsid w:val="00A717A1"/>
    <w:rsid w:val="00A718CB"/>
    <w:rsid w:val="00A71A6A"/>
    <w:rsid w:val="00A71E3C"/>
    <w:rsid w:val="00A720BD"/>
    <w:rsid w:val="00A72242"/>
    <w:rsid w:val="00A72694"/>
    <w:rsid w:val="00A72A7C"/>
    <w:rsid w:val="00A72DA0"/>
    <w:rsid w:val="00A731B0"/>
    <w:rsid w:val="00A734A0"/>
    <w:rsid w:val="00A73872"/>
    <w:rsid w:val="00A7387F"/>
    <w:rsid w:val="00A73A30"/>
    <w:rsid w:val="00A73B8A"/>
    <w:rsid w:val="00A743F2"/>
    <w:rsid w:val="00A746FD"/>
    <w:rsid w:val="00A74811"/>
    <w:rsid w:val="00A74989"/>
    <w:rsid w:val="00A74B87"/>
    <w:rsid w:val="00A74D6E"/>
    <w:rsid w:val="00A74E87"/>
    <w:rsid w:val="00A751BE"/>
    <w:rsid w:val="00A75927"/>
    <w:rsid w:val="00A759DD"/>
    <w:rsid w:val="00A75B20"/>
    <w:rsid w:val="00A75DF6"/>
    <w:rsid w:val="00A75F52"/>
    <w:rsid w:val="00A76350"/>
    <w:rsid w:val="00A76822"/>
    <w:rsid w:val="00A76965"/>
    <w:rsid w:val="00A76AFC"/>
    <w:rsid w:val="00A76C6A"/>
    <w:rsid w:val="00A76C74"/>
    <w:rsid w:val="00A770EE"/>
    <w:rsid w:val="00A77150"/>
    <w:rsid w:val="00A7746A"/>
    <w:rsid w:val="00A774EA"/>
    <w:rsid w:val="00A77580"/>
    <w:rsid w:val="00A7758D"/>
    <w:rsid w:val="00A77749"/>
    <w:rsid w:val="00A77771"/>
    <w:rsid w:val="00A77EB9"/>
    <w:rsid w:val="00A77F69"/>
    <w:rsid w:val="00A801DA"/>
    <w:rsid w:val="00A802E8"/>
    <w:rsid w:val="00A80943"/>
    <w:rsid w:val="00A80CA9"/>
    <w:rsid w:val="00A811A1"/>
    <w:rsid w:val="00A812CE"/>
    <w:rsid w:val="00A813EE"/>
    <w:rsid w:val="00A817A6"/>
    <w:rsid w:val="00A8184A"/>
    <w:rsid w:val="00A81BA0"/>
    <w:rsid w:val="00A81E08"/>
    <w:rsid w:val="00A81EED"/>
    <w:rsid w:val="00A82430"/>
    <w:rsid w:val="00A82722"/>
    <w:rsid w:val="00A82961"/>
    <w:rsid w:val="00A82ED9"/>
    <w:rsid w:val="00A830E0"/>
    <w:rsid w:val="00A83112"/>
    <w:rsid w:val="00A834CD"/>
    <w:rsid w:val="00A83669"/>
    <w:rsid w:val="00A83922"/>
    <w:rsid w:val="00A840A1"/>
    <w:rsid w:val="00A84196"/>
    <w:rsid w:val="00A84716"/>
    <w:rsid w:val="00A847FC"/>
    <w:rsid w:val="00A84B5A"/>
    <w:rsid w:val="00A84BD6"/>
    <w:rsid w:val="00A8561F"/>
    <w:rsid w:val="00A85A73"/>
    <w:rsid w:val="00A85AF1"/>
    <w:rsid w:val="00A85F40"/>
    <w:rsid w:val="00A86105"/>
    <w:rsid w:val="00A864C1"/>
    <w:rsid w:val="00A8671D"/>
    <w:rsid w:val="00A86BA5"/>
    <w:rsid w:val="00A86D45"/>
    <w:rsid w:val="00A86E67"/>
    <w:rsid w:val="00A86F2B"/>
    <w:rsid w:val="00A87143"/>
    <w:rsid w:val="00A87149"/>
    <w:rsid w:val="00A871A8"/>
    <w:rsid w:val="00A87471"/>
    <w:rsid w:val="00A874F1"/>
    <w:rsid w:val="00A8778D"/>
    <w:rsid w:val="00A87883"/>
    <w:rsid w:val="00A87981"/>
    <w:rsid w:val="00A87A65"/>
    <w:rsid w:val="00A9020C"/>
    <w:rsid w:val="00A904B6"/>
    <w:rsid w:val="00A905A6"/>
    <w:rsid w:val="00A9071F"/>
    <w:rsid w:val="00A907F3"/>
    <w:rsid w:val="00A90D87"/>
    <w:rsid w:val="00A91605"/>
    <w:rsid w:val="00A921E5"/>
    <w:rsid w:val="00A9229B"/>
    <w:rsid w:val="00A923C8"/>
    <w:rsid w:val="00A92857"/>
    <w:rsid w:val="00A92955"/>
    <w:rsid w:val="00A9298F"/>
    <w:rsid w:val="00A92C52"/>
    <w:rsid w:val="00A92D01"/>
    <w:rsid w:val="00A92F10"/>
    <w:rsid w:val="00A92FD8"/>
    <w:rsid w:val="00A93140"/>
    <w:rsid w:val="00A93423"/>
    <w:rsid w:val="00A93830"/>
    <w:rsid w:val="00A9387A"/>
    <w:rsid w:val="00A93B16"/>
    <w:rsid w:val="00A93B4F"/>
    <w:rsid w:val="00A93C25"/>
    <w:rsid w:val="00A93CE2"/>
    <w:rsid w:val="00A9426E"/>
    <w:rsid w:val="00A94409"/>
    <w:rsid w:val="00A9556F"/>
    <w:rsid w:val="00A957AA"/>
    <w:rsid w:val="00A9585A"/>
    <w:rsid w:val="00A959E9"/>
    <w:rsid w:val="00A95CAB"/>
    <w:rsid w:val="00A95D90"/>
    <w:rsid w:val="00A961E9"/>
    <w:rsid w:val="00A96B57"/>
    <w:rsid w:val="00A96C37"/>
    <w:rsid w:val="00A97154"/>
    <w:rsid w:val="00A97385"/>
    <w:rsid w:val="00AA03B4"/>
    <w:rsid w:val="00AA0565"/>
    <w:rsid w:val="00AA059E"/>
    <w:rsid w:val="00AA0661"/>
    <w:rsid w:val="00AA075F"/>
    <w:rsid w:val="00AA0B62"/>
    <w:rsid w:val="00AA0D6A"/>
    <w:rsid w:val="00AA0DAB"/>
    <w:rsid w:val="00AA0DB6"/>
    <w:rsid w:val="00AA0F79"/>
    <w:rsid w:val="00AA1184"/>
    <w:rsid w:val="00AA11A6"/>
    <w:rsid w:val="00AA1CD3"/>
    <w:rsid w:val="00AA1D70"/>
    <w:rsid w:val="00AA2274"/>
    <w:rsid w:val="00AA24AC"/>
    <w:rsid w:val="00AA2766"/>
    <w:rsid w:val="00AA2891"/>
    <w:rsid w:val="00AA2DC4"/>
    <w:rsid w:val="00AA2E2A"/>
    <w:rsid w:val="00AA2EB0"/>
    <w:rsid w:val="00AA3192"/>
    <w:rsid w:val="00AA31F2"/>
    <w:rsid w:val="00AA337C"/>
    <w:rsid w:val="00AA34FA"/>
    <w:rsid w:val="00AA36C0"/>
    <w:rsid w:val="00AA38A8"/>
    <w:rsid w:val="00AA3AEE"/>
    <w:rsid w:val="00AA3C5E"/>
    <w:rsid w:val="00AA3FA0"/>
    <w:rsid w:val="00AA4B8D"/>
    <w:rsid w:val="00AA4C9C"/>
    <w:rsid w:val="00AA4DB7"/>
    <w:rsid w:val="00AA5623"/>
    <w:rsid w:val="00AA604F"/>
    <w:rsid w:val="00AA60F4"/>
    <w:rsid w:val="00AA661F"/>
    <w:rsid w:val="00AA6717"/>
    <w:rsid w:val="00AA6766"/>
    <w:rsid w:val="00AA6E95"/>
    <w:rsid w:val="00AA6F70"/>
    <w:rsid w:val="00AA737F"/>
    <w:rsid w:val="00AA7418"/>
    <w:rsid w:val="00AA7D0D"/>
    <w:rsid w:val="00AB02E5"/>
    <w:rsid w:val="00AB0856"/>
    <w:rsid w:val="00AB0985"/>
    <w:rsid w:val="00AB0D5D"/>
    <w:rsid w:val="00AB0DDD"/>
    <w:rsid w:val="00AB0E48"/>
    <w:rsid w:val="00AB0F77"/>
    <w:rsid w:val="00AB1068"/>
    <w:rsid w:val="00AB10BE"/>
    <w:rsid w:val="00AB1139"/>
    <w:rsid w:val="00AB151D"/>
    <w:rsid w:val="00AB1B75"/>
    <w:rsid w:val="00AB1F33"/>
    <w:rsid w:val="00AB2137"/>
    <w:rsid w:val="00AB23E0"/>
    <w:rsid w:val="00AB2BB9"/>
    <w:rsid w:val="00AB302A"/>
    <w:rsid w:val="00AB3397"/>
    <w:rsid w:val="00AB355D"/>
    <w:rsid w:val="00AB3657"/>
    <w:rsid w:val="00AB3692"/>
    <w:rsid w:val="00AB3890"/>
    <w:rsid w:val="00AB3AEB"/>
    <w:rsid w:val="00AB3B2C"/>
    <w:rsid w:val="00AB3E9F"/>
    <w:rsid w:val="00AB3EA9"/>
    <w:rsid w:val="00AB4003"/>
    <w:rsid w:val="00AB41E8"/>
    <w:rsid w:val="00AB4253"/>
    <w:rsid w:val="00AB42EB"/>
    <w:rsid w:val="00AB4311"/>
    <w:rsid w:val="00AB44E0"/>
    <w:rsid w:val="00AB4A1B"/>
    <w:rsid w:val="00AB4F8B"/>
    <w:rsid w:val="00AB53FB"/>
    <w:rsid w:val="00AB5680"/>
    <w:rsid w:val="00AB58F8"/>
    <w:rsid w:val="00AB599C"/>
    <w:rsid w:val="00AB5B26"/>
    <w:rsid w:val="00AB5B69"/>
    <w:rsid w:val="00AB5C17"/>
    <w:rsid w:val="00AB6238"/>
    <w:rsid w:val="00AB64B0"/>
    <w:rsid w:val="00AB6CE5"/>
    <w:rsid w:val="00AB7061"/>
    <w:rsid w:val="00AB70F9"/>
    <w:rsid w:val="00AB744D"/>
    <w:rsid w:val="00AB75F4"/>
    <w:rsid w:val="00AB7839"/>
    <w:rsid w:val="00AB7B2F"/>
    <w:rsid w:val="00AB7C52"/>
    <w:rsid w:val="00AB7DBB"/>
    <w:rsid w:val="00AC0008"/>
    <w:rsid w:val="00AC0877"/>
    <w:rsid w:val="00AC0F0D"/>
    <w:rsid w:val="00AC1008"/>
    <w:rsid w:val="00AC128B"/>
    <w:rsid w:val="00AC1688"/>
    <w:rsid w:val="00AC1B77"/>
    <w:rsid w:val="00AC1D0D"/>
    <w:rsid w:val="00AC1F3E"/>
    <w:rsid w:val="00AC2524"/>
    <w:rsid w:val="00AC3375"/>
    <w:rsid w:val="00AC3496"/>
    <w:rsid w:val="00AC350E"/>
    <w:rsid w:val="00AC38EC"/>
    <w:rsid w:val="00AC3996"/>
    <w:rsid w:val="00AC3B74"/>
    <w:rsid w:val="00AC3D0F"/>
    <w:rsid w:val="00AC3F8E"/>
    <w:rsid w:val="00AC4894"/>
    <w:rsid w:val="00AC4AD6"/>
    <w:rsid w:val="00AC4FB5"/>
    <w:rsid w:val="00AC50A2"/>
    <w:rsid w:val="00AC50B8"/>
    <w:rsid w:val="00AC51AD"/>
    <w:rsid w:val="00AC520B"/>
    <w:rsid w:val="00AC54F0"/>
    <w:rsid w:val="00AC5A63"/>
    <w:rsid w:val="00AC5D1D"/>
    <w:rsid w:val="00AC5E15"/>
    <w:rsid w:val="00AC63AB"/>
    <w:rsid w:val="00AC657E"/>
    <w:rsid w:val="00AC65F9"/>
    <w:rsid w:val="00AC68B2"/>
    <w:rsid w:val="00AC6B68"/>
    <w:rsid w:val="00AC6C3D"/>
    <w:rsid w:val="00AC6E18"/>
    <w:rsid w:val="00AC6F56"/>
    <w:rsid w:val="00AC6FCC"/>
    <w:rsid w:val="00AC7714"/>
    <w:rsid w:val="00AC778B"/>
    <w:rsid w:val="00AC78FB"/>
    <w:rsid w:val="00AC7C42"/>
    <w:rsid w:val="00AC7D77"/>
    <w:rsid w:val="00AC7F4D"/>
    <w:rsid w:val="00AD015A"/>
    <w:rsid w:val="00AD02A1"/>
    <w:rsid w:val="00AD0332"/>
    <w:rsid w:val="00AD04CD"/>
    <w:rsid w:val="00AD0802"/>
    <w:rsid w:val="00AD09E2"/>
    <w:rsid w:val="00AD11FB"/>
    <w:rsid w:val="00AD165B"/>
    <w:rsid w:val="00AD1BCF"/>
    <w:rsid w:val="00AD1F5C"/>
    <w:rsid w:val="00AD1FAF"/>
    <w:rsid w:val="00AD2480"/>
    <w:rsid w:val="00AD26B4"/>
    <w:rsid w:val="00AD2814"/>
    <w:rsid w:val="00AD286A"/>
    <w:rsid w:val="00AD29C6"/>
    <w:rsid w:val="00AD29FD"/>
    <w:rsid w:val="00AD2A4D"/>
    <w:rsid w:val="00AD2DB4"/>
    <w:rsid w:val="00AD2F88"/>
    <w:rsid w:val="00AD36E2"/>
    <w:rsid w:val="00AD3725"/>
    <w:rsid w:val="00AD3896"/>
    <w:rsid w:val="00AD3A7C"/>
    <w:rsid w:val="00AD3A8C"/>
    <w:rsid w:val="00AD42D9"/>
    <w:rsid w:val="00AD47F4"/>
    <w:rsid w:val="00AD4D65"/>
    <w:rsid w:val="00AD4E4E"/>
    <w:rsid w:val="00AD4E54"/>
    <w:rsid w:val="00AD4F5E"/>
    <w:rsid w:val="00AD5236"/>
    <w:rsid w:val="00AD5539"/>
    <w:rsid w:val="00AD5643"/>
    <w:rsid w:val="00AD5AA3"/>
    <w:rsid w:val="00AD5FA1"/>
    <w:rsid w:val="00AD6585"/>
    <w:rsid w:val="00AD6606"/>
    <w:rsid w:val="00AD6738"/>
    <w:rsid w:val="00AD6D72"/>
    <w:rsid w:val="00AD6E38"/>
    <w:rsid w:val="00AD6E43"/>
    <w:rsid w:val="00AD7044"/>
    <w:rsid w:val="00AD746A"/>
    <w:rsid w:val="00AD7626"/>
    <w:rsid w:val="00AD78D6"/>
    <w:rsid w:val="00AD7A51"/>
    <w:rsid w:val="00AE00EC"/>
    <w:rsid w:val="00AE015C"/>
    <w:rsid w:val="00AE01F1"/>
    <w:rsid w:val="00AE027C"/>
    <w:rsid w:val="00AE0621"/>
    <w:rsid w:val="00AE0B5F"/>
    <w:rsid w:val="00AE0CB6"/>
    <w:rsid w:val="00AE0F23"/>
    <w:rsid w:val="00AE10C2"/>
    <w:rsid w:val="00AE119B"/>
    <w:rsid w:val="00AE12AE"/>
    <w:rsid w:val="00AE17B1"/>
    <w:rsid w:val="00AE1A06"/>
    <w:rsid w:val="00AE1D56"/>
    <w:rsid w:val="00AE1F5C"/>
    <w:rsid w:val="00AE2309"/>
    <w:rsid w:val="00AE27A1"/>
    <w:rsid w:val="00AE29F6"/>
    <w:rsid w:val="00AE2C29"/>
    <w:rsid w:val="00AE2C55"/>
    <w:rsid w:val="00AE2DB6"/>
    <w:rsid w:val="00AE2EC2"/>
    <w:rsid w:val="00AE2F4C"/>
    <w:rsid w:val="00AE2F9C"/>
    <w:rsid w:val="00AE3001"/>
    <w:rsid w:val="00AE3040"/>
    <w:rsid w:val="00AE31AF"/>
    <w:rsid w:val="00AE329B"/>
    <w:rsid w:val="00AE3567"/>
    <w:rsid w:val="00AE3810"/>
    <w:rsid w:val="00AE3CA5"/>
    <w:rsid w:val="00AE3FFD"/>
    <w:rsid w:val="00AE4178"/>
    <w:rsid w:val="00AE4AC4"/>
    <w:rsid w:val="00AE4C41"/>
    <w:rsid w:val="00AE4D6B"/>
    <w:rsid w:val="00AE4DE5"/>
    <w:rsid w:val="00AE50A4"/>
    <w:rsid w:val="00AE51CB"/>
    <w:rsid w:val="00AE5214"/>
    <w:rsid w:val="00AE560C"/>
    <w:rsid w:val="00AE5B02"/>
    <w:rsid w:val="00AE5E89"/>
    <w:rsid w:val="00AE5FDF"/>
    <w:rsid w:val="00AE6172"/>
    <w:rsid w:val="00AE6B19"/>
    <w:rsid w:val="00AE6B3D"/>
    <w:rsid w:val="00AE743D"/>
    <w:rsid w:val="00AE7AA4"/>
    <w:rsid w:val="00AF033F"/>
    <w:rsid w:val="00AF0373"/>
    <w:rsid w:val="00AF0626"/>
    <w:rsid w:val="00AF073A"/>
    <w:rsid w:val="00AF0761"/>
    <w:rsid w:val="00AF0A34"/>
    <w:rsid w:val="00AF0C24"/>
    <w:rsid w:val="00AF1131"/>
    <w:rsid w:val="00AF12AD"/>
    <w:rsid w:val="00AF1737"/>
    <w:rsid w:val="00AF177D"/>
    <w:rsid w:val="00AF1CC8"/>
    <w:rsid w:val="00AF1E4D"/>
    <w:rsid w:val="00AF2083"/>
    <w:rsid w:val="00AF208C"/>
    <w:rsid w:val="00AF21D2"/>
    <w:rsid w:val="00AF2374"/>
    <w:rsid w:val="00AF2843"/>
    <w:rsid w:val="00AF2925"/>
    <w:rsid w:val="00AF35D1"/>
    <w:rsid w:val="00AF3925"/>
    <w:rsid w:val="00AF3B09"/>
    <w:rsid w:val="00AF3B74"/>
    <w:rsid w:val="00AF3DCF"/>
    <w:rsid w:val="00AF3E08"/>
    <w:rsid w:val="00AF4003"/>
    <w:rsid w:val="00AF420B"/>
    <w:rsid w:val="00AF46C8"/>
    <w:rsid w:val="00AF4799"/>
    <w:rsid w:val="00AF4CE6"/>
    <w:rsid w:val="00AF4F7D"/>
    <w:rsid w:val="00AF50E0"/>
    <w:rsid w:val="00AF5599"/>
    <w:rsid w:val="00AF5656"/>
    <w:rsid w:val="00AF58F9"/>
    <w:rsid w:val="00AF5F33"/>
    <w:rsid w:val="00AF6432"/>
    <w:rsid w:val="00AF646E"/>
    <w:rsid w:val="00AF6A94"/>
    <w:rsid w:val="00AF707E"/>
    <w:rsid w:val="00AF7257"/>
    <w:rsid w:val="00AF74AA"/>
    <w:rsid w:val="00AF7962"/>
    <w:rsid w:val="00AF7C91"/>
    <w:rsid w:val="00AF7CA0"/>
    <w:rsid w:val="00AF7D1F"/>
    <w:rsid w:val="00AF7EC1"/>
    <w:rsid w:val="00B00FC0"/>
    <w:rsid w:val="00B010BB"/>
    <w:rsid w:val="00B014D9"/>
    <w:rsid w:val="00B0163B"/>
    <w:rsid w:val="00B01812"/>
    <w:rsid w:val="00B01A5B"/>
    <w:rsid w:val="00B01DE1"/>
    <w:rsid w:val="00B01E49"/>
    <w:rsid w:val="00B02045"/>
    <w:rsid w:val="00B02594"/>
    <w:rsid w:val="00B02616"/>
    <w:rsid w:val="00B029D4"/>
    <w:rsid w:val="00B02E86"/>
    <w:rsid w:val="00B032DD"/>
    <w:rsid w:val="00B034FD"/>
    <w:rsid w:val="00B035AC"/>
    <w:rsid w:val="00B0367E"/>
    <w:rsid w:val="00B03856"/>
    <w:rsid w:val="00B0391F"/>
    <w:rsid w:val="00B03923"/>
    <w:rsid w:val="00B03D25"/>
    <w:rsid w:val="00B03DB8"/>
    <w:rsid w:val="00B03E5E"/>
    <w:rsid w:val="00B03FEA"/>
    <w:rsid w:val="00B0401E"/>
    <w:rsid w:val="00B0451B"/>
    <w:rsid w:val="00B04617"/>
    <w:rsid w:val="00B04655"/>
    <w:rsid w:val="00B046C0"/>
    <w:rsid w:val="00B04704"/>
    <w:rsid w:val="00B04A03"/>
    <w:rsid w:val="00B04A29"/>
    <w:rsid w:val="00B04BCA"/>
    <w:rsid w:val="00B04CCC"/>
    <w:rsid w:val="00B04F01"/>
    <w:rsid w:val="00B05478"/>
    <w:rsid w:val="00B05533"/>
    <w:rsid w:val="00B05B32"/>
    <w:rsid w:val="00B05C79"/>
    <w:rsid w:val="00B06001"/>
    <w:rsid w:val="00B06432"/>
    <w:rsid w:val="00B0645D"/>
    <w:rsid w:val="00B06E57"/>
    <w:rsid w:val="00B070A1"/>
    <w:rsid w:val="00B077EB"/>
    <w:rsid w:val="00B0794C"/>
    <w:rsid w:val="00B07A56"/>
    <w:rsid w:val="00B07A9E"/>
    <w:rsid w:val="00B07C6A"/>
    <w:rsid w:val="00B07D8E"/>
    <w:rsid w:val="00B07E9F"/>
    <w:rsid w:val="00B07FBC"/>
    <w:rsid w:val="00B10041"/>
    <w:rsid w:val="00B10766"/>
    <w:rsid w:val="00B10DD3"/>
    <w:rsid w:val="00B10FDC"/>
    <w:rsid w:val="00B11828"/>
    <w:rsid w:val="00B11F57"/>
    <w:rsid w:val="00B122B0"/>
    <w:rsid w:val="00B12467"/>
    <w:rsid w:val="00B1250A"/>
    <w:rsid w:val="00B1258A"/>
    <w:rsid w:val="00B12685"/>
    <w:rsid w:val="00B126DC"/>
    <w:rsid w:val="00B1275D"/>
    <w:rsid w:val="00B1275E"/>
    <w:rsid w:val="00B129FF"/>
    <w:rsid w:val="00B12C21"/>
    <w:rsid w:val="00B12D03"/>
    <w:rsid w:val="00B12DC0"/>
    <w:rsid w:val="00B12E4B"/>
    <w:rsid w:val="00B1331A"/>
    <w:rsid w:val="00B13B3C"/>
    <w:rsid w:val="00B13D19"/>
    <w:rsid w:val="00B13EF8"/>
    <w:rsid w:val="00B13FA1"/>
    <w:rsid w:val="00B14452"/>
    <w:rsid w:val="00B14B60"/>
    <w:rsid w:val="00B14CDA"/>
    <w:rsid w:val="00B14E62"/>
    <w:rsid w:val="00B14F10"/>
    <w:rsid w:val="00B14F17"/>
    <w:rsid w:val="00B14F53"/>
    <w:rsid w:val="00B153A2"/>
    <w:rsid w:val="00B153B2"/>
    <w:rsid w:val="00B1599A"/>
    <w:rsid w:val="00B159BA"/>
    <w:rsid w:val="00B15ACF"/>
    <w:rsid w:val="00B15CAE"/>
    <w:rsid w:val="00B15FD2"/>
    <w:rsid w:val="00B1628C"/>
    <w:rsid w:val="00B164A0"/>
    <w:rsid w:val="00B1688F"/>
    <w:rsid w:val="00B17805"/>
    <w:rsid w:val="00B17BB0"/>
    <w:rsid w:val="00B17D2C"/>
    <w:rsid w:val="00B2037C"/>
    <w:rsid w:val="00B20601"/>
    <w:rsid w:val="00B2129C"/>
    <w:rsid w:val="00B21593"/>
    <w:rsid w:val="00B218D4"/>
    <w:rsid w:val="00B2192B"/>
    <w:rsid w:val="00B21A72"/>
    <w:rsid w:val="00B2238E"/>
    <w:rsid w:val="00B224C5"/>
    <w:rsid w:val="00B22C21"/>
    <w:rsid w:val="00B230DC"/>
    <w:rsid w:val="00B236C6"/>
    <w:rsid w:val="00B23C6F"/>
    <w:rsid w:val="00B23EC7"/>
    <w:rsid w:val="00B244B3"/>
    <w:rsid w:val="00B2456A"/>
    <w:rsid w:val="00B248A9"/>
    <w:rsid w:val="00B24920"/>
    <w:rsid w:val="00B2494F"/>
    <w:rsid w:val="00B24B14"/>
    <w:rsid w:val="00B24FA6"/>
    <w:rsid w:val="00B25078"/>
    <w:rsid w:val="00B25357"/>
    <w:rsid w:val="00B253FA"/>
    <w:rsid w:val="00B25465"/>
    <w:rsid w:val="00B255B5"/>
    <w:rsid w:val="00B25607"/>
    <w:rsid w:val="00B258BA"/>
    <w:rsid w:val="00B25980"/>
    <w:rsid w:val="00B25B06"/>
    <w:rsid w:val="00B25DA1"/>
    <w:rsid w:val="00B25DBD"/>
    <w:rsid w:val="00B26194"/>
    <w:rsid w:val="00B26245"/>
    <w:rsid w:val="00B264BC"/>
    <w:rsid w:val="00B26EE5"/>
    <w:rsid w:val="00B26F06"/>
    <w:rsid w:val="00B27278"/>
    <w:rsid w:val="00B27864"/>
    <w:rsid w:val="00B27B33"/>
    <w:rsid w:val="00B27B81"/>
    <w:rsid w:val="00B27F7F"/>
    <w:rsid w:val="00B30064"/>
    <w:rsid w:val="00B301F5"/>
    <w:rsid w:val="00B303C1"/>
    <w:rsid w:val="00B30771"/>
    <w:rsid w:val="00B31CBE"/>
    <w:rsid w:val="00B31CC7"/>
    <w:rsid w:val="00B31D92"/>
    <w:rsid w:val="00B31E2D"/>
    <w:rsid w:val="00B3206A"/>
    <w:rsid w:val="00B32F2D"/>
    <w:rsid w:val="00B32FA2"/>
    <w:rsid w:val="00B33046"/>
    <w:rsid w:val="00B331C8"/>
    <w:rsid w:val="00B3340A"/>
    <w:rsid w:val="00B338BC"/>
    <w:rsid w:val="00B33ACF"/>
    <w:rsid w:val="00B33AD4"/>
    <w:rsid w:val="00B33EC7"/>
    <w:rsid w:val="00B33EEC"/>
    <w:rsid w:val="00B33FFF"/>
    <w:rsid w:val="00B3402B"/>
    <w:rsid w:val="00B341BE"/>
    <w:rsid w:val="00B342E0"/>
    <w:rsid w:val="00B34B1F"/>
    <w:rsid w:val="00B34BB0"/>
    <w:rsid w:val="00B34EB2"/>
    <w:rsid w:val="00B34EE3"/>
    <w:rsid w:val="00B35C9E"/>
    <w:rsid w:val="00B3612E"/>
    <w:rsid w:val="00B36280"/>
    <w:rsid w:val="00B36FD3"/>
    <w:rsid w:val="00B3722A"/>
    <w:rsid w:val="00B3725E"/>
    <w:rsid w:val="00B37390"/>
    <w:rsid w:val="00B37403"/>
    <w:rsid w:val="00B37411"/>
    <w:rsid w:val="00B3765D"/>
    <w:rsid w:val="00B37712"/>
    <w:rsid w:val="00B3781C"/>
    <w:rsid w:val="00B37908"/>
    <w:rsid w:val="00B37AD0"/>
    <w:rsid w:val="00B37B2E"/>
    <w:rsid w:val="00B37B45"/>
    <w:rsid w:val="00B40081"/>
    <w:rsid w:val="00B4018A"/>
    <w:rsid w:val="00B401CE"/>
    <w:rsid w:val="00B401EA"/>
    <w:rsid w:val="00B402F1"/>
    <w:rsid w:val="00B40698"/>
    <w:rsid w:val="00B40892"/>
    <w:rsid w:val="00B40DA2"/>
    <w:rsid w:val="00B40EF6"/>
    <w:rsid w:val="00B410D8"/>
    <w:rsid w:val="00B4132F"/>
    <w:rsid w:val="00B413C3"/>
    <w:rsid w:val="00B4159F"/>
    <w:rsid w:val="00B41BED"/>
    <w:rsid w:val="00B41C9B"/>
    <w:rsid w:val="00B41E19"/>
    <w:rsid w:val="00B42192"/>
    <w:rsid w:val="00B421D3"/>
    <w:rsid w:val="00B4229F"/>
    <w:rsid w:val="00B425FF"/>
    <w:rsid w:val="00B42673"/>
    <w:rsid w:val="00B42C63"/>
    <w:rsid w:val="00B4300F"/>
    <w:rsid w:val="00B433A8"/>
    <w:rsid w:val="00B435EA"/>
    <w:rsid w:val="00B438D4"/>
    <w:rsid w:val="00B43E5D"/>
    <w:rsid w:val="00B4411D"/>
    <w:rsid w:val="00B4441E"/>
    <w:rsid w:val="00B447F6"/>
    <w:rsid w:val="00B44A9D"/>
    <w:rsid w:val="00B44B2D"/>
    <w:rsid w:val="00B44CCD"/>
    <w:rsid w:val="00B452C4"/>
    <w:rsid w:val="00B45487"/>
    <w:rsid w:val="00B45CF1"/>
    <w:rsid w:val="00B45D79"/>
    <w:rsid w:val="00B45DF1"/>
    <w:rsid w:val="00B463D0"/>
    <w:rsid w:val="00B465D3"/>
    <w:rsid w:val="00B46864"/>
    <w:rsid w:val="00B46C63"/>
    <w:rsid w:val="00B46D7C"/>
    <w:rsid w:val="00B46FE7"/>
    <w:rsid w:val="00B473AA"/>
    <w:rsid w:val="00B473E6"/>
    <w:rsid w:val="00B47496"/>
    <w:rsid w:val="00B476ED"/>
    <w:rsid w:val="00B47820"/>
    <w:rsid w:val="00B50126"/>
    <w:rsid w:val="00B50322"/>
    <w:rsid w:val="00B50642"/>
    <w:rsid w:val="00B508CC"/>
    <w:rsid w:val="00B50A6E"/>
    <w:rsid w:val="00B50B5B"/>
    <w:rsid w:val="00B50C32"/>
    <w:rsid w:val="00B5110D"/>
    <w:rsid w:val="00B5140F"/>
    <w:rsid w:val="00B51FB8"/>
    <w:rsid w:val="00B5278E"/>
    <w:rsid w:val="00B527D1"/>
    <w:rsid w:val="00B52EC2"/>
    <w:rsid w:val="00B52EC8"/>
    <w:rsid w:val="00B530E2"/>
    <w:rsid w:val="00B5343F"/>
    <w:rsid w:val="00B53B77"/>
    <w:rsid w:val="00B53D3C"/>
    <w:rsid w:val="00B53FE5"/>
    <w:rsid w:val="00B5419A"/>
    <w:rsid w:val="00B5433C"/>
    <w:rsid w:val="00B54340"/>
    <w:rsid w:val="00B546EF"/>
    <w:rsid w:val="00B546F4"/>
    <w:rsid w:val="00B54756"/>
    <w:rsid w:val="00B549CE"/>
    <w:rsid w:val="00B54B15"/>
    <w:rsid w:val="00B54D2E"/>
    <w:rsid w:val="00B54DBF"/>
    <w:rsid w:val="00B5520B"/>
    <w:rsid w:val="00B559FC"/>
    <w:rsid w:val="00B55DE2"/>
    <w:rsid w:val="00B56792"/>
    <w:rsid w:val="00B56AE1"/>
    <w:rsid w:val="00B56C9E"/>
    <w:rsid w:val="00B56DF0"/>
    <w:rsid w:val="00B56EC8"/>
    <w:rsid w:val="00B573E7"/>
    <w:rsid w:val="00B574A7"/>
    <w:rsid w:val="00B57726"/>
    <w:rsid w:val="00B577EC"/>
    <w:rsid w:val="00B57C85"/>
    <w:rsid w:val="00B57CC6"/>
    <w:rsid w:val="00B57E54"/>
    <w:rsid w:val="00B602D1"/>
    <w:rsid w:val="00B6061F"/>
    <w:rsid w:val="00B60743"/>
    <w:rsid w:val="00B607D3"/>
    <w:rsid w:val="00B6090A"/>
    <w:rsid w:val="00B61027"/>
    <w:rsid w:val="00B6108B"/>
    <w:rsid w:val="00B612E2"/>
    <w:rsid w:val="00B6192B"/>
    <w:rsid w:val="00B61E8D"/>
    <w:rsid w:val="00B61EA2"/>
    <w:rsid w:val="00B62692"/>
    <w:rsid w:val="00B62751"/>
    <w:rsid w:val="00B62E85"/>
    <w:rsid w:val="00B62F2E"/>
    <w:rsid w:val="00B630E1"/>
    <w:rsid w:val="00B634A4"/>
    <w:rsid w:val="00B639AC"/>
    <w:rsid w:val="00B63E12"/>
    <w:rsid w:val="00B63EC9"/>
    <w:rsid w:val="00B63FB7"/>
    <w:rsid w:val="00B643F0"/>
    <w:rsid w:val="00B6458B"/>
    <w:rsid w:val="00B647C1"/>
    <w:rsid w:val="00B647C3"/>
    <w:rsid w:val="00B64C5A"/>
    <w:rsid w:val="00B64D40"/>
    <w:rsid w:val="00B653E3"/>
    <w:rsid w:val="00B6580C"/>
    <w:rsid w:val="00B65B16"/>
    <w:rsid w:val="00B65B47"/>
    <w:rsid w:val="00B65CC4"/>
    <w:rsid w:val="00B65DEB"/>
    <w:rsid w:val="00B66163"/>
    <w:rsid w:val="00B66196"/>
    <w:rsid w:val="00B661E1"/>
    <w:rsid w:val="00B66528"/>
    <w:rsid w:val="00B6685D"/>
    <w:rsid w:val="00B66AB7"/>
    <w:rsid w:val="00B66E20"/>
    <w:rsid w:val="00B6738E"/>
    <w:rsid w:val="00B6740D"/>
    <w:rsid w:val="00B679D5"/>
    <w:rsid w:val="00B67C6F"/>
    <w:rsid w:val="00B702DC"/>
    <w:rsid w:val="00B70369"/>
    <w:rsid w:val="00B70391"/>
    <w:rsid w:val="00B7043D"/>
    <w:rsid w:val="00B70979"/>
    <w:rsid w:val="00B70B7B"/>
    <w:rsid w:val="00B70D96"/>
    <w:rsid w:val="00B710CC"/>
    <w:rsid w:val="00B710F7"/>
    <w:rsid w:val="00B71389"/>
    <w:rsid w:val="00B713AB"/>
    <w:rsid w:val="00B713BE"/>
    <w:rsid w:val="00B71402"/>
    <w:rsid w:val="00B714C7"/>
    <w:rsid w:val="00B714D6"/>
    <w:rsid w:val="00B717BB"/>
    <w:rsid w:val="00B71988"/>
    <w:rsid w:val="00B71B82"/>
    <w:rsid w:val="00B71F25"/>
    <w:rsid w:val="00B721B2"/>
    <w:rsid w:val="00B72270"/>
    <w:rsid w:val="00B7229D"/>
    <w:rsid w:val="00B7237C"/>
    <w:rsid w:val="00B7247C"/>
    <w:rsid w:val="00B727FB"/>
    <w:rsid w:val="00B72A2B"/>
    <w:rsid w:val="00B72D53"/>
    <w:rsid w:val="00B72F56"/>
    <w:rsid w:val="00B730C4"/>
    <w:rsid w:val="00B73256"/>
    <w:rsid w:val="00B73275"/>
    <w:rsid w:val="00B732C4"/>
    <w:rsid w:val="00B73620"/>
    <w:rsid w:val="00B7373E"/>
    <w:rsid w:val="00B738F6"/>
    <w:rsid w:val="00B73945"/>
    <w:rsid w:val="00B73C77"/>
    <w:rsid w:val="00B73CA5"/>
    <w:rsid w:val="00B73DA1"/>
    <w:rsid w:val="00B741E5"/>
    <w:rsid w:val="00B7434F"/>
    <w:rsid w:val="00B7483F"/>
    <w:rsid w:val="00B74910"/>
    <w:rsid w:val="00B74996"/>
    <w:rsid w:val="00B74A7B"/>
    <w:rsid w:val="00B74CD7"/>
    <w:rsid w:val="00B74CE0"/>
    <w:rsid w:val="00B74E82"/>
    <w:rsid w:val="00B74F7E"/>
    <w:rsid w:val="00B75139"/>
    <w:rsid w:val="00B75549"/>
    <w:rsid w:val="00B75AAD"/>
    <w:rsid w:val="00B75CC8"/>
    <w:rsid w:val="00B75F30"/>
    <w:rsid w:val="00B76579"/>
    <w:rsid w:val="00B76703"/>
    <w:rsid w:val="00B76780"/>
    <w:rsid w:val="00B768D1"/>
    <w:rsid w:val="00B76ABA"/>
    <w:rsid w:val="00B777C8"/>
    <w:rsid w:val="00B77A34"/>
    <w:rsid w:val="00B77CD0"/>
    <w:rsid w:val="00B803C7"/>
    <w:rsid w:val="00B80905"/>
    <w:rsid w:val="00B80BCC"/>
    <w:rsid w:val="00B81635"/>
    <w:rsid w:val="00B81C20"/>
    <w:rsid w:val="00B8223D"/>
    <w:rsid w:val="00B825D7"/>
    <w:rsid w:val="00B82AA5"/>
    <w:rsid w:val="00B82C58"/>
    <w:rsid w:val="00B82F67"/>
    <w:rsid w:val="00B83126"/>
    <w:rsid w:val="00B833DF"/>
    <w:rsid w:val="00B83991"/>
    <w:rsid w:val="00B83C53"/>
    <w:rsid w:val="00B83E1D"/>
    <w:rsid w:val="00B83E73"/>
    <w:rsid w:val="00B844D3"/>
    <w:rsid w:val="00B84627"/>
    <w:rsid w:val="00B84AE7"/>
    <w:rsid w:val="00B84B4D"/>
    <w:rsid w:val="00B84B62"/>
    <w:rsid w:val="00B84B73"/>
    <w:rsid w:val="00B84F75"/>
    <w:rsid w:val="00B85077"/>
    <w:rsid w:val="00B8521A"/>
    <w:rsid w:val="00B856B5"/>
    <w:rsid w:val="00B85798"/>
    <w:rsid w:val="00B85B50"/>
    <w:rsid w:val="00B85C17"/>
    <w:rsid w:val="00B86005"/>
    <w:rsid w:val="00B87491"/>
    <w:rsid w:val="00B874DF"/>
    <w:rsid w:val="00B87565"/>
    <w:rsid w:val="00B87702"/>
    <w:rsid w:val="00B878C8"/>
    <w:rsid w:val="00B87BAD"/>
    <w:rsid w:val="00B9002A"/>
    <w:rsid w:val="00B90738"/>
    <w:rsid w:val="00B9078B"/>
    <w:rsid w:val="00B90A7F"/>
    <w:rsid w:val="00B90CC4"/>
    <w:rsid w:val="00B90D87"/>
    <w:rsid w:val="00B90F2E"/>
    <w:rsid w:val="00B91122"/>
    <w:rsid w:val="00B912A7"/>
    <w:rsid w:val="00B92107"/>
    <w:rsid w:val="00B9235A"/>
    <w:rsid w:val="00B926DE"/>
    <w:rsid w:val="00B929AD"/>
    <w:rsid w:val="00B92A99"/>
    <w:rsid w:val="00B92E80"/>
    <w:rsid w:val="00B93101"/>
    <w:rsid w:val="00B93175"/>
    <w:rsid w:val="00B938E8"/>
    <w:rsid w:val="00B93D03"/>
    <w:rsid w:val="00B93FED"/>
    <w:rsid w:val="00B94258"/>
    <w:rsid w:val="00B9465F"/>
    <w:rsid w:val="00B947E6"/>
    <w:rsid w:val="00B948D1"/>
    <w:rsid w:val="00B94D09"/>
    <w:rsid w:val="00B94E70"/>
    <w:rsid w:val="00B94F1F"/>
    <w:rsid w:val="00B952F3"/>
    <w:rsid w:val="00B95536"/>
    <w:rsid w:val="00B955AE"/>
    <w:rsid w:val="00B95992"/>
    <w:rsid w:val="00B95AA4"/>
    <w:rsid w:val="00B95BE4"/>
    <w:rsid w:val="00B95C1D"/>
    <w:rsid w:val="00B95FE9"/>
    <w:rsid w:val="00B9620B"/>
    <w:rsid w:val="00B962B1"/>
    <w:rsid w:val="00B967A0"/>
    <w:rsid w:val="00B967E4"/>
    <w:rsid w:val="00B9682F"/>
    <w:rsid w:val="00B968BA"/>
    <w:rsid w:val="00B96D7D"/>
    <w:rsid w:val="00B96D9B"/>
    <w:rsid w:val="00B972D6"/>
    <w:rsid w:val="00B97323"/>
    <w:rsid w:val="00B9737F"/>
    <w:rsid w:val="00B97704"/>
    <w:rsid w:val="00B97DDD"/>
    <w:rsid w:val="00B97EC7"/>
    <w:rsid w:val="00B97F55"/>
    <w:rsid w:val="00B97FDE"/>
    <w:rsid w:val="00BA028E"/>
    <w:rsid w:val="00BA041A"/>
    <w:rsid w:val="00BA092C"/>
    <w:rsid w:val="00BA0A8A"/>
    <w:rsid w:val="00BA0CB3"/>
    <w:rsid w:val="00BA0DA8"/>
    <w:rsid w:val="00BA0E57"/>
    <w:rsid w:val="00BA0F28"/>
    <w:rsid w:val="00BA1330"/>
    <w:rsid w:val="00BA13DF"/>
    <w:rsid w:val="00BA167A"/>
    <w:rsid w:val="00BA18C9"/>
    <w:rsid w:val="00BA1CCA"/>
    <w:rsid w:val="00BA225E"/>
    <w:rsid w:val="00BA2423"/>
    <w:rsid w:val="00BA24D8"/>
    <w:rsid w:val="00BA2568"/>
    <w:rsid w:val="00BA2585"/>
    <w:rsid w:val="00BA26A8"/>
    <w:rsid w:val="00BA26FA"/>
    <w:rsid w:val="00BA281E"/>
    <w:rsid w:val="00BA2BF8"/>
    <w:rsid w:val="00BA2D62"/>
    <w:rsid w:val="00BA2E1F"/>
    <w:rsid w:val="00BA2F25"/>
    <w:rsid w:val="00BA362D"/>
    <w:rsid w:val="00BA3C3C"/>
    <w:rsid w:val="00BA3D7E"/>
    <w:rsid w:val="00BA3DD5"/>
    <w:rsid w:val="00BA3F35"/>
    <w:rsid w:val="00BA3FE8"/>
    <w:rsid w:val="00BA4053"/>
    <w:rsid w:val="00BA40F3"/>
    <w:rsid w:val="00BA4391"/>
    <w:rsid w:val="00BA46EC"/>
    <w:rsid w:val="00BA4D7F"/>
    <w:rsid w:val="00BA4DDD"/>
    <w:rsid w:val="00BA539D"/>
    <w:rsid w:val="00BA547C"/>
    <w:rsid w:val="00BA564C"/>
    <w:rsid w:val="00BA66D5"/>
    <w:rsid w:val="00BA676C"/>
    <w:rsid w:val="00BA6C1B"/>
    <w:rsid w:val="00BA7098"/>
    <w:rsid w:val="00BA713A"/>
    <w:rsid w:val="00BA7645"/>
    <w:rsid w:val="00BA7661"/>
    <w:rsid w:val="00BA767B"/>
    <w:rsid w:val="00BA79B8"/>
    <w:rsid w:val="00BA7BC7"/>
    <w:rsid w:val="00BA7D3E"/>
    <w:rsid w:val="00BB04FB"/>
    <w:rsid w:val="00BB07EE"/>
    <w:rsid w:val="00BB0B90"/>
    <w:rsid w:val="00BB147E"/>
    <w:rsid w:val="00BB1692"/>
    <w:rsid w:val="00BB196A"/>
    <w:rsid w:val="00BB196B"/>
    <w:rsid w:val="00BB1C3C"/>
    <w:rsid w:val="00BB1D34"/>
    <w:rsid w:val="00BB1F25"/>
    <w:rsid w:val="00BB1F41"/>
    <w:rsid w:val="00BB221F"/>
    <w:rsid w:val="00BB2568"/>
    <w:rsid w:val="00BB25F1"/>
    <w:rsid w:val="00BB2947"/>
    <w:rsid w:val="00BB29F6"/>
    <w:rsid w:val="00BB2AD4"/>
    <w:rsid w:val="00BB2E9D"/>
    <w:rsid w:val="00BB33A2"/>
    <w:rsid w:val="00BB3610"/>
    <w:rsid w:val="00BB3AC7"/>
    <w:rsid w:val="00BB3B0D"/>
    <w:rsid w:val="00BB3B60"/>
    <w:rsid w:val="00BB3D6C"/>
    <w:rsid w:val="00BB3D84"/>
    <w:rsid w:val="00BB3DDB"/>
    <w:rsid w:val="00BB48ED"/>
    <w:rsid w:val="00BB4980"/>
    <w:rsid w:val="00BB4DA8"/>
    <w:rsid w:val="00BB542A"/>
    <w:rsid w:val="00BB5546"/>
    <w:rsid w:val="00BB574C"/>
    <w:rsid w:val="00BB5A7D"/>
    <w:rsid w:val="00BB5C46"/>
    <w:rsid w:val="00BB5D0A"/>
    <w:rsid w:val="00BB5FB7"/>
    <w:rsid w:val="00BB61C3"/>
    <w:rsid w:val="00BB6355"/>
    <w:rsid w:val="00BB63A9"/>
    <w:rsid w:val="00BB6643"/>
    <w:rsid w:val="00BB66EA"/>
    <w:rsid w:val="00BB69FC"/>
    <w:rsid w:val="00BB6A8B"/>
    <w:rsid w:val="00BB6D32"/>
    <w:rsid w:val="00BB6DE5"/>
    <w:rsid w:val="00BB7228"/>
    <w:rsid w:val="00BB7262"/>
    <w:rsid w:val="00BB727B"/>
    <w:rsid w:val="00BB7A3C"/>
    <w:rsid w:val="00BB7C5E"/>
    <w:rsid w:val="00BC01FA"/>
    <w:rsid w:val="00BC027E"/>
    <w:rsid w:val="00BC029B"/>
    <w:rsid w:val="00BC0DF8"/>
    <w:rsid w:val="00BC125D"/>
    <w:rsid w:val="00BC15F7"/>
    <w:rsid w:val="00BC16B6"/>
    <w:rsid w:val="00BC1B85"/>
    <w:rsid w:val="00BC1BE3"/>
    <w:rsid w:val="00BC1F48"/>
    <w:rsid w:val="00BC2362"/>
    <w:rsid w:val="00BC2714"/>
    <w:rsid w:val="00BC2786"/>
    <w:rsid w:val="00BC2871"/>
    <w:rsid w:val="00BC2A34"/>
    <w:rsid w:val="00BC3054"/>
    <w:rsid w:val="00BC3162"/>
    <w:rsid w:val="00BC3313"/>
    <w:rsid w:val="00BC39D7"/>
    <w:rsid w:val="00BC406A"/>
    <w:rsid w:val="00BC4B4C"/>
    <w:rsid w:val="00BC4C6E"/>
    <w:rsid w:val="00BC4D51"/>
    <w:rsid w:val="00BC502B"/>
    <w:rsid w:val="00BC503B"/>
    <w:rsid w:val="00BC5434"/>
    <w:rsid w:val="00BC56D4"/>
    <w:rsid w:val="00BC5965"/>
    <w:rsid w:val="00BC5DA5"/>
    <w:rsid w:val="00BC5EA7"/>
    <w:rsid w:val="00BC5FB8"/>
    <w:rsid w:val="00BC6426"/>
    <w:rsid w:val="00BC647B"/>
    <w:rsid w:val="00BC6A8C"/>
    <w:rsid w:val="00BC70B5"/>
    <w:rsid w:val="00BC74B3"/>
    <w:rsid w:val="00BC76C1"/>
    <w:rsid w:val="00BC7741"/>
    <w:rsid w:val="00BC77FB"/>
    <w:rsid w:val="00BD00CB"/>
    <w:rsid w:val="00BD09A2"/>
    <w:rsid w:val="00BD0C49"/>
    <w:rsid w:val="00BD0F13"/>
    <w:rsid w:val="00BD117A"/>
    <w:rsid w:val="00BD1180"/>
    <w:rsid w:val="00BD141C"/>
    <w:rsid w:val="00BD1495"/>
    <w:rsid w:val="00BD1714"/>
    <w:rsid w:val="00BD184E"/>
    <w:rsid w:val="00BD1916"/>
    <w:rsid w:val="00BD1ED7"/>
    <w:rsid w:val="00BD1FD4"/>
    <w:rsid w:val="00BD2148"/>
    <w:rsid w:val="00BD25B2"/>
    <w:rsid w:val="00BD2C17"/>
    <w:rsid w:val="00BD2FD1"/>
    <w:rsid w:val="00BD31B1"/>
    <w:rsid w:val="00BD3298"/>
    <w:rsid w:val="00BD3319"/>
    <w:rsid w:val="00BD33F1"/>
    <w:rsid w:val="00BD470B"/>
    <w:rsid w:val="00BD4735"/>
    <w:rsid w:val="00BD494C"/>
    <w:rsid w:val="00BD4BE9"/>
    <w:rsid w:val="00BD4D1E"/>
    <w:rsid w:val="00BD4E5D"/>
    <w:rsid w:val="00BD4FA1"/>
    <w:rsid w:val="00BD5087"/>
    <w:rsid w:val="00BD5113"/>
    <w:rsid w:val="00BD52C5"/>
    <w:rsid w:val="00BD5436"/>
    <w:rsid w:val="00BD5465"/>
    <w:rsid w:val="00BD5639"/>
    <w:rsid w:val="00BD576F"/>
    <w:rsid w:val="00BD5862"/>
    <w:rsid w:val="00BD5DB5"/>
    <w:rsid w:val="00BD5E57"/>
    <w:rsid w:val="00BD64A0"/>
    <w:rsid w:val="00BD6935"/>
    <w:rsid w:val="00BD6998"/>
    <w:rsid w:val="00BD6C92"/>
    <w:rsid w:val="00BD72FB"/>
    <w:rsid w:val="00BD7459"/>
    <w:rsid w:val="00BD7549"/>
    <w:rsid w:val="00BD7909"/>
    <w:rsid w:val="00BD7990"/>
    <w:rsid w:val="00BD7B7A"/>
    <w:rsid w:val="00BD7D19"/>
    <w:rsid w:val="00BE0074"/>
    <w:rsid w:val="00BE007B"/>
    <w:rsid w:val="00BE00C8"/>
    <w:rsid w:val="00BE0647"/>
    <w:rsid w:val="00BE085E"/>
    <w:rsid w:val="00BE0BDB"/>
    <w:rsid w:val="00BE0CFA"/>
    <w:rsid w:val="00BE17ED"/>
    <w:rsid w:val="00BE1817"/>
    <w:rsid w:val="00BE1B67"/>
    <w:rsid w:val="00BE219E"/>
    <w:rsid w:val="00BE2434"/>
    <w:rsid w:val="00BE2933"/>
    <w:rsid w:val="00BE2A13"/>
    <w:rsid w:val="00BE2AC2"/>
    <w:rsid w:val="00BE2D21"/>
    <w:rsid w:val="00BE2F1A"/>
    <w:rsid w:val="00BE2FD3"/>
    <w:rsid w:val="00BE31A4"/>
    <w:rsid w:val="00BE3523"/>
    <w:rsid w:val="00BE35FD"/>
    <w:rsid w:val="00BE3649"/>
    <w:rsid w:val="00BE387E"/>
    <w:rsid w:val="00BE3BB0"/>
    <w:rsid w:val="00BE3E04"/>
    <w:rsid w:val="00BE3F4A"/>
    <w:rsid w:val="00BE40C8"/>
    <w:rsid w:val="00BE431D"/>
    <w:rsid w:val="00BE443F"/>
    <w:rsid w:val="00BE4831"/>
    <w:rsid w:val="00BE4958"/>
    <w:rsid w:val="00BE49B4"/>
    <w:rsid w:val="00BE4C4E"/>
    <w:rsid w:val="00BE509C"/>
    <w:rsid w:val="00BE5574"/>
    <w:rsid w:val="00BE595D"/>
    <w:rsid w:val="00BE5A26"/>
    <w:rsid w:val="00BE5C56"/>
    <w:rsid w:val="00BE5D4D"/>
    <w:rsid w:val="00BE5EE4"/>
    <w:rsid w:val="00BE612A"/>
    <w:rsid w:val="00BE61C6"/>
    <w:rsid w:val="00BE6266"/>
    <w:rsid w:val="00BE645A"/>
    <w:rsid w:val="00BE64DB"/>
    <w:rsid w:val="00BE665E"/>
    <w:rsid w:val="00BE6938"/>
    <w:rsid w:val="00BE6AB4"/>
    <w:rsid w:val="00BE6C27"/>
    <w:rsid w:val="00BE6F60"/>
    <w:rsid w:val="00BE721B"/>
    <w:rsid w:val="00BE792C"/>
    <w:rsid w:val="00BE7EFF"/>
    <w:rsid w:val="00BE7F05"/>
    <w:rsid w:val="00BE7F1E"/>
    <w:rsid w:val="00BF0201"/>
    <w:rsid w:val="00BF0268"/>
    <w:rsid w:val="00BF060D"/>
    <w:rsid w:val="00BF07DF"/>
    <w:rsid w:val="00BF0920"/>
    <w:rsid w:val="00BF0AE4"/>
    <w:rsid w:val="00BF0B66"/>
    <w:rsid w:val="00BF0CA0"/>
    <w:rsid w:val="00BF10FA"/>
    <w:rsid w:val="00BF15B2"/>
    <w:rsid w:val="00BF15BE"/>
    <w:rsid w:val="00BF1A7E"/>
    <w:rsid w:val="00BF1CED"/>
    <w:rsid w:val="00BF2078"/>
    <w:rsid w:val="00BF2586"/>
    <w:rsid w:val="00BF2632"/>
    <w:rsid w:val="00BF3028"/>
    <w:rsid w:val="00BF313B"/>
    <w:rsid w:val="00BF3375"/>
    <w:rsid w:val="00BF3760"/>
    <w:rsid w:val="00BF39A7"/>
    <w:rsid w:val="00BF3E83"/>
    <w:rsid w:val="00BF3F5E"/>
    <w:rsid w:val="00BF3FAA"/>
    <w:rsid w:val="00BF402E"/>
    <w:rsid w:val="00BF404D"/>
    <w:rsid w:val="00BF425E"/>
    <w:rsid w:val="00BF43F1"/>
    <w:rsid w:val="00BF4651"/>
    <w:rsid w:val="00BF4C43"/>
    <w:rsid w:val="00BF4C54"/>
    <w:rsid w:val="00BF4DF1"/>
    <w:rsid w:val="00BF5995"/>
    <w:rsid w:val="00BF610D"/>
    <w:rsid w:val="00BF680C"/>
    <w:rsid w:val="00BF69AF"/>
    <w:rsid w:val="00BF6C4C"/>
    <w:rsid w:val="00BF6DDA"/>
    <w:rsid w:val="00BF6EF3"/>
    <w:rsid w:val="00BF6F52"/>
    <w:rsid w:val="00BF71DE"/>
    <w:rsid w:val="00BF7ED9"/>
    <w:rsid w:val="00BF7EF3"/>
    <w:rsid w:val="00BF7F60"/>
    <w:rsid w:val="00BF7F62"/>
    <w:rsid w:val="00BF7F81"/>
    <w:rsid w:val="00C002DF"/>
    <w:rsid w:val="00C00453"/>
    <w:rsid w:val="00C00A0F"/>
    <w:rsid w:val="00C00A3A"/>
    <w:rsid w:val="00C00D91"/>
    <w:rsid w:val="00C00F95"/>
    <w:rsid w:val="00C010E0"/>
    <w:rsid w:val="00C01451"/>
    <w:rsid w:val="00C015DF"/>
    <w:rsid w:val="00C01630"/>
    <w:rsid w:val="00C0180D"/>
    <w:rsid w:val="00C01904"/>
    <w:rsid w:val="00C01AD0"/>
    <w:rsid w:val="00C01BDE"/>
    <w:rsid w:val="00C01C69"/>
    <w:rsid w:val="00C01D17"/>
    <w:rsid w:val="00C01EE3"/>
    <w:rsid w:val="00C01F25"/>
    <w:rsid w:val="00C026A7"/>
    <w:rsid w:val="00C028D2"/>
    <w:rsid w:val="00C02ACF"/>
    <w:rsid w:val="00C02B0C"/>
    <w:rsid w:val="00C02D94"/>
    <w:rsid w:val="00C0321D"/>
    <w:rsid w:val="00C033F0"/>
    <w:rsid w:val="00C03435"/>
    <w:rsid w:val="00C037B1"/>
    <w:rsid w:val="00C03946"/>
    <w:rsid w:val="00C03DAA"/>
    <w:rsid w:val="00C03EEB"/>
    <w:rsid w:val="00C03FB9"/>
    <w:rsid w:val="00C047FC"/>
    <w:rsid w:val="00C049A8"/>
    <w:rsid w:val="00C04B6A"/>
    <w:rsid w:val="00C04D44"/>
    <w:rsid w:val="00C04E02"/>
    <w:rsid w:val="00C0517D"/>
    <w:rsid w:val="00C0557D"/>
    <w:rsid w:val="00C0565D"/>
    <w:rsid w:val="00C058C5"/>
    <w:rsid w:val="00C05A86"/>
    <w:rsid w:val="00C05C81"/>
    <w:rsid w:val="00C05CB5"/>
    <w:rsid w:val="00C06053"/>
    <w:rsid w:val="00C06141"/>
    <w:rsid w:val="00C06329"/>
    <w:rsid w:val="00C06920"/>
    <w:rsid w:val="00C0692E"/>
    <w:rsid w:val="00C069F1"/>
    <w:rsid w:val="00C06A54"/>
    <w:rsid w:val="00C06CDC"/>
    <w:rsid w:val="00C06E28"/>
    <w:rsid w:val="00C071C8"/>
    <w:rsid w:val="00C073E0"/>
    <w:rsid w:val="00C079B5"/>
    <w:rsid w:val="00C07DAD"/>
    <w:rsid w:val="00C07E70"/>
    <w:rsid w:val="00C10922"/>
    <w:rsid w:val="00C10AE9"/>
    <w:rsid w:val="00C10D24"/>
    <w:rsid w:val="00C10EBB"/>
    <w:rsid w:val="00C11028"/>
    <w:rsid w:val="00C118D0"/>
    <w:rsid w:val="00C1198A"/>
    <w:rsid w:val="00C11998"/>
    <w:rsid w:val="00C119EF"/>
    <w:rsid w:val="00C11ADC"/>
    <w:rsid w:val="00C120D3"/>
    <w:rsid w:val="00C121AE"/>
    <w:rsid w:val="00C121E0"/>
    <w:rsid w:val="00C12357"/>
    <w:rsid w:val="00C125B2"/>
    <w:rsid w:val="00C12769"/>
    <w:rsid w:val="00C1290F"/>
    <w:rsid w:val="00C12BAC"/>
    <w:rsid w:val="00C12C5C"/>
    <w:rsid w:val="00C12E48"/>
    <w:rsid w:val="00C12EBE"/>
    <w:rsid w:val="00C12EDB"/>
    <w:rsid w:val="00C132AA"/>
    <w:rsid w:val="00C13797"/>
    <w:rsid w:val="00C13A34"/>
    <w:rsid w:val="00C13F8D"/>
    <w:rsid w:val="00C14498"/>
    <w:rsid w:val="00C145BF"/>
    <w:rsid w:val="00C148A1"/>
    <w:rsid w:val="00C14E64"/>
    <w:rsid w:val="00C15367"/>
    <w:rsid w:val="00C156DC"/>
    <w:rsid w:val="00C15B5D"/>
    <w:rsid w:val="00C15E49"/>
    <w:rsid w:val="00C15E6A"/>
    <w:rsid w:val="00C15F48"/>
    <w:rsid w:val="00C1629F"/>
    <w:rsid w:val="00C16A4C"/>
    <w:rsid w:val="00C16AA1"/>
    <w:rsid w:val="00C16CEA"/>
    <w:rsid w:val="00C16D43"/>
    <w:rsid w:val="00C17002"/>
    <w:rsid w:val="00C1742D"/>
    <w:rsid w:val="00C1775F"/>
    <w:rsid w:val="00C17897"/>
    <w:rsid w:val="00C17A4B"/>
    <w:rsid w:val="00C17E68"/>
    <w:rsid w:val="00C17F57"/>
    <w:rsid w:val="00C2012A"/>
    <w:rsid w:val="00C20296"/>
    <w:rsid w:val="00C20300"/>
    <w:rsid w:val="00C2062D"/>
    <w:rsid w:val="00C206F2"/>
    <w:rsid w:val="00C20AFE"/>
    <w:rsid w:val="00C210F8"/>
    <w:rsid w:val="00C21391"/>
    <w:rsid w:val="00C2156E"/>
    <w:rsid w:val="00C216EB"/>
    <w:rsid w:val="00C216F4"/>
    <w:rsid w:val="00C21A6A"/>
    <w:rsid w:val="00C21CE8"/>
    <w:rsid w:val="00C2203F"/>
    <w:rsid w:val="00C22178"/>
    <w:rsid w:val="00C221D1"/>
    <w:rsid w:val="00C222DD"/>
    <w:rsid w:val="00C22D71"/>
    <w:rsid w:val="00C22E7E"/>
    <w:rsid w:val="00C23203"/>
    <w:rsid w:val="00C23408"/>
    <w:rsid w:val="00C237BA"/>
    <w:rsid w:val="00C23B01"/>
    <w:rsid w:val="00C23EB8"/>
    <w:rsid w:val="00C23F59"/>
    <w:rsid w:val="00C24043"/>
    <w:rsid w:val="00C24366"/>
    <w:rsid w:val="00C24992"/>
    <w:rsid w:val="00C24BB5"/>
    <w:rsid w:val="00C24C1A"/>
    <w:rsid w:val="00C24E99"/>
    <w:rsid w:val="00C25875"/>
    <w:rsid w:val="00C25B16"/>
    <w:rsid w:val="00C25DF6"/>
    <w:rsid w:val="00C26004"/>
    <w:rsid w:val="00C26223"/>
    <w:rsid w:val="00C26225"/>
    <w:rsid w:val="00C26609"/>
    <w:rsid w:val="00C26613"/>
    <w:rsid w:val="00C26627"/>
    <w:rsid w:val="00C26874"/>
    <w:rsid w:val="00C26AA5"/>
    <w:rsid w:val="00C26EEF"/>
    <w:rsid w:val="00C27105"/>
    <w:rsid w:val="00C27665"/>
    <w:rsid w:val="00C27AE9"/>
    <w:rsid w:val="00C27CEE"/>
    <w:rsid w:val="00C27D84"/>
    <w:rsid w:val="00C27E1C"/>
    <w:rsid w:val="00C27E76"/>
    <w:rsid w:val="00C305BA"/>
    <w:rsid w:val="00C30862"/>
    <w:rsid w:val="00C312B6"/>
    <w:rsid w:val="00C312F9"/>
    <w:rsid w:val="00C3144A"/>
    <w:rsid w:val="00C316C2"/>
    <w:rsid w:val="00C318DF"/>
    <w:rsid w:val="00C318F9"/>
    <w:rsid w:val="00C31AFD"/>
    <w:rsid w:val="00C31C1D"/>
    <w:rsid w:val="00C31E3D"/>
    <w:rsid w:val="00C320C9"/>
    <w:rsid w:val="00C32319"/>
    <w:rsid w:val="00C323F9"/>
    <w:rsid w:val="00C3254E"/>
    <w:rsid w:val="00C328A9"/>
    <w:rsid w:val="00C32BB9"/>
    <w:rsid w:val="00C32EFA"/>
    <w:rsid w:val="00C32FC4"/>
    <w:rsid w:val="00C332FF"/>
    <w:rsid w:val="00C339F1"/>
    <w:rsid w:val="00C33AF0"/>
    <w:rsid w:val="00C33C73"/>
    <w:rsid w:val="00C33D05"/>
    <w:rsid w:val="00C33E7E"/>
    <w:rsid w:val="00C33F4C"/>
    <w:rsid w:val="00C3461C"/>
    <w:rsid w:val="00C34B60"/>
    <w:rsid w:val="00C34B90"/>
    <w:rsid w:val="00C34BA0"/>
    <w:rsid w:val="00C34F75"/>
    <w:rsid w:val="00C3515C"/>
    <w:rsid w:val="00C3518F"/>
    <w:rsid w:val="00C351F4"/>
    <w:rsid w:val="00C351FC"/>
    <w:rsid w:val="00C3529E"/>
    <w:rsid w:val="00C354AE"/>
    <w:rsid w:val="00C35549"/>
    <w:rsid w:val="00C355DA"/>
    <w:rsid w:val="00C35E54"/>
    <w:rsid w:val="00C364DC"/>
    <w:rsid w:val="00C369DA"/>
    <w:rsid w:val="00C36A93"/>
    <w:rsid w:val="00C36B84"/>
    <w:rsid w:val="00C36CBC"/>
    <w:rsid w:val="00C3768D"/>
    <w:rsid w:val="00C377E8"/>
    <w:rsid w:val="00C377FB"/>
    <w:rsid w:val="00C37941"/>
    <w:rsid w:val="00C3794A"/>
    <w:rsid w:val="00C379BE"/>
    <w:rsid w:val="00C40392"/>
    <w:rsid w:val="00C405B4"/>
    <w:rsid w:val="00C414BA"/>
    <w:rsid w:val="00C41586"/>
    <w:rsid w:val="00C41776"/>
    <w:rsid w:val="00C41AF9"/>
    <w:rsid w:val="00C41E8A"/>
    <w:rsid w:val="00C4224D"/>
    <w:rsid w:val="00C422A5"/>
    <w:rsid w:val="00C423EF"/>
    <w:rsid w:val="00C42B13"/>
    <w:rsid w:val="00C42F2B"/>
    <w:rsid w:val="00C43127"/>
    <w:rsid w:val="00C431C9"/>
    <w:rsid w:val="00C432AB"/>
    <w:rsid w:val="00C436D6"/>
    <w:rsid w:val="00C43912"/>
    <w:rsid w:val="00C43976"/>
    <w:rsid w:val="00C43C7E"/>
    <w:rsid w:val="00C43CB7"/>
    <w:rsid w:val="00C44233"/>
    <w:rsid w:val="00C449BC"/>
    <w:rsid w:val="00C44C6E"/>
    <w:rsid w:val="00C44D7F"/>
    <w:rsid w:val="00C45091"/>
    <w:rsid w:val="00C4523B"/>
    <w:rsid w:val="00C45803"/>
    <w:rsid w:val="00C45825"/>
    <w:rsid w:val="00C45BE2"/>
    <w:rsid w:val="00C45C1F"/>
    <w:rsid w:val="00C45C3B"/>
    <w:rsid w:val="00C45C57"/>
    <w:rsid w:val="00C4637E"/>
    <w:rsid w:val="00C465A6"/>
    <w:rsid w:val="00C468CB"/>
    <w:rsid w:val="00C46CD1"/>
    <w:rsid w:val="00C46CD2"/>
    <w:rsid w:val="00C46D60"/>
    <w:rsid w:val="00C46E3D"/>
    <w:rsid w:val="00C470F8"/>
    <w:rsid w:val="00C47105"/>
    <w:rsid w:val="00C47188"/>
    <w:rsid w:val="00C47206"/>
    <w:rsid w:val="00C47224"/>
    <w:rsid w:val="00C472DA"/>
    <w:rsid w:val="00C473BD"/>
    <w:rsid w:val="00C475CE"/>
    <w:rsid w:val="00C47D73"/>
    <w:rsid w:val="00C504EB"/>
    <w:rsid w:val="00C508C9"/>
    <w:rsid w:val="00C509B7"/>
    <w:rsid w:val="00C50ADD"/>
    <w:rsid w:val="00C51086"/>
    <w:rsid w:val="00C51411"/>
    <w:rsid w:val="00C5194F"/>
    <w:rsid w:val="00C51A55"/>
    <w:rsid w:val="00C51B11"/>
    <w:rsid w:val="00C51D8F"/>
    <w:rsid w:val="00C51D9B"/>
    <w:rsid w:val="00C52250"/>
    <w:rsid w:val="00C52705"/>
    <w:rsid w:val="00C52797"/>
    <w:rsid w:val="00C529BF"/>
    <w:rsid w:val="00C52A65"/>
    <w:rsid w:val="00C52B2A"/>
    <w:rsid w:val="00C52C34"/>
    <w:rsid w:val="00C52D7F"/>
    <w:rsid w:val="00C52E2A"/>
    <w:rsid w:val="00C5382E"/>
    <w:rsid w:val="00C53B1B"/>
    <w:rsid w:val="00C53CD2"/>
    <w:rsid w:val="00C53DC9"/>
    <w:rsid w:val="00C53EED"/>
    <w:rsid w:val="00C541B4"/>
    <w:rsid w:val="00C54541"/>
    <w:rsid w:val="00C54746"/>
    <w:rsid w:val="00C54A2D"/>
    <w:rsid w:val="00C54A53"/>
    <w:rsid w:val="00C54B66"/>
    <w:rsid w:val="00C54DFF"/>
    <w:rsid w:val="00C54F3A"/>
    <w:rsid w:val="00C55015"/>
    <w:rsid w:val="00C552FC"/>
    <w:rsid w:val="00C55313"/>
    <w:rsid w:val="00C55464"/>
    <w:rsid w:val="00C55CFA"/>
    <w:rsid w:val="00C55E0E"/>
    <w:rsid w:val="00C55F83"/>
    <w:rsid w:val="00C55F86"/>
    <w:rsid w:val="00C561C1"/>
    <w:rsid w:val="00C567F0"/>
    <w:rsid w:val="00C56A8C"/>
    <w:rsid w:val="00C56DA3"/>
    <w:rsid w:val="00C5702F"/>
    <w:rsid w:val="00C573DA"/>
    <w:rsid w:val="00C573DF"/>
    <w:rsid w:val="00C574BC"/>
    <w:rsid w:val="00C57610"/>
    <w:rsid w:val="00C5767E"/>
    <w:rsid w:val="00C57BBC"/>
    <w:rsid w:val="00C57E87"/>
    <w:rsid w:val="00C60556"/>
    <w:rsid w:val="00C605CB"/>
    <w:rsid w:val="00C606F2"/>
    <w:rsid w:val="00C60713"/>
    <w:rsid w:val="00C6094C"/>
    <w:rsid w:val="00C60952"/>
    <w:rsid w:val="00C60B0C"/>
    <w:rsid w:val="00C610A2"/>
    <w:rsid w:val="00C61B24"/>
    <w:rsid w:val="00C62047"/>
    <w:rsid w:val="00C62232"/>
    <w:rsid w:val="00C6244E"/>
    <w:rsid w:val="00C624B7"/>
    <w:rsid w:val="00C628CF"/>
    <w:rsid w:val="00C62AA0"/>
    <w:rsid w:val="00C62C7A"/>
    <w:rsid w:val="00C62C96"/>
    <w:rsid w:val="00C62F2A"/>
    <w:rsid w:val="00C63426"/>
    <w:rsid w:val="00C63438"/>
    <w:rsid w:val="00C635F4"/>
    <w:rsid w:val="00C636CC"/>
    <w:rsid w:val="00C63799"/>
    <w:rsid w:val="00C63A6C"/>
    <w:rsid w:val="00C63B30"/>
    <w:rsid w:val="00C63D71"/>
    <w:rsid w:val="00C63F9B"/>
    <w:rsid w:val="00C6407B"/>
    <w:rsid w:val="00C6419B"/>
    <w:rsid w:val="00C64309"/>
    <w:rsid w:val="00C644C6"/>
    <w:rsid w:val="00C645A1"/>
    <w:rsid w:val="00C64745"/>
    <w:rsid w:val="00C649F5"/>
    <w:rsid w:val="00C64C1C"/>
    <w:rsid w:val="00C6521B"/>
    <w:rsid w:val="00C65387"/>
    <w:rsid w:val="00C654C0"/>
    <w:rsid w:val="00C66003"/>
    <w:rsid w:val="00C66145"/>
    <w:rsid w:val="00C662FD"/>
    <w:rsid w:val="00C66449"/>
    <w:rsid w:val="00C66474"/>
    <w:rsid w:val="00C665C7"/>
    <w:rsid w:val="00C66B8B"/>
    <w:rsid w:val="00C6759A"/>
    <w:rsid w:val="00C675F4"/>
    <w:rsid w:val="00C67959"/>
    <w:rsid w:val="00C67EC0"/>
    <w:rsid w:val="00C70049"/>
    <w:rsid w:val="00C703B4"/>
    <w:rsid w:val="00C70A99"/>
    <w:rsid w:val="00C70F88"/>
    <w:rsid w:val="00C70FA7"/>
    <w:rsid w:val="00C71293"/>
    <w:rsid w:val="00C712EF"/>
    <w:rsid w:val="00C71324"/>
    <w:rsid w:val="00C7142E"/>
    <w:rsid w:val="00C71568"/>
    <w:rsid w:val="00C719DF"/>
    <w:rsid w:val="00C71CC6"/>
    <w:rsid w:val="00C71D1C"/>
    <w:rsid w:val="00C71D3A"/>
    <w:rsid w:val="00C7277B"/>
    <w:rsid w:val="00C72A4E"/>
    <w:rsid w:val="00C72ACB"/>
    <w:rsid w:val="00C72CBE"/>
    <w:rsid w:val="00C7315F"/>
    <w:rsid w:val="00C7365C"/>
    <w:rsid w:val="00C73AE3"/>
    <w:rsid w:val="00C73E8D"/>
    <w:rsid w:val="00C7433C"/>
    <w:rsid w:val="00C74DBC"/>
    <w:rsid w:val="00C75221"/>
    <w:rsid w:val="00C7550F"/>
    <w:rsid w:val="00C756F1"/>
    <w:rsid w:val="00C758D9"/>
    <w:rsid w:val="00C75C3A"/>
    <w:rsid w:val="00C75DC8"/>
    <w:rsid w:val="00C75F4C"/>
    <w:rsid w:val="00C76165"/>
    <w:rsid w:val="00C7639E"/>
    <w:rsid w:val="00C765C6"/>
    <w:rsid w:val="00C767E7"/>
    <w:rsid w:val="00C7712C"/>
    <w:rsid w:val="00C772C7"/>
    <w:rsid w:val="00C774D2"/>
    <w:rsid w:val="00C7790A"/>
    <w:rsid w:val="00C77ADF"/>
    <w:rsid w:val="00C77B62"/>
    <w:rsid w:val="00C77E49"/>
    <w:rsid w:val="00C801B1"/>
    <w:rsid w:val="00C8025B"/>
    <w:rsid w:val="00C80323"/>
    <w:rsid w:val="00C80A9F"/>
    <w:rsid w:val="00C80ACA"/>
    <w:rsid w:val="00C811C7"/>
    <w:rsid w:val="00C814AE"/>
    <w:rsid w:val="00C817B6"/>
    <w:rsid w:val="00C81820"/>
    <w:rsid w:val="00C819B2"/>
    <w:rsid w:val="00C819DF"/>
    <w:rsid w:val="00C81FD1"/>
    <w:rsid w:val="00C8230C"/>
    <w:rsid w:val="00C824C5"/>
    <w:rsid w:val="00C824F4"/>
    <w:rsid w:val="00C825B9"/>
    <w:rsid w:val="00C828FD"/>
    <w:rsid w:val="00C829F4"/>
    <w:rsid w:val="00C82DE9"/>
    <w:rsid w:val="00C82F32"/>
    <w:rsid w:val="00C833FA"/>
    <w:rsid w:val="00C838C8"/>
    <w:rsid w:val="00C83DB7"/>
    <w:rsid w:val="00C841F6"/>
    <w:rsid w:val="00C844EF"/>
    <w:rsid w:val="00C84917"/>
    <w:rsid w:val="00C84A68"/>
    <w:rsid w:val="00C84AD2"/>
    <w:rsid w:val="00C84CD6"/>
    <w:rsid w:val="00C84EE7"/>
    <w:rsid w:val="00C8516B"/>
    <w:rsid w:val="00C85294"/>
    <w:rsid w:val="00C85380"/>
    <w:rsid w:val="00C85819"/>
    <w:rsid w:val="00C85898"/>
    <w:rsid w:val="00C85AF5"/>
    <w:rsid w:val="00C85B19"/>
    <w:rsid w:val="00C85C3B"/>
    <w:rsid w:val="00C85E4E"/>
    <w:rsid w:val="00C8668A"/>
    <w:rsid w:val="00C868D3"/>
    <w:rsid w:val="00C8691D"/>
    <w:rsid w:val="00C86A62"/>
    <w:rsid w:val="00C86A8B"/>
    <w:rsid w:val="00C86CBE"/>
    <w:rsid w:val="00C86CDA"/>
    <w:rsid w:val="00C872A0"/>
    <w:rsid w:val="00C87478"/>
    <w:rsid w:val="00C8759F"/>
    <w:rsid w:val="00C87997"/>
    <w:rsid w:val="00C87B73"/>
    <w:rsid w:val="00C90030"/>
    <w:rsid w:val="00C90360"/>
    <w:rsid w:val="00C90817"/>
    <w:rsid w:val="00C90D35"/>
    <w:rsid w:val="00C90D98"/>
    <w:rsid w:val="00C90FF1"/>
    <w:rsid w:val="00C9111A"/>
    <w:rsid w:val="00C915DC"/>
    <w:rsid w:val="00C92214"/>
    <w:rsid w:val="00C922AE"/>
    <w:rsid w:val="00C9259D"/>
    <w:rsid w:val="00C925A7"/>
    <w:rsid w:val="00C92709"/>
    <w:rsid w:val="00C9281D"/>
    <w:rsid w:val="00C929AD"/>
    <w:rsid w:val="00C92C24"/>
    <w:rsid w:val="00C92DAB"/>
    <w:rsid w:val="00C92EBD"/>
    <w:rsid w:val="00C9375D"/>
    <w:rsid w:val="00C93825"/>
    <w:rsid w:val="00C938CC"/>
    <w:rsid w:val="00C939B6"/>
    <w:rsid w:val="00C93BF5"/>
    <w:rsid w:val="00C93D48"/>
    <w:rsid w:val="00C93D93"/>
    <w:rsid w:val="00C93F96"/>
    <w:rsid w:val="00C9423D"/>
    <w:rsid w:val="00C9423F"/>
    <w:rsid w:val="00C944B9"/>
    <w:rsid w:val="00C94511"/>
    <w:rsid w:val="00C94584"/>
    <w:rsid w:val="00C9477D"/>
    <w:rsid w:val="00C94E8E"/>
    <w:rsid w:val="00C94F11"/>
    <w:rsid w:val="00C94F9B"/>
    <w:rsid w:val="00C9524F"/>
    <w:rsid w:val="00C952A1"/>
    <w:rsid w:val="00C95338"/>
    <w:rsid w:val="00C95633"/>
    <w:rsid w:val="00C95B4C"/>
    <w:rsid w:val="00C95CF0"/>
    <w:rsid w:val="00C95D8D"/>
    <w:rsid w:val="00C96349"/>
    <w:rsid w:val="00C9644C"/>
    <w:rsid w:val="00C9687D"/>
    <w:rsid w:val="00C9724F"/>
    <w:rsid w:val="00C9798C"/>
    <w:rsid w:val="00C97A0E"/>
    <w:rsid w:val="00C97A3A"/>
    <w:rsid w:val="00C97F3A"/>
    <w:rsid w:val="00CA011C"/>
    <w:rsid w:val="00CA0EAB"/>
    <w:rsid w:val="00CA10FA"/>
    <w:rsid w:val="00CA15A0"/>
    <w:rsid w:val="00CA1613"/>
    <w:rsid w:val="00CA1A38"/>
    <w:rsid w:val="00CA2238"/>
    <w:rsid w:val="00CA235B"/>
    <w:rsid w:val="00CA2746"/>
    <w:rsid w:val="00CA2A9D"/>
    <w:rsid w:val="00CA2B95"/>
    <w:rsid w:val="00CA2C94"/>
    <w:rsid w:val="00CA3064"/>
    <w:rsid w:val="00CA321D"/>
    <w:rsid w:val="00CA341B"/>
    <w:rsid w:val="00CA3904"/>
    <w:rsid w:val="00CA3922"/>
    <w:rsid w:val="00CA4089"/>
    <w:rsid w:val="00CA45E5"/>
    <w:rsid w:val="00CA472C"/>
    <w:rsid w:val="00CA4B7C"/>
    <w:rsid w:val="00CA4CA7"/>
    <w:rsid w:val="00CA4D23"/>
    <w:rsid w:val="00CA4F3F"/>
    <w:rsid w:val="00CA508D"/>
    <w:rsid w:val="00CA5641"/>
    <w:rsid w:val="00CA578F"/>
    <w:rsid w:val="00CA5AA6"/>
    <w:rsid w:val="00CA5BEA"/>
    <w:rsid w:val="00CA5C8B"/>
    <w:rsid w:val="00CA5EF8"/>
    <w:rsid w:val="00CA60F6"/>
    <w:rsid w:val="00CA6B92"/>
    <w:rsid w:val="00CA6DCB"/>
    <w:rsid w:val="00CA6E04"/>
    <w:rsid w:val="00CA6F28"/>
    <w:rsid w:val="00CA7650"/>
    <w:rsid w:val="00CA7773"/>
    <w:rsid w:val="00CA779E"/>
    <w:rsid w:val="00CA77DB"/>
    <w:rsid w:val="00CA7820"/>
    <w:rsid w:val="00CA7A01"/>
    <w:rsid w:val="00CA7B54"/>
    <w:rsid w:val="00CA7EB4"/>
    <w:rsid w:val="00CB000D"/>
    <w:rsid w:val="00CB002F"/>
    <w:rsid w:val="00CB01E8"/>
    <w:rsid w:val="00CB02EE"/>
    <w:rsid w:val="00CB0799"/>
    <w:rsid w:val="00CB0814"/>
    <w:rsid w:val="00CB0AF8"/>
    <w:rsid w:val="00CB0DC7"/>
    <w:rsid w:val="00CB1391"/>
    <w:rsid w:val="00CB13A4"/>
    <w:rsid w:val="00CB1463"/>
    <w:rsid w:val="00CB1765"/>
    <w:rsid w:val="00CB1856"/>
    <w:rsid w:val="00CB1A5E"/>
    <w:rsid w:val="00CB1B32"/>
    <w:rsid w:val="00CB1D12"/>
    <w:rsid w:val="00CB2CC4"/>
    <w:rsid w:val="00CB2F7D"/>
    <w:rsid w:val="00CB3193"/>
    <w:rsid w:val="00CB33FC"/>
    <w:rsid w:val="00CB3752"/>
    <w:rsid w:val="00CB39B4"/>
    <w:rsid w:val="00CB4623"/>
    <w:rsid w:val="00CB4795"/>
    <w:rsid w:val="00CB4DCE"/>
    <w:rsid w:val="00CB53F4"/>
    <w:rsid w:val="00CB55AD"/>
    <w:rsid w:val="00CB57A9"/>
    <w:rsid w:val="00CB5C75"/>
    <w:rsid w:val="00CB5CD6"/>
    <w:rsid w:val="00CB60DB"/>
    <w:rsid w:val="00CB67A4"/>
    <w:rsid w:val="00CB67FC"/>
    <w:rsid w:val="00CB6B7A"/>
    <w:rsid w:val="00CB6F73"/>
    <w:rsid w:val="00CB7448"/>
    <w:rsid w:val="00CC0119"/>
    <w:rsid w:val="00CC02DD"/>
    <w:rsid w:val="00CC05B3"/>
    <w:rsid w:val="00CC0798"/>
    <w:rsid w:val="00CC091B"/>
    <w:rsid w:val="00CC0D47"/>
    <w:rsid w:val="00CC0FC0"/>
    <w:rsid w:val="00CC14ED"/>
    <w:rsid w:val="00CC15E6"/>
    <w:rsid w:val="00CC1727"/>
    <w:rsid w:val="00CC180D"/>
    <w:rsid w:val="00CC1AB3"/>
    <w:rsid w:val="00CC1AB7"/>
    <w:rsid w:val="00CC213E"/>
    <w:rsid w:val="00CC2337"/>
    <w:rsid w:val="00CC2541"/>
    <w:rsid w:val="00CC2669"/>
    <w:rsid w:val="00CC296E"/>
    <w:rsid w:val="00CC3137"/>
    <w:rsid w:val="00CC3150"/>
    <w:rsid w:val="00CC33CD"/>
    <w:rsid w:val="00CC3436"/>
    <w:rsid w:val="00CC3DAB"/>
    <w:rsid w:val="00CC4075"/>
    <w:rsid w:val="00CC45D9"/>
    <w:rsid w:val="00CC4714"/>
    <w:rsid w:val="00CC482F"/>
    <w:rsid w:val="00CC4928"/>
    <w:rsid w:val="00CC4D7F"/>
    <w:rsid w:val="00CC51D1"/>
    <w:rsid w:val="00CC5205"/>
    <w:rsid w:val="00CC5B63"/>
    <w:rsid w:val="00CC66AA"/>
    <w:rsid w:val="00CC675A"/>
    <w:rsid w:val="00CC6F7D"/>
    <w:rsid w:val="00CC7035"/>
    <w:rsid w:val="00CC71C3"/>
    <w:rsid w:val="00CC75AA"/>
    <w:rsid w:val="00CC7615"/>
    <w:rsid w:val="00CC785C"/>
    <w:rsid w:val="00CD0120"/>
    <w:rsid w:val="00CD0455"/>
    <w:rsid w:val="00CD06A6"/>
    <w:rsid w:val="00CD06FF"/>
    <w:rsid w:val="00CD0912"/>
    <w:rsid w:val="00CD0ADA"/>
    <w:rsid w:val="00CD0D5B"/>
    <w:rsid w:val="00CD0D82"/>
    <w:rsid w:val="00CD12AA"/>
    <w:rsid w:val="00CD12E7"/>
    <w:rsid w:val="00CD1444"/>
    <w:rsid w:val="00CD1B5D"/>
    <w:rsid w:val="00CD1C36"/>
    <w:rsid w:val="00CD1E22"/>
    <w:rsid w:val="00CD2344"/>
    <w:rsid w:val="00CD27A4"/>
    <w:rsid w:val="00CD2800"/>
    <w:rsid w:val="00CD2867"/>
    <w:rsid w:val="00CD2878"/>
    <w:rsid w:val="00CD29AB"/>
    <w:rsid w:val="00CD2F93"/>
    <w:rsid w:val="00CD3092"/>
    <w:rsid w:val="00CD3352"/>
    <w:rsid w:val="00CD3360"/>
    <w:rsid w:val="00CD3685"/>
    <w:rsid w:val="00CD37E9"/>
    <w:rsid w:val="00CD3B73"/>
    <w:rsid w:val="00CD3D4A"/>
    <w:rsid w:val="00CD3D58"/>
    <w:rsid w:val="00CD3F54"/>
    <w:rsid w:val="00CD410B"/>
    <w:rsid w:val="00CD44BA"/>
    <w:rsid w:val="00CD45F7"/>
    <w:rsid w:val="00CD4665"/>
    <w:rsid w:val="00CD4BE9"/>
    <w:rsid w:val="00CD4E9F"/>
    <w:rsid w:val="00CD4F31"/>
    <w:rsid w:val="00CD4F61"/>
    <w:rsid w:val="00CD55BB"/>
    <w:rsid w:val="00CD5717"/>
    <w:rsid w:val="00CD5744"/>
    <w:rsid w:val="00CD5858"/>
    <w:rsid w:val="00CD5C9E"/>
    <w:rsid w:val="00CD5CDB"/>
    <w:rsid w:val="00CD608F"/>
    <w:rsid w:val="00CD6864"/>
    <w:rsid w:val="00CD72FF"/>
    <w:rsid w:val="00CD7317"/>
    <w:rsid w:val="00CD7733"/>
    <w:rsid w:val="00CD7DC4"/>
    <w:rsid w:val="00CE013C"/>
    <w:rsid w:val="00CE029D"/>
    <w:rsid w:val="00CE02A7"/>
    <w:rsid w:val="00CE031B"/>
    <w:rsid w:val="00CE0498"/>
    <w:rsid w:val="00CE0664"/>
    <w:rsid w:val="00CE0BC1"/>
    <w:rsid w:val="00CE0C5D"/>
    <w:rsid w:val="00CE0D8E"/>
    <w:rsid w:val="00CE0EBF"/>
    <w:rsid w:val="00CE0FCB"/>
    <w:rsid w:val="00CE1B18"/>
    <w:rsid w:val="00CE1B31"/>
    <w:rsid w:val="00CE1C2C"/>
    <w:rsid w:val="00CE1C3D"/>
    <w:rsid w:val="00CE3251"/>
    <w:rsid w:val="00CE330A"/>
    <w:rsid w:val="00CE3401"/>
    <w:rsid w:val="00CE3A8B"/>
    <w:rsid w:val="00CE3AD4"/>
    <w:rsid w:val="00CE3FE1"/>
    <w:rsid w:val="00CE4012"/>
    <w:rsid w:val="00CE40F8"/>
    <w:rsid w:val="00CE4C12"/>
    <w:rsid w:val="00CE5066"/>
    <w:rsid w:val="00CE5A09"/>
    <w:rsid w:val="00CE5CBE"/>
    <w:rsid w:val="00CE61A8"/>
    <w:rsid w:val="00CE62AE"/>
    <w:rsid w:val="00CE6419"/>
    <w:rsid w:val="00CE6483"/>
    <w:rsid w:val="00CE66A8"/>
    <w:rsid w:val="00CE68F9"/>
    <w:rsid w:val="00CE694D"/>
    <w:rsid w:val="00CE69B1"/>
    <w:rsid w:val="00CE6F80"/>
    <w:rsid w:val="00CE70DE"/>
    <w:rsid w:val="00CE7CA8"/>
    <w:rsid w:val="00CE7D40"/>
    <w:rsid w:val="00CE7FFD"/>
    <w:rsid w:val="00CF03E7"/>
    <w:rsid w:val="00CF050E"/>
    <w:rsid w:val="00CF07A5"/>
    <w:rsid w:val="00CF07AF"/>
    <w:rsid w:val="00CF0C3B"/>
    <w:rsid w:val="00CF0C73"/>
    <w:rsid w:val="00CF0C8A"/>
    <w:rsid w:val="00CF0EC2"/>
    <w:rsid w:val="00CF0F13"/>
    <w:rsid w:val="00CF1CB2"/>
    <w:rsid w:val="00CF1E35"/>
    <w:rsid w:val="00CF1FCA"/>
    <w:rsid w:val="00CF2028"/>
    <w:rsid w:val="00CF208F"/>
    <w:rsid w:val="00CF2506"/>
    <w:rsid w:val="00CF2571"/>
    <w:rsid w:val="00CF270A"/>
    <w:rsid w:val="00CF2B7F"/>
    <w:rsid w:val="00CF2CC1"/>
    <w:rsid w:val="00CF2E4F"/>
    <w:rsid w:val="00CF32B6"/>
    <w:rsid w:val="00CF3BCC"/>
    <w:rsid w:val="00CF4211"/>
    <w:rsid w:val="00CF42FC"/>
    <w:rsid w:val="00CF43C6"/>
    <w:rsid w:val="00CF4546"/>
    <w:rsid w:val="00CF465B"/>
    <w:rsid w:val="00CF4913"/>
    <w:rsid w:val="00CF4DBA"/>
    <w:rsid w:val="00CF4F9E"/>
    <w:rsid w:val="00CF50C1"/>
    <w:rsid w:val="00CF53F9"/>
    <w:rsid w:val="00CF5504"/>
    <w:rsid w:val="00CF5D90"/>
    <w:rsid w:val="00CF5F69"/>
    <w:rsid w:val="00CF5FF0"/>
    <w:rsid w:val="00CF65C8"/>
    <w:rsid w:val="00CF65EF"/>
    <w:rsid w:val="00CF6CA2"/>
    <w:rsid w:val="00CF6CD3"/>
    <w:rsid w:val="00CF6E67"/>
    <w:rsid w:val="00CF6FE8"/>
    <w:rsid w:val="00CF73CC"/>
    <w:rsid w:val="00CF7525"/>
    <w:rsid w:val="00CF75B4"/>
    <w:rsid w:val="00CF790F"/>
    <w:rsid w:val="00D00718"/>
    <w:rsid w:val="00D00994"/>
    <w:rsid w:val="00D00BE8"/>
    <w:rsid w:val="00D00D48"/>
    <w:rsid w:val="00D00D8D"/>
    <w:rsid w:val="00D00E1B"/>
    <w:rsid w:val="00D00EE6"/>
    <w:rsid w:val="00D0121F"/>
    <w:rsid w:val="00D016E9"/>
    <w:rsid w:val="00D018B0"/>
    <w:rsid w:val="00D01A2F"/>
    <w:rsid w:val="00D01D22"/>
    <w:rsid w:val="00D01E30"/>
    <w:rsid w:val="00D01F34"/>
    <w:rsid w:val="00D01F69"/>
    <w:rsid w:val="00D01FDE"/>
    <w:rsid w:val="00D020DD"/>
    <w:rsid w:val="00D02132"/>
    <w:rsid w:val="00D02216"/>
    <w:rsid w:val="00D023A8"/>
    <w:rsid w:val="00D0247F"/>
    <w:rsid w:val="00D0253C"/>
    <w:rsid w:val="00D0265C"/>
    <w:rsid w:val="00D027FE"/>
    <w:rsid w:val="00D02A49"/>
    <w:rsid w:val="00D02C28"/>
    <w:rsid w:val="00D032AC"/>
    <w:rsid w:val="00D0345F"/>
    <w:rsid w:val="00D03460"/>
    <w:rsid w:val="00D0347C"/>
    <w:rsid w:val="00D0350D"/>
    <w:rsid w:val="00D03622"/>
    <w:rsid w:val="00D03B45"/>
    <w:rsid w:val="00D03F37"/>
    <w:rsid w:val="00D040A1"/>
    <w:rsid w:val="00D04407"/>
    <w:rsid w:val="00D04A79"/>
    <w:rsid w:val="00D0508E"/>
    <w:rsid w:val="00D05319"/>
    <w:rsid w:val="00D05414"/>
    <w:rsid w:val="00D05480"/>
    <w:rsid w:val="00D059B4"/>
    <w:rsid w:val="00D06155"/>
    <w:rsid w:val="00D061DA"/>
    <w:rsid w:val="00D06960"/>
    <w:rsid w:val="00D06B4B"/>
    <w:rsid w:val="00D06B59"/>
    <w:rsid w:val="00D06DBF"/>
    <w:rsid w:val="00D078AE"/>
    <w:rsid w:val="00D07983"/>
    <w:rsid w:val="00D07D84"/>
    <w:rsid w:val="00D07E00"/>
    <w:rsid w:val="00D07E5F"/>
    <w:rsid w:val="00D10039"/>
    <w:rsid w:val="00D101B9"/>
    <w:rsid w:val="00D102D2"/>
    <w:rsid w:val="00D10344"/>
    <w:rsid w:val="00D1055F"/>
    <w:rsid w:val="00D105BE"/>
    <w:rsid w:val="00D1086C"/>
    <w:rsid w:val="00D108C1"/>
    <w:rsid w:val="00D109A8"/>
    <w:rsid w:val="00D10C90"/>
    <w:rsid w:val="00D1132B"/>
    <w:rsid w:val="00D1135E"/>
    <w:rsid w:val="00D11616"/>
    <w:rsid w:val="00D118E7"/>
    <w:rsid w:val="00D11A29"/>
    <w:rsid w:val="00D11E13"/>
    <w:rsid w:val="00D122CD"/>
    <w:rsid w:val="00D12C27"/>
    <w:rsid w:val="00D13093"/>
    <w:rsid w:val="00D13292"/>
    <w:rsid w:val="00D135EB"/>
    <w:rsid w:val="00D137F7"/>
    <w:rsid w:val="00D13A4B"/>
    <w:rsid w:val="00D13C1D"/>
    <w:rsid w:val="00D13E71"/>
    <w:rsid w:val="00D140C8"/>
    <w:rsid w:val="00D14452"/>
    <w:rsid w:val="00D14459"/>
    <w:rsid w:val="00D14505"/>
    <w:rsid w:val="00D145F7"/>
    <w:rsid w:val="00D148A9"/>
    <w:rsid w:val="00D148CC"/>
    <w:rsid w:val="00D149D6"/>
    <w:rsid w:val="00D14B81"/>
    <w:rsid w:val="00D14C20"/>
    <w:rsid w:val="00D14F19"/>
    <w:rsid w:val="00D1530B"/>
    <w:rsid w:val="00D153F0"/>
    <w:rsid w:val="00D15426"/>
    <w:rsid w:val="00D1543D"/>
    <w:rsid w:val="00D15A69"/>
    <w:rsid w:val="00D15A87"/>
    <w:rsid w:val="00D15B48"/>
    <w:rsid w:val="00D15BDA"/>
    <w:rsid w:val="00D15DFE"/>
    <w:rsid w:val="00D165BA"/>
    <w:rsid w:val="00D16AE2"/>
    <w:rsid w:val="00D16D62"/>
    <w:rsid w:val="00D16DE5"/>
    <w:rsid w:val="00D1706E"/>
    <w:rsid w:val="00D172A1"/>
    <w:rsid w:val="00D1758C"/>
    <w:rsid w:val="00D1798D"/>
    <w:rsid w:val="00D17A72"/>
    <w:rsid w:val="00D17B82"/>
    <w:rsid w:val="00D17BA6"/>
    <w:rsid w:val="00D17D60"/>
    <w:rsid w:val="00D184B4"/>
    <w:rsid w:val="00D20017"/>
    <w:rsid w:val="00D202DD"/>
    <w:rsid w:val="00D2060C"/>
    <w:rsid w:val="00D20923"/>
    <w:rsid w:val="00D20C1E"/>
    <w:rsid w:val="00D211C2"/>
    <w:rsid w:val="00D2150E"/>
    <w:rsid w:val="00D2159C"/>
    <w:rsid w:val="00D215F4"/>
    <w:rsid w:val="00D21822"/>
    <w:rsid w:val="00D21845"/>
    <w:rsid w:val="00D219B1"/>
    <w:rsid w:val="00D219B7"/>
    <w:rsid w:val="00D21CCA"/>
    <w:rsid w:val="00D22171"/>
    <w:rsid w:val="00D22666"/>
    <w:rsid w:val="00D22788"/>
    <w:rsid w:val="00D22891"/>
    <w:rsid w:val="00D2301E"/>
    <w:rsid w:val="00D231F8"/>
    <w:rsid w:val="00D2332E"/>
    <w:rsid w:val="00D233C0"/>
    <w:rsid w:val="00D23424"/>
    <w:rsid w:val="00D2406B"/>
    <w:rsid w:val="00D244CD"/>
    <w:rsid w:val="00D245A1"/>
    <w:rsid w:val="00D24737"/>
    <w:rsid w:val="00D248D0"/>
    <w:rsid w:val="00D249CC"/>
    <w:rsid w:val="00D249E7"/>
    <w:rsid w:val="00D24E78"/>
    <w:rsid w:val="00D24E9B"/>
    <w:rsid w:val="00D2504D"/>
    <w:rsid w:val="00D255B7"/>
    <w:rsid w:val="00D257EB"/>
    <w:rsid w:val="00D25C53"/>
    <w:rsid w:val="00D26572"/>
    <w:rsid w:val="00D26913"/>
    <w:rsid w:val="00D27385"/>
    <w:rsid w:val="00D27764"/>
    <w:rsid w:val="00D27C36"/>
    <w:rsid w:val="00D27CE3"/>
    <w:rsid w:val="00D27EC7"/>
    <w:rsid w:val="00D300A3"/>
    <w:rsid w:val="00D30809"/>
    <w:rsid w:val="00D30986"/>
    <w:rsid w:val="00D30F26"/>
    <w:rsid w:val="00D31019"/>
    <w:rsid w:val="00D3185C"/>
    <w:rsid w:val="00D31B07"/>
    <w:rsid w:val="00D31BEA"/>
    <w:rsid w:val="00D31FAF"/>
    <w:rsid w:val="00D323C7"/>
    <w:rsid w:val="00D3261E"/>
    <w:rsid w:val="00D32737"/>
    <w:rsid w:val="00D327C7"/>
    <w:rsid w:val="00D32F72"/>
    <w:rsid w:val="00D32FD2"/>
    <w:rsid w:val="00D335E7"/>
    <w:rsid w:val="00D33600"/>
    <w:rsid w:val="00D33672"/>
    <w:rsid w:val="00D33786"/>
    <w:rsid w:val="00D33862"/>
    <w:rsid w:val="00D3398D"/>
    <w:rsid w:val="00D33CA2"/>
    <w:rsid w:val="00D33D1A"/>
    <w:rsid w:val="00D33E42"/>
    <w:rsid w:val="00D33FDC"/>
    <w:rsid w:val="00D341B2"/>
    <w:rsid w:val="00D342C1"/>
    <w:rsid w:val="00D34550"/>
    <w:rsid w:val="00D346BC"/>
    <w:rsid w:val="00D350A4"/>
    <w:rsid w:val="00D35326"/>
    <w:rsid w:val="00D3566F"/>
    <w:rsid w:val="00D35680"/>
    <w:rsid w:val="00D35855"/>
    <w:rsid w:val="00D358C1"/>
    <w:rsid w:val="00D35938"/>
    <w:rsid w:val="00D35AD3"/>
    <w:rsid w:val="00D35AEE"/>
    <w:rsid w:val="00D35C81"/>
    <w:rsid w:val="00D36065"/>
    <w:rsid w:val="00D36661"/>
    <w:rsid w:val="00D36C09"/>
    <w:rsid w:val="00D36EAE"/>
    <w:rsid w:val="00D3767A"/>
    <w:rsid w:val="00D37754"/>
    <w:rsid w:val="00D377DC"/>
    <w:rsid w:val="00D37F16"/>
    <w:rsid w:val="00D40019"/>
    <w:rsid w:val="00D40141"/>
    <w:rsid w:val="00D403E4"/>
    <w:rsid w:val="00D4048E"/>
    <w:rsid w:val="00D4085B"/>
    <w:rsid w:val="00D408FF"/>
    <w:rsid w:val="00D4093E"/>
    <w:rsid w:val="00D40C2D"/>
    <w:rsid w:val="00D40C35"/>
    <w:rsid w:val="00D40EDF"/>
    <w:rsid w:val="00D411F5"/>
    <w:rsid w:val="00D41530"/>
    <w:rsid w:val="00D41CCD"/>
    <w:rsid w:val="00D41D5E"/>
    <w:rsid w:val="00D41E25"/>
    <w:rsid w:val="00D4249C"/>
    <w:rsid w:val="00D4257E"/>
    <w:rsid w:val="00D42589"/>
    <w:rsid w:val="00D426F0"/>
    <w:rsid w:val="00D42DD1"/>
    <w:rsid w:val="00D42EA4"/>
    <w:rsid w:val="00D431F3"/>
    <w:rsid w:val="00D43350"/>
    <w:rsid w:val="00D4353D"/>
    <w:rsid w:val="00D43612"/>
    <w:rsid w:val="00D43D57"/>
    <w:rsid w:val="00D441EA"/>
    <w:rsid w:val="00D442D5"/>
    <w:rsid w:val="00D4462E"/>
    <w:rsid w:val="00D446A5"/>
    <w:rsid w:val="00D447B0"/>
    <w:rsid w:val="00D4485F"/>
    <w:rsid w:val="00D44956"/>
    <w:rsid w:val="00D44A8E"/>
    <w:rsid w:val="00D45542"/>
    <w:rsid w:val="00D455B8"/>
    <w:rsid w:val="00D45628"/>
    <w:rsid w:val="00D457F6"/>
    <w:rsid w:val="00D45B71"/>
    <w:rsid w:val="00D45D21"/>
    <w:rsid w:val="00D45ECB"/>
    <w:rsid w:val="00D45FA3"/>
    <w:rsid w:val="00D46184"/>
    <w:rsid w:val="00D463FD"/>
    <w:rsid w:val="00D4653B"/>
    <w:rsid w:val="00D467A8"/>
    <w:rsid w:val="00D4684C"/>
    <w:rsid w:val="00D4684E"/>
    <w:rsid w:val="00D46CDA"/>
    <w:rsid w:val="00D472AD"/>
    <w:rsid w:val="00D47445"/>
    <w:rsid w:val="00D47733"/>
    <w:rsid w:val="00D47762"/>
    <w:rsid w:val="00D47A3F"/>
    <w:rsid w:val="00D47D64"/>
    <w:rsid w:val="00D47E49"/>
    <w:rsid w:val="00D47F39"/>
    <w:rsid w:val="00D47F74"/>
    <w:rsid w:val="00D5012B"/>
    <w:rsid w:val="00D50337"/>
    <w:rsid w:val="00D50648"/>
    <w:rsid w:val="00D509E7"/>
    <w:rsid w:val="00D50B93"/>
    <w:rsid w:val="00D50C5B"/>
    <w:rsid w:val="00D50CD9"/>
    <w:rsid w:val="00D50D25"/>
    <w:rsid w:val="00D512BF"/>
    <w:rsid w:val="00D5136C"/>
    <w:rsid w:val="00D51441"/>
    <w:rsid w:val="00D51723"/>
    <w:rsid w:val="00D519DD"/>
    <w:rsid w:val="00D51AC4"/>
    <w:rsid w:val="00D51F40"/>
    <w:rsid w:val="00D5280A"/>
    <w:rsid w:val="00D52944"/>
    <w:rsid w:val="00D52BB8"/>
    <w:rsid w:val="00D5356E"/>
    <w:rsid w:val="00D535DD"/>
    <w:rsid w:val="00D5361C"/>
    <w:rsid w:val="00D536F9"/>
    <w:rsid w:val="00D5378F"/>
    <w:rsid w:val="00D53936"/>
    <w:rsid w:val="00D53AC2"/>
    <w:rsid w:val="00D53E8C"/>
    <w:rsid w:val="00D53F7F"/>
    <w:rsid w:val="00D55176"/>
    <w:rsid w:val="00D5517E"/>
    <w:rsid w:val="00D55375"/>
    <w:rsid w:val="00D559AA"/>
    <w:rsid w:val="00D55A43"/>
    <w:rsid w:val="00D55DB7"/>
    <w:rsid w:val="00D55E04"/>
    <w:rsid w:val="00D5609E"/>
    <w:rsid w:val="00D56786"/>
    <w:rsid w:val="00D569F3"/>
    <w:rsid w:val="00D56A6C"/>
    <w:rsid w:val="00D56AE2"/>
    <w:rsid w:val="00D56C6B"/>
    <w:rsid w:val="00D56C83"/>
    <w:rsid w:val="00D56DC2"/>
    <w:rsid w:val="00D57378"/>
    <w:rsid w:val="00D57396"/>
    <w:rsid w:val="00D574B8"/>
    <w:rsid w:val="00D574CE"/>
    <w:rsid w:val="00D5758E"/>
    <w:rsid w:val="00D57848"/>
    <w:rsid w:val="00D57A6C"/>
    <w:rsid w:val="00D6005A"/>
    <w:rsid w:val="00D603C9"/>
    <w:rsid w:val="00D6069E"/>
    <w:rsid w:val="00D60D19"/>
    <w:rsid w:val="00D60D5B"/>
    <w:rsid w:val="00D611D0"/>
    <w:rsid w:val="00D615D7"/>
    <w:rsid w:val="00D6163A"/>
    <w:rsid w:val="00D61689"/>
    <w:rsid w:val="00D61726"/>
    <w:rsid w:val="00D617EA"/>
    <w:rsid w:val="00D61999"/>
    <w:rsid w:val="00D61B07"/>
    <w:rsid w:val="00D61D29"/>
    <w:rsid w:val="00D62091"/>
    <w:rsid w:val="00D62420"/>
    <w:rsid w:val="00D6259A"/>
    <w:rsid w:val="00D6268D"/>
    <w:rsid w:val="00D626B4"/>
    <w:rsid w:val="00D62D33"/>
    <w:rsid w:val="00D62EF0"/>
    <w:rsid w:val="00D6303C"/>
    <w:rsid w:val="00D631BE"/>
    <w:rsid w:val="00D6333D"/>
    <w:rsid w:val="00D640FA"/>
    <w:rsid w:val="00D6428A"/>
    <w:rsid w:val="00D64745"/>
    <w:rsid w:val="00D64D34"/>
    <w:rsid w:val="00D64E95"/>
    <w:rsid w:val="00D65114"/>
    <w:rsid w:val="00D65297"/>
    <w:rsid w:val="00D654C4"/>
    <w:rsid w:val="00D65689"/>
    <w:rsid w:val="00D65748"/>
    <w:rsid w:val="00D660DE"/>
    <w:rsid w:val="00D66464"/>
    <w:rsid w:val="00D669B1"/>
    <w:rsid w:val="00D66B97"/>
    <w:rsid w:val="00D66BA8"/>
    <w:rsid w:val="00D66F70"/>
    <w:rsid w:val="00D67030"/>
    <w:rsid w:val="00D6708D"/>
    <w:rsid w:val="00D672E5"/>
    <w:rsid w:val="00D677DB"/>
    <w:rsid w:val="00D67D60"/>
    <w:rsid w:val="00D70101"/>
    <w:rsid w:val="00D702B8"/>
    <w:rsid w:val="00D70B66"/>
    <w:rsid w:val="00D70CE0"/>
    <w:rsid w:val="00D70D2F"/>
    <w:rsid w:val="00D70D92"/>
    <w:rsid w:val="00D710FB"/>
    <w:rsid w:val="00D715DA"/>
    <w:rsid w:val="00D716BE"/>
    <w:rsid w:val="00D716C9"/>
    <w:rsid w:val="00D71B16"/>
    <w:rsid w:val="00D71D21"/>
    <w:rsid w:val="00D71E2B"/>
    <w:rsid w:val="00D71E69"/>
    <w:rsid w:val="00D71EF6"/>
    <w:rsid w:val="00D71FFB"/>
    <w:rsid w:val="00D723EE"/>
    <w:rsid w:val="00D72869"/>
    <w:rsid w:val="00D72D4D"/>
    <w:rsid w:val="00D73139"/>
    <w:rsid w:val="00D7317B"/>
    <w:rsid w:val="00D7318F"/>
    <w:rsid w:val="00D731C3"/>
    <w:rsid w:val="00D7368B"/>
    <w:rsid w:val="00D73CA0"/>
    <w:rsid w:val="00D73D9C"/>
    <w:rsid w:val="00D74092"/>
    <w:rsid w:val="00D7424C"/>
    <w:rsid w:val="00D74900"/>
    <w:rsid w:val="00D74AE0"/>
    <w:rsid w:val="00D74D0A"/>
    <w:rsid w:val="00D74E4D"/>
    <w:rsid w:val="00D74FF1"/>
    <w:rsid w:val="00D75047"/>
    <w:rsid w:val="00D750B6"/>
    <w:rsid w:val="00D7541C"/>
    <w:rsid w:val="00D75532"/>
    <w:rsid w:val="00D75792"/>
    <w:rsid w:val="00D75CDD"/>
    <w:rsid w:val="00D75FA4"/>
    <w:rsid w:val="00D75FBB"/>
    <w:rsid w:val="00D760E0"/>
    <w:rsid w:val="00D762E7"/>
    <w:rsid w:val="00D76481"/>
    <w:rsid w:val="00D7704E"/>
    <w:rsid w:val="00D77E47"/>
    <w:rsid w:val="00D77E55"/>
    <w:rsid w:val="00D77F26"/>
    <w:rsid w:val="00D80265"/>
    <w:rsid w:val="00D8026C"/>
    <w:rsid w:val="00D8034A"/>
    <w:rsid w:val="00D80FC1"/>
    <w:rsid w:val="00D814B0"/>
    <w:rsid w:val="00D8163F"/>
    <w:rsid w:val="00D816A6"/>
    <w:rsid w:val="00D816DB"/>
    <w:rsid w:val="00D819B9"/>
    <w:rsid w:val="00D81CD7"/>
    <w:rsid w:val="00D81F40"/>
    <w:rsid w:val="00D82292"/>
    <w:rsid w:val="00D822C8"/>
    <w:rsid w:val="00D8242A"/>
    <w:rsid w:val="00D8263F"/>
    <w:rsid w:val="00D826F8"/>
    <w:rsid w:val="00D828A8"/>
    <w:rsid w:val="00D82AE1"/>
    <w:rsid w:val="00D83192"/>
    <w:rsid w:val="00D831FC"/>
    <w:rsid w:val="00D837B9"/>
    <w:rsid w:val="00D83A31"/>
    <w:rsid w:val="00D83B86"/>
    <w:rsid w:val="00D841DB"/>
    <w:rsid w:val="00D84AA0"/>
    <w:rsid w:val="00D84C55"/>
    <w:rsid w:val="00D84C84"/>
    <w:rsid w:val="00D84D9D"/>
    <w:rsid w:val="00D84F83"/>
    <w:rsid w:val="00D85188"/>
    <w:rsid w:val="00D85778"/>
    <w:rsid w:val="00D8594F"/>
    <w:rsid w:val="00D85A90"/>
    <w:rsid w:val="00D860BB"/>
    <w:rsid w:val="00D861DB"/>
    <w:rsid w:val="00D861E2"/>
    <w:rsid w:val="00D86601"/>
    <w:rsid w:val="00D8684F"/>
    <w:rsid w:val="00D86990"/>
    <w:rsid w:val="00D86C47"/>
    <w:rsid w:val="00D86D8B"/>
    <w:rsid w:val="00D8761C"/>
    <w:rsid w:val="00D87799"/>
    <w:rsid w:val="00D87915"/>
    <w:rsid w:val="00D87BB5"/>
    <w:rsid w:val="00D90226"/>
    <w:rsid w:val="00D902BA"/>
    <w:rsid w:val="00D90345"/>
    <w:rsid w:val="00D9064F"/>
    <w:rsid w:val="00D9098A"/>
    <w:rsid w:val="00D90D9F"/>
    <w:rsid w:val="00D90FF5"/>
    <w:rsid w:val="00D91135"/>
    <w:rsid w:val="00D9160C"/>
    <w:rsid w:val="00D919DB"/>
    <w:rsid w:val="00D919F9"/>
    <w:rsid w:val="00D91E1D"/>
    <w:rsid w:val="00D92413"/>
    <w:rsid w:val="00D924B2"/>
    <w:rsid w:val="00D92597"/>
    <w:rsid w:val="00D925DD"/>
    <w:rsid w:val="00D92D60"/>
    <w:rsid w:val="00D939C5"/>
    <w:rsid w:val="00D93FA6"/>
    <w:rsid w:val="00D9406D"/>
    <w:rsid w:val="00D94596"/>
    <w:rsid w:val="00D94698"/>
    <w:rsid w:val="00D947A7"/>
    <w:rsid w:val="00D94CBF"/>
    <w:rsid w:val="00D95389"/>
    <w:rsid w:val="00D9546D"/>
    <w:rsid w:val="00D959F6"/>
    <w:rsid w:val="00D95D3A"/>
    <w:rsid w:val="00D96363"/>
    <w:rsid w:val="00D96877"/>
    <w:rsid w:val="00D968C5"/>
    <w:rsid w:val="00D9699A"/>
    <w:rsid w:val="00D96D2E"/>
    <w:rsid w:val="00D96E6C"/>
    <w:rsid w:val="00D96F66"/>
    <w:rsid w:val="00D97616"/>
    <w:rsid w:val="00D97C5E"/>
    <w:rsid w:val="00D97D2B"/>
    <w:rsid w:val="00D97D32"/>
    <w:rsid w:val="00DA00C1"/>
    <w:rsid w:val="00DA01C2"/>
    <w:rsid w:val="00DA0286"/>
    <w:rsid w:val="00DA04B6"/>
    <w:rsid w:val="00DA050F"/>
    <w:rsid w:val="00DA0745"/>
    <w:rsid w:val="00DA0819"/>
    <w:rsid w:val="00DA09D7"/>
    <w:rsid w:val="00DA0BD6"/>
    <w:rsid w:val="00DA0CD8"/>
    <w:rsid w:val="00DA0D6E"/>
    <w:rsid w:val="00DA1125"/>
    <w:rsid w:val="00DA1137"/>
    <w:rsid w:val="00DA149B"/>
    <w:rsid w:val="00DA179A"/>
    <w:rsid w:val="00DA1F88"/>
    <w:rsid w:val="00DA2092"/>
    <w:rsid w:val="00DA21AD"/>
    <w:rsid w:val="00DA2371"/>
    <w:rsid w:val="00DA282E"/>
    <w:rsid w:val="00DA29D8"/>
    <w:rsid w:val="00DA2C16"/>
    <w:rsid w:val="00DA2CC1"/>
    <w:rsid w:val="00DA2F3F"/>
    <w:rsid w:val="00DA328C"/>
    <w:rsid w:val="00DA32E0"/>
    <w:rsid w:val="00DA35B9"/>
    <w:rsid w:val="00DA3914"/>
    <w:rsid w:val="00DA3B43"/>
    <w:rsid w:val="00DA3EF5"/>
    <w:rsid w:val="00DA405D"/>
    <w:rsid w:val="00DA43A0"/>
    <w:rsid w:val="00DA45CA"/>
    <w:rsid w:val="00DA4836"/>
    <w:rsid w:val="00DA4CBB"/>
    <w:rsid w:val="00DA5318"/>
    <w:rsid w:val="00DA542C"/>
    <w:rsid w:val="00DA59EE"/>
    <w:rsid w:val="00DA5B3D"/>
    <w:rsid w:val="00DA5CD6"/>
    <w:rsid w:val="00DA5F97"/>
    <w:rsid w:val="00DA611F"/>
    <w:rsid w:val="00DA6898"/>
    <w:rsid w:val="00DA6C27"/>
    <w:rsid w:val="00DA6E13"/>
    <w:rsid w:val="00DA710D"/>
    <w:rsid w:val="00DA77AD"/>
    <w:rsid w:val="00DA7845"/>
    <w:rsid w:val="00DA7940"/>
    <w:rsid w:val="00DA7A0B"/>
    <w:rsid w:val="00DA7C0F"/>
    <w:rsid w:val="00DB000F"/>
    <w:rsid w:val="00DB07B7"/>
    <w:rsid w:val="00DB0C53"/>
    <w:rsid w:val="00DB136F"/>
    <w:rsid w:val="00DB1BC4"/>
    <w:rsid w:val="00DB1D04"/>
    <w:rsid w:val="00DB2549"/>
    <w:rsid w:val="00DB26EE"/>
    <w:rsid w:val="00DB27B6"/>
    <w:rsid w:val="00DB2839"/>
    <w:rsid w:val="00DB2A2E"/>
    <w:rsid w:val="00DB2DDE"/>
    <w:rsid w:val="00DB33B6"/>
    <w:rsid w:val="00DB3412"/>
    <w:rsid w:val="00DB3A62"/>
    <w:rsid w:val="00DB3C57"/>
    <w:rsid w:val="00DB3CF9"/>
    <w:rsid w:val="00DB3E32"/>
    <w:rsid w:val="00DB3E64"/>
    <w:rsid w:val="00DB3FEC"/>
    <w:rsid w:val="00DB45FE"/>
    <w:rsid w:val="00DB4C1F"/>
    <w:rsid w:val="00DB4EA9"/>
    <w:rsid w:val="00DB50F3"/>
    <w:rsid w:val="00DB543F"/>
    <w:rsid w:val="00DB54DB"/>
    <w:rsid w:val="00DB57F0"/>
    <w:rsid w:val="00DB5B1B"/>
    <w:rsid w:val="00DB5D76"/>
    <w:rsid w:val="00DB5FEF"/>
    <w:rsid w:val="00DB5FF1"/>
    <w:rsid w:val="00DB6015"/>
    <w:rsid w:val="00DB640D"/>
    <w:rsid w:val="00DB6473"/>
    <w:rsid w:val="00DB6598"/>
    <w:rsid w:val="00DB6951"/>
    <w:rsid w:val="00DB6CE3"/>
    <w:rsid w:val="00DB6E79"/>
    <w:rsid w:val="00DB702E"/>
    <w:rsid w:val="00DB70D8"/>
    <w:rsid w:val="00DB7218"/>
    <w:rsid w:val="00DB7472"/>
    <w:rsid w:val="00DB74F0"/>
    <w:rsid w:val="00DB7653"/>
    <w:rsid w:val="00DB775C"/>
    <w:rsid w:val="00DB78BF"/>
    <w:rsid w:val="00DB7AD3"/>
    <w:rsid w:val="00DB7ED0"/>
    <w:rsid w:val="00DB7EEC"/>
    <w:rsid w:val="00DC035A"/>
    <w:rsid w:val="00DC09C3"/>
    <w:rsid w:val="00DC12EF"/>
    <w:rsid w:val="00DC18C1"/>
    <w:rsid w:val="00DC19D5"/>
    <w:rsid w:val="00DC1AA5"/>
    <w:rsid w:val="00DC1AEE"/>
    <w:rsid w:val="00DC1BCB"/>
    <w:rsid w:val="00DC1C11"/>
    <w:rsid w:val="00DC1D18"/>
    <w:rsid w:val="00DC1E00"/>
    <w:rsid w:val="00DC1E40"/>
    <w:rsid w:val="00DC1FC6"/>
    <w:rsid w:val="00DC2063"/>
    <w:rsid w:val="00DC21FE"/>
    <w:rsid w:val="00DC2455"/>
    <w:rsid w:val="00DC2535"/>
    <w:rsid w:val="00DC25D7"/>
    <w:rsid w:val="00DC298A"/>
    <w:rsid w:val="00DC2BC7"/>
    <w:rsid w:val="00DC2D5A"/>
    <w:rsid w:val="00DC2FB0"/>
    <w:rsid w:val="00DC31F4"/>
    <w:rsid w:val="00DC32E9"/>
    <w:rsid w:val="00DC368D"/>
    <w:rsid w:val="00DC36A5"/>
    <w:rsid w:val="00DC39C5"/>
    <w:rsid w:val="00DC3AE6"/>
    <w:rsid w:val="00DC3D4E"/>
    <w:rsid w:val="00DC3E71"/>
    <w:rsid w:val="00DC45FD"/>
    <w:rsid w:val="00DC4AEA"/>
    <w:rsid w:val="00DC4D16"/>
    <w:rsid w:val="00DC4D62"/>
    <w:rsid w:val="00DC4DC3"/>
    <w:rsid w:val="00DC5319"/>
    <w:rsid w:val="00DC5457"/>
    <w:rsid w:val="00DC5899"/>
    <w:rsid w:val="00DC59CC"/>
    <w:rsid w:val="00DC5CBF"/>
    <w:rsid w:val="00DC5E0B"/>
    <w:rsid w:val="00DC610F"/>
    <w:rsid w:val="00DC623F"/>
    <w:rsid w:val="00DC62AF"/>
    <w:rsid w:val="00DC6464"/>
    <w:rsid w:val="00DC64EF"/>
    <w:rsid w:val="00DC6605"/>
    <w:rsid w:val="00DC6775"/>
    <w:rsid w:val="00DC6FFB"/>
    <w:rsid w:val="00DC71E3"/>
    <w:rsid w:val="00DC7385"/>
    <w:rsid w:val="00DC7D40"/>
    <w:rsid w:val="00DD02CF"/>
    <w:rsid w:val="00DD0385"/>
    <w:rsid w:val="00DD0553"/>
    <w:rsid w:val="00DD070D"/>
    <w:rsid w:val="00DD0905"/>
    <w:rsid w:val="00DD0DB6"/>
    <w:rsid w:val="00DD0FC7"/>
    <w:rsid w:val="00DD105A"/>
    <w:rsid w:val="00DD1172"/>
    <w:rsid w:val="00DD123C"/>
    <w:rsid w:val="00DD1506"/>
    <w:rsid w:val="00DD1BD4"/>
    <w:rsid w:val="00DD1DF2"/>
    <w:rsid w:val="00DD1E20"/>
    <w:rsid w:val="00DD20BB"/>
    <w:rsid w:val="00DD213E"/>
    <w:rsid w:val="00DD2188"/>
    <w:rsid w:val="00DD298E"/>
    <w:rsid w:val="00DD3452"/>
    <w:rsid w:val="00DD371C"/>
    <w:rsid w:val="00DD3849"/>
    <w:rsid w:val="00DD3C1A"/>
    <w:rsid w:val="00DD3C74"/>
    <w:rsid w:val="00DD3DB9"/>
    <w:rsid w:val="00DD424F"/>
    <w:rsid w:val="00DD48B8"/>
    <w:rsid w:val="00DD4AD7"/>
    <w:rsid w:val="00DD4CFB"/>
    <w:rsid w:val="00DD4D58"/>
    <w:rsid w:val="00DD568A"/>
    <w:rsid w:val="00DD579C"/>
    <w:rsid w:val="00DD5810"/>
    <w:rsid w:val="00DD599D"/>
    <w:rsid w:val="00DD5CE6"/>
    <w:rsid w:val="00DD5E79"/>
    <w:rsid w:val="00DD6006"/>
    <w:rsid w:val="00DD618B"/>
    <w:rsid w:val="00DD65DA"/>
    <w:rsid w:val="00DD6670"/>
    <w:rsid w:val="00DD682F"/>
    <w:rsid w:val="00DD684A"/>
    <w:rsid w:val="00DD6A03"/>
    <w:rsid w:val="00DD6BE7"/>
    <w:rsid w:val="00DD708F"/>
    <w:rsid w:val="00DD70AB"/>
    <w:rsid w:val="00DD7C20"/>
    <w:rsid w:val="00DD7C42"/>
    <w:rsid w:val="00DD7CB6"/>
    <w:rsid w:val="00DE0072"/>
    <w:rsid w:val="00DE04E5"/>
    <w:rsid w:val="00DE0602"/>
    <w:rsid w:val="00DE0B5D"/>
    <w:rsid w:val="00DE0BB5"/>
    <w:rsid w:val="00DE12A9"/>
    <w:rsid w:val="00DE1CBF"/>
    <w:rsid w:val="00DE1DEF"/>
    <w:rsid w:val="00DE1E46"/>
    <w:rsid w:val="00DE2468"/>
    <w:rsid w:val="00DE2C3C"/>
    <w:rsid w:val="00DE325C"/>
    <w:rsid w:val="00DE3326"/>
    <w:rsid w:val="00DE3615"/>
    <w:rsid w:val="00DE3670"/>
    <w:rsid w:val="00DE3E55"/>
    <w:rsid w:val="00DE41B6"/>
    <w:rsid w:val="00DE42F4"/>
    <w:rsid w:val="00DE4550"/>
    <w:rsid w:val="00DE456F"/>
    <w:rsid w:val="00DE461B"/>
    <w:rsid w:val="00DE4787"/>
    <w:rsid w:val="00DE494E"/>
    <w:rsid w:val="00DE4F60"/>
    <w:rsid w:val="00DE5086"/>
    <w:rsid w:val="00DE5088"/>
    <w:rsid w:val="00DE515A"/>
    <w:rsid w:val="00DE5431"/>
    <w:rsid w:val="00DE55A6"/>
    <w:rsid w:val="00DE55D7"/>
    <w:rsid w:val="00DE566B"/>
    <w:rsid w:val="00DE566E"/>
    <w:rsid w:val="00DE568C"/>
    <w:rsid w:val="00DE57ED"/>
    <w:rsid w:val="00DE5BBE"/>
    <w:rsid w:val="00DE5C85"/>
    <w:rsid w:val="00DE6290"/>
    <w:rsid w:val="00DE63E2"/>
    <w:rsid w:val="00DE63E6"/>
    <w:rsid w:val="00DE670A"/>
    <w:rsid w:val="00DE6C7F"/>
    <w:rsid w:val="00DE7367"/>
    <w:rsid w:val="00DE7426"/>
    <w:rsid w:val="00DE7843"/>
    <w:rsid w:val="00DE7A9B"/>
    <w:rsid w:val="00DE7D94"/>
    <w:rsid w:val="00DE7F90"/>
    <w:rsid w:val="00DF0393"/>
    <w:rsid w:val="00DF0FAA"/>
    <w:rsid w:val="00DF1032"/>
    <w:rsid w:val="00DF13FB"/>
    <w:rsid w:val="00DF1754"/>
    <w:rsid w:val="00DF1E0B"/>
    <w:rsid w:val="00DF1E83"/>
    <w:rsid w:val="00DF1EA1"/>
    <w:rsid w:val="00DF2084"/>
    <w:rsid w:val="00DF20F3"/>
    <w:rsid w:val="00DF26AE"/>
    <w:rsid w:val="00DF273F"/>
    <w:rsid w:val="00DF3106"/>
    <w:rsid w:val="00DF348C"/>
    <w:rsid w:val="00DF3743"/>
    <w:rsid w:val="00DF3B3E"/>
    <w:rsid w:val="00DF3C5A"/>
    <w:rsid w:val="00DF3C75"/>
    <w:rsid w:val="00DF3F78"/>
    <w:rsid w:val="00DF3FDD"/>
    <w:rsid w:val="00DF403D"/>
    <w:rsid w:val="00DF4701"/>
    <w:rsid w:val="00DF4A33"/>
    <w:rsid w:val="00DF4D3E"/>
    <w:rsid w:val="00DF53EF"/>
    <w:rsid w:val="00DF54BC"/>
    <w:rsid w:val="00DF593D"/>
    <w:rsid w:val="00DF59D0"/>
    <w:rsid w:val="00DF5AA3"/>
    <w:rsid w:val="00DF5FA8"/>
    <w:rsid w:val="00DF640E"/>
    <w:rsid w:val="00DF6443"/>
    <w:rsid w:val="00DF6479"/>
    <w:rsid w:val="00DF6764"/>
    <w:rsid w:val="00DF6891"/>
    <w:rsid w:val="00DF6B90"/>
    <w:rsid w:val="00DF6D71"/>
    <w:rsid w:val="00DF6E79"/>
    <w:rsid w:val="00DF7208"/>
    <w:rsid w:val="00DF741A"/>
    <w:rsid w:val="00DF75CD"/>
    <w:rsid w:val="00E00027"/>
    <w:rsid w:val="00E00401"/>
    <w:rsid w:val="00E010D6"/>
    <w:rsid w:val="00E01588"/>
    <w:rsid w:val="00E015EB"/>
    <w:rsid w:val="00E01625"/>
    <w:rsid w:val="00E016C1"/>
    <w:rsid w:val="00E0180D"/>
    <w:rsid w:val="00E01B96"/>
    <w:rsid w:val="00E01C98"/>
    <w:rsid w:val="00E01D23"/>
    <w:rsid w:val="00E02146"/>
    <w:rsid w:val="00E021FB"/>
    <w:rsid w:val="00E022C7"/>
    <w:rsid w:val="00E024E2"/>
    <w:rsid w:val="00E0288E"/>
    <w:rsid w:val="00E0319F"/>
    <w:rsid w:val="00E03468"/>
    <w:rsid w:val="00E0369C"/>
    <w:rsid w:val="00E03C43"/>
    <w:rsid w:val="00E0442A"/>
    <w:rsid w:val="00E047D1"/>
    <w:rsid w:val="00E055AE"/>
    <w:rsid w:val="00E055BA"/>
    <w:rsid w:val="00E055D5"/>
    <w:rsid w:val="00E0573B"/>
    <w:rsid w:val="00E0598E"/>
    <w:rsid w:val="00E059A8"/>
    <w:rsid w:val="00E05A36"/>
    <w:rsid w:val="00E05CA2"/>
    <w:rsid w:val="00E05D64"/>
    <w:rsid w:val="00E062BD"/>
    <w:rsid w:val="00E062FC"/>
    <w:rsid w:val="00E068D1"/>
    <w:rsid w:val="00E06C4D"/>
    <w:rsid w:val="00E07827"/>
    <w:rsid w:val="00E07859"/>
    <w:rsid w:val="00E07CC8"/>
    <w:rsid w:val="00E07F7A"/>
    <w:rsid w:val="00E1037E"/>
    <w:rsid w:val="00E10C28"/>
    <w:rsid w:val="00E1109B"/>
    <w:rsid w:val="00E111C5"/>
    <w:rsid w:val="00E11368"/>
    <w:rsid w:val="00E11728"/>
    <w:rsid w:val="00E11EDB"/>
    <w:rsid w:val="00E121A5"/>
    <w:rsid w:val="00E121FE"/>
    <w:rsid w:val="00E12685"/>
    <w:rsid w:val="00E12786"/>
    <w:rsid w:val="00E1279C"/>
    <w:rsid w:val="00E12B5C"/>
    <w:rsid w:val="00E12E01"/>
    <w:rsid w:val="00E13084"/>
    <w:rsid w:val="00E13336"/>
    <w:rsid w:val="00E13396"/>
    <w:rsid w:val="00E135BF"/>
    <w:rsid w:val="00E138CC"/>
    <w:rsid w:val="00E13A1A"/>
    <w:rsid w:val="00E13C57"/>
    <w:rsid w:val="00E13CBE"/>
    <w:rsid w:val="00E13D5F"/>
    <w:rsid w:val="00E14255"/>
    <w:rsid w:val="00E142B6"/>
    <w:rsid w:val="00E142D1"/>
    <w:rsid w:val="00E14579"/>
    <w:rsid w:val="00E14B3C"/>
    <w:rsid w:val="00E152D6"/>
    <w:rsid w:val="00E157DF"/>
    <w:rsid w:val="00E159AC"/>
    <w:rsid w:val="00E15A20"/>
    <w:rsid w:val="00E15B75"/>
    <w:rsid w:val="00E15CB8"/>
    <w:rsid w:val="00E16395"/>
    <w:rsid w:val="00E16428"/>
    <w:rsid w:val="00E165AA"/>
    <w:rsid w:val="00E167A4"/>
    <w:rsid w:val="00E168B3"/>
    <w:rsid w:val="00E16986"/>
    <w:rsid w:val="00E16FA3"/>
    <w:rsid w:val="00E17013"/>
    <w:rsid w:val="00E1748D"/>
    <w:rsid w:val="00E17532"/>
    <w:rsid w:val="00E176A5"/>
    <w:rsid w:val="00E176B7"/>
    <w:rsid w:val="00E17C3F"/>
    <w:rsid w:val="00E17F25"/>
    <w:rsid w:val="00E17FAF"/>
    <w:rsid w:val="00E204C8"/>
    <w:rsid w:val="00E20E4F"/>
    <w:rsid w:val="00E211B9"/>
    <w:rsid w:val="00E215CD"/>
    <w:rsid w:val="00E216CF"/>
    <w:rsid w:val="00E21857"/>
    <w:rsid w:val="00E21886"/>
    <w:rsid w:val="00E21A60"/>
    <w:rsid w:val="00E21B9B"/>
    <w:rsid w:val="00E22403"/>
    <w:rsid w:val="00E225A7"/>
    <w:rsid w:val="00E2266A"/>
    <w:rsid w:val="00E22ACA"/>
    <w:rsid w:val="00E22B20"/>
    <w:rsid w:val="00E22EF6"/>
    <w:rsid w:val="00E23152"/>
    <w:rsid w:val="00E2354A"/>
    <w:rsid w:val="00E2355E"/>
    <w:rsid w:val="00E237AF"/>
    <w:rsid w:val="00E2396A"/>
    <w:rsid w:val="00E23B00"/>
    <w:rsid w:val="00E23B80"/>
    <w:rsid w:val="00E23BD0"/>
    <w:rsid w:val="00E23C51"/>
    <w:rsid w:val="00E23E6E"/>
    <w:rsid w:val="00E23F0A"/>
    <w:rsid w:val="00E2426A"/>
    <w:rsid w:val="00E24392"/>
    <w:rsid w:val="00E2464C"/>
    <w:rsid w:val="00E2469F"/>
    <w:rsid w:val="00E247BC"/>
    <w:rsid w:val="00E24CD1"/>
    <w:rsid w:val="00E24E0B"/>
    <w:rsid w:val="00E24F97"/>
    <w:rsid w:val="00E25691"/>
    <w:rsid w:val="00E25694"/>
    <w:rsid w:val="00E25727"/>
    <w:rsid w:val="00E2577E"/>
    <w:rsid w:val="00E257A1"/>
    <w:rsid w:val="00E258CC"/>
    <w:rsid w:val="00E259C9"/>
    <w:rsid w:val="00E25BF9"/>
    <w:rsid w:val="00E25F2E"/>
    <w:rsid w:val="00E25FD1"/>
    <w:rsid w:val="00E25FD3"/>
    <w:rsid w:val="00E2605D"/>
    <w:rsid w:val="00E262CD"/>
    <w:rsid w:val="00E26398"/>
    <w:rsid w:val="00E266BC"/>
    <w:rsid w:val="00E267AA"/>
    <w:rsid w:val="00E26805"/>
    <w:rsid w:val="00E26E05"/>
    <w:rsid w:val="00E26EE0"/>
    <w:rsid w:val="00E270FE"/>
    <w:rsid w:val="00E27286"/>
    <w:rsid w:val="00E273BF"/>
    <w:rsid w:val="00E278A0"/>
    <w:rsid w:val="00E27B0E"/>
    <w:rsid w:val="00E27F9A"/>
    <w:rsid w:val="00E27FD6"/>
    <w:rsid w:val="00E301D7"/>
    <w:rsid w:val="00E302BD"/>
    <w:rsid w:val="00E3045B"/>
    <w:rsid w:val="00E30588"/>
    <w:rsid w:val="00E30BF3"/>
    <w:rsid w:val="00E30E55"/>
    <w:rsid w:val="00E314BD"/>
    <w:rsid w:val="00E314C9"/>
    <w:rsid w:val="00E31620"/>
    <w:rsid w:val="00E3179F"/>
    <w:rsid w:val="00E31C64"/>
    <w:rsid w:val="00E31D11"/>
    <w:rsid w:val="00E31FD7"/>
    <w:rsid w:val="00E3228D"/>
    <w:rsid w:val="00E3260E"/>
    <w:rsid w:val="00E32936"/>
    <w:rsid w:val="00E3298E"/>
    <w:rsid w:val="00E32AF4"/>
    <w:rsid w:val="00E32B6F"/>
    <w:rsid w:val="00E32DF9"/>
    <w:rsid w:val="00E33BB6"/>
    <w:rsid w:val="00E33F4A"/>
    <w:rsid w:val="00E34384"/>
    <w:rsid w:val="00E343C1"/>
    <w:rsid w:val="00E346AD"/>
    <w:rsid w:val="00E346B3"/>
    <w:rsid w:val="00E3492F"/>
    <w:rsid w:val="00E34B21"/>
    <w:rsid w:val="00E34B50"/>
    <w:rsid w:val="00E34B6E"/>
    <w:rsid w:val="00E34BB2"/>
    <w:rsid w:val="00E34BE7"/>
    <w:rsid w:val="00E34C9F"/>
    <w:rsid w:val="00E34E9C"/>
    <w:rsid w:val="00E35115"/>
    <w:rsid w:val="00E3537D"/>
    <w:rsid w:val="00E35827"/>
    <w:rsid w:val="00E35F67"/>
    <w:rsid w:val="00E36069"/>
    <w:rsid w:val="00E361DB"/>
    <w:rsid w:val="00E36388"/>
    <w:rsid w:val="00E36784"/>
    <w:rsid w:val="00E368E5"/>
    <w:rsid w:val="00E36BAC"/>
    <w:rsid w:val="00E36C98"/>
    <w:rsid w:val="00E36EB8"/>
    <w:rsid w:val="00E37C08"/>
    <w:rsid w:val="00E37F06"/>
    <w:rsid w:val="00E40756"/>
    <w:rsid w:val="00E40E79"/>
    <w:rsid w:val="00E41438"/>
    <w:rsid w:val="00E41772"/>
    <w:rsid w:val="00E41975"/>
    <w:rsid w:val="00E42097"/>
    <w:rsid w:val="00E42B9E"/>
    <w:rsid w:val="00E42BA9"/>
    <w:rsid w:val="00E42C3D"/>
    <w:rsid w:val="00E42D10"/>
    <w:rsid w:val="00E43355"/>
    <w:rsid w:val="00E433D6"/>
    <w:rsid w:val="00E4389E"/>
    <w:rsid w:val="00E43E5D"/>
    <w:rsid w:val="00E43F25"/>
    <w:rsid w:val="00E440A4"/>
    <w:rsid w:val="00E44332"/>
    <w:rsid w:val="00E443A9"/>
    <w:rsid w:val="00E447D3"/>
    <w:rsid w:val="00E44901"/>
    <w:rsid w:val="00E449C7"/>
    <w:rsid w:val="00E44D26"/>
    <w:rsid w:val="00E4557A"/>
    <w:rsid w:val="00E455B1"/>
    <w:rsid w:val="00E459BB"/>
    <w:rsid w:val="00E45A39"/>
    <w:rsid w:val="00E45CCF"/>
    <w:rsid w:val="00E45CED"/>
    <w:rsid w:val="00E45CFB"/>
    <w:rsid w:val="00E45DDB"/>
    <w:rsid w:val="00E45EC2"/>
    <w:rsid w:val="00E460FB"/>
    <w:rsid w:val="00E467EF"/>
    <w:rsid w:val="00E46AC6"/>
    <w:rsid w:val="00E46B2A"/>
    <w:rsid w:val="00E471D2"/>
    <w:rsid w:val="00E472A1"/>
    <w:rsid w:val="00E472F8"/>
    <w:rsid w:val="00E47BBC"/>
    <w:rsid w:val="00E47E75"/>
    <w:rsid w:val="00E47E7A"/>
    <w:rsid w:val="00E47F80"/>
    <w:rsid w:val="00E50379"/>
    <w:rsid w:val="00E50918"/>
    <w:rsid w:val="00E50A13"/>
    <w:rsid w:val="00E50B83"/>
    <w:rsid w:val="00E50C58"/>
    <w:rsid w:val="00E50C6E"/>
    <w:rsid w:val="00E50F13"/>
    <w:rsid w:val="00E50F69"/>
    <w:rsid w:val="00E50FBC"/>
    <w:rsid w:val="00E5135B"/>
    <w:rsid w:val="00E518C3"/>
    <w:rsid w:val="00E51DC9"/>
    <w:rsid w:val="00E522C2"/>
    <w:rsid w:val="00E522F8"/>
    <w:rsid w:val="00E526DE"/>
    <w:rsid w:val="00E52994"/>
    <w:rsid w:val="00E52C90"/>
    <w:rsid w:val="00E52CC1"/>
    <w:rsid w:val="00E53051"/>
    <w:rsid w:val="00E530DF"/>
    <w:rsid w:val="00E53122"/>
    <w:rsid w:val="00E531EF"/>
    <w:rsid w:val="00E532C1"/>
    <w:rsid w:val="00E535A3"/>
    <w:rsid w:val="00E53603"/>
    <w:rsid w:val="00E537C7"/>
    <w:rsid w:val="00E5431C"/>
    <w:rsid w:val="00E54867"/>
    <w:rsid w:val="00E54A99"/>
    <w:rsid w:val="00E5512D"/>
    <w:rsid w:val="00E55599"/>
    <w:rsid w:val="00E5560A"/>
    <w:rsid w:val="00E557F3"/>
    <w:rsid w:val="00E55A2C"/>
    <w:rsid w:val="00E55A31"/>
    <w:rsid w:val="00E560F1"/>
    <w:rsid w:val="00E56425"/>
    <w:rsid w:val="00E56459"/>
    <w:rsid w:val="00E569B7"/>
    <w:rsid w:val="00E569BB"/>
    <w:rsid w:val="00E569D1"/>
    <w:rsid w:val="00E5703A"/>
    <w:rsid w:val="00E5704D"/>
    <w:rsid w:val="00E57134"/>
    <w:rsid w:val="00E57289"/>
    <w:rsid w:val="00E57544"/>
    <w:rsid w:val="00E575D9"/>
    <w:rsid w:val="00E57716"/>
    <w:rsid w:val="00E57719"/>
    <w:rsid w:val="00E57729"/>
    <w:rsid w:val="00E57A7C"/>
    <w:rsid w:val="00E57C65"/>
    <w:rsid w:val="00E57F73"/>
    <w:rsid w:val="00E57F89"/>
    <w:rsid w:val="00E602BE"/>
    <w:rsid w:val="00E60442"/>
    <w:rsid w:val="00E60545"/>
    <w:rsid w:val="00E6089D"/>
    <w:rsid w:val="00E60D5A"/>
    <w:rsid w:val="00E60E5B"/>
    <w:rsid w:val="00E60E6C"/>
    <w:rsid w:val="00E60EBE"/>
    <w:rsid w:val="00E6137A"/>
    <w:rsid w:val="00E613D3"/>
    <w:rsid w:val="00E61471"/>
    <w:rsid w:val="00E61C52"/>
    <w:rsid w:val="00E61EFB"/>
    <w:rsid w:val="00E620E2"/>
    <w:rsid w:val="00E6254D"/>
    <w:rsid w:val="00E6271F"/>
    <w:rsid w:val="00E62788"/>
    <w:rsid w:val="00E6280D"/>
    <w:rsid w:val="00E6297B"/>
    <w:rsid w:val="00E62A0B"/>
    <w:rsid w:val="00E62A82"/>
    <w:rsid w:val="00E62AD7"/>
    <w:rsid w:val="00E62BDD"/>
    <w:rsid w:val="00E63116"/>
    <w:rsid w:val="00E63637"/>
    <w:rsid w:val="00E63758"/>
    <w:rsid w:val="00E63AE1"/>
    <w:rsid w:val="00E640F7"/>
    <w:rsid w:val="00E640FA"/>
    <w:rsid w:val="00E641F2"/>
    <w:rsid w:val="00E64392"/>
    <w:rsid w:val="00E645B4"/>
    <w:rsid w:val="00E648F8"/>
    <w:rsid w:val="00E64E12"/>
    <w:rsid w:val="00E64F93"/>
    <w:rsid w:val="00E656A2"/>
    <w:rsid w:val="00E6572B"/>
    <w:rsid w:val="00E65B8D"/>
    <w:rsid w:val="00E65E2D"/>
    <w:rsid w:val="00E65E42"/>
    <w:rsid w:val="00E65F3B"/>
    <w:rsid w:val="00E66013"/>
    <w:rsid w:val="00E6634E"/>
    <w:rsid w:val="00E666B3"/>
    <w:rsid w:val="00E666C1"/>
    <w:rsid w:val="00E66785"/>
    <w:rsid w:val="00E6693A"/>
    <w:rsid w:val="00E66D38"/>
    <w:rsid w:val="00E66E74"/>
    <w:rsid w:val="00E670C4"/>
    <w:rsid w:val="00E675AB"/>
    <w:rsid w:val="00E70303"/>
    <w:rsid w:val="00E704C0"/>
    <w:rsid w:val="00E70AF9"/>
    <w:rsid w:val="00E70D5A"/>
    <w:rsid w:val="00E70F3A"/>
    <w:rsid w:val="00E70F5C"/>
    <w:rsid w:val="00E71400"/>
    <w:rsid w:val="00E716DB"/>
    <w:rsid w:val="00E717A9"/>
    <w:rsid w:val="00E719B9"/>
    <w:rsid w:val="00E71B53"/>
    <w:rsid w:val="00E71CE3"/>
    <w:rsid w:val="00E71D75"/>
    <w:rsid w:val="00E72790"/>
    <w:rsid w:val="00E729FE"/>
    <w:rsid w:val="00E73167"/>
    <w:rsid w:val="00E73974"/>
    <w:rsid w:val="00E73A57"/>
    <w:rsid w:val="00E73AB8"/>
    <w:rsid w:val="00E73AF7"/>
    <w:rsid w:val="00E74058"/>
    <w:rsid w:val="00E74175"/>
    <w:rsid w:val="00E743C9"/>
    <w:rsid w:val="00E74680"/>
    <w:rsid w:val="00E74941"/>
    <w:rsid w:val="00E74F1B"/>
    <w:rsid w:val="00E75217"/>
    <w:rsid w:val="00E7532C"/>
    <w:rsid w:val="00E755B2"/>
    <w:rsid w:val="00E755DE"/>
    <w:rsid w:val="00E75633"/>
    <w:rsid w:val="00E758F3"/>
    <w:rsid w:val="00E75AAB"/>
    <w:rsid w:val="00E75AFA"/>
    <w:rsid w:val="00E75BEC"/>
    <w:rsid w:val="00E75E15"/>
    <w:rsid w:val="00E7609A"/>
    <w:rsid w:val="00E761D7"/>
    <w:rsid w:val="00E76849"/>
    <w:rsid w:val="00E76E92"/>
    <w:rsid w:val="00E77233"/>
    <w:rsid w:val="00E773E8"/>
    <w:rsid w:val="00E7763A"/>
    <w:rsid w:val="00E77710"/>
    <w:rsid w:val="00E77766"/>
    <w:rsid w:val="00E77AA3"/>
    <w:rsid w:val="00E80007"/>
    <w:rsid w:val="00E80036"/>
    <w:rsid w:val="00E803AC"/>
    <w:rsid w:val="00E80426"/>
    <w:rsid w:val="00E80BC4"/>
    <w:rsid w:val="00E8165C"/>
    <w:rsid w:val="00E81EB4"/>
    <w:rsid w:val="00E81F0A"/>
    <w:rsid w:val="00E82086"/>
    <w:rsid w:val="00E82185"/>
    <w:rsid w:val="00E822DA"/>
    <w:rsid w:val="00E824F5"/>
    <w:rsid w:val="00E82BA5"/>
    <w:rsid w:val="00E82CCA"/>
    <w:rsid w:val="00E82CE7"/>
    <w:rsid w:val="00E82D56"/>
    <w:rsid w:val="00E82E44"/>
    <w:rsid w:val="00E82FE2"/>
    <w:rsid w:val="00E838C4"/>
    <w:rsid w:val="00E839D8"/>
    <w:rsid w:val="00E83F79"/>
    <w:rsid w:val="00E84025"/>
    <w:rsid w:val="00E8403B"/>
    <w:rsid w:val="00E845E1"/>
    <w:rsid w:val="00E84B55"/>
    <w:rsid w:val="00E84C09"/>
    <w:rsid w:val="00E85487"/>
    <w:rsid w:val="00E85B4B"/>
    <w:rsid w:val="00E868D0"/>
    <w:rsid w:val="00E86ABC"/>
    <w:rsid w:val="00E86BE2"/>
    <w:rsid w:val="00E87118"/>
    <w:rsid w:val="00E872C9"/>
    <w:rsid w:val="00E87512"/>
    <w:rsid w:val="00E8795B"/>
    <w:rsid w:val="00E87A1B"/>
    <w:rsid w:val="00E87C5E"/>
    <w:rsid w:val="00E87C82"/>
    <w:rsid w:val="00E87EB6"/>
    <w:rsid w:val="00E87EE0"/>
    <w:rsid w:val="00E87F7B"/>
    <w:rsid w:val="00E901F2"/>
    <w:rsid w:val="00E90212"/>
    <w:rsid w:val="00E90552"/>
    <w:rsid w:val="00E9073E"/>
    <w:rsid w:val="00E90773"/>
    <w:rsid w:val="00E908A7"/>
    <w:rsid w:val="00E908F0"/>
    <w:rsid w:val="00E90A4F"/>
    <w:rsid w:val="00E90FA7"/>
    <w:rsid w:val="00E9118D"/>
    <w:rsid w:val="00E91225"/>
    <w:rsid w:val="00E9142A"/>
    <w:rsid w:val="00E91505"/>
    <w:rsid w:val="00E915E9"/>
    <w:rsid w:val="00E9181C"/>
    <w:rsid w:val="00E91DC3"/>
    <w:rsid w:val="00E922F8"/>
    <w:rsid w:val="00E927D8"/>
    <w:rsid w:val="00E92898"/>
    <w:rsid w:val="00E92A05"/>
    <w:rsid w:val="00E92AE2"/>
    <w:rsid w:val="00E92D9B"/>
    <w:rsid w:val="00E930F8"/>
    <w:rsid w:val="00E93600"/>
    <w:rsid w:val="00E943DA"/>
    <w:rsid w:val="00E9464C"/>
    <w:rsid w:val="00E94B07"/>
    <w:rsid w:val="00E94B5A"/>
    <w:rsid w:val="00E94D54"/>
    <w:rsid w:val="00E94E3F"/>
    <w:rsid w:val="00E95578"/>
    <w:rsid w:val="00E955FA"/>
    <w:rsid w:val="00E95711"/>
    <w:rsid w:val="00E95907"/>
    <w:rsid w:val="00E95EFF"/>
    <w:rsid w:val="00E96096"/>
    <w:rsid w:val="00E9626F"/>
    <w:rsid w:val="00E9646E"/>
    <w:rsid w:val="00E965C8"/>
    <w:rsid w:val="00E9724D"/>
    <w:rsid w:val="00E97431"/>
    <w:rsid w:val="00E97704"/>
    <w:rsid w:val="00E97CA1"/>
    <w:rsid w:val="00E97E12"/>
    <w:rsid w:val="00E97EBA"/>
    <w:rsid w:val="00EA03A0"/>
    <w:rsid w:val="00EA056F"/>
    <w:rsid w:val="00EA06FF"/>
    <w:rsid w:val="00EA0783"/>
    <w:rsid w:val="00EA0D4E"/>
    <w:rsid w:val="00EA0E87"/>
    <w:rsid w:val="00EA14F3"/>
    <w:rsid w:val="00EA163F"/>
    <w:rsid w:val="00EA16D5"/>
    <w:rsid w:val="00EA1735"/>
    <w:rsid w:val="00EA1777"/>
    <w:rsid w:val="00EA1B34"/>
    <w:rsid w:val="00EA2329"/>
    <w:rsid w:val="00EA2439"/>
    <w:rsid w:val="00EA25A6"/>
    <w:rsid w:val="00EA29B2"/>
    <w:rsid w:val="00EA2BDF"/>
    <w:rsid w:val="00EA2DF7"/>
    <w:rsid w:val="00EA323B"/>
    <w:rsid w:val="00EA3246"/>
    <w:rsid w:val="00EA368A"/>
    <w:rsid w:val="00EA37B6"/>
    <w:rsid w:val="00EA3BC8"/>
    <w:rsid w:val="00EA3BE2"/>
    <w:rsid w:val="00EA3D86"/>
    <w:rsid w:val="00EA40C6"/>
    <w:rsid w:val="00EA41BD"/>
    <w:rsid w:val="00EA43D7"/>
    <w:rsid w:val="00EA4447"/>
    <w:rsid w:val="00EA4594"/>
    <w:rsid w:val="00EA4A67"/>
    <w:rsid w:val="00EA4C04"/>
    <w:rsid w:val="00EA4D61"/>
    <w:rsid w:val="00EA4F68"/>
    <w:rsid w:val="00EA542C"/>
    <w:rsid w:val="00EA55F9"/>
    <w:rsid w:val="00EA5A0B"/>
    <w:rsid w:val="00EA5E61"/>
    <w:rsid w:val="00EA5EED"/>
    <w:rsid w:val="00EA6034"/>
    <w:rsid w:val="00EA622A"/>
    <w:rsid w:val="00EA6241"/>
    <w:rsid w:val="00EA68C0"/>
    <w:rsid w:val="00EA6D53"/>
    <w:rsid w:val="00EA6DC8"/>
    <w:rsid w:val="00EA70CA"/>
    <w:rsid w:val="00EA7527"/>
    <w:rsid w:val="00EA766B"/>
    <w:rsid w:val="00EA7E42"/>
    <w:rsid w:val="00EB048D"/>
    <w:rsid w:val="00EB0558"/>
    <w:rsid w:val="00EB08F2"/>
    <w:rsid w:val="00EB098B"/>
    <w:rsid w:val="00EB09FE"/>
    <w:rsid w:val="00EB0B13"/>
    <w:rsid w:val="00EB0BD8"/>
    <w:rsid w:val="00EB0E55"/>
    <w:rsid w:val="00EB127F"/>
    <w:rsid w:val="00EB140F"/>
    <w:rsid w:val="00EB15E8"/>
    <w:rsid w:val="00EB196B"/>
    <w:rsid w:val="00EB23F1"/>
    <w:rsid w:val="00EB2684"/>
    <w:rsid w:val="00EB2B21"/>
    <w:rsid w:val="00EB301F"/>
    <w:rsid w:val="00EB30B1"/>
    <w:rsid w:val="00EB31CB"/>
    <w:rsid w:val="00EB3267"/>
    <w:rsid w:val="00EB3435"/>
    <w:rsid w:val="00EB3E80"/>
    <w:rsid w:val="00EB3F83"/>
    <w:rsid w:val="00EB4297"/>
    <w:rsid w:val="00EB4AB9"/>
    <w:rsid w:val="00EB4C97"/>
    <w:rsid w:val="00EB4CB2"/>
    <w:rsid w:val="00EB4E6B"/>
    <w:rsid w:val="00EB5486"/>
    <w:rsid w:val="00EB566A"/>
    <w:rsid w:val="00EB5C2C"/>
    <w:rsid w:val="00EB6024"/>
    <w:rsid w:val="00EB6392"/>
    <w:rsid w:val="00EB64FE"/>
    <w:rsid w:val="00EB6E36"/>
    <w:rsid w:val="00EB7006"/>
    <w:rsid w:val="00EB71C1"/>
    <w:rsid w:val="00EB7209"/>
    <w:rsid w:val="00EB736C"/>
    <w:rsid w:val="00EB749A"/>
    <w:rsid w:val="00EB760F"/>
    <w:rsid w:val="00EB769F"/>
    <w:rsid w:val="00EC03D5"/>
    <w:rsid w:val="00EC044C"/>
    <w:rsid w:val="00EC0647"/>
    <w:rsid w:val="00EC0876"/>
    <w:rsid w:val="00EC0989"/>
    <w:rsid w:val="00EC0AF3"/>
    <w:rsid w:val="00EC10CB"/>
    <w:rsid w:val="00EC160C"/>
    <w:rsid w:val="00EC16A3"/>
    <w:rsid w:val="00EC1DAE"/>
    <w:rsid w:val="00EC272B"/>
    <w:rsid w:val="00EC2AEA"/>
    <w:rsid w:val="00EC2B25"/>
    <w:rsid w:val="00EC2E3B"/>
    <w:rsid w:val="00EC2E70"/>
    <w:rsid w:val="00EC2F12"/>
    <w:rsid w:val="00EC315F"/>
    <w:rsid w:val="00EC318A"/>
    <w:rsid w:val="00EC3466"/>
    <w:rsid w:val="00EC35B8"/>
    <w:rsid w:val="00EC3830"/>
    <w:rsid w:val="00EC3958"/>
    <w:rsid w:val="00EC3D81"/>
    <w:rsid w:val="00EC4047"/>
    <w:rsid w:val="00EC41BE"/>
    <w:rsid w:val="00EC42AD"/>
    <w:rsid w:val="00EC4441"/>
    <w:rsid w:val="00EC44A9"/>
    <w:rsid w:val="00EC463A"/>
    <w:rsid w:val="00EC482E"/>
    <w:rsid w:val="00EC4D32"/>
    <w:rsid w:val="00EC4E9C"/>
    <w:rsid w:val="00EC4F15"/>
    <w:rsid w:val="00EC4F8A"/>
    <w:rsid w:val="00EC50D2"/>
    <w:rsid w:val="00EC50DF"/>
    <w:rsid w:val="00EC5187"/>
    <w:rsid w:val="00EC544F"/>
    <w:rsid w:val="00EC55BE"/>
    <w:rsid w:val="00EC5D05"/>
    <w:rsid w:val="00EC5DE6"/>
    <w:rsid w:val="00EC6919"/>
    <w:rsid w:val="00EC6C4A"/>
    <w:rsid w:val="00EC6E46"/>
    <w:rsid w:val="00EC6FCF"/>
    <w:rsid w:val="00EC70BD"/>
    <w:rsid w:val="00EC76D1"/>
    <w:rsid w:val="00EC7B37"/>
    <w:rsid w:val="00EC7EED"/>
    <w:rsid w:val="00EC7FD9"/>
    <w:rsid w:val="00ED001C"/>
    <w:rsid w:val="00ED0159"/>
    <w:rsid w:val="00ED0425"/>
    <w:rsid w:val="00ED0786"/>
    <w:rsid w:val="00ED0895"/>
    <w:rsid w:val="00ED09E2"/>
    <w:rsid w:val="00ED0A94"/>
    <w:rsid w:val="00ED0B53"/>
    <w:rsid w:val="00ED0E61"/>
    <w:rsid w:val="00ED111D"/>
    <w:rsid w:val="00ED1395"/>
    <w:rsid w:val="00ED19AF"/>
    <w:rsid w:val="00ED231B"/>
    <w:rsid w:val="00ED2B2D"/>
    <w:rsid w:val="00ED2C46"/>
    <w:rsid w:val="00ED2D49"/>
    <w:rsid w:val="00ED2E98"/>
    <w:rsid w:val="00ED3903"/>
    <w:rsid w:val="00ED3A60"/>
    <w:rsid w:val="00ED3DD5"/>
    <w:rsid w:val="00ED42C8"/>
    <w:rsid w:val="00ED4325"/>
    <w:rsid w:val="00ED4C76"/>
    <w:rsid w:val="00ED4D14"/>
    <w:rsid w:val="00ED4F0F"/>
    <w:rsid w:val="00ED4F49"/>
    <w:rsid w:val="00ED5764"/>
    <w:rsid w:val="00ED5862"/>
    <w:rsid w:val="00ED5AE5"/>
    <w:rsid w:val="00ED5D44"/>
    <w:rsid w:val="00ED629D"/>
    <w:rsid w:val="00ED6599"/>
    <w:rsid w:val="00ED689B"/>
    <w:rsid w:val="00ED695A"/>
    <w:rsid w:val="00ED6EAE"/>
    <w:rsid w:val="00ED72FC"/>
    <w:rsid w:val="00ED73D4"/>
    <w:rsid w:val="00ED78D1"/>
    <w:rsid w:val="00ED7917"/>
    <w:rsid w:val="00ED7E84"/>
    <w:rsid w:val="00ED7ED7"/>
    <w:rsid w:val="00EE0102"/>
    <w:rsid w:val="00EE0234"/>
    <w:rsid w:val="00EE0883"/>
    <w:rsid w:val="00EE0968"/>
    <w:rsid w:val="00EE0A3C"/>
    <w:rsid w:val="00EE0A59"/>
    <w:rsid w:val="00EE0B94"/>
    <w:rsid w:val="00EE0BE7"/>
    <w:rsid w:val="00EE137C"/>
    <w:rsid w:val="00EE1381"/>
    <w:rsid w:val="00EE19B3"/>
    <w:rsid w:val="00EE1AE5"/>
    <w:rsid w:val="00EE1AF5"/>
    <w:rsid w:val="00EE1BD1"/>
    <w:rsid w:val="00EE1F35"/>
    <w:rsid w:val="00EE203F"/>
    <w:rsid w:val="00EE21F1"/>
    <w:rsid w:val="00EE26F3"/>
    <w:rsid w:val="00EE278F"/>
    <w:rsid w:val="00EE283B"/>
    <w:rsid w:val="00EE29F8"/>
    <w:rsid w:val="00EE2AC6"/>
    <w:rsid w:val="00EE2E24"/>
    <w:rsid w:val="00EE2E54"/>
    <w:rsid w:val="00EE30D7"/>
    <w:rsid w:val="00EE3695"/>
    <w:rsid w:val="00EE3889"/>
    <w:rsid w:val="00EE3AC2"/>
    <w:rsid w:val="00EE3EF4"/>
    <w:rsid w:val="00EE4108"/>
    <w:rsid w:val="00EE418B"/>
    <w:rsid w:val="00EE4217"/>
    <w:rsid w:val="00EE42C6"/>
    <w:rsid w:val="00EE4518"/>
    <w:rsid w:val="00EE4764"/>
    <w:rsid w:val="00EE48AE"/>
    <w:rsid w:val="00EE4C1E"/>
    <w:rsid w:val="00EE4CB6"/>
    <w:rsid w:val="00EE4CDF"/>
    <w:rsid w:val="00EE4E86"/>
    <w:rsid w:val="00EE50DA"/>
    <w:rsid w:val="00EE5152"/>
    <w:rsid w:val="00EE5E6F"/>
    <w:rsid w:val="00EE6261"/>
    <w:rsid w:val="00EE65F8"/>
    <w:rsid w:val="00EE6971"/>
    <w:rsid w:val="00EE6AAE"/>
    <w:rsid w:val="00EE71F7"/>
    <w:rsid w:val="00EE75C8"/>
    <w:rsid w:val="00EE766A"/>
    <w:rsid w:val="00EE781F"/>
    <w:rsid w:val="00EF0247"/>
    <w:rsid w:val="00EF06D7"/>
    <w:rsid w:val="00EF07E6"/>
    <w:rsid w:val="00EF0832"/>
    <w:rsid w:val="00EF0994"/>
    <w:rsid w:val="00EF0ED7"/>
    <w:rsid w:val="00EF11F4"/>
    <w:rsid w:val="00EF13A6"/>
    <w:rsid w:val="00EF1C74"/>
    <w:rsid w:val="00EF24CA"/>
    <w:rsid w:val="00EF2AB6"/>
    <w:rsid w:val="00EF2AC2"/>
    <w:rsid w:val="00EF2B03"/>
    <w:rsid w:val="00EF2D9B"/>
    <w:rsid w:val="00EF2F7C"/>
    <w:rsid w:val="00EF3154"/>
    <w:rsid w:val="00EF33B4"/>
    <w:rsid w:val="00EF3550"/>
    <w:rsid w:val="00EF370A"/>
    <w:rsid w:val="00EF3ACF"/>
    <w:rsid w:val="00EF3B2B"/>
    <w:rsid w:val="00EF3E0C"/>
    <w:rsid w:val="00EF3F25"/>
    <w:rsid w:val="00EF3F7A"/>
    <w:rsid w:val="00EF45A1"/>
    <w:rsid w:val="00EF468D"/>
    <w:rsid w:val="00EF4691"/>
    <w:rsid w:val="00EF46D0"/>
    <w:rsid w:val="00EF4B72"/>
    <w:rsid w:val="00EF4B79"/>
    <w:rsid w:val="00EF4D07"/>
    <w:rsid w:val="00EF506C"/>
    <w:rsid w:val="00EF542F"/>
    <w:rsid w:val="00EF5431"/>
    <w:rsid w:val="00EF54F7"/>
    <w:rsid w:val="00EF5563"/>
    <w:rsid w:val="00EF5617"/>
    <w:rsid w:val="00EF57A1"/>
    <w:rsid w:val="00EF5E1C"/>
    <w:rsid w:val="00EF6435"/>
    <w:rsid w:val="00EF6613"/>
    <w:rsid w:val="00EF6AC3"/>
    <w:rsid w:val="00EF6D37"/>
    <w:rsid w:val="00EF6EDB"/>
    <w:rsid w:val="00EF6FFD"/>
    <w:rsid w:val="00EF700F"/>
    <w:rsid w:val="00EF71E4"/>
    <w:rsid w:val="00EF73E1"/>
    <w:rsid w:val="00EF7426"/>
    <w:rsid w:val="00EF7DE2"/>
    <w:rsid w:val="00EF7E03"/>
    <w:rsid w:val="00EF7EB8"/>
    <w:rsid w:val="00F0099F"/>
    <w:rsid w:val="00F00BB0"/>
    <w:rsid w:val="00F00EB0"/>
    <w:rsid w:val="00F00FE6"/>
    <w:rsid w:val="00F014E4"/>
    <w:rsid w:val="00F01B0B"/>
    <w:rsid w:val="00F01D17"/>
    <w:rsid w:val="00F01F28"/>
    <w:rsid w:val="00F01FC8"/>
    <w:rsid w:val="00F02340"/>
    <w:rsid w:val="00F02492"/>
    <w:rsid w:val="00F02767"/>
    <w:rsid w:val="00F02782"/>
    <w:rsid w:val="00F028EC"/>
    <w:rsid w:val="00F02AE4"/>
    <w:rsid w:val="00F02DEB"/>
    <w:rsid w:val="00F02F83"/>
    <w:rsid w:val="00F03376"/>
    <w:rsid w:val="00F033AB"/>
    <w:rsid w:val="00F034B7"/>
    <w:rsid w:val="00F0355C"/>
    <w:rsid w:val="00F03655"/>
    <w:rsid w:val="00F037EE"/>
    <w:rsid w:val="00F0382B"/>
    <w:rsid w:val="00F03EB6"/>
    <w:rsid w:val="00F03FA8"/>
    <w:rsid w:val="00F0409B"/>
    <w:rsid w:val="00F042C5"/>
    <w:rsid w:val="00F04726"/>
    <w:rsid w:val="00F047B4"/>
    <w:rsid w:val="00F04BB6"/>
    <w:rsid w:val="00F04E78"/>
    <w:rsid w:val="00F05191"/>
    <w:rsid w:val="00F0554C"/>
    <w:rsid w:val="00F0560E"/>
    <w:rsid w:val="00F057A6"/>
    <w:rsid w:val="00F057F0"/>
    <w:rsid w:val="00F058B5"/>
    <w:rsid w:val="00F05AE4"/>
    <w:rsid w:val="00F05B2F"/>
    <w:rsid w:val="00F06022"/>
    <w:rsid w:val="00F060AB"/>
    <w:rsid w:val="00F0610F"/>
    <w:rsid w:val="00F063EF"/>
    <w:rsid w:val="00F0646A"/>
    <w:rsid w:val="00F068DF"/>
    <w:rsid w:val="00F069C0"/>
    <w:rsid w:val="00F06C46"/>
    <w:rsid w:val="00F06C9C"/>
    <w:rsid w:val="00F06D1D"/>
    <w:rsid w:val="00F070C4"/>
    <w:rsid w:val="00F07453"/>
    <w:rsid w:val="00F0748A"/>
    <w:rsid w:val="00F078AE"/>
    <w:rsid w:val="00F07948"/>
    <w:rsid w:val="00F07C22"/>
    <w:rsid w:val="00F1019A"/>
    <w:rsid w:val="00F1024A"/>
    <w:rsid w:val="00F10348"/>
    <w:rsid w:val="00F103B0"/>
    <w:rsid w:val="00F10487"/>
    <w:rsid w:val="00F10FAC"/>
    <w:rsid w:val="00F112DC"/>
    <w:rsid w:val="00F11749"/>
    <w:rsid w:val="00F1178D"/>
    <w:rsid w:val="00F11827"/>
    <w:rsid w:val="00F11C66"/>
    <w:rsid w:val="00F11CD9"/>
    <w:rsid w:val="00F120E2"/>
    <w:rsid w:val="00F1272F"/>
    <w:rsid w:val="00F12C47"/>
    <w:rsid w:val="00F12FA6"/>
    <w:rsid w:val="00F13652"/>
    <w:rsid w:val="00F138B0"/>
    <w:rsid w:val="00F1409D"/>
    <w:rsid w:val="00F14193"/>
    <w:rsid w:val="00F1419D"/>
    <w:rsid w:val="00F14208"/>
    <w:rsid w:val="00F142DD"/>
    <w:rsid w:val="00F14330"/>
    <w:rsid w:val="00F14358"/>
    <w:rsid w:val="00F144D0"/>
    <w:rsid w:val="00F1453D"/>
    <w:rsid w:val="00F14736"/>
    <w:rsid w:val="00F1488F"/>
    <w:rsid w:val="00F14A05"/>
    <w:rsid w:val="00F14C16"/>
    <w:rsid w:val="00F14FF7"/>
    <w:rsid w:val="00F1513D"/>
    <w:rsid w:val="00F151FE"/>
    <w:rsid w:val="00F15426"/>
    <w:rsid w:val="00F15F0F"/>
    <w:rsid w:val="00F160B1"/>
    <w:rsid w:val="00F160B4"/>
    <w:rsid w:val="00F160EB"/>
    <w:rsid w:val="00F16803"/>
    <w:rsid w:val="00F16A36"/>
    <w:rsid w:val="00F16BF4"/>
    <w:rsid w:val="00F16CD7"/>
    <w:rsid w:val="00F16E71"/>
    <w:rsid w:val="00F1784C"/>
    <w:rsid w:val="00F178F7"/>
    <w:rsid w:val="00F17A7B"/>
    <w:rsid w:val="00F17B68"/>
    <w:rsid w:val="00F17E58"/>
    <w:rsid w:val="00F17F9F"/>
    <w:rsid w:val="00F2004A"/>
    <w:rsid w:val="00F2013A"/>
    <w:rsid w:val="00F206D5"/>
    <w:rsid w:val="00F2096E"/>
    <w:rsid w:val="00F21143"/>
    <w:rsid w:val="00F212CE"/>
    <w:rsid w:val="00F2187B"/>
    <w:rsid w:val="00F21984"/>
    <w:rsid w:val="00F21E32"/>
    <w:rsid w:val="00F21FE1"/>
    <w:rsid w:val="00F22173"/>
    <w:rsid w:val="00F2245F"/>
    <w:rsid w:val="00F2291B"/>
    <w:rsid w:val="00F22D9A"/>
    <w:rsid w:val="00F22DDD"/>
    <w:rsid w:val="00F22E7D"/>
    <w:rsid w:val="00F22E8E"/>
    <w:rsid w:val="00F236DE"/>
    <w:rsid w:val="00F237AB"/>
    <w:rsid w:val="00F23C45"/>
    <w:rsid w:val="00F23F03"/>
    <w:rsid w:val="00F23F8D"/>
    <w:rsid w:val="00F2409A"/>
    <w:rsid w:val="00F242CF"/>
    <w:rsid w:val="00F244DB"/>
    <w:rsid w:val="00F24B47"/>
    <w:rsid w:val="00F2541F"/>
    <w:rsid w:val="00F25467"/>
    <w:rsid w:val="00F25597"/>
    <w:rsid w:val="00F25924"/>
    <w:rsid w:val="00F25FB8"/>
    <w:rsid w:val="00F25FCC"/>
    <w:rsid w:val="00F26107"/>
    <w:rsid w:val="00F2617E"/>
    <w:rsid w:val="00F26469"/>
    <w:rsid w:val="00F26510"/>
    <w:rsid w:val="00F2657D"/>
    <w:rsid w:val="00F26C5F"/>
    <w:rsid w:val="00F26CAB"/>
    <w:rsid w:val="00F26EEB"/>
    <w:rsid w:val="00F26EEC"/>
    <w:rsid w:val="00F273D7"/>
    <w:rsid w:val="00F27566"/>
    <w:rsid w:val="00F27593"/>
    <w:rsid w:val="00F276EC"/>
    <w:rsid w:val="00F27854"/>
    <w:rsid w:val="00F27907"/>
    <w:rsid w:val="00F27B30"/>
    <w:rsid w:val="00F27C10"/>
    <w:rsid w:val="00F27EC3"/>
    <w:rsid w:val="00F27F7D"/>
    <w:rsid w:val="00F27FC3"/>
    <w:rsid w:val="00F30076"/>
    <w:rsid w:val="00F3082D"/>
    <w:rsid w:val="00F3109A"/>
    <w:rsid w:val="00F310A2"/>
    <w:rsid w:val="00F317BF"/>
    <w:rsid w:val="00F317E8"/>
    <w:rsid w:val="00F31970"/>
    <w:rsid w:val="00F31BA6"/>
    <w:rsid w:val="00F31F00"/>
    <w:rsid w:val="00F32951"/>
    <w:rsid w:val="00F32A3E"/>
    <w:rsid w:val="00F32B3F"/>
    <w:rsid w:val="00F32DFC"/>
    <w:rsid w:val="00F33294"/>
    <w:rsid w:val="00F33305"/>
    <w:rsid w:val="00F33566"/>
    <w:rsid w:val="00F3369C"/>
    <w:rsid w:val="00F337EB"/>
    <w:rsid w:val="00F33A20"/>
    <w:rsid w:val="00F33DB6"/>
    <w:rsid w:val="00F3403F"/>
    <w:rsid w:val="00F34136"/>
    <w:rsid w:val="00F34343"/>
    <w:rsid w:val="00F34760"/>
    <w:rsid w:val="00F34F38"/>
    <w:rsid w:val="00F34FDD"/>
    <w:rsid w:val="00F3532E"/>
    <w:rsid w:val="00F359A3"/>
    <w:rsid w:val="00F35A8D"/>
    <w:rsid w:val="00F35AD6"/>
    <w:rsid w:val="00F35D06"/>
    <w:rsid w:val="00F35D23"/>
    <w:rsid w:val="00F361C6"/>
    <w:rsid w:val="00F362AF"/>
    <w:rsid w:val="00F36365"/>
    <w:rsid w:val="00F3636B"/>
    <w:rsid w:val="00F3640C"/>
    <w:rsid w:val="00F3680F"/>
    <w:rsid w:val="00F369DA"/>
    <w:rsid w:val="00F37192"/>
    <w:rsid w:val="00F37438"/>
    <w:rsid w:val="00F376D1"/>
    <w:rsid w:val="00F37746"/>
    <w:rsid w:val="00F37783"/>
    <w:rsid w:val="00F3779B"/>
    <w:rsid w:val="00F378F7"/>
    <w:rsid w:val="00F37931"/>
    <w:rsid w:val="00F37AAD"/>
    <w:rsid w:val="00F37B73"/>
    <w:rsid w:val="00F37EA2"/>
    <w:rsid w:val="00F37EBA"/>
    <w:rsid w:val="00F37EEA"/>
    <w:rsid w:val="00F3E1AD"/>
    <w:rsid w:val="00F416EF"/>
    <w:rsid w:val="00F41809"/>
    <w:rsid w:val="00F4186A"/>
    <w:rsid w:val="00F41916"/>
    <w:rsid w:val="00F4191C"/>
    <w:rsid w:val="00F41B9D"/>
    <w:rsid w:val="00F41DB7"/>
    <w:rsid w:val="00F41E62"/>
    <w:rsid w:val="00F42004"/>
    <w:rsid w:val="00F42159"/>
    <w:rsid w:val="00F421DF"/>
    <w:rsid w:val="00F42596"/>
    <w:rsid w:val="00F42BD6"/>
    <w:rsid w:val="00F433C2"/>
    <w:rsid w:val="00F436E7"/>
    <w:rsid w:val="00F43808"/>
    <w:rsid w:val="00F4401E"/>
    <w:rsid w:val="00F4441F"/>
    <w:rsid w:val="00F44883"/>
    <w:rsid w:val="00F44AEE"/>
    <w:rsid w:val="00F44CAE"/>
    <w:rsid w:val="00F44F5E"/>
    <w:rsid w:val="00F4515E"/>
    <w:rsid w:val="00F4526F"/>
    <w:rsid w:val="00F452C2"/>
    <w:rsid w:val="00F452DF"/>
    <w:rsid w:val="00F459D4"/>
    <w:rsid w:val="00F45D52"/>
    <w:rsid w:val="00F45E20"/>
    <w:rsid w:val="00F46029"/>
    <w:rsid w:val="00F462B5"/>
    <w:rsid w:val="00F465CB"/>
    <w:rsid w:val="00F46627"/>
    <w:rsid w:val="00F46B60"/>
    <w:rsid w:val="00F46BE1"/>
    <w:rsid w:val="00F47147"/>
    <w:rsid w:val="00F47188"/>
    <w:rsid w:val="00F478AB"/>
    <w:rsid w:val="00F47DF3"/>
    <w:rsid w:val="00F47FF4"/>
    <w:rsid w:val="00F50353"/>
    <w:rsid w:val="00F50842"/>
    <w:rsid w:val="00F50F6C"/>
    <w:rsid w:val="00F518E3"/>
    <w:rsid w:val="00F51E45"/>
    <w:rsid w:val="00F52153"/>
    <w:rsid w:val="00F523C3"/>
    <w:rsid w:val="00F52BF1"/>
    <w:rsid w:val="00F53452"/>
    <w:rsid w:val="00F53457"/>
    <w:rsid w:val="00F538AD"/>
    <w:rsid w:val="00F53AFF"/>
    <w:rsid w:val="00F53CBB"/>
    <w:rsid w:val="00F543D2"/>
    <w:rsid w:val="00F5455D"/>
    <w:rsid w:val="00F54E8C"/>
    <w:rsid w:val="00F54F31"/>
    <w:rsid w:val="00F555BF"/>
    <w:rsid w:val="00F55724"/>
    <w:rsid w:val="00F55D2B"/>
    <w:rsid w:val="00F55D75"/>
    <w:rsid w:val="00F5617C"/>
    <w:rsid w:val="00F5643D"/>
    <w:rsid w:val="00F5671F"/>
    <w:rsid w:val="00F56959"/>
    <w:rsid w:val="00F5697F"/>
    <w:rsid w:val="00F56B38"/>
    <w:rsid w:val="00F56C1E"/>
    <w:rsid w:val="00F56C4E"/>
    <w:rsid w:val="00F56F48"/>
    <w:rsid w:val="00F57C83"/>
    <w:rsid w:val="00F57C9A"/>
    <w:rsid w:val="00F57DDC"/>
    <w:rsid w:val="00F6021F"/>
    <w:rsid w:val="00F6056F"/>
    <w:rsid w:val="00F609F3"/>
    <w:rsid w:val="00F60C1D"/>
    <w:rsid w:val="00F60D76"/>
    <w:rsid w:val="00F611EA"/>
    <w:rsid w:val="00F6127B"/>
    <w:rsid w:val="00F61730"/>
    <w:rsid w:val="00F6175A"/>
    <w:rsid w:val="00F6185B"/>
    <w:rsid w:val="00F61C82"/>
    <w:rsid w:val="00F61F7D"/>
    <w:rsid w:val="00F6214B"/>
    <w:rsid w:val="00F62458"/>
    <w:rsid w:val="00F625F2"/>
    <w:rsid w:val="00F62A1C"/>
    <w:rsid w:val="00F62B28"/>
    <w:rsid w:val="00F62E7C"/>
    <w:rsid w:val="00F632D8"/>
    <w:rsid w:val="00F6348E"/>
    <w:rsid w:val="00F6380E"/>
    <w:rsid w:val="00F63A54"/>
    <w:rsid w:val="00F63E95"/>
    <w:rsid w:val="00F6452E"/>
    <w:rsid w:val="00F6475C"/>
    <w:rsid w:val="00F65045"/>
    <w:rsid w:val="00F6535D"/>
    <w:rsid w:val="00F6569D"/>
    <w:rsid w:val="00F65958"/>
    <w:rsid w:val="00F66555"/>
    <w:rsid w:val="00F67023"/>
    <w:rsid w:val="00F67094"/>
    <w:rsid w:val="00F672BB"/>
    <w:rsid w:val="00F676C6"/>
    <w:rsid w:val="00F677A1"/>
    <w:rsid w:val="00F67C86"/>
    <w:rsid w:val="00F67D7C"/>
    <w:rsid w:val="00F67E5B"/>
    <w:rsid w:val="00F70108"/>
    <w:rsid w:val="00F701AB"/>
    <w:rsid w:val="00F70A4F"/>
    <w:rsid w:val="00F70AEC"/>
    <w:rsid w:val="00F70F3B"/>
    <w:rsid w:val="00F70FC2"/>
    <w:rsid w:val="00F7130F"/>
    <w:rsid w:val="00F71434"/>
    <w:rsid w:val="00F716E8"/>
    <w:rsid w:val="00F71802"/>
    <w:rsid w:val="00F71958"/>
    <w:rsid w:val="00F71A96"/>
    <w:rsid w:val="00F71B05"/>
    <w:rsid w:val="00F71D05"/>
    <w:rsid w:val="00F72168"/>
    <w:rsid w:val="00F721B4"/>
    <w:rsid w:val="00F721F6"/>
    <w:rsid w:val="00F726F5"/>
    <w:rsid w:val="00F72FFE"/>
    <w:rsid w:val="00F730F1"/>
    <w:rsid w:val="00F73161"/>
    <w:rsid w:val="00F7319B"/>
    <w:rsid w:val="00F73364"/>
    <w:rsid w:val="00F733F1"/>
    <w:rsid w:val="00F7361A"/>
    <w:rsid w:val="00F73798"/>
    <w:rsid w:val="00F73860"/>
    <w:rsid w:val="00F73C4B"/>
    <w:rsid w:val="00F744A1"/>
    <w:rsid w:val="00F74736"/>
    <w:rsid w:val="00F7487D"/>
    <w:rsid w:val="00F753AE"/>
    <w:rsid w:val="00F759CD"/>
    <w:rsid w:val="00F759E4"/>
    <w:rsid w:val="00F75F3F"/>
    <w:rsid w:val="00F76146"/>
    <w:rsid w:val="00F761B8"/>
    <w:rsid w:val="00F76329"/>
    <w:rsid w:val="00F763B7"/>
    <w:rsid w:val="00F765A7"/>
    <w:rsid w:val="00F76B88"/>
    <w:rsid w:val="00F76FF6"/>
    <w:rsid w:val="00F7759C"/>
    <w:rsid w:val="00F776A0"/>
    <w:rsid w:val="00F80075"/>
    <w:rsid w:val="00F80096"/>
    <w:rsid w:val="00F80482"/>
    <w:rsid w:val="00F8074D"/>
    <w:rsid w:val="00F8083E"/>
    <w:rsid w:val="00F808F7"/>
    <w:rsid w:val="00F80BC9"/>
    <w:rsid w:val="00F80D69"/>
    <w:rsid w:val="00F80EC6"/>
    <w:rsid w:val="00F80F79"/>
    <w:rsid w:val="00F80FFE"/>
    <w:rsid w:val="00F81239"/>
    <w:rsid w:val="00F81AF5"/>
    <w:rsid w:val="00F81BB8"/>
    <w:rsid w:val="00F81D2D"/>
    <w:rsid w:val="00F81EE6"/>
    <w:rsid w:val="00F8211F"/>
    <w:rsid w:val="00F82F30"/>
    <w:rsid w:val="00F8311C"/>
    <w:rsid w:val="00F8314C"/>
    <w:rsid w:val="00F83249"/>
    <w:rsid w:val="00F83292"/>
    <w:rsid w:val="00F836C4"/>
    <w:rsid w:val="00F837D9"/>
    <w:rsid w:val="00F838EF"/>
    <w:rsid w:val="00F83A6D"/>
    <w:rsid w:val="00F83AA8"/>
    <w:rsid w:val="00F83AE1"/>
    <w:rsid w:val="00F83C65"/>
    <w:rsid w:val="00F83DF6"/>
    <w:rsid w:val="00F83F96"/>
    <w:rsid w:val="00F84170"/>
    <w:rsid w:val="00F8443E"/>
    <w:rsid w:val="00F846AD"/>
    <w:rsid w:val="00F84862"/>
    <w:rsid w:val="00F848C9"/>
    <w:rsid w:val="00F849DF"/>
    <w:rsid w:val="00F84FA9"/>
    <w:rsid w:val="00F8526A"/>
    <w:rsid w:val="00F85469"/>
    <w:rsid w:val="00F854F5"/>
    <w:rsid w:val="00F85631"/>
    <w:rsid w:val="00F85872"/>
    <w:rsid w:val="00F85A34"/>
    <w:rsid w:val="00F85C2D"/>
    <w:rsid w:val="00F85D1D"/>
    <w:rsid w:val="00F85E58"/>
    <w:rsid w:val="00F85FC4"/>
    <w:rsid w:val="00F86016"/>
    <w:rsid w:val="00F86209"/>
    <w:rsid w:val="00F86256"/>
    <w:rsid w:val="00F86AFF"/>
    <w:rsid w:val="00F86B41"/>
    <w:rsid w:val="00F86BE0"/>
    <w:rsid w:val="00F86F75"/>
    <w:rsid w:val="00F86FB4"/>
    <w:rsid w:val="00F87625"/>
    <w:rsid w:val="00F879A2"/>
    <w:rsid w:val="00F87B9B"/>
    <w:rsid w:val="00F87FFB"/>
    <w:rsid w:val="00F903B7"/>
    <w:rsid w:val="00F90848"/>
    <w:rsid w:val="00F90956"/>
    <w:rsid w:val="00F909EC"/>
    <w:rsid w:val="00F90E91"/>
    <w:rsid w:val="00F91464"/>
    <w:rsid w:val="00F916FB"/>
    <w:rsid w:val="00F91B95"/>
    <w:rsid w:val="00F91BF0"/>
    <w:rsid w:val="00F93AF4"/>
    <w:rsid w:val="00F93C3A"/>
    <w:rsid w:val="00F93D54"/>
    <w:rsid w:val="00F94873"/>
    <w:rsid w:val="00F9496E"/>
    <w:rsid w:val="00F94A5C"/>
    <w:rsid w:val="00F94B5E"/>
    <w:rsid w:val="00F94C05"/>
    <w:rsid w:val="00F94DF9"/>
    <w:rsid w:val="00F94E5B"/>
    <w:rsid w:val="00F953E9"/>
    <w:rsid w:val="00F95555"/>
    <w:rsid w:val="00F9577D"/>
    <w:rsid w:val="00F9589B"/>
    <w:rsid w:val="00F960D7"/>
    <w:rsid w:val="00F9610B"/>
    <w:rsid w:val="00F96170"/>
    <w:rsid w:val="00F965A9"/>
    <w:rsid w:val="00F96965"/>
    <w:rsid w:val="00F96C7C"/>
    <w:rsid w:val="00F96E81"/>
    <w:rsid w:val="00F97079"/>
    <w:rsid w:val="00F97175"/>
    <w:rsid w:val="00F971B5"/>
    <w:rsid w:val="00F97247"/>
    <w:rsid w:val="00F9746F"/>
    <w:rsid w:val="00F97515"/>
    <w:rsid w:val="00F97697"/>
    <w:rsid w:val="00F97791"/>
    <w:rsid w:val="00F97814"/>
    <w:rsid w:val="00F97D26"/>
    <w:rsid w:val="00F97D92"/>
    <w:rsid w:val="00FA0572"/>
    <w:rsid w:val="00FA0A6D"/>
    <w:rsid w:val="00FA0C30"/>
    <w:rsid w:val="00FA0C6A"/>
    <w:rsid w:val="00FA111C"/>
    <w:rsid w:val="00FA1429"/>
    <w:rsid w:val="00FA1471"/>
    <w:rsid w:val="00FA1CEB"/>
    <w:rsid w:val="00FA28E5"/>
    <w:rsid w:val="00FA29D3"/>
    <w:rsid w:val="00FA2CEB"/>
    <w:rsid w:val="00FA308B"/>
    <w:rsid w:val="00FA31A4"/>
    <w:rsid w:val="00FA383A"/>
    <w:rsid w:val="00FA3AD6"/>
    <w:rsid w:val="00FA3B2F"/>
    <w:rsid w:val="00FA3F89"/>
    <w:rsid w:val="00FA404E"/>
    <w:rsid w:val="00FA438C"/>
    <w:rsid w:val="00FA44C8"/>
    <w:rsid w:val="00FA4A9F"/>
    <w:rsid w:val="00FA4FCD"/>
    <w:rsid w:val="00FA561B"/>
    <w:rsid w:val="00FA570B"/>
    <w:rsid w:val="00FA5B2C"/>
    <w:rsid w:val="00FA5DEE"/>
    <w:rsid w:val="00FA61F6"/>
    <w:rsid w:val="00FA6292"/>
    <w:rsid w:val="00FA6397"/>
    <w:rsid w:val="00FA65C9"/>
    <w:rsid w:val="00FA682D"/>
    <w:rsid w:val="00FA6868"/>
    <w:rsid w:val="00FA72FB"/>
    <w:rsid w:val="00FA7420"/>
    <w:rsid w:val="00FA7820"/>
    <w:rsid w:val="00FA7B18"/>
    <w:rsid w:val="00FA7EAE"/>
    <w:rsid w:val="00FA7FEF"/>
    <w:rsid w:val="00FB00BD"/>
    <w:rsid w:val="00FB021B"/>
    <w:rsid w:val="00FB0481"/>
    <w:rsid w:val="00FB0484"/>
    <w:rsid w:val="00FB04C5"/>
    <w:rsid w:val="00FB062D"/>
    <w:rsid w:val="00FB09A8"/>
    <w:rsid w:val="00FB09CD"/>
    <w:rsid w:val="00FB0B6F"/>
    <w:rsid w:val="00FB0C5B"/>
    <w:rsid w:val="00FB0D17"/>
    <w:rsid w:val="00FB0EB0"/>
    <w:rsid w:val="00FB0ED3"/>
    <w:rsid w:val="00FB0EE5"/>
    <w:rsid w:val="00FB0F13"/>
    <w:rsid w:val="00FB0F52"/>
    <w:rsid w:val="00FB1093"/>
    <w:rsid w:val="00FB11FE"/>
    <w:rsid w:val="00FB1203"/>
    <w:rsid w:val="00FB121F"/>
    <w:rsid w:val="00FB14DA"/>
    <w:rsid w:val="00FB16BB"/>
    <w:rsid w:val="00FB2301"/>
    <w:rsid w:val="00FB24C7"/>
    <w:rsid w:val="00FB26BD"/>
    <w:rsid w:val="00FB2948"/>
    <w:rsid w:val="00FB2B00"/>
    <w:rsid w:val="00FB2E12"/>
    <w:rsid w:val="00FB314B"/>
    <w:rsid w:val="00FB36CD"/>
    <w:rsid w:val="00FB395A"/>
    <w:rsid w:val="00FB3A71"/>
    <w:rsid w:val="00FB3EB1"/>
    <w:rsid w:val="00FB4132"/>
    <w:rsid w:val="00FB4195"/>
    <w:rsid w:val="00FB41E6"/>
    <w:rsid w:val="00FB4461"/>
    <w:rsid w:val="00FB4508"/>
    <w:rsid w:val="00FB48C4"/>
    <w:rsid w:val="00FB4944"/>
    <w:rsid w:val="00FB5117"/>
    <w:rsid w:val="00FB5514"/>
    <w:rsid w:val="00FB5696"/>
    <w:rsid w:val="00FB5818"/>
    <w:rsid w:val="00FB58CC"/>
    <w:rsid w:val="00FB5FE1"/>
    <w:rsid w:val="00FB6625"/>
    <w:rsid w:val="00FB6653"/>
    <w:rsid w:val="00FB67D7"/>
    <w:rsid w:val="00FB6D44"/>
    <w:rsid w:val="00FB718A"/>
    <w:rsid w:val="00FB71DF"/>
    <w:rsid w:val="00FB73AF"/>
    <w:rsid w:val="00FB78CE"/>
    <w:rsid w:val="00FB7906"/>
    <w:rsid w:val="00FB7C1B"/>
    <w:rsid w:val="00FB7F00"/>
    <w:rsid w:val="00FC0143"/>
    <w:rsid w:val="00FC02CB"/>
    <w:rsid w:val="00FC037E"/>
    <w:rsid w:val="00FC0394"/>
    <w:rsid w:val="00FC0404"/>
    <w:rsid w:val="00FC05E3"/>
    <w:rsid w:val="00FC07BB"/>
    <w:rsid w:val="00FC1351"/>
    <w:rsid w:val="00FC136F"/>
    <w:rsid w:val="00FC14E1"/>
    <w:rsid w:val="00FC15E5"/>
    <w:rsid w:val="00FC1658"/>
    <w:rsid w:val="00FC1675"/>
    <w:rsid w:val="00FC1899"/>
    <w:rsid w:val="00FC19C3"/>
    <w:rsid w:val="00FC1CC0"/>
    <w:rsid w:val="00FC1EAB"/>
    <w:rsid w:val="00FC1EC8"/>
    <w:rsid w:val="00FC33CA"/>
    <w:rsid w:val="00FC34B1"/>
    <w:rsid w:val="00FC3FF4"/>
    <w:rsid w:val="00FC400E"/>
    <w:rsid w:val="00FC442B"/>
    <w:rsid w:val="00FC4673"/>
    <w:rsid w:val="00FC474E"/>
    <w:rsid w:val="00FC5163"/>
    <w:rsid w:val="00FC5655"/>
    <w:rsid w:val="00FC5B1E"/>
    <w:rsid w:val="00FC5BCF"/>
    <w:rsid w:val="00FC616A"/>
    <w:rsid w:val="00FC63C6"/>
    <w:rsid w:val="00FC64B3"/>
    <w:rsid w:val="00FC6570"/>
    <w:rsid w:val="00FC69CD"/>
    <w:rsid w:val="00FC6C4B"/>
    <w:rsid w:val="00FC6D86"/>
    <w:rsid w:val="00FC6ECD"/>
    <w:rsid w:val="00FC703B"/>
    <w:rsid w:val="00FC70DC"/>
    <w:rsid w:val="00FC741C"/>
    <w:rsid w:val="00FC7562"/>
    <w:rsid w:val="00FC778D"/>
    <w:rsid w:val="00FC78C6"/>
    <w:rsid w:val="00FC79DF"/>
    <w:rsid w:val="00FC7A79"/>
    <w:rsid w:val="00FD035B"/>
    <w:rsid w:val="00FD040F"/>
    <w:rsid w:val="00FD0598"/>
    <w:rsid w:val="00FD05B2"/>
    <w:rsid w:val="00FD06FE"/>
    <w:rsid w:val="00FD0746"/>
    <w:rsid w:val="00FD0927"/>
    <w:rsid w:val="00FD0E75"/>
    <w:rsid w:val="00FD0E86"/>
    <w:rsid w:val="00FD1036"/>
    <w:rsid w:val="00FD133B"/>
    <w:rsid w:val="00FD1433"/>
    <w:rsid w:val="00FD1851"/>
    <w:rsid w:val="00FD1C84"/>
    <w:rsid w:val="00FD243F"/>
    <w:rsid w:val="00FD291E"/>
    <w:rsid w:val="00FD2985"/>
    <w:rsid w:val="00FD2A26"/>
    <w:rsid w:val="00FD2AE8"/>
    <w:rsid w:val="00FD2C14"/>
    <w:rsid w:val="00FD2C9F"/>
    <w:rsid w:val="00FD3822"/>
    <w:rsid w:val="00FD3B30"/>
    <w:rsid w:val="00FD3DA7"/>
    <w:rsid w:val="00FD3DC6"/>
    <w:rsid w:val="00FD3FD9"/>
    <w:rsid w:val="00FD4083"/>
    <w:rsid w:val="00FD4430"/>
    <w:rsid w:val="00FD45DF"/>
    <w:rsid w:val="00FD482A"/>
    <w:rsid w:val="00FD484F"/>
    <w:rsid w:val="00FD4D18"/>
    <w:rsid w:val="00FD4DAB"/>
    <w:rsid w:val="00FD5064"/>
    <w:rsid w:val="00FD5F25"/>
    <w:rsid w:val="00FD633B"/>
    <w:rsid w:val="00FD63CF"/>
    <w:rsid w:val="00FD6406"/>
    <w:rsid w:val="00FD6826"/>
    <w:rsid w:val="00FD697E"/>
    <w:rsid w:val="00FD6C25"/>
    <w:rsid w:val="00FD6C72"/>
    <w:rsid w:val="00FD6D9D"/>
    <w:rsid w:val="00FD720C"/>
    <w:rsid w:val="00FD7296"/>
    <w:rsid w:val="00FD7632"/>
    <w:rsid w:val="00FD7CB8"/>
    <w:rsid w:val="00FE0161"/>
    <w:rsid w:val="00FE0218"/>
    <w:rsid w:val="00FE0486"/>
    <w:rsid w:val="00FE053C"/>
    <w:rsid w:val="00FE05A7"/>
    <w:rsid w:val="00FE05C8"/>
    <w:rsid w:val="00FE0615"/>
    <w:rsid w:val="00FE0847"/>
    <w:rsid w:val="00FE1AF1"/>
    <w:rsid w:val="00FE1D32"/>
    <w:rsid w:val="00FE1D8A"/>
    <w:rsid w:val="00FE1DA3"/>
    <w:rsid w:val="00FE22C6"/>
    <w:rsid w:val="00FE26A9"/>
    <w:rsid w:val="00FE2A9B"/>
    <w:rsid w:val="00FE2A9C"/>
    <w:rsid w:val="00FE2AF2"/>
    <w:rsid w:val="00FE2C89"/>
    <w:rsid w:val="00FE2DC2"/>
    <w:rsid w:val="00FE38D5"/>
    <w:rsid w:val="00FE3C2A"/>
    <w:rsid w:val="00FE3CB6"/>
    <w:rsid w:val="00FE3E56"/>
    <w:rsid w:val="00FE425E"/>
    <w:rsid w:val="00FE464B"/>
    <w:rsid w:val="00FE4683"/>
    <w:rsid w:val="00FE4938"/>
    <w:rsid w:val="00FE4CD5"/>
    <w:rsid w:val="00FE5007"/>
    <w:rsid w:val="00FE51C8"/>
    <w:rsid w:val="00FE53DF"/>
    <w:rsid w:val="00FE5400"/>
    <w:rsid w:val="00FE5402"/>
    <w:rsid w:val="00FE544E"/>
    <w:rsid w:val="00FE5D2C"/>
    <w:rsid w:val="00FE63D0"/>
    <w:rsid w:val="00FE6699"/>
    <w:rsid w:val="00FE6B16"/>
    <w:rsid w:val="00FE6ECC"/>
    <w:rsid w:val="00FE6EFD"/>
    <w:rsid w:val="00FE6F25"/>
    <w:rsid w:val="00FE6F3D"/>
    <w:rsid w:val="00FE715E"/>
    <w:rsid w:val="00FE75B4"/>
    <w:rsid w:val="00FE773E"/>
    <w:rsid w:val="00FE7E53"/>
    <w:rsid w:val="00FF0114"/>
    <w:rsid w:val="00FF05AF"/>
    <w:rsid w:val="00FF09D4"/>
    <w:rsid w:val="00FF0C00"/>
    <w:rsid w:val="00FF116C"/>
    <w:rsid w:val="00FF1559"/>
    <w:rsid w:val="00FF164D"/>
    <w:rsid w:val="00FF1651"/>
    <w:rsid w:val="00FF19F4"/>
    <w:rsid w:val="00FF1CB8"/>
    <w:rsid w:val="00FF1CE0"/>
    <w:rsid w:val="00FF1E2B"/>
    <w:rsid w:val="00FF218C"/>
    <w:rsid w:val="00FF2584"/>
    <w:rsid w:val="00FF260F"/>
    <w:rsid w:val="00FF279A"/>
    <w:rsid w:val="00FF292A"/>
    <w:rsid w:val="00FF296C"/>
    <w:rsid w:val="00FF2FB4"/>
    <w:rsid w:val="00FF356F"/>
    <w:rsid w:val="00FF389A"/>
    <w:rsid w:val="00FF38A1"/>
    <w:rsid w:val="00FF3959"/>
    <w:rsid w:val="00FF3A14"/>
    <w:rsid w:val="00FF3A2E"/>
    <w:rsid w:val="00FF3CC7"/>
    <w:rsid w:val="00FF4178"/>
    <w:rsid w:val="00FF4441"/>
    <w:rsid w:val="00FF4932"/>
    <w:rsid w:val="00FF5157"/>
    <w:rsid w:val="00FF53E5"/>
    <w:rsid w:val="00FF59C5"/>
    <w:rsid w:val="00FF5C1E"/>
    <w:rsid w:val="00FF6481"/>
    <w:rsid w:val="00FF653F"/>
    <w:rsid w:val="00FF69CB"/>
    <w:rsid w:val="00FF7001"/>
    <w:rsid w:val="00FF702C"/>
    <w:rsid w:val="00FF71E3"/>
    <w:rsid w:val="00FF73CB"/>
    <w:rsid w:val="00FF73E0"/>
    <w:rsid w:val="00FF7453"/>
    <w:rsid w:val="00FF76B6"/>
    <w:rsid w:val="00FF7AB4"/>
    <w:rsid w:val="0100A699"/>
    <w:rsid w:val="013752D2"/>
    <w:rsid w:val="01399265"/>
    <w:rsid w:val="0144CC11"/>
    <w:rsid w:val="0157212F"/>
    <w:rsid w:val="015ED059"/>
    <w:rsid w:val="016689C7"/>
    <w:rsid w:val="018B5022"/>
    <w:rsid w:val="0191A089"/>
    <w:rsid w:val="01963A68"/>
    <w:rsid w:val="019D936E"/>
    <w:rsid w:val="019DAD59"/>
    <w:rsid w:val="01CCED19"/>
    <w:rsid w:val="01CFCE6B"/>
    <w:rsid w:val="01D4C426"/>
    <w:rsid w:val="020AB7A1"/>
    <w:rsid w:val="02138BCA"/>
    <w:rsid w:val="02350C01"/>
    <w:rsid w:val="023B914E"/>
    <w:rsid w:val="02CFAA80"/>
    <w:rsid w:val="02D28081"/>
    <w:rsid w:val="02E03F13"/>
    <w:rsid w:val="02EA4DA7"/>
    <w:rsid w:val="02F6F5BA"/>
    <w:rsid w:val="02FEB879"/>
    <w:rsid w:val="0319CE45"/>
    <w:rsid w:val="032A6A37"/>
    <w:rsid w:val="032A6A5A"/>
    <w:rsid w:val="0333A78D"/>
    <w:rsid w:val="0347E436"/>
    <w:rsid w:val="034F7D2D"/>
    <w:rsid w:val="0354AA1D"/>
    <w:rsid w:val="0372806C"/>
    <w:rsid w:val="03747A30"/>
    <w:rsid w:val="0391E4C0"/>
    <w:rsid w:val="03AB933D"/>
    <w:rsid w:val="03AD0AA3"/>
    <w:rsid w:val="03AFC68D"/>
    <w:rsid w:val="03DE9DE0"/>
    <w:rsid w:val="04028BB5"/>
    <w:rsid w:val="04091E0D"/>
    <w:rsid w:val="041B6EF0"/>
    <w:rsid w:val="0480B2ED"/>
    <w:rsid w:val="048A2ABA"/>
    <w:rsid w:val="049DFB54"/>
    <w:rsid w:val="04BC3344"/>
    <w:rsid w:val="05076D00"/>
    <w:rsid w:val="0533E640"/>
    <w:rsid w:val="055940E4"/>
    <w:rsid w:val="0585826C"/>
    <w:rsid w:val="05AF0F84"/>
    <w:rsid w:val="06022C29"/>
    <w:rsid w:val="06115522"/>
    <w:rsid w:val="06193C17"/>
    <w:rsid w:val="06401848"/>
    <w:rsid w:val="06623518"/>
    <w:rsid w:val="066B1537"/>
    <w:rsid w:val="06900CDB"/>
    <w:rsid w:val="06BE4972"/>
    <w:rsid w:val="06C5743A"/>
    <w:rsid w:val="06EBE5DF"/>
    <w:rsid w:val="06EEAF84"/>
    <w:rsid w:val="070A3EDA"/>
    <w:rsid w:val="071AE959"/>
    <w:rsid w:val="074785CD"/>
    <w:rsid w:val="0766CD95"/>
    <w:rsid w:val="0771434D"/>
    <w:rsid w:val="07734F43"/>
    <w:rsid w:val="0779AA61"/>
    <w:rsid w:val="07A5C849"/>
    <w:rsid w:val="07A871F7"/>
    <w:rsid w:val="07BB5565"/>
    <w:rsid w:val="07F954C0"/>
    <w:rsid w:val="07FCF2AA"/>
    <w:rsid w:val="081EF9B9"/>
    <w:rsid w:val="082D0A88"/>
    <w:rsid w:val="083FD271"/>
    <w:rsid w:val="0860E5D0"/>
    <w:rsid w:val="087F371A"/>
    <w:rsid w:val="087FF2A1"/>
    <w:rsid w:val="08807D93"/>
    <w:rsid w:val="08B719A5"/>
    <w:rsid w:val="08D7FC9F"/>
    <w:rsid w:val="08F96544"/>
    <w:rsid w:val="0908A8FA"/>
    <w:rsid w:val="091FE665"/>
    <w:rsid w:val="09255445"/>
    <w:rsid w:val="0936C320"/>
    <w:rsid w:val="0946CDB4"/>
    <w:rsid w:val="0963980F"/>
    <w:rsid w:val="09685598"/>
    <w:rsid w:val="0970C982"/>
    <w:rsid w:val="097CD606"/>
    <w:rsid w:val="097FB110"/>
    <w:rsid w:val="09ABD700"/>
    <w:rsid w:val="09C82082"/>
    <w:rsid w:val="09CF63AB"/>
    <w:rsid w:val="09E7469C"/>
    <w:rsid w:val="0A012689"/>
    <w:rsid w:val="0A205B69"/>
    <w:rsid w:val="0A460849"/>
    <w:rsid w:val="0AD7F6F8"/>
    <w:rsid w:val="0AE41D89"/>
    <w:rsid w:val="0B08BACE"/>
    <w:rsid w:val="0B52214F"/>
    <w:rsid w:val="0B6B5265"/>
    <w:rsid w:val="0B7AFC37"/>
    <w:rsid w:val="0B7FCEDD"/>
    <w:rsid w:val="0B84F6D5"/>
    <w:rsid w:val="0BB6F382"/>
    <w:rsid w:val="0BB98BD0"/>
    <w:rsid w:val="0BC60D64"/>
    <w:rsid w:val="0BD518D0"/>
    <w:rsid w:val="0BFC9086"/>
    <w:rsid w:val="0C04BA59"/>
    <w:rsid w:val="0C209F67"/>
    <w:rsid w:val="0C243AE0"/>
    <w:rsid w:val="0C2733B1"/>
    <w:rsid w:val="0C48CE77"/>
    <w:rsid w:val="0C608F0C"/>
    <w:rsid w:val="0C8CD676"/>
    <w:rsid w:val="0CA5DB34"/>
    <w:rsid w:val="0CB32600"/>
    <w:rsid w:val="0D010B6B"/>
    <w:rsid w:val="0D17C721"/>
    <w:rsid w:val="0D3FA747"/>
    <w:rsid w:val="0D4142B1"/>
    <w:rsid w:val="0D49B18B"/>
    <w:rsid w:val="0D50B581"/>
    <w:rsid w:val="0D5CF317"/>
    <w:rsid w:val="0D735E7E"/>
    <w:rsid w:val="0D79DC14"/>
    <w:rsid w:val="0DEEC382"/>
    <w:rsid w:val="0E0162EB"/>
    <w:rsid w:val="0E1A6E27"/>
    <w:rsid w:val="0E49CD4C"/>
    <w:rsid w:val="0E4ADAE9"/>
    <w:rsid w:val="0E5C52AE"/>
    <w:rsid w:val="0E70BDFE"/>
    <w:rsid w:val="0EA872D8"/>
    <w:rsid w:val="0ECBAD60"/>
    <w:rsid w:val="0ECF0441"/>
    <w:rsid w:val="0EF8647A"/>
    <w:rsid w:val="0F0FD728"/>
    <w:rsid w:val="0F1034D7"/>
    <w:rsid w:val="0F1672F9"/>
    <w:rsid w:val="0F1B7887"/>
    <w:rsid w:val="0F3FEEF0"/>
    <w:rsid w:val="0F4A25A0"/>
    <w:rsid w:val="0F794F57"/>
    <w:rsid w:val="0F9E92AF"/>
    <w:rsid w:val="0FA6E0ED"/>
    <w:rsid w:val="0FAA7185"/>
    <w:rsid w:val="0FED4519"/>
    <w:rsid w:val="0FF9D307"/>
    <w:rsid w:val="10002B00"/>
    <w:rsid w:val="1018D7A9"/>
    <w:rsid w:val="1020A2C2"/>
    <w:rsid w:val="1025373E"/>
    <w:rsid w:val="1033DF52"/>
    <w:rsid w:val="1044F889"/>
    <w:rsid w:val="1046095D"/>
    <w:rsid w:val="10592D82"/>
    <w:rsid w:val="1064340A"/>
    <w:rsid w:val="1065F66A"/>
    <w:rsid w:val="10903BC6"/>
    <w:rsid w:val="109EE0CF"/>
    <w:rsid w:val="10B3C39F"/>
    <w:rsid w:val="10BA05AB"/>
    <w:rsid w:val="10C285B4"/>
    <w:rsid w:val="10E95958"/>
    <w:rsid w:val="10EA4227"/>
    <w:rsid w:val="10F345C6"/>
    <w:rsid w:val="1113BE69"/>
    <w:rsid w:val="1113F7DD"/>
    <w:rsid w:val="11143475"/>
    <w:rsid w:val="11231D76"/>
    <w:rsid w:val="11480391"/>
    <w:rsid w:val="11614325"/>
    <w:rsid w:val="116EF4D7"/>
    <w:rsid w:val="118C6B20"/>
    <w:rsid w:val="118D3716"/>
    <w:rsid w:val="11A2CB2B"/>
    <w:rsid w:val="11D7C4B0"/>
    <w:rsid w:val="120A9A78"/>
    <w:rsid w:val="1225936B"/>
    <w:rsid w:val="126A3545"/>
    <w:rsid w:val="128FB2EE"/>
    <w:rsid w:val="1292270C"/>
    <w:rsid w:val="129EB075"/>
    <w:rsid w:val="12BD6CD1"/>
    <w:rsid w:val="12D14644"/>
    <w:rsid w:val="12D9185A"/>
    <w:rsid w:val="12F8CF02"/>
    <w:rsid w:val="130454D0"/>
    <w:rsid w:val="130D269C"/>
    <w:rsid w:val="133CBDCE"/>
    <w:rsid w:val="133CCA13"/>
    <w:rsid w:val="133E5C9C"/>
    <w:rsid w:val="136E3273"/>
    <w:rsid w:val="138BB9C1"/>
    <w:rsid w:val="1390267A"/>
    <w:rsid w:val="13A36332"/>
    <w:rsid w:val="13D44BFB"/>
    <w:rsid w:val="13F9269A"/>
    <w:rsid w:val="1405E9C9"/>
    <w:rsid w:val="141DF9B4"/>
    <w:rsid w:val="142236D7"/>
    <w:rsid w:val="14243B02"/>
    <w:rsid w:val="14351653"/>
    <w:rsid w:val="143ECB5E"/>
    <w:rsid w:val="144E6D20"/>
    <w:rsid w:val="146024BB"/>
    <w:rsid w:val="1460328A"/>
    <w:rsid w:val="148D3D1B"/>
    <w:rsid w:val="14959553"/>
    <w:rsid w:val="149A74C9"/>
    <w:rsid w:val="14A56011"/>
    <w:rsid w:val="14A92742"/>
    <w:rsid w:val="14B802F4"/>
    <w:rsid w:val="14BAE0BE"/>
    <w:rsid w:val="14D73615"/>
    <w:rsid w:val="14E43FBD"/>
    <w:rsid w:val="14F8E391"/>
    <w:rsid w:val="15269056"/>
    <w:rsid w:val="1531252E"/>
    <w:rsid w:val="153F4FF0"/>
    <w:rsid w:val="155E561A"/>
    <w:rsid w:val="156A05DC"/>
    <w:rsid w:val="158C245D"/>
    <w:rsid w:val="15910BCC"/>
    <w:rsid w:val="15A6AF10"/>
    <w:rsid w:val="15D9BAC0"/>
    <w:rsid w:val="15E1AFB0"/>
    <w:rsid w:val="16252ED4"/>
    <w:rsid w:val="16322D83"/>
    <w:rsid w:val="16595FD0"/>
    <w:rsid w:val="165E75C2"/>
    <w:rsid w:val="1665B3DE"/>
    <w:rsid w:val="1667FCE9"/>
    <w:rsid w:val="1687A181"/>
    <w:rsid w:val="169B65E6"/>
    <w:rsid w:val="16A4CBF1"/>
    <w:rsid w:val="16A806DA"/>
    <w:rsid w:val="16FD7A4E"/>
    <w:rsid w:val="17025614"/>
    <w:rsid w:val="170A2ECD"/>
    <w:rsid w:val="172E6C83"/>
    <w:rsid w:val="172EDE1D"/>
    <w:rsid w:val="1733CD69"/>
    <w:rsid w:val="1735F3F9"/>
    <w:rsid w:val="173E7F59"/>
    <w:rsid w:val="17AD3DDE"/>
    <w:rsid w:val="17AFA4B9"/>
    <w:rsid w:val="17B8B2C3"/>
    <w:rsid w:val="17C0813C"/>
    <w:rsid w:val="17C91B4F"/>
    <w:rsid w:val="17DE11BC"/>
    <w:rsid w:val="17FA059E"/>
    <w:rsid w:val="180BFD6B"/>
    <w:rsid w:val="183EF633"/>
    <w:rsid w:val="188533DA"/>
    <w:rsid w:val="188997B6"/>
    <w:rsid w:val="188C4ADA"/>
    <w:rsid w:val="1895A5C8"/>
    <w:rsid w:val="189EA94D"/>
    <w:rsid w:val="18B18F0A"/>
    <w:rsid w:val="18B65CCC"/>
    <w:rsid w:val="18B6F2DB"/>
    <w:rsid w:val="18BA8991"/>
    <w:rsid w:val="18C774D6"/>
    <w:rsid w:val="18CACF6A"/>
    <w:rsid w:val="18CF3A1B"/>
    <w:rsid w:val="18D47B80"/>
    <w:rsid w:val="18DC6CB9"/>
    <w:rsid w:val="18DD60A2"/>
    <w:rsid w:val="18F156E3"/>
    <w:rsid w:val="193192F1"/>
    <w:rsid w:val="193AAECC"/>
    <w:rsid w:val="1944F006"/>
    <w:rsid w:val="194F3559"/>
    <w:rsid w:val="1951A5B2"/>
    <w:rsid w:val="19915C15"/>
    <w:rsid w:val="199AFFD5"/>
    <w:rsid w:val="19A5BFAA"/>
    <w:rsid w:val="19B17BA6"/>
    <w:rsid w:val="19D62254"/>
    <w:rsid w:val="19EDA43C"/>
    <w:rsid w:val="1A1A20DA"/>
    <w:rsid w:val="1A2FE16E"/>
    <w:rsid w:val="1A4044F8"/>
    <w:rsid w:val="1A491515"/>
    <w:rsid w:val="1A75A5C5"/>
    <w:rsid w:val="1A78BC10"/>
    <w:rsid w:val="1A86BB8C"/>
    <w:rsid w:val="1AA63AB4"/>
    <w:rsid w:val="1AB39C08"/>
    <w:rsid w:val="1ACAF499"/>
    <w:rsid w:val="1AD15BF6"/>
    <w:rsid w:val="1AE76945"/>
    <w:rsid w:val="1AF86AC7"/>
    <w:rsid w:val="1AFB3137"/>
    <w:rsid w:val="1B042F30"/>
    <w:rsid w:val="1B29D6FC"/>
    <w:rsid w:val="1B3D519B"/>
    <w:rsid w:val="1B560AE7"/>
    <w:rsid w:val="1B590603"/>
    <w:rsid w:val="1B7145D5"/>
    <w:rsid w:val="1B80C3B4"/>
    <w:rsid w:val="1B95F670"/>
    <w:rsid w:val="1B9775A5"/>
    <w:rsid w:val="1BA8AFE3"/>
    <w:rsid w:val="1BE3A958"/>
    <w:rsid w:val="1C06378C"/>
    <w:rsid w:val="1C7F0C8A"/>
    <w:rsid w:val="1C9E0580"/>
    <w:rsid w:val="1CBB729E"/>
    <w:rsid w:val="1CCCBD7E"/>
    <w:rsid w:val="1CDBB0AA"/>
    <w:rsid w:val="1CF73A10"/>
    <w:rsid w:val="1CFB722F"/>
    <w:rsid w:val="1D0EF8D3"/>
    <w:rsid w:val="1D11ABB4"/>
    <w:rsid w:val="1D245DBF"/>
    <w:rsid w:val="1D3D5244"/>
    <w:rsid w:val="1D727262"/>
    <w:rsid w:val="1D811309"/>
    <w:rsid w:val="1D954982"/>
    <w:rsid w:val="1D95F297"/>
    <w:rsid w:val="1D9BBC06"/>
    <w:rsid w:val="1DC03DC3"/>
    <w:rsid w:val="1DC4215C"/>
    <w:rsid w:val="1DD27A7A"/>
    <w:rsid w:val="1DD651C3"/>
    <w:rsid w:val="1DDCA093"/>
    <w:rsid w:val="1DDCA7F4"/>
    <w:rsid w:val="1DDF71BA"/>
    <w:rsid w:val="1DFBB0B2"/>
    <w:rsid w:val="1E0743FC"/>
    <w:rsid w:val="1E15DB6D"/>
    <w:rsid w:val="1E1CE540"/>
    <w:rsid w:val="1E29F738"/>
    <w:rsid w:val="1E3CFE29"/>
    <w:rsid w:val="1E573F33"/>
    <w:rsid w:val="1E817CDD"/>
    <w:rsid w:val="1E90453E"/>
    <w:rsid w:val="1E99FDBD"/>
    <w:rsid w:val="1EAB1E69"/>
    <w:rsid w:val="1EBB35DB"/>
    <w:rsid w:val="1ED53604"/>
    <w:rsid w:val="1ED8BA0F"/>
    <w:rsid w:val="1EED22FC"/>
    <w:rsid w:val="1F1FE322"/>
    <w:rsid w:val="1F2C2E36"/>
    <w:rsid w:val="1F300B77"/>
    <w:rsid w:val="1F95A8E6"/>
    <w:rsid w:val="1F9E8EC7"/>
    <w:rsid w:val="1FAA769A"/>
    <w:rsid w:val="1FD89664"/>
    <w:rsid w:val="2000290B"/>
    <w:rsid w:val="20033A7D"/>
    <w:rsid w:val="201ABEE1"/>
    <w:rsid w:val="20331144"/>
    <w:rsid w:val="2092B1FA"/>
    <w:rsid w:val="20A2DDB8"/>
    <w:rsid w:val="20B6FD3E"/>
    <w:rsid w:val="20D603A6"/>
    <w:rsid w:val="212217BB"/>
    <w:rsid w:val="2126C6D1"/>
    <w:rsid w:val="21478448"/>
    <w:rsid w:val="215276BB"/>
    <w:rsid w:val="217273D5"/>
    <w:rsid w:val="217C88F9"/>
    <w:rsid w:val="218AB905"/>
    <w:rsid w:val="21B23D87"/>
    <w:rsid w:val="21C0396A"/>
    <w:rsid w:val="21D1AC04"/>
    <w:rsid w:val="21D29999"/>
    <w:rsid w:val="21DE581E"/>
    <w:rsid w:val="21E1EF5F"/>
    <w:rsid w:val="21E2ED93"/>
    <w:rsid w:val="225CAFDC"/>
    <w:rsid w:val="2279D68B"/>
    <w:rsid w:val="22830439"/>
    <w:rsid w:val="2290C715"/>
    <w:rsid w:val="22B5BD1E"/>
    <w:rsid w:val="22B6DA59"/>
    <w:rsid w:val="22BB4491"/>
    <w:rsid w:val="22C396D0"/>
    <w:rsid w:val="22D5C652"/>
    <w:rsid w:val="22F8CEB9"/>
    <w:rsid w:val="23058108"/>
    <w:rsid w:val="234CDD88"/>
    <w:rsid w:val="238684AC"/>
    <w:rsid w:val="238FC40E"/>
    <w:rsid w:val="23BBACFA"/>
    <w:rsid w:val="23C9B4F6"/>
    <w:rsid w:val="23FD2932"/>
    <w:rsid w:val="23FF10B2"/>
    <w:rsid w:val="23FF7D4F"/>
    <w:rsid w:val="240B2E77"/>
    <w:rsid w:val="2413ADEA"/>
    <w:rsid w:val="241C2A63"/>
    <w:rsid w:val="241C9FB6"/>
    <w:rsid w:val="24210DC2"/>
    <w:rsid w:val="2426233E"/>
    <w:rsid w:val="2427C79A"/>
    <w:rsid w:val="2428AD6D"/>
    <w:rsid w:val="242C3B71"/>
    <w:rsid w:val="24598329"/>
    <w:rsid w:val="246C39F4"/>
    <w:rsid w:val="2514FD36"/>
    <w:rsid w:val="251F181D"/>
    <w:rsid w:val="25239E4E"/>
    <w:rsid w:val="253617A2"/>
    <w:rsid w:val="25430138"/>
    <w:rsid w:val="2563732E"/>
    <w:rsid w:val="2573DA03"/>
    <w:rsid w:val="259D83B6"/>
    <w:rsid w:val="259E487B"/>
    <w:rsid w:val="25A02305"/>
    <w:rsid w:val="25A8472A"/>
    <w:rsid w:val="25C211D2"/>
    <w:rsid w:val="25C76D56"/>
    <w:rsid w:val="25D9EECA"/>
    <w:rsid w:val="25E6D94B"/>
    <w:rsid w:val="261CA057"/>
    <w:rsid w:val="262463FE"/>
    <w:rsid w:val="2625A297"/>
    <w:rsid w:val="2629D703"/>
    <w:rsid w:val="26316408"/>
    <w:rsid w:val="264726B4"/>
    <w:rsid w:val="267088FA"/>
    <w:rsid w:val="2683842D"/>
    <w:rsid w:val="26908C26"/>
    <w:rsid w:val="2694BD2F"/>
    <w:rsid w:val="26AD6C7F"/>
    <w:rsid w:val="26BE6542"/>
    <w:rsid w:val="26CC33EB"/>
    <w:rsid w:val="26E06B2B"/>
    <w:rsid w:val="27343CCB"/>
    <w:rsid w:val="273EEF23"/>
    <w:rsid w:val="27848F2F"/>
    <w:rsid w:val="2793B085"/>
    <w:rsid w:val="27A6D76D"/>
    <w:rsid w:val="27B344CA"/>
    <w:rsid w:val="27C8636B"/>
    <w:rsid w:val="27CA17BE"/>
    <w:rsid w:val="27DDEAAD"/>
    <w:rsid w:val="27F17877"/>
    <w:rsid w:val="280D9BA5"/>
    <w:rsid w:val="283B5EA6"/>
    <w:rsid w:val="284A0EE0"/>
    <w:rsid w:val="28B763E8"/>
    <w:rsid w:val="28B8892C"/>
    <w:rsid w:val="28ECBEEF"/>
    <w:rsid w:val="28FAA122"/>
    <w:rsid w:val="28FD35AD"/>
    <w:rsid w:val="2925B610"/>
    <w:rsid w:val="2942E0AB"/>
    <w:rsid w:val="295B1CD9"/>
    <w:rsid w:val="295DA5DC"/>
    <w:rsid w:val="297D924C"/>
    <w:rsid w:val="2987E4FA"/>
    <w:rsid w:val="2997AA5F"/>
    <w:rsid w:val="29A28F29"/>
    <w:rsid w:val="29B7D24F"/>
    <w:rsid w:val="29BD1FEA"/>
    <w:rsid w:val="29D5F757"/>
    <w:rsid w:val="29DA2B96"/>
    <w:rsid w:val="2A021B52"/>
    <w:rsid w:val="2A16F1B9"/>
    <w:rsid w:val="2A385481"/>
    <w:rsid w:val="2A3BB277"/>
    <w:rsid w:val="2A509EE7"/>
    <w:rsid w:val="2A592820"/>
    <w:rsid w:val="2A5DCC59"/>
    <w:rsid w:val="2A7DB1AE"/>
    <w:rsid w:val="2AA392B1"/>
    <w:rsid w:val="2B1E0A9C"/>
    <w:rsid w:val="2B6BD2B6"/>
    <w:rsid w:val="2B74E15A"/>
    <w:rsid w:val="2B7FB132"/>
    <w:rsid w:val="2B828998"/>
    <w:rsid w:val="2B8EE61F"/>
    <w:rsid w:val="2BB1B23A"/>
    <w:rsid w:val="2BCD4551"/>
    <w:rsid w:val="2C1765D6"/>
    <w:rsid w:val="2C247D5D"/>
    <w:rsid w:val="2C742B00"/>
    <w:rsid w:val="2C75AAB5"/>
    <w:rsid w:val="2CA02BF4"/>
    <w:rsid w:val="2CD64700"/>
    <w:rsid w:val="2CDD2D16"/>
    <w:rsid w:val="2CE6A7F7"/>
    <w:rsid w:val="2CE74395"/>
    <w:rsid w:val="2D025F9A"/>
    <w:rsid w:val="2D042FE2"/>
    <w:rsid w:val="2D0BEEFA"/>
    <w:rsid w:val="2D2748B9"/>
    <w:rsid w:val="2D2E8FBF"/>
    <w:rsid w:val="2D318474"/>
    <w:rsid w:val="2D3F65DC"/>
    <w:rsid w:val="2D4107F2"/>
    <w:rsid w:val="2D509AD4"/>
    <w:rsid w:val="2D59F10C"/>
    <w:rsid w:val="2D5F9156"/>
    <w:rsid w:val="2D633664"/>
    <w:rsid w:val="2D6A4A73"/>
    <w:rsid w:val="2D6EB1DC"/>
    <w:rsid w:val="2D7358F8"/>
    <w:rsid w:val="2DC1DECC"/>
    <w:rsid w:val="2DCCD7FA"/>
    <w:rsid w:val="2DF90E29"/>
    <w:rsid w:val="2DFEFB56"/>
    <w:rsid w:val="2E0CA9C1"/>
    <w:rsid w:val="2E2C02B4"/>
    <w:rsid w:val="2E37242B"/>
    <w:rsid w:val="2E483D98"/>
    <w:rsid w:val="2E509BE9"/>
    <w:rsid w:val="2E7270A5"/>
    <w:rsid w:val="2E832C5F"/>
    <w:rsid w:val="2E861E7D"/>
    <w:rsid w:val="2E88DB62"/>
    <w:rsid w:val="2EA4F204"/>
    <w:rsid w:val="2EAEB6E2"/>
    <w:rsid w:val="2EBABBA5"/>
    <w:rsid w:val="2ED7B8BF"/>
    <w:rsid w:val="2ED8F9FF"/>
    <w:rsid w:val="2EDBD66D"/>
    <w:rsid w:val="2EE3DD50"/>
    <w:rsid w:val="2F13C9B1"/>
    <w:rsid w:val="2F18638A"/>
    <w:rsid w:val="2F391A8A"/>
    <w:rsid w:val="2F3E1E04"/>
    <w:rsid w:val="2F5068D4"/>
    <w:rsid w:val="2F53DDA5"/>
    <w:rsid w:val="2F56B9CC"/>
    <w:rsid w:val="2F68B4D2"/>
    <w:rsid w:val="2FB9112E"/>
    <w:rsid w:val="2FC1F39E"/>
    <w:rsid w:val="2FC9B243"/>
    <w:rsid w:val="2FFB04B5"/>
    <w:rsid w:val="3021E8FC"/>
    <w:rsid w:val="302E9C41"/>
    <w:rsid w:val="3044731B"/>
    <w:rsid w:val="3072380A"/>
    <w:rsid w:val="3079729D"/>
    <w:rsid w:val="308E81E3"/>
    <w:rsid w:val="309B6364"/>
    <w:rsid w:val="30D82595"/>
    <w:rsid w:val="30FCA95D"/>
    <w:rsid w:val="311A1D4B"/>
    <w:rsid w:val="311E2253"/>
    <w:rsid w:val="3120BA9D"/>
    <w:rsid w:val="312A79F6"/>
    <w:rsid w:val="312DF0CC"/>
    <w:rsid w:val="312E9A69"/>
    <w:rsid w:val="314024C6"/>
    <w:rsid w:val="31509719"/>
    <w:rsid w:val="315C4C32"/>
    <w:rsid w:val="316C88EE"/>
    <w:rsid w:val="31AF33D8"/>
    <w:rsid w:val="31B2E16C"/>
    <w:rsid w:val="31CE206F"/>
    <w:rsid w:val="31EAE2D3"/>
    <w:rsid w:val="3204212C"/>
    <w:rsid w:val="320D6617"/>
    <w:rsid w:val="32321E86"/>
    <w:rsid w:val="3234400B"/>
    <w:rsid w:val="32496585"/>
    <w:rsid w:val="324CCE43"/>
    <w:rsid w:val="324EEFE6"/>
    <w:rsid w:val="325A2A46"/>
    <w:rsid w:val="3270E9B1"/>
    <w:rsid w:val="327C0AD3"/>
    <w:rsid w:val="3290DC39"/>
    <w:rsid w:val="32BCF38C"/>
    <w:rsid w:val="32C8C049"/>
    <w:rsid w:val="32CD3661"/>
    <w:rsid w:val="32EC5962"/>
    <w:rsid w:val="330A771A"/>
    <w:rsid w:val="3313F3BE"/>
    <w:rsid w:val="335D88F0"/>
    <w:rsid w:val="33711469"/>
    <w:rsid w:val="337511BF"/>
    <w:rsid w:val="33889984"/>
    <w:rsid w:val="33CB8BF7"/>
    <w:rsid w:val="33F15D07"/>
    <w:rsid w:val="33F443DF"/>
    <w:rsid w:val="3407BB4F"/>
    <w:rsid w:val="340CFF52"/>
    <w:rsid w:val="3424C97E"/>
    <w:rsid w:val="34370286"/>
    <w:rsid w:val="3439CAF3"/>
    <w:rsid w:val="344241D0"/>
    <w:rsid w:val="346139F9"/>
    <w:rsid w:val="3470BB6A"/>
    <w:rsid w:val="3490E491"/>
    <w:rsid w:val="3493A4D7"/>
    <w:rsid w:val="34945381"/>
    <w:rsid w:val="349EAD49"/>
    <w:rsid w:val="34A1C514"/>
    <w:rsid w:val="34B2A697"/>
    <w:rsid w:val="34F7D9BE"/>
    <w:rsid w:val="351733AF"/>
    <w:rsid w:val="351976A9"/>
    <w:rsid w:val="352364DF"/>
    <w:rsid w:val="352F2648"/>
    <w:rsid w:val="3546FD41"/>
    <w:rsid w:val="35489C0D"/>
    <w:rsid w:val="35529291"/>
    <w:rsid w:val="35568879"/>
    <w:rsid w:val="35595750"/>
    <w:rsid w:val="3559EE52"/>
    <w:rsid w:val="355B290F"/>
    <w:rsid w:val="35761B93"/>
    <w:rsid w:val="35818158"/>
    <w:rsid w:val="35B29C2D"/>
    <w:rsid w:val="35BA2C2E"/>
    <w:rsid w:val="35BB1ECD"/>
    <w:rsid w:val="35CE9F3F"/>
    <w:rsid w:val="35E625F5"/>
    <w:rsid w:val="35FB6B55"/>
    <w:rsid w:val="3612B313"/>
    <w:rsid w:val="36557EC3"/>
    <w:rsid w:val="3675296A"/>
    <w:rsid w:val="367B6BEC"/>
    <w:rsid w:val="367CD918"/>
    <w:rsid w:val="368CA1B2"/>
    <w:rsid w:val="3694FCDB"/>
    <w:rsid w:val="36953FBB"/>
    <w:rsid w:val="36A12F1F"/>
    <w:rsid w:val="36A56ECE"/>
    <w:rsid w:val="36B64FA4"/>
    <w:rsid w:val="36F1CAA0"/>
    <w:rsid w:val="370711ED"/>
    <w:rsid w:val="3707AA17"/>
    <w:rsid w:val="372B25EF"/>
    <w:rsid w:val="3739C3DF"/>
    <w:rsid w:val="373CF04F"/>
    <w:rsid w:val="37424F52"/>
    <w:rsid w:val="377734B5"/>
    <w:rsid w:val="3779B2D3"/>
    <w:rsid w:val="377C1054"/>
    <w:rsid w:val="378B635C"/>
    <w:rsid w:val="379897E9"/>
    <w:rsid w:val="37C3CA84"/>
    <w:rsid w:val="37E9FFD9"/>
    <w:rsid w:val="37EF3730"/>
    <w:rsid w:val="37F0FF12"/>
    <w:rsid w:val="37FC05CF"/>
    <w:rsid w:val="380B5BFD"/>
    <w:rsid w:val="381847C4"/>
    <w:rsid w:val="38236391"/>
    <w:rsid w:val="382ABED6"/>
    <w:rsid w:val="384E7F94"/>
    <w:rsid w:val="38688BF8"/>
    <w:rsid w:val="386D2478"/>
    <w:rsid w:val="3878BB60"/>
    <w:rsid w:val="388D904E"/>
    <w:rsid w:val="388DE38C"/>
    <w:rsid w:val="389A6819"/>
    <w:rsid w:val="38D3BF86"/>
    <w:rsid w:val="38DD63EF"/>
    <w:rsid w:val="38E2188A"/>
    <w:rsid w:val="38EDF226"/>
    <w:rsid w:val="39099326"/>
    <w:rsid w:val="3970B35C"/>
    <w:rsid w:val="3973BC67"/>
    <w:rsid w:val="397CF743"/>
    <w:rsid w:val="39C94F58"/>
    <w:rsid w:val="39DC2BE5"/>
    <w:rsid w:val="39E60B58"/>
    <w:rsid w:val="39FBFBD2"/>
    <w:rsid w:val="3A0FDA60"/>
    <w:rsid w:val="3A159C13"/>
    <w:rsid w:val="3A1F5ABD"/>
    <w:rsid w:val="3A372CCB"/>
    <w:rsid w:val="3A58AE0E"/>
    <w:rsid w:val="3A744C76"/>
    <w:rsid w:val="3A9F7292"/>
    <w:rsid w:val="3AA25F1A"/>
    <w:rsid w:val="3AA97949"/>
    <w:rsid w:val="3AB3305E"/>
    <w:rsid w:val="3ABA19C9"/>
    <w:rsid w:val="3AE0BF6B"/>
    <w:rsid w:val="3AE86683"/>
    <w:rsid w:val="3AF46B70"/>
    <w:rsid w:val="3AF51017"/>
    <w:rsid w:val="3B1A8A23"/>
    <w:rsid w:val="3B35FF54"/>
    <w:rsid w:val="3B4AD063"/>
    <w:rsid w:val="3B64E9DD"/>
    <w:rsid w:val="3B682DDD"/>
    <w:rsid w:val="3B81E67D"/>
    <w:rsid w:val="3B826079"/>
    <w:rsid w:val="3B84F1DF"/>
    <w:rsid w:val="3B8D4224"/>
    <w:rsid w:val="3B932E8D"/>
    <w:rsid w:val="3B9AFF7F"/>
    <w:rsid w:val="3BB6D6B5"/>
    <w:rsid w:val="3BD18E69"/>
    <w:rsid w:val="3C158E2D"/>
    <w:rsid w:val="3C1C2884"/>
    <w:rsid w:val="3C2B06A5"/>
    <w:rsid w:val="3C41B593"/>
    <w:rsid w:val="3C4D7C2B"/>
    <w:rsid w:val="3C895914"/>
    <w:rsid w:val="3C9C01F3"/>
    <w:rsid w:val="3CA180A4"/>
    <w:rsid w:val="3CA4D545"/>
    <w:rsid w:val="3CBEFF02"/>
    <w:rsid w:val="3CC6BF05"/>
    <w:rsid w:val="3CCF4033"/>
    <w:rsid w:val="3CE97421"/>
    <w:rsid w:val="3D41517C"/>
    <w:rsid w:val="3D73E3B9"/>
    <w:rsid w:val="3D76362E"/>
    <w:rsid w:val="3D76B92A"/>
    <w:rsid w:val="3D80405B"/>
    <w:rsid w:val="3D8D3CF1"/>
    <w:rsid w:val="3DA3588D"/>
    <w:rsid w:val="3DB46493"/>
    <w:rsid w:val="3DB590A3"/>
    <w:rsid w:val="3DB8C60B"/>
    <w:rsid w:val="3DE2BC0A"/>
    <w:rsid w:val="3DEB47C1"/>
    <w:rsid w:val="3DF3937D"/>
    <w:rsid w:val="3E0F7A83"/>
    <w:rsid w:val="3E10A2C6"/>
    <w:rsid w:val="3E2DEA13"/>
    <w:rsid w:val="3E4E2824"/>
    <w:rsid w:val="3E4E2B3F"/>
    <w:rsid w:val="3E71C779"/>
    <w:rsid w:val="3E972B60"/>
    <w:rsid w:val="3EA553D4"/>
    <w:rsid w:val="3EA707A8"/>
    <w:rsid w:val="3EA82285"/>
    <w:rsid w:val="3EA8B8D2"/>
    <w:rsid w:val="3EBE630C"/>
    <w:rsid w:val="3EC2259C"/>
    <w:rsid w:val="3ED891DE"/>
    <w:rsid w:val="3ED9A771"/>
    <w:rsid w:val="3EDDA5F3"/>
    <w:rsid w:val="3F0011E4"/>
    <w:rsid w:val="3F040C8D"/>
    <w:rsid w:val="3F13D09F"/>
    <w:rsid w:val="3F25B986"/>
    <w:rsid w:val="3F2AF5C5"/>
    <w:rsid w:val="3F74D5F7"/>
    <w:rsid w:val="3F74DD80"/>
    <w:rsid w:val="3F8A7A94"/>
    <w:rsid w:val="3F9E2BBE"/>
    <w:rsid w:val="3FA3CB5C"/>
    <w:rsid w:val="3FAC1616"/>
    <w:rsid w:val="3FB3C58B"/>
    <w:rsid w:val="3FBD30BC"/>
    <w:rsid w:val="3FD0C55E"/>
    <w:rsid w:val="3FEFB340"/>
    <w:rsid w:val="400B74D6"/>
    <w:rsid w:val="4010E332"/>
    <w:rsid w:val="40283D1F"/>
    <w:rsid w:val="40301DDF"/>
    <w:rsid w:val="403A9269"/>
    <w:rsid w:val="404BA174"/>
    <w:rsid w:val="408AF08F"/>
    <w:rsid w:val="409B89B6"/>
    <w:rsid w:val="409E52A8"/>
    <w:rsid w:val="40A15FCF"/>
    <w:rsid w:val="40A35722"/>
    <w:rsid w:val="40A4DC41"/>
    <w:rsid w:val="40D11E48"/>
    <w:rsid w:val="40D25C36"/>
    <w:rsid w:val="40D5E557"/>
    <w:rsid w:val="40DB4EFE"/>
    <w:rsid w:val="40E0FD74"/>
    <w:rsid w:val="40E328FC"/>
    <w:rsid w:val="40F08657"/>
    <w:rsid w:val="40FD3042"/>
    <w:rsid w:val="41082A9C"/>
    <w:rsid w:val="410F6C59"/>
    <w:rsid w:val="412DF783"/>
    <w:rsid w:val="41657B35"/>
    <w:rsid w:val="4189267B"/>
    <w:rsid w:val="41AE5335"/>
    <w:rsid w:val="41C058A0"/>
    <w:rsid w:val="4200828E"/>
    <w:rsid w:val="4202D94B"/>
    <w:rsid w:val="4217F841"/>
    <w:rsid w:val="422146C3"/>
    <w:rsid w:val="422F08A2"/>
    <w:rsid w:val="424D71A6"/>
    <w:rsid w:val="42630A45"/>
    <w:rsid w:val="426B7059"/>
    <w:rsid w:val="4290FF5F"/>
    <w:rsid w:val="42A94230"/>
    <w:rsid w:val="42B74A75"/>
    <w:rsid w:val="42B7FA5F"/>
    <w:rsid w:val="42C31C81"/>
    <w:rsid w:val="42CBE07E"/>
    <w:rsid w:val="42CDE186"/>
    <w:rsid w:val="42FFAEE9"/>
    <w:rsid w:val="4311D0E4"/>
    <w:rsid w:val="431F0E0D"/>
    <w:rsid w:val="432277C4"/>
    <w:rsid w:val="432EC6E1"/>
    <w:rsid w:val="4338B8E0"/>
    <w:rsid w:val="4340498B"/>
    <w:rsid w:val="434AB867"/>
    <w:rsid w:val="436E0B31"/>
    <w:rsid w:val="43850D87"/>
    <w:rsid w:val="439ACAFC"/>
    <w:rsid w:val="43B1BA73"/>
    <w:rsid w:val="44416EE1"/>
    <w:rsid w:val="444A2462"/>
    <w:rsid w:val="44615519"/>
    <w:rsid w:val="44966107"/>
    <w:rsid w:val="44ABDD83"/>
    <w:rsid w:val="44C526C4"/>
    <w:rsid w:val="44DFE7F0"/>
    <w:rsid w:val="44FEEE8A"/>
    <w:rsid w:val="45159A19"/>
    <w:rsid w:val="45254EE4"/>
    <w:rsid w:val="453CFB06"/>
    <w:rsid w:val="456C377B"/>
    <w:rsid w:val="458FE9C3"/>
    <w:rsid w:val="459BB00A"/>
    <w:rsid w:val="45B22D17"/>
    <w:rsid w:val="45B33CE2"/>
    <w:rsid w:val="45E8B897"/>
    <w:rsid w:val="45F7EA2F"/>
    <w:rsid w:val="460B9663"/>
    <w:rsid w:val="461EB819"/>
    <w:rsid w:val="4622F1C5"/>
    <w:rsid w:val="466D0091"/>
    <w:rsid w:val="467058BB"/>
    <w:rsid w:val="4676D2F1"/>
    <w:rsid w:val="46B00EC1"/>
    <w:rsid w:val="46B27DBD"/>
    <w:rsid w:val="46F43E65"/>
    <w:rsid w:val="46FFCCA9"/>
    <w:rsid w:val="4712D013"/>
    <w:rsid w:val="47140340"/>
    <w:rsid w:val="47281151"/>
    <w:rsid w:val="472AD312"/>
    <w:rsid w:val="474C9315"/>
    <w:rsid w:val="476A3F14"/>
    <w:rsid w:val="476DFD8A"/>
    <w:rsid w:val="477C9278"/>
    <w:rsid w:val="47963031"/>
    <w:rsid w:val="479EDC33"/>
    <w:rsid w:val="47AE54A1"/>
    <w:rsid w:val="47B1C3DA"/>
    <w:rsid w:val="47B2BBDC"/>
    <w:rsid w:val="47C5F37F"/>
    <w:rsid w:val="47D5A4CF"/>
    <w:rsid w:val="47E1C579"/>
    <w:rsid w:val="47EE7305"/>
    <w:rsid w:val="481BE73A"/>
    <w:rsid w:val="482C91F8"/>
    <w:rsid w:val="483324C0"/>
    <w:rsid w:val="4852D375"/>
    <w:rsid w:val="48A25607"/>
    <w:rsid w:val="48A9E4B3"/>
    <w:rsid w:val="48B5AF67"/>
    <w:rsid w:val="48BD85ED"/>
    <w:rsid w:val="48C03CAF"/>
    <w:rsid w:val="48C5B05B"/>
    <w:rsid w:val="48CAFACD"/>
    <w:rsid w:val="48D77A54"/>
    <w:rsid w:val="48F46F7B"/>
    <w:rsid w:val="48F5251D"/>
    <w:rsid w:val="49023A4A"/>
    <w:rsid w:val="491E22F6"/>
    <w:rsid w:val="492E7F02"/>
    <w:rsid w:val="4930BB6A"/>
    <w:rsid w:val="493FB036"/>
    <w:rsid w:val="49698405"/>
    <w:rsid w:val="496BAA5D"/>
    <w:rsid w:val="49770F3C"/>
    <w:rsid w:val="49877A6F"/>
    <w:rsid w:val="498D4004"/>
    <w:rsid w:val="49A3742F"/>
    <w:rsid w:val="49A7B794"/>
    <w:rsid w:val="49B02A4D"/>
    <w:rsid w:val="49B09BA1"/>
    <w:rsid w:val="49C1CACD"/>
    <w:rsid w:val="49C29D9E"/>
    <w:rsid w:val="49F4358B"/>
    <w:rsid w:val="49F8D4C0"/>
    <w:rsid w:val="49F9DE59"/>
    <w:rsid w:val="4A044D15"/>
    <w:rsid w:val="4A1072D9"/>
    <w:rsid w:val="4A215423"/>
    <w:rsid w:val="4A34CCED"/>
    <w:rsid w:val="4A4011B4"/>
    <w:rsid w:val="4A63F603"/>
    <w:rsid w:val="4A6D09B5"/>
    <w:rsid w:val="4A871ECA"/>
    <w:rsid w:val="4ADA5CC1"/>
    <w:rsid w:val="4ADAABFA"/>
    <w:rsid w:val="4ADB6FF6"/>
    <w:rsid w:val="4AF27EEE"/>
    <w:rsid w:val="4B06F8A2"/>
    <w:rsid w:val="4B23E66F"/>
    <w:rsid w:val="4B3DE2F9"/>
    <w:rsid w:val="4B69B795"/>
    <w:rsid w:val="4B71173D"/>
    <w:rsid w:val="4B94ADC1"/>
    <w:rsid w:val="4BA3F3AE"/>
    <w:rsid w:val="4BC10087"/>
    <w:rsid w:val="4BDA20B8"/>
    <w:rsid w:val="4C019304"/>
    <w:rsid w:val="4C15DEA3"/>
    <w:rsid w:val="4C1E9632"/>
    <w:rsid w:val="4C23DED9"/>
    <w:rsid w:val="4C260915"/>
    <w:rsid w:val="4C3CB425"/>
    <w:rsid w:val="4C7257FE"/>
    <w:rsid w:val="4C76D0F9"/>
    <w:rsid w:val="4C7E04E2"/>
    <w:rsid w:val="4C8A57AF"/>
    <w:rsid w:val="4C8C7EEA"/>
    <w:rsid w:val="4CA1A94B"/>
    <w:rsid w:val="4CACBC70"/>
    <w:rsid w:val="4CCB4B1B"/>
    <w:rsid w:val="4CCF3857"/>
    <w:rsid w:val="4CEE903C"/>
    <w:rsid w:val="4CF0C536"/>
    <w:rsid w:val="4D0A9674"/>
    <w:rsid w:val="4D23B63B"/>
    <w:rsid w:val="4D5E314D"/>
    <w:rsid w:val="4D7B6FCA"/>
    <w:rsid w:val="4D8C12F3"/>
    <w:rsid w:val="4D99F96F"/>
    <w:rsid w:val="4DB1418C"/>
    <w:rsid w:val="4DB4642E"/>
    <w:rsid w:val="4DE6511D"/>
    <w:rsid w:val="4E080DCA"/>
    <w:rsid w:val="4E21752B"/>
    <w:rsid w:val="4E26DB1A"/>
    <w:rsid w:val="4E333AB2"/>
    <w:rsid w:val="4E3A8C0A"/>
    <w:rsid w:val="4E4F0B3E"/>
    <w:rsid w:val="4E559301"/>
    <w:rsid w:val="4E801DAA"/>
    <w:rsid w:val="4E99E80A"/>
    <w:rsid w:val="4EB3BA38"/>
    <w:rsid w:val="4EB6770B"/>
    <w:rsid w:val="4ECCD940"/>
    <w:rsid w:val="4F4DB24D"/>
    <w:rsid w:val="4F734FC9"/>
    <w:rsid w:val="4F9587AF"/>
    <w:rsid w:val="4F9AF1D0"/>
    <w:rsid w:val="4FAC3A3D"/>
    <w:rsid w:val="4FB36564"/>
    <w:rsid w:val="4FDD331A"/>
    <w:rsid w:val="4FE026B7"/>
    <w:rsid w:val="5003322F"/>
    <w:rsid w:val="502D4B58"/>
    <w:rsid w:val="50300689"/>
    <w:rsid w:val="5065A376"/>
    <w:rsid w:val="508AAE14"/>
    <w:rsid w:val="509B3259"/>
    <w:rsid w:val="50CADCDB"/>
    <w:rsid w:val="50E8B4D3"/>
    <w:rsid w:val="51133F8B"/>
    <w:rsid w:val="511A9BC2"/>
    <w:rsid w:val="512302B2"/>
    <w:rsid w:val="5162DB26"/>
    <w:rsid w:val="5165E68C"/>
    <w:rsid w:val="517466FC"/>
    <w:rsid w:val="518F7176"/>
    <w:rsid w:val="51C3AC06"/>
    <w:rsid w:val="51CEB11C"/>
    <w:rsid w:val="51D6BAA1"/>
    <w:rsid w:val="520E808A"/>
    <w:rsid w:val="5224230A"/>
    <w:rsid w:val="52317D4A"/>
    <w:rsid w:val="5235E3E0"/>
    <w:rsid w:val="5238514B"/>
    <w:rsid w:val="5243C0D4"/>
    <w:rsid w:val="5246A656"/>
    <w:rsid w:val="527692F4"/>
    <w:rsid w:val="529AACA7"/>
    <w:rsid w:val="52A5B2A3"/>
    <w:rsid w:val="52A68B5B"/>
    <w:rsid w:val="52B4BCCF"/>
    <w:rsid w:val="52BC04B0"/>
    <w:rsid w:val="52F1CB45"/>
    <w:rsid w:val="52FFDD8E"/>
    <w:rsid w:val="530819A9"/>
    <w:rsid w:val="5315294E"/>
    <w:rsid w:val="5335A4BB"/>
    <w:rsid w:val="53759E0C"/>
    <w:rsid w:val="537634A3"/>
    <w:rsid w:val="538D50A3"/>
    <w:rsid w:val="539EEA2B"/>
    <w:rsid w:val="53B7D635"/>
    <w:rsid w:val="53E74604"/>
    <w:rsid w:val="53F1C0A5"/>
    <w:rsid w:val="54008B50"/>
    <w:rsid w:val="54222226"/>
    <w:rsid w:val="542B4DD0"/>
    <w:rsid w:val="54467027"/>
    <w:rsid w:val="54690E71"/>
    <w:rsid w:val="54904074"/>
    <w:rsid w:val="549F2328"/>
    <w:rsid w:val="54B287A2"/>
    <w:rsid w:val="54BB182E"/>
    <w:rsid w:val="54BFC760"/>
    <w:rsid w:val="54EFD67F"/>
    <w:rsid w:val="55005F34"/>
    <w:rsid w:val="550C3A47"/>
    <w:rsid w:val="55181027"/>
    <w:rsid w:val="55312F44"/>
    <w:rsid w:val="55901E79"/>
    <w:rsid w:val="559BD2F7"/>
    <w:rsid w:val="559EFFCF"/>
    <w:rsid w:val="55AE5F7C"/>
    <w:rsid w:val="55B62D85"/>
    <w:rsid w:val="55C5D39A"/>
    <w:rsid w:val="55E7E729"/>
    <w:rsid w:val="55EBA769"/>
    <w:rsid w:val="560BFF80"/>
    <w:rsid w:val="561A1D2D"/>
    <w:rsid w:val="5620C1ED"/>
    <w:rsid w:val="563C5C51"/>
    <w:rsid w:val="564E89FE"/>
    <w:rsid w:val="5658B52C"/>
    <w:rsid w:val="5691E756"/>
    <w:rsid w:val="56962230"/>
    <w:rsid w:val="569A6072"/>
    <w:rsid w:val="56E22862"/>
    <w:rsid w:val="56FE3710"/>
    <w:rsid w:val="572AD4BF"/>
    <w:rsid w:val="57497254"/>
    <w:rsid w:val="574985BA"/>
    <w:rsid w:val="57618224"/>
    <w:rsid w:val="57652362"/>
    <w:rsid w:val="57764D39"/>
    <w:rsid w:val="57AFA62D"/>
    <w:rsid w:val="57B34F97"/>
    <w:rsid w:val="57B71D05"/>
    <w:rsid w:val="57F00747"/>
    <w:rsid w:val="57F06E9B"/>
    <w:rsid w:val="57F7F7E1"/>
    <w:rsid w:val="57FAA1FF"/>
    <w:rsid w:val="581F050D"/>
    <w:rsid w:val="582854C0"/>
    <w:rsid w:val="583A723F"/>
    <w:rsid w:val="584861AA"/>
    <w:rsid w:val="586036AA"/>
    <w:rsid w:val="58827F38"/>
    <w:rsid w:val="589EC665"/>
    <w:rsid w:val="592A8101"/>
    <w:rsid w:val="5933BEE7"/>
    <w:rsid w:val="5981FE49"/>
    <w:rsid w:val="598E499F"/>
    <w:rsid w:val="598E84DC"/>
    <w:rsid w:val="59972FEB"/>
    <w:rsid w:val="599DC12B"/>
    <w:rsid w:val="59A7CF69"/>
    <w:rsid w:val="59AB6AA6"/>
    <w:rsid w:val="59D0105E"/>
    <w:rsid w:val="59D31D68"/>
    <w:rsid w:val="5A0417AE"/>
    <w:rsid w:val="5A05773E"/>
    <w:rsid w:val="5A3124DD"/>
    <w:rsid w:val="5A46C11E"/>
    <w:rsid w:val="5A4F946E"/>
    <w:rsid w:val="5A5224B7"/>
    <w:rsid w:val="5A5C803D"/>
    <w:rsid w:val="5A6A0797"/>
    <w:rsid w:val="5A9F085A"/>
    <w:rsid w:val="5AABB0A9"/>
    <w:rsid w:val="5ABA26A6"/>
    <w:rsid w:val="5AC00550"/>
    <w:rsid w:val="5AC2D714"/>
    <w:rsid w:val="5ACF9EB0"/>
    <w:rsid w:val="5AD3DBDF"/>
    <w:rsid w:val="5AD9D8D6"/>
    <w:rsid w:val="5B060512"/>
    <w:rsid w:val="5B0CA347"/>
    <w:rsid w:val="5B206DB0"/>
    <w:rsid w:val="5B2158B2"/>
    <w:rsid w:val="5B24931E"/>
    <w:rsid w:val="5B30B3E6"/>
    <w:rsid w:val="5B507A16"/>
    <w:rsid w:val="5B624BA1"/>
    <w:rsid w:val="5B641A23"/>
    <w:rsid w:val="5B7CECA1"/>
    <w:rsid w:val="5B86925B"/>
    <w:rsid w:val="5B90DC65"/>
    <w:rsid w:val="5BA0AB9E"/>
    <w:rsid w:val="5BB5A425"/>
    <w:rsid w:val="5BD34A9A"/>
    <w:rsid w:val="5BD8679D"/>
    <w:rsid w:val="5C3976B2"/>
    <w:rsid w:val="5C407016"/>
    <w:rsid w:val="5C41513C"/>
    <w:rsid w:val="5C77A1A6"/>
    <w:rsid w:val="5C8E162A"/>
    <w:rsid w:val="5C93CF94"/>
    <w:rsid w:val="5CB07AAC"/>
    <w:rsid w:val="5CB7D301"/>
    <w:rsid w:val="5CCAD65C"/>
    <w:rsid w:val="5CF28627"/>
    <w:rsid w:val="5D07CD5A"/>
    <w:rsid w:val="5D1B733E"/>
    <w:rsid w:val="5D38F60E"/>
    <w:rsid w:val="5D584BC4"/>
    <w:rsid w:val="5D7AF159"/>
    <w:rsid w:val="5D8AC8E8"/>
    <w:rsid w:val="5D906EEB"/>
    <w:rsid w:val="5D989A76"/>
    <w:rsid w:val="5DABF926"/>
    <w:rsid w:val="5DBB2F38"/>
    <w:rsid w:val="5E154378"/>
    <w:rsid w:val="5E270D33"/>
    <w:rsid w:val="5E290A1D"/>
    <w:rsid w:val="5E354C87"/>
    <w:rsid w:val="5E4ACA71"/>
    <w:rsid w:val="5E601C81"/>
    <w:rsid w:val="5E83E1B8"/>
    <w:rsid w:val="5EB20FA5"/>
    <w:rsid w:val="5EB8C382"/>
    <w:rsid w:val="5ED0ED83"/>
    <w:rsid w:val="5EF7101A"/>
    <w:rsid w:val="5F0DAD7F"/>
    <w:rsid w:val="5F13429B"/>
    <w:rsid w:val="5F5265F7"/>
    <w:rsid w:val="5F9871D8"/>
    <w:rsid w:val="5FBC0A9B"/>
    <w:rsid w:val="5FCD1AAD"/>
    <w:rsid w:val="5FCD6E16"/>
    <w:rsid w:val="5FDD7D02"/>
    <w:rsid w:val="5FF2F2E1"/>
    <w:rsid w:val="60015DC3"/>
    <w:rsid w:val="602A6C38"/>
    <w:rsid w:val="60511293"/>
    <w:rsid w:val="60694518"/>
    <w:rsid w:val="606AA2B8"/>
    <w:rsid w:val="606C8B56"/>
    <w:rsid w:val="606F0325"/>
    <w:rsid w:val="607073D4"/>
    <w:rsid w:val="607909A1"/>
    <w:rsid w:val="607AD409"/>
    <w:rsid w:val="607BC9E9"/>
    <w:rsid w:val="607F5F8B"/>
    <w:rsid w:val="60C60BF0"/>
    <w:rsid w:val="60CE47F0"/>
    <w:rsid w:val="60D0DF07"/>
    <w:rsid w:val="60E155F6"/>
    <w:rsid w:val="60F36BB2"/>
    <w:rsid w:val="60F6B6E0"/>
    <w:rsid w:val="614AD203"/>
    <w:rsid w:val="6167D808"/>
    <w:rsid w:val="617873E0"/>
    <w:rsid w:val="617A57BC"/>
    <w:rsid w:val="618AF6D1"/>
    <w:rsid w:val="619AD905"/>
    <w:rsid w:val="61B64B6D"/>
    <w:rsid w:val="61C1FC7D"/>
    <w:rsid w:val="61E9D26D"/>
    <w:rsid w:val="61F122B2"/>
    <w:rsid w:val="61F4BB0C"/>
    <w:rsid w:val="6233C33F"/>
    <w:rsid w:val="623EC981"/>
    <w:rsid w:val="6278016D"/>
    <w:rsid w:val="62840E9C"/>
    <w:rsid w:val="62846F9A"/>
    <w:rsid w:val="62873D54"/>
    <w:rsid w:val="629404FC"/>
    <w:rsid w:val="62BFBFE7"/>
    <w:rsid w:val="62CC2E8E"/>
    <w:rsid w:val="62E481CB"/>
    <w:rsid w:val="62E79C5C"/>
    <w:rsid w:val="62EB7F09"/>
    <w:rsid w:val="63073B43"/>
    <w:rsid w:val="632A6DFB"/>
    <w:rsid w:val="633995D1"/>
    <w:rsid w:val="634C4866"/>
    <w:rsid w:val="634FE3D4"/>
    <w:rsid w:val="635F890F"/>
    <w:rsid w:val="63827809"/>
    <w:rsid w:val="63939B27"/>
    <w:rsid w:val="63B63DFE"/>
    <w:rsid w:val="63B9F0A9"/>
    <w:rsid w:val="640A9B1B"/>
    <w:rsid w:val="64100AC5"/>
    <w:rsid w:val="641B2636"/>
    <w:rsid w:val="642176DF"/>
    <w:rsid w:val="644331DD"/>
    <w:rsid w:val="644C08F2"/>
    <w:rsid w:val="644EE361"/>
    <w:rsid w:val="6450FC9F"/>
    <w:rsid w:val="64590605"/>
    <w:rsid w:val="64594168"/>
    <w:rsid w:val="647CF8BA"/>
    <w:rsid w:val="648D98A2"/>
    <w:rsid w:val="649E3BC7"/>
    <w:rsid w:val="64A88284"/>
    <w:rsid w:val="64C337F9"/>
    <w:rsid w:val="64E2CB42"/>
    <w:rsid w:val="64E3F95B"/>
    <w:rsid w:val="64E7F6AC"/>
    <w:rsid w:val="650ABEF3"/>
    <w:rsid w:val="6569B6F8"/>
    <w:rsid w:val="656E7752"/>
    <w:rsid w:val="65880E47"/>
    <w:rsid w:val="658F5BD7"/>
    <w:rsid w:val="65C0F345"/>
    <w:rsid w:val="65D7AA5E"/>
    <w:rsid w:val="65EA7BB0"/>
    <w:rsid w:val="65EBFB8D"/>
    <w:rsid w:val="65EF3DD6"/>
    <w:rsid w:val="6611B8A8"/>
    <w:rsid w:val="66135447"/>
    <w:rsid w:val="6614CC30"/>
    <w:rsid w:val="661A1D3C"/>
    <w:rsid w:val="662FCC30"/>
    <w:rsid w:val="66356E67"/>
    <w:rsid w:val="6637A729"/>
    <w:rsid w:val="66723BA3"/>
    <w:rsid w:val="668333F5"/>
    <w:rsid w:val="6691C185"/>
    <w:rsid w:val="66AC80A9"/>
    <w:rsid w:val="66BD92BD"/>
    <w:rsid w:val="66C05BE9"/>
    <w:rsid w:val="66CE0D09"/>
    <w:rsid w:val="66F49EED"/>
    <w:rsid w:val="66F7F5F3"/>
    <w:rsid w:val="6719D72A"/>
    <w:rsid w:val="6728C368"/>
    <w:rsid w:val="673D7B95"/>
    <w:rsid w:val="67436BE2"/>
    <w:rsid w:val="676CB785"/>
    <w:rsid w:val="678657AA"/>
    <w:rsid w:val="678F07D7"/>
    <w:rsid w:val="67A7ECD1"/>
    <w:rsid w:val="67C36FCA"/>
    <w:rsid w:val="67D81363"/>
    <w:rsid w:val="6829612F"/>
    <w:rsid w:val="6831721A"/>
    <w:rsid w:val="6839E49B"/>
    <w:rsid w:val="68802919"/>
    <w:rsid w:val="6894CF2D"/>
    <w:rsid w:val="6896AF74"/>
    <w:rsid w:val="68AA9BC2"/>
    <w:rsid w:val="68E30C5D"/>
    <w:rsid w:val="68E61437"/>
    <w:rsid w:val="691E07C6"/>
    <w:rsid w:val="691E903E"/>
    <w:rsid w:val="694B37A8"/>
    <w:rsid w:val="695EFE39"/>
    <w:rsid w:val="696D5159"/>
    <w:rsid w:val="6971476B"/>
    <w:rsid w:val="6974661B"/>
    <w:rsid w:val="697B051B"/>
    <w:rsid w:val="698A0215"/>
    <w:rsid w:val="699DA0CC"/>
    <w:rsid w:val="69B2FD71"/>
    <w:rsid w:val="69BF3CC0"/>
    <w:rsid w:val="69C4F3B1"/>
    <w:rsid w:val="69EAA2D3"/>
    <w:rsid w:val="6A31235F"/>
    <w:rsid w:val="6A7208C0"/>
    <w:rsid w:val="6A837BF1"/>
    <w:rsid w:val="6AA409BA"/>
    <w:rsid w:val="6AABF646"/>
    <w:rsid w:val="6AB02A1A"/>
    <w:rsid w:val="6AB2B364"/>
    <w:rsid w:val="6ABA2641"/>
    <w:rsid w:val="6ABAB167"/>
    <w:rsid w:val="6AFCEE89"/>
    <w:rsid w:val="6B2BD736"/>
    <w:rsid w:val="6B347B96"/>
    <w:rsid w:val="6B7A0A5D"/>
    <w:rsid w:val="6B877FBA"/>
    <w:rsid w:val="6B947717"/>
    <w:rsid w:val="6B988D91"/>
    <w:rsid w:val="6BAC84A9"/>
    <w:rsid w:val="6BD6EDEA"/>
    <w:rsid w:val="6BD9BBBB"/>
    <w:rsid w:val="6C024C7E"/>
    <w:rsid w:val="6C3435E0"/>
    <w:rsid w:val="6C639D30"/>
    <w:rsid w:val="6C7317C0"/>
    <w:rsid w:val="6C96B2FC"/>
    <w:rsid w:val="6C9F4524"/>
    <w:rsid w:val="6CBDD4FC"/>
    <w:rsid w:val="6CCF5FB3"/>
    <w:rsid w:val="6CE7BBD7"/>
    <w:rsid w:val="6CF85D93"/>
    <w:rsid w:val="6D0BBF4D"/>
    <w:rsid w:val="6D29EDFE"/>
    <w:rsid w:val="6D476EAA"/>
    <w:rsid w:val="6D62791F"/>
    <w:rsid w:val="6D67E548"/>
    <w:rsid w:val="6D6C03A4"/>
    <w:rsid w:val="6D71B2B8"/>
    <w:rsid w:val="6D73B0AD"/>
    <w:rsid w:val="6D749834"/>
    <w:rsid w:val="6D766329"/>
    <w:rsid w:val="6D9EE182"/>
    <w:rsid w:val="6DA8301B"/>
    <w:rsid w:val="6DC15D02"/>
    <w:rsid w:val="6DCDAA79"/>
    <w:rsid w:val="6DCF30DF"/>
    <w:rsid w:val="6DD55A38"/>
    <w:rsid w:val="6DE1EDCC"/>
    <w:rsid w:val="6DE518A4"/>
    <w:rsid w:val="6DE5E433"/>
    <w:rsid w:val="6DEB5A54"/>
    <w:rsid w:val="6E1ABC69"/>
    <w:rsid w:val="6E1CD726"/>
    <w:rsid w:val="6E24C5BE"/>
    <w:rsid w:val="6E2F23E9"/>
    <w:rsid w:val="6E409055"/>
    <w:rsid w:val="6E441DF2"/>
    <w:rsid w:val="6E4DE343"/>
    <w:rsid w:val="6E6E4902"/>
    <w:rsid w:val="6E74A2CE"/>
    <w:rsid w:val="6E786054"/>
    <w:rsid w:val="6EB3A08C"/>
    <w:rsid w:val="6ED44CE9"/>
    <w:rsid w:val="6EF96C56"/>
    <w:rsid w:val="6F0468FB"/>
    <w:rsid w:val="6F2498DE"/>
    <w:rsid w:val="6F2D60B8"/>
    <w:rsid w:val="6F445671"/>
    <w:rsid w:val="6F44E972"/>
    <w:rsid w:val="6F6EAF95"/>
    <w:rsid w:val="6F9BC166"/>
    <w:rsid w:val="6FB90AC0"/>
    <w:rsid w:val="6FBCBD35"/>
    <w:rsid w:val="6FCE58B8"/>
    <w:rsid w:val="6FD1593C"/>
    <w:rsid w:val="6FDD30A2"/>
    <w:rsid w:val="6FE869B4"/>
    <w:rsid w:val="70160267"/>
    <w:rsid w:val="702B38D1"/>
    <w:rsid w:val="7030E128"/>
    <w:rsid w:val="70326C62"/>
    <w:rsid w:val="7045BD48"/>
    <w:rsid w:val="70518316"/>
    <w:rsid w:val="705C1A34"/>
    <w:rsid w:val="7089782C"/>
    <w:rsid w:val="708D7F18"/>
    <w:rsid w:val="709C0AFD"/>
    <w:rsid w:val="70D5B5D5"/>
    <w:rsid w:val="71050A80"/>
    <w:rsid w:val="71215BBD"/>
    <w:rsid w:val="714AAA9F"/>
    <w:rsid w:val="7156F75A"/>
    <w:rsid w:val="716749FB"/>
    <w:rsid w:val="7188E7DF"/>
    <w:rsid w:val="718F86BF"/>
    <w:rsid w:val="719848F8"/>
    <w:rsid w:val="719C2034"/>
    <w:rsid w:val="719F9BF0"/>
    <w:rsid w:val="71B367DE"/>
    <w:rsid w:val="71C406CA"/>
    <w:rsid w:val="71CD8AFE"/>
    <w:rsid w:val="71E248E7"/>
    <w:rsid w:val="71ED7C3A"/>
    <w:rsid w:val="7213408D"/>
    <w:rsid w:val="72319F03"/>
    <w:rsid w:val="7239A3B1"/>
    <w:rsid w:val="7286BECA"/>
    <w:rsid w:val="7293BABD"/>
    <w:rsid w:val="72AAC533"/>
    <w:rsid w:val="72ABB77A"/>
    <w:rsid w:val="72D3441F"/>
    <w:rsid w:val="72F44836"/>
    <w:rsid w:val="7308F0FE"/>
    <w:rsid w:val="73154772"/>
    <w:rsid w:val="73174302"/>
    <w:rsid w:val="7322CFAF"/>
    <w:rsid w:val="73319993"/>
    <w:rsid w:val="73364A06"/>
    <w:rsid w:val="73A9C696"/>
    <w:rsid w:val="73B49577"/>
    <w:rsid w:val="73C4A725"/>
    <w:rsid w:val="73D357B2"/>
    <w:rsid w:val="73D6D8B6"/>
    <w:rsid w:val="73E0EC58"/>
    <w:rsid w:val="73EA4350"/>
    <w:rsid w:val="73FECFD9"/>
    <w:rsid w:val="740BF2E4"/>
    <w:rsid w:val="7431B05D"/>
    <w:rsid w:val="74458A95"/>
    <w:rsid w:val="74548604"/>
    <w:rsid w:val="74594567"/>
    <w:rsid w:val="7461364A"/>
    <w:rsid w:val="746F5320"/>
    <w:rsid w:val="74ACA30B"/>
    <w:rsid w:val="74AE3BBD"/>
    <w:rsid w:val="74CDA9B9"/>
    <w:rsid w:val="74D1FEC0"/>
    <w:rsid w:val="74E90A9D"/>
    <w:rsid w:val="74F217CD"/>
    <w:rsid w:val="74FDE7F9"/>
    <w:rsid w:val="75100FD3"/>
    <w:rsid w:val="7515C182"/>
    <w:rsid w:val="7525A9B8"/>
    <w:rsid w:val="753E7F8D"/>
    <w:rsid w:val="7568F4B9"/>
    <w:rsid w:val="757F7D70"/>
    <w:rsid w:val="7584B5E5"/>
    <w:rsid w:val="75876F2A"/>
    <w:rsid w:val="7594D18A"/>
    <w:rsid w:val="75A97976"/>
    <w:rsid w:val="75C9F346"/>
    <w:rsid w:val="75D1489A"/>
    <w:rsid w:val="75EA11E0"/>
    <w:rsid w:val="762659A9"/>
    <w:rsid w:val="76334ED4"/>
    <w:rsid w:val="76396852"/>
    <w:rsid w:val="7661E43E"/>
    <w:rsid w:val="7667D4E5"/>
    <w:rsid w:val="766A9C66"/>
    <w:rsid w:val="76896B7B"/>
    <w:rsid w:val="768C7122"/>
    <w:rsid w:val="7694BF3D"/>
    <w:rsid w:val="76BE8CAE"/>
    <w:rsid w:val="76CE2045"/>
    <w:rsid w:val="76D74E66"/>
    <w:rsid w:val="76DC42B5"/>
    <w:rsid w:val="76E34E5C"/>
    <w:rsid w:val="76E3EE4E"/>
    <w:rsid w:val="7716375A"/>
    <w:rsid w:val="77309DE2"/>
    <w:rsid w:val="773C8B27"/>
    <w:rsid w:val="77616CE2"/>
    <w:rsid w:val="7761A569"/>
    <w:rsid w:val="7786F34C"/>
    <w:rsid w:val="77A8AB7D"/>
    <w:rsid w:val="77B14EC1"/>
    <w:rsid w:val="77FC802D"/>
    <w:rsid w:val="780D71E9"/>
    <w:rsid w:val="782C8B17"/>
    <w:rsid w:val="7855FFB7"/>
    <w:rsid w:val="78577199"/>
    <w:rsid w:val="78642F6A"/>
    <w:rsid w:val="78698F7D"/>
    <w:rsid w:val="78B4F753"/>
    <w:rsid w:val="78D8EBDA"/>
    <w:rsid w:val="78EC70E8"/>
    <w:rsid w:val="79067A71"/>
    <w:rsid w:val="790E9F85"/>
    <w:rsid w:val="791BAA62"/>
    <w:rsid w:val="7926B86B"/>
    <w:rsid w:val="7941C083"/>
    <w:rsid w:val="7944067A"/>
    <w:rsid w:val="794984BF"/>
    <w:rsid w:val="79610074"/>
    <w:rsid w:val="797952DA"/>
    <w:rsid w:val="7983A0A0"/>
    <w:rsid w:val="798E5AD1"/>
    <w:rsid w:val="79A27B2B"/>
    <w:rsid w:val="79CC19AA"/>
    <w:rsid w:val="79DE93FE"/>
    <w:rsid w:val="79E2CE39"/>
    <w:rsid w:val="7A0A8BA9"/>
    <w:rsid w:val="7A15CB46"/>
    <w:rsid w:val="7A196BB6"/>
    <w:rsid w:val="7A29ABEB"/>
    <w:rsid w:val="7A4AA0A4"/>
    <w:rsid w:val="7A557B96"/>
    <w:rsid w:val="7A68EB69"/>
    <w:rsid w:val="7A6EDAF0"/>
    <w:rsid w:val="7A972400"/>
    <w:rsid w:val="7A981513"/>
    <w:rsid w:val="7AC06700"/>
    <w:rsid w:val="7AC4370C"/>
    <w:rsid w:val="7AC621FD"/>
    <w:rsid w:val="7AD6D0E5"/>
    <w:rsid w:val="7AEEF382"/>
    <w:rsid w:val="7B001150"/>
    <w:rsid w:val="7B055B5E"/>
    <w:rsid w:val="7B08FA59"/>
    <w:rsid w:val="7B0918CB"/>
    <w:rsid w:val="7B2B099B"/>
    <w:rsid w:val="7B41DE0C"/>
    <w:rsid w:val="7B502718"/>
    <w:rsid w:val="7B5F5D1E"/>
    <w:rsid w:val="7B60CFC3"/>
    <w:rsid w:val="7B667931"/>
    <w:rsid w:val="7B6DB55E"/>
    <w:rsid w:val="7B6EB4C6"/>
    <w:rsid w:val="7B6FC815"/>
    <w:rsid w:val="7B70CDA0"/>
    <w:rsid w:val="7B98674D"/>
    <w:rsid w:val="7BA6D6A1"/>
    <w:rsid w:val="7BBFF868"/>
    <w:rsid w:val="7BDA8778"/>
    <w:rsid w:val="7BE72174"/>
    <w:rsid w:val="7BF886C0"/>
    <w:rsid w:val="7BFA8F3F"/>
    <w:rsid w:val="7C018F7D"/>
    <w:rsid w:val="7C08E7FC"/>
    <w:rsid w:val="7C24A4F7"/>
    <w:rsid w:val="7C2E2CDB"/>
    <w:rsid w:val="7C360576"/>
    <w:rsid w:val="7C678907"/>
    <w:rsid w:val="7C813291"/>
    <w:rsid w:val="7C9478CC"/>
    <w:rsid w:val="7CAEF3B2"/>
    <w:rsid w:val="7D01FC2A"/>
    <w:rsid w:val="7D3459BA"/>
    <w:rsid w:val="7D895B8C"/>
    <w:rsid w:val="7DD14DE2"/>
    <w:rsid w:val="7DE2EDDA"/>
    <w:rsid w:val="7DE4E15A"/>
    <w:rsid w:val="7DEC57BF"/>
    <w:rsid w:val="7E0FB0DC"/>
    <w:rsid w:val="7E2CFA6F"/>
    <w:rsid w:val="7E3B1EC7"/>
    <w:rsid w:val="7E6491F7"/>
    <w:rsid w:val="7E65F050"/>
    <w:rsid w:val="7E67890E"/>
    <w:rsid w:val="7E6CD1B6"/>
    <w:rsid w:val="7E79C3C0"/>
    <w:rsid w:val="7E87E24B"/>
    <w:rsid w:val="7E8E3F44"/>
    <w:rsid w:val="7EB00BA1"/>
    <w:rsid w:val="7EB323EA"/>
    <w:rsid w:val="7EBB61BA"/>
    <w:rsid w:val="7EC8BCB3"/>
    <w:rsid w:val="7ED4131E"/>
    <w:rsid w:val="7EE28298"/>
    <w:rsid w:val="7F63A984"/>
    <w:rsid w:val="7F655E26"/>
    <w:rsid w:val="7F91451A"/>
    <w:rsid w:val="7FB57AC0"/>
    <w:rsid w:val="7FCF8F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6657A"/>
  <w15:docId w15:val="{FE7083D3-DFBF-437D-91B0-C5F2D2AB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7"/>
      </w:numPr>
    </w:pPr>
  </w:style>
  <w:style w:type="paragraph" w:customStyle="1" w:styleId="ListBulletLevel2">
    <w:name w:val="List Bullet (Level 2)"/>
    <w:basedOn w:val="Normal"/>
    <w:uiPriority w:val="35"/>
    <w:semiHidden/>
    <w:unhideWhenUsed/>
    <w:pPr>
      <w:numPr>
        <w:ilvl w:val="1"/>
        <w:numId w:val="17"/>
      </w:numPr>
    </w:pPr>
  </w:style>
  <w:style w:type="paragraph" w:customStyle="1" w:styleId="ListBulletLevel3">
    <w:name w:val="List Bullet (Level 3)"/>
    <w:basedOn w:val="Normal"/>
    <w:uiPriority w:val="35"/>
    <w:semiHidden/>
    <w:unhideWhenUsed/>
    <w:pPr>
      <w:numPr>
        <w:ilvl w:val="2"/>
        <w:numId w:val="17"/>
      </w:numPr>
    </w:pPr>
  </w:style>
  <w:style w:type="paragraph" w:customStyle="1" w:styleId="ListBulletLevel4">
    <w:name w:val="List Bullet (Level 4)"/>
    <w:basedOn w:val="Normal"/>
    <w:uiPriority w:val="35"/>
    <w:semiHidden/>
    <w:unhideWhenUsed/>
    <w:pPr>
      <w:numPr>
        <w:ilvl w:val="3"/>
        <w:numId w:val="17"/>
      </w:numPr>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30"/>
    <w:pPr>
      <w:numPr>
        <w:numId w:val="12"/>
      </w:numPr>
    </w:pPr>
  </w:style>
  <w:style w:type="paragraph" w:customStyle="1" w:styleId="ListNumberLevel2">
    <w:name w:val="List Number (Level 2)"/>
    <w:basedOn w:val="Normal"/>
    <w:uiPriority w:val="30"/>
    <w:pPr>
      <w:numPr>
        <w:ilvl w:val="1"/>
        <w:numId w:val="12"/>
      </w:numPr>
    </w:pPr>
  </w:style>
  <w:style w:type="paragraph" w:customStyle="1" w:styleId="ListNumberLevel3">
    <w:name w:val="List Number (Level 3)"/>
    <w:basedOn w:val="Normal"/>
    <w:uiPriority w:val="30"/>
    <w:pPr>
      <w:numPr>
        <w:ilvl w:val="2"/>
        <w:numId w:val="12"/>
      </w:numPr>
    </w:pPr>
  </w:style>
  <w:style w:type="paragraph" w:customStyle="1" w:styleId="ListNumberLevel4">
    <w:name w:val="List Number (Level 4)"/>
    <w:basedOn w:val="Normal"/>
    <w:uiPriority w:val="30"/>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36493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364933"/>
    <w:pPr>
      <w:ind w:left="720"/>
      <w:contextualSpacing/>
    </w:pPr>
  </w:style>
  <w:style w:type="character" w:styleId="Hyperlink">
    <w:name w:val="Hyperlink"/>
    <w:basedOn w:val="DefaultParagraphFont"/>
    <w:uiPriority w:val="99"/>
    <w:unhideWhenUsed/>
    <w:rsid w:val="004810E5"/>
    <w:rPr>
      <w:color w:val="0000FF"/>
      <w:u w:val="single"/>
    </w:rPr>
  </w:style>
  <w:style w:type="paragraph" w:styleId="CommentText">
    <w:name w:val="annotation text"/>
    <w:basedOn w:val="Normal"/>
    <w:link w:val="CommentTextChar"/>
    <w:uiPriority w:val="99"/>
    <w:unhideWhenUsed/>
    <w:rsid w:val="00470D3D"/>
    <w:pPr>
      <w:spacing w:after="160"/>
      <w:jc w:val="left"/>
    </w:pPr>
    <w:rPr>
      <w:rFonts w:asciiTheme="minorHAnsi" w:eastAsiaTheme="minorEastAsia" w:hAnsiTheme="minorHAnsi" w:cstheme="minorBidi"/>
      <w:sz w:val="20"/>
      <w:lang w:eastAsia="en-US"/>
    </w:rPr>
  </w:style>
  <w:style w:type="character" w:customStyle="1" w:styleId="CommentTextChar">
    <w:name w:val="Comment Text Char"/>
    <w:basedOn w:val="DefaultParagraphFont"/>
    <w:link w:val="CommentText"/>
    <w:uiPriority w:val="99"/>
    <w:rsid w:val="00470D3D"/>
    <w:rPr>
      <w:rFonts w:asciiTheme="minorHAnsi" w:eastAsiaTheme="minorEastAsia" w:hAnsiTheme="minorHAnsi" w:cstheme="minorBidi"/>
      <w:sz w:val="20"/>
      <w:lang w:eastAsia="en-US"/>
    </w:rPr>
  </w:style>
  <w:style w:type="character" w:styleId="CommentReference">
    <w:name w:val="annotation reference"/>
    <w:basedOn w:val="DefaultParagraphFont"/>
    <w:uiPriority w:val="99"/>
    <w:semiHidden/>
    <w:unhideWhenUsed/>
    <w:rsid w:val="00470D3D"/>
    <w:rPr>
      <w:sz w:val="16"/>
      <w:szCs w:val="16"/>
    </w:rPr>
  </w:style>
  <w:style w:type="paragraph" w:styleId="CommentSubject">
    <w:name w:val="annotation subject"/>
    <w:basedOn w:val="CommentText"/>
    <w:next w:val="CommentText"/>
    <w:link w:val="CommentSubjectChar"/>
    <w:uiPriority w:val="99"/>
    <w:semiHidden/>
    <w:rsid w:val="00FE4683"/>
    <w:pPr>
      <w:spacing w:after="240"/>
      <w:jc w:val="both"/>
    </w:pPr>
    <w:rPr>
      <w:rFonts w:ascii="Times New Roman" w:eastAsia="Times New Roman" w:hAnsi="Times New Roman" w:cs="Times New Roman"/>
      <w:b/>
      <w:bCs/>
      <w:lang w:eastAsia="fr-BE"/>
    </w:rPr>
  </w:style>
  <w:style w:type="character" w:customStyle="1" w:styleId="CommentSubjectChar">
    <w:name w:val="Comment Subject Char"/>
    <w:basedOn w:val="CommentTextChar"/>
    <w:link w:val="CommentSubject"/>
    <w:uiPriority w:val="99"/>
    <w:semiHidden/>
    <w:rsid w:val="00FE4683"/>
    <w:rPr>
      <w:rFonts w:asciiTheme="minorHAnsi" w:eastAsiaTheme="minorEastAsia" w:hAnsiTheme="minorHAnsi" w:cstheme="minorBidi"/>
      <w:b/>
      <w:bCs/>
      <w:sz w:val="20"/>
      <w:lang w:eastAsia="en-US"/>
    </w:rPr>
  </w:style>
  <w:style w:type="character" w:customStyle="1" w:styleId="UnresolvedMention">
    <w:name w:val="Unresolved Mention"/>
    <w:basedOn w:val="DefaultParagraphFont"/>
    <w:uiPriority w:val="99"/>
    <w:semiHidden/>
    <w:unhideWhenUsed/>
    <w:rsid w:val="0022224A"/>
    <w:rPr>
      <w:color w:val="605E5C"/>
      <w:shd w:val="clear" w:color="auto" w:fill="E1DFDD"/>
    </w:rPr>
  </w:style>
  <w:style w:type="character" w:customStyle="1" w:styleId="Mention">
    <w:name w:val="Mention"/>
    <w:basedOn w:val="DefaultParagraphFont"/>
    <w:uiPriority w:val="99"/>
    <w:unhideWhenUsed/>
    <w:rsid w:val="0081236F"/>
    <w:rPr>
      <w:color w:val="2B579A"/>
      <w:shd w:val="clear" w:color="auto" w:fill="E1DFDD"/>
    </w:rPr>
  </w:style>
  <w:style w:type="paragraph" w:styleId="Revision">
    <w:name w:val="Revision"/>
    <w:hidden/>
    <w:uiPriority w:val="99"/>
    <w:semiHidden/>
    <w:rsid w:val="008557DE"/>
  </w:style>
  <w:style w:type="paragraph" w:customStyle="1" w:styleId="oj-normal">
    <w:name w:val="oj-normal"/>
    <w:basedOn w:val="Normal"/>
    <w:rsid w:val="00E50B83"/>
    <w:pPr>
      <w:spacing w:before="100" w:beforeAutospacing="1" w:after="100" w:afterAutospacing="1"/>
      <w:jc w:val="left"/>
    </w:pPr>
    <w:rPr>
      <w:szCs w:val="24"/>
      <w:lang w:eastAsia="en-IE"/>
    </w:rPr>
  </w:style>
  <w:style w:type="character" w:styleId="FollowedHyperlink">
    <w:name w:val="FollowedHyperlink"/>
    <w:basedOn w:val="DefaultParagraphFont"/>
    <w:uiPriority w:val="99"/>
    <w:semiHidden/>
    <w:rsid w:val="00DA5318"/>
    <w:rPr>
      <w:color w:val="954F72" w:themeColor="followedHyperlink"/>
      <w:u w:val="single"/>
    </w:rPr>
  </w:style>
  <w:style w:type="character" w:customStyle="1" w:styleId="Marker">
    <w:name w:val="Marker"/>
    <w:basedOn w:val="DefaultParagraphFont"/>
    <w:rsid w:val="0001121F"/>
    <w:rPr>
      <w:color w:val="0000FF"/>
      <w:shd w:val="clear" w:color="auto" w:fill="auto"/>
    </w:rPr>
  </w:style>
  <w:style w:type="paragraph" w:customStyle="1" w:styleId="Pagedecouverture">
    <w:name w:val="Page de couverture"/>
    <w:basedOn w:val="Normal"/>
    <w:next w:val="Normal"/>
    <w:rsid w:val="0001121F"/>
    <w:pPr>
      <w:spacing w:after="0"/>
    </w:pPr>
    <w:rPr>
      <w:rFonts w:eastAsiaTheme="minorHAnsi"/>
      <w:szCs w:val="22"/>
      <w:lang w:eastAsia="en-US"/>
    </w:rPr>
  </w:style>
  <w:style w:type="paragraph" w:customStyle="1" w:styleId="FooterCoverPage">
    <w:name w:val="Footer Cover Page"/>
    <w:basedOn w:val="Normal"/>
    <w:link w:val="FooterCoverPageChar"/>
    <w:rsid w:val="0001121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1121F"/>
  </w:style>
  <w:style w:type="paragraph" w:customStyle="1" w:styleId="FooterSensitivity">
    <w:name w:val="Footer Sensitivity"/>
    <w:basedOn w:val="Normal"/>
    <w:link w:val="FooterSensitivityChar"/>
    <w:rsid w:val="000112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1121F"/>
    <w:rPr>
      <w:b/>
      <w:sz w:val="32"/>
    </w:rPr>
  </w:style>
  <w:style w:type="paragraph" w:customStyle="1" w:styleId="HeaderCoverPage">
    <w:name w:val="Header Cover Page"/>
    <w:basedOn w:val="Normal"/>
    <w:link w:val="HeaderCoverPageChar"/>
    <w:rsid w:val="0001121F"/>
    <w:pPr>
      <w:tabs>
        <w:tab w:val="center" w:pos="4535"/>
        <w:tab w:val="right" w:pos="9071"/>
      </w:tabs>
      <w:spacing w:after="120"/>
    </w:pPr>
  </w:style>
  <w:style w:type="character" w:customStyle="1" w:styleId="HeaderCoverPageChar">
    <w:name w:val="Header Cover Page Char"/>
    <w:basedOn w:val="DefaultParagraphFont"/>
    <w:link w:val="HeaderCoverPage"/>
    <w:rsid w:val="0001121F"/>
  </w:style>
  <w:style w:type="paragraph" w:customStyle="1" w:styleId="HeaderSensitivity">
    <w:name w:val="Header Sensitivity"/>
    <w:basedOn w:val="Normal"/>
    <w:link w:val="HeaderSensitivityChar"/>
    <w:rsid w:val="0001121F"/>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1121F"/>
    <w:rPr>
      <w:b/>
      <w:sz w:val="32"/>
    </w:rPr>
  </w:style>
  <w:style w:type="paragraph" w:customStyle="1" w:styleId="HeaderSensitivityRight">
    <w:name w:val="Header Sensitivity Right"/>
    <w:basedOn w:val="Normal"/>
    <w:link w:val="HeaderSensitivityRightChar"/>
    <w:rsid w:val="0001121F"/>
    <w:pPr>
      <w:spacing w:after="120"/>
      <w:jc w:val="right"/>
    </w:pPr>
    <w:rPr>
      <w:sz w:val="28"/>
    </w:rPr>
  </w:style>
  <w:style w:type="character" w:customStyle="1" w:styleId="HeaderSensitivityRightChar">
    <w:name w:val="Header Sensitivity Right Char"/>
    <w:basedOn w:val="DefaultParagraphFont"/>
    <w:link w:val="HeaderSensitivityRight"/>
    <w:rsid w:val="0001121F"/>
    <w:rPr>
      <w:sz w:val="28"/>
    </w:rPr>
  </w:style>
  <w:style w:type="character" w:customStyle="1" w:styleId="FootnoteTextChar">
    <w:name w:val="Footnote Text Char"/>
    <w:basedOn w:val="DefaultParagraphFont"/>
    <w:semiHidden/>
    <w:rsid w:val="00F74736"/>
    <w:rPr>
      <w:sz w:val="20"/>
    </w:rPr>
  </w:style>
  <w:style w:type="character" w:customStyle="1" w:styleId="normaltextrun">
    <w:name w:val="normaltextrun"/>
    <w:basedOn w:val="DefaultParagraphFont"/>
    <w:rsid w:val="00FC33CA"/>
  </w:style>
  <w:style w:type="paragraph" w:customStyle="1" w:styleId="Languesfaisantfoi">
    <w:name w:val="Langues faisant foi"/>
    <w:basedOn w:val="Normal"/>
    <w:next w:val="Normal"/>
    <w:rsid w:val="003C1729"/>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3C1729"/>
    <w:pPr>
      <w:spacing w:before="360"/>
      <w:jc w:val="center"/>
    </w:pPr>
    <w:rPr>
      <w:rFonts w:eastAsiaTheme="minorHAnsi"/>
      <w:szCs w:val="22"/>
      <w:lang w:eastAsia="en-US"/>
    </w:rPr>
  </w:style>
  <w:style w:type="paragraph" w:customStyle="1" w:styleId="IntrtEEE">
    <w:name w:val="Intérêt EEE"/>
    <w:basedOn w:val="Languesfaisantfoi"/>
    <w:next w:val="Normal"/>
    <w:rsid w:val="003C1729"/>
    <w:pPr>
      <w:spacing w:after="0"/>
    </w:pPr>
  </w:style>
  <w:style w:type="paragraph" w:customStyle="1" w:styleId="IntrtEEEPagedecouverture">
    <w:name w:val="Intérêt EEE (Page de couverture)"/>
    <w:basedOn w:val="IntrtEEE"/>
    <w:next w:val="Normal"/>
    <w:rsid w:val="003C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6020">
      <w:bodyDiv w:val="1"/>
      <w:marLeft w:val="0"/>
      <w:marRight w:val="0"/>
      <w:marTop w:val="0"/>
      <w:marBottom w:val="0"/>
      <w:divBdr>
        <w:top w:val="none" w:sz="0" w:space="0" w:color="auto"/>
        <w:left w:val="none" w:sz="0" w:space="0" w:color="auto"/>
        <w:bottom w:val="none" w:sz="0" w:space="0" w:color="auto"/>
        <w:right w:val="none" w:sz="0" w:space="0" w:color="auto"/>
      </w:divBdr>
    </w:div>
    <w:div w:id="192691417">
      <w:bodyDiv w:val="1"/>
      <w:marLeft w:val="0"/>
      <w:marRight w:val="0"/>
      <w:marTop w:val="0"/>
      <w:marBottom w:val="0"/>
      <w:divBdr>
        <w:top w:val="none" w:sz="0" w:space="0" w:color="auto"/>
        <w:left w:val="none" w:sz="0" w:space="0" w:color="auto"/>
        <w:bottom w:val="none" w:sz="0" w:space="0" w:color="auto"/>
        <w:right w:val="none" w:sz="0" w:space="0" w:color="auto"/>
      </w:divBdr>
    </w:div>
    <w:div w:id="258029579">
      <w:bodyDiv w:val="1"/>
      <w:marLeft w:val="0"/>
      <w:marRight w:val="0"/>
      <w:marTop w:val="0"/>
      <w:marBottom w:val="0"/>
      <w:divBdr>
        <w:top w:val="none" w:sz="0" w:space="0" w:color="auto"/>
        <w:left w:val="none" w:sz="0" w:space="0" w:color="auto"/>
        <w:bottom w:val="none" w:sz="0" w:space="0" w:color="auto"/>
        <w:right w:val="none" w:sz="0" w:space="0" w:color="auto"/>
      </w:divBdr>
    </w:div>
    <w:div w:id="308943082">
      <w:bodyDiv w:val="1"/>
      <w:marLeft w:val="0"/>
      <w:marRight w:val="0"/>
      <w:marTop w:val="0"/>
      <w:marBottom w:val="0"/>
      <w:divBdr>
        <w:top w:val="none" w:sz="0" w:space="0" w:color="auto"/>
        <w:left w:val="none" w:sz="0" w:space="0" w:color="auto"/>
        <w:bottom w:val="none" w:sz="0" w:space="0" w:color="auto"/>
        <w:right w:val="none" w:sz="0" w:space="0" w:color="auto"/>
      </w:divBdr>
    </w:div>
    <w:div w:id="379011427">
      <w:bodyDiv w:val="1"/>
      <w:marLeft w:val="0"/>
      <w:marRight w:val="0"/>
      <w:marTop w:val="0"/>
      <w:marBottom w:val="0"/>
      <w:divBdr>
        <w:top w:val="none" w:sz="0" w:space="0" w:color="auto"/>
        <w:left w:val="none" w:sz="0" w:space="0" w:color="auto"/>
        <w:bottom w:val="none" w:sz="0" w:space="0" w:color="auto"/>
        <w:right w:val="none" w:sz="0" w:space="0" w:color="auto"/>
      </w:divBdr>
    </w:div>
    <w:div w:id="415368905">
      <w:bodyDiv w:val="1"/>
      <w:marLeft w:val="0"/>
      <w:marRight w:val="0"/>
      <w:marTop w:val="0"/>
      <w:marBottom w:val="0"/>
      <w:divBdr>
        <w:top w:val="none" w:sz="0" w:space="0" w:color="auto"/>
        <w:left w:val="none" w:sz="0" w:space="0" w:color="auto"/>
        <w:bottom w:val="none" w:sz="0" w:space="0" w:color="auto"/>
        <w:right w:val="none" w:sz="0" w:space="0" w:color="auto"/>
      </w:divBdr>
    </w:div>
    <w:div w:id="475220116">
      <w:bodyDiv w:val="1"/>
      <w:marLeft w:val="0"/>
      <w:marRight w:val="0"/>
      <w:marTop w:val="0"/>
      <w:marBottom w:val="0"/>
      <w:divBdr>
        <w:top w:val="none" w:sz="0" w:space="0" w:color="auto"/>
        <w:left w:val="none" w:sz="0" w:space="0" w:color="auto"/>
        <w:bottom w:val="none" w:sz="0" w:space="0" w:color="auto"/>
        <w:right w:val="none" w:sz="0" w:space="0" w:color="auto"/>
      </w:divBdr>
    </w:div>
    <w:div w:id="479658630">
      <w:bodyDiv w:val="1"/>
      <w:marLeft w:val="0"/>
      <w:marRight w:val="0"/>
      <w:marTop w:val="0"/>
      <w:marBottom w:val="0"/>
      <w:divBdr>
        <w:top w:val="none" w:sz="0" w:space="0" w:color="auto"/>
        <w:left w:val="none" w:sz="0" w:space="0" w:color="auto"/>
        <w:bottom w:val="none" w:sz="0" w:space="0" w:color="auto"/>
        <w:right w:val="none" w:sz="0" w:space="0" w:color="auto"/>
      </w:divBdr>
    </w:div>
    <w:div w:id="541942139">
      <w:bodyDiv w:val="1"/>
      <w:marLeft w:val="0"/>
      <w:marRight w:val="0"/>
      <w:marTop w:val="0"/>
      <w:marBottom w:val="0"/>
      <w:divBdr>
        <w:top w:val="none" w:sz="0" w:space="0" w:color="auto"/>
        <w:left w:val="none" w:sz="0" w:space="0" w:color="auto"/>
        <w:bottom w:val="none" w:sz="0" w:space="0" w:color="auto"/>
        <w:right w:val="none" w:sz="0" w:space="0" w:color="auto"/>
      </w:divBdr>
    </w:div>
    <w:div w:id="546524375">
      <w:bodyDiv w:val="1"/>
      <w:marLeft w:val="0"/>
      <w:marRight w:val="0"/>
      <w:marTop w:val="0"/>
      <w:marBottom w:val="0"/>
      <w:divBdr>
        <w:top w:val="none" w:sz="0" w:space="0" w:color="auto"/>
        <w:left w:val="none" w:sz="0" w:space="0" w:color="auto"/>
        <w:bottom w:val="none" w:sz="0" w:space="0" w:color="auto"/>
        <w:right w:val="none" w:sz="0" w:space="0" w:color="auto"/>
      </w:divBdr>
    </w:div>
    <w:div w:id="560402854">
      <w:bodyDiv w:val="1"/>
      <w:marLeft w:val="0"/>
      <w:marRight w:val="0"/>
      <w:marTop w:val="0"/>
      <w:marBottom w:val="0"/>
      <w:divBdr>
        <w:top w:val="none" w:sz="0" w:space="0" w:color="auto"/>
        <w:left w:val="none" w:sz="0" w:space="0" w:color="auto"/>
        <w:bottom w:val="none" w:sz="0" w:space="0" w:color="auto"/>
        <w:right w:val="none" w:sz="0" w:space="0" w:color="auto"/>
      </w:divBdr>
    </w:div>
    <w:div w:id="599609419">
      <w:bodyDiv w:val="1"/>
      <w:marLeft w:val="0"/>
      <w:marRight w:val="0"/>
      <w:marTop w:val="0"/>
      <w:marBottom w:val="0"/>
      <w:divBdr>
        <w:top w:val="none" w:sz="0" w:space="0" w:color="auto"/>
        <w:left w:val="none" w:sz="0" w:space="0" w:color="auto"/>
        <w:bottom w:val="none" w:sz="0" w:space="0" w:color="auto"/>
        <w:right w:val="none" w:sz="0" w:space="0" w:color="auto"/>
      </w:divBdr>
    </w:div>
    <w:div w:id="605578041">
      <w:bodyDiv w:val="1"/>
      <w:marLeft w:val="0"/>
      <w:marRight w:val="0"/>
      <w:marTop w:val="0"/>
      <w:marBottom w:val="0"/>
      <w:divBdr>
        <w:top w:val="none" w:sz="0" w:space="0" w:color="auto"/>
        <w:left w:val="none" w:sz="0" w:space="0" w:color="auto"/>
        <w:bottom w:val="none" w:sz="0" w:space="0" w:color="auto"/>
        <w:right w:val="none" w:sz="0" w:space="0" w:color="auto"/>
      </w:divBdr>
    </w:div>
    <w:div w:id="677005645">
      <w:bodyDiv w:val="1"/>
      <w:marLeft w:val="0"/>
      <w:marRight w:val="0"/>
      <w:marTop w:val="0"/>
      <w:marBottom w:val="0"/>
      <w:divBdr>
        <w:top w:val="none" w:sz="0" w:space="0" w:color="auto"/>
        <w:left w:val="none" w:sz="0" w:space="0" w:color="auto"/>
        <w:bottom w:val="none" w:sz="0" w:space="0" w:color="auto"/>
        <w:right w:val="none" w:sz="0" w:space="0" w:color="auto"/>
      </w:divBdr>
    </w:div>
    <w:div w:id="684096733">
      <w:bodyDiv w:val="1"/>
      <w:marLeft w:val="0"/>
      <w:marRight w:val="0"/>
      <w:marTop w:val="0"/>
      <w:marBottom w:val="0"/>
      <w:divBdr>
        <w:top w:val="none" w:sz="0" w:space="0" w:color="auto"/>
        <w:left w:val="none" w:sz="0" w:space="0" w:color="auto"/>
        <w:bottom w:val="none" w:sz="0" w:space="0" w:color="auto"/>
        <w:right w:val="none" w:sz="0" w:space="0" w:color="auto"/>
      </w:divBdr>
    </w:div>
    <w:div w:id="696126028">
      <w:bodyDiv w:val="1"/>
      <w:marLeft w:val="0"/>
      <w:marRight w:val="0"/>
      <w:marTop w:val="0"/>
      <w:marBottom w:val="0"/>
      <w:divBdr>
        <w:top w:val="none" w:sz="0" w:space="0" w:color="auto"/>
        <w:left w:val="none" w:sz="0" w:space="0" w:color="auto"/>
        <w:bottom w:val="none" w:sz="0" w:space="0" w:color="auto"/>
        <w:right w:val="none" w:sz="0" w:space="0" w:color="auto"/>
      </w:divBdr>
    </w:div>
    <w:div w:id="835652083">
      <w:bodyDiv w:val="1"/>
      <w:marLeft w:val="0"/>
      <w:marRight w:val="0"/>
      <w:marTop w:val="0"/>
      <w:marBottom w:val="0"/>
      <w:divBdr>
        <w:top w:val="none" w:sz="0" w:space="0" w:color="auto"/>
        <w:left w:val="none" w:sz="0" w:space="0" w:color="auto"/>
        <w:bottom w:val="none" w:sz="0" w:space="0" w:color="auto"/>
        <w:right w:val="none" w:sz="0" w:space="0" w:color="auto"/>
      </w:divBdr>
    </w:div>
    <w:div w:id="848105441">
      <w:bodyDiv w:val="1"/>
      <w:marLeft w:val="0"/>
      <w:marRight w:val="0"/>
      <w:marTop w:val="0"/>
      <w:marBottom w:val="0"/>
      <w:divBdr>
        <w:top w:val="none" w:sz="0" w:space="0" w:color="auto"/>
        <w:left w:val="none" w:sz="0" w:space="0" w:color="auto"/>
        <w:bottom w:val="none" w:sz="0" w:space="0" w:color="auto"/>
        <w:right w:val="none" w:sz="0" w:space="0" w:color="auto"/>
      </w:divBdr>
    </w:div>
    <w:div w:id="857891711">
      <w:bodyDiv w:val="1"/>
      <w:marLeft w:val="0"/>
      <w:marRight w:val="0"/>
      <w:marTop w:val="0"/>
      <w:marBottom w:val="0"/>
      <w:divBdr>
        <w:top w:val="none" w:sz="0" w:space="0" w:color="auto"/>
        <w:left w:val="none" w:sz="0" w:space="0" w:color="auto"/>
        <w:bottom w:val="none" w:sz="0" w:space="0" w:color="auto"/>
        <w:right w:val="none" w:sz="0" w:space="0" w:color="auto"/>
      </w:divBdr>
    </w:div>
    <w:div w:id="1030572469">
      <w:bodyDiv w:val="1"/>
      <w:marLeft w:val="0"/>
      <w:marRight w:val="0"/>
      <w:marTop w:val="0"/>
      <w:marBottom w:val="0"/>
      <w:divBdr>
        <w:top w:val="none" w:sz="0" w:space="0" w:color="auto"/>
        <w:left w:val="none" w:sz="0" w:space="0" w:color="auto"/>
        <w:bottom w:val="none" w:sz="0" w:space="0" w:color="auto"/>
        <w:right w:val="none" w:sz="0" w:space="0" w:color="auto"/>
      </w:divBdr>
    </w:div>
    <w:div w:id="1103261775">
      <w:bodyDiv w:val="1"/>
      <w:marLeft w:val="0"/>
      <w:marRight w:val="0"/>
      <w:marTop w:val="0"/>
      <w:marBottom w:val="0"/>
      <w:divBdr>
        <w:top w:val="none" w:sz="0" w:space="0" w:color="auto"/>
        <w:left w:val="none" w:sz="0" w:space="0" w:color="auto"/>
        <w:bottom w:val="none" w:sz="0" w:space="0" w:color="auto"/>
        <w:right w:val="none" w:sz="0" w:space="0" w:color="auto"/>
      </w:divBdr>
    </w:div>
    <w:div w:id="1180504854">
      <w:bodyDiv w:val="1"/>
      <w:marLeft w:val="0"/>
      <w:marRight w:val="0"/>
      <w:marTop w:val="0"/>
      <w:marBottom w:val="0"/>
      <w:divBdr>
        <w:top w:val="none" w:sz="0" w:space="0" w:color="auto"/>
        <w:left w:val="none" w:sz="0" w:space="0" w:color="auto"/>
        <w:bottom w:val="none" w:sz="0" w:space="0" w:color="auto"/>
        <w:right w:val="none" w:sz="0" w:space="0" w:color="auto"/>
      </w:divBdr>
    </w:div>
    <w:div w:id="1183203355">
      <w:bodyDiv w:val="1"/>
      <w:marLeft w:val="0"/>
      <w:marRight w:val="0"/>
      <w:marTop w:val="0"/>
      <w:marBottom w:val="0"/>
      <w:divBdr>
        <w:top w:val="none" w:sz="0" w:space="0" w:color="auto"/>
        <w:left w:val="none" w:sz="0" w:space="0" w:color="auto"/>
        <w:bottom w:val="none" w:sz="0" w:space="0" w:color="auto"/>
        <w:right w:val="none" w:sz="0" w:space="0" w:color="auto"/>
      </w:divBdr>
    </w:div>
    <w:div w:id="1265770016">
      <w:bodyDiv w:val="1"/>
      <w:marLeft w:val="0"/>
      <w:marRight w:val="0"/>
      <w:marTop w:val="0"/>
      <w:marBottom w:val="0"/>
      <w:divBdr>
        <w:top w:val="none" w:sz="0" w:space="0" w:color="auto"/>
        <w:left w:val="none" w:sz="0" w:space="0" w:color="auto"/>
        <w:bottom w:val="none" w:sz="0" w:space="0" w:color="auto"/>
        <w:right w:val="none" w:sz="0" w:space="0" w:color="auto"/>
      </w:divBdr>
    </w:div>
    <w:div w:id="1375690009">
      <w:bodyDiv w:val="1"/>
      <w:marLeft w:val="0"/>
      <w:marRight w:val="0"/>
      <w:marTop w:val="0"/>
      <w:marBottom w:val="0"/>
      <w:divBdr>
        <w:top w:val="none" w:sz="0" w:space="0" w:color="auto"/>
        <w:left w:val="none" w:sz="0" w:space="0" w:color="auto"/>
        <w:bottom w:val="none" w:sz="0" w:space="0" w:color="auto"/>
        <w:right w:val="none" w:sz="0" w:space="0" w:color="auto"/>
      </w:divBdr>
    </w:div>
    <w:div w:id="1484816273">
      <w:bodyDiv w:val="1"/>
      <w:marLeft w:val="0"/>
      <w:marRight w:val="0"/>
      <w:marTop w:val="0"/>
      <w:marBottom w:val="0"/>
      <w:divBdr>
        <w:top w:val="none" w:sz="0" w:space="0" w:color="auto"/>
        <w:left w:val="none" w:sz="0" w:space="0" w:color="auto"/>
        <w:bottom w:val="none" w:sz="0" w:space="0" w:color="auto"/>
        <w:right w:val="none" w:sz="0" w:space="0" w:color="auto"/>
      </w:divBdr>
    </w:div>
    <w:div w:id="1529954482">
      <w:bodyDiv w:val="1"/>
      <w:marLeft w:val="0"/>
      <w:marRight w:val="0"/>
      <w:marTop w:val="0"/>
      <w:marBottom w:val="0"/>
      <w:divBdr>
        <w:top w:val="none" w:sz="0" w:space="0" w:color="auto"/>
        <w:left w:val="none" w:sz="0" w:space="0" w:color="auto"/>
        <w:bottom w:val="none" w:sz="0" w:space="0" w:color="auto"/>
        <w:right w:val="none" w:sz="0" w:space="0" w:color="auto"/>
      </w:divBdr>
    </w:div>
    <w:div w:id="1624313163">
      <w:bodyDiv w:val="1"/>
      <w:marLeft w:val="0"/>
      <w:marRight w:val="0"/>
      <w:marTop w:val="0"/>
      <w:marBottom w:val="0"/>
      <w:divBdr>
        <w:top w:val="none" w:sz="0" w:space="0" w:color="auto"/>
        <w:left w:val="none" w:sz="0" w:space="0" w:color="auto"/>
        <w:bottom w:val="none" w:sz="0" w:space="0" w:color="auto"/>
        <w:right w:val="none" w:sz="0" w:space="0" w:color="auto"/>
      </w:divBdr>
    </w:div>
    <w:div w:id="1653557631">
      <w:bodyDiv w:val="1"/>
      <w:marLeft w:val="0"/>
      <w:marRight w:val="0"/>
      <w:marTop w:val="0"/>
      <w:marBottom w:val="0"/>
      <w:divBdr>
        <w:top w:val="none" w:sz="0" w:space="0" w:color="auto"/>
        <w:left w:val="none" w:sz="0" w:space="0" w:color="auto"/>
        <w:bottom w:val="none" w:sz="0" w:space="0" w:color="auto"/>
        <w:right w:val="none" w:sz="0" w:space="0" w:color="auto"/>
      </w:divBdr>
    </w:div>
    <w:div w:id="1706563975">
      <w:bodyDiv w:val="1"/>
      <w:marLeft w:val="0"/>
      <w:marRight w:val="0"/>
      <w:marTop w:val="0"/>
      <w:marBottom w:val="0"/>
      <w:divBdr>
        <w:top w:val="none" w:sz="0" w:space="0" w:color="auto"/>
        <w:left w:val="none" w:sz="0" w:space="0" w:color="auto"/>
        <w:bottom w:val="none" w:sz="0" w:space="0" w:color="auto"/>
        <w:right w:val="none" w:sz="0" w:space="0" w:color="auto"/>
      </w:divBdr>
    </w:div>
    <w:div w:id="1740786533">
      <w:bodyDiv w:val="1"/>
      <w:marLeft w:val="0"/>
      <w:marRight w:val="0"/>
      <w:marTop w:val="0"/>
      <w:marBottom w:val="0"/>
      <w:divBdr>
        <w:top w:val="none" w:sz="0" w:space="0" w:color="auto"/>
        <w:left w:val="none" w:sz="0" w:space="0" w:color="auto"/>
        <w:bottom w:val="none" w:sz="0" w:space="0" w:color="auto"/>
        <w:right w:val="none" w:sz="0" w:space="0" w:color="auto"/>
      </w:divBdr>
    </w:div>
    <w:div w:id="1806774193">
      <w:bodyDiv w:val="1"/>
      <w:marLeft w:val="0"/>
      <w:marRight w:val="0"/>
      <w:marTop w:val="0"/>
      <w:marBottom w:val="0"/>
      <w:divBdr>
        <w:top w:val="none" w:sz="0" w:space="0" w:color="auto"/>
        <w:left w:val="none" w:sz="0" w:space="0" w:color="auto"/>
        <w:bottom w:val="none" w:sz="0" w:space="0" w:color="auto"/>
        <w:right w:val="none" w:sz="0" w:space="0" w:color="auto"/>
      </w:divBdr>
    </w:div>
    <w:div w:id="1816292001">
      <w:bodyDiv w:val="1"/>
      <w:marLeft w:val="0"/>
      <w:marRight w:val="0"/>
      <w:marTop w:val="0"/>
      <w:marBottom w:val="0"/>
      <w:divBdr>
        <w:top w:val="none" w:sz="0" w:space="0" w:color="auto"/>
        <w:left w:val="none" w:sz="0" w:space="0" w:color="auto"/>
        <w:bottom w:val="none" w:sz="0" w:space="0" w:color="auto"/>
        <w:right w:val="none" w:sz="0" w:space="0" w:color="auto"/>
      </w:divBdr>
    </w:div>
    <w:div w:id="1831016742">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5305789">
      <w:bodyDiv w:val="1"/>
      <w:marLeft w:val="0"/>
      <w:marRight w:val="0"/>
      <w:marTop w:val="0"/>
      <w:marBottom w:val="0"/>
      <w:divBdr>
        <w:top w:val="none" w:sz="0" w:space="0" w:color="auto"/>
        <w:left w:val="none" w:sz="0" w:space="0" w:color="auto"/>
        <w:bottom w:val="none" w:sz="0" w:space="0" w:color="auto"/>
        <w:right w:val="none" w:sz="0" w:space="0" w:color="auto"/>
      </w:divBdr>
    </w:div>
    <w:div w:id="1999383399">
      <w:bodyDiv w:val="1"/>
      <w:marLeft w:val="0"/>
      <w:marRight w:val="0"/>
      <w:marTop w:val="0"/>
      <w:marBottom w:val="0"/>
      <w:divBdr>
        <w:top w:val="none" w:sz="0" w:space="0" w:color="auto"/>
        <w:left w:val="none" w:sz="0" w:space="0" w:color="auto"/>
        <w:bottom w:val="none" w:sz="0" w:space="0" w:color="auto"/>
        <w:right w:val="none" w:sz="0" w:space="0" w:color="auto"/>
      </w:divBdr>
    </w:div>
    <w:div w:id="2012444220">
      <w:bodyDiv w:val="1"/>
      <w:marLeft w:val="0"/>
      <w:marRight w:val="0"/>
      <w:marTop w:val="0"/>
      <w:marBottom w:val="0"/>
      <w:divBdr>
        <w:top w:val="none" w:sz="0" w:space="0" w:color="auto"/>
        <w:left w:val="none" w:sz="0" w:space="0" w:color="auto"/>
        <w:bottom w:val="none" w:sz="0" w:space="0" w:color="auto"/>
        <w:right w:val="none" w:sz="0" w:space="0" w:color="auto"/>
      </w:divBdr>
    </w:div>
    <w:div w:id="2031028353">
      <w:bodyDiv w:val="1"/>
      <w:marLeft w:val="0"/>
      <w:marRight w:val="0"/>
      <w:marTop w:val="0"/>
      <w:marBottom w:val="0"/>
      <w:divBdr>
        <w:top w:val="none" w:sz="0" w:space="0" w:color="auto"/>
        <w:left w:val="none" w:sz="0" w:space="0" w:color="auto"/>
        <w:bottom w:val="none" w:sz="0" w:space="0" w:color="auto"/>
        <w:right w:val="none" w:sz="0" w:space="0" w:color="auto"/>
      </w:divBdr>
    </w:div>
    <w:div w:id="210758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5.xml"/><Relationship Id="rId27" Type="http://schemas.openxmlformats.org/officeDocument/2006/relationships/header" Target="header6.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attachments/thematic/eib_group_climate_bank_roadmap_en.pdf" TargetMode="External"/><Relationship Id="rId13" Type="http://schemas.openxmlformats.org/officeDocument/2006/relationships/hyperlink" Target="https://www.eib.org/en/press/all/2025-331-more-than-350000-european-companies-to-get-energy-efficiency-support-under-major-eu-financing-initiative" TargetMode="External"/><Relationship Id="rId18" Type="http://schemas.openxmlformats.org/officeDocument/2006/relationships/hyperlink" Target="https://www.fi-compass.eu/" TargetMode="External"/><Relationship Id="rId26" Type="http://schemas.openxmlformats.org/officeDocument/2006/relationships/hyperlink" Target="https://commission.europa.eu/document/download/4e8f26d1-6604-496f-87c4-0b9a886adf29_en?filename=EU%20core%20performance%20indicators_15_07_0.pdf" TargetMode="External"/><Relationship Id="rId3" Type="http://schemas.openxmlformats.org/officeDocument/2006/relationships/hyperlink" Target="https://eur-lex.europa.eu/legal-content/RO/TXT/?uri=celex%3A52024DC0063" TargetMode="External"/><Relationship Id="rId21" Type="http://schemas.openxmlformats.org/officeDocument/2006/relationships/hyperlink" Target="https://www.fi-compass.eu/erdf/scale-up-energy-efficiency-financial-instruments" TargetMode="External"/><Relationship Id="rId7" Type="http://schemas.openxmlformats.org/officeDocument/2006/relationships/hyperlink" Target="https://modernisationfund.eu/" TargetMode="External"/><Relationship Id="rId12" Type="http://schemas.openxmlformats.org/officeDocument/2006/relationships/hyperlink" Target="https://www.eib.org/en/publications/20240198-eib-group-2024-2027-strategic-roadmap" TargetMode="External"/><Relationship Id="rId17" Type="http://schemas.openxmlformats.org/officeDocument/2006/relationships/hyperlink" Target="https://www.fi-compass.eu/resources/factsheets-and-brochures/model-for-a-financial-instrument-with-a-grant-component" TargetMode="External"/><Relationship Id="rId25" Type="http://schemas.openxmlformats.org/officeDocument/2006/relationships/hyperlink" Target="https://www.bruegel.org/sites/default/files/2024-10/PB%2012%202024.pdf" TargetMode="External"/><Relationship Id="rId2" Type="http://schemas.openxmlformats.org/officeDocument/2006/relationships/hyperlink" Target="https://eur-lex.europa.eu/eli/dir/2024/1275/oj/eng" TargetMode="External"/><Relationship Id="rId16" Type="http://schemas.openxmlformats.org/officeDocument/2006/relationships/hyperlink" Target="https://cohesiondata.ec.europa.eu/stories/s/Financial-instruments-under-cohesion-policy-2021-2/tkqa-xd2d" TargetMode="External"/><Relationship Id="rId20" Type="http://schemas.openxmlformats.org/officeDocument/2006/relationships/hyperlink" Target="https://www.fi-compass.eu/erdf/scale-up-energy-efficiency-financial-instruments" TargetMode="External"/><Relationship Id="rId1" Type="http://schemas.openxmlformats.org/officeDocument/2006/relationships/hyperlink" Target="https://eur-lex.europa.eu/eli/dir/2023/1791/oj/eng" TargetMode="External"/><Relationship Id="rId6" Type="http://schemas.openxmlformats.org/officeDocument/2006/relationships/hyperlink" Target="https://eur-lex.europa.eu/eli/reg/2021/241/oj/eng" TargetMode="External"/><Relationship Id="rId11" Type="http://schemas.openxmlformats.org/officeDocument/2006/relationships/hyperlink" Target="https://www.eib.org/en/products/advisory-services/elena/index" TargetMode="External"/><Relationship Id="rId24" Type="http://schemas.openxmlformats.org/officeDocument/2006/relationships/hyperlink" Target="https://www.i4ce.org/wp-content/uploads/2024/02/20240222-i4ce3859-Panorama-EU_VA-40p.pdf" TargetMode="External"/><Relationship Id="rId5" Type="http://schemas.openxmlformats.org/officeDocument/2006/relationships/hyperlink" Target="https://publications.europa.eu/resource/cellar/6c154426-c5a6-11ee-95d9-01aa75ed71a1.0001.03/DOC_3" TargetMode="External"/><Relationship Id="rId15" Type="http://schemas.openxmlformats.org/officeDocument/2006/relationships/hyperlink" Target="https://cohesiondata.ec.europa.eu/stories/s/Financial-instruments-under-cohesion-policy-2021-2/tkqa-xd2d" TargetMode="External"/><Relationship Id="rId23" Type="http://schemas.openxmlformats.org/officeDocument/2006/relationships/hyperlink" Target="https://iea.blob.core.windows.net/assets/f304f2ba-e9a2-4e6d-b529-fb67cd13f646/EnergyEfficiency2024.pdf" TargetMode="External"/><Relationship Id="rId10" Type="http://schemas.openxmlformats.org/officeDocument/2006/relationships/hyperlink" Target="https://investeu.europa.eu/investeu-programme/investeu-advisory-hub_en" TargetMode="External"/><Relationship Id="rId19" Type="http://schemas.openxmlformats.org/officeDocument/2006/relationships/hyperlink" Target="https://www.fi-compass.eu/" TargetMode="External"/><Relationship Id="rId4" Type="http://schemas.openxmlformats.org/officeDocument/2006/relationships/hyperlink" Target="https://single-market-economy.ec.europa.eu/system/files/2023-03/SWD_2023_68_F1_STAFF_WORKING_PAPER_EN_V4_P1_2629849.PDF" TargetMode="External"/><Relationship Id="rId9" Type="http://schemas.openxmlformats.org/officeDocument/2006/relationships/hyperlink" Target="https://www.eib.org/en/publications/20250240-eib-group-climate-bank-roadmap-phase-2-2026-2030" TargetMode="External"/><Relationship Id="rId14" Type="http://schemas.openxmlformats.org/officeDocument/2006/relationships/hyperlink" Target="https://ec.europa.eu/info/law/better-regulation/have-your-say/initiatives/13824-Eficienta-energetica-evaluarea-nivelului-de-finantare-european-si-national_ro" TargetMode="External"/><Relationship Id="rId22" Type="http://schemas.openxmlformats.org/officeDocument/2006/relationships/hyperlink" Target="https://ec.europa.eu/regional_policy/whats-new/newsroom/10-01-2025-apply-for-c4t-groundwork-technical-assistance-for-cohesion-policy-investments_en" TargetMode="External"/><Relationship Id="rId27" Type="http://schemas.openxmlformats.org/officeDocument/2006/relationships/hyperlink" Target="https://ec.europa.eu/economy_finance/recovery-and-resilience-scoreboard/RRFCI01.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Number of schemes and value by Member State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'Graphs (2)'!$C$2</c:f>
              <c:strCache>
                <c:ptCount val="1"/>
                <c:pt idx="0">
                  <c:v># Schemes</c:v>
                </c:pt>
              </c:strCache>
            </c:strRef>
          </c:tx>
          <c:spPr>
            <a:solidFill>
              <a:schemeClr val="accent1"/>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(2)'!$C$3:$C$29</c:f>
              <c:numCache>
                <c:formatCode>General</c:formatCode>
                <c:ptCount val="27"/>
                <c:pt idx="0">
                  <c:v>8</c:v>
                </c:pt>
                <c:pt idx="1">
                  <c:v>14</c:v>
                </c:pt>
                <c:pt idx="2">
                  <c:v>15</c:v>
                </c:pt>
                <c:pt idx="3">
                  <c:v>34</c:v>
                </c:pt>
                <c:pt idx="4">
                  <c:v>7</c:v>
                </c:pt>
                <c:pt idx="5">
                  <c:v>24</c:v>
                </c:pt>
                <c:pt idx="6">
                  <c:v>16</c:v>
                </c:pt>
                <c:pt idx="7">
                  <c:v>62</c:v>
                </c:pt>
                <c:pt idx="8">
                  <c:v>10</c:v>
                </c:pt>
                <c:pt idx="9">
                  <c:v>9</c:v>
                </c:pt>
                <c:pt idx="10">
                  <c:v>25</c:v>
                </c:pt>
                <c:pt idx="11">
                  <c:v>10</c:v>
                </c:pt>
                <c:pt idx="12">
                  <c:v>12</c:v>
                </c:pt>
                <c:pt idx="13">
                  <c:v>7</c:v>
                </c:pt>
                <c:pt idx="14">
                  <c:v>14</c:v>
                </c:pt>
                <c:pt idx="15">
                  <c:v>15</c:v>
                </c:pt>
                <c:pt idx="16">
                  <c:v>35</c:v>
                </c:pt>
                <c:pt idx="17">
                  <c:v>11</c:v>
                </c:pt>
                <c:pt idx="18">
                  <c:v>21</c:v>
                </c:pt>
                <c:pt idx="19">
                  <c:v>13</c:v>
                </c:pt>
                <c:pt idx="20">
                  <c:v>9</c:v>
                </c:pt>
                <c:pt idx="21">
                  <c:v>9</c:v>
                </c:pt>
                <c:pt idx="22">
                  <c:v>7</c:v>
                </c:pt>
                <c:pt idx="23">
                  <c:v>7</c:v>
                </c:pt>
                <c:pt idx="24">
                  <c:v>10</c:v>
                </c:pt>
                <c:pt idx="25">
                  <c:v>6</c:v>
                </c:pt>
                <c:pt idx="26">
                  <c:v>16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D36-4E04-8997-2E9540B5C227}"/>
            </c:ext>
          </c:extLst>
        </c:ser>
        <c:ser>
          <c:idx val="1"/>
          <c:order val="1"/>
          <c:tx>
            <c:strRef>
              <c:f>'Graphs (2)'!$D$2</c:f>
              <c:strCache>
                <c:ptCount val="1"/>
                <c:pt idx="0">
                  <c:v>Schemes B</c:v>
                </c:pt>
              </c:strCache>
            </c:strRef>
          </c:tx>
          <c:spPr>
            <a:solidFill>
              <a:schemeClr val="accent2"/>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(2)'!$D$3:$D$29</c:f>
              <c:numCache>
                <c:formatCode>General</c:formatCode>
                <c:ptCount val="27"/>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D36-4E04-8997-2E9540B5C227}"/>
            </c:ext>
          </c:extLst>
        </c:ser>
        <c:dLbls>
          <c:showLegendKey val="0"/>
          <c:showVal val="0"/>
          <c:showCatName val="0"/>
          <c:showSerName val="0"/>
          <c:showPercent val="0"/>
          <c:showBubbleSize val="0"/>
        </c:dLbls>
        <c:gapWidth val="200"/>
        <c:axId val="1598372624"/>
        <c:axId val="1598380304"/>
      </c:barChart>
      <c:barChart>
        <c:barDir val="col"/>
        <c:grouping val="clustered"/>
        <c:varyColors val="0"/>
        <c:ser>
          <c:idx val="2"/>
          <c:order val="2"/>
          <c:tx>
            <c:strRef>
              <c:f>'Graphs (2)'!$E$2</c:f>
              <c:strCache>
                <c:ptCount val="1"/>
                <c:pt idx="0">
                  <c:v>Budget B</c:v>
                </c:pt>
              </c:strCache>
            </c:strRef>
          </c:tx>
          <c:spPr>
            <a:solidFill>
              <a:schemeClr val="accent3"/>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(2)'!$E$3:$E$29</c:f>
              <c:numCache>
                <c:formatCode>General</c:formatCode>
                <c:ptCount val="27"/>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D36-4E04-8997-2E9540B5C227}"/>
            </c:ext>
          </c:extLst>
        </c:ser>
        <c:ser>
          <c:idx val="3"/>
          <c:order val="3"/>
          <c:tx>
            <c:strRef>
              <c:f>'Graphs (2)'!$P$2</c:f>
              <c:strCache>
                <c:ptCount val="1"/>
                <c:pt idx="0">
                  <c:v>Total budget</c:v>
                </c:pt>
              </c:strCache>
            </c:strRef>
          </c:tx>
          <c:spPr>
            <a:solidFill>
              <a:schemeClr val="accent4"/>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(2)'!$P$3:$P$29</c:f>
              <c:numCache>
                <c:formatCode>#,##0.00</c:formatCode>
                <c:ptCount val="27"/>
                <c:pt idx="0">
                  <c:v>134465</c:v>
                </c:pt>
                <c:pt idx="1">
                  <c:v>125710.9</c:v>
                </c:pt>
                <c:pt idx="2">
                  <c:v>80562.894</c:v>
                </c:pt>
                <c:pt idx="3">
                  <c:v>26654.93</c:v>
                </c:pt>
                <c:pt idx="4">
                  <c:v>22067</c:v>
                </c:pt>
                <c:pt idx="5">
                  <c:v>15696.844799999999</c:v>
                </c:pt>
                <c:pt idx="6">
                  <c:v>14536.6</c:v>
                </c:pt>
                <c:pt idx="7">
                  <c:v>10663.490266338338</c:v>
                </c:pt>
                <c:pt idx="8">
                  <c:v>9466.7999999999993</c:v>
                </c:pt>
                <c:pt idx="9">
                  <c:v>5720.44</c:v>
                </c:pt>
                <c:pt idx="10">
                  <c:v>5683.5243040000005</c:v>
                </c:pt>
                <c:pt idx="11">
                  <c:v>5185.6999999999989</c:v>
                </c:pt>
                <c:pt idx="12">
                  <c:v>4967.0158659999997</c:v>
                </c:pt>
                <c:pt idx="13">
                  <c:v>4032.1</c:v>
                </c:pt>
                <c:pt idx="14">
                  <c:v>2364.8000000000002</c:v>
                </c:pt>
                <c:pt idx="15">
                  <c:v>2331.9466106999998</c:v>
                </c:pt>
                <c:pt idx="16">
                  <c:v>1931.057</c:v>
                </c:pt>
                <c:pt idx="17">
                  <c:v>1877.1600000000003</c:v>
                </c:pt>
                <c:pt idx="18">
                  <c:v>1170.8600000000001</c:v>
                </c:pt>
                <c:pt idx="19">
                  <c:v>1136.6776929999999</c:v>
                </c:pt>
                <c:pt idx="20">
                  <c:v>1084.4000000000001</c:v>
                </c:pt>
                <c:pt idx="21">
                  <c:v>360.51</c:v>
                </c:pt>
                <c:pt idx="22">
                  <c:v>331</c:v>
                </c:pt>
                <c:pt idx="23">
                  <c:v>262.755</c:v>
                </c:pt>
                <c:pt idx="24">
                  <c:v>235.98500000000001</c:v>
                </c:pt>
                <c:pt idx="25">
                  <c:v>172.13</c:v>
                </c:pt>
                <c:pt idx="26">
                  <c:v>145.98112199999997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D36-4E04-8997-2E9540B5C227}"/>
            </c:ext>
          </c:extLst>
        </c:ser>
        <c:dLbls>
          <c:showLegendKey val="0"/>
          <c:showVal val="0"/>
          <c:showCatName val="0"/>
          <c:showSerName val="0"/>
          <c:showPercent val="0"/>
          <c:showBubbleSize val="0"/>
        </c:dLbls>
        <c:gapWidth val="200"/>
        <c:axId val="64504048"/>
        <c:axId val="64498288"/>
      </c:barChart>
      <c:catAx>
        <c:axId val="159837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8380304"/>
        <c:crosses val="autoZero"/>
        <c:auto val="1"/>
        <c:lblAlgn val="ctr"/>
        <c:lblOffset val="100"/>
        <c:noMultiLvlLbl val="0"/>
      </c:catAx>
      <c:valAx>
        <c:axId val="1598380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Number of schemes</a:t>
                </a:r>
              </a:p>
            </c:rich>
          </c:tx>
          <c:layout>
            <c:manualLayout>
              <c:xMode val="edge"/>
              <c:yMode val="edge"/>
              <c:x val="1.6245068461359945E-2"/>
              <c:y val="0.204636217661547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8372624"/>
        <c:crosses val="autoZero"/>
        <c:crossBetween val="between"/>
      </c:valAx>
      <c:valAx>
        <c:axId val="64498288"/>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504048"/>
        <c:crosses val="max"/>
        <c:crossBetween val="between"/>
      </c:valAx>
      <c:catAx>
        <c:axId val="64504048"/>
        <c:scaling>
          <c:orientation val="minMax"/>
        </c:scaling>
        <c:delete val="1"/>
        <c:axPos val="b"/>
        <c:numFmt formatCode="General" sourceLinked="1"/>
        <c:majorTickMark val="out"/>
        <c:minorTickMark val="none"/>
        <c:tickLblPos val="nextTo"/>
        <c:crossAx val="64498288"/>
        <c:crosses val="autoZero"/>
        <c:auto val="1"/>
        <c:lblAlgn val="ctr"/>
        <c:lblOffset val="100"/>
        <c:noMultiLvlLbl val="0"/>
      </c:cat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Share of budget by type of scheme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percentStacked"/>
        <c:varyColors val="0"/>
        <c:ser>
          <c:idx val="1"/>
          <c:order val="0"/>
          <c:tx>
            <c:strRef>
              <c:f>'Sheet1 (2)'!$C$2</c:f>
              <c:strCache>
                <c:ptCount val="1"/>
                <c:pt idx="0">
                  <c:v>Non-repayable</c:v>
                </c:pt>
              </c:strCache>
            </c:strRef>
          </c:tx>
          <c:spPr>
            <a:solidFill>
              <a:schemeClr val="accent2"/>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(2)'!$C$3:$C$30</c:f>
              <c:numCache>
                <c:formatCode>_-* #,##0_-;\-* #,##0_-;_-* "-"??_-;_-@_-</c:formatCode>
                <c:ptCount val="28"/>
                <c:pt idx="0">
                  <c:v>248046.24694003828</c:v>
                </c:pt>
                <c:pt idx="1">
                  <c:v>40</c:v>
                </c:pt>
                <c:pt idx="2">
                  <c:v>5224</c:v>
                </c:pt>
                <c:pt idx="3">
                  <c:v>510.11586599999998</c:v>
                </c:pt>
                <c:pt idx="4">
                  <c:v>529.16</c:v>
                </c:pt>
                <c:pt idx="5">
                  <c:v>1699.03</c:v>
                </c:pt>
                <c:pt idx="6">
                  <c:v>1855.7000000000003</c:v>
                </c:pt>
                <c:pt idx="7">
                  <c:v>891.22661070000004</c:v>
                </c:pt>
                <c:pt idx="8">
                  <c:v>840.05700000000002</c:v>
                </c:pt>
                <c:pt idx="9">
                  <c:v>2789.5903040000003</c:v>
                </c:pt>
                <c:pt idx="10">
                  <c:v>7336.6</c:v>
                </c:pt>
                <c:pt idx="11">
                  <c:v>1330.3</c:v>
                </c:pt>
                <c:pt idx="12">
                  <c:v>172.5</c:v>
                </c:pt>
                <c:pt idx="13">
                  <c:v>11878.105199999998</c:v>
                </c:pt>
                <c:pt idx="14">
                  <c:v>185.98500000000001</c:v>
                </c:pt>
                <c:pt idx="15">
                  <c:v>21234.59</c:v>
                </c:pt>
                <c:pt idx="16">
                  <c:v>947.43000000000006</c:v>
                </c:pt>
                <c:pt idx="17">
                  <c:v>122.74</c:v>
                </c:pt>
                <c:pt idx="18">
                  <c:v>280</c:v>
                </c:pt>
                <c:pt idx="19">
                  <c:v>107182.2</c:v>
                </c:pt>
                <c:pt idx="20">
                  <c:v>8195.7999999999993</c:v>
                </c:pt>
                <c:pt idx="21">
                  <c:v>19447</c:v>
                </c:pt>
                <c:pt idx="22">
                  <c:v>39720</c:v>
                </c:pt>
                <c:pt idx="23">
                  <c:v>1036.6776930000001</c:v>
                </c:pt>
                <c:pt idx="24">
                  <c:v>10032.699266338339</c:v>
                </c:pt>
                <c:pt idx="25">
                  <c:v>360.51</c:v>
                </c:pt>
                <c:pt idx="26">
                  <c:v>4032.1</c:v>
                </c:pt>
                <c:pt idx="27">
                  <c:v>172.13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AAA-4BBA-A2E7-2238F1DB8A7E}"/>
            </c:ext>
          </c:extLst>
        </c:ser>
        <c:ser>
          <c:idx val="2"/>
          <c:order val="1"/>
          <c:tx>
            <c:strRef>
              <c:f>'Sheet1 (2)'!$D$2</c:f>
              <c:strCache>
                <c:ptCount val="1"/>
                <c:pt idx="0">
                  <c:v>Blended scheme</c:v>
                </c:pt>
              </c:strCache>
            </c:strRef>
          </c:tx>
          <c:spPr>
            <a:solidFill>
              <a:schemeClr val="accent3"/>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(2)'!$D$3:$D$30</c:f>
              <c:numCache>
                <c:formatCode>_-* #,##0_-;\-* #,##0_-;_-* "-"??_-;_-@_-</c:formatCode>
                <c:ptCount val="28"/>
                <c:pt idx="0">
                  <c:v>91814.555122000005</c:v>
                </c:pt>
                <c:pt idx="1">
                  <c:v>47</c:v>
                </c:pt>
                <c:pt idx="2">
                  <c:v>71473</c:v>
                </c:pt>
                <c:pt idx="3">
                  <c:v>0</c:v>
                </c:pt>
                <c:pt idx="4">
                  <c:v>60</c:v>
                </c:pt>
                <c:pt idx="5">
                  <c:v>4021.41</c:v>
                </c:pt>
                <c:pt idx="6">
                  <c:v>0</c:v>
                </c:pt>
                <c:pt idx="7">
                  <c:v>450.62</c:v>
                </c:pt>
                <c:pt idx="8">
                  <c:v>0</c:v>
                </c:pt>
                <c:pt idx="9">
                  <c:v>847.93399999999997</c:v>
                </c:pt>
                <c:pt idx="10">
                  <c:v>7200</c:v>
                </c:pt>
                <c:pt idx="11">
                  <c:v>0</c:v>
                </c:pt>
                <c:pt idx="12">
                  <c:v>0</c:v>
                </c:pt>
                <c:pt idx="13">
                  <c:v>156</c:v>
                </c:pt>
                <c:pt idx="14">
                  <c:v>0</c:v>
                </c:pt>
                <c:pt idx="15">
                  <c:v>5019.5499999999993</c:v>
                </c:pt>
                <c:pt idx="16">
                  <c:v>0</c:v>
                </c:pt>
                <c:pt idx="17">
                  <c:v>1.0411220000000001</c:v>
                </c:pt>
                <c:pt idx="18">
                  <c:v>51</c:v>
                </c:pt>
                <c:pt idx="19">
                  <c:v>0</c:v>
                </c:pt>
                <c:pt idx="20">
                  <c:v>0</c:v>
                </c:pt>
                <c:pt idx="21">
                  <c:v>690</c:v>
                </c:pt>
                <c:pt idx="22">
                  <c:v>1380</c:v>
                </c:pt>
                <c:pt idx="23">
                  <c:v>0</c:v>
                </c:pt>
                <c:pt idx="24">
                  <c:v>417</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AAA-4BBA-A2E7-2238F1DB8A7E}"/>
            </c:ext>
          </c:extLst>
        </c:ser>
        <c:ser>
          <c:idx val="3"/>
          <c:order val="2"/>
          <c:tx>
            <c:strRef>
              <c:f>'Sheet1 (2)'!$E$2</c:f>
              <c:strCache>
                <c:ptCount val="1"/>
                <c:pt idx="0">
                  <c:v>Repayable</c:v>
                </c:pt>
              </c:strCache>
            </c:strRef>
          </c:tx>
          <c:spPr>
            <a:solidFill>
              <a:schemeClr val="accent4"/>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(2)'!$E$3:$E$30</c:f>
              <c:numCache>
                <c:formatCode>_-* #,##0_-;\-* #,##0_-;_-* "-"??_-;_-@_-</c:formatCode>
                <c:ptCount val="28"/>
                <c:pt idx="0">
                  <c:v>41621.1996</c:v>
                </c:pt>
                <c:pt idx="1">
                  <c:v>0</c:v>
                </c:pt>
                <c:pt idx="2">
                  <c:v>3635.8939999999998</c:v>
                </c:pt>
                <c:pt idx="3">
                  <c:v>4200</c:v>
                </c:pt>
                <c:pt idx="4">
                  <c:v>20</c:v>
                </c:pt>
                <c:pt idx="5">
                  <c:v>0</c:v>
                </c:pt>
                <c:pt idx="6">
                  <c:v>3330</c:v>
                </c:pt>
                <c:pt idx="7">
                  <c:v>990.1</c:v>
                </c:pt>
                <c:pt idx="8">
                  <c:v>960</c:v>
                </c:pt>
                <c:pt idx="9">
                  <c:v>2046</c:v>
                </c:pt>
                <c:pt idx="10">
                  <c:v>0</c:v>
                </c:pt>
                <c:pt idx="11">
                  <c:v>582.5</c:v>
                </c:pt>
                <c:pt idx="12">
                  <c:v>26.254999999999999</c:v>
                </c:pt>
                <c:pt idx="13">
                  <c:v>3662.7395999999999</c:v>
                </c:pt>
                <c:pt idx="14">
                  <c:v>0</c:v>
                </c:pt>
                <c:pt idx="15">
                  <c:v>400.79</c:v>
                </c:pt>
                <c:pt idx="16">
                  <c:v>223.43</c:v>
                </c:pt>
                <c:pt idx="17">
                  <c:v>0</c:v>
                </c:pt>
                <c:pt idx="18">
                  <c:v>0</c:v>
                </c:pt>
                <c:pt idx="19">
                  <c:v>14828.7</c:v>
                </c:pt>
                <c:pt idx="20">
                  <c:v>1271</c:v>
                </c:pt>
                <c:pt idx="21">
                  <c:v>1930</c:v>
                </c:pt>
                <c:pt idx="22">
                  <c:v>3200</c:v>
                </c:pt>
                <c:pt idx="23">
                  <c:v>100</c:v>
                </c:pt>
                <c:pt idx="24">
                  <c:v>213.791</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AAA-4BBA-A2E7-2238F1DB8A7E}"/>
            </c:ext>
          </c:extLst>
        </c:ser>
        <c:ser>
          <c:idx val="4"/>
          <c:order val="3"/>
          <c:tx>
            <c:strRef>
              <c:f>'Sheet1 (2)'!$F$2</c:f>
              <c:strCache>
                <c:ptCount val="1"/>
                <c:pt idx="0">
                  <c:v>Others</c:v>
                </c:pt>
              </c:strCache>
            </c:strRef>
          </c:tx>
          <c:spPr>
            <a:solidFill>
              <a:schemeClr val="accent5"/>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(2)'!$F$3:$F$30</c:f>
              <c:numCache>
                <c:formatCode>_-* #,##0_-;\-* #,##0_-;_-* "-"??_-;_-@_-</c:formatCode>
                <c:ptCount val="28"/>
                <c:pt idx="0">
                  <c:v>7171.4999999999991</c:v>
                </c:pt>
                <c:pt idx="1">
                  <c:v>997.4</c:v>
                </c:pt>
                <c:pt idx="2">
                  <c:v>230</c:v>
                </c:pt>
                <c:pt idx="3">
                  <c:v>256.89999999999998</c:v>
                </c:pt>
                <c:pt idx="4">
                  <c:v>1268.0000000000002</c:v>
                </c:pt>
                <c:pt idx="5">
                  <c:v>0</c:v>
                </c:pt>
                <c:pt idx="6">
                  <c:v>0</c:v>
                </c:pt>
                <c:pt idx="7">
                  <c:v>0</c:v>
                </c:pt>
                <c:pt idx="8">
                  <c:v>131</c:v>
                </c:pt>
                <c:pt idx="9">
                  <c:v>0</c:v>
                </c:pt>
                <c:pt idx="10">
                  <c:v>0</c:v>
                </c:pt>
                <c:pt idx="11">
                  <c:v>452</c:v>
                </c:pt>
                <c:pt idx="12">
                  <c:v>64</c:v>
                </c:pt>
                <c:pt idx="13">
                  <c:v>0</c:v>
                </c:pt>
                <c:pt idx="14">
                  <c:v>50</c:v>
                </c:pt>
                <c:pt idx="15">
                  <c:v>0</c:v>
                </c:pt>
                <c:pt idx="16">
                  <c:v>0</c:v>
                </c:pt>
                <c:pt idx="17">
                  <c:v>22.2</c:v>
                </c:pt>
                <c:pt idx="18">
                  <c:v>0</c:v>
                </c:pt>
                <c:pt idx="19">
                  <c:v>3700</c:v>
                </c:pt>
                <c:pt idx="20">
                  <c:v>0</c:v>
                </c:pt>
                <c:pt idx="21">
                  <c:v>0</c:v>
                </c:pt>
                <c:pt idx="22">
                  <c:v>0</c:v>
                </c:pt>
                <c:pt idx="23">
                  <c:v>0</c:v>
                </c:pt>
                <c:pt idx="24">
                  <c:v>0</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AAA-4BBA-A2E7-2238F1DB8A7E}"/>
            </c:ext>
          </c:extLst>
        </c:ser>
        <c:dLbls>
          <c:showLegendKey val="0"/>
          <c:showVal val="0"/>
          <c:showCatName val="0"/>
          <c:showSerName val="0"/>
          <c:showPercent val="0"/>
          <c:showBubbleSize val="0"/>
        </c:dLbls>
        <c:gapWidth val="150"/>
        <c:overlap val="100"/>
        <c:axId val="63895007"/>
        <c:axId val="63882047"/>
      </c:barChart>
      <c:catAx>
        <c:axId val="638950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882047"/>
        <c:crosses val="autoZero"/>
        <c:auto val="1"/>
        <c:lblAlgn val="ctr"/>
        <c:lblOffset val="100"/>
        <c:noMultiLvlLbl val="0"/>
      </c:catAx>
      <c:valAx>
        <c:axId val="638820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895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Number of new schemes by launch date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Graphs!$C$54</c:f>
              <c:strCache>
                <c:ptCount val="1"/>
                <c:pt idx="0">
                  <c:v>Grant</c:v>
                </c:pt>
              </c:strCache>
            </c:strRef>
          </c:tx>
          <c:spPr>
            <a:solidFill>
              <a:schemeClr val="accent1"/>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Graphs!$C$56:$C$65</c:f>
              <c:numCache>
                <c:formatCode>General</c:formatCode>
                <c:ptCount val="10"/>
                <c:pt idx="0">
                  <c:v>9</c:v>
                </c:pt>
                <c:pt idx="1">
                  <c:v>11</c:v>
                </c:pt>
                <c:pt idx="2">
                  <c:v>16</c:v>
                </c:pt>
                <c:pt idx="3">
                  <c:v>11</c:v>
                </c:pt>
                <c:pt idx="4">
                  <c:v>7</c:v>
                </c:pt>
                <c:pt idx="5">
                  <c:v>25</c:v>
                </c:pt>
                <c:pt idx="6">
                  <c:v>45</c:v>
                </c:pt>
                <c:pt idx="7">
                  <c:v>37</c:v>
                </c:pt>
                <c:pt idx="8">
                  <c:v>25</c:v>
                </c:pt>
                <c:pt idx="9">
                  <c:v>9</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23B-4A30-8BEE-7AED78350318}"/>
            </c:ext>
          </c:extLst>
        </c:ser>
        <c:ser>
          <c:idx val="1"/>
          <c:order val="1"/>
          <c:tx>
            <c:strRef>
              <c:f>Graphs!$D$54</c:f>
              <c:strCache>
                <c:ptCount val="1"/>
                <c:pt idx="0">
                  <c:v>Blended scheme</c:v>
                </c:pt>
              </c:strCache>
            </c:strRef>
          </c:tx>
          <c:spPr>
            <a:solidFill>
              <a:schemeClr val="accent2"/>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Graphs!$D$56:$D$65</c:f>
              <c:numCache>
                <c:formatCode>General</c:formatCode>
                <c:ptCount val="10"/>
                <c:pt idx="0">
                  <c:v>1</c:v>
                </c:pt>
                <c:pt idx="1">
                  <c:v>0</c:v>
                </c:pt>
                <c:pt idx="2">
                  <c:v>1</c:v>
                </c:pt>
                <c:pt idx="3">
                  <c:v>4</c:v>
                </c:pt>
                <c:pt idx="4">
                  <c:v>0</c:v>
                </c:pt>
                <c:pt idx="5">
                  <c:v>0</c:v>
                </c:pt>
                <c:pt idx="6">
                  <c:v>6</c:v>
                </c:pt>
                <c:pt idx="7">
                  <c:v>7</c:v>
                </c:pt>
                <c:pt idx="8">
                  <c:v>4</c:v>
                </c:pt>
                <c:pt idx="9">
                  <c:v>1</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23B-4A30-8BEE-7AED78350318}"/>
            </c:ext>
          </c:extLst>
        </c:ser>
        <c:ser>
          <c:idx val="2"/>
          <c:order val="2"/>
          <c:tx>
            <c:strRef>
              <c:f>Graphs!$E$54</c:f>
              <c:strCache>
                <c:ptCount val="1"/>
                <c:pt idx="0">
                  <c:v>Financial instruments</c:v>
                </c:pt>
              </c:strCache>
            </c:strRef>
          </c:tx>
          <c:spPr>
            <a:solidFill>
              <a:schemeClr val="accent3"/>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Graphs!$E$56:$E$65</c:f>
              <c:numCache>
                <c:formatCode>General</c:formatCode>
                <c:ptCount val="10"/>
                <c:pt idx="0">
                  <c:v>6</c:v>
                </c:pt>
                <c:pt idx="1">
                  <c:v>3</c:v>
                </c:pt>
                <c:pt idx="2">
                  <c:v>5</c:v>
                </c:pt>
                <c:pt idx="3">
                  <c:v>3</c:v>
                </c:pt>
                <c:pt idx="4">
                  <c:v>1</c:v>
                </c:pt>
                <c:pt idx="5">
                  <c:v>5</c:v>
                </c:pt>
                <c:pt idx="6">
                  <c:v>5</c:v>
                </c:pt>
                <c:pt idx="7">
                  <c:v>11</c:v>
                </c:pt>
                <c:pt idx="8">
                  <c:v>6</c:v>
                </c:pt>
                <c:pt idx="9">
                  <c:v>2</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23B-4A30-8BEE-7AED78350318}"/>
            </c:ext>
          </c:extLst>
        </c:ser>
        <c:ser>
          <c:idx val="3"/>
          <c:order val="3"/>
          <c:tx>
            <c:strRef>
              <c:f>Graphs!$F$54</c:f>
              <c:strCache>
                <c:ptCount val="1"/>
                <c:pt idx="0">
                  <c:v>Tax rebates</c:v>
                </c:pt>
              </c:strCache>
            </c:strRef>
          </c:tx>
          <c:spPr>
            <a:solidFill>
              <a:schemeClr val="accent4"/>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Graphs!$F$56:$F$65</c:f>
              <c:numCache>
                <c:formatCode>General</c:formatCode>
                <c:ptCount val="10"/>
                <c:pt idx="0">
                  <c:v>1</c:v>
                </c:pt>
                <c:pt idx="1">
                  <c:v>0</c:v>
                </c:pt>
                <c:pt idx="2">
                  <c:v>1</c:v>
                </c:pt>
                <c:pt idx="3">
                  <c:v>2</c:v>
                </c:pt>
                <c:pt idx="4">
                  <c:v>0</c:v>
                </c:pt>
                <c:pt idx="5">
                  <c:v>3</c:v>
                </c:pt>
                <c:pt idx="6">
                  <c:v>1</c:v>
                </c:pt>
                <c:pt idx="7">
                  <c:v>3</c:v>
                </c:pt>
                <c:pt idx="8">
                  <c:v>3</c:v>
                </c:pt>
                <c:pt idx="9">
                  <c:v>1</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23B-4A30-8BEE-7AED78350318}"/>
            </c:ext>
          </c:extLst>
        </c:ser>
        <c:ser>
          <c:idx val="4"/>
          <c:order val="4"/>
          <c:tx>
            <c:strRef>
              <c:f>Graphs!$G$54</c:f>
              <c:strCache>
                <c:ptCount val="1"/>
                <c:pt idx="0">
                  <c:v>EEOS</c:v>
                </c:pt>
              </c:strCache>
            </c:strRef>
          </c:tx>
          <c:spPr>
            <a:solidFill>
              <a:schemeClr val="accent5"/>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Graphs!$G$56:$G$65</c:f>
              <c:numCache>
                <c:formatCode>General</c:formatCode>
                <c:ptCount val="10"/>
                <c:pt idx="0">
                  <c:v>1</c:v>
                </c:pt>
                <c:pt idx="1">
                  <c:v>0</c:v>
                </c:pt>
                <c:pt idx="2">
                  <c:v>1</c:v>
                </c:pt>
                <c:pt idx="3">
                  <c:v>0</c:v>
                </c:pt>
                <c:pt idx="4">
                  <c:v>1</c:v>
                </c:pt>
                <c:pt idx="5">
                  <c:v>0</c:v>
                </c:pt>
                <c:pt idx="6">
                  <c:v>3</c:v>
                </c:pt>
                <c:pt idx="7">
                  <c:v>0</c:v>
                </c:pt>
                <c:pt idx="8">
                  <c:v>0</c:v>
                </c:pt>
                <c:pt idx="9">
                  <c:v>0</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F23B-4A30-8BEE-7AED78350318}"/>
            </c:ext>
          </c:extLst>
        </c:ser>
        <c:ser>
          <c:idx val="5"/>
          <c:order val="5"/>
          <c:tx>
            <c:strRef>
              <c:f>Graphs!$H$54</c:f>
              <c:strCache>
                <c:ptCount val="1"/>
                <c:pt idx="0">
                  <c:v>No data</c:v>
                </c:pt>
              </c:strCache>
            </c:strRef>
          </c:tx>
          <c:spPr>
            <a:solidFill>
              <a:schemeClr val="accent6"/>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Graphs!$H$56:$H$65</c:f>
              <c:numCache>
                <c:formatCode>General</c:formatCode>
                <c:ptCount val="10"/>
                <c:pt idx="0">
                  <c:v>0</c:v>
                </c:pt>
                <c:pt idx="1">
                  <c:v>0</c:v>
                </c:pt>
                <c:pt idx="2">
                  <c:v>0</c:v>
                </c:pt>
                <c:pt idx="3">
                  <c:v>2</c:v>
                </c:pt>
                <c:pt idx="4">
                  <c:v>2</c:v>
                </c:pt>
                <c:pt idx="5">
                  <c:v>1</c:v>
                </c:pt>
                <c:pt idx="6">
                  <c:v>7</c:v>
                </c:pt>
                <c:pt idx="7">
                  <c:v>3</c:v>
                </c:pt>
                <c:pt idx="8">
                  <c:v>5</c:v>
                </c:pt>
                <c:pt idx="9">
                  <c:v>0</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F23B-4A30-8BEE-7AED78350318}"/>
            </c:ext>
          </c:extLst>
        </c:ser>
        <c:dLbls>
          <c:showLegendKey val="0"/>
          <c:showVal val="0"/>
          <c:showCatName val="0"/>
          <c:showSerName val="0"/>
          <c:showPercent val="0"/>
          <c:showBubbleSize val="0"/>
        </c:dLbls>
        <c:gapWidth val="150"/>
        <c:overlap val="100"/>
        <c:axId val="1671544320"/>
        <c:axId val="1671543360"/>
      </c:barChart>
      <c:catAx>
        <c:axId val="167154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1543360"/>
        <c:crosses val="autoZero"/>
        <c:auto val="1"/>
        <c:lblAlgn val="ctr"/>
        <c:lblOffset val="100"/>
        <c:noMultiLvlLbl val="0"/>
      </c:catAx>
      <c:valAx>
        <c:axId val="1671543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Number of schemes</a:t>
                </a:r>
              </a:p>
            </c:rich>
          </c:tx>
          <c:layout>
            <c:manualLayout>
              <c:xMode val="edge"/>
              <c:yMode val="edge"/>
              <c:x val="1.8565792527268508E-2"/>
              <c:y val="0.260477241694113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154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Volume of schemes by launch date (in EUR million)</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Graphs!$A$34</c:f>
              <c:strCache>
                <c:ptCount val="1"/>
                <c:pt idx="0">
                  <c:v>Inception date</c:v>
                </c:pt>
              </c:strCache>
            </c:strRef>
          </c:tx>
          <c:spPr>
            <a:solidFill>
              <a:schemeClr val="accent1"/>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D2E-478B-A0C4-0473C699AA2F}"/>
            </c:ext>
          </c:extLst>
        </c:ser>
        <c:ser>
          <c:idx val="1"/>
          <c:order val="1"/>
          <c:tx>
            <c:strRef>
              <c:f>Graphs!$C$34</c:f>
              <c:strCache>
                <c:ptCount val="1"/>
                <c:pt idx="0">
                  <c:v>Non-repayable</c:v>
                </c:pt>
              </c:strCache>
            </c:strRef>
          </c:tx>
          <c:spPr>
            <a:solidFill>
              <a:schemeClr val="accent2"/>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Graphs!$C$36:$C$45</c:f>
              <c:numCache>
                <c:formatCode>_-* #,##0_-;\-* #,##0_-;_-* "-"??_-;_-@_-</c:formatCode>
                <c:ptCount val="10"/>
                <c:pt idx="0">
                  <c:v>2773.6446209999999</c:v>
                </c:pt>
                <c:pt idx="1">
                  <c:v>4421.1624460000003</c:v>
                </c:pt>
                <c:pt idx="2">
                  <c:v>1865.4119353600001</c:v>
                </c:pt>
                <c:pt idx="3">
                  <c:v>20644.885677339003</c:v>
                </c:pt>
                <c:pt idx="4">
                  <c:v>3998.3838225</c:v>
                </c:pt>
                <c:pt idx="5">
                  <c:v>51887.126469130002</c:v>
                </c:pt>
                <c:pt idx="6">
                  <c:v>22380.099712620002</c:v>
                </c:pt>
                <c:pt idx="7">
                  <c:v>13576.338000000002</c:v>
                </c:pt>
                <c:pt idx="8">
                  <c:v>5302.6203000000005</c:v>
                </c:pt>
                <c:pt idx="9">
                  <c:v>1481.19</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D2E-478B-A0C4-0473C699AA2F}"/>
            </c:ext>
          </c:extLst>
        </c:ser>
        <c:ser>
          <c:idx val="2"/>
          <c:order val="2"/>
          <c:tx>
            <c:strRef>
              <c:f>Graphs!$D$34</c:f>
              <c:strCache>
                <c:ptCount val="1"/>
                <c:pt idx="0">
                  <c:v>Blended scheme</c:v>
                </c:pt>
              </c:strCache>
            </c:strRef>
          </c:tx>
          <c:spPr>
            <a:solidFill>
              <a:schemeClr val="accent3"/>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Graphs!$D$36:$D$45</c:f>
              <c:numCache>
                <c:formatCode>_-* #,##0_-;\-* #,##0_-;_-* "-"??_-;_-@_-</c:formatCode>
                <c:ptCount val="10"/>
                <c:pt idx="0">
                  <c:v>13</c:v>
                </c:pt>
                <c:pt idx="1">
                  <c:v>0</c:v>
                </c:pt>
                <c:pt idx="2">
                  <c:v>0</c:v>
                </c:pt>
                <c:pt idx="3">
                  <c:v>252.041122</c:v>
                </c:pt>
                <c:pt idx="4">
                  <c:v>0</c:v>
                </c:pt>
                <c:pt idx="5">
                  <c:v>0</c:v>
                </c:pt>
                <c:pt idx="6">
                  <c:v>55382.020000000004</c:v>
                </c:pt>
                <c:pt idx="7">
                  <c:v>2476.2199999999998</c:v>
                </c:pt>
                <c:pt idx="8">
                  <c:v>2362.2200000000003</c:v>
                </c:pt>
                <c:pt idx="9">
                  <c:v>334</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BD2E-478B-A0C4-0473C699AA2F}"/>
            </c:ext>
          </c:extLst>
        </c:ser>
        <c:ser>
          <c:idx val="3"/>
          <c:order val="3"/>
          <c:tx>
            <c:strRef>
              <c:f>Graphs!$E$34</c:f>
              <c:strCache>
                <c:ptCount val="1"/>
                <c:pt idx="0">
                  <c:v>Repayable</c:v>
                </c:pt>
              </c:strCache>
            </c:strRef>
          </c:tx>
          <c:spPr>
            <a:solidFill>
              <a:schemeClr val="accent4"/>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Graphs!$E$36:$E$45</c:f>
              <c:numCache>
                <c:formatCode>_-* #,##0_-;\-* #,##0_-;_-* "-"??_-;_-@_-</c:formatCode>
                <c:ptCount val="10"/>
                <c:pt idx="0">
                  <c:v>4877.7</c:v>
                </c:pt>
                <c:pt idx="1">
                  <c:v>8050</c:v>
                </c:pt>
                <c:pt idx="2">
                  <c:v>963.49099999999999</c:v>
                </c:pt>
                <c:pt idx="3">
                  <c:v>565.5</c:v>
                </c:pt>
                <c:pt idx="4">
                  <c:v>1100</c:v>
                </c:pt>
                <c:pt idx="5">
                  <c:v>381.2</c:v>
                </c:pt>
                <c:pt idx="6">
                  <c:v>332.78</c:v>
                </c:pt>
                <c:pt idx="7">
                  <c:v>2696.44</c:v>
                </c:pt>
                <c:pt idx="8">
                  <c:v>13083.1</c:v>
                </c:pt>
                <c:pt idx="9">
                  <c:v>280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D2E-478B-A0C4-0473C699AA2F}"/>
            </c:ext>
          </c:extLst>
        </c:ser>
        <c:ser>
          <c:idx val="4"/>
          <c:order val="4"/>
          <c:tx>
            <c:strRef>
              <c:f>Graphs!$F$34</c:f>
              <c:strCache>
                <c:ptCount val="1"/>
                <c:pt idx="0">
                  <c:v>Others</c:v>
                </c:pt>
              </c:strCache>
            </c:strRef>
          </c:tx>
          <c:spPr>
            <a:solidFill>
              <a:schemeClr val="accent5"/>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Graphs!$F$36:$F$45</c:f>
              <c:numCache>
                <c:formatCode>_-* #,##0_-;\-* #,##0_-;_-* "-"??_-;_-@_-</c:formatCode>
                <c:ptCount val="10"/>
                <c:pt idx="0">
                  <c:v>27</c:v>
                </c:pt>
                <c:pt idx="1">
                  <c:v>0</c:v>
                </c:pt>
                <c:pt idx="2">
                  <c:v>0</c:v>
                </c:pt>
                <c:pt idx="3">
                  <c:v>0</c:v>
                </c:pt>
                <c:pt idx="4">
                  <c:v>226.6</c:v>
                </c:pt>
                <c:pt idx="5">
                  <c:v>213.3</c:v>
                </c:pt>
                <c:pt idx="6">
                  <c:v>1023.9</c:v>
                </c:pt>
                <c:pt idx="7">
                  <c:v>164</c:v>
                </c:pt>
                <c:pt idx="8">
                  <c:v>238.7</c:v>
                </c:pt>
                <c:pt idx="9">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BD2E-478B-A0C4-0473C699AA2F}"/>
            </c:ext>
          </c:extLst>
        </c:ser>
        <c:dLbls>
          <c:showLegendKey val="0"/>
          <c:showVal val="0"/>
          <c:showCatName val="0"/>
          <c:showSerName val="0"/>
          <c:showPercent val="0"/>
          <c:showBubbleSize val="0"/>
        </c:dLbls>
        <c:gapWidth val="150"/>
        <c:overlap val="100"/>
        <c:axId val="65162191"/>
        <c:axId val="65166511"/>
      </c:barChart>
      <c:catAx>
        <c:axId val="6516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166511"/>
        <c:crosses val="autoZero"/>
        <c:auto val="1"/>
        <c:lblAlgn val="ctr"/>
        <c:lblOffset val="100"/>
        <c:noMultiLvlLbl val="0"/>
      </c:catAx>
      <c:valAx>
        <c:axId val="651665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162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Energy savings and data availability (in MWh)</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Graphs!$W$2</c:f>
              <c:strCache>
                <c:ptCount val="1"/>
                <c:pt idx="0">
                  <c:v>Total energy</c:v>
                </c:pt>
              </c:strCache>
            </c:strRef>
          </c:tx>
          <c:spPr>
            <a:solidFill>
              <a:schemeClr val="accent1"/>
            </a:solidFill>
            <a:ln>
              <a:noFill/>
            </a:ln>
            <a:effectLst/>
          </c:spPr>
          <c:invertIfNegative val="0"/>
          <c:dPt>
            <c:idx val="15"/>
            <c:invertIfNegative val="0"/>
            <c:bubble3D val="0"/>
            <c:spPr>
              <a:solidFill>
                <a:schemeClr val="accent6"/>
              </a:solid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457-4C52-82FD-37AA3E77665B}"/>
              </c:ext>
            </c:extLst>
          </c:dPt>
          <c:cat>
            <c:strRef>
              <c:f>(Graphs!$A$3:$A$5,Graphs!$A$8:$A$9,Graphs!$A$12,Graphs!$A$14,Graphs!$A$16:$A$18,Graphs!$A$20:$A$21,Graphs!$A$23,Graphs!$A$27:$A$28,Graphs!$A$30)</c:f>
              <c:strCache>
                <c:ptCount val="16"/>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pt idx="15">
                  <c:v>EU 27</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(Graphs!$W$3:$W$5,Graphs!$W$8:$W$9,Graphs!$W$12,Graphs!$W$14,Graphs!$W$16:$W$18,Graphs!$W$20:$W$21,Graphs!$W$23,Graphs!$W$27:$W$28,Graphs!$W$30)</c:f>
              <c:numCache>
                <c:formatCode>General</c:formatCode>
                <c:ptCount val="16"/>
                <c:pt idx="0">
                  <c:v>1101236</c:v>
                </c:pt>
                <c:pt idx="1">
                  <c:v>405000</c:v>
                </c:pt>
                <c:pt idx="2">
                  <c:v>1312043.2</c:v>
                </c:pt>
                <c:pt idx="3">
                  <c:v>1616444</c:v>
                </c:pt>
                <c:pt idx="4">
                  <c:v>2761742.4989854661</c:v>
                </c:pt>
                <c:pt idx="5">
                  <c:v>33681003</c:v>
                </c:pt>
                <c:pt idx="6">
                  <c:v>10603170</c:v>
                </c:pt>
                <c:pt idx="7">
                  <c:v>7166740</c:v>
                </c:pt>
                <c:pt idx="8">
                  <c:v>10583300</c:v>
                </c:pt>
                <c:pt idx="9">
                  <c:v>74085.119999999995</c:v>
                </c:pt>
                <c:pt idx="10">
                  <c:v>796537</c:v>
                </c:pt>
                <c:pt idx="11">
                  <c:v>12822.3</c:v>
                </c:pt>
                <c:pt idx="12">
                  <c:v>46246170.049999997</c:v>
                </c:pt>
                <c:pt idx="13">
                  <c:v>594954.04940000002</c:v>
                </c:pt>
                <c:pt idx="14">
                  <c:v>18656449.242579848</c:v>
                </c:pt>
                <c:pt idx="15">
                  <c:v>135611696.46096531</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457-4C52-82FD-37AA3E77665B}"/>
            </c:ext>
          </c:extLst>
        </c:ser>
        <c:ser>
          <c:idx val="1"/>
          <c:order val="1"/>
          <c:tx>
            <c:strRef>
              <c:f>Graphs!$Z$2</c:f>
              <c:strCache>
                <c:ptCount val="1"/>
                <c:pt idx="0">
                  <c:v>Total energy 1</c:v>
                </c:pt>
              </c:strCache>
            </c:strRef>
          </c:tx>
          <c:spPr>
            <a:solidFill>
              <a:schemeClr val="accent2"/>
            </a:solidFill>
            <a:ln>
              <a:noFill/>
            </a:ln>
            <a:effectLst/>
          </c:spPr>
          <c:invertIfNegative val="0"/>
          <c:cat>
            <c:strRef>
              <c:f>(Graphs!$A$3:$A$5,Graphs!$A$8:$A$9,Graphs!$A$12,Graphs!$A$14,Graphs!$A$16:$A$18,Graphs!$A$20:$A$21,Graphs!$A$23,Graphs!$A$27:$A$28,Graphs!$A$30)</c:f>
              <c:strCache>
                <c:ptCount val="16"/>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pt idx="15">
                  <c:v>EU 27</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(Graphs!$Z$3:$Z$5,Graphs!$Z$8:$Z$9,Graphs!$Z$12,Graphs!$Z$14,Graphs!$Z$16:$Z$18,Graphs!$Z$20:$Z$21,Graphs!$Z$23,Graphs!$Z$27:$Z$28,Graphs!$Z$30)</c:f>
              <c:numCache>
                <c:formatCode>General</c:formatCode>
                <c:ptCount val="16"/>
                <c:pt idx="15">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457-4C52-82FD-37AA3E77665B}"/>
            </c:ext>
          </c:extLst>
        </c:ser>
        <c:dLbls>
          <c:showLegendKey val="0"/>
          <c:showVal val="0"/>
          <c:showCatName val="0"/>
          <c:showSerName val="0"/>
          <c:showPercent val="0"/>
          <c:showBubbleSize val="0"/>
        </c:dLbls>
        <c:gapWidth val="200"/>
        <c:axId val="165085328"/>
        <c:axId val="165089168"/>
      </c:barChart>
      <c:barChart>
        <c:barDir val="col"/>
        <c:grouping val="clustered"/>
        <c:varyColors val="0"/>
        <c:ser>
          <c:idx val="2"/>
          <c:order val="2"/>
          <c:tx>
            <c:strRef>
              <c:f>Graphs!$AA$2</c:f>
              <c:strCache>
                <c:ptCount val="1"/>
                <c:pt idx="0">
                  <c:v>Share of data 1</c:v>
                </c:pt>
              </c:strCache>
            </c:strRef>
          </c:tx>
          <c:spPr>
            <a:solidFill>
              <a:schemeClr val="accent3"/>
            </a:solidFill>
            <a:ln>
              <a:noFill/>
            </a:ln>
            <a:effectLst/>
          </c:spPr>
          <c:invertIfNegative val="0"/>
          <c:cat>
            <c:strRef>
              <c:f>(Graphs!$A$3:$A$5,Graphs!$A$8:$A$9,Graphs!$A$12,Graphs!$A$14,Graphs!$A$16:$A$18,Graphs!$A$20:$A$21,Graphs!$A$23,Graphs!$A$27:$A$28)</c:f>
              <c:strCache>
                <c:ptCount val="15"/>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(Graphs!$AA$3:$AA$5,Graphs!$AA$8:$AA$9,Graphs!$AA$12,Graphs!$AA$14,Graphs!$AA$16:$AA$18,Graphs!$AA$20:$AA$21,Graphs!$AA$23,Graphs!$AA$27:$AA$28,Graphs!$AA$30)</c:f>
              <c:numCache>
                <c:formatCode>General</c:formatCode>
                <c:ptCount val="16"/>
                <c:pt idx="15">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457-4C52-82FD-37AA3E77665B}"/>
            </c:ext>
          </c:extLst>
        </c:ser>
        <c:ser>
          <c:idx val="3"/>
          <c:order val="3"/>
          <c:tx>
            <c:strRef>
              <c:f>Graphs!$AB$2</c:f>
              <c:strCache>
                <c:ptCount val="1"/>
                <c:pt idx="0">
                  <c:v>Share of data</c:v>
                </c:pt>
              </c:strCache>
            </c:strRef>
          </c:tx>
          <c:spPr>
            <a:solidFill>
              <a:schemeClr val="accent4"/>
            </a:solidFill>
            <a:ln>
              <a:noFill/>
            </a:ln>
            <a:effectLst/>
          </c:spPr>
          <c:invertIfNegative val="0"/>
          <c:dPt>
            <c:idx val="15"/>
            <c:invertIfNegative val="0"/>
            <c:bubble3D val="0"/>
            <c:spPr>
              <a:solidFill>
                <a:schemeClr val="accent2"/>
              </a:solid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6457-4C52-82FD-37AA3E77665B}"/>
              </c:ext>
            </c:extLst>
          </c:dPt>
          <c:cat>
            <c:strRef>
              <c:f>(Graphs!$A$3:$A$5,Graphs!$A$8:$A$9,Graphs!$A$12,Graphs!$A$14,Graphs!$A$16:$A$18,Graphs!$A$20:$A$21,Graphs!$A$23,Graphs!$A$27:$A$28)</c:f>
              <c:strCache>
                <c:ptCount val="15"/>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(Graphs!$AB$3:$AB$5,Graphs!$AB$8:$AB$9,Graphs!$AB$12,Graphs!$AB$14,Graphs!$AB$16:$AB$18,Graphs!$AB$20:$AB$21,Graphs!$AB$23,Graphs!$AB$27:$AB$28,Graphs!$AB$30)</c:f>
              <c:numCache>
                <c:formatCode>0%</c:formatCode>
                <c:ptCount val="16"/>
                <c:pt idx="0">
                  <c:v>0.6875</c:v>
                </c:pt>
                <c:pt idx="1">
                  <c:v>0.04</c:v>
                </c:pt>
                <c:pt idx="2">
                  <c:v>0.4</c:v>
                </c:pt>
                <c:pt idx="3">
                  <c:v>0.375</c:v>
                </c:pt>
                <c:pt idx="4">
                  <c:v>0.77777777777777779</c:v>
                </c:pt>
                <c:pt idx="5">
                  <c:v>0.5</c:v>
                </c:pt>
                <c:pt idx="6">
                  <c:v>0.42857142857142855</c:v>
                </c:pt>
                <c:pt idx="7">
                  <c:v>0.83333333333333337</c:v>
                </c:pt>
                <c:pt idx="8">
                  <c:v>0.125</c:v>
                </c:pt>
                <c:pt idx="9">
                  <c:v>0.19047619047619047</c:v>
                </c:pt>
                <c:pt idx="10">
                  <c:v>0.3</c:v>
                </c:pt>
                <c:pt idx="11">
                  <c:v>0.3125</c:v>
                </c:pt>
                <c:pt idx="12">
                  <c:v>0.52941176470588236</c:v>
                </c:pt>
                <c:pt idx="13">
                  <c:v>0.5714285714285714</c:v>
                </c:pt>
                <c:pt idx="14">
                  <c:v>0.82258064516129037</c:v>
                </c:pt>
                <c:pt idx="15">
                  <c:v>0.31690140845070425</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6457-4C52-82FD-37AA3E77665B}"/>
            </c:ext>
          </c:extLst>
        </c:ser>
        <c:dLbls>
          <c:showLegendKey val="0"/>
          <c:showVal val="0"/>
          <c:showCatName val="0"/>
          <c:showSerName val="0"/>
          <c:showPercent val="0"/>
          <c:showBubbleSize val="0"/>
        </c:dLbls>
        <c:gapWidth val="200"/>
        <c:axId val="165095888"/>
        <c:axId val="165102128"/>
      </c:barChart>
      <c:catAx>
        <c:axId val="16508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89168"/>
        <c:crosses val="autoZero"/>
        <c:auto val="1"/>
        <c:lblAlgn val="ctr"/>
        <c:lblOffset val="100"/>
        <c:noMultiLvlLbl val="0"/>
      </c:catAx>
      <c:valAx>
        <c:axId val="165089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MWh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85328"/>
        <c:crosses val="autoZero"/>
        <c:crossBetween val="between"/>
      </c:valAx>
      <c:valAx>
        <c:axId val="165102128"/>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95888"/>
        <c:crosses val="max"/>
        <c:crossBetween val="between"/>
      </c:valAx>
      <c:catAx>
        <c:axId val="165095888"/>
        <c:scaling>
          <c:orientation val="minMax"/>
        </c:scaling>
        <c:delete val="1"/>
        <c:axPos val="b"/>
        <c:numFmt formatCode="General" sourceLinked="1"/>
        <c:majorTickMark val="out"/>
        <c:minorTickMark val="none"/>
        <c:tickLblPos val="nextTo"/>
        <c:crossAx val="165102128"/>
        <c:crosses val="autoZero"/>
        <c:auto val="1"/>
        <c:lblAlgn val="ctr"/>
        <c:lblOffset val="100"/>
        <c:noMultiLvlLbl val="0"/>
      </c:cat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2ADADE6E03B4065B65A6C979D3E4127"/>
        <w:category>
          <w:name w:val="General"/>
          <w:gallery w:val="placeholder"/>
        </w:category>
        <w:types>
          <w:type w:val="bbPlcHdr"/>
        </w:types>
        <w:behaviors>
          <w:behavior w:val="content"/>
        </w:behaviors>
        <w:guid w:val="{15810D3C-DB45-4DB4-83A9-B60DD14B7C1D}"/>
      </w:docPartPr>
      <w:docPartBody>
        <w:p w:rsidR="00DA5CD6" w:rsidRDefault="00DA5CD6" w:rsidP="00DA5CD6">
          <w:pPr>
            <w:pStyle w:val="72ADADE6E03B4065B65A6C979D3E4127"/>
          </w:pPr>
          <w:r>
            <w:rPr>
              <w:rStyle w:val="PlaceholderText"/>
              <w:lang w:val="en-GB"/>
            </w:rPr>
            <w:t>Type the document title here.</w:t>
          </w:r>
        </w:p>
      </w:docPartBody>
    </w:docPart>
    <w:docPart>
      <w:docPartPr>
        <w:name w:val="1F28C21B396141DAB8000BF074A6AEB7"/>
        <w:category>
          <w:name w:val="General"/>
          <w:gallery w:val="placeholder"/>
        </w:category>
        <w:types>
          <w:type w:val="bbPlcHdr"/>
        </w:types>
        <w:behaviors>
          <w:behavior w:val="content"/>
        </w:behaviors>
        <w:guid w:val="{76C53A1B-1EFB-4AAE-8F0F-2CB201F7EB7C}"/>
      </w:docPartPr>
      <w:docPartBody>
        <w:p w:rsidR="00DA5CD6" w:rsidRDefault="00DA5CD6" w:rsidP="00DA5CD6">
          <w:pPr>
            <w:pStyle w:val="1F28C21B396141DAB8000BF074A6AEB7"/>
          </w:pPr>
          <w:r>
            <w:rPr>
              <w:rStyle w:val="PlaceholderText"/>
              <w:lang w:val="en-GB"/>
            </w:rPr>
            <w:t>Type the first subtitle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9A3"/>
    <w:rsid w:val="0002006D"/>
    <w:rsid w:val="00022771"/>
    <w:rsid w:val="00023E32"/>
    <w:rsid w:val="00030711"/>
    <w:rsid w:val="00034273"/>
    <w:rsid w:val="00036349"/>
    <w:rsid w:val="000375DF"/>
    <w:rsid w:val="0004196A"/>
    <w:rsid w:val="0004600D"/>
    <w:rsid w:val="00080E94"/>
    <w:rsid w:val="00085AC1"/>
    <w:rsid w:val="000A14DA"/>
    <w:rsid w:val="000C0B62"/>
    <w:rsid w:val="000C1682"/>
    <w:rsid w:val="000D10E0"/>
    <w:rsid w:val="000E2C6C"/>
    <w:rsid w:val="000E42A2"/>
    <w:rsid w:val="000E5282"/>
    <w:rsid w:val="000F203F"/>
    <w:rsid w:val="00110300"/>
    <w:rsid w:val="00116BEA"/>
    <w:rsid w:val="0011796B"/>
    <w:rsid w:val="00124249"/>
    <w:rsid w:val="00125301"/>
    <w:rsid w:val="00125555"/>
    <w:rsid w:val="001262B0"/>
    <w:rsid w:val="001346F3"/>
    <w:rsid w:val="001356B1"/>
    <w:rsid w:val="001449C7"/>
    <w:rsid w:val="001462D0"/>
    <w:rsid w:val="001667F2"/>
    <w:rsid w:val="0017135C"/>
    <w:rsid w:val="001728BA"/>
    <w:rsid w:val="00174593"/>
    <w:rsid w:val="00196F27"/>
    <w:rsid w:val="001A000E"/>
    <w:rsid w:val="001A58A8"/>
    <w:rsid w:val="001D19D4"/>
    <w:rsid w:val="001F4CB5"/>
    <w:rsid w:val="0022659E"/>
    <w:rsid w:val="0023492E"/>
    <w:rsid w:val="00234C80"/>
    <w:rsid w:val="00256844"/>
    <w:rsid w:val="002571BA"/>
    <w:rsid w:val="002807AC"/>
    <w:rsid w:val="002B4656"/>
    <w:rsid w:val="002C28D5"/>
    <w:rsid w:val="002D2AA1"/>
    <w:rsid w:val="002D7BC7"/>
    <w:rsid w:val="002E2E9D"/>
    <w:rsid w:val="00306790"/>
    <w:rsid w:val="0031519E"/>
    <w:rsid w:val="00333199"/>
    <w:rsid w:val="00333B32"/>
    <w:rsid w:val="00346775"/>
    <w:rsid w:val="00346FF2"/>
    <w:rsid w:val="00366AC6"/>
    <w:rsid w:val="0037656F"/>
    <w:rsid w:val="00385296"/>
    <w:rsid w:val="00386E70"/>
    <w:rsid w:val="00391F5C"/>
    <w:rsid w:val="00395E1B"/>
    <w:rsid w:val="003A19B6"/>
    <w:rsid w:val="003A4608"/>
    <w:rsid w:val="003C1251"/>
    <w:rsid w:val="003C27F1"/>
    <w:rsid w:val="003C3E9D"/>
    <w:rsid w:val="003D1F5D"/>
    <w:rsid w:val="003D6E87"/>
    <w:rsid w:val="00406FBD"/>
    <w:rsid w:val="0041304B"/>
    <w:rsid w:val="004162C4"/>
    <w:rsid w:val="004245C5"/>
    <w:rsid w:val="00427C29"/>
    <w:rsid w:val="00432B21"/>
    <w:rsid w:val="004357C8"/>
    <w:rsid w:val="00444DE8"/>
    <w:rsid w:val="00464813"/>
    <w:rsid w:val="00470CEB"/>
    <w:rsid w:val="00471298"/>
    <w:rsid w:val="00480888"/>
    <w:rsid w:val="004821DE"/>
    <w:rsid w:val="004835DD"/>
    <w:rsid w:val="0048416C"/>
    <w:rsid w:val="004953DA"/>
    <w:rsid w:val="004A709E"/>
    <w:rsid w:val="004B00E3"/>
    <w:rsid w:val="004B7BEC"/>
    <w:rsid w:val="004D5188"/>
    <w:rsid w:val="004D7169"/>
    <w:rsid w:val="004E5F3F"/>
    <w:rsid w:val="004F7AF5"/>
    <w:rsid w:val="00501A37"/>
    <w:rsid w:val="0051202B"/>
    <w:rsid w:val="00516C68"/>
    <w:rsid w:val="005258DF"/>
    <w:rsid w:val="00590D31"/>
    <w:rsid w:val="00597D8B"/>
    <w:rsid w:val="005A098C"/>
    <w:rsid w:val="005A2A82"/>
    <w:rsid w:val="005B2CC9"/>
    <w:rsid w:val="005C2943"/>
    <w:rsid w:val="005C374D"/>
    <w:rsid w:val="005C453E"/>
    <w:rsid w:val="005D349A"/>
    <w:rsid w:val="005D571C"/>
    <w:rsid w:val="005F3748"/>
    <w:rsid w:val="005F571A"/>
    <w:rsid w:val="006078D2"/>
    <w:rsid w:val="00621CBC"/>
    <w:rsid w:val="00625ED1"/>
    <w:rsid w:val="0065582C"/>
    <w:rsid w:val="00655E02"/>
    <w:rsid w:val="00663AAD"/>
    <w:rsid w:val="006839A3"/>
    <w:rsid w:val="00687B72"/>
    <w:rsid w:val="006B0CE6"/>
    <w:rsid w:val="006B28F4"/>
    <w:rsid w:val="006B5584"/>
    <w:rsid w:val="006C26C8"/>
    <w:rsid w:val="006C4670"/>
    <w:rsid w:val="006F4D91"/>
    <w:rsid w:val="006F6495"/>
    <w:rsid w:val="00720A72"/>
    <w:rsid w:val="00743758"/>
    <w:rsid w:val="00752E03"/>
    <w:rsid w:val="00763646"/>
    <w:rsid w:val="0078272F"/>
    <w:rsid w:val="007B1BF2"/>
    <w:rsid w:val="007D6CAB"/>
    <w:rsid w:val="007D7BD2"/>
    <w:rsid w:val="007E642B"/>
    <w:rsid w:val="007F61D9"/>
    <w:rsid w:val="00805AAE"/>
    <w:rsid w:val="00806942"/>
    <w:rsid w:val="00822449"/>
    <w:rsid w:val="00832A1A"/>
    <w:rsid w:val="008452C8"/>
    <w:rsid w:val="00851634"/>
    <w:rsid w:val="0085411F"/>
    <w:rsid w:val="008803EA"/>
    <w:rsid w:val="008940A1"/>
    <w:rsid w:val="008A6239"/>
    <w:rsid w:val="008C06B8"/>
    <w:rsid w:val="008C7CCD"/>
    <w:rsid w:val="008D28ED"/>
    <w:rsid w:val="008E7BCC"/>
    <w:rsid w:val="0092188F"/>
    <w:rsid w:val="00932472"/>
    <w:rsid w:val="00932477"/>
    <w:rsid w:val="00937D76"/>
    <w:rsid w:val="009508FA"/>
    <w:rsid w:val="0097050D"/>
    <w:rsid w:val="0099534C"/>
    <w:rsid w:val="00995ECD"/>
    <w:rsid w:val="009A6743"/>
    <w:rsid w:val="009B4E3C"/>
    <w:rsid w:val="009B5A8B"/>
    <w:rsid w:val="009C6560"/>
    <w:rsid w:val="009D009D"/>
    <w:rsid w:val="009D2D79"/>
    <w:rsid w:val="009D2F37"/>
    <w:rsid w:val="009E36A6"/>
    <w:rsid w:val="009E3F27"/>
    <w:rsid w:val="009E42F8"/>
    <w:rsid w:val="009F76F7"/>
    <w:rsid w:val="009F7F4E"/>
    <w:rsid w:val="00A17F7C"/>
    <w:rsid w:val="00A2050F"/>
    <w:rsid w:val="00A21104"/>
    <w:rsid w:val="00A31294"/>
    <w:rsid w:val="00A33513"/>
    <w:rsid w:val="00A406E3"/>
    <w:rsid w:val="00A43F63"/>
    <w:rsid w:val="00A46B35"/>
    <w:rsid w:val="00A57EAC"/>
    <w:rsid w:val="00A6196C"/>
    <w:rsid w:val="00A720C2"/>
    <w:rsid w:val="00A743F2"/>
    <w:rsid w:val="00A77EB9"/>
    <w:rsid w:val="00A834CD"/>
    <w:rsid w:val="00A9229B"/>
    <w:rsid w:val="00A94A2F"/>
    <w:rsid w:val="00AB70F9"/>
    <w:rsid w:val="00AC2E22"/>
    <w:rsid w:val="00AC3496"/>
    <w:rsid w:val="00AE367E"/>
    <w:rsid w:val="00AE4D6B"/>
    <w:rsid w:val="00AF357E"/>
    <w:rsid w:val="00B077EB"/>
    <w:rsid w:val="00B14B60"/>
    <w:rsid w:val="00B230DC"/>
    <w:rsid w:val="00B47820"/>
    <w:rsid w:val="00B6192B"/>
    <w:rsid w:val="00B87565"/>
    <w:rsid w:val="00BB6F05"/>
    <w:rsid w:val="00BD154A"/>
    <w:rsid w:val="00BD1714"/>
    <w:rsid w:val="00BE5008"/>
    <w:rsid w:val="00BF2B45"/>
    <w:rsid w:val="00BF3F5E"/>
    <w:rsid w:val="00C03026"/>
    <w:rsid w:val="00C069F1"/>
    <w:rsid w:val="00C12EBE"/>
    <w:rsid w:val="00C25992"/>
    <w:rsid w:val="00C26A15"/>
    <w:rsid w:val="00C44BF6"/>
    <w:rsid w:val="00C47ED6"/>
    <w:rsid w:val="00C56DA3"/>
    <w:rsid w:val="00C635FA"/>
    <w:rsid w:val="00C85AF5"/>
    <w:rsid w:val="00C91E27"/>
    <w:rsid w:val="00CA1AC1"/>
    <w:rsid w:val="00CB13D2"/>
    <w:rsid w:val="00CB39B4"/>
    <w:rsid w:val="00CB53F4"/>
    <w:rsid w:val="00CB6138"/>
    <w:rsid w:val="00CB70F6"/>
    <w:rsid w:val="00CD45F7"/>
    <w:rsid w:val="00CE031B"/>
    <w:rsid w:val="00CE17EB"/>
    <w:rsid w:val="00CF270A"/>
    <w:rsid w:val="00D24E78"/>
    <w:rsid w:val="00D27CE3"/>
    <w:rsid w:val="00D40EDF"/>
    <w:rsid w:val="00D51AC4"/>
    <w:rsid w:val="00D538EC"/>
    <w:rsid w:val="00D6259A"/>
    <w:rsid w:val="00D65114"/>
    <w:rsid w:val="00D66E1E"/>
    <w:rsid w:val="00D71D21"/>
    <w:rsid w:val="00D8684F"/>
    <w:rsid w:val="00D90ABF"/>
    <w:rsid w:val="00DA2092"/>
    <w:rsid w:val="00DA2C80"/>
    <w:rsid w:val="00DA5CD6"/>
    <w:rsid w:val="00DC2D88"/>
    <w:rsid w:val="00DD684A"/>
    <w:rsid w:val="00DE42F4"/>
    <w:rsid w:val="00E05D64"/>
    <w:rsid w:val="00E255A9"/>
    <w:rsid w:val="00E27E7E"/>
    <w:rsid w:val="00E44888"/>
    <w:rsid w:val="00E85487"/>
    <w:rsid w:val="00E90E8D"/>
    <w:rsid w:val="00E92898"/>
    <w:rsid w:val="00E94B07"/>
    <w:rsid w:val="00EC40B0"/>
    <w:rsid w:val="00EC4D32"/>
    <w:rsid w:val="00ED007B"/>
    <w:rsid w:val="00ED7E84"/>
    <w:rsid w:val="00EF1068"/>
    <w:rsid w:val="00F024E6"/>
    <w:rsid w:val="00F15397"/>
    <w:rsid w:val="00F263EC"/>
    <w:rsid w:val="00F61F7D"/>
    <w:rsid w:val="00F6214B"/>
    <w:rsid w:val="00F67A9C"/>
    <w:rsid w:val="00F76F28"/>
    <w:rsid w:val="00F80E16"/>
    <w:rsid w:val="00F961A2"/>
    <w:rsid w:val="00FA514B"/>
    <w:rsid w:val="00FC1351"/>
    <w:rsid w:val="00FC1755"/>
    <w:rsid w:val="00FE21C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DA5CD6"/>
    <w:rPr>
      <w:color w:val="288061"/>
    </w:rPr>
  </w:style>
  <w:style w:type="paragraph" w:customStyle="1" w:styleId="72ADADE6E03B4065B65A6C979D3E4127">
    <w:name w:val="72ADADE6E03B4065B65A6C979D3E4127"/>
    <w:rsid w:val="00DA5CD6"/>
    <w:pPr>
      <w:spacing w:line="278" w:lineRule="auto"/>
    </w:pPr>
    <w:rPr>
      <w:sz w:val="24"/>
      <w:szCs w:val="24"/>
      <w:lang w:val="en-IE" w:eastAsia="en-IE"/>
    </w:rPr>
  </w:style>
  <w:style w:type="paragraph" w:customStyle="1" w:styleId="1F28C21B396141DAB8000BF074A6AEB7">
    <w:name w:val="1F28C21B396141DAB8000BF074A6AEB7"/>
    <w:rsid w:val="00DA5CD6"/>
    <w:pPr>
      <w:spacing w:line="278" w:lineRule="auto"/>
    </w:pPr>
    <w:rPr>
      <w:sz w:val="24"/>
      <w:szCs w:val="24"/>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36772c46-7716-429e-8f22-a4eb6de74035</Id>
  <Names>
    <Latin>
      <FirstName>Hadrien</FirstName>
      <LastName>MICHEL</LastName>
    </Latin>
    <Greek>
      <FirstName/>
      <LastName/>
    </Greek>
    <Cyrillic>
      <FirstName/>
      <LastName/>
    </Cyrillic>
    <DocumentScript>
      <FirstName>Hadrien</FirstName>
      <LastName>MICHEL</LastName>
      <FullName>Hadrien MICHEL</FullName>
    </DocumentScript>
  </Names>
  <Initials>HM</Initials>
  <Gender>m</Gender>
  <Email>DIR B FMB?</Email>
  <Service>ENER.B.2</Service>
  <Function ADCode="" ShowInSignature="true" ShowInHeader="false" HeaderText=""/>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 Policy and Financing &amp; 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 Policy and Financing</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+32 229-63432</Phone>
    <Office>DM24 04/024</Office>
  </MainWorkplace>
  <Workplaces>
    <Workplace IsMain="true">
      <AddressId>f03b5801-04c9-4931-aa17-c6d6c70bc579</AddressId>
      <Fax/>
      <Phone>+32 229-63432</Phone>
      <Office>DM24 04/024</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10.0.46216.0</Version>
    <Date>2024-11-27T09:37:10</Date>
    <Language>EN</Language>
    <Note/>
  </Created>
  <Edited>
    <Version/>
    <Date/>
  </Edited>
  <DocumentModel>
    <Id>6cbda13a-4db2-46c6-876a-ef72275827ef</Id>
    <Name>Report</Name>
  </DocumentModel>
  <CustomTemplate>
    <Id/>
    <Name/>
  </CustomTemplate>
  <DocumentDate>2024-11-27T09:37:10</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9B296-89AC-4B86-8736-252A77DB02E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D211FA19-6986-49CD-8B41-00AC710C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7168</Words>
  <Characters>40864</Characters>
  <Application>Microsoft Office Word</Application>
  <DocSecurity>0</DocSecurity>
  <PresentationFormat>Microsoft Word 14.0</PresentationFormat>
  <Lines>340</Lines>
  <Paragraphs>95</Paragraphs>
  <ScaleCrop>true</ScaleCrop>
  <HeadingPairs>
    <vt:vector size="2" baseType="variant">
      <vt:variant>
        <vt:lpstr>Title</vt:lpstr>
      </vt:variant>
      <vt:variant>
        <vt:i4>1</vt:i4>
      </vt:variant>
    </vt:vector>
  </HeadingPairs>
  <TitlesOfParts>
    <vt:vector size="1" baseType="lpstr">
      <vt:lpstr>Report on Energy Efficiency financing in Europe</vt:lpstr>
    </vt:vector>
  </TitlesOfParts>
  <Manager/>
  <Company/>
  <LinksUpToDate>false</LinksUpToDate>
  <CharactersWithSpaces>47937</CharactersWithSpaces>
  <SharedDoc>false</SharedDoc>
  <HLinks>
    <vt:vector size="120" baseType="variant">
      <vt:variant>
        <vt:i4>4325460</vt:i4>
      </vt:variant>
      <vt:variant>
        <vt:i4>51</vt:i4>
      </vt:variant>
      <vt:variant>
        <vt:i4>0</vt:i4>
      </vt:variant>
      <vt:variant>
        <vt:i4>5</vt:i4>
      </vt:variant>
      <vt:variant>
        <vt:lpwstr>https://circabc.europa.eu/ui/group/8f5f9424-a7ef-4dbf-b914-1af1d12ff5d2/library/a8116057-2055-48e7-81c5-ee94a62de5c8</vt:lpwstr>
      </vt:variant>
      <vt:variant>
        <vt:lpwstr/>
      </vt:variant>
      <vt:variant>
        <vt:i4>5701657</vt:i4>
      </vt:variant>
      <vt:variant>
        <vt:i4>48</vt:i4>
      </vt:variant>
      <vt:variant>
        <vt:i4>0</vt:i4>
      </vt:variant>
      <vt:variant>
        <vt:i4>5</vt:i4>
      </vt:variant>
      <vt:variant>
        <vt:lpwstr>https://commission.europa.eu/document/download/4e8f26d1-6604-496f-87c4-0b9a886adf29_en?filename=EU%20core%20performance%20indicators_15_07_0.pdf</vt:lpwstr>
      </vt:variant>
      <vt:variant>
        <vt:lpwstr/>
      </vt:variant>
      <vt:variant>
        <vt:i4>7667823</vt:i4>
      </vt:variant>
      <vt:variant>
        <vt:i4>45</vt:i4>
      </vt:variant>
      <vt:variant>
        <vt:i4>0</vt:i4>
      </vt:variant>
      <vt:variant>
        <vt:i4>5</vt:i4>
      </vt:variant>
      <vt:variant>
        <vt:lpwstr>https://www.bruegel.org/sites/default/files/2024-10/PB 12 2024.pdf</vt:lpwstr>
      </vt:variant>
      <vt:variant>
        <vt:lpwstr/>
      </vt:variant>
      <vt:variant>
        <vt:i4>8126532</vt:i4>
      </vt:variant>
      <vt:variant>
        <vt:i4>42</vt:i4>
      </vt:variant>
      <vt:variant>
        <vt:i4>0</vt:i4>
      </vt:variant>
      <vt:variant>
        <vt:i4>5</vt:i4>
      </vt:variant>
      <vt:variant>
        <vt:lpwstr>https://www.i4ce.org/wp-content/uploads/2024/02/20240222-i4ce3859-Panorama-EU_VA-40p.pdf</vt:lpwstr>
      </vt:variant>
      <vt:variant>
        <vt:lpwstr/>
      </vt:variant>
      <vt:variant>
        <vt:i4>4063359</vt:i4>
      </vt:variant>
      <vt:variant>
        <vt:i4>39</vt:i4>
      </vt:variant>
      <vt:variant>
        <vt:i4>0</vt:i4>
      </vt:variant>
      <vt:variant>
        <vt:i4>5</vt:i4>
      </vt:variant>
      <vt:variant>
        <vt:lpwstr>https://iea.blob.core.windows.net/assets/f304f2ba-e9a2-4e6d-b529-fb67cd13f646/EnergyEfficiency2024.pdf</vt:lpwstr>
      </vt:variant>
      <vt:variant>
        <vt:lpwstr/>
      </vt:variant>
      <vt:variant>
        <vt:i4>1245276</vt:i4>
      </vt:variant>
      <vt:variant>
        <vt:i4>36</vt:i4>
      </vt:variant>
      <vt:variant>
        <vt:i4>0</vt:i4>
      </vt:variant>
      <vt:variant>
        <vt:i4>5</vt:i4>
      </vt:variant>
      <vt:variant>
        <vt:lpwstr>https://cohesiondata.ec.europa.eu/stories/s/Financial-instruments-under-cohesion-policy-2021-2/tkqa-xd2d</vt:lpwstr>
      </vt:variant>
      <vt:variant>
        <vt:lpwstr/>
      </vt:variant>
      <vt:variant>
        <vt:i4>3538964</vt:i4>
      </vt:variant>
      <vt:variant>
        <vt:i4>33</vt:i4>
      </vt:variant>
      <vt:variant>
        <vt:i4>0</vt:i4>
      </vt:variant>
      <vt:variant>
        <vt:i4>5</vt:i4>
      </vt:variant>
      <vt:variant>
        <vt:lpwstr>https://ec.europa.eu/info/law/better-regulation/have-your-say/initiatives/13824-Energy-efficiency-assessing-the-level-of-EU-national-funding_en</vt:lpwstr>
      </vt:variant>
      <vt:variant>
        <vt:lpwstr/>
      </vt:variant>
      <vt:variant>
        <vt:i4>2687018</vt:i4>
      </vt:variant>
      <vt:variant>
        <vt:i4>30</vt:i4>
      </vt:variant>
      <vt:variant>
        <vt:i4>0</vt:i4>
      </vt:variant>
      <vt:variant>
        <vt:i4>5</vt:i4>
      </vt:variant>
      <vt:variant>
        <vt:lpwstr>https://www.eib.org/en/publications/20240198-eib-group-2024-2027-strategic-roadmap</vt:lpwstr>
      </vt:variant>
      <vt:variant>
        <vt:lpwstr/>
      </vt:variant>
      <vt:variant>
        <vt:i4>1179735</vt:i4>
      </vt:variant>
      <vt:variant>
        <vt:i4>27</vt:i4>
      </vt:variant>
      <vt:variant>
        <vt:i4>0</vt:i4>
      </vt:variant>
      <vt:variant>
        <vt:i4>5</vt:i4>
      </vt:variant>
      <vt:variant>
        <vt:lpwstr>https://www.eib.org/en/products/advisory-services/elena/index</vt:lpwstr>
      </vt:variant>
      <vt:variant>
        <vt:lpwstr/>
      </vt:variant>
      <vt:variant>
        <vt:i4>4194409</vt:i4>
      </vt:variant>
      <vt:variant>
        <vt:i4>24</vt:i4>
      </vt:variant>
      <vt:variant>
        <vt:i4>0</vt:i4>
      </vt:variant>
      <vt:variant>
        <vt:i4>5</vt:i4>
      </vt:variant>
      <vt:variant>
        <vt:lpwstr>https://investeu.europa.eu/investeu-programme/investeu-advisory-hub_en</vt:lpwstr>
      </vt:variant>
      <vt:variant>
        <vt:lpwstr/>
      </vt:variant>
      <vt:variant>
        <vt:i4>7077904</vt:i4>
      </vt:variant>
      <vt:variant>
        <vt:i4>21</vt:i4>
      </vt:variant>
      <vt:variant>
        <vt:i4>0</vt:i4>
      </vt:variant>
      <vt:variant>
        <vt:i4>5</vt:i4>
      </vt:variant>
      <vt:variant>
        <vt:lpwstr>https://www.eib.org/attachments/thematic/eib_group_climate_bank_roadmap_en.pdf</vt:lpwstr>
      </vt:variant>
      <vt:variant>
        <vt:lpwstr/>
      </vt:variant>
      <vt:variant>
        <vt:i4>5111872</vt:i4>
      </vt:variant>
      <vt:variant>
        <vt:i4>18</vt:i4>
      </vt:variant>
      <vt:variant>
        <vt:i4>0</vt:i4>
      </vt:variant>
      <vt:variant>
        <vt:i4>5</vt:i4>
      </vt:variant>
      <vt:variant>
        <vt:lpwstr>https://modernisationfund.eu/</vt:lpwstr>
      </vt:variant>
      <vt:variant>
        <vt:lpwstr/>
      </vt:variant>
      <vt:variant>
        <vt:i4>3080216</vt:i4>
      </vt:variant>
      <vt:variant>
        <vt:i4>15</vt:i4>
      </vt:variant>
      <vt:variant>
        <vt:i4>0</vt:i4>
      </vt:variant>
      <vt:variant>
        <vt:i4>5</vt:i4>
      </vt:variant>
      <vt:variant>
        <vt:lpwstr>https://ec.europa.eu/economy_finance/recovery-and-resilience-scoreboard/assets/thematic_analysis/scoreboard_thematic_analysis_efficiency.pdf</vt:lpwstr>
      </vt:variant>
      <vt:variant>
        <vt:lpwstr/>
      </vt:variant>
      <vt:variant>
        <vt:i4>7536730</vt:i4>
      </vt:variant>
      <vt:variant>
        <vt:i4>12</vt:i4>
      </vt:variant>
      <vt:variant>
        <vt:i4>0</vt:i4>
      </vt:variant>
      <vt:variant>
        <vt:i4>5</vt:i4>
      </vt:variant>
      <vt:variant>
        <vt:lpwstr>https://publications.europa.eu/resource/cellar/6c154426-c5a6-11ee-95d9-01aa75ed71a1.0001.03/DOC_3</vt:lpwstr>
      </vt:variant>
      <vt:variant>
        <vt:lpwstr/>
      </vt:variant>
      <vt:variant>
        <vt:i4>6750318</vt:i4>
      </vt:variant>
      <vt:variant>
        <vt:i4>9</vt:i4>
      </vt:variant>
      <vt:variant>
        <vt:i4>0</vt:i4>
      </vt:variant>
      <vt:variant>
        <vt:i4>5</vt:i4>
      </vt:variant>
      <vt:variant>
        <vt:lpwstr>https://single-market-economy.ec.europa.eu/system/files/2023-03/SWD_2023_68_F1_STAFF_WORKING_PAPER_EN_V4_P1_2629849.PDF</vt:lpwstr>
      </vt:variant>
      <vt:variant>
        <vt:lpwstr/>
      </vt:variant>
      <vt:variant>
        <vt:i4>7864355</vt:i4>
      </vt:variant>
      <vt:variant>
        <vt:i4>6</vt:i4>
      </vt:variant>
      <vt:variant>
        <vt:i4>0</vt:i4>
      </vt:variant>
      <vt:variant>
        <vt:i4>5</vt:i4>
      </vt:variant>
      <vt:variant>
        <vt:lpwstr>https://eur-lex.europa.eu/legal-content/EN/TXT/?uri=celex%3A52024DC0063</vt:lpwstr>
      </vt:variant>
      <vt:variant>
        <vt:lpwstr/>
      </vt:variant>
      <vt:variant>
        <vt:i4>7536739</vt:i4>
      </vt:variant>
      <vt:variant>
        <vt:i4>3</vt:i4>
      </vt:variant>
      <vt:variant>
        <vt:i4>0</vt:i4>
      </vt:variant>
      <vt:variant>
        <vt:i4>5</vt:i4>
      </vt:variant>
      <vt:variant>
        <vt:lpwstr>https://eur-lex.europa.eu/eli/dir/2024/1275/oj/eng</vt:lpwstr>
      </vt:variant>
      <vt:variant>
        <vt:lpwstr/>
      </vt:variant>
      <vt:variant>
        <vt:i4>7995490</vt:i4>
      </vt:variant>
      <vt:variant>
        <vt:i4>0</vt:i4>
      </vt:variant>
      <vt:variant>
        <vt:i4>0</vt:i4>
      </vt:variant>
      <vt:variant>
        <vt:i4>5</vt:i4>
      </vt:variant>
      <vt:variant>
        <vt:lpwstr>https://eur-lex.europa.eu/eli/dir/2023/1791/oj/eng</vt:lpwstr>
      </vt:variant>
      <vt:variant>
        <vt:lpwstr/>
      </vt:variant>
      <vt:variant>
        <vt:i4>5111847</vt:i4>
      </vt:variant>
      <vt:variant>
        <vt:i4>3</vt:i4>
      </vt:variant>
      <vt:variant>
        <vt:i4>0</vt:i4>
      </vt:variant>
      <vt:variant>
        <vt:i4>5</vt:i4>
      </vt:variant>
      <vt:variant>
        <vt:lpwstr>mailto:Carlos.SANCHEZ-RIVERO@ec.europa.eu</vt:lpwstr>
      </vt:variant>
      <vt:variant>
        <vt:lpwstr/>
      </vt:variant>
      <vt:variant>
        <vt:i4>5111847</vt:i4>
      </vt:variant>
      <vt:variant>
        <vt:i4>0</vt:i4>
      </vt:variant>
      <vt:variant>
        <vt:i4>0</vt:i4>
      </vt:variant>
      <vt:variant>
        <vt:i4>5</vt:i4>
      </vt:variant>
      <vt:variant>
        <vt:lpwstr>mailto:Carlos.SANCHEZ-RIVERO@ec.europa.eu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privind finanțarea eficienței energetice în Europa</dc:title>
  <dc:subject>O evaluare a cheltuielilor publice pentru eficiența energetică</dc:subject>
  <dc:creator/>
  <cp:keywords/>
  <dc:description/>
  <cp:lastModifiedBy>EC CoDe</cp:lastModifiedBy>
  <cp:revision>9</cp:revision>
  <dcterms:created xsi:type="dcterms:W3CDTF">2026-02-19T15:31:00Z</dcterms:created>
  <dcterms:modified xsi:type="dcterms:W3CDTF">2026-03-03T21:49:00Z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2025-10-07T15:14:11Z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66ac0603-caaf-4587-b6e2-802618eddd0e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